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ac"/>
        <w:tblW w:w="9923" w:type="dxa"/>
        <w:tblInd w:w="-147" w:type="dxa"/>
        <w:tblLook w:val="04A0" w:firstRow="1" w:lastRow="0" w:firstColumn="1" w:lastColumn="0" w:noHBand="0" w:noVBand="1"/>
      </w:tblPr>
      <w:tblGrid>
        <w:gridCol w:w="993"/>
        <w:gridCol w:w="8930"/>
      </w:tblGrid>
      <w:tr w:rsidR="00A50B96" w:rsidRPr="005C3846" w14:paraId="528944B7" w14:textId="77777777" w:rsidTr="00BE4D18">
        <w:trPr>
          <w:ins w:id="0" w:author="만든 이"/>
        </w:trPr>
        <w:tc>
          <w:tcPr>
            <w:tcW w:w="993" w:type="dxa"/>
          </w:tcPr>
          <w:p w14:paraId="24CEA453" w14:textId="77777777" w:rsidR="00A50B96" w:rsidRPr="00BE4D18" w:rsidRDefault="00A50B96" w:rsidP="006D1220">
            <w:pPr>
              <w:outlineLvl w:val="0"/>
              <w:rPr>
                <w:ins w:id="1" w:author="만든 이"/>
                <w:rFonts w:ascii="Times New Roman" w:hAnsi="Times New Roman" w:cs="Times New Roman"/>
                <w:b/>
              </w:rPr>
            </w:pPr>
            <w:ins w:id="2" w:author="만든 이">
              <w:r w:rsidRPr="00BE4D18">
                <w:rPr>
                  <w:rFonts w:ascii="Times New Roman" w:hAnsi="Times New Roman" w:cs="Times New Roman"/>
                  <w:lang w:val="en-GB"/>
                </w:rPr>
                <w:t>HU</w:t>
              </w:r>
            </w:ins>
          </w:p>
        </w:tc>
        <w:tc>
          <w:tcPr>
            <w:tcW w:w="8930" w:type="dxa"/>
          </w:tcPr>
          <w:p w14:paraId="2682C198" w14:textId="0FF5E36D" w:rsidR="00A50B96" w:rsidRPr="00BE4D18" w:rsidRDefault="00A50B96" w:rsidP="006D1220">
            <w:pPr>
              <w:rPr>
                <w:ins w:id="3" w:author="만든 이"/>
                <w:rFonts w:ascii="Times New Roman" w:hAnsi="Times New Roman" w:cs="Times New Roman"/>
              </w:rPr>
            </w:pPr>
            <w:ins w:id="4" w:author="만든 이">
              <w:r w:rsidRPr="00BE4D18">
                <w:rPr>
                  <w:rFonts w:ascii="Times New Roman" w:hAnsi="Times New Roman" w:cs="Times New Roman"/>
                </w:rPr>
                <w:t xml:space="preserve">Ez a </w:t>
              </w:r>
              <w:proofErr w:type="spellStart"/>
              <w:r w:rsidRPr="00BE4D18">
                <w:rPr>
                  <w:rFonts w:ascii="Times New Roman" w:hAnsi="Times New Roman" w:cs="Times New Roman"/>
                </w:rPr>
                <w:t>dokumentum</w:t>
              </w:r>
              <w:proofErr w:type="spellEnd"/>
              <w:r w:rsidRPr="00BE4D18">
                <w:rPr>
                  <w:rFonts w:ascii="Times New Roman" w:hAnsi="Times New Roman" w:cs="Times New Roman"/>
                </w:rPr>
                <w:t xml:space="preserve"> a(z) </w:t>
              </w:r>
              <w:r w:rsidRPr="00BE4D18">
                <w:rPr>
                  <w:rFonts w:ascii="Times New Roman" w:hAnsi="Times New Roman" w:cs="Times New Roman"/>
                  <w:lang w:val="hu-HU" w:eastAsia="ko-KR"/>
                </w:rPr>
                <w:t>Yuflyma</w:t>
              </w:r>
              <w:r w:rsidRPr="00BE4D18">
                <w:rPr>
                  <w:rFonts w:ascii="Times New Roman" w:hAnsi="Times New Roman" w:cs="Times New Roman"/>
                </w:rPr>
                <w:t xml:space="preserve"> </w:t>
              </w:r>
              <w:proofErr w:type="spellStart"/>
              <w:r w:rsidRPr="00BE4D18">
                <w:rPr>
                  <w:rFonts w:ascii="Times New Roman" w:hAnsi="Times New Roman" w:cs="Times New Roman"/>
                </w:rPr>
                <w:t>jóváhagyott</w:t>
              </w:r>
              <w:proofErr w:type="spellEnd"/>
              <w:r w:rsidRPr="00BE4D18">
                <w:rPr>
                  <w:rFonts w:ascii="Times New Roman" w:hAnsi="Times New Roman" w:cs="Times New Roman"/>
                </w:rPr>
                <w:t xml:space="preserve"> </w:t>
              </w:r>
              <w:proofErr w:type="spellStart"/>
              <w:r w:rsidRPr="00BE4D18">
                <w:rPr>
                  <w:rFonts w:ascii="Times New Roman" w:hAnsi="Times New Roman" w:cs="Times New Roman"/>
                </w:rPr>
                <w:t>kísérőiratait</w:t>
              </w:r>
              <w:proofErr w:type="spellEnd"/>
              <w:r w:rsidRPr="00BE4D18">
                <w:rPr>
                  <w:rFonts w:ascii="Times New Roman" w:hAnsi="Times New Roman" w:cs="Times New Roman"/>
                </w:rPr>
                <w:t xml:space="preserve"> </w:t>
              </w:r>
              <w:proofErr w:type="spellStart"/>
              <w:r w:rsidRPr="00BE4D18">
                <w:rPr>
                  <w:rFonts w:ascii="Times New Roman" w:hAnsi="Times New Roman" w:cs="Times New Roman"/>
                </w:rPr>
                <w:t>képezi</w:t>
              </w:r>
              <w:proofErr w:type="spellEnd"/>
              <w:r w:rsidRPr="00BE4D18">
                <w:rPr>
                  <w:rFonts w:ascii="Times New Roman" w:hAnsi="Times New Roman" w:cs="Times New Roman"/>
                </w:rPr>
                <w:t xml:space="preserve">, </w:t>
              </w:r>
              <w:proofErr w:type="spellStart"/>
              <w:r w:rsidRPr="00BE4D18">
                <w:rPr>
                  <w:rFonts w:ascii="Times New Roman" w:hAnsi="Times New Roman" w:cs="Times New Roman"/>
                </w:rPr>
                <w:t>és</w:t>
              </w:r>
              <w:proofErr w:type="spellEnd"/>
              <w:r w:rsidRPr="00BE4D18">
                <w:rPr>
                  <w:rFonts w:ascii="Times New Roman" w:hAnsi="Times New Roman" w:cs="Times New Roman"/>
                </w:rPr>
                <w:t xml:space="preserve"> </w:t>
              </w:r>
              <w:proofErr w:type="spellStart"/>
              <w:r w:rsidRPr="00BE4D18">
                <w:rPr>
                  <w:rFonts w:ascii="Times New Roman" w:hAnsi="Times New Roman" w:cs="Times New Roman"/>
                </w:rPr>
                <w:t>változáskövetéssel</w:t>
              </w:r>
              <w:proofErr w:type="spellEnd"/>
              <w:r w:rsidRPr="00BE4D18">
                <w:rPr>
                  <w:rFonts w:ascii="Times New Roman" w:hAnsi="Times New Roman" w:cs="Times New Roman"/>
                </w:rPr>
                <w:t xml:space="preserve"> </w:t>
              </w:r>
              <w:proofErr w:type="spellStart"/>
              <w:r w:rsidRPr="00BE4D18">
                <w:rPr>
                  <w:rFonts w:ascii="Times New Roman" w:hAnsi="Times New Roman" w:cs="Times New Roman"/>
                </w:rPr>
                <w:t>jelölve</w:t>
              </w:r>
              <w:proofErr w:type="spellEnd"/>
              <w:r w:rsidRPr="00BE4D18">
                <w:rPr>
                  <w:rFonts w:ascii="Times New Roman" w:hAnsi="Times New Roman" w:cs="Times New Roman"/>
                </w:rPr>
                <w:t xml:space="preserve"> </w:t>
              </w:r>
              <w:proofErr w:type="spellStart"/>
              <w:r w:rsidRPr="00BE4D18">
                <w:rPr>
                  <w:rFonts w:ascii="Times New Roman" w:hAnsi="Times New Roman" w:cs="Times New Roman"/>
                </w:rPr>
                <w:t>tartalmazza</w:t>
              </w:r>
              <w:proofErr w:type="spellEnd"/>
              <w:r w:rsidRPr="00BE4D18">
                <w:rPr>
                  <w:rFonts w:ascii="Times New Roman" w:hAnsi="Times New Roman" w:cs="Times New Roman"/>
                </w:rPr>
                <w:t xml:space="preserve"> a </w:t>
              </w:r>
              <w:proofErr w:type="spellStart"/>
              <w:r w:rsidRPr="00BE4D18">
                <w:rPr>
                  <w:rFonts w:ascii="Times New Roman" w:hAnsi="Times New Roman" w:cs="Times New Roman"/>
                </w:rPr>
                <w:t>kísérőiratokat</w:t>
              </w:r>
              <w:proofErr w:type="spellEnd"/>
              <w:r w:rsidRPr="00BE4D18">
                <w:rPr>
                  <w:rFonts w:ascii="Times New Roman" w:hAnsi="Times New Roman" w:cs="Times New Roman"/>
                </w:rPr>
                <w:t xml:space="preserve"> </w:t>
              </w:r>
              <w:proofErr w:type="spellStart"/>
              <w:r w:rsidRPr="00BE4D18">
                <w:rPr>
                  <w:rFonts w:ascii="Times New Roman" w:hAnsi="Times New Roman" w:cs="Times New Roman"/>
                </w:rPr>
                <w:t>érintő</w:t>
              </w:r>
              <w:proofErr w:type="spellEnd"/>
              <w:r w:rsidRPr="00BE4D18">
                <w:rPr>
                  <w:rFonts w:ascii="Times New Roman" w:hAnsi="Times New Roman" w:cs="Times New Roman"/>
                </w:rPr>
                <w:t xml:space="preserve"> </w:t>
              </w:r>
              <w:proofErr w:type="spellStart"/>
              <w:r w:rsidRPr="00BE4D18">
                <w:rPr>
                  <w:rFonts w:ascii="Times New Roman" w:hAnsi="Times New Roman" w:cs="Times New Roman"/>
                </w:rPr>
                <w:t>előző</w:t>
              </w:r>
              <w:proofErr w:type="spellEnd"/>
              <w:r w:rsidRPr="00BE4D18">
                <w:rPr>
                  <w:rFonts w:ascii="Times New Roman" w:hAnsi="Times New Roman" w:cs="Times New Roman"/>
                </w:rPr>
                <w:t xml:space="preserve"> </w:t>
              </w:r>
              <w:proofErr w:type="spellStart"/>
              <w:r w:rsidRPr="00BE4D18">
                <w:rPr>
                  <w:rFonts w:ascii="Times New Roman" w:hAnsi="Times New Roman" w:cs="Times New Roman"/>
                </w:rPr>
                <w:t>eljárás</w:t>
              </w:r>
              <w:proofErr w:type="spellEnd"/>
              <w:r w:rsidRPr="00BE4D18">
                <w:rPr>
                  <w:rFonts w:ascii="Times New Roman" w:hAnsi="Times New Roman" w:cs="Times New Roman"/>
                </w:rPr>
                <w:t xml:space="preserve"> </w:t>
              </w:r>
              <w:r w:rsidRPr="00BE4D18">
                <w:rPr>
                  <w:rFonts w:ascii="Times New Roman" w:eastAsia="맑은 고딕" w:hAnsi="Times New Roman" w:cs="Times New Roman"/>
                  <w:lang w:eastAsia="ko-KR"/>
                </w:rPr>
                <w:t>(</w:t>
              </w:r>
              <w:r w:rsidR="001B0ECF" w:rsidRPr="00BE4D18">
                <w:rPr>
                  <w:rFonts w:ascii="Times New Roman" w:eastAsia="맑은 고딕" w:hAnsi="Times New Roman" w:cs="Times New Roman"/>
                  <w:lang w:eastAsia="ko-KR"/>
                </w:rPr>
                <w:t>VR/0000255330</w:t>
              </w:r>
              <w:r w:rsidRPr="00BE4D18">
                <w:rPr>
                  <w:rFonts w:ascii="Times New Roman" w:hAnsi="Times New Roman" w:cs="Times New Roman"/>
                </w:rPr>
                <w:t>)</w:t>
              </w:r>
              <w:r w:rsidRPr="00BE4D18">
                <w:rPr>
                  <w:rFonts w:ascii="Times New Roman" w:eastAsia="맑은 고딕" w:hAnsi="Times New Roman" w:cs="Times New Roman"/>
                  <w:lang w:eastAsia="ko-KR"/>
                </w:rPr>
                <w:t xml:space="preserve"> </w:t>
              </w:r>
              <w:proofErr w:type="spellStart"/>
              <w:r w:rsidRPr="00BE4D18">
                <w:rPr>
                  <w:rFonts w:ascii="Times New Roman" w:hAnsi="Times New Roman" w:cs="Times New Roman"/>
                </w:rPr>
                <w:t>óta</w:t>
              </w:r>
              <w:proofErr w:type="spellEnd"/>
              <w:r w:rsidRPr="00BE4D18">
                <w:rPr>
                  <w:rFonts w:ascii="Times New Roman" w:hAnsi="Times New Roman" w:cs="Times New Roman"/>
                </w:rPr>
                <w:t xml:space="preserve"> </w:t>
              </w:r>
              <w:proofErr w:type="spellStart"/>
              <w:r w:rsidRPr="00BE4D18">
                <w:rPr>
                  <w:rFonts w:ascii="Times New Roman" w:hAnsi="Times New Roman" w:cs="Times New Roman"/>
                </w:rPr>
                <w:t>eszközölt</w:t>
              </w:r>
              <w:proofErr w:type="spellEnd"/>
              <w:r w:rsidRPr="00BE4D18">
                <w:rPr>
                  <w:rFonts w:ascii="Times New Roman" w:hAnsi="Times New Roman" w:cs="Times New Roman"/>
                </w:rPr>
                <w:t xml:space="preserve"> </w:t>
              </w:r>
              <w:proofErr w:type="spellStart"/>
              <w:r w:rsidRPr="00BE4D18">
                <w:rPr>
                  <w:rFonts w:ascii="Times New Roman" w:hAnsi="Times New Roman" w:cs="Times New Roman"/>
                </w:rPr>
                <w:t>változtatásokat</w:t>
              </w:r>
              <w:proofErr w:type="spellEnd"/>
              <w:r w:rsidRPr="00BE4D18">
                <w:rPr>
                  <w:rFonts w:ascii="Times New Roman" w:hAnsi="Times New Roman" w:cs="Times New Roman"/>
                </w:rPr>
                <w:t>.</w:t>
              </w:r>
            </w:ins>
          </w:p>
          <w:p w14:paraId="0149BBF7" w14:textId="77777777" w:rsidR="00A50B96" w:rsidRPr="00BE4D18" w:rsidRDefault="00A50B96" w:rsidP="006D1220">
            <w:pPr>
              <w:rPr>
                <w:ins w:id="5" w:author="만든 이"/>
                <w:rFonts w:ascii="Times New Roman" w:hAnsi="Times New Roman" w:cs="Times New Roman"/>
              </w:rPr>
            </w:pPr>
          </w:p>
          <w:p w14:paraId="04BC9ABF" w14:textId="5590B491" w:rsidR="00A50B96" w:rsidRPr="00BE4D18" w:rsidRDefault="00A50B96" w:rsidP="006D1220">
            <w:pPr>
              <w:pStyle w:val="Style1"/>
              <w:pBdr>
                <w:top w:val="none" w:sz="0" w:space="0" w:color="auto"/>
                <w:left w:val="none" w:sz="0" w:space="0" w:color="auto"/>
                <w:bottom w:val="none" w:sz="0" w:space="0" w:color="auto"/>
                <w:right w:val="none" w:sz="0" w:space="0" w:color="auto"/>
              </w:pBdr>
              <w:rPr>
                <w:ins w:id="6" w:author="만든 이"/>
                <w:rFonts w:eastAsia="맑은 고딕"/>
                <w:lang w:eastAsia="ko-KR"/>
              </w:rPr>
            </w:pPr>
            <w:ins w:id="7" w:author="만든 이">
              <w:r w:rsidRPr="00BE4D18">
                <w:t xml:space="preserve">További információ az Európai Gyógyszerügynökség honlapján található: </w:t>
              </w:r>
              <w:r w:rsidRPr="00BE4D18">
                <w:fldChar w:fldCharType="begin"/>
              </w:r>
              <w:r w:rsidRPr="00BE4D18">
                <w:instrText>HYPERLINK "https://www.ema.europa.eu/en/medicines/human/EPAR/yuflyma"</w:instrText>
              </w:r>
              <w:r w:rsidRPr="00BE4D18">
                <w:fldChar w:fldCharType="separate"/>
              </w:r>
              <w:r w:rsidRPr="00BE4D18">
                <w:rPr>
                  <w:rStyle w:val="ad"/>
                  <w:rFonts w:eastAsia="맑은 고딕"/>
                  <w:lang w:eastAsia="ko-KR"/>
                </w:rPr>
                <w:t>https://www.ema.europa.eu/en/medicines/human/EPAR/yuflyma</w:t>
              </w:r>
              <w:r w:rsidRPr="00BE4D18">
                <w:rPr>
                  <w:rStyle w:val="ad"/>
                  <w:rFonts w:eastAsia="맑은 고딕"/>
                  <w:lang w:eastAsia="ko-KR"/>
                </w:rPr>
                <w:fldChar w:fldCharType="end"/>
              </w:r>
            </w:ins>
          </w:p>
        </w:tc>
      </w:tr>
    </w:tbl>
    <w:p w14:paraId="46E6A7A0" w14:textId="77777777" w:rsidR="00130E8B" w:rsidRPr="00740F0F" w:rsidRDefault="00130E8B" w:rsidP="002C78FA">
      <w:pPr>
        <w:rPr>
          <w:sz w:val="20"/>
          <w:lang w:val="hu-HU"/>
        </w:rPr>
      </w:pPr>
    </w:p>
    <w:p w14:paraId="19B980EA" w14:textId="77777777" w:rsidR="00130E8B" w:rsidRDefault="00130E8B">
      <w:pPr>
        <w:spacing w:line="200" w:lineRule="exact"/>
        <w:rPr>
          <w:sz w:val="20"/>
          <w:szCs w:val="20"/>
          <w:lang w:val="hu-HU"/>
        </w:rPr>
      </w:pPr>
    </w:p>
    <w:p w14:paraId="7C935809" w14:textId="77777777" w:rsidR="00130E8B" w:rsidRDefault="00130E8B">
      <w:pPr>
        <w:spacing w:line="200" w:lineRule="exact"/>
        <w:rPr>
          <w:sz w:val="20"/>
          <w:szCs w:val="20"/>
          <w:lang w:val="hu-HU"/>
        </w:rPr>
      </w:pPr>
    </w:p>
    <w:p w14:paraId="3BA558F7" w14:textId="77777777" w:rsidR="00130E8B" w:rsidRDefault="00130E8B">
      <w:pPr>
        <w:spacing w:line="200" w:lineRule="exact"/>
        <w:rPr>
          <w:sz w:val="20"/>
          <w:szCs w:val="20"/>
          <w:lang w:val="hu-HU"/>
        </w:rPr>
      </w:pPr>
    </w:p>
    <w:p w14:paraId="5152D3C5" w14:textId="77777777" w:rsidR="00130E8B" w:rsidRDefault="00130E8B">
      <w:pPr>
        <w:spacing w:line="200" w:lineRule="exact"/>
        <w:rPr>
          <w:sz w:val="20"/>
          <w:szCs w:val="20"/>
          <w:lang w:val="hu-HU"/>
        </w:rPr>
      </w:pPr>
    </w:p>
    <w:p w14:paraId="719316D0" w14:textId="77777777" w:rsidR="00130E8B" w:rsidRDefault="00130E8B">
      <w:pPr>
        <w:spacing w:line="200" w:lineRule="exact"/>
        <w:rPr>
          <w:sz w:val="20"/>
          <w:szCs w:val="20"/>
          <w:lang w:val="hu-HU"/>
        </w:rPr>
      </w:pPr>
    </w:p>
    <w:p w14:paraId="32DF1922" w14:textId="77777777" w:rsidR="00130E8B" w:rsidRDefault="00130E8B">
      <w:pPr>
        <w:spacing w:line="200" w:lineRule="exact"/>
        <w:rPr>
          <w:sz w:val="20"/>
          <w:szCs w:val="20"/>
          <w:lang w:val="hu-HU"/>
        </w:rPr>
      </w:pPr>
    </w:p>
    <w:p w14:paraId="33D3F2A9" w14:textId="77777777" w:rsidR="00130E8B" w:rsidRDefault="00130E8B">
      <w:pPr>
        <w:spacing w:line="200" w:lineRule="exact"/>
        <w:rPr>
          <w:sz w:val="20"/>
          <w:szCs w:val="20"/>
          <w:lang w:val="hu-HU"/>
        </w:rPr>
      </w:pPr>
    </w:p>
    <w:p w14:paraId="651117E8" w14:textId="77777777" w:rsidR="00130E8B" w:rsidRDefault="00130E8B">
      <w:pPr>
        <w:spacing w:line="200" w:lineRule="exact"/>
        <w:rPr>
          <w:sz w:val="20"/>
          <w:szCs w:val="20"/>
          <w:lang w:val="hu-HU"/>
        </w:rPr>
      </w:pPr>
    </w:p>
    <w:p w14:paraId="5BCF094E" w14:textId="77777777" w:rsidR="00130E8B" w:rsidRDefault="00130E8B">
      <w:pPr>
        <w:spacing w:line="200" w:lineRule="exact"/>
        <w:rPr>
          <w:sz w:val="20"/>
          <w:szCs w:val="20"/>
          <w:lang w:val="hu-HU"/>
        </w:rPr>
      </w:pPr>
    </w:p>
    <w:p w14:paraId="64C8FD00" w14:textId="77777777" w:rsidR="00130E8B" w:rsidRDefault="00130E8B">
      <w:pPr>
        <w:spacing w:line="200" w:lineRule="exact"/>
        <w:rPr>
          <w:sz w:val="20"/>
          <w:szCs w:val="20"/>
          <w:lang w:val="hu-HU"/>
        </w:rPr>
      </w:pPr>
    </w:p>
    <w:p w14:paraId="0D9EE1B6" w14:textId="77777777" w:rsidR="00130E8B" w:rsidRDefault="00130E8B">
      <w:pPr>
        <w:spacing w:line="200" w:lineRule="exact"/>
        <w:rPr>
          <w:sz w:val="20"/>
          <w:szCs w:val="20"/>
          <w:lang w:val="hu-HU" w:eastAsia="ko-KR"/>
        </w:rPr>
      </w:pPr>
    </w:p>
    <w:p w14:paraId="2345CE7F" w14:textId="77777777" w:rsidR="00130E8B" w:rsidRDefault="00130E8B">
      <w:pPr>
        <w:spacing w:line="200" w:lineRule="exact"/>
        <w:rPr>
          <w:sz w:val="20"/>
          <w:szCs w:val="20"/>
          <w:lang w:val="hu-HU" w:eastAsia="ko-KR"/>
        </w:rPr>
      </w:pPr>
    </w:p>
    <w:p w14:paraId="480FADA3" w14:textId="77777777" w:rsidR="00130E8B" w:rsidRDefault="00130E8B">
      <w:pPr>
        <w:spacing w:line="200" w:lineRule="exact"/>
        <w:rPr>
          <w:sz w:val="20"/>
          <w:szCs w:val="20"/>
          <w:lang w:val="hu-HU" w:eastAsia="ko-KR"/>
        </w:rPr>
      </w:pPr>
    </w:p>
    <w:p w14:paraId="1C851557" w14:textId="77777777" w:rsidR="00130E8B" w:rsidRDefault="00130E8B">
      <w:pPr>
        <w:spacing w:line="200" w:lineRule="exact"/>
        <w:rPr>
          <w:sz w:val="20"/>
          <w:szCs w:val="20"/>
          <w:lang w:val="hu-HU" w:eastAsia="ko-KR"/>
        </w:rPr>
      </w:pPr>
    </w:p>
    <w:p w14:paraId="38907D41" w14:textId="77777777" w:rsidR="00130E8B" w:rsidRDefault="00130E8B">
      <w:pPr>
        <w:spacing w:line="200" w:lineRule="exact"/>
        <w:rPr>
          <w:sz w:val="20"/>
          <w:szCs w:val="20"/>
          <w:lang w:val="hu-HU" w:eastAsia="ko-KR"/>
        </w:rPr>
      </w:pPr>
    </w:p>
    <w:p w14:paraId="1A21E781" w14:textId="77777777" w:rsidR="00130E8B" w:rsidRDefault="00130E8B">
      <w:pPr>
        <w:spacing w:line="200" w:lineRule="exact"/>
        <w:rPr>
          <w:sz w:val="20"/>
          <w:szCs w:val="20"/>
          <w:lang w:val="hu-HU" w:eastAsia="ko-KR"/>
        </w:rPr>
      </w:pPr>
    </w:p>
    <w:p w14:paraId="21BAFEE1" w14:textId="77777777" w:rsidR="00130E8B" w:rsidRDefault="00130E8B">
      <w:pPr>
        <w:spacing w:line="200" w:lineRule="exact"/>
        <w:rPr>
          <w:sz w:val="20"/>
          <w:szCs w:val="20"/>
          <w:lang w:val="hu-HU" w:eastAsia="ko-KR"/>
        </w:rPr>
      </w:pPr>
    </w:p>
    <w:p w14:paraId="1DD0CE5D" w14:textId="77777777" w:rsidR="00130E8B" w:rsidRDefault="00130E8B">
      <w:pPr>
        <w:spacing w:line="200" w:lineRule="exact"/>
        <w:rPr>
          <w:sz w:val="20"/>
          <w:szCs w:val="20"/>
          <w:lang w:val="hu-HU" w:eastAsia="ko-KR"/>
        </w:rPr>
      </w:pPr>
    </w:p>
    <w:p w14:paraId="6E898A58" w14:textId="77777777" w:rsidR="00130E8B" w:rsidRDefault="00130E8B">
      <w:pPr>
        <w:spacing w:line="200" w:lineRule="exact"/>
        <w:rPr>
          <w:sz w:val="20"/>
          <w:szCs w:val="20"/>
          <w:lang w:val="hu-HU" w:eastAsia="ko-KR"/>
        </w:rPr>
      </w:pPr>
    </w:p>
    <w:p w14:paraId="2D8D3387" w14:textId="77777777" w:rsidR="00130E8B" w:rsidRDefault="00130E8B">
      <w:pPr>
        <w:spacing w:line="200" w:lineRule="exact"/>
        <w:rPr>
          <w:sz w:val="20"/>
          <w:szCs w:val="20"/>
          <w:lang w:val="hu-HU" w:eastAsia="ko-KR"/>
        </w:rPr>
      </w:pPr>
    </w:p>
    <w:p w14:paraId="1CFE88B4" w14:textId="77777777" w:rsidR="00130E8B" w:rsidRDefault="00130E8B">
      <w:pPr>
        <w:spacing w:line="200" w:lineRule="exact"/>
        <w:rPr>
          <w:sz w:val="20"/>
          <w:szCs w:val="20"/>
          <w:lang w:val="hu-HU" w:eastAsia="ko-KR"/>
        </w:rPr>
      </w:pPr>
    </w:p>
    <w:p w14:paraId="6BCF1FE1" w14:textId="77777777" w:rsidR="00130E8B" w:rsidRDefault="00130E8B">
      <w:pPr>
        <w:spacing w:line="200" w:lineRule="exact"/>
        <w:rPr>
          <w:sz w:val="20"/>
          <w:szCs w:val="20"/>
          <w:lang w:val="hu-HU" w:eastAsia="ko-KR"/>
        </w:rPr>
      </w:pPr>
    </w:p>
    <w:p w14:paraId="0406E750" w14:textId="77777777" w:rsidR="00130E8B" w:rsidRDefault="00130E8B">
      <w:pPr>
        <w:spacing w:line="200" w:lineRule="exact"/>
        <w:rPr>
          <w:sz w:val="20"/>
          <w:szCs w:val="20"/>
          <w:lang w:val="hu-HU" w:eastAsia="ko-KR"/>
        </w:rPr>
      </w:pPr>
    </w:p>
    <w:p w14:paraId="17E4A32F" w14:textId="77777777" w:rsidR="00130E8B" w:rsidRDefault="00130E8B">
      <w:pPr>
        <w:spacing w:line="200" w:lineRule="exact"/>
        <w:rPr>
          <w:sz w:val="20"/>
          <w:szCs w:val="20"/>
          <w:lang w:val="hu-HU" w:eastAsia="ko-KR"/>
        </w:rPr>
      </w:pPr>
    </w:p>
    <w:p w14:paraId="3955019D" w14:textId="77777777" w:rsidR="00130E8B" w:rsidRDefault="00130E8B">
      <w:pPr>
        <w:spacing w:line="200" w:lineRule="exact"/>
        <w:rPr>
          <w:sz w:val="20"/>
          <w:szCs w:val="20"/>
          <w:lang w:val="hu-HU" w:eastAsia="ko-KR"/>
        </w:rPr>
      </w:pPr>
    </w:p>
    <w:p w14:paraId="0D2BBF14" w14:textId="77777777" w:rsidR="00130E8B" w:rsidRDefault="00130E8B">
      <w:pPr>
        <w:spacing w:line="200" w:lineRule="exact"/>
        <w:rPr>
          <w:sz w:val="20"/>
          <w:szCs w:val="20"/>
          <w:lang w:val="hu-HU" w:eastAsia="ko-KR"/>
        </w:rPr>
      </w:pPr>
    </w:p>
    <w:p w14:paraId="624E09FA" w14:textId="77777777" w:rsidR="00130E8B" w:rsidRDefault="00130E8B">
      <w:pPr>
        <w:spacing w:before="4" w:line="200" w:lineRule="exact"/>
        <w:jc w:val="center"/>
        <w:rPr>
          <w:sz w:val="20"/>
          <w:szCs w:val="20"/>
          <w:lang w:val="hu-HU" w:eastAsia="ko-KR"/>
        </w:rPr>
      </w:pPr>
    </w:p>
    <w:p w14:paraId="66E19FFF" w14:textId="77777777" w:rsidR="00130E8B" w:rsidRDefault="000405CC">
      <w:pPr>
        <w:pStyle w:val="TableParagraph"/>
        <w:jc w:val="center"/>
        <w:rPr>
          <w:rFonts w:ascii="Times New Roman" w:hAnsi="Times New Roman" w:cs="Times New Roman"/>
          <w:b/>
          <w:lang w:val="hu-HU"/>
        </w:rPr>
      </w:pPr>
      <w:r>
        <w:rPr>
          <w:rFonts w:ascii="Times New Roman" w:eastAsia="Times New Roman" w:hAnsi="Times New Roman" w:cs="Times New Roman"/>
          <w:b/>
          <w:bCs/>
          <w:lang w:val="hu-HU"/>
        </w:rPr>
        <w:t>I. MELLÉKLET</w:t>
      </w:r>
    </w:p>
    <w:p w14:paraId="78C3F437" w14:textId="77777777" w:rsidR="00130E8B" w:rsidRPr="00543C3D" w:rsidRDefault="00130E8B" w:rsidP="004B23C8">
      <w:pPr>
        <w:rPr>
          <w:lang w:val="hu-HU"/>
        </w:rPr>
      </w:pPr>
    </w:p>
    <w:p w14:paraId="107CE87B" w14:textId="77777777" w:rsidR="00130E8B" w:rsidRDefault="000405CC">
      <w:pPr>
        <w:pStyle w:val="1"/>
        <w:spacing w:before="72"/>
        <w:ind w:left="0" w:right="5"/>
        <w:jc w:val="center"/>
        <w:rPr>
          <w:spacing w:val="-1"/>
          <w:lang w:val="hu-HU"/>
        </w:rPr>
      </w:pPr>
      <w:r>
        <w:rPr>
          <w:rFonts w:cs="Arial"/>
          <w:spacing w:val="-1"/>
          <w:lang w:val="hu-HU"/>
        </w:rPr>
        <w:t>ALKALMAZÁSI ELŐÍRÁS</w:t>
      </w:r>
    </w:p>
    <w:p w14:paraId="22EF6BF6" w14:textId="77777777" w:rsidR="00130E8B" w:rsidRDefault="000405CC">
      <w:pPr>
        <w:rPr>
          <w:rFonts w:ascii="Times New Roman" w:eastAsia="맑은 고딕" w:hAnsi="Times New Roman" w:cs="Times New Roman"/>
          <w:lang w:val="hu-HU" w:eastAsia="ko-KR"/>
        </w:rPr>
      </w:pPr>
      <w:bookmarkStart w:id="8" w:name="SUMMARY_OF_PRODUCT_CHARACTERISTICS"/>
      <w:bookmarkEnd w:id="8"/>
      <w:r>
        <w:rPr>
          <w:rFonts w:ascii="Times New Roman" w:eastAsia="Times New Roman" w:hAnsi="Times New Roman" w:cs="Times New Roman"/>
          <w:lang w:val="hu-HU"/>
        </w:rPr>
        <w:br w:type="page"/>
      </w:r>
      <w:r>
        <w:rPr>
          <w:rFonts w:ascii="Times New Roman" w:hAnsi="Times New Roman" w:cs="Times New Roman"/>
          <w:noProof/>
          <w:lang w:eastAsia="ko-KR"/>
        </w:rPr>
        <w:lastRenderedPageBreak/>
        <w:drawing>
          <wp:inline distT="0" distB="0" distL="0" distR="0" wp14:anchorId="60736531" wp14:editId="45FE0435">
            <wp:extent cx="203200" cy="169545"/>
            <wp:effectExtent l="0" t="0" r="6350" b="1905"/>
            <wp:docPr id="3" name="그림 3"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41359"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Pr>
          <w:rFonts w:ascii="Times New Roman" w:eastAsia="Times New Roman" w:hAnsi="Times New Roman" w:cs="Times New Roman"/>
          <w:lang w:val="hu-HU"/>
        </w:rPr>
        <w:t>Ez a gyógyszer fokozott felügyelet alatt áll, mely lehetővé teszi az új gyógyszerbiztonsági információk gyors azonosítását. Az egészségügyi szakembereket arra kérjük, hogy jelentsenek bármilyen feltételezett mellékhatást. A mellékhatások jelentésének módjairól a 4.8 pontban kaphatnak további tájékoztatást.</w:t>
      </w:r>
    </w:p>
    <w:p w14:paraId="560D7576" w14:textId="77777777" w:rsidR="00130E8B" w:rsidRDefault="00130E8B">
      <w:pPr>
        <w:widowControl/>
        <w:tabs>
          <w:tab w:val="left" w:pos="567"/>
        </w:tabs>
        <w:rPr>
          <w:rFonts w:ascii="Times New Roman" w:eastAsia="Times New Roman" w:hAnsi="Times New Roman" w:cs="Times New Roman"/>
          <w:lang w:val="hu-HU"/>
        </w:rPr>
      </w:pPr>
    </w:p>
    <w:p w14:paraId="5D601971" w14:textId="77777777" w:rsidR="00130E8B" w:rsidRDefault="00130E8B">
      <w:pPr>
        <w:widowControl/>
        <w:tabs>
          <w:tab w:val="left" w:pos="567"/>
        </w:tabs>
        <w:rPr>
          <w:rFonts w:ascii="Times New Roman" w:eastAsia="Times New Roman" w:hAnsi="Times New Roman" w:cs="Times New Roman"/>
          <w:lang w:val="hu-HU"/>
        </w:rPr>
      </w:pPr>
    </w:p>
    <w:p w14:paraId="4ABCDB44" w14:textId="77777777" w:rsidR="00130E8B" w:rsidRDefault="000405CC">
      <w:pPr>
        <w:widowControl/>
        <w:numPr>
          <w:ilvl w:val="0"/>
          <w:numId w:val="25"/>
        </w:numPr>
        <w:tabs>
          <w:tab w:val="left" w:pos="567"/>
        </w:tabs>
        <w:spacing w:line="260" w:lineRule="exact"/>
        <w:ind w:left="0" w:firstLine="0"/>
        <w:rPr>
          <w:rFonts w:ascii="Times New Roman" w:hAnsi="Times New Roman" w:cs="Times New Roman"/>
          <w:noProof/>
          <w:lang w:val="hu-HU"/>
        </w:rPr>
      </w:pPr>
      <w:r>
        <w:rPr>
          <w:rFonts w:ascii="Times New Roman" w:eastAsia="Times New Roman" w:hAnsi="Times New Roman" w:cs="Times New Roman"/>
          <w:b/>
          <w:bCs/>
          <w:noProof/>
          <w:lang w:val="hu-HU"/>
        </w:rPr>
        <w:t>A GYÓGYSZER NEVE</w:t>
      </w:r>
    </w:p>
    <w:p w14:paraId="4A34AA07" w14:textId="77777777" w:rsidR="00130E8B" w:rsidRDefault="00130E8B">
      <w:pPr>
        <w:spacing w:line="240" w:lineRule="exact"/>
        <w:rPr>
          <w:rFonts w:ascii="Times New Roman" w:hAnsi="Times New Roman" w:cs="Times New Roman"/>
          <w:lang w:val="hu-HU"/>
        </w:rPr>
      </w:pPr>
    </w:p>
    <w:p w14:paraId="616B9EB7" w14:textId="77777777" w:rsidR="00130E8B" w:rsidRDefault="000405CC">
      <w:pPr>
        <w:widowControl/>
        <w:tabs>
          <w:tab w:val="left" w:pos="567"/>
        </w:tabs>
        <w:rPr>
          <w:rFonts w:ascii="Times New Roman" w:eastAsia="Times New Roman" w:hAnsi="Times New Roman" w:cs="Times New Roman"/>
          <w:lang w:val="hu-HU"/>
        </w:rPr>
      </w:pPr>
      <w:r>
        <w:rPr>
          <w:rFonts w:ascii="Times New Roman" w:eastAsia="Times New Roman" w:hAnsi="Times New Roman" w:cs="Times New Roman"/>
          <w:lang w:val="hu-HU"/>
        </w:rPr>
        <w:t>Yuflyma 40 mg oldatos injekció előretöltött fecskendőben</w:t>
      </w:r>
    </w:p>
    <w:p w14:paraId="78B4B9F4" w14:textId="77777777" w:rsidR="00130E8B" w:rsidRDefault="00130E8B">
      <w:pPr>
        <w:widowControl/>
        <w:tabs>
          <w:tab w:val="left" w:pos="567"/>
        </w:tabs>
        <w:rPr>
          <w:rFonts w:ascii="Times New Roman" w:eastAsia="Times New Roman" w:hAnsi="Times New Roman" w:cs="Times New Roman"/>
          <w:lang w:val="hu-HU"/>
        </w:rPr>
      </w:pPr>
    </w:p>
    <w:p w14:paraId="484EBFEC" w14:textId="77777777" w:rsidR="00130E8B" w:rsidRDefault="000405CC">
      <w:pPr>
        <w:widowControl/>
        <w:tabs>
          <w:tab w:val="left" w:pos="567"/>
        </w:tabs>
        <w:rPr>
          <w:rFonts w:ascii="Times New Roman" w:eastAsia="Times New Roman" w:hAnsi="Times New Roman" w:cs="Times New Roman"/>
          <w:lang w:val="hu-HU"/>
        </w:rPr>
      </w:pPr>
      <w:r>
        <w:rPr>
          <w:rFonts w:ascii="Times New Roman" w:eastAsia="Times New Roman" w:hAnsi="Times New Roman" w:cs="Times New Roman"/>
          <w:lang w:val="hu-HU"/>
        </w:rPr>
        <w:t>Yuflyma 40 mg oldatos injekció előretöltött injekciós tollban</w:t>
      </w:r>
    </w:p>
    <w:p w14:paraId="1025AB5C" w14:textId="77777777" w:rsidR="00130E8B" w:rsidRDefault="00130E8B">
      <w:pPr>
        <w:spacing w:line="200" w:lineRule="exact"/>
        <w:rPr>
          <w:rFonts w:ascii="Times New Roman" w:hAnsi="Times New Roman" w:cs="Times New Roman"/>
          <w:lang w:val="hu-HU"/>
        </w:rPr>
      </w:pPr>
    </w:p>
    <w:p w14:paraId="102BAE1C" w14:textId="77777777" w:rsidR="00130E8B" w:rsidRDefault="00130E8B">
      <w:pPr>
        <w:widowControl/>
        <w:tabs>
          <w:tab w:val="left" w:pos="567"/>
        </w:tabs>
        <w:spacing w:line="260" w:lineRule="exact"/>
        <w:rPr>
          <w:rFonts w:ascii="Times New Roman" w:eastAsia="Times New Roman" w:hAnsi="Times New Roman" w:cs="Times New Roman"/>
          <w:b/>
          <w:noProof/>
          <w:lang w:val="hu-HU"/>
        </w:rPr>
      </w:pPr>
    </w:p>
    <w:p w14:paraId="76C318CC" w14:textId="77777777" w:rsidR="00130E8B" w:rsidRDefault="000405CC">
      <w:pPr>
        <w:widowControl/>
        <w:numPr>
          <w:ilvl w:val="0"/>
          <w:numId w:val="25"/>
        </w:numPr>
        <w:tabs>
          <w:tab w:val="left" w:pos="567"/>
        </w:tabs>
        <w:spacing w:line="260" w:lineRule="exact"/>
        <w:ind w:left="0" w:firstLine="0"/>
        <w:rPr>
          <w:rFonts w:ascii="Times New Roman" w:hAnsi="Times New Roman" w:cs="Times New Roman"/>
          <w:b/>
          <w:bCs/>
          <w:spacing w:val="-1"/>
          <w:lang w:val="hu-HU"/>
        </w:rPr>
      </w:pPr>
      <w:r>
        <w:rPr>
          <w:rFonts w:ascii="Times New Roman" w:eastAsia="Times New Roman" w:hAnsi="Times New Roman" w:cs="Times New Roman"/>
          <w:b/>
          <w:bCs/>
          <w:noProof/>
          <w:lang w:val="hu-HU"/>
        </w:rPr>
        <w:t>MINŐSÉGI ÉS MENNYISÉGI ÖSSZETÉTEL</w:t>
      </w:r>
    </w:p>
    <w:p w14:paraId="359B45E4" w14:textId="77777777" w:rsidR="00130E8B" w:rsidRDefault="00130E8B">
      <w:pPr>
        <w:widowControl/>
        <w:tabs>
          <w:tab w:val="left" w:pos="567"/>
        </w:tabs>
        <w:rPr>
          <w:rFonts w:ascii="Times New Roman" w:eastAsia="Times New Roman" w:hAnsi="Times New Roman" w:cs="Times New Roman"/>
          <w:u w:val="single"/>
          <w:lang w:val="hu-HU"/>
        </w:rPr>
      </w:pPr>
    </w:p>
    <w:p w14:paraId="20D5185E" w14:textId="77777777" w:rsidR="00130E8B" w:rsidRDefault="000405CC">
      <w:pPr>
        <w:widowControl/>
        <w:tabs>
          <w:tab w:val="left" w:pos="567"/>
        </w:tabs>
        <w:rPr>
          <w:rFonts w:ascii="Times New Roman" w:eastAsia="Times New Roman" w:hAnsi="Times New Roman" w:cs="Times New Roman"/>
          <w:u w:val="single"/>
          <w:lang w:val="hu-HU"/>
        </w:rPr>
      </w:pPr>
      <w:r>
        <w:rPr>
          <w:rFonts w:ascii="Times New Roman" w:eastAsia="Times New Roman" w:hAnsi="Times New Roman" w:cs="Times New Roman"/>
          <w:u w:val="single"/>
          <w:lang w:val="hu-HU"/>
        </w:rPr>
        <w:t>Yuflyma 40 mg oldatos injekció előretöltött fecskendőben</w:t>
      </w:r>
    </w:p>
    <w:p w14:paraId="2A148E24" w14:textId="77777777" w:rsidR="00130E8B" w:rsidRDefault="00130E8B">
      <w:pPr>
        <w:widowControl/>
        <w:tabs>
          <w:tab w:val="left" w:pos="567"/>
        </w:tabs>
        <w:adjustRightInd w:val="0"/>
        <w:rPr>
          <w:rFonts w:ascii="Times New Roman" w:eastAsia="Times New Roman" w:hAnsi="Times New Roman" w:cs="Times New Roman"/>
          <w:lang w:val="hu-HU"/>
        </w:rPr>
      </w:pPr>
    </w:p>
    <w:p w14:paraId="719DB332" w14:textId="7F2B0031" w:rsidR="00130E8B" w:rsidRDefault="000405CC">
      <w:pPr>
        <w:widowControl/>
        <w:tabs>
          <w:tab w:val="left" w:pos="567"/>
        </w:tabs>
        <w:adjustRightInd w:val="0"/>
        <w:rPr>
          <w:rFonts w:ascii="Times New Roman" w:hAnsi="Times New Roman" w:cs="Times New Roman"/>
          <w:lang w:val="hu-HU"/>
        </w:rPr>
      </w:pPr>
      <w:r>
        <w:rPr>
          <w:rFonts w:ascii="Times New Roman" w:eastAsia="Times New Roman" w:hAnsi="Times New Roman" w:cs="Times New Roman"/>
          <w:lang w:val="hu-HU"/>
        </w:rPr>
        <w:t>40 mg adalimumab</w:t>
      </w:r>
      <w:r w:rsidR="00222825">
        <w:rPr>
          <w:rFonts w:ascii="Times New Roman" w:eastAsia="Times New Roman" w:hAnsi="Times New Roman" w:cs="Times New Roman"/>
          <w:lang w:val="hu-HU"/>
        </w:rPr>
        <w:t>ot tartalmaz</w:t>
      </w:r>
      <w:r>
        <w:rPr>
          <w:rFonts w:ascii="Times New Roman" w:eastAsia="Times New Roman" w:hAnsi="Times New Roman" w:cs="Times New Roman"/>
          <w:lang w:val="hu-HU"/>
        </w:rPr>
        <w:t xml:space="preserve"> 0,</w:t>
      </w:r>
      <w:r w:rsidR="001918FA">
        <w:rPr>
          <w:rFonts w:ascii="Times New Roman" w:eastAsia="Times New Roman" w:hAnsi="Times New Roman" w:cs="Times New Roman"/>
          <w:lang w:val="hu-HU"/>
        </w:rPr>
        <w:t>4</w:t>
      </w:r>
      <w:r>
        <w:rPr>
          <w:rFonts w:ascii="Times New Roman" w:eastAsia="Times New Roman" w:hAnsi="Times New Roman" w:cs="Times New Roman"/>
          <w:lang w:val="hu-HU"/>
        </w:rPr>
        <w:t xml:space="preserve"> ml-es, egyadagos, előretöltött fecskendőben.</w:t>
      </w:r>
    </w:p>
    <w:p w14:paraId="49F0873D" w14:textId="77777777" w:rsidR="00130E8B" w:rsidRDefault="00130E8B">
      <w:pPr>
        <w:spacing w:line="240" w:lineRule="exact"/>
        <w:rPr>
          <w:rFonts w:ascii="Times New Roman" w:hAnsi="Times New Roman" w:cs="Times New Roman"/>
          <w:lang w:val="hu-HU"/>
        </w:rPr>
      </w:pPr>
    </w:p>
    <w:p w14:paraId="2B811597" w14:textId="77777777" w:rsidR="00130E8B" w:rsidRDefault="000405CC">
      <w:pPr>
        <w:widowControl/>
        <w:tabs>
          <w:tab w:val="left" w:pos="567"/>
        </w:tabs>
        <w:rPr>
          <w:rFonts w:ascii="Times New Roman" w:eastAsia="Times New Roman" w:hAnsi="Times New Roman" w:cs="Times New Roman"/>
          <w:u w:val="single"/>
          <w:lang w:val="hu-HU"/>
        </w:rPr>
      </w:pPr>
      <w:r>
        <w:rPr>
          <w:rFonts w:ascii="Times New Roman" w:eastAsia="Times New Roman" w:hAnsi="Times New Roman" w:cs="Times New Roman"/>
          <w:u w:val="single"/>
          <w:lang w:val="hu-HU"/>
        </w:rPr>
        <w:t>Yuflyma 40 mg oldatos injekció előretöltött injekciós tollban</w:t>
      </w:r>
    </w:p>
    <w:p w14:paraId="122600F3" w14:textId="77777777" w:rsidR="00130E8B" w:rsidRDefault="00130E8B">
      <w:pPr>
        <w:widowControl/>
        <w:tabs>
          <w:tab w:val="left" w:pos="567"/>
        </w:tabs>
        <w:rPr>
          <w:rFonts w:ascii="Times New Roman" w:hAnsi="Times New Roman" w:cs="Times New Roman"/>
          <w:lang w:val="hu-HU"/>
        </w:rPr>
      </w:pPr>
    </w:p>
    <w:p w14:paraId="56FF1B81" w14:textId="107A3690" w:rsidR="00130E8B" w:rsidRDefault="000405CC">
      <w:pPr>
        <w:widowControl/>
        <w:tabs>
          <w:tab w:val="left" w:pos="567"/>
        </w:tabs>
        <w:adjustRightInd w:val="0"/>
        <w:rPr>
          <w:rFonts w:ascii="Times New Roman" w:eastAsia="Times New Roman" w:hAnsi="Times New Roman" w:cs="Times New Roman"/>
          <w:lang w:val="hu-HU"/>
        </w:rPr>
      </w:pPr>
      <w:r>
        <w:rPr>
          <w:rFonts w:ascii="Times New Roman" w:eastAsia="Times New Roman" w:hAnsi="Times New Roman" w:cs="Times New Roman"/>
          <w:lang w:val="hu-HU"/>
        </w:rPr>
        <w:t>40 mg adalimumab</w:t>
      </w:r>
      <w:r w:rsidR="00222825">
        <w:rPr>
          <w:rFonts w:ascii="Times New Roman" w:eastAsia="Times New Roman" w:hAnsi="Times New Roman" w:cs="Times New Roman"/>
          <w:lang w:val="hu-HU"/>
        </w:rPr>
        <w:t>ot tartalmaz</w:t>
      </w:r>
      <w:r>
        <w:rPr>
          <w:rFonts w:ascii="Times New Roman" w:eastAsia="Times New Roman" w:hAnsi="Times New Roman" w:cs="Times New Roman"/>
          <w:lang w:val="hu-HU"/>
        </w:rPr>
        <w:t xml:space="preserve"> 0,4 ml-es, egyadagos, előretöltött injekciós tollban.</w:t>
      </w:r>
    </w:p>
    <w:p w14:paraId="13CF0AAB" w14:textId="77777777" w:rsidR="00130E8B" w:rsidRDefault="00130E8B">
      <w:pPr>
        <w:spacing w:line="240" w:lineRule="exact"/>
        <w:rPr>
          <w:rFonts w:ascii="Times New Roman" w:hAnsi="Times New Roman" w:cs="Times New Roman"/>
          <w:lang w:val="hu-HU"/>
        </w:rPr>
      </w:pPr>
    </w:p>
    <w:p w14:paraId="08D8FDB1" w14:textId="77777777" w:rsidR="00130E8B" w:rsidRDefault="000405CC">
      <w:pPr>
        <w:widowControl/>
        <w:tabs>
          <w:tab w:val="left" w:pos="567"/>
        </w:tabs>
        <w:adjustRightInd w:val="0"/>
        <w:rPr>
          <w:rFonts w:ascii="Times New Roman" w:eastAsia="Times New Roman" w:hAnsi="Times New Roman" w:cs="Times New Roman"/>
          <w:lang w:val="hu-HU"/>
        </w:rPr>
      </w:pPr>
      <w:r>
        <w:rPr>
          <w:rFonts w:ascii="Times New Roman" w:eastAsia="Times New Roman" w:hAnsi="Times New Roman" w:cs="Times New Roman"/>
          <w:lang w:val="hu-HU"/>
        </w:rPr>
        <w:t>Az adalimumab egy rekombináns humán monoklonális antitest, melyet kínai hörcsög petefészek sejtekben állítanak elő</w:t>
      </w:r>
      <w:r w:rsidR="00362AD9">
        <w:rPr>
          <w:rFonts w:ascii="Times New Roman" w:eastAsia="Times New Roman" w:hAnsi="Times New Roman" w:cs="Times New Roman"/>
          <w:lang w:val="hu-HU"/>
        </w:rPr>
        <w:t>.</w:t>
      </w:r>
    </w:p>
    <w:p w14:paraId="0789324A" w14:textId="77777777" w:rsidR="00130E8B" w:rsidRDefault="00130E8B">
      <w:pPr>
        <w:widowControl/>
        <w:tabs>
          <w:tab w:val="left" w:pos="567"/>
        </w:tabs>
        <w:adjustRightInd w:val="0"/>
        <w:rPr>
          <w:rFonts w:ascii="Times New Roman" w:eastAsia="Times New Roman" w:hAnsi="Times New Roman" w:cs="Times New Roman"/>
          <w:lang w:val="hu-HU"/>
        </w:rPr>
      </w:pPr>
    </w:p>
    <w:p w14:paraId="355B0332" w14:textId="77777777" w:rsidR="00130E8B" w:rsidRDefault="000405CC">
      <w:pPr>
        <w:widowControl/>
        <w:tabs>
          <w:tab w:val="left" w:pos="567"/>
        </w:tabs>
        <w:adjustRightInd w:val="0"/>
        <w:rPr>
          <w:rFonts w:ascii="Times New Roman" w:eastAsia="Times New Roman" w:hAnsi="Times New Roman" w:cs="Times New Roman"/>
          <w:lang w:val="hu-HU"/>
        </w:rPr>
      </w:pPr>
      <w:r>
        <w:rPr>
          <w:rFonts w:ascii="Times New Roman" w:eastAsia="Times New Roman" w:hAnsi="Times New Roman" w:cs="Times New Roman"/>
          <w:lang w:val="hu-HU"/>
        </w:rPr>
        <w:t>A segédanyagok teljes listáját lásd a 6.1. pontban.</w:t>
      </w:r>
    </w:p>
    <w:p w14:paraId="7F96657C" w14:textId="77777777" w:rsidR="00130E8B" w:rsidRDefault="00130E8B">
      <w:pPr>
        <w:spacing w:line="260" w:lineRule="exact"/>
        <w:rPr>
          <w:rFonts w:ascii="Times New Roman" w:hAnsi="Times New Roman" w:cs="Times New Roman"/>
          <w:lang w:val="hu-HU"/>
        </w:rPr>
      </w:pPr>
    </w:p>
    <w:p w14:paraId="47C03B76" w14:textId="77777777" w:rsidR="00130E8B" w:rsidRDefault="00130E8B">
      <w:pPr>
        <w:spacing w:line="260" w:lineRule="exact"/>
        <w:rPr>
          <w:rFonts w:ascii="Times New Roman" w:hAnsi="Times New Roman" w:cs="Times New Roman"/>
          <w:lang w:val="hu-HU"/>
        </w:rPr>
      </w:pPr>
    </w:p>
    <w:p w14:paraId="34B5E99F" w14:textId="77777777" w:rsidR="00130E8B" w:rsidRDefault="000405CC">
      <w:pPr>
        <w:widowControl/>
        <w:numPr>
          <w:ilvl w:val="0"/>
          <w:numId w:val="25"/>
        </w:numPr>
        <w:tabs>
          <w:tab w:val="left" w:pos="567"/>
        </w:tabs>
        <w:spacing w:line="260" w:lineRule="exact"/>
        <w:ind w:left="0" w:firstLine="0"/>
        <w:rPr>
          <w:rFonts w:ascii="Times New Roman" w:hAnsi="Times New Roman" w:cs="Times New Roman"/>
          <w:b/>
          <w:spacing w:val="-1"/>
          <w:lang w:val="hu-HU"/>
        </w:rPr>
      </w:pPr>
      <w:r>
        <w:rPr>
          <w:rFonts w:ascii="Times New Roman" w:eastAsia="Times New Roman" w:hAnsi="Times New Roman" w:cs="Times New Roman"/>
          <w:b/>
          <w:bCs/>
          <w:noProof/>
          <w:lang w:val="hu-HU"/>
        </w:rPr>
        <w:t>GYÓGYSZERFORMA</w:t>
      </w:r>
    </w:p>
    <w:p w14:paraId="41D044BD" w14:textId="77777777" w:rsidR="00130E8B" w:rsidRDefault="00130E8B">
      <w:pPr>
        <w:spacing w:line="240" w:lineRule="exact"/>
        <w:rPr>
          <w:rFonts w:ascii="Times New Roman" w:hAnsi="Times New Roman" w:cs="Times New Roman"/>
          <w:lang w:val="hu-HU"/>
        </w:rPr>
      </w:pPr>
    </w:p>
    <w:p w14:paraId="6DE9E78A" w14:textId="77777777" w:rsidR="00130E8B" w:rsidRDefault="000405CC">
      <w:pPr>
        <w:widowControl/>
        <w:tabs>
          <w:tab w:val="left" w:pos="567"/>
        </w:tabs>
        <w:adjustRightInd w:val="0"/>
        <w:rPr>
          <w:rFonts w:ascii="Times New Roman" w:eastAsia="Times New Roman" w:hAnsi="Times New Roman" w:cs="Times New Roman"/>
          <w:lang w:val="hu-HU"/>
        </w:rPr>
      </w:pPr>
      <w:r>
        <w:rPr>
          <w:rFonts w:ascii="Times New Roman" w:eastAsia="Times New Roman" w:hAnsi="Times New Roman" w:cs="Times New Roman"/>
          <w:lang w:val="hu-HU"/>
        </w:rPr>
        <w:t xml:space="preserve">Oldatos injekció (injekció) </w:t>
      </w:r>
    </w:p>
    <w:p w14:paraId="41649404" w14:textId="77777777" w:rsidR="00130E8B" w:rsidRDefault="00130E8B">
      <w:pPr>
        <w:widowControl/>
        <w:tabs>
          <w:tab w:val="left" w:pos="567"/>
        </w:tabs>
        <w:adjustRightInd w:val="0"/>
        <w:rPr>
          <w:rFonts w:ascii="Times New Roman" w:eastAsia="Times New Roman" w:hAnsi="Times New Roman" w:cs="Times New Roman"/>
          <w:lang w:val="hu-HU"/>
        </w:rPr>
      </w:pPr>
    </w:p>
    <w:p w14:paraId="4A8F3319" w14:textId="77777777" w:rsidR="00130E8B" w:rsidRDefault="000405CC">
      <w:pPr>
        <w:widowControl/>
        <w:tabs>
          <w:tab w:val="left" w:pos="567"/>
        </w:tabs>
        <w:adjustRightInd w:val="0"/>
        <w:rPr>
          <w:rFonts w:ascii="Times New Roman" w:eastAsia="Times New Roman" w:hAnsi="Times New Roman" w:cs="Times New Roman"/>
          <w:lang w:val="hu-HU"/>
        </w:rPr>
      </w:pPr>
      <w:r>
        <w:rPr>
          <w:rFonts w:ascii="Times New Roman" w:eastAsia="Times New Roman" w:hAnsi="Times New Roman" w:cs="Times New Roman"/>
          <w:lang w:val="hu-HU"/>
        </w:rPr>
        <w:t>Tiszta vagy enyhén opálos, színtelen vagy halvány barna</w:t>
      </w:r>
      <w:r w:rsidR="00B272D7">
        <w:rPr>
          <w:rFonts w:ascii="Times New Roman" w:eastAsia="Times New Roman" w:hAnsi="Times New Roman" w:cs="Times New Roman"/>
          <w:lang w:val="hu-HU"/>
        </w:rPr>
        <w:t xml:space="preserve"> </w:t>
      </w:r>
      <w:r>
        <w:rPr>
          <w:rFonts w:ascii="Times New Roman" w:eastAsia="Times New Roman" w:hAnsi="Times New Roman" w:cs="Times New Roman"/>
          <w:lang w:val="hu-HU"/>
        </w:rPr>
        <w:t>oldat.</w:t>
      </w:r>
    </w:p>
    <w:p w14:paraId="72A81128" w14:textId="77777777" w:rsidR="00130E8B" w:rsidRDefault="00130E8B">
      <w:pPr>
        <w:spacing w:line="260" w:lineRule="exact"/>
        <w:rPr>
          <w:rFonts w:ascii="Times New Roman" w:hAnsi="Times New Roman" w:cs="Times New Roman"/>
          <w:lang w:val="hu-HU"/>
        </w:rPr>
      </w:pPr>
    </w:p>
    <w:p w14:paraId="34A72BE2" w14:textId="77777777" w:rsidR="00130E8B" w:rsidRDefault="00130E8B">
      <w:pPr>
        <w:spacing w:line="260" w:lineRule="exact"/>
        <w:rPr>
          <w:rFonts w:ascii="Times New Roman" w:hAnsi="Times New Roman" w:cs="Times New Roman"/>
          <w:lang w:val="hu-HU"/>
        </w:rPr>
      </w:pPr>
    </w:p>
    <w:p w14:paraId="0C4B5CCA" w14:textId="77777777" w:rsidR="00130E8B" w:rsidRDefault="000405CC">
      <w:pPr>
        <w:widowControl/>
        <w:numPr>
          <w:ilvl w:val="0"/>
          <w:numId w:val="25"/>
        </w:numPr>
        <w:tabs>
          <w:tab w:val="left" w:pos="567"/>
        </w:tabs>
        <w:spacing w:line="260" w:lineRule="exact"/>
        <w:ind w:left="0" w:firstLine="0"/>
        <w:rPr>
          <w:rFonts w:ascii="Times New Roman" w:hAnsi="Times New Roman" w:cs="Times New Roman"/>
          <w:b/>
          <w:spacing w:val="-1"/>
          <w:lang w:val="hu-HU"/>
        </w:rPr>
      </w:pPr>
      <w:r>
        <w:rPr>
          <w:rFonts w:ascii="Times New Roman" w:eastAsia="Times New Roman" w:hAnsi="Times New Roman" w:cs="Times New Roman"/>
          <w:b/>
          <w:bCs/>
          <w:noProof/>
          <w:lang w:val="hu-HU"/>
        </w:rPr>
        <w:t>KLINIKAI JELLEMZŐK</w:t>
      </w:r>
    </w:p>
    <w:p w14:paraId="42336323" w14:textId="77777777" w:rsidR="00130E8B" w:rsidRDefault="00130E8B">
      <w:pPr>
        <w:pStyle w:val="a4"/>
        <w:tabs>
          <w:tab w:val="left" w:pos="672"/>
        </w:tabs>
        <w:rPr>
          <w:rFonts w:ascii="Times New Roman" w:eastAsia="Times New Roman" w:hAnsi="Times New Roman" w:cs="Times New Roman"/>
          <w:b/>
          <w:noProof/>
          <w:lang w:val="hu-HU"/>
        </w:rPr>
      </w:pPr>
    </w:p>
    <w:p w14:paraId="486F0091" w14:textId="77777777" w:rsidR="00130E8B" w:rsidRDefault="000405CC">
      <w:pPr>
        <w:widowControl/>
        <w:numPr>
          <w:ilvl w:val="1"/>
          <w:numId w:val="13"/>
        </w:numPr>
        <w:tabs>
          <w:tab w:val="left" w:pos="567"/>
        </w:tabs>
        <w:spacing w:line="260" w:lineRule="exact"/>
        <w:ind w:firstLine="0"/>
        <w:rPr>
          <w:rFonts w:ascii="Times New Roman" w:eastAsia="Times New Roman" w:hAnsi="Times New Roman" w:cs="Times New Roman"/>
          <w:lang w:val="hu-HU"/>
        </w:rPr>
      </w:pPr>
      <w:r>
        <w:rPr>
          <w:rFonts w:ascii="Times New Roman" w:eastAsia="Times New Roman" w:hAnsi="Times New Roman" w:cs="Times New Roman"/>
          <w:b/>
          <w:bCs/>
          <w:noProof/>
          <w:lang w:val="hu-HU"/>
        </w:rPr>
        <w:t>Terápiás javallatok</w:t>
      </w:r>
    </w:p>
    <w:p w14:paraId="6575A61F" w14:textId="77777777" w:rsidR="00130E8B" w:rsidRDefault="00130E8B">
      <w:pPr>
        <w:spacing w:line="240" w:lineRule="exact"/>
        <w:rPr>
          <w:rFonts w:ascii="Times New Roman" w:hAnsi="Times New Roman" w:cs="Times New Roman"/>
          <w:lang w:val="hu-HU"/>
        </w:rPr>
      </w:pPr>
    </w:p>
    <w:p w14:paraId="6D72DF3B" w14:textId="77777777" w:rsidR="00130E8B" w:rsidRDefault="000405CC">
      <w:pPr>
        <w:pStyle w:val="a3"/>
        <w:rPr>
          <w:u w:val="single"/>
          <w:lang w:val="hu-HU"/>
        </w:rPr>
      </w:pPr>
      <w:r>
        <w:rPr>
          <w:rFonts w:eastAsia="Times New Roman"/>
          <w:u w:val="single" w:color="000000"/>
          <w:lang w:val="hu-HU"/>
        </w:rPr>
        <w:t>Rheumatoid arthritis</w:t>
      </w:r>
    </w:p>
    <w:p w14:paraId="6AEAD0D1" w14:textId="77777777" w:rsidR="00130E8B" w:rsidRDefault="00130E8B">
      <w:pPr>
        <w:spacing w:line="170" w:lineRule="exact"/>
        <w:rPr>
          <w:rFonts w:ascii="Times New Roman" w:hAnsi="Times New Roman" w:cs="Times New Roman"/>
          <w:lang w:val="hu-HU"/>
        </w:rPr>
      </w:pPr>
    </w:p>
    <w:p w14:paraId="4D59E1D4" w14:textId="7FFB7390" w:rsidR="00130E8B" w:rsidRDefault="000405CC">
      <w:pPr>
        <w:pStyle w:val="a3"/>
        <w:rPr>
          <w:lang w:val="hu-HU"/>
        </w:rPr>
      </w:pPr>
      <w:r>
        <w:rPr>
          <w:rFonts w:eastAsia="Times New Roman"/>
          <w:lang w:val="hu-HU"/>
        </w:rPr>
        <w:t>A Yuflyma metotrexáttal együtt</w:t>
      </w:r>
      <w:r w:rsidR="00362AD9">
        <w:rPr>
          <w:rFonts w:eastAsia="Times New Roman"/>
          <w:lang w:val="hu-HU"/>
        </w:rPr>
        <w:t xml:space="preserve"> adva a következők kezelésére</w:t>
      </w:r>
      <w:r>
        <w:rPr>
          <w:rFonts w:eastAsia="Times New Roman"/>
          <w:lang w:val="hu-HU"/>
        </w:rPr>
        <w:t xml:space="preserve"> javallott:</w:t>
      </w:r>
    </w:p>
    <w:p w14:paraId="0C395E41" w14:textId="77777777" w:rsidR="00130E8B" w:rsidRDefault="00130E8B">
      <w:pPr>
        <w:spacing w:line="240" w:lineRule="exact"/>
        <w:rPr>
          <w:rFonts w:ascii="Times New Roman" w:hAnsi="Times New Roman" w:cs="Times New Roman"/>
          <w:lang w:val="hu-HU"/>
        </w:rPr>
      </w:pPr>
    </w:p>
    <w:p w14:paraId="0FE1AE18" w14:textId="0861A637" w:rsidR="00130E8B" w:rsidRDefault="000405CC">
      <w:pPr>
        <w:pStyle w:val="a3"/>
        <w:numPr>
          <w:ilvl w:val="0"/>
          <w:numId w:val="14"/>
        </w:numPr>
        <w:ind w:left="660" w:hanging="660"/>
        <w:rPr>
          <w:lang w:val="hu-HU"/>
        </w:rPr>
      </w:pPr>
      <w:r>
        <w:rPr>
          <w:rFonts w:eastAsia="Times New Roman"/>
          <w:lang w:val="hu-HU"/>
        </w:rPr>
        <w:t>köz</w:t>
      </w:r>
      <w:r w:rsidR="00C726F2">
        <w:rPr>
          <w:rFonts w:eastAsia="Times New Roman"/>
          <w:lang w:val="hu-HU"/>
        </w:rPr>
        <w:t>epesen súlyos</w:t>
      </w:r>
      <w:r w:rsidR="0079791D">
        <w:rPr>
          <w:rFonts w:eastAsia="Times New Roman"/>
          <w:lang w:val="hu-HU"/>
        </w:rPr>
        <w:t>-</w:t>
      </w:r>
      <w:r w:rsidR="00C90012" w:rsidRPr="009167C6">
        <w:rPr>
          <w:lang w:val="hu-HU"/>
        </w:rPr>
        <w:t> </w:t>
      </w:r>
      <w:r>
        <w:rPr>
          <w:rFonts w:eastAsia="Times New Roman"/>
          <w:lang w:val="hu-HU"/>
        </w:rPr>
        <w:t>súlyos aktív rheumatoid arthritisben szenvedő felnőtt betegek kezelésére, ha a betegség</w:t>
      </w:r>
      <w:r w:rsidR="00C726F2">
        <w:rPr>
          <w:rFonts w:eastAsia="Times New Roman"/>
          <w:lang w:val="hu-HU"/>
        </w:rPr>
        <w:t>módosító</w:t>
      </w:r>
      <w:r>
        <w:rPr>
          <w:rFonts w:eastAsia="Times New Roman"/>
          <w:lang w:val="hu-HU"/>
        </w:rPr>
        <w:t xml:space="preserve"> reumaellenes </w:t>
      </w:r>
      <w:r w:rsidR="00C726F2">
        <w:rPr>
          <w:rFonts w:eastAsia="Times New Roman"/>
          <w:lang w:val="hu-HU"/>
        </w:rPr>
        <w:t>gyógy</w:t>
      </w:r>
      <w:r>
        <w:rPr>
          <w:rFonts w:eastAsia="Times New Roman"/>
          <w:lang w:val="hu-HU"/>
        </w:rPr>
        <w:t xml:space="preserve">szerek, beleértve a metotrexátot, nem </w:t>
      </w:r>
      <w:r w:rsidR="00C726F2">
        <w:rPr>
          <w:rFonts w:eastAsia="Times New Roman"/>
          <w:lang w:val="hu-HU"/>
        </w:rPr>
        <w:t xml:space="preserve">bizonyultak </w:t>
      </w:r>
      <w:r>
        <w:rPr>
          <w:rFonts w:eastAsia="Times New Roman"/>
          <w:lang w:val="hu-HU"/>
        </w:rPr>
        <w:t>hatásos</w:t>
      </w:r>
      <w:r w:rsidR="00C726F2">
        <w:rPr>
          <w:rFonts w:eastAsia="Times New Roman"/>
          <w:lang w:val="hu-HU"/>
        </w:rPr>
        <w:t>nak</w:t>
      </w:r>
      <w:r>
        <w:rPr>
          <w:rFonts w:eastAsia="Times New Roman"/>
          <w:lang w:val="hu-HU"/>
        </w:rPr>
        <w:t>.</w:t>
      </w:r>
    </w:p>
    <w:p w14:paraId="5FE09753" w14:textId="77777777" w:rsidR="00130E8B" w:rsidRDefault="000405CC">
      <w:pPr>
        <w:pStyle w:val="a3"/>
        <w:numPr>
          <w:ilvl w:val="0"/>
          <w:numId w:val="14"/>
        </w:numPr>
        <w:ind w:left="660" w:hanging="660"/>
        <w:rPr>
          <w:lang w:val="hu-HU"/>
        </w:rPr>
      </w:pPr>
      <w:r>
        <w:rPr>
          <w:rFonts w:eastAsia="Times New Roman"/>
          <w:lang w:val="hu-HU"/>
        </w:rPr>
        <w:t>súlyos, aktív és progresszív rheumatoid arthritis betegségben szenvedő felnőttek kezelésére, akiket előzőleg még nem kezeltek metotrexáttal.</w:t>
      </w:r>
    </w:p>
    <w:p w14:paraId="461A255E" w14:textId="77777777" w:rsidR="00130E8B" w:rsidRDefault="00130E8B">
      <w:pPr>
        <w:spacing w:line="240" w:lineRule="exact"/>
        <w:rPr>
          <w:rFonts w:ascii="Times New Roman" w:hAnsi="Times New Roman" w:cs="Times New Roman"/>
          <w:lang w:val="hu-HU"/>
        </w:rPr>
      </w:pPr>
    </w:p>
    <w:p w14:paraId="7418554C" w14:textId="5277ABD3" w:rsidR="00130E8B" w:rsidRDefault="000405CC">
      <w:pPr>
        <w:pStyle w:val="a3"/>
        <w:rPr>
          <w:lang w:val="hu-HU"/>
        </w:rPr>
      </w:pPr>
      <w:r>
        <w:rPr>
          <w:rFonts w:eastAsia="Times New Roman"/>
          <w:lang w:val="hu-HU"/>
        </w:rPr>
        <w:t xml:space="preserve">A Yuflyma </w:t>
      </w:r>
      <w:r w:rsidR="001E426F">
        <w:rPr>
          <w:rFonts w:eastAsia="Times New Roman"/>
          <w:lang w:val="hu-HU"/>
        </w:rPr>
        <w:t xml:space="preserve">monoterápiaként is alkalmazható </w:t>
      </w:r>
      <w:r>
        <w:rPr>
          <w:rFonts w:eastAsia="Times New Roman"/>
          <w:lang w:val="hu-HU"/>
        </w:rPr>
        <w:t>metotrexát-intolerancia esetén, vagy ha a folyamatos metotrexát kezelés nem megfelelő.</w:t>
      </w:r>
    </w:p>
    <w:p w14:paraId="648D2FC1" w14:textId="77777777" w:rsidR="00130E8B" w:rsidRDefault="00130E8B">
      <w:pPr>
        <w:spacing w:line="240" w:lineRule="exact"/>
        <w:rPr>
          <w:rFonts w:ascii="Times New Roman" w:hAnsi="Times New Roman" w:cs="Times New Roman"/>
          <w:lang w:val="hu-HU"/>
        </w:rPr>
      </w:pPr>
    </w:p>
    <w:p w14:paraId="176DF5BA" w14:textId="77777777" w:rsidR="00130E8B" w:rsidRDefault="000405CC">
      <w:pPr>
        <w:pStyle w:val="a3"/>
        <w:rPr>
          <w:lang w:val="hu-HU"/>
        </w:rPr>
      </w:pPr>
      <w:r>
        <w:rPr>
          <w:rFonts w:eastAsia="Times New Roman"/>
          <w:lang w:val="hu-HU" w:eastAsia="ko-KR"/>
        </w:rPr>
        <w:t>Az adalimumab csökkenti a röntgenfelvétellel kimutatott ízületi károsodás progressziójának mértékét és javítja a fizikai funkciókat, ha metotrexáttal kombinálva kerül alkalmazásra.</w:t>
      </w:r>
    </w:p>
    <w:p w14:paraId="7078A8A6" w14:textId="77777777" w:rsidR="00130E8B" w:rsidRDefault="00130E8B">
      <w:pPr>
        <w:pStyle w:val="a3"/>
        <w:rPr>
          <w:u w:color="000000"/>
          <w:lang w:val="hu-HU"/>
        </w:rPr>
      </w:pPr>
    </w:p>
    <w:p w14:paraId="5FEADE77" w14:textId="77777777" w:rsidR="00130E8B" w:rsidRDefault="000405CC">
      <w:pPr>
        <w:pStyle w:val="a3"/>
        <w:rPr>
          <w:u w:val="single" w:color="000000"/>
          <w:lang w:val="hu-HU"/>
        </w:rPr>
      </w:pPr>
      <w:r>
        <w:rPr>
          <w:rFonts w:eastAsia="Times New Roman"/>
          <w:u w:val="single" w:color="000000"/>
          <w:lang w:val="hu-HU"/>
        </w:rPr>
        <w:t>Juvenilis idiopathiás arthritis</w:t>
      </w:r>
    </w:p>
    <w:p w14:paraId="5065664D" w14:textId="77777777" w:rsidR="00130E8B" w:rsidRDefault="00130E8B">
      <w:pPr>
        <w:spacing w:line="180" w:lineRule="exact"/>
        <w:rPr>
          <w:rFonts w:ascii="Times New Roman" w:hAnsi="Times New Roman" w:cs="Times New Roman"/>
          <w:lang w:val="hu-HU"/>
        </w:rPr>
      </w:pPr>
    </w:p>
    <w:p w14:paraId="5D128777" w14:textId="77777777" w:rsidR="00130E8B" w:rsidRDefault="000405CC">
      <w:pPr>
        <w:rPr>
          <w:rFonts w:ascii="Times New Roman" w:eastAsia="Times New Roman" w:hAnsi="Times New Roman" w:cs="Times New Roman"/>
          <w:lang w:val="hu-HU"/>
        </w:rPr>
      </w:pPr>
      <w:r>
        <w:rPr>
          <w:rFonts w:ascii="Times New Roman" w:eastAsia="Times New Roman" w:hAnsi="Times New Roman" w:cs="Times New Roman"/>
          <w:i/>
          <w:iCs/>
          <w:spacing w:val="-1"/>
          <w:lang w:val="hu-HU"/>
        </w:rPr>
        <w:t xml:space="preserve">Polyarticularis juvenilis idiopathiás arthritis </w:t>
      </w:r>
    </w:p>
    <w:p w14:paraId="2AE3C4DC" w14:textId="77777777" w:rsidR="00130E8B" w:rsidRDefault="00130E8B">
      <w:pPr>
        <w:spacing w:line="240" w:lineRule="exact"/>
        <w:rPr>
          <w:rFonts w:ascii="Times New Roman" w:hAnsi="Times New Roman" w:cs="Times New Roman"/>
          <w:lang w:val="hu-HU"/>
        </w:rPr>
      </w:pPr>
    </w:p>
    <w:p w14:paraId="7F040396" w14:textId="77777777" w:rsidR="00130E8B" w:rsidRDefault="000405CC">
      <w:pPr>
        <w:pStyle w:val="a3"/>
        <w:rPr>
          <w:lang w:val="hu-HU"/>
        </w:rPr>
      </w:pPr>
      <w:r>
        <w:rPr>
          <w:rFonts w:eastAsia="Times New Roman"/>
          <w:lang w:val="hu-HU"/>
        </w:rPr>
        <w:t>A Yuflyma metotrexáttal kombinálva a polyarticularis juvenilis idiopathiás arthritis kezelésére javallott 2 éves kortól olyan betegeknél, akik nem reagáltak megfelelően egy vagy több, betegséget befolyásoló reumaellenes szerre (disease-modifying antirheumatic drug, DMARDS). A Yuflyma metotrexát-intolerancia esetén, vagy ha a folyamatos metotrexát-kezelés nem megfelelő, monoterápiaként is alkalmazható (lásd 5. 1 pont). Az adalimumabot 2 évesnél fiatalabb betegeknél nem vizsgálták.</w:t>
      </w:r>
    </w:p>
    <w:p w14:paraId="580A7F43" w14:textId="77777777" w:rsidR="00130E8B" w:rsidRDefault="00130E8B">
      <w:pPr>
        <w:spacing w:line="240" w:lineRule="exact"/>
        <w:rPr>
          <w:rFonts w:ascii="Times New Roman" w:hAnsi="Times New Roman" w:cs="Times New Roman"/>
          <w:lang w:val="hu-HU"/>
        </w:rPr>
      </w:pPr>
    </w:p>
    <w:p w14:paraId="25C10B3A" w14:textId="77777777" w:rsidR="00130E8B" w:rsidRDefault="000405CC">
      <w:pPr>
        <w:rPr>
          <w:rFonts w:ascii="Times New Roman" w:eastAsia="Times New Roman" w:hAnsi="Times New Roman" w:cs="Times New Roman"/>
          <w:lang w:val="hu-HU"/>
        </w:rPr>
      </w:pPr>
      <w:r>
        <w:rPr>
          <w:rFonts w:ascii="Times New Roman" w:eastAsia="Times New Roman" w:hAnsi="Times New Roman" w:cs="Times New Roman"/>
          <w:i/>
          <w:iCs/>
          <w:lang w:val="hu-HU"/>
        </w:rPr>
        <w:t>Enthesitis-asszociált arthritis</w:t>
      </w:r>
    </w:p>
    <w:p w14:paraId="79D87A65" w14:textId="77777777" w:rsidR="00130E8B" w:rsidRDefault="00130E8B">
      <w:pPr>
        <w:spacing w:line="240" w:lineRule="exact"/>
        <w:rPr>
          <w:rFonts w:ascii="Times New Roman" w:hAnsi="Times New Roman" w:cs="Times New Roman"/>
          <w:lang w:val="hu-HU"/>
        </w:rPr>
      </w:pPr>
    </w:p>
    <w:p w14:paraId="00DC7C17" w14:textId="77777777" w:rsidR="00130E8B" w:rsidRDefault="000405CC">
      <w:pPr>
        <w:pStyle w:val="a3"/>
        <w:rPr>
          <w:lang w:val="hu-HU"/>
        </w:rPr>
      </w:pPr>
      <w:r>
        <w:rPr>
          <w:rFonts w:eastAsia="Times New Roman"/>
          <w:lang w:val="hu-HU"/>
        </w:rPr>
        <w:t>A Yuflyma az aktív, enthesitis-asszociált arthritis kezelésére javallott 6 éves kortól olyan betegeknél, akik a hagyományos kezelésre nem reagáltak megfelelően vagy azt nem tolerálták (lásd 5.1 pont).</w:t>
      </w:r>
    </w:p>
    <w:p w14:paraId="25913A86" w14:textId="77777777" w:rsidR="00130E8B" w:rsidRDefault="00130E8B">
      <w:pPr>
        <w:spacing w:line="240" w:lineRule="exact"/>
        <w:rPr>
          <w:rFonts w:ascii="Times New Roman" w:hAnsi="Times New Roman" w:cs="Times New Roman"/>
          <w:lang w:val="hu-HU"/>
        </w:rPr>
      </w:pPr>
    </w:p>
    <w:p w14:paraId="4F7EFB0D" w14:textId="77777777" w:rsidR="00130E8B" w:rsidRDefault="000405CC">
      <w:pPr>
        <w:pStyle w:val="a3"/>
        <w:rPr>
          <w:u w:val="single" w:color="000000"/>
          <w:lang w:val="hu-HU"/>
        </w:rPr>
      </w:pPr>
      <w:r>
        <w:rPr>
          <w:rFonts w:eastAsia="Times New Roman"/>
          <w:u w:val="single" w:color="000000"/>
          <w:lang w:val="hu-HU"/>
        </w:rPr>
        <w:t>Axiális spondyloarthritis</w:t>
      </w:r>
    </w:p>
    <w:p w14:paraId="5571F4EE" w14:textId="77777777" w:rsidR="00130E8B" w:rsidRDefault="00130E8B">
      <w:pPr>
        <w:spacing w:line="180" w:lineRule="exact"/>
        <w:rPr>
          <w:rFonts w:ascii="Times New Roman" w:hAnsi="Times New Roman" w:cs="Times New Roman"/>
          <w:lang w:val="hu-HU"/>
        </w:rPr>
      </w:pPr>
    </w:p>
    <w:p w14:paraId="0FCE3078" w14:textId="77777777" w:rsidR="00130E8B" w:rsidRDefault="000405CC">
      <w:pPr>
        <w:rPr>
          <w:rFonts w:ascii="Times New Roman" w:eastAsia="Times New Roman" w:hAnsi="Times New Roman" w:cs="Times New Roman"/>
          <w:lang w:val="hu-HU"/>
        </w:rPr>
      </w:pPr>
      <w:r>
        <w:rPr>
          <w:rFonts w:ascii="Times New Roman" w:eastAsia="Times New Roman" w:hAnsi="Times New Roman" w:cs="Times New Roman"/>
          <w:i/>
          <w:iCs/>
          <w:spacing w:val="-1"/>
          <w:lang w:val="hu-HU"/>
        </w:rPr>
        <w:t>Spondylitis ankylopoetica (SPA)</w:t>
      </w:r>
    </w:p>
    <w:p w14:paraId="7426358C" w14:textId="77777777" w:rsidR="00130E8B" w:rsidRDefault="00130E8B">
      <w:pPr>
        <w:spacing w:line="240" w:lineRule="exact"/>
        <w:rPr>
          <w:rFonts w:ascii="Times New Roman" w:hAnsi="Times New Roman" w:cs="Times New Roman"/>
          <w:lang w:val="hu-HU"/>
        </w:rPr>
      </w:pPr>
    </w:p>
    <w:p w14:paraId="78E12069" w14:textId="77777777" w:rsidR="00130E8B" w:rsidRDefault="000405CC">
      <w:pPr>
        <w:pStyle w:val="a3"/>
        <w:rPr>
          <w:lang w:val="hu-HU"/>
        </w:rPr>
      </w:pPr>
      <w:r>
        <w:rPr>
          <w:rFonts w:eastAsia="Times New Roman"/>
          <w:lang w:val="hu-HU"/>
        </w:rPr>
        <w:t>A Yuflyma felnőttkori súlyos, aktív spondylitis ankylopoetica kezelésére javallott, ha a beteg nem reagált megfelelően a hagyományos kezelésre.</w:t>
      </w:r>
    </w:p>
    <w:p w14:paraId="6FA5535A" w14:textId="77777777" w:rsidR="00130E8B" w:rsidRDefault="00130E8B">
      <w:pPr>
        <w:spacing w:line="240" w:lineRule="exact"/>
        <w:rPr>
          <w:rFonts w:ascii="Times New Roman" w:hAnsi="Times New Roman" w:cs="Times New Roman"/>
          <w:lang w:val="hu-HU"/>
        </w:rPr>
      </w:pPr>
    </w:p>
    <w:p w14:paraId="347BA399" w14:textId="77777777" w:rsidR="00130E8B" w:rsidRDefault="000405CC">
      <w:pPr>
        <w:rPr>
          <w:rFonts w:ascii="Times New Roman" w:eastAsia="Times New Roman" w:hAnsi="Times New Roman" w:cs="Times New Roman"/>
          <w:lang w:val="hu-HU"/>
        </w:rPr>
      </w:pPr>
      <w:r>
        <w:rPr>
          <w:rFonts w:ascii="Times New Roman" w:eastAsia="Times New Roman" w:hAnsi="Times New Roman" w:cs="Times New Roman"/>
          <w:i/>
          <w:iCs/>
          <w:spacing w:val="-1"/>
          <w:lang w:val="hu-HU"/>
        </w:rPr>
        <w:t>Spondylitis ankylopoeticának (SPA) megfelelő röntgeneltéréssel nem járó axiális spondyloarthritis</w:t>
      </w:r>
    </w:p>
    <w:p w14:paraId="064000D3" w14:textId="77777777" w:rsidR="00130E8B" w:rsidRDefault="00130E8B">
      <w:pPr>
        <w:spacing w:line="240" w:lineRule="exact"/>
        <w:rPr>
          <w:rFonts w:ascii="Times New Roman" w:hAnsi="Times New Roman" w:cs="Times New Roman"/>
          <w:lang w:val="hu-HU"/>
        </w:rPr>
      </w:pPr>
    </w:p>
    <w:p w14:paraId="606C42C4" w14:textId="02E08F3C" w:rsidR="00130E8B" w:rsidRDefault="000405CC">
      <w:pPr>
        <w:pStyle w:val="a3"/>
        <w:rPr>
          <w:lang w:val="hu-HU"/>
        </w:rPr>
      </w:pPr>
      <w:r>
        <w:rPr>
          <w:rFonts w:eastAsia="Times New Roman"/>
          <w:lang w:val="hu-HU"/>
        </w:rPr>
        <w:t xml:space="preserve">A Yuflyma-kezelés javallott azoknál a felnőttkori súlyos axiális spondyloarthritisben szenvedő betegeknél, akiknél az SPA-nak megfelelő röntgeneltérés nem mutatható ki, de a gyulladás objektív jelei emelkedett CRP-vel és/vagy MR vizsgálattal igazolhatók, és akik nem reagáltak megfelelően a nem szteroid gyulladáscsökkentő gyógyszerekre vagy </w:t>
      </w:r>
      <w:r w:rsidR="00E41607">
        <w:rPr>
          <w:lang w:val="hu-HU"/>
        </w:rPr>
        <w:t>azokkal szemben intoleránsak</w:t>
      </w:r>
      <w:r>
        <w:rPr>
          <w:rFonts w:eastAsia="Times New Roman"/>
          <w:lang w:val="hu-HU"/>
        </w:rPr>
        <w:t>.</w:t>
      </w:r>
    </w:p>
    <w:p w14:paraId="344A482C" w14:textId="77777777" w:rsidR="00130E8B" w:rsidRDefault="00130E8B">
      <w:pPr>
        <w:spacing w:line="240" w:lineRule="exact"/>
        <w:rPr>
          <w:rFonts w:ascii="Times New Roman" w:hAnsi="Times New Roman" w:cs="Times New Roman"/>
          <w:lang w:val="hu-HU"/>
        </w:rPr>
      </w:pPr>
    </w:p>
    <w:p w14:paraId="20BF9A33" w14:textId="77777777" w:rsidR="00130E8B" w:rsidRDefault="000405CC">
      <w:pPr>
        <w:pStyle w:val="a3"/>
        <w:rPr>
          <w:u w:val="single" w:color="000000"/>
          <w:lang w:val="hu-HU"/>
        </w:rPr>
      </w:pPr>
      <w:r>
        <w:rPr>
          <w:rFonts w:eastAsia="Times New Roman"/>
          <w:u w:val="single" w:color="000000"/>
          <w:lang w:val="hu-HU"/>
        </w:rPr>
        <w:t>Arthritis psoriatica</w:t>
      </w:r>
    </w:p>
    <w:p w14:paraId="718B64AD" w14:textId="77777777" w:rsidR="00130E8B" w:rsidRDefault="00130E8B">
      <w:pPr>
        <w:spacing w:line="180" w:lineRule="exact"/>
        <w:rPr>
          <w:rFonts w:ascii="Times New Roman" w:hAnsi="Times New Roman" w:cs="Times New Roman"/>
          <w:lang w:val="hu-HU"/>
        </w:rPr>
      </w:pPr>
    </w:p>
    <w:p w14:paraId="0BA22C00" w14:textId="7BE3B55A" w:rsidR="00130E8B" w:rsidRDefault="000405CC">
      <w:pPr>
        <w:pStyle w:val="a3"/>
        <w:rPr>
          <w:lang w:val="hu-HU"/>
        </w:rPr>
      </w:pPr>
      <w:r>
        <w:rPr>
          <w:rFonts w:eastAsia="Times New Roman"/>
          <w:lang w:val="hu-HU"/>
        </w:rPr>
        <w:t>A Yuflyma javallott felnőttkori aktív és progrediáló arthritis psoriatica kezelésére, ha a betegség</w:t>
      </w:r>
      <w:r w:rsidR="003A6FAD">
        <w:rPr>
          <w:rFonts w:eastAsia="Times New Roman"/>
          <w:lang w:val="hu-HU"/>
        </w:rPr>
        <w:t>módosító</w:t>
      </w:r>
      <w:r>
        <w:rPr>
          <w:rFonts w:eastAsia="Times New Roman"/>
          <w:lang w:val="hu-HU"/>
        </w:rPr>
        <w:t xml:space="preserve"> reumaellenes </w:t>
      </w:r>
      <w:r w:rsidR="003A6FAD">
        <w:rPr>
          <w:rFonts w:eastAsia="Times New Roman"/>
          <w:lang w:val="hu-HU"/>
        </w:rPr>
        <w:t>gyógy</w:t>
      </w:r>
      <w:r>
        <w:rPr>
          <w:rFonts w:eastAsia="Times New Roman"/>
          <w:lang w:val="hu-HU"/>
        </w:rPr>
        <w:t>szerek (disease- modifying antirheumatic drugs) használata nem járt terápiás sikerrel.</w:t>
      </w:r>
    </w:p>
    <w:p w14:paraId="677EA5E2" w14:textId="77777777" w:rsidR="00130E8B" w:rsidRDefault="00130E8B">
      <w:pPr>
        <w:pStyle w:val="a3"/>
        <w:rPr>
          <w:lang w:val="hu-HU"/>
        </w:rPr>
      </w:pPr>
    </w:p>
    <w:p w14:paraId="00AEBD8D" w14:textId="77777777" w:rsidR="00130E8B" w:rsidRDefault="000405CC">
      <w:pPr>
        <w:pStyle w:val="a3"/>
        <w:rPr>
          <w:lang w:val="hu-HU"/>
        </w:rPr>
      </w:pPr>
      <w:r>
        <w:rPr>
          <w:rFonts w:eastAsia="Times New Roman"/>
          <w:lang w:val="hu-HU"/>
        </w:rPr>
        <w:t>A betegség sokízületi szimmetrikus altípusában szenvedő betegek körében (lásd 5. 1 pont) készített röntgenfelvételekkel kimutatták, hogy az adalimumab csökkenti a perifériás ízületi károsodások progressziós rátáját és javítja a fizikális funkciót.</w:t>
      </w:r>
    </w:p>
    <w:p w14:paraId="4AAA73A8" w14:textId="77777777" w:rsidR="00130E8B" w:rsidRDefault="00130E8B">
      <w:pPr>
        <w:spacing w:line="240" w:lineRule="exact"/>
        <w:rPr>
          <w:rFonts w:ascii="Times New Roman" w:hAnsi="Times New Roman" w:cs="Times New Roman"/>
          <w:lang w:val="hu-HU"/>
        </w:rPr>
      </w:pPr>
    </w:p>
    <w:p w14:paraId="0823DF09" w14:textId="77777777" w:rsidR="00130E8B" w:rsidRDefault="000405CC">
      <w:pPr>
        <w:pStyle w:val="a3"/>
        <w:rPr>
          <w:u w:val="single"/>
          <w:lang w:val="hu-HU"/>
        </w:rPr>
      </w:pPr>
      <w:r>
        <w:rPr>
          <w:rFonts w:eastAsia="Times New Roman"/>
          <w:u w:val="single" w:color="000000"/>
          <w:lang w:val="hu-HU"/>
        </w:rPr>
        <w:t>Psoriasis</w:t>
      </w:r>
    </w:p>
    <w:p w14:paraId="63300388" w14:textId="77777777" w:rsidR="00130E8B" w:rsidRDefault="00130E8B">
      <w:pPr>
        <w:spacing w:line="180" w:lineRule="exact"/>
        <w:rPr>
          <w:rFonts w:ascii="Times New Roman" w:hAnsi="Times New Roman" w:cs="Times New Roman"/>
          <w:lang w:val="hu-HU"/>
        </w:rPr>
      </w:pPr>
    </w:p>
    <w:p w14:paraId="44045924" w14:textId="69B1459E" w:rsidR="00130E8B" w:rsidRDefault="000405CC">
      <w:pPr>
        <w:pStyle w:val="a3"/>
        <w:rPr>
          <w:lang w:val="hu-HU"/>
        </w:rPr>
      </w:pPr>
      <w:r>
        <w:rPr>
          <w:rFonts w:eastAsia="Times New Roman"/>
          <w:lang w:val="hu-HU"/>
        </w:rPr>
        <w:t>A Yuflyma a köz</w:t>
      </w:r>
      <w:r w:rsidR="00CC2B1C">
        <w:rPr>
          <w:rFonts w:eastAsia="Times New Roman"/>
          <w:lang w:val="hu-HU"/>
        </w:rPr>
        <w:t>epesen súlyos</w:t>
      </w:r>
      <w:r>
        <w:rPr>
          <w:rFonts w:eastAsia="Times New Roman"/>
          <w:lang w:val="hu-HU"/>
        </w:rPr>
        <w:t>–</w:t>
      </w:r>
      <w:r w:rsidR="00DC7496" w:rsidRPr="009167C6">
        <w:rPr>
          <w:lang w:val="hu-HU"/>
        </w:rPr>
        <w:t> </w:t>
      </w:r>
      <w:r w:rsidR="00DC7496">
        <w:rPr>
          <w:rFonts w:eastAsia="Times New Roman"/>
          <w:lang w:val="hu-HU"/>
        </w:rPr>
        <w:t xml:space="preserve"> </w:t>
      </w:r>
      <w:r>
        <w:rPr>
          <w:rFonts w:eastAsia="Times New Roman"/>
          <w:lang w:val="hu-HU"/>
        </w:rPr>
        <w:t>súlyos plakkos psoriasis kezelésére javallott olyan felnőtteknél, akiknél szisztémás kezelés szükséges.</w:t>
      </w:r>
    </w:p>
    <w:p w14:paraId="75DC80A8" w14:textId="77777777" w:rsidR="00130E8B" w:rsidRDefault="00130E8B">
      <w:pPr>
        <w:spacing w:line="240" w:lineRule="exact"/>
        <w:rPr>
          <w:rFonts w:ascii="Times New Roman" w:hAnsi="Times New Roman" w:cs="Times New Roman"/>
          <w:lang w:val="hu-HU"/>
        </w:rPr>
      </w:pPr>
    </w:p>
    <w:p w14:paraId="77DDE18F" w14:textId="1C3686EF" w:rsidR="00225997" w:rsidRDefault="00AD654E" w:rsidP="00AD654E">
      <w:pPr>
        <w:pStyle w:val="a3"/>
        <w:rPr>
          <w:rFonts w:eastAsia="Times New Roman"/>
          <w:u w:val="single" w:color="000000"/>
          <w:lang w:val="hu-HU"/>
        </w:rPr>
      </w:pPr>
      <w:r w:rsidRPr="009167C6">
        <w:rPr>
          <w:u w:val="single"/>
          <w:lang w:val="hu-HU"/>
        </w:rPr>
        <w:t xml:space="preserve">Gyermekkori </w:t>
      </w:r>
      <w:r>
        <w:rPr>
          <w:rFonts w:eastAsia="Times New Roman"/>
          <w:u w:val="single" w:color="000000"/>
          <w:lang w:val="hu-HU"/>
        </w:rPr>
        <w:t>p</w:t>
      </w:r>
      <w:r w:rsidR="000405CC">
        <w:rPr>
          <w:rFonts w:eastAsia="Times New Roman"/>
          <w:u w:val="single" w:color="000000"/>
          <w:lang w:val="hu-HU"/>
        </w:rPr>
        <w:t>lakkos psoriasis</w:t>
      </w:r>
      <w:r w:rsidR="0079791D">
        <w:rPr>
          <w:rFonts w:eastAsia="Times New Roman"/>
          <w:u w:val="single" w:color="000000"/>
          <w:lang w:val="hu-HU"/>
        </w:rPr>
        <w:t xml:space="preserve"> </w:t>
      </w:r>
    </w:p>
    <w:p w14:paraId="5A9AD29C" w14:textId="77777777" w:rsidR="00130E8B" w:rsidRDefault="00130E8B">
      <w:pPr>
        <w:spacing w:line="180" w:lineRule="exact"/>
        <w:rPr>
          <w:rFonts w:ascii="Times New Roman" w:hAnsi="Times New Roman" w:cs="Times New Roman"/>
          <w:lang w:val="hu-HU"/>
        </w:rPr>
      </w:pPr>
    </w:p>
    <w:p w14:paraId="008E9ED1" w14:textId="77777777" w:rsidR="00130E8B" w:rsidRDefault="000405CC">
      <w:pPr>
        <w:pStyle w:val="a3"/>
        <w:rPr>
          <w:lang w:val="hu-HU"/>
        </w:rPr>
      </w:pPr>
      <w:r>
        <w:rPr>
          <w:rFonts w:eastAsia="Times New Roman"/>
          <w:lang w:val="hu-HU"/>
        </w:rPr>
        <w:t xml:space="preserve">A Yuflyma súlyos, krónikus plakkos psoriasis kezelésére javallott olyan 4 év feletti gyermekeknél és serdülőknél, akik nem megfelelően reagáltak vagy </w:t>
      </w:r>
      <w:r w:rsidRPr="0079791D">
        <w:rPr>
          <w:rFonts w:eastAsia="Times New Roman"/>
          <w:lang w:val="hu-HU"/>
        </w:rPr>
        <w:t>alkalmatlannak bizonyultak</w:t>
      </w:r>
      <w:r>
        <w:rPr>
          <w:rFonts w:eastAsia="Times New Roman"/>
          <w:lang w:val="hu-HU"/>
        </w:rPr>
        <w:t xml:space="preserve"> a helyi kezelésre és fényterápiákra.</w:t>
      </w:r>
    </w:p>
    <w:p w14:paraId="7A6F59DD" w14:textId="77777777" w:rsidR="00130E8B" w:rsidRDefault="00130E8B">
      <w:pPr>
        <w:spacing w:line="240" w:lineRule="exact"/>
        <w:rPr>
          <w:rFonts w:ascii="Times New Roman" w:hAnsi="Times New Roman" w:cs="Times New Roman"/>
          <w:lang w:val="hu-HU"/>
        </w:rPr>
      </w:pPr>
    </w:p>
    <w:p w14:paraId="1CD77E5B" w14:textId="77777777" w:rsidR="00130E8B" w:rsidRDefault="000405CC">
      <w:pPr>
        <w:pStyle w:val="a3"/>
        <w:rPr>
          <w:u w:val="single"/>
          <w:lang w:val="hu-HU"/>
        </w:rPr>
      </w:pPr>
      <w:r>
        <w:rPr>
          <w:rFonts w:eastAsia="Times New Roman"/>
          <w:u w:val="single" w:color="000000"/>
          <w:lang w:val="hu-HU"/>
        </w:rPr>
        <w:t>Hidradenitis suppurativa (HS)</w:t>
      </w:r>
    </w:p>
    <w:p w14:paraId="12172CDF" w14:textId="77777777" w:rsidR="00130E8B" w:rsidRDefault="00130E8B">
      <w:pPr>
        <w:spacing w:line="180" w:lineRule="exact"/>
        <w:rPr>
          <w:rFonts w:ascii="Times New Roman" w:hAnsi="Times New Roman" w:cs="Times New Roman"/>
          <w:lang w:val="hu-HU"/>
        </w:rPr>
      </w:pPr>
    </w:p>
    <w:p w14:paraId="1E212940" w14:textId="48D9FDED" w:rsidR="00130E8B" w:rsidRDefault="000405CC">
      <w:pPr>
        <w:pStyle w:val="a3"/>
        <w:rPr>
          <w:lang w:val="hu-HU"/>
        </w:rPr>
      </w:pPr>
      <w:r>
        <w:rPr>
          <w:rFonts w:eastAsia="Times New Roman"/>
          <w:lang w:val="hu-HU"/>
        </w:rPr>
        <w:t xml:space="preserve">A Yuflyma aktív </w:t>
      </w:r>
      <w:r w:rsidR="0079791D">
        <w:rPr>
          <w:rFonts w:eastAsia="Times New Roman"/>
          <w:lang w:val="hu-HU"/>
        </w:rPr>
        <w:t>közepesen súlyos-</w:t>
      </w:r>
      <w:r w:rsidR="00DC7496" w:rsidRPr="009167C6">
        <w:rPr>
          <w:lang w:val="hu-HU"/>
        </w:rPr>
        <w:t> </w:t>
      </w:r>
      <w:r w:rsidR="00DC7496">
        <w:rPr>
          <w:rFonts w:eastAsia="Times New Roman"/>
          <w:lang w:val="hu-HU"/>
        </w:rPr>
        <w:t xml:space="preserve"> </w:t>
      </w:r>
      <w:r w:rsidR="00011824">
        <w:rPr>
          <w:rFonts w:eastAsia="Times New Roman"/>
          <w:lang w:val="hu-HU"/>
        </w:rPr>
        <w:t>súlyos</w:t>
      </w:r>
      <w:r w:rsidR="00011824" w:rsidDel="00011824">
        <w:rPr>
          <w:rFonts w:eastAsia="Times New Roman"/>
          <w:lang w:val="hu-HU"/>
        </w:rPr>
        <w:t xml:space="preserve"> </w:t>
      </w:r>
      <w:r>
        <w:rPr>
          <w:rFonts w:eastAsia="Times New Roman"/>
          <w:lang w:val="hu-HU"/>
        </w:rPr>
        <w:t>hidradenitis suppurativa (acne inversa) kezelésére javallott olyan felnőtteknél és serdülőknél 12 éves kortól, akik nem reagáltak megfelelően a hagyományos, szisztémás HS kezelésre (lásd 5.1 és 5.2 pont).</w:t>
      </w:r>
    </w:p>
    <w:p w14:paraId="7938459A" w14:textId="77777777" w:rsidR="00130E8B" w:rsidRDefault="00130E8B">
      <w:pPr>
        <w:pStyle w:val="a3"/>
        <w:rPr>
          <w:u w:color="000000"/>
          <w:lang w:val="hu-HU"/>
        </w:rPr>
      </w:pPr>
    </w:p>
    <w:p w14:paraId="7ED31E7A" w14:textId="77777777" w:rsidR="00130E8B" w:rsidRDefault="000405CC">
      <w:pPr>
        <w:pStyle w:val="a3"/>
        <w:rPr>
          <w:u w:val="single"/>
          <w:lang w:val="hu-HU"/>
        </w:rPr>
      </w:pPr>
      <w:r>
        <w:rPr>
          <w:rFonts w:eastAsia="Times New Roman"/>
          <w:u w:val="single" w:color="000000"/>
          <w:lang w:val="hu-HU"/>
        </w:rPr>
        <w:t>Crohn-betegség</w:t>
      </w:r>
    </w:p>
    <w:p w14:paraId="04452024" w14:textId="77777777" w:rsidR="00130E8B" w:rsidRDefault="00130E8B">
      <w:pPr>
        <w:spacing w:line="180" w:lineRule="exact"/>
        <w:rPr>
          <w:rFonts w:ascii="Times New Roman" w:hAnsi="Times New Roman" w:cs="Times New Roman"/>
          <w:lang w:val="hu-HU"/>
        </w:rPr>
      </w:pPr>
    </w:p>
    <w:p w14:paraId="6AEEB541" w14:textId="403856EC" w:rsidR="00130E8B" w:rsidRDefault="000405CC">
      <w:pPr>
        <w:pStyle w:val="a3"/>
        <w:rPr>
          <w:lang w:val="hu-HU"/>
        </w:rPr>
      </w:pPr>
      <w:r>
        <w:rPr>
          <w:rFonts w:eastAsia="Times New Roman"/>
          <w:lang w:val="hu-HU"/>
        </w:rPr>
        <w:t xml:space="preserve">A Yuflyma </w:t>
      </w:r>
      <w:r w:rsidR="0079791D">
        <w:rPr>
          <w:rFonts w:eastAsia="Times New Roman"/>
          <w:lang w:val="hu-HU"/>
        </w:rPr>
        <w:t>közepesen súlyos-</w:t>
      </w:r>
      <w:r w:rsidR="00C90012" w:rsidRPr="009167C6">
        <w:rPr>
          <w:lang w:val="hu-HU"/>
        </w:rPr>
        <w:t> s</w:t>
      </w:r>
      <w:r w:rsidR="00011824">
        <w:rPr>
          <w:rFonts w:eastAsia="Times New Roman"/>
          <w:lang w:val="hu-HU"/>
        </w:rPr>
        <w:t>úlyos</w:t>
      </w:r>
      <w:r w:rsidR="00011824" w:rsidDel="00011824">
        <w:rPr>
          <w:rFonts w:eastAsia="Times New Roman"/>
          <w:lang w:val="hu-HU"/>
        </w:rPr>
        <w:t xml:space="preserve"> </w:t>
      </w:r>
      <w:r>
        <w:rPr>
          <w:rFonts w:eastAsia="Times New Roman"/>
          <w:lang w:val="hu-HU"/>
        </w:rPr>
        <w:t xml:space="preserve">s aktivitású Crohn- betegség kezelésére javallott olyan betegeknél, </w:t>
      </w:r>
      <w:r>
        <w:rPr>
          <w:rFonts w:eastAsia="Times New Roman"/>
          <w:lang w:val="hu-HU"/>
        </w:rPr>
        <w:lastRenderedPageBreak/>
        <w:t>akik nem reagáltak a kortikoszteroiddal és/vagy immunszuppre</w:t>
      </w:r>
      <w:r w:rsidR="00B34379">
        <w:rPr>
          <w:rFonts w:eastAsia="Times New Roman"/>
          <w:lang w:val="hu-HU"/>
        </w:rPr>
        <w:t>sszánsokkal</w:t>
      </w:r>
      <w:r>
        <w:rPr>
          <w:rFonts w:eastAsia="Times New Roman"/>
          <w:lang w:val="hu-HU"/>
        </w:rPr>
        <w:t xml:space="preserve"> végzett teljes és </w:t>
      </w:r>
      <w:r w:rsidR="00B34379">
        <w:rPr>
          <w:rFonts w:eastAsia="Times New Roman"/>
          <w:lang w:val="hu-HU"/>
        </w:rPr>
        <w:t>megfelelő kezelésre</w:t>
      </w:r>
      <w:r>
        <w:rPr>
          <w:rFonts w:eastAsia="Times New Roman"/>
          <w:lang w:val="hu-HU"/>
        </w:rPr>
        <w:t>, vagy akik nem tolerálják ezeket agyógyszereket vagy akiknél e gyógyszerek alkalmazása orvosi szempontból ellenjavallt.</w:t>
      </w:r>
    </w:p>
    <w:p w14:paraId="62AC76F2" w14:textId="77777777" w:rsidR="00130E8B" w:rsidRDefault="00130E8B">
      <w:pPr>
        <w:spacing w:line="240" w:lineRule="exact"/>
        <w:rPr>
          <w:rFonts w:ascii="Times New Roman" w:hAnsi="Times New Roman" w:cs="Times New Roman"/>
          <w:lang w:val="hu-HU"/>
        </w:rPr>
      </w:pPr>
    </w:p>
    <w:p w14:paraId="0D5C1755" w14:textId="4C6B6E9B" w:rsidR="00130E8B" w:rsidRDefault="00AD654E">
      <w:pPr>
        <w:pStyle w:val="a3"/>
        <w:rPr>
          <w:u w:val="single"/>
          <w:lang w:val="hu-HU"/>
        </w:rPr>
      </w:pPr>
      <w:r w:rsidRPr="009167C6">
        <w:rPr>
          <w:u w:val="single"/>
          <w:lang w:val="hu-HU"/>
        </w:rPr>
        <w:t>Gyermekkori</w:t>
      </w:r>
      <w:r w:rsidDel="0079791D">
        <w:rPr>
          <w:rFonts w:eastAsia="Times New Roman"/>
          <w:u w:val="single" w:color="000000"/>
          <w:lang w:val="hu-HU"/>
        </w:rPr>
        <w:t xml:space="preserve"> </w:t>
      </w:r>
      <w:r w:rsidR="000405CC">
        <w:rPr>
          <w:rFonts w:eastAsia="Times New Roman"/>
          <w:u w:val="single" w:color="000000"/>
          <w:lang w:val="hu-HU"/>
        </w:rPr>
        <w:t>Crohn-betegség</w:t>
      </w:r>
      <w:r w:rsidR="0079791D" w:rsidRPr="0079791D">
        <w:rPr>
          <w:rFonts w:eastAsia="Times New Roman"/>
          <w:u w:val="single" w:color="000000"/>
          <w:lang w:val="hu-HU"/>
        </w:rPr>
        <w:t xml:space="preserve"> </w:t>
      </w:r>
    </w:p>
    <w:p w14:paraId="20F7BD32" w14:textId="77777777" w:rsidR="00130E8B" w:rsidRDefault="00130E8B">
      <w:pPr>
        <w:spacing w:line="170" w:lineRule="exact"/>
        <w:rPr>
          <w:rFonts w:ascii="Times New Roman" w:hAnsi="Times New Roman" w:cs="Times New Roman"/>
          <w:lang w:val="hu-HU"/>
        </w:rPr>
      </w:pPr>
    </w:p>
    <w:p w14:paraId="5B21EC2C" w14:textId="61913C9D" w:rsidR="00130E8B" w:rsidRDefault="000405CC">
      <w:pPr>
        <w:pStyle w:val="a3"/>
        <w:rPr>
          <w:lang w:val="hu-HU"/>
        </w:rPr>
      </w:pPr>
      <w:r>
        <w:rPr>
          <w:rFonts w:eastAsia="Times New Roman"/>
          <w:lang w:val="hu-HU"/>
        </w:rPr>
        <w:t xml:space="preserve">Az </w:t>
      </w:r>
      <w:r w:rsidR="00C90012">
        <w:rPr>
          <w:rFonts w:eastAsia="Times New Roman"/>
          <w:lang w:val="hu-HU"/>
        </w:rPr>
        <w:t>közepesen súlyos-</w:t>
      </w:r>
      <w:r w:rsidR="00C90012" w:rsidRPr="009167C6">
        <w:rPr>
          <w:lang w:val="hu-HU"/>
        </w:rPr>
        <w:t> </w:t>
      </w:r>
      <w:r w:rsidR="00011824">
        <w:rPr>
          <w:rFonts w:eastAsia="Times New Roman"/>
          <w:lang w:val="hu-HU"/>
        </w:rPr>
        <w:t>súlyos</w:t>
      </w:r>
      <w:r>
        <w:rPr>
          <w:rFonts w:eastAsia="Times New Roman"/>
          <w:lang w:val="hu-HU"/>
        </w:rPr>
        <w:t xml:space="preserve"> aktivitású Crohn-betegség kezelésére javallott olyan gyermekeknél (6 éves kortól), akik nem reagáltak megfelelően a hagyományos kezelésekre, beleértve a primer étrendi kezelést és egy kortikoszteroidot és/vagy egy immunmodulánst, vagy akik nem tolerálták ezeket a </w:t>
      </w:r>
      <w:r w:rsidR="00B34379">
        <w:rPr>
          <w:rFonts w:eastAsia="Times New Roman"/>
          <w:lang w:val="hu-HU"/>
        </w:rPr>
        <w:t>gyógy</w:t>
      </w:r>
      <w:r>
        <w:rPr>
          <w:rFonts w:eastAsia="Times New Roman"/>
          <w:lang w:val="hu-HU"/>
        </w:rPr>
        <w:t>szereket, illetve akiknél ezek a kezelések kontraindikáltak.</w:t>
      </w:r>
    </w:p>
    <w:p w14:paraId="3F6E38FD" w14:textId="77777777" w:rsidR="00130E8B" w:rsidRDefault="00130E8B">
      <w:pPr>
        <w:spacing w:line="240" w:lineRule="exact"/>
        <w:rPr>
          <w:rFonts w:ascii="Times New Roman" w:hAnsi="Times New Roman" w:cs="Times New Roman"/>
          <w:lang w:val="hu-HU"/>
        </w:rPr>
      </w:pPr>
    </w:p>
    <w:p w14:paraId="028D160F" w14:textId="77777777" w:rsidR="00130E8B" w:rsidRDefault="000405CC">
      <w:pPr>
        <w:pStyle w:val="a3"/>
        <w:rPr>
          <w:u w:val="single"/>
          <w:lang w:val="hu-HU"/>
        </w:rPr>
      </w:pPr>
      <w:r>
        <w:rPr>
          <w:rFonts w:eastAsia="Times New Roman"/>
          <w:u w:val="single" w:color="000000"/>
          <w:lang w:val="hu-HU"/>
        </w:rPr>
        <w:t>Colitis ulcerosa</w:t>
      </w:r>
    </w:p>
    <w:p w14:paraId="7993F03F" w14:textId="77777777" w:rsidR="00130E8B" w:rsidRDefault="00130E8B">
      <w:pPr>
        <w:spacing w:line="180" w:lineRule="exact"/>
        <w:rPr>
          <w:rFonts w:ascii="Times New Roman" w:hAnsi="Times New Roman" w:cs="Times New Roman"/>
          <w:lang w:val="hu-HU"/>
        </w:rPr>
      </w:pPr>
    </w:p>
    <w:p w14:paraId="3B74A6F0" w14:textId="3835BA6A" w:rsidR="00130E8B" w:rsidRDefault="000405CC">
      <w:pPr>
        <w:pStyle w:val="a3"/>
        <w:rPr>
          <w:lang w:val="hu-HU"/>
        </w:rPr>
      </w:pPr>
      <w:r>
        <w:rPr>
          <w:rFonts w:eastAsia="Times New Roman"/>
          <w:lang w:val="hu-HU"/>
        </w:rPr>
        <w:t xml:space="preserve">A Yuflyma felnőttkori, </w:t>
      </w:r>
      <w:r w:rsidR="00C90012">
        <w:rPr>
          <w:rFonts w:eastAsia="Times New Roman"/>
          <w:lang w:val="hu-HU"/>
        </w:rPr>
        <w:t>közepesen súlyos-</w:t>
      </w:r>
      <w:r w:rsidR="00C90012" w:rsidRPr="009167C6">
        <w:rPr>
          <w:lang w:val="hu-HU"/>
        </w:rPr>
        <w:t> </w:t>
      </w:r>
      <w:r w:rsidR="00011824">
        <w:rPr>
          <w:rFonts w:eastAsia="Times New Roman"/>
          <w:lang w:val="hu-HU"/>
        </w:rPr>
        <w:t>súlyos</w:t>
      </w:r>
      <w:r>
        <w:rPr>
          <w:rFonts w:eastAsia="Times New Roman"/>
          <w:lang w:val="hu-HU"/>
        </w:rPr>
        <w:t xml:space="preserve"> </w:t>
      </w:r>
      <w:r w:rsidR="00B90FEB">
        <w:rPr>
          <w:rFonts w:eastAsia="Times New Roman"/>
          <w:lang w:val="hu-HU"/>
        </w:rPr>
        <w:t xml:space="preserve">aktivitású </w:t>
      </w:r>
      <w:r>
        <w:rPr>
          <w:rFonts w:eastAsia="Times New Roman"/>
          <w:lang w:val="hu-HU"/>
        </w:rPr>
        <w:t>colitis ulcerosa kezelésére javallott olyan betegeknél, akik a hagyományos kezelésre, köztük kortikoszteroidra és 6-merkaptopurinra (6-MP) vagy azatioprinre (AZA) nem mutattak megfelelő terápiás választ, vagy nem tolerálják ezeket a kezeléseket, illetve orvosi szempontból ellenjavallt ezen gyógyszerek adása.</w:t>
      </w:r>
    </w:p>
    <w:p w14:paraId="05350DF2" w14:textId="64C5ADD7" w:rsidR="00130E8B" w:rsidRDefault="00130E8B">
      <w:pPr>
        <w:spacing w:line="240" w:lineRule="exact"/>
        <w:rPr>
          <w:rFonts w:ascii="Times New Roman" w:hAnsi="Times New Roman" w:cs="Times New Roman"/>
          <w:lang w:val="hu-HU"/>
        </w:rPr>
      </w:pPr>
    </w:p>
    <w:p w14:paraId="054D9473" w14:textId="77777777" w:rsidR="00B90FEB" w:rsidRPr="00B90FEB" w:rsidRDefault="00B90FEB" w:rsidP="00B90FEB">
      <w:pPr>
        <w:widowControl/>
        <w:suppressAutoHyphens/>
        <w:spacing w:line="260" w:lineRule="exact"/>
        <w:rPr>
          <w:rFonts w:ascii="Times New Roman" w:eastAsia="바탕" w:hAnsi="Times New Roman" w:cs="Times New Roman"/>
          <w:b/>
          <w:iCs/>
          <w:szCs w:val="20"/>
          <w:u w:val="single"/>
          <w:lang w:val="hu-HU" w:eastAsia="hu-HU"/>
        </w:rPr>
      </w:pPr>
      <w:r w:rsidRPr="00B90FEB">
        <w:rPr>
          <w:rFonts w:ascii="Times New Roman" w:eastAsia="바탕" w:hAnsi="Times New Roman" w:cs="Times New Roman"/>
          <w:iCs/>
          <w:szCs w:val="20"/>
          <w:u w:val="single"/>
          <w:lang w:val="hu-HU" w:eastAsia="hu-HU"/>
        </w:rPr>
        <w:t>Gyermek- és serdülőkori colitis ulcerosa</w:t>
      </w:r>
    </w:p>
    <w:p w14:paraId="0C44B761" w14:textId="77777777" w:rsidR="00B90FEB" w:rsidRPr="00B90FEB" w:rsidRDefault="00B90FEB" w:rsidP="00B90FEB">
      <w:pPr>
        <w:widowControl/>
        <w:suppressAutoHyphens/>
        <w:spacing w:line="260" w:lineRule="exact"/>
        <w:rPr>
          <w:rFonts w:ascii="Times New Roman" w:eastAsia="바탕" w:hAnsi="Times New Roman" w:cs="Times New Roman"/>
          <w:szCs w:val="20"/>
          <w:lang w:val="hu-HU" w:eastAsia="hu-HU"/>
        </w:rPr>
      </w:pPr>
    </w:p>
    <w:p w14:paraId="433BAF2C" w14:textId="77AEFFB2" w:rsidR="00B90FEB" w:rsidRPr="00B90FEB" w:rsidRDefault="00B90FEB" w:rsidP="00B90FEB">
      <w:pPr>
        <w:widowControl/>
        <w:suppressAutoHyphens/>
        <w:spacing w:line="260" w:lineRule="exact"/>
        <w:rPr>
          <w:rFonts w:ascii="Times New Roman" w:eastAsia="바탕" w:hAnsi="Times New Roman" w:cs="Times New Roman"/>
          <w:szCs w:val="20"/>
          <w:lang w:val="hu-HU" w:eastAsia="hu-HU"/>
        </w:rPr>
      </w:pPr>
      <w:r w:rsidRPr="00B90FEB">
        <w:rPr>
          <w:rFonts w:ascii="Times New Roman" w:eastAsia="바탕" w:hAnsi="Times New Roman" w:cs="Times New Roman"/>
          <w:szCs w:val="20"/>
          <w:lang w:val="hu-HU" w:eastAsia="hu-HU"/>
        </w:rPr>
        <w:t xml:space="preserve">A </w:t>
      </w:r>
      <w:r>
        <w:rPr>
          <w:rFonts w:ascii="Times New Roman" w:eastAsia="바탕" w:hAnsi="Times New Roman" w:cs="Times New Roman"/>
          <w:szCs w:val="20"/>
          <w:lang w:val="hu-HU" w:eastAsia="hu-HU"/>
        </w:rPr>
        <w:t>Yuflyma</w:t>
      </w:r>
      <w:r w:rsidRPr="00B90FEB">
        <w:rPr>
          <w:rFonts w:ascii="Times New Roman" w:eastAsia="바탕" w:hAnsi="Times New Roman" w:cs="Times New Roman"/>
          <w:szCs w:val="20"/>
          <w:lang w:val="hu-HU" w:eastAsia="hu-HU"/>
        </w:rPr>
        <w:t xml:space="preserve"> közepesen súlyos – súlyos aktivitású colitis ulcerosa kezelésére javallott olyan gyermekeknél és serdülőknél (6 éves kortól), akik a hagyományos kezelésre, köztük kortikoszteroidra és 6</w:t>
      </w:r>
      <w:r w:rsidRPr="00B90FEB">
        <w:rPr>
          <w:rFonts w:ascii="Times New Roman" w:eastAsia="바탕" w:hAnsi="Times New Roman" w:cs="Times New Roman"/>
          <w:szCs w:val="20"/>
          <w:lang w:val="hu-HU" w:eastAsia="hu-HU"/>
        </w:rPr>
        <w:noBreakHyphen/>
        <w:t>merkaptopurinra (6</w:t>
      </w:r>
      <w:r w:rsidRPr="00B90FEB">
        <w:rPr>
          <w:rFonts w:ascii="Times New Roman" w:eastAsia="바탕" w:hAnsi="Times New Roman" w:cs="Times New Roman"/>
          <w:szCs w:val="20"/>
          <w:lang w:val="hu-HU" w:eastAsia="hu-HU"/>
        </w:rPr>
        <w:noBreakHyphen/>
        <w:t>MP) vagy azathioprinre (AZA) nem mutattak megfelelő terápiás választ, vagy nem tolerálják ezeket a kezeléseket, illetve orvosi szempontból ellenjavallt ezen gyógyszerek adása.</w:t>
      </w:r>
    </w:p>
    <w:p w14:paraId="0EAB021A" w14:textId="77777777" w:rsidR="00B90FEB" w:rsidRPr="00B90FEB" w:rsidRDefault="00B90FEB">
      <w:pPr>
        <w:spacing w:line="240" w:lineRule="exact"/>
        <w:rPr>
          <w:rFonts w:ascii="Times New Roman" w:hAnsi="Times New Roman" w:cs="Times New Roman"/>
          <w:lang w:val="hu-HU"/>
        </w:rPr>
      </w:pPr>
    </w:p>
    <w:p w14:paraId="5F64BEB3" w14:textId="77777777" w:rsidR="00130E8B" w:rsidRDefault="000405CC">
      <w:pPr>
        <w:pStyle w:val="a3"/>
        <w:rPr>
          <w:u w:val="single"/>
          <w:lang w:val="hu-HU"/>
        </w:rPr>
      </w:pPr>
      <w:r>
        <w:rPr>
          <w:rFonts w:eastAsia="Times New Roman"/>
          <w:u w:val="single" w:color="000000"/>
          <w:lang w:val="hu-HU"/>
        </w:rPr>
        <w:t>Uveitis</w:t>
      </w:r>
    </w:p>
    <w:p w14:paraId="36F4C54D" w14:textId="77777777" w:rsidR="00130E8B" w:rsidRDefault="00130E8B">
      <w:pPr>
        <w:spacing w:line="180" w:lineRule="exact"/>
        <w:rPr>
          <w:rFonts w:ascii="Times New Roman" w:hAnsi="Times New Roman" w:cs="Times New Roman"/>
          <w:lang w:val="hu-HU"/>
        </w:rPr>
      </w:pPr>
    </w:p>
    <w:p w14:paraId="6741E081" w14:textId="57D75D9D" w:rsidR="00130E8B" w:rsidRDefault="000405CC">
      <w:pPr>
        <w:pStyle w:val="a3"/>
        <w:rPr>
          <w:lang w:val="hu-HU"/>
        </w:rPr>
      </w:pPr>
      <w:r>
        <w:rPr>
          <w:rFonts w:eastAsia="Times New Roman"/>
          <w:lang w:val="hu-HU"/>
        </w:rPr>
        <w:t xml:space="preserve">A Yuflyma </w:t>
      </w:r>
      <w:r w:rsidR="002C77C5">
        <w:rPr>
          <w:rFonts w:eastAsia="Times New Roman"/>
          <w:lang w:val="hu-HU"/>
        </w:rPr>
        <w:t xml:space="preserve">javallot </w:t>
      </w:r>
      <w:r>
        <w:rPr>
          <w:rFonts w:eastAsia="Times New Roman"/>
          <w:lang w:val="hu-HU"/>
        </w:rPr>
        <w:t>a nem fertőzéses eredetű, intermedier, posterior és panuveitis kezelésére t olyan felnőtt betegeknél, akik nem megfelelően reagálnak a kortikoszteroid-kezelésre, illetve olyan betegeknél, akiknél kortikoszteroid-mentes kezelés szükséges, vagy akiknél a kortikoszteroid-kezelés nem alkalmazható.</w:t>
      </w:r>
    </w:p>
    <w:p w14:paraId="654EA448" w14:textId="77777777" w:rsidR="00130E8B" w:rsidRDefault="00130E8B">
      <w:pPr>
        <w:spacing w:line="240" w:lineRule="exact"/>
        <w:rPr>
          <w:rFonts w:ascii="Times New Roman" w:hAnsi="Times New Roman" w:cs="Times New Roman"/>
          <w:lang w:val="hu-HU"/>
        </w:rPr>
      </w:pPr>
    </w:p>
    <w:p w14:paraId="15013BD2" w14:textId="7C2F42BF" w:rsidR="00130E8B" w:rsidRDefault="00AD654E">
      <w:pPr>
        <w:pStyle w:val="a3"/>
        <w:rPr>
          <w:u w:val="single"/>
          <w:lang w:val="hu-HU"/>
        </w:rPr>
      </w:pPr>
      <w:r w:rsidRPr="009167C6">
        <w:rPr>
          <w:u w:val="single"/>
          <w:lang w:val="hu-HU"/>
        </w:rPr>
        <w:t>Gyermekkori</w:t>
      </w:r>
      <w:r w:rsidDel="00414C73">
        <w:rPr>
          <w:rFonts w:eastAsia="Times New Roman"/>
          <w:u w:val="single" w:color="000000"/>
          <w:lang w:val="hu-HU"/>
        </w:rPr>
        <w:t xml:space="preserve"> </w:t>
      </w:r>
      <w:r w:rsidR="00DC7496">
        <w:rPr>
          <w:rFonts w:eastAsia="Times New Roman"/>
          <w:u w:val="single" w:color="000000"/>
          <w:lang w:val="hu-HU"/>
        </w:rPr>
        <w:t>u</w:t>
      </w:r>
      <w:r w:rsidR="000405CC">
        <w:rPr>
          <w:rFonts w:eastAsia="Times New Roman"/>
          <w:u w:val="single" w:color="000000"/>
          <w:lang w:val="hu-HU"/>
        </w:rPr>
        <w:t>veitis</w:t>
      </w:r>
    </w:p>
    <w:p w14:paraId="6B609CB6" w14:textId="77777777" w:rsidR="00130E8B" w:rsidRDefault="00130E8B">
      <w:pPr>
        <w:spacing w:line="180" w:lineRule="exact"/>
        <w:rPr>
          <w:rFonts w:ascii="Times New Roman" w:hAnsi="Times New Roman" w:cs="Times New Roman"/>
          <w:lang w:val="hu-HU"/>
        </w:rPr>
      </w:pPr>
    </w:p>
    <w:p w14:paraId="7468DF82" w14:textId="77777777" w:rsidR="00130E8B" w:rsidRDefault="000405CC">
      <w:pPr>
        <w:pStyle w:val="a3"/>
        <w:rPr>
          <w:lang w:val="hu-HU"/>
        </w:rPr>
      </w:pPr>
      <w:r>
        <w:rPr>
          <w:rFonts w:eastAsia="Times New Roman"/>
          <w:lang w:val="hu-HU"/>
        </w:rPr>
        <w:t>A Yuflyma a krónikus, nem fertőzéses eredetű anterior uveitis kezelésére javallott olyan 2 évnél idősebb gyermekeknél, akik nem megfelelően reagáltak a hagyományos kezelésre vagy nem tolerálták azt, illetve akiknél a hagyományos kezelés nem alkalmazható</w:t>
      </w:r>
      <w:r w:rsidR="00125503">
        <w:rPr>
          <w:rFonts w:eastAsia="Times New Roman"/>
          <w:lang w:val="hu-HU"/>
        </w:rPr>
        <w:t>.</w:t>
      </w:r>
    </w:p>
    <w:p w14:paraId="765385EB" w14:textId="77777777" w:rsidR="00130E8B" w:rsidRDefault="00130E8B">
      <w:pPr>
        <w:spacing w:before="15" w:line="240" w:lineRule="exact"/>
        <w:rPr>
          <w:rFonts w:ascii="Times New Roman" w:hAnsi="Times New Roman" w:cs="Times New Roman"/>
          <w:lang w:val="hu-HU"/>
        </w:rPr>
      </w:pPr>
    </w:p>
    <w:p w14:paraId="7D4586C6" w14:textId="77777777" w:rsidR="00130E8B" w:rsidRDefault="000405CC">
      <w:pPr>
        <w:widowControl/>
        <w:numPr>
          <w:ilvl w:val="1"/>
          <w:numId w:val="13"/>
        </w:numPr>
        <w:tabs>
          <w:tab w:val="left" w:pos="567"/>
        </w:tabs>
        <w:spacing w:line="260" w:lineRule="exact"/>
        <w:ind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Adagolás és alkalmazás</w:t>
      </w:r>
    </w:p>
    <w:p w14:paraId="6F504440" w14:textId="77777777" w:rsidR="00130E8B" w:rsidRDefault="00130E8B">
      <w:pPr>
        <w:spacing w:before="9" w:line="240" w:lineRule="exact"/>
        <w:rPr>
          <w:rFonts w:ascii="Times New Roman" w:hAnsi="Times New Roman" w:cs="Times New Roman"/>
          <w:lang w:val="hu-HU"/>
        </w:rPr>
      </w:pPr>
    </w:p>
    <w:p w14:paraId="755741DC" w14:textId="4A382199" w:rsidR="00130E8B" w:rsidRDefault="000405CC">
      <w:pPr>
        <w:pStyle w:val="a3"/>
        <w:rPr>
          <w:lang w:val="hu-HU"/>
        </w:rPr>
      </w:pPr>
      <w:r>
        <w:rPr>
          <w:rFonts w:eastAsia="Times New Roman"/>
          <w:lang w:val="hu-HU"/>
        </w:rPr>
        <w:t xml:space="preserve">Yuflyma-kezelést csak olyan szakorvos kezdhet el, illetve folytathat, aki jártas azoknak a betegségeknek a diagnosztikájában és kezelésében, amikre a Yuflyma javallott. Javasolt, hogy a szemészek a Yuflyma -kezelés megkezdése előtt konzultáljanak a megfelelő szakorvossal (lásd 4.4 pont). A Yuflyma-val kezelt betegeknek egy </w:t>
      </w:r>
      <w:proofErr w:type="spellStart"/>
      <w:r w:rsidR="00125503">
        <w:t>Betegemlékeztető</w:t>
      </w:r>
      <w:proofErr w:type="spellEnd"/>
      <w:r w:rsidR="00125503" w:rsidRPr="000F4DB4">
        <w:t xml:space="preserve"> </w:t>
      </w:r>
      <w:proofErr w:type="spellStart"/>
      <w:r w:rsidR="00125503" w:rsidRPr="000F4DB4">
        <w:t>Kártyát</w:t>
      </w:r>
      <w:proofErr w:type="spellEnd"/>
      <w:r w:rsidR="00125503" w:rsidRPr="000F4DB4">
        <w:t xml:space="preserve"> </w:t>
      </w:r>
      <w:r w:rsidR="00125503">
        <w:t>is</w:t>
      </w:r>
      <w:r>
        <w:rPr>
          <w:rFonts w:eastAsia="Times New Roman"/>
          <w:lang w:val="hu-HU"/>
        </w:rPr>
        <w:t xml:space="preserve"> kell kapniuk.</w:t>
      </w:r>
    </w:p>
    <w:p w14:paraId="2F868371" w14:textId="77777777" w:rsidR="00130E8B" w:rsidRDefault="00130E8B">
      <w:pPr>
        <w:spacing w:line="240" w:lineRule="exact"/>
        <w:rPr>
          <w:rFonts w:ascii="Times New Roman" w:hAnsi="Times New Roman" w:cs="Times New Roman"/>
          <w:lang w:val="hu-HU"/>
        </w:rPr>
      </w:pPr>
    </w:p>
    <w:p w14:paraId="566D5CE4" w14:textId="77777777" w:rsidR="00130E8B" w:rsidRDefault="000405CC">
      <w:pPr>
        <w:pStyle w:val="a3"/>
        <w:rPr>
          <w:lang w:val="hu-HU"/>
        </w:rPr>
      </w:pPr>
      <w:r>
        <w:rPr>
          <w:rFonts w:eastAsia="Times New Roman"/>
          <w:lang w:val="hu-HU"/>
        </w:rPr>
        <w:t>A helyes injekciós technika elsajátítása után a betegek, ha az orvos úgy ítéli meg, akár önmaguknak is beadhatják a Yuflyma-t szükség szerinti orvosi ellenőrzés mellett.</w:t>
      </w:r>
    </w:p>
    <w:p w14:paraId="3C9184AC" w14:textId="77777777" w:rsidR="00130E8B" w:rsidRDefault="00130E8B">
      <w:pPr>
        <w:spacing w:line="240" w:lineRule="exact"/>
        <w:rPr>
          <w:rFonts w:ascii="Times New Roman" w:hAnsi="Times New Roman" w:cs="Times New Roman"/>
          <w:lang w:val="hu-HU"/>
        </w:rPr>
      </w:pPr>
    </w:p>
    <w:p w14:paraId="359B9F44" w14:textId="666DD008" w:rsidR="00130E8B" w:rsidRDefault="000405CC">
      <w:pPr>
        <w:pStyle w:val="a3"/>
        <w:rPr>
          <w:lang w:val="hu-HU"/>
        </w:rPr>
      </w:pPr>
      <w:r>
        <w:rPr>
          <w:rFonts w:eastAsia="Times New Roman"/>
          <w:lang w:val="hu-HU"/>
        </w:rPr>
        <w:t xml:space="preserve">A Yuflyma-kezelés ideje alatt optimalizálni kell a más </w:t>
      </w:r>
      <w:r w:rsidR="00585AB1">
        <w:rPr>
          <w:rFonts w:eastAsia="Times New Roman"/>
          <w:lang w:val="hu-HU"/>
        </w:rPr>
        <w:t>gyógy</w:t>
      </w:r>
      <w:r>
        <w:rPr>
          <w:rFonts w:eastAsia="Times New Roman"/>
          <w:lang w:val="hu-HU"/>
        </w:rPr>
        <w:t>szerek (</w:t>
      </w:r>
      <w:r w:rsidR="00E712D7">
        <w:rPr>
          <w:rFonts w:eastAsia="Times New Roman"/>
          <w:lang w:val="hu-HU"/>
        </w:rPr>
        <w:t>például</w:t>
      </w:r>
      <w:r>
        <w:rPr>
          <w:rFonts w:eastAsia="Times New Roman"/>
          <w:lang w:val="hu-HU"/>
        </w:rPr>
        <w:t xml:space="preserve"> kortikoszteroidok és/ vagy immunmodulánsok) alkalmazásával végzett egyidejű terápiát.</w:t>
      </w:r>
    </w:p>
    <w:p w14:paraId="40A09F7C" w14:textId="77777777" w:rsidR="00130E8B" w:rsidRDefault="00130E8B">
      <w:pPr>
        <w:spacing w:line="240" w:lineRule="exact"/>
        <w:rPr>
          <w:rFonts w:ascii="Times New Roman" w:hAnsi="Times New Roman" w:cs="Times New Roman"/>
          <w:lang w:val="hu-HU"/>
        </w:rPr>
      </w:pPr>
    </w:p>
    <w:p w14:paraId="6D132200" w14:textId="77777777" w:rsidR="00130E8B" w:rsidRDefault="000405CC">
      <w:pPr>
        <w:pStyle w:val="a3"/>
        <w:rPr>
          <w:u w:val="single"/>
          <w:lang w:val="hu-HU"/>
        </w:rPr>
      </w:pPr>
      <w:r>
        <w:rPr>
          <w:rFonts w:eastAsia="Times New Roman"/>
          <w:u w:val="single" w:color="000000"/>
          <w:lang w:val="hu-HU"/>
        </w:rPr>
        <w:t>Adagolás</w:t>
      </w:r>
    </w:p>
    <w:p w14:paraId="120C3E8F" w14:textId="77777777" w:rsidR="00130E8B" w:rsidRDefault="00130E8B">
      <w:pPr>
        <w:spacing w:line="170" w:lineRule="exact"/>
        <w:rPr>
          <w:rFonts w:ascii="Times New Roman" w:hAnsi="Times New Roman" w:cs="Times New Roman"/>
          <w:lang w:val="hu-HU"/>
        </w:rPr>
      </w:pPr>
    </w:p>
    <w:p w14:paraId="7AC89E6E" w14:textId="77777777" w:rsidR="00130E8B" w:rsidRDefault="000405CC">
      <w:pPr>
        <w:rPr>
          <w:rFonts w:ascii="Times New Roman" w:eastAsia="Times New Roman" w:hAnsi="Times New Roman" w:cs="Times New Roman"/>
          <w:lang w:val="hu-HU"/>
        </w:rPr>
      </w:pPr>
      <w:r>
        <w:rPr>
          <w:rFonts w:ascii="Times New Roman" w:eastAsia="Times New Roman" w:hAnsi="Times New Roman" w:cs="Times New Roman"/>
          <w:i/>
          <w:iCs/>
          <w:spacing w:val="-1"/>
          <w:lang w:val="hu-HU"/>
        </w:rPr>
        <w:t>Rheumatoid arthritis</w:t>
      </w:r>
    </w:p>
    <w:p w14:paraId="7D72E1C9" w14:textId="77777777" w:rsidR="00130E8B" w:rsidRDefault="00130E8B">
      <w:pPr>
        <w:spacing w:line="240" w:lineRule="exact"/>
        <w:rPr>
          <w:rFonts w:ascii="Times New Roman" w:hAnsi="Times New Roman" w:cs="Times New Roman"/>
          <w:lang w:val="hu-HU"/>
        </w:rPr>
      </w:pPr>
    </w:p>
    <w:p w14:paraId="3B4CD7BA" w14:textId="77777777" w:rsidR="00130E8B" w:rsidRDefault="000405CC">
      <w:pPr>
        <w:pStyle w:val="a3"/>
        <w:rPr>
          <w:lang w:val="hu-HU"/>
        </w:rPr>
      </w:pPr>
      <w:r>
        <w:rPr>
          <w:rFonts w:eastAsia="Times New Roman"/>
          <w:lang w:val="hu-HU"/>
        </w:rPr>
        <w:t xml:space="preserve">A Yuflyma javasolt dózisa rheumatoid arthritisben szenvedő felnőttek esetében 40 mg adalimumab, kéthetente egy alkalommal egy adagban subcutan injekció formájában. A metotrexát folytatása javasolt a </w:t>
      </w:r>
      <w:r>
        <w:rPr>
          <w:rFonts w:eastAsia="Times New Roman"/>
          <w:lang w:val="hu-HU"/>
        </w:rPr>
        <w:lastRenderedPageBreak/>
        <w:t>Yuflyma-val való kezelés ideje alatt.</w:t>
      </w:r>
    </w:p>
    <w:p w14:paraId="0DFCD037" w14:textId="77777777" w:rsidR="00130E8B" w:rsidRDefault="00130E8B">
      <w:pPr>
        <w:pStyle w:val="a3"/>
        <w:rPr>
          <w:lang w:val="hu-HU"/>
        </w:rPr>
      </w:pPr>
    </w:p>
    <w:p w14:paraId="36CC990F" w14:textId="737C219D" w:rsidR="00130E8B" w:rsidRDefault="000405CC">
      <w:pPr>
        <w:pStyle w:val="a3"/>
        <w:rPr>
          <w:lang w:val="hu-HU"/>
        </w:rPr>
      </w:pPr>
      <w:r>
        <w:rPr>
          <w:rFonts w:eastAsia="Times New Roman"/>
          <w:lang w:val="hu-HU"/>
        </w:rPr>
        <w:t>Glükokortikoidok, szalicilátok, nem- szteroid gyulladáscsökkentők,</w:t>
      </w:r>
      <w:r w:rsidR="00577B48" w:rsidRPr="007F6442">
        <w:rPr>
          <w:lang w:val="hu-HU"/>
        </w:rPr>
        <w:t xml:space="preserve"> </w:t>
      </w:r>
      <w:r w:rsidR="00D621FA" w:rsidRPr="007F6442">
        <w:rPr>
          <w:lang w:val="hu-HU"/>
        </w:rPr>
        <w:t>(NSAID-ok</w:t>
      </w:r>
      <w:r w:rsidR="00577B48" w:rsidRPr="007F6442">
        <w:rPr>
          <w:lang w:val="hu-HU"/>
        </w:rPr>
        <w:t>),</w:t>
      </w:r>
      <w:r>
        <w:rPr>
          <w:rFonts w:eastAsia="Times New Roman"/>
          <w:lang w:val="hu-HU"/>
        </w:rPr>
        <w:t xml:space="preserve"> illetve analgetikumok adása is folytatható a Yuflyma-kezelés ideje alatt. A metotrexáton kívüli más, betegséget befolyásoló reumaellenes szerekkel való együttes szedést illetően lásd a 4. 4 és az 5. 1 pontokat.</w:t>
      </w:r>
    </w:p>
    <w:p w14:paraId="6218AE70" w14:textId="77777777" w:rsidR="00130E8B" w:rsidRDefault="00130E8B">
      <w:pPr>
        <w:spacing w:line="240" w:lineRule="exact"/>
        <w:rPr>
          <w:rFonts w:ascii="Times New Roman" w:hAnsi="Times New Roman" w:cs="Times New Roman"/>
          <w:lang w:val="hu-HU"/>
        </w:rPr>
      </w:pPr>
    </w:p>
    <w:p w14:paraId="67E8DE4B" w14:textId="77777777" w:rsidR="00130E8B" w:rsidRDefault="000405CC">
      <w:pPr>
        <w:pStyle w:val="a3"/>
        <w:rPr>
          <w:lang w:val="hu-HU"/>
        </w:rPr>
      </w:pPr>
      <w:r>
        <w:rPr>
          <w:rFonts w:eastAsia="Times New Roman"/>
          <w:lang w:val="hu-HU"/>
        </w:rPr>
        <w:t>Monoterápiában, olyan betegek esetében, akiknél hatáscsökkenés mutatkozik a minden második héten alkalmazott 40 mg Yuflyma-kezelés mellett, jó eredmény érhető el a dózis hetenkénti 40 mg adalimumabra vagy kéthetente 80 mg-ra való emelésével.</w:t>
      </w:r>
    </w:p>
    <w:p w14:paraId="6BA4DAC1" w14:textId="77777777" w:rsidR="00130E8B" w:rsidRDefault="00130E8B">
      <w:pPr>
        <w:spacing w:line="240" w:lineRule="exact"/>
        <w:rPr>
          <w:rFonts w:ascii="Times New Roman" w:hAnsi="Times New Roman" w:cs="Times New Roman"/>
          <w:lang w:val="hu-HU"/>
        </w:rPr>
      </w:pPr>
    </w:p>
    <w:p w14:paraId="2E691374" w14:textId="77777777" w:rsidR="00130E8B" w:rsidRDefault="000405CC">
      <w:pPr>
        <w:pStyle w:val="a3"/>
        <w:rPr>
          <w:lang w:val="hu-HU"/>
        </w:rPr>
      </w:pPr>
      <w:r>
        <w:rPr>
          <w:rFonts w:eastAsia="Times New Roman"/>
          <w:lang w:val="hu-HU"/>
        </w:rPr>
        <w:t>A rendelkezésre álló adatok azt mutatják, hogy a klinikai válasz általában 12 hetes kezelésen belül elérhető. A kezelés folytatását alaposan meg kell fontolni, ha a beteg ezen időszak alatt nem reagál a kezelésre.</w:t>
      </w:r>
    </w:p>
    <w:p w14:paraId="101C0E01" w14:textId="77777777" w:rsidR="00130E8B" w:rsidRDefault="00130E8B">
      <w:pPr>
        <w:pStyle w:val="a3"/>
        <w:rPr>
          <w:lang w:val="hu-HU"/>
        </w:rPr>
      </w:pPr>
    </w:p>
    <w:p w14:paraId="1F51ED12" w14:textId="77777777" w:rsidR="00130E8B" w:rsidRDefault="000405CC">
      <w:pPr>
        <w:rPr>
          <w:rFonts w:ascii="Times New Roman" w:eastAsia="Times New Roman" w:hAnsi="Times New Roman" w:cs="Times New Roman"/>
          <w:lang w:val="hu-HU"/>
        </w:rPr>
      </w:pPr>
      <w:r>
        <w:rPr>
          <w:rFonts w:ascii="Times New Roman" w:eastAsia="Times New Roman" w:hAnsi="Times New Roman" w:cs="Times New Roman"/>
          <w:i/>
          <w:iCs/>
          <w:spacing w:val="-1"/>
          <w:u w:val="single" w:color="000000"/>
          <w:lang w:val="hu-HU"/>
        </w:rPr>
        <w:t>Az adagolás megszakítása</w:t>
      </w:r>
    </w:p>
    <w:p w14:paraId="25008190" w14:textId="77777777" w:rsidR="00130E8B" w:rsidRDefault="00130E8B">
      <w:pPr>
        <w:spacing w:line="180" w:lineRule="exact"/>
        <w:rPr>
          <w:rFonts w:ascii="Times New Roman" w:hAnsi="Times New Roman" w:cs="Times New Roman"/>
          <w:lang w:val="hu-HU"/>
        </w:rPr>
      </w:pPr>
    </w:p>
    <w:p w14:paraId="1F7749BB" w14:textId="77777777" w:rsidR="00130E8B" w:rsidRDefault="000405CC">
      <w:pPr>
        <w:pStyle w:val="a3"/>
        <w:rPr>
          <w:lang w:val="hu-HU"/>
        </w:rPr>
      </w:pPr>
      <w:r>
        <w:rPr>
          <w:rFonts w:eastAsia="Times New Roman"/>
          <w:lang w:val="hu-HU"/>
        </w:rPr>
        <w:t>Szükség lehet az adagolás megszakítására, például műtét előtt, vagy ha súlyos fertőzés alakul ki</w:t>
      </w:r>
      <w:r w:rsidR="00DC7496">
        <w:rPr>
          <w:rFonts w:eastAsia="Times New Roman"/>
          <w:lang w:val="hu-HU"/>
        </w:rPr>
        <w:t>.</w:t>
      </w:r>
    </w:p>
    <w:p w14:paraId="3E544B4C" w14:textId="77777777" w:rsidR="00130E8B" w:rsidRDefault="00130E8B">
      <w:pPr>
        <w:spacing w:line="240" w:lineRule="exact"/>
        <w:rPr>
          <w:rFonts w:ascii="Times New Roman" w:hAnsi="Times New Roman" w:cs="Times New Roman"/>
          <w:lang w:val="hu-HU"/>
        </w:rPr>
      </w:pPr>
    </w:p>
    <w:p w14:paraId="42D97D93" w14:textId="77777777" w:rsidR="00130E8B" w:rsidRDefault="000405CC">
      <w:pPr>
        <w:pStyle w:val="a3"/>
        <w:rPr>
          <w:lang w:val="hu-HU"/>
        </w:rPr>
      </w:pPr>
      <w:r>
        <w:rPr>
          <w:rFonts w:eastAsia="Times New Roman"/>
          <w:lang w:val="hu-HU"/>
        </w:rPr>
        <w:t>A rendelkezésre álló adatok arra utalnak, hogy az adalimumab alkalmazásának 70 napra vagy hosszabb időre történt abbahagyását követő újrakezdése ugyanolyan mértékű klinikai választ és hasonló gyógyszerbiztonsági profilt eredményezett, mint amit az adagolás megszakítása előtt észleltek.</w:t>
      </w:r>
    </w:p>
    <w:p w14:paraId="2CB33783" w14:textId="77777777" w:rsidR="00130E8B" w:rsidRDefault="00130E8B">
      <w:pPr>
        <w:spacing w:line="240" w:lineRule="exact"/>
        <w:rPr>
          <w:rFonts w:ascii="Times New Roman" w:hAnsi="Times New Roman" w:cs="Times New Roman"/>
          <w:lang w:val="hu-HU"/>
        </w:rPr>
      </w:pPr>
    </w:p>
    <w:p w14:paraId="72655E86" w14:textId="77777777" w:rsidR="00130E8B" w:rsidRDefault="000405CC">
      <w:pPr>
        <w:rPr>
          <w:rFonts w:ascii="Times New Roman" w:eastAsia="Times New Roman" w:hAnsi="Times New Roman" w:cs="Times New Roman"/>
          <w:lang w:val="hu-HU"/>
        </w:rPr>
      </w:pPr>
      <w:r>
        <w:rPr>
          <w:rFonts w:ascii="Times New Roman" w:eastAsia="Times New Roman" w:hAnsi="Times New Roman" w:cs="Times New Roman"/>
          <w:i/>
          <w:iCs/>
          <w:spacing w:val="-1"/>
          <w:lang w:val="hu-HU"/>
        </w:rPr>
        <w:t xml:space="preserve">Spondylitis ankylopoetica spondylitis ankylopoeticának (SPA) megfelelő röntgeneltéréssel nem járó axiális spondyloarthritis és arthritis psoriatica </w:t>
      </w:r>
    </w:p>
    <w:p w14:paraId="35E834E4" w14:textId="77777777" w:rsidR="00130E8B" w:rsidRDefault="00130E8B">
      <w:pPr>
        <w:spacing w:line="240" w:lineRule="exact"/>
        <w:rPr>
          <w:rFonts w:ascii="Times New Roman" w:hAnsi="Times New Roman" w:cs="Times New Roman"/>
          <w:lang w:val="hu-HU"/>
        </w:rPr>
      </w:pPr>
    </w:p>
    <w:p w14:paraId="2841CC32" w14:textId="7DCF4EBB" w:rsidR="00130E8B" w:rsidRDefault="000405CC">
      <w:pPr>
        <w:pStyle w:val="a3"/>
        <w:rPr>
          <w:lang w:val="hu-HU"/>
        </w:rPr>
      </w:pPr>
      <w:r>
        <w:rPr>
          <w:rFonts w:eastAsia="Times New Roman"/>
          <w:lang w:val="hu-HU"/>
        </w:rPr>
        <w:t xml:space="preserve">A Yuflyma </w:t>
      </w:r>
      <w:r w:rsidR="007338B3" w:rsidRPr="00DA48CC">
        <w:rPr>
          <w:rFonts w:eastAsia="Times New Roman"/>
          <w:lang w:val="hu-HU"/>
        </w:rPr>
        <w:t xml:space="preserve">javasolt dózisa </w:t>
      </w:r>
      <w:r>
        <w:rPr>
          <w:rFonts w:eastAsia="Times New Roman"/>
          <w:lang w:val="hu-HU"/>
        </w:rPr>
        <w:t>spondylitis ankylopoeticában, spondylitis ankylopoeticának (SPA) megfelelő röntgeneltéréssel nem járó axiális spondyloarthritisben és arthritis psoriaticában szenvedő betegeknél 40 mg adalimumab kéthetente egy alkalommal subcutan injekcióban.</w:t>
      </w:r>
    </w:p>
    <w:p w14:paraId="586A4BAF" w14:textId="77777777" w:rsidR="007338B3" w:rsidRDefault="000405CC" w:rsidP="007338B3">
      <w:pPr>
        <w:pStyle w:val="a3"/>
        <w:rPr>
          <w:rFonts w:eastAsia="Times New Roman"/>
          <w:lang w:val="hu-HU"/>
        </w:rPr>
      </w:pPr>
      <w:r>
        <w:rPr>
          <w:rFonts w:eastAsia="Times New Roman"/>
          <w:lang w:val="hu-HU"/>
        </w:rPr>
        <w:t xml:space="preserve">A rendelkezésre álló adatok azt mutatják, hogy a klinikai válasz általában 12 hetes kezelésen belül elérhető. </w:t>
      </w:r>
      <w:r w:rsidR="007338B3" w:rsidRPr="00897007">
        <w:rPr>
          <w:lang w:val="hu-HU"/>
        </w:rPr>
        <w:t>Mérlegelni kell, hogy érdemes-e a kezelést folytatni azoknál a betegeknél,</w:t>
      </w:r>
      <w:r w:rsidR="007338B3" w:rsidRPr="00897007">
        <w:rPr>
          <w:rFonts w:eastAsia="TimesNewRomanPSMT"/>
          <w:lang w:val="hu-HU"/>
        </w:rPr>
        <w:t xml:space="preserve"> </w:t>
      </w:r>
      <w:r w:rsidR="007338B3" w:rsidRPr="00DA48CC">
        <w:rPr>
          <w:rFonts w:eastAsia="TimesNewRomanPSMT"/>
          <w:lang w:val="hu-HU"/>
        </w:rPr>
        <w:t>akik ezen időszakon belül nem reagálnak</w:t>
      </w:r>
      <w:r w:rsidR="007338B3" w:rsidRPr="00897007">
        <w:rPr>
          <w:rFonts w:eastAsia="Times New Roman"/>
          <w:lang w:val="hu-HU"/>
        </w:rPr>
        <w:t>.</w:t>
      </w:r>
    </w:p>
    <w:p w14:paraId="00E651F8" w14:textId="77777777" w:rsidR="007338B3" w:rsidRDefault="007338B3" w:rsidP="007338B3">
      <w:pPr>
        <w:pStyle w:val="a3"/>
        <w:rPr>
          <w:rFonts w:eastAsia="Times New Roman"/>
          <w:lang w:val="hu-HU"/>
        </w:rPr>
      </w:pPr>
    </w:p>
    <w:p w14:paraId="1CA3D1F5" w14:textId="77777777" w:rsidR="00130E8B" w:rsidRDefault="000405CC" w:rsidP="007338B3">
      <w:pPr>
        <w:pStyle w:val="a3"/>
        <w:rPr>
          <w:rFonts w:eastAsia="Times New Roman"/>
          <w:lang w:val="hu-HU"/>
        </w:rPr>
      </w:pPr>
      <w:r>
        <w:rPr>
          <w:rFonts w:eastAsia="Times New Roman"/>
          <w:i/>
          <w:iCs/>
          <w:spacing w:val="-1"/>
          <w:lang w:val="hu-HU"/>
        </w:rPr>
        <w:t>Psoriasis</w:t>
      </w:r>
    </w:p>
    <w:p w14:paraId="53BA6D2C" w14:textId="77777777" w:rsidR="00130E8B" w:rsidRDefault="00130E8B">
      <w:pPr>
        <w:spacing w:line="240" w:lineRule="exact"/>
        <w:rPr>
          <w:rFonts w:ascii="Times New Roman" w:hAnsi="Times New Roman" w:cs="Times New Roman"/>
          <w:lang w:val="hu-HU"/>
        </w:rPr>
      </w:pPr>
    </w:p>
    <w:p w14:paraId="31FB05EB" w14:textId="6F30C756" w:rsidR="00130E8B" w:rsidRDefault="000405CC">
      <w:pPr>
        <w:pStyle w:val="a3"/>
        <w:rPr>
          <w:lang w:val="hu-HU"/>
        </w:rPr>
      </w:pPr>
      <w:r>
        <w:rPr>
          <w:rFonts w:eastAsia="Times New Roman"/>
          <w:lang w:val="hu-HU"/>
        </w:rPr>
        <w:t xml:space="preserve">A Yuflyma </w:t>
      </w:r>
      <w:r w:rsidR="009B1E6F">
        <w:rPr>
          <w:rFonts w:eastAsia="Times New Roman"/>
          <w:lang w:val="hu-HU"/>
        </w:rPr>
        <w:t xml:space="preserve">javasolt kezdő dózisa </w:t>
      </w:r>
      <w:r>
        <w:rPr>
          <w:rFonts w:eastAsia="Times New Roman"/>
          <w:lang w:val="hu-HU"/>
        </w:rPr>
        <w:t>felnőtt betegek részére kezdő</w:t>
      </w:r>
      <w:r w:rsidR="00CC7AF8">
        <w:rPr>
          <w:rFonts w:eastAsia="Times New Roman"/>
          <w:lang w:val="hu-HU"/>
        </w:rPr>
        <w:t xml:space="preserve"> </w:t>
      </w:r>
      <w:r>
        <w:rPr>
          <w:rFonts w:eastAsia="Times New Roman"/>
          <w:lang w:val="hu-HU"/>
        </w:rPr>
        <w:t xml:space="preserve">dózisként 80 mg </w:t>
      </w:r>
      <w:r w:rsidR="009B1E6F">
        <w:rPr>
          <w:rFonts w:eastAsia="Times New Roman"/>
          <w:lang w:val="hu-HU"/>
        </w:rPr>
        <w:t xml:space="preserve">subcutan </w:t>
      </w:r>
      <w:r>
        <w:rPr>
          <w:rFonts w:eastAsia="Times New Roman"/>
          <w:lang w:val="hu-HU"/>
        </w:rPr>
        <w:t xml:space="preserve">alkalmazva, amelyet a kezdődózis beadásától számított egy hét múlva minden második héten </w:t>
      </w:r>
      <w:r w:rsidR="009B1E6F">
        <w:rPr>
          <w:rFonts w:eastAsia="Times New Roman"/>
          <w:lang w:val="hu-HU"/>
        </w:rPr>
        <w:t xml:space="preserve">subcutan </w:t>
      </w:r>
      <w:r>
        <w:rPr>
          <w:rFonts w:eastAsia="Times New Roman"/>
          <w:lang w:val="hu-HU"/>
        </w:rPr>
        <w:t>beadott 40 mg- os dózisok követnek.</w:t>
      </w:r>
    </w:p>
    <w:p w14:paraId="061ECAC3" w14:textId="77777777" w:rsidR="00130E8B" w:rsidRDefault="00130E8B">
      <w:pPr>
        <w:spacing w:line="240" w:lineRule="exact"/>
        <w:rPr>
          <w:rFonts w:ascii="Times New Roman" w:hAnsi="Times New Roman" w:cs="Times New Roman"/>
          <w:lang w:val="hu-HU"/>
        </w:rPr>
      </w:pPr>
    </w:p>
    <w:p w14:paraId="66554BC4" w14:textId="3D5C2A40" w:rsidR="00130E8B" w:rsidRDefault="000405CC">
      <w:pPr>
        <w:pStyle w:val="a3"/>
        <w:rPr>
          <w:lang w:val="hu-HU"/>
        </w:rPr>
      </w:pPr>
      <w:r>
        <w:rPr>
          <w:rFonts w:eastAsia="Times New Roman"/>
          <w:lang w:val="hu-HU"/>
        </w:rPr>
        <w:t xml:space="preserve">A 16 hétnél hosszabb ideig tartó kezeléseket gondosan újra </w:t>
      </w:r>
      <w:r w:rsidR="009B1E6F">
        <w:rPr>
          <w:rFonts w:eastAsia="Times New Roman"/>
          <w:lang w:val="hu-HU"/>
        </w:rPr>
        <w:t>értékelni</w:t>
      </w:r>
      <w:r>
        <w:rPr>
          <w:rFonts w:eastAsia="Times New Roman"/>
          <w:lang w:val="hu-HU"/>
        </w:rPr>
        <w:t xml:space="preserve"> olyan betegek esetében, akik ezen időszak alatt nem reagáltak a terápiára.</w:t>
      </w:r>
    </w:p>
    <w:p w14:paraId="71488F7E" w14:textId="77777777" w:rsidR="00130E8B" w:rsidRDefault="00130E8B">
      <w:pPr>
        <w:spacing w:line="240" w:lineRule="exact"/>
        <w:rPr>
          <w:rFonts w:ascii="Times New Roman" w:hAnsi="Times New Roman" w:cs="Times New Roman"/>
          <w:lang w:val="hu-HU"/>
        </w:rPr>
      </w:pPr>
    </w:p>
    <w:p w14:paraId="07B5C731" w14:textId="16A34B4F" w:rsidR="00130E8B" w:rsidRDefault="000405CC">
      <w:pPr>
        <w:pStyle w:val="a3"/>
        <w:rPr>
          <w:lang w:val="hu-HU"/>
        </w:rPr>
      </w:pPr>
      <w:r>
        <w:rPr>
          <w:rFonts w:eastAsia="Times New Roman"/>
          <w:lang w:val="hu-HU"/>
        </w:rPr>
        <w:t xml:space="preserve">A 16. hét után azoknál a betegeknél, akik nem megfelelően reagáltak a a kéthetente adott 40 mg Yuflyma-kezelésre, előnyös lehet a </w:t>
      </w:r>
      <w:r w:rsidR="00F27EF7">
        <w:rPr>
          <w:rFonts w:eastAsia="Times New Roman"/>
          <w:lang w:val="hu-HU"/>
        </w:rPr>
        <w:t xml:space="preserve">dózis </w:t>
      </w:r>
      <w:r>
        <w:rPr>
          <w:rFonts w:eastAsia="Times New Roman"/>
          <w:lang w:val="hu-HU"/>
        </w:rPr>
        <w:t>növelése het</w:t>
      </w:r>
      <w:r w:rsidR="00F27EF7">
        <w:rPr>
          <w:rFonts w:eastAsia="Times New Roman"/>
          <w:lang w:val="hu-HU"/>
        </w:rPr>
        <w:t>ente</w:t>
      </w:r>
      <w:r>
        <w:rPr>
          <w:rFonts w:eastAsia="Times New Roman"/>
          <w:lang w:val="hu-HU"/>
        </w:rPr>
        <w:t xml:space="preserve"> 40 mg-ra vagy kéthetente 80 mg-ra. Alaposan mérlegelni kell a heti 40 mg vagy kéthetente 80 mg adagolásának előnyeit és kockázatait az olyan betegeknél, akik nem megfelelően reagáltak az adag növelése után (lásd 5.1 pont). Ha a het</w:t>
      </w:r>
      <w:r w:rsidR="00F27EF7">
        <w:rPr>
          <w:rFonts w:eastAsia="Times New Roman"/>
          <w:lang w:val="hu-HU"/>
        </w:rPr>
        <w:t>ente</w:t>
      </w:r>
      <w:r>
        <w:rPr>
          <w:rFonts w:eastAsia="Times New Roman"/>
          <w:lang w:val="hu-HU"/>
        </w:rPr>
        <w:t xml:space="preserve"> 40 mg vagy kéthetente 80 mg adagolással elérték a megfelelő választ, a dózis ezután kéthetente 40 mg-ra csökkenthető.</w:t>
      </w:r>
    </w:p>
    <w:p w14:paraId="63A7645C" w14:textId="77777777" w:rsidR="00130E8B" w:rsidRDefault="00130E8B">
      <w:pPr>
        <w:pStyle w:val="a3"/>
        <w:rPr>
          <w:lang w:val="hu-HU"/>
        </w:rPr>
      </w:pPr>
    </w:p>
    <w:p w14:paraId="27C21B27" w14:textId="77777777" w:rsidR="00130E8B" w:rsidRDefault="000405CC">
      <w:pPr>
        <w:rPr>
          <w:rFonts w:ascii="Times New Roman" w:eastAsia="Times New Roman" w:hAnsi="Times New Roman" w:cs="Times New Roman"/>
          <w:lang w:val="hu-HU"/>
        </w:rPr>
      </w:pPr>
      <w:r>
        <w:rPr>
          <w:rFonts w:ascii="Times New Roman" w:eastAsia="Times New Roman" w:hAnsi="Times New Roman" w:cs="Times New Roman"/>
          <w:i/>
          <w:iCs/>
          <w:spacing w:val="-1"/>
          <w:lang w:val="hu-HU"/>
        </w:rPr>
        <w:t>Hidradenitis suppurativa</w:t>
      </w:r>
    </w:p>
    <w:p w14:paraId="5C987910" w14:textId="77777777" w:rsidR="00130E8B" w:rsidRDefault="00130E8B">
      <w:pPr>
        <w:spacing w:line="240" w:lineRule="exact"/>
        <w:rPr>
          <w:rFonts w:ascii="Times New Roman" w:hAnsi="Times New Roman" w:cs="Times New Roman"/>
          <w:lang w:val="hu-HU"/>
        </w:rPr>
      </w:pPr>
    </w:p>
    <w:p w14:paraId="6069491B" w14:textId="5662DD83" w:rsidR="00130E8B" w:rsidRDefault="000405CC">
      <w:pPr>
        <w:pStyle w:val="a3"/>
        <w:rPr>
          <w:lang w:val="hu-HU"/>
        </w:rPr>
      </w:pPr>
      <w:r>
        <w:rPr>
          <w:rFonts w:eastAsia="Times New Roman"/>
          <w:lang w:val="hu-HU"/>
        </w:rPr>
        <w:t>A Yuflyma javasolt adagja hidradenitis suppurativ</w:t>
      </w:r>
      <w:r w:rsidR="0049166B">
        <w:rPr>
          <w:rFonts w:eastAsia="Times New Roman"/>
          <w:lang w:val="hu-HU"/>
        </w:rPr>
        <w:t>a-</w:t>
      </w:r>
      <w:r>
        <w:rPr>
          <w:rFonts w:eastAsia="Times New Roman"/>
          <w:lang w:val="hu-HU"/>
        </w:rPr>
        <w:t xml:space="preserve">ban (HS) szenvedő felnőttek indukciós kezelésére </w:t>
      </w:r>
      <w:r w:rsidR="0049166B">
        <w:rPr>
          <w:rFonts w:eastAsia="Times New Roman"/>
          <w:lang w:val="hu-HU"/>
        </w:rPr>
        <w:t xml:space="preserve">az </w:t>
      </w:r>
      <w:r w:rsidR="0049166B">
        <w:rPr>
          <w:lang w:val="hu-HU"/>
        </w:rPr>
        <w:t>első</w:t>
      </w:r>
      <w:r w:rsidR="0049166B" w:rsidRPr="00E669A2">
        <w:rPr>
          <w:lang w:val="hu-HU"/>
        </w:rPr>
        <w:t xml:space="preserve"> napon 160 mg (négy 40 mg-os injekció egy nap alatt, vagy két 40 mg-os injekció naponta, két</w:t>
      </w:r>
      <w:r w:rsidR="0049166B">
        <w:rPr>
          <w:lang w:val="hu-HU"/>
        </w:rPr>
        <w:t xml:space="preserve"> </w:t>
      </w:r>
      <w:r w:rsidR="0049166B" w:rsidRPr="00DA48CC">
        <w:rPr>
          <w:rFonts w:eastAsia="TimesNewRomanPSMT"/>
          <w:lang w:val="hu-HU"/>
        </w:rPr>
        <w:t>egymást követő napon), majd 80 mg két héttel később, a 15 napon (két 40 mg-os injekció egy nap</w:t>
      </w:r>
      <w:r w:rsidR="0049166B">
        <w:rPr>
          <w:rFonts w:eastAsia="TimesNewRomanPSMT"/>
          <w:lang w:val="hu-HU"/>
        </w:rPr>
        <w:t xml:space="preserve"> </w:t>
      </w:r>
      <w:r w:rsidR="0049166B" w:rsidRPr="00DA48CC">
        <w:rPr>
          <w:rFonts w:eastAsia="TimesNewRomanPSMT"/>
          <w:lang w:val="hu-HU"/>
        </w:rPr>
        <w:t>alatt). Két héttel később (29. nap) az adagolást hetente egyszer adott 40 mg vagy minden</w:t>
      </w:r>
      <w:r w:rsidR="0049166B">
        <w:rPr>
          <w:rFonts w:eastAsia="TimesNewRomanPSMT"/>
          <w:lang w:val="hu-HU"/>
        </w:rPr>
        <w:t xml:space="preserve"> </w:t>
      </w:r>
      <w:r w:rsidR="0049166B" w:rsidRPr="00E669A2">
        <w:rPr>
          <w:lang w:val="hu-HU"/>
        </w:rPr>
        <w:t>második héten adott 80 mg adásával kell folytatni (két 40 mg-os injekció egy nap alatt</w:t>
      </w:r>
      <w:r w:rsidR="0049166B">
        <w:rPr>
          <w:lang w:val="hu-HU"/>
        </w:rPr>
        <w:t>)</w:t>
      </w:r>
      <w:r w:rsidR="0049166B" w:rsidRPr="00E669A2">
        <w:rPr>
          <w:rFonts w:eastAsia="Times New Roman"/>
          <w:lang w:val="hu-HU"/>
        </w:rPr>
        <w:t>. Antibiotikum adása folytatható a Yuflyma kezelés alatt</w:t>
      </w:r>
      <w:r w:rsidR="0049166B">
        <w:rPr>
          <w:rFonts w:eastAsia="Times New Roman"/>
          <w:lang w:val="hu-HU"/>
        </w:rPr>
        <w:t xml:space="preserve"> szükség esetén. A</w:t>
      </w:r>
      <w:r w:rsidR="0049166B" w:rsidRPr="00E669A2">
        <w:rPr>
          <w:rFonts w:eastAsia="Times New Roman"/>
          <w:lang w:val="hu-HU"/>
        </w:rPr>
        <w:t xml:space="preserve"> </w:t>
      </w:r>
      <w:r w:rsidR="0049166B">
        <w:rPr>
          <w:rFonts w:eastAsia="Times New Roman"/>
          <w:lang w:val="hu-HU"/>
        </w:rPr>
        <w:t xml:space="preserve">Yuflyma kezelés alatt </w:t>
      </w:r>
      <w:r w:rsidR="0049166B" w:rsidRPr="00DA48CC">
        <w:rPr>
          <w:rFonts w:eastAsia="TimesNewRomanPSMT"/>
          <w:lang w:val="hu-HU"/>
        </w:rPr>
        <w:t>javasolt a HS-es bőrelváltozások lokális antiszeptikus mosakodóval történő napi szintű</w:t>
      </w:r>
      <w:r w:rsidR="0049166B">
        <w:rPr>
          <w:rFonts w:eastAsia="TimesNewRomanPSMT"/>
          <w:lang w:val="hu-HU"/>
        </w:rPr>
        <w:t xml:space="preserve"> </w:t>
      </w:r>
      <w:r w:rsidR="0049166B" w:rsidRPr="00E669A2">
        <w:rPr>
          <w:rFonts w:eastAsia="TimesNewRomanPSMT"/>
          <w:lang w:val="hu-HU"/>
        </w:rPr>
        <w:t>kezelése</w:t>
      </w:r>
      <w:r w:rsidR="0049166B">
        <w:rPr>
          <w:rFonts w:eastAsia="TimesNewRomanPSMT"/>
          <w:lang w:val="hu-HU"/>
        </w:rPr>
        <w:t>.</w:t>
      </w:r>
    </w:p>
    <w:p w14:paraId="42267909" w14:textId="77777777" w:rsidR="00130E8B" w:rsidRDefault="00130E8B">
      <w:pPr>
        <w:spacing w:line="240" w:lineRule="exact"/>
        <w:rPr>
          <w:rFonts w:ascii="Times New Roman" w:hAnsi="Times New Roman" w:cs="Times New Roman"/>
          <w:lang w:val="hu-HU"/>
        </w:rPr>
      </w:pPr>
    </w:p>
    <w:p w14:paraId="27644238" w14:textId="5BA9B87D" w:rsidR="00130E8B" w:rsidRDefault="0049166B">
      <w:pPr>
        <w:spacing w:line="240" w:lineRule="exact"/>
        <w:rPr>
          <w:rFonts w:ascii="Times New Roman" w:hAnsi="Times New Roman" w:cs="Times New Roman"/>
          <w:lang w:val="hu-HU"/>
        </w:rPr>
      </w:pPr>
      <w:r w:rsidRPr="00DA48CC">
        <w:rPr>
          <w:rFonts w:ascii="Times New Roman" w:eastAsia="TimesNewRomanPSMT" w:hAnsi="Times New Roman" w:cs="Times New Roman"/>
          <w:lang w:val="hu-HU"/>
        </w:rPr>
        <w:t>12 héten túli kezelést alaposan meg kell fontolni azoknál a betegeknél, akiknél ezen időszak</w:t>
      </w:r>
      <w:r>
        <w:rPr>
          <w:rFonts w:eastAsia="TimesNewRomanPSMT"/>
          <w:lang w:val="hu-HU"/>
        </w:rPr>
        <w:t xml:space="preserve"> </w:t>
      </w:r>
      <w:r w:rsidRPr="00DA48CC">
        <w:rPr>
          <w:rFonts w:ascii="Times New Roman" w:eastAsia="TimesNewRomanPSMT" w:hAnsi="Times New Roman" w:cs="Times New Roman"/>
          <w:lang w:val="hu-HU"/>
        </w:rPr>
        <w:t>alatt nem észlelhető javulás</w:t>
      </w:r>
      <w:r w:rsidR="000405CC">
        <w:rPr>
          <w:rFonts w:eastAsia="Times New Roman"/>
          <w:lang w:val="hu-HU"/>
        </w:rPr>
        <w:t>.</w:t>
      </w:r>
    </w:p>
    <w:p w14:paraId="4C4D27C6" w14:textId="5266AE6D" w:rsidR="00130E8B" w:rsidRDefault="000405CC">
      <w:pPr>
        <w:pStyle w:val="a3"/>
        <w:rPr>
          <w:lang w:val="hu-HU"/>
        </w:rPr>
      </w:pPr>
      <w:r>
        <w:rPr>
          <w:rFonts w:eastAsia="Times New Roman"/>
          <w:lang w:val="hu-HU"/>
        </w:rPr>
        <w:t>Amennyiben a kezelés</w:t>
      </w:r>
      <w:r w:rsidR="0049166B">
        <w:rPr>
          <w:rFonts w:eastAsia="Times New Roman"/>
          <w:lang w:val="hu-HU"/>
        </w:rPr>
        <w:t>t</w:t>
      </w:r>
      <w:r>
        <w:rPr>
          <w:rFonts w:eastAsia="Times New Roman"/>
          <w:lang w:val="hu-HU"/>
        </w:rPr>
        <w:t xml:space="preserve"> meg</w:t>
      </w:r>
      <w:r w:rsidR="0049166B">
        <w:rPr>
          <w:rFonts w:eastAsia="Times New Roman"/>
          <w:lang w:val="hu-HU"/>
        </w:rPr>
        <w:t xml:space="preserve"> kell szakítani</w:t>
      </w:r>
      <w:r>
        <w:rPr>
          <w:rFonts w:eastAsia="Times New Roman"/>
          <w:lang w:val="hu-HU"/>
        </w:rPr>
        <w:t>, het</w:t>
      </w:r>
      <w:r w:rsidR="0049166B">
        <w:rPr>
          <w:rFonts w:eastAsia="Times New Roman"/>
          <w:lang w:val="hu-HU"/>
        </w:rPr>
        <w:t>ente</w:t>
      </w:r>
      <w:r>
        <w:rPr>
          <w:rFonts w:eastAsia="Times New Roman"/>
          <w:lang w:val="hu-HU"/>
        </w:rPr>
        <w:t xml:space="preserve"> 40 mg vagy kéthetente 80 mg Yuflyma adá</w:t>
      </w:r>
      <w:r w:rsidR="0049166B">
        <w:rPr>
          <w:rFonts w:eastAsia="Times New Roman"/>
          <w:lang w:val="hu-HU"/>
        </w:rPr>
        <w:t>sával</w:t>
      </w:r>
      <w:r>
        <w:rPr>
          <w:rFonts w:eastAsia="Times New Roman"/>
          <w:lang w:val="hu-HU"/>
        </w:rPr>
        <w:t xml:space="preserve"> újrakezdhető (lásd 5.1 pont).</w:t>
      </w:r>
    </w:p>
    <w:p w14:paraId="46FBB111" w14:textId="77777777" w:rsidR="00130E8B" w:rsidRDefault="00130E8B">
      <w:pPr>
        <w:pStyle w:val="a3"/>
        <w:rPr>
          <w:lang w:val="hu-HU"/>
        </w:rPr>
      </w:pPr>
    </w:p>
    <w:p w14:paraId="40C4C6B9" w14:textId="77777777" w:rsidR="00130E8B" w:rsidRDefault="000405CC">
      <w:pPr>
        <w:pStyle w:val="a3"/>
        <w:rPr>
          <w:lang w:val="hu-HU"/>
        </w:rPr>
      </w:pPr>
      <w:r>
        <w:rPr>
          <w:rFonts w:eastAsia="Times New Roman"/>
          <w:lang w:val="hu-HU"/>
        </w:rPr>
        <w:t>A hosszú távú kezelés előnyeit és kockázatát időszakosan mérlegelni kell (lásd 5.1 pont).</w:t>
      </w:r>
    </w:p>
    <w:p w14:paraId="5808701C" w14:textId="77777777" w:rsidR="00130E8B" w:rsidRDefault="00130E8B">
      <w:pPr>
        <w:rPr>
          <w:rFonts w:ascii="Times New Roman" w:eastAsia="Times New Roman" w:hAnsi="Times New Roman" w:cs="Times New Roman"/>
          <w:i/>
          <w:spacing w:val="-1"/>
          <w:lang w:val="hu-HU"/>
        </w:rPr>
      </w:pPr>
    </w:p>
    <w:p w14:paraId="56C1D842" w14:textId="77777777" w:rsidR="00130E8B" w:rsidRDefault="000405CC">
      <w:pPr>
        <w:rPr>
          <w:rFonts w:ascii="Times New Roman" w:eastAsia="Times New Roman" w:hAnsi="Times New Roman" w:cs="Times New Roman"/>
          <w:lang w:val="hu-HU"/>
        </w:rPr>
      </w:pPr>
      <w:r>
        <w:rPr>
          <w:rFonts w:ascii="Times New Roman" w:eastAsia="Times New Roman" w:hAnsi="Times New Roman" w:cs="Times New Roman"/>
          <w:i/>
          <w:iCs/>
          <w:spacing w:val="-1"/>
          <w:lang w:val="hu-HU"/>
        </w:rPr>
        <w:t>Crohn-betegség</w:t>
      </w:r>
    </w:p>
    <w:p w14:paraId="65924001" w14:textId="77777777" w:rsidR="00130E8B" w:rsidRDefault="00130E8B">
      <w:pPr>
        <w:spacing w:line="240" w:lineRule="exact"/>
        <w:rPr>
          <w:rFonts w:ascii="Times New Roman" w:hAnsi="Times New Roman" w:cs="Times New Roman"/>
          <w:lang w:val="hu-HU"/>
        </w:rPr>
      </w:pPr>
    </w:p>
    <w:p w14:paraId="36AE5303" w14:textId="6D37A5C5" w:rsidR="00130E8B" w:rsidRDefault="000405CC">
      <w:pPr>
        <w:pStyle w:val="a3"/>
        <w:rPr>
          <w:lang w:val="hu-HU"/>
        </w:rPr>
      </w:pPr>
      <w:r>
        <w:rPr>
          <w:rFonts w:eastAsia="Times New Roman"/>
          <w:lang w:val="hu-HU"/>
        </w:rPr>
        <w:t xml:space="preserve">A közepesen súlyos–súlyos aktív Crohn-betegségben szenvedő felnőtt betegek esetében a javasolt Yuflyma indukciós adagolási rend 80 mg a 0. héten, amelyet a 2. héten 40 mg követ. Abban az esetben, ha a kezelésre gyorsabb válaszra van szükség, a 0. héten alkalmazott 160 mg-os adagolási rend (négy 40 mg-os injekció formájában egy nap alatt vagy két 40 mg-os injekció formájában naponta két egymást követő napon), </w:t>
      </w:r>
      <w:r w:rsidR="00B90FEB">
        <w:rPr>
          <w:rFonts w:eastAsia="Times New Roman"/>
          <w:lang w:val="hu-HU"/>
        </w:rPr>
        <w:t xml:space="preserve">majd </w:t>
      </w:r>
      <w:r>
        <w:rPr>
          <w:rFonts w:eastAsia="Times New Roman"/>
          <w:lang w:val="hu-HU"/>
        </w:rPr>
        <w:t xml:space="preserve">a 2. héten alkalmazott 80 mg-os adagolási rend (két 40 mg-os injekció formájában egy nap alatt) alkalmazható azzal a tudattal, hogy a nemkívánatos </w:t>
      </w:r>
      <w:r w:rsidR="006C3BEF">
        <w:rPr>
          <w:rFonts w:eastAsia="Times New Roman"/>
          <w:lang w:val="hu-HU"/>
        </w:rPr>
        <w:t>hatások kialakulásának</w:t>
      </w:r>
      <w:r>
        <w:rPr>
          <w:rFonts w:eastAsia="Times New Roman"/>
          <w:lang w:val="hu-HU"/>
        </w:rPr>
        <w:t xml:space="preserve"> kockázata nagyobb az indukció során.</w:t>
      </w:r>
    </w:p>
    <w:p w14:paraId="58B35C1A" w14:textId="77777777" w:rsidR="00130E8B" w:rsidRDefault="00130E8B">
      <w:pPr>
        <w:spacing w:line="240" w:lineRule="exact"/>
        <w:rPr>
          <w:rFonts w:ascii="Times New Roman" w:hAnsi="Times New Roman" w:cs="Times New Roman"/>
          <w:lang w:val="hu-HU"/>
        </w:rPr>
      </w:pPr>
    </w:p>
    <w:p w14:paraId="73E12C41" w14:textId="2083804C" w:rsidR="00130E8B" w:rsidRDefault="000405CC">
      <w:pPr>
        <w:pStyle w:val="a3"/>
        <w:rPr>
          <w:lang w:val="hu-HU"/>
        </w:rPr>
      </w:pPr>
      <w:r>
        <w:rPr>
          <w:rFonts w:eastAsia="Times New Roman"/>
          <w:lang w:val="hu-HU"/>
        </w:rPr>
        <w:t xml:space="preserve">Az indukciós kezelést követően a javasolt adag 40 mg minden második héten, subcután injekcióban. Ha a betegnél abbahagyták a Yuflyma alkalmazását, és kiújulnak a betegség okozta </w:t>
      </w:r>
      <w:r w:rsidR="006C3BEF">
        <w:rPr>
          <w:rFonts w:eastAsia="Times New Roman"/>
          <w:lang w:val="hu-HU"/>
        </w:rPr>
        <w:t xml:space="preserve">jelek </w:t>
      </w:r>
      <w:r>
        <w:rPr>
          <w:rFonts w:eastAsia="Times New Roman"/>
          <w:lang w:val="hu-HU"/>
        </w:rPr>
        <w:t>és tünetek, újrakezdhető a Yuflyma adása. Kevés a tapasztalat a kezelés újrakezdésével, ha az előző dózis beadása után 8 hétnél hosszabb idő telt el.</w:t>
      </w:r>
    </w:p>
    <w:p w14:paraId="206BBF83" w14:textId="77777777" w:rsidR="00130E8B" w:rsidRDefault="00130E8B">
      <w:pPr>
        <w:spacing w:line="240" w:lineRule="exact"/>
        <w:rPr>
          <w:rFonts w:ascii="Times New Roman" w:hAnsi="Times New Roman" w:cs="Times New Roman"/>
          <w:lang w:val="hu-HU"/>
        </w:rPr>
      </w:pPr>
    </w:p>
    <w:p w14:paraId="609ECED8" w14:textId="6FDD9F66" w:rsidR="006C3BEF" w:rsidRPr="001F7351" w:rsidRDefault="000405CC" w:rsidP="006C3BEF">
      <w:pPr>
        <w:rPr>
          <w:rFonts w:ascii="Times New Roman" w:eastAsia="TimesNewRomanPSMT" w:hAnsi="Times New Roman" w:cs="Times New Roman"/>
          <w:lang w:val="hu-HU"/>
        </w:rPr>
      </w:pPr>
      <w:r w:rsidRPr="009167C6">
        <w:rPr>
          <w:rFonts w:ascii="Times New Roman" w:eastAsia="Times New Roman" w:hAnsi="Times New Roman" w:cs="Times New Roman"/>
          <w:lang w:val="hu-HU"/>
        </w:rPr>
        <w:t xml:space="preserve">A fenntartó kezelés során a kortikoszteroidokat a klinikai </w:t>
      </w:r>
      <w:r w:rsidR="006C3BEF" w:rsidRPr="006C3BEF">
        <w:rPr>
          <w:rFonts w:ascii="Times New Roman" w:eastAsia="TimesNewRomanPSMT" w:hAnsi="Times New Roman" w:cs="Times New Roman"/>
          <w:lang w:val="hu-HU"/>
        </w:rPr>
        <w:t>gyakorlati</w:t>
      </w:r>
      <w:r w:rsidR="006C3BEF" w:rsidRPr="009167C6">
        <w:rPr>
          <w:rFonts w:ascii="Times New Roman" w:eastAsia="Times New Roman" w:hAnsi="Times New Roman" w:cs="Times New Roman"/>
          <w:lang w:val="hu-HU"/>
        </w:rPr>
        <w:t xml:space="preserve"> </w:t>
      </w:r>
      <w:r w:rsidRPr="009167C6">
        <w:rPr>
          <w:rFonts w:ascii="Times New Roman" w:eastAsia="Times New Roman" w:hAnsi="Times New Roman" w:cs="Times New Roman"/>
          <w:lang w:val="hu-HU"/>
        </w:rPr>
        <w:t>irányelvek</w:t>
      </w:r>
      <w:r w:rsidR="006C3BEF" w:rsidRPr="009167C6">
        <w:rPr>
          <w:rFonts w:ascii="Times New Roman" w:eastAsia="Times New Roman" w:hAnsi="Times New Roman" w:cs="Times New Roman"/>
          <w:lang w:val="hu-HU"/>
        </w:rPr>
        <w:t>nek</w:t>
      </w:r>
      <w:r w:rsidRPr="009167C6">
        <w:rPr>
          <w:rFonts w:ascii="Times New Roman" w:eastAsia="Times New Roman" w:hAnsi="Times New Roman" w:cs="Times New Roman"/>
          <w:lang w:val="hu-HU"/>
        </w:rPr>
        <w:t xml:space="preserve"> </w:t>
      </w:r>
      <w:r w:rsidR="006C3BEF" w:rsidRPr="006C3BEF">
        <w:rPr>
          <w:rFonts w:ascii="Times New Roman" w:eastAsia="TimesNewRomanPSMT" w:hAnsi="Times New Roman" w:cs="Times New Roman"/>
          <w:lang w:val="hu-HU"/>
        </w:rPr>
        <w:t>megfelelő módon leépíthetők.</w:t>
      </w:r>
    </w:p>
    <w:p w14:paraId="25B65993" w14:textId="77777777" w:rsidR="00130E8B" w:rsidRDefault="000405CC">
      <w:pPr>
        <w:pStyle w:val="a3"/>
        <w:rPr>
          <w:lang w:val="hu-HU"/>
        </w:rPr>
      </w:pPr>
      <w:r>
        <w:rPr>
          <w:rFonts w:eastAsia="Times New Roman"/>
          <w:lang w:val="hu-HU"/>
        </w:rPr>
        <w:t>Olyan betegek esetében, akiknél hatáscsökkenés mutatkozik a minden második héten alkalmazott 40 mg Yuflyma-kezelés mellett, jó eredmény érhető el a dózis hetenkénti 40 mg vagy kéthetente 80 mg Yuflyma-ra való emelésével.</w:t>
      </w:r>
    </w:p>
    <w:p w14:paraId="5F972BC0" w14:textId="77777777" w:rsidR="00130E8B" w:rsidRDefault="00130E8B">
      <w:pPr>
        <w:spacing w:line="240" w:lineRule="exact"/>
        <w:rPr>
          <w:rFonts w:ascii="Times New Roman" w:hAnsi="Times New Roman" w:cs="Times New Roman"/>
          <w:lang w:val="hu-HU"/>
        </w:rPr>
      </w:pPr>
    </w:p>
    <w:p w14:paraId="45764C4D" w14:textId="20C60569" w:rsidR="006C3BEF" w:rsidRDefault="000405CC" w:rsidP="006C3BEF">
      <w:pPr>
        <w:pStyle w:val="a3"/>
        <w:rPr>
          <w:lang w:val="hu-HU"/>
        </w:rPr>
      </w:pPr>
      <w:r>
        <w:rPr>
          <w:rFonts w:eastAsia="Times New Roman"/>
          <w:lang w:val="hu-HU"/>
        </w:rPr>
        <w:t>Azoknál a betegeknél, akiknél a kezelés 4. hetéig nem jelentkezik terápiás hatás, előnyös lehet a fenntartó kezelés folytatása a 12 hét</w:t>
      </w:r>
      <w:r w:rsidR="006C3BEF">
        <w:rPr>
          <w:rFonts w:eastAsia="Times New Roman"/>
          <w:lang w:val="hu-HU"/>
        </w:rPr>
        <w:t>en át</w:t>
      </w:r>
      <w:r>
        <w:rPr>
          <w:rFonts w:eastAsia="Times New Roman"/>
          <w:lang w:val="hu-HU"/>
        </w:rPr>
        <w:t xml:space="preserve">. A kezelés folytatását </w:t>
      </w:r>
      <w:r w:rsidR="006C3BEF">
        <w:rPr>
          <w:rFonts w:eastAsia="Times New Roman"/>
          <w:lang w:val="hu-HU"/>
        </w:rPr>
        <w:t>felül kell vizsgálni azoknál a betegeknél,akik ezen időszak alatt sem reagáltak a kezelésre.</w:t>
      </w:r>
    </w:p>
    <w:p w14:paraId="25DFDE6D" w14:textId="77777777" w:rsidR="00130E8B" w:rsidRDefault="00130E8B" w:rsidP="006C3BEF">
      <w:pPr>
        <w:rPr>
          <w:rFonts w:ascii="Times New Roman" w:hAnsi="Times New Roman" w:cs="Times New Roman"/>
          <w:lang w:val="hu-HU"/>
        </w:rPr>
      </w:pPr>
    </w:p>
    <w:p w14:paraId="1864C1A9" w14:textId="77777777" w:rsidR="00130E8B" w:rsidRDefault="000405CC">
      <w:pPr>
        <w:rPr>
          <w:rFonts w:ascii="Times New Roman" w:eastAsia="Times New Roman" w:hAnsi="Times New Roman" w:cs="Times New Roman"/>
          <w:lang w:val="hu-HU"/>
        </w:rPr>
      </w:pPr>
      <w:r>
        <w:rPr>
          <w:rFonts w:ascii="Times New Roman" w:eastAsia="Times New Roman" w:hAnsi="Times New Roman" w:cs="Times New Roman"/>
          <w:i/>
          <w:iCs/>
          <w:spacing w:val="-1"/>
          <w:lang w:val="hu-HU"/>
        </w:rPr>
        <w:t>Colitis ulcerosa</w:t>
      </w:r>
    </w:p>
    <w:p w14:paraId="6C661D80" w14:textId="77777777" w:rsidR="00130E8B" w:rsidRDefault="00130E8B">
      <w:pPr>
        <w:spacing w:line="240" w:lineRule="exact"/>
        <w:rPr>
          <w:rFonts w:ascii="Times New Roman" w:hAnsi="Times New Roman" w:cs="Times New Roman"/>
          <w:lang w:val="hu-HU"/>
        </w:rPr>
      </w:pPr>
    </w:p>
    <w:p w14:paraId="24869EAE" w14:textId="570C4F30" w:rsidR="00130E8B" w:rsidRDefault="000405CC">
      <w:pPr>
        <w:pStyle w:val="a3"/>
        <w:rPr>
          <w:lang w:val="hu-HU"/>
        </w:rPr>
      </w:pPr>
      <w:r>
        <w:rPr>
          <w:rFonts w:eastAsia="Times New Roman"/>
          <w:lang w:val="hu-HU"/>
        </w:rPr>
        <w:t>A javasolt Yuflyma</w:t>
      </w:r>
      <w:r w:rsidR="00FA734A" w:rsidRPr="00FA734A">
        <w:rPr>
          <w:rFonts w:eastAsia="Times New Roman"/>
          <w:lang w:val="hu-HU"/>
        </w:rPr>
        <w:t xml:space="preserve"> </w:t>
      </w:r>
      <w:r w:rsidR="00FA734A">
        <w:rPr>
          <w:rFonts w:eastAsia="Times New Roman"/>
          <w:lang w:val="hu-HU"/>
        </w:rPr>
        <w:t>javasolt</w:t>
      </w:r>
      <w:r>
        <w:rPr>
          <w:rFonts w:eastAsia="Times New Roman"/>
          <w:lang w:val="hu-HU"/>
        </w:rPr>
        <w:t xml:space="preserve"> indukciós </w:t>
      </w:r>
      <w:r w:rsidR="00FA734A">
        <w:rPr>
          <w:rFonts w:eastAsia="Times New Roman"/>
          <w:lang w:val="hu-HU"/>
        </w:rPr>
        <w:t xml:space="preserve">dózisa </w:t>
      </w:r>
      <w:r>
        <w:rPr>
          <w:rFonts w:eastAsia="Times New Roman"/>
          <w:lang w:val="hu-HU"/>
        </w:rPr>
        <w:t>közepesen súlyos–</w:t>
      </w:r>
      <w:r w:rsidR="00DC7496" w:rsidRPr="009167C6">
        <w:rPr>
          <w:lang w:val="hu-HU"/>
        </w:rPr>
        <w:t> </w:t>
      </w:r>
      <w:r w:rsidR="00DC7496">
        <w:rPr>
          <w:rFonts w:eastAsia="Times New Roman"/>
          <w:lang w:val="hu-HU"/>
        </w:rPr>
        <w:t xml:space="preserve"> </w:t>
      </w:r>
      <w:r>
        <w:rPr>
          <w:rFonts w:eastAsia="Times New Roman"/>
          <w:lang w:val="hu-HU"/>
        </w:rPr>
        <w:t>súlyos fekélyes vastagbélgyulladásban szenvedő felnőtt betegeknél 160 mg a 0. héten (négy 40 mg-os injekció formájában, egy nap alatt vagy két 40 mg-os injekció formájában, két egymást követő napon) és 80 mg a 2. héten (két 40 mg-os injekció formájában, egy nap alatt). Az indukciós kezelést követően a javasolt adag 40 mg minden második héten, subcután injekcióban.</w:t>
      </w:r>
    </w:p>
    <w:p w14:paraId="5B823155" w14:textId="77777777" w:rsidR="00130E8B" w:rsidRDefault="00130E8B">
      <w:pPr>
        <w:spacing w:line="240" w:lineRule="exact"/>
        <w:rPr>
          <w:rFonts w:ascii="Times New Roman" w:hAnsi="Times New Roman" w:cs="Times New Roman"/>
          <w:lang w:val="hu-HU"/>
        </w:rPr>
      </w:pPr>
    </w:p>
    <w:p w14:paraId="2CAB6598" w14:textId="0E46D1E9" w:rsidR="00FA734A" w:rsidRDefault="000405CC" w:rsidP="00FA734A">
      <w:pPr>
        <w:pStyle w:val="a3"/>
        <w:rPr>
          <w:lang w:val="hu-HU"/>
        </w:rPr>
      </w:pPr>
      <w:r>
        <w:rPr>
          <w:rFonts w:eastAsia="Times New Roman"/>
          <w:lang w:val="hu-HU"/>
        </w:rPr>
        <w:t>A fenntartó kezelés során a kortikoszteroidokat a klinikai</w:t>
      </w:r>
      <w:r w:rsidR="00FA734A">
        <w:rPr>
          <w:rFonts w:eastAsia="Times New Roman"/>
          <w:lang w:val="hu-HU"/>
        </w:rPr>
        <w:t xml:space="preserve"> gyakorlati</w:t>
      </w:r>
      <w:r>
        <w:rPr>
          <w:rFonts w:eastAsia="Times New Roman"/>
          <w:lang w:val="hu-HU"/>
        </w:rPr>
        <w:t xml:space="preserve"> irányelvek</w:t>
      </w:r>
      <w:r w:rsidR="00FA734A">
        <w:rPr>
          <w:rFonts w:eastAsia="Times New Roman"/>
          <w:lang w:val="hu-HU"/>
        </w:rPr>
        <w:t>nek</w:t>
      </w:r>
      <w:r>
        <w:rPr>
          <w:rFonts w:eastAsia="Times New Roman"/>
          <w:lang w:val="hu-HU"/>
        </w:rPr>
        <w:t xml:space="preserve"> </w:t>
      </w:r>
      <w:r w:rsidR="00FA734A">
        <w:rPr>
          <w:rFonts w:eastAsia="Times New Roman"/>
          <w:lang w:val="hu-HU"/>
        </w:rPr>
        <w:t>megfelelő módon leépíthetők.</w:t>
      </w:r>
    </w:p>
    <w:p w14:paraId="342D079C" w14:textId="77777777" w:rsidR="00130E8B" w:rsidRDefault="00130E8B">
      <w:pPr>
        <w:pStyle w:val="a3"/>
        <w:rPr>
          <w:lang w:val="hu-HU"/>
        </w:rPr>
      </w:pPr>
    </w:p>
    <w:p w14:paraId="3E89C343" w14:textId="77777777" w:rsidR="00130E8B" w:rsidRDefault="000405CC">
      <w:pPr>
        <w:pStyle w:val="a3"/>
        <w:rPr>
          <w:lang w:val="hu-HU"/>
        </w:rPr>
      </w:pPr>
      <w:r>
        <w:rPr>
          <w:rFonts w:eastAsia="Times New Roman"/>
          <w:spacing w:val="-2"/>
          <w:lang w:val="hu-HU"/>
        </w:rPr>
        <w:t>Olyan betegek esetében, akiknél hatáscsökkenés mutatkozik a minden második héten alkalmazott 40 mg Yuflyma-kezelés mellett, jó eredmény érhető el a dózis hetenkénti 40 mg vagy kéthetente 80 mg Yuflyma-ra való emelésével.</w:t>
      </w:r>
    </w:p>
    <w:p w14:paraId="4614C824" w14:textId="77777777" w:rsidR="00130E8B" w:rsidRDefault="00130E8B">
      <w:pPr>
        <w:spacing w:line="240" w:lineRule="exact"/>
        <w:rPr>
          <w:rFonts w:ascii="Times New Roman" w:hAnsi="Times New Roman" w:cs="Times New Roman"/>
          <w:lang w:val="hu-HU"/>
        </w:rPr>
      </w:pPr>
    </w:p>
    <w:p w14:paraId="264EEF03" w14:textId="6AD5801C" w:rsidR="00130E8B" w:rsidRDefault="000405CC">
      <w:pPr>
        <w:pStyle w:val="a3"/>
        <w:rPr>
          <w:lang w:val="hu-HU"/>
        </w:rPr>
      </w:pPr>
      <w:r>
        <w:rPr>
          <w:rFonts w:eastAsia="Times New Roman"/>
          <w:lang w:val="hu-HU"/>
        </w:rPr>
        <w:t xml:space="preserve">A rendelkezésre álló adatok alapján a kezelésre adott klinikai választ általában 2 - 8 héten belül </w:t>
      </w:r>
      <w:r w:rsidR="00FA734A">
        <w:rPr>
          <w:rFonts w:eastAsia="Times New Roman"/>
          <w:lang w:val="hu-HU"/>
        </w:rPr>
        <w:t>kialakúl</w:t>
      </w:r>
      <w:r>
        <w:rPr>
          <w:rFonts w:eastAsia="Times New Roman"/>
          <w:lang w:val="hu-HU"/>
        </w:rPr>
        <w:t xml:space="preserve">. Azoknál a betegeknél, akik nem reagálnak ennyi idő alatt a terápiára, a </w:t>
      </w:r>
      <w:r>
        <w:rPr>
          <w:rFonts w:eastAsia="Times New Roman"/>
          <w:spacing w:val="-2"/>
          <w:lang w:val="hu-HU"/>
        </w:rPr>
        <w:t>Yuflyma</w:t>
      </w:r>
      <w:r>
        <w:rPr>
          <w:rFonts w:eastAsia="Times New Roman"/>
          <w:lang w:val="hu-HU"/>
        </w:rPr>
        <w:t>-kezelés folytatása nem javasolt.</w:t>
      </w:r>
    </w:p>
    <w:p w14:paraId="3D340914" w14:textId="77777777" w:rsidR="00130E8B" w:rsidRDefault="00130E8B">
      <w:pPr>
        <w:rPr>
          <w:rFonts w:ascii="Times New Roman" w:eastAsia="Times New Roman" w:hAnsi="Times New Roman" w:cs="Times New Roman"/>
          <w:i/>
          <w:lang w:val="hu-HU"/>
        </w:rPr>
      </w:pPr>
    </w:p>
    <w:p w14:paraId="104D0695" w14:textId="77777777" w:rsidR="00130E8B" w:rsidRDefault="000405CC">
      <w:pPr>
        <w:rPr>
          <w:rFonts w:ascii="Times New Roman" w:eastAsia="Times New Roman" w:hAnsi="Times New Roman" w:cs="Times New Roman"/>
          <w:lang w:val="hu-HU"/>
        </w:rPr>
      </w:pPr>
      <w:r>
        <w:rPr>
          <w:rFonts w:ascii="Times New Roman" w:eastAsia="Times New Roman" w:hAnsi="Times New Roman" w:cs="Times New Roman"/>
          <w:i/>
          <w:iCs/>
          <w:lang w:val="hu-HU"/>
        </w:rPr>
        <w:t>Uveitis</w:t>
      </w:r>
    </w:p>
    <w:p w14:paraId="76022C16" w14:textId="77777777" w:rsidR="00130E8B" w:rsidRDefault="00130E8B">
      <w:pPr>
        <w:spacing w:line="240" w:lineRule="exact"/>
        <w:rPr>
          <w:rFonts w:ascii="Times New Roman" w:hAnsi="Times New Roman" w:cs="Times New Roman"/>
          <w:lang w:val="hu-HU"/>
        </w:rPr>
      </w:pPr>
    </w:p>
    <w:p w14:paraId="4C623D68" w14:textId="1BA0A27E" w:rsidR="00130E8B" w:rsidRDefault="000405CC">
      <w:pPr>
        <w:pStyle w:val="a3"/>
        <w:rPr>
          <w:lang w:val="hu-HU"/>
        </w:rPr>
      </w:pPr>
      <w:r>
        <w:rPr>
          <w:rFonts w:eastAsia="Times New Roman"/>
          <w:lang w:val="hu-HU"/>
        </w:rPr>
        <w:t xml:space="preserve">A Yuflyma </w:t>
      </w:r>
      <w:r w:rsidR="003335D2" w:rsidRPr="00DA48CC">
        <w:rPr>
          <w:rFonts w:eastAsia="TimesNewRomanPSMT"/>
          <w:lang w:val="hu-HU"/>
        </w:rPr>
        <w:t>javasolt dózisa</w:t>
      </w:r>
      <w:r w:rsidR="003335D2" w:rsidDel="00945BB5">
        <w:rPr>
          <w:rFonts w:eastAsia="Times New Roman"/>
          <w:lang w:val="hu-HU"/>
        </w:rPr>
        <w:t xml:space="preserve"> </w:t>
      </w:r>
      <w:r>
        <w:rPr>
          <w:rFonts w:eastAsia="Times New Roman"/>
          <w:lang w:val="hu-HU"/>
        </w:rPr>
        <w:t>felnőtt betegek részére kezdő</w:t>
      </w:r>
      <w:r w:rsidR="00054CA0">
        <w:rPr>
          <w:rFonts w:eastAsia="Times New Roman"/>
          <w:lang w:val="hu-HU"/>
        </w:rPr>
        <w:t xml:space="preserve"> </w:t>
      </w:r>
      <w:r>
        <w:rPr>
          <w:rFonts w:eastAsia="Times New Roman"/>
          <w:lang w:val="hu-HU"/>
        </w:rPr>
        <w:t xml:space="preserve">dózisként 80 mg, amelyet a kezdődózis beadásától számított egy hét múlva minden második héten 40 mg követ. Korlátozott tapasztalat áll rendelkezésre az </w:t>
      </w:r>
      <w:r>
        <w:rPr>
          <w:rFonts w:eastAsia="Times New Roman"/>
          <w:lang w:val="hu-HU"/>
        </w:rPr>
        <w:lastRenderedPageBreak/>
        <w:t>adalimumab-kezelés monoterápiában történő megkezdésével kapcsolatban. A Yuflyma-val való kezelés megkezdhető kortikoszteroiddal és/vagy egyéb, nem biológiai immunmodulátor szerrel kombinációban.. Az együttadott kortikoszteroid fokozatos dóziscsökkentését két héttel a Yuflyma-kezelés elkezdése után lehet elkezdeni, a klinikai gyakorlatnak megfelelően.</w:t>
      </w:r>
    </w:p>
    <w:p w14:paraId="6FDA8A88" w14:textId="77777777" w:rsidR="00130E8B" w:rsidRDefault="00130E8B">
      <w:pPr>
        <w:spacing w:line="240" w:lineRule="exact"/>
        <w:rPr>
          <w:rFonts w:ascii="Times New Roman" w:hAnsi="Times New Roman" w:cs="Times New Roman"/>
          <w:lang w:val="hu-HU"/>
        </w:rPr>
      </w:pPr>
    </w:p>
    <w:p w14:paraId="2E0175C0" w14:textId="77777777" w:rsidR="003335D2" w:rsidRDefault="003335D2">
      <w:pPr>
        <w:pStyle w:val="a3"/>
        <w:rPr>
          <w:lang w:val="hu-HU"/>
        </w:rPr>
      </w:pPr>
      <w:r>
        <w:rPr>
          <w:lang w:val="hu-HU"/>
        </w:rPr>
        <w:t>A folyamatos hosszú távú kezelés haszon/kockázat értékelését éve</w:t>
      </w:r>
      <w:r w:rsidR="00400F5A">
        <w:rPr>
          <w:lang w:val="hu-HU"/>
        </w:rPr>
        <w:t>nte el kell végezni (lásd 5.1 pont)</w:t>
      </w:r>
    </w:p>
    <w:p w14:paraId="090F016C" w14:textId="77777777" w:rsidR="003335D2" w:rsidRDefault="003335D2">
      <w:pPr>
        <w:pStyle w:val="a3"/>
        <w:rPr>
          <w:lang w:val="hu-HU"/>
        </w:rPr>
      </w:pPr>
    </w:p>
    <w:p w14:paraId="69618232" w14:textId="77777777" w:rsidR="00130E8B" w:rsidRDefault="000405CC">
      <w:pPr>
        <w:pStyle w:val="a3"/>
        <w:rPr>
          <w:u w:val="single"/>
          <w:lang w:val="hu-HU"/>
        </w:rPr>
      </w:pPr>
      <w:r>
        <w:rPr>
          <w:rFonts w:eastAsia="Times New Roman"/>
          <w:u w:val="single" w:color="000000"/>
          <w:lang w:val="hu-HU"/>
        </w:rPr>
        <w:t>Különleges betegcsoportok</w:t>
      </w:r>
    </w:p>
    <w:p w14:paraId="5CCCB179" w14:textId="77777777" w:rsidR="00130E8B" w:rsidRDefault="00130E8B">
      <w:pPr>
        <w:spacing w:line="180" w:lineRule="exact"/>
        <w:rPr>
          <w:rFonts w:ascii="Times New Roman" w:hAnsi="Times New Roman" w:cs="Times New Roman"/>
          <w:lang w:val="hu-HU"/>
        </w:rPr>
      </w:pPr>
    </w:p>
    <w:p w14:paraId="33C14BB8" w14:textId="77777777" w:rsidR="00130E8B" w:rsidRDefault="000405CC">
      <w:pPr>
        <w:pStyle w:val="a3"/>
        <w:rPr>
          <w:i/>
          <w:lang w:val="hu-HU"/>
        </w:rPr>
      </w:pPr>
      <w:r>
        <w:rPr>
          <w:rFonts w:eastAsia="Times New Roman"/>
          <w:i/>
          <w:iCs/>
          <w:lang w:val="hu-HU"/>
        </w:rPr>
        <w:t>Idősek</w:t>
      </w:r>
    </w:p>
    <w:p w14:paraId="1982A6BD" w14:textId="77777777" w:rsidR="00130E8B" w:rsidRDefault="00130E8B">
      <w:pPr>
        <w:spacing w:line="240" w:lineRule="exact"/>
        <w:rPr>
          <w:rFonts w:ascii="Times New Roman" w:hAnsi="Times New Roman" w:cs="Times New Roman"/>
          <w:lang w:val="hu-HU"/>
        </w:rPr>
      </w:pPr>
    </w:p>
    <w:p w14:paraId="444372C8" w14:textId="77777777" w:rsidR="00130E8B" w:rsidRDefault="000405CC">
      <w:pPr>
        <w:pStyle w:val="a3"/>
        <w:rPr>
          <w:lang w:val="hu-HU"/>
        </w:rPr>
      </w:pPr>
      <w:r>
        <w:rPr>
          <w:rFonts w:eastAsia="Times New Roman"/>
          <w:lang w:val="hu-HU"/>
        </w:rPr>
        <w:t>Dózismódosítás nem szükséges.</w:t>
      </w:r>
    </w:p>
    <w:p w14:paraId="6A973F7D" w14:textId="77777777" w:rsidR="00130E8B" w:rsidRDefault="00130E8B">
      <w:pPr>
        <w:pStyle w:val="a3"/>
        <w:rPr>
          <w:lang w:val="hu-HU"/>
        </w:rPr>
      </w:pPr>
    </w:p>
    <w:p w14:paraId="476BA0A3" w14:textId="77777777" w:rsidR="00130E8B" w:rsidRDefault="000405CC">
      <w:pPr>
        <w:pStyle w:val="a3"/>
        <w:rPr>
          <w:i/>
          <w:lang w:val="hu-HU"/>
        </w:rPr>
      </w:pPr>
      <w:r>
        <w:rPr>
          <w:rFonts w:eastAsia="Times New Roman"/>
          <w:i/>
          <w:iCs/>
          <w:lang w:val="hu-HU"/>
        </w:rPr>
        <w:t>Vese- és/vagy májkárosodás</w:t>
      </w:r>
    </w:p>
    <w:p w14:paraId="06FE5B38" w14:textId="77777777" w:rsidR="00130E8B" w:rsidRDefault="00130E8B">
      <w:pPr>
        <w:pStyle w:val="a3"/>
        <w:rPr>
          <w:lang w:val="hu-HU"/>
        </w:rPr>
      </w:pPr>
    </w:p>
    <w:p w14:paraId="66FE2A30" w14:textId="77777777" w:rsidR="00130E8B" w:rsidRDefault="000405CC">
      <w:pPr>
        <w:pStyle w:val="a3"/>
        <w:rPr>
          <w:lang w:val="hu-HU"/>
        </w:rPr>
      </w:pPr>
      <w:r>
        <w:rPr>
          <w:rFonts w:eastAsia="Times New Roman"/>
          <w:lang w:val="hu-HU"/>
        </w:rPr>
        <w:t>Az adalimumabot még nem vizsgálták ezekben a betegpopulációkban. Adagolási ajánlások nem tehetők.</w:t>
      </w:r>
    </w:p>
    <w:p w14:paraId="3FA57224" w14:textId="77777777" w:rsidR="00130E8B" w:rsidRDefault="00130E8B">
      <w:pPr>
        <w:pStyle w:val="a3"/>
        <w:rPr>
          <w:lang w:val="hu-HU"/>
        </w:rPr>
      </w:pPr>
    </w:p>
    <w:p w14:paraId="4918AED6" w14:textId="77777777" w:rsidR="003335D2" w:rsidRPr="00167BF3" w:rsidRDefault="000405CC" w:rsidP="003335D2">
      <w:pPr>
        <w:pStyle w:val="a3"/>
        <w:rPr>
          <w:u w:val="single"/>
          <w:lang w:val="hu-HU"/>
        </w:rPr>
      </w:pPr>
      <w:r w:rsidRPr="00167BF3">
        <w:rPr>
          <w:rFonts w:eastAsia="Times New Roman"/>
          <w:u w:val="single"/>
          <w:lang w:val="hu-HU"/>
        </w:rPr>
        <w:t>Gyermek</w:t>
      </w:r>
      <w:r w:rsidR="002749EB" w:rsidRPr="00167BF3">
        <w:rPr>
          <w:rFonts w:eastAsia="Times New Roman"/>
          <w:u w:val="single"/>
          <w:lang w:val="hu-HU"/>
        </w:rPr>
        <w:t>ek</w:t>
      </w:r>
      <w:r w:rsidR="003335D2" w:rsidRPr="00167BF3">
        <w:rPr>
          <w:rFonts w:eastAsia="Times New Roman"/>
          <w:u w:val="single"/>
          <w:lang w:val="hu-HU"/>
        </w:rPr>
        <w:t xml:space="preserve"> és serdülők</w:t>
      </w:r>
    </w:p>
    <w:p w14:paraId="5FEF39B4" w14:textId="77777777" w:rsidR="00130E8B" w:rsidRDefault="00130E8B">
      <w:pPr>
        <w:pStyle w:val="a3"/>
        <w:rPr>
          <w:lang w:val="hu-HU"/>
        </w:rPr>
      </w:pPr>
    </w:p>
    <w:p w14:paraId="7785902B" w14:textId="77777777" w:rsidR="00130E8B" w:rsidRDefault="000405CC">
      <w:pPr>
        <w:spacing w:line="480" w:lineRule="auto"/>
        <w:rPr>
          <w:rFonts w:ascii="Times New Roman" w:eastAsia="Times New Roman" w:hAnsi="Times New Roman" w:cs="Times New Roman"/>
          <w:i/>
          <w:spacing w:val="-1"/>
          <w:lang w:val="hu-HU"/>
        </w:rPr>
      </w:pPr>
      <w:r>
        <w:rPr>
          <w:rFonts w:ascii="Times New Roman" w:eastAsia="Times New Roman" w:hAnsi="Times New Roman" w:cs="Times New Roman"/>
          <w:i/>
          <w:iCs/>
          <w:spacing w:val="-1"/>
          <w:lang w:val="hu-HU"/>
        </w:rPr>
        <w:t>Juvenilis idiopathiás arthritis</w:t>
      </w:r>
    </w:p>
    <w:p w14:paraId="59F8C365" w14:textId="36E9D879" w:rsidR="00130E8B" w:rsidRPr="009167C6" w:rsidRDefault="00674FE0">
      <w:pPr>
        <w:spacing w:line="480" w:lineRule="auto"/>
        <w:rPr>
          <w:rFonts w:ascii="Times New Roman" w:eastAsia="Times New Roman" w:hAnsi="Times New Roman" w:cs="Times New Roman"/>
          <w:i/>
          <w:u w:val="single"/>
          <w:lang w:val="hu-HU"/>
        </w:rPr>
      </w:pPr>
      <w:r w:rsidRPr="00DA48CC">
        <w:rPr>
          <w:rFonts w:ascii="Times New Roman" w:hAnsi="Times New Roman" w:cs="Times New Roman"/>
          <w:i/>
          <w:u w:val="single"/>
          <w:lang w:val="hu-HU"/>
        </w:rPr>
        <w:t>Polyarticularis</w:t>
      </w:r>
      <w:r w:rsidR="000405CC">
        <w:rPr>
          <w:rFonts w:ascii="Times New Roman" w:eastAsia="Times New Roman" w:hAnsi="Times New Roman" w:cs="Times New Roman"/>
          <w:i/>
          <w:iCs/>
          <w:spacing w:val="-1"/>
          <w:u w:val="single" w:color="000000"/>
          <w:lang w:val="hu-HU"/>
        </w:rPr>
        <w:t xml:space="preserve"> juvenilis idiopathiás arthritis 2 éves </w:t>
      </w:r>
      <w:r w:rsidR="000405CC" w:rsidRPr="009167C6">
        <w:rPr>
          <w:rFonts w:ascii="Times New Roman" w:eastAsia="Times New Roman" w:hAnsi="Times New Roman" w:cs="Times New Roman"/>
          <w:i/>
          <w:spacing w:val="-1"/>
          <w:u w:val="single"/>
          <w:lang w:val="hu-HU"/>
        </w:rPr>
        <w:t>kortól</w:t>
      </w:r>
    </w:p>
    <w:p w14:paraId="376CEA9C" w14:textId="44225EBE" w:rsidR="00130E8B" w:rsidRDefault="000405CC">
      <w:pPr>
        <w:pStyle w:val="a3"/>
        <w:rPr>
          <w:lang w:val="hu-HU"/>
        </w:rPr>
      </w:pPr>
      <w:r>
        <w:rPr>
          <w:rFonts w:eastAsia="Times New Roman"/>
          <w:lang w:val="hu-HU"/>
        </w:rPr>
        <w:t xml:space="preserve">A Yuflyma ajánlott adagja </w:t>
      </w:r>
      <w:r w:rsidR="00674FE0" w:rsidRPr="009167C6">
        <w:rPr>
          <w:u w:val="single"/>
          <w:lang w:val="hu-HU"/>
        </w:rPr>
        <w:t>polyarticularis</w:t>
      </w:r>
      <w:r>
        <w:rPr>
          <w:rFonts w:eastAsia="Times New Roman"/>
          <w:lang w:val="hu-HU"/>
        </w:rPr>
        <w:t xml:space="preserve"> juvenilis idiopathiás arthritisben szenvedő 2 évesnél idősebb betegek esetében a testtömegtől függ (1. táblázat). Az Yuflymát kéthetente kell beadni subcutaninjekció formájában.</w:t>
      </w:r>
    </w:p>
    <w:p w14:paraId="6871323E" w14:textId="77777777" w:rsidR="00130E8B" w:rsidRDefault="00130E8B">
      <w:pPr>
        <w:pStyle w:val="a3"/>
        <w:rPr>
          <w:lang w:val="hu-HU"/>
        </w:rPr>
      </w:pPr>
    </w:p>
    <w:p w14:paraId="59A170FA" w14:textId="21A3A4A3" w:rsidR="00130E8B" w:rsidRDefault="000405CC">
      <w:pPr>
        <w:pStyle w:val="a3"/>
        <w:jc w:val="center"/>
        <w:rPr>
          <w:b/>
          <w:lang w:val="hu-HU"/>
        </w:rPr>
      </w:pPr>
      <w:r>
        <w:rPr>
          <w:rFonts w:eastAsia="Times New Roman"/>
          <w:b/>
          <w:bCs/>
          <w:lang w:val="hu-HU"/>
        </w:rPr>
        <w:t>1. táblázat</w:t>
      </w:r>
      <w:r w:rsidR="001918FA">
        <w:rPr>
          <w:rFonts w:eastAsia="Times New Roman"/>
          <w:b/>
          <w:bCs/>
          <w:lang w:val="hu-HU"/>
        </w:rPr>
        <w:t xml:space="preserve">. </w:t>
      </w:r>
      <w:r>
        <w:rPr>
          <w:rFonts w:eastAsia="Times New Roman"/>
          <w:b/>
          <w:bCs/>
          <w:lang w:val="hu-HU"/>
        </w:rPr>
        <w:t>A Yuflyma dózisa polyarticularis juvenilis idiopathiás arthritisben szenvedő</w:t>
      </w:r>
    </w:p>
    <w:p w14:paraId="21781BB6" w14:textId="77777777" w:rsidR="00130E8B" w:rsidRDefault="000405CC">
      <w:pPr>
        <w:pStyle w:val="a3"/>
        <w:jc w:val="center"/>
        <w:rPr>
          <w:rFonts w:eastAsia="Times New Roman"/>
          <w:b/>
          <w:bCs/>
          <w:lang w:val="hu-HU"/>
        </w:rPr>
      </w:pPr>
      <w:r>
        <w:rPr>
          <w:rFonts w:eastAsia="Times New Roman"/>
          <w:b/>
          <w:bCs/>
          <w:lang w:val="hu-HU"/>
        </w:rPr>
        <w:t>betegeknél</w:t>
      </w:r>
    </w:p>
    <w:p w14:paraId="01EC2919" w14:textId="77777777" w:rsidR="00130E8B" w:rsidRDefault="00130E8B">
      <w:pPr>
        <w:pStyle w:val="a3"/>
        <w:rPr>
          <w:lang w:val="hu-HU"/>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1"/>
        <w:gridCol w:w="3271"/>
      </w:tblGrid>
      <w:tr w:rsidR="00130E8B" w:rsidRPr="001918FA" w14:paraId="6E031DB0" w14:textId="77777777">
        <w:trPr>
          <w:trHeight w:val="388"/>
          <w:jc w:val="center"/>
        </w:trPr>
        <w:tc>
          <w:tcPr>
            <w:tcW w:w="3271" w:type="dxa"/>
            <w:tcBorders>
              <w:top w:val="single" w:sz="4" w:space="0" w:color="auto"/>
              <w:bottom w:val="single" w:sz="4" w:space="0" w:color="auto"/>
            </w:tcBorders>
            <w:vAlign w:val="center"/>
          </w:tcPr>
          <w:p w14:paraId="5BF16019" w14:textId="77777777" w:rsidR="00130E8B" w:rsidRDefault="000405CC">
            <w:pPr>
              <w:pStyle w:val="a3"/>
              <w:jc w:val="center"/>
              <w:rPr>
                <w:b/>
                <w:lang w:val="hu-HU"/>
              </w:rPr>
            </w:pPr>
            <w:r>
              <w:rPr>
                <w:rFonts w:eastAsia="Times New Roman"/>
                <w:b/>
                <w:bCs/>
                <w:lang w:val="hu-HU"/>
              </w:rPr>
              <w:t>A beteg testtömege</w:t>
            </w:r>
          </w:p>
        </w:tc>
        <w:tc>
          <w:tcPr>
            <w:tcW w:w="3271" w:type="dxa"/>
            <w:tcBorders>
              <w:top w:val="single" w:sz="4" w:space="0" w:color="auto"/>
              <w:bottom w:val="single" w:sz="4" w:space="0" w:color="auto"/>
            </w:tcBorders>
            <w:vAlign w:val="center"/>
          </w:tcPr>
          <w:p w14:paraId="56008BE1" w14:textId="77777777" w:rsidR="00130E8B" w:rsidRDefault="000405CC">
            <w:pPr>
              <w:pStyle w:val="a3"/>
              <w:jc w:val="center"/>
              <w:rPr>
                <w:b/>
                <w:lang w:val="hu-HU"/>
              </w:rPr>
            </w:pPr>
            <w:r>
              <w:rPr>
                <w:rFonts w:eastAsia="Times New Roman"/>
                <w:b/>
                <w:bCs/>
                <w:lang w:val="hu-HU"/>
              </w:rPr>
              <w:t>Adagolási rend</w:t>
            </w:r>
          </w:p>
        </w:tc>
      </w:tr>
      <w:tr w:rsidR="00130E8B" w:rsidRPr="001918FA" w14:paraId="3C59E1D9" w14:textId="77777777">
        <w:trPr>
          <w:trHeight w:val="403"/>
          <w:jc w:val="center"/>
        </w:trPr>
        <w:tc>
          <w:tcPr>
            <w:tcW w:w="3271" w:type="dxa"/>
            <w:tcBorders>
              <w:top w:val="single" w:sz="4" w:space="0" w:color="auto"/>
              <w:bottom w:val="single" w:sz="4" w:space="0" w:color="auto"/>
            </w:tcBorders>
            <w:vAlign w:val="center"/>
          </w:tcPr>
          <w:p w14:paraId="0896D8CF" w14:textId="77777777" w:rsidR="00130E8B" w:rsidRDefault="000405CC">
            <w:pPr>
              <w:pStyle w:val="a3"/>
              <w:jc w:val="center"/>
              <w:rPr>
                <w:lang w:val="hu-HU"/>
              </w:rPr>
            </w:pPr>
            <w:r>
              <w:rPr>
                <w:rFonts w:eastAsia="Times New Roman"/>
                <w:lang w:val="hu-HU"/>
              </w:rPr>
              <w:t>10 kg - &lt; 30 kg</w:t>
            </w:r>
          </w:p>
        </w:tc>
        <w:tc>
          <w:tcPr>
            <w:tcW w:w="3271" w:type="dxa"/>
            <w:tcBorders>
              <w:top w:val="single" w:sz="4" w:space="0" w:color="auto"/>
              <w:bottom w:val="single" w:sz="4" w:space="0" w:color="auto"/>
            </w:tcBorders>
            <w:vAlign w:val="center"/>
          </w:tcPr>
          <w:p w14:paraId="1E083805" w14:textId="3AB2B92A" w:rsidR="00130E8B" w:rsidRDefault="00522548">
            <w:pPr>
              <w:pStyle w:val="a3"/>
              <w:jc w:val="center"/>
              <w:rPr>
                <w:lang w:val="hu-HU"/>
              </w:rPr>
            </w:pPr>
            <w:r>
              <w:rPr>
                <w:rFonts w:eastAsia="Times New Roman"/>
                <w:lang w:val="hu-HU"/>
              </w:rPr>
              <w:t>20 mg kéthetente</w:t>
            </w:r>
          </w:p>
        </w:tc>
      </w:tr>
      <w:tr w:rsidR="00130E8B" w:rsidRPr="001918FA" w14:paraId="1E4C191A" w14:textId="77777777">
        <w:trPr>
          <w:trHeight w:val="388"/>
          <w:jc w:val="center"/>
        </w:trPr>
        <w:tc>
          <w:tcPr>
            <w:tcW w:w="3271" w:type="dxa"/>
            <w:tcBorders>
              <w:top w:val="single" w:sz="4" w:space="0" w:color="auto"/>
              <w:bottom w:val="single" w:sz="4" w:space="0" w:color="auto"/>
            </w:tcBorders>
            <w:vAlign w:val="center"/>
          </w:tcPr>
          <w:p w14:paraId="5F3A06FD" w14:textId="77777777" w:rsidR="00130E8B" w:rsidRDefault="000405CC">
            <w:pPr>
              <w:pStyle w:val="a3"/>
              <w:jc w:val="center"/>
              <w:rPr>
                <w:lang w:val="hu-HU"/>
              </w:rPr>
            </w:pPr>
            <w:r>
              <w:rPr>
                <w:rFonts w:eastAsia="Times New Roman"/>
                <w:lang w:val="hu-HU"/>
              </w:rPr>
              <w:t>≥ 30 kg</w:t>
            </w:r>
          </w:p>
        </w:tc>
        <w:tc>
          <w:tcPr>
            <w:tcW w:w="3271" w:type="dxa"/>
            <w:tcBorders>
              <w:top w:val="single" w:sz="4" w:space="0" w:color="auto"/>
              <w:bottom w:val="single" w:sz="4" w:space="0" w:color="auto"/>
            </w:tcBorders>
            <w:vAlign w:val="center"/>
          </w:tcPr>
          <w:p w14:paraId="502B0AD9" w14:textId="77777777" w:rsidR="00130E8B" w:rsidRDefault="000405CC">
            <w:pPr>
              <w:pStyle w:val="a3"/>
              <w:jc w:val="center"/>
              <w:rPr>
                <w:lang w:val="hu-HU"/>
              </w:rPr>
            </w:pPr>
            <w:r>
              <w:rPr>
                <w:rFonts w:eastAsia="Times New Roman"/>
                <w:lang w:val="hu-HU"/>
              </w:rPr>
              <w:t>40 mg kéthetente</w:t>
            </w:r>
          </w:p>
        </w:tc>
      </w:tr>
    </w:tbl>
    <w:p w14:paraId="05FEE848" w14:textId="77777777" w:rsidR="00130E8B" w:rsidRDefault="00130E8B">
      <w:pPr>
        <w:pStyle w:val="a3"/>
        <w:rPr>
          <w:lang w:val="hu-HU"/>
        </w:rPr>
      </w:pPr>
    </w:p>
    <w:p w14:paraId="1F21C110" w14:textId="77777777" w:rsidR="00130E8B" w:rsidRDefault="000405CC">
      <w:pPr>
        <w:pStyle w:val="a3"/>
        <w:rPr>
          <w:lang w:val="hu-HU"/>
        </w:rPr>
      </w:pPr>
      <w:r>
        <w:rPr>
          <w:rFonts w:eastAsia="Times New Roman"/>
          <w:lang w:val="hu-HU"/>
        </w:rPr>
        <w:t>A rendelkezésre álló adatok arra utalnak, hogy a klinikai választ rendszerint 12 hetes kezelési időn belül érik el. A kezelés folytatását alaposan meg kell fontolni, ha a beteg ezen időszak alatt nem reagál a kezelésre.</w:t>
      </w:r>
    </w:p>
    <w:p w14:paraId="6CF85169" w14:textId="77777777" w:rsidR="00130E8B" w:rsidRDefault="00130E8B">
      <w:pPr>
        <w:pStyle w:val="a3"/>
        <w:rPr>
          <w:lang w:val="hu-HU"/>
        </w:rPr>
      </w:pPr>
    </w:p>
    <w:p w14:paraId="0D5817BE" w14:textId="77777777" w:rsidR="00130E8B" w:rsidRDefault="000405CC">
      <w:pPr>
        <w:pStyle w:val="a3"/>
        <w:rPr>
          <w:lang w:val="hu-HU"/>
        </w:rPr>
      </w:pPr>
      <w:r>
        <w:rPr>
          <w:rFonts w:eastAsia="Times New Roman"/>
          <w:lang w:val="hu-HU"/>
        </w:rPr>
        <w:t>2 évesnél fiatalabb betegek esetében az adalimumabnak ebben a javallatban nincs releváns alkalmazása.</w:t>
      </w:r>
    </w:p>
    <w:p w14:paraId="07938B66" w14:textId="77777777" w:rsidR="00130E8B" w:rsidRDefault="00130E8B">
      <w:pPr>
        <w:pStyle w:val="a3"/>
        <w:ind w:right="203"/>
        <w:rPr>
          <w:lang w:val="hu-HU"/>
        </w:rPr>
      </w:pPr>
    </w:p>
    <w:p w14:paraId="42578472" w14:textId="77777777" w:rsidR="00130E8B" w:rsidRDefault="000405CC">
      <w:pPr>
        <w:rPr>
          <w:rFonts w:ascii="Times New Roman" w:eastAsia="Times New Roman" w:hAnsi="Times New Roman" w:cs="Times New Roman"/>
          <w:lang w:val="hu-HU"/>
        </w:rPr>
      </w:pPr>
      <w:r>
        <w:rPr>
          <w:rFonts w:ascii="Times New Roman" w:eastAsia="Times New Roman" w:hAnsi="Times New Roman" w:cs="Times New Roman"/>
          <w:i/>
          <w:iCs/>
          <w:u w:val="single" w:color="000000"/>
          <w:lang w:val="hu-HU"/>
        </w:rPr>
        <w:t>Enthesitis-asszociált arthritis</w:t>
      </w:r>
    </w:p>
    <w:p w14:paraId="3280F2B1" w14:textId="77777777" w:rsidR="00130E8B" w:rsidRDefault="00130E8B">
      <w:pPr>
        <w:spacing w:before="9" w:line="170" w:lineRule="exact"/>
        <w:rPr>
          <w:sz w:val="17"/>
          <w:szCs w:val="17"/>
          <w:lang w:val="hu-HU"/>
        </w:rPr>
      </w:pPr>
    </w:p>
    <w:p w14:paraId="17EB2BA6" w14:textId="1E4745B4" w:rsidR="00130E8B" w:rsidRDefault="000405CC">
      <w:pPr>
        <w:pStyle w:val="a3"/>
        <w:rPr>
          <w:rFonts w:eastAsia="Times New Roman"/>
          <w:lang w:val="hu-HU"/>
        </w:rPr>
      </w:pPr>
      <w:r>
        <w:rPr>
          <w:rFonts w:eastAsia="Times New Roman"/>
          <w:lang w:val="hu-HU"/>
        </w:rPr>
        <w:t>A Yuflyma ajánlott adagja enthesitis-asszociált arthritisben szenvedő 6 évesnél idősebb betegek esetében a testtömegtől függ (2. táblázat). Az Yuflymát kéthetente kell beadni subcutaninjekció formájában.</w:t>
      </w:r>
    </w:p>
    <w:p w14:paraId="33F62D63" w14:textId="77777777" w:rsidR="00130E8B" w:rsidRDefault="00130E8B">
      <w:pPr>
        <w:pStyle w:val="a3"/>
        <w:rPr>
          <w:lang w:val="hu-HU"/>
        </w:rPr>
      </w:pPr>
    </w:p>
    <w:p w14:paraId="0637FDA5" w14:textId="732CF27F" w:rsidR="00130E8B" w:rsidRDefault="000405CC">
      <w:pPr>
        <w:pStyle w:val="a3"/>
        <w:jc w:val="center"/>
        <w:rPr>
          <w:b/>
          <w:lang w:val="hu-HU"/>
        </w:rPr>
      </w:pPr>
      <w:r>
        <w:rPr>
          <w:rFonts w:eastAsia="Times New Roman"/>
          <w:b/>
          <w:bCs/>
          <w:lang w:val="hu-HU"/>
        </w:rPr>
        <w:t>2. táblázat</w:t>
      </w:r>
      <w:r w:rsidR="001918FA">
        <w:rPr>
          <w:rFonts w:eastAsia="Times New Roman"/>
          <w:b/>
          <w:bCs/>
          <w:lang w:val="hu-HU"/>
        </w:rPr>
        <w:t xml:space="preserve">. </w:t>
      </w:r>
      <w:r>
        <w:rPr>
          <w:rFonts w:eastAsia="Times New Roman"/>
          <w:b/>
          <w:bCs/>
          <w:lang w:val="hu-HU"/>
        </w:rPr>
        <w:t>A Yuflyma dózisa enthesitis-asszociált arthritisben szenvedő betegeknél</w:t>
      </w:r>
    </w:p>
    <w:p w14:paraId="2D0A4BC7" w14:textId="77777777" w:rsidR="00130E8B" w:rsidRDefault="00130E8B">
      <w:pPr>
        <w:spacing w:before="7" w:line="220" w:lineRule="exact"/>
        <w:rPr>
          <w:lang w:val="hu-HU"/>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130E8B" w14:paraId="34C106F9" w14:textId="77777777">
        <w:trPr>
          <w:trHeight w:val="374"/>
          <w:jc w:val="center"/>
        </w:trPr>
        <w:tc>
          <w:tcPr>
            <w:tcW w:w="3572" w:type="dxa"/>
            <w:tcBorders>
              <w:top w:val="single" w:sz="4" w:space="0" w:color="auto"/>
              <w:bottom w:val="single" w:sz="4" w:space="0" w:color="auto"/>
            </w:tcBorders>
            <w:vAlign w:val="center"/>
          </w:tcPr>
          <w:p w14:paraId="7F09EAE7" w14:textId="77777777" w:rsidR="00130E8B" w:rsidRDefault="000405CC">
            <w:pPr>
              <w:pStyle w:val="a3"/>
              <w:jc w:val="center"/>
              <w:rPr>
                <w:b/>
                <w:lang w:val="hu-HU"/>
              </w:rPr>
            </w:pPr>
            <w:r>
              <w:rPr>
                <w:rFonts w:eastAsia="Times New Roman"/>
                <w:b/>
                <w:bCs/>
                <w:lang w:val="hu-HU"/>
              </w:rPr>
              <w:t>A beteg testtömege</w:t>
            </w:r>
          </w:p>
        </w:tc>
        <w:tc>
          <w:tcPr>
            <w:tcW w:w="3572" w:type="dxa"/>
            <w:tcBorders>
              <w:top w:val="single" w:sz="4" w:space="0" w:color="auto"/>
              <w:bottom w:val="single" w:sz="4" w:space="0" w:color="auto"/>
            </w:tcBorders>
            <w:vAlign w:val="center"/>
          </w:tcPr>
          <w:p w14:paraId="3A85A969" w14:textId="77777777" w:rsidR="00130E8B" w:rsidRDefault="000405CC">
            <w:pPr>
              <w:pStyle w:val="a3"/>
              <w:jc w:val="center"/>
              <w:rPr>
                <w:b/>
                <w:lang w:val="hu-HU"/>
              </w:rPr>
            </w:pPr>
            <w:r>
              <w:rPr>
                <w:rFonts w:eastAsia="Times New Roman"/>
                <w:b/>
                <w:bCs/>
                <w:lang w:val="hu-HU"/>
              </w:rPr>
              <w:t>Adagolási rend</w:t>
            </w:r>
          </w:p>
        </w:tc>
      </w:tr>
      <w:tr w:rsidR="00130E8B" w14:paraId="5F6D230A" w14:textId="77777777">
        <w:trPr>
          <w:trHeight w:val="388"/>
          <w:jc w:val="center"/>
        </w:trPr>
        <w:tc>
          <w:tcPr>
            <w:tcW w:w="3572" w:type="dxa"/>
            <w:tcBorders>
              <w:top w:val="single" w:sz="4" w:space="0" w:color="auto"/>
              <w:bottom w:val="single" w:sz="4" w:space="0" w:color="auto"/>
            </w:tcBorders>
            <w:vAlign w:val="center"/>
          </w:tcPr>
          <w:p w14:paraId="6C355286" w14:textId="77777777" w:rsidR="00130E8B" w:rsidRDefault="000405CC">
            <w:pPr>
              <w:pStyle w:val="a3"/>
              <w:jc w:val="center"/>
              <w:rPr>
                <w:lang w:val="hu-HU"/>
              </w:rPr>
            </w:pPr>
            <w:r>
              <w:rPr>
                <w:rFonts w:eastAsia="Times New Roman"/>
                <w:lang w:val="hu-HU"/>
              </w:rPr>
              <w:t>15 kg - &lt; 30 kg</w:t>
            </w:r>
          </w:p>
        </w:tc>
        <w:tc>
          <w:tcPr>
            <w:tcW w:w="3572" w:type="dxa"/>
            <w:tcBorders>
              <w:top w:val="single" w:sz="4" w:space="0" w:color="auto"/>
              <w:bottom w:val="single" w:sz="4" w:space="0" w:color="auto"/>
            </w:tcBorders>
            <w:vAlign w:val="center"/>
          </w:tcPr>
          <w:p w14:paraId="54ABD73D" w14:textId="7501A951" w:rsidR="00130E8B" w:rsidRDefault="00906B93">
            <w:pPr>
              <w:pStyle w:val="a3"/>
              <w:jc w:val="center"/>
              <w:rPr>
                <w:lang w:val="hu-HU"/>
              </w:rPr>
            </w:pPr>
            <w:r>
              <w:rPr>
                <w:rFonts w:eastAsia="Times New Roman"/>
                <w:lang w:val="hu-HU"/>
              </w:rPr>
              <w:t>20 mg kéthetente</w:t>
            </w:r>
            <w:r w:rsidDel="00906B93">
              <w:rPr>
                <w:rFonts w:eastAsia="Times New Roman"/>
                <w:lang w:val="hu-HU"/>
              </w:rPr>
              <w:t xml:space="preserve"> </w:t>
            </w:r>
          </w:p>
        </w:tc>
      </w:tr>
      <w:tr w:rsidR="00130E8B" w14:paraId="43C8B3D9" w14:textId="77777777">
        <w:trPr>
          <w:trHeight w:val="374"/>
          <w:jc w:val="center"/>
        </w:trPr>
        <w:tc>
          <w:tcPr>
            <w:tcW w:w="3572" w:type="dxa"/>
            <w:tcBorders>
              <w:top w:val="single" w:sz="4" w:space="0" w:color="auto"/>
              <w:bottom w:val="single" w:sz="4" w:space="0" w:color="auto"/>
            </w:tcBorders>
            <w:vAlign w:val="center"/>
          </w:tcPr>
          <w:p w14:paraId="78E61557" w14:textId="77777777" w:rsidR="00130E8B" w:rsidRDefault="000405CC">
            <w:pPr>
              <w:pStyle w:val="a3"/>
              <w:jc w:val="center"/>
              <w:rPr>
                <w:lang w:val="hu-HU"/>
              </w:rPr>
            </w:pPr>
            <w:r>
              <w:rPr>
                <w:rFonts w:eastAsia="Times New Roman"/>
                <w:lang w:val="hu-HU"/>
              </w:rPr>
              <w:t>≥ 30 kg</w:t>
            </w:r>
          </w:p>
        </w:tc>
        <w:tc>
          <w:tcPr>
            <w:tcW w:w="3572" w:type="dxa"/>
            <w:tcBorders>
              <w:top w:val="single" w:sz="4" w:space="0" w:color="auto"/>
              <w:bottom w:val="single" w:sz="4" w:space="0" w:color="auto"/>
            </w:tcBorders>
            <w:vAlign w:val="center"/>
          </w:tcPr>
          <w:p w14:paraId="2DCD9B39" w14:textId="5E12743B" w:rsidR="00130E8B" w:rsidRDefault="00906B93">
            <w:pPr>
              <w:pStyle w:val="a3"/>
              <w:jc w:val="center"/>
              <w:rPr>
                <w:lang w:val="hu-HU"/>
              </w:rPr>
            </w:pPr>
            <w:r>
              <w:rPr>
                <w:rFonts w:eastAsia="Times New Roman"/>
                <w:lang w:val="hu-HU"/>
              </w:rPr>
              <w:t>40 mg kéthetente</w:t>
            </w:r>
          </w:p>
        </w:tc>
      </w:tr>
    </w:tbl>
    <w:p w14:paraId="7685FF26" w14:textId="77777777" w:rsidR="00522548" w:rsidRDefault="00522548">
      <w:pPr>
        <w:pStyle w:val="a3"/>
        <w:rPr>
          <w:rFonts w:eastAsia="Times New Roman"/>
          <w:lang w:val="hu-HU"/>
        </w:rPr>
      </w:pPr>
    </w:p>
    <w:p w14:paraId="0EF35E26" w14:textId="543B0043" w:rsidR="00130E8B" w:rsidRDefault="000405CC">
      <w:pPr>
        <w:pStyle w:val="a3"/>
        <w:rPr>
          <w:lang w:val="hu-HU"/>
        </w:rPr>
      </w:pPr>
      <w:r>
        <w:rPr>
          <w:rFonts w:eastAsia="Times New Roman"/>
          <w:lang w:val="hu-HU"/>
        </w:rPr>
        <w:t>Az adalimumabot 6 évesnél fiatalabb enthesitis-asszociált arthritisben szenvedő betegeknél nem vizsgálták.</w:t>
      </w:r>
    </w:p>
    <w:p w14:paraId="37155D8D" w14:textId="77777777" w:rsidR="00B90FEB" w:rsidRDefault="00B90FEB" w:rsidP="00B90FEB">
      <w:pPr>
        <w:rPr>
          <w:rFonts w:ascii="Times New Roman" w:eastAsia="Times New Roman" w:hAnsi="Times New Roman" w:cs="Times New Roman"/>
          <w:i/>
          <w:spacing w:val="-1"/>
          <w:u w:val="single"/>
          <w:lang w:val="hu-HU"/>
        </w:rPr>
      </w:pPr>
    </w:p>
    <w:p w14:paraId="49B2BA9F" w14:textId="77777777" w:rsidR="00B90FEB" w:rsidRPr="004E2591" w:rsidRDefault="00B90FEB" w:rsidP="00B90FEB">
      <w:pPr>
        <w:rPr>
          <w:rFonts w:ascii="Times New Roman" w:eastAsia="Times New Roman" w:hAnsi="Times New Roman" w:cs="Times New Roman"/>
          <w:lang w:val="hu-HU"/>
        </w:rPr>
      </w:pPr>
      <w:r w:rsidRPr="004E2591">
        <w:rPr>
          <w:rFonts w:ascii="Times New Roman" w:eastAsia="Times New Roman" w:hAnsi="Times New Roman" w:cs="Times New Roman"/>
          <w:i/>
          <w:iCs/>
          <w:spacing w:val="-1"/>
          <w:lang w:val="hu-HU"/>
        </w:rPr>
        <w:lastRenderedPageBreak/>
        <w:t>Gyermekkori arthritis psoriatica és axiális spondyloarthritis, beleértve a spondylitis ankylopoeticát</w:t>
      </w:r>
    </w:p>
    <w:p w14:paraId="68AE3BC7" w14:textId="77777777" w:rsidR="00B90FEB" w:rsidRDefault="00B90FEB" w:rsidP="00B90FEB">
      <w:pPr>
        <w:spacing w:line="170" w:lineRule="exact"/>
        <w:rPr>
          <w:rFonts w:ascii="Times New Roman" w:hAnsi="Times New Roman" w:cs="Times New Roman"/>
          <w:lang w:val="hu-HU"/>
        </w:rPr>
      </w:pPr>
    </w:p>
    <w:p w14:paraId="7F382F36" w14:textId="77777777" w:rsidR="00B90FEB" w:rsidRDefault="00B90FEB" w:rsidP="00B90FEB">
      <w:pPr>
        <w:pStyle w:val="a3"/>
        <w:rPr>
          <w:lang w:val="hu-HU"/>
        </w:rPr>
      </w:pPr>
      <w:r>
        <w:rPr>
          <w:rFonts w:eastAsia="Times New Roman"/>
          <w:lang w:val="hu-HU"/>
        </w:rPr>
        <w:t xml:space="preserve">Az adalimumabnak </w:t>
      </w:r>
      <w:r w:rsidRPr="008A5B79">
        <w:rPr>
          <w:rFonts w:eastAsia="Times New Roman"/>
          <w:lang w:val="hu-HU"/>
        </w:rPr>
        <w:t>gyermek</w:t>
      </w:r>
      <w:r>
        <w:rPr>
          <w:rFonts w:eastAsia="Times New Roman"/>
          <w:lang w:val="hu-HU"/>
        </w:rPr>
        <w:t>eknél és serdülőknél a spondylitis ankylopoetica és arthritis psoriatica javallata esetén nincs releváns alkalmazása.</w:t>
      </w:r>
    </w:p>
    <w:p w14:paraId="296F9579" w14:textId="77777777" w:rsidR="00130E8B" w:rsidRPr="00B90FEB" w:rsidRDefault="00130E8B">
      <w:pPr>
        <w:pStyle w:val="a3"/>
        <w:rPr>
          <w:lang w:val="hu-HU"/>
        </w:rPr>
      </w:pPr>
    </w:p>
    <w:p w14:paraId="38C6093E" w14:textId="77777777" w:rsidR="00130E8B" w:rsidRPr="00167BF3" w:rsidRDefault="000405CC">
      <w:pPr>
        <w:rPr>
          <w:rFonts w:ascii="Times New Roman" w:eastAsia="Times New Roman" w:hAnsi="Times New Roman" w:cs="Times New Roman"/>
          <w:lang w:val="hu-HU"/>
        </w:rPr>
      </w:pPr>
      <w:r w:rsidRPr="00167BF3">
        <w:rPr>
          <w:rFonts w:ascii="Times New Roman" w:eastAsia="Times New Roman" w:hAnsi="Times New Roman" w:cs="Times New Roman"/>
          <w:i/>
          <w:iCs/>
          <w:spacing w:val="-1"/>
          <w:lang w:val="hu-HU"/>
        </w:rPr>
        <w:t>Gyermekkori plakkos psoriasis</w:t>
      </w:r>
    </w:p>
    <w:p w14:paraId="205D518A" w14:textId="77777777" w:rsidR="00130E8B" w:rsidRDefault="00130E8B">
      <w:pPr>
        <w:spacing w:line="240" w:lineRule="exact"/>
        <w:rPr>
          <w:rFonts w:ascii="Times New Roman" w:hAnsi="Times New Roman" w:cs="Times New Roman"/>
          <w:sz w:val="24"/>
          <w:szCs w:val="24"/>
          <w:lang w:val="hu-HU"/>
        </w:rPr>
      </w:pPr>
    </w:p>
    <w:p w14:paraId="370DCF95" w14:textId="55FF858E" w:rsidR="00130E8B" w:rsidRDefault="000405CC">
      <w:pPr>
        <w:pStyle w:val="a3"/>
        <w:rPr>
          <w:lang w:val="hu-HU"/>
        </w:rPr>
      </w:pPr>
      <w:r>
        <w:rPr>
          <w:rFonts w:eastAsia="Times New Roman"/>
          <w:lang w:val="hu-HU"/>
        </w:rPr>
        <w:t xml:space="preserve">A Yuflyma ajánlott adagja gyermekkori plakkos psoriasisban </w:t>
      </w:r>
      <w:r w:rsidRPr="007730BA">
        <w:rPr>
          <w:rFonts w:eastAsia="Times New Roman"/>
          <w:lang w:val="hu-HU"/>
        </w:rPr>
        <w:t xml:space="preserve">szenvedő </w:t>
      </w:r>
      <w:r w:rsidR="00054CA0">
        <w:rPr>
          <w:rFonts w:eastAsia="Times New Roman"/>
          <w:lang w:val="hu-HU"/>
        </w:rPr>
        <w:t>betegek</w:t>
      </w:r>
      <w:r w:rsidR="00E30266">
        <w:rPr>
          <w:rFonts w:eastAsia="Times New Roman"/>
          <w:lang w:val="hu-HU"/>
        </w:rPr>
        <w:t>nek</w:t>
      </w:r>
      <w:r w:rsidR="00054CA0">
        <w:rPr>
          <w:rFonts w:eastAsia="Times New Roman"/>
          <w:lang w:val="hu-HU"/>
        </w:rPr>
        <w:t xml:space="preserve"> </w:t>
      </w:r>
      <w:r w:rsidR="00BC1AEC" w:rsidRPr="009167C6">
        <w:rPr>
          <w:lang w:val="hu-HU"/>
        </w:rPr>
        <w:t>4-</w:t>
      </w:r>
      <w:r w:rsidR="007730BA" w:rsidRPr="009167C6">
        <w:rPr>
          <w:lang w:val="hu-HU"/>
        </w:rPr>
        <w:t xml:space="preserve">től betöltött 18 éves korig </w:t>
      </w:r>
      <w:r>
        <w:rPr>
          <w:rFonts w:eastAsia="Times New Roman"/>
          <w:lang w:val="hu-HU"/>
        </w:rPr>
        <w:t>a testtömegtől függ (3. táblázat). A Yuflymát subcutan injekció formájában kell alkalmazni.</w:t>
      </w:r>
    </w:p>
    <w:p w14:paraId="27E166AA" w14:textId="77777777" w:rsidR="00130E8B" w:rsidRDefault="00130E8B">
      <w:pPr>
        <w:pStyle w:val="a3"/>
        <w:rPr>
          <w:lang w:val="hu-HU"/>
        </w:rPr>
      </w:pPr>
    </w:p>
    <w:p w14:paraId="0D2C51F1" w14:textId="3A5AD0E8" w:rsidR="00130E8B" w:rsidRDefault="000405CC">
      <w:pPr>
        <w:pStyle w:val="a3"/>
        <w:jc w:val="center"/>
        <w:rPr>
          <w:b/>
          <w:lang w:val="hu-HU"/>
        </w:rPr>
      </w:pPr>
      <w:r>
        <w:rPr>
          <w:rFonts w:eastAsia="Times New Roman"/>
          <w:b/>
          <w:bCs/>
          <w:lang w:val="hu-HU"/>
        </w:rPr>
        <w:t>3. táblázat</w:t>
      </w:r>
      <w:r w:rsidR="001918FA">
        <w:rPr>
          <w:rFonts w:eastAsia="Times New Roman"/>
          <w:b/>
          <w:bCs/>
          <w:lang w:val="hu-HU"/>
        </w:rPr>
        <w:t xml:space="preserve">. </w:t>
      </w:r>
      <w:r>
        <w:rPr>
          <w:rFonts w:eastAsia="Times New Roman"/>
          <w:b/>
          <w:bCs/>
          <w:lang w:val="hu-HU"/>
        </w:rPr>
        <w:t>A Yuflyma dózisa plakkos psoriasisban szenvedő gyermekeknél</w:t>
      </w:r>
    </w:p>
    <w:p w14:paraId="78503748" w14:textId="77777777" w:rsidR="00130E8B" w:rsidRDefault="00130E8B">
      <w:pPr>
        <w:spacing w:before="7" w:line="220" w:lineRule="exact"/>
        <w:jc w:val="center"/>
        <w:rPr>
          <w:rFonts w:ascii="Times New Roman" w:hAnsi="Times New Roman" w:cs="Times New Roman"/>
          <w:b/>
          <w:lang w:val="hu-HU"/>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130E8B" w14:paraId="2B24B77D" w14:textId="77777777">
        <w:trPr>
          <w:trHeight w:val="374"/>
          <w:jc w:val="center"/>
        </w:trPr>
        <w:tc>
          <w:tcPr>
            <w:tcW w:w="3572" w:type="dxa"/>
            <w:tcBorders>
              <w:top w:val="single" w:sz="4" w:space="0" w:color="auto"/>
              <w:bottom w:val="single" w:sz="4" w:space="0" w:color="auto"/>
            </w:tcBorders>
            <w:vAlign w:val="center"/>
          </w:tcPr>
          <w:p w14:paraId="3865AFDB" w14:textId="77777777" w:rsidR="00130E8B" w:rsidRDefault="000405CC">
            <w:pPr>
              <w:pStyle w:val="a3"/>
              <w:jc w:val="center"/>
              <w:rPr>
                <w:b/>
                <w:lang w:val="hu-HU"/>
              </w:rPr>
            </w:pPr>
            <w:r>
              <w:rPr>
                <w:rFonts w:eastAsia="Times New Roman"/>
                <w:b/>
                <w:bCs/>
                <w:lang w:val="hu-HU"/>
              </w:rPr>
              <w:t>A beteg testtömege</w:t>
            </w:r>
          </w:p>
        </w:tc>
        <w:tc>
          <w:tcPr>
            <w:tcW w:w="3572" w:type="dxa"/>
            <w:tcBorders>
              <w:top w:val="single" w:sz="4" w:space="0" w:color="auto"/>
              <w:bottom w:val="single" w:sz="4" w:space="0" w:color="auto"/>
            </w:tcBorders>
            <w:vAlign w:val="center"/>
          </w:tcPr>
          <w:p w14:paraId="30183136" w14:textId="77777777" w:rsidR="00130E8B" w:rsidRDefault="000405CC">
            <w:pPr>
              <w:pStyle w:val="a3"/>
              <w:jc w:val="center"/>
              <w:rPr>
                <w:b/>
                <w:lang w:val="hu-HU"/>
              </w:rPr>
            </w:pPr>
            <w:r>
              <w:rPr>
                <w:rFonts w:eastAsia="Times New Roman"/>
                <w:b/>
                <w:bCs/>
                <w:lang w:val="hu-HU"/>
              </w:rPr>
              <w:t>Adagolási rend</w:t>
            </w:r>
          </w:p>
        </w:tc>
      </w:tr>
      <w:tr w:rsidR="00130E8B" w:rsidRPr="00BE4D18" w14:paraId="26663908" w14:textId="77777777">
        <w:trPr>
          <w:trHeight w:val="388"/>
          <w:jc w:val="center"/>
        </w:trPr>
        <w:tc>
          <w:tcPr>
            <w:tcW w:w="3572" w:type="dxa"/>
            <w:tcBorders>
              <w:top w:val="single" w:sz="4" w:space="0" w:color="auto"/>
              <w:bottom w:val="single" w:sz="4" w:space="0" w:color="auto"/>
            </w:tcBorders>
            <w:vAlign w:val="center"/>
          </w:tcPr>
          <w:p w14:paraId="3AA00C34" w14:textId="77777777" w:rsidR="00130E8B" w:rsidRDefault="000405CC">
            <w:pPr>
              <w:pStyle w:val="a3"/>
              <w:jc w:val="center"/>
              <w:rPr>
                <w:lang w:val="hu-HU"/>
              </w:rPr>
            </w:pPr>
            <w:r>
              <w:rPr>
                <w:rFonts w:eastAsia="Times New Roman"/>
                <w:lang w:val="hu-HU"/>
              </w:rPr>
              <w:t>15 kg - &lt; 30 kg</w:t>
            </w:r>
          </w:p>
        </w:tc>
        <w:tc>
          <w:tcPr>
            <w:tcW w:w="3572" w:type="dxa"/>
            <w:tcBorders>
              <w:top w:val="single" w:sz="4" w:space="0" w:color="auto"/>
              <w:bottom w:val="single" w:sz="4" w:space="0" w:color="auto"/>
            </w:tcBorders>
            <w:vAlign w:val="center"/>
          </w:tcPr>
          <w:p w14:paraId="2900FFE8" w14:textId="6A2C5175" w:rsidR="00130E8B" w:rsidRDefault="00522548">
            <w:pPr>
              <w:pStyle w:val="a3"/>
              <w:jc w:val="center"/>
              <w:rPr>
                <w:lang w:val="hu-HU"/>
              </w:rPr>
            </w:pPr>
            <w:r>
              <w:rPr>
                <w:rFonts w:eastAsia="Times New Roman"/>
                <w:lang w:val="hu-HU"/>
              </w:rPr>
              <w:t xml:space="preserve">A kezdő adag 20 mg, amelyet </w:t>
            </w:r>
            <w:r w:rsidR="004820A9">
              <w:rPr>
                <w:rFonts w:eastAsia="Times New Roman"/>
                <w:lang w:val="hu-HU"/>
              </w:rPr>
              <w:t>kéthetente</w:t>
            </w:r>
            <w:r>
              <w:rPr>
                <w:rFonts w:eastAsia="Times New Roman"/>
                <w:lang w:val="hu-HU"/>
              </w:rPr>
              <w:t xml:space="preserve"> adott 20 mg követ a kezdő dózis utáni első héttől kezdve</w:t>
            </w:r>
          </w:p>
        </w:tc>
      </w:tr>
      <w:tr w:rsidR="00130E8B" w:rsidRPr="00BE4D18" w14:paraId="3567E34F" w14:textId="77777777">
        <w:trPr>
          <w:trHeight w:val="374"/>
          <w:jc w:val="center"/>
        </w:trPr>
        <w:tc>
          <w:tcPr>
            <w:tcW w:w="3572" w:type="dxa"/>
            <w:tcBorders>
              <w:top w:val="single" w:sz="4" w:space="0" w:color="auto"/>
              <w:bottom w:val="single" w:sz="4" w:space="0" w:color="auto"/>
            </w:tcBorders>
            <w:vAlign w:val="center"/>
          </w:tcPr>
          <w:p w14:paraId="3AA6A1E7" w14:textId="77777777" w:rsidR="00130E8B" w:rsidRDefault="000405CC">
            <w:pPr>
              <w:pStyle w:val="a3"/>
              <w:jc w:val="center"/>
              <w:rPr>
                <w:lang w:val="hu-HU"/>
              </w:rPr>
            </w:pPr>
            <w:r>
              <w:rPr>
                <w:rFonts w:eastAsia="Times New Roman"/>
                <w:lang w:val="hu-HU"/>
              </w:rPr>
              <w:t>≥ 30 kg</w:t>
            </w:r>
          </w:p>
        </w:tc>
        <w:tc>
          <w:tcPr>
            <w:tcW w:w="3572" w:type="dxa"/>
            <w:tcBorders>
              <w:top w:val="single" w:sz="4" w:space="0" w:color="auto"/>
              <w:bottom w:val="single" w:sz="4" w:space="0" w:color="auto"/>
            </w:tcBorders>
            <w:vAlign w:val="center"/>
          </w:tcPr>
          <w:p w14:paraId="259DE506" w14:textId="7BF1CD02" w:rsidR="00130E8B" w:rsidRDefault="000405CC">
            <w:pPr>
              <w:pStyle w:val="a3"/>
              <w:jc w:val="center"/>
              <w:rPr>
                <w:lang w:val="hu-HU"/>
              </w:rPr>
            </w:pPr>
            <w:r>
              <w:rPr>
                <w:rFonts w:eastAsia="Times New Roman"/>
                <w:lang w:val="hu-HU"/>
              </w:rPr>
              <w:t xml:space="preserve">A kezdő adag 40 mg, amelyet </w:t>
            </w:r>
            <w:r w:rsidR="00304162">
              <w:rPr>
                <w:rFonts w:eastAsia="Times New Roman"/>
                <w:lang w:val="hu-HU"/>
              </w:rPr>
              <w:t>kéthetente</w:t>
            </w:r>
            <w:r>
              <w:rPr>
                <w:rFonts w:eastAsia="Times New Roman"/>
                <w:lang w:val="hu-HU"/>
              </w:rPr>
              <w:t xml:space="preserve"> adott 40 mg követ a kezdő dózis utáni első héttől kezdve</w:t>
            </w:r>
          </w:p>
        </w:tc>
      </w:tr>
    </w:tbl>
    <w:p w14:paraId="18C6C8D0" w14:textId="77777777" w:rsidR="00130E8B" w:rsidRDefault="00130E8B">
      <w:pPr>
        <w:pStyle w:val="a3"/>
        <w:rPr>
          <w:lang w:val="hu-HU"/>
        </w:rPr>
      </w:pPr>
    </w:p>
    <w:p w14:paraId="1D1283BE" w14:textId="77777777" w:rsidR="00A45720" w:rsidRPr="009167C6" w:rsidRDefault="000405CC" w:rsidP="00A45720">
      <w:pPr>
        <w:widowControl/>
        <w:autoSpaceDE w:val="0"/>
        <w:autoSpaceDN w:val="0"/>
        <w:adjustRightInd w:val="0"/>
        <w:rPr>
          <w:rFonts w:ascii="Times New Roman" w:hAnsi="Times New Roman" w:cs="Times New Roman"/>
          <w:lang w:val="hu-HU"/>
        </w:rPr>
      </w:pPr>
      <w:r w:rsidRPr="009167C6">
        <w:rPr>
          <w:rFonts w:ascii="Times New Roman" w:eastAsia="Times New Roman" w:hAnsi="Times New Roman" w:cs="Times New Roman"/>
          <w:lang w:val="hu-HU"/>
        </w:rPr>
        <w:t xml:space="preserve">A </w:t>
      </w:r>
      <w:r w:rsidR="00A45720" w:rsidRPr="00A45720">
        <w:rPr>
          <w:rFonts w:ascii="Times New Roman" w:eastAsia="TimesNewRomanPSMT" w:hAnsi="Times New Roman" w:cs="Times New Roman"/>
          <w:lang w:val="hu-HU"/>
        </w:rPr>
        <w:t>kezelés folytatását a 16. hét után gondosan mérlegelni kell, ha a beteg nem reagál ennyi idő</w:t>
      </w:r>
      <w:r w:rsidR="00DC7496">
        <w:rPr>
          <w:rFonts w:ascii="Times New Roman" w:eastAsia="TimesNewRomanPSMT" w:hAnsi="Times New Roman" w:cs="Times New Roman"/>
          <w:lang w:val="hu-HU"/>
        </w:rPr>
        <w:t xml:space="preserve"> </w:t>
      </w:r>
      <w:r w:rsidR="00A45720" w:rsidRPr="00A45720">
        <w:rPr>
          <w:rFonts w:ascii="Times New Roman" w:eastAsia="TimesNewRomanPSMT" w:hAnsi="Times New Roman" w:cs="Times New Roman"/>
          <w:lang w:val="hu-HU"/>
        </w:rPr>
        <w:t>alatt.</w:t>
      </w:r>
    </w:p>
    <w:p w14:paraId="6A54E1FE" w14:textId="1CD7A588" w:rsidR="00130E8B" w:rsidRPr="00DC7496" w:rsidRDefault="00A45720" w:rsidP="009167C6">
      <w:pPr>
        <w:widowControl/>
        <w:autoSpaceDE w:val="0"/>
        <w:autoSpaceDN w:val="0"/>
        <w:adjustRightInd w:val="0"/>
        <w:rPr>
          <w:lang w:val="hu-HU"/>
        </w:rPr>
      </w:pPr>
      <w:r w:rsidRPr="00A45720">
        <w:rPr>
          <w:rFonts w:ascii="Times New Roman" w:eastAsia="Times New Roman" w:hAnsi="Times New Roman" w:cs="Times New Roman"/>
          <w:lang w:val="hu-HU"/>
        </w:rPr>
        <w:t>Amennyiben az  adalimumab</w:t>
      </w:r>
      <w:r w:rsidRPr="00A45720">
        <w:rPr>
          <w:rFonts w:ascii="Times New Roman" w:hAnsi="Times New Roman" w:cs="Times New Roman"/>
          <w:lang w:val="hu-HU"/>
        </w:rPr>
        <w:t>-kezelés újrakezdése javasolt, a fenti útmutatást kell követni a dózisra és</w:t>
      </w:r>
      <w:r w:rsidR="00DC7496">
        <w:rPr>
          <w:rFonts w:ascii="Times New Roman" w:hAnsi="Times New Roman" w:cs="Times New Roman"/>
          <w:lang w:val="hu-HU"/>
        </w:rPr>
        <w:t xml:space="preserve"> </w:t>
      </w:r>
      <w:r w:rsidRPr="00DC7496">
        <w:rPr>
          <w:rFonts w:ascii="Times New Roman" w:eastAsia="TimesNewRomanPSMT" w:hAnsi="Times New Roman" w:cs="Times New Roman"/>
          <w:lang w:val="hu-HU"/>
        </w:rPr>
        <w:t>az adagolás időtartamára vonatkozóan.</w:t>
      </w:r>
      <w:r w:rsidR="000405CC" w:rsidRPr="00DC7496">
        <w:rPr>
          <w:rFonts w:ascii="Times New Roman" w:eastAsia="Times New Roman" w:hAnsi="Times New Roman" w:cs="Times New Roman"/>
          <w:lang w:val="hu-HU"/>
        </w:rPr>
        <w:t>.</w:t>
      </w:r>
    </w:p>
    <w:p w14:paraId="556EC289" w14:textId="77777777" w:rsidR="00130E8B" w:rsidRDefault="00130E8B">
      <w:pPr>
        <w:spacing w:line="240" w:lineRule="exact"/>
        <w:rPr>
          <w:rFonts w:ascii="Times New Roman" w:hAnsi="Times New Roman" w:cs="Times New Roman"/>
          <w:sz w:val="24"/>
          <w:szCs w:val="24"/>
          <w:lang w:val="hu-HU"/>
        </w:rPr>
      </w:pPr>
    </w:p>
    <w:p w14:paraId="1529E5E0" w14:textId="77777777" w:rsidR="00130E8B" w:rsidRDefault="000405CC">
      <w:pPr>
        <w:pStyle w:val="a3"/>
        <w:rPr>
          <w:lang w:val="hu-HU"/>
        </w:rPr>
      </w:pPr>
      <w:r>
        <w:rPr>
          <w:rFonts w:eastAsia="Times New Roman"/>
          <w:lang w:val="hu-HU"/>
        </w:rPr>
        <w:t>Ha újabb adag adalimumab-kezelés javasolt, az alábbi adagolási útmutatót és kezelési időtartamot kell követni.</w:t>
      </w:r>
    </w:p>
    <w:p w14:paraId="03648FA1" w14:textId="77777777" w:rsidR="00130E8B" w:rsidRDefault="00130E8B">
      <w:pPr>
        <w:spacing w:line="240" w:lineRule="exact"/>
        <w:rPr>
          <w:rFonts w:ascii="Times New Roman" w:hAnsi="Times New Roman" w:cs="Times New Roman"/>
          <w:sz w:val="24"/>
          <w:szCs w:val="24"/>
          <w:lang w:val="hu-HU"/>
        </w:rPr>
      </w:pPr>
    </w:p>
    <w:p w14:paraId="43E6D161" w14:textId="77777777" w:rsidR="00130E8B" w:rsidRDefault="000405CC">
      <w:pPr>
        <w:pStyle w:val="a3"/>
        <w:rPr>
          <w:lang w:val="hu-HU"/>
        </w:rPr>
      </w:pPr>
      <w:r>
        <w:rPr>
          <w:rFonts w:eastAsia="Times New Roman"/>
          <w:lang w:val="hu-HU"/>
        </w:rPr>
        <w:t>Az adalimumab biztonságosságát plakkos psoriasisban szenvedő gyermekeknél átlagosan 13 hónapig vizsgálták.</w:t>
      </w:r>
    </w:p>
    <w:p w14:paraId="08FB516E" w14:textId="77777777" w:rsidR="00130E8B" w:rsidRDefault="00130E8B">
      <w:pPr>
        <w:spacing w:line="240" w:lineRule="exact"/>
        <w:rPr>
          <w:rFonts w:ascii="Times New Roman" w:hAnsi="Times New Roman" w:cs="Times New Roman"/>
          <w:sz w:val="24"/>
          <w:szCs w:val="24"/>
          <w:lang w:val="hu-HU"/>
        </w:rPr>
      </w:pPr>
    </w:p>
    <w:p w14:paraId="2C6F9E9C" w14:textId="7467B872" w:rsidR="00130E8B" w:rsidRDefault="000405CC">
      <w:pPr>
        <w:pStyle w:val="a3"/>
        <w:rPr>
          <w:lang w:val="hu-HU"/>
        </w:rPr>
      </w:pPr>
      <w:r>
        <w:rPr>
          <w:rFonts w:eastAsia="Times New Roman"/>
          <w:lang w:val="hu-HU"/>
        </w:rPr>
        <w:t>4 évesnél fiatalabb gyermekek esetében az adalimumabnak ebben a javallatban nincs releváns alkalmazása.</w:t>
      </w:r>
    </w:p>
    <w:p w14:paraId="5124A29C" w14:textId="77777777" w:rsidR="00130E8B" w:rsidRDefault="00130E8B">
      <w:pPr>
        <w:pStyle w:val="a3"/>
        <w:rPr>
          <w:lang w:val="hu-HU"/>
        </w:rPr>
      </w:pPr>
    </w:p>
    <w:p w14:paraId="057F0FA5" w14:textId="77777777" w:rsidR="00130E8B" w:rsidRPr="00167BF3" w:rsidRDefault="000405CC">
      <w:pPr>
        <w:jc w:val="both"/>
        <w:rPr>
          <w:rFonts w:ascii="Times New Roman" w:eastAsia="Times New Roman" w:hAnsi="Times New Roman" w:cs="Times New Roman"/>
          <w:lang w:val="hu-HU"/>
        </w:rPr>
      </w:pPr>
      <w:r w:rsidRPr="00167BF3">
        <w:rPr>
          <w:rFonts w:ascii="Times New Roman" w:eastAsia="Times New Roman" w:hAnsi="Times New Roman" w:cs="Times New Roman"/>
          <w:i/>
          <w:iCs/>
          <w:spacing w:val="-1"/>
          <w:lang w:val="hu-HU"/>
        </w:rPr>
        <w:t>Serdülőkori hidradenitis suppurativa (12 éves kortól, legalább 30 kg-os betegek</w:t>
      </w:r>
      <w:r w:rsidR="00A45720" w:rsidRPr="00167BF3">
        <w:rPr>
          <w:rFonts w:ascii="Times New Roman" w:eastAsia="Times New Roman" w:hAnsi="Times New Roman" w:cs="Times New Roman"/>
          <w:i/>
          <w:iCs/>
          <w:spacing w:val="-1"/>
          <w:lang w:val="hu-HU"/>
        </w:rPr>
        <w:t>nél</w:t>
      </w:r>
      <w:r w:rsidRPr="00167BF3">
        <w:rPr>
          <w:rFonts w:ascii="Times New Roman" w:eastAsia="Times New Roman" w:hAnsi="Times New Roman" w:cs="Times New Roman"/>
          <w:i/>
          <w:iCs/>
          <w:spacing w:val="-1"/>
          <w:lang w:val="hu-HU"/>
        </w:rPr>
        <w:t>)</w:t>
      </w:r>
    </w:p>
    <w:p w14:paraId="7687DFAA" w14:textId="77777777" w:rsidR="00130E8B" w:rsidRDefault="00130E8B">
      <w:pPr>
        <w:spacing w:line="240" w:lineRule="exact"/>
        <w:rPr>
          <w:rFonts w:ascii="Times New Roman" w:hAnsi="Times New Roman" w:cs="Times New Roman"/>
          <w:sz w:val="24"/>
          <w:szCs w:val="24"/>
          <w:lang w:val="hu-HU"/>
        </w:rPr>
      </w:pPr>
    </w:p>
    <w:p w14:paraId="559C7BD6" w14:textId="77777777" w:rsidR="00130E8B" w:rsidRDefault="000405CC">
      <w:pPr>
        <w:pStyle w:val="a3"/>
        <w:rPr>
          <w:lang w:val="hu-HU"/>
        </w:rPr>
      </w:pPr>
      <w:r>
        <w:rPr>
          <w:rFonts w:eastAsia="Times New Roman"/>
          <w:lang w:val="hu-HU"/>
        </w:rPr>
        <w:t>Nem végeztek klinikai vizsgálatokat adalimumabbal HS-ben szenvedő serdülőknél. Az adalimumab adagolását ezeknél a betegeknél farmakokinetikai modellezéssel és szimulációval határozták meg (lásd 5.2 pont).</w:t>
      </w:r>
    </w:p>
    <w:p w14:paraId="6F479CFA" w14:textId="77777777" w:rsidR="00130E8B" w:rsidRDefault="00130E8B">
      <w:pPr>
        <w:spacing w:line="240" w:lineRule="exact"/>
        <w:rPr>
          <w:rFonts w:ascii="Times New Roman" w:hAnsi="Times New Roman" w:cs="Times New Roman"/>
          <w:sz w:val="24"/>
          <w:szCs w:val="24"/>
          <w:lang w:val="hu-HU"/>
        </w:rPr>
      </w:pPr>
    </w:p>
    <w:p w14:paraId="295E13AA" w14:textId="77777777" w:rsidR="00130E8B" w:rsidRDefault="000405CC">
      <w:pPr>
        <w:pStyle w:val="a3"/>
        <w:rPr>
          <w:lang w:val="hu-HU"/>
        </w:rPr>
      </w:pPr>
      <w:r>
        <w:rPr>
          <w:rFonts w:eastAsia="Times New Roman"/>
          <w:spacing w:val="1"/>
          <w:lang w:val="hu-HU"/>
        </w:rPr>
        <w:t>A Yuflyma ajánlott adagja a 0. héten 80 mg, amit az első héttől kezdve 40 mg subcutan adott injekció követ minden 2. héten.</w:t>
      </w:r>
    </w:p>
    <w:p w14:paraId="19252984" w14:textId="77777777" w:rsidR="00130E8B" w:rsidRDefault="00130E8B">
      <w:pPr>
        <w:spacing w:line="240" w:lineRule="exact"/>
        <w:rPr>
          <w:rFonts w:ascii="Times New Roman" w:hAnsi="Times New Roman" w:cs="Times New Roman"/>
          <w:sz w:val="24"/>
          <w:szCs w:val="24"/>
          <w:lang w:val="hu-HU"/>
        </w:rPr>
      </w:pPr>
    </w:p>
    <w:p w14:paraId="41B66EBE" w14:textId="77777777" w:rsidR="00130E8B" w:rsidRDefault="000405CC">
      <w:pPr>
        <w:pStyle w:val="a3"/>
        <w:rPr>
          <w:lang w:val="hu-HU"/>
        </w:rPr>
      </w:pPr>
      <w:r>
        <w:rPr>
          <w:rFonts w:eastAsia="Times New Roman"/>
          <w:lang w:val="hu-HU"/>
        </w:rPr>
        <w:t xml:space="preserve">Azoknál a serdülőkorú betegeknél, akik nem megfelelően reagálnak a kéthetente adagolt 40 mg </w:t>
      </w:r>
      <w:r>
        <w:rPr>
          <w:rFonts w:eastAsia="Times New Roman"/>
          <w:spacing w:val="1"/>
          <w:lang w:val="hu-HU"/>
        </w:rPr>
        <w:t xml:space="preserve">Yuflyma </w:t>
      </w:r>
      <w:r>
        <w:rPr>
          <w:rFonts w:eastAsia="Times New Roman"/>
          <w:lang w:val="hu-HU"/>
        </w:rPr>
        <w:t xml:space="preserve">kezelésre, megfontolandó a </w:t>
      </w:r>
      <w:r>
        <w:rPr>
          <w:rFonts w:eastAsia="Times New Roman"/>
          <w:spacing w:val="1"/>
          <w:lang w:val="hu-HU"/>
        </w:rPr>
        <w:t xml:space="preserve">Yuflyma </w:t>
      </w:r>
      <w:r>
        <w:rPr>
          <w:rFonts w:eastAsia="Times New Roman"/>
          <w:lang w:val="hu-HU"/>
        </w:rPr>
        <w:t>adagját heti 40 mg-ra, vagy kéthetente 80 mg-ra emelni.</w:t>
      </w:r>
    </w:p>
    <w:p w14:paraId="0EC334EF" w14:textId="77777777" w:rsidR="00130E8B" w:rsidRDefault="00130E8B">
      <w:pPr>
        <w:spacing w:line="240" w:lineRule="exact"/>
        <w:rPr>
          <w:rFonts w:ascii="Times New Roman" w:hAnsi="Times New Roman" w:cs="Times New Roman"/>
          <w:sz w:val="24"/>
          <w:szCs w:val="24"/>
          <w:lang w:val="hu-HU"/>
        </w:rPr>
      </w:pPr>
    </w:p>
    <w:p w14:paraId="71D27A5B" w14:textId="77777777" w:rsidR="00C56B0D" w:rsidRDefault="00A45720" w:rsidP="00A45720">
      <w:pPr>
        <w:widowControl/>
        <w:autoSpaceDE w:val="0"/>
        <w:autoSpaceDN w:val="0"/>
        <w:adjustRightInd w:val="0"/>
        <w:rPr>
          <w:rFonts w:ascii="Times New Roman" w:eastAsia="TimesNewRomanPSMT" w:hAnsi="Times New Roman" w:cs="Times New Roman"/>
          <w:lang w:val="hu-HU"/>
        </w:rPr>
      </w:pPr>
      <w:r w:rsidRPr="00BF69D1">
        <w:rPr>
          <w:rFonts w:ascii="Times New Roman" w:hAnsi="Times New Roman" w:cs="Times New Roman"/>
          <w:lang w:val="hu-HU"/>
        </w:rPr>
        <w:t>Az antibiotikumok adását a</w:t>
      </w:r>
      <w:r w:rsidRPr="00DA48CC">
        <w:rPr>
          <w:rFonts w:ascii="Times New Roman" w:eastAsia="Times New Roman" w:hAnsi="Times New Roman" w:cs="Times New Roman"/>
          <w:spacing w:val="1"/>
          <w:lang w:val="hu-HU"/>
        </w:rPr>
        <w:t xml:space="preserve"> Yuflyma</w:t>
      </w:r>
      <w:r w:rsidRPr="00BF69D1">
        <w:rPr>
          <w:rFonts w:ascii="Times New Roman" w:hAnsi="Times New Roman" w:cs="Times New Roman"/>
          <w:lang w:val="hu-HU"/>
        </w:rPr>
        <w:t xml:space="preserve"> kezelés alatt sz</w:t>
      </w:r>
      <w:r w:rsidRPr="005328A6">
        <w:rPr>
          <w:rFonts w:ascii="Times New Roman" w:hAnsi="Times New Roman" w:cs="Times New Roman"/>
          <w:lang w:val="hu-HU"/>
        </w:rPr>
        <w:t>ükség esetén folytatni lehet. A</w:t>
      </w:r>
      <w:r w:rsidRPr="00DA48CC">
        <w:rPr>
          <w:rFonts w:ascii="Times New Roman" w:eastAsia="Times New Roman" w:hAnsi="Times New Roman" w:cs="Times New Roman"/>
          <w:spacing w:val="1"/>
          <w:lang w:val="hu-HU"/>
        </w:rPr>
        <w:t xml:space="preserve"> Yuflyma </w:t>
      </w:r>
      <w:r w:rsidRPr="00DA48CC">
        <w:rPr>
          <w:rFonts w:ascii="Times New Roman" w:eastAsia="TimesNewRomanPSMT" w:hAnsi="Times New Roman" w:cs="Times New Roman"/>
          <w:lang w:val="hu-HU"/>
        </w:rPr>
        <w:t>kezelés alatt javasolt a HS-es bőrelváltozások lokális antiszeptikus mosakodóval történő napi</w:t>
      </w:r>
      <w:r w:rsidRPr="00BF69D1">
        <w:rPr>
          <w:rFonts w:ascii="Times New Roman" w:eastAsia="TimesNewRomanPSMT" w:hAnsi="Times New Roman" w:cs="Times New Roman"/>
          <w:lang w:val="hu-HU"/>
        </w:rPr>
        <w:t xml:space="preserve"> </w:t>
      </w:r>
      <w:r w:rsidRPr="00DA48CC">
        <w:rPr>
          <w:rFonts w:ascii="Times New Roman" w:eastAsia="TimesNewRomanPSMT" w:hAnsi="Times New Roman" w:cs="Times New Roman"/>
          <w:lang w:val="hu-HU"/>
        </w:rPr>
        <w:t>szintű kezelése.</w:t>
      </w:r>
      <w:r w:rsidRPr="00BF69D1">
        <w:rPr>
          <w:rFonts w:ascii="Times New Roman" w:eastAsia="TimesNewRomanPSMT" w:hAnsi="Times New Roman" w:cs="Times New Roman"/>
          <w:lang w:val="hu-HU"/>
        </w:rPr>
        <w:t xml:space="preserve"> </w:t>
      </w:r>
    </w:p>
    <w:p w14:paraId="32ACE47A" w14:textId="77777777" w:rsidR="00926C92" w:rsidRDefault="00926C92" w:rsidP="00A45720">
      <w:pPr>
        <w:widowControl/>
        <w:autoSpaceDE w:val="0"/>
        <w:autoSpaceDN w:val="0"/>
        <w:adjustRightInd w:val="0"/>
        <w:rPr>
          <w:rFonts w:ascii="Times New Roman" w:eastAsia="TimesNewRomanPSMT" w:hAnsi="Times New Roman" w:cs="Times New Roman"/>
          <w:lang w:val="hu-HU"/>
        </w:rPr>
      </w:pPr>
    </w:p>
    <w:p w14:paraId="2DC5FA0F" w14:textId="77777777" w:rsidR="00A45720" w:rsidRPr="008A5E26" w:rsidRDefault="00A45720" w:rsidP="009167C6">
      <w:pPr>
        <w:widowControl/>
        <w:autoSpaceDE w:val="0"/>
        <w:autoSpaceDN w:val="0"/>
        <w:adjustRightInd w:val="0"/>
        <w:rPr>
          <w:rFonts w:ascii="Times New Roman" w:hAnsi="Times New Roman" w:cs="Times New Roman"/>
          <w:sz w:val="24"/>
          <w:szCs w:val="24"/>
          <w:lang w:val="hu-HU"/>
        </w:rPr>
      </w:pPr>
      <w:r w:rsidRPr="00DA48CC">
        <w:rPr>
          <w:rFonts w:ascii="Times New Roman" w:eastAsia="TimesNewRomanPSMT" w:hAnsi="Times New Roman" w:cs="Times New Roman"/>
          <w:lang w:val="hu-HU"/>
        </w:rPr>
        <w:t>A 12 héten túli kezelést alaposan meg kell fontolni azoknál a betegeknél, akiknél ezen időszak</w:t>
      </w:r>
      <w:r w:rsidR="00C56B0D">
        <w:rPr>
          <w:rFonts w:ascii="Times New Roman" w:eastAsia="TimesNewRomanPSMT" w:hAnsi="Times New Roman" w:cs="Times New Roman"/>
          <w:lang w:val="hu-HU"/>
        </w:rPr>
        <w:t xml:space="preserve"> </w:t>
      </w:r>
      <w:r w:rsidRPr="00DA48CC">
        <w:rPr>
          <w:rFonts w:ascii="Times New Roman" w:eastAsia="TimesNewRomanPSMT" w:hAnsi="Times New Roman" w:cs="Times New Roman"/>
          <w:lang w:val="hu-HU"/>
        </w:rPr>
        <w:t>alatt nem észlelhető javulás.</w:t>
      </w:r>
    </w:p>
    <w:p w14:paraId="2F48845C" w14:textId="77777777" w:rsidR="00130E8B" w:rsidRDefault="00130E8B">
      <w:pPr>
        <w:spacing w:line="240" w:lineRule="exact"/>
        <w:rPr>
          <w:rFonts w:ascii="Times New Roman" w:hAnsi="Times New Roman" w:cs="Times New Roman"/>
          <w:sz w:val="24"/>
          <w:szCs w:val="24"/>
          <w:lang w:val="hu-HU"/>
        </w:rPr>
      </w:pPr>
    </w:p>
    <w:p w14:paraId="0C0A8C1A" w14:textId="5AB312D9" w:rsidR="00130E8B" w:rsidRDefault="000405CC">
      <w:pPr>
        <w:pStyle w:val="a3"/>
        <w:rPr>
          <w:lang w:val="hu-HU"/>
        </w:rPr>
      </w:pPr>
      <w:r>
        <w:rPr>
          <w:rFonts w:eastAsia="Times New Roman"/>
          <w:lang w:val="hu-HU"/>
        </w:rPr>
        <w:t xml:space="preserve">Ha a </w:t>
      </w:r>
      <w:r w:rsidR="00A45720">
        <w:rPr>
          <w:rFonts w:eastAsia="Times New Roman"/>
          <w:lang w:val="hu-HU"/>
        </w:rPr>
        <w:t xml:space="preserve">kezelést meg kell </w:t>
      </w:r>
      <w:r>
        <w:rPr>
          <w:rFonts w:eastAsia="Times New Roman"/>
          <w:lang w:val="hu-HU"/>
        </w:rPr>
        <w:t>szak</w:t>
      </w:r>
      <w:r w:rsidR="00A45720">
        <w:rPr>
          <w:rFonts w:eastAsia="Times New Roman"/>
          <w:lang w:val="hu-HU"/>
        </w:rPr>
        <w:t>ítani</w:t>
      </w:r>
      <w:r>
        <w:rPr>
          <w:rFonts w:eastAsia="Times New Roman"/>
          <w:lang w:val="hu-HU"/>
        </w:rPr>
        <w:t>, a Yuflyma adása újrakezdhető.</w:t>
      </w:r>
    </w:p>
    <w:p w14:paraId="0BAD6A49" w14:textId="77777777" w:rsidR="00130E8B" w:rsidRDefault="00130E8B">
      <w:pPr>
        <w:spacing w:line="240" w:lineRule="exact"/>
        <w:rPr>
          <w:rFonts w:ascii="Times New Roman" w:hAnsi="Times New Roman" w:cs="Times New Roman"/>
          <w:sz w:val="24"/>
          <w:szCs w:val="24"/>
          <w:lang w:val="hu-HU"/>
        </w:rPr>
      </w:pPr>
    </w:p>
    <w:p w14:paraId="16D325C6" w14:textId="77777777" w:rsidR="00130E8B" w:rsidRDefault="000405CC">
      <w:pPr>
        <w:pStyle w:val="a3"/>
        <w:rPr>
          <w:lang w:val="hu-HU"/>
        </w:rPr>
      </w:pPr>
      <w:r>
        <w:rPr>
          <w:rFonts w:eastAsia="Times New Roman"/>
          <w:lang w:val="hu-HU"/>
        </w:rPr>
        <w:t>A hosszú távú kezelés előnyeit és kockázatát időszakosan értékelni kell (a felnőttkori adatokat lásd 5</w:t>
      </w:r>
      <w:r w:rsidR="00990AC4">
        <w:rPr>
          <w:rFonts w:eastAsia="Times New Roman"/>
          <w:lang w:val="hu-HU"/>
        </w:rPr>
        <w:t>.</w:t>
      </w:r>
      <w:r>
        <w:rPr>
          <w:rFonts w:eastAsia="Times New Roman"/>
          <w:lang w:val="hu-HU"/>
        </w:rPr>
        <w:t>1 pont).</w:t>
      </w:r>
    </w:p>
    <w:p w14:paraId="3D5CD9B2" w14:textId="77777777" w:rsidR="00130E8B" w:rsidRDefault="00130E8B">
      <w:pPr>
        <w:spacing w:line="240" w:lineRule="exact"/>
        <w:rPr>
          <w:rFonts w:ascii="Times New Roman" w:hAnsi="Times New Roman" w:cs="Times New Roman"/>
          <w:sz w:val="24"/>
          <w:szCs w:val="24"/>
          <w:lang w:val="hu-HU"/>
        </w:rPr>
      </w:pPr>
    </w:p>
    <w:p w14:paraId="2E18676B" w14:textId="77777777" w:rsidR="00130E8B" w:rsidRDefault="000405CC">
      <w:pPr>
        <w:pStyle w:val="a3"/>
        <w:rPr>
          <w:lang w:val="hu-HU"/>
        </w:rPr>
      </w:pPr>
      <w:r>
        <w:rPr>
          <w:rFonts w:eastAsia="Times New Roman"/>
          <w:lang w:val="hu-HU"/>
        </w:rPr>
        <w:lastRenderedPageBreak/>
        <w:t>12 évesnél fiatalabb gyermekek esetében ebben a javallatban nincs releváns alkalmazása.</w:t>
      </w:r>
    </w:p>
    <w:p w14:paraId="794440F8" w14:textId="77777777" w:rsidR="00130E8B" w:rsidRDefault="00130E8B">
      <w:pPr>
        <w:spacing w:line="240" w:lineRule="exact"/>
        <w:rPr>
          <w:rFonts w:ascii="Times New Roman" w:hAnsi="Times New Roman" w:cs="Times New Roman"/>
          <w:sz w:val="24"/>
          <w:szCs w:val="24"/>
          <w:lang w:val="hu-HU"/>
        </w:rPr>
      </w:pPr>
    </w:p>
    <w:p w14:paraId="4A7D66C6" w14:textId="22E6E6E0" w:rsidR="00130E8B" w:rsidRPr="00167BF3" w:rsidRDefault="00856D04">
      <w:pPr>
        <w:jc w:val="both"/>
        <w:rPr>
          <w:rFonts w:ascii="Times New Roman" w:eastAsia="Times New Roman" w:hAnsi="Times New Roman" w:cs="Times New Roman"/>
          <w:i/>
          <w:lang w:val="hu-HU"/>
        </w:rPr>
      </w:pPr>
      <w:r w:rsidRPr="00167BF3">
        <w:rPr>
          <w:rFonts w:ascii="Times New Roman" w:eastAsia="Times New Roman" w:hAnsi="Times New Roman" w:cs="Times New Roman"/>
          <w:i/>
          <w:iCs/>
          <w:spacing w:val="-1"/>
          <w:lang w:val="hu-HU"/>
        </w:rPr>
        <w:t>Gyermekkori</w:t>
      </w:r>
      <w:r w:rsidR="000405CC" w:rsidRPr="00167BF3">
        <w:rPr>
          <w:rFonts w:ascii="Times New Roman" w:eastAsia="Times New Roman" w:hAnsi="Times New Roman" w:cs="Times New Roman"/>
          <w:i/>
          <w:iCs/>
          <w:spacing w:val="-1"/>
          <w:lang w:val="hu-HU"/>
        </w:rPr>
        <w:t xml:space="preserve"> Crohn-betegség</w:t>
      </w:r>
    </w:p>
    <w:p w14:paraId="47DC9D5C" w14:textId="77777777" w:rsidR="00130E8B" w:rsidRDefault="00130E8B">
      <w:pPr>
        <w:spacing w:line="240" w:lineRule="exact"/>
        <w:rPr>
          <w:rFonts w:ascii="Times New Roman" w:hAnsi="Times New Roman" w:cs="Times New Roman"/>
          <w:sz w:val="24"/>
          <w:szCs w:val="24"/>
          <w:lang w:val="hu-HU"/>
        </w:rPr>
      </w:pPr>
    </w:p>
    <w:p w14:paraId="758DADAE" w14:textId="7112A217" w:rsidR="00130E8B" w:rsidRDefault="000405CC">
      <w:pPr>
        <w:pStyle w:val="a3"/>
        <w:rPr>
          <w:lang w:val="hu-HU"/>
        </w:rPr>
      </w:pPr>
      <w:r>
        <w:rPr>
          <w:rFonts w:eastAsia="Times New Roman"/>
          <w:lang w:val="hu-HU"/>
        </w:rPr>
        <w:t>A Yuflyma ajánlott adagja Crohn-betegségben szenvedő</w:t>
      </w:r>
      <w:r w:rsidR="00D94FB3">
        <w:rPr>
          <w:rFonts w:eastAsia="Times New Roman"/>
          <w:lang w:val="hu-HU"/>
        </w:rPr>
        <w:t xml:space="preserve"> </w:t>
      </w:r>
      <w:r w:rsidR="00DC7496">
        <w:rPr>
          <w:rFonts w:eastAsia="Times New Roman"/>
          <w:lang w:val="hu-HU"/>
        </w:rPr>
        <w:t>betegeknek</w:t>
      </w:r>
      <w:r>
        <w:rPr>
          <w:rFonts w:eastAsia="Times New Roman"/>
          <w:lang w:val="hu-HU"/>
        </w:rPr>
        <w:t xml:space="preserve"> </w:t>
      </w:r>
      <w:r w:rsidR="00856D04" w:rsidRPr="009167C6">
        <w:rPr>
          <w:lang w:val="hu-HU"/>
        </w:rPr>
        <w:t>6-tólt</w:t>
      </w:r>
      <w:r w:rsidR="007730BA" w:rsidRPr="009167C6">
        <w:rPr>
          <w:lang w:val="hu-HU"/>
        </w:rPr>
        <w:t xml:space="preserve"> betöltött 18 éves korig </w:t>
      </w:r>
      <w:r>
        <w:rPr>
          <w:rFonts w:eastAsia="Times New Roman"/>
          <w:lang w:val="hu-HU"/>
        </w:rPr>
        <w:t>a testtömegtől függ (4. táblázat). A Yuflymát subcutan injekció formájában kell alkalmazni.</w:t>
      </w:r>
    </w:p>
    <w:p w14:paraId="574CF58E" w14:textId="77777777" w:rsidR="00130E8B" w:rsidRDefault="00130E8B">
      <w:pPr>
        <w:pStyle w:val="a3"/>
        <w:rPr>
          <w:lang w:val="hu-HU"/>
        </w:rPr>
      </w:pPr>
    </w:p>
    <w:p w14:paraId="3E75207A" w14:textId="3AFB4B50" w:rsidR="00130E8B" w:rsidRDefault="000405CC">
      <w:pPr>
        <w:pStyle w:val="a3"/>
        <w:jc w:val="center"/>
        <w:rPr>
          <w:b/>
          <w:lang w:val="hu-HU"/>
        </w:rPr>
      </w:pPr>
      <w:r>
        <w:rPr>
          <w:rFonts w:eastAsia="Times New Roman"/>
          <w:b/>
          <w:bCs/>
          <w:lang w:val="hu-HU"/>
        </w:rPr>
        <w:t>4. táblázat</w:t>
      </w:r>
      <w:r w:rsidR="001918FA">
        <w:rPr>
          <w:rFonts w:eastAsia="Times New Roman"/>
          <w:b/>
          <w:bCs/>
          <w:lang w:val="hu-HU"/>
        </w:rPr>
        <w:t xml:space="preserve">. </w:t>
      </w:r>
      <w:r>
        <w:rPr>
          <w:rFonts w:eastAsia="Times New Roman"/>
          <w:b/>
          <w:bCs/>
          <w:lang w:val="hu-HU"/>
        </w:rPr>
        <w:t>Adalimumab dózis Crohn-betegségben szenvedő gyermekeknél</w:t>
      </w:r>
    </w:p>
    <w:p w14:paraId="2E6BC4A2" w14:textId="77777777" w:rsidR="00130E8B" w:rsidRDefault="00130E8B">
      <w:pPr>
        <w:spacing w:before="14" w:line="240" w:lineRule="exact"/>
        <w:rPr>
          <w:rFonts w:ascii="Times New Roman" w:hAnsi="Times New Roman" w:cs="Times New Roman"/>
          <w:sz w:val="24"/>
          <w:szCs w:val="24"/>
          <w:lang w:val="hu-HU"/>
        </w:rPr>
      </w:pPr>
    </w:p>
    <w:tbl>
      <w:tblPr>
        <w:tblStyle w:val="TableNormal1"/>
        <w:tblW w:w="0" w:type="auto"/>
        <w:tblInd w:w="110" w:type="dxa"/>
        <w:tblLayout w:type="fixed"/>
        <w:tblLook w:val="01E0" w:firstRow="1" w:lastRow="1" w:firstColumn="1" w:lastColumn="1" w:noHBand="0" w:noVBand="0"/>
      </w:tblPr>
      <w:tblGrid>
        <w:gridCol w:w="1161"/>
        <w:gridCol w:w="6237"/>
        <w:gridCol w:w="2005"/>
      </w:tblGrid>
      <w:tr w:rsidR="00130E8B" w14:paraId="6DCDD416" w14:textId="77777777" w:rsidTr="004F731A">
        <w:tc>
          <w:tcPr>
            <w:tcW w:w="1161" w:type="dxa"/>
            <w:tcBorders>
              <w:top w:val="single" w:sz="4" w:space="0" w:color="auto"/>
              <w:left w:val="single" w:sz="4" w:space="0" w:color="auto"/>
              <w:bottom w:val="single" w:sz="4" w:space="0" w:color="auto"/>
              <w:right w:val="single" w:sz="4" w:space="0" w:color="auto"/>
            </w:tcBorders>
            <w:vAlign w:val="center"/>
          </w:tcPr>
          <w:p w14:paraId="77634C4C" w14:textId="77777777" w:rsidR="00130E8B" w:rsidRDefault="000405CC">
            <w:pPr>
              <w:pStyle w:val="TableParagraph"/>
              <w:spacing w:line="252" w:lineRule="exact"/>
              <w:ind w:firstLine="4"/>
              <w:jc w:val="center"/>
              <w:rPr>
                <w:rFonts w:ascii="Times New Roman" w:eastAsia="Times New Roman" w:hAnsi="Times New Roman" w:cs="Times New Roman"/>
                <w:lang w:val="hu-HU"/>
              </w:rPr>
            </w:pPr>
            <w:r>
              <w:rPr>
                <w:rFonts w:ascii="Times New Roman" w:eastAsia="Times New Roman" w:hAnsi="Times New Roman" w:cs="Times New Roman"/>
                <w:b/>
                <w:bCs/>
                <w:lang w:val="hu-HU"/>
              </w:rPr>
              <w:t>A beteg testtömege</w:t>
            </w:r>
          </w:p>
        </w:tc>
        <w:tc>
          <w:tcPr>
            <w:tcW w:w="6237" w:type="dxa"/>
            <w:tcBorders>
              <w:top w:val="single" w:sz="4" w:space="0" w:color="auto"/>
              <w:left w:val="single" w:sz="4" w:space="0" w:color="auto"/>
              <w:bottom w:val="single" w:sz="4" w:space="0" w:color="auto"/>
              <w:right w:val="single" w:sz="4" w:space="0" w:color="auto"/>
            </w:tcBorders>
            <w:vAlign w:val="center"/>
          </w:tcPr>
          <w:p w14:paraId="3772EA75" w14:textId="77777777" w:rsidR="00130E8B" w:rsidRDefault="000405CC">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Indukciós dózis</w:t>
            </w:r>
          </w:p>
        </w:tc>
        <w:tc>
          <w:tcPr>
            <w:tcW w:w="2005" w:type="dxa"/>
            <w:tcBorders>
              <w:top w:val="single" w:sz="4" w:space="0" w:color="auto"/>
              <w:left w:val="single" w:sz="4" w:space="0" w:color="auto"/>
              <w:bottom w:val="single" w:sz="4" w:space="0" w:color="auto"/>
              <w:right w:val="single" w:sz="4" w:space="0" w:color="auto"/>
            </w:tcBorders>
            <w:vAlign w:val="center"/>
          </w:tcPr>
          <w:p w14:paraId="4E99653E" w14:textId="77777777" w:rsidR="00130E8B" w:rsidRDefault="000405CC">
            <w:pPr>
              <w:pStyle w:val="TableParagraph"/>
              <w:spacing w:line="239" w:lineRule="auto"/>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A fenntartó dózis a 4. héttől kezdve</w:t>
            </w:r>
          </w:p>
        </w:tc>
      </w:tr>
      <w:tr w:rsidR="00130E8B" w14:paraId="40862840" w14:textId="77777777" w:rsidTr="004F731A">
        <w:tc>
          <w:tcPr>
            <w:tcW w:w="1161" w:type="dxa"/>
            <w:tcBorders>
              <w:top w:val="single" w:sz="4" w:space="0" w:color="auto"/>
              <w:left w:val="single" w:sz="7" w:space="0" w:color="000000"/>
              <w:bottom w:val="single" w:sz="7" w:space="0" w:color="000000"/>
              <w:right w:val="single" w:sz="7" w:space="0" w:color="000000"/>
            </w:tcBorders>
          </w:tcPr>
          <w:p w14:paraId="0C4E44A9" w14:textId="77777777" w:rsidR="00130E8B" w:rsidRDefault="000405CC">
            <w:pPr>
              <w:pStyle w:val="TableParagraph"/>
              <w:spacing w:before="9"/>
              <w:ind w:left="140"/>
              <w:rPr>
                <w:rFonts w:ascii="Times New Roman" w:eastAsia="Times New Roman" w:hAnsi="Times New Roman" w:cs="Times New Roman"/>
                <w:lang w:val="hu-HU"/>
              </w:rPr>
            </w:pPr>
            <w:r>
              <w:rPr>
                <w:rFonts w:ascii="Times New Roman" w:eastAsia="Times New Roman" w:hAnsi="Times New Roman" w:cs="Times New Roman"/>
                <w:lang w:val="hu-HU"/>
              </w:rPr>
              <w:t>&lt; 40 kg</w:t>
            </w:r>
          </w:p>
        </w:tc>
        <w:tc>
          <w:tcPr>
            <w:tcW w:w="6237" w:type="dxa"/>
            <w:tcBorders>
              <w:top w:val="single" w:sz="4" w:space="0" w:color="auto"/>
              <w:left w:val="single" w:sz="7" w:space="0" w:color="000000"/>
              <w:bottom w:val="single" w:sz="7" w:space="0" w:color="000000"/>
              <w:right w:val="single" w:sz="7" w:space="0" w:color="000000"/>
            </w:tcBorders>
          </w:tcPr>
          <w:p w14:paraId="31ACB3D4" w14:textId="579B3216" w:rsidR="00130E8B" w:rsidRDefault="000405CC">
            <w:pPr>
              <w:pStyle w:val="a4"/>
              <w:numPr>
                <w:ilvl w:val="0"/>
                <w:numId w:val="12"/>
              </w:numPr>
              <w:tabs>
                <w:tab w:val="left" w:pos="315"/>
              </w:tabs>
              <w:spacing w:before="10"/>
              <w:ind w:left="315"/>
              <w:rPr>
                <w:rFonts w:ascii="Times New Roman" w:eastAsia="Times New Roman" w:hAnsi="Times New Roman" w:cs="Times New Roman"/>
                <w:lang w:val="hu-HU"/>
              </w:rPr>
            </w:pPr>
            <w:r>
              <w:rPr>
                <w:rFonts w:ascii="Times New Roman" w:eastAsia="Times New Roman" w:hAnsi="Times New Roman" w:cs="Times New Roman"/>
                <w:spacing w:val="-1"/>
                <w:lang w:val="hu-HU"/>
              </w:rPr>
              <w:t>40 mg a 0. héten és 20 mg a 2. héten</w:t>
            </w:r>
          </w:p>
          <w:p w14:paraId="497B9AD7" w14:textId="77777777" w:rsidR="00130E8B" w:rsidRDefault="00130E8B">
            <w:pPr>
              <w:pStyle w:val="TableParagraph"/>
              <w:spacing w:before="10" w:line="240" w:lineRule="exact"/>
              <w:rPr>
                <w:rFonts w:ascii="Times New Roman" w:hAnsi="Times New Roman" w:cs="Times New Roman"/>
                <w:sz w:val="24"/>
                <w:szCs w:val="24"/>
                <w:lang w:val="hu-HU"/>
              </w:rPr>
            </w:pPr>
          </w:p>
          <w:p w14:paraId="25F0073E" w14:textId="77777777" w:rsidR="00130E8B" w:rsidRDefault="000405CC">
            <w:pPr>
              <w:pStyle w:val="TableParagraph"/>
              <w:ind w:left="159"/>
              <w:rPr>
                <w:rFonts w:ascii="Times New Roman" w:eastAsia="Times New Roman" w:hAnsi="Times New Roman" w:cs="Times New Roman"/>
                <w:lang w:val="hu-HU"/>
              </w:rPr>
            </w:pPr>
            <w:r>
              <w:rPr>
                <w:rFonts w:ascii="Times New Roman" w:eastAsia="Times New Roman" w:hAnsi="Times New Roman" w:cs="Times New Roman"/>
                <w:spacing w:val="-1"/>
                <w:lang w:val="hu-HU"/>
              </w:rPr>
              <w:t>Amennyiben gyorsabb terápiás válaszra van szükség, figyelembe véve, hogy a nagyobb indukciós dózis adásakor a nemkívánatos események kockázata is nagyobb, úgy a következő adagolás alkalmazható:</w:t>
            </w:r>
          </w:p>
          <w:p w14:paraId="0452A6E6" w14:textId="77DD60E9" w:rsidR="00130E8B" w:rsidRDefault="000405CC">
            <w:pPr>
              <w:pStyle w:val="a4"/>
              <w:numPr>
                <w:ilvl w:val="0"/>
                <w:numId w:val="12"/>
              </w:numPr>
              <w:tabs>
                <w:tab w:val="left" w:pos="315"/>
              </w:tabs>
              <w:spacing w:before="2"/>
              <w:ind w:left="315"/>
              <w:rPr>
                <w:rFonts w:ascii="Times New Roman" w:eastAsia="Times New Roman" w:hAnsi="Times New Roman" w:cs="Times New Roman"/>
                <w:lang w:val="hu-HU"/>
              </w:rPr>
            </w:pPr>
            <w:r>
              <w:rPr>
                <w:rFonts w:ascii="Times New Roman" w:eastAsia="Times New Roman" w:hAnsi="Times New Roman" w:cs="Times New Roman"/>
                <w:spacing w:val="-1"/>
                <w:lang w:val="hu-HU"/>
              </w:rPr>
              <w:t>80 mg a 0. héten és 40 mg a 2. héten</w:t>
            </w:r>
          </w:p>
        </w:tc>
        <w:tc>
          <w:tcPr>
            <w:tcW w:w="2005" w:type="dxa"/>
            <w:tcBorders>
              <w:top w:val="single" w:sz="4" w:space="0" w:color="auto"/>
              <w:left w:val="single" w:sz="7" w:space="0" w:color="000000"/>
              <w:bottom w:val="single" w:sz="7" w:space="0" w:color="000000"/>
              <w:right w:val="single" w:sz="7" w:space="0" w:color="000000"/>
            </w:tcBorders>
          </w:tcPr>
          <w:p w14:paraId="71D98311" w14:textId="02DBD292" w:rsidR="00130E8B" w:rsidRDefault="00522548" w:rsidP="00167BF3">
            <w:pPr>
              <w:pStyle w:val="TableParagraph"/>
              <w:spacing w:before="100" w:beforeAutospacing="1" w:line="252" w:lineRule="exact"/>
              <w:ind w:left="63" w:firstLineChars="50" w:firstLine="109"/>
              <w:jc w:val="both"/>
              <w:rPr>
                <w:rFonts w:ascii="Times New Roman" w:eastAsia="Times New Roman" w:hAnsi="Times New Roman" w:cs="Times New Roman"/>
                <w:lang w:val="hu-HU"/>
              </w:rPr>
            </w:pPr>
            <w:r>
              <w:rPr>
                <w:rFonts w:ascii="Times New Roman" w:eastAsia="Times New Roman" w:hAnsi="Times New Roman" w:cs="Times New Roman"/>
                <w:spacing w:val="-1"/>
                <w:lang w:val="hu-HU"/>
              </w:rPr>
              <w:t>20 mg kéthetente</w:t>
            </w:r>
          </w:p>
        </w:tc>
      </w:tr>
      <w:tr w:rsidR="00130E8B" w14:paraId="3C256DE2" w14:textId="77777777" w:rsidTr="004F731A">
        <w:tc>
          <w:tcPr>
            <w:tcW w:w="1161" w:type="dxa"/>
            <w:tcBorders>
              <w:top w:val="single" w:sz="7" w:space="0" w:color="000000"/>
              <w:left w:val="single" w:sz="7" w:space="0" w:color="000000"/>
              <w:bottom w:val="single" w:sz="7" w:space="0" w:color="000000"/>
              <w:right w:val="single" w:sz="7" w:space="0" w:color="000000"/>
            </w:tcBorders>
          </w:tcPr>
          <w:p w14:paraId="75C2E980" w14:textId="77777777" w:rsidR="00130E8B" w:rsidRDefault="000405CC">
            <w:pPr>
              <w:pStyle w:val="TableParagraph"/>
              <w:spacing w:before="7"/>
              <w:ind w:left="143"/>
              <w:rPr>
                <w:rFonts w:ascii="Times New Roman" w:eastAsia="Times New Roman" w:hAnsi="Times New Roman" w:cs="Times New Roman"/>
                <w:lang w:val="hu-HU"/>
              </w:rPr>
            </w:pPr>
            <w:r>
              <w:rPr>
                <w:rFonts w:ascii="Times New Roman" w:eastAsia="Times New Roman" w:hAnsi="Times New Roman" w:cs="Times New Roman"/>
                <w:lang w:val="hu-HU"/>
              </w:rPr>
              <w:t>≥ 40 kg</w:t>
            </w:r>
          </w:p>
        </w:tc>
        <w:tc>
          <w:tcPr>
            <w:tcW w:w="6237" w:type="dxa"/>
            <w:tcBorders>
              <w:top w:val="single" w:sz="7" w:space="0" w:color="000000"/>
              <w:left w:val="single" w:sz="7" w:space="0" w:color="000000"/>
              <w:bottom w:val="single" w:sz="7" w:space="0" w:color="000000"/>
              <w:right w:val="single" w:sz="7" w:space="0" w:color="000000"/>
            </w:tcBorders>
          </w:tcPr>
          <w:p w14:paraId="5184D3ED" w14:textId="4629CB55" w:rsidR="00130E8B" w:rsidRDefault="000405CC">
            <w:pPr>
              <w:pStyle w:val="a4"/>
              <w:numPr>
                <w:ilvl w:val="0"/>
                <w:numId w:val="11"/>
              </w:numPr>
              <w:tabs>
                <w:tab w:val="left" w:pos="315"/>
              </w:tabs>
              <w:spacing w:before="8"/>
              <w:ind w:left="315"/>
              <w:rPr>
                <w:rFonts w:ascii="Times New Roman" w:eastAsia="Times New Roman" w:hAnsi="Times New Roman" w:cs="Times New Roman"/>
                <w:lang w:val="hu-HU"/>
              </w:rPr>
            </w:pPr>
            <w:r>
              <w:rPr>
                <w:rFonts w:ascii="Times New Roman" w:eastAsia="Times New Roman" w:hAnsi="Times New Roman" w:cs="Times New Roman"/>
                <w:spacing w:val="-1"/>
                <w:lang w:val="hu-HU"/>
              </w:rPr>
              <w:t>80 mg a 0. héten és 40 mg a 2. héten</w:t>
            </w:r>
          </w:p>
          <w:p w14:paraId="6FC311D2" w14:textId="77777777" w:rsidR="00130E8B" w:rsidRDefault="00130E8B">
            <w:pPr>
              <w:tabs>
                <w:tab w:val="left" w:pos="315"/>
              </w:tabs>
              <w:spacing w:before="8"/>
              <w:rPr>
                <w:rFonts w:ascii="Times New Roman" w:eastAsia="Times New Roman" w:hAnsi="Times New Roman" w:cs="Times New Roman"/>
                <w:lang w:val="hu-HU"/>
              </w:rPr>
            </w:pPr>
          </w:p>
          <w:p w14:paraId="298FA69E" w14:textId="77777777" w:rsidR="00130E8B" w:rsidRDefault="000405CC">
            <w:pPr>
              <w:pStyle w:val="TableParagraph"/>
              <w:spacing w:before="7"/>
              <w:ind w:left="159" w:right="353"/>
              <w:rPr>
                <w:rFonts w:ascii="Times New Roman" w:eastAsia="Times New Roman" w:hAnsi="Times New Roman" w:cs="Times New Roman"/>
                <w:lang w:val="hu-HU"/>
              </w:rPr>
            </w:pPr>
            <w:r>
              <w:rPr>
                <w:rFonts w:ascii="Times New Roman" w:eastAsia="Times New Roman" w:hAnsi="Times New Roman" w:cs="Times New Roman"/>
                <w:spacing w:val="-1"/>
                <w:lang w:val="hu-HU"/>
              </w:rPr>
              <w:t>Amennyiben gyorsabb terápiás válaszra van szükség, figyelembe véve, hogy a nagyobb indukciós dózis adásakor a nemkívánatos események kockázata is nagyobb, úgy a következő adagolás alkalmazható:</w:t>
            </w:r>
          </w:p>
          <w:p w14:paraId="06F7C2A9" w14:textId="4C6A60BC" w:rsidR="00130E8B" w:rsidRDefault="000405CC">
            <w:pPr>
              <w:pStyle w:val="a4"/>
              <w:numPr>
                <w:ilvl w:val="0"/>
                <w:numId w:val="12"/>
              </w:numPr>
              <w:tabs>
                <w:tab w:val="left" w:pos="315"/>
              </w:tabs>
              <w:spacing w:before="2"/>
              <w:ind w:left="315"/>
              <w:rPr>
                <w:rFonts w:ascii="Times New Roman" w:eastAsia="Times New Roman" w:hAnsi="Times New Roman" w:cs="Times New Roman"/>
                <w:lang w:val="hu-HU"/>
              </w:rPr>
            </w:pPr>
            <w:r>
              <w:rPr>
                <w:rFonts w:ascii="Times New Roman" w:eastAsia="Times New Roman" w:hAnsi="Times New Roman" w:cs="Times New Roman"/>
                <w:spacing w:val="-1"/>
                <w:lang w:val="hu-HU"/>
              </w:rPr>
              <w:t>160 mg a 0. héten és 80 mg a 2. héten</w:t>
            </w:r>
          </w:p>
        </w:tc>
        <w:tc>
          <w:tcPr>
            <w:tcW w:w="2005" w:type="dxa"/>
            <w:tcBorders>
              <w:top w:val="single" w:sz="7" w:space="0" w:color="000000"/>
              <w:left w:val="single" w:sz="7" w:space="0" w:color="000000"/>
              <w:bottom w:val="single" w:sz="7" w:space="0" w:color="000000"/>
              <w:right w:val="single" w:sz="7" w:space="0" w:color="000000"/>
            </w:tcBorders>
          </w:tcPr>
          <w:p w14:paraId="69F376E7" w14:textId="77777777" w:rsidR="00130E8B" w:rsidRDefault="000405CC">
            <w:pPr>
              <w:pStyle w:val="TableParagraph"/>
              <w:spacing w:before="7" w:line="241" w:lineRule="auto"/>
              <w:ind w:left="301" w:hanging="63"/>
              <w:rPr>
                <w:rFonts w:ascii="Times New Roman" w:eastAsia="Times New Roman" w:hAnsi="Times New Roman" w:cs="Times New Roman"/>
                <w:lang w:val="hu-HU"/>
              </w:rPr>
            </w:pPr>
            <w:r>
              <w:rPr>
                <w:rFonts w:ascii="Times New Roman" w:eastAsia="Times New Roman" w:hAnsi="Times New Roman" w:cs="Times New Roman"/>
                <w:spacing w:val="-1"/>
                <w:lang w:val="hu-HU"/>
              </w:rPr>
              <w:t>40 mg kéthetente</w:t>
            </w:r>
          </w:p>
        </w:tc>
      </w:tr>
    </w:tbl>
    <w:tbl>
      <w:tblPr>
        <w:tblW w:w="0" w:type="auto"/>
        <w:tblInd w:w="-108" w:type="dxa"/>
        <w:tblBorders>
          <w:top w:val="nil"/>
          <w:left w:val="nil"/>
          <w:bottom w:val="nil"/>
          <w:right w:val="nil"/>
        </w:tblBorders>
        <w:tblLayout w:type="fixed"/>
        <w:tblLook w:val="0000" w:firstRow="0" w:lastRow="0" w:firstColumn="0" w:lastColumn="0" w:noHBand="0" w:noVBand="0"/>
      </w:tblPr>
      <w:tblGrid>
        <w:gridCol w:w="9635"/>
      </w:tblGrid>
      <w:tr w:rsidR="00130E8B" w:rsidRPr="00522548" w14:paraId="19C44CFE" w14:textId="77777777" w:rsidTr="00167BF3">
        <w:trPr>
          <w:trHeight w:val="318"/>
        </w:trPr>
        <w:tc>
          <w:tcPr>
            <w:tcW w:w="9635" w:type="dxa"/>
          </w:tcPr>
          <w:p w14:paraId="02F55B82" w14:textId="2FFF7A33" w:rsidR="00130E8B" w:rsidRDefault="00130E8B" w:rsidP="002A50C0">
            <w:pPr>
              <w:pStyle w:val="a3"/>
              <w:rPr>
                <w:color w:val="000000"/>
                <w:lang w:val="hu-HU"/>
              </w:rPr>
            </w:pPr>
          </w:p>
        </w:tc>
      </w:tr>
    </w:tbl>
    <w:p w14:paraId="5FDF5BE6" w14:textId="77777777" w:rsidR="00130E8B" w:rsidRDefault="000405CC">
      <w:pPr>
        <w:pStyle w:val="a3"/>
        <w:rPr>
          <w:lang w:val="hu-HU"/>
        </w:rPr>
      </w:pPr>
      <w:r>
        <w:rPr>
          <w:rFonts w:eastAsia="Times New Roman"/>
          <w:lang w:val="hu-HU"/>
        </w:rPr>
        <w:t>A nem megfelelően reagáló betegeknél előnyös lehet az adag növelése:</w:t>
      </w:r>
    </w:p>
    <w:p w14:paraId="2C2711B8" w14:textId="49E1BA6E" w:rsidR="0058703B" w:rsidRPr="00167BF3" w:rsidRDefault="0058703B" w:rsidP="00167BF3">
      <w:pPr>
        <w:pStyle w:val="a3"/>
        <w:numPr>
          <w:ilvl w:val="0"/>
          <w:numId w:val="11"/>
        </w:numPr>
        <w:ind w:left="660" w:hanging="660"/>
      </w:pPr>
      <w:r w:rsidRPr="00167BF3">
        <w:t xml:space="preserve">&lt; 40 kg: 20 mg </w:t>
      </w:r>
      <w:proofErr w:type="spellStart"/>
      <w:r w:rsidRPr="00167BF3">
        <w:t>minden</w:t>
      </w:r>
      <w:proofErr w:type="spellEnd"/>
      <w:r w:rsidRPr="00167BF3">
        <w:t xml:space="preserve"> </w:t>
      </w:r>
      <w:proofErr w:type="spellStart"/>
      <w:r w:rsidRPr="00167BF3">
        <w:t>héten</w:t>
      </w:r>
      <w:proofErr w:type="spellEnd"/>
      <w:r w:rsidRPr="00167BF3">
        <w:t xml:space="preserve"> </w:t>
      </w:r>
    </w:p>
    <w:p w14:paraId="157AB65D" w14:textId="77777777" w:rsidR="00130E8B" w:rsidRPr="00167BF3" w:rsidRDefault="000405CC" w:rsidP="00167BF3">
      <w:pPr>
        <w:pStyle w:val="a3"/>
        <w:numPr>
          <w:ilvl w:val="0"/>
          <w:numId w:val="11"/>
        </w:numPr>
        <w:ind w:left="660" w:hanging="660"/>
      </w:pPr>
      <w:r w:rsidRPr="00167BF3">
        <w:rPr>
          <w:rFonts w:hint="eastAsia"/>
        </w:rPr>
        <w:t>≥</w:t>
      </w:r>
      <w:r w:rsidRPr="00167BF3">
        <w:t xml:space="preserve"> 40 kg: 40 mg </w:t>
      </w:r>
      <w:proofErr w:type="spellStart"/>
      <w:r w:rsidRPr="00167BF3">
        <w:t>minden</w:t>
      </w:r>
      <w:proofErr w:type="spellEnd"/>
      <w:r w:rsidRPr="00167BF3">
        <w:t xml:space="preserve"> </w:t>
      </w:r>
      <w:proofErr w:type="spellStart"/>
      <w:r w:rsidRPr="00167BF3">
        <w:t>héten</w:t>
      </w:r>
      <w:proofErr w:type="spellEnd"/>
      <w:r w:rsidRPr="00167BF3">
        <w:t xml:space="preserve"> </w:t>
      </w:r>
      <w:proofErr w:type="spellStart"/>
      <w:r w:rsidRPr="00167BF3">
        <w:t>vagy</w:t>
      </w:r>
      <w:proofErr w:type="spellEnd"/>
      <w:r w:rsidRPr="00167BF3">
        <w:t xml:space="preserve"> 80 mg </w:t>
      </w:r>
      <w:proofErr w:type="spellStart"/>
      <w:r w:rsidRPr="00167BF3">
        <w:t>minden</w:t>
      </w:r>
      <w:proofErr w:type="spellEnd"/>
      <w:r w:rsidRPr="00167BF3">
        <w:t xml:space="preserve"> </w:t>
      </w:r>
      <w:proofErr w:type="spellStart"/>
      <w:r w:rsidRPr="00167BF3">
        <w:t>második</w:t>
      </w:r>
      <w:proofErr w:type="spellEnd"/>
      <w:r w:rsidRPr="00167BF3">
        <w:t xml:space="preserve"> </w:t>
      </w:r>
      <w:proofErr w:type="spellStart"/>
      <w:r w:rsidRPr="00167BF3">
        <w:t>héten</w:t>
      </w:r>
      <w:proofErr w:type="spellEnd"/>
    </w:p>
    <w:p w14:paraId="1FB2C3D0" w14:textId="77777777" w:rsidR="00130E8B" w:rsidRDefault="00130E8B">
      <w:pPr>
        <w:spacing w:line="240" w:lineRule="exact"/>
        <w:rPr>
          <w:rFonts w:ascii="Times New Roman" w:hAnsi="Times New Roman" w:cs="Times New Roman"/>
          <w:sz w:val="24"/>
          <w:szCs w:val="24"/>
          <w:lang w:val="hu-HU"/>
        </w:rPr>
      </w:pPr>
    </w:p>
    <w:p w14:paraId="280EB49E" w14:textId="77777777" w:rsidR="00130E8B" w:rsidRDefault="000405CC">
      <w:pPr>
        <w:pStyle w:val="a3"/>
        <w:rPr>
          <w:lang w:val="hu-HU"/>
        </w:rPr>
      </w:pPr>
      <w:r>
        <w:rPr>
          <w:rFonts w:eastAsia="Times New Roman"/>
          <w:lang w:val="hu-HU"/>
        </w:rPr>
        <w:t>A kezelés folytatását alaposan meg kell fontolni azoknál a betegeknél, akik a 12. hétig nem reagálnak a kezelésre.</w:t>
      </w:r>
    </w:p>
    <w:p w14:paraId="5733D1C3" w14:textId="77777777" w:rsidR="00130E8B" w:rsidRDefault="00130E8B">
      <w:pPr>
        <w:pStyle w:val="a3"/>
        <w:rPr>
          <w:lang w:val="hu-HU"/>
        </w:rPr>
      </w:pPr>
    </w:p>
    <w:p w14:paraId="7A0300CD" w14:textId="77777777" w:rsidR="00130E8B" w:rsidRDefault="000405CC">
      <w:pPr>
        <w:pStyle w:val="a3"/>
        <w:rPr>
          <w:lang w:val="hu-HU"/>
        </w:rPr>
      </w:pPr>
      <w:r>
        <w:rPr>
          <w:rFonts w:eastAsia="Times New Roman"/>
          <w:lang w:val="hu-HU"/>
        </w:rPr>
        <w:t>6 évesnél fiatalabb gyermekek esetében az adalimumabnak ebben a javallatban nincs releváns alkalmazása.</w:t>
      </w:r>
    </w:p>
    <w:p w14:paraId="6042A5F1" w14:textId="340D005B" w:rsidR="00130E8B" w:rsidRDefault="00130E8B">
      <w:pPr>
        <w:rPr>
          <w:rFonts w:ascii="Times New Roman" w:eastAsia="Times New Roman" w:hAnsi="Times New Roman" w:cs="Times New Roman"/>
          <w:i/>
          <w:spacing w:val="-1"/>
          <w:u w:val="single" w:color="000000"/>
          <w:lang w:val="hu-HU"/>
        </w:rPr>
      </w:pPr>
    </w:p>
    <w:p w14:paraId="12ED88E0" w14:textId="77777777" w:rsidR="00B90FEB" w:rsidRPr="00167BF3" w:rsidRDefault="00B90FEB" w:rsidP="00B90FEB">
      <w:pPr>
        <w:widowControl/>
        <w:suppressAutoHyphens/>
        <w:spacing w:line="260" w:lineRule="exact"/>
        <w:rPr>
          <w:rFonts w:ascii="Times New Roman" w:eastAsia="바탕" w:hAnsi="Times New Roman" w:cs="Times New Roman"/>
          <w:b/>
          <w:szCs w:val="20"/>
          <w:lang w:val="hu-HU" w:eastAsia="hu-HU"/>
        </w:rPr>
      </w:pPr>
      <w:r w:rsidRPr="00167BF3">
        <w:rPr>
          <w:rFonts w:ascii="Times New Roman" w:eastAsia="바탕" w:hAnsi="Times New Roman" w:cs="Times New Roman"/>
          <w:i/>
          <w:szCs w:val="20"/>
          <w:lang w:val="hu-HU" w:eastAsia="hu-HU"/>
        </w:rPr>
        <w:t>Gyermek- és serdülőkori colitis ulcerosa</w:t>
      </w:r>
      <w:r w:rsidRPr="00167BF3">
        <w:rPr>
          <w:rFonts w:ascii="Times New Roman" w:eastAsia="바탕" w:hAnsi="Times New Roman" w:cs="Times New Roman"/>
          <w:b/>
          <w:szCs w:val="20"/>
          <w:lang w:val="hu-HU" w:eastAsia="hu-HU"/>
        </w:rPr>
        <w:t xml:space="preserve"> </w:t>
      </w:r>
    </w:p>
    <w:p w14:paraId="3DA8B3BF" w14:textId="77777777" w:rsidR="00B90FEB" w:rsidRPr="00B90FEB" w:rsidRDefault="00B90FEB" w:rsidP="00B90FEB">
      <w:pPr>
        <w:widowControl/>
        <w:suppressAutoHyphens/>
        <w:spacing w:line="260" w:lineRule="exact"/>
        <w:rPr>
          <w:rFonts w:ascii="Times New Roman" w:eastAsia="바탕" w:hAnsi="Times New Roman" w:cs="Times New Roman"/>
          <w:b/>
          <w:szCs w:val="20"/>
          <w:lang w:val="hu-HU" w:eastAsia="hu-HU"/>
        </w:rPr>
      </w:pPr>
    </w:p>
    <w:p w14:paraId="0C046CF9" w14:textId="245387DF" w:rsidR="00B90FEB" w:rsidRPr="00B90FEB" w:rsidRDefault="00B90FEB" w:rsidP="00B90FEB">
      <w:pPr>
        <w:widowControl/>
        <w:suppressAutoHyphens/>
        <w:spacing w:line="260" w:lineRule="exact"/>
        <w:rPr>
          <w:rFonts w:ascii="Times New Roman" w:eastAsia="바탕" w:hAnsi="Times New Roman" w:cs="Times New Roman"/>
          <w:szCs w:val="20"/>
          <w:lang w:val="hu-HU" w:eastAsia="hu-HU"/>
        </w:rPr>
      </w:pPr>
      <w:r w:rsidRPr="00B90FEB">
        <w:rPr>
          <w:rFonts w:ascii="Times New Roman" w:eastAsia="바탕" w:hAnsi="Times New Roman" w:cs="Times New Roman"/>
          <w:szCs w:val="20"/>
          <w:lang w:val="hu-HU" w:eastAsia="hu-HU"/>
        </w:rPr>
        <w:t xml:space="preserve">A </w:t>
      </w:r>
      <w:r>
        <w:rPr>
          <w:rFonts w:ascii="Times New Roman" w:eastAsia="바탕" w:hAnsi="Times New Roman" w:cs="Times New Roman"/>
          <w:szCs w:val="20"/>
          <w:lang w:val="hu-HU" w:eastAsia="hu-HU"/>
        </w:rPr>
        <w:t>Yuflyma</w:t>
      </w:r>
      <w:r w:rsidRPr="00B90FEB">
        <w:rPr>
          <w:rFonts w:ascii="Times New Roman" w:eastAsia="바탕" w:hAnsi="Times New Roman" w:cs="Times New Roman"/>
          <w:szCs w:val="20"/>
          <w:lang w:val="hu-HU" w:eastAsia="hu-HU"/>
        </w:rPr>
        <w:t xml:space="preserve"> ajánlott adagja colitis ulcerosában szenvedő, 6–17 éves korú betegeknél a testtömegtől függ (5. táblázat). A </w:t>
      </w:r>
      <w:r>
        <w:rPr>
          <w:rFonts w:ascii="Times New Roman" w:eastAsia="바탕" w:hAnsi="Times New Roman" w:cs="Times New Roman"/>
          <w:szCs w:val="20"/>
          <w:lang w:val="hu-HU" w:eastAsia="hu-HU"/>
        </w:rPr>
        <w:t>Yuflyma</w:t>
      </w:r>
      <w:r w:rsidRPr="00B90FEB">
        <w:rPr>
          <w:rFonts w:ascii="Times New Roman" w:eastAsia="바탕" w:hAnsi="Times New Roman" w:cs="Times New Roman"/>
          <w:szCs w:val="20"/>
          <w:lang w:val="hu-HU" w:eastAsia="hu-HU"/>
        </w:rPr>
        <w:t>-t subcutan injekció formájában kell beadni.</w:t>
      </w:r>
    </w:p>
    <w:p w14:paraId="20D543FB" w14:textId="77777777" w:rsidR="00B90FEB" w:rsidRPr="00B90FEB" w:rsidRDefault="00B90FEB" w:rsidP="00B90FEB">
      <w:pPr>
        <w:widowControl/>
        <w:suppressAutoHyphens/>
        <w:spacing w:line="260" w:lineRule="exact"/>
        <w:rPr>
          <w:rFonts w:ascii="Times New Roman" w:eastAsia="바탕" w:hAnsi="Times New Roman" w:cs="Times New Roman"/>
          <w:szCs w:val="20"/>
          <w:lang w:val="hu-HU" w:eastAsia="hu-HU"/>
        </w:rPr>
      </w:pPr>
      <w:r w:rsidRPr="00B90FEB">
        <w:rPr>
          <w:rFonts w:ascii="Times New Roman" w:eastAsia="바탕" w:hAnsi="Times New Roman" w:cs="Times New Roman"/>
          <w:szCs w:val="20"/>
          <w:lang w:val="hu-HU" w:eastAsia="hu-HU"/>
        </w:rPr>
        <w:t xml:space="preserve"> </w:t>
      </w:r>
    </w:p>
    <w:p w14:paraId="309DBE84" w14:textId="30ECFEAC" w:rsidR="00B90FEB" w:rsidRDefault="00B90FEB" w:rsidP="00B90FEB">
      <w:pPr>
        <w:keepNext/>
        <w:widowControl/>
        <w:suppressAutoHyphens/>
        <w:spacing w:line="260" w:lineRule="exact"/>
        <w:jc w:val="center"/>
        <w:rPr>
          <w:rFonts w:ascii="Times New Roman" w:eastAsia="바탕" w:hAnsi="Times New Roman" w:cs="Times New Roman"/>
          <w:b/>
          <w:szCs w:val="20"/>
          <w:lang w:val="hu-HU" w:eastAsia="hu-HU"/>
        </w:rPr>
      </w:pPr>
      <w:r w:rsidRPr="00B90FEB">
        <w:rPr>
          <w:rFonts w:ascii="Times New Roman" w:eastAsia="바탕" w:hAnsi="Times New Roman" w:cs="Times New Roman"/>
          <w:b/>
          <w:szCs w:val="20"/>
          <w:lang w:val="hu-HU" w:eastAsia="hu-HU"/>
        </w:rPr>
        <w:t xml:space="preserve">5. táblázat: A </w:t>
      </w:r>
      <w:r>
        <w:rPr>
          <w:rFonts w:ascii="Times New Roman" w:eastAsia="바탕" w:hAnsi="Times New Roman" w:cs="Times New Roman"/>
          <w:b/>
          <w:szCs w:val="20"/>
          <w:lang w:val="hu-HU" w:eastAsia="hu-HU"/>
        </w:rPr>
        <w:t>Yuflyma</w:t>
      </w:r>
      <w:r w:rsidRPr="00B90FEB">
        <w:rPr>
          <w:rFonts w:ascii="Times New Roman" w:eastAsia="바탕" w:hAnsi="Times New Roman" w:cs="Times New Roman"/>
          <w:b/>
          <w:szCs w:val="20"/>
          <w:lang w:val="hu-HU" w:eastAsia="hu-HU"/>
        </w:rPr>
        <w:t xml:space="preserve"> dózisa colitis ulcerosában szenvedő gyermekeknél és serdülőknél </w:t>
      </w:r>
    </w:p>
    <w:p w14:paraId="67934587" w14:textId="77777777" w:rsidR="00C14860" w:rsidRPr="00B90FEB" w:rsidRDefault="00C14860" w:rsidP="00B90FEB">
      <w:pPr>
        <w:keepNext/>
        <w:widowControl/>
        <w:suppressAutoHyphens/>
        <w:spacing w:line="260" w:lineRule="exact"/>
        <w:jc w:val="center"/>
        <w:rPr>
          <w:rFonts w:ascii="Times New Roman" w:eastAsia="바탕" w:hAnsi="Times New Roman" w:cs="Times New Roman"/>
          <w:szCs w:val="20"/>
          <w:lang w:val="hu-HU" w:eastAsia="hu-HU"/>
        </w:rPr>
      </w:pPr>
    </w:p>
    <w:tbl>
      <w:tblPr>
        <w:tblW w:w="4574" w:type="pct"/>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410"/>
        <w:gridCol w:w="5402"/>
        <w:gridCol w:w="1955"/>
      </w:tblGrid>
      <w:tr w:rsidR="00B90FEB" w:rsidRPr="00BE4D18" w14:paraId="4623FEED" w14:textId="77777777" w:rsidTr="004F731A">
        <w:trPr>
          <w:jc w:val="center"/>
        </w:trPr>
        <w:tc>
          <w:tcPr>
            <w:tcW w:w="804" w:type="pct"/>
            <w:tcBorders>
              <w:top w:val="single" w:sz="6" w:space="0" w:color="000000"/>
              <w:left w:val="single" w:sz="6" w:space="0" w:color="000000"/>
              <w:bottom w:val="single" w:sz="6" w:space="0" w:color="000000"/>
              <w:right w:val="single" w:sz="6" w:space="0" w:color="000000"/>
            </w:tcBorders>
            <w:vAlign w:val="center"/>
            <w:hideMark/>
          </w:tcPr>
          <w:p w14:paraId="2EA288A0" w14:textId="77777777" w:rsidR="00B90FEB" w:rsidRPr="00B90FEB" w:rsidRDefault="00B90FEB" w:rsidP="00B90FEB">
            <w:pPr>
              <w:widowControl/>
              <w:suppressAutoHyphens/>
              <w:spacing w:line="260" w:lineRule="exact"/>
              <w:jc w:val="center"/>
              <w:rPr>
                <w:rFonts w:ascii="Times New Roman" w:eastAsia="바탕" w:hAnsi="Times New Roman" w:cs="Times New Roman"/>
                <w:b/>
                <w:szCs w:val="20"/>
                <w:lang w:val="hu-HU" w:eastAsia="hu-HU"/>
              </w:rPr>
            </w:pPr>
            <w:r w:rsidRPr="00B90FEB">
              <w:rPr>
                <w:rFonts w:ascii="Times New Roman" w:eastAsia="바탕" w:hAnsi="Times New Roman" w:cs="Times New Roman"/>
                <w:b/>
                <w:szCs w:val="20"/>
                <w:lang w:val="hu-HU" w:eastAsia="hu-HU"/>
              </w:rPr>
              <w:t>A beteg testtömege</w:t>
            </w:r>
          </w:p>
        </w:tc>
        <w:tc>
          <w:tcPr>
            <w:tcW w:w="3081" w:type="pct"/>
            <w:tcBorders>
              <w:top w:val="single" w:sz="6" w:space="0" w:color="000000"/>
              <w:left w:val="single" w:sz="6" w:space="0" w:color="000000"/>
              <w:bottom w:val="single" w:sz="6" w:space="0" w:color="000000"/>
              <w:right w:val="single" w:sz="6" w:space="0" w:color="000000"/>
            </w:tcBorders>
            <w:vAlign w:val="center"/>
            <w:hideMark/>
          </w:tcPr>
          <w:p w14:paraId="2C601E38" w14:textId="77777777" w:rsidR="00B90FEB" w:rsidRPr="00B90FEB" w:rsidRDefault="00B90FEB" w:rsidP="00B90FEB">
            <w:pPr>
              <w:widowControl/>
              <w:suppressAutoHyphens/>
              <w:spacing w:line="260" w:lineRule="exact"/>
              <w:jc w:val="center"/>
              <w:rPr>
                <w:rFonts w:ascii="Times New Roman" w:eastAsia="바탕" w:hAnsi="Times New Roman" w:cs="Times New Roman"/>
                <w:b/>
                <w:szCs w:val="20"/>
                <w:lang w:val="hu-HU" w:eastAsia="hu-HU"/>
              </w:rPr>
            </w:pPr>
            <w:r w:rsidRPr="00B90FEB">
              <w:rPr>
                <w:rFonts w:ascii="Times New Roman" w:eastAsia="바탕" w:hAnsi="Times New Roman" w:cs="Times New Roman"/>
                <w:b/>
                <w:szCs w:val="20"/>
                <w:lang w:val="hu-HU" w:eastAsia="hu-HU"/>
              </w:rPr>
              <w:t>Indukciós dózis</w:t>
            </w:r>
          </w:p>
        </w:tc>
        <w:tc>
          <w:tcPr>
            <w:tcW w:w="1114" w:type="pct"/>
            <w:tcBorders>
              <w:top w:val="single" w:sz="6" w:space="0" w:color="000000"/>
              <w:left w:val="single" w:sz="6" w:space="0" w:color="000000"/>
              <w:bottom w:val="single" w:sz="6" w:space="0" w:color="000000"/>
              <w:right w:val="single" w:sz="6" w:space="0" w:color="000000"/>
            </w:tcBorders>
            <w:hideMark/>
          </w:tcPr>
          <w:p w14:paraId="7E7417BE" w14:textId="77777777" w:rsidR="00B90FEB" w:rsidRPr="00B90FEB" w:rsidRDefault="00B90FEB" w:rsidP="00B90FEB">
            <w:pPr>
              <w:widowControl/>
              <w:suppressAutoHyphens/>
              <w:spacing w:line="260" w:lineRule="exact"/>
              <w:jc w:val="center"/>
              <w:rPr>
                <w:rFonts w:ascii="Times New Roman" w:eastAsia="바탕" w:hAnsi="Times New Roman" w:cs="Times New Roman"/>
                <w:b/>
                <w:szCs w:val="20"/>
                <w:lang w:val="hu-HU" w:eastAsia="hu-HU"/>
              </w:rPr>
            </w:pPr>
            <w:r w:rsidRPr="00B90FEB">
              <w:rPr>
                <w:rFonts w:ascii="Times New Roman" w:eastAsia="바탕" w:hAnsi="Times New Roman" w:cs="Times New Roman"/>
                <w:b/>
                <w:szCs w:val="20"/>
                <w:lang w:val="hu-HU" w:eastAsia="hu-HU"/>
              </w:rPr>
              <w:t>Fenntartó dózis</w:t>
            </w:r>
          </w:p>
          <w:p w14:paraId="46BFC637" w14:textId="77777777" w:rsidR="00B90FEB" w:rsidRPr="00B90FEB" w:rsidRDefault="00B90FEB" w:rsidP="00B90FEB">
            <w:pPr>
              <w:widowControl/>
              <w:suppressAutoHyphens/>
              <w:spacing w:line="260" w:lineRule="exact"/>
              <w:jc w:val="center"/>
              <w:rPr>
                <w:rFonts w:ascii="Times New Roman" w:eastAsia="바탕" w:hAnsi="Times New Roman" w:cs="Times New Roman"/>
                <w:b/>
                <w:szCs w:val="20"/>
                <w:lang w:val="hu-HU" w:eastAsia="hu-HU"/>
              </w:rPr>
            </w:pPr>
            <w:r w:rsidRPr="00B90FEB">
              <w:rPr>
                <w:rFonts w:ascii="Times New Roman" w:eastAsia="바탕" w:hAnsi="Times New Roman" w:cs="Times New Roman"/>
                <w:b/>
                <w:szCs w:val="20"/>
                <w:lang w:val="hu-HU" w:eastAsia="hu-HU"/>
              </w:rPr>
              <w:t>4. héttől kezdve*</w:t>
            </w:r>
          </w:p>
        </w:tc>
      </w:tr>
      <w:tr w:rsidR="00B90FEB" w:rsidRPr="00B90FEB" w14:paraId="713DEEEA" w14:textId="77777777" w:rsidTr="004F731A">
        <w:trPr>
          <w:jc w:val="center"/>
        </w:trPr>
        <w:tc>
          <w:tcPr>
            <w:tcW w:w="804" w:type="pct"/>
            <w:tcBorders>
              <w:top w:val="single" w:sz="6" w:space="0" w:color="000000"/>
              <w:left w:val="single" w:sz="6" w:space="0" w:color="000000"/>
              <w:bottom w:val="single" w:sz="6" w:space="0" w:color="000000"/>
              <w:right w:val="single" w:sz="6" w:space="0" w:color="000000"/>
            </w:tcBorders>
            <w:hideMark/>
          </w:tcPr>
          <w:p w14:paraId="6DF7A6DB" w14:textId="77777777" w:rsidR="00B90FEB" w:rsidRPr="00B90FEB" w:rsidRDefault="00B90FEB" w:rsidP="00B90FEB">
            <w:pPr>
              <w:widowControl/>
              <w:suppressAutoHyphens/>
              <w:spacing w:line="260" w:lineRule="exact"/>
              <w:jc w:val="center"/>
              <w:rPr>
                <w:rFonts w:ascii="Times New Roman" w:eastAsia="바탕" w:hAnsi="Times New Roman" w:cs="Times New Roman"/>
                <w:szCs w:val="20"/>
                <w:lang w:val="hu-HU" w:eastAsia="hu-HU"/>
              </w:rPr>
            </w:pPr>
            <w:r w:rsidRPr="00B90FEB">
              <w:rPr>
                <w:rFonts w:ascii="Times New Roman" w:eastAsia="바탕" w:hAnsi="Times New Roman" w:cs="Times New Roman"/>
                <w:szCs w:val="20"/>
                <w:lang w:val="hu-HU" w:eastAsia="hu-HU"/>
              </w:rPr>
              <w:t>&lt; 40 kg</w:t>
            </w:r>
          </w:p>
        </w:tc>
        <w:tc>
          <w:tcPr>
            <w:tcW w:w="3081" w:type="pct"/>
            <w:tcBorders>
              <w:top w:val="single" w:sz="6" w:space="0" w:color="000000"/>
              <w:left w:val="single" w:sz="6" w:space="0" w:color="000000"/>
              <w:bottom w:val="single" w:sz="6" w:space="0" w:color="000000"/>
              <w:right w:val="single" w:sz="6" w:space="0" w:color="000000"/>
            </w:tcBorders>
            <w:hideMark/>
          </w:tcPr>
          <w:p w14:paraId="50C91AD1" w14:textId="77777777" w:rsidR="00B90FEB" w:rsidRPr="00B90FEB" w:rsidRDefault="00B90FEB" w:rsidP="00FD05AA">
            <w:pPr>
              <w:widowControl/>
              <w:numPr>
                <w:ilvl w:val="0"/>
                <w:numId w:val="49"/>
              </w:numPr>
              <w:suppressAutoHyphens/>
              <w:spacing w:line="260" w:lineRule="exact"/>
              <w:ind w:left="360" w:hanging="210"/>
              <w:rPr>
                <w:rFonts w:ascii="Times New Roman" w:eastAsia="바탕" w:hAnsi="Times New Roman" w:cs="Times New Roman"/>
                <w:szCs w:val="20"/>
                <w:lang w:val="hu-HU" w:eastAsia="hu-HU"/>
              </w:rPr>
            </w:pPr>
            <w:r w:rsidRPr="00B90FEB">
              <w:rPr>
                <w:rFonts w:ascii="Times New Roman" w:eastAsia="바탕" w:hAnsi="Times New Roman" w:cs="Times New Roman"/>
                <w:szCs w:val="20"/>
                <w:lang w:val="hu-HU" w:eastAsia="hu-HU"/>
              </w:rPr>
              <w:t>80 mg a 0. héten (két 40 mg-os injekció formájában egy napon) és</w:t>
            </w:r>
          </w:p>
          <w:p w14:paraId="4E16961F" w14:textId="77777777" w:rsidR="00B90FEB" w:rsidRPr="00B90FEB" w:rsidRDefault="00B90FEB" w:rsidP="00FD05AA">
            <w:pPr>
              <w:widowControl/>
              <w:numPr>
                <w:ilvl w:val="0"/>
                <w:numId w:val="49"/>
              </w:numPr>
              <w:suppressAutoHyphens/>
              <w:spacing w:line="260" w:lineRule="exact"/>
              <w:ind w:left="360" w:hanging="210"/>
              <w:rPr>
                <w:rFonts w:ascii="Times New Roman" w:eastAsia="바탕" w:hAnsi="Times New Roman" w:cs="Times New Roman"/>
                <w:szCs w:val="20"/>
                <w:lang w:val="hu-HU" w:eastAsia="hu-HU"/>
              </w:rPr>
            </w:pPr>
            <w:r w:rsidRPr="00B90FEB">
              <w:rPr>
                <w:rFonts w:ascii="Times New Roman" w:eastAsia="바탕" w:hAnsi="Times New Roman" w:cs="Times New Roman"/>
                <w:szCs w:val="20"/>
                <w:lang w:val="hu-HU" w:eastAsia="hu-HU"/>
              </w:rPr>
              <w:t>40 mg a 2. héten (egy 40 mg-os injekció formájában)</w:t>
            </w:r>
          </w:p>
        </w:tc>
        <w:tc>
          <w:tcPr>
            <w:tcW w:w="1114" w:type="pct"/>
            <w:tcBorders>
              <w:top w:val="single" w:sz="6" w:space="0" w:color="000000"/>
              <w:left w:val="single" w:sz="6" w:space="0" w:color="000000"/>
              <w:bottom w:val="single" w:sz="6" w:space="0" w:color="000000"/>
              <w:right w:val="single" w:sz="6" w:space="0" w:color="000000"/>
            </w:tcBorders>
            <w:hideMark/>
          </w:tcPr>
          <w:p w14:paraId="538A0711" w14:textId="76FFB89C" w:rsidR="00B90FEB" w:rsidRPr="00B90FEB" w:rsidRDefault="00B90FEB" w:rsidP="00FD05AA">
            <w:pPr>
              <w:widowControl/>
              <w:numPr>
                <w:ilvl w:val="0"/>
                <w:numId w:val="49"/>
              </w:numPr>
              <w:suppressAutoHyphens/>
              <w:spacing w:line="260" w:lineRule="exact"/>
              <w:ind w:left="360" w:hanging="210"/>
              <w:rPr>
                <w:rFonts w:ascii="Times New Roman" w:eastAsia="바탕" w:hAnsi="Times New Roman" w:cs="Times New Roman"/>
                <w:szCs w:val="20"/>
                <w:lang w:val="hu-HU" w:eastAsia="hu-HU"/>
              </w:rPr>
            </w:pPr>
            <w:r w:rsidRPr="00B90FEB">
              <w:rPr>
                <w:rFonts w:ascii="Times New Roman" w:eastAsia="바탕" w:hAnsi="Times New Roman" w:cs="Times New Roman"/>
                <w:szCs w:val="20"/>
                <w:lang w:val="hu-HU" w:eastAsia="hu-HU"/>
              </w:rPr>
              <w:t xml:space="preserve">40 mg </w:t>
            </w:r>
            <w:r w:rsidR="00E97FBF" w:rsidRPr="004F731A">
              <w:rPr>
                <w:rFonts w:ascii="Times New Roman" w:eastAsia="Times New Roman" w:hAnsi="Times New Roman" w:cs="Times New Roman"/>
                <w:lang w:val="hu-HU"/>
              </w:rPr>
              <w:t>kéthetente</w:t>
            </w:r>
          </w:p>
        </w:tc>
      </w:tr>
      <w:tr w:rsidR="00B90FEB" w:rsidRPr="00B90FEB" w14:paraId="0F1ABEA0" w14:textId="77777777" w:rsidTr="004F731A">
        <w:trPr>
          <w:jc w:val="center"/>
        </w:trPr>
        <w:tc>
          <w:tcPr>
            <w:tcW w:w="804" w:type="pct"/>
            <w:tcBorders>
              <w:top w:val="single" w:sz="6" w:space="0" w:color="000000"/>
              <w:left w:val="single" w:sz="6" w:space="0" w:color="000000"/>
              <w:bottom w:val="single" w:sz="4" w:space="0" w:color="auto"/>
              <w:right w:val="single" w:sz="6" w:space="0" w:color="000000"/>
            </w:tcBorders>
            <w:hideMark/>
          </w:tcPr>
          <w:p w14:paraId="70037BBE" w14:textId="77777777" w:rsidR="00B90FEB" w:rsidRPr="00B90FEB" w:rsidRDefault="00B90FEB" w:rsidP="00B90FEB">
            <w:pPr>
              <w:widowControl/>
              <w:suppressAutoHyphens/>
              <w:spacing w:line="260" w:lineRule="exact"/>
              <w:jc w:val="center"/>
              <w:rPr>
                <w:rFonts w:ascii="Times New Roman" w:eastAsia="바탕" w:hAnsi="Times New Roman" w:cs="Times New Roman"/>
                <w:szCs w:val="20"/>
                <w:lang w:val="hu-HU" w:eastAsia="hu-HU"/>
              </w:rPr>
            </w:pPr>
            <w:r w:rsidRPr="00B90FEB">
              <w:rPr>
                <w:rFonts w:ascii="Times New Roman" w:eastAsia="바탕" w:hAnsi="Times New Roman" w:cs="Times New Roman"/>
                <w:szCs w:val="20"/>
                <w:lang w:val="hu-HU" w:eastAsia="hu-HU"/>
              </w:rPr>
              <w:t>≥ 40 kg</w:t>
            </w:r>
          </w:p>
        </w:tc>
        <w:tc>
          <w:tcPr>
            <w:tcW w:w="3081" w:type="pct"/>
            <w:tcBorders>
              <w:top w:val="single" w:sz="6" w:space="0" w:color="000000"/>
              <w:left w:val="single" w:sz="6" w:space="0" w:color="000000"/>
              <w:bottom w:val="single" w:sz="4" w:space="0" w:color="auto"/>
              <w:right w:val="single" w:sz="6" w:space="0" w:color="000000"/>
            </w:tcBorders>
            <w:hideMark/>
          </w:tcPr>
          <w:p w14:paraId="50AF283A" w14:textId="77777777" w:rsidR="00B90FEB" w:rsidRPr="00B90FEB" w:rsidRDefault="00B90FEB" w:rsidP="00FD05AA">
            <w:pPr>
              <w:widowControl/>
              <w:numPr>
                <w:ilvl w:val="0"/>
                <w:numId w:val="50"/>
              </w:numPr>
              <w:suppressAutoHyphens/>
              <w:spacing w:line="260" w:lineRule="exact"/>
              <w:ind w:left="360" w:hanging="210"/>
              <w:rPr>
                <w:rFonts w:ascii="Times New Roman" w:eastAsia="바탕" w:hAnsi="Times New Roman" w:cs="Times New Roman"/>
                <w:szCs w:val="20"/>
                <w:lang w:val="hu-HU" w:eastAsia="hu-HU"/>
              </w:rPr>
            </w:pPr>
            <w:r w:rsidRPr="00B90FEB">
              <w:rPr>
                <w:rFonts w:ascii="Times New Roman" w:eastAsia="바탕" w:hAnsi="Times New Roman" w:cs="Times New Roman"/>
                <w:szCs w:val="20"/>
                <w:lang w:val="hu-HU" w:eastAsia="hu-HU"/>
              </w:rPr>
              <w:t>160 mg a 0. héten (négy 40 mg</w:t>
            </w:r>
            <w:r w:rsidRPr="00B90FEB">
              <w:rPr>
                <w:rFonts w:ascii="Times New Roman" w:eastAsia="바탕" w:hAnsi="Times New Roman" w:cs="Times New Roman"/>
                <w:szCs w:val="20"/>
                <w:lang w:val="hu-HU" w:eastAsia="hu-HU"/>
              </w:rPr>
              <w:noBreakHyphen/>
              <w:t>os injekció formájában egy napon vagy két 40 mg</w:t>
            </w:r>
            <w:r w:rsidRPr="00B90FEB">
              <w:rPr>
                <w:rFonts w:ascii="Times New Roman" w:eastAsia="바탕" w:hAnsi="Times New Roman" w:cs="Times New Roman"/>
                <w:szCs w:val="20"/>
                <w:lang w:val="hu-HU" w:eastAsia="hu-HU"/>
              </w:rPr>
              <w:noBreakHyphen/>
              <w:t>os injekció két egymást követő napon beadva) és</w:t>
            </w:r>
          </w:p>
          <w:p w14:paraId="6AA70AD1" w14:textId="77777777" w:rsidR="00B90FEB" w:rsidRPr="00B90FEB" w:rsidRDefault="00B90FEB" w:rsidP="00FD05AA">
            <w:pPr>
              <w:widowControl/>
              <w:numPr>
                <w:ilvl w:val="0"/>
                <w:numId w:val="50"/>
              </w:numPr>
              <w:suppressAutoHyphens/>
              <w:spacing w:line="260" w:lineRule="exact"/>
              <w:ind w:left="360" w:hanging="210"/>
              <w:rPr>
                <w:rFonts w:ascii="Times New Roman" w:eastAsia="바탕" w:hAnsi="Times New Roman" w:cs="Times New Roman"/>
                <w:szCs w:val="20"/>
                <w:lang w:val="hu-HU" w:eastAsia="hu-HU"/>
              </w:rPr>
            </w:pPr>
            <w:r w:rsidRPr="00B90FEB">
              <w:rPr>
                <w:rFonts w:ascii="Times New Roman" w:eastAsia="바탕" w:hAnsi="Times New Roman" w:cs="Times New Roman"/>
                <w:szCs w:val="20"/>
                <w:lang w:val="hu-HU" w:eastAsia="hu-HU"/>
              </w:rPr>
              <w:t>80 mg a 2. héten (két 40 mg-os injekció formájában egy napon)</w:t>
            </w:r>
          </w:p>
        </w:tc>
        <w:tc>
          <w:tcPr>
            <w:tcW w:w="1114" w:type="pct"/>
            <w:tcBorders>
              <w:top w:val="single" w:sz="6" w:space="0" w:color="000000"/>
              <w:left w:val="single" w:sz="6" w:space="0" w:color="000000"/>
              <w:bottom w:val="single" w:sz="4" w:space="0" w:color="auto"/>
              <w:right w:val="single" w:sz="6" w:space="0" w:color="000000"/>
            </w:tcBorders>
            <w:hideMark/>
          </w:tcPr>
          <w:p w14:paraId="2556D449" w14:textId="4B5A40D1" w:rsidR="00B90FEB" w:rsidRPr="00B90FEB" w:rsidRDefault="00B90FEB" w:rsidP="00FD05AA">
            <w:pPr>
              <w:widowControl/>
              <w:numPr>
                <w:ilvl w:val="0"/>
                <w:numId w:val="49"/>
              </w:numPr>
              <w:suppressAutoHyphens/>
              <w:spacing w:line="260" w:lineRule="exact"/>
              <w:ind w:left="360" w:hanging="210"/>
              <w:rPr>
                <w:rFonts w:ascii="Times New Roman" w:eastAsia="바탕" w:hAnsi="Times New Roman" w:cs="Times New Roman"/>
                <w:szCs w:val="20"/>
                <w:lang w:val="hu-HU" w:eastAsia="hu-HU"/>
              </w:rPr>
            </w:pPr>
            <w:r w:rsidRPr="00B90FEB">
              <w:rPr>
                <w:rFonts w:ascii="Times New Roman" w:eastAsia="바탕" w:hAnsi="Times New Roman" w:cs="Times New Roman"/>
                <w:szCs w:val="20"/>
                <w:lang w:val="hu-HU" w:eastAsia="hu-HU"/>
              </w:rPr>
              <w:t xml:space="preserve">80 mg </w:t>
            </w:r>
            <w:r w:rsidR="00E97FBF" w:rsidRPr="004F731A">
              <w:rPr>
                <w:rFonts w:ascii="Times New Roman" w:eastAsia="Times New Roman" w:hAnsi="Times New Roman" w:cs="Times New Roman"/>
                <w:lang w:val="hu-HU"/>
              </w:rPr>
              <w:t>kéthetente</w:t>
            </w:r>
          </w:p>
        </w:tc>
      </w:tr>
      <w:tr w:rsidR="00B90FEB" w:rsidRPr="00B90FEB" w14:paraId="491BA212" w14:textId="77777777" w:rsidTr="00B90FEB">
        <w:trPr>
          <w:jc w:val="center"/>
        </w:trPr>
        <w:tc>
          <w:tcPr>
            <w:tcW w:w="5000" w:type="pct"/>
            <w:gridSpan w:val="3"/>
            <w:tcBorders>
              <w:top w:val="single" w:sz="4" w:space="0" w:color="auto"/>
              <w:left w:val="nil"/>
              <w:bottom w:val="nil"/>
              <w:right w:val="nil"/>
            </w:tcBorders>
          </w:tcPr>
          <w:p w14:paraId="100FCC41" w14:textId="29A8A1EC" w:rsidR="00B90FEB" w:rsidRPr="00B90FEB" w:rsidRDefault="00B90FEB" w:rsidP="00B90FEB">
            <w:pPr>
              <w:widowControl/>
              <w:suppressAutoHyphens/>
              <w:spacing w:line="260" w:lineRule="exact"/>
              <w:rPr>
                <w:rFonts w:ascii="Times New Roman" w:eastAsia="바탕" w:hAnsi="Times New Roman" w:cs="Times New Roman"/>
                <w:szCs w:val="20"/>
                <w:lang w:val="hu-HU" w:eastAsia="hu-HU"/>
              </w:rPr>
            </w:pPr>
            <w:r w:rsidRPr="00B90FEB">
              <w:rPr>
                <w:rFonts w:ascii="Times New Roman" w:eastAsia="바탕" w:hAnsi="Times New Roman" w:cs="Times New Roman"/>
                <w:szCs w:val="20"/>
                <w:lang w:val="hu-HU" w:eastAsia="hu-HU"/>
              </w:rPr>
              <w:lastRenderedPageBreak/>
              <w:t xml:space="preserve">*Azoknak a serdülőknek, akik a </w:t>
            </w:r>
            <w:r>
              <w:rPr>
                <w:rFonts w:ascii="Times New Roman" w:eastAsia="바탕" w:hAnsi="Times New Roman" w:cs="Times New Roman"/>
                <w:szCs w:val="20"/>
                <w:lang w:val="hu-HU" w:eastAsia="hu-HU"/>
              </w:rPr>
              <w:t>Yuflyma</w:t>
            </w:r>
            <w:r w:rsidRPr="00B90FEB">
              <w:rPr>
                <w:rFonts w:ascii="Times New Roman" w:eastAsia="바탕" w:hAnsi="Times New Roman" w:cs="Times New Roman"/>
                <w:szCs w:val="20"/>
                <w:lang w:val="hu-HU" w:eastAsia="hu-HU"/>
              </w:rPr>
              <w:t>-kezelés alatt töltik be 18 éves kort, folytatniuk kell az előírt fenntartó kezelést.</w:t>
            </w:r>
          </w:p>
        </w:tc>
      </w:tr>
    </w:tbl>
    <w:p w14:paraId="442558D1" w14:textId="77777777" w:rsidR="00B90FEB" w:rsidRPr="00B90FEB" w:rsidRDefault="00B90FEB" w:rsidP="00B90FEB">
      <w:pPr>
        <w:widowControl/>
        <w:suppressAutoHyphens/>
        <w:spacing w:line="260" w:lineRule="exact"/>
        <w:rPr>
          <w:rFonts w:ascii="Times New Roman" w:eastAsia="바탕" w:hAnsi="Times New Roman" w:cs="Times New Roman"/>
          <w:szCs w:val="20"/>
          <w:lang w:val="hu-HU" w:eastAsia="hu-HU"/>
        </w:rPr>
      </w:pPr>
    </w:p>
    <w:p w14:paraId="67CD2051" w14:textId="77777777" w:rsidR="00B90FEB" w:rsidRPr="00B90FEB" w:rsidRDefault="00B90FEB" w:rsidP="00B90FEB">
      <w:pPr>
        <w:widowControl/>
        <w:suppressAutoHyphens/>
        <w:spacing w:line="260" w:lineRule="exact"/>
        <w:rPr>
          <w:rFonts w:ascii="Times New Roman" w:eastAsia="바탕" w:hAnsi="Times New Roman" w:cs="Times New Roman"/>
          <w:szCs w:val="20"/>
          <w:lang w:val="hu-HU" w:eastAsia="hu-HU"/>
        </w:rPr>
      </w:pPr>
      <w:r w:rsidRPr="00B90FEB">
        <w:rPr>
          <w:rFonts w:ascii="Times New Roman" w:eastAsia="바탕" w:hAnsi="Times New Roman" w:cs="Times New Roman"/>
          <w:szCs w:val="20"/>
          <w:lang w:val="hu-HU" w:eastAsia="hu-HU"/>
        </w:rPr>
        <w:t>A kezelés folytatását alaposan meg kell fontolni azoknál a betegeknél, akik 12. hétig nem reagálnak a kezelésre.</w:t>
      </w:r>
    </w:p>
    <w:p w14:paraId="435DADD3" w14:textId="77777777" w:rsidR="00B90FEB" w:rsidRPr="00B90FEB" w:rsidRDefault="00B90FEB" w:rsidP="00B90FEB">
      <w:pPr>
        <w:widowControl/>
        <w:suppressAutoHyphens/>
        <w:spacing w:line="260" w:lineRule="exact"/>
        <w:rPr>
          <w:rFonts w:ascii="Times New Roman" w:eastAsia="바탕" w:hAnsi="Times New Roman" w:cs="Times New Roman"/>
          <w:szCs w:val="20"/>
          <w:lang w:val="hu-HU" w:eastAsia="hu-HU"/>
        </w:rPr>
      </w:pPr>
    </w:p>
    <w:p w14:paraId="7BE24ECA" w14:textId="78B56097" w:rsidR="00B90FEB" w:rsidRPr="00B90FEB" w:rsidRDefault="00B90FEB" w:rsidP="00B90FEB">
      <w:pPr>
        <w:widowControl/>
        <w:suppressAutoHyphens/>
        <w:spacing w:line="260" w:lineRule="exact"/>
        <w:rPr>
          <w:rFonts w:ascii="Times New Roman" w:eastAsia="바탕" w:hAnsi="Times New Roman" w:cs="Times New Roman"/>
          <w:szCs w:val="20"/>
          <w:lang w:val="hu-HU" w:eastAsia="hu-HU"/>
        </w:rPr>
      </w:pPr>
      <w:r w:rsidRPr="00B90FEB">
        <w:rPr>
          <w:rFonts w:ascii="Times New Roman" w:eastAsia="바탕" w:hAnsi="Times New Roman" w:cs="Times New Roman"/>
          <w:szCs w:val="20"/>
          <w:lang w:val="hu-HU" w:eastAsia="hu-HU"/>
        </w:rPr>
        <w:t xml:space="preserve">6 évesnél fiatalabb betegeknél ebben </w:t>
      </w:r>
      <w:r w:rsidR="000569A0" w:rsidRPr="000569A0">
        <w:rPr>
          <w:rFonts w:ascii="Times New Roman" w:eastAsia="바탕" w:hAnsi="Times New Roman" w:cs="Times New Roman"/>
          <w:szCs w:val="20"/>
          <w:lang w:val="hu-HU" w:eastAsia="hu-HU"/>
        </w:rPr>
        <w:t xml:space="preserve">az adalimumabnak </w:t>
      </w:r>
      <w:r w:rsidRPr="00B90FEB">
        <w:rPr>
          <w:rFonts w:ascii="Times New Roman" w:eastAsia="바탕" w:hAnsi="Times New Roman" w:cs="Times New Roman"/>
          <w:szCs w:val="20"/>
          <w:lang w:val="hu-HU" w:eastAsia="hu-HU"/>
        </w:rPr>
        <w:t>a javallatban nincs releváns alkalmazása.</w:t>
      </w:r>
    </w:p>
    <w:p w14:paraId="33F5A51A" w14:textId="77777777" w:rsidR="00B90FEB" w:rsidRPr="00B90FEB" w:rsidRDefault="00B90FEB" w:rsidP="00B90FEB">
      <w:pPr>
        <w:widowControl/>
        <w:suppressAutoHyphens/>
        <w:spacing w:line="260" w:lineRule="exact"/>
        <w:rPr>
          <w:rFonts w:ascii="Times New Roman" w:eastAsia="바탕" w:hAnsi="Times New Roman" w:cs="Times New Roman"/>
          <w:szCs w:val="20"/>
          <w:lang w:val="hu-HU" w:eastAsia="hu-HU"/>
        </w:rPr>
      </w:pPr>
    </w:p>
    <w:p w14:paraId="77E4F6EC" w14:textId="77777777" w:rsidR="00130E8B" w:rsidRPr="00167BF3" w:rsidRDefault="000405CC">
      <w:pPr>
        <w:rPr>
          <w:rFonts w:ascii="Times New Roman" w:eastAsia="Times New Roman" w:hAnsi="Times New Roman" w:cs="Times New Roman"/>
          <w:i/>
          <w:spacing w:val="-1"/>
          <w:u w:color="000000"/>
          <w:lang w:val="hu-HU"/>
        </w:rPr>
      </w:pPr>
      <w:r w:rsidRPr="00167BF3">
        <w:rPr>
          <w:rFonts w:ascii="Times New Roman" w:eastAsia="Times New Roman" w:hAnsi="Times New Roman" w:cs="Times New Roman"/>
          <w:i/>
          <w:iCs/>
          <w:spacing w:val="-1"/>
          <w:u w:color="000000"/>
          <w:lang w:val="hu-HU"/>
        </w:rPr>
        <w:t>Gyermekkori uveitis</w:t>
      </w:r>
    </w:p>
    <w:p w14:paraId="25E1BCEA" w14:textId="77777777" w:rsidR="00130E8B" w:rsidRDefault="00130E8B">
      <w:pPr>
        <w:rPr>
          <w:rFonts w:ascii="Times New Roman" w:eastAsia="Times New Roman" w:hAnsi="Times New Roman" w:cs="Times New Roman"/>
          <w:lang w:val="hu-HU"/>
        </w:rPr>
      </w:pPr>
    </w:p>
    <w:p w14:paraId="6019162D" w14:textId="003D5000" w:rsidR="00130E8B" w:rsidRDefault="000405CC">
      <w:pPr>
        <w:pStyle w:val="a3"/>
        <w:rPr>
          <w:lang w:val="hu-HU"/>
        </w:rPr>
      </w:pPr>
      <w:r>
        <w:rPr>
          <w:rFonts w:eastAsia="Times New Roman"/>
          <w:lang w:val="hu-HU"/>
        </w:rPr>
        <w:t>A Yuflyma ajánlott adagja uveitisben szenvedő, 2 évesnél idősebb gyermekeknél a testtömegtől függ (</w:t>
      </w:r>
      <w:r w:rsidR="00B90FEB">
        <w:rPr>
          <w:rFonts w:eastAsia="Times New Roman"/>
          <w:lang w:val="hu-HU"/>
        </w:rPr>
        <w:t>6</w:t>
      </w:r>
      <w:r>
        <w:rPr>
          <w:rFonts w:eastAsia="Times New Roman"/>
          <w:lang w:val="hu-HU"/>
        </w:rPr>
        <w:t>. táblázat). A Yuflyma-t subcutan injekció formájában kell alkalmazni.</w:t>
      </w:r>
    </w:p>
    <w:p w14:paraId="3D74ACE4" w14:textId="77777777" w:rsidR="00130E8B" w:rsidRDefault="00130E8B">
      <w:pPr>
        <w:rPr>
          <w:rFonts w:ascii="Times New Roman" w:hAnsi="Times New Roman" w:cs="Times New Roman"/>
          <w:sz w:val="24"/>
          <w:szCs w:val="24"/>
          <w:lang w:val="hu-HU"/>
        </w:rPr>
      </w:pPr>
    </w:p>
    <w:p w14:paraId="401979ED" w14:textId="77777777" w:rsidR="00130E8B" w:rsidRDefault="000405CC">
      <w:pPr>
        <w:pStyle w:val="a3"/>
        <w:rPr>
          <w:lang w:val="hu-HU"/>
        </w:rPr>
      </w:pPr>
      <w:r>
        <w:rPr>
          <w:rFonts w:eastAsia="Times New Roman"/>
          <w:lang w:val="hu-HU"/>
        </w:rPr>
        <w:t>Gyermekkori uveitisben nincs tapasztalat az egyidejű metotrexát-kezelés nélküli adalimumab-kezeléssel.</w:t>
      </w:r>
    </w:p>
    <w:p w14:paraId="2C673D6F" w14:textId="77777777" w:rsidR="00130E8B" w:rsidRDefault="00130E8B">
      <w:pPr>
        <w:pStyle w:val="a3"/>
        <w:rPr>
          <w:lang w:val="hu-HU"/>
        </w:rPr>
      </w:pPr>
    </w:p>
    <w:p w14:paraId="0FAC97FB" w14:textId="4B32BB29" w:rsidR="00130E8B" w:rsidRDefault="00B90FEB">
      <w:pPr>
        <w:pStyle w:val="a3"/>
        <w:jc w:val="center"/>
        <w:rPr>
          <w:b/>
          <w:lang w:val="hu-HU"/>
        </w:rPr>
      </w:pPr>
      <w:r>
        <w:rPr>
          <w:rFonts w:eastAsia="Times New Roman"/>
          <w:b/>
          <w:bCs/>
          <w:lang w:val="hu-HU"/>
        </w:rPr>
        <w:t>6</w:t>
      </w:r>
      <w:r w:rsidR="000405CC">
        <w:rPr>
          <w:rFonts w:eastAsia="Times New Roman"/>
          <w:b/>
          <w:bCs/>
          <w:lang w:val="hu-HU"/>
        </w:rPr>
        <w:t>. táblázat</w:t>
      </w:r>
      <w:r w:rsidR="001918FA">
        <w:rPr>
          <w:rFonts w:eastAsia="Times New Roman"/>
          <w:b/>
          <w:bCs/>
          <w:lang w:val="hu-HU"/>
        </w:rPr>
        <w:t xml:space="preserve">. </w:t>
      </w:r>
      <w:r w:rsidR="000405CC">
        <w:rPr>
          <w:rFonts w:eastAsia="Times New Roman"/>
          <w:b/>
          <w:bCs/>
          <w:lang w:val="hu-HU"/>
        </w:rPr>
        <w:t>A Yuflyma dózisa uveitisben szenvedő gyermekeknél</w:t>
      </w:r>
    </w:p>
    <w:p w14:paraId="6B4F24B0" w14:textId="77777777" w:rsidR="00130E8B" w:rsidRDefault="00130E8B">
      <w:pPr>
        <w:spacing w:before="4" w:line="220" w:lineRule="exact"/>
        <w:rPr>
          <w:rFonts w:ascii="Times New Roman" w:hAnsi="Times New Roman" w:cs="Times New Roman"/>
          <w:lang w:val="hu-HU"/>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130E8B" w14:paraId="7E69DAE9" w14:textId="77777777">
        <w:trPr>
          <w:trHeight w:val="374"/>
          <w:jc w:val="center"/>
        </w:trPr>
        <w:tc>
          <w:tcPr>
            <w:tcW w:w="3572" w:type="dxa"/>
            <w:tcBorders>
              <w:top w:val="single" w:sz="4" w:space="0" w:color="auto"/>
              <w:bottom w:val="single" w:sz="4" w:space="0" w:color="auto"/>
            </w:tcBorders>
            <w:vAlign w:val="center"/>
          </w:tcPr>
          <w:p w14:paraId="563F7018" w14:textId="77777777" w:rsidR="00130E8B" w:rsidRDefault="000405CC">
            <w:pPr>
              <w:pStyle w:val="a3"/>
              <w:jc w:val="center"/>
              <w:rPr>
                <w:b/>
                <w:lang w:val="hu-HU"/>
              </w:rPr>
            </w:pPr>
            <w:r>
              <w:rPr>
                <w:rFonts w:eastAsia="Times New Roman"/>
                <w:b/>
                <w:bCs/>
                <w:lang w:val="hu-HU"/>
              </w:rPr>
              <w:t>A beteg testtömege</w:t>
            </w:r>
          </w:p>
        </w:tc>
        <w:tc>
          <w:tcPr>
            <w:tcW w:w="3572" w:type="dxa"/>
            <w:tcBorders>
              <w:top w:val="single" w:sz="4" w:space="0" w:color="auto"/>
              <w:bottom w:val="single" w:sz="4" w:space="0" w:color="auto"/>
            </w:tcBorders>
            <w:vAlign w:val="center"/>
          </w:tcPr>
          <w:p w14:paraId="5ABC21CF" w14:textId="77777777" w:rsidR="00130E8B" w:rsidRDefault="000405CC">
            <w:pPr>
              <w:pStyle w:val="a3"/>
              <w:jc w:val="center"/>
              <w:rPr>
                <w:b/>
                <w:lang w:val="hu-HU"/>
              </w:rPr>
            </w:pPr>
            <w:r>
              <w:rPr>
                <w:rFonts w:eastAsia="Times New Roman"/>
                <w:b/>
                <w:bCs/>
                <w:lang w:val="hu-HU"/>
              </w:rPr>
              <w:t>Adagolási rend</w:t>
            </w:r>
          </w:p>
        </w:tc>
      </w:tr>
      <w:tr w:rsidR="00130E8B" w14:paraId="24EE84A0" w14:textId="77777777">
        <w:trPr>
          <w:trHeight w:val="388"/>
          <w:jc w:val="center"/>
        </w:trPr>
        <w:tc>
          <w:tcPr>
            <w:tcW w:w="3572" w:type="dxa"/>
            <w:tcBorders>
              <w:top w:val="single" w:sz="4" w:space="0" w:color="auto"/>
              <w:bottom w:val="single" w:sz="4" w:space="0" w:color="auto"/>
            </w:tcBorders>
            <w:vAlign w:val="center"/>
          </w:tcPr>
          <w:p w14:paraId="3E001F3F" w14:textId="77777777" w:rsidR="00130E8B" w:rsidRDefault="000405CC">
            <w:pPr>
              <w:pStyle w:val="a3"/>
              <w:jc w:val="center"/>
              <w:rPr>
                <w:lang w:val="hu-HU"/>
              </w:rPr>
            </w:pPr>
            <w:r>
              <w:rPr>
                <w:rFonts w:eastAsia="Times New Roman"/>
                <w:lang w:val="hu-HU"/>
              </w:rPr>
              <w:t>&lt; 30 kg</w:t>
            </w:r>
          </w:p>
        </w:tc>
        <w:tc>
          <w:tcPr>
            <w:tcW w:w="3572" w:type="dxa"/>
            <w:tcBorders>
              <w:top w:val="single" w:sz="4" w:space="0" w:color="auto"/>
              <w:bottom w:val="single" w:sz="4" w:space="0" w:color="auto"/>
            </w:tcBorders>
            <w:vAlign w:val="center"/>
          </w:tcPr>
          <w:p w14:paraId="25BB7E71" w14:textId="13F34D08" w:rsidR="00130E8B" w:rsidRDefault="004E14CD">
            <w:pPr>
              <w:pStyle w:val="a3"/>
              <w:jc w:val="center"/>
              <w:rPr>
                <w:lang w:val="hu-HU"/>
              </w:rPr>
            </w:pPr>
            <w:r>
              <w:rPr>
                <w:rFonts w:eastAsia="Times New Roman"/>
                <w:lang w:val="hu-HU"/>
              </w:rPr>
              <w:t xml:space="preserve">20 mg </w:t>
            </w:r>
            <w:r w:rsidR="00E97FBF">
              <w:rPr>
                <w:rFonts w:eastAsia="Times New Roman"/>
                <w:lang w:val="hu-HU"/>
              </w:rPr>
              <w:t>kéthetente</w:t>
            </w:r>
            <w:r w:rsidR="00E97FBF" w:rsidDel="00E97FBF">
              <w:rPr>
                <w:rFonts w:eastAsia="Times New Roman"/>
                <w:lang w:val="hu-HU"/>
              </w:rPr>
              <w:t xml:space="preserve"> </w:t>
            </w:r>
            <w:r>
              <w:rPr>
                <w:rFonts w:eastAsia="Times New Roman"/>
                <w:lang w:val="hu-HU"/>
              </w:rPr>
              <w:t>metotrexáttal kombinálva</w:t>
            </w:r>
          </w:p>
        </w:tc>
      </w:tr>
      <w:tr w:rsidR="00130E8B" w14:paraId="208D3A47" w14:textId="77777777">
        <w:trPr>
          <w:trHeight w:val="374"/>
          <w:jc w:val="center"/>
        </w:trPr>
        <w:tc>
          <w:tcPr>
            <w:tcW w:w="3572" w:type="dxa"/>
            <w:tcBorders>
              <w:top w:val="single" w:sz="4" w:space="0" w:color="auto"/>
              <w:bottom w:val="single" w:sz="4" w:space="0" w:color="auto"/>
            </w:tcBorders>
            <w:vAlign w:val="center"/>
          </w:tcPr>
          <w:p w14:paraId="6D62C437" w14:textId="77777777" w:rsidR="00130E8B" w:rsidRDefault="000405CC">
            <w:pPr>
              <w:pStyle w:val="a3"/>
              <w:jc w:val="center"/>
              <w:rPr>
                <w:lang w:val="hu-HU"/>
              </w:rPr>
            </w:pPr>
            <w:r>
              <w:rPr>
                <w:rFonts w:eastAsia="Times New Roman"/>
                <w:lang w:val="hu-HU"/>
              </w:rPr>
              <w:t>≥ 30 kg</w:t>
            </w:r>
          </w:p>
        </w:tc>
        <w:tc>
          <w:tcPr>
            <w:tcW w:w="3572" w:type="dxa"/>
            <w:tcBorders>
              <w:top w:val="single" w:sz="4" w:space="0" w:color="auto"/>
              <w:bottom w:val="single" w:sz="4" w:space="0" w:color="auto"/>
            </w:tcBorders>
            <w:vAlign w:val="center"/>
          </w:tcPr>
          <w:p w14:paraId="010E66DF" w14:textId="77DEF75B" w:rsidR="00130E8B" w:rsidRDefault="000405CC">
            <w:pPr>
              <w:pStyle w:val="a3"/>
              <w:jc w:val="center"/>
              <w:rPr>
                <w:lang w:val="hu-HU"/>
              </w:rPr>
            </w:pPr>
            <w:r>
              <w:rPr>
                <w:rFonts w:eastAsia="Times New Roman"/>
                <w:lang w:val="hu-HU"/>
              </w:rPr>
              <w:t xml:space="preserve">40 mg </w:t>
            </w:r>
            <w:r w:rsidR="00E97FBF">
              <w:rPr>
                <w:rFonts w:eastAsia="Times New Roman"/>
                <w:lang w:val="hu-HU"/>
              </w:rPr>
              <w:t>kéthetente</w:t>
            </w:r>
            <w:r w:rsidR="00E97FBF" w:rsidDel="00E97FBF">
              <w:rPr>
                <w:rFonts w:eastAsia="Times New Roman"/>
                <w:lang w:val="hu-HU"/>
              </w:rPr>
              <w:t xml:space="preserve"> </w:t>
            </w:r>
            <w:r>
              <w:rPr>
                <w:rFonts w:eastAsia="Times New Roman"/>
                <w:lang w:val="hu-HU"/>
              </w:rPr>
              <w:t>metotrexáttal kombinálva</w:t>
            </w:r>
          </w:p>
        </w:tc>
      </w:tr>
    </w:tbl>
    <w:p w14:paraId="0363EB68" w14:textId="77777777" w:rsidR="00130E8B" w:rsidRDefault="00130E8B">
      <w:pPr>
        <w:pStyle w:val="a3"/>
        <w:rPr>
          <w:lang w:val="hu-HU"/>
        </w:rPr>
      </w:pPr>
    </w:p>
    <w:p w14:paraId="2B4AA38A" w14:textId="77777777" w:rsidR="00130E8B" w:rsidRDefault="000405CC">
      <w:pPr>
        <w:pStyle w:val="a3"/>
        <w:rPr>
          <w:lang w:val="hu-HU"/>
        </w:rPr>
      </w:pPr>
      <w:r>
        <w:rPr>
          <w:rFonts w:eastAsia="Times New Roman"/>
          <w:lang w:val="hu-HU"/>
        </w:rPr>
        <w:t>A Yuflyma-kezelés megkezdésekor egy 40 mg-os telítő dózis adható a 30 kg alatti betegeknek, vagy egy 80 mg-os telítő dózis adható a legalább 30 kg-os betegeknek egy héttel a fenntartó kezelés megkezdése előtt. Nem állnak rendelkezésre klinikai adatok az adalimumab telítő dózis 6 évesnél fiatalabb gyermekeknél történő alkalmazásáról (lásd 5.2 pont).</w:t>
      </w:r>
    </w:p>
    <w:p w14:paraId="6970A5CB" w14:textId="77777777" w:rsidR="00130E8B" w:rsidRDefault="00130E8B">
      <w:pPr>
        <w:spacing w:before="10" w:line="240" w:lineRule="exact"/>
        <w:rPr>
          <w:rFonts w:ascii="Times New Roman" w:hAnsi="Times New Roman" w:cs="Times New Roman"/>
          <w:sz w:val="24"/>
          <w:szCs w:val="24"/>
          <w:lang w:val="hu-HU"/>
        </w:rPr>
      </w:pPr>
    </w:p>
    <w:p w14:paraId="21955396" w14:textId="447F3E30" w:rsidR="00130E8B" w:rsidRDefault="000405CC">
      <w:pPr>
        <w:pStyle w:val="a3"/>
        <w:rPr>
          <w:lang w:val="hu-HU"/>
        </w:rPr>
      </w:pPr>
      <w:r>
        <w:rPr>
          <w:rFonts w:eastAsia="Times New Roman"/>
          <w:lang w:val="hu-HU"/>
        </w:rPr>
        <w:t>2 évesnél fiatalabb gyermekek esetében ebben a</w:t>
      </w:r>
      <w:r w:rsidR="000569A0">
        <w:rPr>
          <w:rFonts w:eastAsia="Times New Roman"/>
          <w:lang w:val="hu-HU"/>
        </w:rPr>
        <w:t>z</w:t>
      </w:r>
      <w:r>
        <w:rPr>
          <w:rFonts w:eastAsia="Times New Roman"/>
          <w:lang w:val="hu-HU"/>
        </w:rPr>
        <w:t xml:space="preserve"> </w:t>
      </w:r>
      <w:r w:rsidR="000569A0">
        <w:rPr>
          <w:rFonts w:eastAsia="Times New Roman"/>
          <w:lang w:val="hu-HU"/>
        </w:rPr>
        <w:t>adalimumab</w:t>
      </w:r>
      <w:r>
        <w:rPr>
          <w:rFonts w:eastAsia="Times New Roman"/>
          <w:lang w:val="hu-HU"/>
        </w:rPr>
        <w:t>nak a javallatban nincs releváns alkalmazása.</w:t>
      </w:r>
    </w:p>
    <w:p w14:paraId="78B4581D" w14:textId="77777777" w:rsidR="00130E8B" w:rsidRDefault="00130E8B">
      <w:pPr>
        <w:spacing w:before="11" w:line="240" w:lineRule="exact"/>
        <w:rPr>
          <w:rFonts w:ascii="Times New Roman" w:hAnsi="Times New Roman" w:cs="Times New Roman"/>
          <w:sz w:val="24"/>
          <w:szCs w:val="24"/>
          <w:lang w:val="hu-HU"/>
        </w:rPr>
      </w:pPr>
    </w:p>
    <w:p w14:paraId="39A53A56" w14:textId="7000D443" w:rsidR="00130E8B" w:rsidRDefault="000405CC">
      <w:pPr>
        <w:pStyle w:val="a3"/>
        <w:rPr>
          <w:lang w:val="hu-HU"/>
        </w:rPr>
      </w:pPr>
      <w:r>
        <w:rPr>
          <w:rFonts w:eastAsia="Times New Roman"/>
          <w:spacing w:val="-4"/>
          <w:lang w:val="hu-HU"/>
        </w:rPr>
        <w:t>Javasolt a hosszú távú kezelés előny</w:t>
      </w:r>
      <w:r w:rsidR="0037671F">
        <w:rPr>
          <w:rFonts w:eastAsia="Times New Roman"/>
          <w:spacing w:val="-4"/>
          <w:lang w:val="hu-HU"/>
        </w:rPr>
        <w:t>é</w:t>
      </w:r>
      <w:r>
        <w:rPr>
          <w:rFonts w:eastAsia="Times New Roman"/>
          <w:spacing w:val="-4"/>
          <w:lang w:val="hu-HU"/>
        </w:rPr>
        <w:t>nek és kockázatának évente történő értékelése (lásd 5.1 pont).</w:t>
      </w:r>
    </w:p>
    <w:p w14:paraId="49BF5B17" w14:textId="77777777" w:rsidR="00130E8B" w:rsidRDefault="00130E8B">
      <w:pPr>
        <w:spacing w:before="12" w:line="240" w:lineRule="exact"/>
        <w:rPr>
          <w:rFonts w:ascii="Times New Roman" w:hAnsi="Times New Roman" w:cs="Times New Roman"/>
          <w:lang w:val="hu-HU"/>
        </w:rPr>
      </w:pPr>
    </w:p>
    <w:p w14:paraId="4D165CD8" w14:textId="77777777" w:rsidR="00130E8B" w:rsidRDefault="000405CC">
      <w:pPr>
        <w:pStyle w:val="a3"/>
        <w:rPr>
          <w:u w:val="single"/>
          <w:lang w:val="hu-HU"/>
        </w:rPr>
      </w:pPr>
      <w:r>
        <w:rPr>
          <w:rFonts w:eastAsia="Times New Roman"/>
          <w:u w:val="single" w:color="000000"/>
          <w:lang w:val="hu-HU"/>
        </w:rPr>
        <w:t>Az alkalmazás módja</w:t>
      </w:r>
    </w:p>
    <w:p w14:paraId="6DF49BFD" w14:textId="77777777" w:rsidR="00130E8B" w:rsidRDefault="00130E8B">
      <w:pPr>
        <w:spacing w:before="9" w:line="170" w:lineRule="exact"/>
        <w:rPr>
          <w:rFonts w:ascii="Times New Roman" w:hAnsi="Times New Roman" w:cs="Times New Roman"/>
          <w:lang w:val="hu-HU"/>
        </w:rPr>
      </w:pPr>
    </w:p>
    <w:p w14:paraId="4F5B4282" w14:textId="1C1BBAEA" w:rsidR="00130E8B" w:rsidRDefault="000405CC">
      <w:pPr>
        <w:pStyle w:val="a3"/>
        <w:rPr>
          <w:lang w:val="hu-HU"/>
        </w:rPr>
      </w:pPr>
      <w:r>
        <w:rPr>
          <w:rFonts w:eastAsia="Times New Roman"/>
          <w:lang w:val="hu-HU"/>
        </w:rPr>
        <w:t>A Yuflyma-t subcutan injekció formájában kell alkalmazni.</w:t>
      </w:r>
      <w:r w:rsidR="00502510">
        <w:rPr>
          <w:rFonts w:eastAsia="Times New Roman"/>
          <w:lang w:val="hu-HU"/>
        </w:rPr>
        <w:t xml:space="preserve"> </w:t>
      </w:r>
      <w:r>
        <w:rPr>
          <w:rFonts w:eastAsia="Times New Roman"/>
          <w:lang w:val="hu-HU"/>
        </w:rPr>
        <w:t>A használatra vonatkozó teljes utasításokat a betegtájékoztató tartalmazza.</w:t>
      </w:r>
    </w:p>
    <w:p w14:paraId="7B13441F" w14:textId="77777777" w:rsidR="00130E8B" w:rsidRDefault="00130E8B">
      <w:pPr>
        <w:spacing w:before="12" w:line="240" w:lineRule="exact"/>
        <w:rPr>
          <w:rFonts w:ascii="Times New Roman" w:hAnsi="Times New Roman" w:cs="Times New Roman"/>
          <w:lang w:val="hu-HU"/>
        </w:rPr>
      </w:pPr>
    </w:p>
    <w:p w14:paraId="4E4226EB" w14:textId="5FBF2CC3" w:rsidR="00EA01BE" w:rsidRDefault="00EA01BE">
      <w:pPr>
        <w:pStyle w:val="a3"/>
        <w:rPr>
          <w:lang w:val="hu-HU" w:eastAsia="ko-KR"/>
        </w:rPr>
      </w:pPr>
      <w:r w:rsidRPr="00167BF3">
        <w:rPr>
          <w:lang w:val="hu-HU"/>
        </w:rPr>
        <w:t xml:space="preserve">A </w:t>
      </w:r>
      <w:r>
        <w:rPr>
          <w:rFonts w:eastAsia="Times New Roman"/>
          <w:lang w:val="hu-HU"/>
        </w:rPr>
        <w:t>Yuflyma</w:t>
      </w:r>
      <w:r w:rsidRPr="00167BF3">
        <w:rPr>
          <w:lang w:val="hu-HU"/>
        </w:rPr>
        <w:t xml:space="preserve"> más hatáserősségekben és kiszerelésekben is rendelkezésre áll.</w:t>
      </w:r>
    </w:p>
    <w:p w14:paraId="27E3CA30" w14:textId="77777777" w:rsidR="00130E8B" w:rsidRDefault="00130E8B">
      <w:pPr>
        <w:spacing w:before="16" w:line="240" w:lineRule="exact"/>
        <w:rPr>
          <w:rFonts w:ascii="Times New Roman" w:hAnsi="Times New Roman" w:cs="Times New Roman"/>
          <w:lang w:val="hu-HU"/>
        </w:rPr>
      </w:pPr>
    </w:p>
    <w:p w14:paraId="68D05153" w14:textId="77777777" w:rsidR="00130E8B" w:rsidRDefault="000405CC">
      <w:pPr>
        <w:widowControl/>
        <w:numPr>
          <w:ilvl w:val="1"/>
          <w:numId w:val="13"/>
        </w:numPr>
        <w:tabs>
          <w:tab w:val="left" w:pos="567"/>
        </w:tabs>
        <w:spacing w:line="260" w:lineRule="exact"/>
        <w:ind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Ellenjavallatok</w:t>
      </w:r>
    </w:p>
    <w:p w14:paraId="1ACCDEB5" w14:textId="77777777" w:rsidR="00130E8B" w:rsidRDefault="00130E8B">
      <w:pPr>
        <w:spacing w:before="9" w:line="240" w:lineRule="exact"/>
        <w:rPr>
          <w:rFonts w:ascii="Times New Roman" w:hAnsi="Times New Roman" w:cs="Times New Roman"/>
          <w:lang w:val="hu-HU"/>
        </w:rPr>
      </w:pPr>
    </w:p>
    <w:p w14:paraId="40887B67" w14:textId="77777777" w:rsidR="00130E8B" w:rsidRDefault="000405CC">
      <w:pPr>
        <w:pStyle w:val="a3"/>
        <w:rPr>
          <w:lang w:val="hu-HU"/>
        </w:rPr>
      </w:pPr>
      <w:r>
        <w:rPr>
          <w:rFonts w:eastAsia="Times New Roman"/>
          <w:lang w:val="hu-HU"/>
        </w:rPr>
        <w:t>A készítmény hatóanyagával vagy a 6.1 pontban felsorolt bármely segédanyagával szembeni túlérzékenység.</w:t>
      </w:r>
    </w:p>
    <w:p w14:paraId="4EF2FA5B" w14:textId="77777777" w:rsidR="00130E8B" w:rsidRDefault="00130E8B">
      <w:pPr>
        <w:spacing w:before="13" w:line="240" w:lineRule="exact"/>
        <w:rPr>
          <w:rFonts w:ascii="Times New Roman" w:hAnsi="Times New Roman" w:cs="Times New Roman"/>
          <w:lang w:val="hu-HU"/>
        </w:rPr>
      </w:pPr>
    </w:p>
    <w:p w14:paraId="5A7B4A07" w14:textId="77777777" w:rsidR="00130E8B" w:rsidRDefault="000405CC">
      <w:pPr>
        <w:pStyle w:val="a3"/>
        <w:rPr>
          <w:lang w:val="hu-HU"/>
        </w:rPr>
      </w:pPr>
      <w:r>
        <w:rPr>
          <w:rFonts w:eastAsia="Times New Roman"/>
          <w:lang w:val="hu-HU"/>
        </w:rPr>
        <w:t>Aktív tuberkulózis vagy más súlyos fertőzés, mint szepszis vagy opportunista fertőzések (lásd 4. 4 pont).</w:t>
      </w:r>
    </w:p>
    <w:p w14:paraId="46D3C7A2" w14:textId="77777777" w:rsidR="00130E8B" w:rsidRDefault="00130E8B">
      <w:pPr>
        <w:pStyle w:val="a3"/>
        <w:rPr>
          <w:lang w:val="hu-HU"/>
        </w:rPr>
      </w:pPr>
    </w:p>
    <w:p w14:paraId="459E6A91" w14:textId="0CCBFD4E" w:rsidR="00130E8B" w:rsidRDefault="00011824">
      <w:pPr>
        <w:pStyle w:val="a3"/>
        <w:rPr>
          <w:lang w:val="hu-HU"/>
        </w:rPr>
      </w:pPr>
      <w:r>
        <w:rPr>
          <w:rFonts w:eastAsia="Times New Roman"/>
          <w:lang w:val="hu-HU"/>
        </w:rPr>
        <w:t>Közepesen súlyos</w:t>
      </w:r>
      <w:r w:rsidR="00435392">
        <w:rPr>
          <w:rFonts w:eastAsia="Times New Roman"/>
          <w:lang w:val="hu-HU"/>
        </w:rPr>
        <w:t>-</w:t>
      </w:r>
      <w:r w:rsidR="00435392" w:rsidRPr="009167C6">
        <w:rPr>
          <w:lang w:val="hu-HU"/>
        </w:rPr>
        <w:t> </w:t>
      </w:r>
      <w:r w:rsidR="00435392">
        <w:rPr>
          <w:rFonts w:eastAsia="Times New Roman"/>
          <w:lang w:val="hu-HU"/>
        </w:rPr>
        <w:t xml:space="preserve"> </w:t>
      </w:r>
      <w:r>
        <w:rPr>
          <w:rFonts w:eastAsia="Times New Roman"/>
          <w:lang w:val="hu-HU"/>
        </w:rPr>
        <w:t>súlyos</w:t>
      </w:r>
      <w:r w:rsidDel="00011824">
        <w:rPr>
          <w:rFonts w:eastAsia="Times New Roman"/>
          <w:lang w:val="hu-HU"/>
        </w:rPr>
        <w:t xml:space="preserve"> </w:t>
      </w:r>
      <w:r w:rsidR="000405CC">
        <w:rPr>
          <w:rFonts w:eastAsia="Times New Roman"/>
          <w:lang w:val="hu-HU"/>
        </w:rPr>
        <w:t>szívelégtelenség (NYHA III/ IV) (lásd 4. 4 pont).</w:t>
      </w:r>
    </w:p>
    <w:p w14:paraId="696B18E9" w14:textId="77777777" w:rsidR="00130E8B" w:rsidRDefault="00130E8B">
      <w:pPr>
        <w:pStyle w:val="a3"/>
        <w:rPr>
          <w:lang w:val="hu-HU"/>
        </w:rPr>
      </w:pPr>
    </w:p>
    <w:p w14:paraId="4CA7937C" w14:textId="77777777" w:rsidR="00130E8B" w:rsidRDefault="000405CC">
      <w:pPr>
        <w:widowControl/>
        <w:numPr>
          <w:ilvl w:val="1"/>
          <w:numId w:val="13"/>
        </w:numPr>
        <w:tabs>
          <w:tab w:val="left" w:pos="567"/>
        </w:tabs>
        <w:spacing w:line="260" w:lineRule="exact"/>
        <w:ind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Különleges figyelmeztetések és az alkalmazással kapcsolatos óvintézkedések</w:t>
      </w:r>
    </w:p>
    <w:p w14:paraId="53D1EB04" w14:textId="77777777" w:rsidR="00130E8B" w:rsidRDefault="00130E8B">
      <w:pPr>
        <w:spacing w:before="9" w:line="240" w:lineRule="exact"/>
        <w:rPr>
          <w:rFonts w:ascii="Times New Roman" w:hAnsi="Times New Roman" w:cs="Times New Roman"/>
          <w:lang w:val="hu-HU"/>
        </w:rPr>
      </w:pPr>
    </w:p>
    <w:p w14:paraId="3731D2AB" w14:textId="77777777" w:rsidR="00130E8B" w:rsidRDefault="000405CC">
      <w:pPr>
        <w:pStyle w:val="a3"/>
        <w:rPr>
          <w:u w:val="single"/>
          <w:lang w:val="hu-HU"/>
        </w:rPr>
      </w:pPr>
      <w:r>
        <w:rPr>
          <w:rFonts w:eastAsia="Times New Roman"/>
          <w:spacing w:val="1"/>
          <w:u w:val="single" w:color="000000"/>
          <w:lang w:val="hu-HU"/>
        </w:rPr>
        <w:t>Nyomon követhetőség</w:t>
      </w:r>
    </w:p>
    <w:p w14:paraId="0D6BB846" w14:textId="77777777" w:rsidR="00130E8B" w:rsidRDefault="00130E8B">
      <w:pPr>
        <w:spacing w:before="1" w:line="180" w:lineRule="exact"/>
        <w:rPr>
          <w:rFonts w:ascii="Times New Roman" w:hAnsi="Times New Roman" w:cs="Times New Roman"/>
          <w:lang w:val="hu-HU"/>
        </w:rPr>
      </w:pPr>
    </w:p>
    <w:p w14:paraId="78891A36" w14:textId="77777777" w:rsidR="00130E8B" w:rsidRDefault="000405CC">
      <w:pPr>
        <w:pStyle w:val="a3"/>
        <w:rPr>
          <w:lang w:val="hu-HU"/>
        </w:rPr>
      </w:pPr>
      <w:r>
        <w:rPr>
          <w:rFonts w:eastAsia="Times New Roman"/>
          <w:lang w:val="hu-HU"/>
        </w:rPr>
        <w:t>A biológiai gyógyszerek nyomonkövethetőségének javítása érdekében a gyógyszer nevét és gyártási számát egyértelműen fel kell jegyezni.</w:t>
      </w:r>
    </w:p>
    <w:p w14:paraId="3EBF8014" w14:textId="77777777" w:rsidR="00130E8B" w:rsidRDefault="00130E8B">
      <w:pPr>
        <w:spacing w:before="11" w:line="240" w:lineRule="exact"/>
        <w:rPr>
          <w:rFonts w:ascii="Times New Roman" w:hAnsi="Times New Roman" w:cs="Times New Roman"/>
          <w:lang w:val="hu-HU"/>
        </w:rPr>
      </w:pPr>
    </w:p>
    <w:p w14:paraId="53A15FD9" w14:textId="77777777" w:rsidR="00130E8B" w:rsidRDefault="000405CC">
      <w:pPr>
        <w:pStyle w:val="a3"/>
        <w:rPr>
          <w:u w:val="single"/>
          <w:lang w:val="hu-HU"/>
        </w:rPr>
      </w:pPr>
      <w:r>
        <w:rPr>
          <w:rFonts w:eastAsia="Times New Roman"/>
          <w:u w:val="single" w:color="000000"/>
          <w:lang w:val="hu-HU"/>
        </w:rPr>
        <w:lastRenderedPageBreak/>
        <w:t>Fertőzések</w:t>
      </w:r>
    </w:p>
    <w:p w14:paraId="70E6E6D7" w14:textId="77777777" w:rsidR="00130E8B" w:rsidRDefault="00130E8B">
      <w:pPr>
        <w:spacing w:before="1" w:line="180" w:lineRule="exact"/>
        <w:rPr>
          <w:rFonts w:ascii="Times New Roman" w:hAnsi="Times New Roman" w:cs="Times New Roman"/>
          <w:lang w:val="hu-HU"/>
        </w:rPr>
      </w:pPr>
    </w:p>
    <w:p w14:paraId="6532AC3B" w14:textId="77777777" w:rsidR="00130E8B" w:rsidRDefault="000405CC">
      <w:pPr>
        <w:pStyle w:val="a3"/>
        <w:rPr>
          <w:lang w:val="hu-HU"/>
        </w:rPr>
      </w:pPr>
      <w:r>
        <w:rPr>
          <w:rFonts w:eastAsia="Times New Roman"/>
          <w:lang w:val="hu-HU"/>
        </w:rPr>
        <w:t>A TNF-antagonistákat kapó betegek fogékonyabbak a súlyos fertőzésekre. A károsodott légzésfunkció növelheti a fertőzések kialakulásának kockázatát. Ezért a Yuflyma-val való kezelés előtt, alatt és után a betegeknél gondosan figyelni kell a fertőzéseket, beleértve a tuberculosist is. Tekintettel arra, hogy az adalimumab teljes eliminációja akár négy hónapot vehet igénybe, a megfigyelés ezen idő alatt is szükséges.</w:t>
      </w:r>
    </w:p>
    <w:p w14:paraId="64064373" w14:textId="77777777" w:rsidR="00130E8B" w:rsidRDefault="00130E8B">
      <w:pPr>
        <w:spacing w:before="14" w:line="240" w:lineRule="exact"/>
        <w:rPr>
          <w:rFonts w:ascii="Times New Roman" w:hAnsi="Times New Roman" w:cs="Times New Roman"/>
          <w:lang w:val="hu-HU"/>
        </w:rPr>
      </w:pPr>
    </w:p>
    <w:p w14:paraId="5F5681D2" w14:textId="77777777" w:rsidR="00130E8B" w:rsidRDefault="000405CC">
      <w:pPr>
        <w:pStyle w:val="a3"/>
        <w:rPr>
          <w:lang w:val="hu-HU"/>
        </w:rPr>
      </w:pPr>
      <w:r>
        <w:rPr>
          <w:rFonts w:eastAsia="Times New Roman"/>
          <w:lang w:val="hu-HU"/>
        </w:rPr>
        <w:t xml:space="preserve">Yuflyma-val való kezelés nem kezdhető aktív fertőzésben szenvedő betegek esetében, beleértve a krónikus és lokális fertőzéseket is, amíg a fertőzés nem gyógyul meg. A tuberculosis által veszélyeztetett betegeknél és azoknál a betegeknél, akik olyan területekre utaztak, ahol nagy a tuberculosis vagy az endemiás mycosisok, mint például a histoplasmosis, coccidioidomycosis vagy blastomycosis kockázata, a Yuflyma-kezelés kockázatát és előnyét a kezelés megkezdése előtt mérlegelni kell (lásd </w:t>
      </w:r>
      <w:r>
        <w:rPr>
          <w:rFonts w:eastAsia="Times New Roman"/>
          <w:i/>
          <w:iCs/>
          <w:lang w:val="hu-HU"/>
        </w:rPr>
        <w:t>Egyéb opportunista fertőzések</w:t>
      </w:r>
      <w:r>
        <w:rPr>
          <w:rFonts w:eastAsia="Times New Roman"/>
          <w:lang w:val="hu-HU"/>
        </w:rPr>
        <w:t>).</w:t>
      </w:r>
    </w:p>
    <w:p w14:paraId="14BF3679" w14:textId="77777777" w:rsidR="00130E8B" w:rsidRDefault="00130E8B">
      <w:pPr>
        <w:spacing w:before="13" w:line="240" w:lineRule="exact"/>
        <w:rPr>
          <w:rFonts w:ascii="Times New Roman" w:hAnsi="Times New Roman" w:cs="Times New Roman"/>
          <w:lang w:val="hu-HU"/>
        </w:rPr>
      </w:pPr>
    </w:p>
    <w:p w14:paraId="069989FD" w14:textId="77777777" w:rsidR="00130E8B" w:rsidRDefault="000405CC">
      <w:pPr>
        <w:pStyle w:val="a3"/>
        <w:rPr>
          <w:lang w:val="hu-HU"/>
        </w:rPr>
      </w:pPr>
      <w:r>
        <w:rPr>
          <w:rFonts w:eastAsia="Times New Roman"/>
          <w:lang w:val="hu-HU"/>
        </w:rPr>
        <w:t>Szoros megfigyelés alatt kell tartani azokat a betegeket, akiknél a Yuflyma-val való kezelés során alakul ki új fertőzés, és teljes diagnosztikus kivizsgáláson kell átesniük. Olyan esetekben, amikor új, súlyos fertőzés vagy sepsis alakul ki a Yuflyma- val való kezelést mindaddig abba kell hagyni, és megfelelő antimikrobiális és gombaellenes kezelést kell kezdeni, amíg a fertőzés meg nem gyógyul. Az orvos különös gonddal döntsön a Yuflyma adása mellett olyan betegek esetében, akiknek az anamnézisében visszatérő, gyakori fertőzések illetve fertőzésekre való hajlamosító tényező szerepel az immunoszuppresszív szerek egyidejű alkalmazását is beleértve.</w:t>
      </w:r>
    </w:p>
    <w:p w14:paraId="4B4F7412" w14:textId="77777777" w:rsidR="00130E8B" w:rsidRDefault="00130E8B">
      <w:pPr>
        <w:pStyle w:val="a3"/>
        <w:rPr>
          <w:lang w:val="hu-HU"/>
        </w:rPr>
      </w:pPr>
    </w:p>
    <w:p w14:paraId="4224A31E" w14:textId="77777777" w:rsidR="00130E8B" w:rsidRDefault="000405CC">
      <w:pPr>
        <w:rPr>
          <w:rFonts w:ascii="Times New Roman" w:eastAsia="Times New Roman" w:hAnsi="Times New Roman" w:cs="Times New Roman"/>
          <w:lang w:val="hu-HU"/>
        </w:rPr>
      </w:pPr>
      <w:r>
        <w:rPr>
          <w:rFonts w:ascii="Times New Roman" w:eastAsia="Times New Roman" w:hAnsi="Times New Roman" w:cs="Times New Roman"/>
          <w:i/>
          <w:iCs/>
          <w:spacing w:val="-1"/>
          <w:lang w:val="hu-HU"/>
        </w:rPr>
        <w:t>Súlyos fertőzések</w:t>
      </w:r>
    </w:p>
    <w:p w14:paraId="129281CE" w14:textId="77777777" w:rsidR="00130E8B" w:rsidRDefault="00130E8B">
      <w:pPr>
        <w:spacing w:line="240" w:lineRule="exact"/>
        <w:rPr>
          <w:rFonts w:ascii="Times New Roman" w:hAnsi="Times New Roman" w:cs="Times New Roman"/>
          <w:lang w:val="hu-HU"/>
        </w:rPr>
      </w:pPr>
    </w:p>
    <w:p w14:paraId="198A6F64" w14:textId="77777777" w:rsidR="00130E8B" w:rsidRDefault="000405CC">
      <w:pPr>
        <w:pStyle w:val="a3"/>
        <w:rPr>
          <w:lang w:val="hu-HU"/>
        </w:rPr>
      </w:pPr>
      <w:r>
        <w:rPr>
          <w:rFonts w:eastAsia="Times New Roman"/>
          <w:lang w:val="hu-HU"/>
        </w:rPr>
        <w:t>Súlyos fertőzéseket, köztük bakteriális, mycobacterialis, invazív gomba - és vírusfertőzés okozta sepsist és egyéb opportunista fertőzéseket, például listeriosist és pneumocystis fertőzést is leírtak az adalimumabot kapó betegeknél.</w:t>
      </w:r>
    </w:p>
    <w:p w14:paraId="6EE0019A" w14:textId="77777777" w:rsidR="00130E8B" w:rsidRDefault="00130E8B">
      <w:pPr>
        <w:spacing w:line="240" w:lineRule="exact"/>
        <w:rPr>
          <w:rFonts w:ascii="Times New Roman" w:hAnsi="Times New Roman" w:cs="Times New Roman"/>
          <w:lang w:val="hu-HU"/>
        </w:rPr>
      </w:pPr>
    </w:p>
    <w:p w14:paraId="22AA6C94" w14:textId="77777777" w:rsidR="00130E8B" w:rsidRDefault="000405CC">
      <w:pPr>
        <w:pStyle w:val="a3"/>
        <w:rPr>
          <w:lang w:val="hu-HU"/>
        </w:rPr>
      </w:pPr>
      <w:r>
        <w:rPr>
          <w:rFonts w:eastAsia="Times New Roman"/>
          <w:lang w:val="hu-HU"/>
        </w:rPr>
        <w:t>A klinikai vizsgálatokban további súlyos fertőzéseket köztük pneumoniát, pyelonephritist, septicus arthritist, valamint septicaemiát észleltek. A fertőzésekkel kapcsolatban hospitalizációról vagy fatális kimenetelről számoltak be.</w:t>
      </w:r>
    </w:p>
    <w:p w14:paraId="7F143883" w14:textId="77777777" w:rsidR="00130E8B" w:rsidRDefault="00130E8B">
      <w:pPr>
        <w:spacing w:line="240" w:lineRule="exact"/>
        <w:rPr>
          <w:rFonts w:ascii="Times New Roman" w:hAnsi="Times New Roman" w:cs="Times New Roman"/>
          <w:lang w:val="hu-HU"/>
        </w:rPr>
      </w:pPr>
    </w:p>
    <w:p w14:paraId="45C8F61F" w14:textId="77777777" w:rsidR="00130E8B" w:rsidRDefault="000405CC">
      <w:pPr>
        <w:rPr>
          <w:rFonts w:ascii="Times New Roman" w:eastAsia="Times New Roman" w:hAnsi="Times New Roman" w:cs="Times New Roman"/>
          <w:lang w:val="hu-HU"/>
        </w:rPr>
      </w:pPr>
      <w:r>
        <w:rPr>
          <w:rFonts w:ascii="Times New Roman" w:eastAsia="Times New Roman" w:hAnsi="Times New Roman" w:cs="Times New Roman"/>
          <w:i/>
          <w:iCs/>
          <w:spacing w:val="-1"/>
          <w:lang w:val="hu-HU"/>
        </w:rPr>
        <w:t>Tuberculosis</w:t>
      </w:r>
    </w:p>
    <w:p w14:paraId="4996D8E8" w14:textId="77777777" w:rsidR="00130E8B" w:rsidRDefault="00130E8B">
      <w:pPr>
        <w:spacing w:line="240" w:lineRule="exact"/>
        <w:rPr>
          <w:rFonts w:ascii="Times New Roman" w:hAnsi="Times New Roman" w:cs="Times New Roman"/>
          <w:lang w:val="hu-HU"/>
        </w:rPr>
      </w:pPr>
    </w:p>
    <w:p w14:paraId="3B0C075C" w14:textId="77777777" w:rsidR="00130E8B" w:rsidRDefault="000405CC">
      <w:pPr>
        <w:pStyle w:val="a3"/>
        <w:rPr>
          <w:lang w:val="hu-HU"/>
        </w:rPr>
      </w:pPr>
      <w:r>
        <w:rPr>
          <w:rFonts w:eastAsia="Times New Roman"/>
          <w:lang w:val="hu-HU"/>
        </w:rPr>
        <w:t>Az kezelt betegeknél tuberculosisról számoltak be, beleértve a reaktivációt és új tuberculosis kialakulását. A bejelentések pulmonalis és extrapulmonalis (azaz disszeminált) eseteket tartalmaztak.</w:t>
      </w:r>
    </w:p>
    <w:p w14:paraId="57832E69" w14:textId="77777777" w:rsidR="00130E8B" w:rsidRDefault="00130E8B">
      <w:pPr>
        <w:spacing w:line="240" w:lineRule="exact"/>
        <w:rPr>
          <w:rFonts w:ascii="Times New Roman" w:hAnsi="Times New Roman" w:cs="Times New Roman"/>
          <w:lang w:val="hu-HU"/>
        </w:rPr>
      </w:pPr>
    </w:p>
    <w:p w14:paraId="5E9851C0" w14:textId="08C15B47" w:rsidR="00130E8B" w:rsidRDefault="000405CC">
      <w:pPr>
        <w:pStyle w:val="a3"/>
        <w:rPr>
          <w:lang w:val="hu-HU"/>
        </w:rPr>
      </w:pPr>
      <w:r>
        <w:rPr>
          <w:rFonts w:eastAsia="Times New Roman"/>
          <w:lang w:val="hu-HU"/>
        </w:rPr>
        <w:t xml:space="preserve">A Yuflyma-val való kezelés megkezdése előtt minden beteget meg kell vizsgálni aktív és inaktív („látens”) tuberculosis irányábanA felmérés során részletesen értékelni kell a beteg tuberculosissal kapcsolatos kórtörténetét, hogy a beteg kapcsolatba került-e aktív tuberculosisban szenvedő beteggel, valamint a múltban vagy jelenleg immunszuppresszív kezelés alatt áll-e. Minden beteg esetében a megfelelő szűrő vizsgálatok </w:t>
      </w:r>
      <w:r w:rsidR="00E712D7">
        <w:rPr>
          <w:rFonts w:eastAsia="Times New Roman"/>
          <w:lang w:val="hu-HU"/>
        </w:rPr>
        <w:t>például</w:t>
      </w:r>
      <w:r>
        <w:rPr>
          <w:rFonts w:eastAsia="Times New Roman"/>
          <w:lang w:val="hu-HU"/>
        </w:rPr>
        <w:t xml:space="preserve"> tuberkulin bőrteszt és mellkasröntgen elvégzése szükséges (helyi irányelvek követendők). A szűrővizsgálatok elvégzésének tényét és azok eredményét javasolt feltüntetni a Betegemlékeztető Kártyán. A kezelés indikáló orvosnak számolnia kell az álnegatív tuberculin bőrteszt lehetőségével is, különösen a súlyos állapotú, illetve az immundeficiens betegek esetében.</w:t>
      </w:r>
    </w:p>
    <w:p w14:paraId="14852A43" w14:textId="77777777" w:rsidR="00130E8B" w:rsidRDefault="00130E8B">
      <w:pPr>
        <w:spacing w:before="13" w:line="240" w:lineRule="exact"/>
        <w:rPr>
          <w:rFonts w:ascii="Times New Roman" w:hAnsi="Times New Roman" w:cs="Times New Roman"/>
          <w:lang w:val="hu-HU"/>
        </w:rPr>
      </w:pPr>
    </w:p>
    <w:p w14:paraId="53B31B50" w14:textId="77777777" w:rsidR="00130E8B" w:rsidRDefault="000405CC">
      <w:pPr>
        <w:pStyle w:val="a3"/>
        <w:rPr>
          <w:lang w:val="hu-HU"/>
        </w:rPr>
      </w:pPr>
      <w:r>
        <w:rPr>
          <w:rFonts w:eastAsia="Times New Roman"/>
          <w:lang w:val="hu-HU"/>
        </w:rPr>
        <w:t>Ha a diagnózis aktív tuberkulózis, a Yuflyma - kezelést nem szabad elkezdeni (lásd 4. 3 pont).</w:t>
      </w:r>
    </w:p>
    <w:p w14:paraId="192BB723" w14:textId="77777777" w:rsidR="00130E8B" w:rsidRDefault="00130E8B">
      <w:pPr>
        <w:pStyle w:val="a3"/>
        <w:rPr>
          <w:lang w:val="hu-HU"/>
        </w:rPr>
      </w:pPr>
    </w:p>
    <w:p w14:paraId="3D1D82D8" w14:textId="7CD76045" w:rsidR="00130E8B" w:rsidRDefault="000405CC">
      <w:pPr>
        <w:pStyle w:val="a3"/>
        <w:rPr>
          <w:lang w:val="hu-HU"/>
        </w:rPr>
      </w:pPr>
      <w:r>
        <w:rPr>
          <w:rFonts w:eastAsia="Times New Roman"/>
          <w:lang w:val="hu-HU"/>
        </w:rPr>
        <w:t xml:space="preserve">Minden, az alábbiakban megadott helyzetben nagyon gondosan kell mérlegelni a Yuflyma-kezelés </w:t>
      </w:r>
      <w:r w:rsidR="007173A4">
        <w:rPr>
          <w:rFonts w:eastAsia="Times New Roman"/>
          <w:lang w:val="hu-HU"/>
        </w:rPr>
        <w:t xml:space="preserve">előny/kockázat </w:t>
      </w:r>
      <w:r>
        <w:rPr>
          <w:rFonts w:eastAsia="Times New Roman"/>
          <w:lang w:val="hu-HU"/>
        </w:rPr>
        <w:t>arányát.</w:t>
      </w:r>
    </w:p>
    <w:p w14:paraId="30317D19" w14:textId="77777777" w:rsidR="00130E8B" w:rsidRDefault="00130E8B">
      <w:pPr>
        <w:pStyle w:val="a3"/>
        <w:rPr>
          <w:lang w:val="hu-HU"/>
        </w:rPr>
      </w:pPr>
    </w:p>
    <w:p w14:paraId="7598FFBF" w14:textId="77777777" w:rsidR="00130E8B" w:rsidRDefault="000405CC">
      <w:pPr>
        <w:pStyle w:val="a3"/>
        <w:rPr>
          <w:lang w:val="hu-HU"/>
        </w:rPr>
      </w:pPr>
      <w:r>
        <w:rPr>
          <w:rFonts w:eastAsia="Times New Roman"/>
          <w:lang w:val="hu-HU"/>
        </w:rPr>
        <w:t>Ha inaktív (latens) tuberkulózist diagnosztizáltak, el kell kezdeni a latens tuberkulózis antituberkulotikus terápiáját a Remicade-kezelés megkezdése előtt a helyi ajánlásoknak megfelelen.</w:t>
      </w:r>
    </w:p>
    <w:p w14:paraId="09983029" w14:textId="77777777" w:rsidR="00130E8B" w:rsidRDefault="00130E8B">
      <w:pPr>
        <w:spacing w:before="11" w:line="240" w:lineRule="exact"/>
        <w:rPr>
          <w:rFonts w:ascii="Times New Roman" w:hAnsi="Times New Roman" w:cs="Times New Roman"/>
          <w:lang w:val="hu-HU"/>
        </w:rPr>
      </w:pPr>
    </w:p>
    <w:p w14:paraId="2E7C4C6B" w14:textId="77777777" w:rsidR="00130E8B" w:rsidRDefault="000405CC">
      <w:pPr>
        <w:pStyle w:val="a3"/>
        <w:rPr>
          <w:lang w:val="hu-HU"/>
        </w:rPr>
      </w:pPr>
      <w:r>
        <w:rPr>
          <w:rFonts w:eastAsia="Times New Roman"/>
          <w:lang w:val="hu-HU"/>
        </w:rPr>
        <w:t xml:space="preserve">Ha látens tuberculosist diagnosztizálnak, a látens tuberculosis helyi ajánlásokkal összhangban lévő, </w:t>
      </w:r>
      <w:r>
        <w:rPr>
          <w:rFonts w:eastAsia="Times New Roman"/>
          <w:lang w:val="hu-HU"/>
        </w:rPr>
        <w:lastRenderedPageBreak/>
        <w:t>antituberculotikus profilaktikus kezelésének a Yuflyma alkalmazásának megkezdése előtt el kell kezdődnie.</w:t>
      </w:r>
    </w:p>
    <w:p w14:paraId="718C6F32" w14:textId="77777777" w:rsidR="00130E8B" w:rsidRDefault="00130E8B">
      <w:pPr>
        <w:spacing w:before="12" w:line="240" w:lineRule="exact"/>
        <w:rPr>
          <w:rFonts w:ascii="Times New Roman" w:hAnsi="Times New Roman" w:cs="Times New Roman"/>
          <w:lang w:val="hu-HU"/>
        </w:rPr>
      </w:pPr>
    </w:p>
    <w:p w14:paraId="3392D890" w14:textId="77777777" w:rsidR="00130E8B" w:rsidRDefault="000405CC">
      <w:pPr>
        <w:pStyle w:val="a3"/>
        <w:rPr>
          <w:lang w:val="hu-HU"/>
        </w:rPr>
      </w:pPr>
      <w:r>
        <w:rPr>
          <w:rFonts w:eastAsia="Times New Roman"/>
          <w:lang w:val="hu-HU"/>
        </w:rPr>
        <w:t>Yuflyma -kezelés indítása előtt az antituberkulotikus profilaktikus kezelést azoknál a betegeknél is fontolóra kell venni, akik a tuberculosis több vagy jelentős kockázati tényezőjével rendelkeznek, bár a tuberculosis-tesztjük negatív, valamint akiknek az anamnézisében látens vagy aktív tuberculosis szerepel, de annak megfelelő kezelése nem igazolható.</w:t>
      </w:r>
    </w:p>
    <w:p w14:paraId="238AC87B" w14:textId="77777777" w:rsidR="00130E8B" w:rsidRDefault="00130E8B">
      <w:pPr>
        <w:spacing w:before="17" w:line="240" w:lineRule="exact"/>
        <w:rPr>
          <w:rFonts w:ascii="Times New Roman" w:hAnsi="Times New Roman" w:cs="Times New Roman"/>
          <w:lang w:val="hu-HU"/>
        </w:rPr>
      </w:pPr>
    </w:p>
    <w:p w14:paraId="1E39EB0E" w14:textId="77777777" w:rsidR="00130E8B" w:rsidRDefault="000405CC">
      <w:pPr>
        <w:pStyle w:val="a3"/>
        <w:rPr>
          <w:lang w:val="hu-HU"/>
        </w:rPr>
      </w:pPr>
      <w:r>
        <w:rPr>
          <w:rFonts w:eastAsia="Times New Roman"/>
          <w:lang w:val="hu-HU"/>
        </w:rPr>
        <w:t>A profilaktikus antituberkulotikus kezelés ellenére előfordultak tuberculosis reaktiválódásának esetei Yuflyma-val kezelt betegeknél. Egyes betegeknél, akiket korábban sikeresen kezeltek aktív tuberculosis ellen, a Yuflyma-kezelés alatt ismét tuberculosis alakult ki</w:t>
      </w:r>
    </w:p>
    <w:p w14:paraId="2EFB3FCB" w14:textId="77777777" w:rsidR="00130E8B" w:rsidRDefault="00130E8B">
      <w:pPr>
        <w:spacing w:before="11" w:line="240" w:lineRule="exact"/>
        <w:rPr>
          <w:rFonts w:ascii="Times New Roman" w:hAnsi="Times New Roman" w:cs="Times New Roman"/>
          <w:lang w:val="hu-HU"/>
        </w:rPr>
      </w:pPr>
    </w:p>
    <w:p w14:paraId="77CB2210" w14:textId="6D954115" w:rsidR="00130E8B" w:rsidRDefault="000405CC">
      <w:pPr>
        <w:pStyle w:val="a3"/>
        <w:rPr>
          <w:lang w:val="hu-HU"/>
        </w:rPr>
      </w:pPr>
      <w:r>
        <w:rPr>
          <w:rFonts w:eastAsia="Times New Roman"/>
          <w:lang w:val="hu-HU"/>
        </w:rPr>
        <w:t>A betegeket tájékoztatni kell, hogy – Yuflyma -kezelés alatt vagy után – tuberculosisra jellemző tünetek (</w:t>
      </w:r>
      <w:r w:rsidR="00E712D7">
        <w:rPr>
          <w:rFonts w:eastAsia="Times New Roman"/>
          <w:lang w:val="hu-HU"/>
        </w:rPr>
        <w:t>például</w:t>
      </w:r>
      <w:r>
        <w:rPr>
          <w:rFonts w:eastAsia="Times New Roman"/>
          <w:lang w:val="hu-HU"/>
        </w:rPr>
        <w:t xml:space="preserve"> tartós köhögés, fogyás, kisebb fokú láz, fáradékonyság) fellépése esetén forduljanak orvoshoz.</w:t>
      </w:r>
    </w:p>
    <w:p w14:paraId="46E6BF6A" w14:textId="77777777" w:rsidR="00130E8B" w:rsidRDefault="00130E8B">
      <w:pPr>
        <w:ind w:left="111"/>
        <w:rPr>
          <w:rFonts w:ascii="Times New Roman" w:hAnsi="Times New Roman" w:cs="Times New Roman"/>
          <w:lang w:val="hu-HU"/>
        </w:rPr>
      </w:pPr>
    </w:p>
    <w:p w14:paraId="1D4A2C3D" w14:textId="77777777" w:rsidR="00130E8B" w:rsidRDefault="000405CC">
      <w:pPr>
        <w:rPr>
          <w:rFonts w:ascii="Times New Roman" w:eastAsia="Times New Roman" w:hAnsi="Times New Roman" w:cs="Times New Roman"/>
          <w:lang w:val="hu-HU"/>
        </w:rPr>
      </w:pPr>
      <w:r w:rsidRPr="00926C92">
        <w:rPr>
          <w:rFonts w:ascii="Times New Roman" w:eastAsia="Times New Roman" w:hAnsi="Times New Roman" w:cs="Times New Roman"/>
          <w:i/>
          <w:iCs/>
          <w:spacing w:val="-1"/>
          <w:lang w:val="hu-HU"/>
        </w:rPr>
        <w:t>Egyéb opportunista fertőzések</w:t>
      </w:r>
    </w:p>
    <w:p w14:paraId="418FD4C3" w14:textId="77777777" w:rsidR="00130E8B" w:rsidRDefault="00130E8B">
      <w:pPr>
        <w:spacing w:before="13" w:line="240" w:lineRule="exact"/>
        <w:rPr>
          <w:rFonts w:ascii="Times New Roman" w:hAnsi="Times New Roman" w:cs="Times New Roman"/>
          <w:lang w:val="hu-HU"/>
        </w:rPr>
      </w:pPr>
    </w:p>
    <w:p w14:paraId="45E203F2" w14:textId="77777777" w:rsidR="00130E8B" w:rsidRDefault="000405CC">
      <w:pPr>
        <w:pStyle w:val="a3"/>
        <w:rPr>
          <w:lang w:val="hu-HU"/>
        </w:rPr>
      </w:pPr>
      <w:r>
        <w:rPr>
          <w:rFonts w:eastAsia="Times New Roman"/>
          <w:lang w:val="hu-HU"/>
        </w:rPr>
        <w:t>A Yuflyma-kezelést kapó betegeknél opportunista fertőzéseket köztük invazív gombafertőzéseket észleltek. Ezek a fertőzések a TNF-gátlókat kapó betegeknél nem kerültek következetesen felismerésre, és ez a megfelelő kezelés késlekedését eredményezte, ami néha halálos kimenetelhez vezetett.</w:t>
      </w:r>
    </w:p>
    <w:p w14:paraId="0ABE4338" w14:textId="77777777" w:rsidR="00130E8B" w:rsidRDefault="00130E8B">
      <w:pPr>
        <w:pStyle w:val="a3"/>
        <w:rPr>
          <w:lang w:val="hu-HU"/>
        </w:rPr>
      </w:pPr>
    </w:p>
    <w:p w14:paraId="402568D3" w14:textId="77777777" w:rsidR="00130E8B" w:rsidRDefault="000405CC">
      <w:pPr>
        <w:pStyle w:val="a3"/>
        <w:rPr>
          <w:lang w:val="hu-HU"/>
        </w:rPr>
      </w:pPr>
      <w:r>
        <w:rPr>
          <w:rFonts w:eastAsia="Times New Roman"/>
          <w:lang w:val="hu-HU"/>
        </w:rPr>
        <w:t>Azoknál a betegeknél, akiknél olyan panaszok és tünetek alakulnak ki, mint például a láz, rossz közérzet, fogyás, verejtékezés, köhögés, dyspnoe és vagy pulmonalis infiltrátumok vagy sokkal vagy anélkül jelentkező egyéb súlyos, szisztémás betegségek, invazív gombafertőzésre kell gyanakodni, és a Yuflyma adását azonnal abba kell hagyni, és el kell kezdeni a megfelelő gombaellenes kezelést. Ezeknél a betegeknél a diagnózis megállapítását és az empirikus gombaellenes kezelés megkezdését olyan szakemberrel történő konzultációt követően kell elvégezni, aki jártas az invazív gombafertőzések kezelésében.</w:t>
      </w:r>
    </w:p>
    <w:p w14:paraId="76334A4E" w14:textId="77777777" w:rsidR="00130E8B" w:rsidRDefault="00130E8B">
      <w:pPr>
        <w:spacing w:before="13" w:line="240" w:lineRule="exact"/>
        <w:rPr>
          <w:rFonts w:ascii="Times New Roman" w:hAnsi="Times New Roman" w:cs="Times New Roman"/>
          <w:lang w:val="hu-HU"/>
        </w:rPr>
      </w:pPr>
    </w:p>
    <w:p w14:paraId="28B68281" w14:textId="77777777" w:rsidR="00130E8B" w:rsidRDefault="000405CC">
      <w:pPr>
        <w:pStyle w:val="a3"/>
        <w:rPr>
          <w:u w:val="single"/>
          <w:lang w:val="hu-HU"/>
        </w:rPr>
      </w:pPr>
      <w:r>
        <w:rPr>
          <w:rFonts w:eastAsia="Times New Roman"/>
          <w:u w:val="single" w:color="000000"/>
          <w:lang w:val="hu-HU"/>
        </w:rPr>
        <w:t>Hepatitis B reaktiválódása</w:t>
      </w:r>
    </w:p>
    <w:p w14:paraId="7CB9658D" w14:textId="77777777" w:rsidR="00130E8B" w:rsidRDefault="00130E8B">
      <w:pPr>
        <w:spacing w:before="9" w:line="170" w:lineRule="exact"/>
        <w:rPr>
          <w:rFonts w:ascii="Times New Roman" w:hAnsi="Times New Roman" w:cs="Times New Roman"/>
          <w:lang w:val="hu-HU"/>
        </w:rPr>
      </w:pPr>
    </w:p>
    <w:p w14:paraId="6F79D87E" w14:textId="77777777" w:rsidR="00130E8B" w:rsidRDefault="000405CC">
      <w:pPr>
        <w:pStyle w:val="a3"/>
        <w:rPr>
          <w:lang w:val="hu-HU"/>
        </w:rPr>
      </w:pPr>
      <w:r>
        <w:rPr>
          <w:rFonts w:eastAsia="Times New Roman"/>
          <w:lang w:val="hu-HU"/>
        </w:rPr>
        <w:t>Krónikus hepatitis B-vírus-hordozó betegeknél (azaz a felszíni antigén pozitív) a hepatitis B reaktiválódása fordult elő, amennyiben TNF-antagonista (köztük adalimumab) kezelésben részesültek. Néhány esetben ez halálhoz vezetett. A Yuflyma-kezelés elkezdése előtt a betegeket HBV-fertőzés irányában vizsgálni kell. Azoknál a betegeknél, akiknél a hepatitis B infekció vizsgálatának eredménye pozitív, konzultáció javasolt egy, a hepatitis B kezelésében jártas orvossal.</w:t>
      </w:r>
    </w:p>
    <w:p w14:paraId="307346CC" w14:textId="77777777" w:rsidR="00130E8B" w:rsidRDefault="00130E8B">
      <w:pPr>
        <w:spacing w:before="13" w:line="240" w:lineRule="exact"/>
        <w:rPr>
          <w:rFonts w:ascii="Times New Roman" w:hAnsi="Times New Roman" w:cs="Times New Roman"/>
          <w:lang w:val="hu-HU"/>
        </w:rPr>
      </w:pPr>
    </w:p>
    <w:p w14:paraId="516FBEAC" w14:textId="77777777" w:rsidR="00130E8B" w:rsidRDefault="000405CC">
      <w:pPr>
        <w:pStyle w:val="a3"/>
        <w:rPr>
          <w:lang w:val="hu-HU"/>
        </w:rPr>
      </w:pPr>
      <w:r>
        <w:rPr>
          <w:rFonts w:eastAsia="Times New Roman"/>
          <w:lang w:val="hu-HU"/>
        </w:rPr>
        <w:t xml:space="preserve">A Yuflyma terápiára szoruló HBV hordozókat a kezelés ideje alatt, illetve a befejezését követő néhány hónapon keresztül gondosan meg kell figyelni, hogy jelentkeznek- e rajtuk aktív HBV fertőzésre utaló panaszok és tünetek. A HBV-hordozóknak a HBV reaktiválódásának megelőzése céljából végzett TNF-antagonista és antiretrovirális szer kombinációjával végzett kezeléséről nem állnak rendelkezésre megfelelő adatok. Azoknál a betegeknél, akiknél a HBV reaktiválódása alakul ki, abba kell hagyni a Yuflyma adását, és hatékony antiretrovirális szer adását, valamint megfelelő szupportív kezelést kell kezdeni. </w:t>
      </w:r>
    </w:p>
    <w:p w14:paraId="46F2C006" w14:textId="77777777" w:rsidR="00130E8B" w:rsidRDefault="00130E8B">
      <w:pPr>
        <w:spacing w:before="13" w:line="240" w:lineRule="exact"/>
        <w:rPr>
          <w:rFonts w:ascii="Times New Roman" w:hAnsi="Times New Roman" w:cs="Times New Roman"/>
          <w:lang w:val="hu-HU"/>
        </w:rPr>
      </w:pPr>
    </w:p>
    <w:p w14:paraId="69BD8377" w14:textId="77777777" w:rsidR="00130E8B" w:rsidRDefault="000405CC">
      <w:pPr>
        <w:pStyle w:val="a3"/>
        <w:rPr>
          <w:u w:val="single"/>
          <w:lang w:val="hu-HU"/>
        </w:rPr>
      </w:pPr>
      <w:r>
        <w:rPr>
          <w:rFonts w:eastAsia="Times New Roman"/>
          <w:u w:val="single" w:color="000000"/>
          <w:lang w:val="hu-HU"/>
        </w:rPr>
        <w:t>Neurológiai vonatkozások</w:t>
      </w:r>
    </w:p>
    <w:p w14:paraId="26694B8B" w14:textId="77777777" w:rsidR="00130E8B" w:rsidRDefault="00130E8B">
      <w:pPr>
        <w:spacing w:before="1" w:line="180" w:lineRule="exact"/>
        <w:rPr>
          <w:rFonts w:ascii="Times New Roman" w:hAnsi="Times New Roman" w:cs="Times New Roman"/>
          <w:lang w:val="hu-HU"/>
        </w:rPr>
      </w:pPr>
    </w:p>
    <w:p w14:paraId="3083C8C5" w14:textId="77777777" w:rsidR="00130E8B" w:rsidRDefault="000405CC">
      <w:pPr>
        <w:pStyle w:val="a3"/>
        <w:rPr>
          <w:lang w:val="hu-HU"/>
        </w:rPr>
      </w:pPr>
      <w:r>
        <w:rPr>
          <w:rFonts w:eastAsia="Times New Roman"/>
          <w:lang w:val="hu-HU"/>
        </w:rPr>
        <w:t>A TNF-antagonisták, beleértve az adalimumabot, ritkán a központi idegrendszeri demyelinisatiós betegség (közte a sclerosis multiplex és az opticus neuritis) és a perifériás demyelinisatiós betegség (közte a Guillan-Barré szindróma) klinikai tüneteinek és/vagy radiológiai bizonyítékának új megjelenésével vagy súlyosbodásával társultak. A gyógyszert felíró orvosnak különös gonddal kell eljárnia olyan esetekben, amikor Yuflyma-kezelés lehetősége felmerül régi vagy friss központi idegrendszeri vagy perifériás demyelinisatiós betegségben szenvedő betegeknél; ezen betegségek bármelyikének kialakulása esetén fontolóra kell venni a Yuflyma adásának felfüggesztését. Ismert az összefüggés az intermedier uveitis és a központi idegrendszeri demyelinisatiós betegség között. A nem fertőzéses eredetű, intermedier uveitisben szenvedő betegeknél neurológiai vizsgálatot kell végezni a Yuflyma-kezelés megkezdése előtt és a kezelés ideje alatt rendszeresen, a már meglévő vagy kialakuló központi idegrendszeri demyelinisatiós betegség értékelésére</w:t>
      </w:r>
    </w:p>
    <w:p w14:paraId="4ABA0D06" w14:textId="77777777" w:rsidR="00130E8B" w:rsidRDefault="00130E8B">
      <w:pPr>
        <w:spacing w:before="13" w:line="240" w:lineRule="exact"/>
        <w:rPr>
          <w:rFonts w:ascii="Times New Roman" w:hAnsi="Times New Roman" w:cs="Times New Roman"/>
          <w:lang w:val="hu-HU"/>
        </w:rPr>
      </w:pPr>
    </w:p>
    <w:p w14:paraId="5E9288C1" w14:textId="77777777" w:rsidR="00130E8B" w:rsidRDefault="000405CC">
      <w:pPr>
        <w:pStyle w:val="a3"/>
        <w:rPr>
          <w:u w:val="single"/>
          <w:lang w:val="hu-HU"/>
        </w:rPr>
      </w:pPr>
      <w:r>
        <w:rPr>
          <w:rFonts w:eastAsia="Times New Roman"/>
          <w:u w:val="single" w:color="000000"/>
          <w:lang w:val="hu-HU"/>
        </w:rPr>
        <w:t>Allergiás reakciók</w:t>
      </w:r>
    </w:p>
    <w:p w14:paraId="36952B55" w14:textId="77777777" w:rsidR="00130E8B" w:rsidRDefault="00130E8B">
      <w:pPr>
        <w:spacing w:before="9" w:line="170" w:lineRule="exact"/>
        <w:rPr>
          <w:rFonts w:ascii="Times New Roman" w:hAnsi="Times New Roman" w:cs="Times New Roman"/>
          <w:lang w:val="hu-HU"/>
        </w:rPr>
      </w:pPr>
    </w:p>
    <w:p w14:paraId="13AC1FD8" w14:textId="77777777" w:rsidR="00130E8B" w:rsidRDefault="000405CC">
      <w:pPr>
        <w:pStyle w:val="a3"/>
        <w:rPr>
          <w:lang w:val="hu-HU"/>
        </w:rPr>
      </w:pPr>
      <w:r>
        <w:rPr>
          <w:rFonts w:eastAsia="Times New Roman"/>
          <w:lang w:val="hu-HU"/>
        </w:rPr>
        <w:t>A klinikai vizsgálatok során az adalimumab alkalmazásával összefüggő súlyos allergiás reakciók ritkán fordultak elő. Nem súlyos allergiás reakciók nem gyakran fordultak elő az adalimumabbal végzett klinikai vizsgálatok során. Az adalimumab alkalmazását követően jelentettek súlyos allergiás reakciót, beleértve az anafilaxiát. Ha anafilaxiás vagy más súlyos allergiás reakció fordul elő a Yuflyma adását azonnal abba kell hagyni, és a megfelelő kezelést kell elkezdeni.</w:t>
      </w:r>
    </w:p>
    <w:p w14:paraId="4D4E4B47" w14:textId="77777777" w:rsidR="00130E8B" w:rsidRDefault="00130E8B">
      <w:pPr>
        <w:spacing w:before="13" w:line="240" w:lineRule="exact"/>
        <w:rPr>
          <w:rFonts w:ascii="Times New Roman" w:hAnsi="Times New Roman" w:cs="Times New Roman"/>
          <w:lang w:val="hu-HU"/>
        </w:rPr>
      </w:pPr>
    </w:p>
    <w:p w14:paraId="4FAACA45" w14:textId="77777777" w:rsidR="00130E8B" w:rsidRDefault="000405CC">
      <w:pPr>
        <w:pStyle w:val="a3"/>
        <w:rPr>
          <w:u w:val="single"/>
          <w:lang w:val="hu-HU"/>
        </w:rPr>
      </w:pPr>
      <w:r>
        <w:rPr>
          <w:rFonts w:eastAsia="Times New Roman"/>
          <w:u w:val="single" w:color="000000"/>
          <w:lang w:val="hu-HU"/>
        </w:rPr>
        <w:t>Immunszuppresszió</w:t>
      </w:r>
    </w:p>
    <w:p w14:paraId="661E8CFC" w14:textId="77777777" w:rsidR="00130E8B" w:rsidRDefault="00130E8B">
      <w:pPr>
        <w:spacing w:before="1" w:line="180" w:lineRule="exact"/>
        <w:rPr>
          <w:rFonts w:ascii="Times New Roman" w:hAnsi="Times New Roman" w:cs="Times New Roman"/>
          <w:lang w:val="hu-HU"/>
        </w:rPr>
      </w:pPr>
    </w:p>
    <w:p w14:paraId="3D138A2C" w14:textId="77777777" w:rsidR="00130E8B" w:rsidRDefault="000405CC">
      <w:pPr>
        <w:pStyle w:val="a3"/>
        <w:rPr>
          <w:lang w:val="hu-HU"/>
        </w:rPr>
      </w:pPr>
      <w:r>
        <w:rPr>
          <w:rFonts w:eastAsia="Times New Roman"/>
          <w:lang w:val="hu-HU"/>
        </w:rPr>
        <w:t>Rheumatoid arthritisben szenvedő, Yuflyma-val kezelt 64 beteg vizsgálata során nem tapasztaltak csökkent késői típusú hyperszenzitivitási reakciót, alacsonyabb immunglobulin szinteket, illetve nem észleltek változást az effektor- T -, B - és NK- sejtek, monocyták/ macrophagok és neutrophilek számában.</w:t>
      </w:r>
    </w:p>
    <w:p w14:paraId="31A87FAB" w14:textId="77777777" w:rsidR="00130E8B" w:rsidRDefault="00130E8B">
      <w:pPr>
        <w:spacing w:before="11" w:line="240" w:lineRule="exact"/>
        <w:rPr>
          <w:rFonts w:ascii="Times New Roman" w:hAnsi="Times New Roman" w:cs="Times New Roman"/>
          <w:lang w:val="hu-HU"/>
        </w:rPr>
      </w:pPr>
    </w:p>
    <w:p w14:paraId="28369A1D" w14:textId="77777777" w:rsidR="00130E8B" w:rsidRDefault="000405CC">
      <w:pPr>
        <w:pStyle w:val="a3"/>
        <w:rPr>
          <w:u w:val="single"/>
          <w:lang w:val="hu-HU"/>
        </w:rPr>
      </w:pPr>
      <w:r>
        <w:rPr>
          <w:rFonts w:eastAsia="Times New Roman"/>
          <w:u w:val="single" w:color="000000"/>
          <w:lang w:val="hu-HU"/>
        </w:rPr>
        <w:t>Malignus és lymphoproliferatív betegségek</w:t>
      </w:r>
    </w:p>
    <w:p w14:paraId="51C31FF4" w14:textId="77777777" w:rsidR="00130E8B" w:rsidRDefault="00130E8B">
      <w:pPr>
        <w:spacing w:before="1" w:line="180" w:lineRule="exact"/>
        <w:rPr>
          <w:rFonts w:ascii="Times New Roman" w:hAnsi="Times New Roman" w:cs="Times New Roman"/>
          <w:lang w:val="hu-HU"/>
        </w:rPr>
      </w:pPr>
    </w:p>
    <w:p w14:paraId="45ADB02D" w14:textId="77777777" w:rsidR="00130E8B" w:rsidRDefault="000405CC">
      <w:pPr>
        <w:pStyle w:val="a3"/>
        <w:rPr>
          <w:lang w:val="hu-HU"/>
        </w:rPr>
      </w:pPr>
      <w:r>
        <w:rPr>
          <w:rFonts w:eastAsia="Times New Roman"/>
          <w:lang w:val="hu-HU"/>
        </w:rPr>
        <w:t>A TNF-gátlókkal végzett klinikai vizsgálatok során a TNF- gátlót kapott betegek körében nagyobb számban észleltek malignomákat, beleértve a lymphomát, mint a kontrollcsoport betegeinél. Ez azonban ritkán fordult elő. Posztmarketing alkalmazás körülményei között TNF-antagonistával kezelt betegek körében leukémiás eseteket jelentettek. A kockázat megítélését nehezíti, hogy a lymphoma és a leukémia háttérkockázata nagyobb olyan rheumatoid arthritisben szenvedő betegeknél, akiknek régóta fennálló, fokozott aktivitású gyulladásos betegségük vanJelenlegi ismereteink szerint a TNF-antagonistákkal kezelt betegeknél a lymphoma, leukaemia vagy más malignus betegségek kialakulásának lehetséges rizikója nem zárható ki</w:t>
      </w:r>
    </w:p>
    <w:p w14:paraId="334C94B3" w14:textId="77777777" w:rsidR="00130E8B" w:rsidRDefault="00130E8B">
      <w:pPr>
        <w:spacing w:before="13" w:line="240" w:lineRule="exact"/>
        <w:rPr>
          <w:rFonts w:ascii="Times New Roman" w:hAnsi="Times New Roman" w:cs="Times New Roman"/>
          <w:lang w:val="hu-HU"/>
        </w:rPr>
      </w:pPr>
    </w:p>
    <w:p w14:paraId="1BF17584" w14:textId="11EEB2F3" w:rsidR="00130E8B" w:rsidRDefault="000405CC">
      <w:pPr>
        <w:pStyle w:val="a3"/>
        <w:rPr>
          <w:lang w:val="hu-HU"/>
        </w:rPr>
      </w:pPr>
      <w:r>
        <w:rPr>
          <w:rFonts w:eastAsia="Times New Roman"/>
          <w:lang w:val="hu-HU"/>
        </w:rPr>
        <w:t>A forgalomba hozatalt követő megfigyelés során a TNF-blokkoló szerekkel, köztük az adalimumabbal kezelt (a kezelés megkezdése ≤ 18 éves életkor</w:t>
      </w:r>
      <w:r w:rsidR="00435392">
        <w:rPr>
          <w:rFonts w:eastAsia="Times New Roman"/>
          <w:lang w:val="hu-HU"/>
        </w:rPr>
        <w:t xml:space="preserve">) </w:t>
      </w:r>
      <w:r>
        <w:rPr>
          <w:rFonts w:eastAsia="Times New Roman"/>
          <w:lang w:val="hu-HU"/>
        </w:rPr>
        <w:t>gyermekeknél, serdülőknél és fiatal felnőtteknél (22 éves korig) malignitásokról számoltak be, melyek némelyike végzetes kimenetelű volt. Az esetek mintegy fele lymphoma volt. A többi eset sokféle különböző malignitás volt, köztük ritka malignitások is, amelyek rendszerint immunszuppresszióhoz társultak. A TNF-blokkolókkal kezelt gyermekeknél és serdülőknél a malignitások kialakulásának kockázata nem zárható ki.</w:t>
      </w:r>
    </w:p>
    <w:p w14:paraId="1935FE4E" w14:textId="77777777" w:rsidR="00130E8B" w:rsidRDefault="00130E8B">
      <w:pPr>
        <w:spacing w:before="11" w:line="240" w:lineRule="exact"/>
        <w:rPr>
          <w:rFonts w:ascii="Times New Roman" w:hAnsi="Times New Roman" w:cs="Times New Roman"/>
          <w:lang w:val="hu-HU"/>
        </w:rPr>
      </w:pPr>
    </w:p>
    <w:p w14:paraId="4769B666" w14:textId="77777777" w:rsidR="00130E8B" w:rsidRDefault="000405CC">
      <w:pPr>
        <w:pStyle w:val="a3"/>
        <w:rPr>
          <w:lang w:val="hu-HU"/>
        </w:rPr>
      </w:pPr>
      <w:r>
        <w:rPr>
          <w:rFonts w:eastAsia="Times New Roman"/>
          <w:lang w:val="hu-HU"/>
        </w:rPr>
        <w:t>Adalimumabbal kezelt betegeknél a forgalomba hozatalt követően ritkán hepatosplenikus T- sejtes lymphoma eseteket észleltek. A T- sejtes lymphoma e ritkán előforduló típusa nagyon agresszív lefolyású és rendszerint halálos kimenetelű. A kezelés során észlelt hepatosplenikus T- sejtes lymphoma esetek némelyike olyan fiatal felnőtt betegeknél fordult elő, akiket Crohn- betegség ellen egyidejűleg azatioprinnel, illetve 6- merkaptopurinnal kezeltek. Az azatioprin vagy a 6-merkaptopurin Yuflyma-val történő egyidejű adásának lehetséges kockázatát alaposan mérlegelni kell. A hepatosplenicus T-sejtes lymphoma kialakulása nem zárható ki a Yuflyma-val kezelt betegeknél (lásd 4.8 pont).</w:t>
      </w:r>
    </w:p>
    <w:p w14:paraId="3D874C82" w14:textId="77777777" w:rsidR="00130E8B" w:rsidRDefault="00130E8B">
      <w:pPr>
        <w:spacing w:before="11" w:line="240" w:lineRule="exact"/>
        <w:rPr>
          <w:rFonts w:ascii="Times New Roman" w:hAnsi="Times New Roman" w:cs="Times New Roman"/>
          <w:lang w:val="hu-HU"/>
        </w:rPr>
      </w:pPr>
    </w:p>
    <w:p w14:paraId="0A8EEED2" w14:textId="77777777" w:rsidR="00130E8B" w:rsidRDefault="000405CC">
      <w:pPr>
        <w:pStyle w:val="a3"/>
        <w:rPr>
          <w:lang w:val="hu-HU"/>
        </w:rPr>
      </w:pPr>
      <w:r>
        <w:rPr>
          <w:rFonts w:eastAsia="Times New Roman"/>
          <w:lang w:val="hu-HU"/>
        </w:rPr>
        <w:t>Ezidáig nem végeztek vizsgálatokat olyan betegek bevonásával, akik kórtörténetében malignitás szerepelt, vagy akiknél az adalimumab kezelést malignitás kialakulását követően is folytatták. Ezért ezen betegek Yuflyma -kezelésbe való bevonásának mérlegelésekor fokozott elővigyázatosság szükséges (lásd 4. 8 pont).</w:t>
      </w:r>
    </w:p>
    <w:p w14:paraId="286CAEBB" w14:textId="77777777" w:rsidR="00130E8B" w:rsidRDefault="00130E8B">
      <w:pPr>
        <w:spacing w:before="13" w:line="240" w:lineRule="exact"/>
        <w:rPr>
          <w:rFonts w:ascii="Times New Roman" w:hAnsi="Times New Roman" w:cs="Times New Roman"/>
          <w:lang w:val="hu-HU"/>
        </w:rPr>
      </w:pPr>
    </w:p>
    <w:p w14:paraId="6C77F780" w14:textId="77777777" w:rsidR="00130E8B" w:rsidRDefault="000405CC">
      <w:pPr>
        <w:pStyle w:val="a3"/>
        <w:rPr>
          <w:lang w:val="hu-HU"/>
        </w:rPr>
      </w:pPr>
      <w:r>
        <w:rPr>
          <w:rFonts w:eastAsia="Times New Roman"/>
          <w:lang w:val="hu-HU"/>
        </w:rPr>
        <w:t>Minden betegnél, de főként azoknál, akiknek az anamnézisében extenzív immunszuppresszív kezelés szerepel, illetve olyan psoriasisos betegeknél, akik PUFA- kezelést kaptak, a Yuflyma- kezelés kezdete előtt és az alatt vizsgálni kell a nem melanomás bőrrák előfordulását. Melanoma és Merkel-sejtes carcinoma előfordulásáról is beszámoltak TNF-antagonistával kezelt betegeknél, beleértve az adalimumabot (lásd 4.8 pont).</w:t>
      </w:r>
    </w:p>
    <w:p w14:paraId="515ED2D9" w14:textId="77777777" w:rsidR="00130E8B" w:rsidRDefault="00130E8B">
      <w:pPr>
        <w:spacing w:before="13" w:line="240" w:lineRule="exact"/>
        <w:rPr>
          <w:rFonts w:ascii="Times New Roman" w:hAnsi="Times New Roman" w:cs="Times New Roman"/>
          <w:lang w:val="hu-HU"/>
        </w:rPr>
      </w:pPr>
    </w:p>
    <w:p w14:paraId="3DCBB7A8" w14:textId="77777777" w:rsidR="00130E8B" w:rsidRDefault="000405CC">
      <w:pPr>
        <w:pStyle w:val="a3"/>
        <w:rPr>
          <w:lang w:val="hu-HU"/>
        </w:rPr>
      </w:pPr>
      <w:r>
        <w:rPr>
          <w:rFonts w:eastAsia="Times New Roman"/>
          <w:lang w:val="hu-HU"/>
        </w:rPr>
        <w:t>Egy másik TNF-antagonista, az infliximab hatásait közepesen súlyos-</w:t>
      </w:r>
      <w:r w:rsidR="00357CEF" w:rsidRPr="009167C6">
        <w:rPr>
          <w:lang w:val="hu-HU"/>
        </w:rPr>
        <w:t> </w:t>
      </w:r>
      <w:r w:rsidR="00357CEF">
        <w:rPr>
          <w:rFonts w:eastAsia="Times New Roman"/>
          <w:lang w:val="hu-HU"/>
        </w:rPr>
        <w:t xml:space="preserve"> </w:t>
      </w:r>
      <w:r>
        <w:rPr>
          <w:rFonts w:eastAsia="Times New Roman"/>
          <w:lang w:val="hu-HU"/>
        </w:rPr>
        <w:t xml:space="preserve">súlyos idült obstruktív tüdőbetegségben (COPD) értékelték egy feltáró klinikai vizsgálattal. Az infliximabbal kezelt betegeken több rosszindulatú (javarészt tüdő-, fej-, vagy nyaki) daganatot észleltek, mint a kontrollcsoportban. A kórelőzmény alapján mindegyik beteg erős dohányos volt. Ennélfogva, COPD- ban 7 szenvedő, valamint az erős dohányzás miatt rosszindulatú daganat kialakulása szempontjából fokozottan veszélyeztetett betegeken </w:t>
      </w:r>
      <w:r>
        <w:rPr>
          <w:rFonts w:eastAsia="Times New Roman"/>
          <w:lang w:val="hu-HU"/>
        </w:rPr>
        <w:lastRenderedPageBreak/>
        <w:t>körültekintően kell alkalmazni a TNF- antagonistákat.</w:t>
      </w:r>
    </w:p>
    <w:p w14:paraId="4B51864A" w14:textId="77777777" w:rsidR="00130E8B" w:rsidRDefault="00130E8B">
      <w:pPr>
        <w:spacing w:before="11" w:line="240" w:lineRule="exact"/>
        <w:rPr>
          <w:rFonts w:ascii="Times New Roman" w:hAnsi="Times New Roman" w:cs="Times New Roman"/>
          <w:lang w:val="hu-HU"/>
        </w:rPr>
      </w:pPr>
    </w:p>
    <w:p w14:paraId="1199B20E" w14:textId="0D53D28C" w:rsidR="00130E8B" w:rsidRDefault="000405CC">
      <w:pPr>
        <w:pStyle w:val="a3"/>
        <w:rPr>
          <w:lang w:val="hu-HU"/>
        </w:rPr>
      </w:pPr>
      <w:r>
        <w:rPr>
          <w:rFonts w:eastAsia="Times New Roman"/>
          <w:lang w:val="hu-HU"/>
        </w:rPr>
        <w:t>A jelenleg rendelkezésre álló adatok alapján nem ismert, hogy az adalimumab-kezelés befolyásolja-e a dysplasia vagy a vastagbélrák kialakulásának veszélyét (lásd 4. 8 pont) . A kezelés megkezdése előtt és a betegség teljes lefolyása alatt azokat a colitis ulcerosában szenvedő betegeket, akiknél dysplasia vagy vastagbélrák kialakulásának fokozott kockázata áll fenn (</w:t>
      </w:r>
      <w:r w:rsidR="00E712D7">
        <w:rPr>
          <w:rFonts w:eastAsia="Times New Roman"/>
          <w:lang w:val="hu-HU"/>
        </w:rPr>
        <w:t>például</w:t>
      </w:r>
      <w:r>
        <w:rPr>
          <w:rFonts w:eastAsia="Times New Roman"/>
          <w:lang w:val="hu-HU"/>
        </w:rPr>
        <w:t xml:space="preserve"> hosszan fennálló colitis ulcerosában vagy primer cholangitis sclerotisansban szenvedő betegeknél) vagy akiknek az anamnézisében dysplasia vagy vastagbélrák szerepel, rendszeresen szűrni kell dysplasia irányában. A szűrővizsgálat során kolonoszkópiát és szövettani mintavételt is kell végezni a helyi ajánlásoknak megfelelően.</w:t>
      </w:r>
    </w:p>
    <w:p w14:paraId="50508F83" w14:textId="77777777" w:rsidR="00130E8B" w:rsidRDefault="00130E8B">
      <w:pPr>
        <w:spacing w:before="13" w:line="240" w:lineRule="exact"/>
        <w:rPr>
          <w:rFonts w:ascii="Times New Roman" w:hAnsi="Times New Roman" w:cs="Times New Roman"/>
          <w:lang w:val="hu-HU"/>
        </w:rPr>
      </w:pPr>
    </w:p>
    <w:p w14:paraId="3D9E78EB" w14:textId="77777777" w:rsidR="00130E8B" w:rsidRDefault="000405CC">
      <w:pPr>
        <w:pStyle w:val="a3"/>
        <w:rPr>
          <w:u w:val="single"/>
          <w:lang w:val="hu-HU"/>
        </w:rPr>
      </w:pPr>
      <w:r>
        <w:rPr>
          <w:rFonts w:eastAsia="Times New Roman"/>
          <w:u w:val="single" w:color="000000"/>
          <w:lang w:val="hu-HU"/>
        </w:rPr>
        <w:t>Hematológiai reakciók</w:t>
      </w:r>
    </w:p>
    <w:p w14:paraId="0391B188" w14:textId="77777777" w:rsidR="00130E8B" w:rsidRDefault="00130E8B">
      <w:pPr>
        <w:spacing w:before="1" w:line="180" w:lineRule="exact"/>
        <w:rPr>
          <w:rFonts w:ascii="Times New Roman" w:hAnsi="Times New Roman" w:cs="Times New Roman"/>
          <w:lang w:val="hu-HU"/>
        </w:rPr>
      </w:pPr>
    </w:p>
    <w:p w14:paraId="07545FF0" w14:textId="17DF0792" w:rsidR="00130E8B" w:rsidRDefault="000405CC">
      <w:pPr>
        <w:pStyle w:val="a3"/>
        <w:rPr>
          <w:lang w:val="hu-HU"/>
        </w:rPr>
      </w:pPr>
      <w:r>
        <w:rPr>
          <w:rFonts w:eastAsia="Times New Roman"/>
          <w:lang w:val="hu-HU"/>
        </w:rPr>
        <w:t>TNF-antagonista szerek használata kapcsán ritkán pancytopeniáról számoltak be, beleértve az aplasticus anaemiát is. Az adalimumab kapcsán hematológiai mellékhatásokról, köztük klinikailag jelentős cytopeniáról (</w:t>
      </w:r>
      <w:r w:rsidR="00E712D7">
        <w:rPr>
          <w:rFonts w:eastAsia="Times New Roman"/>
          <w:lang w:val="hu-HU"/>
        </w:rPr>
        <w:t>például</w:t>
      </w:r>
      <w:r>
        <w:rPr>
          <w:rFonts w:eastAsia="Times New Roman"/>
          <w:lang w:val="hu-HU"/>
        </w:rPr>
        <w:t xml:space="preserve"> thrombocytopenia, leukopenia) számoltak be. Minden betegnél javasolt az azonnali orvosi felügyelet, amennyiben Yuflyma- kezelés alatt a vérképváltozásra utaló jelek és tünetek jelentkeznek (</w:t>
      </w:r>
      <w:r w:rsidR="00E712D7">
        <w:rPr>
          <w:rFonts w:eastAsia="Times New Roman"/>
          <w:lang w:val="hu-HU"/>
        </w:rPr>
        <w:t>például</w:t>
      </w:r>
      <w:r>
        <w:rPr>
          <w:rFonts w:eastAsia="Times New Roman"/>
          <w:lang w:val="hu-HU"/>
        </w:rPr>
        <w:t xml:space="preserve"> állandósult láz, véraláfutások, vérzés, sápadtság). A Yuflyma-kezelés megszakítását fontolóra kell venni, ha a betegnél igazolt, jelentős hematológiai eltérések vannak.</w:t>
      </w:r>
    </w:p>
    <w:p w14:paraId="4AF13023" w14:textId="77777777" w:rsidR="00130E8B" w:rsidRDefault="00130E8B">
      <w:pPr>
        <w:pStyle w:val="a3"/>
        <w:rPr>
          <w:lang w:val="hu-HU"/>
        </w:rPr>
      </w:pPr>
    </w:p>
    <w:p w14:paraId="21D0802A" w14:textId="77777777" w:rsidR="00130E8B" w:rsidRDefault="000405CC">
      <w:pPr>
        <w:pStyle w:val="a3"/>
        <w:rPr>
          <w:u w:val="single"/>
          <w:lang w:val="hu-HU"/>
        </w:rPr>
      </w:pPr>
      <w:r>
        <w:rPr>
          <w:rFonts w:eastAsia="Times New Roman"/>
          <w:u w:val="single" w:color="000000"/>
          <w:lang w:val="hu-HU"/>
        </w:rPr>
        <w:t>Védőoltások</w:t>
      </w:r>
    </w:p>
    <w:p w14:paraId="56D18FBE" w14:textId="77777777" w:rsidR="00130E8B" w:rsidRDefault="00130E8B">
      <w:pPr>
        <w:spacing w:before="1" w:line="180" w:lineRule="exact"/>
        <w:rPr>
          <w:rFonts w:ascii="Times New Roman" w:hAnsi="Times New Roman" w:cs="Times New Roman"/>
          <w:lang w:val="hu-HU"/>
        </w:rPr>
      </w:pPr>
    </w:p>
    <w:p w14:paraId="4084469D" w14:textId="77777777" w:rsidR="00130E8B" w:rsidRDefault="000405CC">
      <w:pPr>
        <w:pStyle w:val="a3"/>
        <w:rPr>
          <w:lang w:val="hu-HU"/>
        </w:rPr>
      </w:pPr>
      <w:r>
        <w:rPr>
          <w:rFonts w:eastAsia="Times New Roman"/>
          <w:lang w:val="hu-HU"/>
        </w:rPr>
        <w:t>Egy vizsgálat 226 rheumatoid arthritises, adalimumabbal vagy placebóval kezelt résztvevőjén hasonló antitest- választ figyeltek meg a Pneumococcus 23 szerotípusát tartalmazó standard oltóanyaggal, valamint a trivalens influenza vírus vakcinával szemben. Nincs adat arról, hogy az adalimumabbal kezelt betegek élő kórokozót tartalmazó vakcinával végzett védőoltása esetén bekövetkezhet- e a fertőzés másodlagos transzmissziója.</w:t>
      </w:r>
    </w:p>
    <w:p w14:paraId="2D95BFAA" w14:textId="77777777" w:rsidR="00130E8B" w:rsidRDefault="00130E8B">
      <w:pPr>
        <w:spacing w:before="17" w:line="240" w:lineRule="exact"/>
        <w:rPr>
          <w:rFonts w:ascii="Times New Roman" w:hAnsi="Times New Roman" w:cs="Times New Roman"/>
          <w:lang w:val="hu-HU"/>
        </w:rPr>
      </w:pPr>
    </w:p>
    <w:p w14:paraId="64E6B34C" w14:textId="77777777" w:rsidR="00130E8B" w:rsidRDefault="000405CC">
      <w:pPr>
        <w:pStyle w:val="a3"/>
        <w:rPr>
          <w:lang w:val="hu-HU"/>
        </w:rPr>
      </w:pPr>
      <w:r>
        <w:rPr>
          <w:rFonts w:eastAsia="Times New Roman"/>
          <w:spacing w:val="-4"/>
          <w:lang w:val="hu-HU"/>
        </w:rPr>
        <w:t>Ajánlott, hogy – ha lehetséges – a gyermekeknél és serdülőknél a Yuflyma-kezelés megkezdése előtt adjanak be minden védőoltást a hatályos védőoltási irányelvek alapján</w:t>
      </w:r>
    </w:p>
    <w:p w14:paraId="017962F3" w14:textId="77777777" w:rsidR="00130E8B" w:rsidRDefault="00130E8B">
      <w:pPr>
        <w:spacing w:before="11" w:line="240" w:lineRule="exact"/>
        <w:rPr>
          <w:rFonts w:ascii="Times New Roman" w:hAnsi="Times New Roman" w:cs="Times New Roman"/>
          <w:lang w:val="hu-HU"/>
        </w:rPr>
      </w:pPr>
    </w:p>
    <w:p w14:paraId="28D5ACD1" w14:textId="62322F66" w:rsidR="00130E8B" w:rsidRDefault="000405CC">
      <w:pPr>
        <w:pStyle w:val="a3"/>
        <w:rPr>
          <w:lang w:val="hu-HU"/>
        </w:rPr>
      </w:pPr>
      <w:r>
        <w:rPr>
          <w:rFonts w:eastAsia="Times New Roman"/>
          <w:lang w:val="hu-HU"/>
        </w:rPr>
        <w:t>A Yuflyma-val kezelt betegeknek – élő kórokozót tartalmazó vakcinák kivételével – adható egyidejűleg védőoltás. Az anya terhesség alatti utolsó adalimumab-injekciójától számított 5 hónapig nem javasolt az olyan csecsemők élő kórokozót tartalmazó vakcinával (</w:t>
      </w:r>
      <w:r w:rsidR="00E712D7">
        <w:rPr>
          <w:rFonts w:eastAsia="Times New Roman"/>
          <w:lang w:val="hu-HU"/>
        </w:rPr>
        <w:t>például</w:t>
      </w:r>
      <w:r>
        <w:rPr>
          <w:rFonts w:eastAsia="Times New Roman"/>
          <w:lang w:val="hu-HU"/>
        </w:rPr>
        <w:t xml:space="preserve"> BCG-vakcinával) való oltása, akik in utero adalimumab hatásának voltak kitéve.</w:t>
      </w:r>
    </w:p>
    <w:p w14:paraId="28538BAB" w14:textId="77777777" w:rsidR="00130E8B" w:rsidRDefault="00130E8B">
      <w:pPr>
        <w:spacing w:before="13" w:line="240" w:lineRule="exact"/>
        <w:rPr>
          <w:rFonts w:ascii="Times New Roman" w:hAnsi="Times New Roman" w:cs="Times New Roman"/>
          <w:lang w:val="hu-HU"/>
        </w:rPr>
      </w:pPr>
    </w:p>
    <w:p w14:paraId="2821F7E0" w14:textId="77777777" w:rsidR="00130E8B" w:rsidRDefault="000405CC">
      <w:pPr>
        <w:pStyle w:val="a3"/>
        <w:rPr>
          <w:u w:val="single"/>
          <w:lang w:val="hu-HU"/>
        </w:rPr>
      </w:pPr>
      <w:r>
        <w:rPr>
          <w:rFonts w:eastAsia="Times New Roman"/>
          <w:u w:val="single" w:color="000000"/>
          <w:lang w:val="hu-HU"/>
        </w:rPr>
        <w:t>Pangásos szívelégtelenség</w:t>
      </w:r>
    </w:p>
    <w:p w14:paraId="3A2F18EA" w14:textId="77777777" w:rsidR="00130E8B" w:rsidRDefault="00130E8B">
      <w:pPr>
        <w:spacing w:before="1" w:line="180" w:lineRule="exact"/>
        <w:rPr>
          <w:rFonts w:ascii="Times New Roman" w:hAnsi="Times New Roman" w:cs="Times New Roman"/>
          <w:lang w:val="hu-HU"/>
        </w:rPr>
      </w:pPr>
    </w:p>
    <w:p w14:paraId="3BDBA49C" w14:textId="4EC5642A" w:rsidR="00130E8B" w:rsidRDefault="000405CC">
      <w:pPr>
        <w:pStyle w:val="a3"/>
        <w:rPr>
          <w:lang w:val="hu-HU"/>
        </w:rPr>
      </w:pPr>
      <w:r>
        <w:rPr>
          <w:rFonts w:eastAsia="Times New Roman"/>
          <w:lang w:val="hu-HU"/>
        </w:rPr>
        <w:t xml:space="preserve">Egy másik TNF - antagonistával végzett klinikai vizsgálat során a pangásos szívelégtelenség súlyosbodását illetve a pangásos szívelégtelenséggel összefüggésben levő halálesetek számának növekedését tapasztalták. A pangásos szívelégtelenség súlyosbodásáról szintén beszámoltak az adalimumabbal kezelt betegeknél. A Yuflyma-t csak fokozott óvatossággal szabad használni enyhe szívelégtelenségben (NYHA I/ II) szenvedők kezelésére. A Yuflyma kontraindikált a </w:t>
      </w:r>
      <w:r w:rsidR="006B359A">
        <w:rPr>
          <w:rFonts w:eastAsia="Times New Roman"/>
          <w:lang w:val="hu-HU"/>
        </w:rPr>
        <w:t>közepesen súlyos-</w:t>
      </w:r>
      <w:r w:rsidR="00357CEF" w:rsidRPr="009167C6">
        <w:rPr>
          <w:lang w:val="hu-HU"/>
        </w:rPr>
        <w:t> </w:t>
      </w:r>
      <w:r w:rsidR="00357CEF">
        <w:rPr>
          <w:rFonts w:eastAsia="Times New Roman"/>
          <w:lang w:val="hu-HU"/>
        </w:rPr>
        <w:t xml:space="preserve"> </w:t>
      </w:r>
      <w:r w:rsidR="00E50727">
        <w:rPr>
          <w:rFonts w:eastAsia="Times New Roman"/>
          <w:lang w:val="hu-HU"/>
        </w:rPr>
        <w:t>súlyos</w:t>
      </w:r>
      <w:r w:rsidR="00E50727" w:rsidDel="00E50727">
        <w:rPr>
          <w:rFonts w:eastAsia="Times New Roman"/>
          <w:lang w:val="hu-HU"/>
        </w:rPr>
        <w:t xml:space="preserve"> </w:t>
      </w:r>
      <w:r>
        <w:rPr>
          <w:rFonts w:eastAsia="Times New Roman"/>
          <w:lang w:val="hu-HU"/>
        </w:rPr>
        <w:t>szívelégtelenség eseteiben (lásd 4. 3 pont). A Yuflyma- kezelést fel kell függeszteni minden olyan beteg esetében, akinél a pangásos szívelégtelenség rosszabbodása, illetve új tünet megjelenése tapasztalható.</w:t>
      </w:r>
    </w:p>
    <w:p w14:paraId="7446BD80" w14:textId="77777777" w:rsidR="00130E8B" w:rsidRDefault="00130E8B">
      <w:pPr>
        <w:spacing w:before="13" w:line="240" w:lineRule="exact"/>
        <w:rPr>
          <w:rFonts w:ascii="Times New Roman" w:hAnsi="Times New Roman" w:cs="Times New Roman"/>
          <w:lang w:val="hu-HU"/>
        </w:rPr>
      </w:pPr>
    </w:p>
    <w:p w14:paraId="58E0C69E" w14:textId="77777777" w:rsidR="00130E8B" w:rsidRDefault="000405CC">
      <w:pPr>
        <w:pStyle w:val="a3"/>
        <w:rPr>
          <w:u w:val="single"/>
          <w:lang w:val="hu-HU"/>
        </w:rPr>
      </w:pPr>
      <w:r>
        <w:rPr>
          <w:rFonts w:eastAsia="Times New Roman"/>
          <w:u w:val="single" w:color="000000"/>
          <w:lang w:val="hu-HU"/>
        </w:rPr>
        <w:t>Autoimmun folyamatok</w:t>
      </w:r>
    </w:p>
    <w:p w14:paraId="423083A0" w14:textId="77777777" w:rsidR="00130E8B" w:rsidRDefault="00130E8B">
      <w:pPr>
        <w:spacing w:before="9" w:line="170" w:lineRule="exact"/>
        <w:rPr>
          <w:rFonts w:ascii="Times New Roman" w:hAnsi="Times New Roman" w:cs="Times New Roman"/>
          <w:lang w:val="hu-HU"/>
        </w:rPr>
      </w:pPr>
    </w:p>
    <w:p w14:paraId="5A365E00" w14:textId="77777777" w:rsidR="00130E8B" w:rsidRDefault="000405CC">
      <w:pPr>
        <w:pStyle w:val="a3"/>
        <w:rPr>
          <w:lang w:val="hu-HU"/>
        </w:rPr>
      </w:pPr>
      <w:r>
        <w:rPr>
          <w:rFonts w:eastAsia="Times New Roman"/>
          <w:lang w:val="hu-HU"/>
        </w:rPr>
        <w:t>A Yuflyma- val való kezelés során autoantitestek képződése előfordulhat. Az adalimumab hosszútávú hatása az autoimmun betegségek kialakulására nem ismert. Ha a Yuflyma alkalmazása után lupus-szerű szindrómára utaló tünetek jelentkeznek, továbbá kettős szálú DNS elleni antitestek jelennek meg, akkor nem szabad folytatni a Yuflyma adását (lásd 4. 8 pont).</w:t>
      </w:r>
    </w:p>
    <w:p w14:paraId="72C10DC6" w14:textId="77777777" w:rsidR="00130E8B" w:rsidRDefault="00130E8B">
      <w:pPr>
        <w:spacing w:before="13" w:line="240" w:lineRule="exact"/>
        <w:rPr>
          <w:rFonts w:ascii="Times New Roman" w:hAnsi="Times New Roman" w:cs="Times New Roman"/>
          <w:u w:val="single"/>
          <w:lang w:val="hu-HU"/>
        </w:rPr>
      </w:pPr>
    </w:p>
    <w:p w14:paraId="733A54B8" w14:textId="77777777" w:rsidR="00130E8B" w:rsidRDefault="000405CC">
      <w:pPr>
        <w:pStyle w:val="a3"/>
        <w:rPr>
          <w:u w:val="single"/>
          <w:lang w:val="hu-HU"/>
        </w:rPr>
      </w:pPr>
      <w:r>
        <w:rPr>
          <w:rFonts w:eastAsia="Times New Roman"/>
          <w:u w:val="single" w:color="000000"/>
          <w:lang w:val="hu-HU"/>
        </w:rPr>
        <w:t>Biológiai reumaellenes betegségmódosító gyógyszerek (DMARD-ok) vagy TNF-antagonisták együttadása</w:t>
      </w:r>
    </w:p>
    <w:p w14:paraId="1FD11759" w14:textId="77777777" w:rsidR="00130E8B" w:rsidRDefault="00130E8B">
      <w:pPr>
        <w:spacing w:before="1" w:line="180" w:lineRule="exact"/>
        <w:rPr>
          <w:rFonts w:ascii="Times New Roman" w:hAnsi="Times New Roman" w:cs="Times New Roman"/>
          <w:lang w:val="hu-HU"/>
        </w:rPr>
      </w:pPr>
    </w:p>
    <w:p w14:paraId="33797897" w14:textId="77777777" w:rsidR="00130E8B" w:rsidRDefault="000405CC">
      <w:pPr>
        <w:pStyle w:val="a3"/>
        <w:rPr>
          <w:lang w:val="hu-HU"/>
        </w:rPr>
      </w:pPr>
      <w:r>
        <w:rPr>
          <w:rFonts w:eastAsia="Times New Roman"/>
          <w:lang w:val="hu-HU"/>
        </w:rPr>
        <w:t>Klinikai vizsgálatokban súlyos fertőzéseket tapasztaltak előnyösebb klinikai hatás nélkül anakinra és egy másik</w:t>
      </w:r>
    </w:p>
    <w:p w14:paraId="561408BA" w14:textId="77777777" w:rsidR="00130E8B" w:rsidRDefault="000405CC">
      <w:pPr>
        <w:pStyle w:val="a3"/>
        <w:rPr>
          <w:lang w:val="hu-HU"/>
        </w:rPr>
      </w:pPr>
      <w:r>
        <w:rPr>
          <w:rFonts w:eastAsia="Times New Roman"/>
          <w:lang w:val="hu-HU"/>
        </w:rPr>
        <w:lastRenderedPageBreak/>
        <w:t>TNF-antagonista, az etanercept együttes adásakor, amennyiben a kombinált kezelés hatását az önmagában adagolt etanercept hatásával hasonlították össze. Az etanercept és anakinra kombinációs kezelésnél észlelt mellékhatások természete miatt hasonló toxicitás várható az anakinra és más TNF- antagonista kombinációnál is. Ezért az adalimumab és anakinra kombinációjának alkalmazása nem javasolt (lásd 4.5 pont).</w:t>
      </w:r>
    </w:p>
    <w:p w14:paraId="599FB989" w14:textId="77777777" w:rsidR="00130E8B" w:rsidRDefault="00130E8B">
      <w:pPr>
        <w:spacing w:before="14" w:line="240" w:lineRule="exact"/>
        <w:rPr>
          <w:rFonts w:ascii="Times New Roman" w:hAnsi="Times New Roman" w:cs="Times New Roman"/>
          <w:lang w:val="hu-HU"/>
        </w:rPr>
      </w:pPr>
    </w:p>
    <w:p w14:paraId="5F9DA12C" w14:textId="05A07FB2" w:rsidR="00130E8B" w:rsidRDefault="000405CC">
      <w:pPr>
        <w:pStyle w:val="a3"/>
        <w:rPr>
          <w:lang w:val="hu-HU"/>
        </w:rPr>
      </w:pPr>
      <w:r>
        <w:rPr>
          <w:rFonts w:eastAsia="Times New Roman"/>
          <w:lang w:val="hu-HU"/>
        </w:rPr>
        <w:t>Az adalimumab és egyéb biológiai betegségmódosító reumaellenes gyógyszerek (</w:t>
      </w:r>
      <w:r w:rsidR="00E712D7">
        <w:rPr>
          <w:rFonts w:eastAsia="Times New Roman"/>
          <w:lang w:val="hu-HU"/>
        </w:rPr>
        <w:t>például</w:t>
      </w:r>
      <w:r>
        <w:rPr>
          <w:rFonts w:eastAsia="Times New Roman"/>
          <w:lang w:val="hu-HU"/>
        </w:rPr>
        <w:t xml:space="preserve"> anakinra és abatacept) vagy egyéb TNF-antagonisták egyidejű alkalmazása nem javasolt a fertőzések – köztük súlyos fertőzések – lehetséges fokozott kockázata és egyéb potenciális gyógyszerkölcsönhatások miatt. (lásd 4.5 pont).</w:t>
      </w:r>
    </w:p>
    <w:p w14:paraId="3D3CFE1C" w14:textId="77777777" w:rsidR="00130E8B" w:rsidRDefault="00130E8B">
      <w:pPr>
        <w:spacing w:before="13" w:line="240" w:lineRule="exact"/>
        <w:rPr>
          <w:rFonts w:ascii="Times New Roman" w:hAnsi="Times New Roman" w:cs="Times New Roman"/>
          <w:lang w:val="hu-HU"/>
        </w:rPr>
      </w:pPr>
    </w:p>
    <w:p w14:paraId="67ED4BF1" w14:textId="77777777" w:rsidR="00130E8B" w:rsidRDefault="000405CC">
      <w:pPr>
        <w:pStyle w:val="a3"/>
        <w:rPr>
          <w:u w:val="single"/>
          <w:lang w:val="hu-HU"/>
        </w:rPr>
      </w:pPr>
      <w:r>
        <w:rPr>
          <w:rFonts w:eastAsia="Times New Roman"/>
          <w:u w:val="single" w:color="000000"/>
          <w:lang w:val="hu-HU"/>
        </w:rPr>
        <w:t>Sebészet</w:t>
      </w:r>
    </w:p>
    <w:p w14:paraId="1587393D" w14:textId="77777777" w:rsidR="00130E8B" w:rsidRDefault="00130E8B">
      <w:pPr>
        <w:spacing w:before="1" w:line="180" w:lineRule="exact"/>
        <w:rPr>
          <w:rFonts w:ascii="Times New Roman" w:hAnsi="Times New Roman" w:cs="Times New Roman"/>
          <w:lang w:val="hu-HU"/>
        </w:rPr>
      </w:pPr>
    </w:p>
    <w:p w14:paraId="7FABA715" w14:textId="77777777" w:rsidR="00130E8B" w:rsidRDefault="000405CC">
      <w:pPr>
        <w:pStyle w:val="a3"/>
        <w:rPr>
          <w:lang w:val="hu-HU"/>
        </w:rPr>
      </w:pPr>
      <w:r>
        <w:rPr>
          <w:rFonts w:eastAsia="Times New Roman"/>
          <w:lang w:val="hu-HU"/>
        </w:rPr>
        <w:t>Sebészeti beavatkozások során Yuflyma- val kezelt betegek körében biztonságossági tapasztalatok korlátozottan állnak rendelkezésre. Az adalimumab hosszú felezési idejét a tervezett műtéti beavatkozás során figyelembe kell venni. Yuflyma-kezelés alatt műtéti beavatkozást igénylő beteget infekció tekintetében szorosan monitorozni kell és megfelelő módon kell ellátni. A Yuflyma-val kezelt arthroplasztikán áteső betegekkel szerzett biztonságossági tapasztalatok korlátozottak</w:t>
      </w:r>
    </w:p>
    <w:p w14:paraId="7735CD3B" w14:textId="77777777" w:rsidR="00130E8B" w:rsidRDefault="00130E8B">
      <w:pPr>
        <w:pStyle w:val="a3"/>
        <w:rPr>
          <w:u w:color="000000"/>
          <w:lang w:val="hu-HU"/>
        </w:rPr>
      </w:pPr>
    </w:p>
    <w:p w14:paraId="660F5355" w14:textId="77777777" w:rsidR="00130E8B" w:rsidRDefault="000405CC">
      <w:pPr>
        <w:pStyle w:val="a3"/>
        <w:rPr>
          <w:u w:val="single"/>
          <w:lang w:val="hu-HU"/>
        </w:rPr>
      </w:pPr>
      <w:r>
        <w:rPr>
          <w:rFonts w:eastAsia="Times New Roman"/>
          <w:u w:val="single" w:color="000000"/>
          <w:lang w:val="hu-HU"/>
        </w:rPr>
        <w:t>Vékonybél-elzáródás</w:t>
      </w:r>
    </w:p>
    <w:p w14:paraId="74FCCA4E" w14:textId="77777777" w:rsidR="00130E8B" w:rsidRDefault="00130E8B">
      <w:pPr>
        <w:pStyle w:val="a3"/>
        <w:rPr>
          <w:lang w:val="hu-HU"/>
        </w:rPr>
      </w:pPr>
    </w:p>
    <w:p w14:paraId="20E9F7CB" w14:textId="77777777" w:rsidR="00130E8B" w:rsidRDefault="000405CC">
      <w:pPr>
        <w:pStyle w:val="a3"/>
        <w:rPr>
          <w:lang w:val="hu-HU"/>
        </w:rPr>
      </w:pPr>
      <w:r>
        <w:rPr>
          <w:rFonts w:eastAsia="Times New Roman"/>
          <w:lang w:val="hu-HU"/>
        </w:rPr>
        <w:t>A Crohn- betegség miatt végzett kezelés hatástalansága műtéti kezelést igénylő, heges szűkület jelenlétére utalhat. A rendelkezésre álló adatok alapján az adalimumab nem idéz elő bélszűkületet, és nem is súlyosbítja a már kialakult stricturát.</w:t>
      </w:r>
    </w:p>
    <w:p w14:paraId="4AD3D820" w14:textId="77777777" w:rsidR="00130E8B" w:rsidRDefault="00130E8B">
      <w:pPr>
        <w:spacing w:before="13" w:line="240" w:lineRule="exact"/>
        <w:rPr>
          <w:rFonts w:ascii="Times New Roman" w:hAnsi="Times New Roman" w:cs="Times New Roman"/>
          <w:lang w:val="hu-HU"/>
        </w:rPr>
      </w:pPr>
    </w:p>
    <w:p w14:paraId="3C171200" w14:textId="77777777" w:rsidR="00130E8B" w:rsidRDefault="000405CC">
      <w:pPr>
        <w:pStyle w:val="a3"/>
        <w:rPr>
          <w:u w:val="single"/>
          <w:lang w:val="hu-HU"/>
        </w:rPr>
      </w:pPr>
      <w:r>
        <w:rPr>
          <w:rFonts w:eastAsia="Times New Roman"/>
          <w:u w:val="single" w:color="000000"/>
          <w:lang w:val="hu-HU"/>
        </w:rPr>
        <w:t>Idősek</w:t>
      </w:r>
    </w:p>
    <w:p w14:paraId="5C1A63B0" w14:textId="77777777" w:rsidR="00130E8B" w:rsidRDefault="00130E8B">
      <w:pPr>
        <w:spacing w:before="9" w:line="170" w:lineRule="exact"/>
        <w:rPr>
          <w:rFonts w:ascii="Times New Roman" w:hAnsi="Times New Roman" w:cs="Times New Roman"/>
          <w:lang w:val="hu-HU"/>
        </w:rPr>
      </w:pPr>
    </w:p>
    <w:p w14:paraId="7B6F4108" w14:textId="77777777" w:rsidR="00130E8B" w:rsidRDefault="000405CC">
      <w:pPr>
        <w:pStyle w:val="a3"/>
        <w:rPr>
          <w:lang w:val="hu-HU"/>
        </w:rPr>
      </w:pPr>
      <w:r>
        <w:rPr>
          <w:rFonts w:eastAsia="Times New Roman"/>
          <w:lang w:val="hu-HU"/>
        </w:rPr>
        <w:t>Az adalimumabbal kezelt, 65 éves kor feletti betegeknél a súlyos fertőzések gyakorisága magasabb volt (3,7%), mint a 65 évnél fiatalabbaknál (1,5%). Némelyiküknél ez végzetes volt. Idősek kezelésekor különös figyelmet kell fordítani a fertőzés veszélyére.</w:t>
      </w:r>
    </w:p>
    <w:p w14:paraId="761ED7E6" w14:textId="77777777" w:rsidR="00130E8B" w:rsidRDefault="00130E8B">
      <w:pPr>
        <w:spacing w:before="11" w:line="240" w:lineRule="exact"/>
        <w:rPr>
          <w:rFonts w:ascii="Times New Roman" w:hAnsi="Times New Roman" w:cs="Times New Roman"/>
          <w:lang w:val="hu-HU"/>
        </w:rPr>
      </w:pPr>
    </w:p>
    <w:p w14:paraId="184D8679" w14:textId="79167CE1" w:rsidR="00130E8B" w:rsidRDefault="000405CC">
      <w:pPr>
        <w:pStyle w:val="a3"/>
        <w:rPr>
          <w:u w:val="single"/>
          <w:lang w:val="hu-HU"/>
        </w:rPr>
      </w:pPr>
      <w:r>
        <w:rPr>
          <w:rFonts w:eastAsia="Times New Roman"/>
          <w:u w:val="single" w:color="000000"/>
          <w:lang w:val="hu-HU"/>
        </w:rPr>
        <w:t>Gyermek</w:t>
      </w:r>
      <w:r w:rsidR="006B359A">
        <w:rPr>
          <w:rFonts w:eastAsia="Times New Roman"/>
          <w:u w:val="single" w:color="000000"/>
          <w:lang w:val="hu-HU"/>
        </w:rPr>
        <w:t>ek és serdülők</w:t>
      </w:r>
    </w:p>
    <w:p w14:paraId="712C836E" w14:textId="77777777" w:rsidR="00130E8B" w:rsidRDefault="00130E8B">
      <w:pPr>
        <w:spacing w:before="1" w:line="180" w:lineRule="exact"/>
        <w:rPr>
          <w:rFonts w:ascii="Times New Roman" w:hAnsi="Times New Roman" w:cs="Times New Roman"/>
          <w:lang w:val="hu-HU"/>
        </w:rPr>
      </w:pPr>
    </w:p>
    <w:p w14:paraId="53BB0AFF" w14:textId="77777777" w:rsidR="00130E8B" w:rsidRDefault="000405CC">
      <w:pPr>
        <w:pStyle w:val="a3"/>
        <w:rPr>
          <w:lang w:val="hu-HU"/>
        </w:rPr>
      </w:pPr>
      <w:r>
        <w:rPr>
          <w:rFonts w:eastAsia="Times New Roman"/>
          <w:lang w:val="hu-HU"/>
        </w:rPr>
        <w:t>Lásd feljebb a Védőoltások részben.</w:t>
      </w:r>
    </w:p>
    <w:p w14:paraId="49A1B22D" w14:textId="77777777" w:rsidR="00130E8B" w:rsidRDefault="00130E8B">
      <w:pPr>
        <w:pStyle w:val="a3"/>
        <w:rPr>
          <w:lang w:val="hu-HU"/>
        </w:rPr>
      </w:pPr>
    </w:p>
    <w:p w14:paraId="5B3D4482" w14:textId="77777777" w:rsidR="00130E8B" w:rsidRDefault="000405CC">
      <w:pPr>
        <w:pStyle w:val="a3"/>
        <w:rPr>
          <w:u w:val="single"/>
          <w:lang w:val="hu-HU"/>
        </w:rPr>
      </w:pPr>
      <w:r>
        <w:rPr>
          <w:rFonts w:eastAsia="Times New Roman"/>
          <w:u w:val="single" w:color="000000"/>
          <w:lang w:val="hu-HU"/>
        </w:rPr>
        <w:t>Nátriumtartalom</w:t>
      </w:r>
    </w:p>
    <w:p w14:paraId="587A1919" w14:textId="77777777" w:rsidR="00130E8B" w:rsidRDefault="00130E8B">
      <w:pPr>
        <w:pStyle w:val="a3"/>
        <w:rPr>
          <w:lang w:val="hu-HU"/>
        </w:rPr>
      </w:pPr>
    </w:p>
    <w:p w14:paraId="5F21C72C" w14:textId="77777777" w:rsidR="00130E8B" w:rsidRDefault="000405CC">
      <w:pPr>
        <w:pStyle w:val="a3"/>
        <w:rPr>
          <w:lang w:val="hu-HU"/>
        </w:rPr>
      </w:pPr>
      <w:r>
        <w:rPr>
          <w:rFonts w:eastAsia="Times New Roman"/>
          <w:lang w:val="hu-HU"/>
        </w:rPr>
        <w:t>A készítmény kevesebb, mint 1 mmol (23 mg) per 0,4 ml adag nátriumot tartalmaz, azaz gyakorlatilag „nátriummentes”.</w:t>
      </w:r>
    </w:p>
    <w:p w14:paraId="2DE2BCD3" w14:textId="77777777" w:rsidR="00130E8B" w:rsidRDefault="00130E8B">
      <w:pPr>
        <w:spacing w:before="18" w:line="240" w:lineRule="exact"/>
        <w:rPr>
          <w:sz w:val="24"/>
          <w:szCs w:val="24"/>
          <w:lang w:val="hu-HU"/>
        </w:rPr>
      </w:pPr>
    </w:p>
    <w:p w14:paraId="6E72BC52" w14:textId="77777777" w:rsidR="00130E8B" w:rsidRDefault="000405CC">
      <w:pPr>
        <w:widowControl/>
        <w:numPr>
          <w:ilvl w:val="1"/>
          <w:numId w:val="13"/>
        </w:numPr>
        <w:tabs>
          <w:tab w:val="left" w:pos="567"/>
        </w:tabs>
        <w:spacing w:line="260" w:lineRule="exact"/>
        <w:ind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Gyógyszerkölcsönhatások és egyéb interakciók</w:t>
      </w:r>
    </w:p>
    <w:p w14:paraId="42AF958B" w14:textId="77777777" w:rsidR="00130E8B" w:rsidRDefault="00130E8B">
      <w:pPr>
        <w:spacing w:before="9" w:line="240" w:lineRule="exact"/>
        <w:rPr>
          <w:sz w:val="24"/>
          <w:szCs w:val="24"/>
          <w:lang w:val="hu-HU"/>
        </w:rPr>
      </w:pPr>
    </w:p>
    <w:p w14:paraId="6508C3CB" w14:textId="77777777" w:rsidR="00130E8B" w:rsidRDefault="000405CC">
      <w:pPr>
        <w:pStyle w:val="a3"/>
        <w:rPr>
          <w:lang w:val="hu-HU"/>
        </w:rPr>
      </w:pPr>
      <w:r>
        <w:rPr>
          <w:rFonts w:eastAsia="Times New Roman"/>
          <w:lang w:val="hu-HU"/>
        </w:rPr>
        <w:t>Az adalimumabot vizsgálták monoterápiában, illetve metotrexát kombinációban szedő rheumatoid arthritises, polyarticularis juvenilis idiopathiás arthritises, valamint arthritis psoriaticában szenvedő betegek köreiben is. Ha az adalimumabot kombinációban adták metotrexáttal, az antitestképződés alacsonyabb volt, mint monoterápiában. Az adalimumab metotrexát nélküli alkalmazása fokozott antitestképződést, továbbá az adalimumab-clearance fokozódását és a hatásosság csökkenését eredményezte (lásd 5. 1 pont).</w:t>
      </w:r>
    </w:p>
    <w:p w14:paraId="1C4C3BD5" w14:textId="77777777" w:rsidR="00130E8B" w:rsidRDefault="00130E8B">
      <w:pPr>
        <w:spacing w:before="17" w:line="240" w:lineRule="exact"/>
        <w:rPr>
          <w:sz w:val="24"/>
          <w:szCs w:val="24"/>
          <w:lang w:val="hu-HU"/>
        </w:rPr>
      </w:pPr>
    </w:p>
    <w:p w14:paraId="33A0223C" w14:textId="77777777" w:rsidR="00130E8B" w:rsidRDefault="000405CC">
      <w:pPr>
        <w:pStyle w:val="a3"/>
        <w:rPr>
          <w:lang w:val="hu-HU"/>
        </w:rPr>
      </w:pPr>
      <w:r>
        <w:rPr>
          <w:rFonts w:eastAsia="Times New Roman"/>
          <w:lang w:val="hu-HU"/>
        </w:rPr>
        <w:t>Az adalimumab és az anakinra kombinált alkalmazása nem ajánlott (lásd a 4.4 pont „Biológiai reumaellenes betegségmódosító gyógyszerek (DMARD-ok) vagy TNF-antagonisták együttadása” c. fejezetét).</w:t>
      </w:r>
    </w:p>
    <w:p w14:paraId="214E390E" w14:textId="77777777" w:rsidR="00130E8B" w:rsidRDefault="00130E8B">
      <w:pPr>
        <w:spacing w:before="11" w:line="240" w:lineRule="exact"/>
        <w:rPr>
          <w:sz w:val="24"/>
          <w:szCs w:val="24"/>
          <w:lang w:val="hu-HU"/>
        </w:rPr>
      </w:pPr>
    </w:p>
    <w:p w14:paraId="50EF9F15" w14:textId="77777777" w:rsidR="00130E8B" w:rsidRDefault="000405CC">
      <w:pPr>
        <w:pStyle w:val="a3"/>
        <w:rPr>
          <w:lang w:val="hu-HU"/>
        </w:rPr>
      </w:pPr>
      <w:r>
        <w:rPr>
          <w:rFonts w:eastAsia="Times New Roman"/>
          <w:lang w:val="hu-HU"/>
        </w:rPr>
        <w:t>Az adalimumab és az abatacept kombinált alkalmazása nem ajánlott (lásd a 4.4 pont „Biológiai reumaellenes betegségmódosító gyógyszerek (DMARD-ok) vagy TNF-antagonisták együttadása” c. fejezetét).</w:t>
      </w:r>
    </w:p>
    <w:p w14:paraId="13B6D008" w14:textId="77777777" w:rsidR="00130E8B" w:rsidRDefault="00130E8B">
      <w:pPr>
        <w:spacing w:before="14" w:line="240" w:lineRule="exact"/>
        <w:rPr>
          <w:sz w:val="24"/>
          <w:szCs w:val="24"/>
          <w:lang w:val="hu-HU"/>
        </w:rPr>
      </w:pPr>
    </w:p>
    <w:p w14:paraId="2A6F010A" w14:textId="77777777" w:rsidR="00C14860" w:rsidRDefault="00C14860">
      <w:pPr>
        <w:spacing w:before="14" w:line="240" w:lineRule="exact"/>
        <w:rPr>
          <w:sz w:val="24"/>
          <w:szCs w:val="24"/>
          <w:lang w:val="hu-HU"/>
        </w:rPr>
      </w:pPr>
    </w:p>
    <w:p w14:paraId="67578FDB" w14:textId="77777777" w:rsidR="00130E8B" w:rsidRDefault="000405CC">
      <w:pPr>
        <w:widowControl/>
        <w:numPr>
          <w:ilvl w:val="1"/>
          <w:numId w:val="13"/>
        </w:numPr>
        <w:tabs>
          <w:tab w:val="left" w:pos="567"/>
        </w:tabs>
        <w:spacing w:line="260" w:lineRule="exact"/>
        <w:ind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lastRenderedPageBreak/>
        <w:t>Termékenység, terhesség és szoptatás</w:t>
      </w:r>
    </w:p>
    <w:p w14:paraId="2536B34E" w14:textId="77777777" w:rsidR="00130E8B" w:rsidRDefault="00130E8B">
      <w:pPr>
        <w:spacing w:before="9" w:line="240" w:lineRule="exact"/>
        <w:rPr>
          <w:rFonts w:ascii="Times New Roman" w:hAnsi="Times New Roman" w:cs="Times New Roman"/>
          <w:lang w:val="hu-HU"/>
        </w:rPr>
      </w:pPr>
    </w:p>
    <w:p w14:paraId="3E897CA5" w14:textId="77777777" w:rsidR="00130E8B" w:rsidRDefault="000405CC">
      <w:pPr>
        <w:pStyle w:val="a3"/>
        <w:rPr>
          <w:u w:val="single"/>
          <w:lang w:val="hu-HU"/>
        </w:rPr>
      </w:pPr>
      <w:r>
        <w:rPr>
          <w:rFonts w:eastAsia="Times New Roman"/>
          <w:u w:val="single" w:color="000000"/>
          <w:lang w:val="hu-HU"/>
        </w:rPr>
        <w:t>Fogamzóképes korban lévő nők</w:t>
      </w:r>
    </w:p>
    <w:p w14:paraId="3B7FA075" w14:textId="77777777" w:rsidR="00130E8B" w:rsidRDefault="00130E8B">
      <w:pPr>
        <w:spacing w:before="1" w:line="180" w:lineRule="exact"/>
        <w:rPr>
          <w:rFonts w:ascii="Times New Roman" w:hAnsi="Times New Roman" w:cs="Times New Roman"/>
          <w:lang w:val="hu-HU"/>
        </w:rPr>
      </w:pPr>
    </w:p>
    <w:p w14:paraId="2A3B6C2A" w14:textId="77777777" w:rsidR="00130E8B" w:rsidRDefault="000405CC">
      <w:pPr>
        <w:pStyle w:val="a3"/>
        <w:rPr>
          <w:lang w:val="hu-HU"/>
        </w:rPr>
      </w:pPr>
      <w:r>
        <w:rPr>
          <w:rFonts w:eastAsia="Times New Roman"/>
          <w:lang w:val="hu-HU"/>
        </w:rPr>
        <w:t>Fogamzóképes korú nőknek fontolóra kell venniük egy megfelelő fogamzásgátlás alkalmazását, és az alkalmazás folytatását az utolsó Yuflyma-kezelés után legalább öt hónapon keresztül</w:t>
      </w:r>
    </w:p>
    <w:p w14:paraId="44B161EC" w14:textId="77777777" w:rsidR="00130E8B" w:rsidRDefault="00130E8B">
      <w:pPr>
        <w:spacing w:before="11" w:line="240" w:lineRule="exact"/>
        <w:rPr>
          <w:rFonts w:ascii="Times New Roman" w:hAnsi="Times New Roman" w:cs="Times New Roman"/>
          <w:lang w:val="hu-HU"/>
        </w:rPr>
      </w:pPr>
    </w:p>
    <w:p w14:paraId="64066C54" w14:textId="77777777" w:rsidR="00130E8B" w:rsidRDefault="000405CC">
      <w:pPr>
        <w:pStyle w:val="a3"/>
        <w:rPr>
          <w:u w:val="single"/>
          <w:lang w:val="hu-HU"/>
        </w:rPr>
      </w:pPr>
      <w:r>
        <w:rPr>
          <w:rFonts w:eastAsia="Times New Roman"/>
          <w:u w:val="single" w:color="000000"/>
          <w:lang w:val="hu-HU"/>
        </w:rPr>
        <w:t>Terhesség</w:t>
      </w:r>
    </w:p>
    <w:p w14:paraId="6576CB4C" w14:textId="77777777" w:rsidR="00130E8B" w:rsidRDefault="00130E8B">
      <w:pPr>
        <w:spacing w:before="1" w:line="180" w:lineRule="exact"/>
        <w:rPr>
          <w:rFonts w:ascii="Times New Roman" w:hAnsi="Times New Roman" w:cs="Times New Roman"/>
          <w:lang w:val="hu-HU"/>
        </w:rPr>
      </w:pPr>
    </w:p>
    <w:p w14:paraId="19621B52" w14:textId="77777777" w:rsidR="00130E8B" w:rsidRDefault="000405CC">
      <w:pPr>
        <w:pStyle w:val="a3"/>
        <w:rPr>
          <w:lang w:val="hu-HU"/>
        </w:rPr>
      </w:pPr>
      <w:r>
        <w:rPr>
          <w:rFonts w:eastAsia="Times New Roman"/>
          <w:lang w:val="hu-HU"/>
        </w:rPr>
        <w:t>Nagy számú (körülbelül 2100), adalimumab-expozíciónak kitett, ismert kimenetelű, élve születéssel végződő terhesség prospektív módon gyűjtött adatai – beleértve több mint 1500 esetet, mikor az első trimeszterben alkalmazták az adalimumabot – nem igazolták a rendellenességek arányának növekedését az újszülötteknél.</w:t>
      </w:r>
    </w:p>
    <w:p w14:paraId="63BEE42A" w14:textId="77777777" w:rsidR="00130E8B" w:rsidRDefault="00130E8B">
      <w:pPr>
        <w:spacing w:before="13" w:line="240" w:lineRule="exact"/>
        <w:rPr>
          <w:rFonts w:ascii="Times New Roman" w:hAnsi="Times New Roman" w:cs="Times New Roman"/>
          <w:lang w:val="hu-HU"/>
        </w:rPr>
      </w:pPr>
    </w:p>
    <w:p w14:paraId="2D44151F" w14:textId="77777777" w:rsidR="00130E8B" w:rsidRDefault="000405CC">
      <w:pPr>
        <w:pStyle w:val="a3"/>
        <w:rPr>
          <w:lang w:val="hu-HU"/>
        </w:rPr>
      </w:pPr>
      <w:r>
        <w:rPr>
          <w:rFonts w:eastAsia="Times New Roman"/>
          <w:lang w:val="hu-HU"/>
        </w:rPr>
        <w:t>Egy prospektív kohorsz regiszterben 257, rheumatoid arthritisben (RA) vagy Crohn-betegségben (CD) szenvedő, a terhességük legalább első trimeszterében adalimumabbal kezelt nőt és 120, RA-ban vagy Crohn-betegségben szenvedő, adalimumabbal nem kezelt nőt vizsgáltak. Az elsődleges végpont a major születési rendellenesség születéskori prevalenciája volt. Azoknak a terhességeknek az aránya, amelyek kimenetele legalább egy, major fejlődési rendellenességgel élve született csecsemő volt, 6/69 (8,7%) volt az adalimumab-kezelésben részesült RA-s nőknél, és 5/74 (6,8%) volt a nem kezelt RA-s nőknél (nem korrigált OR: 1,31; 95%-os konfidencia intervallum [CI]: 0,38-4,52), továbbá 16/152 (10,5%) volt az adalimumab-kezelésben részesült Crohn-beteg nőknél, és 3/32 (9,4%) volt a nem kezelt Crohn-beteg nőknél (nem korrigált OR: 1,14; 95%-os CI: 0,31-4,16). A korrigált OR (a kiindulási különbségeket tekintetbe véve) 1,10 volt (95%-os CI: 0,45-2,73) együttesen RA-ban és Crohn-betegségben. Nem volt határozott különbség az adalimumabbal kezelt és nem kezelt nők esetében a másodlagos végpontokban, amelyek a spontán abortusz, a minor születési rendellenességek, a koraszülés, a kis születési súly és a súlyos vagy opportunista fertőzések voltak, és nem jelentettek halvaszületést vagy rosszindulatú daganat kialakulást sem. Az adatok értelmezésére hatással lehetnek a regiszter módszertani korlátai, beleértve a kis mintaszámot és a nem randomizált elrendezést.</w:t>
      </w:r>
    </w:p>
    <w:p w14:paraId="27EB1563" w14:textId="77777777" w:rsidR="00130E8B" w:rsidRDefault="00130E8B">
      <w:pPr>
        <w:spacing w:before="10" w:line="240" w:lineRule="exact"/>
        <w:rPr>
          <w:rFonts w:ascii="Times New Roman" w:hAnsi="Times New Roman" w:cs="Times New Roman"/>
          <w:lang w:val="hu-HU"/>
        </w:rPr>
      </w:pPr>
    </w:p>
    <w:p w14:paraId="00A0499D" w14:textId="77777777" w:rsidR="00130E8B" w:rsidRDefault="000405CC">
      <w:pPr>
        <w:pStyle w:val="a3"/>
        <w:rPr>
          <w:lang w:val="hu-HU"/>
        </w:rPr>
      </w:pPr>
      <w:r>
        <w:rPr>
          <w:rFonts w:eastAsia="Times New Roman"/>
          <w:spacing w:val="-2"/>
          <w:lang w:val="hu-HU"/>
        </w:rPr>
        <w:t>Majmoknál végzett fejlődés toxicitási vizsgálat során anyai, illetve embriótoxicitásra vagy teratogenitásra utaló eltérést nem észleltek. Az adalimumab postnatalis toxicitást okozó hatására vonatkozó preklinikai adatok nem állnak rendelkezésre (lásd 5. 3 pont).</w:t>
      </w:r>
    </w:p>
    <w:p w14:paraId="2034CCED" w14:textId="77777777" w:rsidR="00130E8B" w:rsidRDefault="00130E8B">
      <w:pPr>
        <w:spacing w:before="14" w:line="260" w:lineRule="exact"/>
        <w:rPr>
          <w:rFonts w:ascii="Times New Roman" w:hAnsi="Times New Roman" w:cs="Times New Roman"/>
          <w:lang w:val="hu-HU"/>
        </w:rPr>
      </w:pPr>
    </w:p>
    <w:p w14:paraId="24A65F1E" w14:textId="77777777" w:rsidR="00130E8B" w:rsidRDefault="000405CC">
      <w:pPr>
        <w:pStyle w:val="a3"/>
        <w:rPr>
          <w:lang w:val="hu-HU"/>
        </w:rPr>
      </w:pPr>
      <w:r>
        <w:rPr>
          <w:rFonts w:eastAsia="Times New Roman"/>
          <w:lang w:val="hu-HU"/>
        </w:rPr>
        <w:t>A TNF-</w:t>
      </w:r>
      <w:r>
        <w:rPr>
          <w:rFonts w:ascii="Symbol" w:eastAsia="Symbol" w:hAnsi="Symbol" w:cs="Symbol"/>
          <w:lang w:val="hu-HU"/>
        </w:rPr>
        <w:sym w:font="Symbol" w:char="F061"/>
      </w:r>
      <w:r>
        <w:rPr>
          <w:rFonts w:eastAsia="Times New Roman"/>
          <w:lang w:val="hu-HU"/>
        </w:rPr>
        <w:t>gátlást okozó hatása miatt, a terhesség alatt adott adalimumab befolyásolhatja az újszülött normális immunreakcióit. Az adalimumab csak akkor alkalmazható terhesség alatt, ha egyértelműen szükséges.</w:t>
      </w:r>
    </w:p>
    <w:p w14:paraId="1D9BB7A9" w14:textId="77777777" w:rsidR="00130E8B" w:rsidRDefault="00130E8B">
      <w:pPr>
        <w:spacing w:before="11" w:line="240" w:lineRule="exact"/>
        <w:rPr>
          <w:rFonts w:ascii="Times New Roman" w:hAnsi="Times New Roman" w:cs="Times New Roman"/>
          <w:lang w:val="hu-HU"/>
        </w:rPr>
      </w:pPr>
    </w:p>
    <w:p w14:paraId="79E1A199" w14:textId="6EC1B301" w:rsidR="00130E8B" w:rsidRDefault="000405CC">
      <w:pPr>
        <w:pStyle w:val="a3"/>
        <w:rPr>
          <w:lang w:val="hu-HU"/>
        </w:rPr>
      </w:pPr>
      <w:r>
        <w:rPr>
          <w:rFonts w:eastAsia="Times New Roman"/>
          <w:lang w:val="hu-HU"/>
        </w:rPr>
        <w:t>Az adalimumab átjuthat a méhlepényen az adalimumabbal a terhesség alatt kezelt nőknek született csecsemők szérumába. Következésképpen ezek a csecsemők nagyobb fertőzési kockázatnak lehetnek kitéve. Az anya terhesség alatti utolsó adalimumab-injekciójától számított 5 hónapig nem javasolt az olyan csecsemők élő kórokozót tartalmazó vakcinával (</w:t>
      </w:r>
      <w:r w:rsidR="00E712D7">
        <w:rPr>
          <w:rFonts w:eastAsia="Times New Roman"/>
          <w:lang w:val="hu-HU"/>
        </w:rPr>
        <w:t>például</w:t>
      </w:r>
      <w:r>
        <w:rPr>
          <w:rFonts w:eastAsia="Times New Roman"/>
          <w:lang w:val="hu-HU"/>
        </w:rPr>
        <w:t xml:space="preserve"> BCG-vakcinával) való oltása, akik in utero adalimumab hatásának voltak kitéve.</w:t>
      </w:r>
    </w:p>
    <w:p w14:paraId="600172EA" w14:textId="77777777" w:rsidR="00130E8B" w:rsidRDefault="00130E8B">
      <w:pPr>
        <w:spacing w:before="13" w:line="240" w:lineRule="exact"/>
        <w:rPr>
          <w:rFonts w:ascii="Times New Roman" w:hAnsi="Times New Roman" w:cs="Times New Roman"/>
          <w:lang w:val="hu-HU"/>
        </w:rPr>
      </w:pPr>
    </w:p>
    <w:p w14:paraId="32A254B3" w14:textId="77777777" w:rsidR="00130E8B" w:rsidRDefault="000405CC">
      <w:pPr>
        <w:pStyle w:val="a3"/>
        <w:rPr>
          <w:u w:val="single"/>
          <w:lang w:val="hu-HU"/>
        </w:rPr>
      </w:pPr>
      <w:r>
        <w:rPr>
          <w:rFonts w:eastAsia="Times New Roman"/>
          <w:spacing w:val="-1"/>
          <w:u w:val="single" w:color="000000"/>
          <w:lang w:val="hu-HU"/>
        </w:rPr>
        <w:t>Szoptatás</w:t>
      </w:r>
    </w:p>
    <w:p w14:paraId="18981AC4" w14:textId="77777777" w:rsidR="00130E8B" w:rsidRDefault="00130E8B">
      <w:pPr>
        <w:spacing w:before="1" w:line="180" w:lineRule="exact"/>
        <w:rPr>
          <w:rFonts w:ascii="Times New Roman" w:hAnsi="Times New Roman" w:cs="Times New Roman"/>
          <w:lang w:val="hu-HU"/>
        </w:rPr>
      </w:pPr>
    </w:p>
    <w:p w14:paraId="1E478C79" w14:textId="77777777" w:rsidR="00130E8B" w:rsidRDefault="000405CC">
      <w:pPr>
        <w:pStyle w:val="a3"/>
        <w:rPr>
          <w:lang w:val="hu-HU"/>
        </w:rPr>
      </w:pPr>
      <w:r>
        <w:rPr>
          <w:rFonts w:eastAsia="Times New Roman"/>
          <w:lang w:val="hu-HU"/>
        </w:rPr>
        <w:t>A szakirodalomban közzétett korlátozott mennyiségű információ alapján az adalimumab nagyon kis koncentrációban kiválasztódik az anyatejbe, az anyai szérumszint 0,1-1%-ában van jelen. Szájon át adva, az immunglobulin G-fehérjék intestinalis proteolízist szenvednek, és a biohasznosulásuk csekély. Nem várhatóak a szoptatott újszülöttekre/csecsemőkre gyakorolt hatások. Következésképpen a Yuflyma alkalmazható szoptatás alatt.</w:t>
      </w:r>
    </w:p>
    <w:p w14:paraId="39E4CB6F" w14:textId="77777777" w:rsidR="00130E8B" w:rsidRDefault="00130E8B">
      <w:pPr>
        <w:spacing w:before="11" w:line="240" w:lineRule="exact"/>
        <w:rPr>
          <w:rFonts w:ascii="Times New Roman" w:hAnsi="Times New Roman" w:cs="Times New Roman"/>
          <w:lang w:val="hu-HU"/>
        </w:rPr>
      </w:pPr>
    </w:p>
    <w:p w14:paraId="195D341F" w14:textId="77777777" w:rsidR="00130E8B" w:rsidRDefault="000405CC">
      <w:pPr>
        <w:pStyle w:val="a3"/>
        <w:rPr>
          <w:u w:val="single"/>
          <w:lang w:val="hu-HU"/>
        </w:rPr>
      </w:pPr>
      <w:r>
        <w:rPr>
          <w:rFonts w:eastAsia="Times New Roman"/>
          <w:u w:val="single" w:color="000000"/>
          <w:lang w:val="hu-HU"/>
        </w:rPr>
        <w:t>Termékenység</w:t>
      </w:r>
    </w:p>
    <w:p w14:paraId="27A55817" w14:textId="77777777" w:rsidR="00130E8B" w:rsidRDefault="00130E8B">
      <w:pPr>
        <w:spacing w:before="1" w:line="180" w:lineRule="exact"/>
        <w:rPr>
          <w:rFonts w:ascii="Times New Roman" w:hAnsi="Times New Roman" w:cs="Times New Roman"/>
          <w:lang w:val="hu-HU"/>
        </w:rPr>
      </w:pPr>
    </w:p>
    <w:p w14:paraId="0D312122" w14:textId="77777777" w:rsidR="00130E8B" w:rsidRDefault="000405CC">
      <w:pPr>
        <w:pStyle w:val="a3"/>
        <w:rPr>
          <w:lang w:val="hu-HU"/>
        </w:rPr>
      </w:pPr>
      <w:r>
        <w:rPr>
          <w:rFonts w:eastAsia="Times New Roman"/>
          <w:lang w:val="hu-HU"/>
        </w:rPr>
        <w:t>Nem áll rendelkezésre preklinikai adat az adalimumab termékenységre gyakorolt hatásával kapcsolatban.</w:t>
      </w:r>
    </w:p>
    <w:p w14:paraId="30D0C05D" w14:textId="77777777" w:rsidR="00130E8B" w:rsidRDefault="00130E8B">
      <w:pPr>
        <w:spacing w:before="18" w:line="240" w:lineRule="exact"/>
        <w:rPr>
          <w:sz w:val="24"/>
          <w:szCs w:val="24"/>
          <w:lang w:val="hu-HU"/>
        </w:rPr>
      </w:pPr>
    </w:p>
    <w:p w14:paraId="53706D4D" w14:textId="77777777" w:rsidR="00130E8B" w:rsidRDefault="000405CC">
      <w:pPr>
        <w:widowControl/>
        <w:numPr>
          <w:ilvl w:val="1"/>
          <w:numId w:val="13"/>
        </w:numPr>
        <w:tabs>
          <w:tab w:val="left" w:pos="567"/>
        </w:tabs>
        <w:spacing w:line="260" w:lineRule="exact"/>
        <w:ind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lastRenderedPageBreak/>
        <w:t>A készítmény hatásai a gépjárművezetéshez és a gépek kezeléséhez szükséges képességekre</w:t>
      </w:r>
    </w:p>
    <w:p w14:paraId="1B1E01AF" w14:textId="77777777" w:rsidR="00130E8B" w:rsidRDefault="00130E8B">
      <w:pPr>
        <w:spacing w:before="12" w:line="240" w:lineRule="exact"/>
        <w:rPr>
          <w:sz w:val="24"/>
          <w:szCs w:val="24"/>
          <w:lang w:val="hu-HU"/>
        </w:rPr>
      </w:pPr>
    </w:p>
    <w:p w14:paraId="693360D3" w14:textId="77777777" w:rsidR="00130E8B" w:rsidRDefault="000405CC">
      <w:pPr>
        <w:pStyle w:val="a3"/>
        <w:rPr>
          <w:lang w:val="hu-HU"/>
        </w:rPr>
      </w:pPr>
      <w:r>
        <w:rPr>
          <w:rFonts w:eastAsia="Times New Roman"/>
          <w:lang w:val="hu-HU"/>
        </w:rPr>
        <w:t>A Yuflyma csekély mértékben befolyásolhatja a gépjárművezetéshez és a gépek kezeléséhez szükséges képességeket. A Yuflyma alkalmazását követően vertigo és látásromlás fordulhat elő(lásd 4.8 pont).</w:t>
      </w:r>
    </w:p>
    <w:p w14:paraId="73167F14" w14:textId="77777777" w:rsidR="00130E8B" w:rsidRDefault="00130E8B">
      <w:pPr>
        <w:spacing w:before="15" w:line="240" w:lineRule="exact"/>
        <w:rPr>
          <w:sz w:val="24"/>
          <w:szCs w:val="24"/>
          <w:lang w:val="hu-HU"/>
        </w:rPr>
      </w:pPr>
    </w:p>
    <w:p w14:paraId="411608D8" w14:textId="77777777" w:rsidR="00130E8B" w:rsidRDefault="000405CC">
      <w:pPr>
        <w:widowControl/>
        <w:numPr>
          <w:ilvl w:val="1"/>
          <w:numId w:val="13"/>
        </w:numPr>
        <w:tabs>
          <w:tab w:val="left" w:pos="567"/>
        </w:tabs>
        <w:spacing w:line="260" w:lineRule="exact"/>
        <w:ind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Nemkívánatos hatások, mellékhatások</w:t>
      </w:r>
    </w:p>
    <w:p w14:paraId="055E1393" w14:textId="77777777" w:rsidR="00130E8B" w:rsidRDefault="00130E8B">
      <w:pPr>
        <w:spacing w:before="9" w:line="240" w:lineRule="exact"/>
        <w:rPr>
          <w:sz w:val="24"/>
          <w:szCs w:val="24"/>
          <w:lang w:val="hu-HU"/>
        </w:rPr>
      </w:pPr>
    </w:p>
    <w:p w14:paraId="05219E5C" w14:textId="77777777" w:rsidR="00130E8B" w:rsidRDefault="000405CC">
      <w:pPr>
        <w:pStyle w:val="a3"/>
        <w:rPr>
          <w:u w:val="single"/>
          <w:lang w:val="hu-HU"/>
        </w:rPr>
      </w:pPr>
      <w:r>
        <w:rPr>
          <w:rFonts w:eastAsia="Times New Roman"/>
          <w:u w:val="single" w:color="000000"/>
          <w:lang w:val="hu-HU"/>
        </w:rPr>
        <w:t>A biztonságossági profil összefoglalása</w:t>
      </w:r>
    </w:p>
    <w:p w14:paraId="75C4EC7C" w14:textId="77777777" w:rsidR="00130E8B" w:rsidRDefault="00130E8B">
      <w:pPr>
        <w:spacing w:before="1" w:line="180" w:lineRule="exact"/>
        <w:rPr>
          <w:sz w:val="18"/>
          <w:szCs w:val="18"/>
          <w:lang w:val="hu-HU"/>
        </w:rPr>
      </w:pPr>
    </w:p>
    <w:p w14:paraId="1EB152AD" w14:textId="77777777" w:rsidR="00130E8B" w:rsidRDefault="000405CC">
      <w:pPr>
        <w:pStyle w:val="a3"/>
        <w:rPr>
          <w:lang w:val="hu-HU"/>
        </w:rPr>
      </w:pPr>
      <w:r>
        <w:rPr>
          <w:rFonts w:eastAsia="Times New Roman"/>
          <w:lang w:val="hu-HU"/>
        </w:rPr>
        <w:t>Az adalimumabot 9506 beteg bevonásával tanulmányozták pivotális, kontrollos és nyílt vizsgálatokban, 60 hónapig vagy még tovább. Ezekbe a vizsgálatokba rövidebb vagy hosszabb ideje rheumatoid arthritisben, juvenilis idiopathiás arthritisben (polyarticularis juvenilis idiopathiás arthritisben és enthesitis-asszociált arthritisben), valamint axialis spondyloarthritisben (spondylitis ankylopoeticában és a spondylitis ankylopoeticának (SPA) megfelelő röntgeneltéréssel nem járó axiális spondyloarthritisben), arthritis psoriaticában, Crohn-betegségben, colitis ulcerosában, psoriasisban, hidradenitis suppurativában és uveitisben szenvedő betegeket választottak be. A pivotális, kontrollos vizsgálatok, amelyek során 6089 beteg részesült adalimumab kezelésben és 3801 beteg kapott placebót vagy aktív összehasonlító gyógyszert a kontrollos periódusban és a spontán jelentés során</w:t>
      </w:r>
    </w:p>
    <w:p w14:paraId="13BD739E" w14:textId="77777777" w:rsidR="00130E8B" w:rsidRDefault="00130E8B">
      <w:pPr>
        <w:spacing w:before="13" w:line="240" w:lineRule="exact"/>
        <w:rPr>
          <w:sz w:val="24"/>
          <w:szCs w:val="24"/>
          <w:lang w:val="hu-HU"/>
        </w:rPr>
      </w:pPr>
    </w:p>
    <w:p w14:paraId="660933C9" w14:textId="77777777" w:rsidR="00130E8B" w:rsidRDefault="000405CC">
      <w:pPr>
        <w:pStyle w:val="a3"/>
        <w:rPr>
          <w:lang w:val="hu-HU"/>
        </w:rPr>
      </w:pPr>
      <w:r>
        <w:rPr>
          <w:rFonts w:eastAsia="Times New Roman"/>
          <w:lang w:val="hu-HU"/>
        </w:rPr>
        <w:t>Azon betegek aránya, akik a pivotális vizsgálatok kettős vak, kontrollos részében mellékhatások miatt abbahagyták a kezelést, az adalimumabbal kezelt betegcsoportban 5,9%, míg a kontroll kezelt betegeknél 5,4% volt</w:t>
      </w:r>
    </w:p>
    <w:p w14:paraId="0A14997D" w14:textId="77777777" w:rsidR="00130E8B" w:rsidRDefault="00130E8B">
      <w:pPr>
        <w:spacing w:before="17" w:line="240" w:lineRule="exact"/>
        <w:rPr>
          <w:sz w:val="24"/>
          <w:szCs w:val="24"/>
          <w:lang w:val="hu-HU"/>
        </w:rPr>
      </w:pPr>
    </w:p>
    <w:p w14:paraId="5351005D" w14:textId="17FD2387" w:rsidR="00130E8B" w:rsidRDefault="000405CC">
      <w:pPr>
        <w:pStyle w:val="a3"/>
        <w:rPr>
          <w:lang w:val="hu-HU"/>
        </w:rPr>
      </w:pPr>
      <w:r>
        <w:rPr>
          <w:rFonts w:eastAsia="Times New Roman"/>
          <w:lang w:val="hu-HU"/>
        </w:rPr>
        <w:t xml:space="preserve">A leggyakoribb mellékhatások a fertőzések (mint </w:t>
      </w:r>
      <w:r w:rsidR="00E712D7">
        <w:rPr>
          <w:rFonts w:eastAsia="Times New Roman"/>
          <w:lang w:val="hu-HU"/>
        </w:rPr>
        <w:t>például</w:t>
      </w:r>
      <w:r>
        <w:rPr>
          <w:rFonts w:eastAsia="Times New Roman"/>
          <w:lang w:val="hu-HU"/>
        </w:rPr>
        <w:t xml:space="preserve"> nasopharyngitis, felső légúti fertőzés és sinusitis), az injekció beadási helyén jelentkező reakciók (erythema, pruritus, suffusio, fájdalom vagy duzzanat), a fejfájás és a mozgásszervi eredetű fájdalom.</w:t>
      </w:r>
    </w:p>
    <w:p w14:paraId="6587D337" w14:textId="77777777" w:rsidR="00130E8B" w:rsidRDefault="00130E8B">
      <w:pPr>
        <w:pStyle w:val="a3"/>
        <w:rPr>
          <w:lang w:val="hu-HU"/>
        </w:rPr>
      </w:pPr>
    </w:p>
    <w:p w14:paraId="26BEC03F" w14:textId="77777777" w:rsidR="00130E8B" w:rsidRDefault="000405CC">
      <w:pPr>
        <w:pStyle w:val="a3"/>
        <w:rPr>
          <w:lang w:val="hu-HU"/>
        </w:rPr>
      </w:pPr>
      <w:r>
        <w:rPr>
          <w:rFonts w:eastAsia="Times New Roman"/>
          <w:lang w:val="hu-HU"/>
        </w:rPr>
        <w:t>Súlyos mellékhatásokról is beszámoltak az adalimumab alkalmazása soránA TNF-antagonisták, így az adalimumab is befolyásolják az immunrendszert, és alkalmazásuk megváltoztathatja a szervezet fertőzésekkel és daganatokkal szembeni védekező képességét.</w:t>
      </w:r>
    </w:p>
    <w:p w14:paraId="7EE1ED80" w14:textId="77777777" w:rsidR="00130E8B" w:rsidRDefault="000405CC">
      <w:pPr>
        <w:pStyle w:val="a3"/>
        <w:rPr>
          <w:lang w:val="hu-HU"/>
        </w:rPr>
      </w:pPr>
      <w:r>
        <w:rPr>
          <w:rFonts w:eastAsia="Times New Roman"/>
          <w:lang w:val="hu-HU"/>
        </w:rPr>
        <w:t>Az adalimumab alkalmazása során beszámoltak fatális és életveszélyes fertőzésekről (beleértve a szepszist, az oppurtunista fertőzést és a TBC-t), HBV-reaktiválódásról és különböző malignus betegségekről is (beleértve a leukaemiát, a lymphomát és hepatosplenicus T-sejtes lymphomát).</w:t>
      </w:r>
    </w:p>
    <w:p w14:paraId="3C6145AE" w14:textId="77777777" w:rsidR="00130E8B" w:rsidRDefault="00130E8B">
      <w:pPr>
        <w:spacing w:before="17" w:line="240" w:lineRule="exact"/>
        <w:rPr>
          <w:sz w:val="24"/>
          <w:szCs w:val="24"/>
          <w:lang w:val="hu-HU"/>
        </w:rPr>
      </w:pPr>
    </w:p>
    <w:p w14:paraId="7ABAF98D" w14:textId="6548B6C0" w:rsidR="00130E8B" w:rsidRDefault="000405CC">
      <w:pPr>
        <w:pStyle w:val="a3"/>
        <w:rPr>
          <w:lang w:val="hu-HU"/>
        </w:rPr>
      </w:pPr>
      <w:r>
        <w:rPr>
          <w:rFonts w:eastAsia="Times New Roman"/>
          <w:lang w:val="hu-HU"/>
        </w:rPr>
        <w:t xml:space="preserve">Súlyos hematológiai, neurológiai és autoimmun reakciókat is jelentettek. Mint </w:t>
      </w:r>
      <w:r w:rsidR="00E712D7">
        <w:rPr>
          <w:rFonts w:eastAsia="Times New Roman"/>
          <w:lang w:val="hu-HU"/>
        </w:rPr>
        <w:t>például</w:t>
      </w:r>
      <w:r>
        <w:rPr>
          <w:rFonts w:eastAsia="Times New Roman"/>
          <w:lang w:val="hu-HU"/>
        </w:rPr>
        <w:t xml:space="preserve"> pancytopenia, aplasticus anaemia, központi és perifériás demyelinisatiós betegségek néhány esete, lupus erythematosus, lupus-szal összefüggő betegségek és Stevens–Johnson-szindróma.</w:t>
      </w:r>
    </w:p>
    <w:p w14:paraId="72049227" w14:textId="77777777" w:rsidR="00130E8B" w:rsidRDefault="00130E8B">
      <w:pPr>
        <w:spacing w:before="11" w:line="240" w:lineRule="exact"/>
        <w:rPr>
          <w:sz w:val="24"/>
          <w:szCs w:val="24"/>
          <w:lang w:val="hu-HU"/>
        </w:rPr>
      </w:pPr>
    </w:p>
    <w:p w14:paraId="3467CCCB" w14:textId="77777777" w:rsidR="00E55F2D" w:rsidRPr="009167C6" w:rsidRDefault="00E55F2D" w:rsidP="00E55F2D">
      <w:pPr>
        <w:keepNext/>
        <w:rPr>
          <w:rFonts w:ascii="Times New Roman" w:hAnsi="Times New Roman" w:cs="Times New Roman"/>
          <w:iCs/>
          <w:u w:val="single"/>
          <w:lang w:val="hu-HU"/>
        </w:rPr>
      </w:pPr>
      <w:r w:rsidRPr="009167C6">
        <w:rPr>
          <w:rFonts w:ascii="Times New Roman" w:hAnsi="Times New Roman" w:cs="Times New Roman"/>
          <w:iCs/>
          <w:u w:val="single"/>
          <w:lang w:val="hu-HU"/>
        </w:rPr>
        <w:t>Gyermekek és serdülők</w:t>
      </w:r>
    </w:p>
    <w:p w14:paraId="45C80EF3" w14:textId="77777777" w:rsidR="00E55F2D" w:rsidRDefault="00E55F2D">
      <w:pPr>
        <w:pStyle w:val="a3"/>
        <w:rPr>
          <w:rFonts w:eastAsia="Times New Roman"/>
          <w:lang w:val="hu-HU"/>
        </w:rPr>
      </w:pPr>
    </w:p>
    <w:p w14:paraId="26F25D31" w14:textId="288FD627" w:rsidR="00130E8B" w:rsidRDefault="000405CC">
      <w:pPr>
        <w:pStyle w:val="a3"/>
        <w:rPr>
          <w:lang w:val="hu-HU"/>
        </w:rPr>
      </w:pPr>
      <w:r>
        <w:rPr>
          <w:rFonts w:eastAsia="Times New Roman"/>
          <w:lang w:val="hu-HU"/>
        </w:rPr>
        <w:t>Általában véve a gyermek</w:t>
      </w:r>
      <w:r w:rsidR="00357CEF">
        <w:rPr>
          <w:rFonts w:eastAsia="Times New Roman"/>
          <w:lang w:val="hu-HU"/>
        </w:rPr>
        <w:t xml:space="preserve"> és serdülőkorú</w:t>
      </w:r>
      <w:r>
        <w:rPr>
          <w:rFonts w:eastAsia="Times New Roman"/>
          <w:lang w:val="hu-HU"/>
        </w:rPr>
        <w:t xml:space="preserve"> betegeknél megfigyelt nemkívánatos események gyakorisága és típusa hasonló volt azokhoz, mint amiket a felnőtt betegeknél észleltek.</w:t>
      </w:r>
    </w:p>
    <w:p w14:paraId="3AEDDD45" w14:textId="77777777" w:rsidR="00130E8B" w:rsidRDefault="00130E8B">
      <w:pPr>
        <w:spacing w:before="11" w:line="240" w:lineRule="exact"/>
        <w:rPr>
          <w:sz w:val="24"/>
          <w:szCs w:val="24"/>
          <w:lang w:val="hu-HU"/>
        </w:rPr>
      </w:pPr>
    </w:p>
    <w:p w14:paraId="524E69F2" w14:textId="77777777" w:rsidR="00130E8B" w:rsidRDefault="000405CC">
      <w:pPr>
        <w:pStyle w:val="a3"/>
        <w:rPr>
          <w:u w:val="single"/>
          <w:lang w:val="hu-HU"/>
        </w:rPr>
      </w:pPr>
      <w:r>
        <w:rPr>
          <w:rFonts w:eastAsia="Times New Roman"/>
          <w:u w:val="single" w:color="000000"/>
          <w:lang w:val="hu-HU"/>
        </w:rPr>
        <w:t>A mellékhatások táblázatos felsorolása</w:t>
      </w:r>
    </w:p>
    <w:p w14:paraId="25434680" w14:textId="77777777" w:rsidR="00130E8B" w:rsidRDefault="00130E8B">
      <w:pPr>
        <w:spacing w:before="1" w:line="180" w:lineRule="exact"/>
        <w:rPr>
          <w:sz w:val="18"/>
          <w:szCs w:val="18"/>
          <w:lang w:val="hu-HU"/>
        </w:rPr>
      </w:pPr>
    </w:p>
    <w:p w14:paraId="20F47152" w14:textId="5580BB16" w:rsidR="00130E8B" w:rsidRDefault="000405CC">
      <w:pPr>
        <w:pStyle w:val="a3"/>
        <w:rPr>
          <w:lang w:val="hu-HU"/>
        </w:rPr>
      </w:pPr>
      <w:r>
        <w:rPr>
          <w:rFonts w:eastAsia="Times New Roman"/>
          <w:lang w:val="hu-HU"/>
        </w:rPr>
        <w:t xml:space="preserve">A </w:t>
      </w:r>
      <w:r w:rsidR="00B90FEB">
        <w:rPr>
          <w:rFonts w:eastAsia="Times New Roman"/>
          <w:lang w:val="hu-HU"/>
        </w:rPr>
        <w:t>7</w:t>
      </w:r>
      <w:r>
        <w:rPr>
          <w:rFonts w:eastAsia="Times New Roman"/>
          <w:lang w:val="hu-HU"/>
        </w:rPr>
        <w:t>. táblázatban a klinikai vizsgálatok során és a forgalomba hozatalt követően észlelt mellékhatások szervrendszer és gyakoriság szerint vannak felsorolva: nagyon gyakori</w:t>
      </w:r>
    </w:p>
    <w:p w14:paraId="5CAC21F1" w14:textId="0A4AC36C" w:rsidR="00130E8B" w:rsidRDefault="000405CC">
      <w:pPr>
        <w:pStyle w:val="a3"/>
        <w:rPr>
          <w:rFonts w:eastAsia="Times New Roman"/>
          <w:lang w:val="hu-HU"/>
        </w:rPr>
      </w:pPr>
      <w:r>
        <w:rPr>
          <w:rFonts w:eastAsia="Times New Roman"/>
          <w:lang w:val="hu-HU"/>
        </w:rPr>
        <w:t>(</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 1/10); gyakori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 1/100 &lt;1/10); nem gyakori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 1/1000, &lt;1/100); ritka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 1 / 10,000 &lt;1 / 1,000); és nem ismert (a gyakoriság a rendelkezésre álló adatokból nem állapítható meg). Az egyes gyakorisági kategóriákon belül a mellékhatások csökkenő súlyosság szerint kerülnek megadásra.. A különböző indikációk esetén előforduló legnagyobb előfordulási gyakoriság került feltüntetésre. A szervrendszeri kategóriák oszlopában csillag (*) jelzi, ha további információ található a 4.3, 4.4 és 4.8 pontban.</w:t>
      </w:r>
    </w:p>
    <w:p w14:paraId="7137B36A" w14:textId="0C2A6F18" w:rsidR="00E91FF7" w:rsidRDefault="00E91FF7">
      <w:pPr>
        <w:pStyle w:val="a3"/>
        <w:rPr>
          <w:rFonts w:eastAsia="Times New Roman"/>
          <w:lang w:val="hu-HU"/>
        </w:rPr>
      </w:pPr>
    </w:p>
    <w:p w14:paraId="24961BB1" w14:textId="77777777" w:rsidR="00C14860" w:rsidRDefault="00C14860">
      <w:pPr>
        <w:pStyle w:val="a3"/>
        <w:rPr>
          <w:rFonts w:eastAsia="Times New Roman"/>
          <w:lang w:val="hu-HU"/>
        </w:rPr>
      </w:pPr>
    </w:p>
    <w:p w14:paraId="54DDB984" w14:textId="77777777" w:rsidR="00C14860" w:rsidRDefault="00C14860">
      <w:pPr>
        <w:pStyle w:val="a3"/>
        <w:rPr>
          <w:rFonts w:eastAsia="Times New Roman"/>
          <w:lang w:val="hu-HU"/>
        </w:rPr>
      </w:pPr>
    </w:p>
    <w:p w14:paraId="382385B7" w14:textId="46961954" w:rsidR="00130E8B" w:rsidRDefault="00B90FEB">
      <w:pPr>
        <w:pStyle w:val="a3"/>
        <w:jc w:val="center"/>
        <w:rPr>
          <w:b/>
          <w:lang w:val="hu-HU"/>
        </w:rPr>
      </w:pPr>
      <w:r>
        <w:rPr>
          <w:rFonts w:eastAsia="Times New Roman"/>
          <w:b/>
          <w:bCs/>
          <w:lang w:val="hu-HU"/>
        </w:rPr>
        <w:lastRenderedPageBreak/>
        <w:t>7</w:t>
      </w:r>
      <w:r w:rsidR="000405CC">
        <w:rPr>
          <w:rFonts w:eastAsia="Times New Roman"/>
          <w:b/>
          <w:bCs/>
          <w:lang w:val="hu-HU"/>
        </w:rPr>
        <w:t>. táblázat</w:t>
      </w:r>
      <w:r w:rsidR="001918FA">
        <w:rPr>
          <w:rFonts w:eastAsia="Times New Roman"/>
          <w:b/>
          <w:bCs/>
          <w:lang w:val="hu-HU"/>
        </w:rPr>
        <w:t xml:space="preserve">. </w:t>
      </w:r>
      <w:r w:rsidR="000405CC">
        <w:rPr>
          <w:rFonts w:eastAsia="Times New Roman"/>
          <w:b/>
          <w:bCs/>
          <w:lang w:val="hu-HU"/>
        </w:rPr>
        <w:t>Nemkívánatos hatások</w:t>
      </w:r>
    </w:p>
    <w:p w14:paraId="45CD8F01" w14:textId="77777777" w:rsidR="00130E8B" w:rsidRDefault="00130E8B">
      <w:pPr>
        <w:spacing w:before="10" w:line="240" w:lineRule="exact"/>
        <w:rPr>
          <w:sz w:val="24"/>
          <w:szCs w:val="24"/>
          <w:lang w:val="hu-HU"/>
        </w:rPr>
      </w:pPr>
    </w:p>
    <w:tbl>
      <w:tblPr>
        <w:tblStyle w:val="TableNormal1"/>
        <w:tblW w:w="0" w:type="auto"/>
        <w:tblInd w:w="110" w:type="dxa"/>
        <w:tblLayout w:type="fixed"/>
        <w:tblLook w:val="01E0" w:firstRow="1" w:lastRow="1" w:firstColumn="1" w:lastColumn="1" w:noHBand="0" w:noVBand="0"/>
      </w:tblPr>
      <w:tblGrid>
        <w:gridCol w:w="2599"/>
        <w:gridCol w:w="2076"/>
        <w:gridCol w:w="4574"/>
      </w:tblGrid>
      <w:tr w:rsidR="00130E8B" w14:paraId="2E826D30" w14:textId="77777777" w:rsidTr="004E2591">
        <w:tc>
          <w:tcPr>
            <w:tcW w:w="2599" w:type="dxa"/>
            <w:tcBorders>
              <w:top w:val="single" w:sz="5" w:space="0" w:color="000000"/>
              <w:left w:val="single" w:sz="5" w:space="0" w:color="000000"/>
              <w:bottom w:val="single" w:sz="5" w:space="0" w:color="000000"/>
              <w:right w:val="single" w:sz="5" w:space="0" w:color="000000"/>
            </w:tcBorders>
            <w:vAlign w:val="center"/>
          </w:tcPr>
          <w:p w14:paraId="1C9DFC65" w14:textId="77777777" w:rsidR="00130E8B" w:rsidRDefault="000405CC" w:rsidP="009761A1">
            <w:pPr>
              <w:pStyle w:val="TableParagraph"/>
              <w:jc w:val="both"/>
              <w:rPr>
                <w:rFonts w:ascii="Times New Roman" w:eastAsia="Times New Roman" w:hAnsi="Times New Roman" w:cs="Times New Roman"/>
                <w:lang w:val="hu-HU"/>
              </w:rPr>
            </w:pPr>
            <w:r>
              <w:rPr>
                <w:rFonts w:ascii="Times New Roman" w:eastAsia="Times New Roman" w:hAnsi="Times New Roman" w:cs="Times New Roman"/>
                <w:b/>
                <w:bCs/>
                <w:spacing w:val="-1"/>
                <w:lang w:val="hu-HU"/>
              </w:rPr>
              <w:t>Szervrendszerenkénti csoportosítás</w:t>
            </w:r>
          </w:p>
        </w:tc>
        <w:tc>
          <w:tcPr>
            <w:tcW w:w="2076" w:type="dxa"/>
            <w:tcBorders>
              <w:top w:val="single" w:sz="5" w:space="0" w:color="000000"/>
              <w:left w:val="single" w:sz="5" w:space="0" w:color="000000"/>
              <w:bottom w:val="single" w:sz="5" w:space="0" w:color="000000"/>
              <w:right w:val="single" w:sz="5" w:space="0" w:color="000000"/>
            </w:tcBorders>
            <w:vAlign w:val="center"/>
          </w:tcPr>
          <w:p w14:paraId="3897346D" w14:textId="77777777" w:rsidR="00130E8B" w:rsidRDefault="000405CC" w:rsidP="009761A1">
            <w:pPr>
              <w:pStyle w:val="TableParagraph"/>
              <w:jc w:val="both"/>
              <w:rPr>
                <w:rFonts w:ascii="Times New Roman" w:eastAsia="Times New Roman" w:hAnsi="Times New Roman" w:cs="Times New Roman"/>
                <w:lang w:val="hu-HU"/>
              </w:rPr>
            </w:pPr>
            <w:r>
              <w:rPr>
                <w:rFonts w:ascii="Times New Roman" w:eastAsia="Times New Roman" w:hAnsi="Times New Roman" w:cs="Times New Roman"/>
                <w:b/>
                <w:bCs/>
                <w:lang w:val="hu-HU"/>
              </w:rPr>
              <w:t>Gyakoriság</w:t>
            </w:r>
          </w:p>
        </w:tc>
        <w:tc>
          <w:tcPr>
            <w:tcW w:w="4574" w:type="dxa"/>
            <w:tcBorders>
              <w:top w:val="single" w:sz="5" w:space="0" w:color="000000"/>
              <w:left w:val="single" w:sz="5" w:space="0" w:color="000000"/>
              <w:bottom w:val="single" w:sz="5" w:space="0" w:color="000000"/>
              <w:right w:val="single" w:sz="5" w:space="0" w:color="000000"/>
            </w:tcBorders>
            <w:vAlign w:val="center"/>
          </w:tcPr>
          <w:p w14:paraId="26127E42" w14:textId="77777777" w:rsidR="00130E8B" w:rsidRDefault="000405CC" w:rsidP="009761A1">
            <w:pPr>
              <w:pStyle w:val="TableParagraph"/>
              <w:jc w:val="both"/>
              <w:rPr>
                <w:rFonts w:ascii="Times New Roman" w:eastAsia="Times New Roman" w:hAnsi="Times New Roman" w:cs="Times New Roman"/>
                <w:lang w:val="hu-HU"/>
              </w:rPr>
            </w:pPr>
            <w:r>
              <w:rPr>
                <w:rFonts w:ascii="Times New Roman" w:eastAsia="Times New Roman" w:hAnsi="Times New Roman" w:cs="Times New Roman"/>
                <w:b/>
                <w:bCs/>
                <w:spacing w:val="-1"/>
                <w:lang w:val="hu-HU"/>
              </w:rPr>
              <w:t>Mellékhatás</w:t>
            </w:r>
          </w:p>
        </w:tc>
      </w:tr>
      <w:tr w:rsidR="00130E8B" w:rsidRPr="00BE4D18" w14:paraId="44CCF1E4" w14:textId="77777777">
        <w:tc>
          <w:tcPr>
            <w:tcW w:w="2599" w:type="dxa"/>
            <w:vMerge w:val="restart"/>
            <w:tcBorders>
              <w:top w:val="single" w:sz="5" w:space="0" w:color="000000"/>
              <w:left w:val="single" w:sz="5" w:space="0" w:color="000000"/>
              <w:right w:val="single" w:sz="5" w:space="0" w:color="000000"/>
            </w:tcBorders>
          </w:tcPr>
          <w:p w14:paraId="5CA3A1A7" w14:textId="77777777" w:rsidR="00130E8B" w:rsidRDefault="000405CC" w:rsidP="009761A1">
            <w:pPr>
              <w:pStyle w:val="TableParagraph"/>
              <w:ind w:left="102" w:right="155"/>
              <w:rPr>
                <w:rFonts w:ascii="Times New Roman" w:eastAsia="Times New Roman" w:hAnsi="Times New Roman" w:cs="Times New Roman"/>
                <w:lang w:val="hu-HU"/>
              </w:rPr>
            </w:pPr>
            <w:r>
              <w:rPr>
                <w:rFonts w:ascii="Times New Roman" w:eastAsia="Times New Roman" w:hAnsi="Times New Roman" w:cs="Times New Roman"/>
                <w:spacing w:val="-1"/>
                <w:lang w:val="hu-HU"/>
              </w:rPr>
              <w:t>Fertőző betegségek és parazitafertőzések*</w:t>
            </w:r>
          </w:p>
        </w:tc>
        <w:tc>
          <w:tcPr>
            <w:tcW w:w="2076" w:type="dxa"/>
            <w:tcBorders>
              <w:top w:val="single" w:sz="5" w:space="0" w:color="000000"/>
              <w:left w:val="single" w:sz="5" w:space="0" w:color="000000"/>
              <w:bottom w:val="single" w:sz="5" w:space="0" w:color="000000"/>
              <w:right w:val="single" w:sz="5" w:space="0" w:color="000000"/>
            </w:tcBorders>
          </w:tcPr>
          <w:p w14:paraId="0C7D6DFF"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Nagyon gyakori</w:t>
            </w:r>
          </w:p>
        </w:tc>
        <w:tc>
          <w:tcPr>
            <w:tcW w:w="4574" w:type="dxa"/>
            <w:tcBorders>
              <w:top w:val="single" w:sz="5" w:space="0" w:color="000000"/>
              <w:left w:val="single" w:sz="5" w:space="0" w:color="000000"/>
              <w:bottom w:val="single" w:sz="5" w:space="0" w:color="000000"/>
              <w:right w:val="single" w:sz="5" w:space="0" w:color="000000"/>
            </w:tcBorders>
          </w:tcPr>
          <w:p w14:paraId="42F17972"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Légúti fertőzések (beleértve az alsó- és a felső légúti fertőzéseket, pneumoniát, sinusitist, pharyngitist, nasopharyngitist és a herpes vírus okozta pneumoniát is)</w:t>
            </w:r>
          </w:p>
        </w:tc>
      </w:tr>
      <w:tr w:rsidR="00130E8B" w:rsidRPr="00BE4D18" w14:paraId="3AA3B60E" w14:textId="77777777">
        <w:tc>
          <w:tcPr>
            <w:tcW w:w="2599" w:type="dxa"/>
            <w:vMerge/>
            <w:tcBorders>
              <w:left w:val="single" w:sz="5" w:space="0" w:color="000000"/>
              <w:right w:val="single" w:sz="5" w:space="0" w:color="000000"/>
            </w:tcBorders>
          </w:tcPr>
          <w:p w14:paraId="05688BC0"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16C60903"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3269EBEC" w14:textId="31176DD6"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Szisztémás fertőzések (beleértve a sepsist, candidiasist és az influenzát is),</w:t>
            </w:r>
          </w:p>
          <w:p w14:paraId="248C9228"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bélfertőzések (beleértve a a vírusos gastroenteritist is),</w:t>
            </w:r>
          </w:p>
          <w:p w14:paraId="1FD3E5BF" w14:textId="6ADD7226"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bőr- és lágyrészfertőzések (beleértve a</w:t>
            </w:r>
            <w:r w:rsidR="00820E03">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paronychiát, cellulitist, impetigót, necrotisáló fasciitist és a herpes zostert is),</w:t>
            </w:r>
          </w:p>
          <w:p w14:paraId="1F218883"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fülfertőzések,</w:t>
            </w:r>
          </w:p>
          <w:p w14:paraId="647EBEF0" w14:textId="2BB91781"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oralis fertőzések (beleértve a herpes simplexet, oralis herpest és a fogfertőzéseket is)</w:t>
            </w:r>
            <w:r w:rsidR="00B90FEB">
              <w:rPr>
                <w:rFonts w:ascii="Times New Roman" w:eastAsia="Times New Roman" w:hAnsi="Times New Roman" w:cs="Times New Roman"/>
                <w:spacing w:val="-1"/>
                <w:lang w:val="hu-HU"/>
              </w:rPr>
              <w:t>,</w:t>
            </w:r>
          </w:p>
          <w:p w14:paraId="614F6BE7" w14:textId="0756794C" w:rsidR="00B90FEB" w:rsidRDefault="000405CC" w:rsidP="009761A1">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nemi szervek fertőzései (beleértve a vulvovaginalis mycoticus fertőzéseket is), </w:t>
            </w:r>
          </w:p>
          <w:p w14:paraId="43D30A27" w14:textId="1B77FA8E"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húgyúti fertőzések (beleértve</w:t>
            </w:r>
            <w:r w:rsidR="00B90FEB">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a pyelonephritist is)</w:t>
            </w:r>
            <w:r w:rsidR="00B90FEB">
              <w:rPr>
                <w:rFonts w:ascii="Times New Roman" w:eastAsia="Times New Roman" w:hAnsi="Times New Roman" w:cs="Times New Roman"/>
                <w:spacing w:val="-1"/>
                <w:lang w:val="hu-HU"/>
              </w:rPr>
              <w:t>,</w:t>
            </w:r>
          </w:p>
          <w:p w14:paraId="392A033E" w14:textId="77777777" w:rsidR="00B90FE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 xml:space="preserve">gombás fertőzések, </w:t>
            </w:r>
          </w:p>
          <w:p w14:paraId="1239489F" w14:textId="37725B6C"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ízületi fertőzések</w:t>
            </w:r>
          </w:p>
        </w:tc>
      </w:tr>
      <w:tr w:rsidR="00130E8B" w14:paraId="3E86B849" w14:textId="77777777">
        <w:tc>
          <w:tcPr>
            <w:tcW w:w="2599" w:type="dxa"/>
            <w:vMerge/>
            <w:tcBorders>
              <w:left w:val="single" w:sz="5" w:space="0" w:color="000000"/>
              <w:bottom w:val="single" w:sz="5" w:space="0" w:color="000000"/>
              <w:right w:val="single" w:sz="5" w:space="0" w:color="000000"/>
            </w:tcBorders>
          </w:tcPr>
          <w:p w14:paraId="358C1D10"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5B43D0D1" w14:textId="64D3D7ED" w:rsidR="00130E8B" w:rsidRDefault="00B90FEB"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74C47913" w14:textId="2E0F7DBC"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Neurológiai fertőzések (beleértve a vírusos</w:t>
            </w:r>
            <w:r w:rsidR="00B90FEB">
              <w:rPr>
                <w:rFonts w:ascii="Times New Roman" w:eastAsia="Times New Roman" w:hAnsi="Times New Roman" w:cs="Times New Roman"/>
                <w:spacing w:val="-1"/>
                <w:lang w:val="hu-HU"/>
              </w:rPr>
              <w:t xml:space="preserve"> </w:t>
            </w:r>
            <w:r>
              <w:rPr>
                <w:rFonts w:ascii="Times New Roman" w:eastAsia="Times New Roman" w:hAnsi="Times New Roman" w:cs="Times New Roman"/>
                <w:lang w:val="hu-HU"/>
              </w:rPr>
              <w:t>vírusos meningitist is),</w:t>
            </w:r>
          </w:p>
          <w:p w14:paraId="3065C4F7" w14:textId="23575896"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opportunista fertőzések és tuberculosis (beleértve a coccidioidomycosist, histoplasmosist és a mycobacterium avium complex fertőzést is), bakteriális fertőzések</w:t>
            </w:r>
            <w:r w:rsidR="00B90FEB">
              <w:rPr>
                <w:rFonts w:ascii="Times New Roman" w:eastAsia="Times New Roman" w:hAnsi="Times New Roman" w:cs="Times New Roman"/>
                <w:spacing w:val="-1"/>
                <w:lang w:val="hu-HU"/>
              </w:rPr>
              <w:t>,</w:t>
            </w:r>
          </w:p>
          <w:p w14:paraId="0D1712CE" w14:textId="77777777" w:rsidR="00B90FEB" w:rsidRDefault="000405CC" w:rsidP="009761A1">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szemfertőzések, </w:t>
            </w:r>
          </w:p>
          <w:p w14:paraId="4B420355" w14:textId="46177602"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diverticulitis</w:t>
            </w:r>
            <w:r>
              <w:rPr>
                <w:rFonts w:ascii="Times New Roman" w:eastAsia="Times New Roman" w:hAnsi="Times New Roman" w:cs="Times New Roman"/>
                <w:spacing w:val="-1"/>
                <w:vertAlign w:val="superscript"/>
                <w:lang w:val="hu-HU"/>
              </w:rPr>
              <w:t xml:space="preserve"> 1)</w:t>
            </w:r>
          </w:p>
        </w:tc>
      </w:tr>
      <w:tr w:rsidR="00130E8B" w:rsidRPr="00BE4D18" w14:paraId="5300C228" w14:textId="77777777">
        <w:tc>
          <w:tcPr>
            <w:tcW w:w="2599" w:type="dxa"/>
            <w:vMerge w:val="restart"/>
            <w:tcBorders>
              <w:top w:val="single" w:sz="5" w:space="0" w:color="000000"/>
              <w:left w:val="single" w:sz="5" w:space="0" w:color="000000"/>
              <w:right w:val="single" w:sz="5" w:space="0" w:color="000000"/>
            </w:tcBorders>
          </w:tcPr>
          <w:p w14:paraId="51588B48" w14:textId="77777777" w:rsidR="00130E8B" w:rsidRDefault="000405CC" w:rsidP="009761A1">
            <w:pPr>
              <w:pStyle w:val="TableParagraph"/>
              <w:ind w:left="102" w:right="11"/>
              <w:rPr>
                <w:rFonts w:ascii="Times New Roman" w:eastAsia="Times New Roman" w:hAnsi="Times New Roman" w:cs="Times New Roman"/>
                <w:lang w:val="hu-HU"/>
              </w:rPr>
            </w:pPr>
            <w:r>
              <w:rPr>
                <w:rFonts w:ascii="Times New Roman" w:eastAsia="Times New Roman" w:hAnsi="Times New Roman" w:cs="Times New Roman"/>
                <w:spacing w:val="-1"/>
                <w:lang w:val="hu-HU"/>
              </w:rPr>
              <w:t>Jó -, rosszindulatú és nem meghatározott daganatok (beleértve a cisztákat és polipokat is)*</w:t>
            </w:r>
          </w:p>
        </w:tc>
        <w:tc>
          <w:tcPr>
            <w:tcW w:w="2076" w:type="dxa"/>
            <w:tcBorders>
              <w:top w:val="single" w:sz="5" w:space="0" w:color="000000"/>
              <w:left w:val="single" w:sz="5" w:space="0" w:color="000000"/>
              <w:bottom w:val="single" w:sz="5" w:space="0" w:color="000000"/>
              <w:right w:val="single" w:sz="5" w:space="0" w:color="000000"/>
            </w:tcBorders>
          </w:tcPr>
          <w:p w14:paraId="4CE41CED"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4AD1769D" w14:textId="77777777" w:rsidR="00B90FEB" w:rsidRDefault="000405CC" w:rsidP="009761A1">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Bőrrák, </w:t>
            </w:r>
          </w:p>
          <w:p w14:paraId="66368CC8" w14:textId="1466E7A6"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kivéve a melanomát (beleértve a basalsejtes carcinomát és a planocellularis carcinomát is),</w:t>
            </w:r>
          </w:p>
          <w:p w14:paraId="55C3C8F2"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jóindulatú neoplasia</w:t>
            </w:r>
          </w:p>
        </w:tc>
      </w:tr>
      <w:tr w:rsidR="00130E8B" w14:paraId="5CF7008C" w14:textId="77777777">
        <w:tc>
          <w:tcPr>
            <w:tcW w:w="2599" w:type="dxa"/>
            <w:vMerge/>
            <w:tcBorders>
              <w:left w:val="single" w:sz="5" w:space="0" w:color="000000"/>
              <w:right w:val="single" w:sz="5" w:space="0" w:color="000000"/>
            </w:tcBorders>
          </w:tcPr>
          <w:p w14:paraId="5F2554FE"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363A73A8"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7B73D6A2"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Lymphoma**,</w:t>
            </w:r>
          </w:p>
          <w:p w14:paraId="25FE068E"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solid szervek daganatai (beleértve az emlőrákot, a tüdődaganatot és a pajzsmirigy-daganatot is), </w:t>
            </w:r>
          </w:p>
          <w:p w14:paraId="1D4E3940"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melanoma**</w:t>
            </w:r>
          </w:p>
        </w:tc>
      </w:tr>
      <w:tr w:rsidR="00130E8B" w14:paraId="74082C9B" w14:textId="77777777">
        <w:tc>
          <w:tcPr>
            <w:tcW w:w="2599" w:type="dxa"/>
            <w:vMerge/>
            <w:tcBorders>
              <w:left w:val="single" w:sz="5" w:space="0" w:color="000000"/>
              <w:right w:val="single" w:sz="5" w:space="0" w:color="000000"/>
            </w:tcBorders>
          </w:tcPr>
          <w:p w14:paraId="0ADCF2D3"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595C34B5"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Pr>
          <w:p w14:paraId="415EFC77"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Leukaemia</w:t>
            </w:r>
            <w:r>
              <w:rPr>
                <w:rFonts w:ascii="Times New Roman" w:eastAsia="Times New Roman" w:hAnsi="Times New Roman" w:cs="Times New Roman"/>
                <w:spacing w:val="-1"/>
                <w:vertAlign w:val="superscript"/>
                <w:lang w:val="hu-HU"/>
              </w:rPr>
              <w:t>1)</w:t>
            </w:r>
          </w:p>
        </w:tc>
      </w:tr>
      <w:tr w:rsidR="00130E8B" w14:paraId="7841B6C3" w14:textId="77777777">
        <w:tc>
          <w:tcPr>
            <w:tcW w:w="2599" w:type="dxa"/>
            <w:vMerge/>
            <w:tcBorders>
              <w:left w:val="single" w:sz="5" w:space="0" w:color="000000"/>
              <w:bottom w:val="single" w:sz="5" w:space="0" w:color="000000"/>
              <w:right w:val="single" w:sz="5" w:space="0" w:color="000000"/>
            </w:tcBorders>
          </w:tcPr>
          <w:p w14:paraId="78A42C2B"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4D3F632F"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ismert</w:t>
            </w:r>
          </w:p>
        </w:tc>
        <w:tc>
          <w:tcPr>
            <w:tcW w:w="4574" w:type="dxa"/>
            <w:tcBorders>
              <w:top w:val="single" w:sz="5" w:space="0" w:color="000000"/>
              <w:left w:val="single" w:sz="5" w:space="0" w:color="000000"/>
              <w:bottom w:val="single" w:sz="5" w:space="0" w:color="000000"/>
              <w:right w:val="single" w:sz="5" w:space="0" w:color="000000"/>
            </w:tcBorders>
          </w:tcPr>
          <w:p w14:paraId="13CCDBC4" w14:textId="68EE2A50" w:rsidR="00130E8B" w:rsidRDefault="000405CC" w:rsidP="009761A1">
            <w:pPr>
              <w:pStyle w:val="TableParagraph"/>
              <w:ind w:left="96"/>
              <w:rPr>
                <w:rFonts w:ascii="Times New Roman" w:eastAsia="Times New Roman" w:hAnsi="Times New Roman" w:cs="Times New Roman"/>
                <w:w w:val="99"/>
                <w:position w:val="8"/>
                <w:lang w:val="hu-HU"/>
              </w:rPr>
            </w:pPr>
            <w:r>
              <w:rPr>
                <w:rFonts w:ascii="Times New Roman" w:eastAsia="Times New Roman" w:hAnsi="Times New Roman" w:cs="Times New Roman"/>
                <w:spacing w:val="-1"/>
                <w:lang w:val="hu-HU"/>
              </w:rPr>
              <w:t>Hepatosplenicus T-sejtes lymphoma</w:t>
            </w:r>
            <w:r>
              <w:rPr>
                <w:rFonts w:ascii="Times New Roman" w:eastAsia="Times New Roman" w:hAnsi="Times New Roman" w:cs="Times New Roman"/>
                <w:spacing w:val="-1"/>
                <w:vertAlign w:val="superscript"/>
                <w:lang w:val="hu-HU"/>
              </w:rPr>
              <w:t>1)</w:t>
            </w:r>
            <w:r w:rsidR="000B459E">
              <w:rPr>
                <w:rFonts w:ascii="Times New Roman" w:eastAsia="Times New Roman" w:hAnsi="Times New Roman" w:cs="Times New Roman"/>
                <w:spacing w:val="-1"/>
                <w:lang w:val="hu-HU"/>
              </w:rPr>
              <w:t>,</w:t>
            </w:r>
          </w:p>
          <w:p w14:paraId="3517B1F0" w14:textId="19464C2A" w:rsidR="00130E8B" w:rsidRDefault="000405CC" w:rsidP="009761A1">
            <w:pPr>
              <w:pStyle w:val="TableParagraph"/>
              <w:ind w:left="96"/>
              <w:rPr>
                <w:rFonts w:ascii="Times New Roman" w:eastAsia="Times New Roman" w:hAnsi="Times New Roman" w:cs="Times New Roman"/>
                <w:w w:val="99"/>
                <w:position w:val="8"/>
                <w:lang w:val="hu-HU"/>
              </w:rPr>
            </w:pPr>
            <w:r>
              <w:rPr>
                <w:rFonts w:ascii="Times New Roman" w:eastAsia="Times New Roman" w:hAnsi="Times New Roman" w:cs="Times New Roman"/>
                <w:spacing w:val="-1"/>
                <w:lang w:val="hu-HU"/>
              </w:rPr>
              <w:t>Merkel-sejtes karcinóma (a bőr neuroendokrin daganata)</w:t>
            </w:r>
            <w:r>
              <w:rPr>
                <w:rFonts w:ascii="Times New Roman" w:eastAsia="Times New Roman" w:hAnsi="Times New Roman" w:cs="Times New Roman"/>
                <w:spacing w:val="-1"/>
                <w:vertAlign w:val="superscript"/>
                <w:lang w:val="hu-HU"/>
              </w:rPr>
              <w:t xml:space="preserve"> 1)</w:t>
            </w:r>
            <w:r w:rsidR="000B459E">
              <w:rPr>
                <w:rFonts w:ascii="Times New Roman" w:eastAsia="Times New Roman" w:hAnsi="Times New Roman" w:cs="Times New Roman"/>
                <w:spacing w:val="-1"/>
                <w:lang w:val="hu-HU"/>
              </w:rPr>
              <w:t>,</w:t>
            </w:r>
          </w:p>
          <w:p w14:paraId="691225D1" w14:textId="77777777" w:rsidR="00130E8B" w:rsidRDefault="000405CC" w:rsidP="009761A1">
            <w:pPr>
              <w:pStyle w:val="TableParagraph"/>
              <w:ind w:left="96"/>
              <w:rPr>
                <w:rFonts w:ascii="Times New Roman" w:eastAsia="Times New Roman" w:hAnsi="Times New Roman" w:cs="Times New Roman"/>
                <w:lang w:val="hu-HU"/>
              </w:rPr>
            </w:pPr>
            <w:r>
              <w:rPr>
                <w:rFonts w:ascii="Times New Roman" w:eastAsia="Times New Roman" w:hAnsi="Times New Roman" w:cs="Times New Roman"/>
                <w:spacing w:val="-1"/>
                <w:lang w:val="hu-HU"/>
              </w:rPr>
              <w:t>Kaposi-sarcoma</w:t>
            </w:r>
          </w:p>
        </w:tc>
      </w:tr>
      <w:tr w:rsidR="00130E8B" w14:paraId="585B0732" w14:textId="77777777">
        <w:tc>
          <w:tcPr>
            <w:tcW w:w="2599" w:type="dxa"/>
            <w:vMerge w:val="restart"/>
            <w:tcBorders>
              <w:top w:val="single" w:sz="5" w:space="0" w:color="000000"/>
              <w:left w:val="single" w:sz="5" w:space="0" w:color="000000"/>
              <w:right w:val="single" w:sz="5" w:space="0" w:color="000000"/>
            </w:tcBorders>
          </w:tcPr>
          <w:p w14:paraId="0C0D5001"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Vérképzőszervi és nyirokrendszeri betegségek és tünetek*</w:t>
            </w:r>
          </w:p>
        </w:tc>
        <w:tc>
          <w:tcPr>
            <w:tcW w:w="2076" w:type="dxa"/>
            <w:tcBorders>
              <w:top w:val="single" w:sz="5" w:space="0" w:color="000000"/>
              <w:left w:val="single" w:sz="5" w:space="0" w:color="000000"/>
              <w:bottom w:val="single" w:sz="5" w:space="0" w:color="000000"/>
              <w:right w:val="single" w:sz="5" w:space="0" w:color="000000"/>
            </w:tcBorders>
          </w:tcPr>
          <w:p w14:paraId="75C2DEE6"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Nagyon gyakori</w:t>
            </w:r>
          </w:p>
        </w:tc>
        <w:tc>
          <w:tcPr>
            <w:tcW w:w="4574" w:type="dxa"/>
            <w:tcBorders>
              <w:top w:val="single" w:sz="5" w:space="0" w:color="000000"/>
              <w:left w:val="single" w:sz="5" w:space="0" w:color="000000"/>
              <w:bottom w:val="single" w:sz="5" w:space="0" w:color="000000"/>
              <w:right w:val="single" w:sz="5" w:space="0" w:color="000000"/>
            </w:tcBorders>
          </w:tcPr>
          <w:p w14:paraId="4FEE01A9"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Leukopénia (beleértve a neutropéniát és az agranulocitózist is),</w:t>
            </w:r>
          </w:p>
          <w:p w14:paraId="78C27DA4"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anaemia</w:t>
            </w:r>
          </w:p>
        </w:tc>
      </w:tr>
      <w:tr w:rsidR="00130E8B" w:rsidRPr="004E2591" w14:paraId="6FF2DCE4" w14:textId="77777777">
        <w:tc>
          <w:tcPr>
            <w:tcW w:w="2599" w:type="dxa"/>
            <w:vMerge/>
            <w:tcBorders>
              <w:left w:val="single" w:sz="5" w:space="0" w:color="000000"/>
              <w:right w:val="single" w:sz="5" w:space="0" w:color="000000"/>
            </w:tcBorders>
          </w:tcPr>
          <w:p w14:paraId="372FE481"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435DEC73"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0544CB7A" w14:textId="2F508A23"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Leucocytosis</w:t>
            </w:r>
            <w:r w:rsidR="000B459E">
              <w:rPr>
                <w:rFonts w:ascii="Times New Roman" w:eastAsia="Times New Roman" w:hAnsi="Times New Roman" w:cs="Times New Roman"/>
                <w:spacing w:val="-1"/>
                <w:lang w:val="hu-HU"/>
              </w:rPr>
              <w:t>,</w:t>
            </w:r>
          </w:p>
          <w:p w14:paraId="3B3EB6AD"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thrombocytopenia</w:t>
            </w:r>
          </w:p>
        </w:tc>
      </w:tr>
      <w:tr w:rsidR="00130E8B" w:rsidRPr="004E2591" w14:paraId="58D927CA" w14:textId="77777777">
        <w:tc>
          <w:tcPr>
            <w:tcW w:w="2599" w:type="dxa"/>
            <w:vMerge/>
            <w:tcBorders>
              <w:left w:val="single" w:sz="5" w:space="0" w:color="000000"/>
              <w:right w:val="single" w:sz="5" w:space="0" w:color="000000"/>
            </w:tcBorders>
          </w:tcPr>
          <w:p w14:paraId="5311130F"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51150695"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2EAA5DB1"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4"/>
                <w:lang w:val="hu-HU"/>
              </w:rPr>
              <w:t>Idiopathás thrombocytopeniás purpura</w:t>
            </w:r>
          </w:p>
        </w:tc>
      </w:tr>
      <w:tr w:rsidR="00130E8B" w:rsidRPr="004E2591" w14:paraId="285D3C73" w14:textId="77777777">
        <w:tc>
          <w:tcPr>
            <w:tcW w:w="2599" w:type="dxa"/>
            <w:vMerge/>
            <w:tcBorders>
              <w:left w:val="single" w:sz="5" w:space="0" w:color="000000"/>
              <w:bottom w:val="single" w:sz="5" w:space="0" w:color="000000"/>
              <w:right w:val="single" w:sz="5" w:space="0" w:color="000000"/>
            </w:tcBorders>
          </w:tcPr>
          <w:p w14:paraId="1DD85E15"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109DFC1C"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Pr>
          <w:p w14:paraId="17DD85A8"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Pancytopenia</w:t>
            </w:r>
          </w:p>
        </w:tc>
      </w:tr>
      <w:tr w:rsidR="00130E8B" w14:paraId="1EAC6AB3" w14:textId="77777777">
        <w:tc>
          <w:tcPr>
            <w:tcW w:w="2599" w:type="dxa"/>
            <w:vMerge w:val="restart"/>
            <w:tcBorders>
              <w:top w:val="single" w:sz="5" w:space="0" w:color="000000"/>
              <w:left w:val="single" w:sz="5" w:space="0" w:color="000000"/>
              <w:right w:val="single" w:sz="5" w:space="0" w:color="000000"/>
            </w:tcBorders>
          </w:tcPr>
          <w:p w14:paraId="1BE4C705"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Immunrendszeri betegségek és tünetek*</w:t>
            </w:r>
          </w:p>
        </w:tc>
        <w:tc>
          <w:tcPr>
            <w:tcW w:w="2076" w:type="dxa"/>
            <w:tcBorders>
              <w:top w:val="single" w:sz="5" w:space="0" w:color="000000"/>
              <w:left w:val="single" w:sz="5" w:space="0" w:color="000000"/>
              <w:bottom w:val="single" w:sz="5" w:space="0" w:color="000000"/>
              <w:right w:val="single" w:sz="5" w:space="0" w:color="000000"/>
            </w:tcBorders>
          </w:tcPr>
          <w:p w14:paraId="32B3C9FB"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365880BE" w14:textId="3A898F81"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Hypersensitivitás</w:t>
            </w:r>
            <w:r w:rsidR="000B459E">
              <w:rPr>
                <w:rFonts w:ascii="Times New Roman" w:eastAsia="Times New Roman" w:hAnsi="Times New Roman" w:cs="Times New Roman"/>
                <w:spacing w:val="-1"/>
                <w:lang w:val="hu-HU"/>
              </w:rPr>
              <w:t>,</w:t>
            </w:r>
          </w:p>
          <w:p w14:paraId="7C4FDBB3"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allergiák (beleértve a szezonális allergiát is)</w:t>
            </w:r>
          </w:p>
        </w:tc>
      </w:tr>
      <w:tr w:rsidR="00130E8B" w14:paraId="60754E90" w14:textId="77777777">
        <w:tc>
          <w:tcPr>
            <w:tcW w:w="2599" w:type="dxa"/>
            <w:vMerge/>
            <w:tcBorders>
              <w:left w:val="single" w:sz="5" w:space="0" w:color="000000"/>
              <w:right w:val="single" w:sz="5" w:space="0" w:color="000000"/>
            </w:tcBorders>
          </w:tcPr>
          <w:p w14:paraId="5786147E"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4DCCF9D8"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58CF3046" w14:textId="77777777" w:rsidR="000B459E" w:rsidRDefault="000405CC" w:rsidP="009761A1">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Sarcoidosis</w:t>
            </w:r>
            <w:r>
              <w:rPr>
                <w:rFonts w:ascii="Times New Roman" w:eastAsia="Times New Roman" w:hAnsi="Times New Roman" w:cs="Times New Roman"/>
                <w:spacing w:val="-1"/>
                <w:vertAlign w:val="superscript"/>
                <w:lang w:val="hu-HU"/>
              </w:rPr>
              <w:t>1)</w:t>
            </w:r>
            <w:r>
              <w:rPr>
                <w:rFonts w:ascii="Times New Roman" w:eastAsia="Times New Roman" w:hAnsi="Times New Roman" w:cs="Times New Roman"/>
                <w:spacing w:val="-1"/>
                <w:lang w:val="hu-HU"/>
              </w:rPr>
              <w:t xml:space="preserve">, </w:t>
            </w:r>
          </w:p>
          <w:p w14:paraId="4B99A5AA" w14:textId="64E24DCA"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lastRenderedPageBreak/>
              <w:t>vasculitis</w:t>
            </w:r>
          </w:p>
        </w:tc>
      </w:tr>
      <w:tr w:rsidR="00130E8B" w14:paraId="37DAC2AF" w14:textId="77777777">
        <w:tc>
          <w:tcPr>
            <w:tcW w:w="2599" w:type="dxa"/>
            <w:vMerge/>
            <w:tcBorders>
              <w:left w:val="single" w:sz="5" w:space="0" w:color="000000"/>
              <w:bottom w:val="single" w:sz="5" w:space="0" w:color="000000"/>
              <w:right w:val="single" w:sz="5" w:space="0" w:color="000000"/>
            </w:tcBorders>
          </w:tcPr>
          <w:p w14:paraId="0F53C20F"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1B486177"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Pr>
          <w:p w14:paraId="42CFC58E"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Anaphylaxia</w:t>
            </w:r>
            <w:r>
              <w:rPr>
                <w:rFonts w:ascii="Times New Roman" w:eastAsia="Times New Roman" w:hAnsi="Times New Roman" w:cs="Times New Roman"/>
                <w:spacing w:val="-1"/>
                <w:vertAlign w:val="superscript"/>
                <w:lang w:val="hu-HU"/>
              </w:rPr>
              <w:t>1)</w:t>
            </w:r>
          </w:p>
        </w:tc>
      </w:tr>
      <w:tr w:rsidR="00130E8B" w14:paraId="122063C3" w14:textId="77777777">
        <w:tc>
          <w:tcPr>
            <w:tcW w:w="2599" w:type="dxa"/>
            <w:vMerge w:val="restart"/>
            <w:tcBorders>
              <w:top w:val="single" w:sz="5" w:space="0" w:color="000000"/>
              <w:left w:val="single" w:sz="5" w:space="0" w:color="000000"/>
              <w:right w:val="single" w:sz="5" w:space="0" w:color="000000"/>
            </w:tcBorders>
          </w:tcPr>
          <w:p w14:paraId="5E6B9534"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Anyagcsere és táplálkozási betegségek és tünetek:</w:t>
            </w:r>
          </w:p>
        </w:tc>
        <w:tc>
          <w:tcPr>
            <w:tcW w:w="2076" w:type="dxa"/>
            <w:tcBorders>
              <w:top w:val="single" w:sz="5" w:space="0" w:color="000000"/>
              <w:left w:val="single" w:sz="5" w:space="0" w:color="000000"/>
              <w:bottom w:val="single" w:sz="5" w:space="0" w:color="000000"/>
              <w:right w:val="single" w:sz="5" w:space="0" w:color="000000"/>
            </w:tcBorders>
          </w:tcPr>
          <w:p w14:paraId="6047DFBA"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Nagyon gyakori</w:t>
            </w:r>
          </w:p>
        </w:tc>
        <w:tc>
          <w:tcPr>
            <w:tcW w:w="4574" w:type="dxa"/>
            <w:tcBorders>
              <w:top w:val="single" w:sz="5" w:space="0" w:color="000000"/>
              <w:left w:val="single" w:sz="5" w:space="0" w:color="000000"/>
              <w:bottom w:val="single" w:sz="5" w:space="0" w:color="000000"/>
              <w:right w:val="single" w:sz="5" w:space="0" w:color="000000"/>
            </w:tcBorders>
          </w:tcPr>
          <w:p w14:paraId="405EDBBB"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Emelkedett lipidszint</w:t>
            </w:r>
          </w:p>
        </w:tc>
      </w:tr>
      <w:tr w:rsidR="00130E8B" w:rsidRPr="00BE4D18" w14:paraId="512452D8" w14:textId="77777777">
        <w:tc>
          <w:tcPr>
            <w:tcW w:w="2599" w:type="dxa"/>
            <w:vMerge/>
            <w:tcBorders>
              <w:left w:val="single" w:sz="5" w:space="0" w:color="000000"/>
              <w:bottom w:val="single" w:sz="5" w:space="0" w:color="000000"/>
              <w:right w:val="single" w:sz="5" w:space="0" w:color="000000"/>
            </w:tcBorders>
          </w:tcPr>
          <w:p w14:paraId="7F9FE69C"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345EE669"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37BA07D0"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Hypokalaemia,</w:t>
            </w:r>
          </w:p>
          <w:p w14:paraId="5E09A741" w14:textId="77777777" w:rsidR="000B459E" w:rsidRDefault="000405CC" w:rsidP="009761A1">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emelkedett húgysavszint, </w:t>
            </w:r>
          </w:p>
          <w:p w14:paraId="6C93FE9D" w14:textId="77777777" w:rsidR="000B459E" w:rsidRDefault="000405CC" w:rsidP="009761A1">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kóros nátriumszint a vérben, </w:t>
            </w:r>
          </w:p>
          <w:p w14:paraId="06926CA8" w14:textId="77777777" w:rsidR="000B459E" w:rsidRDefault="000405CC" w:rsidP="009761A1">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hypocalcaemia, </w:t>
            </w:r>
          </w:p>
          <w:p w14:paraId="7356274B" w14:textId="77777777" w:rsidR="000B459E" w:rsidRDefault="000405CC" w:rsidP="009761A1">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hyperglykaemia, </w:t>
            </w:r>
          </w:p>
          <w:p w14:paraId="5830F428" w14:textId="77777777" w:rsidR="000B459E" w:rsidRDefault="000405CC" w:rsidP="009761A1">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hypophosphataemia, </w:t>
            </w:r>
          </w:p>
          <w:p w14:paraId="76CA7CD8" w14:textId="37627BB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dehydratio</w:t>
            </w:r>
          </w:p>
        </w:tc>
      </w:tr>
      <w:tr w:rsidR="00130E8B" w14:paraId="7EEAC15B" w14:textId="77777777">
        <w:tc>
          <w:tcPr>
            <w:tcW w:w="2599" w:type="dxa"/>
            <w:tcBorders>
              <w:top w:val="single" w:sz="5" w:space="0" w:color="000000"/>
              <w:left w:val="single" w:sz="5" w:space="0" w:color="000000"/>
              <w:bottom w:val="single" w:sz="5" w:space="0" w:color="000000"/>
              <w:right w:val="single" w:sz="5" w:space="0" w:color="000000"/>
            </w:tcBorders>
          </w:tcPr>
          <w:p w14:paraId="798B035B"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Pszichiátriai kórképek</w:t>
            </w:r>
          </w:p>
        </w:tc>
        <w:tc>
          <w:tcPr>
            <w:tcW w:w="2076" w:type="dxa"/>
            <w:tcBorders>
              <w:top w:val="single" w:sz="5" w:space="0" w:color="000000"/>
              <w:left w:val="single" w:sz="5" w:space="0" w:color="000000"/>
              <w:bottom w:val="single" w:sz="5" w:space="0" w:color="000000"/>
              <w:right w:val="single" w:sz="5" w:space="0" w:color="000000"/>
            </w:tcBorders>
          </w:tcPr>
          <w:p w14:paraId="650CA08F"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30787A5F"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Hangulatváltozás (beleértve a depressziót is), szorongás,</w:t>
            </w:r>
          </w:p>
          <w:p w14:paraId="18FB61FC"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insomnia</w:t>
            </w:r>
          </w:p>
        </w:tc>
      </w:tr>
      <w:tr w:rsidR="00130E8B" w14:paraId="5BF57147" w14:textId="77777777">
        <w:tc>
          <w:tcPr>
            <w:tcW w:w="2599" w:type="dxa"/>
            <w:vMerge w:val="restart"/>
            <w:tcBorders>
              <w:top w:val="single" w:sz="5" w:space="0" w:color="000000"/>
              <w:left w:val="single" w:sz="5" w:space="0" w:color="000000"/>
              <w:right w:val="single" w:sz="5" w:space="0" w:color="000000"/>
            </w:tcBorders>
          </w:tcPr>
          <w:p w14:paraId="0F08C4D6"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Idegrendszeri betegségek és tünetek</w:t>
            </w:r>
          </w:p>
        </w:tc>
        <w:tc>
          <w:tcPr>
            <w:tcW w:w="2076" w:type="dxa"/>
            <w:tcBorders>
              <w:top w:val="single" w:sz="5" w:space="0" w:color="000000"/>
              <w:left w:val="single" w:sz="5" w:space="0" w:color="000000"/>
              <w:bottom w:val="single" w:sz="5" w:space="0" w:color="000000"/>
              <w:right w:val="single" w:sz="5" w:space="0" w:color="000000"/>
            </w:tcBorders>
          </w:tcPr>
          <w:p w14:paraId="5E73F41F"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Nagyon gyakori</w:t>
            </w:r>
          </w:p>
        </w:tc>
        <w:tc>
          <w:tcPr>
            <w:tcW w:w="4574" w:type="dxa"/>
            <w:tcBorders>
              <w:top w:val="single" w:sz="5" w:space="0" w:color="000000"/>
              <w:left w:val="single" w:sz="5" w:space="0" w:color="000000"/>
              <w:bottom w:val="single" w:sz="5" w:space="0" w:color="000000"/>
              <w:right w:val="single" w:sz="5" w:space="0" w:color="000000"/>
            </w:tcBorders>
          </w:tcPr>
          <w:p w14:paraId="216933D0"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Fejfájás</w:t>
            </w:r>
          </w:p>
        </w:tc>
      </w:tr>
      <w:tr w:rsidR="00130E8B" w14:paraId="7578621E" w14:textId="77777777">
        <w:tc>
          <w:tcPr>
            <w:tcW w:w="2599" w:type="dxa"/>
            <w:vMerge/>
            <w:tcBorders>
              <w:left w:val="single" w:sz="5" w:space="0" w:color="000000"/>
              <w:right w:val="single" w:sz="5" w:space="0" w:color="000000"/>
            </w:tcBorders>
          </w:tcPr>
          <w:p w14:paraId="72078BE7"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268F1854"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5AA50849"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Paraesthesiák (beleértve a hypaesthesiát is), migrén,</w:t>
            </w:r>
          </w:p>
          <w:p w14:paraId="083BB416"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ideggyök-kompresszió</w:t>
            </w:r>
          </w:p>
        </w:tc>
      </w:tr>
      <w:tr w:rsidR="00130E8B" w14:paraId="033B76C9" w14:textId="77777777">
        <w:tc>
          <w:tcPr>
            <w:tcW w:w="2599" w:type="dxa"/>
            <w:vMerge/>
            <w:tcBorders>
              <w:left w:val="single" w:sz="5" w:space="0" w:color="000000"/>
              <w:right w:val="single" w:sz="5" w:space="0" w:color="000000"/>
            </w:tcBorders>
          </w:tcPr>
          <w:p w14:paraId="26590698"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405ECC10"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0FC7494C"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Cerebrovascularis történés</w:t>
            </w:r>
            <w:r>
              <w:rPr>
                <w:rFonts w:ascii="Times New Roman" w:eastAsia="Times New Roman" w:hAnsi="Times New Roman" w:cs="Times New Roman"/>
                <w:spacing w:val="-1"/>
                <w:vertAlign w:val="superscript"/>
                <w:lang w:val="hu-HU"/>
              </w:rPr>
              <w:t>1)</w:t>
            </w:r>
            <w:r>
              <w:rPr>
                <w:rFonts w:ascii="Times New Roman" w:eastAsia="Times New Roman" w:hAnsi="Times New Roman" w:cs="Times New Roman"/>
                <w:spacing w:val="-1"/>
                <w:lang w:val="hu-HU"/>
              </w:rPr>
              <w:t>,</w:t>
            </w:r>
          </w:p>
          <w:p w14:paraId="6B53A706"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remegés, neuropathia</w:t>
            </w:r>
          </w:p>
        </w:tc>
      </w:tr>
      <w:tr w:rsidR="00130E8B" w:rsidRPr="00BE4D18" w14:paraId="2583B961" w14:textId="77777777">
        <w:tc>
          <w:tcPr>
            <w:tcW w:w="2599" w:type="dxa"/>
            <w:vMerge/>
            <w:tcBorders>
              <w:left w:val="single" w:sz="5" w:space="0" w:color="000000"/>
              <w:bottom w:val="single" w:sz="5" w:space="0" w:color="000000"/>
              <w:right w:val="single" w:sz="5" w:space="0" w:color="000000"/>
            </w:tcBorders>
          </w:tcPr>
          <w:p w14:paraId="1B48BC30"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506835A3"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Pr>
          <w:p w14:paraId="48DE8189"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Sclerosis multiplex</w:t>
            </w:r>
          </w:p>
          <w:p w14:paraId="1B1C3E03" w14:textId="4C70F99D"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demyelinisatiós betegségek (</w:t>
            </w:r>
            <w:r w:rsidR="00E712D7">
              <w:rPr>
                <w:rFonts w:ascii="Times New Roman" w:eastAsia="Times New Roman" w:hAnsi="Times New Roman" w:cs="Times New Roman"/>
                <w:spacing w:val="-1"/>
                <w:lang w:val="hu-HU"/>
              </w:rPr>
              <w:t>például</w:t>
            </w:r>
            <w:r>
              <w:rPr>
                <w:rFonts w:ascii="Times New Roman" w:eastAsia="Times New Roman" w:hAnsi="Times New Roman" w:cs="Times New Roman"/>
                <w:spacing w:val="-1"/>
                <w:lang w:val="hu-HU"/>
              </w:rPr>
              <w:t xml:space="preserve"> neuritis nervi optici, Guillain–Barré-szindróma</w:t>
            </w:r>
            <w:r>
              <w:rPr>
                <w:rFonts w:ascii="Times New Roman" w:eastAsia="Times New Roman" w:hAnsi="Times New Roman" w:cs="Times New Roman"/>
                <w:spacing w:val="-1"/>
                <w:vertAlign w:val="superscript"/>
                <w:lang w:val="hu-HU"/>
              </w:rPr>
              <w:t xml:space="preserve"> 1)</w:t>
            </w:r>
          </w:p>
        </w:tc>
      </w:tr>
      <w:tr w:rsidR="00130E8B" w:rsidRPr="00F70E6D" w14:paraId="42D9E43F" w14:textId="77777777">
        <w:tc>
          <w:tcPr>
            <w:tcW w:w="2599" w:type="dxa"/>
            <w:vMerge w:val="restart"/>
            <w:tcBorders>
              <w:top w:val="single" w:sz="5" w:space="0" w:color="000000"/>
              <w:left w:val="single" w:sz="5" w:space="0" w:color="000000"/>
              <w:right w:val="single" w:sz="5" w:space="0" w:color="000000"/>
            </w:tcBorders>
          </w:tcPr>
          <w:p w14:paraId="496B923C"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Szembetegségek és szemészeti tünetek</w:t>
            </w:r>
          </w:p>
        </w:tc>
        <w:tc>
          <w:tcPr>
            <w:tcW w:w="2076" w:type="dxa"/>
            <w:tcBorders>
              <w:top w:val="single" w:sz="5" w:space="0" w:color="000000"/>
              <w:left w:val="single" w:sz="5" w:space="0" w:color="000000"/>
              <w:bottom w:val="single" w:sz="5" w:space="0" w:color="000000"/>
              <w:right w:val="single" w:sz="5" w:space="0" w:color="000000"/>
            </w:tcBorders>
          </w:tcPr>
          <w:p w14:paraId="3ED5D306"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5C596AFB" w14:textId="77777777" w:rsidR="000B459E" w:rsidRDefault="000405CC" w:rsidP="009761A1">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Látásromlás, </w:t>
            </w:r>
          </w:p>
          <w:p w14:paraId="3227D13C" w14:textId="77777777" w:rsidR="000B459E" w:rsidRDefault="000405CC" w:rsidP="009761A1">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conjunctivitis, </w:t>
            </w:r>
          </w:p>
          <w:p w14:paraId="2C0D751B" w14:textId="421170F9"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blepharitis, </w:t>
            </w:r>
          </w:p>
          <w:p w14:paraId="1B52642D"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szemkörnyéki duzzanat</w:t>
            </w:r>
          </w:p>
        </w:tc>
      </w:tr>
      <w:tr w:rsidR="00130E8B" w14:paraId="41AC44C6" w14:textId="77777777">
        <w:tc>
          <w:tcPr>
            <w:tcW w:w="2599" w:type="dxa"/>
            <w:vMerge/>
            <w:tcBorders>
              <w:left w:val="single" w:sz="5" w:space="0" w:color="000000"/>
              <w:bottom w:val="single" w:sz="5" w:space="0" w:color="000000"/>
              <w:right w:val="single" w:sz="5" w:space="0" w:color="000000"/>
            </w:tcBorders>
          </w:tcPr>
          <w:p w14:paraId="3C160CD2"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34F69627"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72EB230B"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Diplopia</w:t>
            </w:r>
          </w:p>
        </w:tc>
      </w:tr>
      <w:tr w:rsidR="00130E8B" w14:paraId="31E5F83F" w14:textId="77777777">
        <w:tc>
          <w:tcPr>
            <w:tcW w:w="2599" w:type="dxa"/>
            <w:vMerge w:val="restart"/>
            <w:tcBorders>
              <w:top w:val="single" w:sz="5" w:space="0" w:color="000000"/>
              <w:left w:val="single" w:sz="5" w:space="0" w:color="000000"/>
              <w:right w:val="single" w:sz="5" w:space="0" w:color="000000"/>
            </w:tcBorders>
          </w:tcPr>
          <w:p w14:paraId="08D72970" w14:textId="77777777" w:rsidR="00130E8B" w:rsidRDefault="000405CC" w:rsidP="009761A1">
            <w:pPr>
              <w:pStyle w:val="TableParagraph"/>
              <w:ind w:left="102" w:right="196"/>
              <w:rPr>
                <w:rFonts w:ascii="Times New Roman" w:eastAsia="Times New Roman" w:hAnsi="Times New Roman" w:cs="Times New Roman"/>
                <w:lang w:val="hu-HU"/>
              </w:rPr>
            </w:pPr>
            <w:r>
              <w:rPr>
                <w:rFonts w:ascii="Times New Roman" w:eastAsia="Times New Roman" w:hAnsi="Times New Roman" w:cs="Times New Roman"/>
                <w:spacing w:val="-1"/>
                <w:lang w:val="hu-HU"/>
              </w:rPr>
              <w:t>A fül és az egyensúly- érzékelő szerv betegségei és tünetei</w:t>
            </w:r>
          </w:p>
        </w:tc>
        <w:tc>
          <w:tcPr>
            <w:tcW w:w="2076" w:type="dxa"/>
            <w:tcBorders>
              <w:top w:val="single" w:sz="5" w:space="0" w:color="000000"/>
              <w:left w:val="single" w:sz="5" w:space="0" w:color="000000"/>
              <w:bottom w:val="single" w:sz="5" w:space="0" w:color="000000"/>
              <w:right w:val="single" w:sz="5" w:space="0" w:color="000000"/>
            </w:tcBorders>
          </w:tcPr>
          <w:p w14:paraId="415D686E"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377C2D63"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Vertigo</w:t>
            </w:r>
          </w:p>
        </w:tc>
      </w:tr>
      <w:tr w:rsidR="00130E8B" w14:paraId="4785A164" w14:textId="77777777">
        <w:tc>
          <w:tcPr>
            <w:tcW w:w="2599" w:type="dxa"/>
            <w:vMerge/>
            <w:tcBorders>
              <w:left w:val="single" w:sz="5" w:space="0" w:color="000000"/>
              <w:bottom w:val="single" w:sz="5" w:space="0" w:color="000000"/>
              <w:right w:val="single" w:sz="5" w:space="0" w:color="000000"/>
            </w:tcBorders>
          </w:tcPr>
          <w:p w14:paraId="5E715516"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3CDA22C8"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17751AD1" w14:textId="72233CDF"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Süketség</w:t>
            </w:r>
            <w:r w:rsidR="000B459E">
              <w:rPr>
                <w:rFonts w:ascii="Times New Roman" w:eastAsia="Times New Roman" w:hAnsi="Times New Roman" w:cs="Times New Roman"/>
                <w:spacing w:val="-1"/>
                <w:lang w:val="hu-HU"/>
              </w:rPr>
              <w:t>,</w:t>
            </w:r>
          </w:p>
          <w:p w14:paraId="02927455"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tinnitus</w:t>
            </w:r>
          </w:p>
        </w:tc>
      </w:tr>
      <w:tr w:rsidR="00130E8B" w14:paraId="43BC285F" w14:textId="77777777">
        <w:tc>
          <w:tcPr>
            <w:tcW w:w="2599" w:type="dxa"/>
            <w:vMerge w:val="restart"/>
            <w:tcBorders>
              <w:top w:val="single" w:sz="5" w:space="0" w:color="000000"/>
              <w:left w:val="single" w:sz="5" w:space="0" w:color="000000"/>
              <w:right w:val="single" w:sz="5" w:space="0" w:color="000000"/>
            </w:tcBorders>
          </w:tcPr>
          <w:p w14:paraId="6C8D623A"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Szívbetegségek és a szívvel kapcsolatos tünetek*</w:t>
            </w:r>
          </w:p>
        </w:tc>
        <w:tc>
          <w:tcPr>
            <w:tcW w:w="2076" w:type="dxa"/>
            <w:tcBorders>
              <w:top w:val="single" w:sz="5" w:space="0" w:color="000000"/>
              <w:left w:val="single" w:sz="5" w:space="0" w:color="000000"/>
              <w:bottom w:val="single" w:sz="5" w:space="0" w:color="000000"/>
              <w:right w:val="single" w:sz="5" w:space="0" w:color="000000"/>
            </w:tcBorders>
          </w:tcPr>
          <w:p w14:paraId="06FE474E"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6402351B"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Tachycardia</w:t>
            </w:r>
          </w:p>
        </w:tc>
      </w:tr>
      <w:tr w:rsidR="00130E8B" w:rsidRPr="00BE4D18" w14:paraId="2AF1A789" w14:textId="77777777">
        <w:tc>
          <w:tcPr>
            <w:tcW w:w="2599" w:type="dxa"/>
            <w:vMerge/>
            <w:tcBorders>
              <w:left w:val="single" w:sz="5" w:space="0" w:color="000000"/>
              <w:right w:val="single" w:sz="5" w:space="0" w:color="000000"/>
            </w:tcBorders>
          </w:tcPr>
          <w:p w14:paraId="24659D01"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right w:val="single" w:sz="5" w:space="0" w:color="000000"/>
            </w:tcBorders>
          </w:tcPr>
          <w:p w14:paraId="6944F6B1"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right w:val="single" w:sz="5" w:space="0" w:color="000000"/>
            </w:tcBorders>
          </w:tcPr>
          <w:p w14:paraId="15B8E182" w14:textId="77777777" w:rsidR="00130E8B" w:rsidRDefault="000405CC" w:rsidP="009761A1">
            <w:pPr>
              <w:pStyle w:val="TableParagraph"/>
              <w:ind w:left="99" w:right="1400"/>
              <w:rPr>
                <w:rFonts w:ascii="Times New Roman" w:eastAsia="Times New Roman" w:hAnsi="Times New Roman" w:cs="Times New Roman"/>
                <w:lang w:val="hu-HU"/>
              </w:rPr>
            </w:pPr>
            <w:r>
              <w:rPr>
                <w:rFonts w:ascii="Times New Roman" w:eastAsia="Times New Roman" w:hAnsi="Times New Roman" w:cs="Times New Roman"/>
                <w:lang w:val="hu-HU"/>
              </w:rPr>
              <w:t>Myocardialis infarktus</w:t>
            </w:r>
            <w:r>
              <w:rPr>
                <w:rFonts w:ascii="Times New Roman" w:eastAsia="Times New Roman" w:hAnsi="Times New Roman" w:cs="Times New Roman"/>
                <w:vertAlign w:val="superscript"/>
                <w:lang w:val="hu-HU"/>
              </w:rPr>
              <w:t>1)</w:t>
            </w:r>
            <w:r>
              <w:rPr>
                <w:rFonts w:ascii="Times New Roman" w:eastAsia="Times New Roman" w:hAnsi="Times New Roman" w:cs="Times New Roman"/>
                <w:lang w:val="hu-HU"/>
              </w:rPr>
              <w:t>, arrhythmia,</w:t>
            </w:r>
          </w:p>
          <w:p w14:paraId="70AFFFB5"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pangásos szívelégtelenség</w:t>
            </w:r>
          </w:p>
        </w:tc>
      </w:tr>
      <w:tr w:rsidR="00130E8B" w:rsidRPr="00BE4D18" w14:paraId="4F9D72DE" w14:textId="77777777">
        <w:tc>
          <w:tcPr>
            <w:tcW w:w="2599" w:type="dxa"/>
            <w:vMerge/>
            <w:tcBorders>
              <w:left w:val="single" w:sz="5" w:space="0" w:color="000000"/>
              <w:bottom w:val="single" w:sz="5" w:space="0" w:color="000000"/>
              <w:right w:val="single" w:sz="5" w:space="0" w:color="000000"/>
            </w:tcBorders>
          </w:tcPr>
          <w:p w14:paraId="13B4F216"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1FB7FC21"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Pr>
          <w:p w14:paraId="70503210"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Szívleállás</w:t>
            </w:r>
          </w:p>
        </w:tc>
      </w:tr>
      <w:tr w:rsidR="00130E8B" w14:paraId="5B99DBD4" w14:textId="77777777">
        <w:tc>
          <w:tcPr>
            <w:tcW w:w="2599" w:type="dxa"/>
            <w:vMerge w:val="restart"/>
            <w:tcBorders>
              <w:top w:val="single" w:sz="5" w:space="0" w:color="000000"/>
              <w:left w:val="single" w:sz="5" w:space="0" w:color="000000"/>
              <w:right w:val="single" w:sz="5" w:space="0" w:color="000000"/>
            </w:tcBorders>
          </w:tcPr>
          <w:p w14:paraId="664C8D95"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Érbetegségek és tünetek:</w:t>
            </w:r>
          </w:p>
        </w:tc>
        <w:tc>
          <w:tcPr>
            <w:tcW w:w="2076" w:type="dxa"/>
            <w:tcBorders>
              <w:top w:val="single" w:sz="5" w:space="0" w:color="000000"/>
              <w:left w:val="single" w:sz="5" w:space="0" w:color="000000"/>
              <w:bottom w:val="single" w:sz="5" w:space="0" w:color="000000"/>
              <w:right w:val="single" w:sz="5" w:space="0" w:color="000000"/>
            </w:tcBorders>
          </w:tcPr>
          <w:p w14:paraId="21E06C4A"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39A72096" w14:textId="77777777" w:rsidR="00130E8B" w:rsidRDefault="000405CC" w:rsidP="009761A1">
            <w:pPr>
              <w:pStyle w:val="TableParagraph"/>
              <w:ind w:left="99" w:right="2870"/>
              <w:rPr>
                <w:rFonts w:ascii="Times New Roman" w:eastAsia="Times New Roman" w:hAnsi="Times New Roman" w:cs="Times New Roman"/>
                <w:lang w:val="hu-HU"/>
              </w:rPr>
            </w:pPr>
            <w:r>
              <w:rPr>
                <w:rFonts w:ascii="Times New Roman" w:eastAsia="Times New Roman" w:hAnsi="Times New Roman" w:cs="Times New Roman"/>
                <w:spacing w:val="-1"/>
                <w:lang w:val="hu-HU"/>
              </w:rPr>
              <w:t>Hypertensio, kipirulás, haematoma</w:t>
            </w:r>
          </w:p>
        </w:tc>
      </w:tr>
      <w:tr w:rsidR="00130E8B" w14:paraId="66781D4A" w14:textId="77777777">
        <w:tc>
          <w:tcPr>
            <w:tcW w:w="2599" w:type="dxa"/>
            <w:vMerge/>
            <w:tcBorders>
              <w:left w:val="single" w:sz="5" w:space="0" w:color="000000"/>
              <w:bottom w:val="single" w:sz="5" w:space="0" w:color="000000"/>
              <w:right w:val="single" w:sz="5" w:space="0" w:color="000000"/>
            </w:tcBorders>
          </w:tcPr>
          <w:p w14:paraId="38933CD7"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0391E25F"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0EA5F6F6"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Aorta aneurysma,</w:t>
            </w:r>
          </w:p>
          <w:p w14:paraId="02FAA203" w14:textId="77777777" w:rsidR="000B459E" w:rsidRDefault="000405CC" w:rsidP="009761A1">
            <w:pPr>
              <w:pStyle w:val="TableParagraph"/>
              <w:ind w:left="99" w:right="658"/>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artériás occlusio, </w:t>
            </w:r>
          </w:p>
          <w:p w14:paraId="0FFFE16F" w14:textId="76750981" w:rsidR="00130E8B" w:rsidRDefault="000405CC" w:rsidP="009761A1">
            <w:pPr>
              <w:pStyle w:val="TableParagraph"/>
              <w:ind w:left="99" w:right="658"/>
              <w:rPr>
                <w:rFonts w:ascii="Times New Roman" w:eastAsia="Times New Roman" w:hAnsi="Times New Roman" w:cs="Times New Roman"/>
                <w:lang w:val="hu-HU"/>
              </w:rPr>
            </w:pPr>
            <w:r>
              <w:rPr>
                <w:rFonts w:ascii="Times New Roman" w:eastAsia="Times New Roman" w:hAnsi="Times New Roman" w:cs="Times New Roman"/>
                <w:spacing w:val="-1"/>
                <w:lang w:val="hu-HU"/>
              </w:rPr>
              <w:t>thrombophlebitis</w:t>
            </w:r>
          </w:p>
        </w:tc>
      </w:tr>
      <w:tr w:rsidR="00130E8B" w:rsidRPr="00BE4D18" w14:paraId="3001EAB9" w14:textId="77777777">
        <w:tc>
          <w:tcPr>
            <w:tcW w:w="2599" w:type="dxa"/>
            <w:vMerge w:val="restart"/>
            <w:tcBorders>
              <w:top w:val="single" w:sz="5" w:space="0" w:color="000000"/>
              <w:left w:val="single" w:sz="5" w:space="0" w:color="000000"/>
              <w:right w:val="single" w:sz="5" w:space="0" w:color="000000"/>
            </w:tcBorders>
          </w:tcPr>
          <w:p w14:paraId="2908820A"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Légzőrendszeri, mellkasi és mediastinalis betegségek és tünetek*</w:t>
            </w:r>
          </w:p>
        </w:tc>
        <w:tc>
          <w:tcPr>
            <w:tcW w:w="2076" w:type="dxa"/>
            <w:tcBorders>
              <w:top w:val="single" w:sz="5" w:space="0" w:color="000000"/>
              <w:left w:val="single" w:sz="5" w:space="0" w:color="000000"/>
              <w:bottom w:val="single" w:sz="5" w:space="0" w:color="000000"/>
              <w:right w:val="single" w:sz="5" w:space="0" w:color="000000"/>
            </w:tcBorders>
          </w:tcPr>
          <w:p w14:paraId="46719186"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0DE89DFF" w14:textId="77777777" w:rsidR="00130E8B" w:rsidRDefault="000405CC" w:rsidP="009761A1">
            <w:pPr>
              <w:pStyle w:val="TableParagraph"/>
              <w:ind w:left="99" w:right="3074"/>
              <w:rPr>
                <w:rFonts w:ascii="Times New Roman" w:eastAsia="Times New Roman" w:hAnsi="Times New Roman" w:cs="Times New Roman"/>
                <w:lang w:val="hu-HU"/>
              </w:rPr>
            </w:pPr>
            <w:r>
              <w:rPr>
                <w:rFonts w:ascii="Times New Roman" w:eastAsia="Times New Roman" w:hAnsi="Times New Roman" w:cs="Times New Roman"/>
                <w:spacing w:val="-1"/>
                <w:lang w:val="hu-HU"/>
              </w:rPr>
              <w:t>Asthma, dyspnoea, köhögés</w:t>
            </w:r>
          </w:p>
        </w:tc>
      </w:tr>
      <w:tr w:rsidR="00130E8B" w14:paraId="40C36A66" w14:textId="77777777">
        <w:tc>
          <w:tcPr>
            <w:tcW w:w="2599" w:type="dxa"/>
            <w:vMerge/>
            <w:tcBorders>
              <w:left w:val="single" w:sz="5" w:space="0" w:color="000000"/>
              <w:right w:val="single" w:sz="5" w:space="0" w:color="000000"/>
            </w:tcBorders>
          </w:tcPr>
          <w:p w14:paraId="54967FB1"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2CAD83E4"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17A98C76" w14:textId="13DA2545"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Tüdőembólia</w:t>
            </w:r>
            <w:r>
              <w:rPr>
                <w:rFonts w:ascii="Times New Roman" w:eastAsia="Times New Roman" w:hAnsi="Times New Roman" w:cs="Times New Roman"/>
                <w:spacing w:val="-1"/>
                <w:vertAlign w:val="superscript"/>
                <w:lang w:val="hu-HU"/>
              </w:rPr>
              <w:t>1)</w:t>
            </w:r>
            <w:r w:rsidR="000B459E">
              <w:rPr>
                <w:rFonts w:ascii="Times New Roman" w:eastAsia="Times New Roman" w:hAnsi="Times New Roman" w:cs="Times New Roman"/>
                <w:spacing w:val="-1"/>
                <w:lang w:val="hu-HU"/>
              </w:rPr>
              <w:t>,</w:t>
            </w:r>
          </w:p>
          <w:p w14:paraId="5E7E3B0B" w14:textId="64D754E0"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interstitialis tüdőbetegség</w:t>
            </w:r>
            <w:r w:rsidR="000B459E">
              <w:rPr>
                <w:rFonts w:ascii="Times New Roman" w:eastAsia="Times New Roman" w:hAnsi="Times New Roman" w:cs="Times New Roman"/>
                <w:spacing w:val="-1"/>
                <w:lang w:val="hu-HU"/>
              </w:rPr>
              <w:t>,</w:t>
            </w:r>
          </w:p>
          <w:p w14:paraId="121D1A8A" w14:textId="77777777" w:rsidR="000B459E" w:rsidRDefault="000405CC" w:rsidP="009761A1">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krónikus obstruktív tüdőbetegség, </w:t>
            </w:r>
          </w:p>
          <w:p w14:paraId="2BAC0D55" w14:textId="3DEEED94"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pneumonitis,</w:t>
            </w:r>
          </w:p>
          <w:p w14:paraId="028844C8"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pleuralis folyadékgyülem</w:t>
            </w:r>
            <w:r>
              <w:rPr>
                <w:rFonts w:ascii="Times New Roman" w:eastAsia="Times New Roman" w:hAnsi="Times New Roman" w:cs="Times New Roman"/>
                <w:spacing w:val="-1"/>
                <w:vertAlign w:val="superscript"/>
                <w:lang w:val="hu-HU"/>
              </w:rPr>
              <w:t>1)</w:t>
            </w:r>
          </w:p>
        </w:tc>
      </w:tr>
      <w:tr w:rsidR="00130E8B" w14:paraId="2B47B671" w14:textId="77777777">
        <w:tc>
          <w:tcPr>
            <w:tcW w:w="2599" w:type="dxa"/>
            <w:vMerge/>
            <w:tcBorders>
              <w:left w:val="single" w:sz="5" w:space="0" w:color="000000"/>
              <w:bottom w:val="single" w:sz="5" w:space="0" w:color="000000"/>
              <w:right w:val="single" w:sz="5" w:space="0" w:color="000000"/>
            </w:tcBorders>
          </w:tcPr>
          <w:p w14:paraId="23D5984F"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5440E398"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Pr>
          <w:p w14:paraId="58681057"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Tüdőfibrosis</w:t>
            </w:r>
            <w:r>
              <w:rPr>
                <w:rFonts w:ascii="Times New Roman" w:eastAsia="Times New Roman" w:hAnsi="Times New Roman" w:cs="Times New Roman"/>
                <w:spacing w:val="-1"/>
                <w:vertAlign w:val="superscript"/>
                <w:lang w:val="hu-HU"/>
              </w:rPr>
              <w:t>1)</w:t>
            </w:r>
          </w:p>
        </w:tc>
      </w:tr>
      <w:tr w:rsidR="00130E8B" w14:paraId="2F753366" w14:textId="77777777">
        <w:tc>
          <w:tcPr>
            <w:tcW w:w="2599" w:type="dxa"/>
            <w:vMerge w:val="restart"/>
            <w:tcBorders>
              <w:top w:val="single" w:sz="5" w:space="0" w:color="000000"/>
              <w:left w:val="single" w:sz="5" w:space="0" w:color="000000"/>
              <w:right w:val="single" w:sz="5" w:space="0" w:color="000000"/>
            </w:tcBorders>
          </w:tcPr>
          <w:p w14:paraId="792EE8E9"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Emésztőrendszeri betegségek és tünetek</w:t>
            </w:r>
          </w:p>
        </w:tc>
        <w:tc>
          <w:tcPr>
            <w:tcW w:w="2076" w:type="dxa"/>
            <w:tcBorders>
              <w:top w:val="single" w:sz="5" w:space="0" w:color="000000"/>
              <w:left w:val="single" w:sz="5" w:space="0" w:color="000000"/>
              <w:bottom w:val="single" w:sz="5" w:space="0" w:color="000000"/>
              <w:right w:val="single" w:sz="5" w:space="0" w:color="000000"/>
            </w:tcBorders>
          </w:tcPr>
          <w:p w14:paraId="17AA2703"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Nagyon gyakori</w:t>
            </w:r>
          </w:p>
        </w:tc>
        <w:tc>
          <w:tcPr>
            <w:tcW w:w="4574" w:type="dxa"/>
            <w:tcBorders>
              <w:top w:val="single" w:sz="5" w:space="0" w:color="000000"/>
              <w:left w:val="single" w:sz="5" w:space="0" w:color="000000"/>
              <w:bottom w:val="single" w:sz="5" w:space="0" w:color="000000"/>
              <w:right w:val="single" w:sz="5" w:space="0" w:color="000000"/>
            </w:tcBorders>
          </w:tcPr>
          <w:p w14:paraId="64018A21" w14:textId="77777777" w:rsidR="000B459E" w:rsidRDefault="000405CC" w:rsidP="009761A1">
            <w:pPr>
              <w:pStyle w:val="TableParagraph"/>
              <w:ind w:left="99" w:right="2425"/>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Hasi fájdalom, hányinger, </w:t>
            </w:r>
          </w:p>
          <w:p w14:paraId="75A75502" w14:textId="17F9C4D9" w:rsidR="00130E8B" w:rsidRDefault="000405CC" w:rsidP="009761A1">
            <w:pPr>
              <w:pStyle w:val="TableParagraph"/>
              <w:ind w:left="99" w:right="2425"/>
              <w:rPr>
                <w:rFonts w:ascii="Times New Roman" w:eastAsia="Times New Roman" w:hAnsi="Times New Roman" w:cs="Times New Roman"/>
                <w:lang w:val="hu-HU"/>
              </w:rPr>
            </w:pPr>
            <w:r>
              <w:rPr>
                <w:rFonts w:ascii="Times New Roman" w:eastAsia="Times New Roman" w:hAnsi="Times New Roman" w:cs="Times New Roman"/>
                <w:spacing w:val="-1"/>
                <w:lang w:val="hu-HU"/>
              </w:rPr>
              <w:t>hányás</w:t>
            </w:r>
          </w:p>
        </w:tc>
      </w:tr>
      <w:tr w:rsidR="00130E8B" w:rsidRPr="00BE4D18" w14:paraId="0F6D19A8" w14:textId="77777777">
        <w:tc>
          <w:tcPr>
            <w:tcW w:w="2599" w:type="dxa"/>
            <w:vMerge/>
            <w:tcBorders>
              <w:left w:val="single" w:sz="5" w:space="0" w:color="000000"/>
              <w:right w:val="single" w:sz="5" w:space="0" w:color="000000"/>
            </w:tcBorders>
          </w:tcPr>
          <w:p w14:paraId="3E41ABB1"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786484C2"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4345F00D" w14:textId="59606026"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Gastrointestinalis vérzés</w:t>
            </w:r>
            <w:r w:rsidR="000B459E">
              <w:rPr>
                <w:rFonts w:ascii="Times New Roman" w:eastAsia="Times New Roman" w:hAnsi="Times New Roman" w:cs="Times New Roman"/>
                <w:spacing w:val="1"/>
                <w:lang w:val="hu-HU"/>
              </w:rPr>
              <w:t>,</w:t>
            </w:r>
          </w:p>
          <w:p w14:paraId="6D16FA03"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Dyspepsia</w:t>
            </w:r>
          </w:p>
          <w:p w14:paraId="25823662"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Gastrooesophagealis refluxbetegség</w:t>
            </w:r>
          </w:p>
        </w:tc>
      </w:tr>
      <w:tr w:rsidR="00130E8B" w14:paraId="44AE5DD5" w14:textId="77777777">
        <w:tc>
          <w:tcPr>
            <w:tcW w:w="2599" w:type="dxa"/>
            <w:vMerge/>
            <w:tcBorders>
              <w:left w:val="single" w:sz="5" w:space="0" w:color="000000"/>
              <w:right w:val="single" w:sz="5" w:space="0" w:color="000000"/>
            </w:tcBorders>
          </w:tcPr>
          <w:p w14:paraId="677E0384"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6859D5B6"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5968A37F"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Pancreatitis,</w:t>
            </w:r>
          </w:p>
          <w:p w14:paraId="3C23B31A" w14:textId="77777777" w:rsidR="000B459E" w:rsidRDefault="000405CC" w:rsidP="009761A1">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dysphagia, </w:t>
            </w:r>
          </w:p>
          <w:p w14:paraId="1E552D0F" w14:textId="22373CC9"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arc-oedema</w:t>
            </w:r>
          </w:p>
        </w:tc>
      </w:tr>
      <w:tr w:rsidR="00130E8B" w14:paraId="2F75B761" w14:textId="77777777">
        <w:tc>
          <w:tcPr>
            <w:tcW w:w="2599" w:type="dxa"/>
            <w:vMerge/>
            <w:tcBorders>
              <w:left w:val="single" w:sz="5" w:space="0" w:color="000000"/>
              <w:bottom w:val="single" w:sz="5" w:space="0" w:color="000000"/>
              <w:right w:val="single" w:sz="5" w:space="0" w:color="000000"/>
            </w:tcBorders>
          </w:tcPr>
          <w:p w14:paraId="705295DC"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2B4BFED3"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Pr>
          <w:p w14:paraId="1D7BBFB1"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4"/>
                <w:lang w:val="hu-HU"/>
              </w:rPr>
              <w:t>bélperforáció</w:t>
            </w:r>
            <w:r>
              <w:rPr>
                <w:rFonts w:ascii="Times New Roman" w:eastAsia="Times New Roman" w:hAnsi="Times New Roman" w:cs="Times New Roman"/>
                <w:spacing w:val="-4"/>
                <w:vertAlign w:val="superscript"/>
                <w:lang w:val="hu-HU"/>
              </w:rPr>
              <w:t>1)</w:t>
            </w:r>
          </w:p>
        </w:tc>
      </w:tr>
      <w:tr w:rsidR="00130E8B" w14:paraId="06D80629" w14:textId="77777777">
        <w:tc>
          <w:tcPr>
            <w:tcW w:w="2599" w:type="dxa"/>
            <w:vMerge w:val="restart"/>
            <w:tcBorders>
              <w:top w:val="single" w:sz="5" w:space="0" w:color="000000"/>
              <w:left w:val="single" w:sz="5" w:space="0" w:color="000000"/>
              <w:right w:val="single" w:sz="5" w:space="0" w:color="000000"/>
            </w:tcBorders>
          </w:tcPr>
          <w:p w14:paraId="5208C20E"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Máj- és epebetegségek, illetve tünetek*</w:t>
            </w:r>
          </w:p>
        </w:tc>
        <w:tc>
          <w:tcPr>
            <w:tcW w:w="2076" w:type="dxa"/>
            <w:tcBorders>
              <w:top w:val="single" w:sz="5" w:space="0" w:color="000000"/>
              <w:left w:val="single" w:sz="5" w:space="0" w:color="000000"/>
              <w:bottom w:val="single" w:sz="5" w:space="0" w:color="000000"/>
              <w:right w:val="single" w:sz="5" w:space="0" w:color="000000"/>
            </w:tcBorders>
          </w:tcPr>
          <w:p w14:paraId="3509674E"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Nagyon gyakori</w:t>
            </w:r>
          </w:p>
        </w:tc>
        <w:tc>
          <w:tcPr>
            <w:tcW w:w="4574" w:type="dxa"/>
            <w:tcBorders>
              <w:top w:val="single" w:sz="5" w:space="0" w:color="000000"/>
              <w:left w:val="single" w:sz="5" w:space="0" w:color="000000"/>
              <w:bottom w:val="single" w:sz="5" w:space="0" w:color="000000"/>
              <w:right w:val="single" w:sz="5" w:space="0" w:color="000000"/>
            </w:tcBorders>
          </w:tcPr>
          <w:p w14:paraId="44CCFB78"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Emelkedett májenzimszintek</w:t>
            </w:r>
          </w:p>
        </w:tc>
      </w:tr>
      <w:tr w:rsidR="00130E8B" w14:paraId="0A3B969E" w14:textId="77777777">
        <w:tc>
          <w:tcPr>
            <w:tcW w:w="2599" w:type="dxa"/>
            <w:vMerge/>
            <w:tcBorders>
              <w:left w:val="single" w:sz="5" w:space="0" w:color="000000"/>
              <w:right w:val="single" w:sz="5" w:space="0" w:color="000000"/>
            </w:tcBorders>
          </w:tcPr>
          <w:p w14:paraId="28710506"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12DA7E84"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63343E6E"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Cholecystitis és cholelithiasis</w:t>
            </w:r>
          </w:p>
          <w:p w14:paraId="4E439AF2" w14:textId="77777777" w:rsidR="000B459E"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 xml:space="preserve">steatosis hepatis, </w:t>
            </w:r>
          </w:p>
          <w:p w14:paraId="664BEFCE" w14:textId="20072C85"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emelkedett bilirubinszint</w:t>
            </w:r>
          </w:p>
        </w:tc>
      </w:tr>
      <w:tr w:rsidR="00130E8B" w:rsidRPr="00BE4D18" w14:paraId="2BD6D2B1" w14:textId="77777777">
        <w:tc>
          <w:tcPr>
            <w:tcW w:w="2599" w:type="dxa"/>
            <w:vMerge/>
            <w:tcBorders>
              <w:left w:val="single" w:sz="5" w:space="0" w:color="000000"/>
              <w:right w:val="single" w:sz="5" w:space="0" w:color="000000"/>
            </w:tcBorders>
          </w:tcPr>
          <w:p w14:paraId="2B0DEAA4"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right w:val="single" w:sz="5" w:space="0" w:color="000000"/>
            </w:tcBorders>
          </w:tcPr>
          <w:p w14:paraId="4FEF54BE"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right w:val="single" w:sz="5" w:space="0" w:color="000000"/>
            </w:tcBorders>
          </w:tcPr>
          <w:p w14:paraId="2B92DB96" w14:textId="0F6B2BCA"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Hepatitis</w:t>
            </w:r>
            <w:r w:rsidR="000B459E">
              <w:rPr>
                <w:rFonts w:ascii="Times New Roman" w:eastAsia="Times New Roman" w:hAnsi="Times New Roman" w:cs="Times New Roman"/>
                <w:spacing w:val="-1"/>
                <w:lang w:val="hu-HU"/>
              </w:rPr>
              <w:t>,</w:t>
            </w:r>
          </w:p>
          <w:p w14:paraId="3BFEC5CF" w14:textId="2F587CDE"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hepatitis B reaktiválódása</w:t>
            </w:r>
            <w:r>
              <w:rPr>
                <w:rFonts w:ascii="Times New Roman" w:eastAsia="Times New Roman" w:hAnsi="Times New Roman" w:cs="Times New Roman"/>
                <w:spacing w:val="-1"/>
                <w:vertAlign w:val="superscript"/>
                <w:lang w:val="hu-HU"/>
              </w:rPr>
              <w:t>1)</w:t>
            </w:r>
            <w:r w:rsidR="000B459E">
              <w:rPr>
                <w:rFonts w:ascii="Times New Roman" w:eastAsia="Times New Roman" w:hAnsi="Times New Roman" w:cs="Times New Roman"/>
                <w:spacing w:val="-1"/>
                <w:lang w:val="hu-HU"/>
              </w:rPr>
              <w:t>,</w:t>
            </w:r>
          </w:p>
          <w:p w14:paraId="37F77882"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autoimmun hepatitis</w:t>
            </w:r>
            <w:r>
              <w:rPr>
                <w:rFonts w:ascii="Times New Roman" w:eastAsia="Times New Roman" w:hAnsi="Times New Roman" w:cs="Times New Roman"/>
                <w:spacing w:val="-1"/>
                <w:vertAlign w:val="superscript"/>
                <w:lang w:val="hu-HU"/>
              </w:rPr>
              <w:t>1)</w:t>
            </w:r>
          </w:p>
        </w:tc>
      </w:tr>
      <w:tr w:rsidR="00130E8B" w14:paraId="09A86E91" w14:textId="77777777">
        <w:tc>
          <w:tcPr>
            <w:tcW w:w="2599" w:type="dxa"/>
            <w:vMerge/>
            <w:tcBorders>
              <w:left w:val="single" w:sz="5" w:space="0" w:color="000000"/>
              <w:bottom w:val="single" w:sz="5" w:space="0" w:color="000000"/>
              <w:right w:val="single" w:sz="5" w:space="0" w:color="000000"/>
            </w:tcBorders>
          </w:tcPr>
          <w:p w14:paraId="6B5DA45E"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0277A2B6"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ismert</w:t>
            </w:r>
          </w:p>
        </w:tc>
        <w:tc>
          <w:tcPr>
            <w:tcW w:w="4574" w:type="dxa"/>
            <w:tcBorders>
              <w:top w:val="single" w:sz="5" w:space="0" w:color="000000"/>
              <w:left w:val="single" w:sz="5" w:space="0" w:color="000000"/>
              <w:bottom w:val="single" w:sz="5" w:space="0" w:color="000000"/>
              <w:right w:val="single" w:sz="5" w:space="0" w:color="000000"/>
            </w:tcBorders>
          </w:tcPr>
          <w:p w14:paraId="42A9DDA2"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Májelégtelenség</w:t>
            </w:r>
            <w:r>
              <w:rPr>
                <w:rFonts w:ascii="Times New Roman" w:eastAsia="Times New Roman" w:hAnsi="Times New Roman" w:cs="Times New Roman"/>
                <w:spacing w:val="-1"/>
                <w:vertAlign w:val="superscript"/>
                <w:lang w:val="hu-HU"/>
              </w:rPr>
              <w:t xml:space="preserve"> 1)</w:t>
            </w:r>
          </w:p>
        </w:tc>
      </w:tr>
      <w:tr w:rsidR="00130E8B" w:rsidRPr="00BE4D18" w14:paraId="0F53AC70" w14:textId="77777777">
        <w:tc>
          <w:tcPr>
            <w:tcW w:w="2599" w:type="dxa"/>
            <w:vMerge w:val="restart"/>
            <w:tcBorders>
              <w:top w:val="single" w:sz="5" w:space="0" w:color="000000"/>
              <w:left w:val="single" w:sz="5" w:space="0" w:color="000000"/>
              <w:right w:val="single" w:sz="5" w:space="0" w:color="000000"/>
            </w:tcBorders>
          </w:tcPr>
          <w:p w14:paraId="1DA66B92" w14:textId="77777777" w:rsidR="00130E8B" w:rsidRDefault="000405CC" w:rsidP="009761A1">
            <w:pPr>
              <w:pStyle w:val="TableParagraph"/>
              <w:ind w:left="102" w:right="11"/>
              <w:rPr>
                <w:rFonts w:ascii="Times New Roman" w:eastAsia="Times New Roman" w:hAnsi="Times New Roman" w:cs="Times New Roman"/>
                <w:lang w:val="hu-HU"/>
              </w:rPr>
            </w:pPr>
            <w:r>
              <w:rPr>
                <w:rFonts w:ascii="Times New Roman" w:eastAsia="Times New Roman" w:hAnsi="Times New Roman" w:cs="Times New Roman"/>
                <w:spacing w:val="-1"/>
                <w:lang w:val="hu-HU"/>
              </w:rPr>
              <w:t>A bőr és a bőr alatti szövet betegségei és tünetei:</w:t>
            </w:r>
          </w:p>
        </w:tc>
        <w:tc>
          <w:tcPr>
            <w:tcW w:w="2076" w:type="dxa"/>
            <w:tcBorders>
              <w:top w:val="single" w:sz="5" w:space="0" w:color="000000"/>
              <w:left w:val="single" w:sz="5" w:space="0" w:color="000000"/>
              <w:bottom w:val="single" w:sz="5" w:space="0" w:color="000000"/>
              <w:right w:val="single" w:sz="5" w:space="0" w:color="000000"/>
            </w:tcBorders>
          </w:tcPr>
          <w:p w14:paraId="1479910A"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Nagyon gyakori</w:t>
            </w:r>
          </w:p>
        </w:tc>
        <w:tc>
          <w:tcPr>
            <w:tcW w:w="4574" w:type="dxa"/>
            <w:tcBorders>
              <w:top w:val="single" w:sz="5" w:space="0" w:color="000000"/>
              <w:left w:val="single" w:sz="5" w:space="0" w:color="000000"/>
              <w:bottom w:val="single" w:sz="5" w:space="0" w:color="000000"/>
              <w:right w:val="single" w:sz="5" w:space="0" w:color="000000"/>
            </w:tcBorders>
          </w:tcPr>
          <w:p w14:paraId="16BDEDAC"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Bőrkiütés (beleértve az exfoliatív bőrkiütést is)</w:t>
            </w:r>
          </w:p>
        </w:tc>
      </w:tr>
      <w:tr w:rsidR="00130E8B" w14:paraId="306329C4" w14:textId="77777777">
        <w:tc>
          <w:tcPr>
            <w:tcW w:w="2599" w:type="dxa"/>
            <w:vMerge/>
            <w:tcBorders>
              <w:left w:val="single" w:sz="5" w:space="0" w:color="000000"/>
              <w:right w:val="single" w:sz="5" w:space="0" w:color="000000"/>
            </w:tcBorders>
          </w:tcPr>
          <w:p w14:paraId="180B0D12"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7B0130D8"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3121FA9A" w14:textId="77777777" w:rsidR="000B459E"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 xml:space="preserve">Psoriasis rosszabbodása, </w:t>
            </w:r>
          </w:p>
          <w:p w14:paraId="2F67520A" w14:textId="32D47241" w:rsidR="000B459E" w:rsidRDefault="000405CC" w:rsidP="009761A1">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lang w:val="hu-HU"/>
              </w:rPr>
              <w:t>illetve újonnan kialakulása (beleértve a</w:t>
            </w:r>
            <w:r w:rsidR="000B459E">
              <w:rPr>
                <w:rFonts w:ascii="Times New Roman" w:eastAsia="Times New Roman" w:hAnsi="Times New Roman" w:cs="Times New Roman"/>
                <w:lang w:val="hu-HU"/>
              </w:rPr>
              <w:t xml:space="preserve"> </w:t>
            </w:r>
            <w:r>
              <w:rPr>
                <w:rFonts w:ascii="Times New Roman" w:eastAsia="Times New Roman" w:hAnsi="Times New Roman" w:cs="Times New Roman"/>
                <w:spacing w:val="-1"/>
                <w:lang w:val="hu-HU"/>
              </w:rPr>
              <w:t>palmoplantaris pustulosus psoriasist)</w:t>
            </w:r>
            <w:r>
              <w:rPr>
                <w:rFonts w:ascii="Times New Roman" w:eastAsia="Times New Roman" w:hAnsi="Times New Roman" w:cs="Times New Roman"/>
                <w:spacing w:val="-1"/>
                <w:vertAlign w:val="superscript"/>
                <w:lang w:val="hu-HU"/>
              </w:rPr>
              <w:t>1)</w:t>
            </w:r>
            <w:r>
              <w:rPr>
                <w:rFonts w:ascii="Times New Roman" w:eastAsia="Times New Roman" w:hAnsi="Times New Roman" w:cs="Times New Roman"/>
                <w:spacing w:val="-1"/>
                <w:lang w:val="hu-HU"/>
              </w:rPr>
              <w:t xml:space="preserve">, </w:t>
            </w:r>
          </w:p>
          <w:p w14:paraId="7B0E4CFD" w14:textId="44E20F0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urticaria,</w:t>
            </w:r>
          </w:p>
          <w:p w14:paraId="6EAC8702" w14:textId="3E4EA979"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suffusio (beleértve a purpurát is)</w:t>
            </w:r>
            <w:r w:rsidR="000B459E">
              <w:rPr>
                <w:rFonts w:ascii="Times New Roman" w:eastAsia="Times New Roman" w:hAnsi="Times New Roman" w:cs="Times New Roman"/>
                <w:spacing w:val="-1"/>
                <w:lang w:val="hu-HU"/>
              </w:rPr>
              <w:t>,</w:t>
            </w:r>
          </w:p>
          <w:p w14:paraId="43934306" w14:textId="77777777" w:rsidR="000B459E" w:rsidRDefault="000405CC" w:rsidP="009761A1">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dermatitis (beleértve az ekzémát is), </w:t>
            </w:r>
          </w:p>
          <w:p w14:paraId="6BC456BA" w14:textId="538C2C7B"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onychoclasia,</w:t>
            </w:r>
          </w:p>
          <w:p w14:paraId="66401946"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hyperhidrosis,</w:t>
            </w:r>
          </w:p>
          <w:p w14:paraId="40248618" w14:textId="77777777" w:rsidR="000B459E" w:rsidRDefault="000405CC" w:rsidP="009761A1">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alopecia</w:t>
            </w:r>
            <w:r>
              <w:rPr>
                <w:rFonts w:ascii="Times New Roman" w:eastAsia="Times New Roman" w:hAnsi="Times New Roman" w:cs="Times New Roman"/>
                <w:spacing w:val="-1"/>
                <w:vertAlign w:val="superscript"/>
                <w:lang w:val="hu-HU"/>
              </w:rPr>
              <w:t>1)</w:t>
            </w:r>
            <w:r>
              <w:rPr>
                <w:rFonts w:ascii="Times New Roman" w:eastAsia="Times New Roman" w:hAnsi="Times New Roman" w:cs="Times New Roman"/>
                <w:spacing w:val="-1"/>
                <w:lang w:val="hu-HU"/>
              </w:rPr>
              <w:t xml:space="preserve">, </w:t>
            </w:r>
          </w:p>
          <w:p w14:paraId="44168E70" w14:textId="7F2B6DE9"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pruritus</w:t>
            </w:r>
          </w:p>
        </w:tc>
      </w:tr>
      <w:tr w:rsidR="00130E8B" w:rsidRPr="00BE4D18" w14:paraId="02CAF16C" w14:textId="77777777">
        <w:tc>
          <w:tcPr>
            <w:tcW w:w="2599" w:type="dxa"/>
            <w:vMerge/>
            <w:tcBorders>
              <w:left w:val="single" w:sz="5" w:space="0" w:color="000000"/>
              <w:right w:val="single" w:sz="5" w:space="0" w:color="000000"/>
            </w:tcBorders>
          </w:tcPr>
          <w:p w14:paraId="67461E31"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08011D6A"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2DD2164B"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Éjszakai verítékezés,</w:t>
            </w:r>
          </w:p>
          <w:p w14:paraId="6FAE0A38"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hegesedés</w:t>
            </w:r>
          </w:p>
        </w:tc>
      </w:tr>
      <w:tr w:rsidR="00130E8B" w:rsidRPr="00F70E6D" w14:paraId="0FB3F4CE" w14:textId="77777777">
        <w:tc>
          <w:tcPr>
            <w:tcW w:w="2599" w:type="dxa"/>
            <w:vMerge/>
            <w:tcBorders>
              <w:left w:val="single" w:sz="5" w:space="0" w:color="000000"/>
              <w:right w:val="single" w:sz="5" w:space="0" w:color="000000"/>
            </w:tcBorders>
          </w:tcPr>
          <w:p w14:paraId="3E9C5F14"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0FF84781"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Pr>
          <w:p w14:paraId="7219D16E" w14:textId="77777777" w:rsidR="000B459E" w:rsidRDefault="000405CC" w:rsidP="009761A1">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erythema multiforme</w:t>
            </w:r>
            <w:r>
              <w:rPr>
                <w:rFonts w:ascii="Times New Roman" w:eastAsia="Times New Roman" w:hAnsi="Times New Roman" w:cs="Times New Roman"/>
                <w:spacing w:val="-1"/>
                <w:vertAlign w:val="superscript"/>
                <w:lang w:val="hu-HU"/>
              </w:rPr>
              <w:t>1)</w:t>
            </w:r>
            <w:r>
              <w:rPr>
                <w:rFonts w:ascii="Times New Roman" w:eastAsia="Times New Roman" w:hAnsi="Times New Roman" w:cs="Times New Roman"/>
                <w:spacing w:val="-1"/>
                <w:lang w:val="hu-HU"/>
              </w:rPr>
              <w:t xml:space="preserve">, </w:t>
            </w:r>
          </w:p>
          <w:p w14:paraId="02C0B8D1" w14:textId="77777777" w:rsidR="000B459E" w:rsidRDefault="000405CC" w:rsidP="009761A1">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Stevens-Johnson-szindróma</w:t>
            </w:r>
            <w:r>
              <w:rPr>
                <w:rFonts w:ascii="Times New Roman" w:eastAsia="Times New Roman" w:hAnsi="Times New Roman" w:cs="Times New Roman"/>
                <w:spacing w:val="-1"/>
                <w:vertAlign w:val="superscript"/>
                <w:lang w:val="hu-HU"/>
              </w:rPr>
              <w:t>1)</w:t>
            </w:r>
            <w:r>
              <w:rPr>
                <w:rFonts w:ascii="Times New Roman" w:eastAsia="Times New Roman" w:hAnsi="Times New Roman" w:cs="Times New Roman"/>
                <w:spacing w:val="-1"/>
                <w:lang w:val="hu-HU"/>
              </w:rPr>
              <w:t xml:space="preserve"> , </w:t>
            </w:r>
          </w:p>
          <w:p w14:paraId="42DBE40C" w14:textId="6CD35715"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angioodema</w:t>
            </w:r>
            <w:r>
              <w:rPr>
                <w:rFonts w:ascii="Times New Roman" w:eastAsia="Times New Roman" w:hAnsi="Times New Roman" w:cs="Times New Roman"/>
                <w:spacing w:val="-1"/>
                <w:vertAlign w:val="superscript"/>
                <w:lang w:val="hu-HU"/>
              </w:rPr>
              <w:t xml:space="preserve"> 1)</w:t>
            </w:r>
            <w:r>
              <w:rPr>
                <w:rFonts w:ascii="Times New Roman" w:eastAsia="Times New Roman" w:hAnsi="Times New Roman" w:cs="Times New Roman"/>
                <w:spacing w:val="-1"/>
                <w:lang w:val="hu-HU"/>
              </w:rPr>
              <w:t xml:space="preserve"> ,</w:t>
            </w:r>
          </w:p>
          <w:p w14:paraId="3604C3C4" w14:textId="77777777" w:rsidR="000B459E" w:rsidRDefault="000405CC" w:rsidP="009761A1">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cutan vasculitis</w:t>
            </w:r>
            <w:r>
              <w:rPr>
                <w:rFonts w:ascii="Times New Roman" w:eastAsia="Times New Roman" w:hAnsi="Times New Roman" w:cs="Times New Roman"/>
                <w:spacing w:val="-1"/>
                <w:vertAlign w:val="superscript"/>
                <w:lang w:val="hu-HU"/>
              </w:rPr>
              <w:t>1)</w:t>
            </w:r>
            <w:r w:rsidR="000B459E">
              <w:rPr>
                <w:rFonts w:ascii="Times New Roman" w:eastAsia="Times New Roman" w:hAnsi="Times New Roman" w:cs="Times New Roman"/>
                <w:spacing w:val="-1"/>
                <w:lang w:val="hu-HU"/>
              </w:rPr>
              <w:t>,</w:t>
            </w:r>
            <w:r>
              <w:rPr>
                <w:rFonts w:ascii="Times New Roman" w:eastAsia="Times New Roman" w:hAnsi="Times New Roman" w:cs="Times New Roman"/>
                <w:spacing w:val="-1"/>
                <w:lang w:val="hu-HU"/>
              </w:rPr>
              <w:t xml:space="preserve"> </w:t>
            </w:r>
          </w:p>
          <w:p w14:paraId="08C88571" w14:textId="67DA1FD9"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lichenoid bőrreakció</w:t>
            </w:r>
            <w:r>
              <w:rPr>
                <w:rFonts w:ascii="Times New Roman" w:eastAsia="Times New Roman" w:hAnsi="Times New Roman" w:cs="Times New Roman"/>
                <w:spacing w:val="-1"/>
                <w:vertAlign w:val="superscript"/>
                <w:lang w:val="hu-HU"/>
              </w:rPr>
              <w:t xml:space="preserve"> 1)</w:t>
            </w:r>
          </w:p>
        </w:tc>
      </w:tr>
      <w:tr w:rsidR="00130E8B" w14:paraId="2647BE30" w14:textId="77777777">
        <w:tc>
          <w:tcPr>
            <w:tcW w:w="2599" w:type="dxa"/>
            <w:vMerge/>
            <w:tcBorders>
              <w:left w:val="single" w:sz="5" w:space="0" w:color="000000"/>
              <w:bottom w:val="single" w:sz="5" w:space="0" w:color="000000"/>
              <w:right w:val="single" w:sz="5" w:space="0" w:color="000000"/>
            </w:tcBorders>
          </w:tcPr>
          <w:p w14:paraId="05C33185"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2C4F7503"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ismert</w:t>
            </w:r>
          </w:p>
        </w:tc>
        <w:tc>
          <w:tcPr>
            <w:tcW w:w="4574" w:type="dxa"/>
            <w:tcBorders>
              <w:top w:val="single" w:sz="5" w:space="0" w:color="000000"/>
              <w:left w:val="single" w:sz="5" w:space="0" w:color="000000"/>
              <w:bottom w:val="single" w:sz="5" w:space="0" w:color="000000"/>
              <w:right w:val="single" w:sz="5" w:space="0" w:color="000000"/>
            </w:tcBorders>
          </w:tcPr>
          <w:p w14:paraId="7F48C8AE"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A dermatomyositis tüneteinek súlyosbodása</w:t>
            </w:r>
            <w:r>
              <w:rPr>
                <w:rFonts w:ascii="Times New Roman" w:eastAsia="Times New Roman" w:hAnsi="Times New Roman" w:cs="Times New Roman"/>
                <w:vertAlign w:val="superscript"/>
                <w:lang w:val="hu-HU"/>
              </w:rPr>
              <w:t>1)</w:t>
            </w:r>
          </w:p>
        </w:tc>
      </w:tr>
      <w:tr w:rsidR="00130E8B" w:rsidRPr="00F70E6D" w14:paraId="44CB16E4" w14:textId="77777777">
        <w:tc>
          <w:tcPr>
            <w:tcW w:w="2599" w:type="dxa"/>
            <w:vMerge w:val="restart"/>
            <w:tcBorders>
              <w:top w:val="single" w:sz="5" w:space="0" w:color="000000"/>
              <w:left w:val="single" w:sz="5" w:space="0" w:color="000000"/>
              <w:right w:val="single" w:sz="5" w:space="0" w:color="000000"/>
            </w:tcBorders>
          </w:tcPr>
          <w:p w14:paraId="2957FE65"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Vázizom és kötőszöveti betegségek</w:t>
            </w:r>
          </w:p>
        </w:tc>
        <w:tc>
          <w:tcPr>
            <w:tcW w:w="2076" w:type="dxa"/>
            <w:tcBorders>
              <w:top w:val="single" w:sz="5" w:space="0" w:color="000000"/>
              <w:left w:val="single" w:sz="5" w:space="0" w:color="000000"/>
              <w:bottom w:val="single" w:sz="5" w:space="0" w:color="000000"/>
              <w:right w:val="single" w:sz="5" w:space="0" w:color="000000"/>
            </w:tcBorders>
          </w:tcPr>
          <w:p w14:paraId="2FC7430E"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Nagyon gyakori</w:t>
            </w:r>
          </w:p>
        </w:tc>
        <w:tc>
          <w:tcPr>
            <w:tcW w:w="4574" w:type="dxa"/>
            <w:tcBorders>
              <w:top w:val="single" w:sz="5" w:space="0" w:color="000000"/>
              <w:left w:val="single" w:sz="5" w:space="0" w:color="000000"/>
              <w:bottom w:val="single" w:sz="5" w:space="0" w:color="000000"/>
              <w:right w:val="single" w:sz="5" w:space="0" w:color="000000"/>
            </w:tcBorders>
          </w:tcPr>
          <w:p w14:paraId="0A644C2D"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Csont- izomrendszeri fájdalom</w:t>
            </w:r>
          </w:p>
        </w:tc>
      </w:tr>
      <w:tr w:rsidR="00130E8B" w14:paraId="0A90489D" w14:textId="77777777">
        <w:tc>
          <w:tcPr>
            <w:tcW w:w="2599" w:type="dxa"/>
            <w:vMerge/>
            <w:tcBorders>
              <w:left w:val="single" w:sz="5" w:space="0" w:color="000000"/>
              <w:right w:val="single" w:sz="5" w:space="0" w:color="000000"/>
            </w:tcBorders>
          </w:tcPr>
          <w:p w14:paraId="3E39F9AD"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512C3B50"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28EC4142"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Izomspasmus (beleértve a kreatin-foszfokináz-szint emelkedését is a vérben)</w:t>
            </w:r>
          </w:p>
        </w:tc>
      </w:tr>
      <w:tr w:rsidR="00130E8B" w:rsidRPr="00BE4D18" w14:paraId="39AE023B" w14:textId="77777777">
        <w:tc>
          <w:tcPr>
            <w:tcW w:w="2599" w:type="dxa"/>
            <w:vMerge/>
            <w:tcBorders>
              <w:left w:val="single" w:sz="5" w:space="0" w:color="000000"/>
              <w:right w:val="single" w:sz="5" w:space="0" w:color="000000"/>
            </w:tcBorders>
          </w:tcPr>
          <w:p w14:paraId="5C3E5506"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5E50A48A"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56C52869"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Rhabdomyolysis,</w:t>
            </w:r>
          </w:p>
          <w:p w14:paraId="64AC1BA9"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szisztémás lupus erythematosus</w:t>
            </w:r>
          </w:p>
        </w:tc>
      </w:tr>
      <w:tr w:rsidR="00130E8B" w:rsidRPr="00BE4D18" w14:paraId="0F9EAD35" w14:textId="77777777">
        <w:tc>
          <w:tcPr>
            <w:tcW w:w="2599" w:type="dxa"/>
            <w:vMerge/>
            <w:tcBorders>
              <w:left w:val="single" w:sz="5" w:space="0" w:color="000000"/>
              <w:bottom w:val="single" w:sz="5" w:space="0" w:color="000000"/>
              <w:right w:val="single" w:sz="5" w:space="0" w:color="000000"/>
            </w:tcBorders>
          </w:tcPr>
          <w:p w14:paraId="6398511F"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656CFB3C"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Pr>
          <w:p w14:paraId="20EF18FF"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Lupus-szerű szindróma</w:t>
            </w:r>
            <w:r>
              <w:rPr>
                <w:rFonts w:ascii="Times New Roman" w:eastAsia="Times New Roman" w:hAnsi="Times New Roman" w:cs="Times New Roman"/>
                <w:spacing w:val="-1"/>
                <w:vertAlign w:val="superscript"/>
                <w:lang w:val="hu-HU"/>
              </w:rPr>
              <w:t>1)</w:t>
            </w:r>
          </w:p>
        </w:tc>
      </w:tr>
      <w:tr w:rsidR="00130E8B" w14:paraId="132CD5FD" w14:textId="77777777">
        <w:tc>
          <w:tcPr>
            <w:tcW w:w="2599" w:type="dxa"/>
            <w:vMerge w:val="restart"/>
            <w:tcBorders>
              <w:top w:val="single" w:sz="5" w:space="0" w:color="000000"/>
              <w:left w:val="single" w:sz="5" w:space="0" w:color="000000"/>
              <w:right w:val="single" w:sz="5" w:space="0" w:color="000000"/>
            </w:tcBorders>
          </w:tcPr>
          <w:p w14:paraId="55677111" w14:textId="77777777" w:rsidR="00130E8B" w:rsidRDefault="000405CC" w:rsidP="009761A1">
            <w:pPr>
              <w:pStyle w:val="TableParagraph"/>
              <w:ind w:left="102" w:right="196"/>
              <w:rPr>
                <w:rFonts w:ascii="Times New Roman" w:eastAsia="Times New Roman" w:hAnsi="Times New Roman" w:cs="Times New Roman"/>
                <w:lang w:val="hu-HU"/>
              </w:rPr>
            </w:pPr>
            <w:r>
              <w:rPr>
                <w:rFonts w:ascii="Times New Roman" w:eastAsia="Times New Roman" w:hAnsi="Times New Roman" w:cs="Times New Roman"/>
                <w:spacing w:val="-1"/>
                <w:lang w:val="hu-HU"/>
              </w:rPr>
              <w:t>Vese - és húgyúti betegségek és tünetek:</w:t>
            </w:r>
          </w:p>
        </w:tc>
        <w:tc>
          <w:tcPr>
            <w:tcW w:w="2076" w:type="dxa"/>
            <w:tcBorders>
              <w:top w:val="single" w:sz="5" w:space="0" w:color="000000"/>
              <w:left w:val="single" w:sz="5" w:space="0" w:color="000000"/>
              <w:bottom w:val="single" w:sz="5" w:space="0" w:color="000000"/>
              <w:right w:val="single" w:sz="5" w:space="0" w:color="000000"/>
            </w:tcBorders>
          </w:tcPr>
          <w:p w14:paraId="7C697675"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74F26C2C" w14:textId="138F28A2" w:rsidR="00130E8B" w:rsidRDefault="002A50C0"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Vesekárosodás</w:t>
            </w:r>
            <w:r w:rsidR="000405CC">
              <w:rPr>
                <w:rFonts w:ascii="Times New Roman" w:eastAsia="Times New Roman" w:hAnsi="Times New Roman" w:cs="Times New Roman"/>
                <w:spacing w:val="-1"/>
                <w:lang w:val="hu-HU"/>
              </w:rPr>
              <w:t xml:space="preserve"> haematuria</w:t>
            </w:r>
          </w:p>
        </w:tc>
      </w:tr>
      <w:tr w:rsidR="00130E8B" w14:paraId="11AD5AF2" w14:textId="77777777">
        <w:tc>
          <w:tcPr>
            <w:tcW w:w="2599" w:type="dxa"/>
            <w:vMerge/>
            <w:tcBorders>
              <w:left w:val="single" w:sz="5" w:space="0" w:color="000000"/>
              <w:bottom w:val="single" w:sz="5" w:space="0" w:color="000000"/>
              <w:right w:val="single" w:sz="5" w:space="0" w:color="000000"/>
            </w:tcBorders>
          </w:tcPr>
          <w:p w14:paraId="3A1A0415"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131B63D0"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1CD0CF4C"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Nocturia</w:t>
            </w:r>
          </w:p>
        </w:tc>
      </w:tr>
      <w:tr w:rsidR="00130E8B" w14:paraId="78B9EEAE" w14:textId="77777777">
        <w:tc>
          <w:tcPr>
            <w:tcW w:w="2599" w:type="dxa"/>
            <w:tcBorders>
              <w:top w:val="single" w:sz="5" w:space="0" w:color="000000"/>
              <w:left w:val="single" w:sz="5" w:space="0" w:color="000000"/>
              <w:bottom w:val="single" w:sz="5" w:space="0" w:color="000000"/>
              <w:right w:val="single" w:sz="5" w:space="0" w:color="000000"/>
            </w:tcBorders>
          </w:tcPr>
          <w:p w14:paraId="4286C291"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A nemi szervekkel és az emlőkkel kapcsolatos betegségek és tünetek</w:t>
            </w:r>
          </w:p>
        </w:tc>
        <w:tc>
          <w:tcPr>
            <w:tcW w:w="2076" w:type="dxa"/>
            <w:tcBorders>
              <w:top w:val="single" w:sz="5" w:space="0" w:color="000000"/>
              <w:left w:val="single" w:sz="5" w:space="0" w:color="000000"/>
              <w:bottom w:val="single" w:sz="5" w:space="0" w:color="000000"/>
              <w:right w:val="single" w:sz="5" w:space="0" w:color="000000"/>
            </w:tcBorders>
          </w:tcPr>
          <w:p w14:paraId="46E3078C"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0EA55BA8"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Erectilis dysfunctio</w:t>
            </w:r>
          </w:p>
        </w:tc>
      </w:tr>
      <w:tr w:rsidR="00130E8B" w14:paraId="43D3C5D3" w14:textId="77777777">
        <w:tc>
          <w:tcPr>
            <w:tcW w:w="2599" w:type="dxa"/>
            <w:vMerge w:val="restart"/>
            <w:tcBorders>
              <w:top w:val="single" w:sz="5" w:space="0" w:color="000000"/>
              <w:left w:val="single" w:sz="5" w:space="0" w:color="000000"/>
              <w:right w:val="single" w:sz="5" w:space="0" w:color="000000"/>
            </w:tcBorders>
          </w:tcPr>
          <w:p w14:paraId="10068153"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Általános tünetek, az</w:t>
            </w:r>
          </w:p>
          <w:p w14:paraId="649C0738"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alkalmazás helyén fellépő</w:t>
            </w:r>
          </w:p>
          <w:p w14:paraId="50CDE6C7"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reakciók*</w:t>
            </w:r>
          </w:p>
        </w:tc>
        <w:tc>
          <w:tcPr>
            <w:tcW w:w="2076" w:type="dxa"/>
            <w:tcBorders>
              <w:top w:val="single" w:sz="5" w:space="0" w:color="000000"/>
              <w:left w:val="single" w:sz="5" w:space="0" w:color="000000"/>
              <w:right w:val="single" w:sz="5" w:space="0" w:color="000000"/>
            </w:tcBorders>
          </w:tcPr>
          <w:p w14:paraId="061B4EAB"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Nagyon gyakori</w:t>
            </w:r>
          </w:p>
        </w:tc>
        <w:tc>
          <w:tcPr>
            <w:tcW w:w="4574" w:type="dxa"/>
            <w:tcBorders>
              <w:top w:val="single" w:sz="5" w:space="0" w:color="000000"/>
              <w:left w:val="single" w:sz="5" w:space="0" w:color="000000"/>
              <w:right w:val="single" w:sz="5" w:space="0" w:color="000000"/>
            </w:tcBorders>
          </w:tcPr>
          <w:p w14:paraId="60A59896"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4"/>
                <w:lang w:val="hu-HU"/>
              </w:rPr>
              <w:t>Az injekció beadásának helyén fellépő reakció (beleértve az injekció beadási helyén jelentkező</w:t>
            </w:r>
          </w:p>
          <w:p w14:paraId="4BDBA19C"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erythemát is)</w:t>
            </w:r>
          </w:p>
        </w:tc>
      </w:tr>
      <w:tr w:rsidR="00130E8B" w:rsidRPr="00BE4D18" w14:paraId="2576F890" w14:textId="77777777">
        <w:tc>
          <w:tcPr>
            <w:tcW w:w="2599" w:type="dxa"/>
            <w:vMerge/>
            <w:tcBorders>
              <w:left w:val="single" w:sz="5" w:space="0" w:color="000000"/>
              <w:right w:val="single" w:sz="5" w:space="0" w:color="000000"/>
            </w:tcBorders>
          </w:tcPr>
          <w:p w14:paraId="2E58F590"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25D15AD9"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6B96FFE3"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Mellkasi fájdalom</w:t>
            </w:r>
          </w:p>
          <w:p w14:paraId="17B62EFD" w14:textId="77777777" w:rsidR="000B459E" w:rsidRDefault="000405CC" w:rsidP="009761A1">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oedema, </w:t>
            </w:r>
          </w:p>
          <w:p w14:paraId="1AE38521" w14:textId="7DD2B6A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láz</w:t>
            </w:r>
            <w:r>
              <w:rPr>
                <w:rFonts w:ascii="Times New Roman" w:eastAsia="Times New Roman" w:hAnsi="Times New Roman" w:cs="Times New Roman"/>
                <w:spacing w:val="-1"/>
                <w:vertAlign w:val="superscript"/>
                <w:lang w:val="hu-HU"/>
              </w:rPr>
              <w:t>1)</w:t>
            </w:r>
          </w:p>
        </w:tc>
      </w:tr>
      <w:tr w:rsidR="00130E8B" w14:paraId="7F94F52E" w14:textId="77777777">
        <w:tc>
          <w:tcPr>
            <w:tcW w:w="2599" w:type="dxa"/>
            <w:vMerge/>
            <w:tcBorders>
              <w:left w:val="single" w:sz="5" w:space="0" w:color="000000"/>
              <w:bottom w:val="single" w:sz="5" w:space="0" w:color="000000"/>
              <w:right w:val="single" w:sz="5" w:space="0" w:color="000000"/>
            </w:tcBorders>
          </w:tcPr>
          <w:p w14:paraId="602A8148" w14:textId="77777777" w:rsidR="00130E8B" w:rsidRDefault="00130E8B" w:rsidP="009761A1">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59AE803F"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167AC99B"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4"/>
                <w:lang w:val="hu-HU"/>
              </w:rPr>
              <w:t>Gyulladás</w:t>
            </w:r>
          </w:p>
        </w:tc>
      </w:tr>
      <w:tr w:rsidR="00ED0DD9" w:rsidRPr="00BE4D18" w14:paraId="64E8C18E" w14:textId="77777777" w:rsidTr="007A3B9E">
        <w:tc>
          <w:tcPr>
            <w:tcW w:w="2599" w:type="dxa"/>
            <w:vMerge w:val="restart"/>
            <w:tcBorders>
              <w:top w:val="single" w:sz="5" w:space="0" w:color="000000"/>
              <w:left w:val="single" w:sz="5" w:space="0" w:color="000000"/>
              <w:right w:val="single" w:sz="5" w:space="0" w:color="000000"/>
            </w:tcBorders>
          </w:tcPr>
          <w:p w14:paraId="108ED68E" w14:textId="77777777" w:rsidR="00ED0DD9" w:rsidRDefault="00ED0DD9"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4"/>
                <w:lang w:val="hu-HU"/>
              </w:rPr>
              <w:t xml:space="preserve">Laboratóriumi és egyéb </w:t>
            </w:r>
            <w:r>
              <w:rPr>
                <w:rFonts w:ascii="Times New Roman" w:eastAsia="Times New Roman" w:hAnsi="Times New Roman" w:cs="Times New Roman"/>
                <w:spacing w:val="-4"/>
                <w:lang w:val="hu-HU"/>
              </w:rPr>
              <w:lastRenderedPageBreak/>
              <w:t>vizsgálatok eredményei*</w:t>
            </w:r>
          </w:p>
        </w:tc>
        <w:tc>
          <w:tcPr>
            <w:tcW w:w="2076" w:type="dxa"/>
            <w:tcBorders>
              <w:top w:val="single" w:sz="5" w:space="0" w:color="000000"/>
              <w:left w:val="single" w:sz="5" w:space="0" w:color="000000"/>
              <w:bottom w:val="single" w:sz="5" w:space="0" w:color="000000"/>
              <w:right w:val="single" w:sz="5" w:space="0" w:color="000000"/>
            </w:tcBorders>
          </w:tcPr>
          <w:p w14:paraId="52C9CE57" w14:textId="77777777" w:rsidR="00ED0DD9" w:rsidRDefault="00ED0DD9"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lastRenderedPageBreak/>
              <w:t>Gyakori</w:t>
            </w:r>
          </w:p>
        </w:tc>
        <w:tc>
          <w:tcPr>
            <w:tcW w:w="4574" w:type="dxa"/>
            <w:tcBorders>
              <w:top w:val="single" w:sz="5" w:space="0" w:color="000000"/>
              <w:left w:val="single" w:sz="5" w:space="0" w:color="000000"/>
              <w:bottom w:val="single" w:sz="5" w:space="0" w:color="000000"/>
              <w:right w:val="single" w:sz="5" w:space="0" w:color="000000"/>
            </w:tcBorders>
          </w:tcPr>
          <w:p w14:paraId="22FDC7C2" w14:textId="77777777" w:rsidR="00ED0DD9" w:rsidRDefault="00ED0DD9"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Véralvadási zavar vagy vérzékenység (beleértve az </w:t>
            </w:r>
            <w:r>
              <w:rPr>
                <w:rFonts w:ascii="Times New Roman" w:eastAsia="Times New Roman" w:hAnsi="Times New Roman" w:cs="Times New Roman"/>
                <w:spacing w:val="-1"/>
                <w:lang w:val="hu-HU"/>
              </w:rPr>
              <w:lastRenderedPageBreak/>
              <w:t>aktivált parciális thromboplastin-idő megnyúlását is),</w:t>
            </w:r>
          </w:p>
          <w:p w14:paraId="7CE52362" w14:textId="77777777" w:rsidR="00ED0DD9" w:rsidRDefault="00ED0DD9"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az autoantitest-vizsgálat pozitívvá válása (beleértve a kettős szálú DNS-ellenes antitestet is),</w:t>
            </w:r>
          </w:p>
          <w:p w14:paraId="7D8B527F" w14:textId="77777777" w:rsidR="00ED0DD9" w:rsidRDefault="00ED0DD9"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 vér laktát-dehidrogenáz-szintjének emelkedése</w:t>
            </w:r>
          </w:p>
        </w:tc>
      </w:tr>
      <w:tr w:rsidR="00ED0DD9" w:rsidRPr="00ED0DD9" w14:paraId="0F4EB882" w14:textId="77777777" w:rsidTr="007A3B9E">
        <w:tc>
          <w:tcPr>
            <w:tcW w:w="2599" w:type="dxa"/>
            <w:vMerge/>
            <w:tcBorders>
              <w:left w:val="single" w:sz="5" w:space="0" w:color="000000"/>
              <w:bottom w:val="single" w:sz="5" w:space="0" w:color="000000"/>
              <w:right w:val="single" w:sz="5" w:space="0" w:color="000000"/>
            </w:tcBorders>
          </w:tcPr>
          <w:p w14:paraId="4F376185" w14:textId="77777777" w:rsidR="00ED0DD9" w:rsidRDefault="00ED0DD9" w:rsidP="009761A1">
            <w:pPr>
              <w:pStyle w:val="TableParagraph"/>
              <w:ind w:left="102"/>
              <w:rPr>
                <w:rFonts w:ascii="Times New Roman" w:eastAsia="Times New Roman" w:hAnsi="Times New Roman" w:cs="Times New Roman"/>
                <w:spacing w:val="-4"/>
                <w:lang w:val="hu-HU"/>
              </w:rPr>
            </w:pPr>
          </w:p>
        </w:tc>
        <w:tc>
          <w:tcPr>
            <w:tcW w:w="2076" w:type="dxa"/>
            <w:tcBorders>
              <w:top w:val="single" w:sz="5" w:space="0" w:color="000000"/>
              <w:left w:val="single" w:sz="5" w:space="0" w:color="000000"/>
              <w:bottom w:val="single" w:sz="5" w:space="0" w:color="000000"/>
              <w:right w:val="single" w:sz="5" w:space="0" w:color="000000"/>
            </w:tcBorders>
          </w:tcPr>
          <w:p w14:paraId="1AA51365" w14:textId="7E0FB5A7" w:rsidR="00ED0DD9" w:rsidRDefault="00ED0DD9" w:rsidP="009761A1">
            <w:pPr>
              <w:pStyle w:val="TableParagraph"/>
              <w:ind w:left="102"/>
              <w:rPr>
                <w:rFonts w:ascii="Times New Roman" w:eastAsia="Times New Roman" w:hAnsi="Times New Roman" w:cs="Times New Roman"/>
                <w:spacing w:val="-2"/>
                <w:lang w:val="hu-HU"/>
              </w:rPr>
            </w:pPr>
            <w:r w:rsidRPr="00ED0DD9">
              <w:rPr>
                <w:rFonts w:ascii="Times New Roman" w:eastAsia="Times New Roman" w:hAnsi="Times New Roman" w:cs="Times New Roman"/>
                <w:spacing w:val="-2"/>
                <w:lang w:val="hu-HU"/>
              </w:rPr>
              <w:t>Nem ismert</w:t>
            </w:r>
          </w:p>
        </w:tc>
        <w:tc>
          <w:tcPr>
            <w:tcW w:w="4574" w:type="dxa"/>
            <w:tcBorders>
              <w:top w:val="single" w:sz="5" w:space="0" w:color="000000"/>
              <w:left w:val="single" w:sz="5" w:space="0" w:color="000000"/>
              <w:bottom w:val="single" w:sz="5" w:space="0" w:color="000000"/>
              <w:right w:val="single" w:sz="5" w:space="0" w:color="000000"/>
            </w:tcBorders>
          </w:tcPr>
          <w:p w14:paraId="49E5C8A2" w14:textId="1C338284" w:rsidR="00ED0DD9" w:rsidRDefault="00ED0DD9" w:rsidP="009761A1">
            <w:pPr>
              <w:pStyle w:val="TableParagraph"/>
              <w:ind w:left="99"/>
              <w:rPr>
                <w:rFonts w:ascii="Times New Roman" w:eastAsia="Times New Roman" w:hAnsi="Times New Roman" w:cs="Times New Roman"/>
                <w:spacing w:val="-1"/>
                <w:lang w:val="hu-HU"/>
              </w:rPr>
            </w:pPr>
            <w:r w:rsidRPr="00ED0DD9">
              <w:rPr>
                <w:rFonts w:ascii="Times New Roman" w:eastAsia="Times New Roman" w:hAnsi="Times New Roman" w:cs="Times New Roman"/>
                <w:spacing w:val="-1"/>
                <w:lang w:val="hu-HU"/>
              </w:rPr>
              <w:t>Testtömeg növekedése</w:t>
            </w:r>
            <w:r w:rsidRPr="00526958">
              <w:rPr>
                <w:rFonts w:ascii="Times New Roman" w:eastAsia="Times New Roman" w:hAnsi="Times New Roman" w:cs="Times New Roman"/>
                <w:spacing w:val="-1"/>
                <w:vertAlign w:val="superscript"/>
                <w:lang w:val="hu-HU"/>
              </w:rPr>
              <w:t>2)</w:t>
            </w:r>
          </w:p>
        </w:tc>
      </w:tr>
      <w:tr w:rsidR="00130E8B" w:rsidRPr="00BE4D18" w14:paraId="03F8E647" w14:textId="77777777">
        <w:tc>
          <w:tcPr>
            <w:tcW w:w="2599" w:type="dxa"/>
            <w:tcBorders>
              <w:top w:val="single" w:sz="5" w:space="0" w:color="000000"/>
              <w:left w:val="single" w:sz="5" w:space="0" w:color="000000"/>
              <w:bottom w:val="single" w:sz="5" w:space="0" w:color="000000"/>
              <w:right w:val="single" w:sz="5" w:space="0" w:color="000000"/>
            </w:tcBorders>
          </w:tcPr>
          <w:p w14:paraId="50564252"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Sérülés, mérgezés és a beavatkozással kapcsolatos szövődmények</w:t>
            </w:r>
          </w:p>
        </w:tc>
        <w:tc>
          <w:tcPr>
            <w:tcW w:w="2076" w:type="dxa"/>
            <w:tcBorders>
              <w:top w:val="single" w:sz="5" w:space="0" w:color="000000"/>
              <w:left w:val="single" w:sz="5" w:space="0" w:color="000000"/>
              <w:bottom w:val="single" w:sz="5" w:space="0" w:color="000000"/>
              <w:right w:val="single" w:sz="5" w:space="0" w:color="000000"/>
            </w:tcBorders>
          </w:tcPr>
          <w:p w14:paraId="183B268C" w14:textId="77777777" w:rsidR="00130E8B" w:rsidRDefault="000405CC" w:rsidP="009761A1">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30428BC6" w14:textId="77777777" w:rsidR="00130E8B" w:rsidRDefault="000405CC" w:rsidP="009761A1">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2"/>
                <w:lang w:val="hu-HU"/>
              </w:rPr>
              <w:t>Sebgyógyulási zavar</w:t>
            </w:r>
          </w:p>
        </w:tc>
      </w:tr>
    </w:tbl>
    <w:p w14:paraId="7EA6DFDF" w14:textId="77777777" w:rsidR="00130E8B" w:rsidRDefault="00130E8B">
      <w:pPr>
        <w:spacing w:before="1" w:line="150" w:lineRule="exact"/>
        <w:rPr>
          <w:sz w:val="15"/>
          <w:szCs w:val="15"/>
          <w:lang w:val="hu-HU"/>
        </w:rPr>
      </w:pPr>
    </w:p>
    <w:p w14:paraId="62E7630C" w14:textId="77777777" w:rsidR="00130E8B" w:rsidRDefault="000405CC">
      <w:pPr>
        <w:pStyle w:val="a3"/>
        <w:numPr>
          <w:ilvl w:val="0"/>
          <w:numId w:val="0"/>
        </w:numPr>
        <w:rPr>
          <w:lang w:val="hu-HU"/>
        </w:rPr>
      </w:pPr>
      <w:r>
        <w:rPr>
          <w:rFonts w:eastAsia="Times New Roman"/>
          <w:lang w:val="hu-HU"/>
        </w:rPr>
        <w:t>* a 4.3., 4.4. és 4.8. pontban további információ található</w:t>
      </w:r>
    </w:p>
    <w:p w14:paraId="61CFB912" w14:textId="77777777" w:rsidR="00130E8B" w:rsidRDefault="000405CC">
      <w:pPr>
        <w:pStyle w:val="a3"/>
        <w:rPr>
          <w:lang w:val="hu-HU"/>
        </w:rPr>
      </w:pPr>
      <w:r>
        <w:rPr>
          <w:rFonts w:eastAsia="Times New Roman"/>
          <w:lang w:val="hu-HU"/>
        </w:rPr>
        <w:t>**  a nyílt, kiterjesztett vizsgálatokat is beleértve</w:t>
      </w:r>
    </w:p>
    <w:p w14:paraId="78FBCF16" w14:textId="6E44C622" w:rsidR="00130E8B" w:rsidRDefault="000405CC">
      <w:pPr>
        <w:pStyle w:val="a3"/>
        <w:rPr>
          <w:rFonts w:eastAsia="Times New Roman"/>
          <w:position w:val="8"/>
          <w:lang w:val="hu-HU"/>
        </w:rPr>
      </w:pPr>
      <w:r w:rsidRPr="009167C6">
        <w:rPr>
          <w:rFonts w:eastAsia="Times New Roman"/>
          <w:position w:val="8"/>
          <w:vertAlign w:val="superscript"/>
          <w:lang w:val="hu-HU"/>
        </w:rPr>
        <w:t>1)</w:t>
      </w:r>
      <w:r w:rsidR="00FB315F" w:rsidRPr="009167C6">
        <w:rPr>
          <w:rFonts w:eastAsia="Times New Roman"/>
          <w:position w:val="8"/>
          <w:lang w:val="hu-HU"/>
        </w:rPr>
        <w:t xml:space="preserve"> </w:t>
      </w:r>
      <w:r w:rsidRPr="00CF5D7A">
        <w:rPr>
          <w:rFonts w:eastAsia="Times New Roman"/>
          <w:position w:val="8"/>
          <w:lang w:val="hu-HU"/>
        </w:rPr>
        <w:t>a spontán jelentéseket is beleértve</w:t>
      </w:r>
    </w:p>
    <w:p w14:paraId="18CC60B9" w14:textId="78983FEF" w:rsidR="00ED0DD9" w:rsidRPr="00CF5D7A" w:rsidRDefault="00ED0DD9" w:rsidP="00526958">
      <w:pPr>
        <w:pStyle w:val="a3"/>
        <w:ind w:left="176" w:hangingChars="80" w:hanging="176"/>
        <w:rPr>
          <w:lang w:val="hu-HU"/>
        </w:rPr>
      </w:pPr>
      <w:r w:rsidRPr="00526958">
        <w:rPr>
          <w:vertAlign w:val="superscript"/>
          <w:lang w:val="hu-HU"/>
        </w:rPr>
        <w:t>2)</w:t>
      </w:r>
      <w:r w:rsidRPr="00ED0DD9">
        <w:rPr>
          <w:lang w:val="hu-HU"/>
        </w:rPr>
        <w:t xml:space="preserve"> 4–6 hónapos kezelési időszak alatt a kiindulási értékhez képest a testtömeg átlagos változása az adalimumab esetében +0,3 kg és +1,0 kg között volt a felnőtt indikációkban, míg a placebo esetében ugyanez –0,4 kg és +0,4 kg között volt. Vizsgálatok hosszú távú kiterjesztési szakaszában 5-6 kg-os testtömegnövekedést is megfigyeltek átlagosan kb. 1-2 év expozíció során, kontrollcsoport nélkül, különösen a Crohn-betegségben és a colitis ulcerosában szenvedő betegek esetében. Ennek a hatásnak a mechanizmusa nem tisztázott, de összefügghet az adalimumab gyulladáscsökkentő hatásával.</w:t>
      </w:r>
    </w:p>
    <w:p w14:paraId="6F44803E" w14:textId="77777777" w:rsidR="00130E8B" w:rsidRDefault="00130E8B">
      <w:pPr>
        <w:spacing w:before="13" w:line="240" w:lineRule="exact"/>
        <w:rPr>
          <w:sz w:val="24"/>
          <w:szCs w:val="24"/>
          <w:lang w:val="hu-HU"/>
        </w:rPr>
      </w:pPr>
    </w:p>
    <w:p w14:paraId="31F8B11A" w14:textId="77777777" w:rsidR="00130E8B" w:rsidRDefault="000405CC">
      <w:pPr>
        <w:pStyle w:val="a3"/>
        <w:keepNext/>
        <w:rPr>
          <w:u w:val="single"/>
          <w:lang w:val="hu-HU"/>
        </w:rPr>
      </w:pPr>
      <w:r>
        <w:rPr>
          <w:rFonts w:eastAsia="Times New Roman"/>
          <w:u w:val="single" w:color="000000"/>
          <w:lang w:val="hu-HU"/>
        </w:rPr>
        <w:t>Hidradenitis suppurativa</w:t>
      </w:r>
    </w:p>
    <w:p w14:paraId="2CAEFF8C" w14:textId="77777777" w:rsidR="00130E8B" w:rsidRDefault="00130E8B">
      <w:pPr>
        <w:keepNext/>
        <w:spacing w:before="1" w:line="180" w:lineRule="exact"/>
        <w:rPr>
          <w:sz w:val="18"/>
          <w:szCs w:val="18"/>
          <w:lang w:val="hu-HU"/>
        </w:rPr>
      </w:pPr>
    </w:p>
    <w:p w14:paraId="508E742D" w14:textId="77777777" w:rsidR="00130E8B" w:rsidRDefault="000405CC">
      <w:pPr>
        <w:pStyle w:val="a3"/>
        <w:keepNext/>
        <w:rPr>
          <w:lang w:val="hu-HU"/>
        </w:rPr>
      </w:pPr>
      <w:r>
        <w:rPr>
          <w:rFonts w:eastAsia="Times New Roman"/>
          <w:lang w:val="hu-HU"/>
        </w:rPr>
        <w:t>A biztonságossági profil a hetente adalimumabbal kezelt, HS-ben szenvedő betegek esetén megegyezett az adalimumab ismert biztonságossági profiljával.</w:t>
      </w:r>
    </w:p>
    <w:p w14:paraId="040BC5C8" w14:textId="77777777" w:rsidR="00130E8B" w:rsidRDefault="00130E8B">
      <w:pPr>
        <w:spacing w:before="11" w:line="240" w:lineRule="exact"/>
        <w:rPr>
          <w:sz w:val="24"/>
          <w:szCs w:val="24"/>
          <w:lang w:val="hu-HU"/>
        </w:rPr>
      </w:pPr>
    </w:p>
    <w:p w14:paraId="52AF3E8E" w14:textId="77777777" w:rsidR="00130E8B" w:rsidRDefault="000405CC">
      <w:pPr>
        <w:pStyle w:val="a3"/>
        <w:rPr>
          <w:u w:val="single"/>
          <w:lang w:val="hu-HU"/>
        </w:rPr>
      </w:pPr>
      <w:r>
        <w:rPr>
          <w:rFonts w:eastAsia="Times New Roman"/>
          <w:u w:val="single" w:color="000000"/>
          <w:lang w:val="hu-HU"/>
        </w:rPr>
        <w:t>Uveitis</w:t>
      </w:r>
    </w:p>
    <w:p w14:paraId="27FFB091" w14:textId="77777777" w:rsidR="00130E8B" w:rsidRDefault="00130E8B">
      <w:pPr>
        <w:spacing w:before="1" w:line="180" w:lineRule="exact"/>
        <w:rPr>
          <w:sz w:val="18"/>
          <w:szCs w:val="18"/>
          <w:lang w:val="hu-HU"/>
        </w:rPr>
      </w:pPr>
    </w:p>
    <w:p w14:paraId="1725827F" w14:textId="77777777" w:rsidR="00130E8B" w:rsidRDefault="000405CC">
      <w:pPr>
        <w:pStyle w:val="a3"/>
        <w:rPr>
          <w:lang w:val="hu-HU"/>
        </w:rPr>
      </w:pPr>
      <w:r>
        <w:rPr>
          <w:rFonts w:eastAsia="Times New Roman"/>
          <w:lang w:val="hu-HU"/>
        </w:rPr>
        <w:t>A biztonságossági profil a minden második héten adalimumabbal kezelt, uveitisben szenvedő betegek esetén megegyezett az adalimumab ismert biztonságossági profiljával.</w:t>
      </w:r>
    </w:p>
    <w:p w14:paraId="150BF11F" w14:textId="77777777" w:rsidR="00130E8B" w:rsidRDefault="00130E8B">
      <w:pPr>
        <w:spacing w:before="11" w:line="240" w:lineRule="exact"/>
        <w:rPr>
          <w:sz w:val="24"/>
          <w:szCs w:val="24"/>
          <w:lang w:val="hu-HU"/>
        </w:rPr>
      </w:pPr>
    </w:p>
    <w:p w14:paraId="062DE178" w14:textId="77777777" w:rsidR="00130E8B" w:rsidRPr="00CE42DC" w:rsidRDefault="000405CC">
      <w:pPr>
        <w:pStyle w:val="a3"/>
        <w:rPr>
          <w:u w:val="single"/>
          <w:lang w:val="hu-HU"/>
        </w:rPr>
      </w:pPr>
      <w:r w:rsidRPr="00CE42DC">
        <w:rPr>
          <w:rFonts w:eastAsia="Times New Roman"/>
          <w:u w:val="single" w:color="000000"/>
          <w:lang w:val="hu-HU"/>
        </w:rPr>
        <w:t>Kiválasztott mellékhatások leírása</w:t>
      </w:r>
    </w:p>
    <w:p w14:paraId="292F7CB5" w14:textId="77777777" w:rsidR="00130E8B" w:rsidRDefault="00130E8B">
      <w:pPr>
        <w:pStyle w:val="a3"/>
        <w:rPr>
          <w:sz w:val="18"/>
          <w:szCs w:val="18"/>
          <w:lang w:val="hu-HU"/>
        </w:rPr>
      </w:pPr>
    </w:p>
    <w:p w14:paraId="1DCFE381" w14:textId="77777777" w:rsidR="00130E8B" w:rsidRDefault="000405CC">
      <w:pPr>
        <w:pStyle w:val="a3"/>
        <w:rPr>
          <w:rFonts w:eastAsia="Times New Roman"/>
          <w:lang w:val="hu-HU"/>
        </w:rPr>
      </w:pPr>
      <w:r>
        <w:rPr>
          <w:rFonts w:eastAsia="Times New Roman"/>
          <w:i/>
          <w:iCs/>
          <w:spacing w:val="-1"/>
          <w:lang w:val="hu-HU"/>
        </w:rPr>
        <w:t>Az injekció helyén fellépő reakciók</w:t>
      </w:r>
    </w:p>
    <w:p w14:paraId="4B5784BC" w14:textId="77777777" w:rsidR="00130E8B" w:rsidRDefault="00130E8B">
      <w:pPr>
        <w:pStyle w:val="a3"/>
        <w:rPr>
          <w:sz w:val="24"/>
          <w:szCs w:val="24"/>
          <w:lang w:val="hu-HU"/>
        </w:rPr>
      </w:pPr>
    </w:p>
    <w:p w14:paraId="778BF4F6" w14:textId="77777777" w:rsidR="00130E8B" w:rsidRDefault="000405CC">
      <w:pPr>
        <w:pStyle w:val="a3"/>
        <w:rPr>
          <w:lang w:val="hu-HU"/>
        </w:rPr>
      </w:pPr>
      <w:r>
        <w:rPr>
          <w:rFonts w:eastAsia="Times New Roman"/>
          <w:lang w:val="hu-HU"/>
        </w:rPr>
        <w:t>A felnőttek és gyermekek bevonásával végzett pivotális, kontrollos vizsgálatokban, adalimumabbal kezelt betegek 12,9%-ánál alakult ki lokális reakció az injekció helyén (bőrpír és/vagy viszketés, vérzés, fájdalom vagy duzzadás), míg a placebo- vagy aktív kontroll-csoportban a betegek 7,2%-ánál. A helyi reakciók általában nem tették szükségessé a kezelés felfüggesztésétAz injekció helyén fellépő reakciók általában nem tették szükségessé a kezelés felfüggesztését.</w:t>
      </w:r>
    </w:p>
    <w:p w14:paraId="4F418B4F" w14:textId="77777777" w:rsidR="00130E8B" w:rsidRDefault="00130E8B">
      <w:pPr>
        <w:pStyle w:val="a3"/>
        <w:rPr>
          <w:lang w:val="hu-HU"/>
        </w:rPr>
      </w:pPr>
    </w:p>
    <w:p w14:paraId="208A3EFA" w14:textId="77777777" w:rsidR="00130E8B" w:rsidRDefault="000405CC">
      <w:pPr>
        <w:pStyle w:val="a3"/>
        <w:rPr>
          <w:rFonts w:eastAsia="Times New Roman"/>
          <w:lang w:val="hu-HU"/>
        </w:rPr>
      </w:pPr>
      <w:r>
        <w:rPr>
          <w:rFonts w:eastAsia="Times New Roman"/>
          <w:i/>
          <w:iCs/>
          <w:spacing w:val="-1"/>
          <w:lang w:val="hu-HU"/>
        </w:rPr>
        <w:t>Fertőzések</w:t>
      </w:r>
    </w:p>
    <w:p w14:paraId="729EB829" w14:textId="77777777" w:rsidR="00130E8B" w:rsidRDefault="00130E8B">
      <w:pPr>
        <w:pStyle w:val="a3"/>
        <w:rPr>
          <w:lang w:val="hu-HU"/>
        </w:rPr>
      </w:pPr>
    </w:p>
    <w:p w14:paraId="4E0BF7B4" w14:textId="77777777" w:rsidR="00130E8B" w:rsidRDefault="000405CC">
      <w:pPr>
        <w:pStyle w:val="a3"/>
        <w:rPr>
          <w:lang w:val="hu-HU"/>
        </w:rPr>
      </w:pPr>
      <w:r>
        <w:rPr>
          <w:rFonts w:eastAsia="Times New Roman"/>
          <w:lang w:val="hu-HU"/>
        </w:rPr>
        <w:t>A felnőttek és gyermekek bevonásával végzett pivotális, kontrollos vizsgálatokban a fertőzések arányszáma az adalimumabbal kezelt csoportban betegévenként 1,51 volt, míg betegévenként 1,46 volt a placebóval és az aktív kontroll-készítménnyel kezelt betegek csoportjában. A fertőzések döntő többsége nasopharyngitis, felső légúti fertőzés és sinusitis volt. Az adalimumab-kezelést a fertőzés megszűnését követően a betegek nagy részénél folytatni lehetett.</w:t>
      </w:r>
    </w:p>
    <w:p w14:paraId="3C2A8324" w14:textId="77777777" w:rsidR="00130E8B" w:rsidRDefault="00130E8B">
      <w:pPr>
        <w:pStyle w:val="a3"/>
        <w:rPr>
          <w:lang w:val="hu-HU"/>
        </w:rPr>
      </w:pPr>
    </w:p>
    <w:p w14:paraId="45F5D23F" w14:textId="77777777" w:rsidR="00130E8B" w:rsidRDefault="000405CC">
      <w:pPr>
        <w:pStyle w:val="a3"/>
        <w:rPr>
          <w:lang w:val="hu-HU"/>
        </w:rPr>
      </w:pPr>
      <w:r>
        <w:rPr>
          <w:rFonts w:eastAsia="Times New Roman"/>
          <w:lang w:val="hu-HU"/>
        </w:rPr>
        <w:t>A súlyos fertőzések incidenciája 0,04 volt betegévenként az adalimumabbal kezeltek csoportjában, míg 0,03 volt betegévenként a placebóval és az aktív kontrollal kezelt betegek csoportjában</w:t>
      </w:r>
    </w:p>
    <w:p w14:paraId="028F9062" w14:textId="77777777" w:rsidR="00130E8B" w:rsidRDefault="00130E8B">
      <w:pPr>
        <w:pStyle w:val="a3"/>
        <w:rPr>
          <w:lang w:val="hu-HU"/>
        </w:rPr>
      </w:pPr>
    </w:p>
    <w:p w14:paraId="58A2BCBE" w14:textId="1B2FE535" w:rsidR="00130E8B" w:rsidRDefault="000405CC">
      <w:pPr>
        <w:pStyle w:val="a3"/>
        <w:rPr>
          <w:lang w:val="hu-HU"/>
        </w:rPr>
      </w:pPr>
      <w:r>
        <w:rPr>
          <w:rFonts w:eastAsia="Times New Roman"/>
          <w:lang w:val="hu-HU"/>
        </w:rPr>
        <w:t>Az adalimumabbal végzett kontrollált és a nyílt vizsgálatokban súlyos fertőzésekről (beleértve halálos kimenetelű fertőzést, amely csak ritkán fordult elő) számoltak be többek között tuberkulózisról (miliaris és extrapulmonális előfordulással) és invazív opportunista fertőzésekről (</w:t>
      </w:r>
      <w:r w:rsidR="00E712D7">
        <w:rPr>
          <w:rFonts w:eastAsia="Times New Roman"/>
          <w:lang w:val="hu-HU"/>
        </w:rPr>
        <w:t>például</w:t>
      </w:r>
      <w:r>
        <w:rPr>
          <w:rFonts w:eastAsia="Times New Roman"/>
          <w:lang w:val="hu-HU"/>
        </w:rPr>
        <w:t xml:space="preserve"> disszeminált vagy extrapulmonalis histoplasmosis, blastomycosis, coccidioidomycosis, pneumocystis, candidiasis, aspergillosis </w:t>
      </w:r>
      <w:r>
        <w:rPr>
          <w:rFonts w:eastAsia="Times New Roman"/>
          <w:lang w:val="hu-HU"/>
        </w:rPr>
        <w:lastRenderedPageBreak/>
        <w:t xml:space="preserve">és listeriosis). A tuberkulózisos megbetegedések többsége a </w:t>
      </w:r>
      <w:r w:rsidR="00B90FEB">
        <w:rPr>
          <w:rFonts w:eastAsia="Times New Roman"/>
          <w:lang w:val="hu-HU"/>
        </w:rPr>
        <w:t xml:space="preserve">adalimumab </w:t>
      </w:r>
      <w:r>
        <w:rPr>
          <w:rFonts w:eastAsia="Times New Roman"/>
          <w:lang w:val="hu-HU"/>
        </w:rPr>
        <w:t>– kezelés első 8 hónapjában következett be és korábbi betegség kiújulásaként manifesztálódhatott.</w:t>
      </w:r>
    </w:p>
    <w:p w14:paraId="762FA741" w14:textId="77777777" w:rsidR="00130E8B" w:rsidRDefault="00130E8B">
      <w:pPr>
        <w:pStyle w:val="a3"/>
        <w:rPr>
          <w:lang w:val="hu-HU"/>
        </w:rPr>
      </w:pPr>
    </w:p>
    <w:p w14:paraId="1D305E7A" w14:textId="77777777" w:rsidR="00130E8B" w:rsidRDefault="000405CC">
      <w:pPr>
        <w:pStyle w:val="a3"/>
        <w:rPr>
          <w:rFonts w:eastAsia="Times New Roman"/>
          <w:lang w:val="hu-HU"/>
        </w:rPr>
      </w:pPr>
      <w:r>
        <w:rPr>
          <w:rFonts w:eastAsia="Times New Roman"/>
          <w:i/>
          <w:iCs/>
          <w:spacing w:val="-1"/>
          <w:lang w:val="hu-HU"/>
        </w:rPr>
        <w:t>Rosszindulatú és lymphoproliferatív betegségek</w:t>
      </w:r>
    </w:p>
    <w:p w14:paraId="63A53D85" w14:textId="77777777" w:rsidR="00130E8B" w:rsidRDefault="00130E8B">
      <w:pPr>
        <w:pStyle w:val="a3"/>
        <w:rPr>
          <w:lang w:val="hu-HU"/>
        </w:rPr>
      </w:pPr>
    </w:p>
    <w:p w14:paraId="5535F0EE" w14:textId="0B74C6B8" w:rsidR="00130E8B" w:rsidRDefault="000405CC">
      <w:pPr>
        <w:pStyle w:val="a3"/>
        <w:rPr>
          <w:lang w:val="hu-HU"/>
        </w:rPr>
      </w:pPr>
      <w:r>
        <w:rPr>
          <w:rFonts w:eastAsia="Times New Roman"/>
          <w:lang w:val="hu-HU"/>
        </w:rPr>
        <w:t>A juvenilis idiopathiás arthritisben (polyarticularis juvenilis idiopathiás arthritisben és enthesitis-asszociált arthritisben) szenvedő betegek körében adalimumabbal végzett vizsgálatokban 655,6 betegévnyi expozíciónak kitett, 249 pediátriai betegnél nem figyeltek meg malignitást. Ezen kívül Crohn-betegségben szenvedő betegek körében adalimumabbal végzett vizsgálatokban 498,1 betegévnyi expozíciónak kitett, 192 pediátriai betegnél nem figyeltek meg malignitást. Krónikus plakkos psoriasisban szenvedő gyermekeknél adalimumabbal végzett vizsgálatban 80 betegévnyi expozíciónak kitett, 77 pediátriai betegnél nem figyeltek meg malignitást.</w:t>
      </w:r>
      <w:r w:rsidR="000B459E" w:rsidRPr="004E2591">
        <w:rPr>
          <w:shd w:val="clear" w:color="auto" w:fill="FFFFFF"/>
          <w:lang w:val="hu-HU"/>
        </w:rPr>
        <w:t xml:space="preserve"> </w:t>
      </w:r>
      <w:r w:rsidR="000B459E" w:rsidRPr="004E2591">
        <w:rPr>
          <w:rStyle w:val="normaltextrun"/>
          <w:shd w:val="clear" w:color="auto" w:fill="FFFFFF"/>
          <w:lang w:val="hu-HU"/>
        </w:rPr>
        <w:t xml:space="preserve">Egy </w:t>
      </w:r>
      <w:r w:rsidR="000B459E">
        <w:rPr>
          <w:rStyle w:val="normaltextrun"/>
          <w:shd w:val="clear" w:color="auto" w:fill="FFFFFF"/>
          <w:lang w:val="hu-HU"/>
        </w:rPr>
        <w:t>adalimumab</w:t>
      </w:r>
      <w:r w:rsidR="000B459E" w:rsidRPr="004E2591">
        <w:rPr>
          <w:rStyle w:val="normaltextrun"/>
          <w:shd w:val="clear" w:color="auto" w:fill="FFFFFF"/>
          <w:lang w:val="hu-HU"/>
        </w:rPr>
        <w:t xml:space="preserve">-vizsgálat során 65,3 betegévnyi expozíciónak kitett, colitis ulcerosában szenvedő 93 gyermek- és serdülőkorú betegnél nem figyeltek meg malignitást. </w:t>
      </w:r>
      <w:r>
        <w:rPr>
          <w:rFonts w:eastAsia="Times New Roman"/>
          <w:lang w:val="hu-HU"/>
        </w:rPr>
        <w:t>Uveitisben szenvedő gyermekeknél adalimumabbal végzett vizsgálatban 58,4 betegévnyi expozíciónak kitett, 60 pediátriai betegnél nem figyeltek meg malignitást.</w:t>
      </w:r>
    </w:p>
    <w:p w14:paraId="1168BD98" w14:textId="77777777" w:rsidR="00130E8B" w:rsidRDefault="00130E8B">
      <w:pPr>
        <w:spacing w:before="13" w:line="240" w:lineRule="exact"/>
        <w:rPr>
          <w:sz w:val="24"/>
          <w:szCs w:val="24"/>
          <w:lang w:val="hu-HU"/>
        </w:rPr>
      </w:pPr>
    </w:p>
    <w:p w14:paraId="7A3E2F9B" w14:textId="77777777" w:rsidR="00130E8B" w:rsidRDefault="000405CC">
      <w:pPr>
        <w:pStyle w:val="a3"/>
        <w:rPr>
          <w:lang w:val="hu-HU"/>
        </w:rPr>
      </w:pPr>
      <w:r>
        <w:rPr>
          <w:rFonts w:eastAsia="Times New Roman"/>
          <w:lang w:val="hu-HU"/>
        </w:rPr>
        <w:t xml:space="preserve">Az adalimumab hatásait közepesen súlyos vagy súlyos aktivitású rheumatoid arthritisben, spondylitis ankylopoeticában, spondylitis ankylopoeticának megfelelő röntgeneltéréssel nem járó axiális spondyloarthritisben, arthritis psoriaticában, psoriasisban, hidradenitis suppurativában, Crohn-betegségben, colitis ulcerosában és uveitisben szenvedő betegeken értékelő legalább 12 hét időtartamú, felnőttek körében végzett pivotális vizsgálatok kontrollos szakaszaiban a következőképpen alakult a rosszindulatú daganatok gyakorisága (a lymphoma és a nem melanomás bőrrák kivételével): az 1000 betegévre számított gyakoriság (95%-os konfidencia intervallum) a 5291 adalimumabbal kezelt beteg esetében 6,8 (4,4; 10,5) </w:t>
      </w:r>
      <w:r>
        <w:rPr>
          <w:rFonts w:eastAsia="Times New Roman"/>
          <w:i/>
          <w:iCs/>
          <w:lang w:val="hu-HU"/>
        </w:rPr>
        <w:t xml:space="preserve">míg </w:t>
      </w:r>
      <w:r>
        <w:rPr>
          <w:rFonts w:eastAsia="Times New Roman"/>
          <w:lang w:val="hu-HU"/>
        </w:rPr>
        <w:t>az 3444 fős kontrollcsoportban 6,3 (3,4; 11,8) volt). (A kezelés medián időtartama az adalimumab-csoportban 4,0 hónap, a kontrollcsoportban 3,8 hónap volt.) A nem melanomás bőrrák 1000 betegévre számított gyakorisága (95%-os konfidencia intervallum) az adalimumabbal kezelt betegek esetében 8,8 (6,0; 13,0), míg a kontrollcsoportban 3,2 (1,3; 7,6) volt. E bőrrákok közül a laphám-carcinoma 1000 betegévre számított gyakorisága (95%-os konfidencia intervallum) az adalimumabbal kezelt betegeknél 2,7 (1,4; 5,4), a kontrollcsoportban 0,6 (0,1, 4,5) volt. A lymphomák 1000 betegévre számított gyakorisága (95%-os konfidencia intervallum) az adalimumabbal kezelt betegek esetében 0,7 (0,2; 2,7), míg a kontrollcsoportban 0,6 (0,1; 4,5) volt.</w:t>
      </w:r>
    </w:p>
    <w:p w14:paraId="3EB540C6" w14:textId="77777777" w:rsidR="00130E8B" w:rsidRDefault="00130E8B">
      <w:pPr>
        <w:spacing w:before="13" w:line="240" w:lineRule="exact"/>
        <w:rPr>
          <w:sz w:val="24"/>
          <w:szCs w:val="24"/>
          <w:lang w:val="hu-HU"/>
        </w:rPr>
      </w:pPr>
    </w:p>
    <w:p w14:paraId="4A82C252" w14:textId="77777777" w:rsidR="00130E8B" w:rsidRDefault="000405CC">
      <w:pPr>
        <w:pStyle w:val="a3"/>
        <w:rPr>
          <w:lang w:val="hu-HU"/>
        </w:rPr>
      </w:pPr>
      <w:r>
        <w:rPr>
          <w:rFonts w:eastAsia="Times New Roman"/>
          <w:lang w:val="hu-HU"/>
        </w:rPr>
        <w:t>E vizsgálatok kontrollos szakaszai és a folyamatban lévő, valamint befejezett nyílt kiterjesztéses vizsgálatok összevont értékelése során, melyben összesen 6427 beteget kb. 3,3 év medián időtartamig követtek (több mint 26 439 betegév), a rosszindulatú daganatok (a lymphoma és a nem melanomás bőrrák kivételével) 1000 betegévre számított gyakorisága 8,5 volt. A nem melanomás bőrrák 1000 betegévre vetített, megfigyelt aránya kb. 9,6, míg a lymphomáké kb. 1,3 volt.</w:t>
      </w:r>
    </w:p>
    <w:p w14:paraId="1565AE31" w14:textId="77777777" w:rsidR="00130E8B" w:rsidRDefault="00130E8B">
      <w:pPr>
        <w:spacing w:before="14" w:line="240" w:lineRule="exact"/>
        <w:rPr>
          <w:sz w:val="24"/>
          <w:szCs w:val="24"/>
          <w:lang w:val="hu-HU"/>
        </w:rPr>
      </w:pPr>
    </w:p>
    <w:p w14:paraId="78D83E93" w14:textId="28F96E3E" w:rsidR="00130E8B" w:rsidRDefault="000405CC">
      <w:pPr>
        <w:pStyle w:val="a3"/>
        <w:rPr>
          <w:lang w:val="hu-HU"/>
        </w:rPr>
      </w:pPr>
      <w:r>
        <w:rPr>
          <w:rFonts w:eastAsia="Times New Roman"/>
          <w:lang w:val="hu-HU"/>
        </w:rPr>
        <w:t xml:space="preserve">Az adalimumab forgalomba hozatala után (2003. január és 2010. december között), javarészt rheumatoid arthritises betegeken szerzett tapasztalatok alapján, a </w:t>
      </w:r>
      <w:r w:rsidR="00621419" w:rsidRPr="00632EF2">
        <w:rPr>
          <w:lang w:val="hu-HU"/>
        </w:rPr>
        <w:t xml:space="preserve">spontán jelentésekből származó, </w:t>
      </w:r>
      <w:r>
        <w:rPr>
          <w:rFonts w:eastAsia="Times New Roman"/>
          <w:lang w:val="hu-HU"/>
        </w:rPr>
        <w:t>rosszindulatú daganatok</w:t>
      </w:r>
      <w:r w:rsidR="00632EF2" w:rsidRPr="00F16701">
        <w:rPr>
          <w:lang w:val="hu-HU"/>
        </w:rPr>
        <w:t>ra vonatkozó</w:t>
      </w:r>
      <w:r>
        <w:rPr>
          <w:rFonts w:eastAsia="Times New Roman"/>
          <w:lang w:val="hu-HU"/>
        </w:rPr>
        <w:t xml:space="preserve"> bejelent</w:t>
      </w:r>
      <w:r w:rsidR="00632EF2" w:rsidRPr="00F16701">
        <w:rPr>
          <w:lang w:val="hu-HU"/>
        </w:rPr>
        <w:t>ések</w:t>
      </w:r>
      <w:r>
        <w:rPr>
          <w:rFonts w:eastAsia="Times New Roman"/>
          <w:lang w:val="hu-HU"/>
        </w:rPr>
        <w:t xml:space="preserve"> gyakorisága kb. 2,7/1000 beteg-kezelési év. A</w:t>
      </w:r>
      <w:r w:rsidR="004F181C">
        <w:rPr>
          <w:rFonts w:hint="eastAsia"/>
          <w:lang w:val="hu-HU" w:eastAsia="ko-KR"/>
        </w:rPr>
        <w:t xml:space="preserve"> </w:t>
      </w:r>
      <w:r w:rsidR="004F181C" w:rsidRPr="00F16701">
        <w:rPr>
          <w:lang w:val="hu-HU"/>
        </w:rPr>
        <w:t>spontán jelentésekből származó,</w:t>
      </w:r>
      <w:r>
        <w:rPr>
          <w:rFonts w:eastAsia="Times New Roman"/>
          <w:lang w:val="hu-HU"/>
        </w:rPr>
        <w:t xml:space="preserve"> nem melanomás bőrrák</w:t>
      </w:r>
      <w:r w:rsidR="005A4A72">
        <w:rPr>
          <w:rFonts w:hint="eastAsia"/>
          <w:lang w:val="hu-HU" w:eastAsia="ko-KR"/>
        </w:rPr>
        <w:t>ra</w:t>
      </w:r>
      <w:r>
        <w:rPr>
          <w:rFonts w:eastAsia="Times New Roman"/>
          <w:lang w:val="hu-HU"/>
        </w:rPr>
        <w:t xml:space="preserve"> </w:t>
      </w:r>
      <w:r w:rsidR="005A4A72" w:rsidRPr="00F16701">
        <w:rPr>
          <w:lang w:val="hu-HU"/>
        </w:rPr>
        <w:t xml:space="preserve">és lymphomákra vonatkozó bejelentések gyakorisága </w:t>
      </w:r>
      <w:r>
        <w:rPr>
          <w:rFonts w:eastAsia="Times New Roman"/>
          <w:lang w:val="hu-HU"/>
        </w:rPr>
        <w:t>1000 beteg-kezelési évre számít</w:t>
      </w:r>
      <w:r w:rsidR="005A4A72">
        <w:rPr>
          <w:rFonts w:hint="eastAsia"/>
          <w:lang w:val="hu-HU" w:eastAsia="ko-KR"/>
        </w:rPr>
        <w:t>va</w:t>
      </w:r>
      <w:r>
        <w:rPr>
          <w:rFonts w:eastAsia="Times New Roman"/>
          <w:lang w:val="hu-HU"/>
        </w:rPr>
        <w:t xml:space="preserve"> 0,2, </w:t>
      </w:r>
      <w:r w:rsidR="005C3551">
        <w:rPr>
          <w:rFonts w:hint="eastAsia"/>
          <w:lang w:val="hu-HU" w:eastAsia="ko-KR"/>
        </w:rPr>
        <w:t xml:space="preserve">illetve </w:t>
      </w:r>
      <w:r>
        <w:rPr>
          <w:rFonts w:eastAsia="Times New Roman"/>
          <w:lang w:val="hu-HU"/>
        </w:rPr>
        <w:t>0,3 volt (lásd 4.4 pont).</w:t>
      </w:r>
    </w:p>
    <w:p w14:paraId="1AE59720" w14:textId="77777777" w:rsidR="00130E8B" w:rsidRDefault="00130E8B">
      <w:pPr>
        <w:spacing w:before="17" w:line="240" w:lineRule="exact"/>
        <w:rPr>
          <w:sz w:val="24"/>
          <w:szCs w:val="24"/>
          <w:lang w:val="hu-HU"/>
        </w:rPr>
      </w:pPr>
    </w:p>
    <w:p w14:paraId="74E354B4" w14:textId="77777777" w:rsidR="00130E8B" w:rsidRDefault="000405CC">
      <w:pPr>
        <w:pStyle w:val="a3"/>
        <w:rPr>
          <w:lang w:val="hu-HU"/>
        </w:rPr>
      </w:pPr>
      <w:r>
        <w:rPr>
          <w:rFonts w:eastAsia="Times New Roman"/>
          <w:lang w:val="hu-HU"/>
        </w:rPr>
        <w:t>Adalimumabbal kezelt betegeknél a forgalomba hozatalt követően ritkán hepatosplenikus T- sejtes lymphomát jelentettek (lásd 4. 4 pont).</w:t>
      </w:r>
    </w:p>
    <w:p w14:paraId="5035726E" w14:textId="77777777" w:rsidR="00130E8B" w:rsidRDefault="00130E8B">
      <w:pPr>
        <w:pStyle w:val="a3"/>
        <w:rPr>
          <w:sz w:val="24"/>
          <w:szCs w:val="24"/>
          <w:lang w:val="hu-HU"/>
        </w:rPr>
      </w:pPr>
    </w:p>
    <w:p w14:paraId="2D73B550" w14:textId="77777777" w:rsidR="00130E8B" w:rsidRDefault="000405CC">
      <w:pPr>
        <w:pStyle w:val="a3"/>
        <w:rPr>
          <w:rFonts w:eastAsia="Times New Roman"/>
          <w:lang w:val="hu-HU"/>
        </w:rPr>
      </w:pPr>
      <w:r>
        <w:rPr>
          <w:rFonts w:eastAsia="Times New Roman"/>
          <w:i/>
          <w:iCs/>
          <w:spacing w:val="-1"/>
          <w:lang w:val="hu-HU"/>
        </w:rPr>
        <w:t>Autoantitestek</w:t>
      </w:r>
    </w:p>
    <w:p w14:paraId="4AFF7F40" w14:textId="77777777" w:rsidR="00130E8B" w:rsidRDefault="00130E8B">
      <w:pPr>
        <w:pStyle w:val="a3"/>
        <w:rPr>
          <w:sz w:val="24"/>
          <w:szCs w:val="24"/>
          <w:lang w:val="hu-HU"/>
        </w:rPr>
      </w:pPr>
    </w:p>
    <w:p w14:paraId="46C19523" w14:textId="77777777" w:rsidR="00130E8B" w:rsidRDefault="000405CC">
      <w:pPr>
        <w:pStyle w:val="a3"/>
        <w:rPr>
          <w:lang w:val="hu-HU"/>
        </w:rPr>
      </w:pPr>
      <w:r>
        <w:rPr>
          <w:rFonts w:eastAsia="Times New Roman"/>
          <w:lang w:val="hu-HU"/>
        </w:rPr>
        <w:t xml:space="preserve">A betegektől vett vérsavómintákban különböző időpontokban vizsgálták az autoantitesteket az I-V. rheumatoid arthritis (RA)-vizsgálatokban. Ezekben a vizsgálatokban, a negatív kiindulási antinukleáris antitest titerrel rendelkező betegek közül az adalimumabbal kezeltek 11,9%-ánál, míg a placebóval vagy aktív kontrollal kezelt betegek 8,1%-ánál fejlődött ki antinukleáris antitest titer pozitivitás a 24. hétre. Az összes rheumatoid arthritis és arthritis psoriatica vizsgálatban a 3441 adalimumabbal kezelt beteg közül </w:t>
      </w:r>
      <w:r>
        <w:rPr>
          <w:rFonts w:eastAsia="Times New Roman"/>
          <w:lang w:val="hu-HU"/>
        </w:rPr>
        <w:lastRenderedPageBreak/>
        <w:t>kettőnél alakultak ki újonnan fellépő lupus-szerű szindróma klinikai jelei. A beteg állapota javult, amint a kezelést abbahagyták. Egy beteg esetében sem alakult ki lupus- nephritis vagy központi idegrendszeri tünet.</w:t>
      </w:r>
    </w:p>
    <w:p w14:paraId="0B834638" w14:textId="77777777" w:rsidR="00130E8B" w:rsidRDefault="00130E8B">
      <w:pPr>
        <w:pStyle w:val="a3"/>
        <w:rPr>
          <w:sz w:val="24"/>
          <w:szCs w:val="24"/>
          <w:lang w:val="hu-HU"/>
        </w:rPr>
      </w:pPr>
    </w:p>
    <w:p w14:paraId="46299867" w14:textId="77777777" w:rsidR="00130E8B" w:rsidRDefault="000405CC">
      <w:pPr>
        <w:pStyle w:val="a3"/>
        <w:rPr>
          <w:rFonts w:eastAsia="Times New Roman"/>
          <w:lang w:val="hu-HU"/>
        </w:rPr>
      </w:pPr>
      <w:r>
        <w:rPr>
          <w:rFonts w:eastAsia="Times New Roman"/>
          <w:i/>
          <w:iCs/>
          <w:lang w:val="hu-HU"/>
        </w:rPr>
        <w:t>Hepatobiliáris események</w:t>
      </w:r>
    </w:p>
    <w:p w14:paraId="44C87AE3" w14:textId="77777777" w:rsidR="00130E8B" w:rsidRDefault="00130E8B">
      <w:pPr>
        <w:pStyle w:val="a3"/>
        <w:rPr>
          <w:sz w:val="24"/>
          <w:szCs w:val="24"/>
          <w:lang w:val="hu-HU"/>
        </w:rPr>
      </w:pPr>
    </w:p>
    <w:p w14:paraId="5A1F3DA4" w14:textId="6ADBF4C4" w:rsidR="00130E8B" w:rsidRDefault="000405CC">
      <w:pPr>
        <w:pStyle w:val="a3"/>
        <w:rPr>
          <w:lang w:val="hu-HU"/>
        </w:rPr>
      </w:pPr>
      <w:r>
        <w:rPr>
          <w:rFonts w:eastAsia="Times New Roman"/>
          <w:lang w:val="hu-HU"/>
        </w:rPr>
        <w:t>Rheumatoid arthritisben és arthritis psoriaticában szenvedő betegeknél végzett, III.</w:t>
      </w:r>
      <w:r w:rsidR="00961E14" w:rsidRPr="009167C6">
        <w:rPr>
          <w:lang w:val="hu-HU"/>
        </w:rPr>
        <w:t xml:space="preserve">  </w:t>
      </w:r>
      <w:r w:rsidR="00961E14" w:rsidDel="00961E14">
        <w:rPr>
          <w:rFonts w:eastAsia="Times New Roman"/>
          <w:lang w:val="hu-HU"/>
        </w:rPr>
        <w:t xml:space="preserve"> </w:t>
      </w:r>
      <w:r>
        <w:rPr>
          <w:rFonts w:eastAsia="Times New Roman"/>
          <w:lang w:val="hu-HU"/>
        </w:rPr>
        <w:t>fázisú klinikai vizsgálatokban a 4-104 hetes ellenőrzött periódusban a</w:t>
      </w:r>
      <w:r w:rsidR="00E55F2D">
        <w:rPr>
          <w:rFonts w:eastAsia="Times New Roman"/>
          <w:lang w:val="hu-HU"/>
        </w:rPr>
        <w:t xml:space="preserve"> </w:t>
      </w:r>
      <w:r w:rsidR="00E55F2D" w:rsidRPr="009167C6">
        <w:rPr>
          <w:lang w:val="hu-HU"/>
        </w:rPr>
        <w:t>GPT (ALAT)</w:t>
      </w:r>
      <w:r>
        <w:rPr>
          <w:rFonts w:eastAsia="Times New Roman"/>
          <w:lang w:val="hu-HU"/>
        </w:rPr>
        <w:t xml:space="preserve">-szint a normálérték felső határának ≥ </w:t>
      </w:r>
      <w:r w:rsidR="00385F6D">
        <w:rPr>
          <w:rFonts w:eastAsia="Times New Roman"/>
          <w:lang w:val="hu-HU"/>
        </w:rPr>
        <w:t>három</w:t>
      </w:r>
      <w:r>
        <w:rPr>
          <w:rFonts w:eastAsia="Times New Roman"/>
          <w:lang w:val="hu-HU"/>
        </w:rPr>
        <w:t>szorosára történő emelkedése az adalimumabbal kezeltek 3,7%-ánál, míg a kontrollkezelést kapó betegek 1,6%-nál fordult elő.</w:t>
      </w:r>
    </w:p>
    <w:p w14:paraId="7B8C9AFC" w14:textId="77777777" w:rsidR="00130E8B" w:rsidRDefault="00130E8B">
      <w:pPr>
        <w:pStyle w:val="a3"/>
        <w:rPr>
          <w:sz w:val="24"/>
          <w:szCs w:val="24"/>
          <w:lang w:val="hu-HU"/>
        </w:rPr>
      </w:pPr>
    </w:p>
    <w:p w14:paraId="5C22B0A7" w14:textId="7564E952" w:rsidR="00130E8B" w:rsidRDefault="000405CC">
      <w:pPr>
        <w:pStyle w:val="a3"/>
        <w:rPr>
          <w:lang w:val="hu-HU"/>
        </w:rPr>
      </w:pPr>
      <w:r>
        <w:rPr>
          <w:rFonts w:eastAsia="Times New Roman"/>
          <w:lang w:val="hu-HU"/>
        </w:rPr>
        <w:t>Polyarticularis juvenilis idiopathiás arthritisben szenvedő, 4-17 éves és enthesitis-asszociált arthritisben szenvedő 6-17 éves betegeknél adalimumabbal végzett kontrollos III.</w:t>
      </w:r>
      <w:r w:rsidR="00961E14" w:rsidRPr="009167C6">
        <w:rPr>
          <w:lang w:val="hu-HU"/>
        </w:rPr>
        <w:t xml:space="preserve">  </w:t>
      </w:r>
      <w:r w:rsidR="00961E14" w:rsidDel="00961E14">
        <w:rPr>
          <w:rFonts w:eastAsia="Times New Roman"/>
          <w:lang w:val="hu-HU"/>
        </w:rPr>
        <w:t xml:space="preserve"> </w:t>
      </w:r>
      <w:r>
        <w:rPr>
          <w:rFonts w:eastAsia="Times New Roman"/>
          <w:lang w:val="hu-HU"/>
        </w:rPr>
        <w:t xml:space="preserve">fázisú. vizsgálatok során az adalimumabbal kezelt betegek 6,1%-nál és a kontrollkezelésben részesülő betegek 1,3%-ánál a </w:t>
      </w:r>
      <w:r w:rsidR="00385F6D" w:rsidRPr="007F6442">
        <w:rPr>
          <w:lang w:val="hu-HU"/>
        </w:rPr>
        <w:t>GPT (ALAT)</w:t>
      </w:r>
      <w:r w:rsidR="00385F6D">
        <w:rPr>
          <w:rFonts w:eastAsia="Times New Roman"/>
          <w:lang w:val="hu-HU"/>
        </w:rPr>
        <w:t>-</w:t>
      </w:r>
      <w:r>
        <w:rPr>
          <w:rFonts w:eastAsia="Times New Roman"/>
          <w:lang w:val="hu-HU"/>
        </w:rPr>
        <w:t>szint a normálérték felső határának ≥</w:t>
      </w:r>
      <w:r w:rsidR="00385F6D">
        <w:rPr>
          <w:rFonts w:eastAsia="Times New Roman"/>
          <w:lang w:val="hu-HU"/>
        </w:rPr>
        <w:t>három</w:t>
      </w:r>
      <w:r>
        <w:rPr>
          <w:rFonts w:eastAsia="Times New Roman"/>
          <w:lang w:val="hu-HU"/>
        </w:rPr>
        <w:t xml:space="preserve">szorosára emelkedett. A legtöbb </w:t>
      </w:r>
      <w:r w:rsidR="00E55F2D" w:rsidRPr="00522548">
        <w:rPr>
          <w:lang w:val="hu-HU"/>
        </w:rPr>
        <w:t>GPT (ALAT)</w:t>
      </w:r>
      <w:r>
        <w:rPr>
          <w:rFonts w:eastAsia="Times New Roman"/>
          <w:lang w:val="hu-HU"/>
        </w:rPr>
        <w:t>-szint emelkedés együttadott metotrexát-kezelés mellett fordult elő. Polyarticularis juvenilis idiopathiás arthritisben szenvedő, 2 - &lt;4 éves betegeknél adalimumabbal végzett kontrollos III</w:t>
      </w:r>
      <w:r w:rsidR="00961E14" w:rsidRPr="009167C6">
        <w:rPr>
          <w:lang w:val="hu-HU"/>
        </w:rPr>
        <w:t> </w:t>
      </w:r>
      <w:r w:rsidR="00961E14" w:rsidDel="00961E14">
        <w:rPr>
          <w:rFonts w:eastAsia="Times New Roman"/>
          <w:lang w:val="hu-HU"/>
        </w:rPr>
        <w:t xml:space="preserve"> </w:t>
      </w:r>
      <w:r>
        <w:rPr>
          <w:rFonts w:eastAsia="Times New Roman"/>
          <w:lang w:val="hu-HU"/>
        </w:rPr>
        <w:t xml:space="preserve">fázisú vizsgálatok során nem fordult elő, hogy a </w:t>
      </w:r>
      <w:r w:rsidR="00385F6D" w:rsidRPr="007F6442">
        <w:rPr>
          <w:lang w:val="hu-HU"/>
        </w:rPr>
        <w:t>GPT (ALAT)</w:t>
      </w:r>
      <w:r w:rsidR="00D621FA" w:rsidRPr="007F6442">
        <w:rPr>
          <w:lang w:val="hu-HU"/>
        </w:rPr>
        <w:t xml:space="preserve"> </w:t>
      </w:r>
      <w:r w:rsidR="00D621FA">
        <w:rPr>
          <w:rFonts w:eastAsia="Times New Roman"/>
          <w:lang w:val="hu-HU"/>
        </w:rPr>
        <w:t xml:space="preserve"> </w:t>
      </w:r>
      <w:r>
        <w:rPr>
          <w:rFonts w:eastAsia="Times New Roman"/>
          <w:lang w:val="hu-HU"/>
        </w:rPr>
        <w:t>a normálérték felső határának ≥</w:t>
      </w:r>
      <w:r w:rsidR="00385F6D">
        <w:rPr>
          <w:rFonts w:eastAsia="Times New Roman"/>
          <w:lang w:val="hu-HU"/>
        </w:rPr>
        <w:t>három</w:t>
      </w:r>
      <w:r>
        <w:rPr>
          <w:rFonts w:eastAsia="Times New Roman"/>
          <w:lang w:val="hu-HU"/>
        </w:rPr>
        <w:t>szorosára emelkedett.</w:t>
      </w:r>
    </w:p>
    <w:p w14:paraId="39DFE14B" w14:textId="77777777" w:rsidR="00130E8B" w:rsidRDefault="00130E8B">
      <w:pPr>
        <w:pStyle w:val="a3"/>
        <w:rPr>
          <w:sz w:val="24"/>
          <w:szCs w:val="24"/>
          <w:lang w:val="hu-HU"/>
        </w:rPr>
      </w:pPr>
    </w:p>
    <w:p w14:paraId="5CD2BFEE" w14:textId="3B57D478" w:rsidR="00130E8B" w:rsidRDefault="000405CC">
      <w:pPr>
        <w:pStyle w:val="a3"/>
        <w:rPr>
          <w:lang w:val="hu-HU"/>
        </w:rPr>
      </w:pPr>
      <w:r>
        <w:rPr>
          <w:rFonts w:eastAsia="Times New Roman"/>
          <w:lang w:val="hu-HU"/>
        </w:rPr>
        <w:t>Crohn-betegségben és colitis ulcerosában szenvedő betegeknél adalimumabbal végzett, 4-52 hetes III.</w:t>
      </w:r>
      <w:r w:rsidR="00961E14" w:rsidRPr="009167C6">
        <w:rPr>
          <w:lang w:val="hu-HU"/>
        </w:rPr>
        <w:t xml:space="preserve">  </w:t>
      </w:r>
      <w:r w:rsidR="00961E14" w:rsidDel="00961E14">
        <w:rPr>
          <w:rFonts w:eastAsia="Times New Roman"/>
          <w:lang w:val="hu-HU"/>
        </w:rPr>
        <w:t xml:space="preserve"> </w:t>
      </w:r>
      <w:r>
        <w:rPr>
          <w:rFonts w:eastAsia="Times New Roman"/>
          <w:lang w:val="hu-HU"/>
        </w:rPr>
        <w:t xml:space="preserve">fázisú kontrollos vizsgálatokbanaz </w:t>
      </w:r>
      <w:r w:rsidR="001E1205">
        <w:rPr>
          <w:rFonts w:eastAsia="Times New Roman"/>
          <w:lang w:val="hu-HU"/>
        </w:rPr>
        <w:t>GPT(</w:t>
      </w:r>
      <w:r>
        <w:rPr>
          <w:rFonts w:eastAsia="Times New Roman"/>
          <w:lang w:val="hu-HU"/>
        </w:rPr>
        <w:t>AL</w:t>
      </w:r>
      <w:r w:rsidR="001E1205">
        <w:rPr>
          <w:rFonts w:eastAsia="Times New Roman"/>
          <w:lang w:val="hu-HU"/>
        </w:rPr>
        <w:t>A</w:t>
      </w:r>
      <w:r>
        <w:rPr>
          <w:rFonts w:eastAsia="Times New Roman"/>
          <w:lang w:val="hu-HU"/>
        </w:rPr>
        <w:t>T</w:t>
      </w:r>
      <w:r w:rsidR="001E1205">
        <w:rPr>
          <w:rFonts w:eastAsia="Times New Roman"/>
          <w:lang w:val="hu-HU"/>
        </w:rPr>
        <w:t>)</w:t>
      </w:r>
      <w:r>
        <w:rPr>
          <w:rFonts w:eastAsia="Times New Roman"/>
          <w:lang w:val="hu-HU"/>
        </w:rPr>
        <w:t xml:space="preserve">-szint a normálérték felső határának </w:t>
      </w:r>
      <w:r w:rsidR="00385F6D">
        <w:rPr>
          <w:rFonts w:eastAsia="Times New Roman"/>
          <w:lang w:val="hu-HU"/>
        </w:rPr>
        <w:t>három</w:t>
      </w:r>
      <w:r>
        <w:rPr>
          <w:rFonts w:eastAsia="Times New Roman"/>
          <w:lang w:val="hu-HU"/>
        </w:rPr>
        <w:t>szorosára történő emelkedése az adalimumabbal kezelt betegek 0,9%-ánál, valamint a kontrollal kezelt betegek 0,9%-nál fordult elő.</w:t>
      </w:r>
    </w:p>
    <w:p w14:paraId="1C19E475" w14:textId="77777777" w:rsidR="00130E8B" w:rsidRDefault="00130E8B">
      <w:pPr>
        <w:spacing w:before="11" w:line="240" w:lineRule="exact"/>
        <w:rPr>
          <w:sz w:val="24"/>
          <w:szCs w:val="24"/>
          <w:lang w:val="hu-HU"/>
        </w:rPr>
      </w:pPr>
    </w:p>
    <w:p w14:paraId="285E0B90" w14:textId="337EC5CD" w:rsidR="00130E8B" w:rsidRDefault="000405CC">
      <w:pPr>
        <w:pStyle w:val="a3"/>
        <w:rPr>
          <w:lang w:val="hu-HU"/>
        </w:rPr>
      </w:pPr>
      <w:r>
        <w:rPr>
          <w:rFonts w:eastAsia="Times New Roman"/>
          <w:lang w:val="hu-HU"/>
        </w:rPr>
        <w:t>A gyermekkori Crohn-betegségben szenvedő betegeknél adalimumabbal végzett III.</w:t>
      </w:r>
      <w:r w:rsidR="00961E14" w:rsidRPr="009167C6">
        <w:rPr>
          <w:lang w:val="hu-HU"/>
        </w:rPr>
        <w:t xml:space="preserve">  </w:t>
      </w:r>
      <w:r w:rsidR="00961E14" w:rsidDel="00961E14">
        <w:rPr>
          <w:rFonts w:eastAsia="Times New Roman"/>
          <w:lang w:val="hu-HU"/>
        </w:rPr>
        <w:t xml:space="preserve"> </w:t>
      </w:r>
      <w:r>
        <w:rPr>
          <w:rFonts w:eastAsia="Times New Roman"/>
          <w:lang w:val="hu-HU"/>
        </w:rPr>
        <w:t xml:space="preserve">fázisú vizsgálatban két, testsúlyra korrigált fenntartó adagolási rend hatásosságát és biztonságosságát vizsgálták 52 kezelési hétig, testsúlyra korrigált indukciós kezelést követően. A vizsgálatok során a betegek 2,6%-ánál (5/192), akik közül 4 egyidejűleg immunszuppresszánst is kapott, a </w:t>
      </w:r>
      <w:r w:rsidR="00E55F2D" w:rsidRPr="009167C6">
        <w:rPr>
          <w:lang w:val="hu-HU"/>
        </w:rPr>
        <w:t>GPT (ALAT)</w:t>
      </w:r>
      <w:r>
        <w:rPr>
          <w:rFonts w:eastAsia="Times New Roman"/>
          <w:lang w:val="hu-HU"/>
        </w:rPr>
        <w:t>-szint a normálérték felső határának ≥</w:t>
      </w:r>
      <w:r w:rsidR="00385F6D">
        <w:rPr>
          <w:rFonts w:eastAsia="Times New Roman"/>
          <w:lang w:val="hu-HU"/>
        </w:rPr>
        <w:t>három</w:t>
      </w:r>
      <w:r>
        <w:rPr>
          <w:rFonts w:eastAsia="Times New Roman"/>
          <w:lang w:val="hu-HU"/>
        </w:rPr>
        <w:t>szorosára emelkedett</w:t>
      </w:r>
    </w:p>
    <w:p w14:paraId="62860066" w14:textId="77777777" w:rsidR="00130E8B" w:rsidRDefault="00130E8B">
      <w:pPr>
        <w:spacing w:before="13" w:line="240" w:lineRule="exact"/>
        <w:rPr>
          <w:sz w:val="24"/>
          <w:szCs w:val="24"/>
          <w:lang w:val="hu-HU"/>
        </w:rPr>
      </w:pPr>
    </w:p>
    <w:p w14:paraId="49CA278A" w14:textId="21772AE2" w:rsidR="00130E8B" w:rsidRDefault="000405CC">
      <w:pPr>
        <w:pStyle w:val="a3"/>
        <w:rPr>
          <w:lang w:val="hu-HU"/>
        </w:rPr>
      </w:pPr>
      <w:r>
        <w:rPr>
          <w:rFonts w:eastAsia="Times New Roman"/>
          <w:lang w:val="hu-HU"/>
        </w:rPr>
        <w:t>Plakkos psoriasisban szenvedő betegeknél adalimumabbal végzett, 12-24 hetes, III.</w:t>
      </w:r>
      <w:r w:rsidR="00961E14" w:rsidRPr="009167C6">
        <w:rPr>
          <w:lang w:val="hu-HU"/>
        </w:rPr>
        <w:t xml:space="preserve">  </w:t>
      </w:r>
      <w:r w:rsidR="00961E14" w:rsidDel="00961E14">
        <w:rPr>
          <w:rFonts w:eastAsia="Times New Roman"/>
          <w:lang w:val="hu-HU"/>
        </w:rPr>
        <w:t xml:space="preserve"> </w:t>
      </w:r>
      <w:r>
        <w:rPr>
          <w:rFonts w:eastAsia="Times New Roman"/>
          <w:lang w:val="hu-HU"/>
        </w:rPr>
        <w:t xml:space="preserve">fázisú vizsgálatokban a </w:t>
      </w:r>
      <w:r w:rsidR="00E55F2D" w:rsidRPr="009167C6">
        <w:rPr>
          <w:lang w:val="hu-HU"/>
        </w:rPr>
        <w:t>GPT (ALAT)</w:t>
      </w:r>
      <w:r w:rsidR="00E55F2D">
        <w:rPr>
          <w:rFonts w:eastAsia="Times New Roman"/>
          <w:lang w:val="hu-HU"/>
        </w:rPr>
        <w:t>-</w:t>
      </w:r>
      <w:r>
        <w:rPr>
          <w:rFonts w:eastAsia="Times New Roman"/>
          <w:lang w:val="hu-HU"/>
        </w:rPr>
        <w:t>szint a normálérték felső határának  ≥</w:t>
      </w:r>
      <w:r w:rsidR="00385F6D">
        <w:rPr>
          <w:rFonts w:eastAsia="Times New Roman"/>
          <w:lang w:val="hu-HU"/>
        </w:rPr>
        <w:t>három</w:t>
      </w:r>
      <w:r>
        <w:rPr>
          <w:rFonts w:eastAsia="Times New Roman"/>
          <w:lang w:val="hu-HU"/>
        </w:rPr>
        <w:t>szorosára történő emelkedése az dalimumabbal kezelt betegek 1,8%-ánál, a kontroll-kezelés mellett a betegek 1,8%-ánál fordult elő,</w:t>
      </w:r>
    </w:p>
    <w:p w14:paraId="6B5BB4D8" w14:textId="77777777" w:rsidR="00130E8B" w:rsidRDefault="00130E8B">
      <w:pPr>
        <w:spacing w:before="17" w:line="240" w:lineRule="exact"/>
        <w:rPr>
          <w:sz w:val="24"/>
          <w:szCs w:val="24"/>
          <w:lang w:val="hu-HU"/>
        </w:rPr>
      </w:pPr>
    </w:p>
    <w:p w14:paraId="3835A8E6" w14:textId="73B4D8AB" w:rsidR="00130E8B" w:rsidRDefault="000405CC">
      <w:pPr>
        <w:pStyle w:val="a3"/>
        <w:rPr>
          <w:lang w:val="hu-HU"/>
        </w:rPr>
      </w:pPr>
      <w:r>
        <w:rPr>
          <w:rFonts w:eastAsia="Times New Roman"/>
          <w:lang w:val="hu-HU"/>
        </w:rPr>
        <w:t>Plakkos psoriasisban szenvedő pediátriai betegeknél adalimumabbal végzett III.</w:t>
      </w:r>
      <w:r w:rsidR="00961E14" w:rsidRPr="009167C6">
        <w:rPr>
          <w:lang w:val="hu-HU"/>
        </w:rPr>
        <w:t xml:space="preserve">  </w:t>
      </w:r>
      <w:r w:rsidR="00961E14" w:rsidDel="00961E14">
        <w:rPr>
          <w:rFonts w:eastAsia="Times New Roman"/>
          <w:lang w:val="hu-HU"/>
        </w:rPr>
        <w:t xml:space="preserve"> </w:t>
      </w:r>
      <w:r>
        <w:rPr>
          <w:rFonts w:eastAsia="Times New Roman"/>
          <w:lang w:val="hu-HU"/>
        </w:rPr>
        <w:t>fázisú vizsgálatok során nem fordult elő a</w:t>
      </w:r>
      <w:r w:rsidR="003B324E">
        <w:rPr>
          <w:rFonts w:eastAsia="Times New Roman"/>
          <w:lang w:val="hu-HU"/>
        </w:rPr>
        <w:t xml:space="preserve"> </w:t>
      </w:r>
      <w:r w:rsidR="003B324E" w:rsidRPr="009167C6">
        <w:rPr>
          <w:lang w:val="hu-HU"/>
        </w:rPr>
        <w:t>GPT (ALAT)</w:t>
      </w:r>
      <w:r>
        <w:rPr>
          <w:rFonts w:eastAsia="Times New Roman"/>
          <w:lang w:val="hu-HU"/>
        </w:rPr>
        <w:t>-szintnek a normálérték felső határának  ≥</w:t>
      </w:r>
      <w:r w:rsidR="00385F6D">
        <w:rPr>
          <w:rFonts w:eastAsia="Times New Roman"/>
          <w:lang w:val="hu-HU"/>
        </w:rPr>
        <w:t>három</w:t>
      </w:r>
      <w:r>
        <w:rPr>
          <w:rFonts w:eastAsia="Times New Roman"/>
          <w:lang w:val="hu-HU"/>
        </w:rPr>
        <w:t>szorosára való emelkedése.</w:t>
      </w:r>
    </w:p>
    <w:p w14:paraId="7D9D3EB7" w14:textId="77777777" w:rsidR="00130E8B" w:rsidRDefault="00130E8B">
      <w:pPr>
        <w:spacing w:before="11" w:line="240" w:lineRule="exact"/>
        <w:rPr>
          <w:sz w:val="24"/>
          <w:szCs w:val="24"/>
          <w:lang w:val="hu-HU"/>
        </w:rPr>
      </w:pPr>
    </w:p>
    <w:p w14:paraId="147BF768" w14:textId="7BE91DA4" w:rsidR="00130E8B" w:rsidRDefault="000405CC">
      <w:pPr>
        <w:pStyle w:val="a3"/>
        <w:rPr>
          <w:lang w:val="hu-HU"/>
        </w:rPr>
      </w:pPr>
      <w:r>
        <w:rPr>
          <w:rFonts w:eastAsia="Times New Roman"/>
          <w:lang w:val="hu-HU"/>
        </w:rPr>
        <w:t xml:space="preserve">Hidradenitis suppurativában szenvedő betegeknél az adalimumabbal (kezdő dózis a 0. héten 160 mg és a 2. héten 80 mg, melyet a 4. héttől kezdve hetente 40 mg követ) végzett kontrollos vizsgálatokban, a 12-16 hetes kontrollperiódusban a </w:t>
      </w:r>
      <w:r w:rsidR="00651A37" w:rsidRPr="009167C6">
        <w:rPr>
          <w:lang w:val="hu-HU"/>
        </w:rPr>
        <w:t>GPT (ALAT)</w:t>
      </w:r>
      <w:r>
        <w:rPr>
          <w:rFonts w:eastAsia="Times New Roman"/>
          <w:lang w:val="hu-HU"/>
        </w:rPr>
        <w:t>-szint normálérték felső határának ≥</w:t>
      </w:r>
      <w:r w:rsidR="00385F6D">
        <w:rPr>
          <w:rFonts w:eastAsia="Times New Roman"/>
          <w:lang w:val="hu-HU"/>
        </w:rPr>
        <w:t>három</w:t>
      </w:r>
      <w:r>
        <w:rPr>
          <w:rFonts w:eastAsia="Times New Roman"/>
          <w:lang w:val="hu-HU"/>
        </w:rPr>
        <w:t>szorosára történő emelkedése az adalimumabbal kezelt betegek 0,3%-ánál, míg a kontrollal kezelt betegek 0,6%-ánál fordult elő.</w:t>
      </w:r>
    </w:p>
    <w:p w14:paraId="72CF0D3F" w14:textId="77777777" w:rsidR="00130E8B" w:rsidRDefault="00130E8B">
      <w:pPr>
        <w:spacing w:before="17" w:line="240" w:lineRule="exact"/>
        <w:rPr>
          <w:sz w:val="24"/>
          <w:szCs w:val="24"/>
          <w:lang w:val="hu-HU"/>
        </w:rPr>
      </w:pPr>
    </w:p>
    <w:p w14:paraId="0C3C1A22" w14:textId="392310CB" w:rsidR="00130E8B" w:rsidRDefault="000405CC">
      <w:pPr>
        <w:pStyle w:val="a3"/>
        <w:rPr>
          <w:lang w:val="hu-HU"/>
        </w:rPr>
      </w:pPr>
      <w:r>
        <w:rPr>
          <w:rFonts w:eastAsia="Times New Roman"/>
          <w:lang w:val="hu-HU"/>
        </w:rPr>
        <w:t xml:space="preserve">Uveitisben szenvedő felnőtt betegeknél az adalimumabbal (kezdő dózis a 0. héten 80 mg, melyet az 1. héttől kezdve minden második héten adott 40 mg követett) végzett, 80 hétig tartó kontrollos vizsgálatokban, az adalimumabbal kezelt betegeknél 166,5 nap, a kontrollcsoportnál 105 nap medián expozíciós idő esetén, a </w:t>
      </w:r>
      <w:r w:rsidR="00651A37" w:rsidRPr="009167C6">
        <w:rPr>
          <w:lang w:val="hu-HU"/>
        </w:rPr>
        <w:t>GPT (ALAT)</w:t>
      </w:r>
      <w:r>
        <w:rPr>
          <w:rFonts w:eastAsia="Times New Roman"/>
          <w:lang w:val="hu-HU"/>
        </w:rPr>
        <w:t>-szint normálérték felső határának ≥</w:t>
      </w:r>
      <w:r w:rsidR="00385F6D">
        <w:rPr>
          <w:rFonts w:eastAsia="Times New Roman"/>
          <w:lang w:val="hu-HU"/>
        </w:rPr>
        <w:t>három</w:t>
      </w:r>
      <w:r>
        <w:rPr>
          <w:rFonts w:eastAsia="Times New Roman"/>
          <w:lang w:val="hu-HU"/>
        </w:rPr>
        <w:t>szorosára való emelkedése az adalimumabbal kezelt betegek 2,4%-ánál, a kontrollkezelés mellett a betegek 2,4%-ánál fordult elő.</w:t>
      </w:r>
    </w:p>
    <w:p w14:paraId="78C341B8" w14:textId="77777777" w:rsidR="00130E8B" w:rsidRDefault="00130E8B">
      <w:pPr>
        <w:spacing w:before="11" w:line="240" w:lineRule="exact"/>
        <w:rPr>
          <w:sz w:val="24"/>
          <w:szCs w:val="24"/>
          <w:lang w:val="hu-HU"/>
        </w:rPr>
      </w:pPr>
    </w:p>
    <w:p w14:paraId="43C852E1" w14:textId="59C554F4" w:rsidR="000B459E" w:rsidRPr="004E2591" w:rsidRDefault="000B459E" w:rsidP="000B459E">
      <w:pPr>
        <w:rPr>
          <w:rFonts w:ascii="Times New Roman" w:eastAsia="Times New Roman" w:hAnsi="Times New Roman" w:cs="Times New Roman"/>
          <w:lang w:val="hu-HU"/>
        </w:rPr>
      </w:pPr>
      <w:r w:rsidRPr="004E2591">
        <w:rPr>
          <w:rFonts w:ascii="Times New Roman" w:eastAsia="Times New Roman" w:hAnsi="Times New Roman" w:cs="Times New Roman"/>
          <w:lang w:val="hu-HU"/>
        </w:rPr>
        <w:t xml:space="preserve">Egy gyermek- és serdülőkori colitis ulcerosában szenvedő betegek körében (N=93) </w:t>
      </w:r>
      <w:r>
        <w:rPr>
          <w:rFonts w:ascii="Times New Roman" w:eastAsia="Times New Roman" w:hAnsi="Times New Roman" w:cs="Times New Roman"/>
          <w:lang w:val="hu-HU"/>
        </w:rPr>
        <w:t>adalimumab</w:t>
      </w:r>
      <w:r w:rsidRPr="004E2591">
        <w:rPr>
          <w:rFonts w:ascii="Times New Roman" w:eastAsia="Times New Roman" w:hAnsi="Times New Roman" w:cs="Times New Roman"/>
          <w:lang w:val="hu-HU"/>
        </w:rPr>
        <w:noBreakHyphen/>
        <w:t xml:space="preserve">val végzett, kontrollált III. fázisú vizsgálatban a következő adagolási sémák hatásosságát és biztonságosságát értékelték: a 0. és 1. héten a testtömeghez igazított 2,4 mg/ttkg (legfeljebb 160 mg), és a 2. héten 1,2 mg/ttkg (legfeljebb 80 mg) indukciós dózis (N=63), vagy a 0. héten 2,4 mg/ttkg (legfeljebb 160 mg), az 1. héten placebo, a 2. héten 1,2 mg/ttkg (legfeljebb 80 mg) indukciós dózis (N=30), amit minden második héten adott 0,6 mg/ttkg (legfeljebb 40 mg) fenntartó dózis (N=31), vagy hetente adott 0,6 mg/ttkg (legfeljebb 40 mg) fenntartó dózis </w:t>
      </w:r>
      <w:r w:rsidRPr="004E2591">
        <w:rPr>
          <w:rFonts w:ascii="Times New Roman" w:eastAsia="Times New Roman" w:hAnsi="Times New Roman" w:cs="Times New Roman"/>
          <w:lang w:val="hu-HU"/>
        </w:rPr>
        <w:lastRenderedPageBreak/>
        <w:t>(N=32) követ. A fenti dózisok mellett a betegek 1,1%</w:t>
      </w:r>
      <w:r w:rsidRPr="004E2591">
        <w:rPr>
          <w:rFonts w:ascii="Times New Roman" w:eastAsia="Times New Roman" w:hAnsi="Times New Roman" w:cs="Times New Roman"/>
          <w:lang w:val="hu-HU"/>
        </w:rPr>
        <w:noBreakHyphen/>
        <w:t>ánál (1/93) a</w:t>
      </w:r>
      <w:r w:rsidR="00385F6D">
        <w:rPr>
          <w:rFonts w:ascii="Times New Roman" w:eastAsia="Times New Roman" w:hAnsi="Times New Roman" w:cs="Times New Roman"/>
          <w:lang w:val="hu-HU"/>
        </w:rPr>
        <w:t xml:space="preserve"> </w:t>
      </w:r>
      <w:r w:rsidR="00385F6D" w:rsidRPr="00522548">
        <w:rPr>
          <w:rFonts w:ascii="Times New Roman" w:hAnsi="Times New Roman" w:cs="Times New Roman"/>
          <w:lang w:val="hu-HU"/>
        </w:rPr>
        <w:t>GPT (ALAT)</w:t>
      </w:r>
      <w:r w:rsidRPr="004E2591">
        <w:rPr>
          <w:rFonts w:ascii="Times New Roman" w:eastAsia="Times New Roman" w:hAnsi="Times New Roman" w:cs="Times New Roman"/>
          <w:lang w:val="hu-HU"/>
        </w:rPr>
        <w:t xml:space="preserve"> a normálérték felső határának ≥ </w:t>
      </w:r>
      <w:r w:rsidR="00385F6D">
        <w:rPr>
          <w:rFonts w:ascii="Times New Roman" w:eastAsia="Times New Roman" w:hAnsi="Times New Roman" w:cs="Times New Roman"/>
          <w:lang w:val="hu-HU"/>
        </w:rPr>
        <w:t>három</w:t>
      </w:r>
      <w:r w:rsidRPr="004E2591">
        <w:rPr>
          <w:rFonts w:ascii="Times New Roman" w:eastAsia="Times New Roman" w:hAnsi="Times New Roman" w:cs="Times New Roman"/>
          <w:lang w:val="hu-HU"/>
        </w:rPr>
        <w:t>szorosára emelkedett.</w:t>
      </w:r>
    </w:p>
    <w:p w14:paraId="77746A18" w14:textId="77777777" w:rsidR="000B459E" w:rsidRPr="00522548" w:rsidRDefault="000B459E">
      <w:pPr>
        <w:pStyle w:val="a3"/>
        <w:rPr>
          <w:rFonts w:eastAsia="Times New Roman"/>
          <w:lang w:val="hu-HU"/>
        </w:rPr>
      </w:pPr>
    </w:p>
    <w:p w14:paraId="75BD38F6" w14:textId="3D86CD07" w:rsidR="00130E8B" w:rsidRDefault="000405CC">
      <w:pPr>
        <w:pStyle w:val="a3"/>
        <w:rPr>
          <w:lang w:val="hu-HU"/>
        </w:rPr>
      </w:pPr>
      <w:r>
        <w:rPr>
          <w:rFonts w:eastAsia="Times New Roman"/>
          <w:lang w:val="hu-HU"/>
        </w:rPr>
        <w:t xml:space="preserve">A klinikai vizsgálatokban a magasabb </w:t>
      </w:r>
      <w:r w:rsidR="00651A37" w:rsidRPr="009167C6">
        <w:rPr>
          <w:lang w:val="hu-HU"/>
        </w:rPr>
        <w:t>GPT (ALAT)</w:t>
      </w:r>
      <w:r>
        <w:rPr>
          <w:rFonts w:eastAsia="Times New Roman"/>
          <w:lang w:val="hu-HU"/>
        </w:rPr>
        <w:t xml:space="preserve">-szintű betegek tünetmentesek voltak valamennyi indikációban. Az esetek többségében az emelkedés átmeneti volt és a kezelés folytatása mellett megszűnt. A forgalomba hozatalt követően is beszámoltak májelégtelenségről és kevésbé súlyos olyan májbetegségekről is, amelyek megelőzhetik a májelégtelenséget, mint </w:t>
      </w:r>
      <w:r w:rsidR="00E712D7">
        <w:rPr>
          <w:rFonts w:eastAsia="Times New Roman"/>
          <w:lang w:val="hu-HU"/>
        </w:rPr>
        <w:t>például</w:t>
      </w:r>
      <w:r>
        <w:rPr>
          <w:rFonts w:eastAsia="Times New Roman"/>
          <w:lang w:val="hu-HU"/>
        </w:rPr>
        <w:t xml:space="preserve"> a hepatitis, beleértve az autoimmun hepatitist az adalimumabbal kezelt betegeknél.</w:t>
      </w:r>
    </w:p>
    <w:p w14:paraId="773F1ECA" w14:textId="77777777" w:rsidR="00130E8B" w:rsidRDefault="00130E8B">
      <w:pPr>
        <w:pStyle w:val="a3"/>
        <w:rPr>
          <w:u w:color="000000"/>
          <w:lang w:val="hu-HU"/>
        </w:rPr>
      </w:pPr>
    </w:p>
    <w:p w14:paraId="4B8D1B1A" w14:textId="77777777" w:rsidR="00130E8B" w:rsidRDefault="000405CC">
      <w:pPr>
        <w:pStyle w:val="a3"/>
        <w:rPr>
          <w:u w:val="single"/>
          <w:lang w:val="hu-HU"/>
        </w:rPr>
      </w:pPr>
      <w:r>
        <w:rPr>
          <w:rFonts w:eastAsia="Times New Roman"/>
          <w:u w:val="single" w:color="000000"/>
          <w:lang w:val="hu-HU"/>
        </w:rPr>
        <w:t xml:space="preserve">Egyidejű azatioprin/6-merkaptopurin kezelés </w:t>
      </w:r>
    </w:p>
    <w:p w14:paraId="7F5587B0" w14:textId="77777777" w:rsidR="00130E8B" w:rsidRDefault="00130E8B">
      <w:pPr>
        <w:spacing w:before="1" w:line="180" w:lineRule="exact"/>
        <w:rPr>
          <w:sz w:val="18"/>
          <w:szCs w:val="18"/>
          <w:lang w:val="hu-HU"/>
        </w:rPr>
      </w:pPr>
    </w:p>
    <w:p w14:paraId="0F436393" w14:textId="77777777" w:rsidR="00130E8B" w:rsidRDefault="000405CC">
      <w:pPr>
        <w:pStyle w:val="a3"/>
        <w:rPr>
          <w:lang w:val="hu-HU"/>
        </w:rPr>
      </w:pPr>
      <w:r>
        <w:rPr>
          <w:rFonts w:eastAsia="Times New Roman"/>
          <w:lang w:val="hu-HU"/>
        </w:rPr>
        <w:t>Felnőttkori Crohn-betegségben végzett vizsgálatok során a rosszindulatú daganatokkal és súlyos fertőzésekkel kapcsolatos nemkívánatos események nagyobb gyakoriságát észlelték adalimumab és azatioprin/6-merkaptopurin kombinációs kezelés során, mint az önmagában adott adalimumab esetén.</w:t>
      </w:r>
    </w:p>
    <w:p w14:paraId="274FC2F7" w14:textId="77777777" w:rsidR="00130E8B" w:rsidRDefault="00130E8B">
      <w:pPr>
        <w:spacing w:before="13" w:line="240" w:lineRule="exact"/>
        <w:rPr>
          <w:sz w:val="24"/>
          <w:szCs w:val="24"/>
          <w:lang w:val="hu-HU"/>
        </w:rPr>
      </w:pPr>
    </w:p>
    <w:p w14:paraId="39F738ED" w14:textId="77777777" w:rsidR="00130E8B" w:rsidRDefault="000405CC">
      <w:pPr>
        <w:pStyle w:val="a3"/>
        <w:rPr>
          <w:u w:val="single"/>
          <w:lang w:val="hu-HU"/>
        </w:rPr>
      </w:pPr>
      <w:r>
        <w:rPr>
          <w:rFonts w:eastAsia="Times New Roman"/>
          <w:u w:val="single" w:color="000000"/>
          <w:lang w:val="hu-HU"/>
        </w:rPr>
        <w:t>Feltételezett mellékhatások bejelentése</w:t>
      </w:r>
    </w:p>
    <w:p w14:paraId="5C4FA29B" w14:textId="77777777" w:rsidR="00130E8B" w:rsidRDefault="00130E8B">
      <w:pPr>
        <w:spacing w:before="9" w:line="170" w:lineRule="exact"/>
        <w:rPr>
          <w:sz w:val="17"/>
          <w:szCs w:val="17"/>
          <w:lang w:val="hu-HU"/>
        </w:rPr>
      </w:pPr>
    </w:p>
    <w:p w14:paraId="761DEB39" w14:textId="77777777" w:rsidR="00130E8B" w:rsidRDefault="000405CC">
      <w:pPr>
        <w:pStyle w:val="a3"/>
        <w:rPr>
          <w:lang w:val="hu-HU"/>
        </w:rPr>
      </w:pPr>
      <w:r>
        <w:rPr>
          <w:rFonts w:eastAsia="Times New Roman"/>
          <w:lang w:val="hu-HU"/>
        </w:rPr>
        <w:t xml:space="preserve">A gyógyszer engedélyezését követően lényeges a feltételezett mellékhatások bejelentése, mert ez fontos eszköze annak, hogy a gyógyszer előny/kockázat profilját folyamatosan figyelemmel lehessen kísérni. Az egészségügyi szakembereket kérjük, hogy jelentsék be a feltételezett mellékhatásokat a hatóság részére </w:t>
      </w:r>
      <w:r w:rsidRPr="000405CC">
        <w:rPr>
          <w:rFonts w:eastAsia="Times New Roman"/>
          <w:highlight w:val="lightGray"/>
          <w:lang w:val="hu-HU"/>
        </w:rPr>
        <w:t xml:space="preserve">az </w:t>
      </w:r>
      <w:hyperlink r:id="rId12" w:history="1">
        <w:r w:rsidRPr="000405CC">
          <w:rPr>
            <w:rFonts w:eastAsia="Times New Roman"/>
            <w:color w:val="0000FF"/>
            <w:highlight w:val="lightGray"/>
            <w:u w:val="single"/>
            <w:lang w:val="hu-HU"/>
          </w:rPr>
          <w:t>V. függelékben</w:t>
        </w:r>
        <w:r w:rsidRPr="000405CC">
          <w:rPr>
            <w:rFonts w:eastAsia="Times New Roman"/>
            <w:color w:val="000000"/>
            <w:highlight w:val="lightGray"/>
            <w:lang w:val="hu-HU"/>
          </w:rPr>
          <w:t xml:space="preserve"> található elérhetőségek valamelyikén keresztül.</w:t>
        </w:r>
      </w:hyperlink>
    </w:p>
    <w:p w14:paraId="74D5DE84" w14:textId="77777777" w:rsidR="00130E8B" w:rsidRDefault="00130E8B">
      <w:pPr>
        <w:spacing w:before="6" w:line="180" w:lineRule="exact"/>
        <w:rPr>
          <w:sz w:val="18"/>
          <w:szCs w:val="18"/>
          <w:lang w:val="hu-HU"/>
        </w:rPr>
      </w:pPr>
    </w:p>
    <w:p w14:paraId="4BC6750C" w14:textId="77777777" w:rsidR="00130E8B" w:rsidRDefault="000405CC">
      <w:pPr>
        <w:widowControl/>
        <w:numPr>
          <w:ilvl w:val="1"/>
          <w:numId w:val="13"/>
        </w:numPr>
        <w:tabs>
          <w:tab w:val="left" w:pos="567"/>
        </w:tabs>
        <w:spacing w:line="260" w:lineRule="exact"/>
        <w:ind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Túladagolás</w:t>
      </w:r>
    </w:p>
    <w:p w14:paraId="17853A62" w14:textId="77777777" w:rsidR="00130E8B" w:rsidRDefault="00130E8B">
      <w:pPr>
        <w:spacing w:before="12" w:line="240" w:lineRule="exact"/>
        <w:rPr>
          <w:sz w:val="24"/>
          <w:szCs w:val="24"/>
          <w:lang w:val="hu-HU"/>
        </w:rPr>
      </w:pPr>
    </w:p>
    <w:p w14:paraId="6D1D8017" w14:textId="77777777" w:rsidR="00130E8B" w:rsidRDefault="000405CC">
      <w:pPr>
        <w:pStyle w:val="a3"/>
        <w:rPr>
          <w:lang w:val="hu-HU"/>
        </w:rPr>
      </w:pPr>
      <w:r>
        <w:rPr>
          <w:rFonts w:eastAsia="Times New Roman"/>
          <w:lang w:val="hu-HU"/>
        </w:rPr>
        <w:t>A klinikai vizsgálatok során nem észlelték dóziskorlátozó toxicitás jeleit. A legmagasabb vizsgált dózis az intravénásan beadott 10 mg/ttkg-os dózis többszöröse volt, amely az ajánlott dózis kb. 15-szörösét teszi ki.</w:t>
      </w:r>
    </w:p>
    <w:p w14:paraId="51C00B94" w14:textId="77777777" w:rsidR="00130E8B" w:rsidRDefault="00130E8B">
      <w:pPr>
        <w:spacing w:line="200" w:lineRule="exact"/>
        <w:rPr>
          <w:sz w:val="20"/>
          <w:szCs w:val="20"/>
          <w:lang w:val="hu-HU"/>
        </w:rPr>
      </w:pPr>
    </w:p>
    <w:p w14:paraId="4F8912AB" w14:textId="77777777" w:rsidR="00130E8B" w:rsidRDefault="00130E8B">
      <w:pPr>
        <w:widowControl/>
        <w:tabs>
          <w:tab w:val="left" w:pos="567"/>
        </w:tabs>
        <w:spacing w:line="260" w:lineRule="exact"/>
        <w:rPr>
          <w:rFonts w:ascii="Times New Roman" w:eastAsia="Times New Roman" w:hAnsi="Times New Roman" w:cs="Times New Roman"/>
          <w:b/>
          <w:noProof/>
          <w:lang w:val="hu-HU"/>
        </w:rPr>
      </w:pPr>
    </w:p>
    <w:p w14:paraId="589E0528" w14:textId="77777777" w:rsidR="00130E8B" w:rsidRDefault="000405CC">
      <w:pPr>
        <w:keepNext/>
        <w:numPr>
          <w:ilvl w:val="0"/>
          <w:numId w:val="25"/>
        </w:numPr>
        <w:tabs>
          <w:tab w:val="left" w:pos="567"/>
        </w:tabs>
        <w:spacing w:line="260" w:lineRule="exact"/>
        <w:ind w:left="0"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FARMAKOLÓGIAI TULAJDONSÁGOK</w:t>
      </w:r>
    </w:p>
    <w:p w14:paraId="4138C3F8" w14:textId="77777777" w:rsidR="00130E8B" w:rsidRDefault="00130E8B">
      <w:pPr>
        <w:keepNext/>
        <w:spacing w:before="11" w:line="240" w:lineRule="exact"/>
        <w:rPr>
          <w:sz w:val="24"/>
          <w:szCs w:val="24"/>
          <w:lang w:val="hu-HU"/>
        </w:rPr>
      </w:pPr>
    </w:p>
    <w:p w14:paraId="39C2E546" w14:textId="77777777" w:rsidR="00130E8B" w:rsidRDefault="000405CC">
      <w:pPr>
        <w:keepNext/>
        <w:numPr>
          <w:ilvl w:val="1"/>
          <w:numId w:val="29"/>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Farmakodinámiás tulajdonságok</w:t>
      </w:r>
    </w:p>
    <w:p w14:paraId="04E282A7" w14:textId="77777777" w:rsidR="00130E8B" w:rsidRDefault="00130E8B">
      <w:pPr>
        <w:spacing w:before="9" w:line="240" w:lineRule="exact"/>
        <w:rPr>
          <w:sz w:val="24"/>
          <w:szCs w:val="24"/>
          <w:lang w:val="hu-HU"/>
        </w:rPr>
      </w:pPr>
    </w:p>
    <w:p w14:paraId="00BAFA71" w14:textId="77777777" w:rsidR="00130E8B" w:rsidRDefault="000405CC">
      <w:pPr>
        <w:pStyle w:val="a3"/>
        <w:rPr>
          <w:lang w:val="hu-HU"/>
        </w:rPr>
      </w:pPr>
      <w:r>
        <w:rPr>
          <w:rFonts w:eastAsia="Times New Roman"/>
          <w:lang w:val="hu-HU"/>
        </w:rPr>
        <w:t>Farmakoterápiás csoport:Immunszuppresszánsok, tumor nekrózis faktor alfa (TNF-α) gátlók. ATC-kód:L04AB04</w:t>
      </w:r>
    </w:p>
    <w:p w14:paraId="20267641" w14:textId="77777777" w:rsidR="00130E8B" w:rsidRDefault="00130E8B">
      <w:pPr>
        <w:pStyle w:val="a3"/>
        <w:rPr>
          <w:lang w:val="hu-HU"/>
        </w:rPr>
      </w:pPr>
    </w:p>
    <w:p w14:paraId="7E934DBD" w14:textId="77777777" w:rsidR="00130E8B" w:rsidRDefault="000405CC">
      <w:pPr>
        <w:pStyle w:val="a3"/>
        <w:rPr>
          <w:lang w:val="hu-HU"/>
        </w:rPr>
      </w:pPr>
      <w:r>
        <w:rPr>
          <w:rFonts w:eastAsia="Times New Roman"/>
          <w:lang w:val="hu-HU"/>
        </w:rPr>
        <w:t xml:space="preserve">A Yuflyma egy biohasonló gyógyszerkészítmény. A gyógyszerről részletes információ az Európai Gyógyszerügynökség internetes honlapján </w:t>
      </w:r>
      <w:r>
        <w:fldChar w:fldCharType="begin"/>
      </w:r>
      <w:r w:rsidRPr="00BE4D18">
        <w:rPr>
          <w:lang w:val="hu-HU"/>
        </w:rPr>
        <w:instrText>HYPERLINK "http://www.ema.europa.eu"</w:instrText>
      </w:r>
      <w:r>
        <w:fldChar w:fldCharType="separate"/>
      </w:r>
      <w:r w:rsidRPr="009167C6">
        <w:rPr>
          <w:rStyle w:val="ad"/>
          <w:lang w:val="hu-HU"/>
        </w:rPr>
        <w:t>http://www.ema.europa.eu</w:t>
      </w:r>
      <w:r>
        <w:fldChar w:fldCharType="end"/>
      </w:r>
      <w:r w:rsidRPr="009167C6">
        <w:rPr>
          <w:color w:val="0000FF"/>
          <w:u w:val="single"/>
          <w:lang w:val="hu-HU"/>
        </w:rPr>
        <w:t xml:space="preserve">. </w:t>
      </w:r>
      <w:r>
        <w:rPr>
          <w:rFonts w:eastAsia="Times New Roman"/>
          <w:lang w:val="hu-HU"/>
        </w:rPr>
        <w:t>található.</w:t>
      </w:r>
    </w:p>
    <w:p w14:paraId="741A44DB" w14:textId="77777777" w:rsidR="00130E8B" w:rsidRDefault="00130E8B">
      <w:pPr>
        <w:spacing w:before="10" w:line="240" w:lineRule="exact"/>
        <w:rPr>
          <w:sz w:val="24"/>
          <w:szCs w:val="24"/>
          <w:lang w:val="hu-HU"/>
        </w:rPr>
      </w:pPr>
    </w:p>
    <w:p w14:paraId="2ED06B16" w14:textId="77777777" w:rsidR="00130E8B" w:rsidRDefault="000405CC">
      <w:pPr>
        <w:pStyle w:val="a3"/>
        <w:rPr>
          <w:u w:val="single"/>
          <w:lang w:val="hu-HU"/>
        </w:rPr>
      </w:pPr>
      <w:r>
        <w:rPr>
          <w:rFonts w:eastAsia="Times New Roman"/>
          <w:u w:val="single" w:color="000000"/>
          <w:lang w:val="hu-HU"/>
        </w:rPr>
        <w:t>Hatásmechanizmus</w:t>
      </w:r>
    </w:p>
    <w:p w14:paraId="0CA909A1" w14:textId="77777777" w:rsidR="00130E8B" w:rsidRDefault="00130E8B">
      <w:pPr>
        <w:spacing w:before="1" w:line="180" w:lineRule="exact"/>
        <w:rPr>
          <w:sz w:val="18"/>
          <w:szCs w:val="18"/>
          <w:lang w:val="hu-HU"/>
        </w:rPr>
      </w:pPr>
    </w:p>
    <w:p w14:paraId="4BE328C6" w14:textId="77777777" w:rsidR="00130E8B" w:rsidRDefault="000405CC">
      <w:pPr>
        <w:pStyle w:val="a3"/>
        <w:rPr>
          <w:lang w:val="hu-HU"/>
        </w:rPr>
      </w:pPr>
      <w:r>
        <w:rPr>
          <w:rFonts w:eastAsia="Times New Roman"/>
          <w:lang w:val="hu-HU"/>
        </w:rPr>
        <w:t>Az adalimumab specifikusan kötődik a TNF- hez és semlegesíti a TNF biológiai hatását, megakadályozva a TNF interakcióját a p55 és p75 sejtfelszíni TNF receptorokkal.</w:t>
      </w:r>
    </w:p>
    <w:p w14:paraId="64A0121D" w14:textId="77777777" w:rsidR="00130E8B" w:rsidRDefault="00130E8B">
      <w:pPr>
        <w:spacing w:before="10" w:line="240" w:lineRule="exact"/>
        <w:rPr>
          <w:sz w:val="24"/>
          <w:szCs w:val="24"/>
          <w:lang w:val="hu-HU"/>
        </w:rPr>
      </w:pPr>
    </w:p>
    <w:p w14:paraId="6BE3C8BC" w14:textId="77777777" w:rsidR="00130E8B" w:rsidRDefault="000405CC">
      <w:pPr>
        <w:pStyle w:val="a3"/>
        <w:rPr>
          <w:lang w:val="hu-HU"/>
        </w:rPr>
      </w:pPr>
      <w:r>
        <w:rPr>
          <w:rFonts w:eastAsia="Times New Roman"/>
          <w:lang w:val="hu-HU"/>
        </w:rPr>
        <w:t>Továbbá az adalimumab módosítja a biológiai válaszokat, melyeket a TNF indukál, illetve szabályoz, beleértve a leukocyták vándorlásáért felelős adhéziós molekulák szintjeinek változtatását (ELAM- 1, VCAM- 1 és ICAM- 1, melyek IC</w:t>
      </w:r>
      <w:r>
        <w:rPr>
          <w:rFonts w:eastAsia="Times New Roman"/>
          <w:sz w:val="14"/>
          <w:szCs w:val="14"/>
          <w:lang w:val="hu-HU"/>
        </w:rPr>
        <w:t>50</w:t>
      </w:r>
      <w:r>
        <w:rPr>
          <w:rFonts w:eastAsia="Times New Roman"/>
          <w:lang w:val="hu-HU"/>
        </w:rPr>
        <w:t xml:space="preserve"> értékei 0, 1 - 0, 2 nM).</w:t>
      </w:r>
    </w:p>
    <w:p w14:paraId="1C98CB36" w14:textId="77777777" w:rsidR="00130E8B" w:rsidRDefault="00130E8B">
      <w:pPr>
        <w:spacing w:before="12" w:line="240" w:lineRule="exact"/>
        <w:rPr>
          <w:sz w:val="24"/>
          <w:szCs w:val="24"/>
          <w:lang w:val="hu-HU"/>
        </w:rPr>
      </w:pPr>
    </w:p>
    <w:p w14:paraId="2CB89449" w14:textId="77777777" w:rsidR="00130E8B" w:rsidRDefault="000405CC">
      <w:pPr>
        <w:pStyle w:val="a3"/>
        <w:rPr>
          <w:u w:val="single"/>
          <w:lang w:val="hu-HU"/>
        </w:rPr>
      </w:pPr>
      <w:r>
        <w:rPr>
          <w:rFonts w:eastAsia="Times New Roman"/>
          <w:u w:val="single" w:color="000000"/>
          <w:lang w:val="hu-HU"/>
        </w:rPr>
        <w:t>Farmakodinámiás hatások</w:t>
      </w:r>
    </w:p>
    <w:p w14:paraId="401D7ACD" w14:textId="77777777" w:rsidR="00130E8B" w:rsidRDefault="00130E8B">
      <w:pPr>
        <w:spacing w:before="1" w:line="180" w:lineRule="exact"/>
        <w:rPr>
          <w:sz w:val="18"/>
          <w:szCs w:val="18"/>
          <w:lang w:val="hu-HU"/>
        </w:rPr>
      </w:pPr>
    </w:p>
    <w:p w14:paraId="45FCF2D9" w14:textId="77777777" w:rsidR="00130E8B" w:rsidRDefault="000405CC">
      <w:pPr>
        <w:pStyle w:val="a3"/>
        <w:rPr>
          <w:lang w:val="hu-HU"/>
        </w:rPr>
      </w:pPr>
      <w:r>
        <w:rPr>
          <w:rFonts w:eastAsia="Times New Roman"/>
          <w:lang w:val="hu-HU"/>
        </w:rPr>
        <w:t xml:space="preserve">A rheumatoid arthritisben szenvedő betegek adalimumabbal való kezelését követően gyors csökkenés tapasztalható az akutfázis-fehérjék </w:t>
      </w:r>
    </w:p>
    <w:p w14:paraId="13FD49A6" w14:textId="77777777" w:rsidR="00130E8B" w:rsidRDefault="000405CC">
      <w:pPr>
        <w:pStyle w:val="a3"/>
        <w:rPr>
          <w:lang w:val="hu-HU"/>
        </w:rPr>
      </w:pPr>
      <w:r>
        <w:rPr>
          <w:rFonts w:eastAsia="Times New Roman"/>
          <w:lang w:val="hu-HU"/>
        </w:rPr>
        <w:t>(C-reaktív protein - CRP), a süllyedés (ESR), illetve a citokinek (IL-6) szintjeiben, összehasonlítva a kezelés előtti kiindulási értékekkel. A porcszövet pusztulását eredményező szöveti remodelingért felelős matrix metalloproteinázok (MMP- 1 és MMP- 3) szérum szintjeiben is csökkenés tapasztalható az adalimumab alkalmazása után. Az adalimumabbal kezelt betegeknél rendszerint a krónikus gyulladás hematológiai leleteiben is javulás tapasztalható.</w:t>
      </w:r>
    </w:p>
    <w:p w14:paraId="76FF1E79" w14:textId="77777777" w:rsidR="00130E8B" w:rsidRDefault="00130E8B">
      <w:pPr>
        <w:spacing w:before="10" w:line="240" w:lineRule="exact"/>
        <w:rPr>
          <w:sz w:val="24"/>
          <w:szCs w:val="24"/>
          <w:lang w:val="hu-HU"/>
        </w:rPr>
      </w:pPr>
    </w:p>
    <w:p w14:paraId="3440F880" w14:textId="77777777" w:rsidR="00130E8B" w:rsidRDefault="000405CC">
      <w:pPr>
        <w:pStyle w:val="a3"/>
        <w:rPr>
          <w:lang w:val="hu-HU"/>
        </w:rPr>
      </w:pPr>
      <w:r>
        <w:rPr>
          <w:rFonts w:eastAsia="Times New Roman"/>
          <w:lang w:val="hu-HU"/>
        </w:rPr>
        <w:t>Polyarticularis juvenilis idiopathiás arthritisben, Crohn-betegségben, colitis ulcerosában és hidradenitis suppurativában is a CRP-szint gyors csökkenését figyelték meg az adalimumab-kezelést követően. Crohn-betegségben szenvedő betegeknél a gyulladásos markereket expresszáló sejtek számának csökkenését figyelték meg a vastagbélben, beleértve a TNFα csökkent expresszióját is. A bélnyálkahártya endoszkópos vizsgálatai az adalimumabbal kezelt betegeknél a nyálkahártya gyógyulására utaló bizonyítékot mutattak.</w:t>
      </w:r>
    </w:p>
    <w:p w14:paraId="3B8A19BF" w14:textId="77777777" w:rsidR="00130E8B" w:rsidRDefault="00130E8B">
      <w:pPr>
        <w:pStyle w:val="a3"/>
        <w:rPr>
          <w:u w:val="single" w:color="000000"/>
          <w:lang w:val="hu-HU"/>
        </w:rPr>
      </w:pPr>
    </w:p>
    <w:p w14:paraId="3C0A86A9" w14:textId="77777777" w:rsidR="00130E8B" w:rsidRDefault="000405CC">
      <w:pPr>
        <w:pStyle w:val="a3"/>
        <w:rPr>
          <w:u w:val="single"/>
          <w:lang w:val="hu-HU"/>
        </w:rPr>
      </w:pPr>
      <w:r>
        <w:rPr>
          <w:rFonts w:eastAsia="Times New Roman"/>
          <w:u w:val="single" w:color="000000"/>
          <w:lang w:val="hu-HU"/>
        </w:rPr>
        <w:t>Klinikai hatásosság és biztonságosság</w:t>
      </w:r>
    </w:p>
    <w:p w14:paraId="7ADCC5CD" w14:textId="77777777" w:rsidR="00130E8B" w:rsidRDefault="00130E8B">
      <w:pPr>
        <w:spacing w:line="180" w:lineRule="exact"/>
        <w:rPr>
          <w:sz w:val="18"/>
          <w:szCs w:val="18"/>
          <w:lang w:val="hu-HU"/>
        </w:rPr>
      </w:pPr>
    </w:p>
    <w:p w14:paraId="029D4376" w14:textId="77777777" w:rsidR="00130E8B" w:rsidRDefault="000405CC">
      <w:pPr>
        <w:pStyle w:val="a3"/>
        <w:rPr>
          <w:i/>
          <w:iCs/>
          <w:lang w:val="hu-HU"/>
        </w:rPr>
      </w:pPr>
      <w:r>
        <w:rPr>
          <w:rFonts w:eastAsia="Times New Roman"/>
          <w:i/>
          <w:iCs/>
          <w:lang w:val="hu-HU"/>
        </w:rPr>
        <w:t>Rheumatoid arthritis</w:t>
      </w:r>
    </w:p>
    <w:p w14:paraId="6631AE40" w14:textId="77777777" w:rsidR="00130E8B" w:rsidRDefault="00130E8B">
      <w:pPr>
        <w:pStyle w:val="a3"/>
        <w:rPr>
          <w:sz w:val="24"/>
          <w:szCs w:val="24"/>
          <w:lang w:val="hu-HU"/>
        </w:rPr>
      </w:pPr>
    </w:p>
    <w:p w14:paraId="1AF6C9C9" w14:textId="04070E3A" w:rsidR="00130E8B" w:rsidRDefault="000405CC">
      <w:pPr>
        <w:pStyle w:val="a3"/>
        <w:rPr>
          <w:lang w:val="hu-HU"/>
        </w:rPr>
      </w:pPr>
      <w:r>
        <w:rPr>
          <w:rFonts w:eastAsia="Times New Roman"/>
          <w:lang w:val="hu-HU"/>
        </w:rPr>
        <w:t>Az adalimumabot több mint 3000 betegen vizsgálták az összes rheumatoid arthritises klinikai vizsgálat során. Az adalimumab hatásosságát és biztonságosságát öt randomizált, kettős vak és megfelelő kontrollt alkalmazó vizsgálat során vizsgálták. Néhány beteg akár 120 hónapig tartó kezelést kapott. Az injekció beadásának helyén tapasztalt fájdalmat két randomizált, aktív kontrollos, egyszeresen vak, két periódusú, keresztezett klinikai vizsgálatban értékelték.</w:t>
      </w:r>
    </w:p>
    <w:p w14:paraId="08A7EA28" w14:textId="77777777" w:rsidR="00130E8B" w:rsidRDefault="00130E8B">
      <w:pPr>
        <w:spacing w:before="13" w:line="240" w:lineRule="exact"/>
        <w:rPr>
          <w:sz w:val="24"/>
          <w:szCs w:val="24"/>
          <w:lang w:val="hu-HU"/>
        </w:rPr>
      </w:pPr>
    </w:p>
    <w:p w14:paraId="10F3815E" w14:textId="06D11214" w:rsidR="00130E8B" w:rsidRDefault="000405CC" w:rsidP="001B6310">
      <w:pPr>
        <w:pStyle w:val="a3"/>
        <w:rPr>
          <w:lang w:val="hu-HU"/>
        </w:rPr>
      </w:pPr>
      <w:r>
        <w:rPr>
          <w:rFonts w:eastAsia="Times New Roman"/>
          <w:lang w:val="hu-HU"/>
        </w:rPr>
        <w:t>Az RA</w:t>
      </w:r>
      <w:r w:rsidR="00D36156" w:rsidRPr="000F4DB4">
        <w:t> </w:t>
      </w:r>
      <w:r w:rsidR="00D36156" w:rsidDel="00D36156">
        <w:rPr>
          <w:rFonts w:eastAsia="Times New Roman"/>
          <w:lang w:val="hu-HU"/>
        </w:rPr>
        <w:t xml:space="preserve"> </w:t>
      </w:r>
      <w:r>
        <w:rPr>
          <w:rFonts w:eastAsia="Times New Roman"/>
          <w:lang w:val="hu-HU"/>
        </w:rPr>
        <w:t>I vizsgálatban 271 beteget értékeltek. A résztvevők mind középsúlyos-súlyos</w:t>
      </w:r>
      <w:r w:rsidR="001B6310">
        <w:rPr>
          <w:rFonts w:hint="eastAsia"/>
          <w:lang w:val="hu-HU" w:eastAsia="ko-KR"/>
        </w:rPr>
        <w:t xml:space="preserve"> </w:t>
      </w:r>
      <w:r w:rsidR="001B6310" w:rsidRPr="001B6310">
        <w:rPr>
          <w:lang w:val="hu-HU" w:eastAsia="ko-KR"/>
        </w:rPr>
        <w:t>aktív rheumatoid arthritisben szenvedő 18 éves vagy annál idősebb betegek voltak,</w:t>
      </w:r>
      <w:r>
        <w:rPr>
          <w:rFonts w:eastAsia="Times New Roman"/>
          <w:lang w:val="hu-HU"/>
        </w:rPr>
        <w:t xml:space="preserve"> akiknél legalább egy betegséget befolyásoló reumaellenes gyógyszer nem járt eredménnyel, és korábban a metotrexát heti 12,5-25 mg-os (10</w:t>
      </w:r>
      <w:r w:rsidR="00297A68">
        <w:rPr>
          <w:rFonts w:eastAsia="Times New Roman"/>
          <w:lang w:val="hu-HU"/>
        </w:rPr>
        <w:t> </w:t>
      </w:r>
      <w:r>
        <w:rPr>
          <w:rFonts w:eastAsia="Times New Roman"/>
          <w:lang w:val="hu-HU"/>
        </w:rPr>
        <w:t>mg metotrexát intolerancia esetén) dózisaival sem lehetett kielégítő hatást elérni, és akiknél a metotrexát dózisa a vizsgálatot megelőzően stabilan heti 10-25 mg volt. A vizsgálat során 20, 40 vagy</w:t>
      </w:r>
    </w:p>
    <w:p w14:paraId="68B6AB91" w14:textId="77777777" w:rsidR="00130E8B" w:rsidRDefault="000405CC">
      <w:pPr>
        <w:pStyle w:val="a3"/>
        <w:rPr>
          <w:lang w:val="hu-HU"/>
        </w:rPr>
      </w:pPr>
      <w:r>
        <w:rPr>
          <w:rFonts w:eastAsia="Times New Roman"/>
          <w:lang w:val="hu-HU"/>
        </w:rPr>
        <w:t>80 mg adalimumabot vagy placebót kaptak minden második héten, 24 héten át.</w:t>
      </w:r>
    </w:p>
    <w:p w14:paraId="42E0D143" w14:textId="77777777" w:rsidR="00130E8B" w:rsidRDefault="00130E8B">
      <w:pPr>
        <w:spacing w:before="13" w:line="240" w:lineRule="exact"/>
        <w:rPr>
          <w:sz w:val="24"/>
          <w:szCs w:val="24"/>
          <w:lang w:val="hu-HU"/>
        </w:rPr>
      </w:pPr>
    </w:p>
    <w:p w14:paraId="43782A1C" w14:textId="53DCD233" w:rsidR="00130E8B" w:rsidRDefault="000405CC" w:rsidP="004739AB">
      <w:pPr>
        <w:pStyle w:val="a3"/>
        <w:rPr>
          <w:lang w:val="hu-HU"/>
        </w:rPr>
      </w:pPr>
      <w:r>
        <w:rPr>
          <w:rFonts w:eastAsia="Times New Roman"/>
          <w:lang w:val="hu-HU"/>
        </w:rPr>
        <w:t>Az RA</w:t>
      </w:r>
      <w:r w:rsidR="00D36156" w:rsidRPr="00522548">
        <w:rPr>
          <w:lang w:val="es-ES"/>
        </w:rPr>
        <w:t> </w:t>
      </w:r>
      <w:r w:rsidR="00D36156" w:rsidDel="00D36156">
        <w:rPr>
          <w:rFonts w:eastAsia="Times New Roman"/>
          <w:lang w:val="hu-HU"/>
        </w:rPr>
        <w:t xml:space="preserve"> </w:t>
      </w:r>
      <w:r>
        <w:rPr>
          <w:rFonts w:eastAsia="Times New Roman"/>
          <w:lang w:val="hu-HU"/>
        </w:rPr>
        <w:t>II vizsgálatban 544 beteget értékeltek. A résztvevők</w:t>
      </w:r>
      <w:r w:rsidR="001B6310">
        <w:rPr>
          <w:rFonts w:hint="eastAsia"/>
          <w:lang w:val="hu-HU" w:eastAsia="ko-KR"/>
        </w:rPr>
        <w:t xml:space="preserve"> </w:t>
      </w:r>
      <w:r w:rsidR="001B6310" w:rsidRPr="001B6310">
        <w:rPr>
          <w:lang w:val="hu-HU" w:eastAsia="ko-KR"/>
        </w:rPr>
        <w:t>mind középsúlyos-súlyos aktív rheumatoid arthritisben szenvedő</w:t>
      </w:r>
      <w:r w:rsidR="004739AB">
        <w:rPr>
          <w:rFonts w:hint="eastAsia"/>
          <w:lang w:val="hu-HU" w:eastAsia="ko-KR"/>
        </w:rPr>
        <w:t xml:space="preserve"> 1</w:t>
      </w:r>
      <w:r w:rsidR="001B6310" w:rsidRPr="001B6310">
        <w:rPr>
          <w:lang w:val="hu-HU" w:eastAsia="ko-KR"/>
        </w:rPr>
        <w:t>8 éves vagy annál idősebb betegek voltak,</w:t>
      </w:r>
      <w:r>
        <w:rPr>
          <w:rFonts w:eastAsia="Times New Roman"/>
          <w:lang w:val="hu-HU"/>
        </w:rPr>
        <w:t xml:space="preserve"> akiknél legalább egy betegséget befolyásoló reumaellenes gyógyszer nem járt eredménnyel.20, illetve 40 mg adalimumabot kaptak subcutan injekció  formájában minden második héten, placebóval az alternáló heteken vagy minden héten 26 héten át; illetve placebót kaptak minden héten azonos időtartamban. Egyéb betegséget befolyásoló reumaellenes gyógyszert nem kaphattak.</w:t>
      </w:r>
    </w:p>
    <w:p w14:paraId="73F43DAC" w14:textId="77777777" w:rsidR="00130E8B" w:rsidRDefault="00130E8B">
      <w:pPr>
        <w:spacing w:before="13" w:line="240" w:lineRule="exact"/>
        <w:rPr>
          <w:sz w:val="24"/>
          <w:szCs w:val="24"/>
          <w:lang w:val="hu-HU"/>
        </w:rPr>
      </w:pPr>
    </w:p>
    <w:p w14:paraId="1984D811" w14:textId="6615A6D5" w:rsidR="00130E8B" w:rsidRDefault="000405CC" w:rsidP="00F86C66">
      <w:pPr>
        <w:pStyle w:val="a3"/>
        <w:rPr>
          <w:lang w:val="hu-HU"/>
        </w:rPr>
      </w:pPr>
      <w:r>
        <w:rPr>
          <w:rFonts w:eastAsia="Times New Roman"/>
          <w:lang w:val="hu-HU"/>
        </w:rPr>
        <w:t>Az RA</w:t>
      </w:r>
      <w:r w:rsidR="00D36156" w:rsidRPr="009167C6">
        <w:rPr>
          <w:lang w:val="hu-HU"/>
        </w:rPr>
        <w:t> </w:t>
      </w:r>
      <w:r w:rsidR="00D36156" w:rsidDel="00D36156">
        <w:rPr>
          <w:rFonts w:eastAsia="Times New Roman"/>
          <w:lang w:val="hu-HU"/>
        </w:rPr>
        <w:t xml:space="preserve"> </w:t>
      </w:r>
      <w:r>
        <w:rPr>
          <w:rFonts w:eastAsia="Times New Roman"/>
          <w:lang w:val="hu-HU"/>
        </w:rPr>
        <w:t xml:space="preserve">III vizsgálatban 619 közepesen súlyos-súlyos </w:t>
      </w:r>
      <w:r w:rsidR="00F86C66" w:rsidRPr="00F86C66">
        <w:rPr>
          <w:rFonts w:eastAsia="Times New Roman"/>
          <w:lang w:val="hu-HU"/>
        </w:rPr>
        <w:t>aktív rheumatoid arthritisben szenvedő 18 éves vagy annál idősebb beteget értékeltek</w:t>
      </w:r>
      <w:r>
        <w:rPr>
          <w:rFonts w:eastAsia="Times New Roman"/>
          <w:lang w:val="hu-HU"/>
        </w:rPr>
        <w:t>, akik nem megfelelően reagáltak a 1</w:t>
      </w:r>
      <w:r w:rsidR="00640043">
        <w:rPr>
          <w:rFonts w:hint="eastAsia"/>
          <w:lang w:val="hu-HU" w:eastAsia="ko-KR"/>
        </w:rPr>
        <w:t>2</w:t>
      </w:r>
      <w:r>
        <w:rPr>
          <w:rFonts w:eastAsia="Times New Roman"/>
          <w:lang w:val="hu-HU"/>
        </w:rPr>
        <w:t>, 5 – 25 mg közötti metotrexát dózisokra, vagy nem tolerálták a hetenkénti 10 mg metotrexátot. Ebben a vizsgálatban a betegeket három csoportra osztották. Az első csoportba tartozók placebo injekciót kaptak minden héten 52 héten át. A második csoport tagjai 20 mg adalimumabot kaptak hetente 52 héten át. A harmadik csoport 40 mg adalimumabot kapott minden második héten és placebo injekciót az alternáló heteken. Az első 52 hetes kezelést követően 457 beteget egy nyílt, kiterjesztett fázisba választották be, melynek során kéthetente 40 mg adalimumabot/metotrexátot kaptak, legfeljebb 10 évig.</w:t>
      </w:r>
    </w:p>
    <w:p w14:paraId="1861CD89" w14:textId="77777777" w:rsidR="00130E8B" w:rsidRDefault="00130E8B">
      <w:pPr>
        <w:spacing w:before="13" w:line="240" w:lineRule="exact"/>
        <w:rPr>
          <w:sz w:val="24"/>
          <w:szCs w:val="24"/>
          <w:lang w:val="hu-HU"/>
        </w:rPr>
      </w:pPr>
    </w:p>
    <w:p w14:paraId="7B16AD93" w14:textId="216E001B" w:rsidR="00130E8B" w:rsidRDefault="000405CC">
      <w:pPr>
        <w:pStyle w:val="a3"/>
        <w:rPr>
          <w:lang w:val="hu-HU"/>
        </w:rPr>
      </w:pPr>
      <w:r>
        <w:rPr>
          <w:rFonts w:eastAsia="Times New Roman"/>
          <w:lang w:val="hu-HU"/>
        </w:rPr>
        <w:t>Az RA</w:t>
      </w:r>
      <w:r w:rsidR="00D36156" w:rsidRPr="00522548">
        <w:rPr>
          <w:lang w:val="hu-HU"/>
        </w:rPr>
        <w:t> </w:t>
      </w:r>
      <w:r w:rsidR="00D36156" w:rsidDel="00D36156">
        <w:rPr>
          <w:rFonts w:eastAsia="Times New Roman"/>
          <w:lang w:val="hu-HU"/>
        </w:rPr>
        <w:t xml:space="preserve"> </w:t>
      </w:r>
      <w:r>
        <w:rPr>
          <w:rFonts w:eastAsia="Times New Roman"/>
          <w:lang w:val="hu-HU"/>
        </w:rPr>
        <w:t>IV vizsgálat elsősorban a kezelés biztonságosságát volt hivatott felmérni. Az RA</w:t>
      </w:r>
      <w:r w:rsidR="00961E14" w:rsidRPr="009167C6">
        <w:rPr>
          <w:lang w:val="hu-HU"/>
        </w:rPr>
        <w:t> </w:t>
      </w:r>
      <w:r w:rsidR="00961E14" w:rsidDel="00961E14">
        <w:rPr>
          <w:rFonts w:eastAsia="Times New Roman"/>
          <w:lang w:val="hu-HU"/>
        </w:rPr>
        <w:t xml:space="preserve"> </w:t>
      </w:r>
      <w:r>
        <w:rPr>
          <w:rFonts w:eastAsia="Times New Roman"/>
          <w:lang w:val="hu-HU"/>
        </w:rPr>
        <w:t>IV vizsgálatba 636 középsúlyos-</w:t>
      </w:r>
      <w:r w:rsidR="00961E14" w:rsidRPr="009167C6">
        <w:rPr>
          <w:lang w:val="hu-HU"/>
        </w:rPr>
        <w:t> </w:t>
      </w:r>
      <w:r w:rsidR="00961E14" w:rsidDel="00961E14">
        <w:rPr>
          <w:rFonts w:eastAsia="Times New Roman"/>
          <w:lang w:val="hu-HU"/>
        </w:rPr>
        <w:t xml:space="preserve"> </w:t>
      </w:r>
      <w:r>
        <w:rPr>
          <w:rFonts w:eastAsia="Times New Roman"/>
          <w:lang w:val="hu-HU"/>
        </w:rPr>
        <w:t>súlyos rheumatoid arthritisben szenvedő, 18 éves és 18 évesnél idősebb beteget vontak be. A vizsgálatban részt vevő betegek vagy soha nem szedtek betegséget befolyásoló reumaellenes szereket, vagy a korábban alkalmazott anti- rheumás kezelésüket folytatták, ha a kezelés legalább 28 napig változatlan volt. A kezelések metotrexát, leflunomid, hidroxiklorokin, szulfaszalazin és/vagy arany sók alkalmazását foglalták magukba. A betegeket 40 mg adalimumab vagy placebo adására randomizálták, a kezelést minden második héten 24 héten át kapták.</w:t>
      </w:r>
    </w:p>
    <w:p w14:paraId="300DD212" w14:textId="77777777" w:rsidR="00130E8B" w:rsidRDefault="00130E8B">
      <w:pPr>
        <w:spacing w:before="11" w:line="240" w:lineRule="exact"/>
        <w:rPr>
          <w:sz w:val="24"/>
          <w:szCs w:val="24"/>
          <w:lang w:val="hu-HU"/>
        </w:rPr>
      </w:pPr>
    </w:p>
    <w:p w14:paraId="1D40C526" w14:textId="0A949966" w:rsidR="00130E8B" w:rsidRDefault="000405CC">
      <w:pPr>
        <w:pStyle w:val="a3"/>
        <w:rPr>
          <w:lang w:val="hu-HU"/>
        </w:rPr>
      </w:pPr>
      <w:r>
        <w:rPr>
          <w:rFonts w:eastAsia="Times New Roman"/>
          <w:lang w:val="hu-HU"/>
        </w:rPr>
        <w:t>Az RA</w:t>
      </w:r>
      <w:r w:rsidR="00961E14" w:rsidRPr="009167C6">
        <w:rPr>
          <w:lang w:val="hu-HU"/>
        </w:rPr>
        <w:t> </w:t>
      </w:r>
      <w:r w:rsidR="00961E14" w:rsidDel="00961E14">
        <w:rPr>
          <w:rFonts w:eastAsia="Times New Roman"/>
          <w:lang w:val="hu-HU"/>
        </w:rPr>
        <w:t xml:space="preserve"> </w:t>
      </w:r>
      <w:r>
        <w:rPr>
          <w:rFonts w:eastAsia="Times New Roman"/>
          <w:lang w:val="hu-HU"/>
        </w:rPr>
        <w:t>V vizsgálatban 799 felnőtt, köz</w:t>
      </w:r>
      <w:r w:rsidR="00D36156">
        <w:rPr>
          <w:rFonts w:eastAsia="Times New Roman"/>
          <w:lang w:val="hu-HU"/>
        </w:rPr>
        <w:t xml:space="preserve">epesen súlyos </w:t>
      </w:r>
      <w:r>
        <w:rPr>
          <w:rFonts w:eastAsia="Times New Roman"/>
          <w:lang w:val="hu-HU"/>
        </w:rPr>
        <w:t>-</w:t>
      </w:r>
      <w:r w:rsidR="00961E14" w:rsidRPr="009167C6">
        <w:rPr>
          <w:lang w:val="hu-HU"/>
        </w:rPr>
        <w:t> </w:t>
      </w:r>
      <w:r w:rsidR="00961E14" w:rsidDel="00961E14">
        <w:rPr>
          <w:rFonts w:eastAsia="Times New Roman"/>
          <w:lang w:val="hu-HU"/>
        </w:rPr>
        <w:t xml:space="preserve"> </w:t>
      </w:r>
      <w:r>
        <w:rPr>
          <w:rFonts w:eastAsia="Times New Roman"/>
          <w:lang w:val="hu-HU"/>
        </w:rPr>
        <w:t xml:space="preserve">súlyos, aktív korai (betegség kezdete &lt; 9 hónap) rheumatoid arthritisben szenvedő, metotrexáttal még nem kezelt beteget vizsgáltak. A vizsgálat 104 hétig tartó időszaka alatt a kéthetente egyszer metotrexát kombinációban adott 40 mg adalimumab, 40 mg adalimumab monoterápia, illetve metotrexát monoterápia hatását vizsgálták arra vonatkozóan, hogy a betegség jelei, megjelenése, illetve reumatoid arthritisben az ízületi károsodás előrehaladásának folyamata csökken- e. Az első 104 hetes kezelést követően 497 beteget egy nyílt, kiterjesztett fázisba választották be, </w:t>
      </w:r>
      <w:r>
        <w:rPr>
          <w:rFonts w:eastAsia="Times New Roman"/>
          <w:lang w:val="hu-HU"/>
        </w:rPr>
        <w:lastRenderedPageBreak/>
        <w:t>melynek során kéthetente 40 mg adalimumabot kaptak, legfeljebb 10 évig.</w:t>
      </w:r>
    </w:p>
    <w:p w14:paraId="58D7F6A7" w14:textId="77777777" w:rsidR="00130E8B" w:rsidRDefault="00130E8B">
      <w:pPr>
        <w:spacing w:before="13" w:line="240" w:lineRule="exact"/>
        <w:rPr>
          <w:sz w:val="24"/>
          <w:szCs w:val="24"/>
          <w:lang w:val="hu-HU"/>
        </w:rPr>
      </w:pPr>
    </w:p>
    <w:p w14:paraId="701E592E" w14:textId="38E8FE39" w:rsidR="00130E8B" w:rsidRDefault="000405CC">
      <w:pPr>
        <w:pStyle w:val="a3"/>
        <w:rPr>
          <w:lang w:val="hu-HU"/>
        </w:rPr>
      </w:pPr>
      <w:r>
        <w:rPr>
          <w:rFonts w:eastAsia="Times New Roman"/>
          <w:lang w:val="hu-HU"/>
        </w:rPr>
        <w:t>Mind az RA</w:t>
      </w:r>
      <w:r w:rsidR="00D36156" w:rsidRPr="009167C6">
        <w:rPr>
          <w:lang w:val="hu-HU"/>
        </w:rPr>
        <w:t> </w:t>
      </w:r>
      <w:r>
        <w:rPr>
          <w:rFonts w:eastAsia="Times New Roman"/>
          <w:lang w:val="hu-HU"/>
        </w:rPr>
        <w:t>VI, mind az RA</w:t>
      </w:r>
      <w:r w:rsidR="00961E14" w:rsidDel="00961E14">
        <w:rPr>
          <w:rFonts w:eastAsia="Times New Roman"/>
          <w:lang w:val="hu-HU"/>
        </w:rPr>
        <w:t xml:space="preserve"> </w:t>
      </w:r>
      <w:r>
        <w:rPr>
          <w:rFonts w:eastAsia="Times New Roman"/>
          <w:lang w:val="hu-HU"/>
        </w:rPr>
        <w:t>VII vizsgálatba 60 beteget vontak be, akik köz</w:t>
      </w:r>
      <w:r w:rsidR="00D36156">
        <w:rPr>
          <w:rFonts w:eastAsia="Times New Roman"/>
          <w:lang w:val="hu-HU"/>
        </w:rPr>
        <w:t>epesen súlyos</w:t>
      </w:r>
      <w:r>
        <w:rPr>
          <w:rFonts w:eastAsia="Times New Roman"/>
          <w:lang w:val="hu-HU"/>
        </w:rPr>
        <w:t>-</w:t>
      </w:r>
      <w:r w:rsidR="00961E14">
        <w:rPr>
          <w:rFonts w:eastAsia="Times New Roman"/>
          <w:lang w:val="hu-HU"/>
        </w:rPr>
        <w:t xml:space="preserve"> </w:t>
      </w:r>
      <w:r>
        <w:rPr>
          <w:rFonts w:eastAsia="Times New Roman"/>
          <w:lang w:val="hu-HU"/>
        </w:rPr>
        <w:t>súlyos aktív rheumatoid arthritisben szenvedtek és ≥18 évesek voltak. A bevont betegek vagy az adott időpontban éppen 40 mg/0,8 ml adalimumabot használtak és az injekció beadás helyén fellépő fájdalmat átlagosan legalább 3-cm nek értékelték (egy 0-10-ig terjedő vizuális analóg skálán), vagy bionaív betegek voltak, akik akkor kezdték az adalimumab 40 mg/0,8 ml terápiát. A betegeket úgy randomizálták, hogy egyszeri adag adalimumab 40 mg/0,8 ml injekciót vagy adalimumab 40 mg/0,4 ml injekciót kapjanak, amelyet a következő beadásnál egyszeri adag követett a másik injekcióból.</w:t>
      </w:r>
    </w:p>
    <w:p w14:paraId="575024DB" w14:textId="77777777" w:rsidR="00130E8B" w:rsidRDefault="00130E8B">
      <w:pPr>
        <w:spacing w:before="14" w:line="240" w:lineRule="exact"/>
        <w:rPr>
          <w:sz w:val="24"/>
          <w:szCs w:val="24"/>
          <w:lang w:val="hu-HU"/>
        </w:rPr>
      </w:pPr>
    </w:p>
    <w:p w14:paraId="38A2DC2C" w14:textId="1515B55E" w:rsidR="00130E8B" w:rsidRDefault="000405CC">
      <w:pPr>
        <w:pStyle w:val="a3"/>
        <w:rPr>
          <w:lang w:val="hu-HU"/>
        </w:rPr>
      </w:pPr>
      <w:r>
        <w:rPr>
          <w:rFonts w:eastAsia="Times New Roman"/>
          <w:lang w:val="hu-HU"/>
        </w:rPr>
        <w:t>Az RA</w:t>
      </w:r>
      <w:r w:rsidR="00D36156" w:rsidRPr="009167C6">
        <w:rPr>
          <w:lang w:val="hu-HU"/>
        </w:rPr>
        <w:t> </w:t>
      </w:r>
      <w:r w:rsidR="00D36156" w:rsidDel="00D36156">
        <w:rPr>
          <w:rFonts w:eastAsia="Times New Roman"/>
          <w:lang w:val="hu-HU"/>
        </w:rPr>
        <w:t xml:space="preserve"> </w:t>
      </w:r>
      <w:r>
        <w:rPr>
          <w:rFonts w:eastAsia="Times New Roman"/>
          <w:lang w:val="hu-HU"/>
        </w:rPr>
        <w:t>I,</w:t>
      </w:r>
      <w:r w:rsidR="00D36156" w:rsidRPr="009167C6">
        <w:rPr>
          <w:lang w:val="hu-HU"/>
        </w:rPr>
        <w:t xml:space="preserve">  </w:t>
      </w:r>
      <w:r w:rsidR="00D36156" w:rsidDel="00D36156">
        <w:rPr>
          <w:rFonts w:eastAsia="Times New Roman"/>
          <w:lang w:val="hu-HU"/>
        </w:rPr>
        <w:t xml:space="preserve"> </w:t>
      </w:r>
      <w:r>
        <w:rPr>
          <w:rFonts w:eastAsia="Times New Roman"/>
          <w:lang w:val="hu-HU"/>
        </w:rPr>
        <w:t>II, és</w:t>
      </w:r>
      <w:r w:rsidR="00D36156" w:rsidRPr="009167C6">
        <w:rPr>
          <w:lang w:val="hu-HU"/>
        </w:rPr>
        <w:t> </w:t>
      </w:r>
      <w:r w:rsidR="00D36156" w:rsidDel="00D36156">
        <w:rPr>
          <w:rFonts w:eastAsia="Times New Roman"/>
          <w:lang w:val="hu-HU"/>
        </w:rPr>
        <w:t xml:space="preserve"> </w:t>
      </w:r>
      <w:r>
        <w:rPr>
          <w:rFonts w:eastAsia="Times New Roman"/>
          <w:lang w:val="hu-HU"/>
        </w:rPr>
        <w:t>III vizsgálatokban az elsődleges végpont, míg a RA</w:t>
      </w:r>
      <w:r w:rsidR="00D36156" w:rsidRPr="009167C6">
        <w:rPr>
          <w:lang w:val="hu-HU"/>
        </w:rPr>
        <w:t> </w:t>
      </w:r>
      <w:r w:rsidR="00D36156" w:rsidDel="00D36156">
        <w:rPr>
          <w:rFonts w:eastAsia="Times New Roman"/>
          <w:lang w:val="hu-HU"/>
        </w:rPr>
        <w:t xml:space="preserve"> </w:t>
      </w:r>
      <w:r>
        <w:rPr>
          <w:rFonts w:eastAsia="Times New Roman"/>
          <w:lang w:val="hu-HU"/>
        </w:rPr>
        <w:t>IV vizsgálatban a másodlagos végpont azon betegek százalékos aránya volt, akiknél a 24, illetve 26 hét leteltével kialakult az ACR 20 válasz. Az V</w:t>
      </w:r>
      <w:r w:rsidR="00961E14" w:rsidRPr="009167C6">
        <w:rPr>
          <w:lang w:val="hu-HU"/>
        </w:rPr>
        <w:t> </w:t>
      </w:r>
      <w:r w:rsidR="00961E14" w:rsidDel="00961E14">
        <w:rPr>
          <w:rFonts w:eastAsia="Times New Roman"/>
          <w:lang w:val="hu-HU"/>
        </w:rPr>
        <w:t xml:space="preserve"> </w:t>
      </w:r>
      <w:r>
        <w:rPr>
          <w:rFonts w:eastAsia="Times New Roman"/>
          <w:lang w:val="hu-HU"/>
        </w:rPr>
        <w:t>vizsgálatban az elsődleges végpont az ACR 50 válasz adó betegek százalékos aránya volt a vizsgálat 52. hetében. Az RA</w:t>
      </w:r>
      <w:r w:rsidR="00D36156" w:rsidRPr="009167C6">
        <w:rPr>
          <w:lang w:val="hu-HU"/>
        </w:rPr>
        <w:t> </w:t>
      </w:r>
      <w:r w:rsidR="00D36156" w:rsidDel="00D36156">
        <w:rPr>
          <w:rFonts w:eastAsia="Times New Roman"/>
          <w:lang w:val="hu-HU"/>
        </w:rPr>
        <w:t xml:space="preserve"> </w:t>
      </w:r>
      <w:r>
        <w:rPr>
          <w:rFonts w:eastAsia="Times New Roman"/>
          <w:lang w:val="hu-HU"/>
        </w:rPr>
        <w:t>III és RA</w:t>
      </w:r>
      <w:r w:rsidR="00D36156" w:rsidRPr="009167C6">
        <w:rPr>
          <w:lang w:val="hu-HU"/>
        </w:rPr>
        <w:t> </w:t>
      </w:r>
      <w:r w:rsidR="00D36156" w:rsidDel="00D36156">
        <w:rPr>
          <w:rFonts w:eastAsia="Times New Roman"/>
          <w:lang w:val="hu-HU"/>
        </w:rPr>
        <w:t xml:space="preserve"> </w:t>
      </w:r>
      <w:r>
        <w:rPr>
          <w:rFonts w:eastAsia="Times New Roman"/>
          <w:lang w:val="hu-HU"/>
        </w:rPr>
        <w:t>V vizsgálatban másik elsődleges végpontot jelentett 52 hét után a betegség progressziójának lassulása (röntgeNfelvételek alapján). Az RA</w:t>
      </w:r>
      <w:r w:rsidR="00D36156" w:rsidRPr="009167C6">
        <w:rPr>
          <w:lang w:val="hu-HU"/>
        </w:rPr>
        <w:t> </w:t>
      </w:r>
      <w:r w:rsidR="00D36156" w:rsidDel="00D36156">
        <w:rPr>
          <w:rFonts w:eastAsia="Times New Roman"/>
          <w:lang w:val="hu-HU"/>
        </w:rPr>
        <w:t xml:space="preserve"> </w:t>
      </w:r>
      <w:r>
        <w:rPr>
          <w:rFonts w:eastAsia="Times New Roman"/>
          <w:lang w:val="hu-HU"/>
        </w:rPr>
        <w:t>III vizsgálatban elsődleges végpont volt még az életminőség megváltozása. Az RA</w:t>
      </w:r>
      <w:r w:rsidR="00D36156" w:rsidRPr="009167C6">
        <w:rPr>
          <w:lang w:val="hu-HU"/>
        </w:rPr>
        <w:t> </w:t>
      </w:r>
      <w:r w:rsidR="00D36156" w:rsidDel="00D36156">
        <w:rPr>
          <w:rFonts w:eastAsia="Times New Roman"/>
          <w:lang w:val="hu-HU"/>
        </w:rPr>
        <w:t xml:space="preserve"> </w:t>
      </w:r>
      <w:r>
        <w:rPr>
          <w:rFonts w:eastAsia="Times New Roman"/>
          <w:lang w:val="hu-HU"/>
        </w:rPr>
        <w:t>VI és</w:t>
      </w:r>
      <w:r w:rsidR="00D36156" w:rsidRPr="009167C6">
        <w:rPr>
          <w:lang w:val="hu-HU"/>
        </w:rPr>
        <w:t> </w:t>
      </w:r>
      <w:r w:rsidR="00D36156" w:rsidDel="00D36156">
        <w:rPr>
          <w:rFonts w:eastAsia="Times New Roman"/>
          <w:lang w:val="hu-HU"/>
        </w:rPr>
        <w:t xml:space="preserve"> </w:t>
      </w:r>
      <w:r>
        <w:rPr>
          <w:rFonts w:eastAsia="Times New Roman"/>
          <w:lang w:val="hu-HU"/>
        </w:rPr>
        <w:t>VII vizsgálatokban az injekció beadásának helyén tapasztalt fájdalom volt az elsődleges végpont közvetlenül az injekció beadását követően, egy 0-10-ig terjedő vizuális analóg skálán mérve.</w:t>
      </w:r>
    </w:p>
    <w:p w14:paraId="5AE54C10" w14:textId="77777777" w:rsidR="00130E8B" w:rsidRDefault="00130E8B">
      <w:pPr>
        <w:spacing w:before="13" w:line="240" w:lineRule="exact"/>
        <w:rPr>
          <w:sz w:val="24"/>
          <w:szCs w:val="24"/>
          <w:lang w:val="hu-HU"/>
        </w:rPr>
      </w:pPr>
    </w:p>
    <w:p w14:paraId="29A3F7FA" w14:textId="77777777" w:rsidR="00130E8B" w:rsidRDefault="000405CC">
      <w:pPr>
        <w:rPr>
          <w:rFonts w:ascii="Times New Roman" w:eastAsia="Times New Roman" w:hAnsi="Times New Roman" w:cs="Times New Roman"/>
          <w:lang w:val="hu-HU"/>
        </w:rPr>
      </w:pPr>
      <w:r>
        <w:rPr>
          <w:rFonts w:ascii="Times New Roman" w:eastAsia="Times New Roman" w:hAnsi="Times New Roman" w:cs="Times New Roman"/>
          <w:i/>
          <w:iCs/>
          <w:spacing w:val="-1"/>
          <w:u w:val="single" w:color="000000"/>
          <w:lang w:val="hu-HU"/>
        </w:rPr>
        <w:t>ACR válasz</w:t>
      </w:r>
    </w:p>
    <w:p w14:paraId="126CF675" w14:textId="77777777" w:rsidR="00130E8B" w:rsidRDefault="00130E8B">
      <w:pPr>
        <w:spacing w:before="1" w:line="180" w:lineRule="exact"/>
        <w:rPr>
          <w:sz w:val="18"/>
          <w:szCs w:val="18"/>
          <w:lang w:val="hu-HU"/>
        </w:rPr>
      </w:pPr>
    </w:p>
    <w:p w14:paraId="28CE5821" w14:textId="1778E192" w:rsidR="00E91FF7" w:rsidRDefault="000405CC" w:rsidP="004B23C8">
      <w:pPr>
        <w:pStyle w:val="a3"/>
        <w:rPr>
          <w:rFonts w:eastAsia="Times New Roman"/>
          <w:b/>
          <w:bCs/>
          <w:lang w:val="hu-HU"/>
        </w:rPr>
      </w:pPr>
      <w:r>
        <w:rPr>
          <w:rFonts w:eastAsia="Times New Roman"/>
          <w:lang w:val="hu-HU"/>
        </w:rPr>
        <w:t>Az ACR 20,</w:t>
      </w:r>
      <w:r w:rsidR="00D36156" w:rsidRPr="009167C6">
        <w:rPr>
          <w:lang w:val="hu-HU"/>
        </w:rPr>
        <w:t xml:space="preserve"> </w:t>
      </w:r>
      <w:r>
        <w:rPr>
          <w:rFonts w:eastAsia="Times New Roman"/>
          <w:lang w:val="hu-HU"/>
        </w:rPr>
        <w:t>50 vagy</w:t>
      </w:r>
      <w:r w:rsidR="00D36156" w:rsidRPr="009167C6">
        <w:rPr>
          <w:lang w:val="hu-HU"/>
        </w:rPr>
        <w:t> </w:t>
      </w:r>
      <w:r>
        <w:rPr>
          <w:rFonts w:eastAsia="Times New Roman"/>
          <w:lang w:val="hu-HU"/>
        </w:rPr>
        <w:t>70- es választ elérő adalimumab-kezelt betegek százalékos aránya állandó volt az RA I,</w:t>
      </w:r>
      <w:r w:rsidR="00D36156" w:rsidRPr="009167C6">
        <w:rPr>
          <w:lang w:val="hu-HU"/>
        </w:rPr>
        <w:t xml:space="preserve"> </w:t>
      </w:r>
      <w:r>
        <w:rPr>
          <w:rFonts w:eastAsia="Times New Roman"/>
          <w:lang w:val="hu-HU"/>
        </w:rPr>
        <w:t>II, és</w:t>
      </w:r>
      <w:r w:rsidR="00D36156" w:rsidRPr="009167C6">
        <w:rPr>
          <w:lang w:val="hu-HU"/>
        </w:rPr>
        <w:t> </w:t>
      </w:r>
      <w:r>
        <w:rPr>
          <w:rFonts w:eastAsia="Times New Roman"/>
          <w:lang w:val="hu-HU"/>
        </w:rPr>
        <w:t xml:space="preserve">III vizsgálatokban. Minden második héten adott 40 mg- os dózissal elért eredmények összefoglalása a </w:t>
      </w:r>
      <w:r w:rsidR="00417A10">
        <w:rPr>
          <w:rFonts w:eastAsia="Times New Roman"/>
          <w:lang w:val="hu-HU"/>
        </w:rPr>
        <w:t>8</w:t>
      </w:r>
      <w:r>
        <w:rPr>
          <w:rFonts w:eastAsia="Times New Roman"/>
          <w:lang w:val="hu-HU"/>
        </w:rPr>
        <w:t>. táblázatban található.</w:t>
      </w:r>
    </w:p>
    <w:p w14:paraId="350BB38A" w14:textId="77777777" w:rsidR="00CB3242" w:rsidRDefault="00CB3242" w:rsidP="004B23C8">
      <w:pPr>
        <w:pStyle w:val="a3"/>
        <w:jc w:val="center"/>
        <w:rPr>
          <w:rFonts w:eastAsia="Times New Roman"/>
          <w:b/>
          <w:bCs/>
          <w:lang w:val="hu-HU"/>
        </w:rPr>
      </w:pPr>
    </w:p>
    <w:p w14:paraId="674E6A81" w14:textId="57500CE6" w:rsidR="00130E8B" w:rsidRDefault="00417A10" w:rsidP="004B23C8">
      <w:pPr>
        <w:pStyle w:val="a3"/>
        <w:jc w:val="center"/>
        <w:rPr>
          <w:b/>
          <w:lang w:val="hu-HU"/>
        </w:rPr>
      </w:pPr>
      <w:r>
        <w:rPr>
          <w:rFonts w:eastAsia="Times New Roman"/>
          <w:b/>
          <w:bCs/>
          <w:lang w:val="hu-HU"/>
        </w:rPr>
        <w:t>8</w:t>
      </w:r>
      <w:r w:rsidR="000405CC">
        <w:rPr>
          <w:rFonts w:eastAsia="Times New Roman"/>
          <w:b/>
          <w:bCs/>
          <w:lang w:val="hu-HU"/>
        </w:rPr>
        <w:t>. táblázat</w:t>
      </w:r>
    </w:p>
    <w:p w14:paraId="4658D4AB" w14:textId="77777777" w:rsidR="00130E8B" w:rsidRDefault="000405CC">
      <w:pPr>
        <w:pStyle w:val="a3"/>
        <w:jc w:val="center"/>
        <w:rPr>
          <w:b/>
          <w:lang w:val="hu-HU"/>
        </w:rPr>
      </w:pPr>
      <w:r>
        <w:rPr>
          <w:rFonts w:eastAsia="Times New Roman"/>
          <w:b/>
          <w:bCs/>
          <w:lang w:val="hu-HU"/>
        </w:rPr>
        <w:t xml:space="preserve">ACR válasz placebo-kontrollos vizsgálatokban </w:t>
      </w:r>
      <w:r>
        <w:rPr>
          <w:rFonts w:eastAsia="Times New Roman"/>
          <w:b/>
          <w:bCs/>
          <w:lang w:val="hu-HU"/>
        </w:rPr>
        <w:br/>
        <w:t>(Betegek százaléka)</w:t>
      </w:r>
    </w:p>
    <w:p w14:paraId="58E37CFC" w14:textId="77777777" w:rsidR="00130E8B" w:rsidRDefault="00130E8B">
      <w:pPr>
        <w:spacing w:before="11" w:line="240" w:lineRule="exact"/>
        <w:rPr>
          <w:sz w:val="24"/>
          <w:szCs w:val="24"/>
          <w:lang w:val="hu-HU"/>
        </w:rPr>
      </w:pPr>
    </w:p>
    <w:tbl>
      <w:tblPr>
        <w:tblStyle w:val="TableNormal1"/>
        <w:tblW w:w="0" w:type="auto"/>
        <w:tblInd w:w="201" w:type="dxa"/>
        <w:tblLayout w:type="fixed"/>
        <w:tblLook w:val="01E0" w:firstRow="1" w:lastRow="1" w:firstColumn="1" w:lastColumn="1" w:noHBand="0" w:noVBand="0"/>
      </w:tblPr>
      <w:tblGrid>
        <w:gridCol w:w="1186"/>
        <w:gridCol w:w="1075"/>
        <w:gridCol w:w="1608"/>
        <w:gridCol w:w="1273"/>
        <w:gridCol w:w="1288"/>
        <w:gridCol w:w="1151"/>
        <w:gridCol w:w="1544"/>
      </w:tblGrid>
      <w:tr w:rsidR="00130E8B" w:rsidRPr="00CF5D7A" w14:paraId="1E7AD41E" w14:textId="77777777" w:rsidTr="004F731A">
        <w:trPr>
          <w:trHeight w:val="412"/>
        </w:trPr>
        <w:tc>
          <w:tcPr>
            <w:tcW w:w="1186" w:type="dxa"/>
            <w:vMerge w:val="restart"/>
            <w:tcBorders>
              <w:top w:val="single" w:sz="4" w:space="0" w:color="auto"/>
              <w:left w:val="single" w:sz="4" w:space="0" w:color="auto"/>
              <w:right w:val="single" w:sz="4" w:space="0" w:color="auto"/>
            </w:tcBorders>
          </w:tcPr>
          <w:p w14:paraId="2A3EB9B9" w14:textId="77777777" w:rsidR="00130E8B" w:rsidRPr="00CF5D7A" w:rsidRDefault="000405CC">
            <w:pPr>
              <w:rPr>
                <w:rFonts w:ascii="Times New Roman" w:eastAsia="Times New Roman" w:hAnsi="Times New Roman" w:cs="Times New Roman"/>
                <w:lang w:val="hu-HU"/>
              </w:rPr>
            </w:pPr>
            <w:r w:rsidRPr="00CF5D7A">
              <w:rPr>
                <w:rFonts w:ascii="Times New Roman" w:eastAsia="Times New Roman" w:hAnsi="Times New Roman" w:cs="Times New Roman"/>
                <w:lang w:val="hu-HU"/>
              </w:rPr>
              <w:t>Válaszadás</w:t>
            </w:r>
          </w:p>
        </w:tc>
        <w:tc>
          <w:tcPr>
            <w:tcW w:w="2683" w:type="dxa"/>
            <w:gridSpan w:val="2"/>
            <w:tcBorders>
              <w:top w:val="single" w:sz="4" w:space="0" w:color="auto"/>
              <w:left w:val="single" w:sz="4" w:space="0" w:color="auto"/>
              <w:bottom w:val="single" w:sz="4" w:space="0" w:color="auto"/>
              <w:right w:val="single" w:sz="4" w:space="0" w:color="auto"/>
            </w:tcBorders>
          </w:tcPr>
          <w:p w14:paraId="4367B072" w14:textId="77777777" w:rsidR="00130E8B" w:rsidRPr="00CF5D7A" w:rsidRDefault="000405CC">
            <w:pPr>
              <w:pStyle w:val="TableParagraph"/>
              <w:spacing w:line="246" w:lineRule="exact"/>
              <w:ind w:left="690"/>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RA I vizsgálat</w:t>
            </w:r>
            <w:r w:rsidRPr="009167C6">
              <w:rPr>
                <w:rFonts w:ascii="Times New Roman" w:eastAsia="Times New Roman" w:hAnsi="Times New Roman" w:cs="Times New Roman"/>
                <w:spacing w:val="-1"/>
                <w:vertAlign w:val="superscript"/>
                <w:lang w:val="hu-HU"/>
              </w:rPr>
              <w:t>a</w:t>
            </w:r>
            <w:r w:rsidRPr="00CF5D7A">
              <w:rPr>
                <w:rFonts w:ascii="Times New Roman" w:eastAsia="Times New Roman" w:hAnsi="Times New Roman" w:cs="Times New Roman"/>
                <w:spacing w:val="-1"/>
                <w:lang w:val="hu-HU"/>
              </w:rPr>
              <w:t>**</w:t>
            </w:r>
          </w:p>
        </w:tc>
        <w:tc>
          <w:tcPr>
            <w:tcW w:w="2561" w:type="dxa"/>
            <w:gridSpan w:val="2"/>
            <w:tcBorders>
              <w:top w:val="single" w:sz="4" w:space="0" w:color="auto"/>
              <w:left w:val="single" w:sz="4" w:space="0" w:color="auto"/>
              <w:bottom w:val="single" w:sz="4" w:space="0" w:color="auto"/>
              <w:right w:val="single" w:sz="4" w:space="0" w:color="auto"/>
            </w:tcBorders>
          </w:tcPr>
          <w:p w14:paraId="7BE8CEC4" w14:textId="77777777" w:rsidR="00130E8B" w:rsidRPr="00CF5D7A" w:rsidRDefault="000405CC">
            <w:pPr>
              <w:pStyle w:val="TableParagraph"/>
              <w:spacing w:line="246" w:lineRule="exact"/>
              <w:ind w:left="591"/>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RA II vizsgálat</w:t>
            </w:r>
            <w:r w:rsidRPr="009167C6">
              <w:rPr>
                <w:rFonts w:ascii="Times New Roman" w:eastAsia="Times New Roman" w:hAnsi="Times New Roman" w:cs="Times New Roman"/>
                <w:spacing w:val="-1"/>
                <w:vertAlign w:val="superscript"/>
                <w:lang w:val="hu-HU"/>
              </w:rPr>
              <w:t>a</w:t>
            </w:r>
            <w:r w:rsidRPr="00CF5D7A">
              <w:rPr>
                <w:rFonts w:ascii="Times New Roman" w:eastAsia="Times New Roman" w:hAnsi="Times New Roman" w:cs="Times New Roman"/>
                <w:spacing w:val="-1"/>
                <w:lang w:val="hu-HU"/>
              </w:rPr>
              <w:t>**</w:t>
            </w:r>
          </w:p>
        </w:tc>
        <w:tc>
          <w:tcPr>
            <w:tcW w:w="2695" w:type="dxa"/>
            <w:gridSpan w:val="2"/>
            <w:tcBorders>
              <w:top w:val="single" w:sz="4" w:space="0" w:color="auto"/>
              <w:left w:val="single" w:sz="4" w:space="0" w:color="auto"/>
              <w:bottom w:val="single" w:sz="4" w:space="0" w:color="auto"/>
              <w:right w:val="single" w:sz="4" w:space="0" w:color="auto"/>
            </w:tcBorders>
          </w:tcPr>
          <w:p w14:paraId="2D512EBD" w14:textId="77777777" w:rsidR="00130E8B" w:rsidRPr="00CF5D7A" w:rsidRDefault="000405CC">
            <w:pPr>
              <w:pStyle w:val="TableParagraph"/>
              <w:spacing w:line="246" w:lineRule="exact"/>
              <w:ind w:left="625"/>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RA III vizsgálat</w:t>
            </w:r>
            <w:r w:rsidRPr="009167C6">
              <w:rPr>
                <w:rFonts w:ascii="Times New Roman" w:eastAsia="Times New Roman" w:hAnsi="Times New Roman" w:cs="Times New Roman"/>
                <w:spacing w:val="-1"/>
                <w:vertAlign w:val="superscript"/>
                <w:lang w:val="hu-HU"/>
              </w:rPr>
              <w:t>a</w:t>
            </w:r>
            <w:r w:rsidRPr="00CF5D7A">
              <w:rPr>
                <w:rFonts w:ascii="Times New Roman" w:eastAsia="Times New Roman" w:hAnsi="Times New Roman" w:cs="Times New Roman"/>
                <w:spacing w:val="-1"/>
                <w:lang w:val="hu-HU"/>
              </w:rPr>
              <w:t>**</w:t>
            </w:r>
          </w:p>
        </w:tc>
      </w:tr>
      <w:tr w:rsidR="00130E8B" w:rsidRPr="00CF5D7A" w14:paraId="7CB476F7" w14:textId="77777777" w:rsidTr="004E2591">
        <w:tc>
          <w:tcPr>
            <w:tcW w:w="1186" w:type="dxa"/>
            <w:vMerge/>
            <w:tcBorders>
              <w:left w:val="single" w:sz="4" w:space="0" w:color="auto"/>
              <w:bottom w:val="single" w:sz="4" w:space="0" w:color="auto"/>
              <w:right w:val="single" w:sz="4" w:space="0" w:color="auto"/>
            </w:tcBorders>
          </w:tcPr>
          <w:p w14:paraId="69283300" w14:textId="77777777" w:rsidR="00130E8B" w:rsidRPr="00CF5D7A" w:rsidRDefault="00130E8B">
            <w:pPr>
              <w:rPr>
                <w:lang w:val="hu-HU"/>
              </w:rPr>
            </w:pPr>
          </w:p>
        </w:tc>
        <w:tc>
          <w:tcPr>
            <w:tcW w:w="1075" w:type="dxa"/>
            <w:tcBorders>
              <w:top w:val="single" w:sz="4" w:space="0" w:color="auto"/>
              <w:left w:val="single" w:sz="4" w:space="0" w:color="auto"/>
              <w:bottom w:val="single" w:sz="4" w:space="0" w:color="auto"/>
            </w:tcBorders>
          </w:tcPr>
          <w:p w14:paraId="4639785E" w14:textId="77777777" w:rsidR="00130E8B" w:rsidRPr="00CF5D7A" w:rsidRDefault="000405CC">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Placebo /</w:t>
            </w:r>
          </w:p>
          <w:p w14:paraId="25CB812C" w14:textId="77777777" w:rsidR="00130E8B" w:rsidRPr="00CF5D7A" w:rsidRDefault="000405CC">
            <w:pPr>
              <w:pStyle w:val="TableParagraph"/>
              <w:spacing w:before="5" w:line="252" w:lineRule="exact"/>
              <w:ind w:right="226"/>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MTX</w:t>
            </w:r>
            <w:r w:rsidRPr="009167C6">
              <w:rPr>
                <w:rFonts w:ascii="Times New Roman" w:eastAsia="Times New Roman" w:hAnsi="Times New Roman" w:cs="Times New Roman"/>
                <w:vertAlign w:val="superscript"/>
                <w:lang w:val="hu-HU"/>
              </w:rPr>
              <w:t>c</w:t>
            </w:r>
            <w:r w:rsidRPr="009167C6">
              <w:rPr>
                <w:rFonts w:ascii="Times New Roman" w:eastAsia="Times New Roman" w:hAnsi="Times New Roman" w:cs="Times New Roman"/>
                <w:lang w:val="hu-HU"/>
              </w:rPr>
              <w:t xml:space="preserve"> </w:t>
            </w:r>
            <w:r w:rsidRPr="00CF5D7A">
              <w:rPr>
                <w:rFonts w:ascii="Times New Roman" w:eastAsia="Times New Roman" w:hAnsi="Times New Roman" w:cs="Times New Roman"/>
                <w:lang w:val="hu-HU"/>
              </w:rPr>
              <w:t>n=60</w:t>
            </w:r>
          </w:p>
        </w:tc>
        <w:tc>
          <w:tcPr>
            <w:tcW w:w="1608" w:type="dxa"/>
            <w:tcBorders>
              <w:top w:val="single" w:sz="4" w:space="0" w:color="auto"/>
              <w:bottom w:val="single" w:sz="4" w:space="0" w:color="auto"/>
              <w:right w:val="single" w:sz="4" w:space="0" w:color="auto"/>
            </w:tcBorders>
          </w:tcPr>
          <w:p w14:paraId="0B27325B" w14:textId="77777777" w:rsidR="00130E8B" w:rsidRPr="009167C6" w:rsidRDefault="000405CC">
            <w:pPr>
              <w:pStyle w:val="TableParagraph"/>
              <w:spacing w:line="246" w:lineRule="exact"/>
              <w:ind w:right="50"/>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Adalimumab</w:t>
            </w:r>
            <w:r w:rsidRPr="009167C6">
              <w:rPr>
                <w:rFonts w:ascii="Times New Roman" w:eastAsia="Times New Roman" w:hAnsi="Times New Roman" w:cs="Times New Roman"/>
                <w:spacing w:val="-1"/>
                <w:lang w:val="hu-HU"/>
              </w:rPr>
              <w:t>b</w:t>
            </w:r>
            <w:r w:rsidRPr="00CF5D7A">
              <w:rPr>
                <w:rFonts w:ascii="Times New Roman" w:eastAsia="Times New Roman" w:hAnsi="Times New Roman" w:cs="Times New Roman"/>
                <w:spacing w:val="-1"/>
                <w:lang w:val="hu-HU"/>
              </w:rPr>
              <w:t>/ MTX</w:t>
            </w:r>
            <w:r w:rsidRPr="009167C6">
              <w:rPr>
                <w:rFonts w:ascii="Times New Roman" w:eastAsia="Times New Roman" w:hAnsi="Times New Roman" w:cs="Times New Roman"/>
                <w:spacing w:val="-1"/>
                <w:vertAlign w:val="superscript"/>
                <w:lang w:val="hu-HU"/>
              </w:rPr>
              <w:t>c</w:t>
            </w:r>
          </w:p>
          <w:p w14:paraId="79C37777" w14:textId="77777777" w:rsidR="00130E8B" w:rsidRPr="00CF5D7A" w:rsidRDefault="000405CC">
            <w:pPr>
              <w:pStyle w:val="TableParagraph"/>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n=63</w:t>
            </w:r>
          </w:p>
        </w:tc>
        <w:tc>
          <w:tcPr>
            <w:tcW w:w="1273" w:type="dxa"/>
            <w:tcBorders>
              <w:top w:val="single" w:sz="4" w:space="0" w:color="auto"/>
              <w:left w:val="single" w:sz="4" w:space="0" w:color="auto"/>
              <w:bottom w:val="single" w:sz="4" w:space="0" w:color="auto"/>
            </w:tcBorders>
          </w:tcPr>
          <w:p w14:paraId="5ACB0917" w14:textId="77777777" w:rsidR="00130E8B" w:rsidRPr="00CF5D7A" w:rsidRDefault="000405CC">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Placebo</w:t>
            </w:r>
          </w:p>
          <w:p w14:paraId="3A2890BF" w14:textId="77777777" w:rsidR="00130E8B" w:rsidRPr="00CF5D7A" w:rsidRDefault="000405CC">
            <w:pPr>
              <w:pStyle w:val="TableParagraph"/>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n=110</w:t>
            </w:r>
          </w:p>
        </w:tc>
        <w:tc>
          <w:tcPr>
            <w:tcW w:w="1288" w:type="dxa"/>
            <w:tcBorders>
              <w:top w:val="single" w:sz="4" w:space="0" w:color="auto"/>
              <w:bottom w:val="single" w:sz="4" w:space="0" w:color="auto"/>
              <w:right w:val="single" w:sz="4" w:space="0" w:color="auto"/>
            </w:tcBorders>
          </w:tcPr>
          <w:p w14:paraId="4145BD9D" w14:textId="77777777" w:rsidR="00130E8B" w:rsidRPr="009167C6" w:rsidRDefault="000405CC">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Adalimumab</w:t>
            </w:r>
            <w:r w:rsidRPr="009167C6">
              <w:rPr>
                <w:rFonts w:ascii="Times New Roman" w:eastAsia="Times New Roman" w:hAnsi="Times New Roman" w:cs="Times New Roman"/>
                <w:spacing w:val="-1"/>
                <w:vertAlign w:val="superscript"/>
                <w:lang w:val="hu-HU"/>
              </w:rPr>
              <w:t>b</w:t>
            </w:r>
          </w:p>
          <w:p w14:paraId="2B87FBCA" w14:textId="77777777" w:rsidR="00130E8B" w:rsidRPr="00CF5D7A" w:rsidRDefault="000405CC">
            <w:pPr>
              <w:pStyle w:val="TableParagraph"/>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n=113</w:t>
            </w:r>
          </w:p>
        </w:tc>
        <w:tc>
          <w:tcPr>
            <w:tcW w:w="1151" w:type="dxa"/>
            <w:tcBorders>
              <w:top w:val="single" w:sz="4" w:space="0" w:color="auto"/>
              <w:left w:val="single" w:sz="4" w:space="0" w:color="auto"/>
              <w:bottom w:val="single" w:sz="4" w:space="0" w:color="auto"/>
            </w:tcBorders>
          </w:tcPr>
          <w:p w14:paraId="1AD3405D" w14:textId="77777777" w:rsidR="00130E8B" w:rsidRPr="00CF5D7A" w:rsidRDefault="000405CC">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Placebo/</w:t>
            </w:r>
          </w:p>
          <w:p w14:paraId="3558EA4E" w14:textId="77777777" w:rsidR="00130E8B" w:rsidRPr="00CF5D7A" w:rsidRDefault="000405CC">
            <w:pPr>
              <w:pStyle w:val="TableParagraph"/>
              <w:spacing w:line="252" w:lineRule="exact"/>
              <w:ind w:hanging="4"/>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MTX</w:t>
            </w:r>
            <w:r w:rsidRPr="009167C6">
              <w:rPr>
                <w:rFonts w:ascii="Times New Roman" w:eastAsia="Times New Roman" w:hAnsi="Times New Roman" w:cs="Times New Roman"/>
                <w:vertAlign w:val="superscript"/>
                <w:lang w:val="hu-HU"/>
              </w:rPr>
              <w:t>c</w:t>
            </w:r>
            <w:r w:rsidRPr="009167C6">
              <w:rPr>
                <w:rFonts w:ascii="Times New Roman" w:eastAsia="Times New Roman" w:hAnsi="Times New Roman" w:cs="Times New Roman"/>
                <w:lang w:val="hu-HU"/>
              </w:rPr>
              <w:t xml:space="preserve"> </w:t>
            </w:r>
            <w:r w:rsidRPr="00CF5D7A">
              <w:rPr>
                <w:rFonts w:ascii="Times New Roman" w:eastAsia="Times New Roman" w:hAnsi="Times New Roman" w:cs="Times New Roman"/>
                <w:lang w:val="hu-HU"/>
              </w:rPr>
              <w:t>n=200</w:t>
            </w:r>
          </w:p>
        </w:tc>
        <w:tc>
          <w:tcPr>
            <w:tcW w:w="1544" w:type="dxa"/>
            <w:tcBorders>
              <w:top w:val="single" w:sz="4" w:space="0" w:color="auto"/>
              <w:bottom w:val="single" w:sz="4" w:space="0" w:color="auto"/>
              <w:right w:val="single" w:sz="4" w:space="0" w:color="auto"/>
            </w:tcBorders>
          </w:tcPr>
          <w:p w14:paraId="2F2186DB" w14:textId="77777777" w:rsidR="00130E8B" w:rsidRPr="009167C6" w:rsidRDefault="000405CC">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Adalimumab</w:t>
            </w:r>
            <w:r w:rsidRPr="009167C6">
              <w:rPr>
                <w:rFonts w:ascii="Times New Roman" w:eastAsia="Times New Roman" w:hAnsi="Times New Roman" w:cs="Times New Roman"/>
                <w:spacing w:val="-1"/>
                <w:vertAlign w:val="superscript"/>
                <w:lang w:val="hu-HU"/>
              </w:rPr>
              <w:t>b</w:t>
            </w:r>
            <w:r w:rsidRPr="00CF5D7A">
              <w:rPr>
                <w:rFonts w:ascii="Times New Roman" w:eastAsia="Times New Roman" w:hAnsi="Times New Roman" w:cs="Times New Roman"/>
                <w:spacing w:val="-1"/>
                <w:lang w:val="hu-HU"/>
              </w:rPr>
              <w:t>/ MTX</w:t>
            </w:r>
            <w:r w:rsidRPr="009167C6">
              <w:rPr>
                <w:rFonts w:ascii="Times New Roman" w:eastAsia="Times New Roman" w:hAnsi="Times New Roman" w:cs="Times New Roman"/>
                <w:spacing w:val="-1"/>
                <w:vertAlign w:val="superscript"/>
                <w:lang w:val="hu-HU"/>
              </w:rPr>
              <w:t>c</w:t>
            </w:r>
          </w:p>
          <w:p w14:paraId="343F5534" w14:textId="77777777" w:rsidR="00130E8B" w:rsidRPr="00CF5D7A" w:rsidRDefault="000405CC">
            <w:pPr>
              <w:pStyle w:val="TableParagraph"/>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n=207</w:t>
            </w:r>
          </w:p>
        </w:tc>
      </w:tr>
      <w:tr w:rsidR="00130E8B" w:rsidRPr="00CF5D7A" w14:paraId="7B4697D4" w14:textId="77777777" w:rsidTr="009167C6">
        <w:tc>
          <w:tcPr>
            <w:tcW w:w="1186" w:type="dxa"/>
            <w:tcBorders>
              <w:top w:val="single" w:sz="4" w:space="0" w:color="auto"/>
              <w:left w:val="single" w:sz="4" w:space="0" w:color="auto"/>
              <w:bottom w:val="nil"/>
              <w:right w:val="single" w:sz="4" w:space="0" w:color="auto"/>
            </w:tcBorders>
          </w:tcPr>
          <w:p w14:paraId="3244E215" w14:textId="77777777" w:rsidR="00130E8B" w:rsidRPr="00CF5D7A" w:rsidRDefault="000405CC">
            <w:pPr>
              <w:pStyle w:val="TableParagraph"/>
              <w:spacing w:line="248"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ACR 20</w:t>
            </w:r>
          </w:p>
        </w:tc>
        <w:tc>
          <w:tcPr>
            <w:tcW w:w="1075" w:type="dxa"/>
            <w:vMerge w:val="restart"/>
            <w:tcBorders>
              <w:top w:val="single" w:sz="4" w:space="0" w:color="auto"/>
              <w:left w:val="single" w:sz="4" w:space="0" w:color="auto"/>
            </w:tcBorders>
          </w:tcPr>
          <w:p w14:paraId="17A21F51" w14:textId="77777777" w:rsidR="00130E8B" w:rsidRPr="009167C6" w:rsidRDefault="00130E8B">
            <w:pPr>
              <w:pStyle w:val="TableParagraph"/>
              <w:spacing w:before="7" w:line="240" w:lineRule="exact"/>
              <w:rPr>
                <w:lang w:val="hu-HU"/>
              </w:rPr>
            </w:pPr>
          </w:p>
          <w:p w14:paraId="4198182E" w14:textId="77777777" w:rsidR="00130E8B" w:rsidRPr="00CF5D7A" w:rsidRDefault="000405CC">
            <w:pPr>
              <w:pStyle w:val="TableParagraph"/>
              <w:ind w:left="277"/>
              <w:rPr>
                <w:rFonts w:ascii="Times New Roman" w:eastAsia="Times New Roman" w:hAnsi="Times New Roman" w:cs="Times New Roman"/>
                <w:lang w:val="hu-HU"/>
              </w:rPr>
            </w:pPr>
            <w:r w:rsidRPr="00CF5D7A">
              <w:rPr>
                <w:rFonts w:ascii="Times New Roman" w:eastAsia="Times New Roman" w:hAnsi="Times New Roman" w:cs="Times New Roman"/>
                <w:lang w:val="hu-HU"/>
              </w:rPr>
              <w:t>13,3%</w:t>
            </w:r>
          </w:p>
        </w:tc>
        <w:tc>
          <w:tcPr>
            <w:tcW w:w="1608" w:type="dxa"/>
            <w:vMerge w:val="restart"/>
            <w:tcBorders>
              <w:top w:val="single" w:sz="4" w:space="0" w:color="auto"/>
              <w:left w:val="nil"/>
              <w:bottom w:val="single" w:sz="4" w:space="0" w:color="auto"/>
              <w:right w:val="single" w:sz="4" w:space="0" w:color="auto"/>
            </w:tcBorders>
          </w:tcPr>
          <w:p w14:paraId="02E46791" w14:textId="77777777" w:rsidR="00130E8B" w:rsidRPr="009167C6" w:rsidRDefault="00130E8B">
            <w:pPr>
              <w:pStyle w:val="TableParagraph"/>
              <w:spacing w:before="7" w:line="240" w:lineRule="exact"/>
              <w:rPr>
                <w:lang w:val="hu-HU"/>
              </w:rPr>
            </w:pPr>
          </w:p>
          <w:p w14:paraId="0F65EAC3" w14:textId="77777777" w:rsidR="00130E8B" w:rsidRPr="00CF5D7A" w:rsidRDefault="000405CC">
            <w:pPr>
              <w:pStyle w:val="TableParagraph"/>
              <w:ind w:left="544"/>
              <w:rPr>
                <w:rFonts w:ascii="Times New Roman" w:eastAsia="Times New Roman" w:hAnsi="Times New Roman" w:cs="Times New Roman"/>
                <w:lang w:val="hu-HU"/>
              </w:rPr>
            </w:pPr>
            <w:r w:rsidRPr="00CF5D7A">
              <w:rPr>
                <w:rFonts w:ascii="Times New Roman" w:eastAsia="Times New Roman" w:hAnsi="Times New Roman" w:cs="Times New Roman"/>
                <w:lang w:val="hu-HU"/>
              </w:rPr>
              <w:t>65,1%</w:t>
            </w:r>
          </w:p>
        </w:tc>
        <w:tc>
          <w:tcPr>
            <w:tcW w:w="1273" w:type="dxa"/>
            <w:vMerge w:val="restart"/>
            <w:tcBorders>
              <w:top w:val="single" w:sz="4" w:space="0" w:color="auto"/>
              <w:left w:val="single" w:sz="4" w:space="0" w:color="auto"/>
              <w:right w:val="nil"/>
            </w:tcBorders>
          </w:tcPr>
          <w:p w14:paraId="53EC0073" w14:textId="77777777" w:rsidR="00130E8B" w:rsidRPr="009167C6" w:rsidRDefault="00130E8B">
            <w:pPr>
              <w:pStyle w:val="TableParagraph"/>
              <w:spacing w:before="7" w:line="240" w:lineRule="exact"/>
              <w:rPr>
                <w:lang w:val="hu-HU"/>
              </w:rPr>
            </w:pPr>
          </w:p>
          <w:p w14:paraId="1FDA22CE" w14:textId="77777777" w:rsidR="00130E8B" w:rsidRPr="00CF5D7A" w:rsidRDefault="000405CC">
            <w:pPr>
              <w:pStyle w:val="TableParagraph"/>
              <w:ind w:left="351"/>
              <w:rPr>
                <w:rFonts w:ascii="Times New Roman" w:eastAsia="Times New Roman" w:hAnsi="Times New Roman" w:cs="Times New Roman"/>
                <w:lang w:val="hu-HU"/>
              </w:rPr>
            </w:pPr>
            <w:r w:rsidRPr="00CF5D7A">
              <w:rPr>
                <w:rFonts w:ascii="Times New Roman" w:eastAsia="Times New Roman" w:hAnsi="Times New Roman" w:cs="Times New Roman"/>
                <w:lang w:val="hu-HU"/>
              </w:rPr>
              <w:t>19,1%</w:t>
            </w:r>
          </w:p>
        </w:tc>
        <w:tc>
          <w:tcPr>
            <w:tcW w:w="1288" w:type="dxa"/>
            <w:vMerge w:val="restart"/>
            <w:tcBorders>
              <w:top w:val="single" w:sz="4" w:space="0" w:color="auto"/>
              <w:left w:val="nil"/>
              <w:right w:val="single" w:sz="7" w:space="0" w:color="000000"/>
            </w:tcBorders>
          </w:tcPr>
          <w:p w14:paraId="0E760950" w14:textId="77777777" w:rsidR="00130E8B" w:rsidRPr="009167C6" w:rsidRDefault="00130E8B">
            <w:pPr>
              <w:pStyle w:val="TableParagraph"/>
              <w:spacing w:before="7" w:line="240" w:lineRule="exact"/>
              <w:rPr>
                <w:lang w:val="hu-HU"/>
              </w:rPr>
            </w:pPr>
          </w:p>
          <w:p w14:paraId="614FF8AF" w14:textId="77777777" w:rsidR="00130E8B" w:rsidRPr="00CF5D7A" w:rsidRDefault="000405CC">
            <w:pPr>
              <w:pStyle w:val="TableParagraph"/>
              <w:ind w:left="363"/>
              <w:rPr>
                <w:rFonts w:ascii="Times New Roman" w:eastAsia="Times New Roman" w:hAnsi="Times New Roman" w:cs="Times New Roman"/>
                <w:lang w:val="hu-HU"/>
              </w:rPr>
            </w:pPr>
            <w:r w:rsidRPr="00CF5D7A">
              <w:rPr>
                <w:rFonts w:ascii="Times New Roman" w:eastAsia="Times New Roman" w:hAnsi="Times New Roman" w:cs="Times New Roman"/>
                <w:lang w:val="hu-HU"/>
              </w:rPr>
              <w:t>46,0%</w:t>
            </w:r>
          </w:p>
        </w:tc>
        <w:tc>
          <w:tcPr>
            <w:tcW w:w="1151" w:type="dxa"/>
            <w:vMerge w:val="restart"/>
            <w:tcBorders>
              <w:top w:val="single" w:sz="4" w:space="0" w:color="auto"/>
              <w:left w:val="single" w:sz="7" w:space="0" w:color="000000"/>
              <w:right w:val="nil"/>
            </w:tcBorders>
          </w:tcPr>
          <w:p w14:paraId="54043B5F" w14:textId="77777777" w:rsidR="00130E8B" w:rsidRPr="009167C6" w:rsidRDefault="00130E8B">
            <w:pPr>
              <w:pStyle w:val="TableParagraph"/>
              <w:spacing w:before="7" w:line="240" w:lineRule="exact"/>
              <w:rPr>
                <w:lang w:val="hu-HU"/>
              </w:rPr>
            </w:pPr>
          </w:p>
          <w:p w14:paraId="416697A2" w14:textId="77777777" w:rsidR="00130E8B" w:rsidRPr="00CF5D7A" w:rsidRDefault="000405CC">
            <w:pPr>
              <w:pStyle w:val="TableParagraph"/>
              <w:ind w:left="344"/>
              <w:rPr>
                <w:rFonts w:ascii="Times New Roman" w:eastAsia="Times New Roman" w:hAnsi="Times New Roman" w:cs="Times New Roman"/>
                <w:lang w:val="hu-HU"/>
              </w:rPr>
            </w:pPr>
            <w:r w:rsidRPr="00CF5D7A">
              <w:rPr>
                <w:rFonts w:ascii="Times New Roman" w:eastAsia="Times New Roman" w:hAnsi="Times New Roman" w:cs="Times New Roman"/>
                <w:lang w:val="hu-HU"/>
              </w:rPr>
              <w:t>29,5%</w:t>
            </w:r>
          </w:p>
        </w:tc>
        <w:tc>
          <w:tcPr>
            <w:tcW w:w="1544" w:type="dxa"/>
            <w:vMerge w:val="restart"/>
            <w:tcBorders>
              <w:top w:val="single" w:sz="4" w:space="0" w:color="auto"/>
              <w:left w:val="nil"/>
              <w:right w:val="single" w:sz="4" w:space="0" w:color="auto"/>
            </w:tcBorders>
          </w:tcPr>
          <w:p w14:paraId="17D3FFD0" w14:textId="77777777" w:rsidR="00130E8B" w:rsidRPr="009167C6" w:rsidRDefault="00130E8B">
            <w:pPr>
              <w:pStyle w:val="TableParagraph"/>
              <w:spacing w:before="7" w:line="240" w:lineRule="exact"/>
              <w:rPr>
                <w:lang w:val="hu-HU"/>
              </w:rPr>
            </w:pPr>
          </w:p>
          <w:p w14:paraId="3B099FDC" w14:textId="77777777" w:rsidR="00130E8B" w:rsidRPr="00CF5D7A" w:rsidRDefault="000405CC">
            <w:pPr>
              <w:pStyle w:val="TableParagraph"/>
              <w:ind w:left="567"/>
              <w:rPr>
                <w:rFonts w:ascii="Times New Roman" w:eastAsia="Times New Roman" w:hAnsi="Times New Roman" w:cs="Times New Roman"/>
                <w:lang w:val="hu-HU"/>
              </w:rPr>
            </w:pPr>
            <w:r w:rsidRPr="00CF5D7A">
              <w:rPr>
                <w:rFonts w:ascii="Times New Roman" w:eastAsia="Times New Roman" w:hAnsi="Times New Roman" w:cs="Times New Roman"/>
                <w:lang w:val="hu-HU"/>
              </w:rPr>
              <w:t>63,3%</w:t>
            </w:r>
          </w:p>
        </w:tc>
      </w:tr>
      <w:tr w:rsidR="00130E8B" w:rsidRPr="00CF5D7A" w14:paraId="39B36914" w14:textId="77777777" w:rsidTr="009167C6">
        <w:tc>
          <w:tcPr>
            <w:tcW w:w="1186" w:type="dxa"/>
            <w:tcBorders>
              <w:top w:val="nil"/>
              <w:left w:val="single" w:sz="4" w:space="0" w:color="auto"/>
              <w:right w:val="single" w:sz="4" w:space="0" w:color="auto"/>
            </w:tcBorders>
          </w:tcPr>
          <w:p w14:paraId="5E3BA935" w14:textId="77777777" w:rsidR="00130E8B" w:rsidRPr="00CF5D7A" w:rsidRDefault="000405CC">
            <w:pPr>
              <w:pStyle w:val="TableParagraph"/>
              <w:spacing w:line="241" w:lineRule="exact"/>
              <w:ind w:left="144"/>
              <w:rPr>
                <w:rFonts w:ascii="Times New Roman" w:eastAsia="Times New Roman" w:hAnsi="Times New Roman" w:cs="Times New Roman"/>
                <w:lang w:val="hu-HU"/>
              </w:rPr>
            </w:pPr>
            <w:r w:rsidRPr="00CF5D7A">
              <w:rPr>
                <w:rFonts w:ascii="Times New Roman" w:eastAsia="Times New Roman" w:hAnsi="Times New Roman" w:cs="Times New Roman"/>
                <w:lang w:val="hu-HU"/>
              </w:rPr>
              <w:t>6 hónap</w:t>
            </w:r>
          </w:p>
        </w:tc>
        <w:tc>
          <w:tcPr>
            <w:tcW w:w="1075" w:type="dxa"/>
            <w:vMerge/>
            <w:tcBorders>
              <w:top w:val="single" w:sz="4" w:space="0" w:color="auto"/>
              <w:left w:val="single" w:sz="4" w:space="0" w:color="auto"/>
            </w:tcBorders>
          </w:tcPr>
          <w:p w14:paraId="31D74693" w14:textId="77777777" w:rsidR="00130E8B" w:rsidRPr="00CF5D7A" w:rsidRDefault="00130E8B">
            <w:pPr>
              <w:rPr>
                <w:lang w:val="hu-HU"/>
              </w:rPr>
            </w:pPr>
          </w:p>
        </w:tc>
        <w:tc>
          <w:tcPr>
            <w:tcW w:w="1608" w:type="dxa"/>
            <w:vMerge/>
            <w:tcBorders>
              <w:top w:val="single" w:sz="4" w:space="0" w:color="auto"/>
              <w:left w:val="nil"/>
              <w:right w:val="single" w:sz="4" w:space="0" w:color="auto"/>
            </w:tcBorders>
          </w:tcPr>
          <w:p w14:paraId="2ABB3398" w14:textId="77777777" w:rsidR="00130E8B" w:rsidRPr="00CF5D7A" w:rsidRDefault="00130E8B">
            <w:pPr>
              <w:rPr>
                <w:lang w:val="hu-HU"/>
              </w:rPr>
            </w:pPr>
          </w:p>
        </w:tc>
        <w:tc>
          <w:tcPr>
            <w:tcW w:w="1273" w:type="dxa"/>
            <w:vMerge/>
            <w:tcBorders>
              <w:left w:val="single" w:sz="4" w:space="0" w:color="auto"/>
              <w:right w:val="nil"/>
            </w:tcBorders>
          </w:tcPr>
          <w:p w14:paraId="6AB71EEA" w14:textId="77777777" w:rsidR="00130E8B" w:rsidRPr="00CF5D7A" w:rsidRDefault="00130E8B">
            <w:pPr>
              <w:rPr>
                <w:lang w:val="hu-HU"/>
              </w:rPr>
            </w:pPr>
          </w:p>
        </w:tc>
        <w:tc>
          <w:tcPr>
            <w:tcW w:w="1288" w:type="dxa"/>
            <w:vMerge/>
            <w:tcBorders>
              <w:left w:val="nil"/>
              <w:right w:val="single" w:sz="7" w:space="0" w:color="000000"/>
            </w:tcBorders>
          </w:tcPr>
          <w:p w14:paraId="0E29E8E7" w14:textId="77777777" w:rsidR="00130E8B" w:rsidRPr="00CF5D7A" w:rsidRDefault="00130E8B">
            <w:pPr>
              <w:rPr>
                <w:lang w:val="hu-HU"/>
              </w:rPr>
            </w:pPr>
          </w:p>
        </w:tc>
        <w:tc>
          <w:tcPr>
            <w:tcW w:w="1151" w:type="dxa"/>
            <w:vMerge/>
            <w:tcBorders>
              <w:left w:val="single" w:sz="7" w:space="0" w:color="000000"/>
              <w:right w:val="nil"/>
            </w:tcBorders>
          </w:tcPr>
          <w:p w14:paraId="78D89CFD" w14:textId="77777777" w:rsidR="00130E8B" w:rsidRPr="00CF5D7A" w:rsidRDefault="00130E8B">
            <w:pPr>
              <w:rPr>
                <w:lang w:val="hu-HU"/>
              </w:rPr>
            </w:pPr>
          </w:p>
        </w:tc>
        <w:tc>
          <w:tcPr>
            <w:tcW w:w="1544" w:type="dxa"/>
            <w:vMerge/>
            <w:tcBorders>
              <w:left w:val="nil"/>
              <w:right w:val="single" w:sz="4" w:space="0" w:color="auto"/>
            </w:tcBorders>
          </w:tcPr>
          <w:p w14:paraId="290B8328" w14:textId="77777777" w:rsidR="00130E8B" w:rsidRPr="00CF5D7A" w:rsidRDefault="00130E8B">
            <w:pPr>
              <w:rPr>
                <w:lang w:val="hu-HU"/>
              </w:rPr>
            </w:pPr>
          </w:p>
        </w:tc>
      </w:tr>
      <w:tr w:rsidR="00130E8B" w:rsidRPr="00CF5D7A" w14:paraId="58679027" w14:textId="77777777" w:rsidTr="009167C6">
        <w:tc>
          <w:tcPr>
            <w:tcW w:w="1186" w:type="dxa"/>
            <w:tcBorders>
              <w:top w:val="nil"/>
              <w:left w:val="single" w:sz="4" w:space="0" w:color="auto"/>
              <w:bottom w:val="single" w:sz="4" w:space="0" w:color="auto"/>
              <w:right w:val="single" w:sz="4" w:space="0" w:color="auto"/>
            </w:tcBorders>
          </w:tcPr>
          <w:p w14:paraId="32D2EC0C" w14:textId="77777777" w:rsidR="00130E8B" w:rsidRPr="00CF5D7A" w:rsidRDefault="000405CC">
            <w:pPr>
              <w:pStyle w:val="TableParagraph"/>
              <w:spacing w:line="241" w:lineRule="exact"/>
              <w:ind w:left="144"/>
              <w:rPr>
                <w:rFonts w:ascii="Times New Roman" w:eastAsia="Times New Roman" w:hAnsi="Times New Roman" w:cs="Times New Roman"/>
                <w:lang w:val="hu-HU"/>
              </w:rPr>
            </w:pPr>
            <w:r w:rsidRPr="00CF5D7A">
              <w:rPr>
                <w:rFonts w:ascii="Times New Roman" w:eastAsia="Times New Roman" w:hAnsi="Times New Roman" w:cs="Times New Roman"/>
                <w:lang w:val="hu-HU"/>
              </w:rPr>
              <w:t>12 hónap</w:t>
            </w:r>
          </w:p>
        </w:tc>
        <w:tc>
          <w:tcPr>
            <w:tcW w:w="1075" w:type="dxa"/>
            <w:tcBorders>
              <w:left w:val="single" w:sz="4" w:space="0" w:color="auto"/>
              <w:bottom w:val="single" w:sz="4" w:space="0" w:color="auto"/>
            </w:tcBorders>
          </w:tcPr>
          <w:p w14:paraId="60B662A5" w14:textId="77777777" w:rsidR="00130E8B" w:rsidRPr="00CF5D7A" w:rsidRDefault="000405CC" w:rsidP="009167C6">
            <w:pPr>
              <w:pStyle w:val="TableParagraph"/>
              <w:spacing w:line="241"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608" w:type="dxa"/>
            <w:tcBorders>
              <w:left w:val="nil"/>
              <w:bottom w:val="single" w:sz="4" w:space="0" w:color="auto"/>
              <w:right w:val="single" w:sz="4" w:space="0" w:color="auto"/>
            </w:tcBorders>
          </w:tcPr>
          <w:p w14:paraId="4FF34F6C" w14:textId="77777777" w:rsidR="00130E8B" w:rsidRPr="00CF5D7A" w:rsidRDefault="000405CC" w:rsidP="009167C6">
            <w:pPr>
              <w:pStyle w:val="TableParagraph"/>
              <w:spacing w:line="241"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273" w:type="dxa"/>
            <w:tcBorders>
              <w:top w:val="nil"/>
              <w:left w:val="single" w:sz="4" w:space="0" w:color="auto"/>
              <w:bottom w:val="single" w:sz="4" w:space="0" w:color="auto"/>
              <w:right w:val="nil"/>
            </w:tcBorders>
          </w:tcPr>
          <w:p w14:paraId="443AC943" w14:textId="77777777" w:rsidR="00130E8B" w:rsidRPr="00CF5D7A" w:rsidRDefault="000405CC" w:rsidP="009167C6">
            <w:pPr>
              <w:pStyle w:val="TableParagraph"/>
              <w:spacing w:line="241"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288" w:type="dxa"/>
            <w:tcBorders>
              <w:top w:val="nil"/>
              <w:left w:val="nil"/>
              <w:bottom w:val="single" w:sz="4" w:space="0" w:color="auto"/>
              <w:right w:val="single" w:sz="7" w:space="0" w:color="000000"/>
            </w:tcBorders>
          </w:tcPr>
          <w:p w14:paraId="1E47DFD1" w14:textId="77777777" w:rsidR="00130E8B" w:rsidRPr="00CF5D7A" w:rsidRDefault="000405CC" w:rsidP="009167C6">
            <w:pPr>
              <w:pStyle w:val="TableParagraph"/>
              <w:spacing w:line="241"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151" w:type="dxa"/>
            <w:tcBorders>
              <w:top w:val="nil"/>
              <w:left w:val="single" w:sz="7" w:space="0" w:color="000000"/>
              <w:bottom w:val="single" w:sz="4" w:space="0" w:color="auto"/>
              <w:right w:val="nil"/>
            </w:tcBorders>
          </w:tcPr>
          <w:p w14:paraId="46620B8C" w14:textId="77777777" w:rsidR="00130E8B" w:rsidRPr="00CF5D7A" w:rsidRDefault="000405CC">
            <w:pPr>
              <w:pStyle w:val="TableParagraph"/>
              <w:spacing w:line="241" w:lineRule="exact"/>
              <w:ind w:left="344"/>
              <w:rPr>
                <w:rFonts w:ascii="Times New Roman" w:eastAsia="Times New Roman" w:hAnsi="Times New Roman" w:cs="Times New Roman"/>
                <w:lang w:val="hu-HU"/>
              </w:rPr>
            </w:pPr>
            <w:r w:rsidRPr="00CF5D7A">
              <w:rPr>
                <w:rFonts w:ascii="Times New Roman" w:eastAsia="Times New Roman" w:hAnsi="Times New Roman" w:cs="Times New Roman"/>
                <w:lang w:val="hu-HU"/>
              </w:rPr>
              <w:t>24,0%</w:t>
            </w:r>
          </w:p>
        </w:tc>
        <w:tc>
          <w:tcPr>
            <w:tcW w:w="1544" w:type="dxa"/>
            <w:tcBorders>
              <w:top w:val="nil"/>
              <w:left w:val="nil"/>
              <w:bottom w:val="single" w:sz="4" w:space="0" w:color="auto"/>
              <w:right w:val="single" w:sz="4" w:space="0" w:color="auto"/>
            </w:tcBorders>
          </w:tcPr>
          <w:p w14:paraId="3A61E3A9" w14:textId="77777777" w:rsidR="00130E8B" w:rsidRPr="00CF5D7A" w:rsidRDefault="000405CC">
            <w:pPr>
              <w:pStyle w:val="TableParagraph"/>
              <w:spacing w:line="241" w:lineRule="exact"/>
              <w:ind w:left="567"/>
              <w:rPr>
                <w:rFonts w:ascii="Times New Roman" w:eastAsia="Times New Roman" w:hAnsi="Times New Roman" w:cs="Times New Roman"/>
                <w:lang w:val="hu-HU"/>
              </w:rPr>
            </w:pPr>
            <w:r w:rsidRPr="00CF5D7A">
              <w:rPr>
                <w:rFonts w:ascii="Times New Roman" w:eastAsia="Times New Roman" w:hAnsi="Times New Roman" w:cs="Times New Roman"/>
                <w:lang w:val="hu-HU"/>
              </w:rPr>
              <w:t>58,9%</w:t>
            </w:r>
          </w:p>
        </w:tc>
      </w:tr>
      <w:tr w:rsidR="00130E8B" w:rsidRPr="00CF5D7A" w14:paraId="55671C57" w14:textId="77777777" w:rsidTr="009167C6">
        <w:tc>
          <w:tcPr>
            <w:tcW w:w="1186" w:type="dxa"/>
            <w:tcBorders>
              <w:top w:val="single" w:sz="4" w:space="0" w:color="auto"/>
              <w:left w:val="single" w:sz="4" w:space="0" w:color="auto"/>
              <w:bottom w:val="nil"/>
              <w:right w:val="single" w:sz="4" w:space="0" w:color="auto"/>
            </w:tcBorders>
          </w:tcPr>
          <w:p w14:paraId="18120621" w14:textId="77777777" w:rsidR="00130E8B" w:rsidRPr="00CF5D7A" w:rsidRDefault="000405CC">
            <w:pPr>
              <w:pStyle w:val="TableParagraph"/>
              <w:spacing w:line="242"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ACR 50</w:t>
            </w:r>
          </w:p>
        </w:tc>
        <w:tc>
          <w:tcPr>
            <w:tcW w:w="1075" w:type="dxa"/>
            <w:tcBorders>
              <w:top w:val="single" w:sz="4" w:space="0" w:color="auto"/>
              <w:left w:val="single" w:sz="4" w:space="0" w:color="auto"/>
              <w:bottom w:val="nil"/>
              <w:right w:val="nil"/>
            </w:tcBorders>
          </w:tcPr>
          <w:p w14:paraId="0681F14A" w14:textId="77777777" w:rsidR="00130E8B" w:rsidRPr="00CF5D7A" w:rsidRDefault="00130E8B">
            <w:pPr>
              <w:rPr>
                <w:lang w:val="hu-HU"/>
              </w:rPr>
            </w:pPr>
          </w:p>
        </w:tc>
        <w:tc>
          <w:tcPr>
            <w:tcW w:w="1608" w:type="dxa"/>
            <w:tcBorders>
              <w:top w:val="single" w:sz="4" w:space="0" w:color="auto"/>
              <w:left w:val="nil"/>
              <w:bottom w:val="nil"/>
              <w:right w:val="single" w:sz="7" w:space="0" w:color="000000"/>
            </w:tcBorders>
          </w:tcPr>
          <w:p w14:paraId="42125A6E" w14:textId="77777777" w:rsidR="00130E8B" w:rsidRPr="00CF5D7A" w:rsidRDefault="00130E8B">
            <w:pPr>
              <w:rPr>
                <w:lang w:val="hu-HU"/>
              </w:rPr>
            </w:pPr>
          </w:p>
        </w:tc>
        <w:tc>
          <w:tcPr>
            <w:tcW w:w="1273" w:type="dxa"/>
            <w:tcBorders>
              <w:top w:val="single" w:sz="4" w:space="0" w:color="auto"/>
              <w:left w:val="single" w:sz="7" w:space="0" w:color="000000"/>
              <w:bottom w:val="nil"/>
              <w:right w:val="nil"/>
            </w:tcBorders>
          </w:tcPr>
          <w:p w14:paraId="552410CA" w14:textId="77777777" w:rsidR="00130E8B" w:rsidRPr="00CF5D7A" w:rsidRDefault="00130E8B">
            <w:pPr>
              <w:rPr>
                <w:lang w:val="hu-HU"/>
              </w:rPr>
            </w:pPr>
          </w:p>
        </w:tc>
        <w:tc>
          <w:tcPr>
            <w:tcW w:w="1288" w:type="dxa"/>
            <w:tcBorders>
              <w:top w:val="single" w:sz="4" w:space="0" w:color="auto"/>
              <w:left w:val="nil"/>
              <w:bottom w:val="nil"/>
              <w:right w:val="single" w:sz="7" w:space="0" w:color="000000"/>
            </w:tcBorders>
          </w:tcPr>
          <w:p w14:paraId="63A505A0" w14:textId="77777777" w:rsidR="00130E8B" w:rsidRPr="00CF5D7A" w:rsidRDefault="00130E8B">
            <w:pPr>
              <w:rPr>
                <w:lang w:val="hu-HU"/>
              </w:rPr>
            </w:pPr>
          </w:p>
        </w:tc>
        <w:tc>
          <w:tcPr>
            <w:tcW w:w="1151" w:type="dxa"/>
            <w:tcBorders>
              <w:top w:val="single" w:sz="4" w:space="0" w:color="auto"/>
              <w:left w:val="single" w:sz="7" w:space="0" w:color="000000"/>
              <w:bottom w:val="nil"/>
              <w:right w:val="nil"/>
            </w:tcBorders>
          </w:tcPr>
          <w:p w14:paraId="4CD5A8B6" w14:textId="77777777" w:rsidR="00130E8B" w:rsidRPr="00CF5D7A" w:rsidRDefault="00130E8B">
            <w:pPr>
              <w:rPr>
                <w:lang w:val="hu-HU"/>
              </w:rPr>
            </w:pPr>
          </w:p>
        </w:tc>
        <w:tc>
          <w:tcPr>
            <w:tcW w:w="1544" w:type="dxa"/>
            <w:tcBorders>
              <w:top w:val="single" w:sz="4" w:space="0" w:color="auto"/>
              <w:left w:val="nil"/>
              <w:bottom w:val="nil"/>
              <w:right w:val="single" w:sz="4" w:space="0" w:color="auto"/>
            </w:tcBorders>
          </w:tcPr>
          <w:p w14:paraId="3BB622F0" w14:textId="77777777" w:rsidR="00130E8B" w:rsidRPr="00CF5D7A" w:rsidRDefault="00130E8B">
            <w:pPr>
              <w:rPr>
                <w:lang w:val="hu-HU"/>
              </w:rPr>
            </w:pPr>
          </w:p>
        </w:tc>
      </w:tr>
      <w:tr w:rsidR="00130E8B" w:rsidRPr="00CF5D7A" w14:paraId="1FF00E5C" w14:textId="77777777" w:rsidTr="009167C6">
        <w:tc>
          <w:tcPr>
            <w:tcW w:w="1186" w:type="dxa"/>
            <w:tcBorders>
              <w:top w:val="nil"/>
              <w:left w:val="single" w:sz="4" w:space="0" w:color="auto"/>
              <w:right w:val="single" w:sz="4" w:space="0" w:color="auto"/>
            </w:tcBorders>
          </w:tcPr>
          <w:p w14:paraId="6FB7168F" w14:textId="77777777" w:rsidR="00130E8B" w:rsidRPr="00CF5D7A" w:rsidRDefault="000405CC">
            <w:pPr>
              <w:pStyle w:val="TableParagraph"/>
              <w:spacing w:line="241" w:lineRule="exact"/>
              <w:ind w:left="144"/>
              <w:rPr>
                <w:rFonts w:ascii="Times New Roman" w:eastAsia="Times New Roman" w:hAnsi="Times New Roman" w:cs="Times New Roman"/>
                <w:lang w:val="hu-HU"/>
              </w:rPr>
            </w:pPr>
            <w:r w:rsidRPr="00CF5D7A">
              <w:rPr>
                <w:rFonts w:ascii="Times New Roman" w:eastAsia="Times New Roman" w:hAnsi="Times New Roman" w:cs="Times New Roman"/>
                <w:lang w:val="hu-HU"/>
              </w:rPr>
              <w:t>6 hónap</w:t>
            </w:r>
          </w:p>
        </w:tc>
        <w:tc>
          <w:tcPr>
            <w:tcW w:w="1075" w:type="dxa"/>
            <w:tcBorders>
              <w:top w:val="nil"/>
              <w:left w:val="single" w:sz="4" w:space="0" w:color="auto"/>
              <w:right w:val="nil"/>
            </w:tcBorders>
          </w:tcPr>
          <w:p w14:paraId="5DE96DCC" w14:textId="77777777" w:rsidR="00130E8B" w:rsidRPr="00CF5D7A" w:rsidRDefault="000405CC">
            <w:pPr>
              <w:pStyle w:val="TableParagraph"/>
              <w:spacing w:line="241" w:lineRule="exact"/>
              <w:ind w:left="337"/>
              <w:rPr>
                <w:rFonts w:ascii="Times New Roman" w:eastAsia="Times New Roman" w:hAnsi="Times New Roman" w:cs="Times New Roman"/>
                <w:lang w:val="hu-HU"/>
              </w:rPr>
            </w:pPr>
            <w:r w:rsidRPr="00CF5D7A">
              <w:rPr>
                <w:rFonts w:ascii="Times New Roman" w:eastAsia="Times New Roman" w:hAnsi="Times New Roman" w:cs="Times New Roman"/>
                <w:lang w:val="hu-HU"/>
              </w:rPr>
              <w:t>6,7%</w:t>
            </w:r>
          </w:p>
        </w:tc>
        <w:tc>
          <w:tcPr>
            <w:tcW w:w="1608" w:type="dxa"/>
            <w:tcBorders>
              <w:top w:val="nil"/>
              <w:left w:val="nil"/>
              <w:right w:val="single" w:sz="7" w:space="0" w:color="000000"/>
            </w:tcBorders>
          </w:tcPr>
          <w:p w14:paraId="5F262311" w14:textId="77777777" w:rsidR="00130E8B" w:rsidRPr="00CF5D7A" w:rsidRDefault="000405CC">
            <w:pPr>
              <w:pStyle w:val="TableParagraph"/>
              <w:spacing w:line="241" w:lineRule="exact"/>
              <w:ind w:left="544"/>
              <w:rPr>
                <w:rFonts w:ascii="Times New Roman" w:eastAsia="Times New Roman" w:hAnsi="Times New Roman" w:cs="Times New Roman"/>
                <w:lang w:val="hu-HU"/>
              </w:rPr>
            </w:pPr>
            <w:r w:rsidRPr="00CF5D7A">
              <w:rPr>
                <w:rFonts w:ascii="Times New Roman" w:eastAsia="Times New Roman" w:hAnsi="Times New Roman" w:cs="Times New Roman"/>
                <w:lang w:val="hu-HU"/>
              </w:rPr>
              <w:t>52,4%</w:t>
            </w:r>
          </w:p>
        </w:tc>
        <w:tc>
          <w:tcPr>
            <w:tcW w:w="1273" w:type="dxa"/>
            <w:tcBorders>
              <w:top w:val="nil"/>
              <w:left w:val="single" w:sz="7" w:space="0" w:color="000000"/>
              <w:right w:val="nil"/>
            </w:tcBorders>
          </w:tcPr>
          <w:p w14:paraId="551C3BF6" w14:textId="77777777" w:rsidR="00130E8B" w:rsidRPr="00CF5D7A" w:rsidRDefault="000405CC">
            <w:pPr>
              <w:pStyle w:val="TableParagraph"/>
              <w:spacing w:line="241" w:lineRule="exact"/>
              <w:ind w:left="428"/>
              <w:rPr>
                <w:rFonts w:ascii="Times New Roman" w:eastAsia="Times New Roman" w:hAnsi="Times New Roman" w:cs="Times New Roman"/>
                <w:lang w:val="hu-HU"/>
              </w:rPr>
            </w:pPr>
            <w:r w:rsidRPr="00CF5D7A">
              <w:rPr>
                <w:rFonts w:ascii="Times New Roman" w:eastAsia="Times New Roman" w:hAnsi="Times New Roman" w:cs="Times New Roman"/>
                <w:lang w:val="hu-HU"/>
              </w:rPr>
              <w:t>8,2%</w:t>
            </w:r>
          </w:p>
        </w:tc>
        <w:tc>
          <w:tcPr>
            <w:tcW w:w="1288" w:type="dxa"/>
            <w:tcBorders>
              <w:top w:val="nil"/>
              <w:left w:val="nil"/>
              <w:right w:val="single" w:sz="7" w:space="0" w:color="000000"/>
            </w:tcBorders>
          </w:tcPr>
          <w:p w14:paraId="37351EB7" w14:textId="77777777" w:rsidR="00130E8B" w:rsidRPr="00CF5D7A" w:rsidRDefault="000405CC">
            <w:pPr>
              <w:pStyle w:val="TableParagraph"/>
              <w:spacing w:line="241" w:lineRule="exact"/>
              <w:ind w:left="363"/>
              <w:rPr>
                <w:rFonts w:ascii="Times New Roman" w:eastAsia="Times New Roman" w:hAnsi="Times New Roman" w:cs="Times New Roman"/>
                <w:lang w:val="hu-HU"/>
              </w:rPr>
            </w:pPr>
            <w:r w:rsidRPr="00CF5D7A">
              <w:rPr>
                <w:rFonts w:ascii="Times New Roman" w:eastAsia="Times New Roman" w:hAnsi="Times New Roman" w:cs="Times New Roman"/>
                <w:lang w:val="hu-HU"/>
              </w:rPr>
              <w:t>22,1%</w:t>
            </w:r>
          </w:p>
        </w:tc>
        <w:tc>
          <w:tcPr>
            <w:tcW w:w="1151" w:type="dxa"/>
            <w:tcBorders>
              <w:top w:val="nil"/>
              <w:left w:val="single" w:sz="7" w:space="0" w:color="000000"/>
              <w:right w:val="nil"/>
            </w:tcBorders>
          </w:tcPr>
          <w:p w14:paraId="0BE81DDD" w14:textId="77777777" w:rsidR="00130E8B" w:rsidRPr="00CF5D7A" w:rsidRDefault="000405CC">
            <w:pPr>
              <w:pStyle w:val="TableParagraph"/>
              <w:spacing w:line="241" w:lineRule="exact"/>
              <w:ind w:left="455"/>
              <w:rPr>
                <w:rFonts w:ascii="Times New Roman" w:eastAsia="Times New Roman" w:hAnsi="Times New Roman" w:cs="Times New Roman"/>
                <w:lang w:val="hu-HU"/>
              </w:rPr>
            </w:pPr>
            <w:r w:rsidRPr="00CF5D7A">
              <w:rPr>
                <w:rFonts w:ascii="Times New Roman" w:eastAsia="Times New Roman" w:hAnsi="Times New Roman" w:cs="Times New Roman"/>
                <w:lang w:val="hu-HU"/>
              </w:rPr>
              <w:t>9,5%</w:t>
            </w:r>
          </w:p>
        </w:tc>
        <w:tc>
          <w:tcPr>
            <w:tcW w:w="1544" w:type="dxa"/>
            <w:tcBorders>
              <w:top w:val="nil"/>
              <w:left w:val="nil"/>
              <w:right w:val="single" w:sz="4" w:space="0" w:color="auto"/>
            </w:tcBorders>
          </w:tcPr>
          <w:p w14:paraId="62CE506B" w14:textId="77777777" w:rsidR="00130E8B" w:rsidRPr="00CF5D7A" w:rsidRDefault="000405CC">
            <w:pPr>
              <w:pStyle w:val="TableParagraph"/>
              <w:spacing w:line="241" w:lineRule="exact"/>
              <w:ind w:left="567"/>
              <w:rPr>
                <w:rFonts w:ascii="Times New Roman" w:eastAsia="Times New Roman" w:hAnsi="Times New Roman" w:cs="Times New Roman"/>
                <w:lang w:val="hu-HU"/>
              </w:rPr>
            </w:pPr>
            <w:r w:rsidRPr="00CF5D7A">
              <w:rPr>
                <w:rFonts w:ascii="Times New Roman" w:eastAsia="Times New Roman" w:hAnsi="Times New Roman" w:cs="Times New Roman"/>
                <w:lang w:val="hu-HU"/>
              </w:rPr>
              <w:t>39,1%</w:t>
            </w:r>
          </w:p>
        </w:tc>
      </w:tr>
      <w:tr w:rsidR="00130E8B" w:rsidRPr="00CF5D7A" w14:paraId="01E9344A" w14:textId="77777777" w:rsidTr="009167C6">
        <w:tc>
          <w:tcPr>
            <w:tcW w:w="1186" w:type="dxa"/>
            <w:tcBorders>
              <w:top w:val="nil"/>
              <w:left w:val="single" w:sz="4" w:space="0" w:color="auto"/>
              <w:bottom w:val="single" w:sz="4" w:space="0" w:color="auto"/>
              <w:right w:val="single" w:sz="4" w:space="0" w:color="auto"/>
            </w:tcBorders>
          </w:tcPr>
          <w:p w14:paraId="5763B211" w14:textId="77777777" w:rsidR="00130E8B" w:rsidRPr="00CF5D7A" w:rsidRDefault="000405CC">
            <w:pPr>
              <w:pStyle w:val="TableParagraph"/>
              <w:spacing w:line="242" w:lineRule="exact"/>
              <w:ind w:left="144"/>
              <w:rPr>
                <w:rFonts w:ascii="Times New Roman" w:eastAsia="Times New Roman" w:hAnsi="Times New Roman" w:cs="Times New Roman"/>
                <w:lang w:val="hu-HU"/>
              </w:rPr>
            </w:pPr>
            <w:r w:rsidRPr="00CF5D7A">
              <w:rPr>
                <w:rFonts w:ascii="Times New Roman" w:eastAsia="Times New Roman" w:hAnsi="Times New Roman" w:cs="Times New Roman"/>
                <w:lang w:val="hu-HU"/>
              </w:rPr>
              <w:t>12 hónap</w:t>
            </w:r>
          </w:p>
        </w:tc>
        <w:tc>
          <w:tcPr>
            <w:tcW w:w="1075" w:type="dxa"/>
            <w:tcBorders>
              <w:top w:val="nil"/>
              <w:left w:val="single" w:sz="4" w:space="0" w:color="auto"/>
              <w:bottom w:val="single" w:sz="4" w:space="0" w:color="auto"/>
              <w:right w:val="nil"/>
            </w:tcBorders>
          </w:tcPr>
          <w:p w14:paraId="26B31D6E" w14:textId="77777777" w:rsidR="00130E8B" w:rsidRPr="00CF5D7A" w:rsidRDefault="000405CC" w:rsidP="009167C6">
            <w:pPr>
              <w:pStyle w:val="TableParagraph"/>
              <w:spacing w:line="242"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608" w:type="dxa"/>
            <w:tcBorders>
              <w:top w:val="nil"/>
              <w:left w:val="nil"/>
              <w:bottom w:val="single" w:sz="4" w:space="0" w:color="auto"/>
              <w:right w:val="single" w:sz="7" w:space="0" w:color="000000"/>
            </w:tcBorders>
          </w:tcPr>
          <w:p w14:paraId="407CC3FA" w14:textId="77777777" w:rsidR="00130E8B" w:rsidRPr="00CF5D7A" w:rsidRDefault="000405CC" w:rsidP="009167C6">
            <w:pPr>
              <w:pStyle w:val="TableParagraph"/>
              <w:spacing w:line="242"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273" w:type="dxa"/>
            <w:tcBorders>
              <w:top w:val="nil"/>
              <w:left w:val="single" w:sz="7" w:space="0" w:color="000000"/>
              <w:bottom w:val="single" w:sz="4" w:space="0" w:color="auto"/>
              <w:right w:val="nil"/>
            </w:tcBorders>
          </w:tcPr>
          <w:p w14:paraId="0D771E72" w14:textId="77777777" w:rsidR="00130E8B" w:rsidRPr="00CF5D7A" w:rsidRDefault="000405CC" w:rsidP="009167C6">
            <w:pPr>
              <w:pStyle w:val="TableParagraph"/>
              <w:spacing w:line="242"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288" w:type="dxa"/>
            <w:tcBorders>
              <w:top w:val="nil"/>
              <w:left w:val="nil"/>
              <w:bottom w:val="single" w:sz="4" w:space="0" w:color="auto"/>
              <w:right w:val="single" w:sz="7" w:space="0" w:color="000000"/>
            </w:tcBorders>
          </w:tcPr>
          <w:p w14:paraId="2DD7BFFA" w14:textId="77777777" w:rsidR="00130E8B" w:rsidRPr="00CF5D7A" w:rsidRDefault="000405CC" w:rsidP="009167C6">
            <w:pPr>
              <w:pStyle w:val="TableParagraph"/>
              <w:spacing w:line="242"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151" w:type="dxa"/>
            <w:tcBorders>
              <w:top w:val="nil"/>
              <w:left w:val="single" w:sz="7" w:space="0" w:color="000000"/>
              <w:bottom w:val="single" w:sz="4" w:space="0" w:color="auto"/>
              <w:right w:val="nil"/>
            </w:tcBorders>
          </w:tcPr>
          <w:p w14:paraId="48EC9503" w14:textId="77777777" w:rsidR="00130E8B" w:rsidRPr="00CF5D7A" w:rsidRDefault="000405CC">
            <w:pPr>
              <w:pStyle w:val="TableParagraph"/>
              <w:spacing w:line="242" w:lineRule="exact"/>
              <w:ind w:left="455"/>
              <w:rPr>
                <w:rFonts w:ascii="Times New Roman" w:eastAsia="Times New Roman" w:hAnsi="Times New Roman" w:cs="Times New Roman"/>
                <w:lang w:val="hu-HU"/>
              </w:rPr>
            </w:pPr>
            <w:r w:rsidRPr="00CF5D7A">
              <w:rPr>
                <w:rFonts w:ascii="Times New Roman" w:eastAsia="Times New Roman" w:hAnsi="Times New Roman" w:cs="Times New Roman"/>
                <w:lang w:val="hu-HU"/>
              </w:rPr>
              <w:t>9,5%</w:t>
            </w:r>
          </w:p>
        </w:tc>
        <w:tc>
          <w:tcPr>
            <w:tcW w:w="1544" w:type="dxa"/>
            <w:tcBorders>
              <w:top w:val="nil"/>
              <w:left w:val="nil"/>
              <w:bottom w:val="single" w:sz="4" w:space="0" w:color="auto"/>
              <w:right w:val="single" w:sz="4" w:space="0" w:color="auto"/>
            </w:tcBorders>
          </w:tcPr>
          <w:p w14:paraId="371D80F6" w14:textId="77777777" w:rsidR="00130E8B" w:rsidRPr="00CF5D7A" w:rsidRDefault="000405CC">
            <w:pPr>
              <w:pStyle w:val="TableParagraph"/>
              <w:spacing w:line="242" w:lineRule="exact"/>
              <w:ind w:left="567"/>
              <w:rPr>
                <w:rFonts w:ascii="Times New Roman" w:eastAsia="Times New Roman" w:hAnsi="Times New Roman" w:cs="Times New Roman"/>
                <w:lang w:val="hu-HU"/>
              </w:rPr>
            </w:pPr>
            <w:r w:rsidRPr="00CF5D7A">
              <w:rPr>
                <w:rFonts w:ascii="Times New Roman" w:eastAsia="Times New Roman" w:hAnsi="Times New Roman" w:cs="Times New Roman"/>
                <w:lang w:val="hu-HU"/>
              </w:rPr>
              <w:t>41,5%</w:t>
            </w:r>
          </w:p>
        </w:tc>
      </w:tr>
      <w:tr w:rsidR="00130E8B" w:rsidRPr="00CF5D7A" w14:paraId="7DC042D9" w14:textId="77777777" w:rsidTr="009167C6">
        <w:tc>
          <w:tcPr>
            <w:tcW w:w="1186" w:type="dxa"/>
            <w:tcBorders>
              <w:top w:val="single" w:sz="4" w:space="0" w:color="auto"/>
              <w:left w:val="single" w:sz="4" w:space="0" w:color="auto"/>
              <w:right w:val="single" w:sz="4" w:space="0" w:color="auto"/>
            </w:tcBorders>
          </w:tcPr>
          <w:p w14:paraId="6A87A2F8" w14:textId="77777777" w:rsidR="00130E8B" w:rsidRPr="00CF5D7A" w:rsidRDefault="000405CC">
            <w:pPr>
              <w:pStyle w:val="TableParagraph"/>
              <w:spacing w:line="241"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ACR 70</w:t>
            </w:r>
          </w:p>
        </w:tc>
        <w:tc>
          <w:tcPr>
            <w:tcW w:w="1075" w:type="dxa"/>
            <w:tcBorders>
              <w:top w:val="single" w:sz="4" w:space="0" w:color="auto"/>
              <w:left w:val="single" w:sz="4" w:space="0" w:color="auto"/>
              <w:bottom w:val="nil"/>
              <w:right w:val="nil"/>
            </w:tcBorders>
          </w:tcPr>
          <w:p w14:paraId="7083E4C0" w14:textId="77777777" w:rsidR="00130E8B" w:rsidRPr="00CF5D7A" w:rsidRDefault="00130E8B">
            <w:pPr>
              <w:rPr>
                <w:lang w:val="hu-HU"/>
              </w:rPr>
            </w:pPr>
          </w:p>
        </w:tc>
        <w:tc>
          <w:tcPr>
            <w:tcW w:w="1608" w:type="dxa"/>
            <w:tcBorders>
              <w:top w:val="single" w:sz="4" w:space="0" w:color="auto"/>
              <w:left w:val="nil"/>
              <w:bottom w:val="nil"/>
              <w:right w:val="single" w:sz="7" w:space="0" w:color="000000"/>
            </w:tcBorders>
          </w:tcPr>
          <w:p w14:paraId="0EEB96BC" w14:textId="77777777" w:rsidR="00130E8B" w:rsidRPr="00CF5D7A" w:rsidRDefault="00130E8B">
            <w:pPr>
              <w:rPr>
                <w:lang w:val="hu-HU"/>
              </w:rPr>
            </w:pPr>
          </w:p>
        </w:tc>
        <w:tc>
          <w:tcPr>
            <w:tcW w:w="1273" w:type="dxa"/>
            <w:tcBorders>
              <w:top w:val="single" w:sz="4" w:space="0" w:color="auto"/>
              <w:left w:val="single" w:sz="7" w:space="0" w:color="000000"/>
              <w:bottom w:val="nil"/>
              <w:right w:val="nil"/>
            </w:tcBorders>
          </w:tcPr>
          <w:p w14:paraId="7F025CDF" w14:textId="77777777" w:rsidR="00130E8B" w:rsidRPr="00CF5D7A" w:rsidRDefault="00130E8B">
            <w:pPr>
              <w:rPr>
                <w:lang w:val="hu-HU"/>
              </w:rPr>
            </w:pPr>
          </w:p>
        </w:tc>
        <w:tc>
          <w:tcPr>
            <w:tcW w:w="1288" w:type="dxa"/>
            <w:tcBorders>
              <w:top w:val="single" w:sz="4" w:space="0" w:color="auto"/>
              <w:left w:val="nil"/>
              <w:bottom w:val="nil"/>
              <w:right w:val="single" w:sz="7" w:space="0" w:color="000000"/>
            </w:tcBorders>
          </w:tcPr>
          <w:p w14:paraId="18B1C828" w14:textId="77777777" w:rsidR="00130E8B" w:rsidRPr="00CF5D7A" w:rsidRDefault="00130E8B">
            <w:pPr>
              <w:rPr>
                <w:lang w:val="hu-HU"/>
              </w:rPr>
            </w:pPr>
          </w:p>
        </w:tc>
        <w:tc>
          <w:tcPr>
            <w:tcW w:w="1151" w:type="dxa"/>
            <w:tcBorders>
              <w:top w:val="single" w:sz="4" w:space="0" w:color="auto"/>
              <w:left w:val="single" w:sz="7" w:space="0" w:color="000000"/>
              <w:bottom w:val="nil"/>
              <w:right w:val="nil"/>
            </w:tcBorders>
          </w:tcPr>
          <w:p w14:paraId="775864CB" w14:textId="77777777" w:rsidR="00130E8B" w:rsidRPr="00CF5D7A" w:rsidRDefault="00130E8B">
            <w:pPr>
              <w:rPr>
                <w:lang w:val="hu-HU"/>
              </w:rPr>
            </w:pPr>
          </w:p>
        </w:tc>
        <w:tc>
          <w:tcPr>
            <w:tcW w:w="1544" w:type="dxa"/>
            <w:tcBorders>
              <w:top w:val="single" w:sz="4" w:space="0" w:color="auto"/>
              <w:left w:val="nil"/>
              <w:bottom w:val="nil"/>
              <w:right w:val="single" w:sz="4" w:space="0" w:color="auto"/>
            </w:tcBorders>
          </w:tcPr>
          <w:p w14:paraId="151FBDC7" w14:textId="77777777" w:rsidR="00130E8B" w:rsidRPr="00CF5D7A" w:rsidRDefault="00130E8B">
            <w:pPr>
              <w:rPr>
                <w:lang w:val="hu-HU"/>
              </w:rPr>
            </w:pPr>
          </w:p>
        </w:tc>
      </w:tr>
      <w:tr w:rsidR="00130E8B" w:rsidRPr="00CF5D7A" w14:paraId="40457872" w14:textId="77777777" w:rsidTr="009167C6">
        <w:tc>
          <w:tcPr>
            <w:tcW w:w="1186" w:type="dxa"/>
            <w:tcBorders>
              <w:top w:val="nil"/>
              <w:left w:val="single" w:sz="4" w:space="0" w:color="auto"/>
              <w:right w:val="single" w:sz="4" w:space="0" w:color="auto"/>
            </w:tcBorders>
          </w:tcPr>
          <w:p w14:paraId="53D16A94" w14:textId="77777777" w:rsidR="00130E8B" w:rsidRPr="00CF5D7A" w:rsidRDefault="000405CC">
            <w:pPr>
              <w:pStyle w:val="TableParagraph"/>
              <w:spacing w:line="242" w:lineRule="exact"/>
              <w:ind w:left="144"/>
              <w:rPr>
                <w:rFonts w:ascii="Times New Roman" w:eastAsia="Times New Roman" w:hAnsi="Times New Roman" w:cs="Times New Roman"/>
                <w:lang w:val="hu-HU"/>
              </w:rPr>
            </w:pPr>
            <w:r w:rsidRPr="00CF5D7A">
              <w:rPr>
                <w:rFonts w:ascii="Times New Roman" w:eastAsia="Times New Roman" w:hAnsi="Times New Roman" w:cs="Times New Roman"/>
                <w:lang w:val="hu-HU"/>
              </w:rPr>
              <w:t>6 hónap</w:t>
            </w:r>
          </w:p>
        </w:tc>
        <w:tc>
          <w:tcPr>
            <w:tcW w:w="1075" w:type="dxa"/>
            <w:tcBorders>
              <w:top w:val="nil"/>
              <w:left w:val="single" w:sz="4" w:space="0" w:color="auto"/>
              <w:bottom w:val="nil"/>
              <w:right w:val="nil"/>
            </w:tcBorders>
          </w:tcPr>
          <w:p w14:paraId="23F29166" w14:textId="77777777" w:rsidR="00130E8B" w:rsidRPr="00CF5D7A" w:rsidRDefault="000405CC">
            <w:pPr>
              <w:pStyle w:val="TableParagraph"/>
              <w:spacing w:line="242" w:lineRule="exact"/>
              <w:ind w:left="337"/>
              <w:rPr>
                <w:rFonts w:ascii="Times New Roman" w:eastAsia="Times New Roman" w:hAnsi="Times New Roman" w:cs="Times New Roman"/>
                <w:lang w:val="hu-HU"/>
              </w:rPr>
            </w:pPr>
            <w:r w:rsidRPr="00CF5D7A">
              <w:rPr>
                <w:rFonts w:ascii="Times New Roman" w:eastAsia="Times New Roman" w:hAnsi="Times New Roman" w:cs="Times New Roman"/>
                <w:lang w:val="hu-HU"/>
              </w:rPr>
              <w:t>3,3%</w:t>
            </w:r>
          </w:p>
        </w:tc>
        <w:tc>
          <w:tcPr>
            <w:tcW w:w="1608" w:type="dxa"/>
            <w:tcBorders>
              <w:top w:val="nil"/>
              <w:left w:val="nil"/>
              <w:bottom w:val="nil"/>
              <w:right w:val="single" w:sz="7" w:space="0" w:color="000000"/>
            </w:tcBorders>
          </w:tcPr>
          <w:p w14:paraId="2BC0C388" w14:textId="77777777" w:rsidR="00130E8B" w:rsidRPr="00CF5D7A" w:rsidRDefault="000405CC">
            <w:pPr>
              <w:pStyle w:val="TableParagraph"/>
              <w:spacing w:line="242" w:lineRule="exact"/>
              <w:ind w:left="544"/>
              <w:rPr>
                <w:rFonts w:ascii="Times New Roman" w:eastAsia="Times New Roman" w:hAnsi="Times New Roman" w:cs="Times New Roman"/>
                <w:lang w:val="hu-HU"/>
              </w:rPr>
            </w:pPr>
            <w:r w:rsidRPr="00CF5D7A">
              <w:rPr>
                <w:rFonts w:ascii="Times New Roman" w:eastAsia="Times New Roman" w:hAnsi="Times New Roman" w:cs="Times New Roman"/>
                <w:lang w:val="hu-HU"/>
              </w:rPr>
              <w:t>23,8%</w:t>
            </w:r>
          </w:p>
        </w:tc>
        <w:tc>
          <w:tcPr>
            <w:tcW w:w="1273" w:type="dxa"/>
            <w:tcBorders>
              <w:top w:val="nil"/>
              <w:left w:val="single" w:sz="7" w:space="0" w:color="000000"/>
              <w:bottom w:val="nil"/>
              <w:right w:val="nil"/>
            </w:tcBorders>
          </w:tcPr>
          <w:p w14:paraId="1D1A0B34" w14:textId="77777777" w:rsidR="00130E8B" w:rsidRPr="00CF5D7A" w:rsidRDefault="000405CC">
            <w:pPr>
              <w:pStyle w:val="TableParagraph"/>
              <w:spacing w:line="242" w:lineRule="exact"/>
              <w:ind w:left="428"/>
              <w:rPr>
                <w:rFonts w:ascii="Times New Roman" w:eastAsia="Times New Roman" w:hAnsi="Times New Roman" w:cs="Times New Roman"/>
                <w:lang w:val="hu-HU"/>
              </w:rPr>
            </w:pPr>
            <w:r w:rsidRPr="00CF5D7A">
              <w:rPr>
                <w:rFonts w:ascii="Times New Roman" w:eastAsia="Times New Roman" w:hAnsi="Times New Roman" w:cs="Times New Roman"/>
                <w:lang w:val="hu-HU"/>
              </w:rPr>
              <w:t>1,8%</w:t>
            </w:r>
          </w:p>
        </w:tc>
        <w:tc>
          <w:tcPr>
            <w:tcW w:w="1288" w:type="dxa"/>
            <w:tcBorders>
              <w:top w:val="nil"/>
              <w:left w:val="nil"/>
              <w:bottom w:val="nil"/>
              <w:right w:val="single" w:sz="7" w:space="0" w:color="000000"/>
            </w:tcBorders>
          </w:tcPr>
          <w:p w14:paraId="0B2C98B8" w14:textId="77777777" w:rsidR="00130E8B" w:rsidRPr="00CF5D7A" w:rsidRDefault="000405CC">
            <w:pPr>
              <w:pStyle w:val="TableParagraph"/>
              <w:spacing w:line="242" w:lineRule="exact"/>
              <w:ind w:left="363"/>
              <w:rPr>
                <w:rFonts w:ascii="Times New Roman" w:eastAsia="Times New Roman" w:hAnsi="Times New Roman" w:cs="Times New Roman"/>
                <w:lang w:val="hu-HU"/>
              </w:rPr>
            </w:pPr>
            <w:r w:rsidRPr="00CF5D7A">
              <w:rPr>
                <w:rFonts w:ascii="Times New Roman" w:eastAsia="Times New Roman" w:hAnsi="Times New Roman" w:cs="Times New Roman"/>
                <w:lang w:val="hu-HU"/>
              </w:rPr>
              <w:t>12,4%</w:t>
            </w:r>
          </w:p>
        </w:tc>
        <w:tc>
          <w:tcPr>
            <w:tcW w:w="1151" w:type="dxa"/>
            <w:tcBorders>
              <w:top w:val="nil"/>
              <w:left w:val="single" w:sz="7" w:space="0" w:color="000000"/>
              <w:bottom w:val="nil"/>
              <w:right w:val="nil"/>
            </w:tcBorders>
          </w:tcPr>
          <w:p w14:paraId="48EB819E" w14:textId="77777777" w:rsidR="00130E8B" w:rsidRPr="00CF5D7A" w:rsidRDefault="000405CC">
            <w:pPr>
              <w:pStyle w:val="TableParagraph"/>
              <w:spacing w:line="242" w:lineRule="exact"/>
              <w:ind w:left="455"/>
              <w:rPr>
                <w:rFonts w:ascii="Times New Roman" w:eastAsia="Times New Roman" w:hAnsi="Times New Roman" w:cs="Times New Roman"/>
                <w:lang w:val="hu-HU"/>
              </w:rPr>
            </w:pPr>
            <w:r w:rsidRPr="00CF5D7A">
              <w:rPr>
                <w:rFonts w:ascii="Times New Roman" w:eastAsia="Times New Roman" w:hAnsi="Times New Roman" w:cs="Times New Roman"/>
                <w:lang w:val="hu-HU"/>
              </w:rPr>
              <w:t>2,5%</w:t>
            </w:r>
          </w:p>
        </w:tc>
        <w:tc>
          <w:tcPr>
            <w:tcW w:w="1544" w:type="dxa"/>
            <w:tcBorders>
              <w:top w:val="nil"/>
              <w:left w:val="nil"/>
              <w:right w:val="single" w:sz="4" w:space="0" w:color="auto"/>
            </w:tcBorders>
          </w:tcPr>
          <w:p w14:paraId="0DD85BC6" w14:textId="77777777" w:rsidR="00130E8B" w:rsidRPr="00CF5D7A" w:rsidRDefault="000405CC">
            <w:pPr>
              <w:pStyle w:val="TableParagraph"/>
              <w:spacing w:line="242" w:lineRule="exact"/>
              <w:ind w:left="567"/>
              <w:rPr>
                <w:rFonts w:ascii="Times New Roman" w:eastAsia="Times New Roman" w:hAnsi="Times New Roman" w:cs="Times New Roman"/>
                <w:lang w:val="hu-HU"/>
              </w:rPr>
            </w:pPr>
            <w:r w:rsidRPr="00CF5D7A">
              <w:rPr>
                <w:rFonts w:ascii="Times New Roman" w:eastAsia="Times New Roman" w:hAnsi="Times New Roman" w:cs="Times New Roman"/>
                <w:lang w:val="hu-HU"/>
              </w:rPr>
              <w:t>20,8%</w:t>
            </w:r>
          </w:p>
        </w:tc>
      </w:tr>
      <w:tr w:rsidR="00130E8B" w:rsidRPr="00CF5D7A" w14:paraId="2CF18CF2" w14:textId="77777777" w:rsidTr="009167C6">
        <w:tc>
          <w:tcPr>
            <w:tcW w:w="1186" w:type="dxa"/>
            <w:tcBorders>
              <w:top w:val="nil"/>
              <w:left w:val="single" w:sz="4" w:space="0" w:color="auto"/>
              <w:bottom w:val="single" w:sz="4" w:space="0" w:color="auto"/>
              <w:right w:val="single" w:sz="4" w:space="0" w:color="auto"/>
            </w:tcBorders>
          </w:tcPr>
          <w:p w14:paraId="442A8C20" w14:textId="77777777" w:rsidR="00130E8B" w:rsidRPr="00CF5D7A" w:rsidRDefault="000405CC">
            <w:pPr>
              <w:pStyle w:val="TableParagraph"/>
              <w:spacing w:line="241" w:lineRule="exact"/>
              <w:ind w:left="144"/>
              <w:rPr>
                <w:rFonts w:ascii="Times New Roman" w:eastAsia="Times New Roman" w:hAnsi="Times New Roman" w:cs="Times New Roman"/>
                <w:lang w:val="hu-HU"/>
              </w:rPr>
            </w:pPr>
            <w:r w:rsidRPr="00CF5D7A">
              <w:rPr>
                <w:rFonts w:ascii="Times New Roman" w:eastAsia="Times New Roman" w:hAnsi="Times New Roman" w:cs="Times New Roman"/>
                <w:lang w:val="hu-HU"/>
              </w:rPr>
              <w:t>12 hónap</w:t>
            </w:r>
          </w:p>
        </w:tc>
        <w:tc>
          <w:tcPr>
            <w:tcW w:w="1075" w:type="dxa"/>
            <w:tcBorders>
              <w:top w:val="nil"/>
              <w:left w:val="single" w:sz="4" w:space="0" w:color="auto"/>
              <w:bottom w:val="single" w:sz="7" w:space="0" w:color="000000"/>
              <w:right w:val="nil"/>
            </w:tcBorders>
          </w:tcPr>
          <w:p w14:paraId="2F4E71E1" w14:textId="77777777" w:rsidR="00130E8B" w:rsidRPr="00CF5D7A" w:rsidRDefault="000405CC" w:rsidP="009167C6">
            <w:pPr>
              <w:pStyle w:val="TableParagraph"/>
              <w:spacing w:line="241"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608" w:type="dxa"/>
            <w:tcBorders>
              <w:top w:val="nil"/>
              <w:left w:val="nil"/>
              <w:bottom w:val="single" w:sz="7" w:space="0" w:color="000000"/>
              <w:right w:val="single" w:sz="7" w:space="0" w:color="000000"/>
            </w:tcBorders>
          </w:tcPr>
          <w:p w14:paraId="6F739ECD" w14:textId="77777777" w:rsidR="00130E8B" w:rsidRPr="00CF5D7A" w:rsidRDefault="000405CC" w:rsidP="009167C6">
            <w:pPr>
              <w:pStyle w:val="TableParagraph"/>
              <w:spacing w:line="241"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273" w:type="dxa"/>
            <w:tcBorders>
              <w:top w:val="nil"/>
              <w:left w:val="single" w:sz="7" w:space="0" w:color="000000"/>
              <w:bottom w:val="single" w:sz="7" w:space="0" w:color="000000"/>
              <w:right w:val="nil"/>
            </w:tcBorders>
          </w:tcPr>
          <w:p w14:paraId="41A0050D" w14:textId="77777777" w:rsidR="00130E8B" w:rsidRPr="00CF5D7A" w:rsidRDefault="000405CC" w:rsidP="009167C6">
            <w:pPr>
              <w:pStyle w:val="TableParagraph"/>
              <w:spacing w:line="241"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288" w:type="dxa"/>
            <w:tcBorders>
              <w:top w:val="nil"/>
              <w:left w:val="nil"/>
              <w:bottom w:val="single" w:sz="7" w:space="0" w:color="000000"/>
              <w:right w:val="single" w:sz="7" w:space="0" w:color="000000"/>
            </w:tcBorders>
          </w:tcPr>
          <w:p w14:paraId="32EE90D3" w14:textId="77777777" w:rsidR="00130E8B" w:rsidRPr="00CF5D7A" w:rsidRDefault="000405CC" w:rsidP="009167C6">
            <w:pPr>
              <w:pStyle w:val="TableParagraph"/>
              <w:spacing w:line="241"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151" w:type="dxa"/>
            <w:tcBorders>
              <w:top w:val="nil"/>
              <w:left w:val="single" w:sz="7" w:space="0" w:color="000000"/>
              <w:bottom w:val="single" w:sz="7" w:space="0" w:color="000000"/>
              <w:right w:val="nil"/>
            </w:tcBorders>
          </w:tcPr>
          <w:p w14:paraId="0536C4F9" w14:textId="77777777" w:rsidR="00130E8B" w:rsidRPr="00CF5D7A" w:rsidRDefault="000405CC">
            <w:pPr>
              <w:pStyle w:val="TableParagraph"/>
              <w:spacing w:line="241" w:lineRule="exact"/>
              <w:ind w:left="455"/>
              <w:rPr>
                <w:rFonts w:ascii="Times New Roman" w:eastAsia="Times New Roman" w:hAnsi="Times New Roman" w:cs="Times New Roman"/>
                <w:lang w:val="hu-HU"/>
              </w:rPr>
            </w:pPr>
            <w:r w:rsidRPr="00CF5D7A">
              <w:rPr>
                <w:rFonts w:ascii="Times New Roman" w:eastAsia="Times New Roman" w:hAnsi="Times New Roman" w:cs="Times New Roman"/>
                <w:lang w:val="hu-HU"/>
              </w:rPr>
              <w:t>4,5%</w:t>
            </w:r>
          </w:p>
        </w:tc>
        <w:tc>
          <w:tcPr>
            <w:tcW w:w="1544" w:type="dxa"/>
            <w:tcBorders>
              <w:top w:val="nil"/>
              <w:left w:val="nil"/>
              <w:bottom w:val="single" w:sz="4" w:space="0" w:color="auto"/>
              <w:right w:val="single" w:sz="4" w:space="0" w:color="auto"/>
            </w:tcBorders>
          </w:tcPr>
          <w:p w14:paraId="212F4187" w14:textId="77777777" w:rsidR="00130E8B" w:rsidRPr="00CF5D7A" w:rsidRDefault="000405CC">
            <w:pPr>
              <w:pStyle w:val="TableParagraph"/>
              <w:spacing w:line="241" w:lineRule="exact"/>
              <w:ind w:left="567"/>
              <w:rPr>
                <w:rFonts w:ascii="Times New Roman" w:eastAsia="Times New Roman" w:hAnsi="Times New Roman" w:cs="Times New Roman"/>
                <w:lang w:val="hu-HU"/>
              </w:rPr>
            </w:pPr>
            <w:r w:rsidRPr="00CF5D7A">
              <w:rPr>
                <w:rFonts w:ascii="Times New Roman" w:eastAsia="Times New Roman" w:hAnsi="Times New Roman" w:cs="Times New Roman"/>
                <w:lang w:val="hu-HU"/>
              </w:rPr>
              <w:t>23,2%</w:t>
            </w:r>
          </w:p>
        </w:tc>
      </w:tr>
    </w:tbl>
    <w:p w14:paraId="49B8DC88" w14:textId="77777777" w:rsidR="00130E8B" w:rsidRDefault="000405CC">
      <w:pPr>
        <w:pStyle w:val="a3"/>
        <w:numPr>
          <w:ilvl w:val="0"/>
          <w:numId w:val="0"/>
        </w:numPr>
        <w:rPr>
          <w:lang w:val="hu-HU"/>
        </w:rPr>
      </w:pPr>
      <w:r w:rsidRPr="009167C6">
        <w:rPr>
          <w:rFonts w:eastAsia="Times New Roman"/>
          <w:position w:val="8"/>
          <w:vertAlign w:val="superscript"/>
          <w:lang w:val="hu-HU"/>
        </w:rPr>
        <w:t>a</w:t>
      </w:r>
      <w:r w:rsidRPr="009167C6">
        <w:rPr>
          <w:rFonts w:eastAsia="Times New Roman"/>
          <w:position w:val="8"/>
          <w:lang w:val="hu-HU"/>
        </w:rPr>
        <w:t xml:space="preserve"> </w:t>
      </w:r>
      <w:r>
        <w:rPr>
          <w:rFonts w:eastAsia="Times New Roman"/>
          <w:position w:val="8"/>
          <w:lang w:val="hu-HU"/>
        </w:rPr>
        <w:t xml:space="preserve">RA </w:t>
      </w:r>
      <w:r w:rsidR="00961E14" w:rsidRPr="00522548">
        <w:rPr>
          <w:lang w:val="es-ES"/>
        </w:rPr>
        <w:t xml:space="preserve"> </w:t>
      </w:r>
      <w:r>
        <w:rPr>
          <w:rFonts w:eastAsia="Times New Roman"/>
          <w:position w:val="8"/>
          <w:lang w:val="hu-HU"/>
        </w:rPr>
        <w:t>I vizsgálat 24. héten, RA II vizsgálat 26. héten, RA III vizsgálat 24. és 52.</w:t>
      </w:r>
    </w:p>
    <w:p w14:paraId="53F12539" w14:textId="77777777" w:rsidR="00130E8B" w:rsidRDefault="000405CC">
      <w:pPr>
        <w:pStyle w:val="a3"/>
        <w:numPr>
          <w:ilvl w:val="0"/>
          <w:numId w:val="0"/>
        </w:numPr>
        <w:rPr>
          <w:lang w:val="hu-HU"/>
        </w:rPr>
      </w:pPr>
      <w:r w:rsidRPr="009167C6">
        <w:rPr>
          <w:rFonts w:eastAsia="Times New Roman"/>
          <w:position w:val="8"/>
          <w:vertAlign w:val="superscript"/>
          <w:lang w:val="hu-HU"/>
        </w:rPr>
        <w:t>b</w:t>
      </w:r>
      <w:r w:rsidR="00FB315F" w:rsidRPr="009167C6">
        <w:rPr>
          <w:rFonts w:eastAsia="Times New Roman"/>
          <w:position w:val="8"/>
          <w:lang w:val="hu-HU"/>
        </w:rPr>
        <w:t xml:space="preserve"> </w:t>
      </w:r>
      <w:r>
        <w:rPr>
          <w:rFonts w:eastAsia="Times New Roman"/>
          <w:position w:val="8"/>
          <w:lang w:val="hu-HU"/>
        </w:rPr>
        <w:t>40 mg adalimumab kéthetente</w:t>
      </w:r>
    </w:p>
    <w:p w14:paraId="652DD10C" w14:textId="77777777" w:rsidR="00130E8B" w:rsidRDefault="000405CC">
      <w:pPr>
        <w:pStyle w:val="a3"/>
        <w:rPr>
          <w:lang w:val="hu-HU"/>
        </w:rPr>
      </w:pPr>
      <w:r w:rsidRPr="009167C6">
        <w:rPr>
          <w:rFonts w:eastAsia="Times New Roman"/>
          <w:position w:val="8"/>
          <w:vertAlign w:val="superscript"/>
          <w:lang w:val="hu-HU"/>
        </w:rPr>
        <w:t>c</w:t>
      </w:r>
      <w:r w:rsidR="00FB315F" w:rsidRPr="009167C6">
        <w:rPr>
          <w:rFonts w:eastAsia="Times New Roman"/>
          <w:position w:val="8"/>
          <w:lang w:val="hu-HU"/>
        </w:rPr>
        <w:t xml:space="preserve"> </w:t>
      </w:r>
      <w:r>
        <w:rPr>
          <w:rFonts w:eastAsia="Times New Roman"/>
          <w:position w:val="8"/>
          <w:lang w:val="hu-HU"/>
        </w:rPr>
        <w:t>MTX = metotrexát</w:t>
      </w:r>
    </w:p>
    <w:p w14:paraId="29B9B54B" w14:textId="77777777" w:rsidR="00130E8B" w:rsidRDefault="000405CC">
      <w:pPr>
        <w:spacing w:before="1"/>
        <w:rPr>
          <w:rFonts w:ascii="Times New Roman" w:eastAsia="Times New Roman" w:hAnsi="Times New Roman" w:cs="Times New Roman"/>
          <w:lang w:val="hu-HU"/>
        </w:rPr>
      </w:pPr>
      <w:r>
        <w:rPr>
          <w:rFonts w:ascii="Times New Roman" w:eastAsia="Times New Roman" w:hAnsi="Times New Roman" w:cs="Times New Roman"/>
          <w:lang w:val="hu-HU"/>
        </w:rPr>
        <w:t xml:space="preserve">**p &lt; 0,01, adalimumab a placebóhoz </w:t>
      </w:r>
      <w:r>
        <w:rPr>
          <w:rFonts w:ascii="Times New Roman" w:eastAsia="Times New Roman" w:hAnsi="Times New Roman" w:cs="Times New Roman"/>
          <w:i/>
          <w:iCs/>
          <w:lang w:val="hu-HU"/>
        </w:rPr>
        <w:t>képest</w:t>
      </w:r>
    </w:p>
    <w:p w14:paraId="546CC25B" w14:textId="77777777" w:rsidR="00130E8B" w:rsidRDefault="00130E8B">
      <w:pPr>
        <w:spacing w:before="1" w:line="180" w:lineRule="exact"/>
        <w:rPr>
          <w:sz w:val="18"/>
          <w:szCs w:val="18"/>
          <w:lang w:val="hu-HU"/>
        </w:rPr>
      </w:pPr>
    </w:p>
    <w:p w14:paraId="6B68FB2B" w14:textId="7B313457" w:rsidR="00130E8B" w:rsidRDefault="000405CC">
      <w:pPr>
        <w:pStyle w:val="a3"/>
        <w:rPr>
          <w:lang w:val="hu-HU"/>
        </w:rPr>
      </w:pPr>
      <w:r>
        <w:rPr>
          <w:rFonts w:eastAsia="Times New Roman"/>
          <w:lang w:val="hu-HU"/>
        </w:rPr>
        <w:t>Az RA</w:t>
      </w:r>
      <w:r w:rsidR="00B07467" w:rsidDel="00B07467">
        <w:rPr>
          <w:rFonts w:eastAsia="Times New Roman"/>
          <w:lang w:val="hu-HU"/>
        </w:rPr>
        <w:t xml:space="preserve"> </w:t>
      </w:r>
      <w:r>
        <w:rPr>
          <w:rFonts w:eastAsia="Times New Roman"/>
          <w:lang w:val="hu-HU"/>
        </w:rPr>
        <w:t xml:space="preserve">I-IV vizsgálatokban az ACR választ alkotó kritériumok (duzzadt és érzékeny ízületek száma, a beteg és az orvos értékelése a betegség aktivitásáról és a fájdalomról, rokkantsági index (HAQ), CRP (mg/ dl) értéke) mindegyike egyénileg is javulást mutatott 24 illetve 26 hét elteltével a </w:t>
      </w:r>
      <w:r w:rsidR="00011824">
        <w:rPr>
          <w:rFonts w:eastAsia="Times New Roman"/>
          <w:lang w:val="hu-HU"/>
        </w:rPr>
        <w:t>placebocsoport</w:t>
      </w:r>
      <w:r>
        <w:rPr>
          <w:rFonts w:eastAsia="Times New Roman"/>
          <w:lang w:val="hu-HU"/>
        </w:rPr>
        <w:t>hoz képest. A</w:t>
      </w:r>
      <w:r w:rsidR="00B07467">
        <w:rPr>
          <w:rFonts w:eastAsia="Times New Roman"/>
          <w:lang w:val="hu-HU"/>
        </w:rPr>
        <w:t>z RA</w:t>
      </w:r>
      <w:r w:rsidR="00B07467" w:rsidRPr="00522548">
        <w:rPr>
          <w:lang w:val="es-ES"/>
        </w:rPr>
        <w:t> </w:t>
      </w:r>
      <w:r>
        <w:rPr>
          <w:rFonts w:eastAsia="Times New Roman"/>
          <w:lang w:val="hu-HU"/>
        </w:rPr>
        <w:t>III vizsgálatban ez a javuló tendencia 52 héten át tartott.</w:t>
      </w:r>
    </w:p>
    <w:p w14:paraId="35787FDB" w14:textId="77777777" w:rsidR="00130E8B" w:rsidRDefault="00130E8B">
      <w:pPr>
        <w:spacing w:before="13" w:line="240" w:lineRule="exact"/>
        <w:rPr>
          <w:sz w:val="24"/>
          <w:szCs w:val="24"/>
          <w:lang w:val="hu-HU"/>
        </w:rPr>
      </w:pPr>
    </w:p>
    <w:p w14:paraId="6ACDC94D" w14:textId="4E19B3CD" w:rsidR="00130E8B" w:rsidRDefault="000405CC">
      <w:pPr>
        <w:pStyle w:val="a3"/>
        <w:rPr>
          <w:lang w:val="hu-HU"/>
        </w:rPr>
      </w:pPr>
      <w:r>
        <w:rPr>
          <w:rFonts w:eastAsia="Times New Roman"/>
          <w:lang w:val="hu-HU"/>
        </w:rPr>
        <w:t>Az</w:t>
      </w:r>
      <w:r w:rsidR="00B07467">
        <w:rPr>
          <w:rFonts w:eastAsia="Times New Roman"/>
          <w:lang w:val="hu-HU"/>
        </w:rPr>
        <w:t xml:space="preserve"> RA</w:t>
      </w:r>
      <w:r w:rsidR="00B07467" w:rsidDel="002A3904">
        <w:rPr>
          <w:rFonts w:eastAsia="Times New Roman"/>
          <w:lang w:val="hu-HU"/>
        </w:rPr>
        <w:t xml:space="preserve"> </w:t>
      </w:r>
      <w:r>
        <w:rPr>
          <w:rFonts w:eastAsia="Times New Roman"/>
          <w:lang w:val="hu-HU"/>
        </w:rPr>
        <w:t xml:space="preserve">III vizsgálat nyílt kiterjesztésének legfeljebb 10 éves követési fázisában az ACR-választ adó betegek többségénél fennmaradt a válaszA minden második héten adalimumabbal kezelt 207 beteg közül 114 beteg </w:t>
      </w:r>
      <w:r>
        <w:rPr>
          <w:rFonts w:eastAsia="Times New Roman"/>
          <w:lang w:val="hu-HU"/>
        </w:rPr>
        <w:lastRenderedPageBreak/>
        <w:t>folytatta a 2 hetenkénti 40 mg-os adalimumab-kezelést 5 éven keresztül. Közülük 86 (75,4%) mutatott ACR 20 választ, 72 beteg (63,2%) ACR 50 választ és 41 beteg (36%) ACR 70 választ. A 207 beteg közül 81 beteg folytatta a 2 hetenkénti 40 mg-os adalimumab-kezelést 10 éven keresztül. Közülük 64 (79,0%) mutatott ACR 20 választ, 56 beteg (69,1%) ACR 50 választ és 43 beteg (53,1%) ACR 70 választ.</w:t>
      </w:r>
    </w:p>
    <w:p w14:paraId="73B07985" w14:textId="77777777" w:rsidR="00130E8B" w:rsidRDefault="00130E8B">
      <w:pPr>
        <w:spacing w:before="17" w:line="240" w:lineRule="exact"/>
        <w:rPr>
          <w:sz w:val="24"/>
          <w:szCs w:val="24"/>
          <w:lang w:val="hu-HU"/>
        </w:rPr>
      </w:pPr>
    </w:p>
    <w:p w14:paraId="5432C88B" w14:textId="48F06F1D" w:rsidR="00130E8B" w:rsidRDefault="000405CC">
      <w:pPr>
        <w:pStyle w:val="a3"/>
        <w:rPr>
          <w:lang w:val="hu-HU"/>
        </w:rPr>
      </w:pPr>
      <w:r>
        <w:rPr>
          <w:rFonts w:eastAsia="Times New Roman"/>
          <w:lang w:val="hu-HU"/>
        </w:rPr>
        <w:t>Az RA</w:t>
      </w:r>
      <w:r w:rsidR="00B07467" w:rsidDel="002A3904">
        <w:rPr>
          <w:rFonts w:eastAsia="Times New Roman"/>
          <w:lang w:val="hu-HU"/>
        </w:rPr>
        <w:t xml:space="preserve"> </w:t>
      </w:r>
      <w:r>
        <w:rPr>
          <w:rFonts w:eastAsia="Times New Roman"/>
          <w:lang w:val="hu-HU"/>
        </w:rPr>
        <w:t>IV vizsgálatban, adalimumabbal és a standard terápiával kezelt betegek szignifikánsan jobb ACR 20 választ értek el mint a placebóval és a standard terápiával kezeltek (p &lt; 0,001).</w:t>
      </w:r>
    </w:p>
    <w:p w14:paraId="3B44659F" w14:textId="77777777" w:rsidR="00130E8B" w:rsidRDefault="00130E8B">
      <w:pPr>
        <w:spacing w:before="11" w:line="240" w:lineRule="exact"/>
        <w:rPr>
          <w:sz w:val="24"/>
          <w:szCs w:val="24"/>
          <w:lang w:val="hu-HU"/>
        </w:rPr>
      </w:pPr>
    </w:p>
    <w:p w14:paraId="49FB5888" w14:textId="4B9AB187" w:rsidR="00130E8B" w:rsidRDefault="000405CC">
      <w:pPr>
        <w:pStyle w:val="a3"/>
        <w:rPr>
          <w:lang w:val="hu-HU"/>
        </w:rPr>
      </w:pPr>
      <w:r>
        <w:rPr>
          <w:rFonts w:eastAsia="Times New Roman"/>
          <w:lang w:val="hu-HU"/>
        </w:rPr>
        <w:t>Az RA</w:t>
      </w:r>
      <w:r w:rsidR="00B07467" w:rsidDel="002A3904">
        <w:rPr>
          <w:rFonts w:eastAsia="Times New Roman"/>
          <w:lang w:val="hu-HU"/>
        </w:rPr>
        <w:t xml:space="preserve"> </w:t>
      </w:r>
      <w:r>
        <w:rPr>
          <w:rFonts w:eastAsia="Times New Roman"/>
          <w:lang w:val="hu-HU"/>
        </w:rPr>
        <w:t xml:space="preserve">I-IV vizsgálatban adalimumabbal kezelt betegek statisztikailag szignifikánsan jobb ACR 20- as és 50- es választ értek el a </w:t>
      </w:r>
      <w:r w:rsidR="00011824">
        <w:rPr>
          <w:rFonts w:eastAsia="Times New Roman"/>
          <w:lang w:val="hu-HU"/>
        </w:rPr>
        <w:t>placebocsoport</w:t>
      </w:r>
      <w:r>
        <w:rPr>
          <w:rFonts w:eastAsia="Times New Roman"/>
          <w:lang w:val="hu-HU"/>
        </w:rPr>
        <w:t>tal összehasonlítva, már egy vagy két héttel a vizsgálat kezdete után.</w:t>
      </w:r>
    </w:p>
    <w:p w14:paraId="4A803618" w14:textId="77777777" w:rsidR="00130E8B" w:rsidRDefault="00130E8B">
      <w:pPr>
        <w:pStyle w:val="a3"/>
        <w:rPr>
          <w:lang w:val="hu-HU"/>
        </w:rPr>
      </w:pPr>
    </w:p>
    <w:p w14:paraId="49258480" w14:textId="2679C66D" w:rsidR="00E91FF7" w:rsidRDefault="000405CC" w:rsidP="004B23C8">
      <w:pPr>
        <w:pStyle w:val="a3"/>
        <w:rPr>
          <w:rFonts w:eastAsia="Times New Roman"/>
          <w:b/>
          <w:bCs/>
          <w:lang w:val="hu-HU"/>
        </w:rPr>
      </w:pPr>
      <w:r>
        <w:rPr>
          <w:rFonts w:eastAsia="Times New Roman"/>
          <w:lang w:val="hu-HU"/>
        </w:rPr>
        <w:t xml:space="preserve">Az RA V vizsgálatban, amelybe korábbi metotrexát kezelés nélkül korai rheumatoid arthritises betegeket vontak be, a kombinációs kezelés metotrexáttal gyorsabb és jelentősen nagyobb ACR választ adott, mint a metotrexát, vagy az adalimumab monoterápia az 52. héten és a hatás fennmaradt a 104. hétig (lásd </w:t>
      </w:r>
      <w:r w:rsidR="00417A10">
        <w:rPr>
          <w:rFonts w:eastAsia="Times New Roman"/>
          <w:lang w:val="hu-HU"/>
        </w:rPr>
        <w:t>9</w:t>
      </w:r>
      <w:r>
        <w:rPr>
          <w:rFonts w:eastAsia="Times New Roman"/>
          <w:lang w:val="hu-HU"/>
        </w:rPr>
        <w:t>. táblázat).</w:t>
      </w:r>
    </w:p>
    <w:p w14:paraId="24EDE260" w14:textId="77777777" w:rsidR="00E91FF7" w:rsidRDefault="00E91FF7" w:rsidP="004B23C8">
      <w:pPr>
        <w:pStyle w:val="a3"/>
        <w:rPr>
          <w:rFonts w:eastAsia="Times New Roman"/>
          <w:b/>
          <w:bCs/>
          <w:lang w:val="hu-HU"/>
        </w:rPr>
      </w:pPr>
    </w:p>
    <w:p w14:paraId="4FC7042F" w14:textId="28BE004B" w:rsidR="00130E8B" w:rsidRDefault="00417A10" w:rsidP="004B23C8">
      <w:pPr>
        <w:pStyle w:val="a3"/>
        <w:jc w:val="center"/>
        <w:rPr>
          <w:b/>
          <w:lang w:val="hu-HU"/>
        </w:rPr>
      </w:pPr>
      <w:r>
        <w:rPr>
          <w:rFonts w:eastAsia="Times New Roman"/>
          <w:b/>
          <w:bCs/>
          <w:lang w:val="hu-HU"/>
        </w:rPr>
        <w:t>9</w:t>
      </w:r>
      <w:r w:rsidR="000405CC">
        <w:rPr>
          <w:rFonts w:eastAsia="Times New Roman"/>
          <w:b/>
          <w:bCs/>
          <w:lang w:val="hu-HU"/>
        </w:rPr>
        <w:t>. táblázat</w:t>
      </w:r>
    </w:p>
    <w:p w14:paraId="20F85B8A" w14:textId="7A7E086B" w:rsidR="00130E8B" w:rsidRDefault="000405CC">
      <w:pPr>
        <w:pStyle w:val="a3"/>
        <w:jc w:val="center"/>
        <w:rPr>
          <w:b/>
          <w:lang w:val="hu-HU"/>
        </w:rPr>
      </w:pPr>
      <w:r>
        <w:rPr>
          <w:rFonts w:eastAsia="Times New Roman"/>
          <w:b/>
          <w:bCs/>
          <w:lang w:val="hu-HU"/>
        </w:rPr>
        <w:t>ACR válasz az RA V vizsgálatban</w:t>
      </w:r>
    </w:p>
    <w:p w14:paraId="72DC7627" w14:textId="77777777" w:rsidR="00130E8B" w:rsidRDefault="000405CC">
      <w:pPr>
        <w:pStyle w:val="a3"/>
        <w:jc w:val="center"/>
        <w:rPr>
          <w:b/>
          <w:lang w:val="hu-HU"/>
        </w:rPr>
      </w:pPr>
      <w:r>
        <w:rPr>
          <w:rFonts w:eastAsia="Times New Roman"/>
          <w:b/>
          <w:bCs/>
          <w:lang w:val="hu-HU"/>
        </w:rPr>
        <w:t>(a betegek százaléka)</w:t>
      </w:r>
    </w:p>
    <w:p w14:paraId="0EAD98C7" w14:textId="77777777" w:rsidR="00130E8B" w:rsidRDefault="00130E8B">
      <w:pPr>
        <w:pStyle w:val="a3"/>
        <w:jc w:val="center"/>
        <w:rPr>
          <w:b/>
          <w:lang w:val="hu-HU"/>
        </w:rPr>
      </w:pPr>
    </w:p>
    <w:tbl>
      <w:tblPr>
        <w:tblStyle w:val="TableNormal1"/>
        <w:tblW w:w="0" w:type="auto"/>
        <w:tblInd w:w="184" w:type="dxa"/>
        <w:tblLayout w:type="fixed"/>
        <w:tblLook w:val="01E0" w:firstRow="1" w:lastRow="1" w:firstColumn="1" w:lastColumn="1" w:noHBand="0" w:noVBand="0"/>
      </w:tblPr>
      <w:tblGrid>
        <w:gridCol w:w="1366"/>
        <w:gridCol w:w="1275"/>
        <w:gridCol w:w="1276"/>
        <w:gridCol w:w="1985"/>
        <w:gridCol w:w="957"/>
        <w:gridCol w:w="1174"/>
        <w:gridCol w:w="1216"/>
      </w:tblGrid>
      <w:tr w:rsidR="00130E8B" w:rsidRPr="00CF5D7A" w14:paraId="7B2CEF5F" w14:textId="77777777" w:rsidTr="004E2591">
        <w:tc>
          <w:tcPr>
            <w:tcW w:w="1366" w:type="dxa"/>
            <w:tcBorders>
              <w:top w:val="single" w:sz="5" w:space="0" w:color="000000"/>
              <w:left w:val="single" w:sz="8" w:space="0" w:color="000000"/>
              <w:bottom w:val="single" w:sz="5" w:space="0" w:color="000000"/>
              <w:right w:val="single" w:sz="5" w:space="0" w:color="000000"/>
            </w:tcBorders>
            <w:vAlign w:val="center"/>
          </w:tcPr>
          <w:p w14:paraId="34CABF45" w14:textId="77777777" w:rsidR="00130E8B" w:rsidRPr="009167C6" w:rsidRDefault="00130E8B">
            <w:pPr>
              <w:pStyle w:val="TableParagraph"/>
              <w:spacing w:line="120" w:lineRule="exact"/>
              <w:jc w:val="center"/>
              <w:rPr>
                <w:lang w:val="hu-HU"/>
              </w:rPr>
            </w:pPr>
          </w:p>
          <w:p w14:paraId="61187DA6" w14:textId="77777777" w:rsidR="00130E8B" w:rsidRPr="00CF5D7A" w:rsidRDefault="000405CC">
            <w:pPr>
              <w:pStyle w:val="TableParagraph"/>
              <w:jc w:val="center"/>
              <w:rPr>
                <w:rFonts w:ascii="Times New Roman" w:eastAsia="Times New Roman" w:hAnsi="Times New Roman" w:cs="Times New Roman"/>
                <w:lang w:val="hu-HU"/>
              </w:rPr>
            </w:pPr>
            <w:r w:rsidRPr="00CF5D7A">
              <w:rPr>
                <w:rFonts w:ascii="Times New Roman" w:eastAsia="Times New Roman" w:hAnsi="Times New Roman" w:cs="Times New Roman"/>
                <w:b/>
                <w:bCs/>
                <w:spacing w:val="-1"/>
                <w:lang w:val="hu-HU"/>
              </w:rPr>
              <w:t>Válasz</w:t>
            </w:r>
          </w:p>
        </w:tc>
        <w:tc>
          <w:tcPr>
            <w:tcW w:w="1275" w:type="dxa"/>
            <w:tcBorders>
              <w:top w:val="single" w:sz="5" w:space="0" w:color="000000"/>
              <w:left w:val="single" w:sz="5" w:space="0" w:color="000000"/>
              <w:bottom w:val="single" w:sz="5" w:space="0" w:color="000000"/>
              <w:right w:val="single" w:sz="5" w:space="0" w:color="000000"/>
            </w:tcBorders>
            <w:vAlign w:val="center"/>
          </w:tcPr>
          <w:p w14:paraId="7C7F4A9D" w14:textId="77777777" w:rsidR="00417A10" w:rsidRDefault="000405CC">
            <w:pPr>
              <w:pStyle w:val="TableParagraph"/>
              <w:spacing w:line="252" w:lineRule="exact"/>
              <w:ind w:firstLine="33"/>
              <w:jc w:val="center"/>
              <w:rPr>
                <w:rFonts w:ascii="Times New Roman" w:eastAsia="Times New Roman" w:hAnsi="Times New Roman" w:cs="Times New Roman"/>
                <w:b/>
                <w:bCs/>
                <w:spacing w:val="-1"/>
                <w:lang w:val="hu-HU"/>
              </w:rPr>
            </w:pPr>
            <w:r w:rsidRPr="00CF5D7A">
              <w:rPr>
                <w:rFonts w:ascii="Times New Roman" w:eastAsia="Times New Roman" w:hAnsi="Times New Roman" w:cs="Times New Roman"/>
                <w:b/>
                <w:bCs/>
                <w:spacing w:val="-1"/>
                <w:lang w:val="hu-HU"/>
              </w:rPr>
              <w:t xml:space="preserve">MTX </w:t>
            </w:r>
          </w:p>
          <w:p w14:paraId="0399435E" w14:textId="44228CC5" w:rsidR="00130E8B" w:rsidRPr="00CF5D7A" w:rsidRDefault="000405CC">
            <w:pPr>
              <w:pStyle w:val="TableParagraph"/>
              <w:spacing w:line="252" w:lineRule="exact"/>
              <w:ind w:firstLine="33"/>
              <w:jc w:val="center"/>
              <w:rPr>
                <w:rFonts w:ascii="Times New Roman" w:eastAsia="Times New Roman" w:hAnsi="Times New Roman" w:cs="Times New Roman"/>
                <w:lang w:val="hu-HU"/>
              </w:rPr>
            </w:pPr>
            <w:r w:rsidRPr="00CF5D7A">
              <w:rPr>
                <w:rFonts w:ascii="Times New Roman" w:eastAsia="Times New Roman" w:hAnsi="Times New Roman" w:cs="Times New Roman"/>
                <w:b/>
                <w:bCs/>
                <w:spacing w:val="-1"/>
                <w:lang w:val="hu-HU"/>
              </w:rPr>
              <w:t>n=257</w:t>
            </w:r>
          </w:p>
        </w:tc>
        <w:tc>
          <w:tcPr>
            <w:tcW w:w="1276" w:type="dxa"/>
            <w:tcBorders>
              <w:top w:val="single" w:sz="5" w:space="0" w:color="000000"/>
              <w:left w:val="single" w:sz="5" w:space="0" w:color="000000"/>
              <w:bottom w:val="single" w:sz="5" w:space="0" w:color="000000"/>
              <w:right w:val="single" w:sz="5" w:space="0" w:color="000000"/>
            </w:tcBorders>
            <w:vAlign w:val="center"/>
          </w:tcPr>
          <w:p w14:paraId="29BA1C81" w14:textId="77777777" w:rsidR="00130E8B" w:rsidRPr="00CF5D7A" w:rsidRDefault="000405CC">
            <w:pPr>
              <w:pStyle w:val="TableParagraph"/>
              <w:spacing w:line="252" w:lineRule="exact"/>
              <w:ind w:hanging="84"/>
              <w:jc w:val="center"/>
              <w:rPr>
                <w:rFonts w:ascii="Times New Roman" w:eastAsia="Times New Roman" w:hAnsi="Times New Roman" w:cs="Times New Roman"/>
                <w:lang w:val="hu-HU"/>
              </w:rPr>
            </w:pPr>
            <w:r w:rsidRPr="00CF5D7A">
              <w:rPr>
                <w:rFonts w:ascii="Times New Roman" w:eastAsia="Times New Roman" w:hAnsi="Times New Roman" w:cs="Times New Roman"/>
                <w:b/>
                <w:bCs/>
                <w:lang w:val="hu-HU"/>
              </w:rPr>
              <w:t xml:space="preserve">  Adalimumab n=274</w:t>
            </w:r>
          </w:p>
        </w:tc>
        <w:tc>
          <w:tcPr>
            <w:tcW w:w="1985" w:type="dxa"/>
            <w:tcBorders>
              <w:top w:val="single" w:sz="5" w:space="0" w:color="000000"/>
              <w:left w:val="single" w:sz="5" w:space="0" w:color="000000"/>
              <w:bottom w:val="single" w:sz="5" w:space="0" w:color="000000"/>
              <w:right w:val="single" w:sz="5" w:space="0" w:color="000000"/>
            </w:tcBorders>
            <w:vAlign w:val="center"/>
          </w:tcPr>
          <w:p w14:paraId="5F6964F0" w14:textId="77777777" w:rsidR="009761A1" w:rsidRDefault="000405CC" w:rsidP="009761A1">
            <w:pPr>
              <w:pStyle w:val="TableParagraph"/>
              <w:spacing w:line="252" w:lineRule="exact"/>
              <w:jc w:val="center"/>
              <w:rPr>
                <w:rFonts w:ascii="Times New Roman" w:eastAsia="Times New Roman" w:hAnsi="Times New Roman" w:cs="Times New Roman"/>
                <w:b/>
                <w:bCs/>
                <w:spacing w:val="-1"/>
                <w:lang w:val="hu-HU"/>
              </w:rPr>
            </w:pPr>
            <w:r w:rsidRPr="00CF5D7A">
              <w:rPr>
                <w:rFonts w:ascii="Times New Roman" w:eastAsia="Times New Roman" w:hAnsi="Times New Roman" w:cs="Times New Roman"/>
                <w:b/>
                <w:bCs/>
                <w:spacing w:val="-1"/>
                <w:lang w:val="hu-HU"/>
              </w:rPr>
              <w:t>Adalimumab/MTX</w:t>
            </w:r>
          </w:p>
          <w:p w14:paraId="494D8A83" w14:textId="7C40DCF4" w:rsidR="00130E8B" w:rsidRPr="00CF5D7A" w:rsidRDefault="000405CC" w:rsidP="009761A1">
            <w:pPr>
              <w:pStyle w:val="TableParagraph"/>
              <w:spacing w:line="252" w:lineRule="exact"/>
              <w:jc w:val="center"/>
              <w:rPr>
                <w:rFonts w:ascii="Times New Roman" w:eastAsia="Times New Roman" w:hAnsi="Times New Roman" w:cs="Times New Roman"/>
                <w:lang w:val="hu-HU"/>
              </w:rPr>
            </w:pPr>
            <w:r w:rsidRPr="00CF5D7A">
              <w:rPr>
                <w:rFonts w:ascii="Times New Roman" w:eastAsia="Times New Roman" w:hAnsi="Times New Roman" w:cs="Times New Roman"/>
                <w:b/>
                <w:bCs/>
                <w:spacing w:val="-1"/>
                <w:lang w:val="hu-HU"/>
              </w:rPr>
              <w:t>n=268</w:t>
            </w:r>
          </w:p>
        </w:tc>
        <w:tc>
          <w:tcPr>
            <w:tcW w:w="957" w:type="dxa"/>
            <w:tcBorders>
              <w:top w:val="single" w:sz="5" w:space="0" w:color="000000"/>
              <w:left w:val="single" w:sz="5" w:space="0" w:color="000000"/>
              <w:bottom w:val="single" w:sz="5" w:space="0" w:color="000000"/>
              <w:right w:val="single" w:sz="5" w:space="0" w:color="000000"/>
            </w:tcBorders>
            <w:vAlign w:val="center"/>
          </w:tcPr>
          <w:p w14:paraId="3EC7A393" w14:textId="77777777" w:rsidR="00130E8B" w:rsidRPr="009167C6" w:rsidRDefault="000405CC">
            <w:pPr>
              <w:pStyle w:val="TableParagraph"/>
              <w:jc w:val="center"/>
              <w:rPr>
                <w:rFonts w:ascii="Times New Roman" w:eastAsia="Times New Roman" w:hAnsi="Times New Roman" w:cs="Times New Roman"/>
                <w:lang w:val="hu-HU"/>
              </w:rPr>
            </w:pPr>
            <w:r w:rsidRPr="00CF5D7A">
              <w:rPr>
                <w:rFonts w:ascii="Times New Roman" w:eastAsia="Times New Roman" w:hAnsi="Times New Roman" w:cs="Times New Roman"/>
                <w:b/>
                <w:bCs/>
                <w:spacing w:val="-1"/>
                <w:lang w:val="hu-HU"/>
              </w:rPr>
              <w:t>p-érték</w:t>
            </w:r>
            <w:r w:rsidRPr="009167C6">
              <w:rPr>
                <w:rFonts w:ascii="Times New Roman" w:eastAsia="Times New Roman" w:hAnsi="Times New Roman" w:cs="Times New Roman"/>
                <w:b/>
                <w:bCs/>
                <w:spacing w:val="-1"/>
                <w:vertAlign w:val="superscript"/>
                <w:lang w:val="hu-HU"/>
              </w:rPr>
              <w:t>a</w:t>
            </w:r>
          </w:p>
        </w:tc>
        <w:tc>
          <w:tcPr>
            <w:tcW w:w="1174" w:type="dxa"/>
            <w:tcBorders>
              <w:top w:val="single" w:sz="5" w:space="0" w:color="000000"/>
              <w:left w:val="single" w:sz="5" w:space="0" w:color="000000"/>
              <w:bottom w:val="single" w:sz="5" w:space="0" w:color="000000"/>
              <w:right w:val="single" w:sz="5" w:space="0" w:color="000000"/>
            </w:tcBorders>
            <w:vAlign w:val="center"/>
          </w:tcPr>
          <w:p w14:paraId="0BDB0C08" w14:textId="77777777" w:rsidR="00130E8B" w:rsidRPr="009167C6" w:rsidRDefault="000405CC">
            <w:pPr>
              <w:pStyle w:val="TableParagraph"/>
              <w:jc w:val="center"/>
              <w:rPr>
                <w:rFonts w:ascii="Times New Roman" w:eastAsia="Times New Roman" w:hAnsi="Times New Roman" w:cs="Times New Roman"/>
                <w:lang w:val="hu-HU"/>
              </w:rPr>
            </w:pPr>
            <w:r w:rsidRPr="00CF5D7A">
              <w:rPr>
                <w:rFonts w:ascii="Times New Roman" w:eastAsia="Times New Roman" w:hAnsi="Times New Roman" w:cs="Times New Roman"/>
                <w:b/>
                <w:bCs/>
                <w:spacing w:val="-1"/>
                <w:lang w:val="hu-HU"/>
              </w:rPr>
              <w:t>p-érték</w:t>
            </w:r>
            <w:r w:rsidRPr="009167C6">
              <w:rPr>
                <w:rFonts w:ascii="Times New Roman" w:eastAsia="Times New Roman" w:hAnsi="Times New Roman" w:cs="Times New Roman"/>
                <w:b/>
                <w:bCs/>
                <w:spacing w:val="-1"/>
                <w:vertAlign w:val="superscript"/>
                <w:lang w:val="hu-HU"/>
              </w:rPr>
              <w:t>b</w:t>
            </w:r>
          </w:p>
        </w:tc>
        <w:tc>
          <w:tcPr>
            <w:tcW w:w="1216" w:type="dxa"/>
            <w:tcBorders>
              <w:top w:val="single" w:sz="5" w:space="0" w:color="000000"/>
              <w:left w:val="single" w:sz="5" w:space="0" w:color="000000"/>
              <w:bottom w:val="single" w:sz="5" w:space="0" w:color="000000"/>
              <w:right w:val="single" w:sz="9" w:space="0" w:color="000000"/>
            </w:tcBorders>
            <w:vAlign w:val="center"/>
          </w:tcPr>
          <w:p w14:paraId="6D694946" w14:textId="77777777" w:rsidR="00130E8B" w:rsidRPr="009167C6" w:rsidRDefault="000405CC">
            <w:pPr>
              <w:pStyle w:val="TableParagraph"/>
              <w:jc w:val="center"/>
              <w:rPr>
                <w:rFonts w:ascii="Times New Roman" w:eastAsia="Times New Roman" w:hAnsi="Times New Roman" w:cs="Times New Roman"/>
                <w:lang w:val="hu-HU"/>
              </w:rPr>
            </w:pPr>
            <w:r w:rsidRPr="00CF5D7A">
              <w:rPr>
                <w:rFonts w:ascii="Times New Roman" w:eastAsia="Times New Roman" w:hAnsi="Times New Roman" w:cs="Times New Roman"/>
                <w:b/>
                <w:bCs/>
                <w:spacing w:val="-1"/>
                <w:lang w:val="hu-HU"/>
              </w:rPr>
              <w:t>p-érték</w:t>
            </w:r>
            <w:r w:rsidRPr="009167C6">
              <w:rPr>
                <w:rFonts w:ascii="Times New Roman" w:eastAsia="Times New Roman" w:hAnsi="Times New Roman" w:cs="Times New Roman"/>
                <w:b/>
                <w:bCs/>
                <w:spacing w:val="-1"/>
                <w:vertAlign w:val="superscript"/>
                <w:lang w:val="hu-HU"/>
              </w:rPr>
              <w:t>c</w:t>
            </w:r>
          </w:p>
        </w:tc>
      </w:tr>
      <w:tr w:rsidR="00130E8B" w:rsidRPr="00CF5D7A" w14:paraId="3350A9FC" w14:textId="77777777" w:rsidTr="004E2591">
        <w:tc>
          <w:tcPr>
            <w:tcW w:w="9249" w:type="dxa"/>
            <w:gridSpan w:val="7"/>
            <w:tcBorders>
              <w:top w:val="single" w:sz="5" w:space="0" w:color="000000"/>
              <w:left w:val="single" w:sz="8" w:space="0" w:color="000000"/>
              <w:bottom w:val="single" w:sz="5" w:space="0" w:color="000000"/>
              <w:right w:val="single" w:sz="9" w:space="0" w:color="000000"/>
            </w:tcBorders>
          </w:tcPr>
          <w:p w14:paraId="05E813EA" w14:textId="77777777" w:rsidR="00130E8B" w:rsidRPr="00CF5D7A" w:rsidRDefault="000405CC">
            <w:pPr>
              <w:rPr>
                <w:lang w:val="hu-HU"/>
              </w:rPr>
            </w:pPr>
            <w:r w:rsidRPr="00CF5D7A">
              <w:rPr>
                <w:rFonts w:ascii="Times New Roman" w:eastAsia="Times New Roman" w:hAnsi="Times New Roman" w:cs="Times New Roman"/>
                <w:spacing w:val="-1"/>
                <w:lang w:val="hu-HU"/>
              </w:rPr>
              <w:t>ACR 20</w:t>
            </w:r>
          </w:p>
        </w:tc>
      </w:tr>
      <w:tr w:rsidR="00130E8B" w:rsidRPr="00CF5D7A" w14:paraId="7F542952" w14:textId="77777777" w:rsidTr="004E2591">
        <w:tc>
          <w:tcPr>
            <w:tcW w:w="1366" w:type="dxa"/>
            <w:tcBorders>
              <w:top w:val="single" w:sz="5" w:space="0" w:color="000000"/>
              <w:left w:val="single" w:sz="8" w:space="0" w:color="000000"/>
              <w:bottom w:val="single" w:sz="5" w:space="0" w:color="000000"/>
              <w:right w:val="single" w:sz="5" w:space="0" w:color="000000"/>
            </w:tcBorders>
          </w:tcPr>
          <w:p w14:paraId="3896084E" w14:textId="77777777" w:rsidR="00130E8B" w:rsidRPr="00CF5D7A" w:rsidRDefault="000405CC">
            <w:pPr>
              <w:pStyle w:val="TableParagraph"/>
              <w:spacing w:line="248"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52. hét</w:t>
            </w:r>
          </w:p>
        </w:tc>
        <w:tc>
          <w:tcPr>
            <w:tcW w:w="1275" w:type="dxa"/>
            <w:tcBorders>
              <w:top w:val="single" w:sz="5" w:space="0" w:color="000000"/>
              <w:left w:val="single" w:sz="5" w:space="0" w:color="000000"/>
              <w:bottom w:val="single" w:sz="5" w:space="0" w:color="000000"/>
              <w:right w:val="single" w:sz="5" w:space="0" w:color="000000"/>
            </w:tcBorders>
          </w:tcPr>
          <w:p w14:paraId="6EC9776B" w14:textId="77777777" w:rsidR="00130E8B" w:rsidRPr="00CF5D7A" w:rsidRDefault="000405CC">
            <w:pPr>
              <w:pStyle w:val="TableParagraph"/>
              <w:spacing w:line="248"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62,6%</w:t>
            </w:r>
          </w:p>
        </w:tc>
        <w:tc>
          <w:tcPr>
            <w:tcW w:w="1276" w:type="dxa"/>
            <w:tcBorders>
              <w:top w:val="single" w:sz="5" w:space="0" w:color="000000"/>
              <w:left w:val="single" w:sz="5" w:space="0" w:color="000000"/>
              <w:bottom w:val="single" w:sz="5" w:space="0" w:color="000000"/>
              <w:right w:val="single" w:sz="5" w:space="0" w:color="000000"/>
            </w:tcBorders>
          </w:tcPr>
          <w:p w14:paraId="41F730F8" w14:textId="77777777" w:rsidR="00130E8B" w:rsidRPr="00CF5D7A" w:rsidRDefault="000405CC">
            <w:pPr>
              <w:pStyle w:val="TableParagraph"/>
              <w:spacing w:line="248"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54,4%</w:t>
            </w:r>
          </w:p>
        </w:tc>
        <w:tc>
          <w:tcPr>
            <w:tcW w:w="1985" w:type="dxa"/>
            <w:tcBorders>
              <w:top w:val="single" w:sz="5" w:space="0" w:color="000000"/>
              <w:left w:val="single" w:sz="5" w:space="0" w:color="000000"/>
              <w:bottom w:val="single" w:sz="5" w:space="0" w:color="000000"/>
              <w:right w:val="single" w:sz="5" w:space="0" w:color="000000"/>
            </w:tcBorders>
          </w:tcPr>
          <w:p w14:paraId="431E5F8D" w14:textId="77777777" w:rsidR="00130E8B" w:rsidRPr="00CF5D7A" w:rsidRDefault="000405CC" w:rsidP="009761A1">
            <w:pPr>
              <w:pStyle w:val="TableParagraph"/>
              <w:spacing w:line="248"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72,8%</w:t>
            </w:r>
          </w:p>
        </w:tc>
        <w:tc>
          <w:tcPr>
            <w:tcW w:w="957" w:type="dxa"/>
            <w:tcBorders>
              <w:top w:val="single" w:sz="5" w:space="0" w:color="000000"/>
              <w:left w:val="single" w:sz="5" w:space="0" w:color="000000"/>
              <w:bottom w:val="single" w:sz="5" w:space="0" w:color="000000"/>
              <w:right w:val="single" w:sz="5" w:space="0" w:color="000000"/>
            </w:tcBorders>
          </w:tcPr>
          <w:p w14:paraId="7F448CAB" w14:textId="77777777" w:rsidR="00130E8B" w:rsidRPr="00CF5D7A" w:rsidRDefault="000405CC" w:rsidP="004E2591">
            <w:pPr>
              <w:pStyle w:val="TableParagraph"/>
              <w:spacing w:line="248"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0,013</w:t>
            </w:r>
          </w:p>
        </w:tc>
        <w:tc>
          <w:tcPr>
            <w:tcW w:w="1174" w:type="dxa"/>
            <w:tcBorders>
              <w:top w:val="single" w:sz="5" w:space="0" w:color="000000"/>
              <w:left w:val="single" w:sz="5" w:space="0" w:color="000000"/>
              <w:bottom w:val="single" w:sz="5" w:space="0" w:color="000000"/>
              <w:right w:val="single" w:sz="5" w:space="0" w:color="000000"/>
            </w:tcBorders>
          </w:tcPr>
          <w:p w14:paraId="03D58445" w14:textId="77777777" w:rsidR="00130E8B" w:rsidRPr="00CF5D7A" w:rsidRDefault="000405CC">
            <w:pPr>
              <w:pStyle w:val="TableParagraph"/>
              <w:spacing w:line="248" w:lineRule="exact"/>
              <w:ind w:left="243"/>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216" w:type="dxa"/>
            <w:tcBorders>
              <w:top w:val="single" w:sz="5" w:space="0" w:color="000000"/>
              <w:left w:val="single" w:sz="5" w:space="0" w:color="000000"/>
              <w:bottom w:val="single" w:sz="5" w:space="0" w:color="000000"/>
              <w:right w:val="single" w:sz="9" w:space="0" w:color="000000"/>
            </w:tcBorders>
          </w:tcPr>
          <w:p w14:paraId="31400031" w14:textId="77777777" w:rsidR="00130E8B" w:rsidRPr="00CF5D7A" w:rsidRDefault="000405CC">
            <w:pPr>
              <w:pStyle w:val="TableParagraph"/>
              <w:spacing w:line="248" w:lineRule="exact"/>
              <w:ind w:left="351"/>
              <w:rPr>
                <w:rFonts w:ascii="Times New Roman" w:eastAsia="Times New Roman" w:hAnsi="Times New Roman" w:cs="Times New Roman"/>
                <w:lang w:val="hu-HU"/>
              </w:rPr>
            </w:pPr>
            <w:r w:rsidRPr="00CF5D7A">
              <w:rPr>
                <w:rFonts w:ascii="Times New Roman" w:eastAsia="Times New Roman" w:hAnsi="Times New Roman" w:cs="Times New Roman"/>
                <w:lang w:val="hu-HU"/>
              </w:rPr>
              <w:t>0,043</w:t>
            </w:r>
          </w:p>
        </w:tc>
      </w:tr>
      <w:tr w:rsidR="00130E8B" w:rsidRPr="00CF5D7A" w14:paraId="14B1792A" w14:textId="77777777" w:rsidTr="004E2591">
        <w:tc>
          <w:tcPr>
            <w:tcW w:w="1366" w:type="dxa"/>
            <w:tcBorders>
              <w:top w:val="single" w:sz="5" w:space="0" w:color="000000"/>
              <w:left w:val="single" w:sz="8" w:space="0" w:color="000000"/>
              <w:bottom w:val="single" w:sz="5" w:space="0" w:color="000000"/>
              <w:right w:val="single" w:sz="5" w:space="0" w:color="000000"/>
            </w:tcBorders>
          </w:tcPr>
          <w:p w14:paraId="5AC2209B" w14:textId="77777777" w:rsidR="00130E8B" w:rsidRPr="00CF5D7A" w:rsidRDefault="000405CC">
            <w:pPr>
              <w:pStyle w:val="TableParagraph"/>
              <w:spacing w:line="248"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104. hét</w:t>
            </w:r>
          </w:p>
        </w:tc>
        <w:tc>
          <w:tcPr>
            <w:tcW w:w="1275" w:type="dxa"/>
            <w:tcBorders>
              <w:top w:val="single" w:sz="5" w:space="0" w:color="000000"/>
              <w:left w:val="single" w:sz="5" w:space="0" w:color="000000"/>
              <w:bottom w:val="single" w:sz="5" w:space="0" w:color="000000"/>
              <w:right w:val="single" w:sz="5" w:space="0" w:color="000000"/>
            </w:tcBorders>
          </w:tcPr>
          <w:p w14:paraId="6469B0D9" w14:textId="77777777" w:rsidR="00130E8B" w:rsidRPr="00CF5D7A" w:rsidRDefault="000405CC">
            <w:pPr>
              <w:pStyle w:val="TableParagraph"/>
              <w:spacing w:line="248"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56,0%</w:t>
            </w:r>
          </w:p>
        </w:tc>
        <w:tc>
          <w:tcPr>
            <w:tcW w:w="1276" w:type="dxa"/>
            <w:tcBorders>
              <w:top w:val="single" w:sz="5" w:space="0" w:color="000000"/>
              <w:left w:val="single" w:sz="5" w:space="0" w:color="000000"/>
              <w:bottom w:val="single" w:sz="5" w:space="0" w:color="000000"/>
              <w:right w:val="single" w:sz="5" w:space="0" w:color="000000"/>
            </w:tcBorders>
          </w:tcPr>
          <w:p w14:paraId="45B26D2B" w14:textId="77777777" w:rsidR="00130E8B" w:rsidRPr="00CF5D7A" w:rsidRDefault="000405CC">
            <w:pPr>
              <w:pStyle w:val="TableParagraph"/>
              <w:spacing w:line="248"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49,3%</w:t>
            </w:r>
          </w:p>
        </w:tc>
        <w:tc>
          <w:tcPr>
            <w:tcW w:w="1985" w:type="dxa"/>
            <w:tcBorders>
              <w:top w:val="single" w:sz="5" w:space="0" w:color="000000"/>
              <w:left w:val="single" w:sz="5" w:space="0" w:color="000000"/>
              <w:bottom w:val="single" w:sz="5" w:space="0" w:color="000000"/>
              <w:right w:val="single" w:sz="5" w:space="0" w:color="000000"/>
            </w:tcBorders>
          </w:tcPr>
          <w:p w14:paraId="6912D985" w14:textId="77777777" w:rsidR="00130E8B" w:rsidRPr="00CF5D7A" w:rsidRDefault="000405CC" w:rsidP="009761A1">
            <w:pPr>
              <w:pStyle w:val="TableParagraph"/>
              <w:spacing w:line="248"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69,4%</w:t>
            </w:r>
          </w:p>
        </w:tc>
        <w:tc>
          <w:tcPr>
            <w:tcW w:w="957" w:type="dxa"/>
            <w:tcBorders>
              <w:top w:val="single" w:sz="5" w:space="0" w:color="000000"/>
              <w:left w:val="single" w:sz="5" w:space="0" w:color="000000"/>
              <w:bottom w:val="single" w:sz="5" w:space="0" w:color="000000"/>
              <w:right w:val="single" w:sz="5" w:space="0" w:color="000000"/>
            </w:tcBorders>
          </w:tcPr>
          <w:p w14:paraId="132FA76C" w14:textId="77777777" w:rsidR="00130E8B" w:rsidRPr="00CF5D7A" w:rsidRDefault="000405CC" w:rsidP="004E2591">
            <w:pPr>
              <w:pStyle w:val="TableParagraph"/>
              <w:spacing w:line="248"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0,002</w:t>
            </w:r>
          </w:p>
        </w:tc>
        <w:tc>
          <w:tcPr>
            <w:tcW w:w="1174" w:type="dxa"/>
            <w:tcBorders>
              <w:top w:val="single" w:sz="5" w:space="0" w:color="000000"/>
              <w:left w:val="single" w:sz="5" w:space="0" w:color="000000"/>
              <w:bottom w:val="single" w:sz="5" w:space="0" w:color="000000"/>
              <w:right w:val="single" w:sz="5" w:space="0" w:color="000000"/>
            </w:tcBorders>
          </w:tcPr>
          <w:p w14:paraId="2636A77D" w14:textId="77777777" w:rsidR="00130E8B" w:rsidRPr="00CF5D7A" w:rsidRDefault="000405CC">
            <w:pPr>
              <w:pStyle w:val="TableParagraph"/>
              <w:spacing w:line="248" w:lineRule="exact"/>
              <w:ind w:left="243"/>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216" w:type="dxa"/>
            <w:tcBorders>
              <w:top w:val="single" w:sz="5" w:space="0" w:color="000000"/>
              <w:left w:val="single" w:sz="5" w:space="0" w:color="000000"/>
              <w:bottom w:val="single" w:sz="5" w:space="0" w:color="000000"/>
              <w:right w:val="single" w:sz="9" w:space="0" w:color="000000"/>
            </w:tcBorders>
          </w:tcPr>
          <w:p w14:paraId="19C4244E" w14:textId="77777777" w:rsidR="00130E8B" w:rsidRPr="00CF5D7A" w:rsidRDefault="000405CC">
            <w:pPr>
              <w:pStyle w:val="TableParagraph"/>
              <w:spacing w:line="248" w:lineRule="exact"/>
              <w:ind w:left="351"/>
              <w:rPr>
                <w:rFonts w:ascii="Times New Roman" w:eastAsia="Times New Roman" w:hAnsi="Times New Roman" w:cs="Times New Roman"/>
                <w:lang w:val="hu-HU"/>
              </w:rPr>
            </w:pPr>
            <w:r w:rsidRPr="00CF5D7A">
              <w:rPr>
                <w:rFonts w:ascii="Times New Roman" w:eastAsia="Times New Roman" w:hAnsi="Times New Roman" w:cs="Times New Roman"/>
                <w:lang w:val="hu-HU"/>
              </w:rPr>
              <w:t>0,140</w:t>
            </w:r>
          </w:p>
        </w:tc>
      </w:tr>
      <w:tr w:rsidR="00130E8B" w:rsidRPr="00CF5D7A" w14:paraId="4FC3A138" w14:textId="77777777" w:rsidTr="004E2591">
        <w:tc>
          <w:tcPr>
            <w:tcW w:w="9249" w:type="dxa"/>
            <w:gridSpan w:val="7"/>
            <w:tcBorders>
              <w:top w:val="single" w:sz="5" w:space="0" w:color="000000"/>
              <w:left w:val="single" w:sz="8" w:space="0" w:color="000000"/>
              <w:bottom w:val="single" w:sz="5" w:space="0" w:color="000000"/>
              <w:right w:val="single" w:sz="9" w:space="0" w:color="000000"/>
            </w:tcBorders>
          </w:tcPr>
          <w:p w14:paraId="7781F5E7" w14:textId="77777777" w:rsidR="00130E8B" w:rsidRPr="00CF5D7A" w:rsidRDefault="000405CC">
            <w:pPr>
              <w:rPr>
                <w:lang w:val="hu-HU"/>
              </w:rPr>
            </w:pPr>
            <w:r w:rsidRPr="00CF5D7A">
              <w:rPr>
                <w:rFonts w:ascii="Times New Roman" w:eastAsia="Times New Roman" w:hAnsi="Times New Roman" w:cs="Times New Roman"/>
                <w:spacing w:val="-1"/>
                <w:lang w:val="hu-HU"/>
              </w:rPr>
              <w:t>ACR 50</w:t>
            </w:r>
          </w:p>
        </w:tc>
      </w:tr>
      <w:tr w:rsidR="00130E8B" w:rsidRPr="00CF5D7A" w14:paraId="2E53CE2F" w14:textId="77777777" w:rsidTr="004E2591">
        <w:tc>
          <w:tcPr>
            <w:tcW w:w="1366" w:type="dxa"/>
            <w:tcBorders>
              <w:top w:val="single" w:sz="5" w:space="0" w:color="000000"/>
              <w:left w:val="single" w:sz="8" w:space="0" w:color="000000"/>
              <w:bottom w:val="single" w:sz="5" w:space="0" w:color="000000"/>
              <w:right w:val="single" w:sz="5" w:space="0" w:color="000000"/>
            </w:tcBorders>
          </w:tcPr>
          <w:p w14:paraId="1F0CB664" w14:textId="77777777" w:rsidR="00130E8B" w:rsidRPr="00CF5D7A" w:rsidRDefault="000405CC">
            <w:pPr>
              <w:pStyle w:val="TableParagraph"/>
              <w:spacing w:line="246"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52. hét</w:t>
            </w:r>
          </w:p>
        </w:tc>
        <w:tc>
          <w:tcPr>
            <w:tcW w:w="1275" w:type="dxa"/>
            <w:tcBorders>
              <w:top w:val="single" w:sz="5" w:space="0" w:color="000000"/>
              <w:left w:val="single" w:sz="5" w:space="0" w:color="000000"/>
              <w:bottom w:val="single" w:sz="5" w:space="0" w:color="000000"/>
              <w:right w:val="single" w:sz="5" w:space="0" w:color="000000"/>
            </w:tcBorders>
          </w:tcPr>
          <w:p w14:paraId="45BDD406" w14:textId="77777777" w:rsidR="00130E8B" w:rsidRPr="00CF5D7A" w:rsidRDefault="000405CC">
            <w:pPr>
              <w:pStyle w:val="TableParagraph"/>
              <w:spacing w:line="246"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45,9%</w:t>
            </w:r>
          </w:p>
        </w:tc>
        <w:tc>
          <w:tcPr>
            <w:tcW w:w="1276" w:type="dxa"/>
            <w:tcBorders>
              <w:top w:val="single" w:sz="5" w:space="0" w:color="000000"/>
              <w:left w:val="single" w:sz="5" w:space="0" w:color="000000"/>
              <w:bottom w:val="single" w:sz="5" w:space="0" w:color="000000"/>
              <w:right w:val="single" w:sz="5" w:space="0" w:color="000000"/>
            </w:tcBorders>
          </w:tcPr>
          <w:p w14:paraId="1E7BBEC7" w14:textId="77777777" w:rsidR="00130E8B" w:rsidRPr="00CF5D7A" w:rsidRDefault="000405CC">
            <w:pPr>
              <w:pStyle w:val="TableParagraph"/>
              <w:spacing w:line="246"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41,2%</w:t>
            </w:r>
          </w:p>
        </w:tc>
        <w:tc>
          <w:tcPr>
            <w:tcW w:w="1985" w:type="dxa"/>
            <w:tcBorders>
              <w:top w:val="single" w:sz="5" w:space="0" w:color="000000"/>
              <w:left w:val="single" w:sz="5" w:space="0" w:color="000000"/>
              <w:bottom w:val="single" w:sz="5" w:space="0" w:color="000000"/>
              <w:right w:val="single" w:sz="5" w:space="0" w:color="000000"/>
            </w:tcBorders>
          </w:tcPr>
          <w:p w14:paraId="0C528E8B" w14:textId="77777777" w:rsidR="00130E8B" w:rsidRPr="00CF5D7A" w:rsidRDefault="000405CC" w:rsidP="009761A1">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61,6%</w:t>
            </w:r>
          </w:p>
        </w:tc>
        <w:tc>
          <w:tcPr>
            <w:tcW w:w="957" w:type="dxa"/>
            <w:tcBorders>
              <w:top w:val="single" w:sz="5" w:space="0" w:color="000000"/>
              <w:left w:val="single" w:sz="5" w:space="0" w:color="000000"/>
              <w:bottom w:val="single" w:sz="5" w:space="0" w:color="000000"/>
              <w:right w:val="single" w:sz="5" w:space="0" w:color="000000"/>
            </w:tcBorders>
          </w:tcPr>
          <w:p w14:paraId="56333174" w14:textId="77777777" w:rsidR="00130E8B" w:rsidRPr="00CF5D7A" w:rsidRDefault="000405CC" w:rsidP="004E2591">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174" w:type="dxa"/>
            <w:tcBorders>
              <w:top w:val="single" w:sz="5" w:space="0" w:color="000000"/>
              <w:left w:val="single" w:sz="5" w:space="0" w:color="000000"/>
              <w:bottom w:val="single" w:sz="5" w:space="0" w:color="000000"/>
              <w:right w:val="single" w:sz="5" w:space="0" w:color="000000"/>
            </w:tcBorders>
          </w:tcPr>
          <w:p w14:paraId="04FD0982" w14:textId="77777777" w:rsidR="00130E8B" w:rsidRPr="00CF5D7A" w:rsidRDefault="000405CC">
            <w:pPr>
              <w:pStyle w:val="TableParagraph"/>
              <w:spacing w:line="246" w:lineRule="exact"/>
              <w:ind w:left="243"/>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216" w:type="dxa"/>
            <w:tcBorders>
              <w:top w:val="single" w:sz="5" w:space="0" w:color="000000"/>
              <w:left w:val="single" w:sz="5" w:space="0" w:color="000000"/>
              <w:bottom w:val="single" w:sz="5" w:space="0" w:color="000000"/>
              <w:right w:val="single" w:sz="9" w:space="0" w:color="000000"/>
            </w:tcBorders>
          </w:tcPr>
          <w:p w14:paraId="7A6275F2" w14:textId="77777777" w:rsidR="00130E8B" w:rsidRPr="00CF5D7A" w:rsidRDefault="000405CC">
            <w:pPr>
              <w:pStyle w:val="TableParagraph"/>
              <w:spacing w:line="246" w:lineRule="exact"/>
              <w:ind w:left="351"/>
              <w:rPr>
                <w:rFonts w:ascii="Times New Roman" w:eastAsia="Times New Roman" w:hAnsi="Times New Roman" w:cs="Times New Roman"/>
                <w:lang w:val="hu-HU"/>
              </w:rPr>
            </w:pPr>
            <w:r w:rsidRPr="00CF5D7A">
              <w:rPr>
                <w:rFonts w:ascii="Times New Roman" w:eastAsia="Times New Roman" w:hAnsi="Times New Roman" w:cs="Times New Roman"/>
                <w:lang w:val="hu-HU"/>
              </w:rPr>
              <w:t>0,317</w:t>
            </w:r>
          </w:p>
        </w:tc>
      </w:tr>
      <w:tr w:rsidR="00130E8B" w:rsidRPr="00CF5D7A" w14:paraId="6C61A9D4" w14:textId="77777777" w:rsidTr="004E2591">
        <w:tc>
          <w:tcPr>
            <w:tcW w:w="1366" w:type="dxa"/>
            <w:tcBorders>
              <w:top w:val="single" w:sz="5" w:space="0" w:color="000000"/>
              <w:left w:val="single" w:sz="8" w:space="0" w:color="000000"/>
              <w:bottom w:val="single" w:sz="5" w:space="0" w:color="000000"/>
              <w:right w:val="single" w:sz="5" w:space="0" w:color="000000"/>
            </w:tcBorders>
          </w:tcPr>
          <w:p w14:paraId="6019B1EC" w14:textId="77777777" w:rsidR="00130E8B" w:rsidRPr="00CF5D7A" w:rsidRDefault="000405CC">
            <w:pPr>
              <w:pStyle w:val="TableParagraph"/>
              <w:spacing w:line="246"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104. hét</w:t>
            </w:r>
          </w:p>
        </w:tc>
        <w:tc>
          <w:tcPr>
            <w:tcW w:w="1275" w:type="dxa"/>
            <w:tcBorders>
              <w:top w:val="single" w:sz="5" w:space="0" w:color="000000"/>
              <w:left w:val="single" w:sz="5" w:space="0" w:color="000000"/>
              <w:bottom w:val="single" w:sz="5" w:space="0" w:color="000000"/>
              <w:right w:val="single" w:sz="5" w:space="0" w:color="000000"/>
            </w:tcBorders>
          </w:tcPr>
          <w:p w14:paraId="54CB8433" w14:textId="77777777" w:rsidR="00130E8B" w:rsidRPr="00CF5D7A" w:rsidRDefault="000405CC">
            <w:pPr>
              <w:pStyle w:val="TableParagraph"/>
              <w:spacing w:line="246"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42,8%</w:t>
            </w:r>
          </w:p>
        </w:tc>
        <w:tc>
          <w:tcPr>
            <w:tcW w:w="1276" w:type="dxa"/>
            <w:tcBorders>
              <w:top w:val="single" w:sz="5" w:space="0" w:color="000000"/>
              <w:left w:val="single" w:sz="5" w:space="0" w:color="000000"/>
              <w:bottom w:val="single" w:sz="5" w:space="0" w:color="000000"/>
              <w:right w:val="single" w:sz="5" w:space="0" w:color="000000"/>
            </w:tcBorders>
          </w:tcPr>
          <w:p w14:paraId="1E9B6DB9" w14:textId="77777777" w:rsidR="00130E8B" w:rsidRPr="00CF5D7A" w:rsidRDefault="000405CC">
            <w:pPr>
              <w:pStyle w:val="TableParagraph"/>
              <w:spacing w:line="246"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36,9%</w:t>
            </w:r>
          </w:p>
        </w:tc>
        <w:tc>
          <w:tcPr>
            <w:tcW w:w="1985" w:type="dxa"/>
            <w:tcBorders>
              <w:top w:val="single" w:sz="5" w:space="0" w:color="000000"/>
              <w:left w:val="single" w:sz="5" w:space="0" w:color="000000"/>
              <w:bottom w:val="single" w:sz="5" w:space="0" w:color="000000"/>
              <w:right w:val="single" w:sz="5" w:space="0" w:color="000000"/>
            </w:tcBorders>
          </w:tcPr>
          <w:p w14:paraId="4BCD19D7" w14:textId="77777777" w:rsidR="00130E8B" w:rsidRPr="00CF5D7A" w:rsidRDefault="000405CC" w:rsidP="009761A1">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59,0%</w:t>
            </w:r>
          </w:p>
        </w:tc>
        <w:tc>
          <w:tcPr>
            <w:tcW w:w="957" w:type="dxa"/>
            <w:tcBorders>
              <w:top w:val="single" w:sz="5" w:space="0" w:color="000000"/>
              <w:left w:val="single" w:sz="5" w:space="0" w:color="000000"/>
              <w:bottom w:val="single" w:sz="5" w:space="0" w:color="000000"/>
              <w:right w:val="single" w:sz="5" w:space="0" w:color="000000"/>
            </w:tcBorders>
          </w:tcPr>
          <w:p w14:paraId="16651976" w14:textId="77777777" w:rsidR="00130E8B" w:rsidRPr="00CF5D7A" w:rsidRDefault="000405CC" w:rsidP="004E2591">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174" w:type="dxa"/>
            <w:tcBorders>
              <w:top w:val="single" w:sz="5" w:space="0" w:color="000000"/>
              <w:left w:val="single" w:sz="5" w:space="0" w:color="000000"/>
              <w:bottom w:val="single" w:sz="5" w:space="0" w:color="000000"/>
              <w:right w:val="single" w:sz="5" w:space="0" w:color="000000"/>
            </w:tcBorders>
          </w:tcPr>
          <w:p w14:paraId="3F8E7ADD" w14:textId="77777777" w:rsidR="00130E8B" w:rsidRPr="00CF5D7A" w:rsidRDefault="000405CC">
            <w:pPr>
              <w:pStyle w:val="TableParagraph"/>
              <w:spacing w:line="246" w:lineRule="exact"/>
              <w:ind w:left="243"/>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216" w:type="dxa"/>
            <w:tcBorders>
              <w:top w:val="single" w:sz="5" w:space="0" w:color="000000"/>
              <w:left w:val="single" w:sz="5" w:space="0" w:color="000000"/>
              <w:bottom w:val="single" w:sz="5" w:space="0" w:color="000000"/>
              <w:right w:val="single" w:sz="9" w:space="0" w:color="000000"/>
            </w:tcBorders>
          </w:tcPr>
          <w:p w14:paraId="580C5690" w14:textId="77777777" w:rsidR="00130E8B" w:rsidRPr="00CF5D7A" w:rsidRDefault="000405CC">
            <w:pPr>
              <w:pStyle w:val="TableParagraph"/>
              <w:spacing w:line="246" w:lineRule="exact"/>
              <w:ind w:left="351"/>
              <w:rPr>
                <w:rFonts w:ascii="Times New Roman" w:eastAsia="Times New Roman" w:hAnsi="Times New Roman" w:cs="Times New Roman"/>
                <w:lang w:val="hu-HU"/>
              </w:rPr>
            </w:pPr>
            <w:r w:rsidRPr="00CF5D7A">
              <w:rPr>
                <w:rFonts w:ascii="Times New Roman" w:eastAsia="Times New Roman" w:hAnsi="Times New Roman" w:cs="Times New Roman"/>
                <w:lang w:val="hu-HU"/>
              </w:rPr>
              <w:t>0,162</w:t>
            </w:r>
          </w:p>
        </w:tc>
      </w:tr>
      <w:tr w:rsidR="00130E8B" w:rsidRPr="00CF5D7A" w14:paraId="642FAFF5" w14:textId="77777777" w:rsidTr="004E2591">
        <w:tc>
          <w:tcPr>
            <w:tcW w:w="9249" w:type="dxa"/>
            <w:gridSpan w:val="7"/>
            <w:tcBorders>
              <w:top w:val="single" w:sz="5" w:space="0" w:color="000000"/>
              <w:left w:val="single" w:sz="8" w:space="0" w:color="000000"/>
              <w:bottom w:val="single" w:sz="5" w:space="0" w:color="000000"/>
              <w:right w:val="single" w:sz="9" w:space="0" w:color="000000"/>
            </w:tcBorders>
          </w:tcPr>
          <w:p w14:paraId="79BD09D9" w14:textId="77777777" w:rsidR="00130E8B" w:rsidRPr="00CF5D7A" w:rsidRDefault="000405CC">
            <w:pPr>
              <w:rPr>
                <w:lang w:val="hu-HU"/>
              </w:rPr>
            </w:pPr>
            <w:r w:rsidRPr="00CF5D7A">
              <w:rPr>
                <w:rFonts w:ascii="Times New Roman" w:eastAsia="Times New Roman" w:hAnsi="Times New Roman" w:cs="Times New Roman"/>
                <w:spacing w:val="-1"/>
                <w:lang w:val="hu-HU"/>
              </w:rPr>
              <w:t>ACR 70</w:t>
            </w:r>
          </w:p>
        </w:tc>
      </w:tr>
      <w:tr w:rsidR="00130E8B" w:rsidRPr="00CF5D7A" w14:paraId="437E771B" w14:textId="77777777" w:rsidTr="004E2591">
        <w:tc>
          <w:tcPr>
            <w:tcW w:w="1366" w:type="dxa"/>
            <w:tcBorders>
              <w:top w:val="single" w:sz="5" w:space="0" w:color="000000"/>
              <w:left w:val="single" w:sz="8" w:space="0" w:color="000000"/>
              <w:bottom w:val="single" w:sz="5" w:space="0" w:color="000000"/>
              <w:right w:val="single" w:sz="5" w:space="0" w:color="000000"/>
            </w:tcBorders>
          </w:tcPr>
          <w:p w14:paraId="147E3A06" w14:textId="77777777" w:rsidR="00130E8B" w:rsidRPr="00CF5D7A" w:rsidRDefault="000405CC">
            <w:pPr>
              <w:pStyle w:val="TableParagraph"/>
              <w:spacing w:line="248"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52. hét</w:t>
            </w:r>
          </w:p>
        </w:tc>
        <w:tc>
          <w:tcPr>
            <w:tcW w:w="1275" w:type="dxa"/>
            <w:tcBorders>
              <w:top w:val="single" w:sz="5" w:space="0" w:color="000000"/>
              <w:left w:val="single" w:sz="5" w:space="0" w:color="000000"/>
              <w:bottom w:val="single" w:sz="5" w:space="0" w:color="000000"/>
              <w:right w:val="single" w:sz="5" w:space="0" w:color="000000"/>
            </w:tcBorders>
          </w:tcPr>
          <w:p w14:paraId="4984C0DC" w14:textId="77777777" w:rsidR="00130E8B" w:rsidRPr="00CF5D7A" w:rsidRDefault="000405CC">
            <w:pPr>
              <w:pStyle w:val="TableParagraph"/>
              <w:spacing w:line="248"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27,2%</w:t>
            </w:r>
          </w:p>
        </w:tc>
        <w:tc>
          <w:tcPr>
            <w:tcW w:w="1276" w:type="dxa"/>
            <w:tcBorders>
              <w:top w:val="single" w:sz="5" w:space="0" w:color="000000"/>
              <w:left w:val="single" w:sz="5" w:space="0" w:color="000000"/>
              <w:bottom w:val="single" w:sz="5" w:space="0" w:color="000000"/>
              <w:right w:val="single" w:sz="5" w:space="0" w:color="000000"/>
            </w:tcBorders>
          </w:tcPr>
          <w:p w14:paraId="04E7991C" w14:textId="77777777" w:rsidR="00130E8B" w:rsidRPr="00CF5D7A" w:rsidRDefault="000405CC">
            <w:pPr>
              <w:pStyle w:val="TableParagraph"/>
              <w:spacing w:line="248"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25,9%</w:t>
            </w:r>
          </w:p>
        </w:tc>
        <w:tc>
          <w:tcPr>
            <w:tcW w:w="1985" w:type="dxa"/>
            <w:tcBorders>
              <w:top w:val="single" w:sz="5" w:space="0" w:color="000000"/>
              <w:left w:val="single" w:sz="5" w:space="0" w:color="000000"/>
              <w:bottom w:val="single" w:sz="5" w:space="0" w:color="000000"/>
              <w:right w:val="single" w:sz="5" w:space="0" w:color="000000"/>
            </w:tcBorders>
          </w:tcPr>
          <w:p w14:paraId="43E96AD6" w14:textId="77777777" w:rsidR="00130E8B" w:rsidRPr="00CF5D7A" w:rsidRDefault="000405CC" w:rsidP="009761A1">
            <w:pPr>
              <w:pStyle w:val="TableParagraph"/>
              <w:spacing w:line="248"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45,5%</w:t>
            </w:r>
          </w:p>
        </w:tc>
        <w:tc>
          <w:tcPr>
            <w:tcW w:w="957" w:type="dxa"/>
            <w:tcBorders>
              <w:top w:val="single" w:sz="5" w:space="0" w:color="000000"/>
              <w:left w:val="single" w:sz="5" w:space="0" w:color="000000"/>
              <w:bottom w:val="single" w:sz="5" w:space="0" w:color="000000"/>
              <w:right w:val="single" w:sz="5" w:space="0" w:color="000000"/>
            </w:tcBorders>
          </w:tcPr>
          <w:p w14:paraId="6CB47F43" w14:textId="77777777" w:rsidR="00130E8B" w:rsidRPr="00CF5D7A" w:rsidRDefault="000405CC" w:rsidP="004E2591">
            <w:pPr>
              <w:pStyle w:val="TableParagraph"/>
              <w:spacing w:line="248"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174" w:type="dxa"/>
            <w:tcBorders>
              <w:top w:val="single" w:sz="5" w:space="0" w:color="000000"/>
              <w:left w:val="single" w:sz="5" w:space="0" w:color="000000"/>
              <w:bottom w:val="single" w:sz="5" w:space="0" w:color="000000"/>
              <w:right w:val="single" w:sz="5" w:space="0" w:color="000000"/>
            </w:tcBorders>
          </w:tcPr>
          <w:p w14:paraId="63832047" w14:textId="77777777" w:rsidR="00130E8B" w:rsidRPr="00CF5D7A" w:rsidRDefault="000405CC">
            <w:pPr>
              <w:pStyle w:val="TableParagraph"/>
              <w:spacing w:line="248" w:lineRule="exact"/>
              <w:ind w:left="243"/>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216" w:type="dxa"/>
            <w:tcBorders>
              <w:top w:val="single" w:sz="5" w:space="0" w:color="000000"/>
              <w:left w:val="single" w:sz="5" w:space="0" w:color="000000"/>
              <w:bottom w:val="single" w:sz="5" w:space="0" w:color="000000"/>
              <w:right w:val="single" w:sz="9" w:space="0" w:color="000000"/>
            </w:tcBorders>
          </w:tcPr>
          <w:p w14:paraId="387A3636" w14:textId="77777777" w:rsidR="00130E8B" w:rsidRPr="00CF5D7A" w:rsidRDefault="000405CC">
            <w:pPr>
              <w:pStyle w:val="TableParagraph"/>
              <w:spacing w:line="248" w:lineRule="exact"/>
              <w:ind w:left="351"/>
              <w:rPr>
                <w:rFonts w:ascii="Times New Roman" w:eastAsia="Times New Roman" w:hAnsi="Times New Roman" w:cs="Times New Roman"/>
                <w:lang w:val="hu-HU"/>
              </w:rPr>
            </w:pPr>
            <w:r w:rsidRPr="00CF5D7A">
              <w:rPr>
                <w:rFonts w:ascii="Times New Roman" w:eastAsia="Times New Roman" w:hAnsi="Times New Roman" w:cs="Times New Roman"/>
                <w:lang w:val="hu-HU"/>
              </w:rPr>
              <w:t>0,656</w:t>
            </w:r>
          </w:p>
        </w:tc>
      </w:tr>
      <w:tr w:rsidR="00130E8B" w:rsidRPr="00CF5D7A" w14:paraId="466AF8B6" w14:textId="77777777" w:rsidTr="004E2591">
        <w:tc>
          <w:tcPr>
            <w:tcW w:w="1366" w:type="dxa"/>
            <w:tcBorders>
              <w:top w:val="single" w:sz="5" w:space="0" w:color="000000"/>
              <w:left w:val="single" w:sz="8" w:space="0" w:color="000000"/>
              <w:bottom w:val="single" w:sz="5" w:space="0" w:color="000000"/>
              <w:right w:val="single" w:sz="5" w:space="0" w:color="000000"/>
            </w:tcBorders>
          </w:tcPr>
          <w:p w14:paraId="65AC1734" w14:textId="77777777" w:rsidR="00130E8B" w:rsidRPr="00CF5D7A" w:rsidRDefault="000405CC">
            <w:pPr>
              <w:pStyle w:val="TableParagraph"/>
              <w:spacing w:line="248"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104. hét</w:t>
            </w:r>
          </w:p>
        </w:tc>
        <w:tc>
          <w:tcPr>
            <w:tcW w:w="1275" w:type="dxa"/>
            <w:tcBorders>
              <w:top w:val="single" w:sz="5" w:space="0" w:color="000000"/>
              <w:left w:val="single" w:sz="5" w:space="0" w:color="000000"/>
              <w:bottom w:val="single" w:sz="5" w:space="0" w:color="000000"/>
              <w:right w:val="single" w:sz="5" w:space="0" w:color="000000"/>
            </w:tcBorders>
          </w:tcPr>
          <w:p w14:paraId="16032246" w14:textId="77777777" w:rsidR="00130E8B" w:rsidRPr="00CF5D7A" w:rsidRDefault="000405CC">
            <w:pPr>
              <w:pStyle w:val="TableParagraph"/>
              <w:spacing w:line="248"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28,4%</w:t>
            </w:r>
          </w:p>
        </w:tc>
        <w:tc>
          <w:tcPr>
            <w:tcW w:w="1276" w:type="dxa"/>
            <w:tcBorders>
              <w:top w:val="single" w:sz="5" w:space="0" w:color="000000"/>
              <w:left w:val="single" w:sz="5" w:space="0" w:color="000000"/>
              <w:bottom w:val="single" w:sz="5" w:space="0" w:color="000000"/>
              <w:right w:val="single" w:sz="5" w:space="0" w:color="000000"/>
            </w:tcBorders>
          </w:tcPr>
          <w:p w14:paraId="11469EFD" w14:textId="77777777" w:rsidR="00130E8B" w:rsidRPr="00CF5D7A" w:rsidRDefault="000405CC">
            <w:pPr>
              <w:pStyle w:val="TableParagraph"/>
              <w:spacing w:line="248"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28,1%</w:t>
            </w:r>
          </w:p>
        </w:tc>
        <w:tc>
          <w:tcPr>
            <w:tcW w:w="1985" w:type="dxa"/>
            <w:tcBorders>
              <w:top w:val="single" w:sz="5" w:space="0" w:color="000000"/>
              <w:left w:val="single" w:sz="5" w:space="0" w:color="000000"/>
              <w:bottom w:val="single" w:sz="5" w:space="0" w:color="000000"/>
              <w:right w:val="single" w:sz="5" w:space="0" w:color="000000"/>
            </w:tcBorders>
          </w:tcPr>
          <w:p w14:paraId="5D4E154B" w14:textId="77777777" w:rsidR="00130E8B" w:rsidRPr="00CF5D7A" w:rsidRDefault="000405CC" w:rsidP="009761A1">
            <w:pPr>
              <w:pStyle w:val="TableParagraph"/>
              <w:spacing w:line="248"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46,6%</w:t>
            </w:r>
          </w:p>
        </w:tc>
        <w:tc>
          <w:tcPr>
            <w:tcW w:w="957" w:type="dxa"/>
            <w:tcBorders>
              <w:top w:val="single" w:sz="5" w:space="0" w:color="000000"/>
              <w:left w:val="single" w:sz="5" w:space="0" w:color="000000"/>
              <w:bottom w:val="single" w:sz="5" w:space="0" w:color="000000"/>
              <w:right w:val="single" w:sz="5" w:space="0" w:color="000000"/>
            </w:tcBorders>
          </w:tcPr>
          <w:p w14:paraId="1793BFBB" w14:textId="77777777" w:rsidR="00130E8B" w:rsidRPr="00CF5D7A" w:rsidRDefault="000405CC" w:rsidP="004E2591">
            <w:pPr>
              <w:pStyle w:val="TableParagraph"/>
              <w:spacing w:line="248"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174" w:type="dxa"/>
            <w:tcBorders>
              <w:top w:val="single" w:sz="5" w:space="0" w:color="000000"/>
              <w:left w:val="single" w:sz="5" w:space="0" w:color="000000"/>
              <w:bottom w:val="single" w:sz="5" w:space="0" w:color="000000"/>
              <w:right w:val="single" w:sz="5" w:space="0" w:color="000000"/>
            </w:tcBorders>
          </w:tcPr>
          <w:p w14:paraId="1A2F287A" w14:textId="77777777" w:rsidR="00130E8B" w:rsidRPr="00CF5D7A" w:rsidRDefault="000405CC">
            <w:pPr>
              <w:pStyle w:val="TableParagraph"/>
              <w:spacing w:line="248" w:lineRule="exact"/>
              <w:ind w:left="243"/>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216" w:type="dxa"/>
            <w:tcBorders>
              <w:top w:val="single" w:sz="5" w:space="0" w:color="000000"/>
              <w:left w:val="single" w:sz="5" w:space="0" w:color="000000"/>
              <w:bottom w:val="single" w:sz="5" w:space="0" w:color="000000"/>
              <w:right w:val="single" w:sz="9" w:space="0" w:color="000000"/>
            </w:tcBorders>
          </w:tcPr>
          <w:p w14:paraId="1E3084FF" w14:textId="77777777" w:rsidR="00130E8B" w:rsidRPr="00CF5D7A" w:rsidRDefault="000405CC">
            <w:pPr>
              <w:pStyle w:val="TableParagraph"/>
              <w:spacing w:line="248" w:lineRule="exact"/>
              <w:ind w:left="351"/>
              <w:rPr>
                <w:rFonts w:ascii="Times New Roman" w:eastAsia="Times New Roman" w:hAnsi="Times New Roman" w:cs="Times New Roman"/>
                <w:lang w:val="hu-HU"/>
              </w:rPr>
            </w:pPr>
            <w:r w:rsidRPr="00CF5D7A">
              <w:rPr>
                <w:rFonts w:ascii="Times New Roman" w:eastAsia="Times New Roman" w:hAnsi="Times New Roman" w:cs="Times New Roman"/>
                <w:lang w:val="hu-HU"/>
              </w:rPr>
              <w:t>0,864</w:t>
            </w:r>
          </w:p>
        </w:tc>
      </w:tr>
    </w:tbl>
    <w:p w14:paraId="10D4424D" w14:textId="75479190" w:rsidR="00130E8B" w:rsidRPr="008668A9" w:rsidRDefault="000405CC" w:rsidP="009167C6">
      <w:pPr>
        <w:tabs>
          <w:tab w:val="left" w:pos="433"/>
        </w:tabs>
        <w:rPr>
          <w:rFonts w:ascii="Times New Roman" w:eastAsia="Times New Roman" w:hAnsi="Times New Roman" w:cs="Times New Roman"/>
          <w:lang w:val="hu-HU"/>
        </w:rPr>
      </w:pPr>
      <w:r w:rsidRPr="001E2F31">
        <w:rPr>
          <w:rFonts w:ascii="Times New Roman" w:eastAsia="Times New Roman" w:hAnsi="Times New Roman" w:cs="Times New Roman"/>
          <w:vertAlign w:val="superscript"/>
          <w:lang w:val="hu-HU"/>
        </w:rPr>
        <w:t>a</w:t>
      </w:r>
      <w:r w:rsidRPr="001E2F31">
        <w:rPr>
          <w:rFonts w:ascii="Times New Roman" w:eastAsia="Times New Roman" w:hAnsi="Times New Roman" w:cs="Times New Roman"/>
          <w:lang w:val="hu-HU"/>
        </w:rPr>
        <w:t xml:space="preserve"> a p-érték a metotrexát monoterápia és az adalimumab/metotrexát kombinációs terápia páros összehasonlítása alapján Mann-Whitney U teszt szerint.</w:t>
      </w:r>
    </w:p>
    <w:p w14:paraId="3A0031D4" w14:textId="04181992" w:rsidR="00130E8B" w:rsidRPr="008668A9" w:rsidRDefault="000405CC" w:rsidP="009167C6">
      <w:pPr>
        <w:tabs>
          <w:tab w:val="left" w:pos="433"/>
        </w:tabs>
        <w:rPr>
          <w:rFonts w:ascii="Times New Roman" w:eastAsia="Times New Roman" w:hAnsi="Times New Roman" w:cs="Times New Roman"/>
          <w:lang w:val="hu-HU"/>
        </w:rPr>
      </w:pPr>
      <w:r w:rsidRPr="001E2F31">
        <w:rPr>
          <w:rFonts w:ascii="Times New Roman" w:eastAsia="Times New Roman" w:hAnsi="Times New Roman" w:cs="Times New Roman"/>
          <w:vertAlign w:val="superscript"/>
          <w:lang w:val="hu-HU"/>
        </w:rPr>
        <w:t>b</w:t>
      </w:r>
      <w:r w:rsidRPr="001E2F31">
        <w:rPr>
          <w:rFonts w:ascii="Times New Roman" w:eastAsia="Times New Roman" w:hAnsi="Times New Roman" w:cs="Times New Roman"/>
          <w:lang w:val="hu-HU"/>
        </w:rPr>
        <w:t xml:space="preserve"> a p-érték a </w:t>
      </w:r>
      <w:r w:rsidR="008668A9" w:rsidRPr="008668A9">
        <w:rPr>
          <w:rFonts w:ascii="Times New Roman" w:eastAsia="Times New Roman" w:hAnsi="Times New Roman" w:cs="Times New Roman"/>
          <w:lang w:val="hu-HU"/>
        </w:rPr>
        <w:t>adalimumab</w:t>
      </w:r>
      <w:r w:rsidRPr="001E2F31">
        <w:rPr>
          <w:rFonts w:ascii="Times New Roman" w:eastAsia="Times New Roman" w:hAnsi="Times New Roman" w:cs="Times New Roman"/>
          <w:lang w:val="hu-HU"/>
        </w:rPr>
        <w:t xml:space="preserve"> monoterápia és az adalimumab/metotrexát kombinációs terápia páros összehasonlítása alapján Mann-Whitney U teszt szerint.</w:t>
      </w:r>
    </w:p>
    <w:p w14:paraId="34847226" w14:textId="3C67EB07" w:rsidR="00130E8B" w:rsidRPr="008668A9" w:rsidRDefault="000405CC" w:rsidP="009167C6">
      <w:pPr>
        <w:tabs>
          <w:tab w:val="left" w:pos="421"/>
        </w:tabs>
        <w:rPr>
          <w:sz w:val="17"/>
          <w:szCs w:val="17"/>
          <w:lang w:val="hu-HU"/>
        </w:rPr>
      </w:pPr>
      <w:r w:rsidRPr="001E2F31">
        <w:rPr>
          <w:rFonts w:ascii="Times New Roman" w:eastAsia="Times New Roman" w:hAnsi="Times New Roman" w:cs="Times New Roman"/>
          <w:vertAlign w:val="superscript"/>
          <w:lang w:val="hu-HU"/>
        </w:rPr>
        <w:t>c</w:t>
      </w:r>
      <w:r w:rsidR="00FB315F" w:rsidRPr="001E2F31">
        <w:rPr>
          <w:rFonts w:ascii="Times New Roman" w:eastAsia="Times New Roman" w:hAnsi="Times New Roman" w:cs="Times New Roman"/>
          <w:lang w:val="hu-HU"/>
        </w:rPr>
        <w:t xml:space="preserve"> </w:t>
      </w:r>
      <w:r w:rsidRPr="001E2F31">
        <w:rPr>
          <w:rFonts w:ascii="Times New Roman" w:eastAsia="Times New Roman" w:hAnsi="Times New Roman" w:cs="Times New Roman"/>
          <w:lang w:val="hu-HU"/>
        </w:rPr>
        <w:t xml:space="preserve">a p-érték a </w:t>
      </w:r>
      <w:r w:rsidR="008668A9" w:rsidRPr="008668A9">
        <w:rPr>
          <w:rFonts w:ascii="Times New Roman" w:eastAsia="Times New Roman" w:hAnsi="Times New Roman" w:cs="Times New Roman"/>
          <w:lang w:val="hu-HU"/>
        </w:rPr>
        <w:t>adalimumab</w:t>
      </w:r>
      <w:r w:rsidRPr="001E2F31">
        <w:rPr>
          <w:rFonts w:ascii="Times New Roman" w:eastAsia="Times New Roman" w:hAnsi="Times New Roman" w:cs="Times New Roman"/>
          <w:lang w:val="hu-HU"/>
        </w:rPr>
        <w:t xml:space="preserve"> monoterápia és a metotrexát </w:t>
      </w:r>
      <w:r w:rsidR="008668A9" w:rsidRPr="006B04DD">
        <w:rPr>
          <w:rFonts w:ascii="Times New Roman" w:eastAsia="Times New Roman" w:hAnsi="Times New Roman" w:cs="Times New Roman"/>
          <w:lang w:val="hu-HU"/>
        </w:rPr>
        <w:t>monoterápia</w:t>
      </w:r>
      <w:r w:rsidRPr="001E2F31">
        <w:rPr>
          <w:rFonts w:ascii="Times New Roman" w:eastAsia="Times New Roman" w:hAnsi="Times New Roman" w:cs="Times New Roman"/>
          <w:lang w:val="hu-HU"/>
        </w:rPr>
        <w:t xml:space="preserve"> páros összehasonlítása alapján Mann-Whitney U teszt szerint.</w:t>
      </w:r>
    </w:p>
    <w:p w14:paraId="581BF75E" w14:textId="77777777" w:rsidR="00130E8B" w:rsidRDefault="00130E8B">
      <w:pPr>
        <w:spacing w:before="5" w:line="170" w:lineRule="exact"/>
        <w:rPr>
          <w:sz w:val="17"/>
          <w:szCs w:val="17"/>
          <w:lang w:val="hu-HU"/>
        </w:rPr>
      </w:pPr>
    </w:p>
    <w:p w14:paraId="43EDA9A4" w14:textId="03B5DC39" w:rsidR="00130E8B" w:rsidRDefault="000405CC">
      <w:pPr>
        <w:pStyle w:val="a3"/>
        <w:rPr>
          <w:lang w:val="hu-HU"/>
        </w:rPr>
      </w:pPr>
      <w:r>
        <w:rPr>
          <w:rFonts w:eastAsia="Times New Roman"/>
          <w:lang w:val="hu-HU"/>
        </w:rPr>
        <w:t>Az RA</w:t>
      </w:r>
      <w:r w:rsidR="00961E14">
        <w:rPr>
          <w:rFonts w:eastAsia="Times New Roman"/>
          <w:lang w:val="hu-HU"/>
        </w:rPr>
        <w:t xml:space="preserve"> </w:t>
      </w:r>
      <w:r>
        <w:rPr>
          <w:rFonts w:eastAsia="Times New Roman"/>
          <w:lang w:val="hu-HU"/>
        </w:rPr>
        <w:t>V vizsgálat nyílt elrendezésű kiterjesztésében az ACR-válasz aránya fennmaradt a legfeljebb 10 éves követés alatt. A minden második héten adalimumabbal kezelt 542 beteg közül 170 beteg folytatta a 2 hetenkénti 40 mg-os adalimumab-kezelést 10 éven keresztül. Közülük 154 (90,6%) mutatott ACR 20 választ, 127 beteg (74,7%) ACR 50 választ és 102 beteg (60,0%) ACR 70 választ.</w:t>
      </w:r>
    </w:p>
    <w:p w14:paraId="0F91BFEA" w14:textId="77777777" w:rsidR="00130E8B" w:rsidRDefault="00130E8B">
      <w:pPr>
        <w:spacing w:before="13" w:line="240" w:lineRule="exact"/>
        <w:rPr>
          <w:sz w:val="24"/>
          <w:szCs w:val="24"/>
          <w:lang w:val="hu-HU"/>
        </w:rPr>
      </w:pPr>
    </w:p>
    <w:p w14:paraId="657C247C" w14:textId="1C1DF5AB" w:rsidR="00130E8B" w:rsidRDefault="000405CC">
      <w:pPr>
        <w:pStyle w:val="a3"/>
        <w:rPr>
          <w:lang w:val="hu-HU"/>
        </w:rPr>
      </w:pPr>
      <w:r>
        <w:rPr>
          <w:rFonts w:eastAsia="Times New Roman"/>
          <w:lang w:val="hu-HU"/>
        </w:rPr>
        <w:t xml:space="preserve">Az 52. héten adalimumab/metotrexát kombinációval kezelt betegek 42, 9% -a klinikai remisszióba került (DAS28 2,6) összehasonlítva a metotrexát monoterápiát kapó 20, 6% és </w:t>
      </w:r>
      <w:r w:rsidR="00B90FEB">
        <w:rPr>
          <w:rFonts w:eastAsia="Times New Roman"/>
          <w:lang w:val="hu-HU"/>
        </w:rPr>
        <w:t xml:space="preserve">adalimumab </w:t>
      </w:r>
      <w:r>
        <w:rPr>
          <w:rFonts w:eastAsia="Times New Roman"/>
          <w:lang w:val="hu-HU"/>
        </w:rPr>
        <w:t>monoterápiában részesült 23, 4% beteggel. Az adalimumab/metotrexát kombinációs terápia klinikailag és statisztikailag jobb volt, mint a metotrexát (p &lt; 0,001) és az adalimumab monoterápia (p &lt; 0,001), alacsony betegségaktivitási szint elérése tekintetében, amennyiben korai közepesen súlyos - súlyos rheumatoid arthritisük volt. A két monoterápiás karon kapott válasz hasonló volt (p = 0,447). Az eredetileg adalimumab-monoterápiára vagy adalimumab/methotrexát kombinációra randomizált 342 beteg közül, akik beléptek a nyílt kiterjesztéses vizsgálatba, 171 beteg fejezte be a 10 éves adalimumab-kezelést. Közülük 109 beteg (63,7%) került remisszióba a 10 év alatt.</w:t>
      </w:r>
    </w:p>
    <w:p w14:paraId="669096E4" w14:textId="77777777" w:rsidR="00130E8B" w:rsidRDefault="00130E8B">
      <w:pPr>
        <w:pStyle w:val="a3"/>
        <w:rPr>
          <w:lang w:val="hu-HU"/>
        </w:rPr>
      </w:pPr>
    </w:p>
    <w:p w14:paraId="53F98D9B" w14:textId="77777777" w:rsidR="00130E8B" w:rsidRDefault="000405CC">
      <w:pPr>
        <w:pStyle w:val="a3"/>
        <w:rPr>
          <w:rFonts w:eastAsia="Times New Roman"/>
          <w:lang w:val="hu-HU"/>
        </w:rPr>
      </w:pPr>
      <w:r>
        <w:rPr>
          <w:rFonts w:eastAsia="Times New Roman"/>
          <w:i/>
          <w:iCs/>
          <w:spacing w:val="-1"/>
          <w:u w:val="single" w:color="000000"/>
          <w:lang w:val="hu-HU"/>
        </w:rPr>
        <w:t>Radiológiai válasz</w:t>
      </w:r>
    </w:p>
    <w:p w14:paraId="27BA58EA" w14:textId="77777777" w:rsidR="00130E8B" w:rsidRDefault="00130E8B">
      <w:pPr>
        <w:pStyle w:val="a3"/>
        <w:rPr>
          <w:sz w:val="18"/>
          <w:szCs w:val="18"/>
          <w:lang w:val="hu-HU"/>
        </w:rPr>
      </w:pPr>
    </w:p>
    <w:p w14:paraId="32F1C82C" w14:textId="44667258" w:rsidR="00130E8B" w:rsidRDefault="000405CC">
      <w:pPr>
        <w:pStyle w:val="a3"/>
        <w:rPr>
          <w:lang w:val="hu-HU"/>
        </w:rPr>
      </w:pPr>
      <w:r>
        <w:rPr>
          <w:rFonts w:eastAsia="Times New Roman"/>
          <w:lang w:val="hu-HU"/>
        </w:rPr>
        <w:t>Az RA</w:t>
      </w:r>
      <w:r w:rsidR="00B07467" w:rsidRPr="009167C6">
        <w:rPr>
          <w:lang w:val="hu-HU"/>
        </w:rPr>
        <w:t> </w:t>
      </w:r>
      <w:r>
        <w:rPr>
          <w:rFonts w:eastAsia="Times New Roman"/>
          <w:lang w:val="hu-HU"/>
        </w:rPr>
        <w:t xml:space="preserve">III vizsgálatban, amelyben az adalimumabbal kezelt betegek rheumatoid arthritise átlagosan 11 éve fennállt, az ízületek szerkezeti károsodását radiológiailag értékelték és a változást módosított teljes Sharp pontértékkel (Total Sharp Score, TSS) és összetevőivel az eróziós pontértékkel és az ízületi rés beszűkülésének pontértékével fejezték ki. Adalimumabbal/metotrexáttal kezelt betegeknél szignifikánsan kisebb mértékű radiológiai progressziót mutattak ki, mint a 6 és 12 hónapig csak metotrexáttal kezelt betegeknél (lásd </w:t>
      </w:r>
      <w:r w:rsidR="00417A10">
        <w:rPr>
          <w:rFonts w:eastAsia="Times New Roman"/>
          <w:lang w:val="hu-HU"/>
        </w:rPr>
        <w:t>10</w:t>
      </w:r>
      <w:r>
        <w:rPr>
          <w:rFonts w:eastAsia="Times New Roman"/>
          <w:lang w:val="hu-HU"/>
        </w:rPr>
        <w:t>. táblázat).</w:t>
      </w:r>
    </w:p>
    <w:p w14:paraId="00991E8C" w14:textId="77777777" w:rsidR="00130E8B" w:rsidRDefault="00130E8B">
      <w:pPr>
        <w:pStyle w:val="a3"/>
        <w:rPr>
          <w:lang w:val="hu-HU"/>
        </w:rPr>
      </w:pPr>
    </w:p>
    <w:p w14:paraId="0D359D2E" w14:textId="0A4CDDB6" w:rsidR="00130E8B" w:rsidRDefault="000405CC">
      <w:pPr>
        <w:pStyle w:val="a3"/>
        <w:rPr>
          <w:lang w:val="hu-HU"/>
        </w:rPr>
      </w:pPr>
      <w:r>
        <w:rPr>
          <w:rFonts w:eastAsia="Times New Roman"/>
          <w:lang w:val="hu-HU"/>
        </w:rPr>
        <w:t>Az RA</w:t>
      </w:r>
      <w:r w:rsidR="00B07467" w:rsidDel="002A3904">
        <w:rPr>
          <w:rFonts w:eastAsia="Times New Roman"/>
          <w:lang w:val="hu-HU"/>
        </w:rPr>
        <w:t xml:space="preserve"> </w:t>
      </w:r>
      <w:r>
        <w:rPr>
          <w:rFonts w:eastAsia="Times New Roman"/>
          <w:lang w:val="hu-HU"/>
        </w:rPr>
        <w:t>III vizsgálat nyílt, kiterjesztett fázisában a strukturális károsodás progressziójának csökkent mértéke 8 és 10 évig fenntartható a betegek egy részénél. Az eredetileg minden második héten 40 mg adalimumabbal kezelt 207 beteg közül 81-et értékeltek radiológiailag a 8. évben. Közülük 48 betegnél nem észlelték a strukturális károsodás progresszióját, melynek meghatározása az mTSS-pontértékben bekövetkezett 0,5 vagy még alacsonyabb változás volt a kiindulási értékhez képest. Az eredetileg minden második héten 40 mg adalimumabbal kezelt 207 beteg közül 79-et értékeltek radiológiailag a 10. évben. Közülük 40 betegnél nem észlelték a strukturális károsodás progresszióját, melynek meghatározása az mTSS-pontértékben bekövetkezett 0,5 vagy még alacsonyabb változás volt a kiindulási értékhez képest.</w:t>
      </w:r>
    </w:p>
    <w:p w14:paraId="5CDBA9A7" w14:textId="77777777" w:rsidR="00130E8B" w:rsidRDefault="00130E8B">
      <w:pPr>
        <w:spacing w:before="18" w:line="240" w:lineRule="exact"/>
        <w:rPr>
          <w:sz w:val="24"/>
          <w:szCs w:val="24"/>
          <w:lang w:val="hu-HU"/>
        </w:rPr>
      </w:pPr>
    </w:p>
    <w:p w14:paraId="72085CFF" w14:textId="293D6FEA" w:rsidR="00130E8B" w:rsidRDefault="00417A10">
      <w:pPr>
        <w:pStyle w:val="a3"/>
        <w:jc w:val="center"/>
        <w:rPr>
          <w:b/>
          <w:lang w:val="hu-HU"/>
        </w:rPr>
      </w:pPr>
      <w:r>
        <w:rPr>
          <w:rFonts w:eastAsia="Times New Roman"/>
          <w:b/>
          <w:bCs/>
          <w:lang w:val="hu-HU"/>
        </w:rPr>
        <w:t>10</w:t>
      </w:r>
      <w:r w:rsidR="000405CC">
        <w:rPr>
          <w:rFonts w:eastAsia="Times New Roman"/>
          <w:b/>
          <w:bCs/>
          <w:lang w:val="hu-HU"/>
        </w:rPr>
        <w:t>. táblázat</w:t>
      </w:r>
    </w:p>
    <w:p w14:paraId="45E48564" w14:textId="1EDFA161" w:rsidR="00130E8B" w:rsidRDefault="000405CC">
      <w:pPr>
        <w:pStyle w:val="a3"/>
        <w:jc w:val="center"/>
        <w:rPr>
          <w:b/>
          <w:lang w:val="hu-HU"/>
        </w:rPr>
      </w:pPr>
      <w:r>
        <w:rPr>
          <w:rFonts w:eastAsia="Times New Roman"/>
          <w:b/>
          <w:bCs/>
          <w:lang w:val="hu-HU"/>
        </w:rPr>
        <w:t>A</w:t>
      </w:r>
      <w:r w:rsidR="00B07467">
        <w:rPr>
          <w:rFonts w:eastAsia="Times New Roman"/>
          <w:b/>
          <w:bCs/>
          <w:lang w:val="hu-HU"/>
        </w:rPr>
        <w:t xml:space="preserve">z RA </w:t>
      </w:r>
      <w:r>
        <w:rPr>
          <w:rFonts w:eastAsia="Times New Roman"/>
          <w:b/>
          <w:bCs/>
          <w:lang w:val="hu-HU"/>
        </w:rPr>
        <w:t>III vizsgálatban észlelt radiológiai változások átlaga 12 hónapot követően</w:t>
      </w:r>
    </w:p>
    <w:p w14:paraId="6ADE36C0" w14:textId="77777777" w:rsidR="00130E8B" w:rsidRDefault="00130E8B">
      <w:pPr>
        <w:spacing w:before="14" w:line="240" w:lineRule="exact"/>
        <w:rPr>
          <w:sz w:val="24"/>
          <w:szCs w:val="24"/>
          <w:lang w:val="hu-HU"/>
        </w:rPr>
      </w:pPr>
    </w:p>
    <w:tbl>
      <w:tblPr>
        <w:tblStyle w:val="TableNormal1"/>
        <w:tblW w:w="0" w:type="auto"/>
        <w:tblInd w:w="105" w:type="dxa"/>
        <w:tblLayout w:type="fixed"/>
        <w:tblLook w:val="01E0" w:firstRow="1" w:lastRow="1" w:firstColumn="1" w:lastColumn="1" w:noHBand="0" w:noVBand="0"/>
      </w:tblPr>
      <w:tblGrid>
        <w:gridCol w:w="2088"/>
        <w:gridCol w:w="1430"/>
        <w:gridCol w:w="1790"/>
        <w:gridCol w:w="1999"/>
        <w:gridCol w:w="1548"/>
      </w:tblGrid>
      <w:tr w:rsidR="00130E8B" w:rsidRPr="00CF5D7A" w14:paraId="254850C6" w14:textId="77777777">
        <w:tc>
          <w:tcPr>
            <w:tcW w:w="2088" w:type="dxa"/>
            <w:tcBorders>
              <w:top w:val="single" w:sz="5" w:space="0" w:color="000000"/>
              <w:left w:val="single" w:sz="5" w:space="0" w:color="000000"/>
              <w:bottom w:val="single" w:sz="5" w:space="0" w:color="000000"/>
              <w:right w:val="single" w:sz="5" w:space="0" w:color="000000"/>
            </w:tcBorders>
            <w:vAlign w:val="center"/>
          </w:tcPr>
          <w:p w14:paraId="69E75364" w14:textId="77777777" w:rsidR="00130E8B" w:rsidRPr="00CF5D7A" w:rsidRDefault="00130E8B">
            <w:pPr>
              <w:jc w:val="center"/>
              <w:rPr>
                <w:lang w:val="hu-HU"/>
              </w:rPr>
            </w:pPr>
          </w:p>
        </w:tc>
        <w:tc>
          <w:tcPr>
            <w:tcW w:w="1430" w:type="dxa"/>
            <w:tcBorders>
              <w:top w:val="single" w:sz="5" w:space="0" w:color="000000"/>
              <w:left w:val="single" w:sz="5" w:space="0" w:color="000000"/>
              <w:bottom w:val="single" w:sz="5" w:space="0" w:color="000000"/>
              <w:right w:val="single" w:sz="5" w:space="0" w:color="000000"/>
            </w:tcBorders>
            <w:vAlign w:val="center"/>
          </w:tcPr>
          <w:p w14:paraId="6A77160B" w14:textId="77777777" w:rsidR="00130E8B" w:rsidRPr="00CF5D7A" w:rsidRDefault="000405CC">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Placebo/</w:t>
            </w:r>
          </w:p>
          <w:p w14:paraId="7595815B" w14:textId="77777777" w:rsidR="00130E8B" w:rsidRPr="009167C6" w:rsidRDefault="000405CC">
            <w:pPr>
              <w:pStyle w:val="TableParagraph"/>
              <w:spacing w:line="254"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MTX</w:t>
            </w:r>
            <w:r w:rsidRPr="009167C6">
              <w:rPr>
                <w:rFonts w:ascii="Times New Roman" w:eastAsia="Times New Roman" w:hAnsi="Times New Roman" w:cs="Times New Roman"/>
                <w:vertAlign w:val="superscript"/>
                <w:lang w:val="hu-HU"/>
              </w:rPr>
              <w:t>a</w:t>
            </w:r>
          </w:p>
        </w:tc>
        <w:tc>
          <w:tcPr>
            <w:tcW w:w="1790" w:type="dxa"/>
            <w:tcBorders>
              <w:top w:val="single" w:sz="5" w:space="0" w:color="000000"/>
              <w:left w:val="single" w:sz="5" w:space="0" w:color="000000"/>
              <w:bottom w:val="single" w:sz="5" w:space="0" w:color="000000"/>
              <w:right w:val="single" w:sz="5" w:space="0" w:color="000000"/>
            </w:tcBorders>
            <w:vAlign w:val="center"/>
          </w:tcPr>
          <w:p w14:paraId="03906657" w14:textId="77777777" w:rsidR="00130E8B" w:rsidRPr="00CF5D7A" w:rsidRDefault="000405CC">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Adalimumab/MTX</w:t>
            </w:r>
          </w:p>
          <w:p w14:paraId="55B2C8D5" w14:textId="77777777" w:rsidR="00130E8B" w:rsidRPr="00CF5D7A" w:rsidRDefault="000405CC">
            <w:pPr>
              <w:pStyle w:val="TableParagraph"/>
              <w:spacing w:line="252" w:lineRule="exact"/>
              <w:ind w:hanging="6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40 mg kéthetente</w:t>
            </w:r>
          </w:p>
        </w:tc>
        <w:tc>
          <w:tcPr>
            <w:tcW w:w="1999" w:type="dxa"/>
            <w:tcBorders>
              <w:top w:val="single" w:sz="5" w:space="0" w:color="000000"/>
              <w:left w:val="single" w:sz="5" w:space="0" w:color="000000"/>
              <w:bottom w:val="single" w:sz="5" w:space="0" w:color="000000"/>
              <w:right w:val="single" w:sz="5" w:space="0" w:color="000000"/>
            </w:tcBorders>
            <w:vAlign w:val="center"/>
          </w:tcPr>
          <w:p w14:paraId="46CF7A2E" w14:textId="77777777" w:rsidR="00130E8B" w:rsidRPr="00CF5D7A" w:rsidRDefault="000405CC">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Placebo/MTX -</w:t>
            </w:r>
          </w:p>
          <w:p w14:paraId="208F18A5" w14:textId="77777777" w:rsidR="00130E8B" w:rsidRPr="00CF5D7A" w:rsidRDefault="000405CC">
            <w:pPr>
              <w:pStyle w:val="TableParagraph"/>
              <w:spacing w:line="237" w:lineRule="auto"/>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Adalimumab/MTX (95%-os konfidencia intervallum</w:t>
            </w:r>
            <w:r w:rsidRPr="009167C6">
              <w:rPr>
                <w:rFonts w:ascii="Times New Roman" w:eastAsia="Times New Roman" w:hAnsi="Times New Roman" w:cs="Times New Roman"/>
                <w:spacing w:val="-1"/>
                <w:vertAlign w:val="superscript"/>
                <w:lang w:val="hu-HU"/>
              </w:rPr>
              <w:t>b</w:t>
            </w:r>
            <w:r w:rsidRPr="00CF5D7A">
              <w:rPr>
                <w:rFonts w:ascii="Times New Roman" w:eastAsia="Times New Roman" w:hAnsi="Times New Roman" w:cs="Times New Roman"/>
                <w:spacing w:val="-1"/>
                <w:lang w:val="hu-HU"/>
              </w:rPr>
              <w:t xml:space="preserve"> )</w:t>
            </w:r>
          </w:p>
        </w:tc>
        <w:tc>
          <w:tcPr>
            <w:tcW w:w="1548" w:type="dxa"/>
            <w:tcBorders>
              <w:top w:val="single" w:sz="5" w:space="0" w:color="000000"/>
              <w:left w:val="single" w:sz="5" w:space="0" w:color="000000"/>
              <w:bottom w:val="single" w:sz="5" w:space="0" w:color="000000"/>
              <w:right w:val="single" w:sz="5" w:space="0" w:color="000000"/>
            </w:tcBorders>
            <w:vAlign w:val="center"/>
          </w:tcPr>
          <w:p w14:paraId="2CB134EE" w14:textId="043EBA78" w:rsidR="00130E8B" w:rsidRPr="00CF5D7A" w:rsidRDefault="000405CC">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p-érték</w:t>
            </w:r>
          </w:p>
        </w:tc>
      </w:tr>
      <w:tr w:rsidR="00130E8B" w:rsidRPr="00CF5D7A" w14:paraId="39311744" w14:textId="77777777">
        <w:tc>
          <w:tcPr>
            <w:tcW w:w="2088" w:type="dxa"/>
            <w:tcBorders>
              <w:top w:val="single" w:sz="5" w:space="0" w:color="000000"/>
              <w:left w:val="single" w:sz="5" w:space="0" w:color="000000"/>
              <w:bottom w:val="single" w:sz="5" w:space="0" w:color="000000"/>
              <w:right w:val="single" w:sz="5" w:space="0" w:color="000000"/>
            </w:tcBorders>
          </w:tcPr>
          <w:p w14:paraId="624F8C40" w14:textId="77777777" w:rsidR="00130E8B" w:rsidRPr="00CF5D7A" w:rsidRDefault="000405CC" w:rsidP="009167C6">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Teljes Sharp-pontérték</w:t>
            </w:r>
          </w:p>
        </w:tc>
        <w:tc>
          <w:tcPr>
            <w:tcW w:w="1430" w:type="dxa"/>
            <w:tcBorders>
              <w:top w:val="single" w:sz="5" w:space="0" w:color="000000"/>
              <w:left w:val="single" w:sz="5" w:space="0" w:color="000000"/>
              <w:bottom w:val="single" w:sz="5" w:space="0" w:color="000000"/>
              <w:right w:val="single" w:sz="5" w:space="0" w:color="000000"/>
            </w:tcBorders>
          </w:tcPr>
          <w:p w14:paraId="20C468AA" w14:textId="77777777" w:rsidR="00130E8B" w:rsidRPr="00CF5D7A" w:rsidRDefault="000405CC">
            <w:pPr>
              <w:pStyle w:val="TableParagraph"/>
              <w:spacing w:line="246" w:lineRule="exact"/>
              <w:ind w:left="551" w:right="55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2,7</w:t>
            </w:r>
          </w:p>
        </w:tc>
        <w:tc>
          <w:tcPr>
            <w:tcW w:w="1790" w:type="dxa"/>
            <w:tcBorders>
              <w:top w:val="single" w:sz="5" w:space="0" w:color="000000"/>
              <w:left w:val="single" w:sz="5" w:space="0" w:color="000000"/>
              <w:bottom w:val="single" w:sz="5" w:space="0" w:color="000000"/>
              <w:right w:val="single" w:sz="5" w:space="0" w:color="000000"/>
            </w:tcBorders>
          </w:tcPr>
          <w:p w14:paraId="29F00D70" w14:textId="77777777" w:rsidR="00130E8B" w:rsidRPr="00CF5D7A" w:rsidRDefault="000405CC">
            <w:pPr>
              <w:pStyle w:val="TableParagraph"/>
              <w:spacing w:line="246" w:lineRule="exact"/>
              <w:ind w:left="731" w:right="73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0,1</w:t>
            </w:r>
          </w:p>
        </w:tc>
        <w:tc>
          <w:tcPr>
            <w:tcW w:w="1999" w:type="dxa"/>
            <w:tcBorders>
              <w:top w:val="single" w:sz="5" w:space="0" w:color="000000"/>
              <w:left w:val="single" w:sz="5" w:space="0" w:color="000000"/>
              <w:bottom w:val="single" w:sz="5" w:space="0" w:color="000000"/>
              <w:right w:val="single" w:sz="5" w:space="0" w:color="000000"/>
            </w:tcBorders>
          </w:tcPr>
          <w:p w14:paraId="794046B1" w14:textId="77777777" w:rsidR="00130E8B" w:rsidRPr="00CF5D7A" w:rsidRDefault="000405CC">
            <w:pPr>
              <w:pStyle w:val="TableParagraph"/>
              <w:spacing w:line="246" w:lineRule="exact"/>
              <w:ind w:left="423"/>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2,6 (1,4, 3,8)</w:t>
            </w:r>
          </w:p>
        </w:tc>
        <w:tc>
          <w:tcPr>
            <w:tcW w:w="1548" w:type="dxa"/>
            <w:tcBorders>
              <w:top w:val="single" w:sz="5" w:space="0" w:color="000000"/>
              <w:left w:val="single" w:sz="5" w:space="0" w:color="000000"/>
              <w:bottom w:val="single" w:sz="5" w:space="0" w:color="000000"/>
              <w:right w:val="single" w:sz="5" w:space="0" w:color="000000"/>
            </w:tcBorders>
          </w:tcPr>
          <w:p w14:paraId="31E4FFAB" w14:textId="77777777" w:rsidR="00130E8B" w:rsidRPr="009167C6" w:rsidRDefault="000405CC">
            <w:pPr>
              <w:pStyle w:val="TableParagraph"/>
              <w:spacing w:line="246" w:lineRule="exact"/>
              <w:ind w:left="399"/>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r w:rsidRPr="009167C6">
              <w:rPr>
                <w:rFonts w:ascii="Times New Roman" w:eastAsia="Times New Roman" w:hAnsi="Times New Roman" w:cs="Times New Roman"/>
                <w:vertAlign w:val="superscript"/>
                <w:lang w:val="hu-HU"/>
              </w:rPr>
              <w:t>c</w:t>
            </w:r>
          </w:p>
        </w:tc>
      </w:tr>
      <w:tr w:rsidR="00130E8B" w:rsidRPr="00CF5D7A" w14:paraId="32CBB088" w14:textId="77777777">
        <w:tc>
          <w:tcPr>
            <w:tcW w:w="2088" w:type="dxa"/>
            <w:tcBorders>
              <w:top w:val="single" w:sz="5" w:space="0" w:color="000000"/>
              <w:left w:val="single" w:sz="5" w:space="0" w:color="000000"/>
              <w:bottom w:val="single" w:sz="5" w:space="0" w:color="000000"/>
              <w:right w:val="single" w:sz="5" w:space="0" w:color="000000"/>
            </w:tcBorders>
          </w:tcPr>
          <w:p w14:paraId="2B5664DF" w14:textId="77777777" w:rsidR="00130E8B" w:rsidRPr="00CF5D7A" w:rsidRDefault="000405CC" w:rsidP="009167C6">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Eróziós pontérték</w:t>
            </w:r>
          </w:p>
        </w:tc>
        <w:tc>
          <w:tcPr>
            <w:tcW w:w="1430" w:type="dxa"/>
            <w:tcBorders>
              <w:top w:val="single" w:sz="5" w:space="0" w:color="000000"/>
              <w:left w:val="single" w:sz="5" w:space="0" w:color="000000"/>
              <w:bottom w:val="single" w:sz="5" w:space="0" w:color="000000"/>
              <w:right w:val="single" w:sz="5" w:space="0" w:color="000000"/>
            </w:tcBorders>
          </w:tcPr>
          <w:p w14:paraId="2C687855" w14:textId="77777777" w:rsidR="00130E8B" w:rsidRPr="00CF5D7A" w:rsidRDefault="000405CC">
            <w:pPr>
              <w:pStyle w:val="TableParagraph"/>
              <w:spacing w:line="246" w:lineRule="exact"/>
              <w:ind w:left="551" w:right="55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1,6</w:t>
            </w:r>
          </w:p>
        </w:tc>
        <w:tc>
          <w:tcPr>
            <w:tcW w:w="1790" w:type="dxa"/>
            <w:tcBorders>
              <w:top w:val="single" w:sz="5" w:space="0" w:color="000000"/>
              <w:left w:val="single" w:sz="5" w:space="0" w:color="000000"/>
              <w:bottom w:val="single" w:sz="5" w:space="0" w:color="000000"/>
              <w:right w:val="single" w:sz="5" w:space="0" w:color="000000"/>
            </w:tcBorders>
          </w:tcPr>
          <w:p w14:paraId="3EDD2CFF" w14:textId="77777777" w:rsidR="00130E8B" w:rsidRPr="00CF5D7A" w:rsidRDefault="000405CC">
            <w:pPr>
              <w:pStyle w:val="TableParagraph"/>
              <w:spacing w:line="246" w:lineRule="exact"/>
              <w:ind w:left="731" w:right="73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0,0</w:t>
            </w:r>
          </w:p>
        </w:tc>
        <w:tc>
          <w:tcPr>
            <w:tcW w:w="1999" w:type="dxa"/>
            <w:tcBorders>
              <w:top w:val="single" w:sz="5" w:space="0" w:color="000000"/>
              <w:left w:val="single" w:sz="5" w:space="0" w:color="000000"/>
              <w:bottom w:val="single" w:sz="5" w:space="0" w:color="000000"/>
              <w:right w:val="single" w:sz="5" w:space="0" w:color="000000"/>
            </w:tcBorders>
          </w:tcPr>
          <w:p w14:paraId="4613FD7D" w14:textId="77777777" w:rsidR="00130E8B" w:rsidRPr="00CF5D7A" w:rsidRDefault="000405CC">
            <w:pPr>
              <w:pStyle w:val="TableParagraph"/>
              <w:spacing w:line="246" w:lineRule="exact"/>
              <w:ind w:left="423"/>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1,6 (0,9, 2,2)</w:t>
            </w:r>
          </w:p>
        </w:tc>
        <w:tc>
          <w:tcPr>
            <w:tcW w:w="1548" w:type="dxa"/>
            <w:tcBorders>
              <w:top w:val="single" w:sz="5" w:space="0" w:color="000000"/>
              <w:left w:val="single" w:sz="5" w:space="0" w:color="000000"/>
              <w:bottom w:val="single" w:sz="5" w:space="0" w:color="000000"/>
              <w:right w:val="single" w:sz="5" w:space="0" w:color="000000"/>
            </w:tcBorders>
          </w:tcPr>
          <w:p w14:paraId="07F08FDC" w14:textId="77777777" w:rsidR="00130E8B" w:rsidRPr="00CF5D7A" w:rsidRDefault="000405CC">
            <w:pPr>
              <w:pStyle w:val="TableParagraph"/>
              <w:spacing w:line="246" w:lineRule="exact"/>
              <w:ind w:left="431"/>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r>
      <w:tr w:rsidR="00130E8B" w:rsidRPr="00CF5D7A" w14:paraId="5B90D95D" w14:textId="77777777">
        <w:tc>
          <w:tcPr>
            <w:tcW w:w="2088" w:type="dxa"/>
            <w:tcBorders>
              <w:top w:val="single" w:sz="5" w:space="0" w:color="000000"/>
              <w:left w:val="single" w:sz="5" w:space="0" w:color="000000"/>
              <w:bottom w:val="single" w:sz="5" w:space="0" w:color="000000"/>
              <w:right w:val="single" w:sz="5" w:space="0" w:color="000000"/>
            </w:tcBorders>
          </w:tcPr>
          <w:p w14:paraId="4B40216E" w14:textId="77777777" w:rsidR="00130E8B" w:rsidRPr="00CF5D7A" w:rsidRDefault="000405CC" w:rsidP="009167C6">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JSN</w:t>
            </w:r>
            <w:r w:rsidRPr="009167C6">
              <w:rPr>
                <w:rFonts w:ascii="Times New Roman" w:eastAsia="Times New Roman" w:hAnsi="Times New Roman" w:cs="Times New Roman"/>
                <w:spacing w:val="1"/>
                <w:lang w:val="hu-HU"/>
              </w:rPr>
              <w:t xml:space="preserve"> </w:t>
            </w:r>
            <w:r w:rsidRPr="009167C6">
              <w:rPr>
                <w:rFonts w:ascii="Times New Roman" w:eastAsia="Times New Roman" w:hAnsi="Times New Roman" w:cs="Times New Roman"/>
                <w:spacing w:val="1"/>
                <w:vertAlign w:val="superscript"/>
                <w:lang w:val="hu-HU"/>
              </w:rPr>
              <w:t>d</w:t>
            </w:r>
            <w:r w:rsidRPr="00CF5D7A">
              <w:rPr>
                <w:rFonts w:ascii="Times New Roman" w:eastAsia="Times New Roman" w:hAnsi="Times New Roman" w:cs="Times New Roman"/>
                <w:spacing w:val="1"/>
                <w:lang w:val="hu-HU"/>
              </w:rPr>
              <w:t xml:space="preserve"> pontérték</w:t>
            </w:r>
          </w:p>
        </w:tc>
        <w:tc>
          <w:tcPr>
            <w:tcW w:w="1430" w:type="dxa"/>
            <w:tcBorders>
              <w:top w:val="single" w:sz="5" w:space="0" w:color="000000"/>
              <w:left w:val="single" w:sz="5" w:space="0" w:color="000000"/>
              <w:bottom w:val="single" w:sz="5" w:space="0" w:color="000000"/>
              <w:right w:val="single" w:sz="5" w:space="0" w:color="000000"/>
            </w:tcBorders>
          </w:tcPr>
          <w:p w14:paraId="764F527F" w14:textId="77777777" w:rsidR="00130E8B" w:rsidRPr="00CF5D7A" w:rsidRDefault="000405CC">
            <w:pPr>
              <w:pStyle w:val="TableParagraph"/>
              <w:spacing w:line="246" w:lineRule="exact"/>
              <w:ind w:left="551" w:right="55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1,0</w:t>
            </w:r>
          </w:p>
        </w:tc>
        <w:tc>
          <w:tcPr>
            <w:tcW w:w="1790" w:type="dxa"/>
            <w:tcBorders>
              <w:top w:val="single" w:sz="5" w:space="0" w:color="000000"/>
              <w:left w:val="single" w:sz="5" w:space="0" w:color="000000"/>
              <w:bottom w:val="single" w:sz="5" w:space="0" w:color="000000"/>
              <w:right w:val="single" w:sz="5" w:space="0" w:color="000000"/>
            </w:tcBorders>
          </w:tcPr>
          <w:p w14:paraId="5C1CD4A9" w14:textId="77777777" w:rsidR="00130E8B" w:rsidRPr="00CF5D7A" w:rsidRDefault="000405CC">
            <w:pPr>
              <w:pStyle w:val="TableParagraph"/>
              <w:spacing w:line="246" w:lineRule="exact"/>
              <w:ind w:left="731" w:right="73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0,1</w:t>
            </w:r>
          </w:p>
        </w:tc>
        <w:tc>
          <w:tcPr>
            <w:tcW w:w="1999" w:type="dxa"/>
            <w:tcBorders>
              <w:top w:val="single" w:sz="5" w:space="0" w:color="000000"/>
              <w:left w:val="single" w:sz="5" w:space="0" w:color="000000"/>
              <w:bottom w:val="single" w:sz="5" w:space="0" w:color="000000"/>
              <w:right w:val="single" w:sz="5" w:space="0" w:color="000000"/>
            </w:tcBorders>
          </w:tcPr>
          <w:p w14:paraId="5917416B" w14:textId="77777777" w:rsidR="00130E8B" w:rsidRPr="00CF5D7A" w:rsidRDefault="000405CC">
            <w:pPr>
              <w:pStyle w:val="TableParagraph"/>
              <w:spacing w:line="246" w:lineRule="exact"/>
              <w:ind w:left="423"/>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0,9 (0,3, 1,4)</w:t>
            </w:r>
          </w:p>
        </w:tc>
        <w:tc>
          <w:tcPr>
            <w:tcW w:w="1548" w:type="dxa"/>
            <w:tcBorders>
              <w:top w:val="single" w:sz="5" w:space="0" w:color="000000"/>
              <w:left w:val="single" w:sz="5" w:space="0" w:color="000000"/>
              <w:bottom w:val="single" w:sz="5" w:space="0" w:color="000000"/>
              <w:right w:val="single" w:sz="5" w:space="0" w:color="000000"/>
            </w:tcBorders>
          </w:tcPr>
          <w:p w14:paraId="6C358088" w14:textId="77777777" w:rsidR="00130E8B" w:rsidRPr="00CF5D7A" w:rsidRDefault="000405CC">
            <w:pPr>
              <w:pStyle w:val="TableParagraph"/>
              <w:spacing w:line="246" w:lineRule="exact"/>
              <w:ind w:left="575"/>
              <w:rPr>
                <w:rFonts w:ascii="Times New Roman" w:eastAsia="Times New Roman" w:hAnsi="Times New Roman" w:cs="Times New Roman"/>
                <w:lang w:val="hu-HU"/>
              </w:rPr>
            </w:pPr>
            <w:r w:rsidRPr="00CF5D7A">
              <w:rPr>
                <w:rFonts w:ascii="Times New Roman" w:eastAsia="Times New Roman" w:hAnsi="Times New Roman" w:cs="Times New Roman"/>
                <w:lang w:val="hu-HU"/>
              </w:rPr>
              <w:t>0,002</w:t>
            </w:r>
          </w:p>
        </w:tc>
      </w:tr>
    </w:tbl>
    <w:p w14:paraId="5EEFBDA5" w14:textId="77777777" w:rsidR="00130E8B" w:rsidRPr="00FB315F" w:rsidRDefault="000405CC">
      <w:pPr>
        <w:pStyle w:val="a3"/>
        <w:rPr>
          <w:lang w:val="hu-HU"/>
        </w:rPr>
      </w:pPr>
      <w:r w:rsidRPr="009167C6">
        <w:rPr>
          <w:rFonts w:eastAsia="Times New Roman"/>
          <w:bCs/>
          <w:position w:val="8"/>
          <w:vertAlign w:val="superscript"/>
          <w:lang w:val="hu-HU"/>
        </w:rPr>
        <w:t>a</w:t>
      </w:r>
      <w:r w:rsidRPr="009167C6">
        <w:rPr>
          <w:rFonts w:eastAsia="Times New Roman"/>
          <w:b/>
          <w:bCs/>
          <w:position w:val="8"/>
          <w:lang w:val="hu-HU"/>
        </w:rPr>
        <w:t xml:space="preserve"> </w:t>
      </w:r>
      <w:r w:rsidRPr="00FB315F">
        <w:rPr>
          <w:rFonts w:eastAsia="Times New Roman"/>
          <w:position w:val="8"/>
          <w:lang w:val="hu-HU"/>
        </w:rPr>
        <w:t>metotrexát</w:t>
      </w:r>
    </w:p>
    <w:p w14:paraId="2E4B3C42" w14:textId="77777777" w:rsidR="00130E8B" w:rsidRPr="00FB315F" w:rsidRDefault="000405CC">
      <w:pPr>
        <w:pStyle w:val="a3"/>
        <w:rPr>
          <w:lang w:val="hu-HU"/>
        </w:rPr>
      </w:pPr>
      <w:r w:rsidRPr="009167C6">
        <w:rPr>
          <w:rFonts w:eastAsia="Times New Roman"/>
          <w:position w:val="8"/>
          <w:vertAlign w:val="superscript"/>
          <w:lang w:val="hu-HU"/>
        </w:rPr>
        <w:t>b</w:t>
      </w:r>
      <w:r w:rsidRPr="009167C6">
        <w:rPr>
          <w:rFonts w:eastAsia="Times New Roman"/>
          <w:position w:val="8"/>
          <w:lang w:val="hu-HU"/>
        </w:rPr>
        <w:t xml:space="preserve"> </w:t>
      </w:r>
      <w:r w:rsidRPr="00FB315F">
        <w:rPr>
          <w:rFonts w:eastAsia="Times New Roman"/>
          <w:position w:val="8"/>
          <w:lang w:val="hu-HU"/>
        </w:rPr>
        <w:t>95%-os konfidencia intervallum a metotrexát és a Yuflyma pontértékeinek változása közötti különbségre</w:t>
      </w:r>
    </w:p>
    <w:p w14:paraId="1753773C" w14:textId="77777777" w:rsidR="00130E8B" w:rsidRPr="00FB315F" w:rsidRDefault="000405CC" w:rsidP="00AF1AD1">
      <w:pPr>
        <w:pStyle w:val="a3"/>
        <w:rPr>
          <w:lang w:val="hu-HU"/>
        </w:rPr>
      </w:pPr>
      <w:r w:rsidRPr="009167C6">
        <w:rPr>
          <w:rFonts w:eastAsia="Times New Roman"/>
          <w:position w:val="8"/>
          <w:vertAlign w:val="superscript"/>
          <w:lang w:val="hu-HU"/>
        </w:rPr>
        <w:t>c</w:t>
      </w:r>
      <w:r w:rsidRPr="009167C6">
        <w:rPr>
          <w:rFonts w:eastAsia="Times New Roman"/>
          <w:position w:val="8"/>
          <w:lang w:val="hu-HU"/>
        </w:rPr>
        <w:t xml:space="preserve"> </w:t>
      </w:r>
      <w:r w:rsidRPr="00FB315F">
        <w:rPr>
          <w:rFonts w:eastAsia="Times New Roman"/>
          <w:position w:val="8"/>
          <w:lang w:val="hu-HU"/>
        </w:rPr>
        <w:t>rank analízis alapján</w:t>
      </w:r>
    </w:p>
    <w:p w14:paraId="781208AB" w14:textId="77777777" w:rsidR="00130E8B" w:rsidRPr="00FB315F" w:rsidRDefault="000405CC" w:rsidP="00AF1AD1">
      <w:pPr>
        <w:pStyle w:val="a3"/>
        <w:rPr>
          <w:lang w:val="hu-HU"/>
        </w:rPr>
      </w:pPr>
      <w:r w:rsidRPr="009167C6">
        <w:rPr>
          <w:rFonts w:eastAsia="Times New Roman"/>
          <w:position w:val="8"/>
          <w:vertAlign w:val="superscript"/>
          <w:lang w:val="hu-HU"/>
        </w:rPr>
        <w:t>d</w:t>
      </w:r>
      <w:r w:rsidRPr="009167C6">
        <w:rPr>
          <w:rFonts w:eastAsia="Times New Roman"/>
          <w:position w:val="8"/>
          <w:lang w:val="hu-HU"/>
        </w:rPr>
        <w:t xml:space="preserve"> </w:t>
      </w:r>
      <w:r w:rsidRPr="00FB315F">
        <w:rPr>
          <w:rFonts w:eastAsia="Times New Roman"/>
          <w:position w:val="8"/>
          <w:lang w:val="hu-HU"/>
        </w:rPr>
        <w:t>Ízületi rés beszűkülése (JSP- Joint Space Narrowing)</w:t>
      </w:r>
    </w:p>
    <w:p w14:paraId="66E37A16" w14:textId="77777777" w:rsidR="00130E8B" w:rsidRDefault="00130E8B" w:rsidP="00AF1AD1">
      <w:pPr>
        <w:spacing w:before="17" w:line="240" w:lineRule="exact"/>
        <w:rPr>
          <w:sz w:val="24"/>
          <w:szCs w:val="24"/>
          <w:lang w:val="hu-HU"/>
        </w:rPr>
      </w:pPr>
    </w:p>
    <w:p w14:paraId="3FCF8279" w14:textId="34FB2499" w:rsidR="00130E8B" w:rsidRDefault="000405CC" w:rsidP="00AF1AD1">
      <w:pPr>
        <w:pStyle w:val="a3"/>
        <w:rPr>
          <w:lang w:val="hu-HU"/>
        </w:rPr>
      </w:pPr>
      <w:r>
        <w:rPr>
          <w:rFonts w:eastAsia="Times New Roman"/>
          <w:lang w:val="hu-HU"/>
        </w:rPr>
        <w:t>Az RA V vizsgálatban az ízületi károsodást radiológiailag is értékelték és módosított teljes Sharp pontokban fejezték ki (lásd 1</w:t>
      </w:r>
      <w:r w:rsidR="00417A10">
        <w:rPr>
          <w:rFonts w:eastAsia="Times New Roman"/>
          <w:lang w:val="hu-HU"/>
        </w:rPr>
        <w:t>1</w:t>
      </w:r>
      <w:r>
        <w:rPr>
          <w:rFonts w:eastAsia="Times New Roman"/>
          <w:lang w:val="hu-HU"/>
        </w:rPr>
        <w:t>. táblázat).</w:t>
      </w:r>
    </w:p>
    <w:p w14:paraId="7F727665" w14:textId="77777777" w:rsidR="00130E8B" w:rsidRDefault="00130E8B" w:rsidP="00AF1AD1">
      <w:pPr>
        <w:spacing w:before="15" w:line="240" w:lineRule="exact"/>
        <w:rPr>
          <w:sz w:val="24"/>
          <w:szCs w:val="24"/>
          <w:lang w:val="hu-HU"/>
        </w:rPr>
      </w:pPr>
    </w:p>
    <w:p w14:paraId="572BA096" w14:textId="21B7CB17" w:rsidR="00130E8B" w:rsidRDefault="000405CC" w:rsidP="00AF1AD1">
      <w:pPr>
        <w:pStyle w:val="a3"/>
        <w:jc w:val="center"/>
        <w:rPr>
          <w:b/>
          <w:lang w:val="hu-HU"/>
        </w:rPr>
      </w:pPr>
      <w:r>
        <w:rPr>
          <w:rFonts w:eastAsia="Times New Roman"/>
          <w:b/>
          <w:bCs/>
          <w:lang w:val="hu-HU"/>
        </w:rPr>
        <w:t>1</w:t>
      </w:r>
      <w:r w:rsidR="00417A10">
        <w:rPr>
          <w:rFonts w:eastAsia="Times New Roman"/>
          <w:b/>
          <w:bCs/>
          <w:lang w:val="hu-HU"/>
        </w:rPr>
        <w:t>1</w:t>
      </w:r>
      <w:r>
        <w:rPr>
          <w:rFonts w:eastAsia="Times New Roman"/>
          <w:b/>
          <w:bCs/>
          <w:lang w:val="hu-HU"/>
        </w:rPr>
        <w:t>. táblázat</w:t>
      </w:r>
    </w:p>
    <w:p w14:paraId="3FBC778E" w14:textId="50EDD7BC" w:rsidR="00130E8B" w:rsidRDefault="000405CC" w:rsidP="00AF1AD1">
      <w:pPr>
        <w:pStyle w:val="a3"/>
        <w:jc w:val="center"/>
        <w:rPr>
          <w:b/>
          <w:lang w:val="hu-HU"/>
        </w:rPr>
      </w:pPr>
      <w:r>
        <w:rPr>
          <w:rFonts w:eastAsia="Times New Roman"/>
          <w:b/>
          <w:bCs/>
          <w:lang w:val="hu-HU"/>
        </w:rPr>
        <w:t>Radiográfiás átlagos változások az 52. héten az RA</w:t>
      </w:r>
      <w:r w:rsidR="00961E14">
        <w:rPr>
          <w:rFonts w:eastAsia="Times New Roman"/>
          <w:b/>
          <w:bCs/>
          <w:lang w:val="hu-HU"/>
        </w:rPr>
        <w:t xml:space="preserve"> </w:t>
      </w:r>
      <w:r>
        <w:rPr>
          <w:rFonts w:eastAsia="Times New Roman"/>
          <w:b/>
          <w:bCs/>
          <w:lang w:val="hu-HU"/>
        </w:rPr>
        <w:t>V. vizsgálatban</w:t>
      </w:r>
    </w:p>
    <w:p w14:paraId="3C434CFE" w14:textId="77777777" w:rsidR="00130E8B" w:rsidRDefault="00130E8B" w:rsidP="00AF1AD1">
      <w:pPr>
        <w:spacing w:before="11" w:line="240" w:lineRule="exact"/>
        <w:rPr>
          <w:sz w:val="24"/>
          <w:szCs w:val="24"/>
          <w:lang w:val="hu-HU"/>
        </w:rPr>
      </w:pPr>
    </w:p>
    <w:tbl>
      <w:tblPr>
        <w:tblStyle w:val="TableNormal1"/>
        <w:tblW w:w="0" w:type="auto"/>
        <w:tblInd w:w="213" w:type="dxa"/>
        <w:tblLayout w:type="fixed"/>
        <w:tblLook w:val="01E0" w:firstRow="1" w:lastRow="1" w:firstColumn="1" w:lastColumn="1" w:noHBand="0" w:noVBand="0"/>
      </w:tblPr>
      <w:tblGrid>
        <w:gridCol w:w="1766"/>
        <w:gridCol w:w="1391"/>
        <w:gridCol w:w="1391"/>
        <w:gridCol w:w="1392"/>
        <w:gridCol w:w="991"/>
        <w:gridCol w:w="989"/>
        <w:gridCol w:w="991"/>
      </w:tblGrid>
      <w:tr w:rsidR="00130E8B" w:rsidRPr="00CF5D7A" w14:paraId="68C6BD4B" w14:textId="77777777" w:rsidTr="009167C6">
        <w:tc>
          <w:tcPr>
            <w:tcW w:w="1766" w:type="dxa"/>
            <w:tcBorders>
              <w:top w:val="single" w:sz="5" w:space="0" w:color="000000"/>
              <w:left w:val="single" w:sz="5" w:space="0" w:color="000000"/>
              <w:bottom w:val="single" w:sz="5" w:space="0" w:color="000000"/>
              <w:right w:val="single" w:sz="5" w:space="0" w:color="000000"/>
            </w:tcBorders>
          </w:tcPr>
          <w:p w14:paraId="7CED6DE8" w14:textId="77777777" w:rsidR="00130E8B" w:rsidRPr="00CF5D7A" w:rsidRDefault="00130E8B" w:rsidP="00AF1AD1">
            <w:pPr>
              <w:rPr>
                <w:lang w:val="hu-HU"/>
              </w:rPr>
            </w:pPr>
          </w:p>
        </w:tc>
        <w:tc>
          <w:tcPr>
            <w:tcW w:w="1391" w:type="dxa"/>
            <w:tcBorders>
              <w:top w:val="single" w:sz="5" w:space="0" w:color="000000"/>
              <w:left w:val="single" w:sz="5" w:space="0" w:color="000000"/>
              <w:bottom w:val="single" w:sz="5" w:space="0" w:color="000000"/>
              <w:right w:val="single" w:sz="5" w:space="0" w:color="000000"/>
            </w:tcBorders>
          </w:tcPr>
          <w:p w14:paraId="3B9E61FB" w14:textId="77777777" w:rsidR="00130E8B" w:rsidRPr="00CF5D7A" w:rsidRDefault="000405CC" w:rsidP="00AF1AD1">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MTX</w:t>
            </w:r>
          </w:p>
          <w:p w14:paraId="4621A809" w14:textId="77777777" w:rsidR="00130E8B" w:rsidRPr="00CF5D7A" w:rsidRDefault="000405CC" w:rsidP="00AF1AD1">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n=257 (95%-os</w:t>
            </w:r>
          </w:p>
          <w:p w14:paraId="1438308C" w14:textId="77777777" w:rsidR="00130E8B" w:rsidRPr="00CF5D7A" w:rsidRDefault="000405CC" w:rsidP="00AF1AD1">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konfidencia intervallum)</w:t>
            </w:r>
          </w:p>
        </w:tc>
        <w:tc>
          <w:tcPr>
            <w:tcW w:w="1391" w:type="dxa"/>
            <w:tcBorders>
              <w:top w:val="single" w:sz="5" w:space="0" w:color="000000"/>
              <w:left w:val="single" w:sz="5" w:space="0" w:color="000000"/>
              <w:bottom w:val="single" w:sz="5" w:space="0" w:color="000000"/>
              <w:right w:val="single" w:sz="5" w:space="0" w:color="000000"/>
            </w:tcBorders>
          </w:tcPr>
          <w:p w14:paraId="4AAB2514" w14:textId="77777777" w:rsidR="00130E8B" w:rsidRPr="00CF5D7A" w:rsidRDefault="000405CC" w:rsidP="00AF1AD1">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Adalimumab</w:t>
            </w:r>
          </w:p>
          <w:p w14:paraId="22BA4F47" w14:textId="77777777" w:rsidR="00130E8B" w:rsidRPr="00CF5D7A" w:rsidRDefault="000405CC" w:rsidP="00AF1AD1">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n=274 (95%-os</w:t>
            </w:r>
          </w:p>
          <w:p w14:paraId="6080168E" w14:textId="77777777" w:rsidR="00130E8B" w:rsidRPr="00CF5D7A" w:rsidRDefault="000405CC" w:rsidP="00AF1AD1">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konfidencia intervallum)</w:t>
            </w:r>
          </w:p>
        </w:tc>
        <w:tc>
          <w:tcPr>
            <w:tcW w:w="1392" w:type="dxa"/>
            <w:tcBorders>
              <w:top w:val="single" w:sz="5" w:space="0" w:color="000000"/>
              <w:left w:val="single" w:sz="5" w:space="0" w:color="000000"/>
              <w:bottom w:val="single" w:sz="5" w:space="0" w:color="000000"/>
              <w:right w:val="single" w:sz="5" w:space="0" w:color="000000"/>
            </w:tcBorders>
          </w:tcPr>
          <w:p w14:paraId="2CEE3588" w14:textId="77777777" w:rsidR="00130E8B" w:rsidRPr="00CF5D7A" w:rsidRDefault="000405CC" w:rsidP="00AF1AD1">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Adalimumab/MTX</w:t>
            </w:r>
          </w:p>
          <w:p w14:paraId="4988641E" w14:textId="77777777" w:rsidR="00130E8B" w:rsidRPr="00CF5D7A" w:rsidRDefault="000405CC" w:rsidP="00AF1AD1">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n=268 (95%-os</w:t>
            </w:r>
          </w:p>
          <w:p w14:paraId="1075B834" w14:textId="77777777" w:rsidR="00130E8B" w:rsidRPr="00CF5D7A" w:rsidRDefault="000405CC" w:rsidP="00AF1AD1">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konfidencia intervallum)</w:t>
            </w:r>
          </w:p>
        </w:tc>
        <w:tc>
          <w:tcPr>
            <w:tcW w:w="991" w:type="dxa"/>
            <w:tcBorders>
              <w:top w:val="single" w:sz="5" w:space="0" w:color="000000"/>
              <w:left w:val="single" w:sz="5" w:space="0" w:color="000000"/>
              <w:bottom w:val="single" w:sz="5" w:space="0" w:color="000000"/>
              <w:right w:val="single" w:sz="5" w:space="0" w:color="000000"/>
            </w:tcBorders>
          </w:tcPr>
          <w:p w14:paraId="0F286C8C" w14:textId="77777777" w:rsidR="00130E8B" w:rsidRPr="009167C6" w:rsidRDefault="00130E8B" w:rsidP="00AF1AD1">
            <w:pPr>
              <w:pStyle w:val="TableParagraph"/>
              <w:spacing w:line="200" w:lineRule="exact"/>
              <w:rPr>
                <w:lang w:val="hu-HU"/>
              </w:rPr>
            </w:pPr>
          </w:p>
          <w:p w14:paraId="1CD8FF8B" w14:textId="77777777" w:rsidR="00130E8B" w:rsidRPr="009167C6" w:rsidRDefault="00130E8B" w:rsidP="00AF1AD1">
            <w:pPr>
              <w:pStyle w:val="TableParagraph"/>
              <w:spacing w:before="14" w:line="280" w:lineRule="exact"/>
              <w:rPr>
                <w:lang w:val="hu-HU"/>
              </w:rPr>
            </w:pPr>
          </w:p>
          <w:p w14:paraId="4BD03250" w14:textId="77777777" w:rsidR="00130E8B" w:rsidRPr="009167C6" w:rsidRDefault="000405CC" w:rsidP="00AF1AD1">
            <w:pPr>
              <w:pStyle w:val="TableParagraph"/>
              <w:ind w:left="126"/>
              <w:rPr>
                <w:rFonts w:ascii="Times New Roman" w:eastAsia="Times New Roman" w:hAnsi="Times New Roman" w:cs="Times New Roman"/>
                <w:lang w:val="hu-HU"/>
              </w:rPr>
            </w:pPr>
            <w:r w:rsidRPr="00CF5D7A">
              <w:rPr>
                <w:rFonts w:ascii="Times New Roman" w:eastAsia="Times New Roman" w:hAnsi="Times New Roman" w:cs="Times New Roman"/>
                <w:lang w:val="hu-HU"/>
              </w:rPr>
              <w:t>p-érték</w:t>
            </w:r>
            <w:r w:rsidRPr="009167C6">
              <w:rPr>
                <w:rFonts w:ascii="Times New Roman" w:eastAsia="Times New Roman" w:hAnsi="Times New Roman" w:cs="Times New Roman"/>
                <w:vertAlign w:val="superscript"/>
                <w:lang w:val="hu-HU"/>
              </w:rPr>
              <w:t>a</w:t>
            </w:r>
          </w:p>
        </w:tc>
        <w:tc>
          <w:tcPr>
            <w:tcW w:w="989" w:type="dxa"/>
            <w:tcBorders>
              <w:top w:val="single" w:sz="5" w:space="0" w:color="000000"/>
              <w:left w:val="single" w:sz="5" w:space="0" w:color="000000"/>
              <w:bottom w:val="single" w:sz="5" w:space="0" w:color="000000"/>
              <w:right w:val="single" w:sz="5" w:space="0" w:color="000000"/>
            </w:tcBorders>
          </w:tcPr>
          <w:p w14:paraId="0D271775" w14:textId="77777777" w:rsidR="00130E8B" w:rsidRPr="009167C6" w:rsidRDefault="00130E8B" w:rsidP="00AF1AD1">
            <w:pPr>
              <w:pStyle w:val="TableParagraph"/>
              <w:spacing w:line="200" w:lineRule="exact"/>
              <w:rPr>
                <w:lang w:val="hu-HU"/>
              </w:rPr>
            </w:pPr>
          </w:p>
          <w:p w14:paraId="2FBBA8AA" w14:textId="77777777" w:rsidR="00130E8B" w:rsidRPr="009167C6" w:rsidRDefault="00130E8B" w:rsidP="00AF1AD1">
            <w:pPr>
              <w:pStyle w:val="TableParagraph"/>
              <w:spacing w:before="14" w:line="280" w:lineRule="exact"/>
              <w:rPr>
                <w:lang w:val="hu-HU"/>
              </w:rPr>
            </w:pPr>
          </w:p>
          <w:p w14:paraId="4D424E56" w14:textId="77777777" w:rsidR="00130E8B" w:rsidRPr="009167C6" w:rsidRDefault="000405CC" w:rsidP="00AF1AD1">
            <w:pPr>
              <w:pStyle w:val="TableParagraph"/>
              <w:ind w:left="121"/>
              <w:rPr>
                <w:rFonts w:ascii="Times New Roman" w:eastAsia="Times New Roman" w:hAnsi="Times New Roman" w:cs="Times New Roman"/>
                <w:lang w:val="hu-HU"/>
              </w:rPr>
            </w:pPr>
            <w:r w:rsidRPr="00CF5D7A">
              <w:rPr>
                <w:rFonts w:ascii="Times New Roman" w:eastAsia="Times New Roman" w:hAnsi="Times New Roman" w:cs="Times New Roman"/>
                <w:lang w:val="hu-HU"/>
              </w:rPr>
              <w:t>p-érték</w:t>
            </w:r>
            <w:r w:rsidRPr="009167C6">
              <w:rPr>
                <w:rFonts w:ascii="Times New Roman" w:eastAsia="Times New Roman" w:hAnsi="Times New Roman" w:cs="Times New Roman"/>
                <w:vertAlign w:val="superscript"/>
                <w:lang w:val="hu-HU"/>
              </w:rPr>
              <w:t>b</w:t>
            </w:r>
          </w:p>
        </w:tc>
        <w:tc>
          <w:tcPr>
            <w:tcW w:w="991" w:type="dxa"/>
            <w:tcBorders>
              <w:top w:val="single" w:sz="5" w:space="0" w:color="000000"/>
              <w:left w:val="single" w:sz="5" w:space="0" w:color="000000"/>
              <w:bottom w:val="single" w:sz="5" w:space="0" w:color="000000"/>
              <w:right w:val="single" w:sz="5" w:space="0" w:color="000000"/>
            </w:tcBorders>
          </w:tcPr>
          <w:p w14:paraId="03C40526" w14:textId="77777777" w:rsidR="00130E8B" w:rsidRPr="009167C6" w:rsidRDefault="00130E8B" w:rsidP="00AF1AD1">
            <w:pPr>
              <w:pStyle w:val="TableParagraph"/>
              <w:spacing w:line="200" w:lineRule="exact"/>
              <w:rPr>
                <w:lang w:val="hu-HU"/>
              </w:rPr>
            </w:pPr>
          </w:p>
          <w:p w14:paraId="1206365C" w14:textId="77777777" w:rsidR="00130E8B" w:rsidRPr="009167C6" w:rsidRDefault="00130E8B" w:rsidP="00AF1AD1">
            <w:pPr>
              <w:pStyle w:val="TableParagraph"/>
              <w:spacing w:before="14" w:line="280" w:lineRule="exact"/>
              <w:rPr>
                <w:lang w:val="hu-HU"/>
              </w:rPr>
            </w:pPr>
          </w:p>
          <w:p w14:paraId="136019B4" w14:textId="77777777" w:rsidR="00130E8B" w:rsidRPr="009167C6" w:rsidRDefault="000405CC" w:rsidP="00AF1AD1">
            <w:pPr>
              <w:pStyle w:val="TableParagraph"/>
              <w:ind w:left="126"/>
              <w:rPr>
                <w:rFonts w:ascii="Times New Roman" w:eastAsia="Times New Roman" w:hAnsi="Times New Roman" w:cs="Times New Roman"/>
                <w:lang w:val="hu-HU"/>
              </w:rPr>
            </w:pPr>
            <w:r w:rsidRPr="00CF5D7A">
              <w:rPr>
                <w:rFonts w:ascii="Times New Roman" w:eastAsia="Times New Roman" w:hAnsi="Times New Roman" w:cs="Times New Roman"/>
                <w:lang w:val="hu-HU"/>
              </w:rPr>
              <w:t>p-érték</w:t>
            </w:r>
            <w:r w:rsidRPr="009167C6">
              <w:rPr>
                <w:rFonts w:ascii="Times New Roman" w:eastAsia="Times New Roman" w:hAnsi="Times New Roman" w:cs="Times New Roman"/>
                <w:vertAlign w:val="superscript"/>
                <w:lang w:val="hu-HU"/>
              </w:rPr>
              <w:t>c</w:t>
            </w:r>
          </w:p>
        </w:tc>
      </w:tr>
      <w:tr w:rsidR="00FB315F" w:rsidRPr="00CF5D7A" w14:paraId="77F11512" w14:textId="77777777" w:rsidTr="009167C6">
        <w:tc>
          <w:tcPr>
            <w:tcW w:w="1766" w:type="dxa"/>
            <w:tcBorders>
              <w:top w:val="single" w:sz="5" w:space="0" w:color="000000"/>
              <w:left w:val="single" w:sz="5" w:space="0" w:color="000000"/>
              <w:bottom w:val="single" w:sz="5" w:space="0" w:color="000000"/>
              <w:right w:val="single" w:sz="5" w:space="0" w:color="000000"/>
            </w:tcBorders>
          </w:tcPr>
          <w:p w14:paraId="2B58DB36" w14:textId="77777777" w:rsidR="00FB315F" w:rsidRPr="00CF5D7A" w:rsidRDefault="00FB315F" w:rsidP="00AF1AD1">
            <w:pPr>
              <w:pStyle w:val="TableParagraph"/>
              <w:spacing w:line="246" w:lineRule="exact"/>
              <w:ind w:left="177" w:right="179"/>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Teljes Sharp-</w:t>
            </w:r>
          </w:p>
          <w:p w14:paraId="0ADE6EDA" w14:textId="77777777" w:rsidR="00FB315F" w:rsidRPr="00CF5D7A" w:rsidRDefault="00FB315F" w:rsidP="00AF1AD1">
            <w:pPr>
              <w:pStyle w:val="TableParagraph"/>
              <w:spacing w:line="252" w:lineRule="exact"/>
              <w:ind w:left="439" w:right="439"/>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pontérték</w:t>
            </w:r>
          </w:p>
        </w:tc>
        <w:tc>
          <w:tcPr>
            <w:tcW w:w="1391" w:type="dxa"/>
            <w:tcBorders>
              <w:top w:val="single" w:sz="5" w:space="0" w:color="000000"/>
              <w:left w:val="single" w:sz="5" w:space="0" w:color="000000"/>
              <w:bottom w:val="single" w:sz="5" w:space="0" w:color="000000"/>
              <w:right w:val="single" w:sz="5" w:space="0" w:color="000000"/>
            </w:tcBorders>
          </w:tcPr>
          <w:p w14:paraId="124F5892" w14:textId="4F7A2E3F" w:rsidR="00FB315F" w:rsidRPr="00CF5D7A" w:rsidRDefault="00FB315F" w:rsidP="00AF1AD1">
            <w:pPr>
              <w:pStyle w:val="TableParagraph"/>
              <w:spacing w:line="246" w:lineRule="exact"/>
              <w:ind w:left="215"/>
              <w:rPr>
                <w:rFonts w:ascii="Times New Roman" w:eastAsia="Times New Roman" w:hAnsi="Times New Roman" w:cs="Times New Roman"/>
                <w:lang w:val="hu-HU"/>
              </w:rPr>
            </w:pPr>
            <w:r w:rsidRPr="00CF5D7A">
              <w:rPr>
                <w:rFonts w:ascii="Times New Roman" w:eastAsia="Times New Roman" w:hAnsi="Times New Roman" w:cs="Times New Roman"/>
              </w:rPr>
              <w:t>5.7 (4.2</w:t>
            </w:r>
            <w:r w:rsidRPr="00CF5D7A">
              <w:rPr>
                <w:rFonts w:ascii="Times New Roman" w:eastAsia="Times New Roman" w:hAnsi="Times New Roman" w:cs="Times New Roman"/>
                <w:spacing w:val="-4"/>
              </w:rPr>
              <w:t>-</w:t>
            </w:r>
            <w:r w:rsidRPr="00CF5D7A">
              <w:rPr>
                <w:rFonts w:ascii="Times New Roman" w:eastAsia="Times New Roman" w:hAnsi="Times New Roman" w:cs="Times New Roman"/>
              </w:rPr>
              <w:t>7.3)</w:t>
            </w:r>
          </w:p>
        </w:tc>
        <w:tc>
          <w:tcPr>
            <w:tcW w:w="1391" w:type="dxa"/>
            <w:tcBorders>
              <w:top w:val="single" w:sz="5" w:space="0" w:color="000000"/>
              <w:left w:val="single" w:sz="5" w:space="0" w:color="000000"/>
              <w:bottom w:val="single" w:sz="5" w:space="0" w:color="000000"/>
              <w:right w:val="single" w:sz="5" w:space="0" w:color="000000"/>
            </w:tcBorders>
          </w:tcPr>
          <w:p w14:paraId="0905956F" w14:textId="1D4D16C2" w:rsidR="00FB315F" w:rsidRPr="00CF5D7A" w:rsidRDefault="00FB315F" w:rsidP="00AF1AD1">
            <w:pPr>
              <w:pStyle w:val="TableParagraph"/>
              <w:spacing w:line="246" w:lineRule="exact"/>
              <w:ind w:left="183"/>
              <w:rPr>
                <w:rFonts w:ascii="Times New Roman" w:eastAsia="Times New Roman" w:hAnsi="Times New Roman" w:cs="Times New Roman"/>
                <w:lang w:val="hu-HU"/>
              </w:rPr>
            </w:pPr>
            <w:r w:rsidRPr="00CF5D7A">
              <w:rPr>
                <w:rFonts w:ascii="Times New Roman" w:eastAsia="Times New Roman" w:hAnsi="Times New Roman" w:cs="Times New Roman"/>
              </w:rPr>
              <w:t>3.0 (1.7</w:t>
            </w:r>
            <w:r w:rsidRPr="00CF5D7A">
              <w:rPr>
                <w:rFonts w:ascii="Times New Roman" w:eastAsia="Times New Roman" w:hAnsi="Times New Roman" w:cs="Times New Roman"/>
                <w:spacing w:val="-4"/>
              </w:rPr>
              <w:t>-</w:t>
            </w:r>
            <w:r w:rsidRPr="00CF5D7A">
              <w:rPr>
                <w:rFonts w:ascii="Times New Roman" w:eastAsia="Times New Roman" w:hAnsi="Times New Roman" w:cs="Times New Roman"/>
              </w:rPr>
              <w:t>4.3)</w:t>
            </w:r>
          </w:p>
        </w:tc>
        <w:tc>
          <w:tcPr>
            <w:tcW w:w="1392" w:type="dxa"/>
            <w:tcBorders>
              <w:top w:val="single" w:sz="5" w:space="0" w:color="000000"/>
              <w:left w:val="single" w:sz="5" w:space="0" w:color="000000"/>
              <w:bottom w:val="single" w:sz="5" w:space="0" w:color="000000"/>
              <w:right w:val="single" w:sz="5" w:space="0" w:color="000000"/>
            </w:tcBorders>
          </w:tcPr>
          <w:p w14:paraId="3642863C" w14:textId="316ECB39" w:rsidR="00FB315F" w:rsidRPr="00CF5D7A" w:rsidRDefault="00FB315F" w:rsidP="00AF1AD1">
            <w:pPr>
              <w:pStyle w:val="TableParagraph"/>
              <w:spacing w:line="246" w:lineRule="exact"/>
              <w:ind w:left="188"/>
              <w:rPr>
                <w:rFonts w:ascii="Times New Roman" w:eastAsia="Times New Roman" w:hAnsi="Times New Roman" w:cs="Times New Roman"/>
                <w:lang w:val="hu-HU"/>
              </w:rPr>
            </w:pPr>
            <w:r w:rsidRPr="00CF5D7A">
              <w:rPr>
                <w:rFonts w:ascii="Times New Roman" w:eastAsia="Times New Roman" w:hAnsi="Times New Roman" w:cs="Times New Roman"/>
              </w:rPr>
              <w:t>1.3 (0.5</w:t>
            </w:r>
            <w:r w:rsidRPr="00CF5D7A">
              <w:rPr>
                <w:rFonts w:ascii="Times New Roman" w:eastAsia="Times New Roman" w:hAnsi="Times New Roman" w:cs="Times New Roman"/>
                <w:spacing w:val="-4"/>
              </w:rPr>
              <w:t>-</w:t>
            </w:r>
            <w:r w:rsidRPr="00CF5D7A">
              <w:rPr>
                <w:rFonts w:ascii="Times New Roman" w:eastAsia="Times New Roman" w:hAnsi="Times New Roman" w:cs="Times New Roman"/>
              </w:rPr>
              <w:t>2.1)</w:t>
            </w:r>
          </w:p>
        </w:tc>
        <w:tc>
          <w:tcPr>
            <w:tcW w:w="991" w:type="dxa"/>
            <w:tcBorders>
              <w:top w:val="single" w:sz="5" w:space="0" w:color="000000"/>
              <w:left w:val="single" w:sz="5" w:space="0" w:color="000000"/>
              <w:bottom w:val="single" w:sz="5" w:space="0" w:color="000000"/>
              <w:right w:val="single" w:sz="5" w:space="0" w:color="000000"/>
            </w:tcBorders>
          </w:tcPr>
          <w:p w14:paraId="31248D81" w14:textId="02770CC6" w:rsidR="00FB315F" w:rsidRPr="00CF5D7A" w:rsidRDefault="00FB315F" w:rsidP="00AF1AD1">
            <w:pPr>
              <w:pStyle w:val="TableParagraph"/>
              <w:spacing w:line="246" w:lineRule="exact"/>
              <w:ind w:left="150"/>
              <w:rPr>
                <w:rFonts w:ascii="Times New Roman" w:eastAsia="Times New Roman" w:hAnsi="Times New Roman" w:cs="Times New Roman"/>
                <w:lang w:val="hu-HU"/>
              </w:rPr>
            </w:pPr>
            <w:r w:rsidRPr="00CF5D7A">
              <w:rPr>
                <w:rFonts w:ascii="Times New Roman" w:eastAsia="Times New Roman" w:hAnsi="Times New Roman" w:cs="Times New Roman"/>
              </w:rPr>
              <w:t>&lt; 0.001</w:t>
            </w:r>
          </w:p>
        </w:tc>
        <w:tc>
          <w:tcPr>
            <w:tcW w:w="989" w:type="dxa"/>
            <w:tcBorders>
              <w:top w:val="single" w:sz="5" w:space="0" w:color="000000"/>
              <w:left w:val="single" w:sz="5" w:space="0" w:color="000000"/>
              <w:bottom w:val="single" w:sz="5" w:space="0" w:color="000000"/>
              <w:right w:val="single" w:sz="5" w:space="0" w:color="000000"/>
            </w:tcBorders>
          </w:tcPr>
          <w:p w14:paraId="6255624E" w14:textId="2C31AAD9" w:rsidR="00FB315F" w:rsidRPr="00CF5D7A" w:rsidRDefault="00FB315F" w:rsidP="00AF1AD1">
            <w:pPr>
              <w:pStyle w:val="TableParagraph"/>
              <w:spacing w:line="246" w:lineRule="exact"/>
              <w:ind w:left="183"/>
              <w:rPr>
                <w:rFonts w:ascii="Times New Roman" w:eastAsia="Times New Roman" w:hAnsi="Times New Roman" w:cs="Times New Roman"/>
                <w:lang w:val="hu-HU"/>
              </w:rPr>
            </w:pPr>
            <w:r w:rsidRPr="00CF5D7A">
              <w:rPr>
                <w:rFonts w:ascii="Times New Roman" w:eastAsia="Times New Roman" w:hAnsi="Times New Roman" w:cs="Times New Roman"/>
              </w:rPr>
              <w:t>0.0020</w:t>
            </w:r>
          </w:p>
        </w:tc>
        <w:tc>
          <w:tcPr>
            <w:tcW w:w="991" w:type="dxa"/>
            <w:tcBorders>
              <w:top w:val="single" w:sz="5" w:space="0" w:color="000000"/>
              <w:left w:val="single" w:sz="5" w:space="0" w:color="000000"/>
              <w:bottom w:val="single" w:sz="5" w:space="0" w:color="000000"/>
              <w:right w:val="single" w:sz="5" w:space="0" w:color="000000"/>
            </w:tcBorders>
          </w:tcPr>
          <w:p w14:paraId="00A93F61" w14:textId="0874130A" w:rsidR="00FB315F" w:rsidRPr="00CF5D7A" w:rsidRDefault="00FB315F" w:rsidP="00AF1AD1">
            <w:pPr>
              <w:pStyle w:val="TableParagraph"/>
              <w:spacing w:line="246" w:lineRule="exact"/>
              <w:ind w:left="150"/>
              <w:rPr>
                <w:rFonts w:ascii="Times New Roman" w:eastAsia="Times New Roman" w:hAnsi="Times New Roman" w:cs="Times New Roman"/>
                <w:lang w:val="hu-HU"/>
              </w:rPr>
            </w:pPr>
            <w:r w:rsidRPr="00CF5D7A">
              <w:rPr>
                <w:rFonts w:ascii="Times New Roman" w:eastAsia="Times New Roman" w:hAnsi="Times New Roman" w:cs="Times New Roman"/>
              </w:rPr>
              <w:t>&lt; 0.001</w:t>
            </w:r>
          </w:p>
        </w:tc>
      </w:tr>
      <w:tr w:rsidR="00130E8B" w:rsidRPr="00CF5D7A" w14:paraId="4E6B81EA" w14:textId="77777777" w:rsidTr="009167C6">
        <w:tc>
          <w:tcPr>
            <w:tcW w:w="1766" w:type="dxa"/>
            <w:tcBorders>
              <w:top w:val="single" w:sz="5" w:space="0" w:color="000000"/>
              <w:left w:val="single" w:sz="5" w:space="0" w:color="000000"/>
              <w:bottom w:val="single" w:sz="5" w:space="0" w:color="000000"/>
              <w:right w:val="single" w:sz="5" w:space="0" w:color="000000"/>
            </w:tcBorders>
          </w:tcPr>
          <w:p w14:paraId="76C25384" w14:textId="77777777" w:rsidR="00130E8B" w:rsidRPr="00CF5D7A" w:rsidRDefault="000405CC" w:rsidP="00AF1AD1">
            <w:pPr>
              <w:pStyle w:val="TableParagraph"/>
              <w:spacing w:line="246" w:lineRule="exact"/>
              <w:ind w:left="107"/>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Eróziós pontérték</w:t>
            </w:r>
          </w:p>
        </w:tc>
        <w:tc>
          <w:tcPr>
            <w:tcW w:w="1391" w:type="dxa"/>
            <w:tcBorders>
              <w:top w:val="single" w:sz="5" w:space="0" w:color="000000"/>
              <w:left w:val="single" w:sz="5" w:space="0" w:color="000000"/>
              <w:bottom w:val="single" w:sz="5" w:space="0" w:color="000000"/>
              <w:right w:val="single" w:sz="5" w:space="0" w:color="000000"/>
            </w:tcBorders>
          </w:tcPr>
          <w:p w14:paraId="180ADDA0" w14:textId="77777777" w:rsidR="00130E8B" w:rsidRPr="00CF5D7A" w:rsidRDefault="000405CC" w:rsidP="00AF1AD1">
            <w:pPr>
              <w:pStyle w:val="TableParagraph"/>
              <w:spacing w:line="246" w:lineRule="exact"/>
              <w:ind w:left="215"/>
              <w:rPr>
                <w:rFonts w:ascii="Times New Roman" w:eastAsia="Times New Roman" w:hAnsi="Times New Roman" w:cs="Times New Roman"/>
                <w:lang w:val="hu-HU"/>
              </w:rPr>
            </w:pPr>
            <w:r w:rsidRPr="00CF5D7A">
              <w:rPr>
                <w:rFonts w:ascii="Times New Roman" w:eastAsia="Times New Roman" w:hAnsi="Times New Roman" w:cs="Times New Roman"/>
                <w:lang w:val="hu-HU"/>
              </w:rPr>
              <w:t>3,7 (2,7-4,7)</w:t>
            </w:r>
          </w:p>
        </w:tc>
        <w:tc>
          <w:tcPr>
            <w:tcW w:w="1391" w:type="dxa"/>
            <w:tcBorders>
              <w:top w:val="single" w:sz="5" w:space="0" w:color="000000"/>
              <w:left w:val="single" w:sz="5" w:space="0" w:color="000000"/>
              <w:bottom w:val="single" w:sz="5" w:space="0" w:color="000000"/>
              <w:right w:val="single" w:sz="5" w:space="0" w:color="000000"/>
            </w:tcBorders>
          </w:tcPr>
          <w:p w14:paraId="73E5018A" w14:textId="77777777" w:rsidR="00130E8B" w:rsidRPr="00CF5D7A" w:rsidRDefault="000405CC" w:rsidP="00AF1AD1">
            <w:pPr>
              <w:pStyle w:val="TableParagraph"/>
              <w:spacing w:line="246" w:lineRule="exact"/>
              <w:ind w:left="183"/>
              <w:rPr>
                <w:rFonts w:ascii="Times New Roman" w:eastAsia="Times New Roman" w:hAnsi="Times New Roman" w:cs="Times New Roman"/>
                <w:lang w:val="hu-HU"/>
              </w:rPr>
            </w:pPr>
            <w:r w:rsidRPr="00CF5D7A">
              <w:rPr>
                <w:rFonts w:ascii="Times New Roman" w:eastAsia="Times New Roman" w:hAnsi="Times New Roman" w:cs="Times New Roman"/>
                <w:lang w:val="hu-HU"/>
              </w:rPr>
              <w:t>1,7 (1,0-2,4)</w:t>
            </w:r>
          </w:p>
        </w:tc>
        <w:tc>
          <w:tcPr>
            <w:tcW w:w="1392" w:type="dxa"/>
            <w:tcBorders>
              <w:top w:val="single" w:sz="5" w:space="0" w:color="000000"/>
              <w:left w:val="single" w:sz="5" w:space="0" w:color="000000"/>
              <w:bottom w:val="single" w:sz="5" w:space="0" w:color="000000"/>
              <w:right w:val="single" w:sz="5" w:space="0" w:color="000000"/>
            </w:tcBorders>
          </w:tcPr>
          <w:p w14:paraId="3378F0BD" w14:textId="77777777" w:rsidR="00130E8B" w:rsidRPr="00CF5D7A" w:rsidRDefault="000405CC" w:rsidP="00AF1AD1">
            <w:pPr>
              <w:pStyle w:val="TableParagraph"/>
              <w:spacing w:line="246" w:lineRule="exact"/>
              <w:ind w:left="188"/>
              <w:rPr>
                <w:rFonts w:ascii="Times New Roman" w:eastAsia="Times New Roman" w:hAnsi="Times New Roman" w:cs="Times New Roman"/>
                <w:lang w:val="hu-HU"/>
              </w:rPr>
            </w:pPr>
            <w:r w:rsidRPr="00CF5D7A">
              <w:rPr>
                <w:rFonts w:ascii="Times New Roman" w:eastAsia="Times New Roman" w:hAnsi="Times New Roman" w:cs="Times New Roman"/>
                <w:lang w:val="hu-HU"/>
              </w:rPr>
              <w:t>0,8 (0,4-1,2)</w:t>
            </w:r>
          </w:p>
        </w:tc>
        <w:tc>
          <w:tcPr>
            <w:tcW w:w="991" w:type="dxa"/>
            <w:tcBorders>
              <w:top w:val="single" w:sz="5" w:space="0" w:color="000000"/>
              <w:left w:val="single" w:sz="5" w:space="0" w:color="000000"/>
              <w:bottom w:val="single" w:sz="5" w:space="0" w:color="000000"/>
              <w:right w:val="single" w:sz="5" w:space="0" w:color="000000"/>
            </w:tcBorders>
          </w:tcPr>
          <w:p w14:paraId="41B841D3" w14:textId="77777777" w:rsidR="00130E8B" w:rsidRPr="00CF5D7A" w:rsidRDefault="000405CC" w:rsidP="00AF1AD1">
            <w:pPr>
              <w:pStyle w:val="TableParagraph"/>
              <w:spacing w:line="246" w:lineRule="exact"/>
              <w:ind w:left="150"/>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989" w:type="dxa"/>
            <w:tcBorders>
              <w:top w:val="single" w:sz="5" w:space="0" w:color="000000"/>
              <w:left w:val="single" w:sz="5" w:space="0" w:color="000000"/>
              <w:bottom w:val="single" w:sz="5" w:space="0" w:color="000000"/>
              <w:right w:val="single" w:sz="5" w:space="0" w:color="000000"/>
            </w:tcBorders>
          </w:tcPr>
          <w:p w14:paraId="54C21A36" w14:textId="77777777" w:rsidR="00130E8B" w:rsidRPr="00CF5D7A" w:rsidRDefault="000405CC" w:rsidP="00AF1AD1">
            <w:pPr>
              <w:pStyle w:val="TableParagraph"/>
              <w:spacing w:line="246" w:lineRule="exact"/>
              <w:ind w:left="183"/>
              <w:rPr>
                <w:rFonts w:ascii="Times New Roman" w:eastAsia="Times New Roman" w:hAnsi="Times New Roman" w:cs="Times New Roman"/>
                <w:lang w:val="hu-HU"/>
              </w:rPr>
            </w:pPr>
            <w:r w:rsidRPr="00CF5D7A">
              <w:rPr>
                <w:rFonts w:ascii="Times New Roman" w:eastAsia="Times New Roman" w:hAnsi="Times New Roman" w:cs="Times New Roman"/>
                <w:lang w:val="hu-HU"/>
              </w:rPr>
              <w:t>0,0082</w:t>
            </w:r>
          </w:p>
        </w:tc>
        <w:tc>
          <w:tcPr>
            <w:tcW w:w="991" w:type="dxa"/>
            <w:tcBorders>
              <w:top w:val="single" w:sz="5" w:space="0" w:color="000000"/>
              <w:left w:val="single" w:sz="5" w:space="0" w:color="000000"/>
              <w:bottom w:val="single" w:sz="5" w:space="0" w:color="000000"/>
              <w:right w:val="single" w:sz="5" w:space="0" w:color="000000"/>
            </w:tcBorders>
          </w:tcPr>
          <w:p w14:paraId="35746C4C" w14:textId="77777777" w:rsidR="00130E8B" w:rsidRPr="00CF5D7A" w:rsidRDefault="000405CC" w:rsidP="00AF1AD1">
            <w:pPr>
              <w:pStyle w:val="TableParagraph"/>
              <w:spacing w:line="246" w:lineRule="exact"/>
              <w:ind w:left="150"/>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r>
      <w:tr w:rsidR="00130E8B" w:rsidRPr="00CF5D7A" w14:paraId="56D0D917" w14:textId="77777777" w:rsidTr="009167C6">
        <w:tc>
          <w:tcPr>
            <w:tcW w:w="1766" w:type="dxa"/>
            <w:tcBorders>
              <w:top w:val="single" w:sz="5" w:space="0" w:color="000000"/>
              <w:left w:val="single" w:sz="5" w:space="0" w:color="000000"/>
              <w:bottom w:val="single" w:sz="5" w:space="0" w:color="000000"/>
              <w:right w:val="single" w:sz="5" w:space="0" w:color="000000"/>
            </w:tcBorders>
          </w:tcPr>
          <w:p w14:paraId="0D63D3D7" w14:textId="77777777" w:rsidR="00130E8B" w:rsidRPr="00CF5D7A" w:rsidRDefault="000405CC" w:rsidP="00AF1AD1">
            <w:pPr>
              <w:pStyle w:val="TableParagraph"/>
              <w:spacing w:line="246" w:lineRule="exact"/>
              <w:ind w:left="265"/>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JSN-pontérték</w:t>
            </w:r>
          </w:p>
        </w:tc>
        <w:tc>
          <w:tcPr>
            <w:tcW w:w="1391" w:type="dxa"/>
            <w:tcBorders>
              <w:top w:val="single" w:sz="5" w:space="0" w:color="000000"/>
              <w:left w:val="single" w:sz="5" w:space="0" w:color="000000"/>
              <w:bottom w:val="single" w:sz="5" w:space="0" w:color="000000"/>
              <w:right w:val="single" w:sz="5" w:space="0" w:color="000000"/>
            </w:tcBorders>
          </w:tcPr>
          <w:p w14:paraId="49C28CD0" w14:textId="77777777" w:rsidR="00130E8B" w:rsidRPr="00CF5D7A" w:rsidRDefault="000405CC" w:rsidP="00AF1AD1">
            <w:pPr>
              <w:pStyle w:val="TableParagraph"/>
              <w:spacing w:line="246" w:lineRule="exact"/>
              <w:ind w:left="215"/>
              <w:rPr>
                <w:rFonts w:ascii="Times New Roman" w:eastAsia="Times New Roman" w:hAnsi="Times New Roman" w:cs="Times New Roman"/>
                <w:lang w:val="hu-HU"/>
              </w:rPr>
            </w:pPr>
            <w:r w:rsidRPr="00CF5D7A">
              <w:rPr>
                <w:rFonts w:ascii="Times New Roman" w:eastAsia="Times New Roman" w:hAnsi="Times New Roman" w:cs="Times New Roman"/>
                <w:lang w:val="hu-HU"/>
              </w:rPr>
              <w:t>2,0 (1,2-2,8)</w:t>
            </w:r>
          </w:p>
        </w:tc>
        <w:tc>
          <w:tcPr>
            <w:tcW w:w="1391" w:type="dxa"/>
            <w:tcBorders>
              <w:top w:val="single" w:sz="5" w:space="0" w:color="000000"/>
              <w:left w:val="single" w:sz="5" w:space="0" w:color="000000"/>
              <w:bottom w:val="single" w:sz="5" w:space="0" w:color="000000"/>
              <w:right w:val="single" w:sz="5" w:space="0" w:color="000000"/>
            </w:tcBorders>
          </w:tcPr>
          <w:p w14:paraId="47A0D9C2" w14:textId="77777777" w:rsidR="00130E8B" w:rsidRPr="00CF5D7A" w:rsidRDefault="000405CC" w:rsidP="00AF1AD1">
            <w:pPr>
              <w:pStyle w:val="TableParagraph"/>
              <w:spacing w:line="246" w:lineRule="exact"/>
              <w:ind w:left="183"/>
              <w:rPr>
                <w:rFonts w:ascii="Times New Roman" w:eastAsia="Times New Roman" w:hAnsi="Times New Roman" w:cs="Times New Roman"/>
                <w:lang w:val="hu-HU"/>
              </w:rPr>
            </w:pPr>
            <w:r w:rsidRPr="00CF5D7A">
              <w:rPr>
                <w:rFonts w:ascii="Times New Roman" w:eastAsia="Times New Roman" w:hAnsi="Times New Roman" w:cs="Times New Roman"/>
                <w:lang w:val="hu-HU"/>
              </w:rPr>
              <w:t>1,3 (0,5-2,1)</w:t>
            </w:r>
          </w:p>
        </w:tc>
        <w:tc>
          <w:tcPr>
            <w:tcW w:w="1392" w:type="dxa"/>
            <w:tcBorders>
              <w:top w:val="single" w:sz="5" w:space="0" w:color="000000"/>
              <w:left w:val="single" w:sz="5" w:space="0" w:color="000000"/>
              <w:bottom w:val="single" w:sz="5" w:space="0" w:color="000000"/>
              <w:right w:val="single" w:sz="5" w:space="0" w:color="000000"/>
            </w:tcBorders>
          </w:tcPr>
          <w:p w14:paraId="00CECB49" w14:textId="77777777" w:rsidR="00130E8B" w:rsidRPr="00CF5D7A" w:rsidRDefault="000405CC" w:rsidP="00AF1AD1">
            <w:pPr>
              <w:pStyle w:val="TableParagraph"/>
              <w:spacing w:line="246" w:lineRule="exact"/>
              <w:ind w:left="270"/>
              <w:rPr>
                <w:rFonts w:ascii="Times New Roman" w:eastAsia="Times New Roman" w:hAnsi="Times New Roman" w:cs="Times New Roman"/>
                <w:lang w:val="hu-HU"/>
              </w:rPr>
            </w:pPr>
            <w:r w:rsidRPr="00CF5D7A">
              <w:rPr>
                <w:rFonts w:ascii="Times New Roman" w:eastAsia="Times New Roman" w:hAnsi="Times New Roman" w:cs="Times New Roman"/>
                <w:lang w:val="hu-HU"/>
              </w:rPr>
              <w:t>0,5 (0-1,0)</w:t>
            </w:r>
          </w:p>
        </w:tc>
        <w:tc>
          <w:tcPr>
            <w:tcW w:w="991" w:type="dxa"/>
            <w:tcBorders>
              <w:top w:val="single" w:sz="5" w:space="0" w:color="000000"/>
              <w:left w:val="single" w:sz="5" w:space="0" w:color="000000"/>
              <w:bottom w:val="single" w:sz="5" w:space="0" w:color="000000"/>
              <w:right w:val="single" w:sz="5" w:space="0" w:color="000000"/>
            </w:tcBorders>
          </w:tcPr>
          <w:p w14:paraId="185960E6" w14:textId="77777777" w:rsidR="00130E8B" w:rsidRPr="00CF5D7A" w:rsidRDefault="000405CC" w:rsidP="00AF1AD1">
            <w:pPr>
              <w:pStyle w:val="TableParagraph"/>
              <w:spacing w:line="246" w:lineRule="exact"/>
              <w:ind w:left="150"/>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989" w:type="dxa"/>
            <w:tcBorders>
              <w:top w:val="single" w:sz="5" w:space="0" w:color="000000"/>
              <w:left w:val="single" w:sz="5" w:space="0" w:color="000000"/>
              <w:bottom w:val="single" w:sz="5" w:space="0" w:color="000000"/>
              <w:right w:val="single" w:sz="5" w:space="0" w:color="000000"/>
            </w:tcBorders>
          </w:tcPr>
          <w:p w14:paraId="37E725EF" w14:textId="77777777" w:rsidR="00130E8B" w:rsidRPr="00CF5D7A" w:rsidRDefault="000405CC" w:rsidP="00AF1AD1">
            <w:pPr>
              <w:pStyle w:val="TableParagraph"/>
              <w:spacing w:line="246" w:lineRule="exact"/>
              <w:ind w:left="183"/>
              <w:rPr>
                <w:rFonts w:ascii="Times New Roman" w:eastAsia="Times New Roman" w:hAnsi="Times New Roman" w:cs="Times New Roman"/>
                <w:lang w:val="hu-HU"/>
              </w:rPr>
            </w:pPr>
            <w:r w:rsidRPr="00CF5D7A">
              <w:rPr>
                <w:rFonts w:ascii="Times New Roman" w:eastAsia="Times New Roman" w:hAnsi="Times New Roman" w:cs="Times New Roman"/>
                <w:lang w:val="hu-HU"/>
              </w:rPr>
              <w:t>0,0037</w:t>
            </w:r>
          </w:p>
        </w:tc>
        <w:tc>
          <w:tcPr>
            <w:tcW w:w="991" w:type="dxa"/>
            <w:tcBorders>
              <w:top w:val="single" w:sz="5" w:space="0" w:color="000000"/>
              <w:left w:val="single" w:sz="5" w:space="0" w:color="000000"/>
              <w:bottom w:val="single" w:sz="5" w:space="0" w:color="000000"/>
              <w:right w:val="single" w:sz="5" w:space="0" w:color="000000"/>
            </w:tcBorders>
          </w:tcPr>
          <w:p w14:paraId="39A700A7" w14:textId="77777777" w:rsidR="00130E8B" w:rsidRPr="00CF5D7A" w:rsidRDefault="000405CC" w:rsidP="00AF1AD1">
            <w:pPr>
              <w:pStyle w:val="TableParagraph"/>
              <w:spacing w:line="246" w:lineRule="exact"/>
              <w:ind w:left="241"/>
              <w:rPr>
                <w:rFonts w:ascii="Times New Roman" w:eastAsia="Times New Roman" w:hAnsi="Times New Roman" w:cs="Times New Roman"/>
                <w:lang w:val="hu-HU"/>
              </w:rPr>
            </w:pPr>
            <w:r w:rsidRPr="00CF5D7A">
              <w:rPr>
                <w:rFonts w:ascii="Times New Roman" w:eastAsia="Times New Roman" w:hAnsi="Times New Roman" w:cs="Times New Roman"/>
                <w:lang w:val="hu-HU"/>
              </w:rPr>
              <w:t>0,151</w:t>
            </w:r>
          </w:p>
        </w:tc>
      </w:tr>
    </w:tbl>
    <w:p w14:paraId="252519B4" w14:textId="0ED8601F" w:rsidR="00130E8B" w:rsidRPr="008668A9" w:rsidRDefault="000405CC" w:rsidP="00AF1AD1">
      <w:pPr>
        <w:pStyle w:val="a3"/>
        <w:rPr>
          <w:lang w:val="hu-HU"/>
        </w:rPr>
      </w:pPr>
      <w:r w:rsidRPr="001E2F31">
        <w:rPr>
          <w:rFonts w:eastAsia="Times New Roman"/>
          <w:vertAlign w:val="superscript"/>
          <w:lang w:val="hu-HU"/>
        </w:rPr>
        <w:t>a</w:t>
      </w:r>
      <w:r w:rsidRPr="001E2F31">
        <w:rPr>
          <w:rFonts w:eastAsia="Times New Roman"/>
          <w:lang w:val="hu-HU"/>
        </w:rPr>
        <w:t xml:space="preserve"> a p-érték a metotrexát monoterápia és az adalimumab/metotrexát kombinációs terápia páros összehasonlítása alapján Mann-Whitney U teszt szerint.</w:t>
      </w:r>
    </w:p>
    <w:p w14:paraId="1B57D9C5" w14:textId="53F3398C" w:rsidR="00130E8B" w:rsidRPr="008668A9" w:rsidRDefault="000405CC" w:rsidP="00AF1AD1">
      <w:pPr>
        <w:pStyle w:val="a3"/>
        <w:rPr>
          <w:lang w:val="hu-HU"/>
        </w:rPr>
      </w:pPr>
      <w:r w:rsidRPr="001E2F31">
        <w:rPr>
          <w:rFonts w:eastAsia="Times New Roman"/>
          <w:vertAlign w:val="superscript"/>
          <w:lang w:val="hu-HU"/>
        </w:rPr>
        <w:t>b</w:t>
      </w:r>
      <w:r w:rsidRPr="001E2F31">
        <w:rPr>
          <w:rFonts w:eastAsia="Times New Roman"/>
          <w:lang w:val="hu-HU"/>
        </w:rPr>
        <w:t xml:space="preserve"> a p-érték a </w:t>
      </w:r>
      <w:r w:rsidR="008668A9" w:rsidRPr="008668A9">
        <w:rPr>
          <w:rFonts w:eastAsia="Times New Roman"/>
          <w:lang w:val="hu-HU"/>
        </w:rPr>
        <w:t>adalimumab</w:t>
      </w:r>
      <w:r w:rsidRPr="001E2F31">
        <w:rPr>
          <w:rFonts w:eastAsia="Times New Roman"/>
          <w:lang w:val="hu-HU"/>
        </w:rPr>
        <w:t xml:space="preserve"> monoterápia és az adalimumab/metotrexát kombinációs terápia páros összehasonlítása alapján Mann-Whitney U teszt szerint.</w:t>
      </w:r>
    </w:p>
    <w:p w14:paraId="144A2A11" w14:textId="2012B5B5" w:rsidR="00130E8B" w:rsidRPr="008668A9" w:rsidRDefault="00FB315F" w:rsidP="00AF1AD1">
      <w:pPr>
        <w:pStyle w:val="a3"/>
        <w:rPr>
          <w:lang w:val="hu-HU"/>
        </w:rPr>
      </w:pPr>
      <w:r w:rsidRPr="001E2F31">
        <w:rPr>
          <w:rFonts w:eastAsia="Times New Roman"/>
          <w:vertAlign w:val="superscript"/>
          <w:lang w:val="hu-HU"/>
        </w:rPr>
        <w:t>c</w:t>
      </w:r>
      <w:r w:rsidRPr="001E2F31">
        <w:rPr>
          <w:rFonts w:eastAsia="Times New Roman"/>
          <w:lang w:val="hu-HU"/>
        </w:rPr>
        <w:t xml:space="preserve"> </w:t>
      </w:r>
      <w:r w:rsidR="000405CC" w:rsidRPr="001E2F31">
        <w:rPr>
          <w:rFonts w:eastAsia="Times New Roman"/>
          <w:lang w:val="hu-HU"/>
        </w:rPr>
        <w:t xml:space="preserve">a p-érték a </w:t>
      </w:r>
      <w:r w:rsidR="008668A9" w:rsidRPr="008668A9">
        <w:rPr>
          <w:rFonts w:eastAsia="Times New Roman"/>
          <w:lang w:val="hu-HU"/>
        </w:rPr>
        <w:t>adalimumab</w:t>
      </w:r>
      <w:r w:rsidR="000405CC" w:rsidRPr="001E2F31">
        <w:rPr>
          <w:rFonts w:eastAsia="Times New Roman"/>
          <w:lang w:val="hu-HU"/>
        </w:rPr>
        <w:t xml:space="preserve"> monoterápia és a metotrexát </w:t>
      </w:r>
      <w:r w:rsidR="008668A9" w:rsidRPr="006B04DD">
        <w:rPr>
          <w:rFonts w:eastAsia="Times New Roman"/>
          <w:lang w:val="hu-HU"/>
        </w:rPr>
        <w:t>monoterápia</w:t>
      </w:r>
      <w:r w:rsidR="000405CC" w:rsidRPr="001E2F31">
        <w:rPr>
          <w:rFonts w:eastAsia="Times New Roman"/>
          <w:lang w:val="hu-HU"/>
        </w:rPr>
        <w:t xml:space="preserve"> páros összehasonlítása alapján Mann-Whitney U teszt szerint.</w:t>
      </w:r>
    </w:p>
    <w:p w14:paraId="7C3C9D4C" w14:textId="77777777" w:rsidR="00130E8B" w:rsidRDefault="00130E8B" w:rsidP="00AF1AD1">
      <w:pPr>
        <w:spacing w:before="8" w:line="170" w:lineRule="exact"/>
        <w:rPr>
          <w:sz w:val="17"/>
          <w:szCs w:val="17"/>
          <w:lang w:val="hu-HU"/>
        </w:rPr>
      </w:pPr>
    </w:p>
    <w:p w14:paraId="3C6B659E" w14:textId="77777777" w:rsidR="00130E8B" w:rsidRDefault="000405CC" w:rsidP="00AF1AD1">
      <w:pPr>
        <w:pStyle w:val="a3"/>
        <w:rPr>
          <w:lang w:val="hu-HU"/>
        </w:rPr>
      </w:pPr>
      <w:r>
        <w:rPr>
          <w:rFonts w:eastAsia="Times New Roman"/>
          <w:lang w:val="hu-HU"/>
        </w:rPr>
        <w:t xml:space="preserve">Ötvenkét, illetve 104 hétig tartó kezelés után a progresszió nélküli betegek százaléka (a módosított teljes Sharp-pontérték változása a kiinduláshoz képest </w:t>
      </w:r>
      <w:r>
        <w:rPr>
          <w:rFonts w:ascii="Symbol" w:eastAsia="Symbol" w:hAnsi="Symbol" w:cs="Symbol"/>
          <w:lang w:val="hu-HU"/>
        </w:rPr>
        <w:sym w:font="Symbol" w:char="F0A3"/>
      </w:r>
      <w:r>
        <w:rPr>
          <w:rFonts w:ascii="Symbol" w:eastAsia="Symbol" w:hAnsi="Symbol" w:cs="Symbol"/>
          <w:lang w:val="hu-HU"/>
        </w:rPr>
        <w:sym w:font="Symbol" w:char="F020"/>
      </w:r>
      <w:r>
        <w:rPr>
          <w:rFonts w:eastAsia="Times New Roman"/>
          <w:lang w:val="hu-HU"/>
        </w:rPr>
        <w:t>0,5) szignifikánsan magasabb volt az adalimumab/metotrexát kombinációs kezelésben részesült betegeknél (63,8%, illetve 61,2%, ebben a sorrendben) összehasonlítva a metotrexát-monoterápia eredményével (37,4% és 33,5%, p &lt; 0,001, ebben a sorrendben) és az adalimumab-monoterápiával (50,7%, p &lt; 0,002 és 44,5%, p &lt; 0,001, ebben a sorrendben).</w:t>
      </w:r>
    </w:p>
    <w:p w14:paraId="7F2645B9" w14:textId="77777777" w:rsidR="00130E8B" w:rsidRDefault="00130E8B" w:rsidP="00AF1AD1">
      <w:pPr>
        <w:spacing w:before="10" w:line="240" w:lineRule="exact"/>
        <w:rPr>
          <w:sz w:val="24"/>
          <w:szCs w:val="24"/>
          <w:lang w:val="hu-HU"/>
        </w:rPr>
      </w:pPr>
    </w:p>
    <w:p w14:paraId="7A4DB68D" w14:textId="6F5DBCFE" w:rsidR="00130E8B" w:rsidRDefault="000405CC" w:rsidP="00AF1AD1">
      <w:pPr>
        <w:pStyle w:val="a3"/>
        <w:rPr>
          <w:lang w:val="hu-HU"/>
        </w:rPr>
      </w:pPr>
      <w:r>
        <w:rPr>
          <w:rFonts w:eastAsia="Times New Roman"/>
          <w:lang w:val="hu-HU"/>
        </w:rPr>
        <w:t>Az RA</w:t>
      </w:r>
      <w:r w:rsidR="00B07467" w:rsidDel="002A3904">
        <w:rPr>
          <w:rFonts w:eastAsia="Times New Roman"/>
          <w:b/>
          <w:bCs/>
          <w:lang w:val="hu-HU"/>
        </w:rPr>
        <w:t xml:space="preserve"> </w:t>
      </w:r>
      <w:r>
        <w:rPr>
          <w:rFonts w:eastAsia="Times New Roman"/>
          <w:lang w:val="hu-HU"/>
        </w:rPr>
        <w:t>V vizsgálat nyílt elrendezésű kiterjesztésének 10. évében a módosított teljes Sharp-pontérték átlagos változása a kiinduláshoz képest az eredetileg metotrexát-monoterápiára, adalimumab-monoterápiára és adalimumab/metotrexát kombinációs terápiára randomizált betegeknél sorrendben 10,8; 9,2 és 3,9 volt. A radiológiai progressziót nem mutató betegeknél az arány sorrendben 31,3%, 23,7% és 36,7% volt</w:t>
      </w:r>
    </w:p>
    <w:p w14:paraId="1261323E" w14:textId="77777777" w:rsidR="00130E8B" w:rsidRDefault="00130E8B" w:rsidP="00AF1AD1">
      <w:pPr>
        <w:pStyle w:val="a3"/>
        <w:rPr>
          <w:sz w:val="24"/>
          <w:szCs w:val="24"/>
          <w:lang w:val="hu-HU"/>
        </w:rPr>
      </w:pPr>
    </w:p>
    <w:p w14:paraId="35D1211B" w14:textId="77777777" w:rsidR="00130E8B" w:rsidRDefault="000405CC" w:rsidP="00AF1AD1">
      <w:pPr>
        <w:pStyle w:val="a3"/>
        <w:rPr>
          <w:rFonts w:eastAsia="Times New Roman"/>
          <w:lang w:val="hu-HU"/>
        </w:rPr>
      </w:pPr>
      <w:r>
        <w:rPr>
          <w:rFonts w:eastAsia="Times New Roman"/>
          <w:i/>
          <w:iCs/>
          <w:spacing w:val="-1"/>
          <w:u w:val="single" w:color="000000"/>
          <w:lang w:val="hu-HU"/>
        </w:rPr>
        <w:t>Életminőség és fizikai aktivitás</w:t>
      </w:r>
    </w:p>
    <w:p w14:paraId="32EFE592" w14:textId="77777777" w:rsidR="00130E8B" w:rsidRDefault="00130E8B" w:rsidP="00AF1AD1">
      <w:pPr>
        <w:pStyle w:val="a3"/>
        <w:rPr>
          <w:sz w:val="18"/>
          <w:szCs w:val="18"/>
          <w:lang w:val="hu-HU"/>
        </w:rPr>
      </w:pPr>
    </w:p>
    <w:p w14:paraId="3846E6EF" w14:textId="7A285D86" w:rsidR="00130E8B" w:rsidRDefault="000405CC" w:rsidP="00AF1AD1">
      <w:pPr>
        <w:pStyle w:val="a3"/>
        <w:rPr>
          <w:lang w:val="hu-HU"/>
        </w:rPr>
      </w:pPr>
      <w:r>
        <w:rPr>
          <w:rFonts w:eastAsia="Times New Roman"/>
          <w:lang w:val="hu-HU"/>
        </w:rPr>
        <w:t>Az Egészségfelmérő kérdőív (Health Assessment Questionnaire-HAQ) rokkantsági indexének segítségével a négy eredeti és megfelelő kontrollt alkalmazó vizsgálatban megvizsgálták az egészségfüggő életminőséget és fizikális működést, illetve az RA</w:t>
      </w:r>
      <w:r w:rsidR="00B07467" w:rsidRPr="009167C6">
        <w:rPr>
          <w:lang w:val="hu-HU"/>
        </w:rPr>
        <w:t> </w:t>
      </w:r>
      <w:r w:rsidR="00B07467" w:rsidDel="002A3904">
        <w:rPr>
          <w:rFonts w:eastAsia="Times New Roman"/>
          <w:b/>
          <w:bCs/>
          <w:lang w:val="hu-HU"/>
        </w:rPr>
        <w:t xml:space="preserve"> </w:t>
      </w:r>
      <w:r>
        <w:rPr>
          <w:rFonts w:eastAsia="Times New Roman"/>
          <w:lang w:val="hu-HU"/>
        </w:rPr>
        <w:t>III vizsgálatban ez egy előre megállapított elsődleges végpontja volt a vizsgálatnak az 52. héten. Az adalimumab, adagolási módtól és dózistól függetlenül, mind a négy vizsgálatban a kiinduláshoz viszonyítva a vizsgált hat hónap alatt statisztikailag szignifikáns javulást eredményezett a HAQ rokkantsági indexében</w:t>
      </w:r>
    </w:p>
    <w:p w14:paraId="131630F3" w14:textId="240586B1" w:rsidR="00130E8B" w:rsidRDefault="000405CC" w:rsidP="00AF1AD1">
      <w:pPr>
        <w:pStyle w:val="a3"/>
        <w:rPr>
          <w:lang w:val="hu-HU"/>
        </w:rPr>
      </w:pPr>
      <w:r>
        <w:rPr>
          <w:rFonts w:eastAsia="Times New Roman"/>
          <w:lang w:val="hu-HU"/>
        </w:rPr>
        <w:t>a placebóval összehasonlítva, és az RA</w:t>
      </w:r>
      <w:r w:rsidR="00B07467" w:rsidRPr="009167C6">
        <w:rPr>
          <w:lang w:val="hu-HU"/>
        </w:rPr>
        <w:t> </w:t>
      </w:r>
      <w:r w:rsidR="00B07467" w:rsidDel="002A3904">
        <w:rPr>
          <w:rFonts w:eastAsia="Times New Roman"/>
          <w:b/>
          <w:bCs/>
          <w:lang w:val="hu-HU"/>
        </w:rPr>
        <w:t xml:space="preserve"> </w:t>
      </w:r>
      <w:r>
        <w:rPr>
          <w:rFonts w:eastAsia="Times New Roman"/>
          <w:lang w:val="hu-HU"/>
        </w:rPr>
        <w:t>III. vizsgálatban ugyanezt észlelték az 52. héten. A Rövid Egészségfelmérés (Short Form Health Survey (SF 36) eredményei is alátámasztják a fentieket, a kéthetente alkalmazott 40 mg-os dózis esetében a fizikális komponensre (PCS) adott értékek, illetve a fájdalmat valamint a vitalitást mérő értékek is statisztikailag szignifikáns javulást mutattak. A krónikus betegségek terápiájának funkcionális felmérését szolgáló kérdőívben (FACIT) a fáradtságra adott értékek alapján statisztikailag jelentős javulás állapítható meg mindhárom vizsgálatban, amelyben ezt kiértékelték (RA</w:t>
      </w:r>
      <w:r w:rsidR="00961E14">
        <w:rPr>
          <w:rFonts w:eastAsia="Times New Roman"/>
          <w:lang w:val="hu-HU"/>
        </w:rPr>
        <w:t xml:space="preserve"> </w:t>
      </w:r>
      <w:r>
        <w:rPr>
          <w:rFonts w:eastAsia="Times New Roman"/>
          <w:lang w:val="hu-HU"/>
        </w:rPr>
        <w:t xml:space="preserve">I, </w:t>
      </w:r>
      <w:r w:rsidR="00961E14">
        <w:rPr>
          <w:rFonts w:eastAsia="Times New Roman"/>
          <w:lang w:val="hu-HU"/>
        </w:rPr>
        <w:t xml:space="preserve"> </w:t>
      </w:r>
      <w:r>
        <w:rPr>
          <w:rFonts w:eastAsia="Times New Roman"/>
          <w:lang w:val="hu-HU"/>
        </w:rPr>
        <w:t>III,</w:t>
      </w:r>
      <w:r w:rsidR="00961E14" w:rsidRPr="009167C6">
        <w:rPr>
          <w:lang w:val="hu-HU"/>
        </w:rPr>
        <w:t xml:space="preserve"> </w:t>
      </w:r>
      <w:r>
        <w:rPr>
          <w:rFonts w:eastAsia="Times New Roman"/>
          <w:lang w:val="hu-HU"/>
        </w:rPr>
        <w:t>IV vizsgálatok).</w:t>
      </w:r>
    </w:p>
    <w:p w14:paraId="556090C0" w14:textId="77777777" w:rsidR="00130E8B" w:rsidRDefault="00130E8B" w:rsidP="00AF1AD1">
      <w:pPr>
        <w:pStyle w:val="a3"/>
        <w:rPr>
          <w:sz w:val="24"/>
          <w:szCs w:val="24"/>
          <w:lang w:val="hu-HU"/>
        </w:rPr>
      </w:pPr>
    </w:p>
    <w:p w14:paraId="749DF19C" w14:textId="261DF5AD" w:rsidR="00130E8B" w:rsidRDefault="000405CC" w:rsidP="00AF1AD1">
      <w:pPr>
        <w:pStyle w:val="a3"/>
        <w:rPr>
          <w:lang w:val="hu-HU"/>
        </w:rPr>
      </w:pPr>
      <w:r>
        <w:rPr>
          <w:rFonts w:eastAsia="Times New Roman"/>
          <w:lang w:val="hu-HU"/>
        </w:rPr>
        <w:t>Az RA</w:t>
      </w:r>
      <w:r w:rsidR="00B07467" w:rsidDel="002A3904">
        <w:rPr>
          <w:rFonts w:eastAsia="Times New Roman"/>
          <w:b/>
          <w:bCs/>
          <w:lang w:val="hu-HU"/>
        </w:rPr>
        <w:t xml:space="preserve"> </w:t>
      </w:r>
      <w:r>
        <w:rPr>
          <w:rFonts w:eastAsia="Times New Roman"/>
          <w:lang w:val="hu-HU"/>
        </w:rPr>
        <w:t>III vizsgálatban a nyílt kezelés során a betegek többsége, akiknél a fizikai funkció javulása volt megfigyelhető és folytatták a kezelést, a javulás 520 héten (120 hónap) keresztül fennmaradt. Az életminőség javulását legfeljebb 156 hétig (36 hónap) mérték, és a javulás ezalatt az idő alatt fennmaradt.</w:t>
      </w:r>
    </w:p>
    <w:p w14:paraId="6A4AE209" w14:textId="77777777" w:rsidR="00130E8B" w:rsidRDefault="00130E8B" w:rsidP="00AF1AD1">
      <w:pPr>
        <w:pStyle w:val="a3"/>
        <w:rPr>
          <w:sz w:val="24"/>
          <w:szCs w:val="24"/>
          <w:lang w:val="hu-HU"/>
        </w:rPr>
      </w:pPr>
    </w:p>
    <w:p w14:paraId="55CE508E" w14:textId="0C951B52" w:rsidR="00130E8B" w:rsidRDefault="000405CC" w:rsidP="00AF1AD1">
      <w:pPr>
        <w:pStyle w:val="a3"/>
        <w:rPr>
          <w:lang w:val="hu-HU"/>
        </w:rPr>
      </w:pPr>
      <w:r>
        <w:rPr>
          <w:rFonts w:eastAsia="Times New Roman"/>
          <w:lang w:val="hu-HU"/>
        </w:rPr>
        <w:t>Az RA</w:t>
      </w:r>
      <w:r w:rsidR="00B07467" w:rsidRPr="009167C6">
        <w:rPr>
          <w:lang w:val="hu-HU"/>
        </w:rPr>
        <w:t> </w:t>
      </w:r>
      <w:r>
        <w:rPr>
          <w:rFonts w:eastAsia="Times New Roman"/>
          <w:lang w:val="hu-HU"/>
        </w:rPr>
        <w:t xml:space="preserve">V vizsgálatban az 52. héten a HAQ rokkantsági indexben és az SF 36 fizikai összetevőiben mutatkozó javulás nagyobb volt (p &lt; 0,001) az adalimumab/metotrexát kombinációs kezelést kapott csoportban, </w:t>
      </w:r>
      <w:r>
        <w:rPr>
          <w:rFonts w:eastAsia="Times New Roman"/>
          <w:i/>
          <w:iCs/>
          <w:lang w:val="hu-HU"/>
        </w:rPr>
        <w:t xml:space="preserve">mint </w:t>
      </w:r>
      <w:r>
        <w:rPr>
          <w:rFonts w:eastAsia="Times New Roman"/>
          <w:lang w:val="hu-HU"/>
        </w:rPr>
        <w:t>a metotrexát- és adalimumab-monoterápiákban. Ezek a változások a 104. hétig fennálltak. A 250 betegnél, akik befejezték a nyílt elrendezésű kiterjesztéses vizsgálatot, a fizikai funkció javulása a kezelés 10 éve alatt fennmaradt.</w:t>
      </w:r>
    </w:p>
    <w:p w14:paraId="66F536E5" w14:textId="77777777" w:rsidR="00130E8B" w:rsidRDefault="00130E8B" w:rsidP="00AF1AD1">
      <w:pPr>
        <w:pStyle w:val="a3"/>
        <w:rPr>
          <w:sz w:val="24"/>
          <w:szCs w:val="24"/>
          <w:lang w:val="hu-HU"/>
        </w:rPr>
      </w:pPr>
    </w:p>
    <w:p w14:paraId="6847CAD4" w14:textId="77777777" w:rsidR="00130E8B" w:rsidRDefault="000405CC" w:rsidP="00AF1AD1">
      <w:pPr>
        <w:pStyle w:val="a3"/>
        <w:rPr>
          <w:rFonts w:eastAsia="Times New Roman"/>
          <w:lang w:val="hu-HU"/>
        </w:rPr>
      </w:pPr>
      <w:r>
        <w:rPr>
          <w:rFonts w:eastAsia="Times New Roman"/>
          <w:i/>
          <w:iCs/>
          <w:spacing w:val="-1"/>
          <w:u w:val="single" w:color="000000"/>
          <w:lang w:val="hu-HU"/>
        </w:rPr>
        <w:t>Fájdalom az</w:t>
      </w:r>
      <w:r w:rsidR="003126B8">
        <w:rPr>
          <w:rFonts w:eastAsia="Times New Roman"/>
          <w:i/>
          <w:iCs/>
          <w:spacing w:val="-1"/>
          <w:u w:val="single" w:color="000000"/>
          <w:lang w:val="hu-HU"/>
        </w:rPr>
        <w:t xml:space="preserve"> </w:t>
      </w:r>
      <w:r>
        <w:rPr>
          <w:rFonts w:eastAsia="Times New Roman"/>
          <w:i/>
          <w:iCs/>
          <w:spacing w:val="-1"/>
          <w:u w:val="single" w:color="000000"/>
          <w:lang w:val="hu-HU"/>
        </w:rPr>
        <w:t>injekció beadásának helyén</w:t>
      </w:r>
    </w:p>
    <w:p w14:paraId="253D067A" w14:textId="77777777" w:rsidR="00130E8B" w:rsidRDefault="00130E8B" w:rsidP="00AF1AD1">
      <w:pPr>
        <w:pStyle w:val="a3"/>
        <w:rPr>
          <w:sz w:val="18"/>
          <w:szCs w:val="18"/>
          <w:lang w:val="hu-HU"/>
        </w:rPr>
      </w:pPr>
    </w:p>
    <w:p w14:paraId="312E3988" w14:textId="1613EEDF" w:rsidR="00130E8B" w:rsidRDefault="000405CC" w:rsidP="00AF1AD1">
      <w:pPr>
        <w:pStyle w:val="a3"/>
        <w:rPr>
          <w:lang w:val="hu-HU"/>
        </w:rPr>
      </w:pPr>
      <w:r>
        <w:rPr>
          <w:rFonts w:eastAsia="Times New Roman"/>
          <w:lang w:val="hu-HU"/>
        </w:rPr>
        <w:t>Az RA</w:t>
      </w:r>
      <w:r w:rsidR="00B07467" w:rsidDel="002A3904">
        <w:rPr>
          <w:rFonts w:eastAsia="Times New Roman"/>
          <w:b/>
          <w:bCs/>
          <w:lang w:val="hu-HU"/>
        </w:rPr>
        <w:t xml:space="preserve"> </w:t>
      </w:r>
      <w:r>
        <w:rPr>
          <w:rFonts w:eastAsia="Times New Roman"/>
          <w:lang w:val="hu-HU"/>
        </w:rPr>
        <w:t>VI és VII-es vizsgálatok összesített adatai alapján statisztikailag szignifikáns különbség volt megfigyelhető az injekció beadásának helyén fellépő azonnali fájdalomban az adalimumab 40 mg/0,8 ml és az adalimumab 40 mg/0,4 ml között (a 0-10 cm-es vizuális analóg skálán átlagosan 3,7 cm szemben az 1,2 cm-rel, P</w:t>
      </w:r>
      <w:r w:rsidR="00C91C54">
        <w:rPr>
          <w:rFonts w:eastAsia="Times New Roman"/>
          <w:lang w:val="hu-HU"/>
        </w:rPr>
        <w:t xml:space="preserve"> </w:t>
      </w:r>
      <w:r>
        <w:rPr>
          <w:rFonts w:eastAsia="Times New Roman"/>
          <w:lang w:val="hu-HU"/>
        </w:rPr>
        <w:t>&lt;</w:t>
      </w:r>
      <w:r w:rsidR="00C91C54">
        <w:rPr>
          <w:rFonts w:eastAsia="Times New Roman"/>
          <w:lang w:val="hu-HU"/>
        </w:rPr>
        <w:t xml:space="preserve"> </w:t>
      </w:r>
      <w:r>
        <w:rPr>
          <w:rFonts w:eastAsia="Times New Roman"/>
          <w:lang w:val="hu-HU"/>
        </w:rPr>
        <w:t>0,001). Ez 84%-os medián fájdalomcsökkenést mutat az injekció beadásának helyén.</w:t>
      </w:r>
    </w:p>
    <w:p w14:paraId="5561ED9F" w14:textId="77777777" w:rsidR="00130E8B" w:rsidRDefault="00130E8B" w:rsidP="00AF1AD1">
      <w:pPr>
        <w:pStyle w:val="a3"/>
        <w:rPr>
          <w:sz w:val="24"/>
          <w:szCs w:val="24"/>
          <w:lang w:val="hu-HU"/>
        </w:rPr>
      </w:pPr>
    </w:p>
    <w:p w14:paraId="2BCA2749" w14:textId="77777777" w:rsidR="00130E8B" w:rsidRDefault="000405CC" w:rsidP="00AF1AD1">
      <w:pPr>
        <w:pStyle w:val="a3"/>
        <w:rPr>
          <w:rFonts w:eastAsia="Times New Roman"/>
          <w:i/>
          <w:spacing w:val="-1"/>
          <w:lang w:val="hu-HU"/>
        </w:rPr>
      </w:pPr>
      <w:r>
        <w:rPr>
          <w:rFonts w:eastAsia="Times New Roman"/>
          <w:i/>
          <w:iCs/>
          <w:spacing w:val="-1"/>
          <w:lang w:val="hu-HU"/>
        </w:rPr>
        <w:t>Axiális spondyloarthritis</w:t>
      </w:r>
    </w:p>
    <w:p w14:paraId="0551D6B7" w14:textId="77777777" w:rsidR="00130E8B" w:rsidRDefault="00130E8B" w:rsidP="00AF1AD1">
      <w:pPr>
        <w:pStyle w:val="a3"/>
        <w:rPr>
          <w:rFonts w:eastAsia="Times New Roman"/>
          <w:i/>
          <w:spacing w:val="-1"/>
          <w:lang w:val="hu-HU"/>
        </w:rPr>
      </w:pPr>
    </w:p>
    <w:p w14:paraId="2FA6F0FD" w14:textId="77777777" w:rsidR="00130E8B" w:rsidRDefault="000405CC" w:rsidP="00AF1AD1">
      <w:pPr>
        <w:pStyle w:val="a3"/>
        <w:rPr>
          <w:rFonts w:eastAsia="Times New Roman"/>
          <w:i/>
          <w:spacing w:val="-1"/>
          <w:u w:val="single" w:color="000000"/>
          <w:lang w:val="hu-HU"/>
        </w:rPr>
      </w:pPr>
      <w:r>
        <w:rPr>
          <w:rFonts w:eastAsia="Times New Roman"/>
          <w:i/>
          <w:iCs/>
          <w:spacing w:val="-1"/>
          <w:u w:val="single" w:color="000000"/>
          <w:lang w:val="hu-HU"/>
        </w:rPr>
        <w:t>Spondylitis ankylopoetica (SPA)</w:t>
      </w:r>
      <w:r>
        <w:rPr>
          <w:lang w:val="hu-HU"/>
        </w:rPr>
        <w:t>‬</w:t>
      </w:r>
      <w:r>
        <w:rPr>
          <w:lang w:val="hu-HU"/>
        </w:rPr>
        <w:t>‬</w:t>
      </w:r>
      <w:r>
        <w:rPr>
          <w:lang w:val="hu-HU"/>
        </w:rPr>
        <w:t>‬</w:t>
      </w:r>
    </w:p>
    <w:p w14:paraId="3277F0D4" w14:textId="77777777" w:rsidR="00130E8B" w:rsidRDefault="00130E8B" w:rsidP="00AF1AD1">
      <w:pPr>
        <w:pStyle w:val="a3"/>
        <w:rPr>
          <w:rFonts w:eastAsia="Times New Roman"/>
          <w:lang w:val="hu-HU"/>
        </w:rPr>
      </w:pPr>
    </w:p>
    <w:p w14:paraId="3E5EC377" w14:textId="77777777" w:rsidR="00130E8B" w:rsidRDefault="000405CC" w:rsidP="00AF1AD1">
      <w:pPr>
        <w:pStyle w:val="a3"/>
        <w:rPr>
          <w:lang w:val="hu-HU"/>
        </w:rPr>
      </w:pPr>
      <w:r>
        <w:rPr>
          <w:rFonts w:eastAsia="Times New Roman"/>
          <w:lang w:val="hu-HU"/>
        </w:rPr>
        <w:t xml:space="preserve">A 40 mg adalimumab hatását kéthetenkénti egyszeri adagolással 393 aktív spondylitis ankylopoeticában szenvedő olyan betegen vizsgálták két, randomizált, 24 hetes, kettős- vak, placebo- kontrollos vizsgálatban (betegség aktivitásának átlagos pontértéke [Bath Ankylosing Spondilitis Disease Activity Index (BASDAI)] 6, 3% volt mindegyik csoportban), akik nem adtak megfelelő választ a szokásos kezelésre.79 beteg (20,1%) kapott egyidejűleg betegséget befolyásoló reumaellenes szert, 37 beteg (9,4%) kapott egyidejűleg </w:t>
      </w:r>
      <w:r>
        <w:rPr>
          <w:rFonts w:eastAsia="Times New Roman"/>
          <w:lang w:val="hu-HU"/>
        </w:rPr>
        <w:lastRenderedPageBreak/>
        <w:t>glükokortikoiddal kezelést. A vak szakaszt egy nyílt vizsgálati fázissal folytatták, amelynek során a betegek kéthetente subcutan 40 mg adalimumabot kaptak, további 28 héten keresztül. A vak szakaszt egy nyílt vizsgálati fázissal folytatták, amelynek során a betegek kéthetente subcutan 40 mg adalimumabot kaptak, további 28 héten keresztül.</w:t>
      </w:r>
    </w:p>
    <w:p w14:paraId="547D8CE3" w14:textId="77777777" w:rsidR="00130E8B" w:rsidRDefault="00130E8B" w:rsidP="00AF1AD1">
      <w:pPr>
        <w:spacing w:before="13" w:line="240" w:lineRule="exact"/>
        <w:rPr>
          <w:sz w:val="24"/>
          <w:szCs w:val="24"/>
          <w:lang w:val="hu-HU"/>
        </w:rPr>
      </w:pPr>
    </w:p>
    <w:p w14:paraId="6F92C671" w14:textId="3D389882" w:rsidR="00130E8B" w:rsidRDefault="000405CC" w:rsidP="00AF1AD1">
      <w:pPr>
        <w:pStyle w:val="a3"/>
        <w:rPr>
          <w:rFonts w:eastAsia="Times New Roman"/>
          <w:lang w:val="hu-HU"/>
        </w:rPr>
      </w:pPr>
      <w:r>
        <w:rPr>
          <w:rFonts w:eastAsia="Times New Roman"/>
          <w:lang w:val="hu-HU"/>
        </w:rPr>
        <w:t>Egy 315 betegen végzett nagyobb klinikai vizsgálatban (AS I) az eredmények a spondylitis ankylopoetica jeleinek és tüneteinek statisztikailag szignifikáns javulását mutatták az adalimumabbal kezelt betegek körében, a placebóval kezeltekhez képest. Szignifikáns hatást először a 2. héten észleltek, ami 24 héten keresztül fennmaradt (1</w:t>
      </w:r>
      <w:r w:rsidR="00417A10">
        <w:rPr>
          <w:rFonts w:eastAsia="Times New Roman"/>
          <w:lang w:val="hu-HU"/>
        </w:rPr>
        <w:t>2</w:t>
      </w:r>
      <w:r>
        <w:rPr>
          <w:rFonts w:eastAsia="Times New Roman"/>
          <w:lang w:val="hu-HU"/>
        </w:rPr>
        <w:t>. táblázat).</w:t>
      </w:r>
    </w:p>
    <w:p w14:paraId="6CD3BF0E" w14:textId="77777777" w:rsidR="00130E8B" w:rsidRDefault="00130E8B" w:rsidP="00AF1AD1">
      <w:pPr>
        <w:pStyle w:val="a3"/>
        <w:rPr>
          <w:rFonts w:eastAsia="Times New Roman"/>
          <w:lang w:val="hu-HU"/>
        </w:rPr>
      </w:pPr>
    </w:p>
    <w:p w14:paraId="12556C68" w14:textId="3F3F7F94" w:rsidR="00130E8B" w:rsidRDefault="000405CC" w:rsidP="00AF1AD1">
      <w:pPr>
        <w:pStyle w:val="a3"/>
        <w:jc w:val="center"/>
        <w:rPr>
          <w:b/>
          <w:lang w:val="hu-HU"/>
        </w:rPr>
      </w:pPr>
      <w:r>
        <w:rPr>
          <w:rFonts w:eastAsia="Times New Roman"/>
          <w:b/>
          <w:bCs/>
          <w:lang w:val="hu-HU"/>
        </w:rPr>
        <w:t>1</w:t>
      </w:r>
      <w:r w:rsidR="00417A10">
        <w:rPr>
          <w:rFonts w:eastAsia="Times New Roman"/>
          <w:b/>
          <w:bCs/>
          <w:lang w:val="hu-HU"/>
        </w:rPr>
        <w:t>2</w:t>
      </w:r>
      <w:r>
        <w:rPr>
          <w:rFonts w:eastAsia="Times New Roman"/>
          <w:b/>
          <w:bCs/>
          <w:lang w:val="hu-HU"/>
        </w:rPr>
        <w:t>. táblázat</w:t>
      </w:r>
    </w:p>
    <w:p w14:paraId="722C900B" w14:textId="77777777" w:rsidR="00130E8B" w:rsidRDefault="000405CC" w:rsidP="00AF1AD1">
      <w:pPr>
        <w:pStyle w:val="a3"/>
        <w:ind w:leftChars="550" w:left="1210" w:rightChars="550" w:right="1210"/>
        <w:jc w:val="center"/>
        <w:rPr>
          <w:rFonts w:eastAsia="Times New Roman"/>
          <w:b/>
          <w:bCs/>
          <w:lang w:val="hu-HU"/>
        </w:rPr>
      </w:pPr>
      <w:r>
        <w:rPr>
          <w:rFonts w:eastAsia="Times New Roman"/>
          <w:b/>
          <w:bCs/>
          <w:lang w:val="hu-HU"/>
        </w:rPr>
        <w:t>Hatásossági válaszarányok a placebokontrollos AS vizsgálatban – I. vizsgálat Jelek és tünetek csökkenése</w:t>
      </w:r>
    </w:p>
    <w:p w14:paraId="1C058B95" w14:textId="77777777" w:rsidR="00AF1AD1" w:rsidRDefault="00AF1AD1" w:rsidP="00AF1AD1">
      <w:pPr>
        <w:pStyle w:val="a3"/>
        <w:ind w:leftChars="550" w:left="1210" w:rightChars="550" w:right="1210"/>
        <w:jc w:val="center"/>
        <w:rPr>
          <w:b/>
          <w:lang w:val="hu-HU"/>
        </w:rPr>
      </w:pPr>
    </w:p>
    <w:tbl>
      <w:tblPr>
        <w:tblStyle w:val="ac"/>
        <w:tblW w:w="0" w:type="auto"/>
        <w:jc w:val="center"/>
        <w:tblLook w:val="04A0" w:firstRow="1" w:lastRow="0" w:firstColumn="1" w:lastColumn="0" w:noHBand="0" w:noVBand="1"/>
      </w:tblPr>
      <w:tblGrid>
        <w:gridCol w:w="2436"/>
        <w:gridCol w:w="2437"/>
        <w:gridCol w:w="2438"/>
      </w:tblGrid>
      <w:tr w:rsidR="00130E8B" w14:paraId="48D70621" w14:textId="77777777" w:rsidTr="00CB3242">
        <w:trPr>
          <w:trHeight w:val="497"/>
          <w:jc w:val="center"/>
        </w:trPr>
        <w:tc>
          <w:tcPr>
            <w:tcW w:w="2436" w:type="dxa"/>
          </w:tcPr>
          <w:p w14:paraId="218042D5" w14:textId="77777777" w:rsidR="00130E8B" w:rsidRDefault="000405CC" w:rsidP="00AF1AD1">
            <w:pPr>
              <w:spacing w:before="11" w:line="240" w:lineRule="exact"/>
              <w:jc w:val="center"/>
              <w:rPr>
                <w:rFonts w:ascii="Times New Roman" w:hAnsi="Times New Roman" w:cs="Times New Roman"/>
                <w:b/>
                <w:lang w:val="hu-HU" w:eastAsia="ko-KR"/>
              </w:rPr>
            </w:pPr>
            <w:r>
              <w:rPr>
                <w:rFonts w:ascii="Times New Roman" w:eastAsia="Times New Roman" w:hAnsi="Times New Roman" w:cs="Times New Roman"/>
                <w:b/>
                <w:bCs/>
                <w:lang w:val="hu-HU" w:eastAsia="ko-KR"/>
              </w:rPr>
              <w:t>Válasz</w:t>
            </w:r>
          </w:p>
        </w:tc>
        <w:tc>
          <w:tcPr>
            <w:tcW w:w="2437" w:type="dxa"/>
          </w:tcPr>
          <w:p w14:paraId="5090A07F" w14:textId="77777777" w:rsidR="00130E8B" w:rsidRDefault="000405CC" w:rsidP="00AF1AD1">
            <w:pPr>
              <w:spacing w:before="11" w:line="240" w:lineRule="exact"/>
              <w:jc w:val="center"/>
              <w:rPr>
                <w:rFonts w:ascii="Times New Roman" w:hAnsi="Times New Roman" w:cs="Times New Roman"/>
                <w:b/>
                <w:lang w:val="hu-HU" w:eastAsia="ko-KR"/>
              </w:rPr>
            </w:pPr>
            <w:r>
              <w:rPr>
                <w:rFonts w:ascii="Times New Roman" w:eastAsia="Times New Roman" w:hAnsi="Times New Roman" w:cs="Times New Roman"/>
                <w:b/>
                <w:bCs/>
                <w:lang w:val="hu-HU" w:eastAsia="ko-KR"/>
              </w:rPr>
              <w:t>Placebo</w:t>
            </w:r>
          </w:p>
          <w:p w14:paraId="576A0E0A" w14:textId="77777777" w:rsidR="00130E8B" w:rsidRDefault="000405CC" w:rsidP="00AF1AD1">
            <w:pPr>
              <w:spacing w:before="11" w:line="240" w:lineRule="exact"/>
              <w:jc w:val="center"/>
              <w:rPr>
                <w:rFonts w:ascii="Times New Roman" w:hAnsi="Times New Roman" w:cs="Times New Roman"/>
                <w:b/>
                <w:lang w:val="hu-HU" w:eastAsia="ko-KR"/>
              </w:rPr>
            </w:pPr>
            <w:r>
              <w:rPr>
                <w:rFonts w:ascii="Times New Roman" w:eastAsia="Times New Roman" w:hAnsi="Times New Roman" w:cs="Times New Roman"/>
                <w:b/>
                <w:bCs/>
                <w:lang w:val="hu-HU" w:eastAsia="ko-KR"/>
              </w:rPr>
              <w:t>N=107</w:t>
            </w:r>
          </w:p>
        </w:tc>
        <w:tc>
          <w:tcPr>
            <w:tcW w:w="2438" w:type="dxa"/>
          </w:tcPr>
          <w:p w14:paraId="1AA970AC" w14:textId="77777777" w:rsidR="00130E8B" w:rsidRDefault="000405CC" w:rsidP="00AF1AD1">
            <w:pPr>
              <w:spacing w:before="11" w:line="240" w:lineRule="exact"/>
              <w:jc w:val="center"/>
              <w:rPr>
                <w:rFonts w:ascii="Times New Roman" w:hAnsi="Times New Roman" w:cs="Times New Roman"/>
                <w:b/>
                <w:lang w:val="hu-HU" w:eastAsia="ko-KR"/>
              </w:rPr>
            </w:pPr>
            <w:r>
              <w:rPr>
                <w:rFonts w:ascii="Times New Roman" w:eastAsia="Times New Roman" w:hAnsi="Times New Roman" w:cs="Times New Roman"/>
                <w:b/>
                <w:bCs/>
                <w:lang w:val="hu-HU" w:eastAsia="ko-KR"/>
              </w:rPr>
              <w:t>Adalimumab</w:t>
            </w:r>
          </w:p>
          <w:p w14:paraId="7154448F" w14:textId="77777777" w:rsidR="00130E8B" w:rsidRDefault="000405CC" w:rsidP="00AF1AD1">
            <w:pPr>
              <w:spacing w:before="11" w:line="240" w:lineRule="exact"/>
              <w:jc w:val="center"/>
              <w:rPr>
                <w:rFonts w:ascii="Times New Roman" w:hAnsi="Times New Roman" w:cs="Times New Roman"/>
                <w:b/>
                <w:lang w:val="hu-HU" w:eastAsia="ko-KR"/>
              </w:rPr>
            </w:pPr>
            <w:r>
              <w:rPr>
                <w:rFonts w:ascii="Times New Roman" w:eastAsia="Times New Roman" w:hAnsi="Times New Roman" w:cs="Times New Roman"/>
                <w:b/>
                <w:bCs/>
                <w:lang w:val="hu-HU" w:eastAsia="ko-KR"/>
              </w:rPr>
              <w:t>N=208</w:t>
            </w:r>
          </w:p>
        </w:tc>
      </w:tr>
      <w:tr w:rsidR="00130E8B" w14:paraId="7B668DCF" w14:textId="77777777" w:rsidTr="00CB3242">
        <w:trPr>
          <w:trHeight w:val="248"/>
          <w:jc w:val="center"/>
        </w:trPr>
        <w:tc>
          <w:tcPr>
            <w:tcW w:w="2436" w:type="dxa"/>
          </w:tcPr>
          <w:p w14:paraId="7C12F447" w14:textId="77777777" w:rsidR="00130E8B" w:rsidRDefault="000405CC" w:rsidP="00AF1AD1">
            <w:pPr>
              <w:spacing w:before="11" w:line="240" w:lineRule="exact"/>
              <w:rPr>
                <w:rFonts w:ascii="Times New Roman" w:hAnsi="Times New Roman" w:cs="Times New Roman"/>
                <w:lang w:val="hu-HU" w:eastAsia="ko-KR"/>
              </w:rPr>
            </w:pPr>
            <w:r>
              <w:rPr>
                <w:rFonts w:ascii="Times New Roman" w:eastAsia="Times New Roman" w:hAnsi="Times New Roman" w:cs="Times New Roman"/>
                <w:spacing w:val="-1"/>
                <w:lang w:val="hu-HU"/>
              </w:rPr>
              <w:t>ASAS</w:t>
            </w:r>
            <w:r>
              <w:rPr>
                <w:rFonts w:ascii="Times New Roman" w:eastAsia="Times New Roman" w:hAnsi="Times New Roman" w:cs="Times New Roman"/>
                <w:spacing w:val="-1"/>
                <w:vertAlign w:val="superscript"/>
                <w:lang w:val="hu-HU"/>
              </w:rPr>
              <w:t>a</w:t>
            </w:r>
            <w:r>
              <w:rPr>
                <w:rFonts w:ascii="Times New Roman" w:eastAsia="Times New Roman" w:hAnsi="Times New Roman" w:cs="Times New Roman"/>
                <w:spacing w:val="-1"/>
                <w:lang w:val="hu-HU"/>
              </w:rPr>
              <w:t xml:space="preserve"> 20</w:t>
            </w:r>
          </w:p>
        </w:tc>
        <w:tc>
          <w:tcPr>
            <w:tcW w:w="2437" w:type="dxa"/>
          </w:tcPr>
          <w:p w14:paraId="7E325541" w14:textId="77777777" w:rsidR="00130E8B" w:rsidRDefault="00130E8B" w:rsidP="00AF1AD1">
            <w:pPr>
              <w:spacing w:before="11" w:line="240" w:lineRule="exact"/>
              <w:rPr>
                <w:rFonts w:ascii="Times New Roman" w:hAnsi="Times New Roman" w:cs="Times New Roman"/>
                <w:lang w:val="hu-HU" w:eastAsia="ko-KR"/>
              </w:rPr>
            </w:pPr>
          </w:p>
        </w:tc>
        <w:tc>
          <w:tcPr>
            <w:tcW w:w="2438" w:type="dxa"/>
          </w:tcPr>
          <w:p w14:paraId="6BFD9C6A" w14:textId="77777777" w:rsidR="00130E8B" w:rsidRDefault="00130E8B" w:rsidP="00AF1AD1">
            <w:pPr>
              <w:spacing w:before="11" w:line="240" w:lineRule="exact"/>
              <w:rPr>
                <w:rFonts w:ascii="Times New Roman" w:hAnsi="Times New Roman" w:cs="Times New Roman"/>
                <w:lang w:val="hu-HU" w:eastAsia="ko-KR"/>
              </w:rPr>
            </w:pPr>
          </w:p>
        </w:tc>
      </w:tr>
      <w:tr w:rsidR="00130E8B" w14:paraId="0642ACF4" w14:textId="77777777" w:rsidTr="00CB3242">
        <w:trPr>
          <w:trHeight w:val="248"/>
          <w:jc w:val="center"/>
        </w:trPr>
        <w:tc>
          <w:tcPr>
            <w:tcW w:w="2436" w:type="dxa"/>
          </w:tcPr>
          <w:p w14:paraId="285B2F6B" w14:textId="77777777" w:rsidR="00130E8B" w:rsidRDefault="000405CC" w:rsidP="00AF1AD1">
            <w:pPr>
              <w:spacing w:before="11" w:line="240" w:lineRule="exact"/>
              <w:jc w:val="center"/>
              <w:rPr>
                <w:rFonts w:ascii="Times New Roman" w:hAnsi="Times New Roman" w:cs="Times New Roman"/>
                <w:lang w:val="hu-HU"/>
              </w:rPr>
            </w:pPr>
            <w:r>
              <w:rPr>
                <w:rFonts w:ascii="Times New Roman" w:eastAsia="Times New Roman" w:hAnsi="Times New Roman" w:cs="Times New Roman"/>
                <w:lang w:val="hu-HU"/>
              </w:rPr>
              <w:t>2. hét</w:t>
            </w:r>
          </w:p>
        </w:tc>
        <w:tc>
          <w:tcPr>
            <w:tcW w:w="2437" w:type="dxa"/>
          </w:tcPr>
          <w:p w14:paraId="4D36E108" w14:textId="77777777" w:rsidR="00130E8B" w:rsidRDefault="000405CC" w:rsidP="00AF1AD1">
            <w:pPr>
              <w:spacing w:before="11" w:line="240" w:lineRule="exact"/>
              <w:jc w:val="center"/>
              <w:rPr>
                <w:rFonts w:ascii="Times New Roman" w:hAnsi="Times New Roman" w:cs="Times New Roman"/>
                <w:lang w:val="hu-HU"/>
              </w:rPr>
            </w:pPr>
            <w:r>
              <w:rPr>
                <w:rFonts w:ascii="Times New Roman" w:eastAsia="Times New Roman" w:hAnsi="Times New Roman" w:cs="Times New Roman"/>
                <w:lang w:val="hu-HU"/>
              </w:rPr>
              <w:t>16%</w:t>
            </w:r>
          </w:p>
        </w:tc>
        <w:tc>
          <w:tcPr>
            <w:tcW w:w="2438" w:type="dxa"/>
          </w:tcPr>
          <w:p w14:paraId="4D63BC7C" w14:textId="77777777" w:rsidR="00130E8B" w:rsidRDefault="000405CC" w:rsidP="00AF1AD1">
            <w:pPr>
              <w:spacing w:before="11" w:line="240" w:lineRule="exact"/>
              <w:jc w:val="center"/>
              <w:rPr>
                <w:rFonts w:ascii="Times New Roman" w:hAnsi="Times New Roman" w:cs="Times New Roman"/>
                <w:lang w:val="hu-HU"/>
              </w:rPr>
            </w:pPr>
            <w:r>
              <w:rPr>
                <w:rFonts w:ascii="Times New Roman" w:eastAsia="Times New Roman" w:hAnsi="Times New Roman" w:cs="Times New Roman"/>
                <w:lang w:val="hu-HU"/>
              </w:rPr>
              <w:t>42%***</w:t>
            </w:r>
          </w:p>
        </w:tc>
      </w:tr>
      <w:tr w:rsidR="00130E8B" w14:paraId="5B03BC63" w14:textId="77777777" w:rsidTr="00CB3242">
        <w:trPr>
          <w:trHeight w:val="258"/>
          <w:jc w:val="center"/>
        </w:trPr>
        <w:tc>
          <w:tcPr>
            <w:tcW w:w="2436" w:type="dxa"/>
          </w:tcPr>
          <w:p w14:paraId="46F1C031" w14:textId="77777777" w:rsidR="00130E8B" w:rsidRDefault="000405CC" w:rsidP="00AF1AD1">
            <w:pPr>
              <w:spacing w:before="11" w:line="240" w:lineRule="exact"/>
              <w:jc w:val="center"/>
              <w:rPr>
                <w:rFonts w:ascii="Times New Roman" w:hAnsi="Times New Roman" w:cs="Times New Roman"/>
                <w:lang w:val="hu-HU"/>
              </w:rPr>
            </w:pPr>
            <w:r>
              <w:rPr>
                <w:rFonts w:ascii="Times New Roman" w:eastAsia="Times New Roman" w:hAnsi="Times New Roman" w:cs="Times New Roman"/>
                <w:lang w:val="hu-HU"/>
              </w:rPr>
              <w:t>12. hét</w:t>
            </w:r>
          </w:p>
        </w:tc>
        <w:tc>
          <w:tcPr>
            <w:tcW w:w="2437" w:type="dxa"/>
          </w:tcPr>
          <w:p w14:paraId="4366F071" w14:textId="77777777" w:rsidR="00130E8B" w:rsidRDefault="000405CC" w:rsidP="00AF1AD1">
            <w:pPr>
              <w:spacing w:before="11" w:line="240" w:lineRule="exact"/>
              <w:jc w:val="center"/>
              <w:rPr>
                <w:rFonts w:ascii="Times New Roman" w:hAnsi="Times New Roman" w:cs="Times New Roman"/>
                <w:lang w:val="hu-HU"/>
              </w:rPr>
            </w:pPr>
            <w:r>
              <w:rPr>
                <w:rFonts w:ascii="Times New Roman" w:eastAsia="Times New Roman" w:hAnsi="Times New Roman" w:cs="Times New Roman"/>
                <w:lang w:val="hu-HU"/>
              </w:rPr>
              <w:t>21%</w:t>
            </w:r>
          </w:p>
        </w:tc>
        <w:tc>
          <w:tcPr>
            <w:tcW w:w="2438" w:type="dxa"/>
          </w:tcPr>
          <w:p w14:paraId="5F22F451" w14:textId="77777777" w:rsidR="00130E8B" w:rsidRDefault="000405CC" w:rsidP="00AF1AD1">
            <w:pPr>
              <w:spacing w:before="11" w:line="240" w:lineRule="exact"/>
              <w:jc w:val="center"/>
              <w:rPr>
                <w:rFonts w:ascii="Times New Roman" w:hAnsi="Times New Roman" w:cs="Times New Roman"/>
                <w:lang w:val="hu-HU"/>
              </w:rPr>
            </w:pPr>
            <w:r>
              <w:rPr>
                <w:rFonts w:ascii="Times New Roman" w:eastAsia="Times New Roman" w:hAnsi="Times New Roman" w:cs="Times New Roman"/>
                <w:lang w:val="hu-HU"/>
              </w:rPr>
              <w:t>58%***</w:t>
            </w:r>
          </w:p>
        </w:tc>
      </w:tr>
      <w:tr w:rsidR="00130E8B" w14:paraId="6E1DDECA" w14:textId="77777777" w:rsidTr="00CB3242">
        <w:trPr>
          <w:trHeight w:val="248"/>
          <w:jc w:val="center"/>
        </w:trPr>
        <w:tc>
          <w:tcPr>
            <w:tcW w:w="2436" w:type="dxa"/>
          </w:tcPr>
          <w:p w14:paraId="395F108F" w14:textId="77777777" w:rsidR="00130E8B" w:rsidRDefault="000405CC" w:rsidP="00AF1AD1">
            <w:pPr>
              <w:spacing w:before="11" w:line="240" w:lineRule="exact"/>
              <w:jc w:val="center"/>
              <w:rPr>
                <w:rFonts w:ascii="Times New Roman" w:hAnsi="Times New Roman" w:cs="Times New Roman"/>
                <w:lang w:val="hu-HU"/>
              </w:rPr>
            </w:pPr>
            <w:r>
              <w:rPr>
                <w:rFonts w:ascii="Times New Roman" w:eastAsia="Times New Roman" w:hAnsi="Times New Roman" w:cs="Times New Roman"/>
                <w:lang w:val="hu-HU"/>
              </w:rPr>
              <w:t>24. hét</w:t>
            </w:r>
          </w:p>
        </w:tc>
        <w:tc>
          <w:tcPr>
            <w:tcW w:w="2437" w:type="dxa"/>
          </w:tcPr>
          <w:p w14:paraId="0F0B1BB0" w14:textId="77777777" w:rsidR="00130E8B" w:rsidRDefault="000405CC" w:rsidP="00AF1AD1">
            <w:pPr>
              <w:spacing w:before="11" w:line="240" w:lineRule="exact"/>
              <w:jc w:val="center"/>
              <w:rPr>
                <w:rFonts w:ascii="Times New Roman" w:hAnsi="Times New Roman" w:cs="Times New Roman"/>
                <w:lang w:val="hu-HU"/>
              </w:rPr>
            </w:pPr>
            <w:r>
              <w:rPr>
                <w:rFonts w:ascii="Times New Roman" w:eastAsia="Times New Roman" w:hAnsi="Times New Roman" w:cs="Times New Roman"/>
                <w:lang w:val="hu-HU"/>
              </w:rPr>
              <w:t>19%</w:t>
            </w:r>
          </w:p>
        </w:tc>
        <w:tc>
          <w:tcPr>
            <w:tcW w:w="2438" w:type="dxa"/>
          </w:tcPr>
          <w:p w14:paraId="3831EB55" w14:textId="77777777" w:rsidR="00130E8B" w:rsidRDefault="000405CC" w:rsidP="00AF1AD1">
            <w:pPr>
              <w:spacing w:before="11" w:line="240" w:lineRule="exact"/>
              <w:jc w:val="center"/>
              <w:rPr>
                <w:rFonts w:ascii="Times New Roman" w:hAnsi="Times New Roman" w:cs="Times New Roman"/>
                <w:lang w:val="hu-HU"/>
              </w:rPr>
            </w:pPr>
            <w:r>
              <w:rPr>
                <w:rFonts w:ascii="Times New Roman" w:eastAsia="Times New Roman" w:hAnsi="Times New Roman" w:cs="Times New Roman"/>
                <w:lang w:val="hu-HU"/>
              </w:rPr>
              <w:t>51%***</w:t>
            </w:r>
          </w:p>
        </w:tc>
      </w:tr>
      <w:tr w:rsidR="00130E8B" w14:paraId="7B658300" w14:textId="77777777" w:rsidTr="00CB3242">
        <w:trPr>
          <w:trHeight w:val="248"/>
          <w:jc w:val="center"/>
        </w:trPr>
        <w:tc>
          <w:tcPr>
            <w:tcW w:w="2436" w:type="dxa"/>
          </w:tcPr>
          <w:p w14:paraId="0AF8CD18" w14:textId="77777777" w:rsidR="00130E8B" w:rsidRDefault="000405CC" w:rsidP="00AF1AD1">
            <w:pPr>
              <w:spacing w:before="11" w:line="240" w:lineRule="exact"/>
              <w:rPr>
                <w:rFonts w:ascii="Times New Roman" w:hAnsi="Times New Roman" w:cs="Times New Roman"/>
                <w:lang w:val="hu-HU"/>
              </w:rPr>
            </w:pPr>
            <w:r>
              <w:rPr>
                <w:rFonts w:ascii="Times New Roman" w:eastAsia="Times New Roman" w:hAnsi="Times New Roman" w:cs="Times New Roman"/>
                <w:spacing w:val="-1"/>
                <w:lang w:val="hu-HU"/>
              </w:rPr>
              <w:t>ata ASAS 50</w:t>
            </w:r>
          </w:p>
        </w:tc>
        <w:tc>
          <w:tcPr>
            <w:tcW w:w="2437" w:type="dxa"/>
          </w:tcPr>
          <w:p w14:paraId="05E0BFCE" w14:textId="77777777" w:rsidR="00130E8B" w:rsidRDefault="00130E8B" w:rsidP="00AF1AD1">
            <w:pPr>
              <w:spacing w:before="11" w:line="240" w:lineRule="exact"/>
              <w:rPr>
                <w:rFonts w:ascii="Times New Roman" w:hAnsi="Times New Roman" w:cs="Times New Roman"/>
                <w:lang w:val="hu-HU"/>
              </w:rPr>
            </w:pPr>
          </w:p>
        </w:tc>
        <w:tc>
          <w:tcPr>
            <w:tcW w:w="2438" w:type="dxa"/>
          </w:tcPr>
          <w:p w14:paraId="1A2AEA26" w14:textId="77777777" w:rsidR="00130E8B" w:rsidRDefault="00130E8B" w:rsidP="00AF1AD1">
            <w:pPr>
              <w:spacing w:before="11" w:line="240" w:lineRule="exact"/>
              <w:rPr>
                <w:rFonts w:ascii="Times New Roman" w:hAnsi="Times New Roman" w:cs="Times New Roman"/>
                <w:lang w:val="hu-HU"/>
              </w:rPr>
            </w:pPr>
          </w:p>
        </w:tc>
      </w:tr>
      <w:tr w:rsidR="00130E8B" w14:paraId="0C22ED66" w14:textId="77777777" w:rsidTr="00CB3242">
        <w:trPr>
          <w:trHeight w:val="248"/>
          <w:jc w:val="center"/>
        </w:trPr>
        <w:tc>
          <w:tcPr>
            <w:tcW w:w="2436" w:type="dxa"/>
          </w:tcPr>
          <w:p w14:paraId="005F96FB" w14:textId="77777777" w:rsidR="00130E8B" w:rsidRDefault="000405CC" w:rsidP="00AF1AD1">
            <w:pPr>
              <w:spacing w:before="11" w:line="240" w:lineRule="exact"/>
              <w:jc w:val="center"/>
              <w:rPr>
                <w:rFonts w:ascii="Times New Roman" w:hAnsi="Times New Roman" w:cs="Times New Roman"/>
                <w:lang w:val="hu-HU"/>
              </w:rPr>
            </w:pPr>
            <w:r>
              <w:rPr>
                <w:rFonts w:ascii="Times New Roman" w:eastAsia="Times New Roman" w:hAnsi="Times New Roman" w:cs="Times New Roman"/>
                <w:lang w:val="hu-HU"/>
              </w:rPr>
              <w:t>2. hét</w:t>
            </w:r>
          </w:p>
        </w:tc>
        <w:tc>
          <w:tcPr>
            <w:tcW w:w="2437" w:type="dxa"/>
          </w:tcPr>
          <w:p w14:paraId="6E2FD7F3" w14:textId="77777777" w:rsidR="00130E8B" w:rsidRDefault="000405CC" w:rsidP="00AF1AD1">
            <w:pPr>
              <w:spacing w:before="11" w:line="240" w:lineRule="exact"/>
              <w:jc w:val="center"/>
              <w:rPr>
                <w:rFonts w:ascii="Times New Roman" w:hAnsi="Times New Roman" w:cs="Times New Roman"/>
                <w:lang w:val="hu-HU"/>
              </w:rPr>
            </w:pPr>
            <w:r>
              <w:rPr>
                <w:rFonts w:ascii="Times New Roman" w:eastAsia="Times New Roman" w:hAnsi="Times New Roman" w:cs="Times New Roman"/>
                <w:lang w:val="hu-HU"/>
              </w:rPr>
              <w:t>3%</w:t>
            </w:r>
          </w:p>
        </w:tc>
        <w:tc>
          <w:tcPr>
            <w:tcW w:w="2438" w:type="dxa"/>
          </w:tcPr>
          <w:p w14:paraId="3C7C6B08" w14:textId="77777777" w:rsidR="00130E8B" w:rsidRDefault="000405CC" w:rsidP="00AF1AD1">
            <w:pPr>
              <w:spacing w:before="11" w:line="240" w:lineRule="exact"/>
              <w:jc w:val="center"/>
              <w:rPr>
                <w:rFonts w:ascii="Times New Roman" w:hAnsi="Times New Roman" w:cs="Times New Roman"/>
                <w:lang w:val="hu-HU"/>
              </w:rPr>
            </w:pPr>
            <w:r>
              <w:rPr>
                <w:rFonts w:ascii="Times New Roman" w:eastAsia="Times New Roman" w:hAnsi="Times New Roman" w:cs="Times New Roman"/>
                <w:lang w:val="hu-HU"/>
              </w:rPr>
              <w:t>16%***</w:t>
            </w:r>
          </w:p>
        </w:tc>
      </w:tr>
      <w:tr w:rsidR="00130E8B" w14:paraId="66E320BF" w14:textId="77777777" w:rsidTr="00CB3242">
        <w:trPr>
          <w:trHeight w:val="248"/>
          <w:jc w:val="center"/>
        </w:trPr>
        <w:tc>
          <w:tcPr>
            <w:tcW w:w="2436" w:type="dxa"/>
          </w:tcPr>
          <w:p w14:paraId="32FA0D37" w14:textId="77777777" w:rsidR="00130E8B" w:rsidRDefault="000405CC" w:rsidP="00AF1AD1">
            <w:pPr>
              <w:spacing w:before="11"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12. hét</w:t>
            </w:r>
          </w:p>
        </w:tc>
        <w:tc>
          <w:tcPr>
            <w:tcW w:w="2437" w:type="dxa"/>
          </w:tcPr>
          <w:p w14:paraId="3DD9C26F" w14:textId="77777777" w:rsidR="00130E8B" w:rsidRDefault="000405CC" w:rsidP="00AF1AD1">
            <w:pPr>
              <w:spacing w:before="11"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10%</w:t>
            </w:r>
          </w:p>
        </w:tc>
        <w:tc>
          <w:tcPr>
            <w:tcW w:w="2438" w:type="dxa"/>
          </w:tcPr>
          <w:p w14:paraId="6604F2CA" w14:textId="77777777" w:rsidR="00130E8B" w:rsidRDefault="000405CC" w:rsidP="00AF1AD1">
            <w:pPr>
              <w:spacing w:before="11"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38%***</w:t>
            </w:r>
          </w:p>
        </w:tc>
      </w:tr>
      <w:tr w:rsidR="00130E8B" w14:paraId="354CEF40" w14:textId="77777777" w:rsidTr="00CB3242">
        <w:trPr>
          <w:trHeight w:val="248"/>
          <w:jc w:val="center"/>
        </w:trPr>
        <w:tc>
          <w:tcPr>
            <w:tcW w:w="2436" w:type="dxa"/>
          </w:tcPr>
          <w:p w14:paraId="326C38C6" w14:textId="77777777" w:rsidR="00130E8B" w:rsidRDefault="000405CC" w:rsidP="00AF1AD1">
            <w:pPr>
              <w:spacing w:before="11"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24. hét</w:t>
            </w:r>
          </w:p>
        </w:tc>
        <w:tc>
          <w:tcPr>
            <w:tcW w:w="2437" w:type="dxa"/>
          </w:tcPr>
          <w:p w14:paraId="7CCAC14B" w14:textId="77777777" w:rsidR="00130E8B" w:rsidRDefault="000405CC" w:rsidP="00AF1AD1">
            <w:pPr>
              <w:spacing w:before="11"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11%</w:t>
            </w:r>
          </w:p>
        </w:tc>
        <w:tc>
          <w:tcPr>
            <w:tcW w:w="2438" w:type="dxa"/>
          </w:tcPr>
          <w:p w14:paraId="09665163" w14:textId="77777777" w:rsidR="00130E8B" w:rsidRDefault="000405CC" w:rsidP="00AF1AD1">
            <w:pPr>
              <w:spacing w:before="11"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35%***</w:t>
            </w:r>
          </w:p>
        </w:tc>
      </w:tr>
      <w:tr w:rsidR="00130E8B" w14:paraId="3DA03487" w14:textId="77777777" w:rsidTr="00CB3242">
        <w:trPr>
          <w:trHeight w:val="248"/>
          <w:jc w:val="center"/>
        </w:trPr>
        <w:tc>
          <w:tcPr>
            <w:tcW w:w="2436" w:type="dxa"/>
          </w:tcPr>
          <w:p w14:paraId="63832B23" w14:textId="77777777" w:rsidR="00130E8B" w:rsidRDefault="000405CC" w:rsidP="00AF1AD1">
            <w:pPr>
              <w:spacing w:before="11" w:line="240" w:lineRule="exact"/>
              <w:rPr>
                <w:rFonts w:ascii="Times New Roman" w:eastAsia="Times New Roman" w:hAnsi="Times New Roman" w:cs="Times New Roman"/>
                <w:lang w:val="hu-HU"/>
              </w:rPr>
            </w:pPr>
            <w:r>
              <w:rPr>
                <w:rFonts w:ascii="Times New Roman" w:eastAsia="Times New Roman" w:hAnsi="Times New Roman" w:cs="Times New Roman"/>
                <w:spacing w:val="-1"/>
                <w:lang w:val="hu-HU"/>
              </w:rPr>
              <w:t>ASAS 70</w:t>
            </w:r>
          </w:p>
        </w:tc>
        <w:tc>
          <w:tcPr>
            <w:tcW w:w="2437" w:type="dxa"/>
          </w:tcPr>
          <w:p w14:paraId="3A1AC318" w14:textId="77777777" w:rsidR="00130E8B" w:rsidRDefault="00130E8B" w:rsidP="00AF1AD1">
            <w:pPr>
              <w:spacing w:before="11" w:line="240" w:lineRule="exact"/>
              <w:rPr>
                <w:rFonts w:ascii="Times New Roman" w:eastAsia="Times New Roman" w:hAnsi="Times New Roman" w:cs="Times New Roman"/>
                <w:lang w:val="hu-HU"/>
              </w:rPr>
            </w:pPr>
          </w:p>
        </w:tc>
        <w:tc>
          <w:tcPr>
            <w:tcW w:w="2438" w:type="dxa"/>
          </w:tcPr>
          <w:p w14:paraId="2FBB4058" w14:textId="77777777" w:rsidR="00130E8B" w:rsidRDefault="00130E8B" w:rsidP="00AF1AD1">
            <w:pPr>
              <w:spacing w:before="11" w:line="240" w:lineRule="exact"/>
              <w:rPr>
                <w:rFonts w:ascii="Times New Roman" w:eastAsia="Times New Roman" w:hAnsi="Times New Roman" w:cs="Times New Roman"/>
                <w:lang w:val="hu-HU"/>
              </w:rPr>
            </w:pPr>
          </w:p>
        </w:tc>
      </w:tr>
      <w:tr w:rsidR="00130E8B" w14:paraId="1CD3ECE7" w14:textId="77777777" w:rsidTr="00CB3242">
        <w:trPr>
          <w:trHeight w:val="248"/>
          <w:jc w:val="center"/>
        </w:trPr>
        <w:tc>
          <w:tcPr>
            <w:tcW w:w="2436" w:type="dxa"/>
          </w:tcPr>
          <w:p w14:paraId="460C0099" w14:textId="77777777" w:rsidR="00130E8B" w:rsidRDefault="000405CC" w:rsidP="00AF1AD1">
            <w:pPr>
              <w:spacing w:before="11" w:line="240" w:lineRule="exact"/>
              <w:jc w:val="center"/>
              <w:rPr>
                <w:rFonts w:ascii="Times New Roman" w:eastAsia="Times New Roman" w:hAnsi="Times New Roman" w:cs="Times New Roman"/>
                <w:spacing w:val="-1"/>
                <w:lang w:val="hu-HU"/>
              </w:rPr>
            </w:pPr>
            <w:r>
              <w:rPr>
                <w:rFonts w:ascii="Times New Roman" w:eastAsia="Times New Roman" w:hAnsi="Times New Roman" w:cs="Times New Roman"/>
                <w:lang w:val="hu-HU"/>
              </w:rPr>
              <w:t>2. hét</w:t>
            </w:r>
          </w:p>
        </w:tc>
        <w:tc>
          <w:tcPr>
            <w:tcW w:w="2437" w:type="dxa"/>
          </w:tcPr>
          <w:p w14:paraId="557FDA74" w14:textId="77777777" w:rsidR="00130E8B" w:rsidRDefault="000405CC" w:rsidP="00AF1AD1">
            <w:pPr>
              <w:spacing w:before="11"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0%</w:t>
            </w:r>
          </w:p>
        </w:tc>
        <w:tc>
          <w:tcPr>
            <w:tcW w:w="2438" w:type="dxa"/>
          </w:tcPr>
          <w:p w14:paraId="24EC6B0F" w14:textId="77777777" w:rsidR="00130E8B" w:rsidRDefault="000405CC" w:rsidP="00AF1AD1">
            <w:pPr>
              <w:spacing w:before="11"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7%**</w:t>
            </w:r>
          </w:p>
        </w:tc>
      </w:tr>
      <w:tr w:rsidR="00130E8B" w14:paraId="2107E907" w14:textId="77777777" w:rsidTr="00CB3242">
        <w:trPr>
          <w:trHeight w:val="248"/>
          <w:jc w:val="center"/>
        </w:trPr>
        <w:tc>
          <w:tcPr>
            <w:tcW w:w="2436" w:type="dxa"/>
          </w:tcPr>
          <w:p w14:paraId="09341437" w14:textId="77777777" w:rsidR="00130E8B" w:rsidRDefault="000405CC" w:rsidP="00AF1AD1">
            <w:pPr>
              <w:spacing w:before="11"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12. hét</w:t>
            </w:r>
          </w:p>
        </w:tc>
        <w:tc>
          <w:tcPr>
            <w:tcW w:w="2437" w:type="dxa"/>
          </w:tcPr>
          <w:p w14:paraId="2DF84199" w14:textId="77777777" w:rsidR="00130E8B" w:rsidRDefault="000405CC" w:rsidP="00AF1AD1">
            <w:pPr>
              <w:spacing w:before="11"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5%</w:t>
            </w:r>
          </w:p>
        </w:tc>
        <w:tc>
          <w:tcPr>
            <w:tcW w:w="2438" w:type="dxa"/>
          </w:tcPr>
          <w:p w14:paraId="27F9463A" w14:textId="77777777" w:rsidR="00130E8B" w:rsidRDefault="000405CC" w:rsidP="00AF1AD1">
            <w:pPr>
              <w:spacing w:before="11"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23%***</w:t>
            </w:r>
          </w:p>
        </w:tc>
      </w:tr>
      <w:tr w:rsidR="00130E8B" w14:paraId="3969E9B2" w14:textId="77777777" w:rsidTr="00CB3242">
        <w:trPr>
          <w:trHeight w:val="248"/>
          <w:jc w:val="center"/>
        </w:trPr>
        <w:tc>
          <w:tcPr>
            <w:tcW w:w="2436" w:type="dxa"/>
          </w:tcPr>
          <w:p w14:paraId="47836FBC" w14:textId="77777777" w:rsidR="00130E8B" w:rsidRDefault="000405CC" w:rsidP="00AF1AD1">
            <w:pPr>
              <w:spacing w:before="11"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24. hét</w:t>
            </w:r>
          </w:p>
        </w:tc>
        <w:tc>
          <w:tcPr>
            <w:tcW w:w="2437" w:type="dxa"/>
          </w:tcPr>
          <w:p w14:paraId="18624FFF" w14:textId="77777777" w:rsidR="00130E8B" w:rsidRDefault="000405CC" w:rsidP="00AF1AD1">
            <w:pPr>
              <w:spacing w:before="11"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8%</w:t>
            </w:r>
          </w:p>
        </w:tc>
        <w:tc>
          <w:tcPr>
            <w:tcW w:w="2438" w:type="dxa"/>
          </w:tcPr>
          <w:p w14:paraId="0EA3B52B" w14:textId="77777777" w:rsidR="00130E8B" w:rsidRDefault="000405CC" w:rsidP="00AF1AD1">
            <w:pPr>
              <w:spacing w:before="11"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24%***</w:t>
            </w:r>
          </w:p>
        </w:tc>
      </w:tr>
      <w:tr w:rsidR="00130E8B" w14:paraId="012599D3" w14:textId="77777777" w:rsidTr="00CB3242">
        <w:trPr>
          <w:trHeight w:val="258"/>
          <w:jc w:val="center"/>
        </w:trPr>
        <w:tc>
          <w:tcPr>
            <w:tcW w:w="2436" w:type="dxa"/>
          </w:tcPr>
          <w:p w14:paraId="2F37188C" w14:textId="77777777" w:rsidR="00130E8B" w:rsidRDefault="00130E8B" w:rsidP="00AF1AD1">
            <w:pPr>
              <w:spacing w:before="11" w:line="240" w:lineRule="exact"/>
              <w:rPr>
                <w:rFonts w:ascii="Times New Roman" w:eastAsia="Times New Roman" w:hAnsi="Times New Roman" w:cs="Times New Roman"/>
                <w:lang w:val="hu-HU"/>
              </w:rPr>
            </w:pPr>
          </w:p>
        </w:tc>
        <w:tc>
          <w:tcPr>
            <w:tcW w:w="2437" w:type="dxa"/>
          </w:tcPr>
          <w:p w14:paraId="6FB58641" w14:textId="77777777" w:rsidR="00130E8B" w:rsidRDefault="00130E8B" w:rsidP="00AF1AD1">
            <w:pPr>
              <w:spacing w:before="11" w:line="240" w:lineRule="exact"/>
              <w:rPr>
                <w:rFonts w:ascii="Times New Roman" w:eastAsia="Times New Roman" w:hAnsi="Times New Roman" w:cs="Times New Roman"/>
                <w:lang w:val="hu-HU"/>
              </w:rPr>
            </w:pPr>
          </w:p>
        </w:tc>
        <w:tc>
          <w:tcPr>
            <w:tcW w:w="2438" w:type="dxa"/>
          </w:tcPr>
          <w:p w14:paraId="21EC4BD3" w14:textId="77777777" w:rsidR="00130E8B" w:rsidRDefault="00130E8B" w:rsidP="00AF1AD1">
            <w:pPr>
              <w:spacing w:before="11" w:line="240" w:lineRule="exact"/>
              <w:rPr>
                <w:rFonts w:ascii="Times New Roman" w:eastAsia="Times New Roman" w:hAnsi="Times New Roman" w:cs="Times New Roman"/>
                <w:lang w:val="hu-HU"/>
              </w:rPr>
            </w:pPr>
          </w:p>
        </w:tc>
      </w:tr>
      <w:tr w:rsidR="00130E8B" w14:paraId="7C9EE48D" w14:textId="77777777" w:rsidTr="00CB3242">
        <w:trPr>
          <w:trHeight w:val="248"/>
          <w:jc w:val="center"/>
        </w:trPr>
        <w:tc>
          <w:tcPr>
            <w:tcW w:w="2436" w:type="dxa"/>
          </w:tcPr>
          <w:p w14:paraId="1A8AE1A9" w14:textId="77777777" w:rsidR="00130E8B" w:rsidRDefault="000405CC" w:rsidP="00AF1AD1">
            <w:pPr>
              <w:spacing w:before="11" w:line="240" w:lineRule="exact"/>
              <w:rPr>
                <w:rFonts w:ascii="Times New Roman" w:eastAsia="Times New Roman" w:hAnsi="Times New Roman" w:cs="Times New Roman"/>
                <w:lang w:val="hu-HU"/>
              </w:rPr>
            </w:pPr>
            <w:r>
              <w:rPr>
                <w:rFonts w:ascii="Times New Roman" w:eastAsia="Times New Roman" w:hAnsi="Times New Roman" w:cs="Times New Roman"/>
                <w:spacing w:val="-1"/>
                <w:lang w:val="hu-HU"/>
              </w:rPr>
              <w:t>BASDAI</w:t>
            </w:r>
            <w:r>
              <w:rPr>
                <w:rFonts w:ascii="Times New Roman" w:eastAsia="Times New Roman" w:hAnsi="Times New Roman" w:cs="Times New Roman"/>
                <w:spacing w:val="-1"/>
                <w:vertAlign w:val="superscript"/>
                <w:lang w:val="hu-HU"/>
              </w:rPr>
              <w:t>b</w:t>
            </w:r>
            <w:r>
              <w:rPr>
                <w:rFonts w:ascii="Times New Roman" w:eastAsia="Times New Roman" w:hAnsi="Times New Roman" w:cs="Times New Roman"/>
                <w:spacing w:val="-1"/>
                <w:lang w:val="hu-HU"/>
              </w:rPr>
              <w:t xml:space="preserve"> 50</w:t>
            </w:r>
          </w:p>
        </w:tc>
        <w:tc>
          <w:tcPr>
            <w:tcW w:w="2437" w:type="dxa"/>
          </w:tcPr>
          <w:p w14:paraId="5CFFD81A" w14:textId="77777777" w:rsidR="00130E8B" w:rsidRDefault="00130E8B" w:rsidP="00AF1AD1">
            <w:pPr>
              <w:spacing w:before="11" w:line="240" w:lineRule="exact"/>
              <w:rPr>
                <w:rFonts w:ascii="Times New Roman" w:eastAsia="Times New Roman" w:hAnsi="Times New Roman" w:cs="Times New Roman"/>
                <w:lang w:val="hu-HU"/>
              </w:rPr>
            </w:pPr>
          </w:p>
        </w:tc>
        <w:tc>
          <w:tcPr>
            <w:tcW w:w="2438" w:type="dxa"/>
          </w:tcPr>
          <w:p w14:paraId="5E123C44" w14:textId="77777777" w:rsidR="00130E8B" w:rsidRDefault="00130E8B" w:rsidP="00AF1AD1">
            <w:pPr>
              <w:spacing w:before="11" w:line="240" w:lineRule="exact"/>
              <w:rPr>
                <w:rFonts w:ascii="Times New Roman" w:eastAsia="Times New Roman" w:hAnsi="Times New Roman" w:cs="Times New Roman"/>
                <w:lang w:val="hu-HU"/>
              </w:rPr>
            </w:pPr>
          </w:p>
        </w:tc>
      </w:tr>
      <w:tr w:rsidR="00130E8B" w14:paraId="2AF9FEF2" w14:textId="77777777" w:rsidTr="00CB3242">
        <w:trPr>
          <w:trHeight w:val="248"/>
          <w:jc w:val="center"/>
        </w:trPr>
        <w:tc>
          <w:tcPr>
            <w:tcW w:w="2436" w:type="dxa"/>
          </w:tcPr>
          <w:p w14:paraId="76B2EBFB" w14:textId="77777777" w:rsidR="00130E8B" w:rsidRDefault="000405CC" w:rsidP="00AF1AD1">
            <w:pPr>
              <w:spacing w:before="11" w:line="240" w:lineRule="exact"/>
              <w:jc w:val="center"/>
              <w:rPr>
                <w:rFonts w:ascii="Times New Roman" w:eastAsia="Times New Roman" w:hAnsi="Times New Roman" w:cs="Times New Roman"/>
                <w:spacing w:val="-1"/>
                <w:lang w:val="hu-HU"/>
              </w:rPr>
            </w:pPr>
            <w:r>
              <w:rPr>
                <w:rFonts w:ascii="Times New Roman" w:eastAsia="Times New Roman" w:hAnsi="Times New Roman" w:cs="Times New Roman"/>
                <w:lang w:val="hu-HU"/>
              </w:rPr>
              <w:t>2. hét</w:t>
            </w:r>
          </w:p>
        </w:tc>
        <w:tc>
          <w:tcPr>
            <w:tcW w:w="2437" w:type="dxa"/>
          </w:tcPr>
          <w:p w14:paraId="4913F8A4" w14:textId="77777777" w:rsidR="00130E8B" w:rsidRDefault="000405CC" w:rsidP="00AF1AD1">
            <w:pPr>
              <w:spacing w:before="11"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4%</w:t>
            </w:r>
          </w:p>
        </w:tc>
        <w:tc>
          <w:tcPr>
            <w:tcW w:w="2438" w:type="dxa"/>
          </w:tcPr>
          <w:p w14:paraId="1E367A2E" w14:textId="77777777" w:rsidR="00130E8B" w:rsidRDefault="000405CC" w:rsidP="00AF1AD1">
            <w:pPr>
              <w:spacing w:before="11"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20%***</w:t>
            </w:r>
          </w:p>
        </w:tc>
      </w:tr>
      <w:tr w:rsidR="00130E8B" w14:paraId="4D9ED919" w14:textId="77777777" w:rsidTr="00CB3242">
        <w:trPr>
          <w:trHeight w:val="248"/>
          <w:jc w:val="center"/>
        </w:trPr>
        <w:tc>
          <w:tcPr>
            <w:tcW w:w="2436" w:type="dxa"/>
          </w:tcPr>
          <w:p w14:paraId="53B64149" w14:textId="77777777" w:rsidR="00130E8B" w:rsidRDefault="000405CC" w:rsidP="00AF1AD1">
            <w:pPr>
              <w:spacing w:before="11"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12. hét</w:t>
            </w:r>
          </w:p>
        </w:tc>
        <w:tc>
          <w:tcPr>
            <w:tcW w:w="2437" w:type="dxa"/>
          </w:tcPr>
          <w:p w14:paraId="11F37047" w14:textId="77777777" w:rsidR="00130E8B" w:rsidRDefault="000405CC" w:rsidP="00AF1AD1">
            <w:pPr>
              <w:spacing w:before="11"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16%</w:t>
            </w:r>
          </w:p>
        </w:tc>
        <w:tc>
          <w:tcPr>
            <w:tcW w:w="2438" w:type="dxa"/>
          </w:tcPr>
          <w:p w14:paraId="432716B4" w14:textId="77777777" w:rsidR="00130E8B" w:rsidRDefault="000405CC" w:rsidP="00AF1AD1">
            <w:pPr>
              <w:spacing w:before="11"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45%***</w:t>
            </w:r>
          </w:p>
        </w:tc>
      </w:tr>
      <w:tr w:rsidR="00130E8B" w14:paraId="6A04329C" w14:textId="77777777" w:rsidTr="00CB3242">
        <w:trPr>
          <w:trHeight w:val="248"/>
          <w:jc w:val="center"/>
        </w:trPr>
        <w:tc>
          <w:tcPr>
            <w:tcW w:w="2436" w:type="dxa"/>
          </w:tcPr>
          <w:p w14:paraId="61FB6886" w14:textId="77777777" w:rsidR="00130E8B" w:rsidRDefault="000405CC" w:rsidP="00AF1AD1">
            <w:pPr>
              <w:spacing w:before="11"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24. hét</w:t>
            </w:r>
          </w:p>
        </w:tc>
        <w:tc>
          <w:tcPr>
            <w:tcW w:w="2437" w:type="dxa"/>
          </w:tcPr>
          <w:p w14:paraId="04E5D1B9" w14:textId="77777777" w:rsidR="00130E8B" w:rsidRDefault="000405CC" w:rsidP="00AF1AD1">
            <w:pPr>
              <w:spacing w:before="11"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15%</w:t>
            </w:r>
          </w:p>
        </w:tc>
        <w:tc>
          <w:tcPr>
            <w:tcW w:w="2438" w:type="dxa"/>
          </w:tcPr>
          <w:p w14:paraId="7FAB4F0A" w14:textId="77777777" w:rsidR="00130E8B" w:rsidRDefault="000405CC" w:rsidP="00AF1AD1">
            <w:pPr>
              <w:spacing w:before="11"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42%***</w:t>
            </w:r>
          </w:p>
        </w:tc>
      </w:tr>
    </w:tbl>
    <w:p w14:paraId="3E166DCD" w14:textId="77777777" w:rsidR="00130E8B" w:rsidRDefault="000405CC" w:rsidP="00AF1AD1">
      <w:pPr>
        <w:pStyle w:val="a3"/>
        <w:rPr>
          <w:lang w:val="hu-HU"/>
        </w:rPr>
      </w:pPr>
      <w:r>
        <w:rPr>
          <w:rFonts w:eastAsia="Times New Roman"/>
          <w:lang w:val="hu-HU"/>
        </w:rPr>
        <w:t>***, ** Statisztikailag szignifikáns különbség (p &lt; 0,001, &lt; 0,01) az adalimumab és a placebocsoportok közötti valamennyi összehasonlítás tekintetében a 2., 12.és 24. héten</w:t>
      </w:r>
    </w:p>
    <w:p w14:paraId="7D7F3739" w14:textId="77777777" w:rsidR="00130E8B" w:rsidRPr="00A9482F" w:rsidRDefault="000405CC" w:rsidP="00AF1AD1">
      <w:pPr>
        <w:pStyle w:val="a3"/>
        <w:rPr>
          <w:lang w:val="hu-HU"/>
        </w:rPr>
      </w:pPr>
      <w:r w:rsidRPr="009167C6">
        <w:rPr>
          <w:rFonts w:eastAsia="Times New Roman"/>
          <w:position w:val="8"/>
          <w:vertAlign w:val="superscript"/>
          <w:lang w:val="hu-HU"/>
        </w:rPr>
        <w:t>a</w:t>
      </w:r>
      <w:r w:rsidRPr="009167C6">
        <w:rPr>
          <w:rFonts w:eastAsia="Times New Roman"/>
          <w:position w:val="8"/>
          <w:lang w:val="hu-HU"/>
        </w:rPr>
        <w:t xml:space="preserve"> </w:t>
      </w:r>
      <w:r w:rsidRPr="00A9482F">
        <w:rPr>
          <w:rFonts w:eastAsia="Times New Roman"/>
          <w:position w:val="8"/>
          <w:lang w:val="hu-HU"/>
        </w:rPr>
        <w:t>Assessments in Ankylosing Spondylitis (Spondylitis Ankylopoetica Értékelése)</w:t>
      </w:r>
    </w:p>
    <w:p w14:paraId="1476792D" w14:textId="77777777" w:rsidR="00130E8B" w:rsidRPr="00A9482F" w:rsidRDefault="000405CC" w:rsidP="00AF1AD1">
      <w:pPr>
        <w:pStyle w:val="a3"/>
        <w:rPr>
          <w:lang w:val="hu-HU"/>
        </w:rPr>
      </w:pPr>
      <w:r w:rsidRPr="009167C6">
        <w:rPr>
          <w:rFonts w:eastAsia="Times New Roman"/>
          <w:position w:val="8"/>
          <w:vertAlign w:val="superscript"/>
          <w:lang w:val="hu-HU"/>
        </w:rPr>
        <w:t>b</w:t>
      </w:r>
      <w:r w:rsidRPr="009167C6">
        <w:rPr>
          <w:rFonts w:eastAsia="Times New Roman"/>
          <w:position w:val="8"/>
          <w:lang w:val="hu-HU"/>
        </w:rPr>
        <w:t xml:space="preserve"> </w:t>
      </w:r>
      <w:r w:rsidRPr="00A9482F">
        <w:rPr>
          <w:rFonts w:eastAsia="Times New Roman"/>
          <w:position w:val="8"/>
          <w:lang w:val="hu-HU"/>
        </w:rPr>
        <w:t>Bath Ankylosing Spondylitis Disease Activity Index (Bath Spondylitis Ankylopoetica Betegség Aktivitási Index)</w:t>
      </w:r>
    </w:p>
    <w:p w14:paraId="20136361" w14:textId="77777777" w:rsidR="00130E8B" w:rsidRDefault="00130E8B" w:rsidP="00AF1AD1">
      <w:pPr>
        <w:spacing w:before="17" w:line="240" w:lineRule="exact"/>
        <w:rPr>
          <w:sz w:val="24"/>
          <w:szCs w:val="24"/>
          <w:lang w:val="hu-HU"/>
        </w:rPr>
      </w:pPr>
    </w:p>
    <w:p w14:paraId="22D84446" w14:textId="77777777" w:rsidR="00130E8B" w:rsidRDefault="000405CC" w:rsidP="00AF1AD1">
      <w:pPr>
        <w:pStyle w:val="a3"/>
        <w:rPr>
          <w:lang w:val="hu-HU"/>
        </w:rPr>
      </w:pPr>
      <w:r>
        <w:rPr>
          <w:rFonts w:eastAsia="Times New Roman"/>
          <w:lang w:val="hu-HU"/>
        </w:rPr>
        <w:t>At adalimumabbal kezelt betegek szignifikánsan nagyobb mértékű javulást mutattak a 12. héten, mind a SF36-ban, mind az Ankylosing Spondylitis Quality of Life Questionnaire (ASQoL) (Spondylitis Ankylopoetica Életminőség Kérdőív) alapján, ami 24 héten keresztül fennmaradt.</w:t>
      </w:r>
    </w:p>
    <w:p w14:paraId="5DC00892" w14:textId="77777777" w:rsidR="00130E8B" w:rsidRDefault="00130E8B" w:rsidP="00AF1AD1">
      <w:pPr>
        <w:pStyle w:val="a3"/>
        <w:rPr>
          <w:sz w:val="24"/>
          <w:szCs w:val="24"/>
          <w:lang w:val="hu-HU"/>
        </w:rPr>
      </w:pPr>
    </w:p>
    <w:p w14:paraId="2B15AC65" w14:textId="7E688BD8" w:rsidR="00130E8B" w:rsidRDefault="000405CC" w:rsidP="00AF1AD1">
      <w:pPr>
        <w:pStyle w:val="a3"/>
        <w:rPr>
          <w:lang w:val="hu-HU"/>
        </w:rPr>
      </w:pPr>
      <w:r>
        <w:rPr>
          <w:rFonts w:eastAsia="Times New Roman"/>
          <w:lang w:val="hu-HU"/>
        </w:rPr>
        <w:t xml:space="preserve">Hasonló trendeket (nem minden esetben statisztikailag szignifikáns) észleltek egy kisebb, 82 aktív spondylitis ankylopoeticában szenvedő beteg bevonásával végzett randomizált, </w:t>
      </w:r>
      <w:r w:rsidRPr="009A68E2">
        <w:rPr>
          <w:rFonts w:eastAsia="Times New Roman"/>
          <w:lang w:val="hu-HU"/>
        </w:rPr>
        <w:t>kettős</w:t>
      </w:r>
      <w:r w:rsidR="009A68E2">
        <w:rPr>
          <w:rFonts w:eastAsia="Times New Roman"/>
          <w:lang w:val="hu-HU"/>
        </w:rPr>
        <w:t xml:space="preserve"> </w:t>
      </w:r>
      <w:r w:rsidRPr="009A68E2">
        <w:rPr>
          <w:rFonts w:eastAsia="Times New Roman"/>
          <w:lang w:val="hu-HU"/>
        </w:rPr>
        <w:t>vak,</w:t>
      </w:r>
      <w:r>
        <w:rPr>
          <w:rFonts w:eastAsia="Times New Roman"/>
          <w:lang w:val="hu-HU"/>
        </w:rPr>
        <w:t xml:space="preserve"> placebo - kontrollos vizsgálatban (AS II).</w:t>
      </w:r>
    </w:p>
    <w:p w14:paraId="798372FC" w14:textId="77777777" w:rsidR="00130E8B" w:rsidRDefault="00130E8B" w:rsidP="00AF1AD1">
      <w:pPr>
        <w:pStyle w:val="a3"/>
        <w:rPr>
          <w:rFonts w:eastAsia="Times New Roman"/>
          <w:i/>
          <w:spacing w:val="-1"/>
          <w:u w:val="single" w:color="000000"/>
          <w:lang w:val="hu-HU"/>
        </w:rPr>
      </w:pPr>
    </w:p>
    <w:p w14:paraId="42DF14A6" w14:textId="77777777" w:rsidR="00130E8B" w:rsidRDefault="000405CC" w:rsidP="00AF1AD1">
      <w:pPr>
        <w:pStyle w:val="a3"/>
        <w:rPr>
          <w:rFonts w:eastAsia="Times New Roman"/>
          <w:lang w:val="hu-HU"/>
        </w:rPr>
      </w:pPr>
      <w:r>
        <w:rPr>
          <w:rFonts w:eastAsia="Times New Roman"/>
          <w:i/>
          <w:iCs/>
          <w:spacing w:val="-1"/>
          <w:u w:val="single" w:color="000000"/>
          <w:lang w:val="hu-HU"/>
        </w:rPr>
        <w:t>Spondylitis ankylopoeticának (SPA) megfelelő röntgeneltéréssel nem járó axiális spondyloarthritis</w:t>
      </w:r>
    </w:p>
    <w:p w14:paraId="0327FBC0" w14:textId="77777777" w:rsidR="00130E8B" w:rsidRDefault="00130E8B" w:rsidP="00AF1AD1">
      <w:pPr>
        <w:pStyle w:val="a3"/>
        <w:rPr>
          <w:sz w:val="18"/>
          <w:szCs w:val="18"/>
          <w:lang w:val="hu-HU"/>
        </w:rPr>
      </w:pPr>
    </w:p>
    <w:p w14:paraId="2FF1A741" w14:textId="77777777" w:rsidR="00130E8B" w:rsidRDefault="000405CC" w:rsidP="00AF1AD1">
      <w:pPr>
        <w:pStyle w:val="a3"/>
        <w:rPr>
          <w:lang w:val="hu-HU"/>
        </w:rPr>
      </w:pPr>
      <w:r>
        <w:rPr>
          <w:rFonts w:eastAsia="Times New Roman"/>
          <w:lang w:val="hu-HU"/>
        </w:rPr>
        <w:t xml:space="preserve">Az adalimumab biztonságosságát és hatásosságát spondylitis ankylopoeticának (SPA) megfelelő röntgeneltéréssel nem járó axiális spondyloarthritisben (nr-axSpA) szenvedő betegeknél értékelték két randomizált, kettős vak, placebokontrollos vizsgálatban. Az Nr-axSpA I klinikai vizsgálatban aktív nr-axSpA-ban szenvedő betegeket értékeltek. Az Nr-axSpA II vizsgálatban a kezelés megszakításának hatását </w:t>
      </w:r>
      <w:r>
        <w:rPr>
          <w:rFonts w:eastAsia="Times New Roman"/>
          <w:lang w:val="hu-HU"/>
        </w:rPr>
        <w:lastRenderedPageBreak/>
        <w:t>vizsgálták olyan aktív nr-axSpA-ban szenvedő betegeknél, akik remisszióba kerültek a nyílt elrendezésű adalimumab-kezelés során.</w:t>
      </w:r>
    </w:p>
    <w:p w14:paraId="64AA2C6C" w14:textId="77777777" w:rsidR="00130E8B" w:rsidRDefault="00130E8B" w:rsidP="00AF1AD1">
      <w:pPr>
        <w:pStyle w:val="a3"/>
        <w:rPr>
          <w:sz w:val="24"/>
          <w:szCs w:val="24"/>
          <w:lang w:val="hu-HU"/>
        </w:rPr>
      </w:pPr>
    </w:p>
    <w:p w14:paraId="6F772AD6" w14:textId="77777777" w:rsidR="00130E8B" w:rsidRDefault="000405CC" w:rsidP="00AF1AD1">
      <w:pPr>
        <w:pStyle w:val="a3"/>
        <w:rPr>
          <w:lang w:val="hu-HU"/>
        </w:rPr>
      </w:pPr>
      <w:r>
        <w:rPr>
          <w:rFonts w:eastAsia="Times New Roman"/>
          <w:spacing w:val="-1"/>
          <w:lang w:val="hu-HU"/>
        </w:rPr>
        <w:t>Nr-axSpA I klinikai vizsgálat</w:t>
      </w:r>
    </w:p>
    <w:p w14:paraId="49B33A65" w14:textId="77777777" w:rsidR="00130E8B" w:rsidRDefault="00130E8B" w:rsidP="00AF1AD1">
      <w:pPr>
        <w:pStyle w:val="a3"/>
        <w:rPr>
          <w:sz w:val="24"/>
          <w:szCs w:val="24"/>
          <w:lang w:val="hu-HU"/>
        </w:rPr>
      </w:pPr>
    </w:p>
    <w:p w14:paraId="7BD408D5" w14:textId="77777777" w:rsidR="00130E8B" w:rsidRDefault="000405CC" w:rsidP="00AF1AD1">
      <w:pPr>
        <w:pStyle w:val="a3"/>
        <w:rPr>
          <w:lang w:val="hu-HU"/>
        </w:rPr>
      </w:pPr>
      <w:r>
        <w:rPr>
          <w:rFonts w:eastAsia="Times New Roman"/>
          <w:lang w:val="hu-HU"/>
        </w:rPr>
        <w:t xml:space="preserve">Az Nr-axSpA I klinikai vizsgálatban a kéthetente egyszer 40 mg dózisban adagolt adalimumab-kezelés hatását 185 aktív nr-axSpA-ban szenvedő betegnél vizsgálták egy randomizált, 12 hetes, kettős vak, placebokontrollos vizsgálatban (betegség aktivitásának átlagos kiindulási pontértéke [a Bath Ankylosing Spondylitis Disease Activity Index (BASDAI) alapján értékelve] 6,4 volt az adalimumabbal kezelt és 6,5 a placebót kapó betegeknél), akik nem adtak megfelelő választ legalább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1 NSAID-re vagy nem tolerálták azt, illetve a NSAID adása számukra ellenjavallt volt.</w:t>
      </w:r>
    </w:p>
    <w:p w14:paraId="1063D2E9" w14:textId="77777777" w:rsidR="00130E8B" w:rsidRDefault="00130E8B" w:rsidP="00AF1AD1">
      <w:pPr>
        <w:pStyle w:val="a3"/>
        <w:rPr>
          <w:sz w:val="24"/>
          <w:szCs w:val="24"/>
          <w:lang w:val="hu-HU"/>
        </w:rPr>
      </w:pPr>
    </w:p>
    <w:p w14:paraId="609EEE1D" w14:textId="020E2E21" w:rsidR="00130E8B" w:rsidRDefault="000405CC" w:rsidP="00AF1AD1">
      <w:pPr>
        <w:pStyle w:val="a3"/>
        <w:rPr>
          <w:lang w:val="hu-HU"/>
        </w:rPr>
      </w:pPr>
      <w:r>
        <w:rPr>
          <w:rFonts w:eastAsia="Times New Roman"/>
          <w:lang w:val="hu-HU"/>
        </w:rPr>
        <w:t>A vizsgálat megkezdésekor 33 beteg (18%) kapott egyidejűleg betegségmódosító reumaellenes szert és 146 beteg (79%) kapott NSAID kezelést. A kettős vak szakaszt egy nyílt vizsgálati fázis követte, amely során további 144 héten keresztül a betegek kéthetente 40 mg adalimumabot kaptak subcutan. A 12. heti eredemények alapján az aktív nr-axSpA-ban szenvedő betegek panaszai és tünetei statisztikailag szignifikáns javulást mutattak az adalimumabbal kezelt betegek esetében, összehasonlítva a placebót kapó betegekkel (1</w:t>
      </w:r>
      <w:r w:rsidR="00417A10">
        <w:rPr>
          <w:rFonts w:eastAsia="Times New Roman"/>
          <w:lang w:val="hu-HU"/>
        </w:rPr>
        <w:t>3</w:t>
      </w:r>
      <w:r>
        <w:rPr>
          <w:rFonts w:eastAsia="Times New Roman"/>
          <w:lang w:val="hu-HU"/>
        </w:rPr>
        <w:t>. táblázat)..</w:t>
      </w:r>
    </w:p>
    <w:p w14:paraId="4C21B496" w14:textId="77777777" w:rsidR="00130E8B" w:rsidRDefault="00130E8B" w:rsidP="00AF1AD1">
      <w:pPr>
        <w:pStyle w:val="a3"/>
        <w:rPr>
          <w:sz w:val="24"/>
          <w:szCs w:val="24"/>
          <w:lang w:val="hu-HU"/>
        </w:rPr>
      </w:pPr>
    </w:p>
    <w:p w14:paraId="4419C778" w14:textId="750C67E6" w:rsidR="00130E8B" w:rsidRDefault="000405CC" w:rsidP="00AF1AD1">
      <w:pPr>
        <w:pStyle w:val="a3"/>
        <w:jc w:val="center"/>
        <w:rPr>
          <w:b/>
          <w:lang w:val="hu-HU"/>
        </w:rPr>
      </w:pPr>
      <w:r>
        <w:rPr>
          <w:rFonts w:eastAsia="Times New Roman"/>
          <w:b/>
          <w:bCs/>
          <w:lang w:val="hu-HU"/>
        </w:rPr>
        <w:t>1</w:t>
      </w:r>
      <w:r w:rsidR="00417A10">
        <w:rPr>
          <w:rFonts w:eastAsia="Times New Roman"/>
          <w:b/>
          <w:bCs/>
          <w:lang w:val="hu-HU"/>
        </w:rPr>
        <w:t>3</w:t>
      </w:r>
      <w:r>
        <w:rPr>
          <w:rFonts w:eastAsia="Times New Roman"/>
          <w:b/>
          <w:bCs/>
          <w:lang w:val="hu-HU"/>
        </w:rPr>
        <w:t>. táblázat</w:t>
      </w:r>
    </w:p>
    <w:p w14:paraId="2C060C6E" w14:textId="77777777" w:rsidR="00130E8B" w:rsidRDefault="000405CC" w:rsidP="00AF1AD1">
      <w:pPr>
        <w:pStyle w:val="a3"/>
        <w:jc w:val="center"/>
        <w:rPr>
          <w:rFonts w:eastAsia="Times New Roman"/>
          <w:b/>
          <w:bCs/>
          <w:lang w:val="hu-HU"/>
        </w:rPr>
      </w:pPr>
      <w:r>
        <w:rPr>
          <w:rFonts w:eastAsia="Times New Roman"/>
          <w:b/>
          <w:bCs/>
          <w:lang w:val="hu-HU"/>
        </w:rPr>
        <w:t>Hatásossági válaszarányok a placebokontrollos Nr-axSpA I vizsgálatban</w:t>
      </w:r>
    </w:p>
    <w:p w14:paraId="7CB0B126" w14:textId="77777777" w:rsidR="00AF1AD1" w:rsidRDefault="00AF1AD1" w:rsidP="00AF1AD1">
      <w:pPr>
        <w:pStyle w:val="a3"/>
        <w:jc w:val="center"/>
        <w:rPr>
          <w:b/>
          <w:lang w:val="hu-HU"/>
        </w:rPr>
      </w:pPr>
    </w:p>
    <w:tbl>
      <w:tblPr>
        <w:tblStyle w:val="ac"/>
        <w:tblW w:w="0" w:type="auto"/>
        <w:tblLook w:val="04A0" w:firstRow="1" w:lastRow="0" w:firstColumn="1" w:lastColumn="0" w:noHBand="0" w:noVBand="1"/>
      </w:tblPr>
      <w:tblGrid>
        <w:gridCol w:w="4520"/>
        <w:gridCol w:w="1872"/>
        <w:gridCol w:w="3198"/>
      </w:tblGrid>
      <w:tr w:rsidR="00130E8B" w14:paraId="79683F8F" w14:textId="77777777">
        <w:tc>
          <w:tcPr>
            <w:tcW w:w="4531" w:type="dxa"/>
            <w:vAlign w:val="center"/>
          </w:tcPr>
          <w:p w14:paraId="7F179686" w14:textId="0BC9EA43" w:rsidR="00130E8B" w:rsidRDefault="00011824" w:rsidP="00AF1AD1">
            <w:pPr>
              <w:spacing w:before="14" w:line="240" w:lineRule="exact"/>
              <w:jc w:val="center"/>
              <w:rPr>
                <w:rFonts w:ascii="Times New Roman" w:hAnsi="Times New Roman" w:cs="Times New Roman"/>
                <w:b/>
                <w:lang w:val="hu-HU" w:eastAsia="ko-KR"/>
              </w:rPr>
            </w:pPr>
            <w:r>
              <w:rPr>
                <w:rFonts w:ascii="Times New Roman" w:eastAsia="Times New Roman" w:hAnsi="Times New Roman" w:cs="Times New Roman"/>
                <w:b/>
                <w:bCs/>
                <w:lang w:val="hu-HU" w:eastAsia="ko-KR"/>
              </w:rPr>
              <w:t>Kettős vak</w:t>
            </w:r>
          </w:p>
          <w:p w14:paraId="46F68638" w14:textId="77777777" w:rsidR="00130E8B" w:rsidRDefault="000405CC" w:rsidP="00AF1AD1">
            <w:pPr>
              <w:spacing w:before="14" w:line="240" w:lineRule="exact"/>
              <w:jc w:val="center"/>
              <w:rPr>
                <w:rFonts w:ascii="Times New Roman" w:hAnsi="Times New Roman" w:cs="Times New Roman"/>
                <w:b/>
                <w:lang w:val="hu-HU" w:eastAsia="ko-KR"/>
              </w:rPr>
            </w:pPr>
            <w:r>
              <w:rPr>
                <w:rFonts w:ascii="Times New Roman" w:eastAsia="Times New Roman" w:hAnsi="Times New Roman" w:cs="Times New Roman"/>
                <w:b/>
                <w:bCs/>
                <w:lang w:val="hu-HU" w:eastAsia="ko-KR"/>
              </w:rPr>
              <w:t>12. hét</w:t>
            </w:r>
          </w:p>
        </w:tc>
        <w:tc>
          <w:tcPr>
            <w:tcW w:w="1875" w:type="dxa"/>
            <w:vAlign w:val="center"/>
          </w:tcPr>
          <w:p w14:paraId="7A87EFC7" w14:textId="77777777" w:rsidR="00130E8B" w:rsidRDefault="000405CC" w:rsidP="00AF1AD1">
            <w:pPr>
              <w:spacing w:before="14" w:line="240" w:lineRule="exact"/>
              <w:jc w:val="center"/>
              <w:rPr>
                <w:rFonts w:ascii="Times New Roman" w:hAnsi="Times New Roman" w:cs="Times New Roman"/>
                <w:b/>
                <w:lang w:val="hu-HU" w:eastAsia="ko-KR"/>
              </w:rPr>
            </w:pPr>
            <w:r>
              <w:rPr>
                <w:rFonts w:ascii="Times New Roman" w:eastAsia="Times New Roman" w:hAnsi="Times New Roman" w:cs="Times New Roman"/>
                <w:b/>
                <w:bCs/>
                <w:lang w:val="hu-HU" w:eastAsia="ko-KR"/>
              </w:rPr>
              <w:t>Placebo</w:t>
            </w:r>
          </w:p>
          <w:p w14:paraId="4C06928A" w14:textId="44250C0E" w:rsidR="00130E8B" w:rsidRDefault="00F26C8D" w:rsidP="00AF1AD1">
            <w:pPr>
              <w:spacing w:before="14" w:line="240" w:lineRule="exact"/>
              <w:jc w:val="center"/>
              <w:rPr>
                <w:rFonts w:ascii="Times New Roman" w:hAnsi="Times New Roman" w:cs="Times New Roman"/>
                <w:b/>
                <w:lang w:val="hu-HU" w:eastAsia="ko-KR"/>
              </w:rPr>
            </w:pPr>
            <w:r>
              <w:rPr>
                <w:rFonts w:ascii="Times New Roman" w:eastAsia="Times New Roman" w:hAnsi="Times New Roman" w:cs="Times New Roman"/>
                <w:b/>
                <w:bCs/>
                <w:lang w:val="hu-HU" w:eastAsia="ko-KR"/>
              </w:rPr>
              <w:t>n</w:t>
            </w:r>
            <w:r w:rsidR="000405CC">
              <w:rPr>
                <w:rFonts w:ascii="Times New Roman" w:eastAsia="Times New Roman" w:hAnsi="Times New Roman" w:cs="Times New Roman"/>
                <w:b/>
                <w:bCs/>
                <w:lang w:val="hu-HU" w:eastAsia="ko-KR"/>
              </w:rPr>
              <w:t>=94</w:t>
            </w:r>
          </w:p>
        </w:tc>
        <w:tc>
          <w:tcPr>
            <w:tcW w:w="3204" w:type="dxa"/>
            <w:vAlign w:val="center"/>
          </w:tcPr>
          <w:p w14:paraId="33308BAE" w14:textId="77777777" w:rsidR="00130E8B" w:rsidRDefault="000405CC" w:rsidP="00AF1AD1">
            <w:pPr>
              <w:spacing w:before="14" w:line="240" w:lineRule="exact"/>
              <w:jc w:val="center"/>
              <w:rPr>
                <w:rFonts w:ascii="Times New Roman" w:hAnsi="Times New Roman" w:cs="Times New Roman"/>
                <w:b/>
                <w:lang w:val="hu-HU" w:eastAsia="ko-KR"/>
              </w:rPr>
            </w:pPr>
            <w:r>
              <w:rPr>
                <w:rFonts w:ascii="Times New Roman" w:eastAsia="Times New Roman" w:hAnsi="Times New Roman" w:cs="Times New Roman"/>
                <w:b/>
                <w:bCs/>
                <w:lang w:val="hu-HU" w:eastAsia="ko-KR"/>
              </w:rPr>
              <w:t>Adalimumab</w:t>
            </w:r>
          </w:p>
          <w:p w14:paraId="686B59FD" w14:textId="5C4C5F68" w:rsidR="00130E8B" w:rsidRDefault="00F26C8D" w:rsidP="00AF1AD1">
            <w:pPr>
              <w:spacing w:before="14" w:line="240" w:lineRule="exact"/>
              <w:jc w:val="center"/>
              <w:rPr>
                <w:rFonts w:ascii="Times New Roman" w:hAnsi="Times New Roman" w:cs="Times New Roman"/>
                <w:b/>
                <w:lang w:val="hu-HU" w:eastAsia="ko-KR"/>
              </w:rPr>
            </w:pPr>
            <w:r>
              <w:rPr>
                <w:rFonts w:ascii="Times New Roman" w:eastAsia="Times New Roman" w:hAnsi="Times New Roman" w:cs="Times New Roman"/>
                <w:b/>
                <w:bCs/>
                <w:lang w:val="hu-HU" w:eastAsia="ko-KR"/>
              </w:rPr>
              <w:t>n</w:t>
            </w:r>
            <w:r w:rsidR="000405CC">
              <w:rPr>
                <w:rFonts w:ascii="Times New Roman" w:eastAsia="Times New Roman" w:hAnsi="Times New Roman" w:cs="Times New Roman"/>
                <w:b/>
                <w:bCs/>
                <w:lang w:val="hu-HU" w:eastAsia="ko-KR"/>
              </w:rPr>
              <w:t>=91</w:t>
            </w:r>
          </w:p>
        </w:tc>
      </w:tr>
      <w:tr w:rsidR="00130E8B" w14:paraId="01B98C97" w14:textId="77777777">
        <w:tc>
          <w:tcPr>
            <w:tcW w:w="4531" w:type="dxa"/>
          </w:tcPr>
          <w:p w14:paraId="2F5B4C6F" w14:textId="77777777" w:rsidR="00130E8B" w:rsidRDefault="000405CC" w:rsidP="00AF1AD1">
            <w:pPr>
              <w:spacing w:before="14" w:line="240" w:lineRule="exact"/>
              <w:rPr>
                <w:rFonts w:ascii="Times New Roman" w:hAnsi="Times New Roman" w:cs="Times New Roman"/>
                <w:lang w:val="hu-HU"/>
              </w:rPr>
            </w:pPr>
            <w:r>
              <w:rPr>
                <w:rFonts w:ascii="Times New Roman" w:eastAsia="Times New Roman" w:hAnsi="Times New Roman" w:cs="Times New Roman"/>
                <w:spacing w:val="-1"/>
                <w:lang w:val="hu-HU"/>
              </w:rPr>
              <w:t>ASAS</w:t>
            </w:r>
            <w:r>
              <w:rPr>
                <w:rFonts w:ascii="Times New Roman" w:eastAsia="Times New Roman" w:hAnsi="Times New Roman" w:cs="Times New Roman"/>
                <w:spacing w:val="-1"/>
                <w:vertAlign w:val="superscript"/>
                <w:lang w:val="hu-HU"/>
              </w:rPr>
              <w:t>a</w:t>
            </w:r>
            <w:r>
              <w:rPr>
                <w:rFonts w:ascii="Times New Roman" w:eastAsia="Times New Roman" w:hAnsi="Times New Roman" w:cs="Times New Roman"/>
                <w:spacing w:val="-1"/>
                <w:lang w:val="hu-HU"/>
              </w:rPr>
              <w:t xml:space="preserve"> 40</w:t>
            </w:r>
          </w:p>
        </w:tc>
        <w:tc>
          <w:tcPr>
            <w:tcW w:w="1875" w:type="dxa"/>
            <w:vAlign w:val="center"/>
          </w:tcPr>
          <w:p w14:paraId="5C8FFEFC" w14:textId="77777777" w:rsidR="00130E8B" w:rsidRDefault="000405CC" w:rsidP="00AF1AD1">
            <w:pPr>
              <w:spacing w:before="14" w:line="240" w:lineRule="exact"/>
              <w:jc w:val="center"/>
              <w:rPr>
                <w:rFonts w:ascii="Times New Roman" w:hAnsi="Times New Roman" w:cs="Times New Roman"/>
                <w:lang w:val="hu-HU"/>
              </w:rPr>
            </w:pPr>
            <w:r>
              <w:rPr>
                <w:rFonts w:ascii="Times New Roman" w:eastAsia="Times New Roman" w:hAnsi="Times New Roman" w:cs="Times New Roman"/>
                <w:lang w:val="hu-HU"/>
              </w:rPr>
              <w:t>15%</w:t>
            </w:r>
          </w:p>
        </w:tc>
        <w:tc>
          <w:tcPr>
            <w:tcW w:w="3204" w:type="dxa"/>
            <w:vAlign w:val="center"/>
          </w:tcPr>
          <w:p w14:paraId="1B360063" w14:textId="77777777" w:rsidR="00130E8B" w:rsidRDefault="000405CC" w:rsidP="00AF1AD1">
            <w:pPr>
              <w:spacing w:before="14" w:line="240" w:lineRule="exact"/>
              <w:jc w:val="center"/>
              <w:rPr>
                <w:rFonts w:ascii="Times New Roman" w:hAnsi="Times New Roman" w:cs="Times New Roman"/>
                <w:lang w:val="hu-HU"/>
              </w:rPr>
            </w:pPr>
            <w:r>
              <w:rPr>
                <w:rFonts w:ascii="Times New Roman" w:eastAsia="Times New Roman" w:hAnsi="Times New Roman" w:cs="Times New Roman"/>
                <w:lang w:val="hu-HU"/>
              </w:rPr>
              <w:t>36%***</w:t>
            </w:r>
          </w:p>
        </w:tc>
      </w:tr>
      <w:tr w:rsidR="00130E8B" w14:paraId="478FC8C0" w14:textId="77777777">
        <w:tc>
          <w:tcPr>
            <w:tcW w:w="4531" w:type="dxa"/>
          </w:tcPr>
          <w:p w14:paraId="4653404A" w14:textId="77777777" w:rsidR="00130E8B" w:rsidRDefault="000405CC" w:rsidP="00AF1AD1">
            <w:pPr>
              <w:spacing w:before="14" w:line="240" w:lineRule="exact"/>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ASAS 20</w:t>
            </w:r>
          </w:p>
        </w:tc>
        <w:tc>
          <w:tcPr>
            <w:tcW w:w="1875" w:type="dxa"/>
            <w:vAlign w:val="center"/>
          </w:tcPr>
          <w:p w14:paraId="02D64303" w14:textId="77777777" w:rsidR="00130E8B" w:rsidRDefault="000405CC" w:rsidP="00AF1AD1">
            <w:pPr>
              <w:spacing w:before="14"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31%</w:t>
            </w:r>
          </w:p>
        </w:tc>
        <w:tc>
          <w:tcPr>
            <w:tcW w:w="3204" w:type="dxa"/>
            <w:vAlign w:val="center"/>
          </w:tcPr>
          <w:p w14:paraId="70D57253" w14:textId="77777777" w:rsidR="00130E8B" w:rsidRDefault="000405CC" w:rsidP="00AF1AD1">
            <w:pPr>
              <w:spacing w:before="14"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52%**</w:t>
            </w:r>
          </w:p>
        </w:tc>
      </w:tr>
      <w:tr w:rsidR="00130E8B" w14:paraId="50B0BA78" w14:textId="77777777">
        <w:tc>
          <w:tcPr>
            <w:tcW w:w="4531" w:type="dxa"/>
          </w:tcPr>
          <w:p w14:paraId="72153C32" w14:textId="77777777" w:rsidR="00130E8B" w:rsidRDefault="000405CC" w:rsidP="00AF1AD1">
            <w:pPr>
              <w:spacing w:before="14" w:line="240" w:lineRule="exact"/>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ASAS 5/6</w:t>
            </w:r>
          </w:p>
        </w:tc>
        <w:tc>
          <w:tcPr>
            <w:tcW w:w="1875" w:type="dxa"/>
            <w:vAlign w:val="center"/>
          </w:tcPr>
          <w:p w14:paraId="33B35130" w14:textId="77777777" w:rsidR="00130E8B" w:rsidRDefault="000405CC" w:rsidP="00AF1AD1">
            <w:pPr>
              <w:spacing w:before="14"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6%</w:t>
            </w:r>
          </w:p>
        </w:tc>
        <w:tc>
          <w:tcPr>
            <w:tcW w:w="3204" w:type="dxa"/>
            <w:vAlign w:val="center"/>
          </w:tcPr>
          <w:p w14:paraId="013E5E35" w14:textId="77777777" w:rsidR="00130E8B" w:rsidRDefault="000405CC" w:rsidP="00AF1AD1">
            <w:pPr>
              <w:spacing w:before="14"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31%***</w:t>
            </w:r>
          </w:p>
        </w:tc>
      </w:tr>
      <w:tr w:rsidR="00130E8B" w14:paraId="28D9C891" w14:textId="77777777">
        <w:tc>
          <w:tcPr>
            <w:tcW w:w="4531" w:type="dxa"/>
          </w:tcPr>
          <w:p w14:paraId="26EE75AC" w14:textId="77777777" w:rsidR="00130E8B" w:rsidRDefault="000405CC" w:rsidP="00AF1AD1">
            <w:pPr>
              <w:spacing w:before="14" w:line="240" w:lineRule="exact"/>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ASAS részleges remisszió</w:t>
            </w:r>
          </w:p>
        </w:tc>
        <w:tc>
          <w:tcPr>
            <w:tcW w:w="1875" w:type="dxa"/>
            <w:vAlign w:val="center"/>
          </w:tcPr>
          <w:p w14:paraId="252511E4" w14:textId="77777777" w:rsidR="00130E8B" w:rsidRDefault="000405CC" w:rsidP="00AF1AD1">
            <w:pPr>
              <w:spacing w:before="14"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5%</w:t>
            </w:r>
          </w:p>
        </w:tc>
        <w:tc>
          <w:tcPr>
            <w:tcW w:w="3204" w:type="dxa"/>
            <w:vAlign w:val="center"/>
          </w:tcPr>
          <w:p w14:paraId="1A2C1978" w14:textId="77777777" w:rsidR="00130E8B" w:rsidRDefault="000405CC" w:rsidP="00AF1AD1">
            <w:pPr>
              <w:spacing w:before="14"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16%*</w:t>
            </w:r>
          </w:p>
        </w:tc>
      </w:tr>
      <w:tr w:rsidR="00130E8B" w14:paraId="60F31988" w14:textId="77777777">
        <w:tc>
          <w:tcPr>
            <w:tcW w:w="4531" w:type="dxa"/>
          </w:tcPr>
          <w:p w14:paraId="45F03074" w14:textId="77777777" w:rsidR="00130E8B" w:rsidRDefault="000405CC" w:rsidP="00AF1AD1">
            <w:pPr>
              <w:spacing w:before="14" w:line="240" w:lineRule="exact"/>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BASDAI</w:t>
            </w:r>
            <w:r>
              <w:rPr>
                <w:rFonts w:ascii="Times New Roman" w:eastAsia="Times New Roman" w:hAnsi="Times New Roman" w:cs="Times New Roman"/>
                <w:spacing w:val="-1"/>
                <w:vertAlign w:val="superscript"/>
                <w:lang w:val="hu-HU"/>
              </w:rPr>
              <w:t>b</w:t>
            </w:r>
            <w:r>
              <w:rPr>
                <w:rFonts w:ascii="Times New Roman" w:eastAsia="Times New Roman" w:hAnsi="Times New Roman" w:cs="Times New Roman"/>
                <w:spacing w:val="-1"/>
                <w:lang w:val="hu-HU"/>
              </w:rPr>
              <w:t xml:space="preserve"> 50</w:t>
            </w:r>
          </w:p>
        </w:tc>
        <w:tc>
          <w:tcPr>
            <w:tcW w:w="1875" w:type="dxa"/>
            <w:vAlign w:val="center"/>
          </w:tcPr>
          <w:p w14:paraId="2A7F9A73" w14:textId="77777777" w:rsidR="00130E8B" w:rsidRDefault="000405CC" w:rsidP="00AF1AD1">
            <w:pPr>
              <w:spacing w:before="14" w:line="240"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15%</w:t>
            </w:r>
          </w:p>
        </w:tc>
        <w:tc>
          <w:tcPr>
            <w:tcW w:w="3204" w:type="dxa"/>
            <w:vAlign w:val="center"/>
          </w:tcPr>
          <w:p w14:paraId="7C54EC1D" w14:textId="77777777" w:rsidR="00130E8B" w:rsidRDefault="000405CC" w:rsidP="00AF1AD1">
            <w:pPr>
              <w:spacing w:before="14" w:line="240" w:lineRule="exact"/>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35%**</w:t>
            </w:r>
          </w:p>
        </w:tc>
      </w:tr>
      <w:tr w:rsidR="00130E8B" w14:paraId="6DC26FD1" w14:textId="77777777">
        <w:tc>
          <w:tcPr>
            <w:tcW w:w="4531" w:type="dxa"/>
          </w:tcPr>
          <w:p w14:paraId="69276021" w14:textId="77777777" w:rsidR="00130E8B" w:rsidRDefault="000405CC" w:rsidP="00AF1AD1">
            <w:pPr>
              <w:spacing w:before="14" w:line="240" w:lineRule="exact"/>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ASDAS</w:t>
            </w:r>
            <w:r>
              <w:rPr>
                <w:rFonts w:ascii="Times New Roman" w:eastAsia="Times New Roman" w:hAnsi="Times New Roman" w:cs="Times New Roman"/>
                <w:spacing w:val="-1"/>
                <w:vertAlign w:val="superscript"/>
                <w:lang w:val="hu-HU"/>
              </w:rPr>
              <w:t>c,d,e</w:t>
            </w:r>
          </w:p>
        </w:tc>
        <w:tc>
          <w:tcPr>
            <w:tcW w:w="1875" w:type="dxa"/>
            <w:vAlign w:val="center"/>
          </w:tcPr>
          <w:p w14:paraId="269FB725" w14:textId="77777777" w:rsidR="00130E8B" w:rsidRDefault="000405CC" w:rsidP="00AF1AD1">
            <w:pPr>
              <w:spacing w:before="14" w:line="240" w:lineRule="exact"/>
              <w:jc w:val="center"/>
              <w:rPr>
                <w:rFonts w:ascii="Times New Roman" w:eastAsia="Times New Roman" w:hAnsi="Times New Roman" w:cs="Times New Roman"/>
                <w:lang w:val="hu-HU"/>
              </w:rPr>
            </w:pPr>
            <w:r>
              <w:rPr>
                <w:rFonts w:ascii="Times New Roman" w:eastAsia="Times New Roman" w:hAnsi="Times New Roman" w:cs="Times New Roman"/>
                <w:spacing w:val="-4"/>
                <w:lang w:val="hu-HU"/>
              </w:rPr>
              <w:t>-0,3</w:t>
            </w:r>
          </w:p>
        </w:tc>
        <w:tc>
          <w:tcPr>
            <w:tcW w:w="3204" w:type="dxa"/>
            <w:vAlign w:val="center"/>
          </w:tcPr>
          <w:p w14:paraId="5841C228" w14:textId="77777777" w:rsidR="00130E8B" w:rsidRDefault="000405CC" w:rsidP="00AF1AD1">
            <w:pPr>
              <w:spacing w:before="14" w:line="240" w:lineRule="exact"/>
              <w:jc w:val="center"/>
              <w:rPr>
                <w:rFonts w:ascii="Times New Roman" w:eastAsia="Times New Roman" w:hAnsi="Times New Roman" w:cs="Times New Roman"/>
                <w:spacing w:val="-1"/>
                <w:lang w:val="hu-HU"/>
              </w:rPr>
            </w:pPr>
            <w:r>
              <w:rPr>
                <w:rFonts w:ascii="Times New Roman" w:eastAsia="Times New Roman" w:hAnsi="Times New Roman" w:cs="Times New Roman"/>
                <w:spacing w:val="-4"/>
                <w:lang w:val="hu-HU"/>
              </w:rPr>
              <w:t>-1.0***</w:t>
            </w:r>
          </w:p>
        </w:tc>
      </w:tr>
      <w:tr w:rsidR="00130E8B" w14:paraId="69AED129" w14:textId="77777777">
        <w:tc>
          <w:tcPr>
            <w:tcW w:w="4531" w:type="dxa"/>
          </w:tcPr>
          <w:p w14:paraId="5748855B" w14:textId="77777777" w:rsidR="00130E8B" w:rsidRDefault="000405CC" w:rsidP="00AF1AD1">
            <w:pPr>
              <w:spacing w:before="14" w:line="240" w:lineRule="exact"/>
              <w:rPr>
                <w:rFonts w:ascii="Times New Roman" w:eastAsia="Times New Roman" w:hAnsi="Times New Roman" w:cs="Times New Roman"/>
                <w:spacing w:val="-1"/>
                <w:position w:val="-7"/>
                <w:lang w:val="hu-HU"/>
              </w:rPr>
            </w:pPr>
            <w:r>
              <w:rPr>
                <w:rFonts w:ascii="Times New Roman" w:eastAsia="Times New Roman" w:hAnsi="Times New Roman" w:cs="Times New Roman"/>
                <w:spacing w:val="-1"/>
                <w:lang w:val="hu-HU"/>
              </w:rPr>
              <w:t>ASDAS inaktív betegség</w:t>
            </w:r>
          </w:p>
        </w:tc>
        <w:tc>
          <w:tcPr>
            <w:tcW w:w="1875" w:type="dxa"/>
            <w:vAlign w:val="center"/>
          </w:tcPr>
          <w:p w14:paraId="1430EB92" w14:textId="77777777" w:rsidR="00130E8B" w:rsidRDefault="000405CC" w:rsidP="00AF1AD1">
            <w:pPr>
              <w:spacing w:before="14" w:line="240" w:lineRule="exact"/>
              <w:jc w:val="center"/>
              <w:rPr>
                <w:rFonts w:ascii="Times New Roman" w:eastAsia="Times New Roman" w:hAnsi="Times New Roman" w:cs="Times New Roman"/>
                <w:spacing w:val="-4"/>
                <w:lang w:val="hu-HU"/>
              </w:rPr>
            </w:pPr>
            <w:r>
              <w:rPr>
                <w:rFonts w:ascii="Times New Roman" w:eastAsia="Times New Roman" w:hAnsi="Times New Roman" w:cs="Times New Roman"/>
                <w:lang w:val="hu-HU"/>
              </w:rPr>
              <w:t>4%</w:t>
            </w:r>
          </w:p>
        </w:tc>
        <w:tc>
          <w:tcPr>
            <w:tcW w:w="3204" w:type="dxa"/>
            <w:vAlign w:val="center"/>
          </w:tcPr>
          <w:p w14:paraId="33CA0F04" w14:textId="77777777" w:rsidR="00130E8B" w:rsidRDefault="000405CC" w:rsidP="00AF1AD1">
            <w:pPr>
              <w:spacing w:before="14" w:line="240" w:lineRule="exact"/>
              <w:jc w:val="center"/>
              <w:rPr>
                <w:rFonts w:ascii="Times New Roman" w:eastAsia="Times New Roman" w:hAnsi="Times New Roman" w:cs="Times New Roman"/>
                <w:spacing w:val="-4"/>
                <w:lang w:val="hu-HU"/>
              </w:rPr>
            </w:pPr>
            <w:r>
              <w:rPr>
                <w:rFonts w:ascii="Times New Roman" w:eastAsia="Times New Roman" w:hAnsi="Times New Roman" w:cs="Times New Roman"/>
                <w:lang w:val="hu-HU"/>
              </w:rPr>
              <w:t>24%***</w:t>
            </w:r>
          </w:p>
        </w:tc>
      </w:tr>
      <w:tr w:rsidR="00130E8B" w14:paraId="707C20BD" w14:textId="77777777">
        <w:tc>
          <w:tcPr>
            <w:tcW w:w="4531" w:type="dxa"/>
          </w:tcPr>
          <w:p w14:paraId="729B0163" w14:textId="77777777" w:rsidR="00130E8B" w:rsidRDefault="000405CC" w:rsidP="00AF1AD1">
            <w:pPr>
              <w:spacing w:before="14" w:line="240" w:lineRule="exact"/>
              <w:rPr>
                <w:rFonts w:ascii="Times New Roman" w:eastAsia="Times New Roman" w:hAnsi="Times New Roman" w:cs="Times New Roman"/>
                <w:spacing w:val="-1"/>
                <w:lang w:val="hu-HU"/>
              </w:rPr>
            </w:pPr>
            <w:r>
              <w:rPr>
                <w:rFonts w:ascii="Times New Roman" w:eastAsia="Times New Roman" w:hAnsi="Times New Roman" w:cs="Times New Roman"/>
                <w:lang w:val="hu-HU"/>
              </w:rPr>
              <w:t>hs-CRP</w:t>
            </w:r>
            <w:r>
              <w:rPr>
                <w:rFonts w:ascii="Times New Roman" w:eastAsia="Times New Roman" w:hAnsi="Times New Roman" w:cs="Times New Roman"/>
                <w:vertAlign w:val="superscript"/>
                <w:lang w:val="hu-HU"/>
              </w:rPr>
              <w:t xml:space="preserve"> d, f, g</w:t>
            </w:r>
          </w:p>
        </w:tc>
        <w:tc>
          <w:tcPr>
            <w:tcW w:w="1875" w:type="dxa"/>
            <w:vAlign w:val="center"/>
          </w:tcPr>
          <w:p w14:paraId="3F911798" w14:textId="77777777" w:rsidR="00130E8B" w:rsidRDefault="000405CC" w:rsidP="00AF1AD1">
            <w:pPr>
              <w:spacing w:before="14" w:line="240" w:lineRule="exact"/>
              <w:jc w:val="center"/>
              <w:rPr>
                <w:rFonts w:ascii="Times New Roman" w:eastAsia="Times New Roman" w:hAnsi="Times New Roman" w:cs="Times New Roman"/>
                <w:lang w:val="hu-HU"/>
              </w:rPr>
            </w:pPr>
            <w:r>
              <w:rPr>
                <w:rFonts w:ascii="Times New Roman" w:eastAsia="Times New Roman" w:hAnsi="Times New Roman" w:cs="Times New Roman"/>
                <w:spacing w:val="-4"/>
                <w:lang w:val="hu-HU"/>
              </w:rPr>
              <w:t>-0,3</w:t>
            </w:r>
          </w:p>
        </w:tc>
        <w:tc>
          <w:tcPr>
            <w:tcW w:w="3204" w:type="dxa"/>
            <w:vAlign w:val="center"/>
          </w:tcPr>
          <w:p w14:paraId="3C42F9F6" w14:textId="77777777" w:rsidR="00130E8B" w:rsidRDefault="000405CC" w:rsidP="00AF1AD1">
            <w:pPr>
              <w:spacing w:before="14" w:line="240" w:lineRule="exact"/>
              <w:jc w:val="center"/>
              <w:rPr>
                <w:rFonts w:ascii="Times New Roman" w:eastAsia="Times New Roman" w:hAnsi="Times New Roman" w:cs="Times New Roman"/>
                <w:lang w:val="hu-HU"/>
              </w:rPr>
            </w:pPr>
            <w:r>
              <w:rPr>
                <w:rFonts w:ascii="Times New Roman" w:eastAsia="Times New Roman" w:hAnsi="Times New Roman" w:cs="Times New Roman"/>
                <w:spacing w:val="-4"/>
                <w:lang w:val="hu-HU"/>
              </w:rPr>
              <w:t>-4.7***</w:t>
            </w:r>
          </w:p>
        </w:tc>
      </w:tr>
      <w:tr w:rsidR="00130E8B" w14:paraId="7CC36B66" w14:textId="77777777">
        <w:tc>
          <w:tcPr>
            <w:tcW w:w="4531" w:type="dxa"/>
          </w:tcPr>
          <w:p w14:paraId="6500F2B6" w14:textId="5C2CCB81" w:rsidR="00130E8B" w:rsidRDefault="000405CC" w:rsidP="00AF1AD1">
            <w:pPr>
              <w:spacing w:before="14" w:line="240" w:lineRule="exact"/>
              <w:rPr>
                <w:rFonts w:ascii="Times New Roman" w:eastAsia="Times New Roman" w:hAnsi="Times New Roman" w:cs="Times New Roman"/>
                <w:lang w:val="hu-HU"/>
              </w:rPr>
            </w:pPr>
            <w:r>
              <w:rPr>
                <w:rFonts w:ascii="Times New Roman" w:eastAsia="Times New Roman" w:hAnsi="Times New Roman" w:cs="Times New Roman"/>
                <w:spacing w:val="-1"/>
                <w:lang w:val="hu-HU"/>
              </w:rPr>
              <w:t>SPARCC</w:t>
            </w:r>
            <w:r>
              <w:rPr>
                <w:rFonts w:ascii="Times New Roman" w:eastAsia="Times New Roman" w:hAnsi="Times New Roman" w:cs="Times New Roman"/>
                <w:spacing w:val="-1"/>
                <w:vertAlign w:val="superscript"/>
                <w:lang w:val="hu-HU"/>
              </w:rPr>
              <w:t>h</w:t>
            </w:r>
            <w:r>
              <w:rPr>
                <w:rFonts w:ascii="Times New Roman" w:eastAsia="Times New Roman" w:hAnsi="Times New Roman" w:cs="Times New Roman"/>
                <w:spacing w:val="-1"/>
                <w:lang w:val="hu-HU"/>
              </w:rPr>
              <w:t xml:space="preserve"> MR</w:t>
            </w:r>
            <w:r w:rsidR="003126B8">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sacroiliacis ízületek</w:t>
            </w:r>
            <w:r>
              <w:rPr>
                <w:rFonts w:ascii="Times New Roman" w:eastAsia="Times New Roman" w:hAnsi="Times New Roman" w:cs="Times New Roman"/>
                <w:spacing w:val="-1"/>
                <w:vertAlign w:val="superscript"/>
                <w:lang w:val="hu-HU"/>
              </w:rPr>
              <w:t>d,i</w:t>
            </w:r>
          </w:p>
        </w:tc>
        <w:tc>
          <w:tcPr>
            <w:tcW w:w="1875" w:type="dxa"/>
            <w:vAlign w:val="center"/>
          </w:tcPr>
          <w:p w14:paraId="706C1A4A" w14:textId="77777777" w:rsidR="00130E8B" w:rsidRDefault="000405CC" w:rsidP="00AF1AD1">
            <w:pPr>
              <w:spacing w:before="14" w:line="240" w:lineRule="exact"/>
              <w:jc w:val="center"/>
              <w:rPr>
                <w:rFonts w:ascii="Times New Roman" w:eastAsia="Times New Roman" w:hAnsi="Times New Roman" w:cs="Times New Roman"/>
                <w:spacing w:val="-4"/>
                <w:lang w:val="hu-HU"/>
              </w:rPr>
            </w:pPr>
            <w:r>
              <w:rPr>
                <w:rFonts w:ascii="Times New Roman" w:eastAsia="Times New Roman" w:hAnsi="Times New Roman" w:cs="Times New Roman"/>
                <w:spacing w:val="-4"/>
                <w:lang w:val="hu-HU"/>
              </w:rPr>
              <w:t>-0,6</w:t>
            </w:r>
          </w:p>
        </w:tc>
        <w:tc>
          <w:tcPr>
            <w:tcW w:w="3204" w:type="dxa"/>
            <w:vAlign w:val="center"/>
          </w:tcPr>
          <w:p w14:paraId="7E39717B" w14:textId="77777777" w:rsidR="00130E8B" w:rsidRDefault="000405CC" w:rsidP="00AF1AD1">
            <w:pPr>
              <w:spacing w:before="14" w:line="240" w:lineRule="exact"/>
              <w:jc w:val="center"/>
              <w:rPr>
                <w:rFonts w:ascii="Times New Roman" w:eastAsia="Times New Roman" w:hAnsi="Times New Roman" w:cs="Times New Roman"/>
                <w:spacing w:val="-4"/>
                <w:lang w:val="hu-HU"/>
              </w:rPr>
            </w:pPr>
            <w:r>
              <w:rPr>
                <w:rFonts w:ascii="Times New Roman" w:eastAsia="Times New Roman" w:hAnsi="Times New Roman" w:cs="Times New Roman"/>
                <w:spacing w:val="-4"/>
                <w:lang w:val="hu-HU"/>
              </w:rPr>
              <w:t>-3.2**</w:t>
            </w:r>
          </w:p>
        </w:tc>
      </w:tr>
      <w:tr w:rsidR="00130E8B" w14:paraId="18014CCF" w14:textId="77777777">
        <w:tc>
          <w:tcPr>
            <w:tcW w:w="4531" w:type="dxa"/>
          </w:tcPr>
          <w:p w14:paraId="6FFC21A9" w14:textId="3D87F26C" w:rsidR="00130E8B" w:rsidRDefault="000405CC" w:rsidP="00AF1AD1">
            <w:pPr>
              <w:spacing w:before="14" w:line="240" w:lineRule="exact"/>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SPARCC MR gerinc</w:t>
            </w:r>
            <w:r>
              <w:rPr>
                <w:rFonts w:ascii="Times New Roman" w:eastAsia="Times New Roman" w:hAnsi="Times New Roman" w:cs="Times New Roman"/>
                <w:spacing w:val="-1"/>
                <w:vertAlign w:val="superscript"/>
                <w:lang w:val="hu-HU"/>
              </w:rPr>
              <w:t>d,j</w:t>
            </w:r>
          </w:p>
        </w:tc>
        <w:tc>
          <w:tcPr>
            <w:tcW w:w="1875" w:type="dxa"/>
            <w:vAlign w:val="center"/>
          </w:tcPr>
          <w:p w14:paraId="36A4491B" w14:textId="77777777" w:rsidR="00130E8B" w:rsidRDefault="000405CC" w:rsidP="00AF1AD1">
            <w:pPr>
              <w:spacing w:before="14" w:line="240" w:lineRule="exact"/>
              <w:jc w:val="center"/>
              <w:rPr>
                <w:rFonts w:ascii="Times New Roman" w:eastAsia="Times New Roman" w:hAnsi="Times New Roman" w:cs="Times New Roman"/>
                <w:spacing w:val="-4"/>
                <w:lang w:val="hu-HU"/>
              </w:rPr>
            </w:pPr>
            <w:r>
              <w:rPr>
                <w:rFonts w:ascii="Times New Roman" w:eastAsia="Times New Roman" w:hAnsi="Times New Roman" w:cs="Times New Roman"/>
                <w:spacing w:val="-4"/>
                <w:lang w:val="hu-HU"/>
              </w:rPr>
              <w:t>-0,2</w:t>
            </w:r>
          </w:p>
        </w:tc>
        <w:tc>
          <w:tcPr>
            <w:tcW w:w="3204" w:type="dxa"/>
            <w:vAlign w:val="center"/>
          </w:tcPr>
          <w:p w14:paraId="57955C43" w14:textId="77777777" w:rsidR="00130E8B" w:rsidRDefault="000405CC" w:rsidP="00AF1AD1">
            <w:pPr>
              <w:spacing w:before="14" w:line="240" w:lineRule="exact"/>
              <w:jc w:val="center"/>
              <w:rPr>
                <w:rFonts w:ascii="Times New Roman" w:eastAsia="Times New Roman" w:hAnsi="Times New Roman" w:cs="Times New Roman"/>
                <w:spacing w:val="-4"/>
                <w:lang w:val="hu-HU"/>
              </w:rPr>
            </w:pPr>
            <w:r>
              <w:rPr>
                <w:rFonts w:ascii="Times New Roman" w:eastAsia="Times New Roman" w:hAnsi="Times New Roman" w:cs="Times New Roman"/>
                <w:spacing w:val="-4"/>
                <w:lang w:val="hu-HU"/>
              </w:rPr>
              <w:t>-1,8</w:t>
            </w:r>
          </w:p>
        </w:tc>
      </w:tr>
    </w:tbl>
    <w:p w14:paraId="04EC6C35" w14:textId="77777777" w:rsidR="00130E8B" w:rsidRPr="00A9482F" w:rsidRDefault="000405CC" w:rsidP="00AF1AD1">
      <w:pPr>
        <w:pStyle w:val="a3"/>
        <w:rPr>
          <w:lang w:val="hu-HU"/>
        </w:rPr>
      </w:pPr>
      <w:r w:rsidRPr="009167C6">
        <w:rPr>
          <w:rFonts w:eastAsia="Times New Roman"/>
          <w:position w:val="8"/>
          <w:vertAlign w:val="superscript"/>
          <w:lang w:val="hu-HU"/>
        </w:rPr>
        <w:t>a</w:t>
      </w:r>
      <w:r w:rsidRPr="009167C6">
        <w:rPr>
          <w:rFonts w:eastAsia="Times New Roman"/>
          <w:position w:val="8"/>
          <w:lang w:val="hu-HU"/>
        </w:rPr>
        <w:t xml:space="preserve"> </w:t>
      </w:r>
      <w:r w:rsidRPr="00A9482F">
        <w:rPr>
          <w:rFonts w:eastAsia="Times New Roman"/>
          <w:position w:val="8"/>
          <w:lang w:val="hu-HU"/>
        </w:rPr>
        <w:t>Assessment of SpondyloArthritis international Society (Spondylitis Ankylopoetica Értékelése)</w:t>
      </w:r>
    </w:p>
    <w:p w14:paraId="7CFFD9E8" w14:textId="77777777" w:rsidR="00130E8B" w:rsidRPr="00A9482F" w:rsidRDefault="000405CC" w:rsidP="00AF1AD1">
      <w:pPr>
        <w:pStyle w:val="a3"/>
        <w:rPr>
          <w:lang w:val="hu-HU"/>
        </w:rPr>
      </w:pPr>
      <w:r w:rsidRPr="009167C6">
        <w:rPr>
          <w:rFonts w:eastAsia="Times New Roman"/>
          <w:position w:val="8"/>
          <w:vertAlign w:val="superscript"/>
          <w:lang w:val="hu-HU"/>
        </w:rPr>
        <w:t>b</w:t>
      </w:r>
      <w:r w:rsidRPr="009167C6">
        <w:rPr>
          <w:rFonts w:eastAsia="Times New Roman"/>
          <w:position w:val="8"/>
          <w:lang w:val="hu-HU"/>
        </w:rPr>
        <w:t xml:space="preserve"> </w:t>
      </w:r>
      <w:r w:rsidRPr="00A9482F">
        <w:rPr>
          <w:rFonts w:eastAsia="Times New Roman"/>
          <w:position w:val="8"/>
          <w:lang w:val="hu-HU"/>
        </w:rPr>
        <w:t>Bath Ankylosing Spondylitis Disease Activity Index (Bath Spondylitis Ankylopoetica Betegség Aktivitási Index)</w:t>
      </w:r>
    </w:p>
    <w:p w14:paraId="7E57A35F" w14:textId="77777777" w:rsidR="00130E8B" w:rsidRPr="00A9482F" w:rsidRDefault="000405CC" w:rsidP="00AF1AD1">
      <w:pPr>
        <w:pStyle w:val="a3"/>
        <w:rPr>
          <w:lang w:val="hu-HU"/>
        </w:rPr>
      </w:pPr>
      <w:r w:rsidRPr="009167C6">
        <w:rPr>
          <w:rFonts w:eastAsia="Times New Roman"/>
          <w:position w:val="8"/>
          <w:vertAlign w:val="superscript"/>
          <w:lang w:val="hu-HU"/>
        </w:rPr>
        <w:t>c</w:t>
      </w:r>
      <w:r w:rsidRPr="009167C6">
        <w:rPr>
          <w:rFonts w:eastAsia="Times New Roman"/>
          <w:position w:val="8"/>
          <w:lang w:val="hu-HU"/>
        </w:rPr>
        <w:t xml:space="preserve"> </w:t>
      </w:r>
      <w:r w:rsidRPr="00A9482F">
        <w:rPr>
          <w:rFonts w:eastAsia="Times New Roman"/>
          <w:position w:val="8"/>
          <w:lang w:val="hu-HU"/>
        </w:rPr>
        <w:t>Ankylosing Spondylitis Disease Activity Sco</w:t>
      </w:r>
      <w:r w:rsidR="003126B8" w:rsidRPr="00A9482F">
        <w:rPr>
          <w:rFonts w:eastAsia="Times New Roman"/>
          <w:position w:val="8"/>
          <w:lang w:val="hu-HU"/>
        </w:rPr>
        <w:t xml:space="preserve"> </w:t>
      </w:r>
      <w:r w:rsidRPr="00A9482F">
        <w:rPr>
          <w:rFonts w:eastAsia="Times New Roman"/>
          <w:position w:val="8"/>
          <w:lang w:val="hu-HU"/>
        </w:rPr>
        <w:t>re (Spondylitis Ankylopoetica Betegség Aktivitási pontszám)</w:t>
      </w:r>
    </w:p>
    <w:p w14:paraId="03236ABA" w14:textId="77777777" w:rsidR="00130E8B" w:rsidRPr="00A9482F" w:rsidRDefault="000405CC" w:rsidP="00AF1AD1">
      <w:pPr>
        <w:pStyle w:val="a3"/>
        <w:rPr>
          <w:lang w:val="hu-HU"/>
        </w:rPr>
      </w:pPr>
      <w:r w:rsidRPr="009167C6">
        <w:rPr>
          <w:rFonts w:eastAsia="Times New Roman"/>
          <w:position w:val="8"/>
          <w:vertAlign w:val="superscript"/>
          <w:lang w:val="hu-HU"/>
        </w:rPr>
        <w:t>d</w:t>
      </w:r>
      <w:r w:rsidRPr="009167C6">
        <w:rPr>
          <w:rFonts w:eastAsia="Times New Roman"/>
          <w:position w:val="8"/>
          <w:lang w:val="hu-HU"/>
        </w:rPr>
        <w:t xml:space="preserve"> </w:t>
      </w:r>
      <w:r w:rsidRPr="00A9482F">
        <w:rPr>
          <w:rFonts w:eastAsia="Times New Roman"/>
          <w:position w:val="8"/>
          <w:lang w:val="hu-HU"/>
        </w:rPr>
        <w:t>Átlag változás a kezdeti értékektől</w:t>
      </w:r>
    </w:p>
    <w:p w14:paraId="00C214C0" w14:textId="77777777" w:rsidR="00130E8B" w:rsidRPr="00A9482F" w:rsidRDefault="000405CC">
      <w:pPr>
        <w:pStyle w:val="a3"/>
        <w:rPr>
          <w:lang w:val="hu-HU"/>
        </w:rPr>
      </w:pPr>
      <w:r w:rsidRPr="009167C6">
        <w:rPr>
          <w:rFonts w:eastAsia="Times New Roman"/>
          <w:position w:val="8"/>
          <w:vertAlign w:val="superscript"/>
          <w:lang w:val="hu-HU"/>
        </w:rPr>
        <w:t>e</w:t>
      </w:r>
      <w:r w:rsidRPr="009167C6">
        <w:rPr>
          <w:rFonts w:eastAsia="Times New Roman"/>
          <w:position w:val="8"/>
          <w:lang w:val="hu-HU"/>
        </w:rPr>
        <w:t xml:space="preserve"> </w:t>
      </w:r>
      <w:r w:rsidRPr="00A9482F">
        <w:rPr>
          <w:rFonts w:eastAsia="Times New Roman"/>
          <w:position w:val="8"/>
          <w:lang w:val="hu-HU"/>
        </w:rPr>
        <w:t>n=91 placebo és n=87 adalimumab</w:t>
      </w:r>
    </w:p>
    <w:p w14:paraId="30A2BF8D" w14:textId="236BFBEB" w:rsidR="00130E8B" w:rsidRPr="00A9482F" w:rsidRDefault="000405CC">
      <w:pPr>
        <w:pStyle w:val="a3"/>
        <w:rPr>
          <w:lang w:val="hu-HU"/>
        </w:rPr>
      </w:pPr>
      <w:r w:rsidRPr="009167C6">
        <w:rPr>
          <w:rFonts w:eastAsia="Times New Roman"/>
          <w:position w:val="8"/>
          <w:vertAlign w:val="superscript"/>
          <w:lang w:val="hu-HU"/>
        </w:rPr>
        <w:t>f</w:t>
      </w:r>
      <w:r w:rsidRPr="009167C6">
        <w:rPr>
          <w:rFonts w:eastAsia="Times New Roman"/>
          <w:position w:val="8"/>
          <w:lang w:val="hu-HU"/>
        </w:rPr>
        <w:t xml:space="preserve"> </w:t>
      </w:r>
      <w:r w:rsidRPr="00A9482F">
        <w:rPr>
          <w:rFonts w:eastAsia="Times New Roman"/>
          <w:position w:val="8"/>
          <w:lang w:val="hu-HU"/>
        </w:rPr>
        <w:t>nagy szenzitivitású C-reaktív protein (mg/</w:t>
      </w:r>
      <w:r w:rsidR="00A9482F">
        <w:rPr>
          <w:rFonts w:eastAsia="Times New Roman"/>
          <w:position w:val="8"/>
          <w:lang w:val="hu-HU"/>
        </w:rPr>
        <w:t>L</w:t>
      </w:r>
      <w:r w:rsidRPr="00A9482F">
        <w:rPr>
          <w:rFonts w:eastAsia="Times New Roman"/>
          <w:position w:val="8"/>
          <w:lang w:val="hu-HU"/>
        </w:rPr>
        <w:t>)</w:t>
      </w:r>
    </w:p>
    <w:p w14:paraId="6E9B5EBA" w14:textId="77777777" w:rsidR="00130E8B" w:rsidRPr="00A9482F" w:rsidRDefault="000405CC">
      <w:pPr>
        <w:pStyle w:val="a3"/>
        <w:rPr>
          <w:lang w:val="hu-HU"/>
        </w:rPr>
      </w:pPr>
      <w:r w:rsidRPr="009167C6">
        <w:rPr>
          <w:rFonts w:eastAsia="Times New Roman"/>
          <w:position w:val="8"/>
          <w:vertAlign w:val="superscript"/>
          <w:lang w:val="hu-HU"/>
        </w:rPr>
        <w:t>g</w:t>
      </w:r>
      <w:r w:rsidRPr="009167C6">
        <w:rPr>
          <w:rFonts w:eastAsia="Times New Roman"/>
          <w:position w:val="8"/>
          <w:lang w:val="hu-HU"/>
        </w:rPr>
        <w:t xml:space="preserve"> </w:t>
      </w:r>
      <w:r w:rsidRPr="00A9482F">
        <w:rPr>
          <w:rFonts w:eastAsia="Times New Roman"/>
          <w:position w:val="8"/>
          <w:lang w:val="hu-HU"/>
        </w:rPr>
        <w:t>n=73 placebo és n=70 adalimumab</w:t>
      </w:r>
    </w:p>
    <w:p w14:paraId="598E02D0" w14:textId="77777777" w:rsidR="00130E8B" w:rsidRPr="00A9482F" w:rsidRDefault="000405CC">
      <w:pPr>
        <w:pStyle w:val="a3"/>
        <w:rPr>
          <w:lang w:val="hu-HU"/>
        </w:rPr>
      </w:pPr>
      <w:r w:rsidRPr="009167C6">
        <w:rPr>
          <w:rFonts w:eastAsia="Times New Roman"/>
          <w:position w:val="8"/>
          <w:vertAlign w:val="superscript"/>
          <w:lang w:val="hu-HU"/>
        </w:rPr>
        <w:t>h</w:t>
      </w:r>
      <w:r w:rsidRPr="00A9482F">
        <w:rPr>
          <w:rFonts w:eastAsia="Times New Roman"/>
          <w:position w:val="8"/>
          <w:lang w:val="hu-HU"/>
        </w:rPr>
        <w:t>Spondylitis Ankylopoetica Kanadai Kutató Konzorcium</w:t>
      </w:r>
    </w:p>
    <w:p w14:paraId="380EC3C0" w14:textId="00AC2251" w:rsidR="00130E8B" w:rsidRPr="00A9482F" w:rsidRDefault="00A9482F">
      <w:pPr>
        <w:pStyle w:val="a3"/>
        <w:rPr>
          <w:lang w:val="hu-HU"/>
        </w:rPr>
      </w:pPr>
      <w:r>
        <w:rPr>
          <w:rFonts w:eastAsia="Times New Roman"/>
          <w:position w:val="8"/>
          <w:vertAlign w:val="superscript"/>
          <w:lang w:val="hu-HU"/>
        </w:rPr>
        <w:t>i</w:t>
      </w:r>
      <w:r w:rsidR="000405CC" w:rsidRPr="009167C6">
        <w:rPr>
          <w:rFonts w:eastAsia="Times New Roman"/>
          <w:position w:val="8"/>
          <w:lang w:val="hu-HU"/>
        </w:rPr>
        <w:t xml:space="preserve"> </w:t>
      </w:r>
      <w:r w:rsidR="000405CC" w:rsidRPr="00A9482F">
        <w:rPr>
          <w:rFonts w:eastAsia="Times New Roman"/>
          <w:position w:val="8"/>
          <w:lang w:val="hu-HU"/>
        </w:rPr>
        <w:t>n=84 placebo és n=70 adalimumab</w:t>
      </w:r>
    </w:p>
    <w:p w14:paraId="29785C97" w14:textId="66AD3CE3" w:rsidR="00130E8B" w:rsidRPr="00A9482F" w:rsidRDefault="00A9482F">
      <w:pPr>
        <w:pStyle w:val="a3"/>
        <w:rPr>
          <w:lang w:val="hu-HU"/>
        </w:rPr>
      </w:pPr>
      <w:r>
        <w:rPr>
          <w:rFonts w:eastAsia="Times New Roman"/>
          <w:position w:val="8"/>
          <w:vertAlign w:val="superscript"/>
          <w:lang w:val="hu-HU"/>
        </w:rPr>
        <w:t>j</w:t>
      </w:r>
      <w:r w:rsidR="000405CC" w:rsidRPr="009167C6">
        <w:rPr>
          <w:rFonts w:eastAsia="Times New Roman"/>
          <w:position w:val="8"/>
          <w:lang w:val="hu-HU"/>
        </w:rPr>
        <w:t xml:space="preserve"> </w:t>
      </w:r>
      <w:r w:rsidR="000405CC" w:rsidRPr="00A9482F">
        <w:rPr>
          <w:rFonts w:eastAsia="Times New Roman"/>
          <w:position w:val="8"/>
          <w:lang w:val="hu-HU"/>
        </w:rPr>
        <w:t>n=82 placebo és n=85 adalimumab</w:t>
      </w:r>
    </w:p>
    <w:p w14:paraId="0984DD68" w14:textId="77777777" w:rsidR="00130E8B" w:rsidRDefault="000405CC">
      <w:pPr>
        <w:pStyle w:val="a3"/>
        <w:ind w:left="990" w:hangingChars="450" w:hanging="990"/>
        <w:rPr>
          <w:lang w:val="hu-HU"/>
        </w:rPr>
      </w:pPr>
      <w:r>
        <w:rPr>
          <w:rFonts w:eastAsia="Times New Roman"/>
          <w:lang w:val="hu-HU"/>
        </w:rPr>
        <w:t>***, **, * Statisztikailag szignifikáns különbség, p &lt; 0,001, &lt; 0,01 és &lt; 0,05 érték esetén, ebben a sorrendben, az adalimumab és a placebo valamennyi összehasonlítását illetően</w:t>
      </w:r>
    </w:p>
    <w:p w14:paraId="492E9C5F" w14:textId="77777777" w:rsidR="00130E8B" w:rsidRDefault="00130E8B">
      <w:pPr>
        <w:spacing w:before="14" w:line="240" w:lineRule="exact"/>
        <w:rPr>
          <w:sz w:val="24"/>
          <w:szCs w:val="24"/>
          <w:lang w:val="hu-HU"/>
        </w:rPr>
      </w:pPr>
    </w:p>
    <w:p w14:paraId="1C31CE31" w14:textId="77777777" w:rsidR="00130E8B" w:rsidRDefault="000405CC">
      <w:pPr>
        <w:pStyle w:val="a3"/>
        <w:rPr>
          <w:lang w:val="hu-HU"/>
        </w:rPr>
      </w:pPr>
      <w:r>
        <w:rPr>
          <w:rFonts w:eastAsia="Times New Roman"/>
          <w:lang w:val="hu-HU"/>
        </w:rPr>
        <w:t>A nyílt kiterjesztésű vizsgálatban az adalimumab terápia mellett a tünetek és panaszok javulása a 156. hétig megmaradt.</w:t>
      </w:r>
    </w:p>
    <w:p w14:paraId="3DBFF3EF" w14:textId="77777777" w:rsidR="00130E8B" w:rsidRDefault="00130E8B">
      <w:pPr>
        <w:spacing w:before="11" w:line="240" w:lineRule="exact"/>
        <w:rPr>
          <w:sz w:val="24"/>
          <w:szCs w:val="24"/>
          <w:lang w:val="hu-HU"/>
        </w:rPr>
      </w:pPr>
    </w:p>
    <w:p w14:paraId="07FDF244" w14:textId="77777777" w:rsidR="00130E8B" w:rsidRDefault="000405CC">
      <w:pPr>
        <w:pStyle w:val="a3"/>
        <w:rPr>
          <w:lang w:val="hu-HU"/>
        </w:rPr>
      </w:pPr>
      <w:r>
        <w:rPr>
          <w:rFonts w:eastAsia="Times New Roman"/>
          <w:lang w:val="hu-HU"/>
        </w:rPr>
        <w:t>Gyulladás gátlása</w:t>
      </w:r>
    </w:p>
    <w:p w14:paraId="3443D765" w14:textId="77777777" w:rsidR="00130E8B" w:rsidRDefault="00130E8B">
      <w:pPr>
        <w:spacing w:before="13" w:line="240" w:lineRule="exact"/>
        <w:rPr>
          <w:sz w:val="24"/>
          <w:szCs w:val="24"/>
          <w:lang w:val="hu-HU"/>
        </w:rPr>
      </w:pPr>
    </w:p>
    <w:p w14:paraId="29AB1C7A" w14:textId="6E80F93C" w:rsidR="00130E8B" w:rsidRDefault="000405CC">
      <w:pPr>
        <w:pStyle w:val="a3"/>
        <w:rPr>
          <w:lang w:val="hu-HU"/>
        </w:rPr>
      </w:pPr>
      <w:r>
        <w:rPr>
          <w:rFonts w:eastAsia="Times New Roman"/>
          <w:lang w:val="hu-HU"/>
        </w:rPr>
        <w:t>Az adalimumabbal kezelt betegeknél a sacroiliacalis ízületek és a gerinc gyulladásának nagy érzékenységű C-reaktív proteinnel (hs-CRP) mért és MR-</w:t>
      </w:r>
      <w:r w:rsidR="00D33AB9">
        <w:rPr>
          <w:rFonts w:eastAsia="Times New Roman"/>
          <w:lang w:val="hu-HU"/>
        </w:rPr>
        <w:t>r</w:t>
      </w:r>
      <w:r>
        <w:rPr>
          <w:rFonts w:eastAsia="Times New Roman"/>
          <w:lang w:val="hu-HU"/>
        </w:rPr>
        <w:t>el kimutatott jelentős javulása sorrendben 156 héten át és 104 héten át megmaradt.</w:t>
      </w:r>
    </w:p>
    <w:p w14:paraId="2470458B" w14:textId="77777777" w:rsidR="00130E8B" w:rsidRDefault="00130E8B">
      <w:pPr>
        <w:spacing w:before="11" w:line="240" w:lineRule="exact"/>
        <w:rPr>
          <w:sz w:val="24"/>
          <w:szCs w:val="24"/>
          <w:lang w:val="hu-HU"/>
        </w:rPr>
      </w:pPr>
    </w:p>
    <w:p w14:paraId="0228BB71" w14:textId="77777777" w:rsidR="00130E8B" w:rsidRDefault="000405CC">
      <w:pPr>
        <w:pStyle w:val="a3"/>
        <w:rPr>
          <w:lang w:val="hu-HU"/>
        </w:rPr>
      </w:pPr>
      <w:r>
        <w:rPr>
          <w:rFonts w:eastAsia="Times New Roman"/>
          <w:lang w:val="hu-HU"/>
        </w:rPr>
        <w:t>Életminőség és fizikai aktivitás</w:t>
      </w:r>
    </w:p>
    <w:p w14:paraId="6FAB9EA3" w14:textId="77777777" w:rsidR="00130E8B" w:rsidRDefault="00130E8B">
      <w:pPr>
        <w:spacing w:before="1" w:line="180" w:lineRule="exact"/>
        <w:rPr>
          <w:sz w:val="18"/>
          <w:szCs w:val="18"/>
          <w:lang w:val="hu-HU"/>
        </w:rPr>
      </w:pPr>
    </w:p>
    <w:p w14:paraId="25F1C316" w14:textId="77777777" w:rsidR="00130E8B" w:rsidRDefault="000405CC">
      <w:pPr>
        <w:pStyle w:val="a3"/>
        <w:rPr>
          <w:lang w:val="hu-HU"/>
        </w:rPr>
      </w:pPr>
      <w:r>
        <w:rPr>
          <w:rFonts w:eastAsia="Times New Roman"/>
          <w:lang w:val="hu-HU"/>
        </w:rPr>
        <w:t>Az egészségi állapottal kapcsolatos életminőséget és fizikális funkciót a HAQ-S és az SF-36 kérdőívekkel vizsgálták. Az adalimumab a placebóval összehasonlítva statisztikailag szignifikánsan nagyobb javulást mutatott a HAQ-S összesített értékét illetően és az SF-36 Fizikális Komponens Érték [Physical Component Score (PCS)] tekintetében, a vizsgálat megkezdésétől a 12. hétig. Az egészségi állapottal kapcsolatos életminőség és fizikai funkció javulása fennmaradt a vizsgálat nyílt kiterjesztéses szakaszában, 156 héten át.</w:t>
      </w:r>
    </w:p>
    <w:p w14:paraId="46D5F4BD" w14:textId="77777777" w:rsidR="00130E8B" w:rsidRDefault="00130E8B">
      <w:pPr>
        <w:spacing w:before="13" w:line="240" w:lineRule="exact"/>
        <w:rPr>
          <w:sz w:val="24"/>
          <w:szCs w:val="24"/>
          <w:lang w:val="hu-HU"/>
        </w:rPr>
      </w:pPr>
    </w:p>
    <w:p w14:paraId="191AD705" w14:textId="1F05CAE7" w:rsidR="00130E8B" w:rsidRDefault="000405CC">
      <w:pPr>
        <w:pStyle w:val="a3"/>
        <w:rPr>
          <w:lang w:val="hu-HU"/>
        </w:rPr>
      </w:pPr>
      <w:r>
        <w:rPr>
          <w:rFonts w:eastAsia="Times New Roman"/>
          <w:spacing w:val="-1"/>
          <w:lang w:val="hu-HU"/>
        </w:rPr>
        <w:t>Nr-axSpA</w:t>
      </w:r>
      <w:r w:rsidR="00B07467" w:rsidRPr="009167C6">
        <w:rPr>
          <w:lang w:val="hu-HU"/>
        </w:rPr>
        <w:t> </w:t>
      </w:r>
      <w:r w:rsidR="00B07467" w:rsidDel="002A3904">
        <w:rPr>
          <w:rFonts w:eastAsia="Times New Roman"/>
          <w:b/>
          <w:bCs/>
          <w:lang w:val="hu-HU"/>
        </w:rPr>
        <w:t xml:space="preserve"> </w:t>
      </w:r>
      <w:r>
        <w:rPr>
          <w:rFonts w:eastAsia="Times New Roman"/>
          <w:spacing w:val="-1"/>
          <w:lang w:val="hu-HU"/>
        </w:rPr>
        <w:t>II klinikai vizsgálat</w:t>
      </w:r>
    </w:p>
    <w:p w14:paraId="35B7A4EC" w14:textId="77777777" w:rsidR="00130E8B" w:rsidRDefault="00130E8B">
      <w:pPr>
        <w:spacing w:before="14" w:line="240" w:lineRule="exact"/>
        <w:rPr>
          <w:sz w:val="24"/>
          <w:szCs w:val="24"/>
          <w:lang w:val="hu-HU"/>
        </w:rPr>
      </w:pPr>
    </w:p>
    <w:p w14:paraId="613EBDDC" w14:textId="739DC95F" w:rsidR="00130E8B" w:rsidRDefault="000405CC">
      <w:pPr>
        <w:pStyle w:val="a3"/>
        <w:rPr>
          <w:lang w:val="hu-HU"/>
        </w:rPr>
      </w:pPr>
      <w:r>
        <w:rPr>
          <w:rFonts w:eastAsia="Times New Roman"/>
          <w:lang w:val="hu-HU"/>
        </w:rPr>
        <w:t xml:space="preserve">Az Nr-axSpA II klinikai vizsgálat nyílt elrendezésű szakaszába (melynek során kéthetente egyszer 40 mg adalimumabot adagoltak 28 héten keresztül), 673, olyan aktív nr-axSpA-ban szenvedő beteget vontak be (betegség aktivitásának átlagos kiindulási pontértéke [a Bath Ankylosing Spondylitis Disease Activity Index (BASDAI) 7,0 volt], akik nem megfelelően reagáltak legalább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2 NSAID-re, vagy nem tolerálták az NSAID-kezelést, illetve az ellenjavallt volt számukra.</w:t>
      </w:r>
    </w:p>
    <w:p w14:paraId="3F068FBE" w14:textId="77777777" w:rsidR="00130E8B" w:rsidRDefault="00130E8B">
      <w:pPr>
        <w:pStyle w:val="a3"/>
        <w:rPr>
          <w:lang w:val="hu-HU"/>
        </w:rPr>
      </w:pPr>
    </w:p>
    <w:p w14:paraId="79C5384C" w14:textId="599294C4" w:rsidR="00130E8B" w:rsidRDefault="000405CC">
      <w:pPr>
        <w:pStyle w:val="a3"/>
        <w:rPr>
          <w:lang w:val="hu-HU"/>
        </w:rPr>
      </w:pPr>
      <w:r>
        <w:rPr>
          <w:rFonts w:eastAsia="Times New Roman"/>
          <w:lang w:val="hu-HU"/>
        </w:rPr>
        <w:t>Ezeknél a betegeknél MR</w:t>
      </w:r>
      <w:r w:rsidR="00B07467">
        <w:rPr>
          <w:rFonts w:eastAsia="Times New Roman"/>
          <w:lang w:val="hu-HU"/>
        </w:rPr>
        <w:t xml:space="preserve"> </w:t>
      </w:r>
      <w:r>
        <w:rPr>
          <w:rFonts w:eastAsia="Times New Roman"/>
          <w:lang w:val="hu-HU"/>
        </w:rPr>
        <w:t>vizsgálat vagy az emelkedett hs-CRP-szint igazolt gyulladást a sacroiliacalis ízületekben vagy a gerincben. Azokat a betegeket, akik tartós remissziót értek el a nyílt elrendezésű szakasz során legalább 12 héten keresztül (N = 305) (ASDAS &lt; 1,3 a 16., 20., 24. és 28. héten), randomizálták folytatólagos kéthetente adagolt 40 mg adalimumab-kezelésre (N = 152) vagy placebóra (N = 153) egy további, 40 hetes, kettős vak, placebokontrollos szakaszban (a vizsgálat teljes időtartama 68 hét volt). Azok a betegek, akiknek betegsége a kettős vak szakaszban fellángolt, minden második héten adott 40 mg adalimumab kiegészítő kezelést kaphattak legalább 12 hétig.</w:t>
      </w:r>
    </w:p>
    <w:p w14:paraId="1E0DB85E" w14:textId="77777777" w:rsidR="00130E8B" w:rsidRDefault="00130E8B">
      <w:pPr>
        <w:spacing w:before="14" w:line="240" w:lineRule="exact"/>
        <w:rPr>
          <w:sz w:val="24"/>
          <w:szCs w:val="24"/>
          <w:lang w:val="hu-HU"/>
        </w:rPr>
      </w:pPr>
    </w:p>
    <w:p w14:paraId="0F66B243" w14:textId="77777777" w:rsidR="00130E8B" w:rsidRDefault="000405CC">
      <w:pPr>
        <w:pStyle w:val="a3"/>
        <w:rPr>
          <w:lang w:val="hu-HU"/>
        </w:rPr>
      </w:pPr>
      <w:r>
        <w:rPr>
          <w:rFonts w:eastAsia="Times New Roman"/>
          <w:lang w:val="hu-HU"/>
        </w:rPr>
        <w:t>A vizsgálat elsődleges hatásossági végpontja azoknak a betegeknek az aránya volt, akiknek a vizsgálat 68. hetéig nem lángolt fel a betegségük. A fellángolás definíciója az ASDAS ≥ 2,1 két egymást követő viziten, négy hét különbséggel. Az adalimumabbal kezelt betegek nagyobb arányánál nem fordult elő a betegség fellángolása a kettős vak szakasz során, összehasonlítva a placebót kapókkal (70,4% vs. 47,1%, p&lt;0,001) (1. ábra).</w:t>
      </w:r>
    </w:p>
    <w:p w14:paraId="02C1A496" w14:textId="77777777" w:rsidR="00CE42DC" w:rsidRDefault="00CE42DC">
      <w:pPr>
        <w:rPr>
          <w:sz w:val="26"/>
          <w:szCs w:val="26"/>
          <w:lang w:val="hu-HU"/>
        </w:rPr>
      </w:pPr>
    </w:p>
    <w:p w14:paraId="7864C885" w14:textId="77777777" w:rsidR="00AF1AD1" w:rsidRDefault="00AF1AD1">
      <w:pPr>
        <w:rPr>
          <w:rFonts w:ascii="Times New Roman" w:eastAsia="Times New Roman" w:hAnsi="Times New Roman" w:cs="Times New Roman"/>
          <w:b/>
          <w:bCs/>
          <w:lang w:val="hu-HU"/>
        </w:rPr>
      </w:pPr>
      <w:r>
        <w:rPr>
          <w:rFonts w:eastAsia="Times New Roman"/>
          <w:b/>
          <w:bCs/>
          <w:lang w:val="hu-HU"/>
        </w:rPr>
        <w:br w:type="page"/>
      </w:r>
    </w:p>
    <w:p w14:paraId="0A2C673B" w14:textId="1BC890B9" w:rsidR="00130E8B" w:rsidRDefault="000405CC">
      <w:pPr>
        <w:pStyle w:val="a3"/>
        <w:jc w:val="center"/>
        <w:rPr>
          <w:b/>
          <w:lang w:val="hu-HU"/>
        </w:rPr>
      </w:pPr>
      <w:r>
        <w:rPr>
          <w:rFonts w:eastAsia="Times New Roman"/>
          <w:b/>
          <w:bCs/>
          <w:lang w:val="hu-HU"/>
        </w:rPr>
        <w:lastRenderedPageBreak/>
        <w:t>1. ábra:</w:t>
      </w:r>
      <w:r w:rsidR="00C91C54">
        <w:rPr>
          <w:rFonts w:eastAsia="Times New Roman"/>
          <w:b/>
          <w:bCs/>
          <w:lang w:val="hu-HU"/>
        </w:rPr>
        <w:t xml:space="preserve"> </w:t>
      </w:r>
      <w:r>
        <w:rPr>
          <w:rFonts w:eastAsia="Times New Roman"/>
          <w:b/>
          <w:bCs/>
          <w:lang w:val="hu-HU"/>
        </w:rPr>
        <w:t>A betegség fellángolásáig eltelt időt bemutató Kaplan-Meier görbék az Nr-axSpA II vizsgálatban</w:t>
      </w:r>
    </w:p>
    <w:p w14:paraId="4795C35D" w14:textId="23DCF034" w:rsidR="00130E8B" w:rsidRDefault="00E91FF7">
      <w:pPr>
        <w:spacing w:before="11" w:line="240" w:lineRule="exact"/>
        <w:rPr>
          <w:sz w:val="24"/>
          <w:szCs w:val="24"/>
          <w:lang w:val="hu-HU"/>
        </w:rPr>
      </w:pPr>
      <w:r w:rsidRPr="00E91FF7">
        <w:rPr>
          <w:noProof/>
          <w:sz w:val="24"/>
          <w:szCs w:val="24"/>
          <w:lang w:eastAsia="ko-KR"/>
        </w:rPr>
        <w:drawing>
          <wp:anchor distT="0" distB="0" distL="114300" distR="114300" simplePos="0" relativeHeight="251658279" behindDoc="0" locked="0" layoutInCell="1" allowOverlap="1" wp14:anchorId="267F6BCF" wp14:editId="69CDF4B4">
            <wp:simplePos x="0" y="0"/>
            <wp:positionH relativeFrom="column">
              <wp:posOffset>0</wp:posOffset>
            </wp:positionH>
            <wp:positionV relativeFrom="paragraph">
              <wp:posOffset>163830</wp:posOffset>
            </wp:positionV>
            <wp:extent cx="6096000" cy="3396615"/>
            <wp:effectExtent l="0" t="0" r="0" b="9525"/>
            <wp:wrapSquare wrapText="bothSides"/>
            <wp:docPr id="1056"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pic:cNvPicPr>
                      <a:picLocks noChangeAspect="1"/>
                    </pic:cNvPicPr>
                  </pic:nvPicPr>
                  <pic:blipFill rotWithShape="1">
                    <a:blip r:embed="rId13" cstate="print">
                      <a:extLst>
                        <a:ext uri="{28A0092B-C50C-407E-A947-70E740481C1C}">
                          <a14:useLocalDpi xmlns:a14="http://schemas.microsoft.com/office/drawing/2010/main" val="0"/>
                        </a:ext>
                      </a:extLst>
                    </a:blip>
                    <a:srcRect/>
                    <a:stretch/>
                  </pic:blipFill>
                  <pic:spPr>
                    <a:xfrm>
                      <a:off x="0" y="0"/>
                      <a:ext cx="6096000" cy="3396615"/>
                    </a:xfrm>
                    <a:prstGeom prst="rect">
                      <a:avLst/>
                    </a:prstGeom>
                  </pic:spPr>
                </pic:pic>
              </a:graphicData>
            </a:graphic>
            <wp14:sizeRelH relativeFrom="page">
              <wp14:pctWidth>0</wp14:pctWidth>
            </wp14:sizeRelH>
            <wp14:sizeRelV relativeFrom="page">
              <wp14:pctHeight>0</wp14:pctHeight>
            </wp14:sizeRelV>
          </wp:anchor>
        </w:drawing>
      </w:r>
    </w:p>
    <w:p w14:paraId="5F34E8AD" w14:textId="77777777" w:rsidR="00E91FF7" w:rsidRDefault="00E91FF7">
      <w:pPr>
        <w:spacing w:before="11" w:line="240" w:lineRule="exact"/>
        <w:rPr>
          <w:sz w:val="24"/>
          <w:szCs w:val="24"/>
          <w:lang w:val="hu-HU"/>
        </w:rPr>
      </w:pPr>
    </w:p>
    <w:p w14:paraId="57749BD4" w14:textId="77777777" w:rsidR="00130E8B" w:rsidRDefault="000405CC">
      <w:pPr>
        <w:pStyle w:val="a3"/>
        <w:rPr>
          <w:lang w:val="hu-HU"/>
        </w:rPr>
      </w:pPr>
      <w:r>
        <w:rPr>
          <w:rFonts w:eastAsia="Times New Roman"/>
          <w:lang w:val="hu-HU"/>
        </w:rPr>
        <w:t>Megjegyzés:</w:t>
      </w:r>
      <w:r w:rsidR="00A9482F">
        <w:rPr>
          <w:rFonts w:eastAsia="Times New Roman"/>
          <w:lang w:val="hu-HU"/>
        </w:rPr>
        <w:t xml:space="preserve"> </w:t>
      </w:r>
      <w:r>
        <w:rPr>
          <w:rFonts w:eastAsia="Times New Roman"/>
          <w:lang w:val="hu-HU"/>
        </w:rPr>
        <w:t>P = Placebo (Veszélyeztetett betegek száma (fellángolások); A = Adalimumab (Veszélyeztetett betegek száma (fellángolások)).</w:t>
      </w:r>
    </w:p>
    <w:p w14:paraId="2F8AF413" w14:textId="77777777" w:rsidR="00130E8B" w:rsidRDefault="00130E8B">
      <w:pPr>
        <w:spacing w:before="17" w:line="240" w:lineRule="exact"/>
        <w:rPr>
          <w:sz w:val="24"/>
          <w:szCs w:val="24"/>
          <w:lang w:val="hu-HU"/>
        </w:rPr>
      </w:pPr>
    </w:p>
    <w:p w14:paraId="00C25180" w14:textId="77777777" w:rsidR="00130E8B" w:rsidRDefault="000405CC">
      <w:pPr>
        <w:pStyle w:val="a3"/>
        <w:rPr>
          <w:lang w:val="hu-HU"/>
        </w:rPr>
      </w:pPr>
      <w:r>
        <w:rPr>
          <w:rFonts w:eastAsia="Times New Roman"/>
          <w:spacing w:val="1"/>
          <w:lang w:val="hu-HU"/>
        </w:rPr>
        <w:t xml:space="preserve">A 68 beteg közül, akiknek a kezelést megszakító csoportban fellángolt a betegsége, 65-en fejezték be a 12 hetes kiegészítő adalimumab-kezelést, közülük 37-en (56,9%) újra remisszióba kerültek (ASDAS &lt; 1,3) </w:t>
      </w:r>
    </w:p>
    <w:p w14:paraId="39BD51C0" w14:textId="77777777" w:rsidR="00130E8B" w:rsidRDefault="000405CC">
      <w:pPr>
        <w:pStyle w:val="a3"/>
        <w:rPr>
          <w:lang w:val="hu-HU"/>
        </w:rPr>
      </w:pPr>
      <w:r>
        <w:rPr>
          <w:rFonts w:eastAsia="Times New Roman"/>
          <w:lang w:val="hu-HU"/>
        </w:rPr>
        <w:t>12 héttel a nyílt elrendezésű kezelés újrakezdését követően.</w:t>
      </w:r>
    </w:p>
    <w:p w14:paraId="2EF5F9B6" w14:textId="77777777" w:rsidR="00130E8B" w:rsidRDefault="00130E8B">
      <w:pPr>
        <w:spacing w:before="11" w:line="240" w:lineRule="exact"/>
        <w:rPr>
          <w:sz w:val="24"/>
          <w:szCs w:val="24"/>
          <w:lang w:val="hu-HU"/>
        </w:rPr>
      </w:pPr>
    </w:p>
    <w:p w14:paraId="2D797A95" w14:textId="074330DC" w:rsidR="00130E8B" w:rsidRDefault="000405CC">
      <w:pPr>
        <w:pStyle w:val="a3"/>
        <w:rPr>
          <w:lang w:val="hu-HU"/>
        </w:rPr>
      </w:pPr>
      <w:r>
        <w:rPr>
          <w:rFonts w:eastAsia="Times New Roman"/>
          <w:spacing w:val="-2"/>
          <w:lang w:val="hu-HU"/>
        </w:rPr>
        <w:t>A 68. hétre a folyamatos adalimumab-kezelésben részesült betegeknél az aktív nr-axSpA okozta panaszokban és tünetekben statisztikailag szignifikánsan nagyobb javulás jelentkezett, mint a vizsgálat kettős vak szakaszában a kezelést megszakító csoportba sorolt betegeknél (1</w:t>
      </w:r>
      <w:r w:rsidR="00D33AB9">
        <w:rPr>
          <w:rFonts w:eastAsia="Times New Roman"/>
          <w:spacing w:val="-2"/>
          <w:lang w:val="hu-HU"/>
        </w:rPr>
        <w:t>4</w:t>
      </w:r>
      <w:r>
        <w:rPr>
          <w:rFonts w:eastAsia="Times New Roman"/>
          <w:spacing w:val="-2"/>
          <w:lang w:val="hu-HU"/>
        </w:rPr>
        <w:t>. táblázat).</w:t>
      </w:r>
    </w:p>
    <w:p w14:paraId="28607A33" w14:textId="77777777" w:rsidR="00130E8B" w:rsidRDefault="00130E8B">
      <w:pPr>
        <w:rPr>
          <w:lang w:val="hu-HU"/>
        </w:rPr>
      </w:pPr>
    </w:p>
    <w:p w14:paraId="183CC8BA" w14:textId="37B61867" w:rsidR="00130E8B" w:rsidRDefault="000405CC">
      <w:pPr>
        <w:pStyle w:val="a3"/>
        <w:jc w:val="center"/>
        <w:rPr>
          <w:b/>
          <w:lang w:val="hu-HU"/>
        </w:rPr>
      </w:pPr>
      <w:r>
        <w:rPr>
          <w:rFonts w:eastAsia="Times New Roman"/>
          <w:b/>
          <w:bCs/>
          <w:lang w:val="hu-HU"/>
        </w:rPr>
        <w:t>1</w:t>
      </w:r>
      <w:r w:rsidR="00D33AB9">
        <w:rPr>
          <w:rFonts w:eastAsia="Times New Roman"/>
          <w:b/>
          <w:bCs/>
          <w:lang w:val="hu-HU"/>
        </w:rPr>
        <w:t>4</w:t>
      </w:r>
      <w:r>
        <w:rPr>
          <w:rFonts w:eastAsia="Times New Roman"/>
          <w:b/>
          <w:bCs/>
          <w:lang w:val="hu-HU"/>
        </w:rPr>
        <w:t>. táblázat</w:t>
      </w:r>
    </w:p>
    <w:p w14:paraId="6EED4502" w14:textId="77777777" w:rsidR="00130E8B" w:rsidRDefault="000405CC">
      <w:pPr>
        <w:pStyle w:val="a3"/>
        <w:jc w:val="center"/>
        <w:rPr>
          <w:b/>
          <w:lang w:val="hu-HU"/>
        </w:rPr>
      </w:pPr>
      <w:r>
        <w:rPr>
          <w:rFonts w:eastAsia="Times New Roman"/>
          <w:b/>
          <w:bCs/>
          <w:lang w:val="hu-HU"/>
        </w:rPr>
        <w:t>Hatásossági válaszarányok a placebokontrollos Nr-axSpA II vizsgálatban</w:t>
      </w:r>
    </w:p>
    <w:p w14:paraId="1F7D5BD5" w14:textId="77777777" w:rsidR="00130E8B" w:rsidRDefault="00130E8B">
      <w:pPr>
        <w:spacing w:before="11" w:line="240" w:lineRule="exact"/>
        <w:rPr>
          <w:sz w:val="24"/>
          <w:szCs w:val="24"/>
          <w:lang w:val="hu-HU"/>
        </w:rPr>
      </w:pPr>
    </w:p>
    <w:tbl>
      <w:tblPr>
        <w:tblStyle w:val="TableNormal1"/>
        <w:tblW w:w="0" w:type="auto"/>
        <w:tblInd w:w="110" w:type="dxa"/>
        <w:tblLayout w:type="fixed"/>
        <w:tblLook w:val="01E0" w:firstRow="1" w:lastRow="1" w:firstColumn="1" w:lastColumn="1" w:noHBand="0" w:noVBand="0"/>
      </w:tblPr>
      <w:tblGrid>
        <w:gridCol w:w="5772"/>
        <w:gridCol w:w="1745"/>
        <w:gridCol w:w="1891"/>
      </w:tblGrid>
      <w:tr w:rsidR="00130E8B" w14:paraId="14ED81E0" w14:textId="77777777">
        <w:trPr>
          <w:trHeight w:hRule="exact" w:val="516"/>
        </w:trPr>
        <w:tc>
          <w:tcPr>
            <w:tcW w:w="5772" w:type="dxa"/>
            <w:tcBorders>
              <w:top w:val="single" w:sz="5" w:space="0" w:color="000000"/>
              <w:left w:val="single" w:sz="5" w:space="0" w:color="000000"/>
              <w:bottom w:val="single" w:sz="5" w:space="0" w:color="000000"/>
              <w:right w:val="single" w:sz="5" w:space="0" w:color="000000"/>
            </w:tcBorders>
          </w:tcPr>
          <w:p w14:paraId="2738C8D5" w14:textId="6DF7C9F0" w:rsidR="00130E8B" w:rsidRDefault="00011824">
            <w:pPr>
              <w:pStyle w:val="TableParagraph"/>
              <w:spacing w:before="3" w:line="252" w:lineRule="exact"/>
              <w:ind w:left="63" w:right="3592"/>
              <w:rPr>
                <w:rFonts w:ascii="Times New Roman" w:eastAsia="Times New Roman" w:hAnsi="Times New Roman" w:cs="Times New Roman"/>
                <w:lang w:val="hu-HU"/>
              </w:rPr>
            </w:pPr>
            <w:r>
              <w:rPr>
                <w:rFonts w:ascii="Times New Roman" w:eastAsia="Times New Roman" w:hAnsi="Times New Roman" w:cs="Times New Roman"/>
                <w:b/>
                <w:bCs/>
                <w:spacing w:val="-1"/>
                <w:lang w:val="hu-HU"/>
              </w:rPr>
              <w:t>Kettős vak</w:t>
            </w:r>
            <w:r w:rsidR="000405CC">
              <w:rPr>
                <w:rFonts w:ascii="Times New Roman" w:eastAsia="Times New Roman" w:hAnsi="Times New Roman" w:cs="Times New Roman"/>
                <w:b/>
                <w:bCs/>
                <w:spacing w:val="-1"/>
                <w:lang w:val="hu-HU"/>
              </w:rPr>
              <w:t xml:space="preserve"> válasz a 68. héten</w:t>
            </w:r>
          </w:p>
        </w:tc>
        <w:tc>
          <w:tcPr>
            <w:tcW w:w="1745" w:type="dxa"/>
            <w:tcBorders>
              <w:top w:val="single" w:sz="5" w:space="0" w:color="000000"/>
              <w:left w:val="single" w:sz="5" w:space="0" w:color="000000"/>
              <w:bottom w:val="single" w:sz="5" w:space="0" w:color="000000"/>
              <w:right w:val="single" w:sz="5" w:space="0" w:color="000000"/>
            </w:tcBorders>
          </w:tcPr>
          <w:p w14:paraId="487D4DAC" w14:textId="78F50F51" w:rsidR="00130E8B" w:rsidRDefault="000405CC" w:rsidP="008F0203">
            <w:pPr>
              <w:pStyle w:val="TableParagraph"/>
              <w:spacing w:before="2" w:line="230" w:lineRule="exact"/>
              <w:ind w:left="587" w:right="31" w:hanging="56"/>
              <w:rPr>
                <w:rFonts w:ascii="Times New Roman" w:eastAsia="Times New Roman" w:hAnsi="Times New Roman" w:cs="Times New Roman"/>
                <w:sz w:val="20"/>
                <w:szCs w:val="20"/>
                <w:lang w:val="hu-HU"/>
              </w:rPr>
            </w:pPr>
            <w:r>
              <w:rPr>
                <w:rFonts w:ascii="Times New Roman" w:eastAsia="Times New Roman" w:hAnsi="Times New Roman" w:cs="Times New Roman"/>
                <w:b/>
                <w:bCs/>
                <w:w w:val="95"/>
                <w:sz w:val="20"/>
                <w:szCs w:val="20"/>
                <w:lang w:val="hu-HU"/>
              </w:rPr>
              <w:t xml:space="preserve">Placebo </w:t>
            </w:r>
            <w:r w:rsidR="008F0203">
              <w:rPr>
                <w:rFonts w:ascii="Times New Roman" w:eastAsia="Times New Roman" w:hAnsi="Times New Roman" w:cs="Times New Roman"/>
                <w:b/>
                <w:bCs/>
                <w:w w:val="95"/>
                <w:sz w:val="20"/>
                <w:szCs w:val="20"/>
                <w:lang w:val="hu-HU"/>
              </w:rPr>
              <w:t>n</w:t>
            </w:r>
            <w:r>
              <w:rPr>
                <w:rFonts w:ascii="Times New Roman" w:eastAsia="Times New Roman" w:hAnsi="Times New Roman" w:cs="Times New Roman"/>
                <w:b/>
                <w:bCs/>
                <w:w w:val="95"/>
                <w:sz w:val="20"/>
                <w:szCs w:val="20"/>
                <w:lang w:val="hu-HU"/>
              </w:rPr>
              <w:t>=153</w:t>
            </w:r>
          </w:p>
        </w:tc>
        <w:tc>
          <w:tcPr>
            <w:tcW w:w="1891" w:type="dxa"/>
            <w:tcBorders>
              <w:top w:val="single" w:sz="5" w:space="0" w:color="000000"/>
              <w:left w:val="single" w:sz="5" w:space="0" w:color="000000"/>
              <w:bottom w:val="single" w:sz="5" w:space="0" w:color="000000"/>
              <w:right w:val="single" w:sz="5" w:space="0" w:color="000000"/>
            </w:tcBorders>
          </w:tcPr>
          <w:p w14:paraId="0A19A577" w14:textId="6C597DE6" w:rsidR="00130E8B" w:rsidRDefault="000405CC" w:rsidP="008F0203">
            <w:pPr>
              <w:pStyle w:val="TableParagraph"/>
              <w:spacing w:before="2" w:line="230" w:lineRule="exact"/>
              <w:ind w:left="113" w:right="113"/>
              <w:jc w:val="center"/>
              <w:rPr>
                <w:rFonts w:ascii="Times New Roman" w:eastAsia="Times New Roman" w:hAnsi="Times New Roman" w:cs="Times New Roman"/>
                <w:sz w:val="20"/>
                <w:szCs w:val="20"/>
                <w:lang w:val="hu-HU"/>
              </w:rPr>
            </w:pPr>
            <w:r>
              <w:rPr>
                <w:rFonts w:ascii="Times New Roman" w:eastAsia="Times New Roman" w:hAnsi="Times New Roman" w:cs="Times New Roman"/>
                <w:b/>
                <w:bCs/>
                <w:w w:val="95"/>
                <w:sz w:val="20"/>
                <w:szCs w:val="20"/>
                <w:lang w:val="hu-HU"/>
              </w:rPr>
              <w:t xml:space="preserve">Adalimumab </w:t>
            </w:r>
            <w:r w:rsidR="008F0203">
              <w:rPr>
                <w:rFonts w:ascii="Times New Roman" w:eastAsia="Times New Roman" w:hAnsi="Times New Roman" w:cs="Times New Roman"/>
                <w:b/>
                <w:bCs/>
                <w:w w:val="95"/>
                <w:sz w:val="20"/>
                <w:szCs w:val="20"/>
                <w:lang w:val="hu-HU"/>
              </w:rPr>
              <w:t>n</w:t>
            </w:r>
            <w:r>
              <w:rPr>
                <w:rFonts w:ascii="Times New Roman" w:eastAsia="Times New Roman" w:hAnsi="Times New Roman" w:cs="Times New Roman"/>
                <w:b/>
                <w:bCs/>
                <w:w w:val="95"/>
                <w:sz w:val="20"/>
                <w:szCs w:val="20"/>
                <w:lang w:val="hu-HU"/>
              </w:rPr>
              <w:t>=152</w:t>
            </w:r>
          </w:p>
        </w:tc>
      </w:tr>
      <w:tr w:rsidR="00130E8B" w14:paraId="1DCDF16F" w14:textId="77777777">
        <w:trPr>
          <w:trHeight w:hRule="exact" w:val="264"/>
        </w:trPr>
        <w:tc>
          <w:tcPr>
            <w:tcW w:w="5772" w:type="dxa"/>
            <w:tcBorders>
              <w:top w:val="single" w:sz="5" w:space="0" w:color="000000"/>
              <w:left w:val="single" w:sz="5" w:space="0" w:color="000000"/>
              <w:bottom w:val="single" w:sz="5" w:space="0" w:color="000000"/>
              <w:right w:val="single" w:sz="5" w:space="0" w:color="000000"/>
            </w:tcBorders>
          </w:tcPr>
          <w:p w14:paraId="769C3854" w14:textId="77777777" w:rsidR="00130E8B" w:rsidRPr="00CF5D7A" w:rsidRDefault="000405CC">
            <w:pPr>
              <w:pStyle w:val="TableParagraph"/>
              <w:spacing w:line="248" w:lineRule="exact"/>
              <w:ind w:left="63" w:right="3592"/>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ASAS</w:t>
            </w:r>
            <w:r w:rsidRPr="009167C6">
              <w:rPr>
                <w:rFonts w:ascii="Times New Roman" w:eastAsia="Times New Roman" w:hAnsi="Times New Roman" w:cs="Times New Roman"/>
                <w:spacing w:val="-1"/>
                <w:vertAlign w:val="superscript"/>
                <w:lang w:val="hu-HU"/>
              </w:rPr>
              <w:t>a,b</w:t>
            </w:r>
            <w:r w:rsidRPr="009167C6">
              <w:rPr>
                <w:rFonts w:ascii="Times New Roman" w:eastAsia="Times New Roman" w:hAnsi="Times New Roman" w:cs="Times New Roman"/>
                <w:spacing w:val="-1"/>
                <w:lang w:val="hu-HU"/>
              </w:rPr>
              <w:t xml:space="preserve"> </w:t>
            </w:r>
            <w:r w:rsidRPr="00CF5D7A">
              <w:rPr>
                <w:rFonts w:ascii="Times New Roman" w:eastAsia="Times New Roman" w:hAnsi="Times New Roman" w:cs="Times New Roman"/>
                <w:spacing w:val="-1"/>
                <w:lang w:val="hu-HU"/>
              </w:rPr>
              <w:t>20</w:t>
            </w:r>
          </w:p>
        </w:tc>
        <w:tc>
          <w:tcPr>
            <w:tcW w:w="1745" w:type="dxa"/>
            <w:tcBorders>
              <w:top w:val="single" w:sz="5" w:space="0" w:color="000000"/>
              <w:left w:val="single" w:sz="5" w:space="0" w:color="000000"/>
              <w:bottom w:val="single" w:sz="5" w:space="0" w:color="000000"/>
              <w:right w:val="single" w:sz="5" w:space="0" w:color="000000"/>
            </w:tcBorders>
          </w:tcPr>
          <w:p w14:paraId="6229D311" w14:textId="77777777" w:rsidR="00130E8B" w:rsidRDefault="000405CC">
            <w:pPr>
              <w:pStyle w:val="TableParagraph"/>
              <w:spacing w:line="248" w:lineRule="exact"/>
              <w:ind w:left="563" w:right="561"/>
              <w:jc w:val="center"/>
              <w:rPr>
                <w:rFonts w:ascii="Times New Roman" w:eastAsia="Times New Roman" w:hAnsi="Times New Roman" w:cs="Times New Roman"/>
                <w:lang w:val="hu-HU"/>
              </w:rPr>
            </w:pPr>
            <w:r>
              <w:rPr>
                <w:rFonts w:ascii="Times New Roman" w:eastAsia="Times New Roman" w:hAnsi="Times New Roman" w:cs="Times New Roman"/>
                <w:lang w:val="hu-HU"/>
              </w:rPr>
              <w:t>47,1%</w:t>
            </w:r>
          </w:p>
        </w:tc>
        <w:tc>
          <w:tcPr>
            <w:tcW w:w="1891" w:type="dxa"/>
            <w:tcBorders>
              <w:top w:val="single" w:sz="5" w:space="0" w:color="000000"/>
              <w:left w:val="single" w:sz="5" w:space="0" w:color="000000"/>
              <w:bottom w:val="single" w:sz="5" w:space="0" w:color="000000"/>
              <w:right w:val="single" w:sz="5" w:space="0" w:color="000000"/>
            </w:tcBorders>
          </w:tcPr>
          <w:p w14:paraId="79932A62" w14:textId="77777777" w:rsidR="00130E8B" w:rsidRDefault="000405CC">
            <w:pPr>
              <w:pStyle w:val="TableParagraph"/>
              <w:spacing w:line="248" w:lineRule="exact"/>
              <w:ind w:left="491"/>
              <w:rPr>
                <w:rFonts w:ascii="Times New Roman" w:eastAsia="Times New Roman" w:hAnsi="Times New Roman" w:cs="Times New Roman"/>
                <w:lang w:val="hu-HU"/>
              </w:rPr>
            </w:pPr>
            <w:r>
              <w:rPr>
                <w:rFonts w:ascii="Times New Roman" w:eastAsia="Times New Roman" w:hAnsi="Times New Roman" w:cs="Times New Roman"/>
                <w:spacing w:val="-1"/>
                <w:lang w:val="hu-HU"/>
              </w:rPr>
              <w:t>70,4%***</w:t>
            </w:r>
          </w:p>
        </w:tc>
      </w:tr>
      <w:tr w:rsidR="00130E8B" w14:paraId="27F510F1" w14:textId="77777777">
        <w:trPr>
          <w:trHeight w:hRule="exact" w:val="264"/>
        </w:trPr>
        <w:tc>
          <w:tcPr>
            <w:tcW w:w="5772" w:type="dxa"/>
            <w:tcBorders>
              <w:top w:val="single" w:sz="5" w:space="0" w:color="000000"/>
              <w:left w:val="single" w:sz="5" w:space="0" w:color="000000"/>
              <w:bottom w:val="single" w:sz="5" w:space="0" w:color="000000"/>
              <w:right w:val="single" w:sz="5" w:space="0" w:color="000000"/>
            </w:tcBorders>
          </w:tcPr>
          <w:p w14:paraId="00B3DE4F" w14:textId="77777777" w:rsidR="00130E8B" w:rsidRPr="00CF5D7A" w:rsidRDefault="000405CC">
            <w:pPr>
              <w:pStyle w:val="TableParagraph"/>
              <w:spacing w:line="246" w:lineRule="exact"/>
              <w:ind w:left="63" w:right="3592"/>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ASAS</w:t>
            </w:r>
            <w:r w:rsidRPr="009167C6">
              <w:rPr>
                <w:rFonts w:ascii="Times New Roman" w:eastAsia="Times New Roman" w:hAnsi="Times New Roman" w:cs="Times New Roman"/>
                <w:spacing w:val="-1"/>
                <w:vertAlign w:val="superscript"/>
                <w:lang w:val="hu-HU"/>
              </w:rPr>
              <w:t>a,b</w:t>
            </w:r>
            <w:r w:rsidRPr="009167C6">
              <w:rPr>
                <w:rFonts w:ascii="Times New Roman" w:eastAsia="Times New Roman" w:hAnsi="Times New Roman" w:cs="Times New Roman"/>
                <w:spacing w:val="-1"/>
                <w:lang w:val="hu-HU"/>
              </w:rPr>
              <w:t xml:space="preserve"> </w:t>
            </w:r>
            <w:r w:rsidRPr="00CF5D7A">
              <w:rPr>
                <w:rFonts w:ascii="Times New Roman" w:eastAsia="Times New Roman" w:hAnsi="Times New Roman" w:cs="Times New Roman"/>
                <w:spacing w:val="-1"/>
                <w:lang w:val="hu-HU"/>
              </w:rPr>
              <w:t>40</w:t>
            </w:r>
          </w:p>
        </w:tc>
        <w:tc>
          <w:tcPr>
            <w:tcW w:w="1745" w:type="dxa"/>
            <w:tcBorders>
              <w:top w:val="single" w:sz="5" w:space="0" w:color="000000"/>
              <w:left w:val="single" w:sz="5" w:space="0" w:color="000000"/>
              <w:bottom w:val="single" w:sz="5" w:space="0" w:color="000000"/>
              <w:right w:val="single" w:sz="5" w:space="0" w:color="000000"/>
            </w:tcBorders>
          </w:tcPr>
          <w:p w14:paraId="0F642BE8" w14:textId="77777777" w:rsidR="00130E8B" w:rsidRDefault="000405CC">
            <w:pPr>
              <w:pStyle w:val="TableParagraph"/>
              <w:spacing w:line="246" w:lineRule="exact"/>
              <w:ind w:left="563" w:right="561"/>
              <w:jc w:val="center"/>
              <w:rPr>
                <w:rFonts w:ascii="Times New Roman" w:eastAsia="Times New Roman" w:hAnsi="Times New Roman" w:cs="Times New Roman"/>
                <w:lang w:val="hu-HU"/>
              </w:rPr>
            </w:pPr>
            <w:r>
              <w:rPr>
                <w:rFonts w:ascii="Times New Roman" w:eastAsia="Times New Roman" w:hAnsi="Times New Roman" w:cs="Times New Roman"/>
                <w:lang w:val="hu-HU"/>
              </w:rPr>
              <w:t>45,8%</w:t>
            </w:r>
          </w:p>
        </w:tc>
        <w:tc>
          <w:tcPr>
            <w:tcW w:w="1891" w:type="dxa"/>
            <w:tcBorders>
              <w:top w:val="single" w:sz="5" w:space="0" w:color="000000"/>
              <w:left w:val="single" w:sz="5" w:space="0" w:color="000000"/>
              <w:bottom w:val="single" w:sz="5" w:space="0" w:color="000000"/>
              <w:right w:val="single" w:sz="5" w:space="0" w:color="000000"/>
            </w:tcBorders>
          </w:tcPr>
          <w:p w14:paraId="10F52765" w14:textId="77777777" w:rsidR="00130E8B" w:rsidRDefault="000405CC">
            <w:pPr>
              <w:pStyle w:val="TableParagraph"/>
              <w:spacing w:line="246" w:lineRule="exact"/>
              <w:ind w:left="491"/>
              <w:rPr>
                <w:rFonts w:ascii="Times New Roman" w:eastAsia="Times New Roman" w:hAnsi="Times New Roman" w:cs="Times New Roman"/>
                <w:lang w:val="hu-HU"/>
              </w:rPr>
            </w:pPr>
            <w:r>
              <w:rPr>
                <w:rFonts w:ascii="Times New Roman" w:eastAsia="Times New Roman" w:hAnsi="Times New Roman" w:cs="Times New Roman"/>
                <w:spacing w:val="-1"/>
                <w:lang w:val="hu-HU"/>
              </w:rPr>
              <w:t>65,8%***</w:t>
            </w:r>
          </w:p>
        </w:tc>
      </w:tr>
      <w:tr w:rsidR="00130E8B" w14:paraId="08F516FE" w14:textId="77777777">
        <w:trPr>
          <w:trHeight w:hRule="exact" w:val="262"/>
        </w:trPr>
        <w:tc>
          <w:tcPr>
            <w:tcW w:w="5772" w:type="dxa"/>
            <w:tcBorders>
              <w:top w:val="single" w:sz="5" w:space="0" w:color="000000"/>
              <w:left w:val="single" w:sz="5" w:space="0" w:color="000000"/>
              <w:bottom w:val="single" w:sz="5" w:space="0" w:color="000000"/>
              <w:right w:val="single" w:sz="5" w:space="0" w:color="000000"/>
            </w:tcBorders>
          </w:tcPr>
          <w:p w14:paraId="7F97B511" w14:textId="77777777" w:rsidR="00130E8B" w:rsidRPr="00CF5D7A" w:rsidRDefault="000405CC">
            <w:pPr>
              <w:pStyle w:val="TableParagraph"/>
              <w:spacing w:line="246" w:lineRule="exact"/>
              <w:ind w:left="63"/>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ASAS</w:t>
            </w:r>
            <w:r w:rsidRPr="009167C6">
              <w:rPr>
                <w:rFonts w:ascii="Times New Roman" w:eastAsia="Times New Roman" w:hAnsi="Times New Roman" w:cs="Times New Roman"/>
                <w:spacing w:val="-1"/>
                <w:vertAlign w:val="superscript"/>
                <w:lang w:val="hu-HU"/>
              </w:rPr>
              <w:t>a</w:t>
            </w:r>
            <w:r w:rsidRPr="009167C6">
              <w:rPr>
                <w:rFonts w:ascii="Times New Roman" w:eastAsia="Times New Roman" w:hAnsi="Times New Roman" w:cs="Times New Roman"/>
                <w:spacing w:val="-1"/>
                <w:lang w:val="hu-HU"/>
              </w:rPr>
              <w:t xml:space="preserve"> </w:t>
            </w:r>
            <w:r w:rsidRPr="00CF5D7A">
              <w:rPr>
                <w:rFonts w:ascii="Times New Roman" w:eastAsia="Times New Roman" w:hAnsi="Times New Roman" w:cs="Times New Roman"/>
                <w:spacing w:val="-1"/>
                <w:lang w:val="hu-HU"/>
              </w:rPr>
              <w:t>Részleges Remisszió</w:t>
            </w:r>
          </w:p>
        </w:tc>
        <w:tc>
          <w:tcPr>
            <w:tcW w:w="1745" w:type="dxa"/>
            <w:tcBorders>
              <w:top w:val="single" w:sz="5" w:space="0" w:color="000000"/>
              <w:left w:val="single" w:sz="5" w:space="0" w:color="000000"/>
              <w:bottom w:val="single" w:sz="5" w:space="0" w:color="000000"/>
              <w:right w:val="single" w:sz="5" w:space="0" w:color="000000"/>
            </w:tcBorders>
          </w:tcPr>
          <w:p w14:paraId="7A0A489E" w14:textId="77777777" w:rsidR="00130E8B" w:rsidRDefault="000405CC">
            <w:pPr>
              <w:pStyle w:val="TableParagraph"/>
              <w:spacing w:line="246" w:lineRule="exact"/>
              <w:ind w:left="563" w:right="561"/>
              <w:jc w:val="center"/>
              <w:rPr>
                <w:rFonts w:ascii="Times New Roman" w:eastAsia="Times New Roman" w:hAnsi="Times New Roman" w:cs="Times New Roman"/>
                <w:lang w:val="hu-HU"/>
              </w:rPr>
            </w:pPr>
            <w:r>
              <w:rPr>
                <w:rFonts w:ascii="Times New Roman" w:eastAsia="Times New Roman" w:hAnsi="Times New Roman" w:cs="Times New Roman"/>
                <w:lang w:val="hu-HU"/>
              </w:rPr>
              <w:t>26,8%</w:t>
            </w:r>
          </w:p>
        </w:tc>
        <w:tc>
          <w:tcPr>
            <w:tcW w:w="1891" w:type="dxa"/>
            <w:tcBorders>
              <w:top w:val="single" w:sz="5" w:space="0" w:color="000000"/>
              <w:left w:val="single" w:sz="5" w:space="0" w:color="000000"/>
              <w:bottom w:val="single" w:sz="5" w:space="0" w:color="000000"/>
              <w:right w:val="single" w:sz="5" w:space="0" w:color="000000"/>
            </w:tcBorders>
          </w:tcPr>
          <w:p w14:paraId="7790CC28" w14:textId="77777777" w:rsidR="00130E8B" w:rsidRDefault="000405CC">
            <w:pPr>
              <w:pStyle w:val="TableParagraph"/>
              <w:spacing w:line="246" w:lineRule="exact"/>
              <w:ind w:left="546"/>
              <w:rPr>
                <w:rFonts w:ascii="Times New Roman" w:eastAsia="Times New Roman" w:hAnsi="Times New Roman" w:cs="Times New Roman"/>
                <w:lang w:val="hu-HU"/>
              </w:rPr>
            </w:pPr>
            <w:r>
              <w:rPr>
                <w:rFonts w:ascii="Times New Roman" w:eastAsia="Times New Roman" w:hAnsi="Times New Roman" w:cs="Times New Roman"/>
                <w:spacing w:val="-1"/>
                <w:lang w:val="hu-HU"/>
              </w:rPr>
              <w:t>42,1%**</w:t>
            </w:r>
          </w:p>
        </w:tc>
      </w:tr>
      <w:tr w:rsidR="00130E8B" w14:paraId="1B9305F0" w14:textId="77777777">
        <w:trPr>
          <w:trHeight w:hRule="exact" w:val="264"/>
        </w:trPr>
        <w:tc>
          <w:tcPr>
            <w:tcW w:w="5772" w:type="dxa"/>
            <w:tcBorders>
              <w:top w:val="single" w:sz="5" w:space="0" w:color="000000"/>
              <w:left w:val="single" w:sz="5" w:space="0" w:color="000000"/>
              <w:bottom w:val="single" w:sz="5" w:space="0" w:color="000000"/>
              <w:right w:val="single" w:sz="5" w:space="0" w:color="000000"/>
            </w:tcBorders>
          </w:tcPr>
          <w:p w14:paraId="3D7FB683" w14:textId="77777777" w:rsidR="00130E8B" w:rsidRPr="00CF5D7A" w:rsidRDefault="000405CC">
            <w:pPr>
              <w:pStyle w:val="TableParagraph"/>
              <w:spacing w:line="246" w:lineRule="exact"/>
              <w:ind w:left="63"/>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ASDAS</w:t>
            </w:r>
            <w:r w:rsidRPr="009167C6">
              <w:rPr>
                <w:rFonts w:ascii="Times New Roman" w:eastAsia="Times New Roman" w:hAnsi="Times New Roman" w:cs="Times New Roman"/>
                <w:spacing w:val="-1"/>
                <w:vertAlign w:val="superscript"/>
                <w:lang w:val="hu-HU"/>
              </w:rPr>
              <w:t>c</w:t>
            </w:r>
            <w:r w:rsidRPr="009167C6">
              <w:rPr>
                <w:rFonts w:ascii="Times New Roman" w:eastAsia="Times New Roman" w:hAnsi="Times New Roman" w:cs="Times New Roman"/>
                <w:spacing w:val="-1"/>
                <w:lang w:val="hu-HU"/>
              </w:rPr>
              <w:t xml:space="preserve"> </w:t>
            </w:r>
            <w:r w:rsidRPr="00CF5D7A">
              <w:rPr>
                <w:rFonts w:ascii="Times New Roman" w:eastAsia="Times New Roman" w:hAnsi="Times New Roman" w:cs="Times New Roman"/>
                <w:spacing w:val="-1"/>
                <w:lang w:val="hu-HU"/>
              </w:rPr>
              <w:t>Inaktív Betegség</w:t>
            </w:r>
          </w:p>
        </w:tc>
        <w:tc>
          <w:tcPr>
            <w:tcW w:w="1745" w:type="dxa"/>
            <w:tcBorders>
              <w:top w:val="single" w:sz="5" w:space="0" w:color="000000"/>
              <w:left w:val="single" w:sz="5" w:space="0" w:color="000000"/>
              <w:bottom w:val="single" w:sz="5" w:space="0" w:color="000000"/>
              <w:right w:val="single" w:sz="5" w:space="0" w:color="000000"/>
            </w:tcBorders>
          </w:tcPr>
          <w:p w14:paraId="678987D2" w14:textId="77777777" w:rsidR="00130E8B" w:rsidRDefault="000405CC">
            <w:pPr>
              <w:pStyle w:val="TableParagraph"/>
              <w:spacing w:line="246" w:lineRule="exact"/>
              <w:ind w:left="563" w:right="561"/>
              <w:jc w:val="center"/>
              <w:rPr>
                <w:rFonts w:ascii="Times New Roman" w:eastAsia="Times New Roman" w:hAnsi="Times New Roman" w:cs="Times New Roman"/>
                <w:lang w:val="hu-HU"/>
              </w:rPr>
            </w:pPr>
            <w:r>
              <w:rPr>
                <w:rFonts w:ascii="Times New Roman" w:eastAsia="Times New Roman" w:hAnsi="Times New Roman" w:cs="Times New Roman"/>
                <w:lang w:val="hu-HU"/>
              </w:rPr>
              <w:t>33,3%</w:t>
            </w:r>
          </w:p>
        </w:tc>
        <w:tc>
          <w:tcPr>
            <w:tcW w:w="1891" w:type="dxa"/>
            <w:tcBorders>
              <w:top w:val="single" w:sz="5" w:space="0" w:color="000000"/>
              <w:left w:val="single" w:sz="5" w:space="0" w:color="000000"/>
              <w:bottom w:val="single" w:sz="5" w:space="0" w:color="000000"/>
              <w:right w:val="single" w:sz="5" w:space="0" w:color="000000"/>
            </w:tcBorders>
          </w:tcPr>
          <w:p w14:paraId="222C6107" w14:textId="77777777" w:rsidR="00130E8B" w:rsidRDefault="000405CC">
            <w:pPr>
              <w:pStyle w:val="TableParagraph"/>
              <w:spacing w:line="246" w:lineRule="exact"/>
              <w:ind w:left="491"/>
              <w:rPr>
                <w:rFonts w:ascii="Times New Roman" w:eastAsia="Times New Roman" w:hAnsi="Times New Roman" w:cs="Times New Roman"/>
                <w:lang w:val="hu-HU"/>
              </w:rPr>
            </w:pPr>
            <w:r>
              <w:rPr>
                <w:rFonts w:ascii="Times New Roman" w:eastAsia="Times New Roman" w:hAnsi="Times New Roman" w:cs="Times New Roman"/>
                <w:spacing w:val="-1"/>
                <w:lang w:val="hu-HU"/>
              </w:rPr>
              <w:t>57,2%***</w:t>
            </w:r>
          </w:p>
        </w:tc>
      </w:tr>
      <w:tr w:rsidR="00130E8B" w14:paraId="7705FFB0" w14:textId="77777777">
        <w:trPr>
          <w:trHeight w:hRule="exact" w:val="262"/>
        </w:trPr>
        <w:tc>
          <w:tcPr>
            <w:tcW w:w="5772" w:type="dxa"/>
            <w:tcBorders>
              <w:top w:val="single" w:sz="5" w:space="0" w:color="000000"/>
              <w:left w:val="single" w:sz="5" w:space="0" w:color="000000"/>
              <w:bottom w:val="single" w:sz="5" w:space="0" w:color="000000"/>
              <w:right w:val="single" w:sz="5" w:space="0" w:color="000000"/>
            </w:tcBorders>
          </w:tcPr>
          <w:p w14:paraId="72578B19" w14:textId="560AEE3A" w:rsidR="00130E8B" w:rsidRPr="009167C6" w:rsidRDefault="000405CC">
            <w:pPr>
              <w:pStyle w:val="TableParagraph"/>
              <w:spacing w:line="246" w:lineRule="exact"/>
              <w:ind w:left="63" w:right="3592"/>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 betegség részleges</w:t>
            </w:r>
            <w:r w:rsidR="00CF5D7A" w:rsidRPr="009167C6">
              <w:rPr>
                <w:rFonts w:ascii="Times New Roman" w:eastAsia="Times New Roman" w:hAnsi="Times New Roman" w:cs="Times New Roman"/>
                <w:spacing w:val="-1"/>
                <w:vertAlign w:val="superscript"/>
                <w:lang w:val="hu-HU"/>
              </w:rPr>
              <w:t>d</w:t>
            </w:r>
            <w:r w:rsidRPr="009167C6">
              <w:rPr>
                <w:rFonts w:ascii="Times New Roman" w:eastAsia="Times New Roman" w:hAnsi="Times New Roman" w:cs="Times New Roman"/>
                <w:spacing w:val="-1"/>
                <w:vertAlign w:val="superscript"/>
                <w:lang w:val="hu-HU"/>
              </w:rPr>
              <w:t xml:space="preserve"> </w:t>
            </w:r>
            <w:r w:rsidRPr="00CF5D7A">
              <w:rPr>
                <w:rFonts w:ascii="Times New Roman" w:eastAsia="Times New Roman" w:hAnsi="Times New Roman" w:cs="Times New Roman"/>
                <w:spacing w:val="-1"/>
                <w:lang w:val="hu-HU"/>
              </w:rPr>
              <w:t>sa</w:t>
            </w:r>
            <w:r w:rsidRPr="009167C6">
              <w:rPr>
                <w:rFonts w:ascii="Times New Roman" w:eastAsia="Times New Roman" w:hAnsi="Times New Roman" w:cs="Times New Roman"/>
                <w:spacing w:val="-1"/>
                <w:lang w:val="hu-HU"/>
              </w:rPr>
              <w:t>d</w:t>
            </w:r>
          </w:p>
        </w:tc>
        <w:tc>
          <w:tcPr>
            <w:tcW w:w="1745" w:type="dxa"/>
            <w:tcBorders>
              <w:top w:val="single" w:sz="5" w:space="0" w:color="000000"/>
              <w:left w:val="single" w:sz="5" w:space="0" w:color="000000"/>
              <w:bottom w:val="single" w:sz="5" w:space="0" w:color="000000"/>
              <w:right w:val="single" w:sz="5" w:space="0" w:color="000000"/>
            </w:tcBorders>
          </w:tcPr>
          <w:p w14:paraId="23801FCA" w14:textId="77777777" w:rsidR="00130E8B" w:rsidRDefault="000405CC">
            <w:pPr>
              <w:pStyle w:val="TableParagraph"/>
              <w:spacing w:line="246" w:lineRule="exact"/>
              <w:ind w:left="563" w:right="561"/>
              <w:jc w:val="center"/>
              <w:rPr>
                <w:rFonts w:ascii="Times New Roman" w:eastAsia="Times New Roman" w:hAnsi="Times New Roman" w:cs="Times New Roman"/>
                <w:lang w:val="hu-HU"/>
              </w:rPr>
            </w:pPr>
            <w:r>
              <w:rPr>
                <w:rFonts w:ascii="Times New Roman" w:eastAsia="Times New Roman" w:hAnsi="Times New Roman" w:cs="Times New Roman"/>
                <w:lang w:val="hu-HU"/>
              </w:rPr>
              <w:t>64,1%</w:t>
            </w:r>
          </w:p>
        </w:tc>
        <w:tc>
          <w:tcPr>
            <w:tcW w:w="1891" w:type="dxa"/>
            <w:tcBorders>
              <w:top w:val="single" w:sz="5" w:space="0" w:color="000000"/>
              <w:left w:val="single" w:sz="5" w:space="0" w:color="000000"/>
              <w:bottom w:val="single" w:sz="5" w:space="0" w:color="000000"/>
              <w:right w:val="single" w:sz="5" w:space="0" w:color="000000"/>
            </w:tcBorders>
          </w:tcPr>
          <w:p w14:paraId="05505CD5" w14:textId="77777777" w:rsidR="00130E8B" w:rsidRDefault="000405CC">
            <w:pPr>
              <w:pStyle w:val="TableParagraph"/>
              <w:spacing w:line="246" w:lineRule="exact"/>
              <w:ind w:left="491"/>
              <w:rPr>
                <w:rFonts w:ascii="Times New Roman" w:eastAsia="Times New Roman" w:hAnsi="Times New Roman" w:cs="Times New Roman"/>
                <w:lang w:val="hu-HU"/>
              </w:rPr>
            </w:pPr>
            <w:r>
              <w:rPr>
                <w:rFonts w:ascii="Times New Roman" w:eastAsia="Times New Roman" w:hAnsi="Times New Roman" w:cs="Times New Roman"/>
                <w:spacing w:val="-1"/>
                <w:lang w:val="hu-HU"/>
              </w:rPr>
              <w:t>40,8%***</w:t>
            </w:r>
          </w:p>
        </w:tc>
      </w:tr>
    </w:tbl>
    <w:p w14:paraId="3C2EF880" w14:textId="77777777" w:rsidR="00130E8B" w:rsidRPr="00A9482F" w:rsidRDefault="000405CC">
      <w:pPr>
        <w:pStyle w:val="a3"/>
        <w:rPr>
          <w:lang w:val="hu-HU"/>
        </w:rPr>
      </w:pPr>
      <w:r w:rsidRPr="009167C6">
        <w:rPr>
          <w:rFonts w:eastAsia="Times New Roman"/>
          <w:position w:val="8"/>
          <w:vertAlign w:val="superscript"/>
          <w:lang w:val="hu-HU"/>
        </w:rPr>
        <w:t>a</w:t>
      </w:r>
      <w:r w:rsidRPr="009167C6">
        <w:rPr>
          <w:rFonts w:eastAsia="Times New Roman"/>
          <w:position w:val="8"/>
          <w:lang w:val="hu-HU"/>
        </w:rPr>
        <w:t xml:space="preserve"> </w:t>
      </w:r>
      <w:r w:rsidRPr="00A9482F">
        <w:rPr>
          <w:rFonts w:eastAsia="Times New Roman"/>
          <w:position w:val="8"/>
          <w:lang w:val="hu-HU"/>
        </w:rPr>
        <w:t>Assessment of SpondyloArthritis international Society (Spondylitis Ankylopoetica Értékelése)</w:t>
      </w:r>
    </w:p>
    <w:p w14:paraId="71002030" w14:textId="77777777" w:rsidR="00130E8B" w:rsidRPr="00A9482F" w:rsidRDefault="000405CC">
      <w:pPr>
        <w:pStyle w:val="a3"/>
        <w:rPr>
          <w:lang w:val="hu-HU"/>
        </w:rPr>
      </w:pPr>
      <w:r w:rsidRPr="009167C6">
        <w:rPr>
          <w:rFonts w:eastAsia="Times New Roman"/>
          <w:position w:val="8"/>
          <w:vertAlign w:val="superscript"/>
          <w:lang w:val="hu-HU"/>
        </w:rPr>
        <w:t>b</w:t>
      </w:r>
      <w:r w:rsidRPr="009167C6">
        <w:rPr>
          <w:rFonts w:eastAsia="Times New Roman"/>
          <w:position w:val="8"/>
          <w:lang w:val="hu-HU"/>
        </w:rPr>
        <w:t xml:space="preserve"> </w:t>
      </w:r>
      <w:r w:rsidRPr="00A9482F">
        <w:rPr>
          <w:rFonts w:eastAsia="Times New Roman"/>
          <w:position w:val="8"/>
          <w:lang w:val="hu-HU"/>
        </w:rPr>
        <w:t>A kiindulás definíció szerint a nyílt elrendezésű szakasz kezdete, amikor a betegeknek aktív betegsége van.</w:t>
      </w:r>
    </w:p>
    <w:p w14:paraId="2CDFBB8A" w14:textId="77777777" w:rsidR="00130E8B" w:rsidRPr="00A9482F" w:rsidRDefault="000405CC">
      <w:pPr>
        <w:pStyle w:val="a3"/>
        <w:rPr>
          <w:lang w:val="hu-HU"/>
        </w:rPr>
      </w:pPr>
      <w:r w:rsidRPr="009167C6">
        <w:rPr>
          <w:rFonts w:eastAsia="Times New Roman"/>
          <w:position w:val="8"/>
          <w:vertAlign w:val="superscript"/>
          <w:lang w:val="hu-HU"/>
        </w:rPr>
        <w:t>c</w:t>
      </w:r>
      <w:r w:rsidRPr="009167C6">
        <w:rPr>
          <w:rFonts w:eastAsia="Times New Roman"/>
          <w:position w:val="8"/>
          <w:lang w:val="hu-HU"/>
        </w:rPr>
        <w:t xml:space="preserve"> </w:t>
      </w:r>
      <w:r w:rsidRPr="00A9482F">
        <w:rPr>
          <w:rFonts w:eastAsia="Times New Roman"/>
          <w:position w:val="8"/>
          <w:lang w:val="hu-HU"/>
        </w:rPr>
        <w:t>Ankylosing Spondylitis Disease Activity Score (Spondylitis Ankylopoetica Betegség Aktivitási pontszám)</w:t>
      </w:r>
    </w:p>
    <w:p w14:paraId="1E2A5867" w14:textId="77777777" w:rsidR="00130E8B" w:rsidRPr="00A9482F" w:rsidRDefault="000405CC">
      <w:pPr>
        <w:pStyle w:val="a3"/>
        <w:rPr>
          <w:lang w:val="hu-HU"/>
        </w:rPr>
      </w:pPr>
      <w:r w:rsidRPr="009167C6">
        <w:rPr>
          <w:rFonts w:eastAsia="Times New Roman"/>
          <w:position w:val="8"/>
          <w:vertAlign w:val="superscript"/>
          <w:lang w:val="hu-HU"/>
        </w:rPr>
        <w:t>d</w:t>
      </w:r>
      <w:r w:rsidRPr="009167C6">
        <w:rPr>
          <w:rFonts w:eastAsia="Times New Roman"/>
          <w:position w:val="8"/>
          <w:lang w:val="hu-HU"/>
        </w:rPr>
        <w:t xml:space="preserve"> </w:t>
      </w:r>
      <w:r w:rsidRPr="00A9482F">
        <w:rPr>
          <w:rFonts w:eastAsia="Times New Roman"/>
          <w:position w:val="8"/>
          <w:lang w:val="hu-HU"/>
        </w:rPr>
        <w:t>A betegség részleges fellángolása definíció szerint az ASDAS értéke legalább 1,3; de kisebb, mint 2,1; két egymást követő vizit során.</w:t>
      </w:r>
    </w:p>
    <w:p w14:paraId="598E34E5" w14:textId="77777777" w:rsidR="00130E8B" w:rsidRDefault="000405CC">
      <w:pPr>
        <w:pStyle w:val="a3"/>
        <w:ind w:left="770" w:hangingChars="350" w:hanging="770"/>
        <w:rPr>
          <w:lang w:val="hu-HU"/>
        </w:rPr>
      </w:pPr>
      <w:r>
        <w:rPr>
          <w:rFonts w:eastAsia="Times New Roman"/>
          <w:lang w:val="hu-HU"/>
        </w:rPr>
        <w:t>***, **, Statisztikailag szignifikáns különbség, p &lt; 0,001 és &lt; 0,01 érték esetén, ebben a sorrendben, az adalimumab és a placebo valamennyi összehasonlítását illetően</w:t>
      </w:r>
    </w:p>
    <w:p w14:paraId="3F9007FD" w14:textId="77777777" w:rsidR="00130E8B" w:rsidRDefault="00130E8B">
      <w:pPr>
        <w:pStyle w:val="a3"/>
        <w:rPr>
          <w:lang w:val="hu-HU"/>
        </w:rPr>
      </w:pPr>
    </w:p>
    <w:p w14:paraId="138F43BD" w14:textId="77777777" w:rsidR="00130E8B" w:rsidRDefault="000405CC">
      <w:pPr>
        <w:pStyle w:val="a3"/>
        <w:rPr>
          <w:rFonts w:eastAsia="Times New Roman"/>
          <w:lang w:val="hu-HU"/>
        </w:rPr>
      </w:pPr>
      <w:r>
        <w:rPr>
          <w:rFonts w:eastAsia="Times New Roman"/>
          <w:i/>
          <w:iCs/>
          <w:spacing w:val="-1"/>
          <w:lang w:val="hu-HU"/>
        </w:rPr>
        <w:t>Arthritis psoriatica</w:t>
      </w:r>
    </w:p>
    <w:p w14:paraId="7A26606E" w14:textId="77777777" w:rsidR="00130E8B" w:rsidRDefault="00130E8B">
      <w:pPr>
        <w:pStyle w:val="a3"/>
        <w:rPr>
          <w:sz w:val="24"/>
          <w:szCs w:val="24"/>
          <w:lang w:val="hu-HU"/>
        </w:rPr>
      </w:pPr>
    </w:p>
    <w:p w14:paraId="2D4E53B3" w14:textId="7C621297" w:rsidR="00130E8B" w:rsidRDefault="000405CC">
      <w:pPr>
        <w:pStyle w:val="a3"/>
        <w:rPr>
          <w:lang w:val="hu-HU"/>
        </w:rPr>
      </w:pPr>
      <w:r>
        <w:rPr>
          <w:rFonts w:eastAsia="Times New Roman"/>
          <w:lang w:val="hu-HU"/>
        </w:rPr>
        <w:t>A 40 mg adalimumab hatását kéthetenkénti egyszeri adagolással köz</w:t>
      </w:r>
      <w:r w:rsidR="00961E14">
        <w:rPr>
          <w:rFonts w:eastAsia="Times New Roman"/>
          <w:lang w:val="hu-HU"/>
        </w:rPr>
        <w:t>epesen súlyos</w:t>
      </w:r>
      <w:r>
        <w:rPr>
          <w:rFonts w:eastAsia="Times New Roman"/>
          <w:lang w:val="hu-HU"/>
        </w:rPr>
        <w:t xml:space="preserve">– </w:t>
      </w:r>
      <w:r w:rsidR="00961E14" w:rsidRPr="009167C6">
        <w:rPr>
          <w:lang w:val="hu-HU"/>
        </w:rPr>
        <w:t> </w:t>
      </w:r>
      <w:r w:rsidR="00961E14">
        <w:rPr>
          <w:rFonts w:eastAsia="Times New Roman"/>
          <w:lang w:val="hu-HU"/>
        </w:rPr>
        <w:t xml:space="preserve"> </w:t>
      </w:r>
      <w:r>
        <w:rPr>
          <w:rFonts w:eastAsia="Times New Roman"/>
          <w:lang w:val="hu-HU"/>
        </w:rPr>
        <w:t xml:space="preserve">súlyos aktív arthritis psoriaticában szenvedő betegeken vizsgálaták 2 placebo- kontrollált vizsgálatban, a PsA </w:t>
      </w:r>
      <w:r w:rsidR="00961E14" w:rsidRPr="009167C6">
        <w:rPr>
          <w:lang w:val="hu-HU"/>
        </w:rPr>
        <w:t> </w:t>
      </w:r>
      <w:r w:rsidR="00961E14">
        <w:rPr>
          <w:rFonts w:eastAsia="Times New Roman"/>
          <w:lang w:val="hu-HU"/>
        </w:rPr>
        <w:t xml:space="preserve"> </w:t>
      </w:r>
      <w:r>
        <w:rPr>
          <w:rFonts w:eastAsia="Times New Roman"/>
          <w:lang w:val="hu-HU"/>
        </w:rPr>
        <w:t xml:space="preserve">I. és a PsA </w:t>
      </w:r>
      <w:r w:rsidR="00424DF6" w:rsidRPr="009167C6">
        <w:rPr>
          <w:lang w:val="hu-HU"/>
        </w:rPr>
        <w:t> </w:t>
      </w:r>
      <w:r w:rsidR="00424DF6">
        <w:rPr>
          <w:rFonts w:eastAsia="Times New Roman"/>
          <w:lang w:val="hu-HU"/>
        </w:rPr>
        <w:t xml:space="preserve"> </w:t>
      </w:r>
      <w:r>
        <w:rPr>
          <w:rFonts w:eastAsia="Times New Roman"/>
          <w:lang w:val="hu-HU"/>
        </w:rPr>
        <w:t xml:space="preserve">II vizsgálatban. A PsA </w:t>
      </w:r>
      <w:r w:rsidR="00424DF6" w:rsidRPr="009167C6">
        <w:rPr>
          <w:lang w:val="hu-HU"/>
        </w:rPr>
        <w:t> </w:t>
      </w:r>
      <w:r w:rsidR="00424DF6">
        <w:rPr>
          <w:rFonts w:eastAsia="Times New Roman"/>
          <w:lang w:val="hu-HU"/>
        </w:rPr>
        <w:t xml:space="preserve"> </w:t>
      </w:r>
      <w:r>
        <w:rPr>
          <w:rFonts w:eastAsia="Times New Roman"/>
          <w:lang w:val="hu-HU"/>
        </w:rPr>
        <w:t xml:space="preserve">I vizsgálat 24 hét időtartammal folyt, 313 felnőtt, nem szteroid gyulladáscsökkentőre nem reagáló beteg vett részt benne, akiknek kb. 50%-a metotrexátot kapott. A 12 hétig tartó PsA </w:t>
      </w:r>
      <w:r w:rsidR="00424DF6" w:rsidRPr="009167C6">
        <w:rPr>
          <w:lang w:val="hu-HU"/>
        </w:rPr>
        <w:t> </w:t>
      </w:r>
      <w:r w:rsidR="00424DF6">
        <w:rPr>
          <w:rFonts w:eastAsia="Times New Roman"/>
          <w:lang w:val="hu-HU"/>
        </w:rPr>
        <w:t xml:space="preserve"> </w:t>
      </w:r>
      <w:r>
        <w:rPr>
          <w:rFonts w:eastAsia="Times New Roman"/>
          <w:lang w:val="hu-HU"/>
        </w:rPr>
        <w:t>II vizsgálatban 100 olyan beteget kezeltek, akik nem megfelelő választ adtak a DMARD kezelésre. A két vizsgálat befejezését követően 383 beteget válogattak be egy nyílt elrendezésű kiterjesztéses vizsgálatba, amelyben kéthetente 40 mg adalimumabot adagoltak.</w:t>
      </w:r>
    </w:p>
    <w:p w14:paraId="30EDB7B2" w14:textId="77777777" w:rsidR="00130E8B" w:rsidRDefault="00130E8B">
      <w:pPr>
        <w:pStyle w:val="a3"/>
        <w:rPr>
          <w:sz w:val="24"/>
          <w:szCs w:val="24"/>
          <w:lang w:val="hu-HU"/>
        </w:rPr>
      </w:pPr>
    </w:p>
    <w:p w14:paraId="2AACEDF3" w14:textId="77777777" w:rsidR="00130E8B" w:rsidRDefault="000405CC">
      <w:pPr>
        <w:pStyle w:val="a3"/>
        <w:rPr>
          <w:lang w:val="hu-HU"/>
        </w:rPr>
      </w:pPr>
      <w:r>
        <w:rPr>
          <w:rFonts w:eastAsia="Times New Roman"/>
          <w:lang w:val="hu-HU"/>
        </w:rPr>
        <w:t>A betegek kis száma miatt nincs elegendő bizonyíték az adalimumab hatásosságára spondylitis ankylopoetica-szerű psoriasisos arthropathiában.</w:t>
      </w:r>
    </w:p>
    <w:p w14:paraId="4731454A" w14:textId="77777777" w:rsidR="00130E8B" w:rsidRDefault="00130E8B">
      <w:pPr>
        <w:spacing w:before="17" w:line="240" w:lineRule="exact"/>
        <w:rPr>
          <w:sz w:val="24"/>
          <w:szCs w:val="24"/>
          <w:lang w:val="hu-HU"/>
        </w:rPr>
      </w:pPr>
    </w:p>
    <w:p w14:paraId="483C02B2" w14:textId="5FD2EEE6" w:rsidR="00130E8B" w:rsidRDefault="000405CC">
      <w:pPr>
        <w:pStyle w:val="a3"/>
        <w:jc w:val="center"/>
        <w:rPr>
          <w:b/>
          <w:lang w:val="hu-HU"/>
        </w:rPr>
      </w:pPr>
      <w:r>
        <w:rPr>
          <w:rFonts w:eastAsia="Times New Roman"/>
          <w:b/>
          <w:bCs/>
          <w:lang w:val="hu-HU"/>
        </w:rPr>
        <w:t>1</w:t>
      </w:r>
      <w:r w:rsidR="00D33AB9">
        <w:rPr>
          <w:rFonts w:eastAsia="Times New Roman"/>
          <w:b/>
          <w:bCs/>
          <w:lang w:val="hu-HU"/>
        </w:rPr>
        <w:t>5</w:t>
      </w:r>
      <w:r>
        <w:rPr>
          <w:rFonts w:eastAsia="Times New Roman"/>
          <w:b/>
          <w:bCs/>
          <w:lang w:val="hu-HU"/>
        </w:rPr>
        <w:t>. táblázat</w:t>
      </w:r>
    </w:p>
    <w:p w14:paraId="41404633" w14:textId="77777777" w:rsidR="00130E8B" w:rsidRDefault="000405CC">
      <w:pPr>
        <w:pStyle w:val="a3"/>
        <w:jc w:val="center"/>
        <w:rPr>
          <w:b/>
          <w:lang w:val="hu-HU"/>
        </w:rPr>
      </w:pPr>
      <w:r>
        <w:rPr>
          <w:rFonts w:eastAsia="Times New Roman"/>
          <w:b/>
          <w:bCs/>
          <w:lang w:val="hu-HU"/>
        </w:rPr>
        <w:t>ACR-válasz placebokontrollált arthritis psoriaticában (betegek százaléka)</w:t>
      </w:r>
    </w:p>
    <w:p w14:paraId="59D1DCB5" w14:textId="77777777" w:rsidR="00130E8B" w:rsidRDefault="00130E8B">
      <w:pPr>
        <w:pStyle w:val="a3"/>
        <w:jc w:val="center"/>
        <w:rPr>
          <w:b/>
          <w:lang w:val="hu-HU"/>
        </w:rPr>
      </w:pPr>
    </w:p>
    <w:tbl>
      <w:tblPr>
        <w:tblStyle w:val="ac"/>
        <w:tblW w:w="0" w:type="auto"/>
        <w:tblLook w:val="04A0" w:firstRow="1" w:lastRow="0" w:firstColumn="1" w:lastColumn="0" w:noHBand="0" w:noVBand="1"/>
      </w:tblPr>
      <w:tblGrid>
        <w:gridCol w:w="1910"/>
        <w:gridCol w:w="1910"/>
        <w:gridCol w:w="1910"/>
        <w:gridCol w:w="1910"/>
        <w:gridCol w:w="1910"/>
      </w:tblGrid>
      <w:tr w:rsidR="00130E8B" w14:paraId="0C404566" w14:textId="77777777">
        <w:tc>
          <w:tcPr>
            <w:tcW w:w="1910" w:type="dxa"/>
          </w:tcPr>
          <w:p w14:paraId="630CDED9" w14:textId="77777777" w:rsidR="00130E8B" w:rsidRDefault="00130E8B">
            <w:pPr>
              <w:spacing w:before="11" w:line="240" w:lineRule="exact"/>
              <w:jc w:val="center"/>
              <w:rPr>
                <w:rFonts w:ascii="Times New Roman" w:hAnsi="Times New Roman" w:cs="Times New Roman"/>
                <w:b/>
                <w:lang w:val="hu-HU"/>
              </w:rPr>
            </w:pPr>
          </w:p>
        </w:tc>
        <w:tc>
          <w:tcPr>
            <w:tcW w:w="3820" w:type="dxa"/>
            <w:gridSpan w:val="2"/>
          </w:tcPr>
          <w:p w14:paraId="7FCE1587" w14:textId="77777777" w:rsidR="00130E8B" w:rsidRDefault="000405CC">
            <w:pPr>
              <w:spacing w:before="11" w:line="240" w:lineRule="exact"/>
              <w:jc w:val="center"/>
              <w:rPr>
                <w:rFonts w:ascii="Times New Roman" w:hAnsi="Times New Roman" w:cs="Times New Roman"/>
                <w:b/>
                <w:lang w:val="hu-HU"/>
              </w:rPr>
            </w:pPr>
            <w:r>
              <w:rPr>
                <w:rFonts w:ascii="Times New Roman" w:eastAsia="Times New Roman" w:hAnsi="Times New Roman" w:cs="Times New Roman"/>
                <w:b/>
                <w:bCs/>
                <w:spacing w:val="-1"/>
                <w:lang w:val="hu-HU"/>
              </w:rPr>
              <w:t xml:space="preserve">PsA </w:t>
            </w:r>
            <w:r w:rsidR="00424DF6" w:rsidRPr="000F4DB4">
              <w:t> </w:t>
            </w:r>
            <w:r w:rsidR="00424DF6">
              <w:rPr>
                <w:rFonts w:ascii="Times New Roman" w:eastAsia="Times New Roman" w:hAnsi="Times New Roman" w:cs="Times New Roman"/>
                <w:b/>
                <w:bCs/>
                <w:spacing w:val="-1"/>
                <w:lang w:val="hu-HU"/>
              </w:rPr>
              <w:t xml:space="preserve"> </w:t>
            </w:r>
            <w:r>
              <w:rPr>
                <w:rFonts w:ascii="Times New Roman" w:eastAsia="Times New Roman" w:hAnsi="Times New Roman" w:cs="Times New Roman"/>
                <w:b/>
                <w:bCs/>
                <w:spacing w:val="-1"/>
                <w:lang w:val="hu-HU"/>
              </w:rPr>
              <w:t>I vizsgálat</w:t>
            </w:r>
          </w:p>
        </w:tc>
        <w:tc>
          <w:tcPr>
            <w:tcW w:w="3820" w:type="dxa"/>
            <w:gridSpan w:val="2"/>
          </w:tcPr>
          <w:p w14:paraId="201CCF0F" w14:textId="77777777" w:rsidR="00130E8B" w:rsidRDefault="000405CC">
            <w:pPr>
              <w:spacing w:before="11" w:line="240" w:lineRule="exact"/>
              <w:jc w:val="center"/>
              <w:rPr>
                <w:rFonts w:ascii="Times New Roman" w:hAnsi="Times New Roman" w:cs="Times New Roman"/>
                <w:b/>
                <w:lang w:val="hu-HU"/>
              </w:rPr>
            </w:pPr>
            <w:r>
              <w:rPr>
                <w:rFonts w:ascii="Times New Roman" w:eastAsia="Times New Roman" w:hAnsi="Times New Roman" w:cs="Times New Roman"/>
                <w:b/>
                <w:bCs/>
                <w:spacing w:val="-1"/>
                <w:lang w:val="hu-HU"/>
              </w:rPr>
              <w:t xml:space="preserve">PsA </w:t>
            </w:r>
            <w:r w:rsidR="00424DF6" w:rsidRPr="000F4DB4">
              <w:t> </w:t>
            </w:r>
            <w:r w:rsidR="00424DF6">
              <w:rPr>
                <w:rFonts w:ascii="Times New Roman" w:eastAsia="Times New Roman" w:hAnsi="Times New Roman" w:cs="Times New Roman"/>
                <w:b/>
                <w:bCs/>
                <w:spacing w:val="-1"/>
                <w:lang w:val="hu-HU"/>
              </w:rPr>
              <w:t xml:space="preserve"> </w:t>
            </w:r>
            <w:r>
              <w:rPr>
                <w:rFonts w:ascii="Times New Roman" w:eastAsia="Times New Roman" w:hAnsi="Times New Roman" w:cs="Times New Roman"/>
                <w:b/>
                <w:bCs/>
                <w:spacing w:val="-1"/>
                <w:lang w:val="hu-HU"/>
              </w:rPr>
              <w:t>II vizsgálat</w:t>
            </w:r>
          </w:p>
        </w:tc>
      </w:tr>
      <w:tr w:rsidR="00130E8B" w14:paraId="3D95836C" w14:textId="77777777">
        <w:tc>
          <w:tcPr>
            <w:tcW w:w="1910" w:type="dxa"/>
            <w:tcBorders>
              <w:bottom w:val="single" w:sz="4" w:space="0" w:color="auto"/>
            </w:tcBorders>
          </w:tcPr>
          <w:p w14:paraId="18B31075" w14:textId="77777777" w:rsidR="00130E8B" w:rsidRDefault="000405CC">
            <w:pPr>
              <w:spacing w:before="11" w:line="240" w:lineRule="exact"/>
              <w:jc w:val="center"/>
              <w:rPr>
                <w:rFonts w:ascii="Times New Roman" w:hAnsi="Times New Roman" w:cs="Times New Roman"/>
                <w:b/>
                <w:lang w:val="hu-HU" w:eastAsia="ko-KR"/>
              </w:rPr>
            </w:pPr>
            <w:r>
              <w:rPr>
                <w:rFonts w:ascii="Times New Roman" w:eastAsia="Times New Roman" w:hAnsi="Times New Roman" w:cs="Times New Roman"/>
                <w:b/>
                <w:bCs/>
                <w:lang w:val="hu-HU" w:eastAsia="ko-KR"/>
              </w:rPr>
              <w:t>Válasz</w:t>
            </w:r>
          </w:p>
        </w:tc>
        <w:tc>
          <w:tcPr>
            <w:tcW w:w="1910" w:type="dxa"/>
            <w:tcBorders>
              <w:bottom w:val="single" w:sz="4" w:space="0" w:color="auto"/>
            </w:tcBorders>
          </w:tcPr>
          <w:p w14:paraId="288B0709" w14:textId="77777777" w:rsidR="00130E8B" w:rsidRDefault="000405CC">
            <w:pPr>
              <w:spacing w:before="11" w:line="240" w:lineRule="exact"/>
              <w:jc w:val="center"/>
              <w:rPr>
                <w:rFonts w:ascii="Times New Roman" w:hAnsi="Times New Roman" w:cs="Times New Roman"/>
                <w:b/>
                <w:lang w:val="hu-HU" w:eastAsia="ko-KR"/>
              </w:rPr>
            </w:pPr>
            <w:r>
              <w:rPr>
                <w:rFonts w:ascii="Times New Roman" w:eastAsia="Times New Roman" w:hAnsi="Times New Roman" w:cs="Times New Roman"/>
                <w:b/>
                <w:bCs/>
                <w:lang w:val="hu-HU" w:eastAsia="ko-KR"/>
              </w:rPr>
              <w:t>Placebo</w:t>
            </w:r>
          </w:p>
          <w:p w14:paraId="7899B663" w14:textId="403FDAEA" w:rsidR="00130E8B" w:rsidRDefault="00271F07">
            <w:pPr>
              <w:spacing w:before="11" w:line="240" w:lineRule="exact"/>
              <w:jc w:val="center"/>
              <w:rPr>
                <w:rFonts w:ascii="Times New Roman" w:hAnsi="Times New Roman" w:cs="Times New Roman"/>
                <w:b/>
                <w:lang w:val="hu-HU" w:eastAsia="ko-KR"/>
              </w:rPr>
            </w:pPr>
            <w:r>
              <w:rPr>
                <w:rFonts w:ascii="Times New Roman" w:eastAsia="Times New Roman" w:hAnsi="Times New Roman" w:cs="Times New Roman"/>
                <w:b/>
                <w:bCs/>
                <w:lang w:val="hu-HU" w:eastAsia="ko-KR"/>
              </w:rPr>
              <w:t>n</w:t>
            </w:r>
            <w:r w:rsidR="000405CC">
              <w:rPr>
                <w:rFonts w:ascii="Times New Roman" w:eastAsia="Times New Roman" w:hAnsi="Times New Roman" w:cs="Times New Roman"/>
                <w:b/>
                <w:bCs/>
                <w:lang w:val="hu-HU" w:eastAsia="ko-KR"/>
              </w:rPr>
              <w:t>=162</w:t>
            </w:r>
          </w:p>
        </w:tc>
        <w:tc>
          <w:tcPr>
            <w:tcW w:w="1910" w:type="dxa"/>
            <w:tcBorders>
              <w:bottom w:val="single" w:sz="4" w:space="0" w:color="auto"/>
            </w:tcBorders>
          </w:tcPr>
          <w:p w14:paraId="3BF6F72A" w14:textId="77777777" w:rsidR="00130E8B" w:rsidRDefault="000405CC">
            <w:pPr>
              <w:spacing w:before="11" w:line="240" w:lineRule="exact"/>
              <w:jc w:val="center"/>
              <w:rPr>
                <w:rFonts w:ascii="Times New Roman" w:hAnsi="Times New Roman" w:cs="Times New Roman"/>
                <w:b/>
                <w:lang w:val="hu-HU" w:eastAsia="ko-KR"/>
              </w:rPr>
            </w:pPr>
            <w:r>
              <w:rPr>
                <w:rFonts w:ascii="Times New Roman" w:eastAsia="Times New Roman" w:hAnsi="Times New Roman" w:cs="Times New Roman"/>
                <w:b/>
                <w:bCs/>
                <w:lang w:val="hu-HU" w:eastAsia="ko-KR"/>
              </w:rPr>
              <w:t>Adalimumab</w:t>
            </w:r>
          </w:p>
          <w:p w14:paraId="0C74E233" w14:textId="6CBE0E4F" w:rsidR="00130E8B" w:rsidRDefault="00271F07">
            <w:pPr>
              <w:spacing w:before="11" w:line="240" w:lineRule="exact"/>
              <w:jc w:val="center"/>
              <w:rPr>
                <w:rFonts w:ascii="Times New Roman" w:hAnsi="Times New Roman" w:cs="Times New Roman"/>
                <w:b/>
                <w:lang w:val="hu-HU" w:eastAsia="ko-KR"/>
              </w:rPr>
            </w:pPr>
            <w:r>
              <w:rPr>
                <w:rFonts w:ascii="Times New Roman" w:eastAsia="Times New Roman" w:hAnsi="Times New Roman" w:cs="Times New Roman"/>
                <w:b/>
                <w:bCs/>
                <w:lang w:val="hu-HU" w:eastAsia="ko-KR"/>
              </w:rPr>
              <w:t>n</w:t>
            </w:r>
            <w:r w:rsidR="000405CC">
              <w:rPr>
                <w:rFonts w:ascii="Times New Roman" w:eastAsia="Times New Roman" w:hAnsi="Times New Roman" w:cs="Times New Roman"/>
                <w:b/>
                <w:bCs/>
                <w:lang w:val="hu-HU" w:eastAsia="ko-KR"/>
              </w:rPr>
              <w:t>=151</w:t>
            </w:r>
          </w:p>
        </w:tc>
        <w:tc>
          <w:tcPr>
            <w:tcW w:w="1910" w:type="dxa"/>
            <w:tcBorders>
              <w:bottom w:val="single" w:sz="4" w:space="0" w:color="auto"/>
            </w:tcBorders>
          </w:tcPr>
          <w:p w14:paraId="7B166D21" w14:textId="77777777" w:rsidR="00130E8B" w:rsidRDefault="000405CC">
            <w:pPr>
              <w:spacing w:before="11" w:line="240" w:lineRule="exact"/>
              <w:jc w:val="center"/>
              <w:rPr>
                <w:rFonts w:ascii="Times New Roman" w:hAnsi="Times New Roman" w:cs="Times New Roman"/>
                <w:b/>
                <w:lang w:val="hu-HU" w:eastAsia="ko-KR"/>
              </w:rPr>
            </w:pPr>
            <w:r>
              <w:rPr>
                <w:rFonts w:ascii="Times New Roman" w:eastAsia="Times New Roman" w:hAnsi="Times New Roman" w:cs="Times New Roman"/>
                <w:b/>
                <w:bCs/>
                <w:lang w:val="hu-HU" w:eastAsia="ko-KR"/>
              </w:rPr>
              <w:t>Placebo</w:t>
            </w:r>
          </w:p>
          <w:p w14:paraId="26658A71" w14:textId="5237DB98" w:rsidR="00130E8B" w:rsidRDefault="00271F07">
            <w:pPr>
              <w:spacing w:before="11" w:line="240" w:lineRule="exact"/>
              <w:jc w:val="center"/>
              <w:rPr>
                <w:rFonts w:ascii="Times New Roman" w:hAnsi="Times New Roman" w:cs="Times New Roman"/>
                <w:b/>
                <w:lang w:val="hu-HU" w:eastAsia="ko-KR"/>
              </w:rPr>
            </w:pPr>
            <w:r>
              <w:rPr>
                <w:rFonts w:ascii="Times New Roman" w:eastAsia="Times New Roman" w:hAnsi="Times New Roman" w:cs="Times New Roman"/>
                <w:b/>
                <w:bCs/>
                <w:lang w:val="hu-HU" w:eastAsia="ko-KR"/>
              </w:rPr>
              <w:t>n</w:t>
            </w:r>
            <w:r w:rsidR="000405CC">
              <w:rPr>
                <w:rFonts w:ascii="Times New Roman" w:eastAsia="Times New Roman" w:hAnsi="Times New Roman" w:cs="Times New Roman"/>
                <w:b/>
                <w:bCs/>
                <w:lang w:val="hu-HU" w:eastAsia="ko-KR"/>
              </w:rPr>
              <w:t>=49</w:t>
            </w:r>
          </w:p>
        </w:tc>
        <w:tc>
          <w:tcPr>
            <w:tcW w:w="1910" w:type="dxa"/>
            <w:tcBorders>
              <w:bottom w:val="single" w:sz="4" w:space="0" w:color="auto"/>
            </w:tcBorders>
          </w:tcPr>
          <w:p w14:paraId="207CE9D8" w14:textId="77777777" w:rsidR="00130E8B" w:rsidRDefault="000405CC">
            <w:pPr>
              <w:spacing w:before="11" w:line="240" w:lineRule="exact"/>
              <w:jc w:val="center"/>
              <w:rPr>
                <w:rFonts w:ascii="Times New Roman" w:hAnsi="Times New Roman" w:cs="Times New Roman"/>
                <w:b/>
                <w:lang w:val="hu-HU" w:eastAsia="ko-KR"/>
              </w:rPr>
            </w:pPr>
            <w:r>
              <w:rPr>
                <w:rFonts w:ascii="Times New Roman" w:eastAsia="Times New Roman" w:hAnsi="Times New Roman" w:cs="Times New Roman"/>
                <w:b/>
                <w:bCs/>
                <w:lang w:val="hu-HU" w:eastAsia="ko-KR"/>
              </w:rPr>
              <w:t>Adalimumab</w:t>
            </w:r>
          </w:p>
          <w:p w14:paraId="7323C04F" w14:textId="43F02977" w:rsidR="00130E8B" w:rsidRDefault="00271F07">
            <w:pPr>
              <w:spacing w:before="11" w:line="240" w:lineRule="exact"/>
              <w:jc w:val="center"/>
              <w:rPr>
                <w:rFonts w:ascii="Times New Roman" w:hAnsi="Times New Roman" w:cs="Times New Roman"/>
                <w:b/>
                <w:lang w:val="hu-HU" w:eastAsia="ko-KR"/>
              </w:rPr>
            </w:pPr>
            <w:r>
              <w:rPr>
                <w:rFonts w:ascii="Times New Roman" w:eastAsia="Times New Roman" w:hAnsi="Times New Roman" w:cs="Times New Roman"/>
                <w:b/>
                <w:bCs/>
                <w:lang w:val="hu-HU" w:eastAsia="ko-KR"/>
              </w:rPr>
              <w:t>n</w:t>
            </w:r>
            <w:r w:rsidR="000405CC">
              <w:rPr>
                <w:rFonts w:ascii="Times New Roman" w:eastAsia="Times New Roman" w:hAnsi="Times New Roman" w:cs="Times New Roman"/>
                <w:b/>
                <w:bCs/>
                <w:lang w:val="hu-HU" w:eastAsia="ko-KR"/>
              </w:rPr>
              <w:t>=51</w:t>
            </w:r>
          </w:p>
        </w:tc>
      </w:tr>
      <w:tr w:rsidR="00130E8B" w14:paraId="7B608F8C" w14:textId="77777777">
        <w:tc>
          <w:tcPr>
            <w:tcW w:w="1910" w:type="dxa"/>
            <w:tcBorders>
              <w:top w:val="single" w:sz="4" w:space="0" w:color="auto"/>
              <w:left w:val="single" w:sz="4" w:space="0" w:color="auto"/>
              <w:bottom w:val="nil"/>
              <w:right w:val="single" w:sz="4" w:space="0" w:color="auto"/>
            </w:tcBorders>
          </w:tcPr>
          <w:p w14:paraId="2BDF8F4B" w14:textId="77777777" w:rsidR="00130E8B" w:rsidRDefault="000405CC">
            <w:pPr>
              <w:spacing w:before="11" w:line="240" w:lineRule="exact"/>
              <w:rPr>
                <w:rFonts w:ascii="Times New Roman" w:hAnsi="Times New Roman" w:cs="Times New Roman"/>
                <w:lang w:val="hu-HU" w:eastAsia="ko-KR"/>
              </w:rPr>
            </w:pPr>
            <w:r>
              <w:rPr>
                <w:rFonts w:ascii="Times New Roman" w:eastAsia="Times New Roman" w:hAnsi="Times New Roman" w:cs="Times New Roman"/>
                <w:lang w:val="hu-HU" w:eastAsia="ko-KR"/>
              </w:rPr>
              <w:t>ACR 20</w:t>
            </w:r>
          </w:p>
        </w:tc>
        <w:tc>
          <w:tcPr>
            <w:tcW w:w="1910" w:type="dxa"/>
            <w:tcBorders>
              <w:top w:val="single" w:sz="4" w:space="0" w:color="auto"/>
              <w:left w:val="single" w:sz="4" w:space="0" w:color="auto"/>
              <w:bottom w:val="nil"/>
              <w:right w:val="single" w:sz="4" w:space="0" w:color="auto"/>
            </w:tcBorders>
          </w:tcPr>
          <w:p w14:paraId="3A88E78B" w14:textId="77777777" w:rsidR="00130E8B" w:rsidRDefault="00130E8B">
            <w:pPr>
              <w:spacing w:before="11" w:line="240" w:lineRule="exact"/>
              <w:rPr>
                <w:rFonts w:ascii="Times New Roman" w:hAnsi="Times New Roman" w:cs="Times New Roman"/>
                <w:lang w:val="hu-HU" w:eastAsia="ko-KR"/>
              </w:rPr>
            </w:pPr>
          </w:p>
        </w:tc>
        <w:tc>
          <w:tcPr>
            <w:tcW w:w="1910" w:type="dxa"/>
            <w:tcBorders>
              <w:top w:val="single" w:sz="4" w:space="0" w:color="auto"/>
              <w:left w:val="single" w:sz="4" w:space="0" w:color="auto"/>
              <w:bottom w:val="nil"/>
              <w:right w:val="single" w:sz="4" w:space="0" w:color="auto"/>
            </w:tcBorders>
          </w:tcPr>
          <w:p w14:paraId="31279B49" w14:textId="77777777" w:rsidR="00130E8B" w:rsidRDefault="00130E8B">
            <w:pPr>
              <w:spacing w:before="11" w:line="240" w:lineRule="exact"/>
              <w:rPr>
                <w:rFonts w:ascii="Times New Roman" w:hAnsi="Times New Roman" w:cs="Times New Roman"/>
                <w:lang w:val="hu-HU"/>
              </w:rPr>
            </w:pPr>
          </w:p>
        </w:tc>
        <w:tc>
          <w:tcPr>
            <w:tcW w:w="1910" w:type="dxa"/>
            <w:tcBorders>
              <w:top w:val="single" w:sz="4" w:space="0" w:color="auto"/>
              <w:left w:val="single" w:sz="4" w:space="0" w:color="auto"/>
              <w:bottom w:val="nil"/>
              <w:right w:val="single" w:sz="4" w:space="0" w:color="auto"/>
            </w:tcBorders>
          </w:tcPr>
          <w:p w14:paraId="577D068D" w14:textId="77777777" w:rsidR="00130E8B" w:rsidRDefault="00130E8B">
            <w:pPr>
              <w:spacing w:before="11" w:line="240" w:lineRule="exact"/>
              <w:rPr>
                <w:rFonts w:ascii="Times New Roman" w:hAnsi="Times New Roman" w:cs="Times New Roman"/>
                <w:lang w:val="hu-HU"/>
              </w:rPr>
            </w:pPr>
          </w:p>
        </w:tc>
        <w:tc>
          <w:tcPr>
            <w:tcW w:w="1910" w:type="dxa"/>
            <w:tcBorders>
              <w:top w:val="single" w:sz="4" w:space="0" w:color="auto"/>
              <w:left w:val="single" w:sz="4" w:space="0" w:color="auto"/>
              <w:bottom w:val="nil"/>
              <w:right w:val="single" w:sz="4" w:space="0" w:color="auto"/>
            </w:tcBorders>
          </w:tcPr>
          <w:p w14:paraId="7271308D" w14:textId="77777777" w:rsidR="00130E8B" w:rsidRDefault="00130E8B">
            <w:pPr>
              <w:spacing w:before="11" w:line="240" w:lineRule="exact"/>
              <w:rPr>
                <w:rFonts w:ascii="Times New Roman" w:hAnsi="Times New Roman" w:cs="Times New Roman"/>
                <w:lang w:val="hu-HU"/>
              </w:rPr>
            </w:pPr>
          </w:p>
        </w:tc>
      </w:tr>
      <w:tr w:rsidR="00130E8B" w14:paraId="2A716536" w14:textId="77777777">
        <w:tc>
          <w:tcPr>
            <w:tcW w:w="1910" w:type="dxa"/>
            <w:tcBorders>
              <w:top w:val="nil"/>
              <w:left w:val="single" w:sz="4" w:space="0" w:color="auto"/>
              <w:bottom w:val="nil"/>
              <w:right w:val="single" w:sz="4" w:space="0" w:color="auto"/>
            </w:tcBorders>
          </w:tcPr>
          <w:p w14:paraId="426FF7A7" w14:textId="77777777" w:rsidR="00130E8B" w:rsidRDefault="000405CC">
            <w:pPr>
              <w:spacing w:before="11" w:line="240" w:lineRule="exact"/>
              <w:jc w:val="right"/>
              <w:rPr>
                <w:rFonts w:ascii="Times New Roman" w:hAnsi="Times New Roman" w:cs="Times New Roman"/>
                <w:lang w:val="hu-HU" w:eastAsia="ko-KR"/>
              </w:rPr>
            </w:pPr>
            <w:r>
              <w:rPr>
                <w:rFonts w:ascii="Times New Roman" w:eastAsia="Times New Roman" w:hAnsi="Times New Roman" w:cs="Times New Roman"/>
                <w:lang w:val="hu-HU" w:eastAsia="ko-KR"/>
              </w:rPr>
              <w:t>12. hét</w:t>
            </w:r>
          </w:p>
        </w:tc>
        <w:tc>
          <w:tcPr>
            <w:tcW w:w="1910" w:type="dxa"/>
            <w:tcBorders>
              <w:top w:val="nil"/>
              <w:left w:val="single" w:sz="4" w:space="0" w:color="auto"/>
              <w:bottom w:val="nil"/>
              <w:right w:val="single" w:sz="4" w:space="0" w:color="auto"/>
            </w:tcBorders>
          </w:tcPr>
          <w:p w14:paraId="5C7C9D01" w14:textId="77777777" w:rsidR="00130E8B" w:rsidRDefault="000405CC">
            <w:pPr>
              <w:spacing w:before="11" w:line="240" w:lineRule="exact"/>
              <w:jc w:val="center"/>
              <w:rPr>
                <w:rFonts w:ascii="Times New Roman" w:hAnsi="Times New Roman" w:cs="Times New Roman"/>
                <w:lang w:val="hu-HU" w:eastAsia="ko-KR"/>
              </w:rPr>
            </w:pPr>
            <w:r>
              <w:rPr>
                <w:rFonts w:ascii="Times New Roman" w:eastAsia="Times New Roman" w:hAnsi="Times New Roman" w:cs="Times New Roman"/>
                <w:lang w:val="hu-HU" w:eastAsia="ko-KR"/>
              </w:rPr>
              <w:t>14%</w:t>
            </w:r>
          </w:p>
        </w:tc>
        <w:tc>
          <w:tcPr>
            <w:tcW w:w="1910" w:type="dxa"/>
            <w:tcBorders>
              <w:top w:val="nil"/>
              <w:left w:val="single" w:sz="4" w:space="0" w:color="auto"/>
              <w:bottom w:val="nil"/>
              <w:right w:val="single" w:sz="4" w:space="0" w:color="auto"/>
            </w:tcBorders>
          </w:tcPr>
          <w:p w14:paraId="33A01950" w14:textId="77777777" w:rsidR="00130E8B" w:rsidRDefault="000405CC">
            <w:pPr>
              <w:spacing w:before="11" w:line="240" w:lineRule="exact"/>
              <w:jc w:val="center"/>
              <w:rPr>
                <w:rFonts w:ascii="Times New Roman" w:hAnsi="Times New Roman" w:cs="Times New Roman"/>
                <w:lang w:val="hu-HU" w:eastAsia="ko-KR"/>
              </w:rPr>
            </w:pPr>
            <w:r>
              <w:rPr>
                <w:rFonts w:ascii="Times New Roman" w:eastAsia="Times New Roman" w:hAnsi="Times New Roman" w:cs="Times New Roman"/>
                <w:lang w:val="hu-HU" w:eastAsia="ko-KR"/>
              </w:rPr>
              <w:t>58%***</w:t>
            </w:r>
          </w:p>
        </w:tc>
        <w:tc>
          <w:tcPr>
            <w:tcW w:w="1910" w:type="dxa"/>
            <w:tcBorders>
              <w:top w:val="nil"/>
              <w:left w:val="single" w:sz="4" w:space="0" w:color="auto"/>
              <w:bottom w:val="nil"/>
              <w:right w:val="single" w:sz="4" w:space="0" w:color="auto"/>
            </w:tcBorders>
          </w:tcPr>
          <w:p w14:paraId="1FF7E5C2" w14:textId="77777777" w:rsidR="00130E8B" w:rsidRDefault="000405CC">
            <w:pPr>
              <w:spacing w:before="11" w:line="240" w:lineRule="exact"/>
              <w:jc w:val="center"/>
              <w:rPr>
                <w:rFonts w:ascii="Times New Roman" w:hAnsi="Times New Roman" w:cs="Times New Roman"/>
                <w:lang w:val="hu-HU" w:eastAsia="ko-KR"/>
              </w:rPr>
            </w:pPr>
            <w:r>
              <w:rPr>
                <w:rFonts w:ascii="Times New Roman" w:eastAsia="Times New Roman" w:hAnsi="Times New Roman" w:cs="Times New Roman"/>
                <w:lang w:val="hu-HU" w:eastAsia="ko-KR"/>
              </w:rPr>
              <w:t>16%</w:t>
            </w:r>
          </w:p>
        </w:tc>
        <w:tc>
          <w:tcPr>
            <w:tcW w:w="1910" w:type="dxa"/>
            <w:tcBorders>
              <w:top w:val="nil"/>
              <w:left w:val="single" w:sz="4" w:space="0" w:color="auto"/>
              <w:bottom w:val="nil"/>
              <w:right w:val="single" w:sz="4" w:space="0" w:color="auto"/>
            </w:tcBorders>
          </w:tcPr>
          <w:p w14:paraId="04361933" w14:textId="77777777" w:rsidR="00130E8B" w:rsidRDefault="000405CC">
            <w:pPr>
              <w:spacing w:before="11" w:line="240" w:lineRule="exact"/>
              <w:jc w:val="center"/>
              <w:rPr>
                <w:rFonts w:ascii="Times New Roman" w:hAnsi="Times New Roman" w:cs="Times New Roman"/>
                <w:lang w:val="hu-HU" w:eastAsia="ko-KR"/>
              </w:rPr>
            </w:pPr>
            <w:r>
              <w:rPr>
                <w:rFonts w:ascii="Times New Roman" w:eastAsia="Times New Roman" w:hAnsi="Times New Roman" w:cs="Times New Roman"/>
                <w:lang w:val="hu-HU" w:eastAsia="ko-KR"/>
              </w:rPr>
              <w:t>39%*</w:t>
            </w:r>
          </w:p>
        </w:tc>
      </w:tr>
      <w:tr w:rsidR="00130E8B" w14:paraId="668E6D6D" w14:textId="77777777">
        <w:tc>
          <w:tcPr>
            <w:tcW w:w="1910" w:type="dxa"/>
            <w:tcBorders>
              <w:top w:val="nil"/>
              <w:left w:val="single" w:sz="4" w:space="0" w:color="auto"/>
              <w:bottom w:val="nil"/>
              <w:right w:val="single" w:sz="4" w:space="0" w:color="auto"/>
            </w:tcBorders>
          </w:tcPr>
          <w:p w14:paraId="5B449E7C" w14:textId="77777777" w:rsidR="00130E8B" w:rsidRDefault="000405CC">
            <w:pPr>
              <w:spacing w:before="11" w:line="240" w:lineRule="exact"/>
              <w:jc w:val="right"/>
              <w:rPr>
                <w:rFonts w:ascii="Times New Roman" w:hAnsi="Times New Roman" w:cs="Times New Roman"/>
                <w:lang w:val="hu-HU" w:eastAsia="ko-KR"/>
              </w:rPr>
            </w:pPr>
            <w:r>
              <w:rPr>
                <w:rFonts w:ascii="Times New Roman" w:eastAsia="Times New Roman" w:hAnsi="Times New Roman" w:cs="Times New Roman"/>
                <w:lang w:val="hu-HU" w:eastAsia="ko-KR"/>
              </w:rPr>
              <w:t>24. hét</w:t>
            </w:r>
          </w:p>
        </w:tc>
        <w:tc>
          <w:tcPr>
            <w:tcW w:w="1910" w:type="dxa"/>
            <w:tcBorders>
              <w:top w:val="nil"/>
              <w:left w:val="single" w:sz="4" w:space="0" w:color="auto"/>
              <w:bottom w:val="nil"/>
              <w:right w:val="single" w:sz="4" w:space="0" w:color="auto"/>
            </w:tcBorders>
          </w:tcPr>
          <w:p w14:paraId="7280DB07" w14:textId="77777777" w:rsidR="00130E8B" w:rsidRDefault="000405CC">
            <w:pPr>
              <w:spacing w:before="11" w:line="240" w:lineRule="exact"/>
              <w:jc w:val="center"/>
              <w:rPr>
                <w:rFonts w:ascii="Times New Roman" w:hAnsi="Times New Roman" w:cs="Times New Roman"/>
                <w:lang w:val="hu-HU" w:eastAsia="ko-KR"/>
              </w:rPr>
            </w:pPr>
            <w:r>
              <w:rPr>
                <w:rFonts w:ascii="Times New Roman" w:eastAsia="Times New Roman" w:hAnsi="Times New Roman" w:cs="Times New Roman"/>
                <w:lang w:val="hu-HU" w:eastAsia="ko-KR"/>
              </w:rPr>
              <w:t>15%</w:t>
            </w:r>
          </w:p>
        </w:tc>
        <w:tc>
          <w:tcPr>
            <w:tcW w:w="1910" w:type="dxa"/>
            <w:tcBorders>
              <w:top w:val="nil"/>
              <w:left w:val="single" w:sz="4" w:space="0" w:color="auto"/>
              <w:bottom w:val="nil"/>
              <w:right w:val="single" w:sz="4" w:space="0" w:color="auto"/>
            </w:tcBorders>
          </w:tcPr>
          <w:p w14:paraId="545F8F88" w14:textId="77777777" w:rsidR="00130E8B" w:rsidRDefault="000405CC">
            <w:pPr>
              <w:spacing w:before="11" w:line="240" w:lineRule="exact"/>
              <w:jc w:val="center"/>
              <w:rPr>
                <w:rFonts w:ascii="Times New Roman" w:hAnsi="Times New Roman" w:cs="Times New Roman"/>
                <w:lang w:val="hu-HU" w:eastAsia="ko-KR"/>
              </w:rPr>
            </w:pPr>
            <w:r>
              <w:rPr>
                <w:rFonts w:ascii="Times New Roman" w:eastAsia="Times New Roman" w:hAnsi="Times New Roman" w:cs="Times New Roman"/>
                <w:lang w:val="hu-HU" w:eastAsia="ko-KR"/>
              </w:rPr>
              <w:t>57%***</w:t>
            </w:r>
          </w:p>
        </w:tc>
        <w:tc>
          <w:tcPr>
            <w:tcW w:w="1910" w:type="dxa"/>
            <w:tcBorders>
              <w:top w:val="nil"/>
              <w:left w:val="single" w:sz="4" w:space="0" w:color="auto"/>
              <w:bottom w:val="nil"/>
              <w:right w:val="single" w:sz="4" w:space="0" w:color="auto"/>
            </w:tcBorders>
          </w:tcPr>
          <w:p w14:paraId="71123523" w14:textId="77777777" w:rsidR="00130E8B" w:rsidRDefault="000405CC">
            <w:pPr>
              <w:spacing w:before="11" w:line="240" w:lineRule="exact"/>
              <w:jc w:val="center"/>
              <w:rPr>
                <w:rFonts w:ascii="Times New Roman" w:hAnsi="Times New Roman" w:cs="Times New Roman"/>
                <w:lang w:val="hu-HU" w:eastAsia="ko-KR"/>
              </w:rPr>
            </w:pPr>
            <w:r>
              <w:rPr>
                <w:rFonts w:ascii="Times New Roman" w:eastAsia="Times New Roman" w:hAnsi="Times New Roman" w:cs="Times New Roman"/>
                <w:lang w:val="hu-HU" w:eastAsia="ko-KR"/>
              </w:rPr>
              <w:t>N/A</w:t>
            </w:r>
          </w:p>
        </w:tc>
        <w:tc>
          <w:tcPr>
            <w:tcW w:w="1910" w:type="dxa"/>
            <w:tcBorders>
              <w:top w:val="nil"/>
              <w:left w:val="single" w:sz="4" w:space="0" w:color="auto"/>
              <w:bottom w:val="nil"/>
              <w:right w:val="single" w:sz="4" w:space="0" w:color="auto"/>
            </w:tcBorders>
          </w:tcPr>
          <w:p w14:paraId="628D6CA9" w14:textId="77777777" w:rsidR="00130E8B" w:rsidRDefault="000405CC">
            <w:pPr>
              <w:spacing w:before="11" w:line="240" w:lineRule="exact"/>
              <w:jc w:val="center"/>
              <w:rPr>
                <w:rFonts w:ascii="Times New Roman" w:hAnsi="Times New Roman" w:cs="Times New Roman"/>
                <w:lang w:val="hu-HU" w:eastAsia="ko-KR"/>
              </w:rPr>
            </w:pPr>
            <w:r>
              <w:rPr>
                <w:rFonts w:ascii="Times New Roman" w:eastAsia="Times New Roman" w:hAnsi="Times New Roman" w:cs="Times New Roman"/>
                <w:lang w:val="hu-HU" w:eastAsia="ko-KR"/>
              </w:rPr>
              <w:t>N/A</w:t>
            </w:r>
          </w:p>
        </w:tc>
      </w:tr>
      <w:tr w:rsidR="00130E8B" w14:paraId="3607611A" w14:textId="77777777">
        <w:tc>
          <w:tcPr>
            <w:tcW w:w="1910" w:type="dxa"/>
            <w:tcBorders>
              <w:top w:val="nil"/>
              <w:left w:val="single" w:sz="4" w:space="0" w:color="auto"/>
              <w:bottom w:val="nil"/>
              <w:right w:val="single" w:sz="4" w:space="0" w:color="auto"/>
            </w:tcBorders>
          </w:tcPr>
          <w:p w14:paraId="0108ED3B" w14:textId="77777777" w:rsidR="00130E8B" w:rsidRDefault="000405CC">
            <w:pPr>
              <w:spacing w:before="11" w:line="240" w:lineRule="exact"/>
              <w:rPr>
                <w:rFonts w:ascii="Times New Roman" w:hAnsi="Times New Roman" w:cs="Times New Roman"/>
                <w:lang w:val="hu-HU" w:eastAsia="ko-KR"/>
              </w:rPr>
            </w:pPr>
            <w:r>
              <w:rPr>
                <w:rFonts w:ascii="Times New Roman" w:eastAsia="Times New Roman" w:hAnsi="Times New Roman" w:cs="Times New Roman"/>
                <w:lang w:val="hu-HU" w:eastAsia="ko-KR"/>
              </w:rPr>
              <w:t>ACR 50</w:t>
            </w:r>
          </w:p>
        </w:tc>
        <w:tc>
          <w:tcPr>
            <w:tcW w:w="1910" w:type="dxa"/>
            <w:tcBorders>
              <w:top w:val="nil"/>
              <w:left w:val="single" w:sz="4" w:space="0" w:color="auto"/>
              <w:bottom w:val="nil"/>
              <w:right w:val="single" w:sz="4" w:space="0" w:color="auto"/>
            </w:tcBorders>
          </w:tcPr>
          <w:p w14:paraId="4E81A2DC" w14:textId="77777777" w:rsidR="00130E8B" w:rsidRDefault="00130E8B">
            <w:pPr>
              <w:spacing w:before="11" w:line="240" w:lineRule="exact"/>
              <w:jc w:val="center"/>
              <w:rPr>
                <w:rFonts w:ascii="Times New Roman" w:hAnsi="Times New Roman" w:cs="Times New Roman"/>
                <w:lang w:val="hu-HU"/>
              </w:rPr>
            </w:pPr>
          </w:p>
        </w:tc>
        <w:tc>
          <w:tcPr>
            <w:tcW w:w="1910" w:type="dxa"/>
            <w:tcBorders>
              <w:top w:val="nil"/>
              <w:left w:val="single" w:sz="4" w:space="0" w:color="auto"/>
              <w:bottom w:val="nil"/>
              <w:right w:val="single" w:sz="4" w:space="0" w:color="auto"/>
            </w:tcBorders>
          </w:tcPr>
          <w:p w14:paraId="5E51B520" w14:textId="77777777" w:rsidR="00130E8B" w:rsidRDefault="00130E8B">
            <w:pPr>
              <w:spacing w:before="11" w:line="240" w:lineRule="exact"/>
              <w:jc w:val="center"/>
              <w:rPr>
                <w:rFonts w:ascii="Times New Roman" w:hAnsi="Times New Roman" w:cs="Times New Roman"/>
                <w:lang w:val="hu-HU"/>
              </w:rPr>
            </w:pPr>
          </w:p>
        </w:tc>
        <w:tc>
          <w:tcPr>
            <w:tcW w:w="1910" w:type="dxa"/>
            <w:tcBorders>
              <w:top w:val="nil"/>
              <w:left w:val="single" w:sz="4" w:space="0" w:color="auto"/>
              <w:bottom w:val="nil"/>
              <w:right w:val="single" w:sz="4" w:space="0" w:color="auto"/>
            </w:tcBorders>
          </w:tcPr>
          <w:p w14:paraId="7F9E84CE" w14:textId="77777777" w:rsidR="00130E8B" w:rsidRDefault="00130E8B">
            <w:pPr>
              <w:spacing w:before="11" w:line="240" w:lineRule="exact"/>
              <w:jc w:val="center"/>
              <w:rPr>
                <w:rFonts w:ascii="Times New Roman" w:hAnsi="Times New Roman" w:cs="Times New Roman"/>
                <w:lang w:val="hu-HU"/>
              </w:rPr>
            </w:pPr>
          </w:p>
        </w:tc>
        <w:tc>
          <w:tcPr>
            <w:tcW w:w="1910" w:type="dxa"/>
            <w:tcBorders>
              <w:top w:val="nil"/>
              <w:left w:val="single" w:sz="4" w:space="0" w:color="auto"/>
              <w:bottom w:val="nil"/>
              <w:right w:val="single" w:sz="4" w:space="0" w:color="auto"/>
            </w:tcBorders>
          </w:tcPr>
          <w:p w14:paraId="7F59E086" w14:textId="77777777" w:rsidR="00130E8B" w:rsidRDefault="00130E8B">
            <w:pPr>
              <w:spacing w:before="11" w:line="240" w:lineRule="exact"/>
              <w:jc w:val="center"/>
              <w:rPr>
                <w:rFonts w:ascii="Times New Roman" w:hAnsi="Times New Roman" w:cs="Times New Roman"/>
                <w:lang w:val="hu-HU"/>
              </w:rPr>
            </w:pPr>
          </w:p>
        </w:tc>
      </w:tr>
      <w:tr w:rsidR="00130E8B" w14:paraId="2DEF2C72" w14:textId="77777777">
        <w:tc>
          <w:tcPr>
            <w:tcW w:w="1910" w:type="dxa"/>
            <w:tcBorders>
              <w:top w:val="nil"/>
              <w:left w:val="single" w:sz="4" w:space="0" w:color="auto"/>
              <w:bottom w:val="nil"/>
              <w:right w:val="single" w:sz="4" w:space="0" w:color="auto"/>
            </w:tcBorders>
          </w:tcPr>
          <w:p w14:paraId="5424F5FD" w14:textId="77777777" w:rsidR="00130E8B" w:rsidRDefault="000405CC">
            <w:pPr>
              <w:spacing w:before="11" w:line="240" w:lineRule="exact"/>
              <w:jc w:val="right"/>
              <w:rPr>
                <w:rFonts w:ascii="Times New Roman" w:hAnsi="Times New Roman" w:cs="Times New Roman"/>
                <w:lang w:val="hu-HU"/>
              </w:rPr>
            </w:pPr>
            <w:r>
              <w:rPr>
                <w:rFonts w:ascii="Times New Roman" w:eastAsia="Times New Roman" w:hAnsi="Times New Roman" w:cs="Times New Roman"/>
                <w:lang w:val="hu-HU" w:eastAsia="ko-KR"/>
              </w:rPr>
              <w:t>12. hét</w:t>
            </w:r>
          </w:p>
        </w:tc>
        <w:tc>
          <w:tcPr>
            <w:tcW w:w="1910" w:type="dxa"/>
            <w:tcBorders>
              <w:top w:val="nil"/>
              <w:left w:val="single" w:sz="4" w:space="0" w:color="auto"/>
              <w:bottom w:val="nil"/>
              <w:right w:val="single" w:sz="4" w:space="0" w:color="auto"/>
            </w:tcBorders>
          </w:tcPr>
          <w:p w14:paraId="28FDD90E" w14:textId="77777777" w:rsidR="00130E8B" w:rsidRDefault="000405CC">
            <w:pPr>
              <w:spacing w:before="11" w:line="240" w:lineRule="exact"/>
              <w:jc w:val="center"/>
              <w:rPr>
                <w:rFonts w:ascii="Times New Roman" w:hAnsi="Times New Roman" w:cs="Times New Roman"/>
                <w:lang w:val="hu-HU" w:eastAsia="ko-KR"/>
              </w:rPr>
            </w:pPr>
            <w:r>
              <w:rPr>
                <w:rFonts w:ascii="Times New Roman" w:eastAsia="Times New Roman" w:hAnsi="Times New Roman" w:cs="Times New Roman"/>
                <w:lang w:val="hu-HU" w:eastAsia="ko-KR"/>
              </w:rPr>
              <w:t>4%</w:t>
            </w:r>
          </w:p>
        </w:tc>
        <w:tc>
          <w:tcPr>
            <w:tcW w:w="1910" w:type="dxa"/>
            <w:tcBorders>
              <w:top w:val="nil"/>
              <w:left w:val="single" w:sz="4" w:space="0" w:color="auto"/>
              <w:bottom w:val="nil"/>
              <w:right w:val="single" w:sz="4" w:space="0" w:color="auto"/>
            </w:tcBorders>
          </w:tcPr>
          <w:p w14:paraId="2D7CC860" w14:textId="77777777" w:rsidR="00130E8B" w:rsidRDefault="000405CC">
            <w:pPr>
              <w:spacing w:before="11" w:line="240" w:lineRule="exact"/>
              <w:jc w:val="center"/>
              <w:rPr>
                <w:rFonts w:ascii="Times New Roman" w:hAnsi="Times New Roman" w:cs="Times New Roman"/>
                <w:lang w:val="hu-HU" w:eastAsia="ko-KR"/>
              </w:rPr>
            </w:pPr>
            <w:r>
              <w:rPr>
                <w:rFonts w:ascii="Times New Roman" w:eastAsia="Times New Roman" w:hAnsi="Times New Roman" w:cs="Times New Roman"/>
                <w:lang w:val="hu-HU" w:eastAsia="ko-KR"/>
              </w:rPr>
              <w:t>36%***</w:t>
            </w:r>
          </w:p>
        </w:tc>
        <w:tc>
          <w:tcPr>
            <w:tcW w:w="1910" w:type="dxa"/>
            <w:tcBorders>
              <w:top w:val="nil"/>
              <w:left w:val="single" w:sz="4" w:space="0" w:color="auto"/>
              <w:bottom w:val="nil"/>
              <w:right w:val="single" w:sz="4" w:space="0" w:color="auto"/>
            </w:tcBorders>
          </w:tcPr>
          <w:p w14:paraId="271FDFFF" w14:textId="77777777" w:rsidR="00130E8B" w:rsidRDefault="000405CC">
            <w:pPr>
              <w:spacing w:before="11" w:line="240" w:lineRule="exact"/>
              <w:jc w:val="center"/>
              <w:rPr>
                <w:rFonts w:ascii="Times New Roman" w:hAnsi="Times New Roman" w:cs="Times New Roman"/>
                <w:lang w:val="hu-HU" w:eastAsia="ko-KR"/>
              </w:rPr>
            </w:pPr>
            <w:r>
              <w:rPr>
                <w:rFonts w:ascii="Times New Roman" w:eastAsia="Times New Roman" w:hAnsi="Times New Roman" w:cs="Times New Roman"/>
                <w:lang w:val="hu-HU" w:eastAsia="ko-KR"/>
              </w:rPr>
              <w:t>2%</w:t>
            </w:r>
          </w:p>
        </w:tc>
        <w:tc>
          <w:tcPr>
            <w:tcW w:w="1910" w:type="dxa"/>
            <w:tcBorders>
              <w:top w:val="nil"/>
              <w:left w:val="single" w:sz="4" w:space="0" w:color="auto"/>
              <w:bottom w:val="nil"/>
              <w:right w:val="single" w:sz="4" w:space="0" w:color="auto"/>
            </w:tcBorders>
          </w:tcPr>
          <w:p w14:paraId="0CE0FA4E" w14:textId="77777777" w:rsidR="00130E8B" w:rsidRDefault="000405CC">
            <w:pPr>
              <w:spacing w:before="11" w:line="240" w:lineRule="exact"/>
              <w:jc w:val="center"/>
              <w:rPr>
                <w:rFonts w:ascii="Times New Roman" w:hAnsi="Times New Roman" w:cs="Times New Roman"/>
                <w:lang w:val="hu-HU" w:eastAsia="ko-KR"/>
              </w:rPr>
            </w:pPr>
            <w:r>
              <w:rPr>
                <w:rFonts w:ascii="Times New Roman" w:eastAsia="Times New Roman" w:hAnsi="Times New Roman" w:cs="Times New Roman"/>
                <w:lang w:val="hu-HU" w:eastAsia="ko-KR"/>
              </w:rPr>
              <w:t>25%***</w:t>
            </w:r>
          </w:p>
        </w:tc>
      </w:tr>
      <w:tr w:rsidR="00130E8B" w14:paraId="1FD67641" w14:textId="77777777">
        <w:tc>
          <w:tcPr>
            <w:tcW w:w="1910" w:type="dxa"/>
            <w:tcBorders>
              <w:top w:val="nil"/>
              <w:left w:val="single" w:sz="4" w:space="0" w:color="auto"/>
              <w:bottom w:val="nil"/>
              <w:right w:val="single" w:sz="4" w:space="0" w:color="auto"/>
            </w:tcBorders>
          </w:tcPr>
          <w:p w14:paraId="4B88EE66" w14:textId="77777777" w:rsidR="00130E8B" w:rsidRDefault="000405CC">
            <w:pPr>
              <w:spacing w:before="11" w:line="240" w:lineRule="exact"/>
              <w:jc w:val="right"/>
              <w:rPr>
                <w:rFonts w:ascii="Times New Roman" w:hAnsi="Times New Roman" w:cs="Times New Roman"/>
                <w:lang w:val="hu-HU"/>
              </w:rPr>
            </w:pPr>
            <w:r>
              <w:rPr>
                <w:rFonts w:ascii="Times New Roman" w:eastAsia="Times New Roman" w:hAnsi="Times New Roman" w:cs="Times New Roman"/>
                <w:lang w:val="hu-HU" w:eastAsia="ko-KR"/>
              </w:rPr>
              <w:t>24. hét</w:t>
            </w:r>
          </w:p>
        </w:tc>
        <w:tc>
          <w:tcPr>
            <w:tcW w:w="1910" w:type="dxa"/>
            <w:tcBorders>
              <w:top w:val="nil"/>
              <w:left w:val="single" w:sz="4" w:space="0" w:color="auto"/>
              <w:bottom w:val="nil"/>
              <w:right w:val="single" w:sz="4" w:space="0" w:color="auto"/>
            </w:tcBorders>
          </w:tcPr>
          <w:p w14:paraId="5F2EA8DA" w14:textId="77777777" w:rsidR="00130E8B" w:rsidRDefault="000405CC">
            <w:pPr>
              <w:spacing w:before="11" w:line="240" w:lineRule="exact"/>
              <w:jc w:val="center"/>
              <w:rPr>
                <w:rFonts w:ascii="Times New Roman" w:hAnsi="Times New Roman" w:cs="Times New Roman"/>
                <w:lang w:val="hu-HU" w:eastAsia="ko-KR"/>
              </w:rPr>
            </w:pPr>
            <w:r>
              <w:rPr>
                <w:rFonts w:ascii="Times New Roman" w:eastAsia="Times New Roman" w:hAnsi="Times New Roman" w:cs="Times New Roman"/>
                <w:lang w:val="hu-HU" w:eastAsia="ko-KR"/>
              </w:rPr>
              <w:t>6%</w:t>
            </w:r>
          </w:p>
        </w:tc>
        <w:tc>
          <w:tcPr>
            <w:tcW w:w="1910" w:type="dxa"/>
            <w:tcBorders>
              <w:top w:val="nil"/>
              <w:left w:val="single" w:sz="4" w:space="0" w:color="auto"/>
              <w:bottom w:val="nil"/>
              <w:right w:val="single" w:sz="4" w:space="0" w:color="auto"/>
            </w:tcBorders>
          </w:tcPr>
          <w:p w14:paraId="1C109F52" w14:textId="77777777" w:rsidR="00130E8B" w:rsidRDefault="000405CC">
            <w:pPr>
              <w:spacing w:before="11" w:line="240" w:lineRule="exact"/>
              <w:jc w:val="center"/>
              <w:rPr>
                <w:rFonts w:ascii="Times New Roman" w:hAnsi="Times New Roman" w:cs="Times New Roman"/>
                <w:lang w:val="hu-HU" w:eastAsia="ko-KR"/>
              </w:rPr>
            </w:pPr>
            <w:r>
              <w:rPr>
                <w:rFonts w:ascii="Times New Roman" w:eastAsia="Times New Roman" w:hAnsi="Times New Roman" w:cs="Times New Roman"/>
                <w:lang w:val="hu-HU" w:eastAsia="ko-KR"/>
              </w:rPr>
              <w:t>39%***</w:t>
            </w:r>
          </w:p>
        </w:tc>
        <w:tc>
          <w:tcPr>
            <w:tcW w:w="1910" w:type="dxa"/>
            <w:tcBorders>
              <w:top w:val="nil"/>
              <w:left w:val="single" w:sz="4" w:space="0" w:color="auto"/>
              <w:bottom w:val="nil"/>
              <w:right w:val="single" w:sz="4" w:space="0" w:color="auto"/>
            </w:tcBorders>
          </w:tcPr>
          <w:p w14:paraId="44BCC463" w14:textId="77777777" w:rsidR="00130E8B" w:rsidRDefault="000405CC">
            <w:pPr>
              <w:spacing w:before="11" w:line="240" w:lineRule="exact"/>
              <w:jc w:val="center"/>
              <w:rPr>
                <w:rFonts w:ascii="Times New Roman" w:hAnsi="Times New Roman" w:cs="Times New Roman"/>
                <w:lang w:val="hu-HU" w:eastAsia="ko-KR"/>
              </w:rPr>
            </w:pPr>
            <w:r>
              <w:rPr>
                <w:rFonts w:ascii="Times New Roman" w:eastAsia="Times New Roman" w:hAnsi="Times New Roman" w:cs="Times New Roman"/>
                <w:lang w:val="hu-HU" w:eastAsia="ko-KR"/>
              </w:rPr>
              <w:t>N/A</w:t>
            </w:r>
          </w:p>
        </w:tc>
        <w:tc>
          <w:tcPr>
            <w:tcW w:w="1910" w:type="dxa"/>
            <w:tcBorders>
              <w:top w:val="nil"/>
              <w:left w:val="single" w:sz="4" w:space="0" w:color="auto"/>
              <w:bottom w:val="nil"/>
              <w:right w:val="single" w:sz="4" w:space="0" w:color="auto"/>
            </w:tcBorders>
          </w:tcPr>
          <w:p w14:paraId="18C6DB44" w14:textId="77777777" w:rsidR="00130E8B" w:rsidRDefault="000405CC">
            <w:pPr>
              <w:spacing w:before="11" w:line="240" w:lineRule="exact"/>
              <w:jc w:val="center"/>
              <w:rPr>
                <w:rFonts w:ascii="Times New Roman" w:hAnsi="Times New Roman" w:cs="Times New Roman"/>
                <w:lang w:val="hu-HU" w:eastAsia="ko-KR"/>
              </w:rPr>
            </w:pPr>
            <w:r>
              <w:rPr>
                <w:rFonts w:ascii="Times New Roman" w:eastAsia="Times New Roman" w:hAnsi="Times New Roman" w:cs="Times New Roman"/>
                <w:lang w:val="hu-HU" w:eastAsia="ko-KR"/>
              </w:rPr>
              <w:t>N/A</w:t>
            </w:r>
          </w:p>
        </w:tc>
      </w:tr>
      <w:tr w:rsidR="00130E8B" w14:paraId="59CAEC53" w14:textId="77777777">
        <w:tc>
          <w:tcPr>
            <w:tcW w:w="1910" w:type="dxa"/>
            <w:tcBorders>
              <w:top w:val="nil"/>
              <w:left w:val="single" w:sz="4" w:space="0" w:color="auto"/>
              <w:bottom w:val="nil"/>
              <w:right w:val="single" w:sz="4" w:space="0" w:color="auto"/>
            </w:tcBorders>
          </w:tcPr>
          <w:p w14:paraId="01835816" w14:textId="77777777" w:rsidR="00130E8B" w:rsidRDefault="000405CC">
            <w:pPr>
              <w:spacing w:before="11" w:line="240" w:lineRule="exact"/>
              <w:rPr>
                <w:rFonts w:ascii="Times New Roman" w:hAnsi="Times New Roman" w:cs="Times New Roman"/>
                <w:lang w:val="hu-HU" w:eastAsia="ko-KR"/>
              </w:rPr>
            </w:pPr>
            <w:r>
              <w:rPr>
                <w:rFonts w:ascii="Times New Roman" w:eastAsia="Times New Roman" w:hAnsi="Times New Roman" w:cs="Times New Roman"/>
                <w:lang w:val="hu-HU" w:eastAsia="ko-KR"/>
              </w:rPr>
              <w:t>ACR 70</w:t>
            </w:r>
          </w:p>
        </w:tc>
        <w:tc>
          <w:tcPr>
            <w:tcW w:w="1910" w:type="dxa"/>
            <w:tcBorders>
              <w:top w:val="nil"/>
              <w:left w:val="single" w:sz="4" w:space="0" w:color="auto"/>
              <w:bottom w:val="nil"/>
              <w:right w:val="single" w:sz="4" w:space="0" w:color="auto"/>
            </w:tcBorders>
          </w:tcPr>
          <w:p w14:paraId="26D6E783" w14:textId="77777777" w:rsidR="00130E8B" w:rsidRDefault="00130E8B">
            <w:pPr>
              <w:spacing w:before="11" w:line="240" w:lineRule="exact"/>
              <w:jc w:val="center"/>
              <w:rPr>
                <w:rFonts w:ascii="Times New Roman" w:hAnsi="Times New Roman" w:cs="Times New Roman"/>
                <w:lang w:val="hu-HU"/>
              </w:rPr>
            </w:pPr>
          </w:p>
        </w:tc>
        <w:tc>
          <w:tcPr>
            <w:tcW w:w="1910" w:type="dxa"/>
            <w:tcBorders>
              <w:top w:val="nil"/>
              <w:left w:val="single" w:sz="4" w:space="0" w:color="auto"/>
              <w:bottom w:val="nil"/>
              <w:right w:val="single" w:sz="4" w:space="0" w:color="auto"/>
            </w:tcBorders>
          </w:tcPr>
          <w:p w14:paraId="1D7C43D1" w14:textId="77777777" w:rsidR="00130E8B" w:rsidRDefault="00130E8B">
            <w:pPr>
              <w:spacing w:before="11" w:line="240" w:lineRule="exact"/>
              <w:jc w:val="center"/>
              <w:rPr>
                <w:rFonts w:ascii="Times New Roman" w:hAnsi="Times New Roman" w:cs="Times New Roman"/>
                <w:lang w:val="hu-HU"/>
              </w:rPr>
            </w:pPr>
          </w:p>
        </w:tc>
        <w:tc>
          <w:tcPr>
            <w:tcW w:w="1910" w:type="dxa"/>
            <w:tcBorders>
              <w:top w:val="nil"/>
              <w:left w:val="single" w:sz="4" w:space="0" w:color="auto"/>
              <w:bottom w:val="nil"/>
              <w:right w:val="single" w:sz="4" w:space="0" w:color="auto"/>
            </w:tcBorders>
          </w:tcPr>
          <w:p w14:paraId="434262E2" w14:textId="77777777" w:rsidR="00130E8B" w:rsidRDefault="00130E8B">
            <w:pPr>
              <w:spacing w:before="11" w:line="240" w:lineRule="exact"/>
              <w:jc w:val="center"/>
              <w:rPr>
                <w:rFonts w:ascii="Times New Roman" w:hAnsi="Times New Roman" w:cs="Times New Roman"/>
                <w:lang w:val="hu-HU"/>
              </w:rPr>
            </w:pPr>
          </w:p>
        </w:tc>
        <w:tc>
          <w:tcPr>
            <w:tcW w:w="1910" w:type="dxa"/>
            <w:tcBorders>
              <w:top w:val="nil"/>
              <w:left w:val="single" w:sz="4" w:space="0" w:color="auto"/>
              <w:bottom w:val="nil"/>
              <w:right w:val="single" w:sz="4" w:space="0" w:color="auto"/>
            </w:tcBorders>
          </w:tcPr>
          <w:p w14:paraId="64D851E7" w14:textId="77777777" w:rsidR="00130E8B" w:rsidRDefault="00130E8B">
            <w:pPr>
              <w:spacing w:before="11" w:line="240" w:lineRule="exact"/>
              <w:jc w:val="center"/>
              <w:rPr>
                <w:rFonts w:ascii="Times New Roman" w:hAnsi="Times New Roman" w:cs="Times New Roman"/>
                <w:lang w:val="hu-HU"/>
              </w:rPr>
            </w:pPr>
          </w:p>
        </w:tc>
      </w:tr>
      <w:tr w:rsidR="00130E8B" w14:paraId="4A7ACECA" w14:textId="77777777">
        <w:tc>
          <w:tcPr>
            <w:tcW w:w="1910" w:type="dxa"/>
            <w:tcBorders>
              <w:top w:val="nil"/>
              <w:left w:val="single" w:sz="4" w:space="0" w:color="auto"/>
              <w:bottom w:val="nil"/>
              <w:right w:val="single" w:sz="4" w:space="0" w:color="auto"/>
            </w:tcBorders>
          </w:tcPr>
          <w:p w14:paraId="58D90B16" w14:textId="77777777" w:rsidR="00130E8B" w:rsidRDefault="000405CC">
            <w:pPr>
              <w:spacing w:before="11" w:line="240" w:lineRule="exact"/>
              <w:jc w:val="right"/>
              <w:rPr>
                <w:rFonts w:ascii="Times New Roman" w:hAnsi="Times New Roman" w:cs="Times New Roman"/>
                <w:lang w:val="hu-HU" w:eastAsia="ko-KR"/>
              </w:rPr>
            </w:pPr>
            <w:r>
              <w:rPr>
                <w:rFonts w:ascii="Times New Roman" w:eastAsia="Times New Roman" w:hAnsi="Times New Roman" w:cs="Times New Roman"/>
                <w:lang w:val="hu-HU" w:eastAsia="ko-KR"/>
              </w:rPr>
              <w:t>12. hét</w:t>
            </w:r>
          </w:p>
        </w:tc>
        <w:tc>
          <w:tcPr>
            <w:tcW w:w="1910" w:type="dxa"/>
            <w:tcBorders>
              <w:top w:val="nil"/>
              <w:left w:val="single" w:sz="4" w:space="0" w:color="auto"/>
              <w:bottom w:val="nil"/>
              <w:right w:val="single" w:sz="4" w:space="0" w:color="auto"/>
            </w:tcBorders>
          </w:tcPr>
          <w:p w14:paraId="198B2A27" w14:textId="77777777" w:rsidR="00130E8B" w:rsidRDefault="000405CC">
            <w:pPr>
              <w:spacing w:before="11" w:line="240" w:lineRule="exact"/>
              <w:jc w:val="center"/>
              <w:rPr>
                <w:rFonts w:ascii="Times New Roman" w:hAnsi="Times New Roman" w:cs="Times New Roman"/>
                <w:lang w:val="hu-HU" w:eastAsia="ko-KR"/>
              </w:rPr>
            </w:pPr>
            <w:r>
              <w:rPr>
                <w:rFonts w:ascii="Times New Roman" w:eastAsia="Times New Roman" w:hAnsi="Times New Roman" w:cs="Times New Roman"/>
                <w:lang w:val="hu-HU" w:eastAsia="ko-KR"/>
              </w:rPr>
              <w:t>1%</w:t>
            </w:r>
          </w:p>
        </w:tc>
        <w:tc>
          <w:tcPr>
            <w:tcW w:w="1910" w:type="dxa"/>
            <w:tcBorders>
              <w:top w:val="nil"/>
              <w:left w:val="single" w:sz="4" w:space="0" w:color="auto"/>
              <w:bottom w:val="nil"/>
              <w:right w:val="single" w:sz="4" w:space="0" w:color="auto"/>
            </w:tcBorders>
          </w:tcPr>
          <w:p w14:paraId="0ADCE7DF" w14:textId="77777777" w:rsidR="00130E8B" w:rsidRDefault="000405CC">
            <w:pPr>
              <w:spacing w:before="11" w:line="240" w:lineRule="exact"/>
              <w:jc w:val="center"/>
              <w:rPr>
                <w:rFonts w:ascii="Times New Roman" w:hAnsi="Times New Roman" w:cs="Times New Roman"/>
                <w:lang w:val="hu-HU" w:eastAsia="ko-KR"/>
              </w:rPr>
            </w:pPr>
            <w:r>
              <w:rPr>
                <w:rFonts w:ascii="Times New Roman" w:eastAsia="Times New Roman" w:hAnsi="Times New Roman" w:cs="Times New Roman"/>
                <w:lang w:val="hu-HU" w:eastAsia="ko-KR"/>
              </w:rPr>
              <w:t>20%***</w:t>
            </w:r>
          </w:p>
        </w:tc>
        <w:tc>
          <w:tcPr>
            <w:tcW w:w="1910" w:type="dxa"/>
            <w:tcBorders>
              <w:top w:val="nil"/>
              <w:left w:val="single" w:sz="4" w:space="0" w:color="auto"/>
              <w:bottom w:val="nil"/>
              <w:right w:val="single" w:sz="4" w:space="0" w:color="auto"/>
            </w:tcBorders>
          </w:tcPr>
          <w:p w14:paraId="57B81759" w14:textId="77777777" w:rsidR="00130E8B" w:rsidRDefault="000405CC">
            <w:pPr>
              <w:spacing w:before="11" w:line="240" w:lineRule="exact"/>
              <w:jc w:val="center"/>
              <w:rPr>
                <w:rFonts w:ascii="Times New Roman" w:hAnsi="Times New Roman" w:cs="Times New Roman"/>
                <w:lang w:val="hu-HU" w:eastAsia="ko-KR"/>
              </w:rPr>
            </w:pPr>
            <w:r>
              <w:rPr>
                <w:rFonts w:ascii="Times New Roman" w:eastAsia="Times New Roman" w:hAnsi="Times New Roman" w:cs="Times New Roman"/>
                <w:lang w:val="hu-HU" w:eastAsia="ko-KR"/>
              </w:rPr>
              <w:t>0%</w:t>
            </w:r>
          </w:p>
        </w:tc>
        <w:tc>
          <w:tcPr>
            <w:tcW w:w="1910" w:type="dxa"/>
            <w:tcBorders>
              <w:top w:val="nil"/>
              <w:left w:val="single" w:sz="4" w:space="0" w:color="auto"/>
              <w:bottom w:val="nil"/>
              <w:right w:val="single" w:sz="4" w:space="0" w:color="auto"/>
            </w:tcBorders>
          </w:tcPr>
          <w:p w14:paraId="4C649A28" w14:textId="77777777" w:rsidR="00130E8B" w:rsidRDefault="000405CC">
            <w:pPr>
              <w:spacing w:before="11" w:line="240" w:lineRule="exact"/>
              <w:jc w:val="center"/>
              <w:rPr>
                <w:rFonts w:ascii="Times New Roman" w:hAnsi="Times New Roman" w:cs="Times New Roman"/>
                <w:lang w:val="hu-HU" w:eastAsia="ko-KR"/>
              </w:rPr>
            </w:pPr>
            <w:r>
              <w:rPr>
                <w:rFonts w:ascii="Times New Roman" w:eastAsia="Times New Roman" w:hAnsi="Times New Roman" w:cs="Times New Roman"/>
                <w:lang w:val="hu-HU" w:eastAsia="ko-KR"/>
              </w:rPr>
              <w:t>14%*</w:t>
            </w:r>
          </w:p>
        </w:tc>
      </w:tr>
      <w:tr w:rsidR="00130E8B" w14:paraId="6B6144A2" w14:textId="77777777">
        <w:tc>
          <w:tcPr>
            <w:tcW w:w="1910" w:type="dxa"/>
            <w:tcBorders>
              <w:top w:val="nil"/>
              <w:left w:val="single" w:sz="4" w:space="0" w:color="auto"/>
              <w:bottom w:val="single" w:sz="4" w:space="0" w:color="auto"/>
              <w:right w:val="single" w:sz="4" w:space="0" w:color="auto"/>
            </w:tcBorders>
          </w:tcPr>
          <w:p w14:paraId="645C088D" w14:textId="77777777" w:rsidR="00130E8B" w:rsidRDefault="000405CC">
            <w:pPr>
              <w:spacing w:before="11" w:line="240" w:lineRule="exact"/>
              <w:jc w:val="right"/>
              <w:rPr>
                <w:rFonts w:ascii="Times New Roman" w:hAnsi="Times New Roman" w:cs="Times New Roman"/>
                <w:lang w:val="hu-HU" w:eastAsia="ko-KR"/>
              </w:rPr>
            </w:pPr>
            <w:r>
              <w:rPr>
                <w:rFonts w:ascii="Times New Roman" w:eastAsia="Times New Roman" w:hAnsi="Times New Roman" w:cs="Times New Roman"/>
                <w:lang w:val="hu-HU" w:eastAsia="ko-KR"/>
              </w:rPr>
              <w:t>24. hét</w:t>
            </w:r>
          </w:p>
        </w:tc>
        <w:tc>
          <w:tcPr>
            <w:tcW w:w="1910" w:type="dxa"/>
            <w:tcBorders>
              <w:top w:val="nil"/>
              <w:left w:val="single" w:sz="4" w:space="0" w:color="auto"/>
              <w:bottom w:val="single" w:sz="4" w:space="0" w:color="auto"/>
              <w:right w:val="single" w:sz="4" w:space="0" w:color="auto"/>
            </w:tcBorders>
          </w:tcPr>
          <w:p w14:paraId="39C0FC03" w14:textId="77777777" w:rsidR="00130E8B" w:rsidRDefault="000405CC">
            <w:pPr>
              <w:spacing w:before="11" w:line="240" w:lineRule="exact"/>
              <w:jc w:val="center"/>
              <w:rPr>
                <w:rFonts w:ascii="Times New Roman" w:hAnsi="Times New Roman" w:cs="Times New Roman"/>
                <w:lang w:val="hu-HU" w:eastAsia="ko-KR"/>
              </w:rPr>
            </w:pPr>
            <w:r>
              <w:rPr>
                <w:rFonts w:ascii="Times New Roman" w:eastAsia="Times New Roman" w:hAnsi="Times New Roman" w:cs="Times New Roman"/>
                <w:lang w:val="hu-HU" w:eastAsia="ko-KR"/>
              </w:rPr>
              <w:t>1%</w:t>
            </w:r>
          </w:p>
        </w:tc>
        <w:tc>
          <w:tcPr>
            <w:tcW w:w="1910" w:type="dxa"/>
            <w:tcBorders>
              <w:top w:val="nil"/>
              <w:left w:val="single" w:sz="4" w:space="0" w:color="auto"/>
              <w:bottom w:val="single" w:sz="4" w:space="0" w:color="auto"/>
              <w:right w:val="single" w:sz="4" w:space="0" w:color="auto"/>
            </w:tcBorders>
          </w:tcPr>
          <w:p w14:paraId="3B90E36B" w14:textId="77777777" w:rsidR="00130E8B" w:rsidRDefault="000405CC">
            <w:pPr>
              <w:spacing w:before="11" w:line="240" w:lineRule="exact"/>
              <w:jc w:val="center"/>
              <w:rPr>
                <w:rFonts w:ascii="Times New Roman" w:hAnsi="Times New Roman" w:cs="Times New Roman"/>
                <w:lang w:val="hu-HU" w:eastAsia="ko-KR"/>
              </w:rPr>
            </w:pPr>
            <w:r>
              <w:rPr>
                <w:rFonts w:ascii="Times New Roman" w:eastAsia="Times New Roman" w:hAnsi="Times New Roman" w:cs="Times New Roman"/>
                <w:lang w:val="hu-HU" w:eastAsia="ko-KR"/>
              </w:rPr>
              <w:t>23%***</w:t>
            </w:r>
          </w:p>
        </w:tc>
        <w:tc>
          <w:tcPr>
            <w:tcW w:w="1910" w:type="dxa"/>
            <w:tcBorders>
              <w:top w:val="nil"/>
              <w:left w:val="single" w:sz="4" w:space="0" w:color="auto"/>
              <w:bottom w:val="single" w:sz="4" w:space="0" w:color="auto"/>
              <w:right w:val="single" w:sz="4" w:space="0" w:color="auto"/>
            </w:tcBorders>
          </w:tcPr>
          <w:p w14:paraId="40716207" w14:textId="77777777" w:rsidR="00130E8B" w:rsidRDefault="000405CC">
            <w:pPr>
              <w:spacing w:before="11" w:line="240" w:lineRule="exact"/>
              <w:jc w:val="center"/>
              <w:rPr>
                <w:rFonts w:ascii="Times New Roman" w:hAnsi="Times New Roman" w:cs="Times New Roman"/>
                <w:lang w:val="hu-HU" w:eastAsia="ko-KR"/>
              </w:rPr>
            </w:pPr>
            <w:r>
              <w:rPr>
                <w:rFonts w:ascii="Times New Roman" w:eastAsia="Times New Roman" w:hAnsi="Times New Roman" w:cs="Times New Roman"/>
                <w:lang w:val="hu-HU" w:eastAsia="ko-KR"/>
              </w:rPr>
              <w:t>N/A</w:t>
            </w:r>
          </w:p>
        </w:tc>
        <w:tc>
          <w:tcPr>
            <w:tcW w:w="1910" w:type="dxa"/>
            <w:tcBorders>
              <w:top w:val="nil"/>
              <w:left w:val="single" w:sz="4" w:space="0" w:color="auto"/>
              <w:bottom w:val="single" w:sz="4" w:space="0" w:color="auto"/>
              <w:right w:val="single" w:sz="4" w:space="0" w:color="auto"/>
            </w:tcBorders>
          </w:tcPr>
          <w:p w14:paraId="58CA7E6F" w14:textId="77777777" w:rsidR="00130E8B" w:rsidRDefault="000405CC">
            <w:pPr>
              <w:spacing w:before="11" w:line="240" w:lineRule="exact"/>
              <w:jc w:val="center"/>
              <w:rPr>
                <w:rFonts w:ascii="Times New Roman" w:hAnsi="Times New Roman" w:cs="Times New Roman"/>
                <w:lang w:val="hu-HU" w:eastAsia="ko-KR"/>
              </w:rPr>
            </w:pPr>
            <w:r>
              <w:rPr>
                <w:rFonts w:ascii="Times New Roman" w:eastAsia="Times New Roman" w:hAnsi="Times New Roman" w:cs="Times New Roman"/>
                <w:lang w:val="hu-HU" w:eastAsia="ko-KR"/>
              </w:rPr>
              <w:t>N/A</w:t>
            </w:r>
          </w:p>
        </w:tc>
      </w:tr>
    </w:tbl>
    <w:p w14:paraId="0D92F2AA" w14:textId="77777777" w:rsidR="00130E8B" w:rsidRDefault="000405CC">
      <w:pPr>
        <w:pStyle w:val="a3"/>
        <w:rPr>
          <w:lang w:val="hu-HU"/>
        </w:rPr>
      </w:pPr>
      <w:r>
        <w:rPr>
          <w:rFonts w:eastAsia="Times New Roman"/>
          <w:lang w:val="hu-HU"/>
        </w:rPr>
        <w:t xml:space="preserve">**** </w:t>
      </w:r>
      <w:r>
        <w:rPr>
          <w:rFonts w:eastAsia="Times New Roman"/>
          <w:lang w:val="hu-HU"/>
        </w:rPr>
        <w:tab/>
        <w:t>p &lt; 0,001 minden összehasonlításra adalimumab és placebo között</w:t>
      </w:r>
    </w:p>
    <w:p w14:paraId="6E4EFA22" w14:textId="77777777" w:rsidR="00026857" w:rsidRDefault="00A9482F">
      <w:pPr>
        <w:pStyle w:val="a3"/>
        <w:rPr>
          <w:rFonts w:eastAsia="Times New Roman"/>
          <w:lang w:val="hu-HU"/>
        </w:rPr>
      </w:pPr>
      <w:r>
        <w:rPr>
          <w:rFonts w:eastAsia="Times New Roman"/>
          <w:lang w:val="hu-HU"/>
        </w:rPr>
        <w:t>*</w:t>
      </w:r>
      <w:r w:rsidR="000405CC">
        <w:rPr>
          <w:rFonts w:eastAsia="Times New Roman"/>
          <w:lang w:val="hu-HU"/>
        </w:rPr>
        <w:tab/>
      </w:r>
      <w:r>
        <w:rPr>
          <w:rFonts w:eastAsia="Times New Roman"/>
          <w:lang w:val="hu-HU"/>
        </w:rPr>
        <w:t xml:space="preserve">p </w:t>
      </w:r>
      <w:r w:rsidR="000405CC">
        <w:rPr>
          <w:rFonts w:eastAsia="Times New Roman"/>
          <w:lang w:val="hu-HU"/>
        </w:rPr>
        <w:t xml:space="preserve">&lt; 0,05 minden összehasonlításra  adalimumab és placebo között </w:t>
      </w:r>
    </w:p>
    <w:p w14:paraId="59742851" w14:textId="457EE218" w:rsidR="00130E8B" w:rsidRDefault="000405CC">
      <w:pPr>
        <w:pStyle w:val="a3"/>
        <w:rPr>
          <w:lang w:val="hu-HU"/>
        </w:rPr>
      </w:pPr>
      <w:r>
        <w:rPr>
          <w:rFonts w:eastAsia="Times New Roman"/>
          <w:lang w:val="hu-HU"/>
        </w:rPr>
        <w:t xml:space="preserve">N/A </w:t>
      </w:r>
      <w:r w:rsidR="00026857">
        <w:rPr>
          <w:rFonts w:eastAsia="Times New Roman"/>
          <w:lang w:val="hu-HU"/>
        </w:rPr>
        <w:tab/>
      </w:r>
      <w:r>
        <w:rPr>
          <w:rFonts w:eastAsia="Times New Roman"/>
          <w:lang w:val="hu-HU"/>
        </w:rPr>
        <w:t>nem értelmezhető</w:t>
      </w:r>
    </w:p>
    <w:p w14:paraId="583B8CFB" w14:textId="77777777" w:rsidR="00130E8B" w:rsidRDefault="00130E8B">
      <w:pPr>
        <w:spacing w:before="6" w:line="170" w:lineRule="exact"/>
        <w:rPr>
          <w:sz w:val="17"/>
          <w:szCs w:val="17"/>
          <w:lang w:val="hu-HU"/>
        </w:rPr>
      </w:pPr>
    </w:p>
    <w:p w14:paraId="7F9C660D" w14:textId="0B37F7C0" w:rsidR="00130E8B" w:rsidRDefault="000405CC">
      <w:pPr>
        <w:pStyle w:val="a3"/>
        <w:rPr>
          <w:lang w:val="hu-HU"/>
        </w:rPr>
      </w:pPr>
      <w:r>
        <w:rPr>
          <w:rFonts w:eastAsia="Times New Roman"/>
          <w:lang w:val="hu-HU"/>
        </w:rPr>
        <w:t>A PsA I vizsgálatban az ACR válaszok hasonlóak voltak az alkalmazott metotrexát kombinációtól függetlenül (vele vagy nélküle). Az ACR válaszok a nyílt elrendezésű kiterjesztéses vizsgálatban 136 hétig is fennmaradtak.</w:t>
      </w:r>
    </w:p>
    <w:p w14:paraId="2E03FE01" w14:textId="77777777" w:rsidR="00130E8B" w:rsidRDefault="00130E8B">
      <w:pPr>
        <w:pStyle w:val="a3"/>
        <w:rPr>
          <w:lang w:val="hu-HU"/>
        </w:rPr>
      </w:pPr>
    </w:p>
    <w:p w14:paraId="6A343AD0" w14:textId="77777777" w:rsidR="00130E8B" w:rsidRDefault="000405CC">
      <w:pPr>
        <w:pStyle w:val="a3"/>
        <w:rPr>
          <w:lang w:val="hu-HU"/>
        </w:rPr>
      </w:pPr>
      <w:r>
        <w:rPr>
          <w:rFonts w:eastAsia="Times New Roman"/>
          <w:lang w:val="hu-HU"/>
        </w:rPr>
        <w:t>Az arthritis psoriaticában folytatott vizsgálatokban radiológiai változásokat értékeltek. A kézfejről, a csuklóról és a lábfejről röntgenfelvételeket készítettek a vizsgálat kezdetekor, majd a kettős vak szakasz 24. hetében, amikor a betegek vagy adalimumabot, vagy placebót kaptak, és a 48. héten, amikor minden beteg nyílt elrendezésben adalimumabot kapott. A kiértékeléshez distalis interphalangealis ízületeket magában foglaló módosított teljes Sharp-pontértéket (modified Total Sharp Score – mTSS) használtak, amely nem azonos a rheumatoid arthritisben használt teljes Sharp-pontértékkel (TSS).</w:t>
      </w:r>
    </w:p>
    <w:p w14:paraId="70C11E38" w14:textId="77777777" w:rsidR="00130E8B" w:rsidRDefault="00130E8B">
      <w:pPr>
        <w:spacing w:before="17" w:line="240" w:lineRule="exact"/>
        <w:rPr>
          <w:sz w:val="24"/>
          <w:szCs w:val="24"/>
          <w:lang w:val="hu-HU"/>
        </w:rPr>
      </w:pPr>
    </w:p>
    <w:p w14:paraId="3BB13052" w14:textId="77777777" w:rsidR="00130E8B" w:rsidRDefault="000405CC">
      <w:pPr>
        <w:pStyle w:val="a3"/>
        <w:rPr>
          <w:lang w:val="hu-HU"/>
        </w:rPr>
      </w:pPr>
      <w:r>
        <w:rPr>
          <w:rFonts w:eastAsia="Times New Roman"/>
          <w:lang w:val="hu-HU"/>
        </w:rPr>
        <w:t>Az adalimumab a placebóhoz képest csökkentette a perifériás ízületi károsodás progressziós rátáját, amint azt a módosított teljes Sharp-pontszám placebocsoportban a 24. héten mért 0,8 ± 2,5 (átlag ± szórás) értéke mutatja, a  adalimumab-csoport 48. héten mért 0,0 ± 1,9 értékével (p &lt; 0,001) szemben.</w:t>
      </w:r>
    </w:p>
    <w:p w14:paraId="17979BDF" w14:textId="77777777" w:rsidR="00130E8B" w:rsidRDefault="00130E8B">
      <w:pPr>
        <w:spacing w:before="11" w:line="240" w:lineRule="exact"/>
        <w:rPr>
          <w:sz w:val="24"/>
          <w:szCs w:val="24"/>
          <w:lang w:val="hu-HU"/>
        </w:rPr>
      </w:pPr>
    </w:p>
    <w:p w14:paraId="2E438AF0" w14:textId="77777777" w:rsidR="00130E8B" w:rsidRDefault="000405CC">
      <w:pPr>
        <w:pStyle w:val="a3"/>
        <w:rPr>
          <w:lang w:val="hu-HU"/>
        </w:rPr>
      </w:pPr>
      <w:r>
        <w:rPr>
          <w:rFonts w:eastAsia="Times New Roman"/>
          <w:lang w:val="hu-HU"/>
        </w:rPr>
        <w:t>Az adalimumab-kezelésben részesült, a kiindulási időszaktól a 48. hétig radiológiai progressziót nem mutató betegek (n = 102) 84%-a a 144. hétig továbbra sem mutatott radiológiai progressziót.</w:t>
      </w:r>
    </w:p>
    <w:p w14:paraId="7035D341" w14:textId="77777777" w:rsidR="00130E8B" w:rsidRDefault="00130E8B">
      <w:pPr>
        <w:pStyle w:val="a3"/>
        <w:rPr>
          <w:lang w:val="hu-HU"/>
        </w:rPr>
      </w:pPr>
    </w:p>
    <w:p w14:paraId="5BF65C0C" w14:textId="77777777" w:rsidR="00130E8B" w:rsidRDefault="000405CC">
      <w:pPr>
        <w:pStyle w:val="a3"/>
        <w:rPr>
          <w:lang w:val="hu-HU"/>
        </w:rPr>
      </w:pPr>
      <w:r>
        <w:rPr>
          <w:rFonts w:eastAsia="Times New Roman"/>
          <w:lang w:val="hu-HU"/>
        </w:rPr>
        <w:t xml:space="preserve">Az adalimumabbal kezelt betegek fizikális funkciója a placebóhoz képest az egészségfelmérő kérdőív (HAQ) és a Rövid Egészségfelmérés (Short Form Health Survey – SF 36) skála alapján a 24. héten statisztikailag szignifikáns javulást mutatott. A jobb fizikális funkció a nyílt elrendezésű kiterjesztéses </w:t>
      </w:r>
      <w:r>
        <w:rPr>
          <w:rFonts w:eastAsia="Times New Roman"/>
          <w:lang w:val="hu-HU"/>
        </w:rPr>
        <w:lastRenderedPageBreak/>
        <w:t>vizsgálat során is fennmaradt egészen a 136. hétig.</w:t>
      </w:r>
    </w:p>
    <w:p w14:paraId="153626E2" w14:textId="77777777" w:rsidR="00130E8B" w:rsidRDefault="00130E8B">
      <w:pPr>
        <w:pStyle w:val="a3"/>
        <w:rPr>
          <w:sz w:val="24"/>
          <w:szCs w:val="24"/>
          <w:lang w:val="hu-HU"/>
        </w:rPr>
      </w:pPr>
    </w:p>
    <w:p w14:paraId="597E5C81" w14:textId="77777777" w:rsidR="00130E8B" w:rsidRDefault="000405CC">
      <w:pPr>
        <w:pStyle w:val="a3"/>
        <w:rPr>
          <w:rFonts w:eastAsia="Times New Roman"/>
          <w:lang w:val="hu-HU"/>
        </w:rPr>
      </w:pPr>
      <w:r>
        <w:rPr>
          <w:rFonts w:eastAsia="Times New Roman"/>
          <w:i/>
          <w:iCs/>
          <w:spacing w:val="-1"/>
          <w:lang w:val="hu-HU"/>
        </w:rPr>
        <w:t>Psoriasis</w:t>
      </w:r>
    </w:p>
    <w:p w14:paraId="5FAFA7BD" w14:textId="77777777" w:rsidR="00130E8B" w:rsidRDefault="00130E8B">
      <w:pPr>
        <w:pStyle w:val="a3"/>
        <w:rPr>
          <w:sz w:val="24"/>
          <w:szCs w:val="24"/>
          <w:lang w:val="hu-HU"/>
        </w:rPr>
      </w:pPr>
    </w:p>
    <w:p w14:paraId="70C2E68F" w14:textId="4C40478E" w:rsidR="00130E8B" w:rsidRDefault="000405CC">
      <w:pPr>
        <w:pStyle w:val="a3"/>
        <w:rPr>
          <w:lang w:val="hu-HU"/>
        </w:rPr>
      </w:pPr>
      <w:r>
        <w:rPr>
          <w:rFonts w:eastAsia="Times New Roman"/>
          <w:lang w:val="hu-HU"/>
        </w:rPr>
        <w:t>Az adalimumab biztonságosságát és hatásosságát randomizált, kettős vak vizsgálatokban értékelték olyan krónikus, plakkos psoriasisban szenvedő felnőtt betegek körében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10% testfelület-érintettség és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 12, ill.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 10 Psoriasis Area and Severity Index [PASI]), akik szisztémás vagy fototerápiás kezelésre vártak. A Psoriasis I és</w:t>
      </w:r>
      <w:r w:rsidR="00424DF6" w:rsidRPr="009167C6">
        <w:rPr>
          <w:lang w:val="hu-HU"/>
        </w:rPr>
        <w:t> </w:t>
      </w:r>
      <w:r>
        <w:rPr>
          <w:rFonts w:eastAsia="Times New Roman"/>
          <w:lang w:val="hu-HU"/>
        </w:rPr>
        <w:t xml:space="preserve"> II vizsgálatokba beválogatott betegek 73%-a kapott már korábban szisztémás kezelést vagy fototerápiát. Az adalimumab biztonságosságát és hatásosságát olyan közepesen súlyos-súlyos krónikus plakkos psoriasisban szenvedő felnőtt betegek körében is értékelték egy randomizált kettős vak vizsgálat során (</w:t>
      </w:r>
      <w:r w:rsidR="00C91C54">
        <w:rPr>
          <w:rFonts w:eastAsia="Times New Roman"/>
          <w:lang w:val="hu-HU"/>
        </w:rPr>
        <w:t xml:space="preserve">Psoriasis </w:t>
      </w:r>
      <w:r>
        <w:rPr>
          <w:rFonts w:eastAsia="Times New Roman"/>
          <w:lang w:val="hu-HU"/>
        </w:rPr>
        <w:t>III vizsgálat), akik egyidejűleg a kézfejet és/vagy a lábfejet érintő psoriasisban is szenvedtek és szisztémás kezelésre vártak.</w:t>
      </w:r>
    </w:p>
    <w:p w14:paraId="0013E12E" w14:textId="77777777" w:rsidR="00130E8B" w:rsidRDefault="00130E8B">
      <w:pPr>
        <w:pStyle w:val="a3"/>
        <w:rPr>
          <w:lang w:val="hu-HU"/>
        </w:rPr>
      </w:pPr>
    </w:p>
    <w:p w14:paraId="15B2647A" w14:textId="551AAE72" w:rsidR="00130E8B" w:rsidRDefault="000405CC">
      <w:pPr>
        <w:pStyle w:val="a3"/>
        <w:rPr>
          <w:lang w:val="hu-HU"/>
        </w:rPr>
      </w:pPr>
      <w:r>
        <w:rPr>
          <w:rFonts w:eastAsia="Times New Roman"/>
          <w:lang w:val="hu-HU"/>
        </w:rPr>
        <w:t>A Psoriasis</w:t>
      </w:r>
      <w:r w:rsidR="00B07467" w:rsidDel="002A3904">
        <w:rPr>
          <w:rFonts w:eastAsia="Times New Roman"/>
          <w:b/>
          <w:bCs/>
          <w:lang w:val="hu-HU"/>
        </w:rPr>
        <w:t xml:space="preserve"> </w:t>
      </w:r>
      <w:r>
        <w:rPr>
          <w:rFonts w:eastAsia="Times New Roman"/>
          <w:lang w:val="hu-HU"/>
        </w:rPr>
        <w:t xml:space="preserve">I (REVEAL) vizsgálatban 1212 beteg állapotát értékelték három kezelési időszakban. Az „A” időszakban a betegek placebót vagy 80 mg kezdő dózisú adalimumabot kaptak, amelyet egy héttel a kezdő dózist követően minden második héten 40 mg adaggal folytattak. Tizenhat hetes kezelés után a legalább PASI 75 választ (a kiindulási értékhez képest legalább 75%-os PASI-pontszám-javulást) mutató betegek egy „B” időszakba léptek, amelyben nyílt elrendezésben, minden második héten 40 mg adalimumabot kaptak. A 33. héten </w:t>
      </w:r>
      <w:r>
        <w:rPr>
          <w:rFonts w:ascii="Symbol" w:eastAsia="Symbol" w:hAnsi="Symbol" w:cs="Symbol"/>
          <w:lang w:val="hu-HU"/>
        </w:rPr>
        <w:sym w:font="Symbol" w:char="F0B3"/>
      </w:r>
      <w:r>
        <w:rPr>
          <w:rFonts w:eastAsia="Times New Roman"/>
          <w:lang w:val="hu-HU"/>
        </w:rPr>
        <w:t>PASI 75 választ mutató és eredetileg az „A” időszakban aktív kezelést kapók közé randomizált betegeket a „C” időszakban újrarandomizálták, hogy további 19 héten át minden második héten 40 mg adalimumabot vagy placebót kapjanak. Minden kezelési csoportot figyelembe véve a kiindulási PASI-pontérték 18,9 volt, míg a kiindulási PGA-pontszám a „közepestől” (a vizsgálatban résztvevők 53%-a) a „súlyosig” (41%) és a „nagyon súlyosig” (6%) terjedt.</w:t>
      </w:r>
    </w:p>
    <w:p w14:paraId="77C549BA" w14:textId="77777777" w:rsidR="00130E8B" w:rsidRDefault="00130E8B">
      <w:pPr>
        <w:spacing w:before="14" w:line="240" w:lineRule="exact"/>
        <w:rPr>
          <w:sz w:val="24"/>
          <w:szCs w:val="24"/>
          <w:lang w:val="hu-HU"/>
        </w:rPr>
      </w:pPr>
    </w:p>
    <w:p w14:paraId="66AA4EE9" w14:textId="40D57260" w:rsidR="00130E8B" w:rsidRDefault="000405CC">
      <w:pPr>
        <w:pStyle w:val="a3"/>
        <w:rPr>
          <w:lang w:val="hu-HU"/>
        </w:rPr>
      </w:pPr>
      <w:r>
        <w:rPr>
          <w:rFonts w:eastAsia="Times New Roman"/>
          <w:lang w:val="hu-HU"/>
        </w:rPr>
        <w:t>A Psoriasis</w:t>
      </w:r>
      <w:r w:rsidR="00B07467" w:rsidDel="002A3904">
        <w:rPr>
          <w:rFonts w:eastAsia="Times New Roman"/>
          <w:b/>
          <w:bCs/>
          <w:lang w:val="hu-HU"/>
        </w:rPr>
        <w:t xml:space="preserve"> </w:t>
      </w:r>
      <w:r>
        <w:rPr>
          <w:rFonts w:eastAsia="Times New Roman"/>
          <w:lang w:val="hu-HU"/>
        </w:rPr>
        <w:t xml:space="preserve">II vizsgálatban (CHAMPION) az adalimumab hatásosságát és biztonságosságát a metotrexáttal és a placebóval </w:t>
      </w:r>
      <w:r>
        <w:rPr>
          <w:rFonts w:eastAsia="Times New Roman"/>
          <w:i/>
          <w:iCs/>
          <w:lang w:val="hu-HU"/>
        </w:rPr>
        <w:t xml:space="preserve">szemben </w:t>
      </w:r>
      <w:r>
        <w:rPr>
          <w:rFonts w:eastAsia="Times New Roman"/>
          <w:lang w:val="hu-HU"/>
        </w:rPr>
        <w:t xml:space="preserve">hasonlították össze 271 beteg esetében. A betegek placebót, egy kezdeti, 7,5 mg-os metotrexát-dózist kaptak, és azt követően az adagot legfeljebb a 12. hétig, 25 mg-os maximális dózisig emelték, vagy egy 80 mg-os adalimumab kezdő dózisban részesültek, amit 16 hétig kéthetente 40 mg-os adag követett (egy héttel a kezdő dózis beadása után kezdve). Nincs az adalimumab- és a metotrexát-kezelést 16 hétnél hosszabb idő után összehasonlító adat. A metotrexátot szedő és </w:t>
      </w:r>
      <w:r>
        <w:rPr>
          <w:rFonts w:ascii="Symbol" w:eastAsia="Symbol" w:hAnsi="Symbol" w:cs="Symbol"/>
          <w:lang w:val="hu-HU"/>
        </w:rPr>
        <w:sym w:font="Symbol" w:char="F0B3"/>
      </w:r>
      <w:r>
        <w:rPr>
          <w:rFonts w:eastAsia="Times New Roman"/>
          <w:lang w:val="hu-HU"/>
        </w:rPr>
        <w:t>PASI 50 választ a 8. és/vagy a 12. héten elérő betegeknél nem növelték tovább a dózist. Minden kezelési csoportot figyelembe véve az átlagos PASI-pontszám 19,7 volt, míg a kiindulási PGA-pontszám az „enyhétől” (&lt; 1%) a „közepesen át” (48%) a „súlyosig” (46%) és a „nagyon súlyosig” (6%) terjedt.</w:t>
      </w:r>
    </w:p>
    <w:p w14:paraId="2EA22F77" w14:textId="77777777" w:rsidR="00130E8B" w:rsidRDefault="00130E8B">
      <w:pPr>
        <w:spacing w:before="17" w:line="240" w:lineRule="exact"/>
        <w:rPr>
          <w:sz w:val="24"/>
          <w:szCs w:val="24"/>
          <w:lang w:val="hu-HU"/>
        </w:rPr>
      </w:pPr>
    </w:p>
    <w:p w14:paraId="1F03B483" w14:textId="5791A12B" w:rsidR="00130E8B" w:rsidRDefault="000405CC">
      <w:pPr>
        <w:pStyle w:val="a3"/>
        <w:rPr>
          <w:lang w:val="hu-HU"/>
        </w:rPr>
      </w:pPr>
      <w:r>
        <w:rPr>
          <w:rFonts w:eastAsia="Times New Roman"/>
          <w:lang w:val="hu-HU"/>
        </w:rPr>
        <w:t>Az összes</w:t>
      </w:r>
      <w:r w:rsidR="00B07467" w:rsidRPr="009167C6">
        <w:rPr>
          <w:lang w:val="hu-HU"/>
        </w:rPr>
        <w:t> </w:t>
      </w:r>
      <w:r w:rsidR="00B07467" w:rsidDel="002A3904">
        <w:rPr>
          <w:rFonts w:eastAsia="Times New Roman"/>
          <w:b/>
          <w:bCs/>
          <w:lang w:val="hu-HU"/>
        </w:rPr>
        <w:t xml:space="preserve"> </w:t>
      </w:r>
      <w:r>
        <w:rPr>
          <w:rFonts w:eastAsia="Times New Roman"/>
          <w:lang w:val="hu-HU"/>
        </w:rPr>
        <w:t xml:space="preserve">II. és </w:t>
      </w:r>
      <w:r w:rsidR="00B07467" w:rsidRPr="009167C6">
        <w:rPr>
          <w:lang w:val="hu-HU"/>
        </w:rPr>
        <w:t> </w:t>
      </w:r>
      <w:r w:rsidR="00B07467" w:rsidDel="002A3904">
        <w:rPr>
          <w:rFonts w:eastAsia="Times New Roman"/>
          <w:b/>
          <w:bCs/>
          <w:lang w:val="hu-HU"/>
        </w:rPr>
        <w:t xml:space="preserve"> </w:t>
      </w:r>
      <w:r>
        <w:rPr>
          <w:rFonts w:eastAsia="Times New Roman"/>
          <w:lang w:val="hu-HU"/>
        </w:rPr>
        <w:t>III. fázisú psoriasis vizsgálatban részt vevő beteg alkalmas volt egy nyílt elrendezésű kiterjesztéses vizsgálatba való beválogatásra, amelyben a adalimumabot legalább további 108 héten át adták.</w:t>
      </w:r>
    </w:p>
    <w:p w14:paraId="6C30B59E" w14:textId="77777777" w:rsidR="00130E8B" w:rsidRDefault="00130E8B">
      <w:pPr>
        <w:spacing w:before="14" w:line="240" w:lineRule="exact"/>
        <w:rPr>
          <w:sz w:val="24"/>
          <w:szCs w:val="24"/>
          <w:lang w:val="hu-HU"/>
        </w:rPr>
      </w:pPr>
    </w:p>
    <w:p w14:paraId="23B458CC" w14:textId="0B48EC7C" w:rsidR="00130E8B" w:rsidRDefault="000405CC">
      <w:pPr>
        <w:pStyle w:val="a3"/>
        <w:rPr>
          <w:lang w:val="hu-HU"/>
        </w:rPr>
      </w:pPr>
      <w:r>
        <w:rPr>
          <w:rFonts w:eastAsia="Times New Roman"/>
          <w:lang w:val="hu-HU"/>
        </w:rPr>
        <w:t>A Psoriasis</w:t>
      </w:r>
      <w:r w:rsidR="00B07467" w:rsidRPr="009167C6">
        <w:rPr>
          <w:lang w:val="hu-HU"/>
        </w:rPr>
        <w:t> </w:t>
      </w:r>
      <w:r>
        <w:rPr>
          <w:rFonts w:eastAsia="Times New Roman"/>
          <w:lang w:val="hu-HU"/>
        </w:rPr>
        <w:t>I és</w:t>
      </w:r>
      <w:r w:rsidR="00B07467" w:rsidDel="002A3904">
        <w:rPr>
          <w:rFonts w:eastAsia="Times New Roman"/>
          <w:b/>
          <w:bCs/>
          <w:lang w:val="hu-HU"/>
        </w:rPr>
        <w:t xml:space="preserve"> </w:t>
      </w:r>
      <w:r>
        <w:rPr>
          <w:rFonts w:eastAsia="Times New Roman"/>
          <w:lang w:val="hu-HU"/>
        </w:rPr>
        <w:t>II vizsgálatokban az elsődleges végpont azon betegek aránya volt, akik a kiindulási időponttól a 16. hétig PASI 75 választ értek el (lásd 1</w:t>
      </w:r>
      <w:r w:rsidR="00D33AB9">
        <w:rPr>
          <w:rFonts w:eastAsia="Times New Roman"/>
          <w:lang w:val="hu-HU"/>
        </w:rPr>
        <w:t>6</w:t>
      </w:r>
      <w:r>
        <w:rPr>
          <w:rFonts w:eastAsia="Times New Roman"/>
          <w:lang w:val="hu-HU"/>
        </w:rPr>
        <w:t>. és 1</w:t>
      </w:r>
      <w:r w:rsidR="00D33AB9">
        <w:rPr>
          <w:rFonts w:eastAsia="Times New Roman"/>
          <w:lang w:val="hu-HU"/>
        </w:rPr>
        <w:t>7</w:t>
      </w:r>
      <w:r>
        <w:rPr>
          <w:rFonts w:eastAsia="Times New Roman"/>
          <w:lang w:val="hu-HU"/>
        </w:rPr>
        <w:t>. táblázat).</w:t>
      </w:r>
    </w:p>
    <w:p w14:paraId="58BF6140" w14:textId="3F745959" w:rsidR="00130E8B" w:rsidRDefault="00130E8B">
      <w:pPr>
        <w:rPr>
          <w:rFonts w:ascii="Times New Roman" w:hAnsi="Times New Roman" w:cs="Times New Roman"/>
          <w:b/>
          <w:lang w:val="hu-HU"/>
        </w:rPr>
      </w:pPr>
    </w:p>
    <w:p w14:paraId="4102B79B" w14:textId="07A51037" w:rsidR="00130E8B" w:rsidRDefault="000405CC">
      <w:pPr>
        <w:pStyle w:val="a3"/>
        <w:jc w:val="center"/>
        <w:rPr>
          <w:b/>
          <w:lang w:val="hu-HU"/>
        </w:rPr>
      </w:pPr>
      <w:r>
        <w:rPr>
          <w:rFonts w:eastAsia="Times New Roman"/>
          <w:b/>
          <w:bCs/>
          <w:lang w:val="hu-HU"/>
        </w:rPr>
        <w:t>1</w:t>
      </w:r>
      <w:r w:rsidR="00D33AB9">
        <w:rPr>
          <w:rFonts w:eastAsia="Times New Roman"/>
          <w:b/>
          <w:bCs/>
          <w:lang w:val="hu-HU"/>
        </w:rPr>
        <w:t>6</w:t>
      </w:r>
      <w:r>
        <w:rPr>
          <w:rFonts w:eastAsia="Times New Roman"/>
          <w:b/>
          <w:bCs/>
          <w:lang w:val="hu-HU"/>
        </w:rPr>
        <w:t>. táblázat</w:t>
      </w:r>
    </w:p>
    <w:p w14:paraId="204A899B" w14:textId="734D571B" w:rsidR="00130E8B" w:rsidRDefault="000405CC">
      <w:pPr>
        <w:pStyle w:val="a3"/>
        <w:jc w:val="center"/>
        <w:rPr>
          <w:rFonts w:eastAsia="Times New Roman"/>
          <w:b/>
          <w:bCs/>
          <w:lang w:val="hu-HU"/>
        </w:rPr>
      </w:pPr>
      <w:r>
        <w:rPr>
          <w:rFonts w:eastAsia="Times New Roman"/>
          <w:b/>
          <w:bCs/>
          <w:lang w:val="hu-HU"/>
        </w:rPr>
        <w:t>Psoriasis I (REVEAL) vizsgálat – Hatékonysági eredmények a 16. héten</w:t>
      </w:r>
    </w:p>
    <w:p w14:paraId="5A5288E2" w14:textId="77777777" w:rsidR="00C14860" w:rsidRDefault="00C14860">
      <w:pPr>
        <w:pStyle w:val="a3"/>
        <w:jc w:val="center"/>
        <w:rPr>
          <w:b/>
          <w:lang w:val="hu-HU"/>
        </w:rPr>
      </w:pPr>
    </w:p>
    <w:tbl>
      <w:tblPr>
        <w:tblStyle w:val="TableNormal1"/>
        <w:tblW w:w="0" w:type="auto"/>
        <w:tblInd w:w="1338" w:type="dxa"/>
        <w:tblLayout w:type="fixed"/>
        <w:tblLook w:val="01E0" w:firstRow="1" w:lastRow="1" w:firstColumn="1" w:lastColumn="1" w:noHBand="0" w:noVBand="0"/>
      </w:tblPr>
      <w:tblGrid>
        <w:gridCol w:w="2625"/>
        <w:gridCol w:w="1701"/>
        <w:gridCol w:w="2801"/>
      </w:tblGrid>
      <w:tr w:rsidR="00130E8B" w14:paraId="78B2A936" w14:textId="77777777">
        <w:tc>
          <w:tcPr>
            <w:tcW w:w="2625" w:type="dxa"/>
            <w:tcBorders>
              <w:top w:val="single" w:sz="5" w:space="0" w:color="000000"/>
              <w:left w:val="single" w:sz="5" w:space="0" w:color="000000"/>
              <w:bottom w:val="single" w:sz="5" w:space="0" w:color="000000"/>
              <w:right w:val="single" w:sz="5" w:space="0" w:color="000000"/>
            </w:tcBorders>
          </w:tcPr>
          <w:p w14:paraId="668DC00B" w14:textId="77777777" w:rsidR="00130E8B" w:rsidRDefault="00130E8B">
            <w:pPr>
              <w:rPr>
                <w:lang w:val="hu-HU"/>
              </w:rPr>
            </w:pPr>
          </w:p>
        </w:tc>
        <w:tc>
          <w:tcPr>
            <w:tcW w:w="1701" w:type="dxa"/>
            <w:tcBorders>
              <w:top w:val="single" w:sz="5" w:space="0" w:color="000000"/>
              <w:left w:val="single" w:sz="5" w:space="0" w:color="000000"/>
              <w:bottom w:val="single" w:sz="5" w:space="0" w:color="000000"/>
              <w:right w:val="single" w:sz="5" w:space="0" w:color="000000"/>
            </w:tcBorders>
          </w:tcPr>
          <w:p w14:paraId="670D63CC" w14:textId="6F738C80" w:rsidR="00130E8B" w:rsidRDefault="000405CC">
            <w:pPr>
              <w:pStyle w:val="TableParagraph"/>
              <w:spacing w:before="3" w:line="252" w:lineRule="exact"/>
              <w:ind w:left="498" w:right="433" w:hanging="60"/>
              <w:jc w:val="both"/>
              <w:rPr>
                <w:rFonts w:ascii="Times New Roman" w:eastAsia="Times New Roman" w:hAnsi="Times New Roman" w:cs="Times New Roman"/>
                <w:b/>
                <w:bCs/>
                <w:spacing w:val="-1"/>
                <w:lang w:val="hu-HU"/>
              </w:rPr>
            </w:pPr>
            <w:r>
              <w:rPr>
                <w:rFonts w:ascii="Times New Roman" w:eastAsia="Times New Roman" w:hAnsi="Times New Roman" w:cs="Times New Roman"/>
                <w:b/>
                <w:bCs/>
                <w:lang w:val="hu-HU"/>
              </w:rPr>
              <w:t xml:space="preserve">Placebo </w:t>
            </w:r>
            <w:r w:rsidR="00EF1B78">
              <w:rPr>
                <w:rFonts w:ascii="Times New Roman" w:eastAsia="Times New Roman" w:hAnsi="Times New Roman" w:cs="Times New Roman"/>
                <w:b/>
                <w:bCs/>
                <w:lang w:val="hu-HU"/>
              </w:rPr>
              <w:t>n</w:t>
            </w:r>
            <w:r>
              <w:rPr>
                <w:rFonts w:ascii="Times New Roman" w:eastAsia="Times New Roman" w:hAnsi="Times New Roman" w:cs="Times New Roman"/>
                <w:b/>
                <w:bCs/>
                <w:lang w:val="hu-HU"/>
              </w:rPr>
              <w:t>=398</w:t>
            </w:r>
          </w:p>
          <w:p w14:paraId="07BA8857" w14:textId="77777777" w:rsidR="00130E8B" w:rsidRDefault="000405CC">
            <w:pPr>
              <w:pStyle w:val="TableParagraph"/>
              <w:spacing w:before="3" w:line="252" w:lineRule="exact"/>
              <w:ind w:left="498" w:right="433" w:hanging="60"/>
              <w:jc w:val="center"/>
              <w:rPr>
                <w:rFonts w:ascii="Times New Roman" w:eastAsia="Times New Roman" w:hAnsi="Times New Roman" w:cs="Times New Roman"/>
                <w:lang w:val="hu-HU"/>
              </w:rPr>
            </w:pPr>
            <w:r>
              <w:rPr>
                <w:rFonts w:ascii="Times New Roman" w:eastAsia="Times New Roman" w:hAnsi="Times New Roman" w:cs="Times New Roman"/>
                <w:b/>
                <w:bCs/>
                <w:lang w:val="hu-HU"/>
              </w:rPr>
              <w:t>n (%)</w:t>
            </w:r>
          </w:p>
        </w:tc>
        <w:tc>
          <w:tcPr>
            <w:tcW w:w="2801" w:type="dxa"/>
            <w:tcBorders>
              <w:top w:val="single" w:sz="5" w:space="0" w:color="000000"/>
              <w:left w:val="single" w:sz="5" w:space="0" w:color="000000"/>
              <w:bottom w:val="single" w:sz="5" w:space="0" w:color="000000"/>
              <w:right w:val="single" w:sz="5" w:space="0" w:color="000000"/>
            </w:tcBorders>
          </w:tcPr>
          <w:p w14:paraId="1A0D356B" w14:textId="77777777" w:rsidR="00130E8B" w:rsidRDefault="000405CC">
            <w:pPr>
              <w:pStyle w:val="TableParagraph"/>
              <w:ind w:left="113" w:right="113"/>
              <w:jc w:val="center"/>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 xml:space="preserve">Adalimumab 40 mg minden második héten </w:t>
            </w:r>
          </w:p>
          <w:p w14:paraId="07C70C1D" w14:textId="3EE1F546" w:rsidR="00130E8B" w:rsidRDefault="00EF1B78">
            <w:pPr>
              <w:pStyle w:val="TableParagraph"/>
              <w:spacing w:before="3" w:line="252" w:lineRule="exact"/>
              <w:ind w:left="113" w:right="113"/>
              <w:jc w:val="center"/>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n</w:t>
            </w:r>
            <w:r w:rsidR="000405CC">
              <w:rPr>
                <w:rFonts w:ascii="Times New Roman" w:eastAsia="Times New Roman" w:hAnsi="Times New Roman" w:cs="Times New Roman"/>
                <w:b/>
                <w:bCs/>
                <w:spacing w:val="-1"/>
                <w:lang w:val="hu-HU"/>
              </w:rPr>
              <w:t>=814</w:t>
            </w:r>
          </w:p>
          <w:p w14:paraId="7A285786" w14:textId="77777777" w:rsidR="00130E8B" w:rsidRDefault="000405CC">
            <w:pPr>
              <w:pStyle w:val="TableParagraph"/>
              <w:spacing w:before="3" w:line="252" w:lineRule="exact"/>
              <w:ind w:left="277" w:right="271"/>
              <w:jc w:val="center"/>
              <w:rPr>
                <w:rFonts w:ascii="Times New Roman" w:eastAsia="Times New Roman" w:hAnsi="Times New Roman" w:cs="Times New Roman"/>
                <w:lang w:val="hu-HU"/>
              </w:rPr>
            </w:pPr>
            <w:r>
              <w:rPr>
                <w:rFonts w:ascii="Times New Roman" w:eastAsia="Times New Roman" w:hAnsi="Times New Roman" w:cs="Times New Roman"/>
                <w:b/>
                <w:bCs/>
                <w:lang w:val="hu-HU"/>
              </w:rPr>
              <w:t>n (%)</w:t>
            </w:r>
          </w:p>
        </w:tc>
      </w:tr>
      <w:tr w:rsidR="00130E8B" w14:paraId="5330DE88" w14:textId="77777777">
        <w:tc>
          <w:tcPr>
            <w:tcW w:w="2625" w:type="dxa"/>
            <w:tcBorders>
              <w:top w:val="single" w:sz="5" w:space="0" w:color="000000"/>
              <w:left w:val="single" w:sz="5" w:space="0" w:color="000000"/>
              <w:bottom w:val="single" w:sz="5" w:space="0" w:color="000000"/>
              <w:right w:val="single" w:sz="5" w:space="0" w:color="000000"/>
            </w:tcBorders>
          </w:tcPr>
          <w:p w14:paraId="79126E6E" w14:textId="77777777" w:rsidR="00130E8B" w:rsidRDefault="000405CC">
            <w:pPr>
              <w:pStyle w:val="TableParagraph"/>
              <w:spacing w:line="267" w:lineRule="exact"/>
              <w:ind w:left="320"/>
              <w:rPr>
                <w:rFonts w:ascii="Times New Roman" w:eastAsia="Times New Roman" w:hAnsi="Times New Roman" w:cs="Times New Roman"/>
                <w:sz w:val="14"/>
                <w:szCs w:val="14"/>
                <w:lang w:val="hu-HU"/>
              </w:rPr>
            </w:pPr>
            <w:r>
              <w:rPr>
                <w:rFonts w:ascii="Symbol" w:eastAsia="Symbol" w:hAnsi="Symbol" w:cs="Symbol"/>
                <w:b/>
                <w:bCs/>
                <w:lang w:val="hu-HU"/>
              </w:rPr>
              <w:sym w:font="Symbol" w:char="F0B3"/>
            </w:r>
            <w:r>
              <w:rPr>
                <w:rFonts w:ascii="Symbol" w:eastAsia="Symbol" w:hAnsi="Symbol" w:cs="Symbol"/>
                <w:b/>
                <w:bCs/>
                <w:lang w:val="hu-HU"/>
              </w:rPr>
              <w:sym w:font="Symbol" w:char="F020"/>
            </w:r>
            <w:r>
              <w:rPr>
                <w:rFonts w:ascii="Times New Roman" w:eastAsia="Times New Roman" w:hAnsi="Times New Roman" w:cs="Times New Roman"/>
                <w:b/>
                <w:bCs/>
                <w:lang w:val="hu-HU"/>
              </w:rPr>
              <w:t>PASI 75</w:t>
            </w:r>
            <w:r>
              <w:rPr>
                <w:rFonts w:ascii="Times New Roman" w:eastAsia="Times New Roman" w:hAnsi="Times New Roman" w:cs="Times New Roman"/>
                <w:b/>
                <w:bCs/>
                <w:sz w:val="14"/>
                <w:szCs w:val="14"/>
                <w:lang w:val="hu-HU"/>
              </w:rPr>
              <w:t>a</w:t>
            </w:r>
          </w:p>
        </w:tc>
        <w:tc>
          <w:tcPr>
            <w:tcW w:w="1701" w:type="dxa"/>
            <w:tcBorders>
              <w:top w:val="single" w:sz="5" w:space="0" w:color="000000"/>
              <w:left w:val="single" w:sz="5" w:space="0" w:color="000000"/>
              <w:bottom w:val="single" w:sz="5" w:space="0" w:color="000000"/>
              <w:right w:val="single" w:sz="5" w:space="0" w:color="000000"/>
            </w:tcBorders>
          </w:tcPr>
          <w:p w14:paraId="53236EDE" w14:textId="77777777" w:rsidR="00130E8B" w:rsidRDefault="000405CC">
            <w:pPr>
              <w:pStyle w:val="TableParagraph"/>
              <w:spacing w:line="246" w:lineRule="exact"/>
              <w:ind w:left="457"/>
              <w:rPr>
                <w:rFonts w:ascii="Times New Roman" w:eastAsia="Times New Roman" w:hAnsi="Times New Roman" w:cs="Times New Roman"/>
                <w:lang w:val="hu-HU"/>
              </w:rPr>
            </w:pPr>
            <w:r>
              <w:rPr>
                <w:rFonts w:ascii="Times New Roman" w:eastAsia="Times New Roman" w:hAnsi="Times New Roman" w:cs="Times New Roman"/>
                <w:spacing w:val="-1"/>
                <w:lang w:val="hu-HU"/>
              </w:rPr>
              <w:t>26 (6,5)</w:t>
            </w:r>
          </w:p>
        </w:tc>
        <w:tc>
          <w:tcPr>
            <w:tcW w:w="2801" w:type="dxa"/>
            <w:tcBorders>
              <w:top w:val="single" w:sz="5" w:space="0" w:color="000000"/>
              <w:left w:val="single" w:sz="5" w:space="0" w:color="000000"/>
              <w:bottom w:val="single" w:sz="5" w:space="0" w:color="000000"/>
              <w:right w:val="single" w:sz="5" w:space="0" w:color="000000"/>
            </w:tcBorders>
          </w:tcPr>
          <w:p w14:paraId="11610CB3" w14:textId="77777777" w:rsidR="00130E8B" w:rsidRDefault="000405CC">
            <w:pPr>
              <w:pStyle w:val="TableParagraph"/>
              <w:spacing w:line="246" w:lineRule="exact"/>
              <w:ind w:left="678"/>
              <w:rPr>
                <w:rFonts w:ascii="Times New Roman" w:eastAsia="Times New Roman" w:hAnsi="Times New Roman" w:cs="Times New Roman"/>
                <w:sz w:val="14"/>
                <w:szCs w:val="14"/>
                <w:lang w:val="hu-HU"/>
              </w:rPr>
            </w:pPr>
            <w:r>
              <w:rPr>
                <w:rFonts w:ascii="Times New Roman" w:eastAsia="Times New Roman" w:hAnsi="Times New Roman" w:cs="Times New Roman"/>
                <w:spacing w:val="-1"/>
                <w:lang w:val="hu-HU"/>
              </w:rPr>
              <w:t>578 (70,9)</w:t>
            </w:r>
            <w:r w:rsidRPr="009167C6">
              <w:rPr>
                <w:rFonts w:ascii="Times New Roman" w:eastAsia="Times New Roman" w:hAnsi="Times New Roman" w:cs="Times New Roman"/>
                <w:spacing w:val="-1"/>
                <w:vertAlign w:val="superscript"/>
                <w:lang w:val="hu-HU"/>
              </w:rPr>
              <w:t>b</w:t>
            </w:r>
          </w:p>
        </w:tc>
      </w:tr>
      <w:tr w:rsidR="00130E8B" w14:paraId="7FB28A87" w14:textId="77777777">
        <w:tc>
          <w:tcPr>
            <w:tcW w:w="2625" w:type="dxa"/>
            <w:tcBorders>
              <w:top w:val="single" w:sz="5" w:space="0" w:color="000000"/>
              <w:left w:val="single" w:sz="5" w:space="0" w:color="000000"/>
              <w:bottom w:val="single" w:sz="5" w:space="0" w:color="000000"/>
              <w:right w:val="single" w:sz="5" w:space="0" w:color="000000"/>
            </w:tcBorders>
          </w:tcPr>
          <w:p w14:paraId="14D5E764" w14:textId="77777777" w:rsidR="00130E8B" w:rsidRDefault="000405CC">
            <w:pPr>
              <w:pStyle w:val="TableParagraph"/>
              <w:spacing w:line="251" w:lineRule="exact"/>
              <w:ind w:left="323"/>
              <w:rPr>
                <w:rFonts w:ascii="Times New Roman" w:eastAsia="Times New Roman" w:hAnsi="Times New Roman" w:cs="Times New Roman"/>
                <w:lang w:val="hu-HU"/>
              </w:rPr>
            </w:pPr>
            <w:r>
              <w:rPr>
                <w:rFonts w:ascii="Times New Roman" w:eastAsia="Times New Roman" w:hAnsi="Times New Roman" w:cs="Times New Roman"/>
                <w:b/>
                <w:bCs/>
                <w:spacing w:val="-1"/>
                <w:lang w:val="hu-HU"/>
              </w:rPr>
              <w:t>PASI 100</w:t>
            </w:r>
          </w:p>
        </w:tc>
        <w:tc>
          <w:tcPr>
            <w:tcW w:w="1701" w:type="dxa"/>
            <w:tcBorders>
              <w:top w:val="single" w:sz="5" w:space="0" w:color="000000"/>
              <w:left w:val="single" w:sz="5" w:space="0" w:color="000000"/>
              <w:bottom w:val="single" w:sz="5" w:space="0" w:color="000000"/>
              <w:right w:val="single" w:sz="5" w:space="0" w:color="000000"/>
            </w:tcBorders>
          </w:tcPr>
          <w:p w14:paraId="6D1AB4F4" w14:textId="77777777" w:rsidR="00130E8B" w:rsidRDefault="000405CC">
            <w:pPr>
              <w:pStyle w:val="TableParagraph"/>
              <w:spacing w:line="246" w:lineRule="exact"/>
              <w:ind w:left="512"/>
              <w:rPr>
                <w:rFonts w:ascii="Times New Roman" w:eastAsia="Times New Roman" w:hAnsi="Times New Roman" w:cs="Times New Roman"/>
                <w:lang w:val="hu-HU"/>
              </w:rPr>
            </w:pPr>
            <w:r>
              <w:rPr>
                <w:rFonts w:ascii="Times New Roman" w:eastAsia="Times New Roman" w:hAnsi="Times New Roman" w:cs="Times New Roman"/>
                <w:lang w:val="hu-HU"/>
              </w:rPr>
              <w:t>3 (0,8)</w:t>
            </w:r>
          </w:p>
        </w:tc>
        <w:tc>
          <w:tcPr>
            <w:tcW w:w="2801" w:type="dxa"/>
            <w:tcBorders>
              <w:top w:val="single" w:sz="5" w:space="0" w:color="000000"/>
              <w:left w:val="single" w:sz="5" w:space="0" w:color="000000"/>
              <w:bottom w:val="single" w:sz="5" w:space="0" w:color="000000"/>
              <w:right w:val="single" w:sz="5" w:space="0" w:color="000000"/>
            </w:tcBorders>
          </w:tcPr>
          <w:p w14:paraId="349CD560" w14:textId="77777777" w:rsidR="00130E8B" w:rsidRDefault="000405CC">
            <w:pPr>
              <w:pStyle w:val="TableParagraph"/>
              <w:spacing w:line="246" w:lineRule="exact"/>
              <w:ind w:left="678"/>
              <w:rPr>
                <w:rFonts w:ascii="Times New Roman" w:eastAsia="Times New Roman" w:hAnsi="Times New Roman" w:cs="Times New Roman"/>
                <w:sz w:val="14"/>
                <w:szCs w:val="14"/>
                <w:lang w:val="hu-HU"/>
              </w:rPr>
            </w:pPr>
            <w:r>
              <w:rPr>
                <w:rFonts w:ascii="Times New Roman" w:eastAsia="Times New Roman" w:hAnsi="Times New Roman" w:cs="Times New Roman"/>
                <w:spacing w:val="-1"/>
                <w:lang w:val="hu-HU"/>
              </w:rPr>
              <w:t>163 (20,0)</w:t>
            </w:r>
            <w:r w:rsidRPr="009167C6">
              <w:rPr>
                <w:rFonts w:ascii="Times New Roman" w:eastAsia="Times New Roman" w:hAnsi="Times New Roman" w:cs="Times New Roman"/>
                <w:spacing w:val="-1"/>
                <w:vertAlign w:val="superscript"/>
                <w:lang w:val="hu-HU"/>
              </w:rPr>
              <w:t>b</w:t>
            </w:r>
          </w:p>
        </w:tc>
      </w:tr>
      <w:tr w:rsidR="00130E8B" w14:paraId="34B4075D" w14:textId="77777777">
        <w:tc>
          <w:tcPr>
            <w:tcW w:w="2625" w:type="dxa"/>
            <w:tcBorders>
              <w:top w:val="single" w:sz="5" w:space="0" w:color="000000"/>
              <w:left w:val="single" w:sz="5" w:space="0" w:color="000000"/>
              <w:bottom w:val="single" w:sz="5" w:space="0" w:color="000000"/>
              <w:right w:val="single" w:sz="5" w:space="0" w:color="000000"/>
            </w:tcBorders>
          </w:tcPr>
          <w:p w14:paraId="7F796842" w14:textId="77777777" w:rsidR="00130E8B" w:rsidRDefault="000405CC">
            <w:pPr>
              <w:pStyle w:val="TableParagraph"/>
              <w:spacing w:line="250" w:lineRule="exact"/>
              <w:ind w:left="323"/>
              <w:rPr>
                <w:rFonts w:ascii="Times New Roman" w:eastAsia="Times New Roman" w:hAnsi="Times New Roman" w:cs="Times New Roman"/>
                <w:lang w:val="hu-HU"/>
              </w:rPr>
            </w:pPr>
            <w:r>
              <w:rPr>
                <w:rFonts w:ascii="Times New Roman" w:eastAsia="Times New Roman" w:hAnsi="Times New Roman" w:cs="Times New Roman"/>
                <w:b/>
                <w:bCs/>
                <w:spacing w:val="-1"/>
                <w:lang w:val="hu-HU"/>
              </w:rPr>
              <w:t>PGA:tiszta/minimális</w:t>
            </w:r>
          </w:p>
        </w:tc>
        <w:tc>
          <w:tcPr>
            <w:tcW w:w="1701" w:type="dxa"/>
            <w:tcBorders>
              <w:top w:val="single" w:sz="5" w:space="0" w:color="000000"/>
              <w:left w:val="single" w:sz="5" w:space="0" w:color="000000"/>
              <w:bottom w:val="single" w:sz="5" w:space="0" w:color="000000"/>
              <w:right w:val="single" w:sz="5" w:space="0" w:color="000000"/>
            </w:tcBorders>
          </w:tcPr>
          <w:p w14:paraId="6FA198B2" w14:textId="77777777" w:rsidR="00130E8B" w:rsidRDefault="000405CC">
            <w:pPr>
              <w:pStyle w:val="TableParagraph"/>
              <w:spacing w:line="246" w:lineRule="exact"/>
              <w:ind w:left="457"/>
              <w:rPr>
                <w:rFonts w:ascii="Times New Roman" w:eastAsia="Times New Roman" w:hAnsi="Times New Roman" w:cs="Times New Roman"/>
                <w:lang w:val="hu-HU"/>
              </w:rPr>
            </w:pPr>
            <w:r>
              <w:rPr>
                <w:rFonts w:ascii="Times New Roman" w:eastAsia="Times New Roman" w:hAnsi="Times New Roman" w:cs="Times New Roman"/>
                <w:spacing w:val="-1"/>
                <w:lang w:val="hu-HU"/>
              </w:rPr>
              <w:t>17 (4,3)</w:t>
            </w:r>
          </w:p>
        </w:tc>
        <w:tc>
          <w:tcPr>
            <w:tcW w:w="2801" w:type="dxa"/>
            <w:tcBorders>
              <w:top w:val="single" w:sz="5" w:space="0" w:color="000000"/>
              <w:left w:val="single" w:sz="5" w:space="0" w:color="000000"/>
              <w:bottom w:val="single" w:sz="5" w:space="0" w:color="000000"/>
              <w:right w:val="single" w:sz="5" w:space="0" w:color="000000"/>
            </w:tcBorders>
          </w:tcPr>
          <w:p w14:paraId="256BD416" w14:textId="77777777" w:rsidR="00130E8B" w:rsidRDefault="000405CC">
            <w:pPr>
              <w:pStyle w:val="TableParagraph"/>
              <w:spacing w:line="246" w:lineRule="exact"/>
              <w:ind w:left="678"/>
              <w:rPr>
                <w:rFonts w:ascii="Times New Roman" w:eastAsia="Times New Roman" w:hAnsi="Times New Roman" w:cs="Times New Roman"/>
                <w:sz w:val="14"/>
                <w:szCs w:val="14"/>
                <w:lang w:val="hu-HU"/>
              </w:rPr>
            </w:pPr>
            <w:r>
              <w:rPr>
                <w:rFonts w:ascii="Times New Roman" w:eastAsia="Times New Roman" w:hAnsi="Times New Roman" w:cs="Times New Roman"/>
                <w:spacing w:val="-1"/>
                <w:lang w:val="hu-HU"/>
              </w:rPr>
              <w:t>506 (62,2)</w:t>
            </w:r>
            <w:r w:rsidRPr="009167C6">
              <w:rPr>
                <w:rFonts w:ascii="Times New Roman" w:eastAsia="Times New Roman" w:hAnsi="Times New Roman" w:cs="Times New Roman"/>
                <w:spacing w:val="-1"/>
                <w:vertAlign w:val="superscript"/>
                <w:lang w:val="hu-HU"/>
              </w:rPr>
              <w:t>b</w:t>
            </w:r>
          </w:p>
        </w:tc>
      </w:tr>
      <w:tr w:rsidR="00130E8B" w14:paraId="585F0ACC" w14:textId="77777777">
        <w:tc>
          <w:tcPr>
            <w:tcW w:w="7127" w:type="dxa"/>
            <w:gridSpan w:val="3"/>
            <w:tcBorders>
              <w:top w:val="single" w:sz="5" w:space="0" w:color="000000"/>
              <w:left w:val="single" w:sz="5" w:space="0" w:color="000000"/>
              <w:bottom w:val="single" w:sz="5" w:space="0" w:color="000000"/>
              <w:right w:val="single" w:sz="5" w:space="0" w:color="000000"/>
            </w:tcBorders>
          </w:tcPr>
          <w:p w14:paraId="72906068" w14:textId="7913989F" w:rsidR="00130E8B" w:rsidRPr="00CF5D7A" w:rsidRDefault="000405CC" w:rsidP="009167C6">
            <w:pPr>
              <w:pStyle w:val="TableParagraph"/>
              <w:ind w:left="102"/>
              <w:rPr>
                <w:rFonts w:ascii="Times New Roman" w:eastAsia="Times New Roman" w:hAnsi="Times New Roman" w:cs="Times New Roman"/>
                <w:lang w:val="hu-HU"/>
              </w:rPr>
            </w:pPr>
            <w:r w:rsidRPr="009167C6">
              <w:rPr>
                <w:rFonts w:ascii="Times New Roman" w:eastAsia="Times New Roman" w:hAnsi="Times New Roman" w:cs="Times New Roman"/>
                <w:position w:val="8"/>
                <w:vertAlign w:val="superscript"/>
                <w:lang w:val="hu-HU"/>
              </w:rPr>
              <w:t>a</w:t>
            </w:r>
            <w:r w:rsidRPr="009167C6">
              <w:rPr>
                <w:rFonts w:ascii="Times New Roman" w:eastAsia="Times New Roman" w:hAnsi="Times New Roman" w:cs="Times New Roman"/>
                <w:position w:val="8"/>
                <w:lang w:val="hu-HU"/>
              </w:rPr>
              <w:t xml:space="preserve"> </w:t>
            </w:r>
            <w:r w:rsidRPr="00CF5D7A">
              <w:rPr>
                <w:rFonts w:ascii="Times New Roman" w:eastAsia="Times New Roman" w:hAnsi="Times New Roman" w:cs="Times New Roman"/>
                <w:position w:val="8"/>
                <w:lang w:val="hu-HU"/>
              </w:rPr>
              <w:t xml:space="preserve">A PASI 75 választ elért betegek százalékos aránya középértékre korrigált arány </w:t>
            </w:r>
            <w:r w:rsidRPr="009167C6">
              <w:rPr>
                <w:rFonts w:ascii="Times New Roman" w:eastAsia="Times New Roman" w:hAnsi="Times New Roman" w:cs="Times New Roman"/>
                <w:spacing w:val="-1"/>
                <w:position w:val="8"/>
                <w:lang w:val="hu-HU"/>
              </w:rPr>
              <w:t>formájában</w:t>
            </w:r>
            <w:r w:rsidRPr="00CF5D7A">
              <w:rPr>
                <w:rFonts w:ascii="Times New Roman" w:eastAsia="Times New Roman" w:hAnsi="Times New Roman" w:cs="Times New Roman"/>
                <w:spacing w:val="-1"/>
                <w:lang w:val="hu-HU"/>
              </w:rPr>
              <w:t xml:space="preserve"> </w:t>
            </w:r>
            <w:r w:rsidRPr="009167C6">
              <w:rPr>
                <w:rFonts w:ascii="Times New Roman" w:eastAsia="Times New Roman" w:hAnsi="Times New Roman" w:cs="Times New Roman"/>
                <w:spacing w:val="-1"/>
                <w:position w:val="8"/>
                <w:lang w:val="hu-HU"/>
              </w:rPr>
              <w:t>került</w:t>
            </w:r>
            <w:r w:rsidRPr="00CF5D7A">
              <w:rPr>
                <w:rFonts w:ascii="Times New Roman" w:eastAsia="Times New Roman" w:hAnsi="Times New Roman" w:cs="Times New Roman"/>
                <w:spacing w:val="-1"/>
                <w:lang w:val="hu-HU"/>
              </w:rPr>
              <w:t xml:space="preserve"> </w:t>
            </w:r>
            <w:r w:rsidRPr="009167C6">
              <w:rPr>
                <w:rFonts w:ascii="Times New Roman" w:eastAsia="Times New Roman" w:hAnsi="Times New Roman" w:cs="Times New Roman"/>
                <w:position w:val="8"/>
                <w:lang w:val="hu-HU"/>
              </w:rPr>
              <w:t>kiszámításra</w:t>
            </w:r>
          </w:p>
          <w:p w14:paraId="27CF5791" w14:textId="77777777" w:rsidR="00130E8B" w:rsidRDefault="000405CC" w:rsidP="009167C6">
            <w:pPr>
              <w:pStyle w:val="TableParagraph"/>
              <w:ind w:left="102"/>
              <w:rPr>
                <w:rFonts w:ascii="Times New Roman" w:eastAsia="Times New Roman" w:hAnsi="Times New Roman" w:cs="Times New Roman"/>
                <w:lang w:val="hu-HU"/>
              </w:rPr>
            </w:pPr>
            <w:r w:rsidRPr="009167C6">
              <w:rPr>
                <w:rFonts w:ascii="Times New Roman" w:eastAsia="Times New Roman" w:hAnsi="Times New Roman" w:cs="Times New Roman"/>
                <w:position w:val="8"/>
                <w:vertAlign w:val="superscript"/>
                <w:lang w:val="hu-HU"/>
              </w:rPr>
              <w:t xml:space="preserve">b </w:t>
            </w:r>
            <w:r w:rsidRPr="00CF5D7A">
              <w:rPr>
                <w:rFonts w:ascii="Times New Roman" w:eastAsia="Times New Roman" w:hAnsi="Times New Roman" w:cs="Times New Roman"/>
                <w:position w:val="8"/>
                <w:lang w:val="hu-HU"/>
              </w:rPr>
              <w:t>p &lt; 0,001, adalimumab vs. placebo</w:t>
            </w:r>
          </w:p>
        </w:tc>
      </w:tr>
    </w:tbl>
    <w:p w14:paraId="512E2BFE" w14:textId="77777777" w:rsidR="00130E8B" w:rsidRDefault="00130E8B">
      <w:pPr>
        <w:spacing w:line="110" w:lineRule="exact"/>
        <w:rPr>
          <w:sz w:val="11"/>
          <w:szCs w:val="11"/>
          <w:lang w:val="hu-HU"/>
        </w:rPr>
      </w:pPr>
    </w:p>
    <w:p w14:paraId="76405830" w14:textId="77777777" w:rsidR="00CB3242" w:rsidRDefault="00CB3242">
      <w:pPr>
        <w:spacing w:before="3" w:line="170" w:lineRule="exact"/>
        <w:rPr>
          <w:sz w:val="17"/>
          <w:szCs w:val="17"/>
          <w:lang w:val="hu-HU"/>
        </w:rPr>
      </w:pPr>
    </w:p>
    <w:p w14:paraId="76E2C5D2" w14:textId="626BC62D" w:rsidR="00130E8B" w:rsidRDefault="000405CC">
      <w:pPr>
        <w:pStyle w:val="a3"/>
        <w:jc w:val="center"/>
        <w:rPr>
          <w:b/>
          <w:lang w:val="hu-HU"/>
        </w:rPr>
      </w:pPr>
      <w:r>
        <w:rPr>
          <w:rFonts w:eastAsia="Times New Roman"/>
          <w:b/>
          <w:bCs/>
          <w:lang w:val="hu-HU"/>
        </w:rPr>
        <w:t>1</w:t>
      </w:r>
      <w:r w:rsidR="00D33AB9">
        <w:rPr>
          <w:rFonts w:eastAsia="Times New Roman"/>
          <w:b/>
          <w:bCs/>
          <w:lang w:val="hu-HU"/>
        </w:rPr>
        <w:t>7</w:t>
      </w:r>
      <w:r>
        <w:rPr>
          <w:rFonts w:eastAsia="Times New Roman"/>
          <w:b/>
          <w:bCs/>
          <w:lang w:val="hu-HU"/>
        </w:rPr>
        <w:t>. táblázat</w:t>
      </w:r>
    </w:p>
    <w:p w14:paraId="74CBFACD" w14:textId="5E005A2B" w:rsidR="00130E8B" w:rsidRDefault="000405CC">
      <w:pPr>
        <w:pStyle w:val="a3"/>
        <w:jc w:val="center"/>
        <w:rPr>
          <w:b/>
          <w:lang w:val="hu-HU"/>
        </w:rPr>
      </w:pPr>
      <w:r>
        <w:rPr>
          <w:rFonts w:eastAsia="Times New Roman"/>
          <w:b/>
          <w:bCs/>
          <w:lang w:val="hu-HU"/>
        </w:rPr>
        <w:t>Psoriasis</w:t>
      </w:r>
      <w:r w:rsidR="00424DF6" w:rsidRPr="000F4DB4">
        <w:t> </w:t>
      </w:r>
      <w:r>
        <w:rPr>
          <w:rFonts w:eastAsia="Times New Roman"/>
          <w:b/>
          <w:bCs/>
          <w:lang w:val="hu-HU"/>
        </w:rPr>
        <w:t>II (CHAMPION) vizsgálat – Hatékonysági eredmények a 16. héten</w:t>
      </w:r>
    </w:p>
    <w:tbl>
      <w:tblPr>
        <w:tblStyle w:val="ac"/>
        <w:tblW w:w="9439" w:type="dxa"/>
        <w:tblInd w:w="111" w:type="dxa"/>
        <w:tblLayout w:type="fixed"/>
        <w:tblLook w:val="04A0" w:firstRow="1" w:lastRow="0" w:firstColumn="1" w:lastColumn="0" w:noHBand="0" w:noVBand="1"/>
      </w:tblPr>
      <w:tblGrid>
        <w:gridCol w:w="2294"/>
        <w:gridCol w:w="2197"/>
        <w:gridCol w:w="2197"/>
        <w:gridCol w:w="2751"/>
      </w:tblGrid>
      <w:tr w:rsidR="00130E8B" w14:paraId="5F0E5696" w14:textId="77777777">
        <w:tc>
          <w:tcPr>
            <w:tcW w:w="2294" w:type="dxa"/>
            <w:vAlign w:val="center"/>
          </w:tcPr>
          <w:p w14:paraId="506191DE" w14:textId="77777777" w:rsidR="00130E8B" w:rsidRDefault="00130E8B">
            <w:pPr>
              <w:pStyle w:val="a3"/>
              <w:rPr>
                <w:lang w:val="hu-HU"/>
              </w:rPr>
            </w:pPr>
          </w:p>
        </w:tc>
        <w:tc>
          <w:tcPr>
            <w:tcW w:w="2197" w:type="dxa"/>
            <w:vAlign w:val="center"/>
          </w:tcPr>
          <w:p w14:paraId="4A25D42E" w14:textId="7D8B521F" w:rsidR="00130E8B" w:rsidRDefault="000405CC">
            <w:pPr>
              <w:pStyle w:val="TableParagraph"/>
              <w:spacing w:before="4" w:line="252" w:lineRule="exact"/>
              <w:ind w:left="459" w:right="459"/>
              <w:jc w:val="center"/>
              <w:rPr>
                <w:rFonts w:ascii="Times New Roman" w:eastAsia="Times New Roman" w:hAnsi="Times New Roman" w:cs="Times New Roman"/>
                <w:b/>
                <w:bCs/>
                <w:spacing w:val="-1"/>
                <w:lang w:val="hu-HU"/>
              </w:rPr>
            </w:pPr>
            <w:r>
              <w:rPr>
                <w:rFonts w:ascii="Times New Roman" w:eastAsia="Times New Roman" w:hAnsi="Times New Roman" w:cs="Times New Roman"/>
                <w:b/>
                <w:bCs/>
                <w:lang w:val="hu-HU"/>
              </w:rPr>
              <w:t xml:space="preserve">Placebo </w:t>
            </w:r>
            <w:r w:rsidR="00EF1B78">
              <w:rPr>
                <w:rFonts w:ascii="Times New Roman" w:eastAsia="Times New Roman" w:hAnsi="Times New Roman" w:cs="Times New Roman"/>
                <w:b/>
                <w:bCs/>
                <w:lang w:val="hu-HU"/>
              </w:rPr>
              <w:t>n</w:t>
            </w:r>
            <w:r>
              <w:rPr>
                <w:rFonts w:ascii="Times New Roman" w:eastAsia="Times New Roman" w:hAnsi="Times New Roman" w:cs="Times New Roman"/>
                <w:b/>
                <w:bCs/>
                <w:lang w:val="hu-HU"/>
              </w:rPr>
              <w:t>=53</w:t>
            </w:r>
          </w:p>
          <w:p w14:paraId="2849BD15" w14:textId="77777777" w:rsidR="00130E8B" w:rsidRDefault="000405CC">
            <w:pPr>
              <w:pStyle w:val="TableParagraph"/>
              <w:spacing w:before="4" w:line="252" w:lineRule="exact"/>
              <w:ind w:left="459" w:right="459"/>
              <w:jc w:val="center"/>
              <w:rPr>
                <w:b/>
                <w:lang w:val="hu-HU"/>
              </w:rPr>
            </w:pPr>
            <w:r>
              <w:rPr>
                <w:rFonts w:ascii="Times New Roman" w:eastAsia="Times New Roman" w:hAnsi="Times New Roman" w:cs="Times New Roman"/>
                <w:b/>
                <w:bCs/>
                <w:lang w:val="hu-HU"/>
              </w:rPr>
              <w:t>n (%)</w:t>
            </w:r>
          </w:p>
        </w:tc>
        <w:tc>
          <w:tcPr>
            <w:tcW w:w="2197" w:type="dxa"/>
            <w:vAlign w:val="center"/>
          </w:tcPr>
          <w:p w14:paraId="2FE79656" w14:textId="77777777" w:rsidR="00130E8B" w:rsidRDefault="000405CC">
            <w:pPr>
              <w:pStyle w:val="a3"/>
              <w:jc w:val="center"/>
              <w:rPr>
                <w:b/>
                <w:lang w:val="hu-HU"/>
              </w:rPr>
            </w:pPr>
            <w:r>
              <w:rPr>
                <w:rFonts w:eastAsia="Times New Roman"/>
                <w:b/>
                <w:bCs/>
                <w:lang w:val="hu-HU"/>
              </w:rPr>
              <w:t>MTX</w:t>
            </w:r>
          </w:p>
          <w:p w14:paraId="627F3490" w14:textId="64DA6B57" w:rsidR="00130E8B" w:rsidRDefault="00EF1B78">
            <w:pPr>
              <w:pStyle w:val="a3"/>
              <w:jc w:val="center"/>
              <w:rPr>
                <w:b/>
                <w:lang w:val="hu-HU"/>
              </w:rPr>
            </w:pPr>
            <w:r>
              <w:rPr>
                <w:rFonts w:eastAsia="Times New Roman"/>
                <w:b/>
                <w:bCs/>
                <w:lang w:val="hu-HU"/>
              </w:rPr>
              <w:t>n</w:t>
            </w:r>
            <w:r w:rsidR="000405CC">
              <w:rPr>
                <w:rFonts w:eastAsia="Times New Roman"/>
                <w:b/>
                <w:bCs/>
                <w:lang w:val="hu-HU"/>
              </w:rPr>
              <w:t>=110</w:t>
            </w:r>
          </w:p>
          <w:p w14:paraId="4510518D" w14:textId="77777777" w:rsidR="00130E8B" w:rsidRDefault="000405CC">
            <w:pPr>
              <w:pStyle w:val="a3"/>
              <w:jc w:val="center"/>
              <w:rPr>
                <w:lang w:val="hu-HU"/>
              </w:rPr>
            </w:pPr>
            <w:r>
              <w:rPr>
                <w:rFonts w:eastAsia="Times New Roman"/>
                <w:b/>
                <w:bCs/>
                <w:lang w:val="hu-HU"/>
              </w:rPr>
              <w:t>n (%)</w:t>
            </w:r>
          </w:p>
        </w:tc>
        <w:tc>
          <w:tcPr>
            <w:tcW w:w="2751" w:type="dxa"/>
            <w:vAlign w:val="center"/>
          </w:tcPr>
          <w:p w14:paraId="1E1574E0" w14:textId="77777777" w:rsidR="00130E8B" w:rsidRDefault="000405CC">
            <w:pPr>
              <w:pStyle w:val="TableParagraph"/>
              <w:spacing w:before="4" w:line="252" w:lineRule="exact"/>
              <w:ind w:left="113" w:right="113"/>
              <w:jc w:val="center"/>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Adalimumab 40 mg minden második héten</w:t>
            </w:r>
          </w:p>
          <w:p w14:paraId="3831895F" w14:textId="2A54E104" w:rsidR="00130E8B" w:rsidRDefault="00EF1B78">
            <w:pPr>
              <w:pStyle w:val="TableParagraph"/>
              <w:spacing w:before="4" w:line="252" w:lineRule="exact"/>
              <w:ind w:left="113" w:right="113"/>
              <w:jc w:val="center"/>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n</w:t>
            </w:r>
            <w:r w:rsidR="000405CC">
              <w:rPr>
                <w:rFonts w:ascii="Times New Roman" w:eastAsia="Times New Roman" w:hAnsi="Times New Roman" w:cs="Times New Roman"/>
                <w:b/>
                <w:bCs/>
                <w:spacing w:val="-1"/>
                <w:lang w:val="hu-HU"/>
              </w:rPr>
              <w:t>=108</w:t>
            </w:r>
          </w:p>
          <w:p w14:paraId="5F6FCCBD" w14:textId="77777777" w:rsidR="00130E8B" w:rsidRDefault="000405CC">
            <w:pPr>
              <w:pStyle w:val="TableParagraph"/>
              <w:spacing w:before="4" w:line="252" w:lineRule="exact"/>
              <w:ind w:left="113" w:right="113"/>
              <w:jc w:val="center"/>
              <w:rPr>
                <w:rFonts w:ascii="Times New Roman" w:eastAsia="Times New Roman" w:hAnsi="Times New Roman" w:cs="Times New Roman"/>
                <w:lang w:val="hu-HU"/>
              </w:rPr>
            </w:pPr>
            <w:r>
              <w:rPr>
                <w:rFonts w:ascii="Times New Roman" w:eastAsia="Times New Roman" w:hAnsi="Times New Roman" w:cs="Times New Roman"/>
                <w:b/>
                <w:bCs/>
                <w:lang w:val="hu-HU"/>
              </w:rPr>
              <w:t>n (%)</w:t>
            </w:r>
          </w:p>
        </w:tc>
      </w:tr>
      <w:tr w:rsidR="00130E8B" w14:paraId="4CEC35EA" w14:textId="77777777">
        <w:tc>
          <w:tcPr>
            <w:tcW w:w="2294" w:type="dxa"/>
          </w:tcPr>
          <w:p w14:paraId="441C8FDC" w14:textId="77777777" w:rsidR="00130E8B" w:rsidRPr="004E2591" w:rsidRDefault="000405CC">
            <w:pPr>
              <w:pStyle w:val="a3"/>
              <w:rPr>
                <w:b/>
                <w:lang w:val="hu-HU"/>
              </w:rPr>
            </w:pPr>
            <w:r w:rsidRPr="004E2591">
              <w:rPr>
                <w:rFonts w:ascii="Symbol" w:eastAsia="Symbol" w:hAnsi="Symbol" w:cs="Symbol"/>
                <w:b/>
                <w:lang w:val="hu-HU"/>
              </w:rPr>
              <w:sym w:font="Symbol" w:char="F0B3"/>
            </w:r>
            <w:r w:rsidRPr="004E2591">
              <w:rPr>
                <w:rFonts w:ascii="Symbol" w:eastAsia="Symbol" w:hAnsi="Symbol" w:cs="Symbol"/>
                <w:b/>
                <w:lang w:val="hu-HU"/>
              </w:rPr>
              <w:sym w:font="Symbol" w:char="F020"/>
            </w:r>
            <w:r w:rsidRPr="004E2591">
              <w:rPr>
                <w:rFonts w:eastAsia="Times New Roman"/>
                <w:b/>
                <w:lang w:val="hu-HU"/>
              </w:rPr>
              <w:t>PASI 75</w:t>
            </w:r>
          </w:p>
        </w:tc>
        <w:tc>
          <w:tcPr>
            <w:tcW w:w="2197" w:type="dxa"/>
          </w:tcPr>
          <w:p w14:paraId="16C7BCD2" w14:textId="77777777" w:rsidR="00130E8B" w:rsidRDefault="000405CC">
            <w:pPr>
              <w:pStyle w:val="a3"/>
              <w:jc w:val="center"/>
              <w:rPr>
                <w:b/>
                <w:lang w:val="hu-HU"/>
              </w:rPr>
            </w:pPr>
            <w:r>
              <w:rPr>
                <w:rFonts w:eastAsia="Times New Roman"/>
                <w:lang w:val="hu-HU"/>
              </w:rPr>
              <w:t>10 (18,9)</w:t>
            </w:r>
          </w:p>
        </w:tc>
        <w:tc>
          <w:tcPr>
            <w:tcW w:w="2197" w:type="dxa"/>
          </w:tcPr>
          <w:p w14:paraId="07A38C39" w14:textId="77777777" w:rsidR="00130E8B" w:rsidRDefault="000405CC">
            <w:pPr>
              <w:pStyle w:val="a3"/>
              <w:jc w:val="center"/>
              <w:rPr>
                <w:b/>
                <w:lang w:val="hu-HU"/>
              </w:rPr>
            </w:pPr>
            <w:r>
              <w:rPr>
                <w:rFonts w:eastAsia="Times New Roman"/>
                <w:lang w:val="hu-HU"/>
              </w:rPr>
              <w:t>39 (35,5)</w:t>
            </w:r>
          </w:p>
        </w:tc>
        <w:tc>
          <w:tcPr>
            <w:tcW w:w="2751" w:type="dxa"/>
          </w:tcPr>
          <w:p w14:paraId="28472892" w14:textId="77777777" w:rsidR="00130E8B" w:rsidRPr="00CF5D7A" w:rsidRDefault="000405CC">
            <w:pPr>
              <w:pStyle w:val="a3"/>
              <w:jc w:val="center"/>
              <w:rPr>
                <w:b/>
                <w:lang w:val="hu-HU"/>
              </w:rPr>
            </w:pPr>
            <w:r w:rsidRPr="00CF5D7A">
              <w:rPr>
                <w:rFonts w:eastAsia="Times New Roman"/>
                <w:spacing w:val="-1"/>
                <w:lang w:val="hu-HU"/>
              </w:rPr>
              <w:t xml:space="preserve">86 (79.6) </w:t>
            </w:r>
            <w:r w:rsidRPr="009167C6">
              <w:rPr>
                <w:rFonts w:eastAsia="Times New Roman"/>
                <w:spacing w:val="-1"/>
                <w:vertAlign w:val="superscript"/>
                <w:lang w:val="hu-HU"/>
              </w:rPr>
              <w:t>a, b</w:t>
            </w:r>
          </w:p>
        </w:tc>
      </w:tr>
      <w:tr w:rsidR="00130E8B" w14:paraId="3E08C45D" w14:textId="77777777">
        <w:tc>
          <w:tcPr>
            <w:tcW w:w="2294" w:type="dxa"/>
          </w:tcPr>
          <w:p w14:paraId="1CDD39C9" w14:textId="77777777" w:rsidR="00130E8B" w:rsidRPr="004E2591" w:rsidRDefault="000405CC">
            <w:pPr>
              <w:pStyle w:val="a3"/>
              <w:rPr>
                <w:b/>
                <w:lang w:val="hu-HU"/>
              </w:rPr>
            </w:pPr>
            <w:r w:rsidRPr="004E2591">
              <w:rPr>
                <w:rFonts w:eastAsia="Times New Roman"/>
                <w:b/>
                <w:lang w:val="hu-HU"/>
              </w:rPr>
              <w:t>PASI 100</w:t>
            </w:r>
          </w:p>
        </w:tc>
        <w:tc>
          <w:tcPr>
            <w:tcW w:w="2197" w:type="dxa"/>
          </w:tcPr>
          <w:p w14:paraId="6DFE9D72" w14:textId="77777777" w:rsidR="00130E8B" w:rsidRDefault="000405CC">
            <w:pPr>
              <w:pStyle w:val="a3"/>
              <w:jc w:val="center"/>
              <w:rPr>
                <w:b/>
                <w:lang w:val="hu-HU"/>
              </w:rPr>
            </w:pPr>
            <w:r>
              <w:rPr>
                <w:rFonts w:eastAsia="Times New Roman"/>
                <w:lang w:val="hu-HU"/>
              </w:rPr>
              <w:t>1 (1,9)</w:t>
            </w:r>
          </w:p>
        </w:tc>
        <w:tc>
          <w:tcPr>
            <w:tcW w:w="2197" w:type="dxa"/>
          </w:tcPr>
          <w:p w14:paraId="5BEB1EEA" w14:textId="77777777" w:rsidR="00130E8B" w:rsidRDefault="000405CC">
            <w:pPr>
              <w:pStyle w:val="a3"/>
              <w:jc w:val="center"/>
              <w:rPr>
                <w:b/>
                <w:lang w:val="hu-HU"/>
              </w:rPr>
            </w:pPr>
            <w:r>
              <w:rPr>
                <w:rFonts w:eastAsia="Times New Roman"/>
                <w:lang w:val="hu-HU"/>
              </w:rPr>
              <w:t>8 (7,3)</w:t>
            </w:r>
          </w:p>
        </w:tc>
        <w:tc>
          <w:tcPr>
            <w:tcW w:w="2751" w:type="dxa"/>
          </w:tcPr>
          <w:p w14:paraId="660DE4A0" w14:textId="77777777" w:rsidR="00130E8B" w:rsidRPr="00CF5D7A" w:rsidRDefault="000405CC">
            <w:pPr>
              <w:pStyle w:val="a3"/>
              <w:jc w:val="center"/>
              <w:rPr>
                <w:b/>
                <w:lang w:val="hu-HU"/>
              </w:rPr>
            </w:pPr>
            <w:r w:rsidRPr="00CF5D7A">
              <w:rPr>
                <w:rFonts w:eastAsia="Times New Roman"/>
                <w:spacing w:val="-1"/>
                <w:lang w:val="hu-HU"/>
              </w:rPr>
              <w:t xml:space="preserve">18 (16.7) </w:t>
            </w:r>
            <w:r w:rsidRPr="009167C6">
              <w:rPr>
                <w:rFonts w:eastAsia="Times New Roman"/>
                <w:spacing w:val="-1"/>
                <w:vertAlign w:val="superscript"/>
                <w:lang w:val="hu-HU"/>
              </w:rPr>
              <w:t>c, d</w:t>
            </w:r>
          </w:p>
        </w:tc>
      </w:tr>
      <w:tr w:rsidR="00130E8B" w14:paraId="36FFE637" w14:textId="77777777">
        <w:tc>
          <w:tcPr>
            <w:tcW w:w="2294" w:type="dxa"/>
          </w:tcPr>
          <w:p w14:paraId="7161EF63" w14:textId="77777777" w:rsidR="00130E8B" w:rsidRDefault="000405CC">
            <w:pPr>
              <w:pStyle w:val="TableParagraph"/>
              <w:spacing w:line="251" w:lineRule="exact"/>
              <w:rPr>
                <w:b/>
                <w:lang w:val="hu-HU"/>
              </w:rPr>
            </w:pPr>
            <w:r>
              <w:rPr>
                <w:rFonts w:ascii="Times New Roman" w:eastAsia="Times New Roman" w:hAnsi="Times New Roman" w:cs="Times New Roman"/>
                <w:b/>
                <w:bCs/>
                <w:lang w:val="hu-HU"/>
              </w:rPr>
              <w:t>PGA:tiszta/minimális</w:t>
            </w:r>
          </w:p>
        </w:tc>
        <w:tc>
          <w:tcPr>
            <w:tcW w:w="2197" w:type="dxa"/>
          </w:tcPr>
          <w:p w14:paraId="55298D5E" w14:textId="77777777" w:rsidR="00130E8B" w:rsidRDefault="000405CC">
            <w:pPr>
              <w:pStyle w:val="a3"/>
              <w:jc w:val="center"/>
              <w:rPr>
                <w:b/>
                <w:lang w:val="hu-HU"/>
              </w:rPr>
            </w:pPr>
            <w:r>
              <w:rPr>
                <w:rFonts w:eastAsia="Times New Roman"/>
                <w:lang w:val="hu-HU"/>
              </w:rPr>
              <w:t>6 (11,3)</w:t>
            </w:r>
          </w:p>
        </w:tc>
        <w:tc>
          <w:tcPr>
            <w:tcW w:w="2197" w:type="dxa"/>
          </w:tcPr>
          <w:p w14:paraId="36213846" w14:textId="77777777" w:rsidR="00130E8B" w:rsidRDefault="000405CC">
            <w:pPr>
              <w:pStyle w:val="a3"/>
              <w:jc w:val="center"/>
              <w:rPr>
                <w:b/>
                <w:lang w:val="hu-HU"/>
              </w:rPr>
            </w:pPr>
            <w:r>
              <w:rPr>
                <w:rFonts w:eastAsia="Times New Roman"/>
                <w:lang w:val="hu-HU"/>
              </w:rPr>
              <w:t>33 (30,0)</w:t>
            </w:r>
          </w:p>
        </w:tc>
        <w:tc>
          <w:tcPr>
            <w:tcW w:w="2751" w:type="dxa"/>
          </w:tcPr>
          <w:p w14:paraId="3378A933" w14:textId="77777777" w:rsidR="00130E8B" w:rsidRPr="00CF5D7A" w:rsidRDefault="000405CC">
            <w:pPr>
              <w:pStyle w:val="a3"/>
              <w:jc w:val="center"/>
              <w:rPr>
                <w:b/>
                <w:lang w:val="hu-HU"/>
              </w:rPr>
            </w:pPr>
            <w:r w:rsidRPr="00CF5D7A">
              <w:rPr>
                <w:rFonts w:eastAsia="Times New Roman"/>
                <w:spacing w:val="-1"/>
                <w:lang w:val="hu-HU"/>
              </w:rPr>
              <w:t xml:space="preserve">79 (73.1) </w:t>
            </w:r>
            <w:r w:rsidRPr="009167C6">
              <w:rPr>
                <w:rFonts w:eastAsia="Times New Roman"/>
                <w:spacing w:val="-1"/>
                <w:vertAlign w:val="superscript"/>
                <w:lang w:val="hu-HU"/>
              </w:rPr>
              <w:t>a, b</w:t>
            </w:r>
          </w:p>
        </w:tc>
      </w:tr>
      <w:tr w:rsidR="00130E8B" w:rsidRPr="00BE4D18" w14:paraId="5A4C6979" w14:textId="77777777">
        <w:tc>
          <w:tcPr>
            <w:tcW w:w="9439" w:type="dxa"/>
            <w:gridSpan w:val="4"/>
          </w:tcPr>
          <w:p w14:paraId="122F99E9" w14:textId="77777777" w:rsidR="00130E8B" w:rsidRPr="00CF5D7A" w:rsidRDefault="000405CC" w:rsidP="009167C6">
            <w:pPr>
              <w:pStyle w:val="TableParagraph"/>
              <w:rPr>
                <w:rFonts w:ascii="Times New Roman" w:eastAsia="Times New Roman" w:hAnsi="Times New Roman" w:cs="Times New Roman"/>
                <w:lang w:val="hu-HU"/>
              </w:rPr>
            </w:pPr>
            <w:r w:rsidRPr="009167C6">
              <w:rPr>
                <w:rFonts w:ascii="Times New Roman" w:eastAsia="Times New Roman" w:hAnsi="Times New Roman" w:cs="Times New Roman"/>
                <w:position w:val="8"/>
                <w:vertAlign w:val="superscript"/>
                <w:lang w:val="hu-HU"/>
              </w:rPr>
              <w:t>a</w:t>
            </w:r>
            <w:r w:rsidRPr="009167C6">
              <w:rPr>
                <w:rFonts w:ascii="Times New Roman" w:eastAsia="Times New Roman" w:hAnsi="Times New Roman" w:cs="Times New Roman"/>
                <w:position w:val="8"/>
                <w:lang w:val="hu-HU"/>
              </w:rPr>
              <w:t xml:space="preserve"> </w:t>
            </w:r>
            <w:r w:rsidRPr="00CF5D7A">
              <w:rPr>
                <w:rFonts w:ascii="Times New Roman" w:eastAsia="Times New Roman" w:hAnsi="Times New Roman" w:cs="Times New Roman"/>
                <w:position w:val="8"/>
                <w:lang w:val="hu-HU"/>
              </w:rPr>
              <w:t>p &lt; 0,001 adalimumab vs. placebo</w:t>
            </w:r>
          </w:p>
          <w:p w14:paraId="47302F86" w14:textId="77777777" w:rsidR="00130E8B" w:rsidRPr="00CF5D7A" w:rsidRDefault="000405CC" w:rsidP="009167C6">
            <w:pPr>
              <w:pStyle w:val="TableParagraph"/>
              <w:rPr>
                <w:rFonts w:ascii="Times New Roman" w:eastAsia="Times New Roman" w:hAnsi="Times New Roman" w:cs="Times New Roman"/>
                <w:lang w:val="hu-HU"/>
              </w:rPr>
            </w:pPr>
            <w:r w:rsidRPr="009167C6">
              <w:rPr>
                <w:rFonts w:ascii="Times New Roman" w:eastAsia="Times New Roman" w:hAnsi="Times New Roman" w:cs="Times New Roman"/>
                <w:position w:val="8"/>
                <w:vertAlign w:val="superscript"/>
                <w:lang w:val="hu-HU"/>
              </w:rPr>
              <w:t>b</w:t>
            </w:r>
            <w:r w:rsidRPr="009167C6">
              <w:rPr>
                <w:rFonts w:ascii="Times New Roman" w:eastAsia="Times New Roman" w:hAnsi="Times New Roman" w:cs="Times New Roman"/>
                <w:position w:val="8"/>
                <w:lang w:val="hu-HU"/>
              </w:rPr>
              <w:t xml:space="preserve"> </w:t>
            </w:r>
            <w:r w:rsidRPr="00CF5D7A">
              <w:rPr>
                <w:rFonts w:ascii="Times New Roman" w:eastAsia="Times New Roman" w:hAnsi="Times New Roman" w:cs="Times New Roman"/>
                <w:position w:val="8"/>
                <w:lang w:val="hu-HU"/>
              </w:rPr>
              <w:t>p &lt; 0,001 adalimumab vs. metotrexát</w:t>
            </w:r>
          </w:p>
          <w:p w14:paraId="1E9C0425" w14:textId="77777777" w:rsidR="00130E8B" w:rsidRPr="00CF5D7A" w:rsidRDefault="000405CC" w:rsidP="009167C6">
            <w:pPr>
              <w:pStyle w:val="TableParagraph"/>
              <w:rPr>
                <w:rFonts w:ascii="Times New Roman" w:eastAsia="Times New Roman" w:hAnsi="Times New Roman" w:cs="Times New Roman"/>
                <w:lang w:val="hu-HU"/>
              </w:rPr>
            </w:pPr>
            <w:r w:rsidRPr="009167C6">
              <w:rPr>
                <w:rFonts w:ascii="Times New Roman" w:eastAsia="Times New Roman" w:hAnsi="Times New Roman" w:cs="Times New Roman"/>
                <w:position w:val="8"/>
                <w:vertAlign w:val="superscript"/>
                <w:lang w:val="hu-HU"/>
              </w:rPr>
              <w:t>c</w:t>
            </w:r>
            <w:r w:rsidRPr="009167C6">
              <w:rPr>
                <w:rFonts w:ascii="Times New Roman" w:eastAsia="Times New Roman" w:hAnsi="Times New Roman" w:cs="Times New Roman"/>
                <w:position w:val="8"/>
                <w:lang w:val="hu-HU"/>
              </w:rPr>
              <w:t xml:space="preserve"> </w:t>
            </w:r>
            <w:r w:rsidRPr="00CF5D7A">
              <w:rPr>
                <w:rFonts w:ascii="Times New Roman" w:eastAsia="Times New Roman" w:hAnsi="Times New Roman" w:cs="Times New Roman"/>
                <w:position w:val="8"/>
                <w:lang w:val="hu-HU"/>
              </w:rPr>
              <w:t>p &lt; 0,01 adalimumab vs. placebo</w:t>
            </w:r>
          </w:p>
          <w:p w14:paraId="6257B876" w14:textId="77777777" w:rsidR="00130E8B" w:rsidRDefault="000405CC">
            <w:pPr>
              <w:pStyle w:val="a3"/>
              <w:rPr>
                <w:b/>
                <w:lang w:val="hu-HU"/>
              </w:rPr>
            </w:pPr>
            <w:r w:rsidRPr="009167C6">
              <w:rPr>
                <w:rFonts w:eastAsia="Times New Roman"/>
                <w:position w:val="8"/>
                <w:vertAlign w:val="superscript"/>
                <w:lang w:val="hu-HU"/>
              </w:rPr>
              <w:t>d</w:t>
            </w:r>
            <w:r w:rsidRPr="009167C6">
              <w:rPr>
                <w:rFonts w:eastAsia="Times New Roman"/>
                <w:position w:val="8"/>
                <w:lang w:val="hu-HU"/>
              </w:rPr>
              <w:t xml:space="preserve"> </w:t>
            </w:r>
            <w:r w:rsidRPr="00CF5D7A">
              <w:rPr>
                <w:rFonts w:eastAsia="Times New Roman"/>
                <w:position w:val="8"/>
                <w:lang w:val="hu-HU"/>
              </w:rPr>
              <w:t>p &lt; 0,05 adalimumab vs. metotrexát</w:t>
            </w:r>
          </w:p>
        </w:tc>
      </w:tr>
    </w:tbl>
    <w:p w14:paraId="4077224B" w14:textId="77777777" w:rsidR="00130E8B" w:rsidRDefault="00130E8B">
      <w:pPr>
        <w:pStyle w:val="a3"/>
        <w:rPr>
          <w:lang w:val="hu-HU"/>
        </w:rPr>
      </w:pPr>
    </w:p>
    <w:p w14:paraId="356B8132" w14:textId="0465F045" w:rsidR="00130E8B" w:rsidRDefault="000405CC">
      <w:pPr>
        <w:pStyle w:val="a3"/>
        <w:rPr>
          <w:lang w:val="hu-HU"/>
        </w:rPr>
      </w:pPr>
      <w:r>
        <w:rPr>
          <w:rFonts w:eastAsia="Times New Roman"/>
          <w:spacing w:val="-2"/>
          <w:lang w:val="hu-HU"/>
        </w:rPr>
        <w:t>A Psoriasis</w:t>
      </w:r>
      <w:r w:rsidR="00B07467" w:rsidRPr="009167C6">
        <w:rPr>
          <w:lang w:val="hu-HU"/>
        </w:rPr>
        <w:t> </w:t>
      </w:r>
      <w:r>
        <w:rPr>
          <w:rFonts w:eastAsia="Times New Roman"/>
          <w:spacing w:val="-2"/>
          <w:lang w:val="hu-HU"/>
        </w:rPr>
        <w:t>I vizsgálatban a PASI 75 választ adó és a 33. héten újra placebóra randomizált betegek 28%-ánál „a megfelelő terápiás válasz elvesztését” (a PASI-pontszám a 33. hét után és az 52. héten vagy előtte, amely a kiindulási értékhez képest &lt; PASI 50 választ eredményez, a 33. héthez viszonyítva minimum 6 PASI-pontos növekedéssel) tapasztalták, az adalimumab-kezelést folytató betegeknél észlelt 5%-kal szemben (p &lt; 0,001). Azok közül a betegek közül, akik a placebóra ismételt randomizálást követően elvesztették a megfelelő választ, és akiket beválogattak a nyílt elrendezésű kiterjesztéses vizsgálatba, a 12, illetve 24 hetes újbóli kezelést követően sorrendben 38% (25/66) és 55% (36/66) nyerte vissza a PASI 75 választ.</w:t>
      </w:r>
    </w:p>
    <w:p w14:paraId="78482EDB" w14:textId="77777777" w:rsidR="00130E8B" w:rsidRDefault="00130E8B">
      <w:pPr>
        <w:spacing w:before="11" w:line="240" w:lineRule="exact"/>
        <w:rPr>
          <w:sz w:val="24"/>
          <w:szCs w:val="24"/>
          <w:lang w:val="hu-HU"/>
        </w:rPr>
      </w:pPr>
    </w:p>
    <w:p w14:paraId="043A83A5" w14:textId="77777777" w:rsidR="00130E8B" w:rsidRDefault="000405CC">
      <w:pPr>
        <w:pStyle w:val="a3"/>
        <w:rPr>
          <w:lang w:val="hu-HU"/>
        </w:rPr>
      </w:pPr>
      <w:r>
        <w:rPr>
          <w:rFonts w:eastAsia="Times New Roman"/>
          <w:lang w:val="hu-HU"/>
        </w:rPr>
        <w:t>A 16. és a 33. héten összesen 233 PASI 75 reszponder részesült folyamatos  adalimumab-kezelésben</w:t>
      </w:r>
    </w:p>
    <w:p w14:paraId="53D8FCA0" w14:textId="77777777" w:rsidR="00130E8B" w:rsidRDefault="000405CC">
      <w:pPr>
        <w:pStyle w:val="a3"/>
        <w:rPr>
          <w:lang w:val="hu-HU"/>
        </w:rPr>
      </w:pPr>
      <w:r>
        <w:rPr>
          <w:rFonts w:eastAsia="Times New Roman"/>
          <w:lang w:val="hu-HU"/>
        </w:rPr>
        <w:t>52 héten át a Psoriasis I vizsgálatban, és folytatta a  adalimumab alkalmazását a nyílt elrendezésű kiterjesztéses vizsgálatban. A PASI 75 és a tiszta vagy minimális PGA terápiás válaszarány ezeknél a betegeknél 74,7%, illetve 59,0% volt a megadott sorrendben a nyílt elrendezésű kezelés további 108 hetes időszakát követően (összesen 160 hét). Egy olyan elemzésben, amelyben non-reszpondernek tekintettek minden olyan beteget, aki nemkívánatos események vagy a hatásosság hiánya miatt idő előtt abbahagyta a vizsgálatot, vagy akinél dózis-eszkalációra került sor, a PASI 75 és a tiszta vagy minimális PGA terápiás válaszarány ezeknél a betegeknél 69,6%, illetve 55,7% volt a megadott sorrendben a nyílt elrendezésű kezelés további 108 hetes időszakát követően (összesen 160 hét).</w:t>
      </w:r>
    </w:p>
    <w:p w14:paraId="46605BFE" w14:textId="77777777" w:rsidR="00130E8B" w:rsidRDefault="00130E8B">
      <w:pPr>
        <w:spacing w:before="13" w:line="240" w:lineRule="exact"/>
        <w:rPr>
          <w:sz w:val="24"/>
          <w:szCs w:val="24"/>
          <w:lang w:val="hu-HU"/>
        </w:rPr>
      </w:pPr>
    </w:p>
    <w:p w14:paraId="79B5FF41" w14:textId="77777777" w:rsidR="00130E8B" w:rsidRDefault="000405CC">
      <w:pPr>
        <w:pStyle w:val="a3"/>
        <w:rPr>
          <w:lang w:val="hu-HU"/>
        </w:rPr>
      </w:pPr>
      <w:r>
        <w:rPr>
          <w:rFonts w:eastAsia="Times New Roman"/>
          <w:lang w:val="hu-HU"/>
        </w:rPr>
        <w:t>Összesen 347, stabil reszponder vett részt egy, a kezelés abbahagyását majd újrakezdését elemző nyílt elrendezésű kiterjesztéses vizsgálatban. A kezelés abbahagyásának időszakában a psoriasis tünetei a relapsusig („közepesen súlyos” vagy rosszabb PGA-ra csökkenés) eltelő kb. 5 hónapos medián időtartam mellett újultak ki. A megvonásos időszakban ezek közül a betegek közül egynél sem alakult ki rebound hatás. Az összes olyan beteg 76,5%-ánál (218/285), akik újból elkezdték a kezelést, „tiszta” vagy „minimális” PGA terápiás válasz alakult ki 16 héttel a kezelés újrakezdése után, függetlenül attól, hogy volt-e relapsusuk a kezelés abbahagyása során (69,1% [123/178] olyan betegeknél, akiknek volt relapsusuk és 88,8% [95/107] olyanoknál, akiknek nem volt relapsusuk a kezelés abbahagyásának időszakában). Hasonló biztonságossági profilt figyeltek meg a kezelés újrakezdése során, mint abbahagyása előtt.</w:t>
      </w:r>
    </w:p>
    <w:p w14:paraId="560E549A" w14:textId="77777777" w:rsidR="00130E8B" w:rsidRDefault="00130E8B">
      <w:pPr>
        <w:pStyle w:val="a3"/>
        <w:rPr>
          <w:lang w:val="hu-HU"/>
        </w:rPr>
      </w:pPr>
    </w:p>
    <w:p w14:paraId="7ED078AD" w14:textId="77777777" w:rsidR="00130E8B" w:rsidRDefault="000405CC">
      <w:pPr>
        <w:pStyle w:val="a3"/>
        <w:rPr>
          <w:lang w:val="hu-HU"/>
        </w:rPr>
      </w:pPr>
      <w:r>
        <w:rPr>
          <w:rFonts w:eastAsia="Times New Roman"/>
          <w:lang w:val="hu-HU"/>
        </w:rPr>
        <w:t>A placebóhoz (I és II vizsgálat) és a metotrexáthoz (II vizsgálat) képest a kiindulási értéktől számítva a 16. héten a bőrgyógyászati életminőségi index (DLQI – Dermatology Life Quality Index) jelentős javulását igazolták. Az I. vizsgálatban az SF-36 fizikális és mentális összetevő összesített pontszámaként kifejezett javulás szintén jelentős volt a placebóhoz képest.</w:t>
      </w:r>
    </w:p>
    <w:p w14:paraId="1EB271CC" w14:textId="77777777" w:rsidR="00130E8B" w:rsidRDefault="00130E8B">
      <w:pPr>
        <w:spacing w:before="13" w:line="240" w:lineRule="exact"/>
        <w:rPr>
          <w:sz w:val="24"/>
          <w:szCs w:val="24"/>
          <w:lang w:val="hu-HU"/>
        </w:rPr>
      </w:pPr>
    </w:p>
    <w:p w14:paraId="3EC456C8" w14:textId="77777777" w:rsidR="00130E8B" w:rsidRDefault="000405CC">
      <w:pPr>
        <w:pStyle w:val="a3"/>
        <w:rPr>
          <w:lang w:val="hu-HU"/>
        </w:rPr>
      </w:pPr>
      <w:r>
        <w:rPr>
          <w:rFonts w:eastAsia="Times New Roman"/>
          <w:lang w:val="hu-HU"/>
        </w:rPr>
        <w:t>Egy nyílt elrendezésű vizsgálatban, amelyben a betegek dózisát a kéthetenkénti 40 mg-ról heti 40 mg-ra növelték az 50% alatti PASI-válasz miatt, 26,4% (92/349 beteg) és 37,8% (132/349 beteg) ért el PASI 75 választ a 12., illetve a 24. héten.</w:t>
      </w:r>
    </w:p>
    <w:p w14:paraId="0D420EED" w14:textId="77777777" w:rsidR="00130E8B" w:rsidRDefault="00130E8B">
      <w:pPr>
        <w:pStyle w:val="a3"/>
        <w:rPr>
          <w:rFonts w:eastAsia="Times New Roman"/>
          <w:lang w:val="hu-HU"/>
        </w:rPr>
      </w:pPr>
    </w:p>
    <w:p w14:paraId="42DB93E3" w14:textId="21C3145D" w:rsidR="00130E8B" w:rsidRDefault="000405CC">
      <w:pPr>
        <w:pStyle w:val="a3"/>
        <w:rPr>
          <w:lang w:val="hu-HU"/>
        </w:rPr>
      </w:pPr>
      <w:r>
        <w:rPr>
          <w:rFonts w:eastAsia="Times New Roman"/>
          <w:lang w:val="hu-HU"/>
        </w:rPr>
        <w:t>A Psoriasis</w:t>
      </w:r>
      <w:r w:rsidR="00B07467" w:rsidRPr="009167C6">
        <w:rPr>
          <w:lang w:val="hu-HU"/>
        </w:rPr>
        <w:t> </w:t>
      </w:r>
      <w:r>
        <w:rPr>
          <w:rFonts w:eastAsia="Times New Roman"/>
          <w:lang w:val="hu-HU"/>
        </w:rPr>
        <w:t xml:space="preserve">III vizsgálat (REACH) a  adalimumab hatásosságát és biztonságosságát hasonlította össze a placebóval </w:t>
      </w:r>
      <w:r>
        <w:rPr>
          <w:rFonts w:eastAsia="Times New Roman"/>
          <w:i/>
          <w:iCs/>
          <w:lang w:val="hu-HU"/>
        </w:rPr>
        <w:t xml:space="preserve">szemben </w:t>
      </w:r>
      <w:r>
        <w:rPr>
          <w:rFonts w:eastAsia="Times New Roman"/>
          <w:lang w:val="hu-HU"/>
        </w:rPr>
        <w:t xml:space="preserve">72 betegnél, akik közepesen súlyos-súlyos krónikus plakkos psoriasisban és a kézfejet </w:t>
      </w:r>
      <w:r>
        <w:rPr>
          <w:rFonts w:eastAsia="Times New Roman"/>
          <w:lang w:val="hu-HU"/>
        </w:rPr>
        <w:lastRenderedPageBreak/>
        <w:t>és/vagy a lábfejet érintő psoriasisban szenvedtek. A betegek placebót vagy 80 mg adalimumab kezdő dózist kaptak, amelyet 40 mg adalimumab követett minden második héten (egy héttel a kezdő dózis után kezdve) 16 héten keresztül. A 16. héten az adalimumabot kapó betegek statisztikailag szignifikánsan nagyobb arányban (30,6%) értek el „tiszta” vagy „majdnem tiszta” PGA-pontszámot a kézfejek és/vagy lábfejek vonatkozásában a placebót kapó betegekhez képest (4,3%) [P = 0,014].</w:t>
      </w:r>
    </w:p>
    <w:p w14:paraId="7CC531D2" w14:textId="77777777" w:rsidR="00130E8B" w:rsidRDefault="00130E8B">
      <w:pPr>
        <w:pStyle w:val="a3"/>
        <w:rPr>
          <w:rFonts w:eastAsia="Times New Roman"/>
          <w:lang w:val="hu-HU"/>
        </w:rPr>
      </w:pPr>
    </w:p>
    <w:p w14:paraId="2C9101B2" w14:textId="5B9E8F07" w:rsidR="00130E8B" w:rsidRDefault="000405CC">
      <w:pPr>
        <w:pStyle w:val="a3"/>
        <w:rPr>
          <w:lang w:val="hu-HU"/>
        </w:rPr>
      </w:pPr>
      <w:r>
        <w:rPr>
          <w:rFonts w:eastAsia="Times New Roman"/>
          <w:lang w:val="hu-HU"/>
        </w:rPr>
        <w:t>A Psoriasis IV vizsgálatban az adalimumab hatásosságát és biztonságosságát placebóval hasonlították össze 217 felnőtt, közepesen súlyos-súlyos köröm-psoriasisban szenvedő felnőtt betegnél. A betegek 80 mg kezdő dózist követően kéthetente 40 mg adalimumabot kaptak (egy héttel a kezdő dózis beadása után kezdve), vagy placebokezelésben részesültek 26 hétig, amelyet nyílt elrendezésű adalimumab-kezelés követett további 26 héten át. A köröm-psoriasis értékelése tartalmazta a módosított köröm-psoriasis súlyossági indexet (mNAPSI, Modified Nail Psoriasis Severity Index), a köröm-psoriasis kezelőorvosok általi globális értékelését (PGA-F, Physician’s Global Assessment of Fingernail Psoriasis) és a köröm-psoriasis súlyossági indexet (NAPSI) (lásd 1</w:t>
      </w:r>
      <w:r w:rsidR="00D33AB9">
        <w:rPr>
          <w:rFonts w:eastAsia="Times New Roman"/>
          <w:lang w:val="hu-HU"/>
        </w:rPr>
        <w:t>8</w:t>
      </w:r>
      <w:r>
        <w:rPr>
          <w:rFonts w:eastAsia="Times New Roman"/>
          <w:lang w:val="hu-HU"/>
        </w:rPr>
        <w:t>. táblázat). Az adalimumab köröm-psoriasisban kifejtett kedvező hatását különböző mértékű bőrérintettség mellett (BSA≥10% (a betegek 60%-a) és BSA&lt;10% és ≥5% (a betegek 40%-a)) igazolták.</w:t>
      </w:r>
    </w:p>
    <w:p w14:paraId="51FAD125" w14:textId="6CE1E1D9" w:rsidR="00130E8B" w:rsidRDefault="000405CC">
      <w:pPr>
        <w:pStyle w:val="a3"/>
        <w:jc w:val="center"/>
        <w:rPr>
          <w:b/>
          <w:lang w:val="hu-HU"/>
        </w:rPr>
      </w:pPr>
      <w:r>
        <w:rPr>
          <w:rFonts w:eastAsia="Times New Roman"/>
          <w:b/>
          <w:bCs/>
          <w:lang w:val="hu-HU"/>
        </w:rPr>
        <w:t>1</w:t>
      </w:r>
      <w:r w:rsidR="00D33AB9">
        <w:rPr>
          <w:rFonts w:eastAsia="Times New Roman"/>
          <w:b/>
          <w:bCs/>
          <w:lang w:val="hu-HU"/>
        </w:rPr>
        <w:t>8</w:t>
      </w:r>
      <w:r>
        <w:rPr>
          <w:rFonts w:eastAsia="Times New Roman"/>
          <w:b/>
          <w:bCs/>
          <w:lang w:val="hu-HU"/>
        </w:rPr>
        <w:t>. táblázat</w:t>
      </w:r>
    </w:p>
    <w:p w14:paraId="1E365D39" w14:textId="1CC84216" w:rsidR="00130E8B" w:rsidRDefault="000405CC">
      <w:pPr>
        <w:pStyle w:val="a3"/>
        <w:jc w:val="center"/>
        <w:rPr>
          <w:rFonts w:eastAsia="Times New Roman"/>
          <w:b/>
          <w:bCs/>
          <w:lang w:val="hu-HU"/>
        </w:rPr>
      </w:pPr>
      <w:r>
        <w:rPr>
          <w:rFonts w:eastAsia="Times New Roman"/>
          <w:b/>
          <w:bCs/>
          <w:lang w:val="hu-HU"/>
        </w:rPr>
        <w:t>Psoriasis IV vizsgálat hatásossági eredmények a 16., 26. és 52. héten</w:t>
      </w:r>
    </w:p>
    <w:p w14:paraId="232F1C74" w14:textId="77777777" w:rsidR="00C14860" w:rsidRDefault="00C14860">
      <w:pPr>
        <w:pStyle w:val="a3"/>
        <w:jc w:val="center"/>
        <w:rPr>
          <w:b/>
          <w:lang w:val="hu-HU"/>
        </w:rPr>
      </w:pPr>
    </w:p>
    <w:tbl>
      <w:tblPr>
        <w:tblStyle w:val="TableNormal1"/>
        <w:tblW w:w="9576" w:type="dxa"/>
        <w:tblInd w:w="110" w:type="dxa"/>
        <w:tblLayout w:type="fixed"/>
        <w:tblLook w:val="01E0" w:firstRow="1" w:lastRow="1" w:firstColumn="1" w:lastColumn="1" w:noHBand="0" w:noVBand="0"/>
      </w:tblPr>
      <w:tblGrid>
        <w:gridCol w:w="2578"/>
        <w:gridCol w:w="992"/>
        <w:gridCol w:w="1489"/>
        <w:gridCol w:w="989"/>
        <w:gridCol w:w="1491"/>
        <w:gridCol w:w="2037"/>
      </w:tblGrid>
      <w:tr w:rsidR="00130E8B" w:rsidRPr="00F70E6D" w14:paraId="7EF0A263" w14:textId="77777777" w:rsidTr="009167C6">
        <w:tc>
          <w:tcPr>
            <w:tcW w:w="2578" w:type="dxa"/>
            <w:vMerge w:val="restart"/>
            <w:tcBorders>
              <w:top w:val="single" w:sz="5" w:space="0" w:color="000000"/>
              <w:left w:val="single" w:sz="5" w:space="0" w:color="000000"/>
              <w:right w:val="single" w:sz="5" w:space="0" w:color="000000"/>
            </w:tcBorders>
          </w:tcPr>
          <w:p w14:paraId="26A312F3" w14:textId="77777777" w:rsidR="00130E8B" w:rsidRDefault="000405CC" w:rsidP="009167C6">
            <w:pPr>
              <w:pStyle w:val="TableParagraph"/>
              <w:rPr>
                <w:rFonts w:ascii="Times New Roman" w:eastAsia="Times New Roman" w:hAnsi="Times New Roman" w:cs="Times New Roman"/>
                <w:lang w:val="hu-HU"/>
              </w:rPr>
            </w:pPr>
            <w:r>
              <w:rPr>
                <w:rFonts w:ascii="Times New Roman" w:eastAsia="Times New Roman" w:hAnsi="Times New Roman" w:cs="Times New Roman"/>
                <w:spacing w:val="-1"/>
                <w:lang w:val="hu-HU"/>
              </w:rPr>
              <w:t>Végpont</w:t>
            </w:r>
          </w:p>
        </w:tc>
        <w:tc>
          <w:tcPr>
            <w:tcW w:w="2481" w:type="dxa"/>
            <w:gridSpan w:val="2"/>
            <w:tcBorders>
              <w:top w:val="single" w:sz="5" w:space="0" w:color="000000"/>
              <w:left w:val="single" w:sz="5" w:space="0" w:color="000000"/>
              <w:bottom w:val="single" w:sz="5" w:space="0" w:color="000000"/>
              <w:right w:val="single" w:sz="5" w:space="0" w:color="000000"/>
            </w:tcBorders>
          </w:tcPr>
          <w:p w14:paraId="591AB371" w14:textId="77777777" w:rsidR="00130E8B" w:rsidRDefault="000405CC" w:rsidP="009167C6">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16. hét</w:t>
            </w:r>
          </w:p>
          <w:p w14:paraId="7062D49C" w14:textId="77777777" w:rsidR="00130E8B" w:rsidRDefault="000405CC" w:rsidP="009167C6">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Placebokontrollos</w:t>
            </w:r>
          </w:p>
        </w:tc>
        <w:tc>
          <w:tcPr>
            <w:tcW w:w="2480" w:type="dxa"/>
            <w:gridSpan w:val="2"/>
            <w:tcBorders>
              <w:top w:val="single" w:sz="5" w:space="0" w:color="000000"/>
              <w:left w:val="single" w:sz="5" w:space="0" w:color="000000"/>
              <w:bottom w:val="single" w:sz="5" w:space="0" w:color="000000"/>
              <w:right w:val="single" w:sz="5" w:space="0" w:color="000000"/>
            </w:tcBorders>
          </w:tcPr>
          <w:p w14:paraId="1A83475B" w14:textId="77777777" w:rsidR="00130E8B" w:rsidRDefault="000405CC" w:rsidP="009167C6">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26. hét</w:t>
            </w:r>
          </w:p>
          <w:p w14:paraId="39552A14" w14:textId="77777777" w:rsidR="00130E8B" w:rsidRDefault="000405CC" w:rsidP="009167C6">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Placebokontrollos</w:t>
            </w:r>
          </w:p>
        </w:tc>
        <w:tc>
          <w:tcPr>
            <w:tcW w:w="2037" w:type="dxa"/>
            <w:tcBorders>
              <w:top w:val="single" w:sz="5" w:space="0" w:color="000000"/>
              <w:left w:val="single" w:sz="5" w:space="0" w:color="000000"/>
              <w:bottom w:val="single" w:sz="5" w:space="0" w:color="000000"/>
              <w:right w:val="single" w:sz="5" w:space="0" w:color="000000"/>
            </w:tcBorders>
          </w:tcPr>
          <w:p w14:paraId="133C07B4" w14:textId="77777777" w:rsidR="00130E8B" w:rsidRDefault="000405CC" w:rsidP="009167C6">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52. hét</w:t>
            </w:r>
          </w:p>
          <w:p w14:paraId="01002DFB" w14:textId="77777777" w:rsidR="00130E8B" w:rsidRDefault="000405CC" w:rsidP="009167C6">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Nyílt -elrendezés</w:t>
            </w:r>
          </w:p>
        </w:tc>
      </w:tr>
      <w:tr w:rsidR="00130E8B" w:rsidRPr="00F70E6D" w14:paraId="163FF77E" w14:textId="77777777" w:rsidTr="009167C6">
        <w:tc>
          <w:tcPr>
            <w:tcW w:w="2578" w:type="dxa"/>
            <w:vMerge/>
            <w:tcBorders>
              <w:left w:val="single" w:sz="5" w:space="0" w:color="000000"/>
              <w:bottom w:val="single" w:sz="5" w:space="0" w:color="000000"/>
              <w:right w:val="single" w:sz="5" w:space="0" w:color="000000"/>
            </w:tcBorders>
          </w:tcPr>
          <w:p w14:paraId="7092B69C" w14:textId="77777777" w:rsidR="00130E8B" w:rsidRDefault="00130E8B" w:rsidP="009167C6">
            <w:pPr>
              <w:rPr>
                <w:lang w:val="hu-HU"/>
              </w:rPr>
            </w:pPr>
          </w:p>
        </w:tc>
        <w:tc>
          <w:tcPr>
            <w:tcW w:w="992" w:type="dxa"/>
            <w:tcBorders>
              <w:top w:val="single" w:sz="5" w:space="0" w:color="000000"/>
              <w:left w:val="single" w:sz="5" w:space="0" w:color="000000"/>
              <w:bottom w:val="single" w:sz="5" w:space="0" w:color="000000"/>
              <w:right w:val="single" w:sz="5" w:space="0" w:color="000000"/>
            </w:tcBorders>
          </w:tcPr>
          <w:p w14:paraId="477473C9" w14:textId="77777777" w:rsidR="00130E8B" w:rsidRDefault="000405CC" w:rsidP="009167C6">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Placebo</w:t>
            </w:r>
          </w:p>
          <w:p w14:paraId="598ABC43" w14:textId="15492C53" w:rsidR="00130E8B" w:rsidRDefault="00B0731E" w:rsidP="009167C6">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n</w:t>
            </w:r>
            <w:r w:rsidR="000405CC">
              <w:rPr>
                <w:rFonts w:ascii="Times New Roman" w:eastAsia="Times New Roman" w:hAnsi="Times New Roman" w:cs="Times New Roman"/>
                <w:spacing w:val="-1"/>
                <w:lang w:val="hu-HU"/>
              </w:rPr>
              <w:t>=108</w:t>
            </w:r>
          </w:p>
        </w:tc>
        <w:tc>
          <w:tcPr>
            <w:tcW w:w="1489" w:type="dxa"/>
            <w:tcBorders>
              <w:top w:val="single" w:sz="5" w:space="0" w:color="000000"/>
              <w:left w:val="single" w:sz="5" w:space="0" w:color="000000"/>
              <w:bottom w:val="single" w:sz="5" w:space="0" w:color="000000"/>
              <w:right w:val="single" w:sz="5" w:space="0" w:color="000000"/>
            </w:tcBorders>
          </w:tcPr>
          <w:p w14:paraId="2B3FEC5D" w14:textId="77777777" w:rsidR="00D33AB9" w:rsidRDefault="000405CC" w:rsidP="009167C6">
            <w:pPr>
              <w:pStyle w:val="TableParagraph"/>
              <w:jc w:val="center"/>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Adalimumab 40 mg minden második héten </w:t>
            </w:r>
          </w:p>
          <w:p w14:paraId="3A6532CD" w14:textId="333625C6" w:rsidR="00130E8B" w:rsidRDefault="00761E44" w:rsidP="009167C6">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n</w:t>
            </w:r>
            <w:r w:rsidR="000405CC">
              <w:rPr>
                <w:rFonts w:ascii="Times New Roman" w:eastAsia="Times New Roman" w:hAnsi="Times New Roman" w:cs="Times New Roman"/>
                <w:spacing w:val="-1"/>
                <w:lang w:val="hu-HU"/>
              </w:rPr>
              <w:t>=109</w:t>
            </w:r>
          </w:p>
        </w:tc>
        <w:tc>
          <w:tcPr>
            <w:tcW w:w="989" w:type="dxa"/>
            <w:tcBorders>
              <w:top w:val="single" w:sz="5" w:space="0" w:color="000000"/>
              <w:left w:val="single" w:sz="5" w:space="0" w:color="000000"/>
              <w:bottom w:val="single" w:sz="5" w:space="0" w:color="000000"/>
              <w:right w:val="single" w:sz="5" w:space="0" w:color="000000"/>
            </w:tcBorders>
          </w:tcPr>
          <w:p w14:paraId="575AC1DB" w14:textId="77777777" w:rsidR="00130E8B" w:rsidRDefault="000405CC" w:rsidP="009167C6">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Placebo</w:t>
            </w:r>
          </w:p>
          <w:p w14:paraId="4FCBD12A" w14:textId="3F53EA8E" w:rsidR="00130E8B" w:rsidRDefault="00B0731E" w:rsidP="009167C6">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n</w:t>
            </w:r>
            <w:r w:rsidR="000405CC">
              <w:rPr>
                <w:rFonts w:ascii="Times New Roman" w:eastAsia="Times New Roman" w:hAnsi="Times New Roman" w:cs="Times New Roman"/>
                <w:spacing w:val="-1"/>
                <w:lang w:val="hu-HU"/>
              </w:rPr>
              <w:t>=108</w:t>
            </w:r>
          </w:p>
        </w:tc>
        <w:tc>
          <w:tcPr>
            <w:tcW w:w="1491" w:type="dxa"/>
            <w:tcBorders>
              <w:top w:val="single" w:sz="5" w:space="0" w:color="000000"/>
              <w:left w:val="single" w:sz="5" w:space="0" w:color="000000"/>
              <w:bottom w:val="single" w:sz="5" w:space="0" w:color="000000"/>
              <w:right w:val="single" w:sz="5" w:space="0" w:color="000000"/>
            </w:tcBorders>
          </w:tcPr>
          <w:p w14:paraId="59241398" w14:textId="47614C8F" w:rsidR="00130E8B" w:rsidRDefault="00D33AB9" w:rsidP="009167C6">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A</w:t>
            </w:r>
            <w:r w:rsidR="000405CC">
              <w:rPr>
                <w:rFonts w:ascii="Times New Roman" w:eastAsia="Times New Roman" w:hAnsi="Times New Roman" w:cs="Times New Roman"/>
                <w:spacing w:val="-1"/>
                <w:lang w:val="hu-HU"/>
              </w:rPr>
              <w:t>dalimumab</w:t>
            </w:r>
          </w:p>
          <w:p w14:paraId="6E03B6D8" w14:textId="77777777" w:rsidR="00D33AB9" w:rsidRDefault="000405CC" w:rsidP="009167C6">
            <w:pPr>
              <w:pStyle w:val="TableParagraph"/>
              <w:spacing w:before="1"/>
              <w:jc w:val="center"/>
              <w:rPr>
                <w:rFonts w:ascii="Times New Roman" w:eastAsia="Times New Roman" w:hAnsi="Times New Roman" w:cs="Times New Roman"/>
                <w:lang w:val="hu-HU"/>
              </w:rPr>
            </w:pPr>
            <w:r>
              <w:rPr>
                <w:rFonts w:ascii="Times New Roman" w:eastAsia="Times New Roman" w:hAnsi="Times New Roman" w:cs="Times New Roman"/>
                <w:lang w:val="hu-HU"/>
              </w:rPr>
              <w:t xml:space="preserve">40 mg minden második héten </w:t>
            </w:r>
          </w:p>
          <w:p w14:paraId="5810982B" w14:textId="115A2A52" w:rsidR="00130E8B" w:rsidRDefault="00B0731E" w:rsidP="009167C6">
            <w:pPr>
              <w:pStyle w:val="TableParagraph"/>
              <w:spacing w:before="1"/>
              <w:jc w:val="center"/>
              <w:rPr>
                <w:rFonts w:ascii="Times New Roman" w:eastAsia="Times New Roman" w:hAnsi="Times New Roman" w:cs="Times New Roman"/>
                <w:lang w:val="hu-HU"/>
              </w:rPr>
            </w:pPr>
            <w:r>
              <w:rPr>
                <w:rFonts w:ascii="Times New Roman" w:eastAsia="Times New Roman" w:hAnsi="Times New Roman" w:cs="Times New Roman"/>
                <w:lang w:val="hu-HU"/>
              </w:rPr>
              <w:t>n</w:t>
            </w:r>
            <w:r w:rsidR="000405CC">
              <w:rPr>
                <w:rFonts w:ascii="Times New Roman" w:eastAsia="Times New Roman" w:hAnsi="Times New Roman" w:cs="Times New Roman"/>
                <w:lang w:val="hu-HU"/>
              </w:rPr>
              <w:t>=109</w:t>
            </w:r>
          </w:p>
        </w:tc>
        <w:tc>
          <w:tcPr>
            <w:tcW w:w="2037" w:type="dxa"/>
            <w:tcBorders>
              <w:top w:val="single" w:sz="5" w:space="0" w:color="000000"/>
              <w:left w:val="single" w:sz="5" w:space="0" w:color="000000"/>
              <w:bottom w:val="single" w:sz="5" w:space="0" w:color="000000"/>
              <w:right w:val="single" w:sz="5" w:space="0" w:color="000000"/>
            </w:tcBorders>
          </w:tcPr>
          <w:p w14:paraId="0FAA7D52" w14:textId="4F0FF3A8" w:rsidR="00130E8B" w:rsidRDefault="00D33AB9" w:rsidP="009167C6">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A</w:t>
            </w:r>
            <w:r w:rsidR="000405CC">
              <w:rPr>
                <w:rFonts w:ascii="Times New Roman" w:eastAsia="Times New Roman" w:hAnsi="Times New Roman" w:cs="Times New Roman"/>
                <w:spacing w:val="-1"/>
                <w:lang w:val="hu-HU"/>
              </w:rPr>
              <w:t>dalimumab</w:t>
            </w:r>
          </w:p>
          <w:p w14:paraId="3528316A" w14:textId="77777777" w:rsidR="00D33AB9" w:rsidRDefault="000405CC" w:rsidP="009167C6">
            <w:pPr>
              <w:pStyle w:val="TableParagraph"/>
              <w:spacing w:before="1"/>
              <w:jc w:val="center"/>
              <w:rPr>
                <w:rFonts w:ascii="Times New Roman" w:eastAsia="Times New Roman" w:hAnsi="Times New Roman" w:cs="Times New Roman"/>
                <w:lang w:val="hu-HU"/>
              </w:rPr>
            </w:pPr>
            <w:r>
              <w:rPr>
                <w:rFonts w:ascii="Times New Roman" w:eastAsia="Times New Roman" w:hAnsi="Times New Roman" w:cs="Times New Roman"/>
                <w:lang w:val="hu-HU"/>
              </w:rPr>
              <w:t xml:space="preserve">40 mg minden második héten </w:t>
            </w:r>
          </w:p>
          <w:p w14:paraId="1A966225" w14:textId="4B16525F" w:rsidR="00130E8B" w:rsidRDefault="00B0731E" w:rsidP="009167C6">
            <w:pPr>
              <w:pStyle w:val="TableParagraph"/>
              <w:spacing w:before="1"/>
              <w:jc w:val="center"/>
              <w:rPr>
                <w:rFonts w:ascii="Times New Roman" w:eastAsia="Times New Roman" w:hAnsi="Times New Roman" w:cs="Times New Roman"/>
                <w:lang w:val="hu-HU"/>
              </w:rPr>
            </w:pPr>
            <w:r>
              <w:rPr>
                <w:rFonts w:ascii="Times New Roman" w:eastAsia="Times New Roman" w:hAnsi="Times New Roman" w:cs="Times New Roman"/>
                <w:lang w:val="hu-HU"/>
              </w:rPr>
              <w:t>n</w:t>
            </w:r>
            <w:r w:rsidR="000405CC">
              <w:rPr>
                <w:rFonts w:ascii="Times New Roman" w:eastAsia="Times New Roman" w:hAnsi="Times New Roman" w:cs="Times New Roman"/>
                <w:lang w:val="hu-HU"/>
              </w:rPr>
              <w:t>=80</w:t>
            </w:r>
          </w:p>
        </w:tc>
      </w:tr>
      <w:tr w:rsidR="00130E8B" w14:paraId="1A991650" w14:textId="77777777" w:rsidTr="009167C6">
        <w:tc>
          <w:tcPr>
            <w:tcW w:w="2578" w:type="dxa"/>
            <w:tcBorders>
              <w:top w:val="single" w:sz="5" w:space="0" w:color="000000"/>
              <w:left w:val="single" w:sz="5" w:space="0" w:color="000000"/>
              <w:bottom w:val="single" w:sz="5" w:space="0" w:color="000000"/>
              <w:right w:val="single" w:sz="5" w:space="0" w:color="000000"/>
            </w:tcBorders>
          </w:tcPr>
          <w:p w14:paraId="2F064C48" w14:textId="77777777" w:rsidR="00130E8B" w:rsidRDefault="000405CC" w:rsidP="009167C6">
            <w:pPr>
              <w:pStyle w:val="TableParagraph"/>
              <w:rPr>
                <w:rFonts w:ascii="Times New Roman" w:eastAsia="Times New Roman" w:hAnsi="Times New Roman" w:cs="Times New Roman"/>
                <w:lang w:val="hu-HU"/>
              </w:rPr>
            </w:pPr>
            <w:r>
              <w:rPr>
                <w:rFonts w:ascii="Times New Roman" w:eastAsia="Times New Roman" w:hAnsi="Times New Roman" w:cs="Times New Roman"/>
                <w:lang w:val="hu-HU"/>
              </w:rPr>
              <w:t>≥ mNAPSI 75 (%)</w:t>
            </w:r>
          </w:p>
        </w:tc>
        <w:tc>
          <w:tcPr>
            <w:tcW w:w="992" w:type="dxa"/>
            <w:tcBorders>
              <w:top w:val="single" w:sz="5" w:space="0" w:color="000000"/>
              <w:left w:val="single" w:sz="5" w:space="0" w:color="000000"/>
              <w:bottom w:val="single" w:sz="5" w:space="0" w:color="000000"/>
              <w:right w:val="single" w:sz="5" w:space="0" w:color="000000"/>
            </w:tcBorders>
          </w:tcPr>
          <w:p w14:paraId="1FA91FC7" w14:textId="77777777" w:rsidR="00130E8B" w:rsidRPr="007C168B" w:rsidRDefault="000405CC" w:rsidP="009167C6">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lang w:val="hu-HU"/>
              </w:rPr>
              <w:t>2,9</w:t>
            </w:r>
          </w:p>
        </w:tc>
        <w:tc>
          <w:tcPr>
            <w:tcW w:w="1489" w:type="dxa"/>
            <w:tcBorders>
              <w:top w:val="single" w:sz="5" w:space="0" w:color="000000"/>
              <w:left w:val="single" w:sz="5" w:space="0" w:color="000000"/>
              <w:bottom w:val="single" w:sz="5" w:space="0" w:color="000000"/>
              <w:right w:val="single" w:sz="5" w:space="0" w:color="000000"/>
            </w:tcBorders>
          </w:tcPr>
          <w:p w14:paraId="3634E2EB" w14:textId="77777777" w:rsidR="00130E8B" w:rsidRPr="009167C6" w:rsidRDefault="000405CC" w:rsidP="009167C6">
            <w:pPr>
              <w:pStyle w:val="TableParagraph"/>
              <w:jc w:val="center"/>
              <w:rPr>
                <w:rFonts w:ascii="Times New Roman" w:eastAsia="Times New Roman" w:hAnsi="Times New Roman" w:cs="Times New Roman"/>
                <w:lang w:val="hu-HU"/>
              </w:rPr>
            </w:pPr>
            <w:r w:rsidRPr="009167C6">
              <w:rPr>
                <w:rFonts w:ascii="Times New Roman" w:eastAsia="Times New Roman" w:hAnsi="Times New Roman" w:cs="Times New Roman"/>
                <w:lang w:val="hu-HU"/>
              </w:rPr>
              <w:t>26,0</w:t>
            </w:r>
            <w:r w:rsidRPr="009167C6">
              <w:rPr>
                <w:rFonts w:ascii="Times New Roman" w:eastAsia="Times New Roman" w:hAnsi="Times New Roman" w:cs="Times New Roman"/>
                <w:vertAlign w:val="superscript"/>
                <w:lang w:val="hu-HU"/>
              </w:rPr>
              <w:t>a</w:t>
            </w:r>
          </w:p>
        </w:tc>
        <w:tc>
          <w:tcPr>
            <w:tcW w:w="989" w:type="dxa"/>
            <w:tcBorders>
              <w:top w:val="single" w:sz="5" w:space="0" w:color="000000"/>
              <w:left w:val="single" w:sz="5" w:space="0" w:color="000000"/>
              <w:bottom w:val="single" w:sz="5" w:space="0" w:color="000000"/>
              <w:right w:val="single" w:sz="5" w:space="0" w:color="000000"/>
            </w:tcBorders>
          </w:tcPr>
          <w:p w14:paraId="25F2321B" w14:textId="77777777" w:rsidR="00130E8B" w:rsidRPr="007C168B" w:rsidRDefault="000405CC" w:rsidP="009167C6">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lang w:val="hu-HU"/>
              </w:rPr>
              <w:t>3,4</w:t>
            </w:r>
          </w:p>
        </w:tc>
        <w:tc>
          <w:tcPr>
            <w:tcW w:w="1491" w:type="dxa"/>
            <w:tcBorders>
              <w:top w:val="single" w:sz="5" w:space="0" w:color="000000"/>
              <w:left w:val="single" w:sz="5" w:space="0" w:color="000000"/>
              <w:bottom w:val="single" w:sz="5" w:space="0" w:color="000000"/>
              <w:right w:val="single" w:sz="5" w:space="0" w:color="000000"/>
            </w:tcBorders>
          </w:tcPr>
          <w:p w14:paraId="5778FC64" w14:textId="77777777" w:rsidR="00130E8B" w:rsidRPr="009167C6" w:rsidRDefault="000405CC" w:rsidP="009167C6">
            <w:pPr>
              <w:pStyle w:val="TableParagraph"/>
              <w:jc w:val="center"/>
              <w:rPr>
                <w:rFonts w:ascii="Times New Roman" w:eastAsia="Times New Roman" w:hAnsi="Times New Roman" w:cs="Times New Roman"/>
                <w:lang w:val="hu-HU"/>
              </w:rPr>
            </w:pPr>
            <w:r w:rsidRPr="009167C6">
              <w:rPr>
                <w:rFonts w:ascii="Times New Roman" w:eastAsia="Times New Roman" w:hAnsi="Times New Roman" w:cs="Times New Roman"/>
                <w:lang w:val="hu-HU"/>
              </w:rPr>
              <w:t>46,6</w:t>
            </w:r>
            <w:r w:rsidRPr="009167C6">
              <w:rPr>
                <w:rFonts w:ascii="Times New Roman" w:eastAsia="Times New Roman" w:hAnsi="Times New Roman" w:cs="Times New Roman"/>
                <w:vertAlign w:val="superscript"/>
                <w:lang w:val="hu-HU"/>
              </w:rPr>
              <w:t>a</w:t>
            </w:r>
          </w:p>
        </w:tc>
        <w:tc>
          <w:tcPr>
            <w:tcW w:w="2037" w:type="dxa"/>
            <w:tcBorders>
              <w:top w:val="single" w:sz="5" w:space="0" w:color="000000"/>
              <w:left w:val="single" w:sz="5" w:space="0" w:color="000000"/>
              <w:bottom w:val="single" w:sz="5" w:space="0" w:color="000000"/>
              <w:right w:val="single" w:sz="5" w:space="0" w:color="000000"/>
            </w:tcBorders>
          </w:tcPr>
          <w:p w14:paraId="57776636" w14:textId="77777777" w:rsidR="00130E8B" w:rsidRPr="007C168B" w:rsidRDefault="000405CC" w:rsidP="009167C6">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lang w:val="hu-HU"/>
              </w:rPr>
              <w:t>65,0</w:t>
            </w:r>
          </w:p>
        </w:tc>
      </w:tr>
      <w:tr w:rsidR="00130E8B" w14:paraId="35231E4F" w14:textId="77777777" w:rsidTr="009167C6">
        <w:tc>
          <w:tcPr>
            <w:tcW w:w="2578" w:type="dxa"/>
            <w:tcBorders>
              <w:top w:val="single" w:sz="5" w:space="0" w:color="000000"/>
              <w:left w:val="single" w:sz="5" w:space="0" w:color="000000"/>
              <w:bottom w:val="single" w:sz="5" w:space="0" w:color="000000"/>
              <w:right w:val="single" w:sz="5" w:space="0" w:color="000000"/>
            </w:tcBorders>
          </w:tcPr>
          <w:p w14:paraId="7DF9B5BA" w14:textId="77777777" w:rsidR="00130E8B" w:rsidRDefault="000405CC" w:rsidP="009167C6">
            <w:pPr>
              <w:pStyle w:val="TableParagraph"/>
              <w:rPr>
                <w:rFonts w:ascii="Times New Roman" w:eastAsia="Times New Roman" w:hAnsi="Times New Roman" w:cs="Times New Roman"/>
                <w:lang w:val="hu-HU"/>
              </w:rPr>
            </w:pPr>
            <w:r>
              <w:rPr>
                <w:rFonts w:ascii="Times New Roman" w:eastAsia="Times New Roman" w:hAnsi="Times New Roman" w:cs="Times New Roman"/>
                <w:spacing w:val="-1"/>
                <w:lang w:val="hu-HU"/>
              </w:rPr>
              <w:t>PGA-F tiszta/minimális és</w:t>
            </w:r>
          </w:p>
          <w:p w14:paraId="6FBDA963" w14:textId="77777777" w:rsidR="00130E8B" w:rsidRDefault="000405CC" w:rsidP="009167C6">
            <w:pPr>
              <w:pStyle w:val="TableParagraph"/>
              <w:rPr>
                <w:rFonts w:ascii="Times New Roman" w:eastAsia="Times New Roman" w:hAnsi="Times New Roman" w:cs="Times New Roman"/>
                <w:lang w:val="hu-HU"/>
              </w:rPr>
            </w:pPr>
            <w:r>
              <w:rPr>
                <w:rFonts w:ascii="Times New Roman" w:eastAsia="Times New Roman" w:hAnsi="Times New Roman" w:cs="Times New Roman"/>
                <w:spacing w:val="1"/>
                <w:lang w:val="hu-HU"/>
              </w:rPr>
              <w:t>≥2-fokozatú javulás (%)</w:t>
            </w:r>
          </w:p>
        </w:tc>
        <w:tc>
          <w:tcPr>
            <w:tcW w:w="992" w:type="dxa"/>
            <w:tcBorders>
              <w:top w:val="single" w:sz="5" w:space="0" w:color="000000"/>
              <w:left w:val="single" w:sz="5" w:space="0" w:color="000000"/>
              <w:bottom w:val="single" w:sz="5" w:space="0" w:color="000000"/>
              <w:right w:val="single" w:sz="5" w:space="0" w:color="000000"/>
            </w:tcBorders>
          </w:tcPr>
          <w:p w14:paraId="5A182EE1" w14:textId="77777777" w:rsidR="00130E8B" w:rsidRPr="007C168B" w:rsidRDefault="000405CC" w:rsidP="009167C6">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lang w:val="hu-HU"/>
              </w:rPr>
              <w:t>2,9</w:t>
            </w:r>
          </w:p>
        </w:tc>
        <w:tc>
          <w:tcPr>
            <w:tcW w:w="1489" w:type="dxa"/>
            <w:tcBorders>
              <w:top w:val="single" w:sz="5" w:space="0" w:color="000000"/>
              <w:left w:val="single" w:sz="5" w:space="0" w:color="000000"/>
              <w:bottom w:val="single" w:sz="5" w:space="0" w:color="000000"/>
              <w:right w:val="single" w:sz="5" w:space="0" w:color="000000"/>
            </w:tcBorders>
          </w:tcPr>
          <w:p w14:paraId="6CCB4793" w14:textId="77777777" w:rsidR="00130E8B" w:rsidRPr="009167C6" w:rsidRDefault="000405CC" w:rsidP="009167C6">
            <w:pPr>
              <w:pStyle w:val="TableParagraph"/>
              <w:jc w:val="center"/>
              <w:rPr>
                <w:rFonts w:ascii="Times New Roman" w:eastAsia="Times New Roman" w:hAnsi="Times New Roman" w:cs="Times New Roman"/>
                <w:lang w:val="hu-HU"/>
              </w:rPr>
            </w:pPr>
            <w:r w:rsidRPr="009167C6">
              <w:rPr>
                <w:rFonts w:ascii="Times New Roman" w:eastAsia="Times New Roman" w:hAnsi="Times New Roman" w:cs="Times New Roman"/>
                <w:lang w:val="hu-HU"/>
              </w:rPr>
              <w:t>29,7</w:t>
            </w:r>
            <w:r w:rsidRPr="009167C6">
              <w:rPr>
                <w:rFonts w:ascii="Times New Roman" w:eastAsia="Times New Roman" w:hAnsi="Times New Roman" w:cs="Times New Roman"/>
                <w:vertAlign w:val="superscript"/>
                <w:lang w:val="hu-HU"/>
              </w:rPr>
              <w:t>a</w:t>
            </w:r>
          </w:p>
        </w:tc>
        <w:tc>
          <w:tcPr>
            <w:tcW w:w="989" w:type="dxa"/>
            <w:tcBorders>
              <w:top w:val="single" w:sz="5" w:space="0" w:color="000000"/>
              <w:left w:val="single" w:sz="5" w:space="0" w:color="000000"/>
              <w:bottom w:val="single" w:sz="5" w:space="0" w:color="000000"/>
              <w:right w:val="single" w:sz="5" w:space="0" w:color="000000"/>
            </w:tcBorders>
          </w:tcPr>
          <w:p w14:paraId="4D85CA70" w14:textId="77777777" w:rsidR="00130E8B" w:rsidRPr="007C168B" w:rsidRDefault="000405CC" w:rsidP="009167C6">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lang w:val="hu-HU"/>
              </w:rPr>
              <w:t>6,9</w:t>
            </w:r>
          </w:p>
        </w:tc>
        <w:tc>
          <w:tcPr>
            <w:tcW w:w="1491" w:type="dxa"/>
            <w:tcBorders>
              <w:top w:val="single" w:sz="5" w:space="0" w:color="000000"/>
              <w:left w:val="single" w:sz="5" w:space="0" w:color="000000"/>
              <w:bottom w:val="single" w:sz="5" w:space="0" w:color="000000"/>
              <w:right w:val="single" w:sz="5" w:space="0" w:color="000000"/>
            </w:tcBorders>
          </w:tcPr>
          <w:p w14:paraId="20B4043B" w14:textId="77777777" w:rsidR="00130E8B" w:rsidRPr="009167C6" w:rsidRDefault="000405CC" w:rsidP="009167C6">
            <w:pPr>
              <w:pStyle w:val="TableParagraph"/>
              <w:jc w:val="center"/>
              <w:rPr>
                <w:rFonts w:ascii="Times New Roman" w:eastAsia="Times New Roman" w:hAnsi="Times New Roman" w:cs="Times New Roman"/>
                <w:lang w:val="hu-HU"/>
              </w:rPr>
            </w:pPr>
            <w:r w:rsidRPr="009167C6">
              <w:rPr>
                <w:rFonts w:ascii="Times New Roman" w:eastAsia="Times New Roman" w:hAnsi="Times New Roman" w:cs="Times New Roman"/>
                <w:lang w:val="hu-HU"/>
              </w:rPr>
              <w:t>48,9</w:t>
            </w:r>
            <w:r w:rsidRPr="009167C6">
              <w:rPr>
                <w:rFonts w:ascii="Times New Roman" w:eastAsia="Times New Roman" w:hAnsi="Times New Roman" w:cs="Times New Roman"/>
                <w:vertAlign w:val="superscript"/>
                <w:lang w:val="hu-HU"/>
              </w:rPr>
              <w:t>a</w:t>
            </w:r>
          </w:p>
        </w:tc>
        <w:tc>
          <w:tcPr>
            <w:tcW w:w="2037" w:type="dxa"/>
            <w:tcBorders>
              <w:top w:val="single" w:sz="5" w:space="0" w:color="000000"/>
              <w:left w:val="single" w:sz="5" w:space="0" w:color="000000"/>
              <w:bottom w:val="single" w:sz="5" w:space="0" w:color="000000"/>
              <w:right w:val="single" w:sz="5" w:space="0" w:color="000000"/>
            </w:tcBorders>
          </w:tcPr>
          <w:p w14:paraId="3513013C" w14:textId="77777777" w:rsidR="00130E8B" w:rsidRPr="007C168B" w:rsidRDefault="000405CC" w:rsidP="009167C6">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lang w:val="hu-HU"/>
              </w:rPr>
              <w:t>61,3</w:t>
            </w:r>
          </w:p>
        </w:tc>
      </w:tr>
      <w:tr w:rsidR="00130E8B" w14:paraId="3B1FE755" w14:textId="77777777" w:rsidTr="009167C6">
        <w:tc>
          <w:tcPr>
            <w:tcW w:w="2578" w:type="dxa"/>
            <w:tcBorders>
              <w:top w:val="single" w:sz="5" w:space="0" w:color="000000"/>
              <w:left w:val="single" w:sz="5" w:space="0" w:color="000000"/>
              <w:bottom w:val="single" w:sz="5" w:space="0" w:color="000000"/>
              <w:right w:val="single" w:sz="5" w:space="0" w:color="000000"/>
            </w:tcBorders>
          </w:tcPr>
          <w:p w14:paraId="22FAF470" w14:textId="499C0E26" w:rsidR="00130E8B" w:rsidRDefault="000405CC" w:rsidP="009167C6">
            <w:pPr>
              <w:pStyle w:val="TableParagraph"/>
              <w:rPr>
                <w:rFonts w:ascii="Times New Roman" w:eastAsia="Times New Roman" w:hAnsi="Times New Roman" w:cs="Times New Roman"/>
                <w:lang w:val="hu-HU"/>
              </w:rPr>
            </w:pPr>
            <w:r>
              <w:rPr>
                <w:rFonts w:ascii="Times New Roman" w:eastAsia="Times New Roman" w:hAnsi="Times New Roman" w:cs="Times New Roman"/>
                <w:spacing w:val="-1"/>
                <w:lang w:val="hu-HU"/>
              </w:rPr>
              <w:t>Teljes köröm NAPSI százalékos</w:t>
            </w:r>
            <w:r w:rsidR="00F0336D">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változása (%)</w:t>
            </w:r>
          </w:p>
        </w:tc>
        <w:tc>
          <w:tcPr>
            <w:tcW w:w="992" w:type="dxa"/>
            <w:tcBorders>
              <w:top w:val="single" w:sz="5" w:space="0" w:color="000000"/>
              <w:left w:val="single" w:sz="5" w:space="0" w:color="000000"/>
              <w:bottom w:val="single" w:sz="5" w:space="0" w:color="000000"/>
              <w:right w:val="single" w:sz="5" w:space="0" w:color="000000"/>
            </w:tcBorders>
          </w:tcPr>
          <w:p w14:paraId="10803E5D" w14:textId="77777777" w:rsidR="00130E8B" w:rsidRPr="007C168B" w:rsidRDefault="000405CC" w:rsidP="009167C6">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spacing w:val="-4"/>
                <w:lang w:val="hu-HU"/>
              </w:rPr>
              <w:t>-7,8</w:t>
            </w:r>
          </w:p>
        </w:tc>
        <w:tc>
          <w:tcPr>
            <w:tcW w:w="1489" w:type="dxa"/>
            <w:tcBorders>
              <w:top w:val="single" w:sz="5" w:space="0" w:color="000000"/>
              <w:left w:val="single" w:sz="5" w:space="0" w:color="000000"/>
              <w:bottom w:val="single" w:sz="5" w:space="0" w:color="000000"/>
              <w:right w:val="single" w:sz="5" w:space="0" w:color="000000"/>
            </w:tcBorders>
          </w:tcPr>
          <w:p w14:paraId="22E528D0" w14:textId="77777777" w:rsidR="00130E8B" w:rsidRPr="009167C6" w:rsidRDefault="000405CC" w:rsidP="009167C6">
            <w:pPr>
              <w:pStyle w:val="TableParagraph"/>
              <w:jc w:val="center"/>
              <w:rPr>
                <w:rFonts w:ascii="Times New Roman" w:eastAsia="Times New Roman" w:hAnsi="Times New Roman" w:cs="Times New Roman"/>
                <w:lang w:val="hu-HU"/>
              </w:rPr>
            </w:pPr>
            <w:r w:rsidRPr="009167C6">
              <w:rPr>
                <w:rFonts w:ascii="Times New Roman" w:eastAsia="Times New Roman" w:hAnsi="Times New Roman" w:cs="Times New Roman"/>
                <w:spacing w:val="-4"/>
                <w:lang w:val="hu-HU"/>
              </w:rPr>
              <w:t xml:space="preserve">-44,2 </w:t>
            </w:r>
            <w:r w:rsidRPr="009167C6">
              <w:rPr>
                <w:rFonts w:ascii="Times New Roman" w:eastAsia="Times New Roman" w:hAnsi="Times New Roman" w:cs="Times New Roman"/>
                <w:spacing w:val="-4"/>
                <w:vertAlign w:val="superscript"/>
                <w:lang w:val="hu-HU"/>
              </w:rPr>
              <w:t>a</w:t>
            </w:r>
          </w:p>
        </w:tc>
        <w:tc>
          <w:tcPr>
            <w:tcW w:w="989" w:type="dxa"/>
            <w:tcBorders>
              <w:top w:val="single" w:sz="5" w:space="0" w:color="000000"/>
              <w:left w:val="single" w:sz="5" w:space="0" w:color="000000"/>
              <w:bottom w:val="single" w:sz="5" w:space="0" w:color="000000"/>
              <w:right w:val="single" w:sz="5" w:space="0" w:color="000000"/>
            </w:tcBorders>
          </w:tcPr>
          <w:p w14:paraId="4C5B81CA" w14:textId="77777777" w:rsidR="00130E8B" w:rsidRPr="007C168B" w:rsidRDefault="000405CC" w:rsidP="009167C6">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spacing w:val="-4"/>
                <w:lang w:val="hu-HU"/>
              </w:rPr>
              <w:t>-11,5</w:t>
            </w:r>
          </w:p>
        </w:tc>
        <w:tc>
          <w:tcPr>
            <w:tcW w:w="1491" w:type="dxa"/>
            <w:tcBorders>
              <w:top w:val="single" w:sz="5" w:space="0" w:color="000000"/>
              <w:left w:val="single" w:sz="5" w:space="0" w:color="000000"/>
              <w:bottom w:val="single" w:sz="5" w:space="0" w:color="000000"/>
              <w:right w:val="single" w:sz="5" w:space="0" w:color="000000"/>
            </w:tcBorders>
          </w:tcPr>
          <w:p w14:paraId="6D8EEE22" w14:textId="77777777" w:rsidR="00130E8B" w:rsidRPr="009167C6" w:rsidRDefault="000405CC" w:rsidP="009167C6">
            <w:pPr>
              <w:pStyle w:val="TableParagraph"/>
              <w:jc w:val="center"/>
              <w:rPr>
                <w:rFonts w:ascii="Times New Roman" w:eastAsia="Times New Roman" w:hAnsi="Times New Roman" w:cs="Times New Roman"/>
                <w:lang w:val="hu-HU"/>
              </w:rPr>
            </w:pPr>
            <w:r w:rsidRPr="009167C6">
              <w:rPr>
                <w:rFonts w:ascii="Times New Roman" w:eastAsia="Times New Roman" w:hAnsi="Times New Roman" w:cs="Times New Roman"/>
                <w:spacing w:val="-4"/>
                <w:lang w:val="hu-HU"/>
              </w:rPr>
              <w:t>-56,2</w:t>
            </w:r>
            <w:r w:rsidRPr="009167C6">
              <w:rPr>
                <w:rFonts w:ascii="Times New Roman" w:eastAsia="Times New Roman" w:hAnsi="Times New Roman" w:cs="Times New Roman"/>
                <w:spacing w:val="-4"/>
                <w:vertAlign w:val="superscript"/>
                <w:lang w:val="hu-HU"/>
              </w:rPr>
              <w:t>a</w:t>
            </w:r>
          </w:p>
        </w:tc>
        <w:tc>
          <w:tcPr>
            <w:tcW w:w="2037" w:type="dxa"/>
            <w:tcBorders>
              <w:top w:val="single" w:sz="5" w:space="0" w:color="000000"/>
              <w:left w:val="single" w:sz="5" w:space="0" w:color="000000"/>
              <w:bottom w:val="single" w:sz="5" w:space="0" w:color="000000"/>
              <w:right w:val="single" w:sz="5" w:space="0" w:color="000000"/>
            </w:tcBorders>
          </w:tcPr>
          <w:p w14:paraId="1F5280B2" w14:textId="77777777" w:rsidR="00130E8B" w:rsidRPr="007C168B" w:rsidRDefault="000405CC" w:rsidP="009167C6">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spacing w:val="-4"/>
                <w:lang w:val="hu-HU"/>
              </w:rPr>
              <w:t>-72,2</w:t>
            </w:r>
          </w:p>
        </w:tc>
      </w:tr>
      <w:tr w:rsidR="00130E8B" w14:paraId="1399D2A5" w14:textId="77777777" w:rsidTr="009167C6">
        <w:trPr>
          <w:trHeight w:val="61"/>
        </w:trPr>
        <w:tc>
          <w:tcPr>
            <w:tcW w:w="9576" w:type="dxa"/>
            <w:gridSpan w:val="6"/>
            <w:tcBorders>
              <w:top w:val="single" w:sz="5" w:space="0" w:color="000000"/>
              <w:left w:val="single" w:sz="5" w:space="0" w:color="000000"/>
              <w:bottom w:val="single" w:sz="5" w:space="0" w:color="000000"/>
              <w:right w:val="single" w:sz="5" w:space="0" w:color="000000"/>
            </w:tcBorders>
          </w:tcPr>
          <w:p w14:paraId="51FA8A55" w14:textId="77777777" w:rsidR="00130E8B" w:rsidRPr="009167C6" w:rsidRDefault="000405CC" w:rsidP="009167C6">
            <w:pPr>
              <w:pStyle w:val="TableParagraph"/>
              <w:rPr>
                <w:rFonts w:ascii="Times New Roman" w:eastAsia="Times New Roman" w:hAnsi="Times New Roman" w:cs="Times New Roman"/>
                <w:lang w:val="hu-HU"/>
              </w:rPr>
            </w:pPr>
            <w:r w:rsidRPr="009167C6">
              <w:rPr>
                <w:rFonts w:ascii="Times New Roman" w:eastAsia="Times New Roman" w:hAnsi="Times New Roman" w:cs="Times New Roman"/>
                <w:position w:val="8"/>
                <w:vertAlign w:val="superscript"/>
                <w:lang w:val="hu-HU"/>
              </w:rPr>
              <w:t>a</w:t>
            </w:r>
            <w:r w:rsidRPr="009167C6">
              <w:rPr>
                <w:rFonts w:ascii="Times New Roman" w:eastAsia="Times New Roman" w:hAnsi="Times New Roman" w:cs="Times New Roman"/>
                <w:position w:val="8"/>
                <w:lang w:val="hu-HU"/>
              </w:rPr>
              <w:t xml:space="preserve"> </w:t>
            </w:r>
            <w:r w:rsidRPr="007C168B">
              <w:rPr>
                <w:rFonts w:ascii="Times New Roman" w:eastAsia="Times New Roman" w:hAnsi="Times New Roman" w:cs="Times New Roman"/>
                <w:position w:val="8"/>
                <w:lang w:val="hu-HU"/>
              </w:rPr>
              <w:t xml:space="preserve">p&lt;0,001, adalimumab </w:t>
            </w:r>
            <w:r w:rsidRPr="007C168B">
              <w:rPr>
                <w:rFonts w:ascii="Times New Roman" w:eastAsia="Times New Roman" w:hAnsi="Times New Roman" w:cs="Times New Roman"/>
                <w:i/>
                <w:iCs/>
                <w:position w:val="8"/>
                <w:lang w:val="hu-HU"/>
              </w:rPr>
              <w:t xml:space="preserve">vs. </w:t>
            </w:r>
            <w:r w:rsidRPr="009167C6">
              <w:rPr>
                <w:rFonts w:ascii="Times New Roman" w:eastAsia="Times New Roman" w:hAnsi="Times New Roman" w:cs="Times New Roman"/>
                <w:position w:val="8"/>
                <w:lang w:val="hu-HU"/>
              </w:rPr>
              <w:t>placebo</w:t>
            </w:r>
          </w:p>
        </w:tc>
      </w:tr>
    </w:tbl>
    <w:p w14:paraId="0F32CFC6" w14:textId="77777777" w:rsidR="00130E8B" w:rsidRDefault="00130E8B">
      <w:pPr>
        <w:spacing w:before="5" w:line="170" w:lineRule="exact"/>
        <w:rPr>
          <w:sz w:val="17"/>
          <w:szCs w:val="17"/>
          <w:lang w:val="hu-HU"/>
        </w:rPr>
      </w:pPr>
    </w:p>
    <w:p w14:paraId="2B598B83" w14:textId="77777777" w:rsidR="00130E8B" w:rsidRDefault="000405CC">
      <w:pPr>
        <w:pStyle w:val="a3"/>
        <w:rPr>
          <w:lang w:val="hu-HU"/>
        </w:rPr>
      </w:pPr>
      <w:r>
        <w:rPr>
          <w:rFonts w:eastAsia="Times New Roman"/>
          <w:lang w:val="hu-HU"/>
        </w:rPr>
        <w:t>Az adalimumabbal kezelt betegeknél a bőrgyógyászati életminőségi index (DLQI) statisztikailag szignifikáns javulást mutatott a 26. héten a placebóhoz képest</w:t>
      </w:r>
    </w:p>
    <w:p w14:paraId="1EF8CF7A" w14:textId="77777777" w:rsidR="00130E8B" w:rsidRDefault="00130E8B">
      <w:pPr>
        <w:pStyle w:val="a3"/>
        <w:rPr>
          <w:sz w:val="24"/>
          <w:szCs w:val="24"/>
          <w:lang w:val="hu-HU"/>
        </w:rPr>
      </w:pPr>
    </w:p>
    <w:p w14:paraId="4A3C2BA6" w14:textId="77777777" w:rsidR="00130E8B" w:rsidRDefault="000405CC">
      <w:pPr>
        <w:pStyle w:val="a3"/>
        <w:rPr>
          <w:rFonts w:eastAsia="Times New Roman"/>
          <w:lang w:val="hu-HU"/>
        </w:rPr>
      </w:pPr>
      <w:r>
        <w:rPr>
          <w:rFonts w:eastAsia="Times New Roman"/>
          <w:i/>
          <w:iCs/>
          <w:spacing w:val="-1"/>
          <w:lang w:val="hu-HU"/>
        </w:rPr>
        <w:t>Hidradenitis suppurativa</w:t>
      </w:r>
    </w:p>
    <w:p w14:paraId="01635F38" w14:textId="77777777" w:rsidR="00130E8B" w:rsidRDefault="00130E8B">
      <w:pPr>
        <w:pStyle w:val="a3"/>
        <w:rPr>
          <w:sz w:val="24"/>
          <w:szCs w:val="24"/>
          <w:lang w:val="hu-HU"/>
        </w:rPr>
      </w:pPr>
    </w:p>
    <w:p w14:paraId="5C4887A3" w14:textId="2738A3BA" w:rsidR="00130E8B" w:rsidRDefault="000405CC">
      <w:pPr>
        <w:pStyle w:val="a3"/>
        <w:rPr>
          <w:lang w:val="hu-HU"/>
        </w:rPr>
      </w:pPr>
      <w:r>
        <w:rPr>
          <w:rFonts w:eastAsia="Times New Roman"/>
          <w:lang w:val="hu-HU"/>
        </w:rPr>
        <w:t>Az adalimumab biztonságosságát és hatásosságát olyan közepesen súlyos – súlyos aktivitású hidradenitis suppurativában (HS) szenvedő felnőtt betegeknél értékelték randomizált, kettős vak, placebokontrollos vizsgálatokkal és egy nyílt kiterjesztéses vizsgálattal, akik a 3 hónapos szisztémás antibiotikum-kezelést nem tolerálták, ellenjavallt volt náluk, vagy nem adtak kielégítő választ. A HS-</w:t>
      </w:r>
      <w:r w:rsidR="00424DF6" w:rsidRPr="009167C6">
        <w:rPr>
          <w:lang w:val="hu-HU"/>
        </w:rPr>
        <w:t> </w:t>
      </w:r>
      <w:r w:rsidR="00424DF6">
        <w:rPr>
          <w:rFonts w:eastAsia="Times New Roman"/>
          <w:lang w:val="hu-HU"/>
        </w:rPr>
        <w:t xml:space="preserve"> </w:t>
      </w:r>
      <w:r>
        <w:rPr>
          <w:rFonts w:eastAsia="Times New Roman"/>
          <w:lang w:val="hu-HU"/>
        </w:rPr>
        <w:t>I és HS-</w:t>
      </w:r>
      <w:r w:rsidR="00424DF6" w:rsidRPr="009167C6">
        <w:rPr>
          <w:lang w:val="hu-HU"/>
        </w:rPr>
        <w:t> </w:t>
      </w:r>
      <w:r w:rsidR="00424DF6">
        <w:rPr>
          <w:rFonts w:eastAsia="Times New Roman"/>
          <w:lang w:val="hu-HU"/>
        </w:rPr>
        <w:t xml:space="preserve"> </w:t>
      </w:r>
      <w:r>
        <w:rPr>
          <w:rFonts w:eastAsia="Times New Roman"/>
          <w:lang w:val="hu-HU"/>
        </w:rPr>
        <w:t xml:space="preserve">II-es betegeknek legalább 3 tályoggal vagy gyulladásos csomóval járó Hurley Stage II vagy Hurley Stage </w:t>
      </w:r>
      <w:r w:rsidR="00424DF6" w:rsidRPr="009167C6">
        <w:rPr>
          <w:lang w:val="hu-HU"/>
        </w:rPr>
        <w:t> </w:t>
      </w:r>
      <w:r w:rsidR="00424DF6">
        <w:rPr>
          <w:rFonts w:eastAsia="Times New Roman"/>
          <w:lang w:val="hu-HU"/>
        </w:rPr>
        <w:t xml:space="preserve"> </w:t>
      </w:r>
      <w:r>
        <w:rPr>
          <w:rFonts w:eastAsia="Times New Roman"/>
          <w:lang w:val="hu-HU"/>
        </w:rPr>
        <w:t>III stádiumú betegségük volt.</w:t>
      </w:r>
    </w:p>
    <w:p w14:paraId="65885D11" w14:textId="77777777" w:rsidR="00130E8B" w:rsidRDefault="00130E8B">
      <w:pPr>
        <w:pStyle w:val="a3"/>
        <w:rPr>
          <w:sz w:val="24"/>
          <w:szCs w:val="24"/>
          <w:lang w:val="hu-HU"/>
        </w:rPr>
      </w:pPr>
    </w:p>
    <w:p w14:paraId="3B674D36" w14:textId="37AF1D0F" w:rsidR="00130E8B" w:rsidRDefault="000405CC">
      <w:pPr>
        <w:pStyle w:val="a3"/>
        <w:rPr>
          <w:lang w:val="hu-HU"/>
        </w:rPr>
      </w:pPr>
      <w:r>
        <w:rPr>
          <w:rFonts w:eastAsia="Times New Roman"/>
          <w:lang w:val="hu-HU"/>
        </w:rPr>
        <w:t>A HS-I vizsgálat (PIONEER I) 307 beteget értékelt 2 kezelési periódusban. Az A periódusban a betegek 160 mg telítő dózisú placebót vagy adalimumabot kaptak a 0. héten, 80 mg-ot a 2. héten és 40 mg-ot minden héten a 4-11. hétigA vizsgálat alatt nem volt megengedett antibiotikum együttes alkalmazása. A 12 hétig tartó terápia után azokat a betegeket akik az A periódusban adalimumabot kaptak, a B periódusban ismét randomizálták, a 3 kezelési csoport egyikébe (40 mg adalimumab minden héten, 40 mg adalimumab minden második héten, vagy placebo 12-35. hétig). Az A periódusban véletlenszerűen placebót kapó betegek a B periódusban 40 mg  adalimumabot kaptak minden héten.</w:t>
      </w:r>
    </w:p>
    <w:p w14:paraId="0509EA03" w14:textId="77777777" w:rsidR="00130E8B" w:rsidRDefault="00130E8B">
      <w:pPr>
        <w:pStyle w:val="a3"/>
        <w:rPr>
          <w:sz w:val="24"/>
          <w:szCs w:val="24"/>
          <w:lang w:val="hu-HU"/>
        </w:rPr>
      </w:pPr>
    </w:p>
    <w:p w14:paraId="68631CF3" w14:textId="4E6AC27F" w:rsidR="00130E8B" w:rsidRDefault="000405CC">
      <w:pPr>
        <w:pStyle w:val="a3"/>
        <w:rPr>
          <w:lang w:val="hu-HU"/>
        </w:rPr>
      </w:pPr>
      <w:r>
        <w:rPr>
          <w:rFonts w:eastAsia="Times New Roman"/>
          <w:lang w:val="hu-HU"/>
        </w:rPr>
        <w:t xml:space="preserve">A HS-II (PIONEER II) vizsgálat 326 beteget értékelt 2 kezelési periódusban. Az A periódusban a betegek 160 mg telítő dózisú placebót vagy adalimumabot kaptak a 0. héten, 80 mg-ot a 2. héten és 40 mg-ot minden </w:t>
      </w:r>
      <w:r>
        <w:rPr>
          <w:rFonts w:eastAsia="Times New Roman"/>
          <w:lang w:val="hu-HU"/>
        </w:rPr>
        <w:lastRenderedPageBreak/>
        <w:t>héten a 4-11. hétig . A betegek 19,3%-a folytatta a kiindulási orális antibiotikum terápiát a vizsgálat alatt. A 12 hétig tartó terápia után azokat a betegeket, akik az A periódusban  adalimumabot kaptak, a B periódusban ismét randomizálták, a 3 kezelési csoport egyikébe (40 mg adalimumab minden héten, 40 mg adalimumab minden második héten, vagy placebo a 12-35. hétig). Az A periódusban véletlenszerűen placebót kapó betegeknek a B periódusban is placebót adtak.</w:t>
      </w:r>
    </w:p>
    <w:p w14:paraId="3D5A8865" w14:textId="77777777" w:rsidR="00130E8B" w:rsidRDefault="00130E8B">
      <w:pPr>
        <w:pStyle w:val="a3"/>
        <w:rPr>
          <w:sz w:val="24"/>
          <w:szCs w:val="24"/>
          <w:lang w:val="hu-HU"/>
        </w:rPr>
      </w:pPr>
    </w:p>
    <w:p w14:paraId="552F56AB" w14:textId="78DC0536" w:rsidR="00130E8B" w:rsidRDefault="000405CC">
      <w:pPr>
        <w:pStyle w:val="a3"/>
        <w:rPr>
          <w:lang w:val="hu-HU"/>
        </w:rPr>
      </w:pPr>
      <w:r>
        <w:rPr>
          <w:rFonts w:eastAsia="Times New Roman"/>
          <w:lang w:val="hu-HU"/>
        </w:rPr>
        <w:t>A HS-I és HS</w:t>
      </w:r>
      <w:r w:rsidR="00C91C54">
        <w:rPr>
          <w:lang w:val="hu-HU"/>
        </w:rPr>
        <w:t>-</w:t>
      </w:r>
      <w:r>
        <w:rPr>
          <w:rFonts w:eastAsia="Times New Roman"/>
          <w:lang w:val="hu-HU"/>
        </w:rPr>
        <w:t>II vizsgálatban részt vevő betegek jogosultak voltak egy nyílt, kiterjesztéses vizsgálatba bekerülni, melyben 40 mg adalimumabot kaptak minden héten. Az átlagos expozíció a teljes, adalimumabbal kezelt populációban 762 nap volt. A 3 vizsgálat alatt a betegek helyi fertőtlenítő lemosót használtak naponta.</w:t>
      </w:r>
    </w:p>
    <w:p w14:paraId="141CBF02" w14:textId="77777777" w:rsidR="00130E8B" w:rsidRDefault="00130E8B">
      <w:pPr>
        <w:pStyle w:val="a3"/>
        <w:rPr>
          <w:sz w:val="24"/>
          <w:szCs w:val="24"/>
          <w:lang w:val="hu-HU"/>
        </w:rPr>
      </w:pPr>
    </w:p>
    <w:p w14:paraId="2DD85DE2" w14:textId="77777777" w:rsidR="00130E8B" w:rsidRDefault="000405CC">
      <w:pPr>
        <w:pStyle w:val="a3"/>
        <w:rPr>
          <w:rFonts w:eastAsia="Times New Roman"/>
          <w:lang w:val="hu-HU"/>
        </w:rPr>
      </w:pPr>
      <w:r>
        <w:rPr>
          <w:rFonts w:eastAsia="Times New Roman"/>
          <w:i/>
          <w:iCs/>
          <w:spacing w:val="-1"/>
          <w:u w:val="single" w:color="000000"/>
          <w:lang w:val="hu-HU"/>
        </w:rPr>
        <w:t>Klinikai válasz</w:t>
      </w:r>
    </w:p>
    <w:p w14:paraId="60967CBE" w14:textId="77777777" w:rsidR="00130E8B" w:rsidRDefault="00130E8B">
      <w:pPr>
        <w:pStyle w:val="a3"/>
        <w:rPr>
          <w:sz w:val="18"/>
          <w:szCs w:val="18"/>
          <w:lang w:val="hu-HU"/>
        </w:rPr>
      </w:pPr>
    </w:p>
    <w:p w14:paraId="083C7678" w14:textId="77777777" w:rsidR="00130E8B" w:rsidRDefault="000405CC">
      <w:pPr>
        <w:pStyle w:val="a3"/>
        <w:rPr>
          <w:lang w:val="hu-HU"/>
        </w:rPr>
      </w:pPr>
      <w:r>
        <w:rPr>
          <w:rFonts w:eastAsia="Times New Roman"/>
          <w:lang w:val="hu-HU"/>
        </w:rPr>
        <w:t>A gyulladásos léziók csökkenését és a tályogok és váladékozó fistulák romlásának megelőzését a Hidradenitis suppurativa klinikai válasszal értékelték (HiSCR – Hidradenitis Suppurativa Clinical Response; az összes tályog és gyulladásos góc számának legalább 50%-os csökkenése, a tályogok és váladékozó fistulák számának növekedése nélkül, a vizsgálat megkezdéséhez képest). A HS-sel összefüggő bőrfájdalom csökkenését egy numerikus skála segítségével értékelték azoknál a betegeknél, akik a 11 pontos skálán 3 vagy magasabb kiindulási pontszámmal léptek be a vizsgálatba.</w:t>
      </w:r>
    </w:p>
    <w:p w14:paraId="12998D39" w14:textId="77777777" w:rsidR="00130E8B" w:rsidRDefault="00130E8B">
      <w:pPr>
        <w:spacing w:before="13" w:line="240" w:lineRule="exact"/>
        <w:rPr>
          <w:sz w:val="24"/>
          <w:szCs w:val="24"/>
          <w:lang w:val="hu-HU"/>
        </w:rPr>
      </w:pPr>
    </w:p>
    <w:p w14:paraId="27CB7CF4" w14:textId="63B23ED1" w:rsidR="00130E8B" w:rsidRDefault="000405CC">
      <w:pPr>
        <w:pStyle w:val="a3"/>
        <w:rPr>
          <w:lang w:val="hu-HU"/>
        </w:rPr>
      </w:pPr>
      <w:r>
        <w:rPr>
          <w:rFonts w:eastAsia="Times New Roman"/>
          <w:lang w:val="hu-HU"/>
        </w:rPr>
        <w:t xml:space="preserve">A 12. héten jelentősen nagyobb volt az aránya azoknak az adalimumabbal kezelt betegeknek a placebót kapó betegekhez képest, akik elérték a HiSCR-t. A 12. héten a HS-II vizsgálatban résztvevő betegek jelentősen nagyobb arányánál tapasztalták a HS-sel összefüggő bőrfájdalom klinikailag jelentős csökkenését (lásd </w:t>
      </w:r>
      <w:r w:rsidR="00D33AB9">
        <w:rPr>
          <w:rFonts w:eastAsia="Times New Roman"/>
          <w:lang w:val="hu-HU"/>
        </w:rPr>
        <w:t>19</w:t>
      </w:r>
      <w:r>
        <w:rPr>
          <w:rFonts w:eastAsia="Times New Roman"/>
          <w:lang w:val="hu-HU"/>
        </w:rPr>
        <w:t>. táblázat). Az adalimumabbal kezelt betegeknél a kezelés első 12 hete alatt jelentősen lecsökkent a betegség kiújulásának kockázata.</w:t>
      </w:r>
    </w:p>
    <w:p w14:paraId="4DD1AD5B" w14:textId="77777777" w:rsidR="00130E8B" w:rsidRDefault="00130E8B">
      <w:pPr>
        <w:spacing w:line="200" w:lineRule="exact"/>
        <w:rPr>
          <w:sz w:val="20"/>
          <w:szCs w:val="20"/>
          <w:lang w:val="hu-HU"/>
        </w:rPr>
      </w:pPr>
    </w:p>
    <w:p w14:paraId="7FF46721" w14:textId="4820BB0E" w:rsidR="00130E8B" w:rsidRDefault="00D33AB9">
      <w:pPr>
        <w:pStyle w:val="a3"/>
        <w:jc w:val="center"/>
        <w:rPr>
          <w:b/>
          <w:lang w:val="hu-HU"/>
        </w:rPr>
      </w:pPr>
      <w:r>
        <w:rPr>
          <w:rFonts w:eastAsia="Times New Roman"/>
          <w:b/>
          <w:bCs/>
          <w:lang w:val="hu-HU"/>
        </w:rPr>
        <w:t>19</w:t>
      </w:r>
      <w:r w:rsidR="000405CC">
        <w:rPr>
          <w:rFonts w:eastAsia="Times New Roman"/>
          <w:b/>
          <w:bCs/>
          <w:lang w:val="hu-HU"/>
        </w:rPr>
        <w:t>. táblázat</w:t>
      </w:r>
    </w:p>
    <w:p w14:paraId="5E254C7B" w14:textId="76BEF389" w:rsidR="00130E8B" w:rsidRDefault="000405CC">
      <w:pPr>
        <w:pStyle w:val="a3"/>
        <w:jc w:val="center"/>
        <w:rPr>
          <w:b/>
          <w:lang w:val="hu-HU"/>
        </w:rPr>
      </w:pPr>
      <w:r>
        <w:rPr>
          <w:rFonts w:eastAsia="Times New Roman"/>
          <w:b/>
          <w:bCs/>
          <w:lang w:val="hu-HU"/>
        </w:rPr>
        <w:t xml:space="preserve">Hatékonysági eredmények a 12. héten, HS-I és II vizsgálat </w:t>
      </w:r>
    </w:p>
    <w:p w14:paraId="57F3EF50" w14:textId="77777777" w:rsidR="00130E8B" w:rsidRDefault="00130E8B">
      <w:pPr>
        <w:spacing w:before="4" w:line="10" w:lineRule="exact"/>
        <w:rPr>
          <w:sz w:val="4"/>
          <w:szCs w:val="4"/>
          <w:lang w:val="hu-HU"/>
        </w:rPr>
      </w:pPr>
    </w:p>
    <w:tbl>
      <w:tblPr>
        <w:tblStyle w:val="TableNormal1"/>
        <w:tblW w:w="0" w:type="auto"/>
        <w:tblInd w:w="167" w:type="dxa"/>
        <w:tblLayout w:type="fixed"/>
        <w:tblLook w:val="01E0" w:firstRow="1" w:lastRow="1" w:firstColumn="1" w:lastColumn="1" w:noHBand="0" w:noVBand="0"/>
      </w:tblPr>
      <w:tblGrid>
        <w:gridCol w:w="2846"/>
        <w:gridCol w:w="1611"/>
        <w:gridCol w:w="1612"/>
        <w:gridCol w:w="1612"/>
        <w:gridCol w:w="1612"/>
      </w:tblGrid>
      <w:tr w:rsidR="00130E8B" w:rsidRPr="009167C6" w14:paraId="2D9CEF3C" w14:textId="77777777" w:rsidTr="004E2591">
        <w:trPr>
          <w:trHeight w:hRule="exact" w:val="264"/>
        </w:trPr>
        <w:tc>
          <w:tcPr>
            <w:tcW w:w="2846" w:type="dxa"/>
            <w:vMerge w:val="restart"/>
            <w:tcBorders>
              <w:top w:val="single" w:sz="5" w:space="0" w:color="000000"/>
              <w:left w:val="single" w:sz="5" w:space="0" w:color="000000"/>
              <w:right w:val="single" w:sz="5" w:space="0" w:color="000000"/>
            </w:tcBorders>
          </w:tcPr>
          <w:p w14:paraId="4430A7BB" w14:textId="77777777" w:rsidR="00130E8B" w:rsidRPr="007C168B" w:rsidRDefault="00130E8B">
            <w:pPr>
              <w:rPr>
                <w:lang w:val="hu-HU"/>
              </w:rPr>
            </w:pPr>
          </w:p>
        </w:tc>
        <w:tc>
          <w:tcPr>
            <w:tcW w:w="3223" w:type="dxa"/>
            <w:gridSpan w:val="2"/>
            <w:tcBorders>
              <w:top w:val="single" w:sz="5" w:space="0" w:color="000000"/>
              <w:left w:val="single" w:sz="5" w:space="0" w:color="000000"/>
              <w:bottom w:val="single" w:sz="5" w:space="0" w:color="000000"/>
              <w:right w:val="single" w:sz="5" w:space="0" w:color="000000"/>
            </w:tcBorders>
          </w:tcPr>
          <w:p w14:paraId="199F7858" w14:textId="77777777" w:rsidR="00130E8B" w:rsidRPr="009167C6" w:rsidRDefault="000405CC">
            <w:pPr>
              <w:pStyle w:val="TableParagraph"/>
              <w:spacing w:line="251" w:lineRule="exact"/>
              <w:ind w:left="1051" w:right="1052"/>
              <w:jc w:val="center"/>
              <w:rPr>
                <w:rFonts w:ascii="Times New Roman" w:eastAsia="Times New Roman" w:hAnsi="Times New Roman" w:cs="Times New Roman"/>
                <w:lang w:val="hu-HU"/>
              </w:rPr>
            </w:pPr>
            <w:r w:rsidRPr="009167C6">
              <w:rPr>
                <w:rFonts w:ascii="Times New Roman" w:eastAsia="Times New Roman" w:hAnsi="Times New Roman" w:cs="Times New Roman"/>
                <w:b/>
                <w:bCs/>
                <w:spacing w:val="-1"/>
                <w:lang w:val="hu-HU"/>
              </w:rPr>
              <w:t>HS-I vizsgálat</w:t>
            </w:r>
          </w:p>
        </w:tc>
        <w:tc>
          <w:tcPr>
            <w:tcW w:w="3224" w:type="dxa"/>
            <w:gridSpan w:val="2"/>
            <w:tcBorders>
              <w:top w:val="single" w:sz="5" w:space="0" w:color="000000"/>
              <w:left w:val="single" w:sz="5" w:space="0" w:color="000000"/>
              <w:bottom w:val="single" w:sz="5" w:space="0" w:color="000000"/>
              <w:right w:val="single" w:sz="5" w:space="0" w:color="000000"/>
            </w:tcBorders>
          </w:tcPr>
          <w:p w14:paraId="15D87F6B" w14:textId="77777777" w:rsidR="00130E8B" w:rsidRPr="009167C6" w:rsidRDefault="000405CC">
            <w:pPr>
              <w:pStyle w:val="TableParagraph"/>
              <w:spacing w:line="251" w:lineRule="exact"/>
              <w:ind w:left="1062"/>
              <w:rPr>
                <w:rFonts w:ascii="Times New Roman" w:eastAsia="Times New Roman" w:hAnsi="Times New Roman" w:cs="Times New Roman"/>
                <w:lang w:val="hu-HU"/>
              </w:rPr>
            </w:pPr>
            <w:r w:rsidRPr="009167C6">
              <w:rPr>
                <w:rFonts w:ascii="Times New Roman" w:eastAsia="Times New Roman" w:hAnsi="Times New Roman" w:cs="Times New Roman"/>
                <w:b/>
                <w:bCs/>
                <w:spacing w:val="-1"/>
                <w:lang w:val="hu-HU"/>
              </w:rPr>
              <w:t>HS-II vizsgálat</w:t>
            </w:r>
          </w:p>
        </w:tc>
      </w:tr>
      <w:tr w:rsidR="00130E8B" w:rsidRPr="009167C6" w14:paraId="7B5598E2" w14:textId="77777777" w:rsidTr="00CE42DC">
        <w:trPr>
          <w:trHeight w:hRule="exact" w:val="624"/>
        </w:trPr>
        <w:tc>
          <w:tcPr>
            <w:tcW w:w="2846" w:type="dxa"/>
            <w:vMerge/>
            <w:tcBorders>
              <w:left w:val="single" w:sz="5" w:space="0" w:color="000000"/>
              <w:bottom w:val="single" w:sz="5" w:space="0" w:color="000000"/>
              <w:right w:val="single" w:sz="5" w:space="0" w:color="000000"/>
            </w:tcBorders>
          </w:tcPr>
          <w:p w14:paraId="78928F95" w14:textId="77777777" w:rsidR="00130E8B" w:rsidRPr="009167C6" w:rsidRDefault="00130E8B">
            <w:pPr>
              <w:rPr>
                <w:lang w:val="hu-HU"/>
              </w:rPr>
            </w:pPr>
          </w:p>
        </w:tc>
        <w:tc>
          <w:tcPr>
            <w:tcW w:w="1611" w:type="dxa"/>
            <w:tcBorders>
              <w:top w:val="single" w:sz="5" w:space="0" w:color="000000"/>
              <w:left w:val="single" w:sz="5" w:space="0" w:color="000000"/>
              <w:bottom w:val="single" w:sz="5" w:space="0" w:color="000000"/>
              <w:right w:val="single" w:sz="5" w:space="0" w:color="000000"/>
            </w:tcBorders>
          </w:tcPr>
          <w:p w14:paraId="299B4F93" w14:textId="77777777" w:rsidR="00130E8B" w:rsidRPr="009167C6" w:rsidRDefault="000405CC" w:rsidP="00D33AB9">
            <w:pPr>
              <w:pStyle w:val="TableParagraph"/>
              <w:ind w:left="347"/>
              <w:rPr>
                <w:rFonts w:ascii="Times New Roman" w:eastAsia="Times New Roman" w:hAnsi="Times New Roman" w:cs="Times New Roman"/>
                <w:lang w:val="hu-HU"/>
              </w:rPr>
            </w:pPr>
            <w:r w:rsidRPr="009167C6">
              <w:rPr>
                <w:rFonts w:ascii="Times New Roman" w:eastAsia="Times New Roman" w:hAnsi="Times New Roman" w:cs="Times New Roman"/>
                <w:b/>
                <w:bCs/>
                <w:lang w:val="hu-HU"/>
              </w:rPr>
              <w:t>Placebo</w:t>
            </w:r>
          </w:p>
        </w:tc>
        <w:tc>
          <w:tcPr>
            <w:tcW w:w="1612" w:type="dxa"/>
            <w:tcBorders>
              <w:top w:val="single" w:sz="5" w:space="0" w:color="000000"/>
              <w:left w:val="single" w:sz="5" w:space="0" w:color="000000"/>
              <w:bottom w:val="single" w:sz="5" w:space="0" w:color="000000"/>
              <w:right w:val="single" w:sz="5" w:space="0" w:color="000000"/>
            </w:tcBorders>
          </w:tcPr>
          <w:p w14:paraId="46488B66" w14:textId="77777777" w:rsidR="00130E8B" w:rsidRPr="009167C6" w:rsidRDefault="000405CC" w:rsidP="004E2591">
            <w:pPr>
              <w:pStyle w:val="TableParagraph"/>
              <w:spacing w:before="1" w:line="252" w:lineRule="exact"/>
              <w:jc w:val="center"/>
              <w:rPr>
                <w:rFonts w:ascii="Times New Roman" w:eastAsia="Times New Roman" w:hAnsi="Times New Roman" w:cs="Times New Roman"/>
                <w:lang w:val="hu-HU"/>
              </w:rPr>
            </w:pPr>
            <w:r w:rsidRPr="009167C6">
              <w:rPr>
                <w:rFonts w:ascii="Times New Roman" w:eastAsia="Times New Roman" w:hAnsi="Times New Roman" w:cs="Times New Roman"/>
                <w:b/>
                <w:bCs/>
                <w:spacing w:val="-1"/>
                <w:lang w:val="hu-HU"/>
              </w:rPr>
              <w:t>Adalimumab 40 mg hetente</w:t>
            </w:r>
          </w:p>
        </w:tc>
        <w:tc>
          <w:tcPr>
            <w:tcW w:w="1612" w:type="dxa"/>
            <w:tcBorders>
              <w:top w:val="single" w:sz="5" w:space="0" w:color="000000"/>
              <w:left w:val="single" w:sz="5" w:space="0" w:color="000000"/>
              <w:bottom w:val="single" w:sz="5" w:space="0" w:color="000000"/>
              <w:right w:val="single" w:sz="5" w:space="0" w:color="000000"/>
            </w:tcBorders>
          </w:tcPr>
          <w:p w14:paraId="6818AF74" w14:textId="77777777" w:rsidR="00130E8B" w:rsidRPr="009167C6" w:rsidRDefault="000405CC" w:rsidP="00D33AB9">
            <w:pPr>
              <w:pStyle w:val="TableParagraph"/>
              <w:ind w:left="327"/>
              <w:rPr>
                <w:rFonts w:ascii="Times New Roman" w:eastAsia="Times New Roman" w:hAnsi="Times New Roman" w:cs="Times New Roman"/>
                <w:lang w:val="hu-HU"/>
              </w:rPr>
            </w:pPr>
            <w:r w:rsidRPr="009167C6">
              <w:rPr>
                <w:rFonts w:ascii="Times New Roman" w:eastAsia="Times New Roman" w:hAnsi="Times New Roman" w:cs="Times New Roman"/>
                <w:b/>
                <w:bCs/>
                <w:spacing w:val="-1"/>
                <w:lang w:val="hu-HU"/>
              </w:rPr>
              <w:t>Placebo</w:t>
            </w:r>
          </w:p>
        </w:tc>
        <w:tc>
          <w:tcPr>
            <w:tcW w:w="1612" w:type="dxa"/>
            <w:tcBorders>
              <w:top w:val="single" w:sz="5" w:space="0" w:color="000000"/>
              <w:left w:val="single" w:sz="5" w:space="0" w:color="000000"/>
              <w:bottom w:val="single" w:sz="5" w:space="0" w:color="000000"/>
              <w:right w:val="single" w:sz="5" w:space="0" w:color="000000"/>
            </w:tcBorders>
          </w:tcPr>
          <w:p w14:paraId="160FE875" w14:textId="77777777" w:rsidR="00130E8B" w:rsidRPr="009167C6" w:rsidRDefault="000405CC" w:rsidP="004E2591">
            <w:pPr>
              <w:pStyle w:val="TableParagraph"/>
              <w:spacing w:before="1" w:line="252" w:lineRule="exact"/>
              <w:jc w:val="center"/>
              <w:rPr>
                <w:rFonts w:ascii="Times New Roman" w:eastAsia="Times New Roman" w:hAnsi="Times New Roman" w:cs="Times New Roman"/>
                <w:lang w:val="hu-HU"/>
              </w:rPr>
            </w:pPr>
            <w:r w:rsidRPr="009167C6">
              <w:rPr>
                <w:rFonts w:ascii="Times New Roman" w:eastAsia="Times New Roman" w:hAnsi="Times New Roman" w:cs="Times New Roman"/>
                <w:b/>
                <w:bCs/>
                <w:spacing w:val="-1"/>
                <w:lang w:val="hu-HU"/>
              </w:rPr>
              <w:t>Adalimumab 40 mg hetente</w:t>
            </w:r>
          </w:p>
        </w:tc>
      </w:tr>
      <w:tr w:rsidR="00130E8B" w:rsidRPr="009167C6" w14:paraId="7343C35C" w14:textId="77777777" w:rsidTr="00CE42DC">
        <w:trPr>
          <w:trHeight w:hRule="exact" w:val="567"/>
        </w:trPr>
        <w:tc>
          <w:tcPr>
            <w:tcW w:w="2846" w:type="dxa"/>
            <w:tcBorders>
              <w:top w:val="single" w:sz="5" w:space="0" w:color="000000"/>
              <w:left w:val="single" w:sz="5" w:space="0" w:color="000000"/>
              <w:bottom w:val="single" w:sz="5" w:space="0" w:color="000000"/>
              <w:right w:val="single" w:sz="5" w:space="0" w:color="000000"/>
            </w:tcBorders>
          </w:tcPr>
          <w:p w14:paraId="1DD701C7" w14:textId="77777777" w:rsidR="00130E8B" w:rsidRPr="009167C6" w:rsidRDefault="000405CC">
            <w:pPr>
              <w:pStyle w:val="TableParagraph"/>
              <w:spacing w:line="246" w:lineRule="exact"/>
              <w:ind w:left="109"/>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Hidradenitis suppurativa</w:t>
            </w:r>
          </w:p>
          <w:p w14:paraId="5C6BE384" w14:textId="77777777" w:rsidR="00130E8B" w:rsidRPr="009167C6" w:rsidRDefault="000405CC">
            <w:pPr>
              <w:pStyle w:val="TableParagraph"/>
              <w:spacing w:line="252" w:lineRule="exact"/>
              <w:ind w:left="109"/>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Klinikai válasz (HiSCR)</w:t>
            </w:r>
            <w:r w:rsidRPr="009167C6">
              <w:rPr>
                <w:rFonts w:ascii="Times New Roman" w:eastAsia="Times New Roman" w:hAnsi="Times New Roman" w:cs="Times New Roman"/>
                <w:spacing w:val="-1"/>
                <w:vertAlign w:val="superscript"/>
                <w:lang w:val="hu-HU"/>
              </w:rPr>
              <w:t>a</w:t>
            </w:r>
          </w:p>
        </w:tc>
        <w:tc>
          <w:tcPr>
            <w:tcW w:w="1611" w:type="dxa"/>
            <w:tcBorders>
              <w:top w:val="single" w:sz="5" w:space="0" w:color="000000"/>
              <w:left w:val="single" w:sz="5" w:space="0" w:color="000000"/>
              <w:bottom w:val="single" w:sz="5" w:space="0" w:color="000000"/>
              <w:right w:val="single" w:sz="5" w:space="0" w:color="000000"/>
            </w:tcBorders>
          </w:tcPr>
          <w:p w14:paraId="32042FF2" w14:textId="3262E466" w:rsidR="00130E8B" w:rsidRPr="007C168B" w:rsidRDefault="00A8128F" w:rsidP="009167C6">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n</w:t>
            </w:r>
            <w:r w:rsidR="000405CC" w:rsidRPr="007C168B">
              <w:rPr>
                <w:rFonts w:ascii="Times New Roman" w:eastAsia="Times New Roman" w:hAnsi="Times New Roman" w:cs="Times New Roman"/>
                <w:lang w:val="hu-HU"/>
              </w:rPr>
              <w:t>=154</w:t>
            </w:r>
          </w:p>
          <w:p w14:paraId="65B02D74" w14:textId="77777777" w:rsidR="00130E8B" w:rsidRPr="009167C6" w:rsidRDefault="000405CC" w:rsidP="009167C6">
            <w:pPr>
              <w:pStyle w:val="TableParagraph"/>
              <w:spacing w:line="252" w:lineRule="exact"/>
              <w:jc w:val="center"/>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40 (26,0%)</w:t>
            </w:r>
          </w:p>
        </w:tc>
        <w:tc>
          <w:tcPr>
            <w:tcW w:w="1612" w:type="dxa"/>
            <w:tcBorders>
              <w:top w:val="single" w:sz="5" w:space="0" w:color="000000"/>
              <w:left w:val="single" w:sz="5" w:space="0" w:color="000000"/>
              <w:bottom w:val="single" w:sz="5" w:space="0" w:color="000000"/>
              <w:right w:val="single" w:sz="5" w:space="0" w:color="000000"/>
            </w:tcBorders>
          </w:tcPr>
          <w:p w14:paraId="32CCB37A" w14:textId="16E0E763" w:rsidR="00130E8B" w:rsidRPr="009167C6" w:rsidRDefault="00A8128F" w:rsidP="009167C6">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n</w:t>
            </w:r>
            <w:r w:rsidR="000405CC" w:rsidRPr="009167C6">
              <w:rPr>
                <w:rFonts w:ascii="Times New Roman" w:eastAsia="Times New Roman" w:hAnsi="Times New Roman" w:cs="Times New Roman"/>
                <w:lang w:val="hu-HU"/>
              </w:rPr>
              <w:t>=153</w:t>
            </w:r>
          </w:p>
          <w:p w14:paraId="720E1E38" w14:textId="77777777" w:rsidR="00130E8B" w:rsidRPr="009167C6" w:rsidRDefault="000405CC" w:rsidP="009167C6">
            <w:pPr>
              <w:pStyle w:val="TableParagraph"/>
              <w:spacing w:line="252" w:lineRule="exact"/>
              <w:jc w:val="center"/>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64 (41.8%) *</w:t>
            </w:r>
          </w:p>
        </w:tc>
        <w:tc>
          <w:tcPr>
            <w:tcW w:w="1612" w:type="dxa"/>
            <w:tcBorders>
              <w:top w:val="single" w:sz="5" w:space="0" w:color="000000"/>
              <w:left w:val="single" w:sz="5" w:space="0" w:color="000000"/>
              <w:bottom w:val="single" w:sz="5" w:space="0" w:color="000000"/>
              <w:right w:val="single" w:sz="5" w:space="0" w:color="000000"/>
            </w:tcBorders>
          </w:tcPr>
          <w:p w14:paraId="22AA2E73" w14:textId="4D197BA2" w:rsidR="00130E8B" w:rsidRPr="007C168B" w:rsidRDefault="00A8128F" w:rsidP="009167C6">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n</w:t>
            </w:r>
            <w:r w:rsidR="000405CC" w:rsidRPr="007C168B">
              <w:rPr>
                <w:rFonts w:ascii="Times New Roman" w:eastAsia="Times New Roman" w:hAnsi="Times New Roman" w:cs="Times New Roman"/>
                <w:spacing w:val="-1"/>
                <w:lang w:val="hu-HU"/>
              </w:rPr>
              <w:t>=163</w:t>
            </w:r>
          </w:p>
          <w:p w14:paraId="75C4BF07" w14:textId="77777777" w:rsidR="00130E8B" w:rsidRPr="009167C6" w:rsidRDefault="000405CC" w:rsidP="009167C6">
            <w:pPr>
              <w:pStyle w:val="TableParagraph"/>
              <w:spacing w:line="252" w:lineRule="exact"/>
              <w:jc w:val="center"/>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45 (27,6%)</w:t>
            </w:r>
          </w:p>
        </w:tc>
        <w:tc>
          <w:tcPr>
            <w:tcW w:w="1612" w:type="dxa"/>
            <w:tcBorders>
              <w:top w:val="single" w:sz="5" w:space="0" w:color="000000"/>
              <w:left w:val="single" w:sz="5" w:space="0" w:color="000000"/>
              <w:bottom w:val="single" w:sz="5" w:space="0" w:color="000000"/>
              <w:right w:val="single" w:sz="5" w:space="0" w:color="000000"/>
            </w:tcBorders>
          </w:tcPr>
          <w:p w14:paraId="17E153CD" w14:textId="65A8D84E" w:rsidR="00130E8B" w:rsidRPr="009167C6" w:rsidRDefault="00A8128F" w:rsidP="009167C6">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n</w:t>
            </w:r>
            <w:r w:rsidR="000405CC" w:rsidRPr="009167C6">
              <w:rPr>
                <w:rFonts w:ascii="Times New Roman" w:eastAsia="Times New Roman" w:hAnsi="Times New Roman" w:cs="Times New Roman"/>
                <w:spacing w:val="-1"/>
                <w:lang w:val="hu-HU"/>
              </w:rPr>
              <w:t>=163</w:t>
            </w:r>
          </w:p>
          <w:p w14:paraId="3A589473" w14:textId="1691C4DC" w:rsidR="00130E8B" w:rsidRPr="009167C6" w:rsidRDefault="000405CC" w:rsidP="009167C6">
            <w:pPr>
              <w:pStyle w:val="TableParagraph"/>
              <w:spacing w:line="252" w:lineRule="exact"/>
              <w:jc w:val="center"/>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96 (58.9%)***</w:t>
            </w:r>
          </w:p>
        </w:tc>
      </w:tr>
      <w:tr w:rsidR="00130E8B" w:rsidRPr="009167C6" w14:paraId="25212DCE" w14:textId="77777777" w:rsidTr="004E2591">
        <w:trPr>
          <w:trHeight w:hRule="exact" w:val="516"/>
        </w:trPr>
        <w:tc>
          <w:tcPr>
            <w:tcW w:w="2846" w:type="dxa"/>
            <w:tcBorders>
              <w:top w:val="single" w:sz="5" w:space="0" w:color="000000"/>
              <w:left w:val="single" w:sz="5" w:space="0" w:color="000000"/>
              <w:bottom w:val="single" w:sz="5" w:space="0" w:color="000000"/>
              <w:right w:val="single" w:sz="5" w:space="0" w:color="000000"/>
            </w:tcBorders>
          </w:tcPr>
          <w:p w14:paraId="09AA9A7C" w14:textId="77777777" w:rsidR="00130E8B" w:rsidRPr="009167C6" w:rsidRDefault="000405CC">
            <w:pPr>
              <w:pStyle w:val="TableParagraph"/>
              <w:spacing w:line="246" w:lineRule="exact"/>
              <w:ind w:left="109"/>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≥30%-os bőrfájdalom</w:t>
            </w:r>
          </w:p>
          <w:p w14:paraId="70F53679" w14:textId="77777777" w:rsidR="00130E8B" w:rsidRPr="009167C6" w:rsidRDefault="000405CC">
            <w:pPr>
              <w:pStyle w:val="TableParagraph"/>
              <w:spacing w:line="254" w:lineRule="exact"/>
              <w:ind w:left="109"/>
              <w:rPr>
                <w:rFonts w:ascii="Times New Roman" w:eastAsia="Times New Roman" w:hAnsi="Times New Roman" w:cs="Times New Roman"/>
                <w:lang w:val="hu-HU"/>
              </w:rPr>
            </w:pPr>
            <w:r w:rsidRPr="009167C6">
              <w:rPr>
                <w:rFonts w:ascii="Times New Roman" w:eastAsia="Times New Roman" w:hAnsi="Times New Roman" w:cs="Times New Roman"/>
                <w:lang w:val="hu-HU"/>
              </w:rPr>
              <w:t>csökkenés</w:t>
            </w:r>
            <w:r w:rsidRPr="009167C6">
              <w:rPr>
                <w:rFonts w:ascii="Times New Roman" w:eastAsia="Times New Roman" w:hAnsi="Times New Roman" w:cs="Times New Roman"/>
                <w:vertAlign w:val="superscript"/>
                <w:lang w:val="hu-HU"/>
              </w:rPr>
              <w:t>b</w:t>
            </w:r>
          </w:p>
        </w:tc>
        <w:tc>
          <w:tcPr>
            <w:tcW w:w="1611" w:type="dxa"/>
            <w:tcBorders>
              <w:top w:val="single" w:sz="5" w:space="0" w:color="000000"/>
              <w:left w:val="single" w:sz="5" w:space="0" w:color="000000"/>
              <w:bottom w:val="single" w:sz="5" w:space="0" w:color="000000"/>
              <w:right w:val="single" w:sz="5" w:space="0" w:color="000000"/>
            </w:tcBorders>
          </w:tcPr>
          <w:p w14:paraId="0A37BF57" w14:textId="197F1C1A" w:rsidR="00130E8B" w:rsidRPr="007C168B" w:rsidRDefault="00A8128F" w:rsidP="009167C6">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n</w:t>
            </w:r>
            <w:r w:rsidR="000405CC" w:rsidRPr="007C168B">
              <w:rPr>
                <w:rFonts w:ascii="Times New Roman" w:eastAsia="Times New Roman" w:hAnsi="Times New Roman" w:cs="Times New Roman"/>
                <w:lang w:val="hu-HU"/>
              </w:rPr>
              <w:t>=109</w:t>
            </w:r>
          </w:p>
          <w:p w14:paraId="17B417FE" w14:textId="77777777" w:rsidR="00130E8B" w:rsidRPr="009167C6" w:rsidRDefault="000405CC" w:rsidP="009167C6">
            <w:pPr>
              <w:pStyle w:val="TableParagraph"/>
              <w:spacing w:before="1"/>
              <w:jc w:val="center"/>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27 (24,8%)</w:t>
            </w:r>
          </w:p>
        </w:tc>
        <w:tc>
          <w:tcPr>
            <w:tcW w:w="1612" w:type="dxa"/>
            <w:tcBorders>
              <w:top w:val="single" w:sz="5" w:space="0" w:color="000000"/>
              <w:left w:val="single" w:sz="5" w:space="0" w:color="000000"/>
              <w:bottom w:val="single" w:sz="5" w:space="0" w:color="000000"/>
              <w:right w:val="single" w:sz="5" w:space="0" w:color="000000"/>
            </w:tcBorders>
          </w:tcPr>
          <w:p w14:paraId="73092544" w14:textId="3C65DD46" w:rsidR="00130E8B" w:rsidRPr="009167C6" w:rsidRDefault="00A8128F" w:rsidP="009167C6">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n</w:t>
            </w:r>
            <w:r w:rsidR="000405CC" w:rsidRPr="009167C6">
              <w:rPr>
                <w:rFonts w:ascii="Times New Roman" w:eastAsia="Times New Roman" w:hAnsi="Times New Roman" w:cs="Times New Roman"/>
                <w:lang w:val="hu-HU"/>
              </w:rPr>
              <w:t>=122</w:t>
            </w:r>
          </w:p>
          <w:p w14:paraId="40E7922C" w14:textId="77777777" w:rsidR="00130E8B" w:rsidRPr="009167C6" w:rsidRDefault="000405CC" w:rsidP="009167C6">
            <w:pPr>
              <w:pStyle w:val="TableParagraph"/>
              <w:spacing w:before="1"/>
              <w:jc w:val="center"/>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34 (27,9%)</w:t>
            </w:r>
          </w:p>
        </w:tc>
        <w:tc>
          <w:tcPr>
            <w:tcW w:w="1612" w:type="dxa"/>
            <w:tcBorders>
              <w:top w:val="single" w:sz="5" w:space="0" w:color="000000"/>
              <w:left w:val="single" w:sz="5" w:space="0" w:color="000000"/>
              <w:bottom w:val="single" w:sz="5" w:space="0" w:color="000000"/>
              <w:right w:val="single" w:sz="5" w:space="0" w:color="000000"/>
            </w:tcBorders>
          </w:tcPr>
          <w:p w14:paraId="0EDF6E31" w14:textId="2AE69960" w:rsidR="00130E8B" w:rsidRPr="009167C6" w:rsidRDefault="00A8128F" w:rsidP="009167C6">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n</w:t>
            </w:r>
            <w:r w:rsidR="000405CC" w:rsidRPr="009167C6">
              <w:rPr>
                <w:rFonts w:ascii="Times New Roman" w:eastAsia="Times New Roman" w:hAnsi="Times New Roman" w:cs="Times New Roman"/>
                <w:spacing w:val="-1"/>
                <w:lang w:val="hu-HU"/>
              </w:rPr>
              <w:t>=111</w:t>
            </w:r>
          </w:p>
          <w:p w14:paraId="2C92F6DD" w14:textId="77777777" w:rsidR="00130E8B" w:rsidRPr="009167C6" w:rsidRDefault="000405CC" w:rsidP="009167C6">
            <w:pPr>
              <w:pStyle w:val="TableParagraph"/>
              <w:spacing w:before="1"/>
              <w:jc w:val="center"/>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23 (20,7%)</w:t>
            </w:r>
          </w:p>
        </w:tc>
        <w:tc>
          <w:tcPr>
            <w:tcW w:w="1612" w:type="dxa"/>
            <w:tcBorders>
              <w:top w:val="single" w:sz="5" w:space="0" w:color="000000"/>
              <w:left w:val="single" w:sz="5" w:space="0" w:color="000000"/>
              <w:bottom w:val="single" w:sz="5" w:space="0" w:color="000000"/>
              <w:right w:val="single" w:sz="5" w:space="0" w:color="000000"/>
            </w:tcBorders>
          </w:tcPr>
          <w:p w14:paraId="1D154472" w14:textId="6B96D4A2" w:rsidR="00130E8B" w:rsidRPr="009167C6" w:rsidRDefault="00A8128F" w:rsidP="009167C6">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n</w:t>
            </w:r>
            <w:r w:rsidR="000405CC" w:rsidRPr="009167C6">
              <w:rPr>
                <w:rFonts w:ascii="Times New Roman" w:eastAsia="Times New Roman" w:hAnsi="Times New Roman" w:cs="Times New Roman"/>
                <w:spacing w:val="-1"/>
                <w:lang w:val="hu-HU"/>
              </w:rPr>
              <w:t>=105</w:t>
            </w:r>
          </w:p>
          <w:p w14:paraId="53EF79D1" w14:textId="77777777" w:rsidR="00130E8B" w:rsidRPr="009167C6" w:rsidRDefault="000405CC" w:rsidP="009167C6">
            <w:pPr>
              <w:pStyle w:val="TableParagraph"/>
              <w:spacing w:line="254" w:lineRule="exact"/>
              <w:jc w:val="center"/>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48 (45,7%) ***</w:t>
            </w:r>
          </w:p>
        </w:tc>
      </w:tr>
      <w:tr w:rsidR="00130E8B" w:rsidRPr="00BE4D18" w14:paraId="20614CEC" w14:textId="77777777">
        <w:trPr>
          <w:trHeight w:hRule="exact" w:val="1063"/>
        </w:trPr>
        <w:tc>
          <w:tcPr>
            <w:tcW w:w="9293" w:type="dxa"/>
            <w:gridSpan w:val="5"/>
            <w:tcBorders>
              <w:top w:val="single" w:sz="5" w:space="0" w:color="000000"/>
              <w:left w:val="single" w:sz="5" w:space="0" w:color="000000"/>
              <w:bottom w:val="single" w:sz="5" w:space="0" w:color="000000"/>
              <w:right w:val="single" w:sz="5" w:space="0" w:color="000000"/>
            </w:tcBorders>
          </w:tcPr>
          <w:p w14:paraId="04E6FA60" w14:textId="77777777" w:rsidR="00130E8B" w:rsidRPr="009167C6" w:rsidRDefault="000405CC">
            <w:pPr>
              <w:pStyle w:val="TableParagraph"/>
              <w:spacing w:line="246" w:lineRule="exact"/>
              <w:ind w:left="469"/>
              <w:rPr>
                <w:rFonts w:ascii="Times New Roman" w:eastAsia="Times New Roman" w:hAnsi="Times New Roman" w:cs="Times New Roman"/>
                <w:lang w:val="hu-HU"/>
              </w:rPr>
            </w:pPr>
            <w:r w:rsidRPr="009167C6">
              <w:rPr>
                <w:rFonts w:ascii="Times New Roman" w:eastAsia="Times New Roman" w:hAnsi="Times New Roman" w:cs="Times New Roman"/>
                <w:lang w:val="hu-HU"/>
              </w:rPr>
              <w:t xml:space="preserve">* </w:t>
            </w:r>
            <w:r w:rsidRPr="009167C6">
              <w:rPr>
                <w:rFonts w:ascii="Times New Roman" w:eastAsia="Times New Roman" w:hAnsi="Times New Roman" w:cs="Times New Roman"/>
                <w:i/>
                <w:iCs/>
                <w:lang w:val="hu-HU"/>
              </w:rPr>
              <w:t xml:space="preserve">P </w:t>
            </w:r>
            <w:r w:rsidRPr="009167C6">
              <w:rPr>
                <w:rFonts w:ascii="Times New Roman" w:eastAsia="Times New Roman" w:hAnsi="Times New Roman" w:cs="Times New Roman"/>
                <w:lang w:val="hu-HU"/>
              </w:rPr>
              <w:t>&lt; 0.05, ***</w:t>
            </w:r>
            <w:r w:rsidRPr="009167C6">
              <w:rPr>
                <w:rFonts w:ascii="Times New Roman" w:eastAsia="Times New Roman" w:hAnsi="Times New Roman" w:cs="Times New Roman"/>
                <w:i/>
                <w:iCs/>
                <w:lang w:val="hu-HU"/>
              </w:rPr>
              <w:t xml:space="preserve">P </w:t>
            </w:r>
            <w:r w:rsidRPr="009167C6">
              <w:rPr>
                <w:rFonts w:ascii="Times New Roman" w:eastAsia="Times New Roman" w:hAnsi="Times New Roman" w:cs="Times New Roman"/>
                <w:lang w:val="hu-HU"/>
              </w:rPr>
              <w:t>&lt; 0.001, adalimumab versus placebo</w:t>
            </w:r>
          </w:p>
          <w:p w14:paraId="2C1FF3BE" w14:textId="77777777" w:rsidR="00130E8B" w:rsidRPr="009167C6" w:rsidRDefault="000405CC">
            <w:pPr>
              <w:pStyle w:val="a4"/>
              <w:numPr>
                <w:ilvl w:val="0"/>
                <w:numId w:val="10"/>
              </w:numPr>
              <w:tabs>
                <w:tab w:val="left" w:pos="469"/>
              </w:tabs>
              <w:spacing w:before="32"/>
              <w:ind w:left="469"/>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Az összes randomizált betegeknél.</w:t>
            </w:r>
          </w:p>
          <w:p w14:paraId="60D682B5" w14:textId="77777777" w:rsidR="00130E8B" w:rsidRPr="009167C6" w:rsidRDefault="000405CC">
            <w:pPr>
              <w:pStyle w:val="a4"/>
              <w:numPr>
                <w:ilvl w:val="0"/>
                <w:numId w:val="10"/>
              </w:numPr>
              <w:tabs>
                <w:tab w:val="left" w:pos="469"/>
              </w:tabs>
              <w:spacing w:before="41" w:line="240" w:lineRule="exact"/>
              <w:ind w:left="469" w:right="598"/>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Azoknál a betegeknél, akiknél a vizsgálat megkezdésekor a HS-sel összefüggő bőrfájdalom értéke ≥3 a 0-10-ig terjedő Numerikus skála alapján: 0 = nincs bőrfájdalom, 10 = olyan súlyos bőrfájdalom, amit csak el lehet képzelni.</w:t>
            </w:r>
          </w:p>
        </w:tc>
      </w:tr>
    </w:tbl>
    <w:p w14:paraId="4FD0B42E" w14:textId="77777777" w:rsidR="00130E8B" w:rsidRDefault="00130E8B">
      <w:pPr>
        <w:spacing w:before="5" w:line="170" w:lineRule="exact"/>
        <w:rPr>
          <w:sz w:val="17"/>
          <w:szCs w:val="17"/>
          <w:lang w:val="hu-HU"/>
        </w:rPr>
      </w:pPr>
    </w:p>
    <w:p w14:paraId="149D1644" w14:textId="77777777" w:rsidR="00130E8B" w:rsidRDefault="000405CC">
      <w:pPr>
        <w:pStyle w:val="a3"/>
        <w:rPr>
          <w:lang w:val="hu-HU"/>
        </w:rPr>
      </w:pPr>
      <w:r>
        <w:rPr>
          <w:rFonts w:eastAsia="Times New Roman"/>
          <w:lang w:val="hu-HU"/>
        </w:rPr>
        <w:t>A minden héten 40 mg adalimumab adagolásán alapuló kezelés jelentősen lecsökkentette a tályogok és váladékozó fistulák romlásának kockázatát. A HS-</w:t>
      </w:r>
      <w:r w:rsidR="00424DF6" w:rsidRPr="009167C6">
        <w:rPr>
          <w:lang w:val="hu-HU"/>
        </w:rPr>
        <w:t> </w:t>
      </w:r>
      <w:r w:rsidR="00424DF6">
        <w:rPr>
          <w:rFonts w:eastAsia="Times New Roman"/>
          <w:lang w:val="hu-HU"/>
        </w:rPr>
        <w:t xml:space="preserve"> </w:t>
      </w:r>
      <w:r>
        <w:rPr>
          <w:rFonts w:eastAsia="Times New Roman"/>
          <w:lang w:val="hu-HU"/>
        </w:rPr>
        <w:t>I ésHS-</w:t>
      </w:r>
      <w:r w:rsidR="00424DF6" w:rsidRPr="009167C6">
        <w:rPr>
          <w:lang w:val="hu-HU"/>
        </w:rPr>
        <w:t> </w:t>
      </w:r>
      <w:r w:rsidR="00424DF6">
        <w:rPr>
          <w:rFonts w:eastAsia="Times New Roman"/>
          <w:lang w:val="hu-HU"/>
        </w:rPr>
        <w:t xml:space="preserve"> </w:t>
      </w:r>
      <w:r>
        <w:rPr>
          <w:rFonts w:eastAsia="Times New Roman"/>
          <w:lang w:val="hu-HU"/>
        </w:rPr>
        <w:t>II vizsgálat első 12 hetében megközelítőleg kétszer annyi, a placebocsoportba tartozó betegnél tapasztaltak romló tályogokat (23,0% vs 11,4%) és váladékozó fistulák (30,0% vs 13,9%), mint az adalimumab csoport betegeinél.</w:t>
      </w:r>
    </w:p>
    <w:p w14:paraId="696BE21A" w14:textId="77777777" w:rsidR="00130E8B" w:rsidRDefault="00130E8B">
      <w:pPr>
        <w:spacing w:before="14" w:line="240" w:lineRule="exact"/>
        <w:rPr>
          <w:sz w:val="24"/>
          <w:szCs w:val="24"/>
          <w:lang w:val="hu-HU"/>
        </w:rPr>
      </w:pPr>
    </w:p>
    <w:p w14:paraId="6ACDF083" w14:textId="77777777" w:rsidR="00130E8B" w:rsidRDefault="000405CC">
      <w:pPr>
        <w:pStyle w:val="a3"/>
        <w:rPr>
          <w:lang w:val="hu-HU"/>
        </w:rPr>
      </w:pPr>
      <w:r>
        <w:rPr>
          <w:rFonts w:eastAsia="Times New Roman"/>
          <w:lang w:val="hu-HU"/>
        </w:rPr>
        <w:t>A bőr-specifikus egészséggel kapcsolatos életminőségben bekövetkező számottevő javulást mutattak ki a placebóhoz képest a 12. héten a kiindulási értékéhez képest a Dermatológiai Élet Minőség Index-szel (DLQI; HS-I és HS-II vizsgálat), a beteg gyógyszeres kezeléssel való általános megelégedettségében a Kezelési Elégedettségi Kérdőív – gyógyszerelés részével (TSQM, HS-</w:t>
      </w:r>
      <w:r w:rsidR="00424DF6" w:rsidRPr="009167C6">
        <w:rPr>
          <w:lang w:val="hu-HU"/>
        </w:rPr>
        <w:t> </w:t>
      </w:r>
      <w:r w:rsidR="00424DF6">
        <w:rPr>
          <w:rFonts w:eastAsia="Times New Roman"/>
          <w:lang w:val="hu-HU"/>
        </w:rPr>
        <w:t xml:space="preserve"> </w:t>
      </w:r>
      <w:r>
        <w:rPr>
          <w:rFonts w:eastAsia="Times New Roman"/>
          <w:lang w:val="hu-HU"/>
        </w:rPr>
        <w:t>I és HS-</w:t>
      </w:r>
      <w:r w:rsidR="00424DF6" w:rsidRPr="009167C6">
        <w:rPr>
          <w:lang w:val="hu-HU"/>
        </w:rPr>
        <w:t> </w:t>
      </w:r>
      <w:r w:rsidR="00424DF6">
        <w:rPr>
          <w:rFonts w:eastAsia="Times New Roman"/>
          <w:lang w:val="hu-HU"/>
        </w:rPr>
        <w:t xml:space="preserve"> </w:t>
      </w:r>
      <w:r>
        <w:rPr>
          <w:rFonts w:eastAsia="Times New Roman"/>
          <w:lang w:val="hu-HU"/>
        </w:rPr>
        <w:t>II vizsgálatok) és a fizikai egészségben az SF-36 fizikai komponens összefoglaló pontszám által (HS-I vizsgálat)</w:t>
      </w:r>
    </w:p>
    <w:p w14:paraId="3E9A464C" w14:textId="2AB4EDD7" w:rsidR="00130E8B" w:rsidRDefault="000405CC">
      <w:pPr>
        <w:pStyle w:val="a3"/>
        <w:rPr>
          <w:lang w:val="hu-HU"/>
        </w:rPr>
      </w:pPr>
      <w:r>
        <w:rPr>
          <w:rFonts w:eastAsia="Times New Roman"/>
          <w:lang w:val="hu-HU"/>
        </w:rPr>
        <w:t>Azoknál a betegeknél akik a 12. héten legalább részlegesen reagáltak a heti 40 mg adalimumabra, a 36. hétre a HiSCR arány magasabb volt azoknál, akik hetente folytatták az adalimumab alkalmazását, mint azoknál, akiknél az adagolás gyakorisága kéthetenkéntire csökkent, vagy akiknél abbahagyták a kezelést (lásd 2</w:t>
      </w:r>
      <w:r w:rsidR="00D33AB9">
        <w:rPr>
          <w:rFonts w:eastAsia="Times New Roman"/>
          <w:lang w:val="hu-HU"/>
        </w:rPr>
        <w:t>0</w:t>
      </w:r>
      <w:r>
        <w:rPr>
          <w:rFonts w:eastAsia="Times New Roman"/>
          <w:lang w:val="hu-HU"/>
        </w:rPr>
        <w:t>. táblázat).</w:t>
      </w:r>
    </w:p>
    <w:p w14:paraId="3F87A0F5" w14:textId="1F4D24BC" w:rsidR="00E91FF7" w:rsidRDefault="00E91FF7">
      <w:pPr>
        <w:rPr>
          <w:sz w:val="26"/>
          <w:szCs w:val="26"/>
          <w:lang w:val="hu-HU"/>
        </w:rPr>
      </w:pPr>
    </w:p>
    <w:p w14:paraId="5136BE8E" w14:textId="7A151E34" w:rsidR="00130E8B" w:rsidRDefault="000405CC">
      <w:pPr>
        <w:pStyle w:val="a3"/>
        <w:jc w:val="center"/>
        <w:rPr>
          <w:b/>
          <w:lang w:val="hu-HU"/>
        </w:rPr>
      </w:pPr>
      <w:r>
        <w:rPr>
          <w:rFonts w:eastAsia="Times New Roman"/>
          <w:b/>
          <w:bCs/>
          <w:lang w:val="hu-HU"/>
        </w:rPr>
        <w:t>2</w:t>
      </w:r>
      <w:r w:rsidR="00D33AB9">
        <w:rPr>
          <w:rFonts w:eastAsia="Times New Roman"/>
          <w:b/>
          <w:bCs/>
          <w:lang w:val="hu-HU"/>
        </w:rPr>
        <w:t>0</w:t>
      </w:r>
      <w:r>
        <w:rPr>
          <w:rFonts w:eastAsia="Times New Roman"/>
          <w:b/>
          <w:bCs/>
          <w:lang w:val="hu-HU"/>
        </w:rPr>
        <w:t>. táblázat</w:t>
      </w:r>
    </w:p>
    <w:p w14:paraId="3C392879" w14:textId="55C30C23" w:rsidR="00130E8B" w:rsidRDefault="000405CC">
      <w:pPr>
        <w:pStyle w:val="a3"/>
        <w:jc w:val="center"/>
        <w:rPr>
          <w:b/>
          <w:lang w:val="hu-HU"/>
        </w:rPr>
      </w:pPr>
      <w:r>
        <w:rPr>
          <w:rFonts w:eastAsia="Times New Roman"/>
          <w:b/>
          <w:bCs/>
          <w:lang w:val="hu-HU"/>
        </w:rPr>
        <w:t>A HiSCR-t</w:t>
      </w:r>
      <w:r>
        <w:rPr>
          <w:rFonts w:eastAsia="Times New Roman"/>
          <w:b/>
          <w:bCs/>
          <w:vertAlign w:val="superscript"/>
          <w:lang w:val="hu-HU"/>
        </w:rPr>
        <w:t>b</w:t>
      </w:r>
      <w:r>
        <w:rPr>
          <w:rFonts w:eastAsia="Times New Roman"/>
          <w:b/>
          <w:bCs/>
          <w:lang w:val="hu-HU"/>
        </w:rPr>
        <w:t xml:space="preserve"> elérő betegek</w:t>
      </w:r>
      <w:r>
        <w:rPr>
          <w:rFonts w:eastAsia="Times New Roman"/>
          <w:b/>
          <w:bCs/>
          <w:vertAlign w:val="superscript"/>
          <w:lang w:val="hu-HU"/>
        </w:rPr>
        <w:t>a</w:t>
      </w:r>
      <w:r>
        <w:rPr>
          <w:rFonts w:eastAsia="Times New Roman"/>
          <w:b/>
          <w:bCs/>
          <w:lang w:val="hu-HU"/>
        </w:rPr>
        <w:t xml:space="preserve"> aránya a 24. és 36. héten a heti adalimumab adagolás megváltoztatása után a 12. héten</w:t>
      </w:r>
    </w:p>
    <w:tbl>
      <w:tblPr>
        <w:tblStyle w:val="TableNormal1"/>
        <w:tblW w:w="8679" w:type="dxa"/>
        <w:jc w:val="center"/>
        <w:tblLayout w:type="fixed"/>
        <w:tblLook w:val="01E0" w:firstRow="1" w:lastRow="1" w:firstColumn="1" w:lastColumn="1" w:noHBand="0" w:noVBand="0"/>
      </w:tblPr>
      <w:tblGrid>
        <w:gridCol w:w="1720"/>
        <w:gridCol w:w="2369"/>
        <w:gridCol w:w="2369"/>
        <w:gridCol w:w="2221"/>
      </w:tblGrid>
      <w:tr w:rsidR="00130E8B" w14:paraId="13860401" w14:textId="77777777" w:rsidTr="004E2591">
        <w:trPr>
          <w:jc w:val="center"/>
        </w:trPr>
        <w:tc>
          <w:tcPr>
            <w:tcW w:w="1720" w:type="dxa"/>
            <w:tcBorders>
              <w:top w:val="single" w:sz="5" w:space="0" w:color="000000"/>
              <w:left w:val="single" w:sz="5" w:space="0" w:color="000000"/>
              <w:bottom w:val="single" w:sz="5" w:space="0" w:color="000000"/>
              <w:right w:val="single" w:sz="5" w:space="0" w:color="000000"/>
            </w:tcBorders>
          </w:tcPr>
          <w:p w14:paraId="77D29075" w14:textId="77777777" w:rsidR="00130E8B" w:rsidRDefault="00130E8B">
            <w:pPr>
              <w:rPr>
                <w:lang w:val="hu-HU"/>
              </w:rPr>
            </w:pPr>
          </w:p>
        </w:tc>
        <w:tc>
          <w:tcPr>
            <w:tcW w:w="2369" w:type="dxa"/>
            <w:tcBorders>
              <w:top w:val="single" w:sz="5" w:space="0" w:color="000000"/>
              <w:left w:val="single" w:sz="5" w:space="0" w:color="000000"/>
              <w:bottom w:val="single" w:sz="5" w:space="0" w:color="000000"/>
              <w:right w:val="single" w:sz="5" w:space="0" w:color="000000"/>
            </w:tcBorders>
          </w:tcPr>
          <w:p w14:paraId="60EFF91A" w14:textId="77777777" w:rsidR="00D33AB9" w:rsidRDefault="000405CC">
            <w:pPr>
              <w:pStyle w:val="TableParagraph"/>
              <w:spacing w:before="37" w:line="240" w:lineRule="exact"/>
              <w:ind w:left="409" w:right="407" w:hanging="2"/>
              <w:jc w:val="center"/>
              <w:rPr>
                <w:rFonts w:ascii="Times New Roman" w:eastAsia="Times New Roman" w:hAnsi="Times New Roman" w:cs="Times New Roman"/>
                <w:b/>
                <w:bCs/>
                <w:lang w:val="hu-HU"/>
              </w:rPr>
            </w:pPr>
            <w:r>
              <w:rPr>
                <w:rFonts w:ascii="Times New Roman" w:eastAsia="Times New Roman" w:hAnsi="Times New Roman" w:cs="Times New Roman"/>
                <w:b/>
                <w:bCs/>
                <w:lang w:val="hu-HU"/>
              </w:rPr>
              <w:t xml:space="preserve">Placebo (kezelés megszakítva) </w:t>
            </w:r>
          </w:p>
          <w:p w14:paraId="63FCC4EC" w14:textId="1468461D" w:rsidR="00130E8B" w:rsidRDefault="00D10EAE">
            <w:pPr>
              <w:pStyle w:val="TableParagraph"/>
              <w:spacing w:before="37" w:line="240" w:lineRule="exact"/>
              <w:ind w:left="409" w:right="407" w:hanging="2"/>
              <w:jc w:val="center"/>
              <w:rPr>
                <w:rFonts w:ascii="Times New Roman" w:eastAsia="Times New Roman" w:hAnsi="Times New Roman" w:cs="Times New Roman"/>
                <w:lang w:val="hu-HU"/>
              </w:rPr>
            </w:pPr>
            <w:r>
              <w:rPr>
                <w:rFonts w:ascii="Times New Roman" w:eastAsia="Times New Roman" w:hAnsi="Times New Roman" w:cs="Times New Roman"/>
                <w:b/>
                <w:bCs/>
                <w:lang w:val="hu-HU"/>
              </w:rPr>
              <w:t>n</w:t>
            </w:r>
            <w:r w:rsidR="000405CC">
              <w:rPr>
                <w:rFonts w:ascii="Times New Roman" w:eastAsia="Times New Roman" w:hAnsi="Times New Roman" w:cs="Times New Roman"/>
                <w:b/>
                <w:bCs/>
                <w:lang w:val="hu-HU"/>
              </w:rPr>
              <w:t>= 73</w:t>
            </w:r>
          </w:p>
        </w:tc>
        <w:tc>
          <w:tcPr>
            <w:tcW w:w="2369" w:type="dxa"/>
            <w:tcBorders>
              <w:top w:val="single" w:sz="5" w:space="0" w:color="000000"/>
              <w:left w:val="single" w:sz="5" w:space="0" w:color="000000"/>
              <w:bottom w:val="single" w:sz="5" w:space="0" w:color="000000"/>
              <w:right w:val="single" w:sz="5" w:space="0" w:color="000000"/>
            </w:tcBorders>
          </w:tcPr>
          <w:p w14:paraId="731B8BA4" w14:textId="7F56725D" w:rsidR="00130E8B" w:rsidRDefault="000405CC" w:rsidP="00D10EAE">
            <w:pPr>
              <w:pStyle w:val="TableParagraph"/>
              <w:spacing w:line="240" w:lineRule="exact"/>
              <w:ind w:left="183" w:right="180" w:hanging="4"/>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 xml:space="preserve">Adalimumab 40 mg minden 2. héten </w:t>
            </w:r>
            <w:r>
              <w:rPr>
                <w:rFonts w:ascii="Times New Roman" w:eastAsia="Times New Roman" w:hAnsi="Times New Roman" w:cs="Times New Roman"/>
                <w:b/>
                <w:bCs/>
                <w:spacing w:val="-1"/>
                <w:lang w:val="hu-HU"/>
              </w:rPr>
              <w:br/>
            </w:r>
            <w:r w:rsidR="00D10EAE">
              <w:rPr>
                <w:rFonts w:ascii="Times New Roman" w:eastAsia="Times New Roman" w:hAnsi="Times New Roman" w:cs="Times New Roman"/>
                <w:b/>
                <w:bCs/>
                <w:spacing w:val="-1"/>
                <w:lang w:val="hu-HU"/>
              </w:rPr>
              <w:t xml:space="preserve">n </w:t>
            </w:r>
            <w:r>
              <w:rPr>
                <w:rFonts w:ascii="Times New Roman" w:eastAsia="Times New Roman" w:hAnsi="Times New Roman" w:cs="Times New Roman"/>
                <w:b/>
                <w:bCs/>
                <w:spacing w:val="-1"/>
                <w:lang w:val="hu-HU"/>
              </w:rPr>
              <w:t>= 70</w:t>
            </w:r>
          </w:p>
        </w:tc>
        <w:tc>
          <w:tcPr>
            <w:tcW w:w="2219" w:type="dxa"/>
            <w:tcBorders>
              <w:top w:val="single" w:sz="5" w:space="0" w:color="000000"/>
              <w:left w:val="single" w:sz="5" w:space="0" w:color="000000"/>
              <w:bottom w:val="single" w:sz="5" w:space="0" w:color="000000"/>
              <w:right w:val="single" w:sz="5" w:space="0" w:color="000000"/>
            </w:tcBorders>
          </w:tcPr>
          <w:p w14:paraId="02C900BA" w14:textId="77777777" w:rsidR="00130E8B" w:rsidRDefault="000405CC">
            <w:pPr>
              <w:pStyle w:val="TableParagraph"/>
              <w:spacing w:line="240" w:lineRule="exact"/>
              <w:ind w:left="236" w:right="236"/>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Adalimumab 40 mg hetente</w:t>
            </w:r>
          </w:p>
          <w:p w14:paraId="742D93A5" w14:textId="326E63F4" w:rsidR="00130E8B" w:rsidRDefault="00D10EAE">
            <w:pPr>
              <w:pStyle w:val="TableParagraph"/>
              <w:spacing w:line="240" w:lineRule="exact"/>
              <w:ind w:left="595" w:right="598"/>
              <w:jc w:val="center"/>
              <w:rPr>
                <w:rFonts w:ascii="Times New Roman" w:eastAsia="Times New Roman" w:hAnsi="Times New Roman" w:cs="Times New Roman"/>
                <w:lang w:val="hu-HU"/>
              </w:rPr>
            </w:pPr>
            <w:r>
              <w:rPr>
                <w:rFonts w:ascii="Times New Roman" w:eastAsia="Times New Roman" w:hAnsi="Times New Roman" w:cs="Times New Roman"/>
                <w:b/>
                <w:bCs/>
                <w:lang w:val="hu-HU"/>
              </w:rPr>
              <w:t xml:space="preserve">n </w:t>
            </w:r>
            <w:r w:rsidR="000405CC">
              <w:rPr>
                <w:rFonts w:ascii="Times New Roman" w:eastAsia="Times New Roman" w:hAnsi="Times New Roman" w:cs="Times New Roman"/>
                <w:b/>
                <w:bCs/>
                <w:lang w:val="hu-HU"/>
              </w:rPr>
              <w:t>= 70</w:t>
            </w:r>
          </w:p>
        </w:tc>
      </w:tr>
      <w:tr w:rsidR="00130E8B" w14:paraId="5325434E" w14:textId="77777777" w:rsidTr="004E2591">
        <w:trPr>
          <w:jc w:val="center"/>
        </w:trPr>
        <w:tc>
          <w:tcPr>
            <w:tcW w:w="1720" w:type="dxa"/>
            <w:tcBorders>
              <w:top w:val="single" w:sz="5" w:space="0" w:color="000000"/>
              <w:left w:val="single" w:sz="5" w:space="0" w:color="000000"/>
              <w:bottom w:val="single" w:sz="5" w:space="0" w:color="000000"/>
              <w:right w:val="single" w:sz="5" w:space="0" w:color="000000"/>
            </w:tcBorders>
          </w:tcPr>
          <w:p w14:paraId="17544380" w14:textId="77777777" w:rsidR="00130E8B" w:rsidRDefault="000405CC">
            <w:pPr>
              <w:pStyle w:val="TableParagraph"/>
              <w:spacing w:before="24"/>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24. hét</w:t>
            </w:r>
          </w:p>
        </w:tc>
        <w:tc>
          <w:tcPr>
            <w:tcW w:w="2369" w:type="dxa"/>
            <w:tcBorders>
              <w:top w:val="single" w:sz="5" w:space="0" w:color="000000"/>
              <w:left w:val="single" w:sz="5" w:space="0" w:color="000000"/>
              <w:bottom w:val="single" w:sz="5" w:space="0" w:color="000000"/>
              <w:right w:val="single" w:sz="5" w:space="0" w:color="000000"/>
            </w:tcBorders>
          </w:tcPr>
          <w:p w14:paraId="16AE54A1" w14:textId="77777777" w:rsidR="00130E8B" w:rsidRDefault="000405CC">
            <w:pPr>
              <w:pStyle w:val="TableParagraph"/>
              <w:spacing w:before="24"/>
              <w:ind w:left="488"/>
              <w:rPr>
                <w:rFonts w:ascii="Times New Roman" w:eastAsia="Times New Roman" w:hAnsi="Times New Roman" w:cs="Times New Roman"/>
                <w:lang w:val="hu-HU"/>
              </w:rPr>
            </w:pPr>
            <w:r>
              <w:rPr>
                <w:rFonts w:ascii="Times New Roman" w:eastAsia="Times New Roman" w:hAnsi="Times New Roman" w:cs="Times New Roman"/>
                <w:spacing w:val="-1"/>
                <w:lang w:val="hu-HU"/>
              </w:rPr>
              <w:t>24 (32,9%)</w:t>
            </w:r>
          </w:p>
        </w:tc>
        <w:tc>
          <w:tcPr>
            <w:tcW w:w="2369" w:type="dxa"/>
            <w:tcBorders>
              <w:top w:val="single" w:sz="5" w:space="0" w:color="000000"/>
              <w:left w:val="single" w:sz="5" w:space="0" w:color="000000"/>
              <w:bottom w:val="single" w:sz="5" w:space="0" w:color="000000"/>
              <w:right w:val="single" w:sz="5" w:space="0" w:color="000000"/>
            </w:tcBorders>
          </w:tcPr>
          <w:p w14:paraId="38F150C6" w14:textId="77777777" w:rsidR="00130E8B" w:rsidRDefault="000405CC">
            <w:pPr>
              <w:pStyle w:val="TableParagraph"/>
              <w:spacing w:before="24"/>
              <w:ind w:left="488"/>
              <w:rPr>
                <w:rFonts w:ascii="Times New Roman" w:eastAsia="Times New Roman" w:hAnsi="Times New Roman" w:cs="Times New Roman"/>
                <w:lang w:val="hu-HU"/>
              </w:rPr>
            </w:pPr>
            <w:r>
              <w:rPr>
                <w:rFonts w:ascii="Times New Roman" w:eastAsia="Times New Roman" w:hAnsi="Times New Roman" w:cs="Times New Roman"/>
                <w:spacing w:val="-1"/>
                <w:lang w:val="hu-HU"/>
              </w:rPr>
              <w:t>36 (51,4%)</w:t>
            </w:r>
          </w:p>
        </w:tc>
        <w:tc>
          <w:tcPr>
            <w:tcW w:w="2219" w:type="dxa"/>
            <w:tcBorders>
              <w:top w:val="single" w:sz="5" w:space="0" w:color="000000"/>
              <w:left w:val="single" w:sz="5" w:space="0" w:color="000000"/>
              <w:bottom w:val="single" w:sz="5" w:space="0" w:color="000000"/>
              <w:right w:val="single" w:sz="5" w:space="0" w:color="000000"/>
            </w:tcBorders>
          </w:tcPr>
          <w:p w14:paraId="1CB47CD2" w14:textId="77777777" w:rsidR="00130E8B" w:rsidRDefault="000405CC">
            <w:pPr>
              <w:pStyle w:val="TableParagraph"/>
              <w:spacing w:before="24"/>
              <w:ind w:left="426"/>
              <w:rPr>
                <w:rFonts w:ascii="Times New Roman" w:eastAsia="Times New Roman" w:hAnsi="Times New Roman" w:cs="Times New Roman"/>
                <w:lang w:val="hu-HU"/>
              </w:rPr>
            </w:pPr>
            <w:r>
              <w:rPr>
                <w:rFonts w:ascii="Times New Roman" w:eastAsia="Times New Roman" w:hAnsi="Times New Roman" w:cs="Times New Roman"/>
                <w:spacing w:val="-1"/>
                <w:lang w:val="hu-HU"/>
              </w:rPr>
              <w:t>40 (57,1%)</w:t>
            </w:r>
          </w:p>
        </w:tc>
      </w:tr>
      <w:tr w:rsidR="00130E8B" w14:paraId="6480C50C" w14:textId="77777777" w:rsidTr="004E2591">
        <w:trPr>
          <w:jc w:val="center"/>
        </w:trPr>
        <w:tc>
          <w:tcPr>
            <w:tcW w:w="1720" w:type="dxa"/>
            <w:tcBorders>
              <w:top w:val="single" w:sz="5" w:space="0" w:color="000000"/>
              <w:left w:val="single" w:sz="5" w:space="0" w:color="000000"/>
              <w:bottom w:val="single" w:sz="6" w:space="0" w:color="000000"/>
              <w:right w:val="single" w:sz="5" w:space="0" w:color="000000"/>
            </w:tcBorders>
          </w:tcPr>
          <w:p w14:paraId="5793D7F5" w14:textId="77777777" w:rsidR="00130E8B" w:rsidRDefault="000405CC">
            <w:pPr>
              <w:pStyle w:val="TableParagraph"/>
              <w:spacing w:before="24"/>
              <w:ind w:left="102"/>
              <w:rPr>
                <w:rFonts w:ascii="Times New Roman" w:eastAsia="Times New Roman" w:hAnsi="Times New Roman" w:cs="Times New Roman"/>
                <w:lang w:val="hu-HU"/>
              </w:rPr>
            </w:pPr>
            <w:r>
              <w:rPr>
                <w:rFonts w:ascii="Times New Roman" w:eastAsia="Times New Roman" w:hAnsi="Times New Roman" w:cs="Times New Roman"/>
                <w:lang w:val="hu-HU"/>
              </w:rPr>
              <w:t>36. hét</w:t>
            </w:r>
          </w:p>
        </w:tc>
        <w:tc>
          <w:tcPr>
            <w:tcW w:w="2369" w:type="dxa"/>
            <w:tcBorders>
              <w:top w:val="single" w:sz="5" w:space="0" w:color="000000"/>
              <w:left w:val="single" w:sz="5" w:space="0" w:color="000000"/>
              <w:bottom w:val="single" w:sz="6" w:space="0" w:color="000000"/>
              <w:right w:val="single" w:sz="5" w:space="0" w:color="000000"/>
            </w:tcBorders>
          </w:tcPr>
          <w:p w14:paraId="5DD0BCED" w14:textId="77777777" w:rsidR="00130E8B" w:rsidRDefault="000405CC">
            <w:pPr>
              <w:pStyle w:val="TableParagraph"/>
              <w:spacing w:before="24"/>
              <w:ind w:left="488"/>
              <w:rPr>
                <w:rFonts w:ascii="Times New Roman" w:eastAsia="Times New Roman" w:hAnsi="Times New Roman" w:cs="Times New Roman"/>
                <w:lang w:val="hu-HU"/>
              </w:rPr>
            </w:pPr>
            <w:r>
              <w:rPr>
                <w:rFonts w:ascii="Times New Roman" w:eastAsia="Times New Roman" w:hAnsi="Times New Roman" w:cs="Times New Roman"/>
                <w:spacing w:val="-1"/>
                <w:lang w:val="hu-HU"/>
              </w:rPr>
              <w:t>22 (30,1%)</w:t>
            </w:r>
          </w:p>
        </w:tc>
        <w:tc>
          <w:tcPr>
            <w:tcW w:w="2369" w:type="dxa"/>
            <w:tcBorders>
              <w:top w:val="single" w:sz="5" w:space="0" w:color="000000"/>
              <w:left w:val="single" w:sz="5" w:space="0" w:color="000000"/>
              <w:bottom w:val="single" w:sz="6" w:space="0" w:color="000000"/>
              <w:right w:val="single" w:sz="5" w:space="0" w:color="000000"/>
            </w:tcBorders>
          </w:tcPr>
          <w:p w14:paraId="2BECB1A8" w14:textId="77777777" w:rsidR="00130E8B" w:rsidRDefault="000405CC">
            <w:pPr>
              <w:pStyle w:val="TableParagraph"/>
              <w:spacing w:before="24"/>
              <w:ind w:left="488"/>
              <w:rPr>
                <w:rFonts w:ascii="Times New Roman" w:eastAsia="Times New Roman" w:hAnsi="Times New Roman" w:cs="Times New Roman"/>
                <w:lang w:val="hu-HU"/>
              </w:rPr>
            </w:pPr>
            <w:r>
              <w:rPr>
                <w:rFonts w:ascii="Times New Roman" w:eastAsia="Times New Roman" w:hAnsi="Times New Roman" w:cs="Times New Roman"/>
                <w:spacing w:val="-1"/>
                <w:lang w:val="hu-HU"/>
              </w:rPr>
              <w:t>28 (40,0%)</w:t>
            </w:r>
          </w:p>
        </w:tc>
        <w:tc>
          <w:tcPr>
            <w:tcW w:w="2219" w:type="dxa"/>
            <w:tcBorders>
              <w:top w:val="single" w:sz="5" w:space="0" w:color="000000"/>
              <w:left w:val="single" w:sz="5" w:space="0" w:color="000000"/>
              <w:bottom w:val="single" w:sz="6" w:space="0" w:color="000000"/>
              <w:right w:val="single" w:sz="5" w:space="0" w:color="000000"/>
            </w:tcBorders>
          </w:tcPr>
          <w:p w14:paraId="3268408A" w14:textId="77777777" w:rsidR="00130E8B" w:rsidRDefault="000405CC">
            <w:pPr>
              <w:pStyle w:val="TableParagraph"/>
              <w:spacing w:before="24"/>
              <w:ind w:left="426"/>
              <w:rPr>
                <w:rFonts w:ascii="Times New Roman" w:eastAsia="Times New Roman" w:hAnsi="Times New Roman" w:cs="Times New Roman"/>
                <w:lang w:val="hu-HU"/>
              </w:rPr>
            </w:pPr>
            <w:r>
              <w:rPr>
                <w:rFonts w:ascii="Times New Roman" w:eastAsia="Times New Roman" w:hAnsi="Times New Roman" w:cs="Times New Roman"/>
                <w:spacing w:val="-1"/>
                <w:lang w:val="hu-HU"/>
              </w:rPr>
              <w:t>39 (55,7%)</w:t>
            </w:r>
          </w:p>
        </w:tc>
      </w:tr>
      <w:tr w:rsidR="00130E8B" w:rsidRPr="00BE4D18" w14:paraId="6686738E" w14:textId="77777777" w:rsidTr="004E2591">
        <w:trPr>
          <w:jc w:val="center"/>
        </w:trPr>
        <w:tc>
          <w:tcPr>
            <w:tcW w:w="8679" w:type="dxa"/>
            <w:gridSpan w:val="4"/>
            <w:tcBorders>
              <w:top w:val="single" w:sz="6" w:space="0" w:color="000000"/>
              <w:left w:val="single" w:sz="6" w:space="0" w:color="000000"/>
              <w:bottom w:val="single" w:sz="4" w:space="0" w:color="auto"/>
              <w:right w:val="single" w:sz="6" w:space="0" w:color="000000"/>
            </w:tcBorders>
          </w:tcPr>
          <w:p w14:paraId="3B14522C" w14:textId="77777777" w:rsidR="00130E8B" w:rsidRDefault="000405CC">
            <w:pPr>
              <w:pStyle w:val="a4"/>
              <w:numPr>
                <w:ilvl w:val="0"/>
                <w:numId w:val="9"/>
              </w:numPr>
              <w:tabs>
                <w:tab w:val="left" w:pos="344"/>
              </w:tabs>
              <w:spacing w:before="39" w:line="240" w:lineRule="exact"/>
              <w:ind w:left="344" w:right="494"/>
              <w:rPr>
                <w:rFonts w:ascii="Times New Roman" w:eastAsia="Times New Roman" w:hAnsi="Times New Roman" w:cs="Times New Roman"/>
                <w:lang w:val="hu-HU"/>
              </w:rPr>
            </w:pPr>
            <w:r>
              <w:rPr>
                <w:rFonts w:ascii="Times New Roman" w:eastAsia="Times New Roman" w:hAnsi="Times New Roman" w:cs="Times New Roman"/>
                <w:spacing w:val="-1"/>
                <w:lang w:val="hu-HU"/>
              </w:rPr>
              <w:t>Betegek, akik legalább részleges választ adtak a heti 40 mg adalimumabra a12. hét után.</w:t>
            </w:r>
          </w:p>
          <w:p w14:paraId="15A142A5" w14:textId="77777777" w:rsidR="00130E8B" w:rsidRDefault="000405CC">
            <w:pPr>
              <w:pStyle w:val="a4"/>
              <w:numPr>
                <w:ilvl w:val="0"/>
                <w:numId w:val="9"/>
              </w:numPr>
              <w:tabs>
                <w:tab w:val="left" w:pos="344"/>
              </w:tabs>
              <w:spacing w:before="41" w:line="240" w:lineRule="exact"/>
              <w:ind w:left="344" w:right="814"/>
              <w:jc w:val="both"/>
              <w:rPr>
                <w:rFonts w:ascii="Times New Roman" w:eastAsia="Times New Roman" w:hAnsi="Times New Roman" w:cs="Times New Roman"/>
                <w:lang w:val="hu-HU"/>
              </w:rPr>
            </w:pPr>
            <w:r>
              <w:rPr>
                <w:rFonts w:ascii="Times New Roman" w:eastAsia="Times New Roman" w:hAnsi="Times New Roman" w:cs="Times New Roman"/>
                <w:spacing w:val="-1"/>
                <w:lang w:val="hu-HU"/>
              </w:rPr>
              <w:t>Azoknál a betegeknél, akik megfeleltek a válaszreakció megszűnésének vagy a javulás hiányának protokollban meghatározott kritériumainak, leállították a kezelést, és nem reagálóknak számítottak.</w:t>
            </w:r>
          </w:p>
        </w:tc>
      </w:tr>
    </w:tbl>
    <w:p w14:paraId="4F0BF097" w14:textId="77777777" w:rsidR="00130E8B" w:rsidRDefault="00130E8B">
      <w:pPr>
        <w:pStyle w:val="a3"/>
        <w:rPr>
          <w:spacing w:val="1"/>
          <w:lang w:val="hu-HU"/>
        </w:rPr>
      </w:pPr>
    </w:p>
    <w:p w14:paraId="1819C12D" w14:textId="77777777" w:rsidR="00130E8B" w:rsidRDefault="000405CC">
      <w:pPr>
        <w:pStyle w:val="a3"/>
        <w:rPr>
          <w:lang w:val="hu-HU"/>
        </w:rPr>
      </w:pPr>
      <w:r>
        <w:rPr>
          <w:rFonts w:eastAsia="Times New Roman"/>
          <w:spacing w:val="1"/>
          <w:lang w:val="hu-HU"/>
        </w:rPr>
        <w:t>Azoknál a betegeknél, akik legalább részlegesen reagáltak a 12. héten, és akik folyamatos heti adalimumab terápiát kaptak, a HiSCR arány a 48. héten 68,3%, a 96. héten pedig 65,1% volt. A heti 40 mg adalimumabbal történő hosszabb távú kezelés során a 96. hétig nem azonosítottak új, biztonságossági eseményt.</w:t>
      </w:r>
    </w:p>
    <w:p w14:paraId="2F14998A" w14:textId="77777777" w:rsidR="00130E8B" w:rsidRDefault="00130E8B">
      <w:pPr>
        <w:pStyle w:val="a3"/>
        <w:rPr>
          <w:sz w:val="24"/>
          <w:szCs w:val="24"/>
          <w:lang w:val="hu-HU"/>
        </w:rPr>
      </w:pPr>
    </w:p>
    <w:p w14:paraId="445313D5" w14:textId="77777777" w:rsidR="00130E8B" w:rsidRDefault="000405CC">
      <w:pPr>
        <w:pStyle w:val="a3"/>
        <w:rPr>
          <w:lang w:val="hu-HU"/>
        </w:rPr>
      </w:pPr>
      <w:r>
        <w:rPr>
          <w:rFonts w:eastAsia="Times New Roman"/>
          <w:spacing w:val="1"/>
          <w:lang w:val="hu-HU"/>
        </w:rPr>
        <w:t>Azoknál a betegeknél, akiknél a 12. héten leállították az adalimumab kezelést a HS-</w:t>
      </w:r>
      <w:r w:rsidR="00424DF6" w:rsidRPr="009167C6">
        <w:rPr>
          <w:lang w:val="hu-HU"/>
        </w:rPr>
        <w:t> </w:t>
      </w:r>
      <w:r w:rsidR="00424DF6">
        <w:rPr>
          <w:rFonts w:eastAsia="Times New Roman"/>
          <w:spacing w:val="1"/>
          <w:lang w:val="hu-HU"/>
        </w:rPr>
        <w:t xml:space="preserve"> </w:t>
      </w:r>
      <w:r>
        <w:rPr>
          <w:rFonts w:eastAsia="Times New Roman"/>
          <w:spacing w:val="1"/>
          <w:lang w:val="hu-HU"/>
        </w:rPr>
        <w:t>I és HS-</w:t>
      </w:r>
      <w:r w:rsidR="00424DF6" w:rsidRPr="009167C6">
        <w:rPr>
          <w:lang w:val="hu-HU"/>
        </w:rPr>
        <w:t> </w:t>
      </w:r>
      <w:r w:rsidR="00424DF6">
        <w:rPr>
          <w:rFonts w:eastAsia="Times New Roman"/>
          <w:spacing w:val="1"/>
          <w:lang w:val="hu-HU"/>
        </w:rPr>
        <w:t xml:space="preserve"> </w:t>
      </w:r>
      <w:r>
        <w:rPr>
          <w:rFonts w:eastAsia="Times New Roman"/>
          <w:spacing w:val="1"/>
          <w:lang w:val="hu-HU"/>
        </w:rPr>
        <w:t>II vizsgálatban, a HiSCR arány 12 héttel a 40 mg adalimumab heti adagolásának újbóli bevezetése után visszatért hasonló szintre, mint amit a leállítás előtt megfigyeltek (56,0%).</w:t>
      </w:r>
    </w:p>
    <w:p w14:paraId="422C9DE8" w14:textId="77777777" w:rsidR="00130E8B" w:rsidRDefault="00130E8B">
      <w:pPr>
        <w:pStyle w:val="a3"/>
        <w:rPr>
          <w:sz w:val="24"/>
          <w:szCs w:val="24"/>
          <w:lang w:val="hu-HU"/>
        </w:rPr>
      </w:pPr>
    </w:p>
    <w:p w14:paraId="30F499B8" w14:textId="77777777" w:rsidR="00130E8B" w:rsidRDefault="000405CC">
      <w:pPr>
        <w:pStyle w:val="a3"/>
        <w:rPr>
          <w:rFonts w:eastAsia="Times New Roman"/>
          <w:lang w:val="hu-HU"/>
        </w:rPr>
      </w:pPr>
      <w:r>
        <w:rPr>
          <w:rFonts w:eastAsia="Times New Roman"/>
          <w:i/>
          <w:iCs/>
          <w:spacing w:val="-1"/>
          <w:lang w:val="hu-HU"/>
        </w:rPr>
        <w:t>Crohn-betegség</w:t>
      </w:r>
    </w:p>
    <w:p w14:paraId="32B9FC37" w14:textId="77777777" w:rsidR="00130E8B" w:rsidRDefault="00130E8B">
      <w:pPr>
        <w:pStyle w:val="a3"/>
        <w:rPr>
          <w:sz w:val="24"/>
          <w:szCs w:val="24"/>
          <w:lang w:val="hu-HU"/>
        </w:rPr>
      </w:pPr>
    </w:p>
    <w:p w14:paraId="240D91B0" w14:textId="77777777" w:rsidR="00130E8B" w:rsidRDefault="000405CC">
      <w:pPr>
        <w:pStyle w:val="a3"/>
        <w:rPr>
          <w:lang w:val="hu-HU"/>
        </w:rPr>
      </w:pPr>
      <w:r>
        <w:rPr>
          <w:rFonts w:eastAsia="Times New Roman"/>
          <w:lang w:val="hu-HU"/>
        </w:rPr>
        <w:t xml:space="preserve">Az adalimumab biztonságosságát és hatásosságát több mint 1500, közepesen súlyos – </w:t>
      </w:r>
      <w:r w:rsidR="00424DF6" w:rsidRPr="009167C6">
        <w:rPr>
          <w:lang w:val="hu-HU"/>
        </w:rPr>
        <w:t> </w:t>
      </w:r>
      <w:r w:rsidR="00424DF6">
        <w:rPr>
          <w:rFonts w:eastAsia="Times New Roman"/>
          <w:lang w:val="hu-HU"/>
        </w:rPr>
        <w:t xml:space="preserve"> </w:t>
      </w:r>
      <w:r>
        <w:rPr>
          <w:rFonts w:eastAsia="Times New Roman"/>
          <w:lang w:val="hu-HU"/>
        </w:rPr>
        <w:t xml:space="preserve">súlyos aktivitású Crohn-betegségben (CDAI [Crohn’s Disease Activity Index – Crohn-betegség aktivitási index]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 220 – </w:t>
      </w:r>
      <w:r>
        <w:rPr>
          <w:rFonts w:ascii="Symbol" w:eastAsia="Symbol" w:hAnsi="Symbol" w:cs="Symbol"/>
          <w:lang w:val="hu-HU"/>
        </w:rPr>
        <w:sym w:font="Symbol" w:char="F0A3"/>
      </w:r>
      <w:r>
        <w:rPr>
          <w:rFonts w:ascii="Symbol" w:eastAsia="Symbol" w:hAnsi="Symbol" w:cs="Symbol"/>
          <w:lang w:val="hu-HU"/>
        </w:rPr>
        <w:sym w:font="Symbol" w:char="F020"/>
      </w:r>
      <w:r>
        <w:rPr>
          <w:rFonts w:eastAsia="Times New Roman"/>
          <w:lang w:val="hu-HU"/>
        </w:rPr>
        <w:t>450) szenvedő betegen értékelték randomizált, kettős vak, placebokontrollos vizsgálattal. Az aminoszalicilátok, kortikoszteroidok és/vagy immunmodulánsok alkalmazását változatlan dózisban engedélyezték; e szerek legalább egyikét a betegek 80%-a továbbra is kapta.</w:t>
      </w:r>
    </w:p>
    <w:p w14:paraId="379AE042" w14:textId="77777777" w:rsidR="00130E8B" w:rsidRDefault="00130E8B">
      <w:pPr>
        <w:pStyle w:val="a3"/>
        <w:rPr>
          <w:sz w:val="24"/>
          <w:szCs w:val="24"/>
          <w:lang w:val="hu-HU"/>
        </w:rPr>
      </w:pPr>
    </w:p>
    <w:p w14:paraId="4B9A1D37" w14:textId="5CB81B8E" w:rsidR="00130E8B" w:rsidRDefault="000405CC">
      <w:pPr>
        <w:pStyle w:val="a3"/>
        <w:rPr>
          <w:lang w:val="hu-HU"/>
        </w:rPr>
      </w:pPr>
      <w:r>
        <w:rPr>
          <w:rFonts w:eastAsia="Times New Roman"/>
          <w:lang w:val="hu-HU"/>
        </w:rPr>
        <w:t>A klinikai remisszió indukcióját (meghatározás szerint CDAI &lt; 150) két vizsgálat a CD</w:t>
      </w:r>
      <w:r w:rsidR="00424DF6">
        <w:rPr>
          <w:rFonts w:eastAsia="Times New Roman"/>
          <w:lang w:val="hu-HU"/>
        </w:rPr>
        <w:t xml:space="preserve"> </w:t>
      </w:r>
      <w:r>
        <w:rPr>
          <w:rFonts w:eastAsia="Times New Roman"/>
          <w:lang w:val="hu-HU"/>
        </w:rPr>
        <w:t>I (CLASSIC I) és a CD</w:t>
      </w:r>
      <w:r w:rsidR="00424DF6">
        <w:rPr>
          <w:rFonts w:eastAsia="Times New Roman"/>
          <w:lang w:val="hu-HU"/>
        </w:rPr>
        <w:t xml:space="preserve"> </w:t>
      </w:r>
      <w:r>
        <w:rPr>
          <w:rFonts w:eastAsia="Times New Roman"/>
          <w:lang w:val="hu-HU"/>
        </w:rPr>
        <w:t>II (GAIN) értékelte. A CD</w:t>
      </w:r>
      <w:r w:rsidR="00424DF6">
        <w:rPr>
          <w:rFonts w:eastAsia="Times New Roman"/>
          <w:lang w:val="hu-HU"/>
        </w:rPr>
        <w:t xml:space="preserve"> </w:t>
      </w:r>
      <w:r>
        <w:rPr>
          <w:rFonts w:eastAsia="Times New Roman"/>
          <w:lang w:val="hu-HU"/>
        </w:rPr>
        <w:t>I vizsgálatban 299, TNF-antagonistával korábban még nem kezelt beteget soroltak véletlenszerűen a négy terápiás csoport valamelyikébe (placebokezelés a 0. és a 2. héten; 160 mg adalimumab a 0. és 80 mg a 2. héten; 80 mg adalimumab a 0. és 40 mg a 2. héten; 40 mg adalimumab a 0. és 20 mg a 2. héten). A CD</w:t>
      </w:r>
      <w:r w:rsidR="00424DF6">
        <w:rPr>
          <w:rFonts w:eastAsia="Times New Roman"/>
          <w:lang w:val="hu-HU"/>
        </w:rPr>
        <w:t xml:space="preserve"> </w:t>
      </w:r>
      <w:r>
        <w:rPr>
          <w:rFonts w:eastAsia="Times New Roman"/>
          <w:lang w:val="hu-HU"/>
        </w:rPr>
        <w:t>II vizsgálatban 325 beteget, akinél hatástalanná vált az infliximab, vagy infliximab-intolerancia állt fenn, véletlenszerű besorolás alapján a 0. héten 160 mg, illetve a 2. héten 80 mg adalimumabbal vagy a 0. és a 2. héten adott placebóval kezeltek. A primer nem reagálókat kizárták a vizsgálatokból, ezért ezeket a betegeket a továbbiakban nem értékelték.</w:t>
      </w:r>
    </w:p>
    <w:p w14:paraId="725FADA1" w14:textId="77777777" w:rsidR="00130E8B" w:rsidRDefault="00130E8B">
      <w:pPr>
        <w:pStyle w:val="a3"/>
        <w:rPr>
          <w:sz w:val="24"/>
          <w:szCs w:val="24"/>
          <w:lang w:val="hu-HU"/>
        </w:rPr>
      </w:pPr>
    </w:p>
    <w:p w14:paraId="5B94F3D8" w14:textId="23DE2AC8" w:rsidR="00130E8B" w:rsidRDefault="000405CC">
      <w:pPr>
        <w:pStyle w:val="a3"/>
        <w:rPr>
          <w:lang w:val="hu-HU"/>
        </w:rPr>
      </w:pPr>
      <w:r>
        <w:rPr>
          <w:rFonts w:eastAsia="Times New Roman"/>
          <w:lang w:val="hu-HU"/>
        </w:rPr>
        <w:t>A klinikai remisszió fenntartását a CD</w:t>
      </w:r>
      <w:r w:rsidR="00424DF6">
        <w:rPr>
          <w:rFonts w:eastAsia="Times New Roman"/>
          <w:lang w:val="hu-HU"/>
        </w:rPr>
        <w:t xml:space="preserve"> </w:t>
      </w:r>
      <w:r>
        <w:rPr>
          <w:rFonts w:eastAsia="Times New Roman"/>
          <w:lang w:val="hu-HU"/>
        </w:rPr>
        <w:t>III (CHARM) vizsgálat értékelte. A CD</w:t>
      </w:r>
      <w:r w:rsidR="00424DF6">
        <w:rPr>
          <w:rFonts w:eastAsia="Times New Roman"/>
          <w:lang w:val="hu-HU"/>
        </w:rPr>
        <w:t xml:space="preserve"> </w:t>
      </w:r>
      <w:r>
        <w:rPr>
          <w:rFonts w:eastAsia="Times New Roman"/>
          <w:lang w:val="hu-HU"/>
        </w:rPr>
        <w:t>III vizsgálatban 854 beteget kezeltek nyílt vizsgálati elrendezésben, a 0. héten 80 mg, a 2. héten 40 mg dózissal. A 4. héten a résztvevőket véletlenszerűen sorolták be minden második héten 40 mg dózissal, hetente 40 mg dózissal vagy placebóval kezelt csoportba, összességében 56 hetes vizsgálati időtartammal. A kezelés 4. hetében a klinikailag reagáló (a CDAI ≥ 70 pontos csökkenése) betegek csoportját rétegezték, és eredményeiket a kezelésre a 4. hétig klinikailag nem reagáló betegekétől különválasztva értékelték. A 8. hét után engedélyezték a kortikoszteroid fokozatos csökkentését.</w:t>
      </w:r>
    </w:p>
    <w:p w14:paraId="7C5B9722" w14:textId="77777777" w:rsidR="00130E8B" w:rsidRDefault="00130E8B">
      <w:pPr>
        <w:spacing w:before="11" w:line="240" w:lineRule="exact"/>
        <w:rPr>
          <w:sz w:val="24"/>
          <w:szCs w:val="24"/>
          <w:lang w:val="hu-HU"/>
        </w:rPr>
      </w:pPr>
    </w:p>
    <w:p w14:paraId="60C1E23E" w14:textId="4EECDFDB" w:rsidR="00130E8B" w:rsidRDefault="000405CC">
      <w:pPr>
        <w:pStyle w:val="a3"/>
        <w:rPr>
          <w:rFonts w:eastAsia="Times New Roman"/>
          <w:lang w:val="hu-HU"/>
        </w:rPr>
      </w:pPr>
      <w:r>
        <w:rPr>
          <w:rFonts w:eastAsia="Times New Roman"/>
          <w:lang w:val="hu-HU"/>
        </w:rPr>
        <w:t>A 2</w:t>
      </w:r>
      <w:r w:rsidR="00E72311">
        <w:rPr>
          <w:rFonts w:eastAsia="Times New Roman"/>
          <w:lang w:val="hu-HU"/>
        </w:rPr>
        <w:t>1</w:t>
      </w:r>
      <w:r>
        <w:rPr>
          <w:rFonts w:eastAsia="Times New Roman"/>
          <w:lang w:val="hu-HU"/>
        </w:rPr>
        <w:t>. táblázat a CD I és a CD II vizsgálat során kiváltott remisszió gyakoriságát és a kezelésre reagáló betegek részarányát összegezi.</w:t>
      </w:r>
    </w:p>
    <w:p w14:paraId="09115E23" w14:textId="77777777" w:rsidR="00130E8B" w:rsidRDefault="00130E8B">
      <w:pPr>
        <w:pStyle w:val="a3"/>
        <w:rPr>
          <w:rFonts w:eastAsia="Times New Roman"/>
          <w:lang w:val="hu-HU"/>
        </w:rPr>
      </w:pPr>
    </w:p>
    <w:p w14:paraId="303CF76A" w14:textId="77777777" w:rsidR="00CE42DC" w:rsidRDefault="00CE42DC">
      <w:pPr>
        <w:pStyle w:val="a3"/>
        <w:jc w:val="center"/>
        <w:rPr>
          <w:rFonts w:eastAsia="Times New Roman"/>
          <w:b/>
          <w:bCs/>
          <w:lang w:val="hu-HU"/>
        </w:rPr>
      </w:pPr>
    </w:p>
    <w:p w14:paraId="50F6F830" w14:textId="77777777" w:rsidR="00CE42DC" w:rsidRDefault="00CE42DC">
      <w:pPr>
        <w:pStyle w:val="a3"/>
        <w:jc w:val="center"/>
        <w:rPr>
          <w:rFonts w:eastAsia="Times New Roman"/>
          <w:b/>
          <w:bCs/>
          <w:lang w:val="hu-HU"/>
        </w:rPr>
      </w:pPr>
    </w:p>
    <w:p w14:paraId="7A55109F" w14:textId="29DAFBB4" w:rsidR="00130E8B" w:rsidRDefault="000405CC">
      <w:pPr>
        <w:pStyle w:val="a3"/>
        <w:jc w:val="center"/>
        <w:rPr>
          <w:b/>
          <w:lang w:val="hu-HU"/>
        </w:rPr>
      </w:pPr>
      <w:r>
        <w:rPr>
          <w:rFonts w:eastAsia="Times New Roman"/>
          <w:b/>
          <w:bCs/>
          <w:lang w:val="hu-HU"/>
        </w:rPr>
        <w:lastRenderedPageBreak/>
        <w:t>2</w:t>
      </w:r>
      <w:r w:rsidR="00E72311">
        <w:rPr>
          <w:rFonts w:eastAsia="Times New Roman"/>
          <w:b/>
          <w:bCs/>
          <w:lang w:val="hu-HU"/>
        </w:rPr>
        <w:t>1</w:t>
      </w:r>
      <w:r>
        <w:rPr>
          <w:rFonts w:eastAsia="Times New Roman"/>
          <w:b/>
          <w:bCs/>
          <w:lang w:val="hu-HU"/>
        </w:rPr>
        <w:t>. táblázat</w:t>
      </w:r>
    </w:p>
    <w:p w14:paraId="2C6B8E89" w14:textId="77777777" w:rsidR="00130E8B" w:rsidRDefault="000405CC">
      <w:pPr>
        <w:pStyle w:val="a3"/>
        <w:jc w:val="center"/>
        <w:rPr>
          <w:rFonts w:eastAsia="Times New Roman"/>
          <w:b/>
          <w:bCs/>
          <w:lang w:val="hu-HU"/>
        </w:rPr>
      </w:pPr>
      <w:r>
        <w:rPr>
          <w:rFonts w:eastAsia="Times New Roman"/>
          <w:b/>
          <w:bCs/>
          <w:lang w:val="hu-HU"/>
        </w:rPr>
        <w:t xml:space="preserve">Klinikai remisszió és reakció indukció (a betegek százaléka) </w:t>
      </w:r>
    </w:p>
    <w:p w14:paraId="3FF6011B" w14:textId="77777777" w:rsidR="00C14860" w:rsidRDefault="00C14860">
      <w:pPr>
        <w:pStyle w:val="a3"/>
        <w:jc w:val="center"/>
        <w:rPr>
          <w:b/>
          <w:lang w:val="hu-HU"/>
        </w:rPr>
      </w:pPr>
    </w:p>
    <w:p w14:paraId="3547F177" w14:textId="77777777" w:rsidR="00130E8B" w:rsidRDefault="00130E8B">
      <w:pPr>
        <w:spacing w:before="3" w:line="10" w:lineRule="exact"/>
        <w:rPr>
          <w:sz w:val="4"/>
          <w:szCs w:val="4"/>
          <w:lang w:val="hu-HU"/>
        </w:rPr>
      </w:pPr>
    </w:p>
    <w:tbl>
      <w:tblPr>
        <w:tblStyle w:val="TableNormal1"/>
        <w:tblW w:w="9492" w:type="dxa"/>
        <w:tblLayout w:type="fixed"/>
        <w:tblLook w:val="01E0" w:firstRow="1" w:lastRow="1" w:firstColumn="1" w:lastColumn="1" w:noHBand="0" w:noVBand="0"/>
      </w:tblPr>
      <w:tblGrid>
        <w:gridCol w:w="2311"/>
        <w:gridCol w:w="1085"/>
        <w:gridCol w:w="1356"/>
        <w:gridCol w:w="1338"/>
        <w:gridCol w:w="1559"/>
        <w:gridCol w:w="1843"/>
      </w:tblGrid>
      <w:tr w:rsidR="00130E8B" w:rsidRPr="00BE4D18" w14:paraId="56B03CCC" w14:textId="77777777">
        <w:trPr>
          <w:trHeight w:hRule="exact" w:val="569"/>
        </w:trPr>
        <w:tc>
          <w:tcPr>
            <w:tcW w:w="2311" w:type="dxa"/>
            <w:tcBorders>
              <w:top w:val="single" w:sz="5" w:space="0" w:color="000000"/>
              <w:left w:val="single" w:sz="5" w:space="0" w:color="000000"/>
              <w:bottom w:val="single" w:sz="5" w:space="0" w:color="000000"/>
              <w:right w:val="single" w:sz="5" w:space="0" w:color="000000"/>
            </w:tcBorders>
          </w:tcPr>
          <w:p w14:paraId="240737F3" w14:textId="77777777" w:rsidR="00130E8B" w:rsidRDefault="00130E8B">
            <w:pPr>
              <w:rPr>
                <w:lang w:val="hu-HU"/>
              </w:rPr>
            </w:pPr>
          </w:p>
        </w:tc>
        <w:tc>
          <w:tcPr>
            <w:tcW w:w="3779" w:type="dxa"/>
            <w:gridSpan w:val="3"/>
            <w:tcBorders>
              <w:top w:val="single" w:sz="5" w:space="0" w:color="000000"/>
              <w:left w:val="single" w:sz="5" w:space="0" w:color="000000"/>
              <w:bottom w:val="single" w:sz="5" w:space="0" w:color="000000"/>
              <w:right w:val="single" w:sz="5" w:space="0" w:color="000000"/>
            </w:tcBorders>
          </w:tcPr>
          <w:p w14:paraId="43FA3753" w14:textId="77777777" w:rsidR="00130E8B" w:rsidRDefault="000405CC">
            <w:pPr>
              <w:pStyle w:val="TableParagraph"/>
              <w:spacing w:before="39" w:line="240" w:lineRule="exact"/>
              <w:ind w:left="102" w:right="15"/>
              <w:rPr>
                <w:rFonts w:ascii="Times New Roman" w:eastAsia="Times New Roman" w:hAnsi="Times New Roman" w:cs="Times New Roman"/>
                <w:lang w:val="hu-HU"/>
              </w:rPr>
            </w:pPr>
            <w:r>
              <w:rPr>
                <w:rFonts w:ascii="Times New Roman" w:eastAsia="Times New Roman" w:hAnsi="Times New Roman" w:cs="Times New Roman"/>
                <w:b/>
                <w:bCs/>
                <w:spacing w:val="-1"/>
                <w:lang w:val="hu-HU"/>
              </w:rPr>
              <w:t>CD I vizsgálat:Infliximab naiv betegek</w:t>
            </w:r>
          </w:p>
        </w:tc>
        <w:tc>
          <w:tcPr>
            <w:tcW w:w="3402" w:type="dxa"/>
            <w:gridSpan w:val="2"/>
            <w:tcBorders>
              <w:top w:val="single" w:sz="5" w:space="0" w:color="000000"/>
              <w:left w:val="single" w:sz="5" w:space="0" w:color="000000"/>
              <w:bottom w:val="single" w:sz="5" w:space="0" w:color="000000"/>
              <w:right w:val="single" w:sz="5" w:space="0" w:color="000000"/>
            </w:tcBorders>
          </w:tcPr>
          <w:p w14:paraId="71294104" w14:textId="77777777" w:rsidR="00130E8B" w:rsidRDefault="000405CC">
            <w:pPr>
              <w:pStyle w:val="TableParagraph"/>
              <w:spacing w:before="39" w:line="240"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CD II vizsgálat:Infliximabbal már kezelt betegek</w:t>
            </w:r>
          </w:p>
        </w:tc>
      </w:tr>
      <w:tr w:rsidR="00130E8B" w14:paraId="195CA50A" w14:textId="77777777">
        <w:trPr>
          <w:trHeight w:hRule="exact" w:val="890"/>
        </w:trPr>
        <w:tc>
          <w:tcPr>
            <w:tcW w:w="2311" w:type="dxa"/>
            <w:tcBorders>
              <w:top w:val="single" w:sz="5" w:space="0" w:color="000000"/>
              <w:left w:val="single" w:sz="5" w:space="0" w:color="000000"/>
              <w:bottom w:val="single" w:sz="5" w:space="0" w:color="000000"/>
              <w:right w:val="single" w:sz="5" w:space="0" w:color="000000"/>
            </w:tcBorders>
          </w:tcPr>
          <w:p w14:paraId="4219522C" w14:textId="77777777" w:rsidR="00130E8B" w:rsidRDefault="00130E8B">
            <w:pPr>
              <w:rPr>
                <w:lang w:val="hu-HU"/>
              </w:rPr>
            </w:pPr>
          </w:p>
        </w:tc>
        <w:tc>
          <w:tcPr>
            <w:tcW w:w="1085" w:type="dxa"/>
            <w:tcBorders>
              <w:top w:val="single" w:sz="5" w:space="0" w:color="000000"/>
              <w:left w:val="single" w:sz="5" w:space="0" w:color="000000"/>
              <w:bottom w:val="single" w:sz="5" w:space="0" w:color="000000"/>
              <w:right w:val="single" w:sz="5" w:space="0" w:color="000000"/>
            </w:tcBorders>
            <w:vAlign w:val="center"/>
          </w:tcPr>
          <w:p w14:paraId="607249AF" w14:textId="4FFD5F62" w:rsidR="00130E8B" w:rsidRDefault="000405CC" w:rsidP="00D10EAE">
            <w:pPr>
              <w:pStyle w:val="TableParagraph"/>
              <w:spacing w:before="24" w:line="268" w:lineRule="auto"/>
              <w:ind w:firstLineChars="50" w:firstLine="110"/>
              <w:jc w:val="center"/>
              <w:rPr>
                <w:rFonts w:ascii="Times New Roman" w:eastAsia="Times New Roman" w:hAnsi="Times New Roman" w:cs="Times New Roman"/>
                <w:lang w:val="hu-HU"/>
              </w:rPr>
            </w:pPr>
            <w:r>
              <w:rPr>
                <w:rFonts w:ascii="Times New Roman" w:eastAsia="Times New Roman" w:hAnsi="Times New Roman" w:cs="Times New Roman"/>
                <w:b/>
                <w:bCs/>
                <w:lang w:val="hu-HU"/>
              </w:rPr>
              <w:t xml:space="preserve">Placebo </w:t>
            </w:r>
            <w:r w:rsidR="00D10EAE">
              <w:rPr>
                <w:rFonts w:ascii="Times New Roman" w:eastAsia="Times New Roman" w:hAnsi="Times New Roman" w:cs="Times New Roman"/>
                <w:b/>
                <w:bCs/>
                <w:lang w:val="hu-HU"/>
              </w:rPr>
              <w:t>n</w:t>
            </w:r>
            <w:r>
              <w:rPr>
                <w:rFonts w:ascii="Times New Roman" w:eastAsia="Times New Roman" w:hAnsi="Times New Roman" w:cs="Times New Roman"/>
                <w:b/>
                <w:bCs/>
                <w:lang w:val="hu-HU"/>
              </w:rPr>
              <w:t>=74</w:t>
            </w:r>
          </w:p>
        </w:tc>
        <w:tc>
          <w:tcPr>
            <w:tcW w:w="1356" w:type="dxa"/>
            <w:tcBorders>
              <w:top w:val="single" w:sz="5" w:space="0" w:color="000000"/>
              <w:left w:val="single" w:sz="5" w:space="0" w:color="000000"/>
              <w:bottom w:val="single" w:sz="5" w:space="0" w:color="000000"/>
              <w:right w:val="single" w:sz="5" w:space="0" w:color="000000"/>
            </w:tcBorders>
            <w:vAlign w:val="center"/>
          </w:tcPr>
          <w:p w14:paraId="1B81A767" w14:textId="464100FA" w:rsidR="00130E8B" w:rsidRDefault="000405CC" w:rsidP="00D10EAE">
            <w:pPr>
              <w:pStyle w:val="TableParagraph"/>
              <w:spacing w:before="24" w:line="266" w:lineRule="auto"/>
              <w:ind w:hanging="4"/>
              <w:jc w:val="center"/>
              <w:rPr>
                <w:rFonts w:ascii="Times New Roman" w:eastAsia="Times New Roman" w:hAnsi="Times New Roman" w:cs="Times New Roman"/>
                <w:lang w:val="hu-HU"/>
              </w:rPr>
            </w:pPr>
            <w:r>
              <w:rPr>
                <w:rFonts w:ascii="Times New Roman" w:eastAsia="Times New Roman" w:hAnsi="Times New Roman" w:cs="Times New Roman"/>
                <w:b/>
                <w:bCs/>
                <w:lang w:val="hu-HU"/>
              </w:rPr>
              <w:t xml:space="preserve">Adalimumab 80/40 mg </w:t>
            </w:r>
            <w:r>
              <w:rPr>
                <w:rFonts w:ascii="Times New Roman" w:eastAsia="Times New Roman" w:hAnsi="Times New Roman" w:cs="Times New Roman"/>
                <w:b/>
                <w:bCs/>
                <w:lang w:val="hu-HU"/>
              </w:rPr>
              <w:br/>
            </w:r>
            <w:r w:rsidR="00D10EAE">
              <w:rPr>
                <w:rFonts w:ascii="Times New Roman" w:eastAsia="Times New Roman" w:hAnsi="Times New Roman" w:cs="Times New Roman"/>
                <w:b/>
                <w:bCs/>
                <w:lang w:val="hu-HU"/>
              </w:rPr>
              <w:t xml:space="preserve">n </w:t>
            </w:r>
            <w:r>
              <w:rPr>
                <w:rFonts w:ascii="Times New Roman" w:eastAsia="Times New Roman" w:hAnsi="Times New Roman" w:cs="Times New Roman"/>
                <w:b/>
                <w:bCs/>
                <w:lang w:val="hu-HU"/>
              </w:rPr>
              <w:t>= 75</w:t>
            </w:r>
          </w:p>
        </w:tc>
        <w:tc>
          <w:tcPr>
            <w:tcW w:w="1338" w:type="dxa"/>
            <w:tcBorders>
              <w:top w:val="single" w:sz="5" w:space="0" w:color="000000"/>
              <w:left w:val="single" w:sz="5" w:space="0" w:color="000000"/>
              <w:bottom w:val="single" w:sz="5" w:space="0" w:color="000000"/>
              <w:right w:val="single" w:sz="5" w:space="0" w:color="000000"/>
            </w:tcBorders>
            <w:vAlign w:val="center"/>
          </w:tcPr>
          <w:p w14:paraId="5A8269B8" w14:textId="77777777" w:rsidR="00F0336D" w:rsidRDefault="000405CC">
            <w:pPr>
              <w:pStyle w:val="TableParagraph"/>
              <w:spacing w:before="24" w:line="248" w:lineRule="auto"/>
              <w:jc w:val="center"/>
              <w:rPr>
                <w:rFonts w:ascii="Times New Roman" w:eastAsia="Times New Roman" w:hAnsi="Times New Roman" w:cs="Times New Roman"/>
                <w:b/>
                <w:bCs/>
                <w:lang w:val="hu-HU"/>
              </w:rPr>
            </w:pPr>
            <w:r>
              <w:rPr>
                <w:rFonts w:ascii="Times New Roman" w:eastAsia="Times New Roman" w:hAnsi="Times New Roman" w:cs="Times New Roman"/>
                <w:b/>
                <w:bCs/>
                <w:lang w:val="hu-HU"/>
              </w:rPr>
              <w:t xml:space="preserve">Adalimumab 160/80 mg </w:t>
            </w:r>
          </w:p>
          <w:p w14:paraId="57FFD250" w14:textId="46CF5082" w:rsidR="00130E8B" w:rsidRDefault="00D10EAE">
            <w:pPr>
              <w:pStyle w:val="TableParagraph"/>
              <w:spacing w:before="24" w:line="248" w:lineRule="auto"/>
              <w:jc w:val="center"/>
              <w:rPr>
                <w:rFonts w:ascii="Times New Roman" w:eastAsia="Times New Roman" w:hAnsi="Times New Roman" w:cs="Times New Roman"/>
                <w:lang w:val="hu-HU"/>
              </w:rPr>
            </w:pPr>
            <w:r>
              <w:rPr>
                <w:rFonts w:ascii="Times New Roman" w:eastAsia="Times New Roman" w:hAnsi="Times New Roman" w:cs="Times New Roman"/>
                <w:b/>
                <w:bCs/>
                <w:lang w:val="hu-HU"/>
              </w:rPr>
              <w:t xml:space="preserve">n </w:t>
            </w:r>
            <w:r w:rsidR="000405CC">
              <w:rPr>
                <w:rFonts w:ascii="Times New Roman" w:eastAsia="Times New Roman" w:hAnsi="Times New Roman" w:cs="Times New Roman"/>
                <w:b/>
                <w:bCs/>
                <w:lang w:val="hu-HU"/>
              </w:rPr>
              <w:t>= 76</w:t>
            </w:r>
          </w:p>
        </w:tc>
        <w:tc>
          <w:tcPr>
            <w:tcW w:w="1559" w:type="dxa"/>
            <w:tcBorders>
              <w:top w:val="single" w:sz="5" w:space="0" w:color="000000"/>
              <w:left w:val="single" w:sz="5" w:space="0" w:color="000000"/>
              <w:bottom w:val="single" w:sz="5" w:space="0" w:color="000000"/>
              <w:right w:val="single" w:sz="5" w:space="0" w:color="000000"/>
            </w:tcBorders>
            <w:vAlign w:val="center"/>
          </w:tcPr>
          <w:p w14:paraId="0C34343D" w14:textId="1A507554" w:rsidR="00130E8B" w:rsidRDefault="000405CC" w:rsidP="00D10EAE">
            <w:pPr>
              <w:pStyle w:val="TableParagraph"/>
              <w:spacing w:before="24" w:line="268" w:lineRule="auto"/>
              <w:jc w:val="center"/>
              <w:rPr>
                <w:rFonts w:ascii="Times New Roman" w:eastAsia="Times New Roman" w:hAnsi="Times New Roman" w:cs="Times New Roman"/>
                <w:lang w:val="hu-HU"/>
              </w:rPr>
            </w:pPr>
            <w:r>
              <w:rPr>
                <w:rFonts w:ascii="Times New Roman" w:eastAsia="Times New Roman" w:hAnsi="Times New Roman" w:cs="Times New Roman"/>
                <w:b/>
                <w:bCs/>
                <w:lang w:val="hu-HU"/>
              </w:rPr>
              <w:t xml:space="preserve">Placebo </w:t>
            </w:r>
            <w:r w:rsidR="00D10EAE">
              <w:rPr>
                <w:rFonts w:ascii="Times New Roman" w:eastAsia="Times New Roman" w:hAnsi="Times New Roman" w:cs="Times New Roman"/>
                <w:b/>
                <w:bCs/>
                <w:lang w:val="hu-HU"/>
              </w:rPr>
              <w:t>n</w:t>
            </w:r>
            <w:r>
              <w:rPr>
                <w:rFonts w:ascii="Times New Roman" w:eastAsia="Times New Roman" w:hAnsi="Times New Roman" w:cs="Times New Roman"/>
                <w:b/>
                <w:bCs/>
                <w:lang w:val="hu-HU"/>
              </w:rPr>
              <w:t>=166</w:t>
            </w:r>
          </w:p>
        </w:tc>
        <w:tc>
          <w:tcPr>
            <w:tcW w:w="1843" w:type="dxa"/>
            <w:tcBorders>
              <w:top w:val="single" w:sz="5" w:space="0" w:color="000000"/>
              <w:left w:val="single" w:sz="5" w:space="0" w:color="000000"/>
              <w:bottom w:val="single" w:sz="5" w:space="0" w:color="000000"/>
              <w:right w:val="single" w:sz="5" w:space="0" w:color="000000"/>
            </w:tcBorders>
            <w:vAlign w:val="center"/>
          </w:tcPr>
          <w:p w14:paraId="2DB560FC" w14:textId="77777777" w:rsidR="00D73B38" w:rsidRDefault="000405CC" w:rsidP="00D10EAE">
            <w:pPr>
              <w:pStyle w:val="TableParagraph"/>
              <w:spacing w:before="24" w:line="266" w:lineRule="auto"/>
              <w:ind w:hanging="4"/>
              <w:jc w:val="center"/>
              <w:rPr>
                <w:rFonts w:ascii="Times New Roman" w:eastAsia="Times New Roman" w:hAnsi="Times New Roman" w:cs="Times New Roman"/>
                <w:b/>
                <w:bCs/>
                <w:lang w:val="hu-HU"/>
              </w:rPr>
            </w:pPr>
            <w:r>
              <w:rPr>
                <w:rFonts w:ascii="Times New Roman" w:eastAsia="Times New Roman" w:hAnsi="Times New Roman" w:cs="Times New Roman"/>
                <w:b/>
                <w:bCs/>
                <w:lang w:val="hu-HU"/>
              </w:rPr>
              <w:t xml:space="preserve">Adalimumab 160/80 mg </w:t>
            </w:r>
          </w:p>
          <w:p w14:paraId="49C4AE39" w14:textId="1BB1D2C9" w:rsidR="00130E8B" w:rsidRDefault="00D10EAE" w:rsidP="00D10EAE">
            <w:pPr>
              <w:pStyle w:val="TableParagraph"/>
              <w:spacing w:before="24" w:line="266" w:lineRule="auto"/>
              <w:ind w:hanging="4"/>
              <w:jc w:val="center"/>
              <w:rPr>
                <w:rFonts w:ascii="Times New Roman" w:eastAsia="Times New Roman" w:hAnsi="Times New Roman" w:cs="Times New Roman"/>
                <w:lang w:val="hu-HU"/>
              </w:rPr>
            </w:pPr>
            <w:r>
              <w:rPr>
                <w:rFonts w:ascii="Times New Roman" w:eastAsia="Times New Roman" w:hAnsi="Times New Roman" w:cs="Times New Roman"/>
                <w:b/>
                <w:bCs/>
                <w:lang w:val="hu-HU"/>
              </w:rPr>
              <w:t xml:space="preserve">n </w:t>
            </w:r>
            <w:r w:rsidR="000405CC">
              <w:rPr>
                <w:rFonts w:ascii="Times New Roman" w:eastAsia="Times New Roman" w:hAnsi="Times New Roman" w:cs="Times New Roman"/>
                <w:b/>
                <w:bCs/>
                <w:lang w:val="hu-HU"/>
              </w:rPr>
              <w:t>= 159</w:t>
            </w:r>
          </w:p>
        </w:tc>
      </w:tr>
      <w:tr w:rsidR="00130E8B" w14:paraId="2F15E9E3" w14:textId="77777777">
        <w:trPr>
          <w:trHeight w:hRule="exact" w:val="331"/>
        </w:trPr>
        <w:tc>
          <w:tcPr>
            <w:tcW w:w="2311" w:type="dxa"/>
            <w:tcBorders>
              <w:top w:val="single" w:sz="5" w:space="0" w:color="000000"/>
              <w:left w:val="single" w:sz="5" w:space="0" w:color="000000"/>
              <w:bottom w:val="single" w:sz="5" w:space="0" w:color="000000"/>
              <w:right w:val="single" w:sz="5" w:space="0" w:color="000000"/>
            </w:tcBorders>
          </w:tcPr>
          <w:p w14:paraId="12342C6E" w14:textId="77777777" w:rsidR="00130E8B" w:rsidRDefault="000405CC">
            <w:pPr>
              <w:pStyle w:val="TableParagraph"/>
              <w:spacing w:before="24"/>
              <w:ind w:left="102"/>
              <w:rPr>
                <w:rFonts w:ascii="Times New Roman" w:eastAsia="Times New Roman" w:hAnsi="Times New Roman" w:cs="Times New Roman"/>
                <w:lang w:val="hu-HU"/>
              </w:rPr>
            </w:pPr>
            <w:r>
              <w:rPr>
                <w:rFonts w:ascii="Times New Roman" w:eastAsia="Times New Roman" w:hAnsi="Times New Roman" w:cs="Times New Roman"/>
                <w:lang w:val="hu-HU"/>
              </w:rPr>
              <w:t>4. hét</w:t>
            </w:r>
          </w:p>
        </w:tc>
        <w:tc>
          <w:tcPr>
            <w:tcW w:w="1085" w:type="dxa"/>
            <w:tcBorders>
              <w:top w:val="single" w:sz="5" w:space="0" w:color="000000"/>
              <w:left w:val="single" w:sz="5" w:space="0" w:color="000000"/>
              <w:bottom w:val="single" w:sz="5" w:space="0" w:color="000000"/>
              <w:right w:val="single" w:sz="5" w:space="0" w:color="000000"/>
            </w:tcBorders>
          </w:tcPr>
          <w:p w14:paraId="7699297C" w14:textId="77777777" w:rsidR="00130E8B" w:rsidRDefault="00130E8B">
            <w:pPr>
              <w:rPr>
                <w:lang w:val="hu-HU"/>
              </w:rPr>
            </w:pPr>
          </w:p>
        </w:tc>
        <w:tc>
          <w:tcPr>
            <w:tcW w:w="1356" w:type="dxa"/>
            <w:tcBorders>
              <w:top w:val="single" w:sz="5" w:space="0" w:color="000000"/>
              <w:left w:val="single" w:sz="5" w:space="0" w:color="000000"/>
              <w:bottom w:val="single" w:sz="5" w:space="0" w:color="000000"/>
              <w:right w:val="single" w:sz="5" w:space="0" w:color="000000"/>
            </w:tcBorders>
          </w:tcPr>
          <w:p w14:paraId="6CD97CB8" w14:textId="77777777" w:rsidR="00130E8B" w:rsidRDefault="00130E8B">
            <w:pPr>
              <w:rPr>
                <w:lang w:val="hu-HU"/>
              </w:rPr>
            </w:pPr>
          </w:p>
        </w:tc>
        <w:tc>
          <w:tcPr>
            <w:tcW w:w="1338" w:type="dxa"/>
            <w:tcBorders>
              <w:top w:val="single" w:sz="5" w:space="0" w:color="000000"/>
              <w:left w:val="single" w:sz="5" w:space="0" w:color="000000"/>
              <w:bottom w:val="single" w:sz="5" w:space="0" w:color="000000"/>
              <w:right w:val="single" w:sz="5" w:space="0" w:color="000000"/>
            </w:tcBorders>
          </w:tcPr>
          <w:p w14:paraId="6E9296A7" w14:textId="77777777" w:rsidR="00130E8B" w:rsidRDefault="00130E8B">
            <w:pPr>
              <w:rPr>
                <w:lang w:val="hu-HU"/>
              </w:rPr>
            </w:pPr>
          </w:p>
        </w:tc>
        <w:tc>
          <w:tcPr>
            <w:tcW w:w="1559" w:type="dxa"/>
            <w:tcBorders>
              <w:top w:val="single" w:sz="5" w:space="0" w:color="000000"/>
              <w:left w:val="single" w:sz="5" w:space="0" w:color="000000"/>
              <w:bottom w:val="single" w:sz="5" w:space="0" w:color="000000"/>
              <w:right w:val="single" w:sz="5" w:space="0" w:color="000000"/>
            </w:tcBorders>
          </w:tcPr>
          <w:p w14:paraId="08AA6F98" w14:textId="77777777" w:rsidR="00130E8B" w:rsidRDefault="00130E8B">
            <w:pPr>
              <w:rPr>
                <w:lang w:val="hu-HU"/>
              </w:rPr>
            </w:pPr>
          </w:p>
        </w:tc>
        <w:tc>
          <w:tcPr>
            <w:tcW w:w="1843" w:type="dxa"/>
            <w:tcBorders>
              <w:top w:val="single" w:sz="5" w:space="0" w:color="000000"/>
              <w:left w:val="single" w:sz="5" w:space="0" w:color="000000"/>
              <w:bottom w:val="single" w:sz="5" w:space="0" w:color="000000"/>
              <w:right w:val="single" w:sz="5" w:space="0" w:color="000000"/>
            </w:tcBorders>
          </w:tcPr>
          <w:p w14:paraId="0D87D57E" w14:textId="77777777" w:rsidR="00130E8B" w:rsidRDefault="00130E8B">
            <w:pPr>
              <w:rPr>
                <w:lang w:val="hu-HU"/>
              </w:rPr>
            </w:pPr>
          </w:p>
        </w:tc>
      </w:tr>
      <w:tr w:rsidR="00130E8B" w14:paraId="7FECFC8B" w14:textId="77777777">
        <w:trPr>
          <w:trHeight w:hRule="exact" w:val="329"/>
        </w:trPr>
        <w:tc>
          <w:tcPr>
            <w:tcW w:w="2311" w:type="dxa"/>
            <w:tcBorders>
              <w:top w:val="single" w:sz="5" w:space="0" w:color="000000"/>
              <w:left w:val="single" w:sz="5" w:space="0" w:color="000000"/>
              <w:bottom w:val="single" w:sz="5" w:space="0" w:color="000000"/>
              <w:right w:val="single" w:sz="5" w:space="0" w:color="000000"/>
            </w:tcBorders>
          </w:tcPr>
          <w:p w14:paraId="76BA7C42" w14:textId="77777777" w:rsidR="00130E8B" w:rsidRDefault="000405CC">
            <w:pPr>
              <w:pStyle w:val="TableParagraph"/>
              <w:spacing w:before="24"/>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Klinikai remisszió</w:t>
            </w:r>
          </w:p>
        </w:tc>
        <w:tc>
          <w:tcPr>
            <w:tcW w:w="1085" w:type="dxa"/>
            <w:tcBorders>
              <w:top w:val="single" w:sz="5" w:space="0" w:color="000000"/>
              <w:left w:val="single" w:sz="5" w:space="0" w:color="000000"/>
              <w:bottom w:val="single" w:sz="5" w:space="0" w:color="000000"/>
              <w:right w:val="single" w:sz="5" w:space="0" w:color="000000"/>
            </w:tcBorders>
          </w:tcPr>
          <w:p w14:paraId="6B3DE529" w14:textId="77777777" w:rsidR="00130E8B" w:rsidRDefault="000405CC">
            <w:pPr>
              <w:pStyle w:val="TableParagraph"/>
              <w:spacing w:before="24"/>
              <w:ind w:left="387"/>
              <w:rPr>
                <w:rFonts w:ascii="Times New Roman" w:eastAsia="Times New Roman" w:hAnsi="Times New Roman" w:cs="Times New Roman"/>
                <w:lang w:val="hu-HU"/>
              </w:rPr>
            </w:pPr>
            <w:r>
              <w:rPr>
                <w:rFonts w:ascii="Times New Roman" w:eastAsia="Times New Roman" w:hAnsi="Times New Roman" w:cs="Times New Roman"/>
                <w:lang w:val="hu-HU"/>
              </w:rPr>
              <w:t>12%</w:t>
            </w:r>
          </w:p>
        </w:tc>
        <w:tc>
          <w:tcPr>
            <w:tcW w:w="1356" w:type="dxa"/>
            <w:tcBorders>
              <w:top w:val="single" w:sz="5" w:space="0" w:color="000000"/>
              <w:left w:val="single" w:sz="5" w:space="0" w:color="000000"/>
              <w:bottom w:val="single" w:sz="5" w:space="0" w:color="000000"/>
              <w:right w:val="single" w:sz="5" w:space="0" w:color="000000"/>
            </w:tcBorders>
          </w:tcPr>
          <w:p w14:paraId="408D5965" w14:textId="77777777" w:rsidR="00130E8B" w:rsidRDefault="000405CC">
            <w:pPr>
              <w:pStyle w:val="TableParagraph"/>
              <w:spacing w:before="24"/>
              <w:ind w:left="395" w:right="398"/>
              <w:jc w:val="center"/>
              <w:rPr>
                <w:rFonts w:ascii="Times New Roman" w:eastAsia="Times New Roman" w:hAnsi="Times New Roman" w:cs="Times New Roman"/>
                <w:lang w:val="hu-HU"/>
              </w:rPr>
            </w:pPr>
            <w:r>
              <w:rPr>
                <w:rFonts w:ascii="Times New Roman" w:eastAsia="Times New Roman" w:hAnsi="Times New Roman" w:cs="Times New Roman"/>
                <w:lang w:val="hu-HU"/>
              </w:rPr>
              <w:t>24%</w:t>
            </w:r>
          </w:p>
        </w:tc>
        <w:tc>
          <w:tcPr>
            <w:tcW w:w="1338" w:type="dxa"/>
            <w:tcBorders>
              <w:top w:val="single" w:sz="5" w:space="0" w:color="000000"/>
              <w:left w:val="single" w:sz="5" w:space="0" w:color="000000"/>
              <w:bottom w:val="single" w:sz="5" w:space="0" w:color="000000"/>
              <w:right w:val="single" w:sz="5" w:space="0" w:color="000000"/>
            </w:tcBorders>
          </w:tcPr>
          <w:p w14:paraId="09AB4924" w14:textId="77777777" w:rsidR="00130E8B" w:rsidRDefault="000405CC">
            <w:pPr>
              <w:pStyle w:val="TableParagraph"/>
              <w:spacing w:before="18"/>
              <w:ind w:left="344"/>
              <w:rPr>
                <w:rFonts w:ascii="Times New Roman" w:eastAsia="Times New Roman" w:hAnsi="Times New Roman" w:cs="Times New Roman"/>
                <w:sz w:val="14"/>
                <w:szCs w:val="14"/>
                <w:lang w:val="hu-HU"/>
              </w:rPr>
            </w:pPr>
            <w:r>
              <w:rPr>
                <w:rFonts w:ascii="Times New Roman" w:eastAsia="Times New Roman" w:hAnsi="Times New Roman" w:cs="Times New Roman"/>
                <w:lang w:val="hu-HU"/>
              </w:rPr>
              <w:t>36%</w:t>
            </w:r>
            <w:r>
              <w:rPr>
                <w:rFonts w:ascii="Times New Roman" w:eastAsia="Times New Roman" w:hAnsi="Times New Roman" w:cs="Times New Roman"/>
                <w:sz w:val="14"/>
                <w:szCs w:val="14"/>
                <w:lang w:val="hu-HU"/>
              </w:rPr>
              <w:t>*</w:t>
            </w:r>
          </w:p>
        </w:tc>
        <w:tc>
          <w:tcPr>
            <w:tcW w:w="1559" w:type="dxa"/>
            <w:tcBorders>
              <w:top w:val="single" w:sz="5" w:space="0" w:color="000000"/>
              <w:left w:val="single" w:sz="5" w:space="0" w:color="000000"/>
              <w:bottom w:val="single" w:sz="5" w:space="0" w:color="000000"/>
              <w:right w:val="single" w:sz="5" w:space="0" w:color="000000"/>
            </w:tcBorders>
          </w:tcPr>
          <w:p w14:paraId="0B21AE91" w14:textId="77777777" w:rsidR="00130E8B" w:rsidRDefault="000405CC">
            <w:pPr>
              <w:pStyle w:val="TableParagraph"/>
              <w:spacing w:before="24"/>
              <w:ind w:left="519" w:right="520"/>
              <w:jc w:val="center"/>
              <w:rPr>
                <w:rFonts w:ascii="Times New Roman" w:eastAsia="Times New Roman" w:hAnsi="Times New Roman" w:cs="Times New Roman"/>
                <w:lang w:val="hu-HU"/>
              </w:rPr>
            </w:pPr>
            <w:r>
              <w:rPr>
                <w:rFonts w:ascii="Times New Roman" w:eastAsia="Times New Roman" w:hAnsi="Times New Roman" w:cs="Times New Roman"/>
                <w:lang w:val="hu-HU"/>
              </w:rPr>
              <w:t>7%</w:t>
            </w:r>
          </w:p>
        </w:tc>
        <w:tc>
          <w:tcPr>
            <w:tcW w:w="1843" w:type="dxa"/>
            <w:tcBorders>
              <w:top w:val="single" w:sz="5" w:space="0" w:color="000000"/>
              <w:left w:val="single" w:sz="5" w:space="0" w:color="000000"/>
              <w:bottom w:val="single" w:sz="5" w:space="0" w:color="000000"/>
              <w:right w:val="single" w:sz="5" w:space="0" w:color="000000"/>
            </w:tcBorders>
          </w:tcPr>
          <w:p w14:paraId="2632A4E7" w14:textId="77777777" w:rsidR="00130E8B" w:rsidRDefault="000405CC">
            <w:pPr>
              <w:pStyle w:val="TableParagraph"/>
              <w:spacing w:before="18"/>
              <w:ind w:left="644" w:right="644"/>
              <w:jc w:val="center"/>
              <w:rPr>
                <w:rFonts w:ascii="Times New Roman" w:eastAsia="Times New Roman" w:hAnsi="Times New Roman" w:cs="Times New Roman"/>
                <w:sz w:val="14"/>
                <w:szCs w:val="14"/>
                <w:lang w:val="hu-HU"/>
              </w:rPr>
            </w:pPr>
            <w:r>
              <w:rPr>
                <w:rFonts w:ascii="Times New Roman" w:eastAsia="Times New Roman" w:hAnsi="Times New Roman" w:cs="Times New Roman"/>
                <w:lang w:val="hu-HU"/>
              </w:rPr>
              <w:t>21%</w:t>
            </w:r>
            <w:r>
              <w:rPr>
                <w:rFonts w:ascii="Times New Roman" w:eastAsia="Times New Roman" w:hAnsi="Times New Roman" w:cs="Times New Roman"/>
                <w:sz w:val="14"/>
                <w:szCs w:val="14"/>
                <w:lang w:val="hu-HU"/>
              </w:rPr>
              <w:t>*</w:t>
            </w:r>
          </w:p>
        </w:tc>
      </w:tr>
      <w:tr w:rsidR="00130E8B" w14:paraId="34FB25D6" w14:textId="77777777">
        <w:trPr>
          <w:trHeight w:hRule="exact" w:val="571"/>
        </w:trPr>
        <w:tc>
          <w:tcPr>
            <w:tcW w:w="2311" w:type="dxa"/>
            <w:tcBorders>
              <w:top w:val="single" w:sz="5" w:space="0" w:color="000000"/>
              <w:left w:val="single" w:sz="5" w:space="0" w:color="000000"/>
              <w:bottom w:val="single" w:sz="5" w:space="0" w:color="000000"/>
              <w:right w:val="single" w:sz="5" w:space="0" w:color="000000"/>
            </w:tcBorders>
          </w:tcPr>
          <w:p w14:paraId="41A15D67" w14:textId="77777777" w:rsidR="00130E8B" w:rsidRDefault="000405CC">
            <w:pPr>
              <w:pStyle w:val="TableParagraph"/>
              <w:spacing w:before="40" w:line="240"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Klinikai válasz (CR- 100)</w:t>
            </w:r>
          </w:p>
        </w:tc>
        <w:tc>
          <w:tcPr>
            <w:tcW w:w="1085" w:type="dxa"/>
            <w:tcBorders>
              <w:top w:val="single" w:sz="5" w:space="0" w:color="000000"/>
              <w:left w:val="single" w:sz="5" w:space="0" w:color="000000"/>
              <w:bottom w:val="single" w:sz="5" w:space="0" w:color="000000"/>
              <w:right w:val="single" w:sz="5" w:space="0" w:color="000000"/>
            </w:tcBorders>
          </w:tcPr>
          <w:p w14:paraId="66890A76" w14:textId="77777777" w:rsidR="00130E8B" w:rsidRDefault="000405CC">
            <w:pPr>
              <w:pStyle w:val="TableParagraph"/>
              <w:spacing w:before="24"/>
              <w:ind w:left="387"/>
              <w:rPr>
                <w:rFonts w:ascii="Times New Roman" w:eastAsia="Times New Roman" w:hAnsi="Times New Roman" w:cs="Times New Roman"/>
                <w:lang w:val="hu-HU"/>
              </w:rPr>
            </w:pPr>
            <w:r>
              <w:rPr>
                <w:rFonts w:ascii="Times New Roman" w:eastAsia="Times New Roman" w:hAnsi="Times New Roman" w:cs="Times New Roman"/>
                <w:lang w:val="hu-HU"/>
              </w:rPr>
              <w:t>24%</w:t>
            </w:r>
          </w:p>
        </w:tc>
        <w:tc>
          <w:tcPr>
            <w:tcW w:w="1356" w:type="dxa"/>
            <w:tcBorders>
              <w:top w:val="single" w:sz="5" w:space="0" w:color="000000"/>
              <w:left w:val="single" w:sz="5" w:space="0" w:color="000000"/>
              <w:bottom w:val="single" w:sz="5" w:space="0" w:color="000000"/>
              <w:right w:val="single" w:sz="5" w:space="0" w:color="000000"/>
            </w:tcBorders>
          </w:tcPr>
          <w:p w14:paraId="32634D19" w14:textId="77777777" w:rsidR="00130E8B" w:rsidRDefault="000405CC">
            <w:pPr>
              <w:pStyle w:val="TableParagraph"/>
              <w:spacing w:before="24"/>
              <w:ind w:left="395" w:right="398"/>
              <w:jc w:val="center"/>
              <w:rPr>
                <w:rFonts w:ascii="Times New Roman" w:eastAsia="Times New Roman" w:hAnsi="Times New Roman" w:cs="Times New Roman"/>
                <w:lang w:val="hu-HU"/>
              </w:rPr>
            </w:pPr>
            <w:r>
              <w:rPr>
                <w:rFonts w:ascii="Times New Roman" w:eastAsia="Times New Roman" w:hAnsi="Times New Roman" w:cs="Times New Roman"/>
                <w:lang w:val="hu-HU"/>
              </w:rPr>
              <w:t>37%</w:t>
            </w:r>
          </w:p>
        </w:tc>
        <w:tc>
          <w:tcPr>
            <w:tcW w:w="1338" w:type="dxa"/>
            <w:tcBorders>
              <w:top w:val="single" w:sz="5" w:space="0" w:color="000000"/>
              <w:left w:val="single" w:sz="5" w:space="0" w:color="000000"/>
              <w:bottom w:val="single" w:sz="5" w:space="0" w:color="000000"/>
              <w:right w:val="single" w:sz="5" w:space="0" w:color="000000"/>
            </w:tcBorders>
          </w:tcPr>
          <w:p w14:paraId="26919811" w14:textId="77777777" w:rsidR="00130E8B" w:rsidRDefault="000405CC">
            <w:pPr>
              <w:pStyle w:val="TableParagraph"/>
              <w:spacing w:before="18"/>
              <w:ind w:left="311"/>
              <w:rPr>
                <w:rFonts w:ascii="Times New Roman" w:eastAsia="Times New Roman" w:hAnsi="Times New Roman" w:cs="Times New Roman"/>
                <w:sz w:val="14"/>
                <w:szCs w:val="14"/>
                <w:lang w:val="hu-HU"/>
              </w:rPr>
            </w:pPr>
            <w:r>
              <w:rPr>
                <w:rFonts w:ascii="Times New Roman" w:eastAsia="Times New Roman" w:hAnsi="Times New Roman" w:cs="Times New Roman"/>
                <w:lang w:val="hu-HU"/>
              </w:rPr>
              <w:t>49%</w:t>
            </w:r>
            <w:r>
              <w:rPr>
                <w:rFonts w:ascii="Times New Roman" w:eastAsia="Times New Roman" w:hAnsi="Times New Roman" w:cs="Times New Roman"/>
                <w:sz w:val="14"/>
                <w:szCs w:val="14"/>
                <w:lang w:val="hu-HU"/>
              </w:rPr>
              <w:t>**</w:t>
            </w:r>
          </w:p>
        </w:tc>
        <w:tc>
          <w:tcPr>
            <w:tcW w:w="1559" w:type="dxa"/>
            <w:tcBorders>
              <w:top w:val="single" w:sz="5" w:space="0" w:color="000000"/>
              <w:left w:val="single" w:sz="5" w:space="0" w:color="000000"/>
              <w:bottom w:val="single" w:sz="5" w:space="0" w:color="000000"/>
              <w:right w:val="single" w:sz="5" w:space="0" w:color="000000"/>
            </w:tcBorders>
          </w:tcPr>
          <w:p w14:paraId="3A8391CD" w14:textId="77777777" w:rsidR="00130E8B" w:rsidRDefault="000405CC">
            <w:pPr>
              <w:pStyle w:val="TableParagraph"/>
              <w:spacing w:before="24"/>
              <w:ind w:left="519" w:right="520"/>
              <w:jc w:val="center"/>
              <w:rPr>
                <w:rFonts w:ascii="Times New Roman" w:eastAsia="Times New Roman" w:hAnsi="Times New Roman" w:cs="Times New Roman"/>
                <w:lang w:val="hu-HU"/>
              </w:rPr>
            </w:pPr>
            <w:r>
              <w:rPr>
                <w:rFonts w:ascii="Times New Roman" w:eastAsia="Times New Roman" w:hAnsi="Times New Roman" w:cs="Times New Roman"/>
                <w:lang w:val="hu-HU"/>
              </w:rPr>
              <w:t>25%</w:t>
            </w:r>
          </w:p>
        </w:tc>
        <w:tc>
          <w:tcPr>
            <w:tcW w:w="1843" w:type="dxa"/>
            <w:tcBorders>
              <w:top w:val="single" w:sz="5" w:space="0" w:color="000000"/>
              <w:left w:val="single" w:sz="5" w:space="0" w:color="000000"/>
              <w:bottom w:val="single" w:sz="5" w:space="0" w:color="000000"/>
              <w:right w:val="single" w:sz="5" w:space="0" w:color="000000"/>
            </w:tcBorders>
          </w:tcPr>
          <w:p w14:paraId="647D4634" w14:textId="77777777" w:rsidR="00130E8B" w:rsidRDefault="000405CC">
            <w:pPr>
              <w:pStyle w:val="TableParagraph"/>
              <w:spacing w:before="18"/>
              <w:ind w:left="609" w:right="616"/>
              <w:jc w:val="center"/>
              <w:rPr>
                <w:rFonts w:ascii="Times New Roman" w:eastAsia="Times New Roman" w:hAnsi="Times New Roman" w:cs="Times New Roman"/>
                <w:sz w:val="14"/>
                <w:szCs w:val="14"/>
                <w:lang w:val="hu-HU"/>
              </w:rPr>
            </w:pPr>
            <w:r>
              <w:rPr>
                <w:rFonts w:ascii="Times New Roman" w:eastAsia="Times New Roman" w:hAnsi="Times New Roman" w:cs="Times New Roman"/>
                <w:lang w:val="hu-HU"/>
              </w:rPr>
              <w:t>38%</w:t>
            </w:r>
            <w:r>
              <w:rPr>
                <w:rFonts w:ascii="Times New Roman" w:eastAsia="Times New Roman" w:hAnsi="Times New Roman" w:cs="Times New Roman"/>
                <w:sz w:val="14"/>
                <w:szCs w:val="14"/>
                <w:lang w:val="hu-HU"/>
              </w:rPr>
              <w:t>**</w:t>
            </w:r>
          </w:p>
        </w:tc>
      </w:tr>
    </w:tbl>
    <w:p w14:paraId="21E760A1" w14:textId="77777777" w:rsidR="00130E8B" w:rsidRDefault="000405CC">
      <w:pPr>
        <w:pStyle w:val="a3"/>
        <w:rPr>
          <w:lang w:val="hu-HU"/>
        </w:rPr>
      </w:pPr>
      <w:r>
        <w:rPr>
          <w:rFonts w:eastAsia="Times New Roman"/>
          <w:lang w:val="hu-HU"/>
        </w:rPr>
        <w:t xml:space="preserve">Az összes p-érték az adalimumab </w:t>
      </w:r>
      <w:r>
        <w:rPr>
          <w:rFonts w:eastAsia="Times New Roman"/>
          <w:i/>
          <w:iCs/>
          <w:lang w:val="hu-HU"/>
        </w:rPr>
        <w:t xml:space="preserve">versus </w:t>
      </w:r>
      <w:r>
        <w:rPr>
          <w:rFonts w:eastAsia="Times New Roman"/>
          <w:lang w:val="hu-HU"/>
        </w:rPr>
        <w:t>placebo kezelés során regisztrált részarányok páronkénti összehasonlításaira vonatkozik.</w:t>
      </w:r>
    </w:p>
    <w:p w14:paraId="4472CAD1" w14:textId="77777777" w:rsidR="00130E8B" w:rsidRDefault="000405CC">
      <w:pPr>
        <w:pStyle w:val="a3"/>
        <w:rPr>
          <w:lang w:val="hu-HU"/>
        </w:rPr>
      </w:pPr>
      <w:r>
        <w:rPr>
          <w:rFonts w:eastAsia="Times New Roman"/>
          <w:position w:val="8"/>
          <w:sz w:val="14"/>
          <w:szCs w:val="14"/>
          <w:lang w:val="hu-HU"/>
        </w:rPr>
        <w:t>*</w:t>
      </w:r>
      <w:r>
        <w:rPr>
          <w:rFonts w:eastAsia="Times New Roman"/>
          <w:position w:val="8"/>
          <w:lang w:val="hu-HU"/>
        </w:rPr>
        <w:t>p &lt; 0,001</w:t>
      </w:r>
    </w:p>
    <w:p w14:paraId="02DB94F6" w14:textId="77777777" w:rsidR="00130E8B" w:rsidRDefault="000405CC">
      <w:pPr>
        <w:tabs>
          <w:tab w:val="left" w:pos="506"/>
        </w:tabs>
        <w:spacing w:before="22"/>
        <w:rPr>
          <w:rFonts w:ascii="Times New Roman" w:eastAsia="Times New Roman" w:hAnsi="Times New Roman" w:cs="Times New Roman"/>
          <w:lang w:val="hu-HU"/>
        </w:rPr>
      </w:pPr>
      <w:r>
        <w:rPr>
          <w:rFonts w:ascii="Times New Roman" w:eastAsia="Times New Roman" w:hAnsi="Times New Roman" w:cs="Times New Roman"/>
          <w:position w:val="8"/>
          <w:sz w:val="14"/>
          <w:szCs w:val="14"/>
          <w:lang w:val="hu-HU"/>
        </w:rPr>
        <w:t>**</w:t>
      </w:r>
      <w:r>
        <w:rPr>
          <w:rFonts w:ascii="Times New Roman" w:eastAsia="Times New Roman" w:hAnsi="Times New Roman" w:cs="Times New Roman"/>
          <w:position w:val="8"/>
          <w:lang w:val="hu-HU"/>
        </w:rPr>
        <w:t>p &lt; 0,01</w:t>
      </w:r>
    </w:p>
    <w:p w14:paraId="3CEE5D76" w14:textId="77777777" w:rsidR="00130E8B" w:rsidRDefault="00130E8B">
      <w:pPr>
        <w:spacing w:before="15" w:line="200" w:lineRule="exact"/>
        <w:rPr>
          <w:sz w:val="20"/>
          <w:szCs w:val="20"/>
          <w:lang w:val="hu-HU"/>
        </w:rPr>
      </w:pPr>
    </w:p>
    <w:p w14:paraId="1F844546" w14:textId="77777777" w:rsidR="00130E8B" w:rsidRDefault="000405CC">
      <w:pPr>
        <w:pStyle w:val="a3"/>
        <w:rPr>
          <w:lang w:val="hu-HU"/>
        </w:rPr>
      </w:pPr>
      <w:r>
        <w:rPr>
          <w:rFonts w:eastAsia="Times New Roman"/>
          <w:lang w:val="hu-HU"/>
        </w:rPr>
        <w:t>A 160/ 80 mg, illetve a 80/ 40 mg dózisú indukciós kezelések után a 8. héten hasonló remissziós rátát regisztráltak; a 160/ 80 mg dózisokkal kezelt csoportban gyakrabban észleltek mellékhatásokat.</w:t>
      </w:r>
    </w:p>
    <w:p w14:paraId="30624AE6" w14:textId="77777777" w:rsidR="00130E8B" w:rsidRDefault="00130E8B">
      <w:pPr>
        <w:spacing w:before="11" w:line="240" w:lineRule="exact"/>
        <w:rPr>
          <w:sz w:val="24"/>
          <w:szCs w:val="24"/>
          <w:lang w:val="hu-HU"/>
        </w:rPr>
      </w:pPr>
    </w:p>
    <w:p w14:paraId="45E0236F" w14:textId="7D1200F2" w:rsidR="00130E8B" w:rsidRDefault="000405CC">
      <w:pPr>
        <w:pStyle w:val="a3"/>
        <w:rPr>
          <w:lang w:val="hu-HU"/>
        </w:rPr>
      </w:pPr>
      <w:r>
        <w:rPr>
          <w:rFonts w:eastAsia="Times New Roman"/>
          <w:lang w:val="hu-HU"/>
        </w:rPr>
        <w:t>A CD</w:t>
      </w:r>
      <w:r w:rsidR="00424DF6">
        <w:rPr>
          <w:rFonts w:eastAsia="Times New Roman"/>
          <w:lang w:val="hu-HU"/>
        </w:rPr>
        <w:t xml:space="preserve"> </w:t>
      </w:r>
      <w:r>
        <w:rPr>
          <w:rFonts w:eastAsia="Times New Roman"/>
          <w:lang w:val="hu-HU"/>
        </w:rPr>
        <w:t>III vizsgálat 4. hetében a betegek 58% - án (499/ 854 betegen) mutatkozott klinikai hatás; a primer elemzést ezeknek a résztvevőknek az eredményein végezték el. A kezelésre a 4. héten klinikailag reagáló betegek 48%-át korábban már kezelték más TNF- antagonistával. A tartós remissziót elért, illetve a kezelésre reagáló betegek részarányát a 2</w:t>
      </w:r>
      <w:r w:rsidR="00E72311">
        <w:rPr>
          <w:rFonts w:eastAsia="Times New Roman"/>
          <w:lang w:val="hu-HU"/>
        </w:rPr>
        <w:t>2</w:t>
      </w:r>
      <w:r>
        <w:rPr>
          <w:rFonts w:eastAsia="Times New Roman"/>
          <w:lang w:val="hu-HU"/>
        </w:rPr>
        <w:t>. táblázat mutatja be. A klinikai remisszióban lévő betegek részaránya viszonylag állandó maradt, függetlenül a TNF - antagonista expozíciótól.</w:t>
      </w:r>
    </w:p>
    <w:p w14:paraId="49935D77" w14:textId="77777777" w:rsidR="00130E8B" w:rsidRDefault="000405CC">
      <w:pPr>
        <w:pStyle w:val="a3"/>
        <w:rPr>
          <w:rFonts w:eastAsia="Times New Roman"/>
          <w:lang w:val="hu-HU"/>
        </w:rPr>
      </w:pPr>
      <w:r>
        <w:rPr>
          <w:rFonts w:eastAsia="Times New Roman"/>
          <w:lang w:val="hu-HU"/>
        </w:rPr>
        <w:t>Az 56. hétre a placebóhoz képest az adalimumab esetén statisztikailag szignifikánsan csökkent a betegséggel összefüggő hospitalizációk és műtétek száma.</w:t>
      </w:r>
    </w:p>
    <w:p w14:paraId="35756962" w14:textId="77777777" w:rsidR="00130E8B" w:rsidRDefault="00130E8B">
      <w:pPr>
        <w:pStyle w:val="a3"/>
        <w:rPr>
          <w:lang w:val="hu-HU"/>
        </w:rPr>
      </w:pPr>
    </w:p>
    <w:p w14:paraId="7458B58E" w14:textId="36BB3F9F" w:rsidR="00130E8B" w:rsidRDefault="000405CC">
      <w:pPr>
        <w:pStyle w:val="a3"/>
        <w:jc w:val="center"/>
        <w:rPr>
          <w:b/>
          <w:lang w:val="hu-HU"/>
        </w:rPr>
      </w:pPr>
      <w:r>
        <w:rPr>
          <w:rFonts w:eastAsia="Times New Roman"/>
          <w:b/>
          <w:bCs/>
          <w:lang w:val="hu-HU"/>
        </w:rPr>
        <w:t>2</w:t>
      </w:r>
      <w:r w:rsidR="00E72311">
        <w:rPr>
          <w:rFonts w:eastAsia="Times New Roman"/>
          <w:b/>
          <w:bCs/>
          <w:lang w:val="hu-HU"/>
        </w:rPr>
        <w:t>2</w:t>
      </w:r>
      <w:r>
        <w:rPr>
          <w:rFonts w:eastAsia="Times New Roman"/>
          <w:b/>
          <w:bCs/>
          <w:lang w:val="hu-HU"/>
        </w:rPr>
        <w:t>. táblázat</w:t>
      </w:r>
    </w:p>
    <w:p w14:paraId="0A3A0A71" w14:textId="12FA583E" w:rsidR="00130E8B" w:rsidRDefault="000405CC">
      <w:pPr>
        <w:pStyle w:val="a3"/>
        <w:jc w:val="center"/>
        <w:rPr>
          <w:rFonts w:eastAsia="Times New Roman"/>
          <w:b/>
          <w:bCs/>
          <w:lang w:val="hu-HU"/>
        </w:rPr>
      </w:pPr>
      <w:r>
        <w:rPr>
          <w:rFonts w:eastAsia="Times New Roman"/>
          <w:b/>
          <w:bCs/>
          <w:lang w:val="hu-HU"/>
        </w:rPr>
        <w:t xml:space="preserve">Klinikai remisszió és válasz fenntartása (betegek százaléka) </w:t>
      </w:r>
    </w:p>
    <w:p w14:paraId="29180151" w14:textId="77777777" w:rsidR="00CB3242" w:rsidRDefault="00CB3242">
      <w:pPr>
        <w:pStyle w:val="a3"/>
        <w:jc w:val="center"/>
        <w:rPr>
          <w:b/>
          <w:lang w:val="hu-HU"/>
        </w:rPr>
      </w:pPr>
    </w:p>
    <w:p w14:paraId="6FAF3C48" w14:textId="77777777" w:rsidR="00130E8B" w:rsidRDefault="00130E8B">
      <w:pPr>
        <w:spacing w:before="6" w:line="10" w:lineRule="exact"/>
        <w:rPr>
          <w:sz w:val="4"/>
          <w:szCs w:val="4"/>
          <w:lang w:val="hu-HU"/>
        </w:rPr>
      </w:pPr>
    </w:p>
    <w:tbl>
      <w:tblPr>
        <w:tblStyle w:val="TableNormal1"/>
        <w:tblW w:w="0" w:type="auto"/>
        <w:tblInd w:w="213" w:type="dxa"/>
        <w:tblLayout w:type="fixed"/>
        <w:tblLook w:val="01E0" w:firstRow="1" w:lastRow="1" w:firstColumn="1" w:lastColumn="1" w:noHBand="0" w:noVBand="0"/>
      </w:tblPr>
      <w:tblGrid>
        <w:gridCol w:w="3467"/>
        <w:gridCol w:w="1417"/>
        <w:gridCol w:w="1985"/>
        <w:gridCol w:w="2150"/>
      </w:tblGrid>
      <w:tr w:rsidR="00130E8B" w14:paraId="37C2CA47" w14:textId="77777777">
        <w:trPr>
          <w:trHeight w:hRule="exact" w:val="906"/>
        </w:trPr>
        <w:tc>
          <w:tcPr>
            <w:tcW w:w="3467" w:type="dxa"/>
            <w:tcBorders>
              <w:top w:val="single" w:sz="5" w:space="0" w:color="000000"/>
              <w:left w:val="single" w:sz="5" w:space="0" w:color="000000"/>
              <w:bottom w:val="single" w:sz="5" w:space="0" w:color="000000"/>
              <w:right w:val="single" w:sz="5" w:space="0" w:color="000000"/>
            </w:tcBorders>
            <w:vAlign w:val="center"/>
          </w:tcPr>
          <w:p w14:paraId="30A88EF1" w14:textId="77777777" w:rsidR="00130E8B" w:rsidRDefault="00130E8B">
            <w:pPr>
              <w:jc w:val="center"/>
              <w:rPr>
                <w:lang w:val="hu-HU"/>
              </w:rPr>
            </w:pPr>
          </w:p>
        </w:tc>
        <w:tc>
          <w:tcPr>
            <w:tcW w:w="1417" w:type="dxa"/>
            <w:tcBorders>
              <w:top w:val="single" w:sz="5" w:space="0" w:color="000000"/>
              <w:left w:val="single" w:sz="5" w:space="0" w:color="000000"/>
              <w:bottom w:val="single" w:sz="5" w:space="0" w:color="000000"/>
              <w:right w:val="single" w:sz="5" w:space="0" w:color="000000"/>
            </w:tcBorders>
            <w:vAlign w:val="center"/>
          </w:tcPr>
          <w:p w14:paraId="4D8085E5" w14:textId="77777777" w:rsidR="00130E8B" w:rsidRDefault="000405CC">
            <w:pPr>
              <w:pStyle w:val="TableParagraph"/>
              <w:jc w:val="center"/>
              <w:rPr>
                <w:rFonts w:ascii="Times New Roman" w:eastAsia="Times New Roman" w:hAnsi="Times New Roman" w:cs="Times New Roman"/>
                <w:lang w:val="hu-HU"/>
              </w:rPr>
            </w:pPr>
            <w:r>
              <w:rPr>
                <w:rFonts w:ascii="Times New Roman" w:eastAsia="Times New Roman" w:hAnsi="Times New Roman" w:cs="Times New Roman"/>
                <w:b/>
                <w:bCs/>
                <w:lang w:val="hu-HU"/>
              </w:rPr>
              <w:t>Placebo</w:t>
            </w:r>
          </w:p>
        </w:tc>
        <w:tc>
          <w:tcPr>
            <w:tcW w:w="1985" w:type="dxa"/>
            <w:tcBorders>
              <w:top w:val="single" w:sz="5" w:space="0" w:color="000000"/>
              <w:left w:val="single" w:sz="5" w:space="0" w:color="000000"/>
              <w:bottom w:val="single" w:sz="5" w:space="0" w:color="000000"/>
              <w:right w:val="single" w:sz="5" w:space="0" w:color="000000"/>
            </w:tcBorders>
            <w:vAlign w:val="center"/>
          </w:tcPr>
          <w:p w14:paraId="569D93EE" w14:textId="77777777" w:rsidR="00130E8B" w:rsidRDefault="000405CC">
            <w:pPr>
              <w:pStyle w:val="TableParagraph"/>
              <w:spacing w:line="240" w:lineRule="exact"/>
              <w:ind w:firstLine="115"/>
              <w:jc w:val="center"/>
              <w:rPr>
                <w:rFonts w:ascii="Times New Roman" w:eastAsia="Times New Roman" w:hAnsi="Times New Roman" w:cs="Times New Roman"/>
                <w:lang w:val="hu-HU"/>
              </w:rPr>
            </w:pPr>
            <w:r>
              <w:rPr>
                <w:rFonts w:ascii="Times New Roman" w:eastAsia="Times New Roman" w:hAnsi="Times New Roman" w:cs="Times New Roman"/>
                <w:b/>
                <w:bCs/>
                <w:lang w:val="hu-HU"/>
              </w:rPr>
              <w:t>40 mg adalimumab kéthetente</w:t>
            </w:r>
          </w:p>
        </w:tc>
        <w:tc>
          <w:tcPr>
            <w:tcW w:w="2150" w:type="dxa"/>
            <w:tcBorders>
              <w:top w:val="single" w:sz="5" w:space="0" w:color="000000"/>
              <w:left w:val="single" w:sz="5" w:space="0" w:color="000000"/>
              <w:bottom w:val="single" w:sz="5" w:space="0" w:color="000000"/>
              <w:right w:val="single" w:sz="5" w:space="0" w:color="000000"/>
            </w:tcBorders>
            <w:vAlign w:val="center"/>
          </w:tcPr>
          <w:p w14:paraId="76410752" w14:textId="77777777" w:rsidR="00130E8B" w:rsidRDefault="000405CC">
            <w:pPr>
              <w:pStyle w:val="TableParagraph"/>
              <w:spacing w:line="240" w:lineRule="exact"/>
              <w:ind w:hanging="161"/>
              <w:jc w:val="center"/>
              <w:rPr>
                <w:rFonts w:ascii="Times New Roman" w:eastAsia="Times New Roman" w:hAnsi="Times New Roman" w:cs="Times New Roman"/>
                <w:lang w:val="hu-HU"/>
              </w:rPr>
            </w:pPr>
            <w:r>
              <w:rPr>
                <w:rFonts w:ascii="Times New Roman" w:eastAsia="Times New Roman" w:hAnsi="Times New Roman" w:cs="Times New Roman"/>
                <w:b/>
                <w:bCs/>
                <w:lang w:val="hu-HU"/>
              </w:rPr>
              <w:t>40 mg adalimumab hetente</w:t>
            </w:r>
          </w:p>
        </w:tc>
      </w:tr>
      <w:tr w:rsidR="00130E8B" w14:paraId="62AA4C88" w14:textId="77777777">
        <w:trPr>
          <w:trHeight w:hRule="exact" w:val="329"/>
        </w:trPr>
        <w:tc>
          <w:tcPr>
            <w:tcW w:w="3467" w:type="dxa"/>
            <w:tcBorders>
              <w:top w:val="single" w:sz="5" w:space="0" w:color="000000"/>
              <w:left w:val="single" w:sz="5" w:space="0" w:color="000000"/>
              <w:bottom w:val="single" w:sz="5" w:space="0" w:color="000000"/>
              <w:right w:val="single" w:sz="5" w:space="0" w:color="000000"/>
            </w:tcBorders>
            <w:vAlign w:val="center"/>
          </w:tcPr>
          <w:p w14:paraId="46D6D870" w14:textId="77777777" w:rsidR="00130E8B" w:rsidRDefault="000405CC">
            <w:pPr>
              <w:pStyle w:val="TableParagraph"/>
              <w:spacing w:before="24"/>
              <w:ind w:left="102"/>
              <w:jc w:val="center"/>
              <w:rPr>
                <w:rFonts w:ascii="Times New Roman" w:eastAsia="Times New Roman" w:hAnsi="Times New Roman" w:cs="Times New Roman"/>
                <w:lang w:val="hu-HU"/>
              </w:rPr>
            </w:pPr>
            <w:r>
              <w:rPr>
                <w:rFonts w:ascii="Times New Roman" w:eastAsia="Times New Roman" w:hAnsi="Times New Roman" w:cs="Times New Roman"/>
                <w:b/>
                <w:bCs/>
                <w:lang w:val="hu-HU"/>
              </w:rPr>
              <w:t>26. hét</w:t>
            </w:r>
          </w:p>
        </w:tc>
        <w:tc>
          <w:tcPr>
            <w:tcW w:w="1417" w:type="dxa"/>
            <w:tcBorders>
              <w:top w:val="single" w:sz="5" w:space="0" w:color="000000"/>
              <w:left w:val="single" w:sz="5" w:space="0" w:color="000000"/>
              <w:bottom w:val="single" w:sz="5" w:space="0" w:color="000000"/>
              <w:right w:val="single" w:sz="5" w:space="0" w:color="000000"/>
            </w:tcBorders>
            <w:vAlign w:val="center"/>
          </w:tcPr>
          <w:p w14:paraId="3B3A27F0" w14:textId="0FF03680" w:rsidR="00130E8B" w:rsidRDefault="00D10EAE">
            <w:pPr>
              <w:pStyle w:val="TableParagraph"/>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0405CC">
              <w:rPr>
                <w:rFonts w:ascii="Times New Roman" w:eastAsia="Times New Roman" w:hAnsi="Times New Roman" w:cs="Times New Roman"/>
                <w:b/>
                <w:bCs/>
                <w:spacing w:val="-1"/>
                <w:lang w:val="hu-HU"/>
              </w:rPr>
              <w:t>=170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411B0791" w14:textId="0D6778F0" w:rsidR="00130E8B" w:rsidRDefault="00D10EAE">
            <w:pPr>
              <w:pStyle w:val="TableParagraph"/>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0405CC">
              <w:rPr>
                <w:rFonts w:ascii="Times New Roman" w:eastAsia="Times New Roman" w:hAnsi="Times New Roman" w:cs="Times New Roman"/>
                <w:b/>
                <w:bCs/>
                <w:spacing w:val="-1"/>
                <w:lang w:val="hu-HU"/>
              </w:rPr>
              <w:t>=172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44FE164C" w14:textId="559737A6" w:rsidR="00130E8B" w:rsidRDefault="00D10EAE">
            <w:pPr>
              <w:pStyle w:val="TableParagraph"/>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0405CC">
              <w:rPr>
                <w:rFonts w:ascii="Times New Roman" w:eastAsia="Times New Roman" w:hAnsi="Times New Roman" w:cs="Times New Roman"/>
                <w:b/>
                <w:bCs/>
                <w:spacing w:val="-1"/>
                <w:lang w:val="hu-HU"/>
              </w:rPr>
              <w:t>=157</w:t>
            </w:r>
          </w:p>
        </w:tc>
      </w:tr>
      <w:tr w:rsidR="00130E8B" w14:paraId="4EDB0923" w14:textId="77777777">
        <w:trPr>
          <w:trHeight w:hRule="exact" w:val="331"/>
        </w:trPr>
        <w:tc>
          <w:tcPr>
            <w:tcW w:w="3467" w:type="dxa"/>
            <w:tcBorders>
              <w:top w:val="single" w:sz="5" w:space="0" w:color="000000"/>
              <w:left w:val="single" w:sz="5" w:space="0" w:color="000000"/>
              <w:bottom w:val="single" w:sz="5" w:space="0" w:color="000000"/>
              <w:right w:val="single" w:sz="5" w:space="0" w:color="000000"/>
            </w:tcBorders>
            <w:vAlign w:val="center"/>
          </w:tcPr>
          <w:p w14:paraId="3A46DEF7" w14:textId="77777777" w:rsidR="00130E8B" w:rsidRDefault="000405CC">
            <w:pPr>
              <w:pStyle w:val="TableParagraph"/>
              <w:spacing w:before="24"/>
              <w:ind w:left="102"/>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Klinikai remisszió</w:t>
            </w:r>
          </w:p>
        </w:tc>
        <w:tc>
          <w:tcPr>
            <w:tcW w:w="1417" w:type="dxa"/>
            <w:tcBorders>
              <w:top w:val="single" w:sz="5" w:space="0" w:color="000000"/>
              <w:left w:val="single" w:sz="5" w:space="0" w:color="000000"/>
              <w:bottom w:val="single" w:sz="5" w:space="0" w:color="000000"/>
              <w:right w:val="single" w:sz="5" w:space="0" w:color="000000"/>
            </w:tcBorders>
            <w:vAlign w:val="center"/>
          </w:tcPr>
          <w:p w14:paraId="4BE4703D" w14:textId="77777777" w:rsidR="00130E8B" w:rsidRDefault="000405CC">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17%</w:t>
            </w:r>
          </w:p>
        </w:tc>
        <w:tc>
          <w:tcPr>
            <w:tcW w:w="1985" w:type="dxa"/>
            <w:tcBorders>
              <w:top w:val="single" w:sz="5" w:space="0" w:color="000000"/>
              <w:left w:val="single" w:sz="5" w:space="0" w:color="000000"/>
              <w:bottom w:val="single" w:sz="5" w:space="0" w:color="000000"/>
              <w:right w:val="single" w:sz="5" w:space="0" w:color="000000"/>
            </w:tcBorders>
            <w:vAlign w:val="center"/>
          </w:tcPr>
          <w:p w14:paraId="15B2AB14" w14:textId="77777777" w:rsidR="00130E8B" w:rsidRDefault="000405CC">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40%*</w:t>
            </w:r>
          </w:p>
        </w:tc>
        <w:tc>
          <w:tcPr>
            <w:tcW w:w="2150" w:type="dxa"/>
            <w:tcBorders>
              <w:top w:val="single" w:sz="5" w:space="0" w:color="000000"/>
              <w:left w:val="single" w:sz="5" w:space="0" w:color="000000"/>
              <w:bottom w:val="single" w:sz="5" w:space="0" w:color="000000"/>
              <w:right w:val="single" w:sz="5" w:space="0" w:color="000000"/>
            </w:tcBorders>
            <w:vAlign w:val="center"/>
          </w:tcPr>
          <w:p w14:paraId="0259ECB8" w14:textId="77777777" w:rsidR="00130E8B" w:rsidRDefault="000405CC">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47%*</w:t>
            </w:r>
          </w:p>
        </w:tc>
      </w:tr>
      <w:tr w:rsidR="00130E8B" w14:paraId="4A710978" w14:textId="77777777">
        <w:trPr>
          <w:trHeight w:hRule="exact" w:val="329"/>
        </w:trPr>
        <w:tc>
          <w:tcPr>
            <w:tcW w:w="3467" w:type="dxa"/>
            <w:tcBorders>
              <w:top w:val="single" w:sz="5" w:space="0" w:color="000000"/>
              <w:left w:val="single" w:sz="5" w:space="0" w:color="000000"/>
              <w:bottom w:val="single" w:sz="5" w:space="0" w:color="000000"/>
              <w:right w:val="single" w:sz="5" w:space="0" w:color="000000"/>
            </w:tcBorders>
            <w:vAlign w:val="center"/>
          </w:tcPr>
          <w:p w14:paraId="43FA69B2" w14:textId="77777777" w:rsidR="00130E8B" w:rsidRDefault="000405CC">
            <w:pPr>
              <w:pStyle w:val="TableParagraph"/>
              <w:spacing w:before="24"/>
              <w:ind w:left="102"/>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Klinikai válasz (CR- 100)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78B5A44F" w14:textId="77777777" w:rsidR="00130E8B" w:rsidRDefault="000405CC">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27%</w:t>
            </w:r>
          </w:p>
        </w:tc>
        <w:tc>
          <w:tcPr>
            <w:tcW w:w="1985" w:type="dxa"/>
            <w:tcBorders>
              <w:top w:val="single" w:sz="5" w:space="0" w:color="000000"/>
              <w:left w:val="single" w:sz="5" w:space="0" w:color="000000"/>
              <w:bottom w:val="single" w:sz="5" w:space="0" w:color="000000"/>
              <w:right w:val="single" w:sz="5" w:space="0" w:color="000000"/>
            </w:tcBorders>
            <w:vAlign w:val="center"/>
          </w:tcPr>
          <w:p w14:paraId="6B6D51F3" w14:textId="77777777" w:rsidR="00130E8B" w:rsidRDefault="000405CC">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52%*</w:t>
            </w:r>
          </w:p>
        </w:tc>
        <w:tc>
          <w:tcPr>
            <w:tcW w:w="2150" w:type="dxa"/>
            <w:tcBorders>
              <w:top w:val="single" w:sz="5" w:space="0" w:color="000000"/>
              <w:left w:val="single" w:sz="5" w:space="0" w:color="000000"/>
              <w:bottom w:val="single" w:sz="5" w:space="0" w:color="000000"/>
              <w:right w:val="single" w:sz="5" w:space="0" w:color="000000"/>
            </w:tcBorders>
            <w:vAlign w:val="center"/>
          </w:tcPr>
          <w:p w14:paraId="5BEDBCCE" w14:textId="77777777" w:rsidR="00130E8B" w:rsidRDefault="000405CC">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52%*</w:t>
            </w:r>
          </w:p>
        </w:tc>
      </w:tr>
      <w:tr w:rsidR="00130E8B" w14:paraId="69D97911" w14:textId="77777777">
        <w:trPr>
          <w:trHeight w:hRule="exact" w:val="571"/>
        </w:trPr>
        <w:tc>
          <w:tcPr>
            <w:tcW w:w="3467" w:type="dxa"/>
            <w:tcBorders>
              <w:top w:val="single" w:sz="5" w:space="0" w:color="000000"/>
              <w:left w:val="single" w:sz="5" w:space="0" w:color="000000"/>
              <w:bottom w:val="single" w:sz="5" w:space="0" w:color="000000"/>
              <w:right w:val="single" w:sz="5" w:space="0" w:color="000000"/>
            </w:tcBorders>
            <w:vAlign w:val="center"/>
          </w:tcPr>
          <w:p w14:paraId="6D852A3D" w14:textId="77777777" w:rsidR="00130E8B" w:rsidRDefault="000405CC">
            <w:pPr>
              <w:pStyle w:val="TableParagraph"/>
              <w:spacing w:before="40" w:line="240" w:lineRule="exact"/>
              <w:ind w:left="462" w:right="64"/>
              <w:jc w:val="center"/>
              <w:rPr>
                <w:rFonts w:ascii="Times New Roman" w:eastAsia="Times New Roman" w:hAnsi="Times New Roman" w:cs="Times New Roman"/>
                <w:sz w:val="14"/>
                <w:szCs w:val="14"/>
                <w:lang w:val="hu-HU"/>
              </w:rPr>
            </w:pPr>
            <w:r>
              <w:rPr>
                <w:rFonts w:ascii="Times New Roman" w:eastAsia="Times New Roman" w:hAnsi="Times New Roman" w:cs="Times New Roman"/>
                <w:spacing w:val="-1"/>
                <w:lang w:val="hu-HU"/>
              </w:rPr>
              <w:t>Szteroid-kezelés nélkül is ≥90 napja remisszióban lévő betegek</w:t>
            </w:r>
            <w:r w:rsidRPr="009167C6">
              <w:rPr>
                <w:rFonts w:ascii="Times New Roman" w:eastAsia="Times New Roman" w:hAnsi="Times New Roman" w:cs="Times New Roman"/>
                <w:spacing w:val="-1"/>
                <w:vertAlign w:val="superscript"/>
                <w:lang w:val="hu-HU"/>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28B26AB6" w14:textId="77777777" w:rsidR="00130E8B" w:rsidRDefault="000405CC">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3% (2/66)</w:t>
            </w:r>
          </w:p>
        </w:tc>
        <w:tc>
          <w:tcPr>
            <w:tcW w:w="1985" w:type="dxa"/>
            <w:tcBorders>
              <w:top w:val="single" w:sz="5" w:space="0" w:color="000000"/>
              <w:left w:val="single" w:sz="5" w:space="0" w:color="000000"/>
              <w:bottom w:val="single" w:sz="5" w:space="0" w:color="000000"/>
              <w:right w:val="single" w:sz="5" w:space="0" w:color="000000"/>
            </w:tcBorders>
            <w:vAlign w:val="center"/>
          </w:tcPr>
          <w:p w14:paraId="5FB48808" w14:textId="77777777" w:rsidR="00130E8B" w:rsidRDefault="000405CC">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19% (11/58)**</w:t>
            </w:r>
          </w:p>
        </w:tc>
        <w:tc>
          <w:tcPr>
            <w:tcW w:w="2150" w:type="dxa"/>
            <w:tcBorders>
              <w:top w:val="single" w:sz="5" w:space="0" w:color="000000"/>
              <w:left w:val="single" w:sz="5" w:space="0" w:color="000000"/>
              <w:bottom w:val="single" w:sz="5" w:space="0" w:color="000000"/>
              <w:right w:val="single" w:sz="5" w:space="0" w:color="000000"/>
            </w:tcBorders>
            <w:vAlign w:val="center"/>
          </w:tcPr>
          <w:p w14:paraId="2BD3726D" w14:textId="77777777" w:rsidR="00130E8B" w:rsidRDefault="000405CC">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15% (11/74)**</w:t>
            </w:r>
          </w:p>
        </w:tc>
      </w:tr>
      <w:tr w:rsidR="00130E8B" w14:paraId="360C5A1C" w14:textId="77777777">
        <w:trPr>
          <w:trHeight w:hRule="exact" w:val="329"/>
        </w:trPr>
        <w:tc>
          <w:tcPr>
            <w:tcW w:w="3467" w:type="dxa"/>
            <w:tcBorders>
              <w:top w:val="single" w:sz="5" w:space="0" w:color="000000"/>
              <w:left w:val="single" w:sz="5" w:space="0" w:color="000000"/>
              <w:bottom w:val="single" w:sz="5" w:space="0" w:color="000000"/>
              <w:right w:val="single" w:sz="5" w:space="0" w:color="000000"/>
            </w:tcBorders>
            <w:vAlign w:val="center"/>
          </w:tcPr>
          <w:p w14:paraId="5706673A" w14:textId="77777777" w:rsidR="00130E8B" w:rsidRDefault="000405CC">
            <w:pPr>
              <w:pStyle w:val="TableParagraph"/>
              <w:spacing w:before="24"/>
              <w:ind w:left="102"/>
              <w:jc w:val="center"/>
              <w:rPr>
                <w:rFonts w:ascii="Times New Roman" w:eastAsia="Times New Roman" w:hAnsi="Times New Roman" w:cs="Times New Roman"/>
                <w:lang w:val="hu-HU"/>
              </w:rPr>
            </w:pPr>
            <w:r>
              <w:rPr>
                <w:rFonts w:ascii="Times New Roman" w:eastAsia="Times New Roman" w:hAnsi="Times New Roman" w:cs="Times New Roman"/>
                <w:b/>
                <w:bCs/>
                <w:lang w:val="hu-HU"/>
              </w:rPr>
              <w:t>56. hét</w:t>
            </w:r>
          </w:p>
        </w:tc>
        <w:tc>
          <w:tcPr>
            <w:tcW w:w="1417" w:type="dxa"/>
            <w:tcBorders>
              <w:top w:val="single" w:sz="5" w:space="0" w:color="000000"/>
              <w:left w:val="single" w:sz="5" w:space="0" w:color="000000"/>
              <w:bottom w:val="single" w:sz="5" w:space="0" w:color="000000"/>
              <w:right w:val="single" w:sz="5" w:space="0" w:color="000000"/>
            </w:tcBorders>
            <w:vAlign w:val="center"/>
          </w:tcPr>
          <w:p w14:paraId="2BB3050C" w14:textId="253EB871" w:rsidR="00130E8B" w:rsidRDefault="00D10EAE">
            <w:pPr>
              <w:pStyle w:val="TableParagraph"/>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0405CC">
              <w:rPr>
                <w:rFonts w:ascii="Times New Roman" w:eastAsia="Times New Roman" w:hAnsi="Times New Roman" w:cs="Times New Roman"/>
                <w:b/>
                <w:bCs/>
                <w:spacing w:val="-1"/>
                <w:lang w:val="hu-HU"/>
              </w:rPr>
              <w:t>=170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0DD56332" w14:textId="7236986C" w:rsidR="00130E8B" w:rsidRDefault="00D10EAE">
            <w:pPr>
              <w:pStyle w:val="TableParagraph"/>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0405CC">
              <w:rPr>
                <w:rFonts w:ascii="Times New Roman" w:eastAsia="Times New Roman" w:hAnsi="Times New Roman" w:cs="Times New Roman"/>
                <w:b/>
                <w:bCs/>
                <w:spacing w:val="-1"/>
                <w:lang w:val="hu-HU"/>
              </w:rPr>
              <w:t>=172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4E4B33BB" w14:textId="33824B1D" w:rsidR="00130E8B" w:rsidRDefault="00D10EAE">
            <w:pPr>
              <w:pStyle w:val="TableParagraph"/>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0405CC">
              <w:rPr>
                <w:rFonts w:ascii="Times New Roman" w:eastAsia="Times New Roman" w:hAnsi="Times New Roman" w:cs="Times New Roman"/>
                <w:b/>
                <w:bCs/>
                <w:spacing w:val="-1"/>
                <w:lang w:val="hu-HU"/>
              </w:rPr>
              <w:t>=157</w:t>
            </w:r>
          </w:p>
        </w:tc>
      </w:tr>
      <w:tr w:rsidR="00130E8B" w14:paraId="5762571F" w14:textId="77777777">
        <w:trPr>
          <w:trHeight w:hRule="exact" w:val="331"/>
        </w:trPr>
        <w:tc>
          <w:tcPr>
            <w:tcW w:w="3467" w:type="dxa"/>
            <w:tcBorders>
              <w:top w:val="single" w:sz="5" w:space="0" w:color="000000"/>
              <w:left w:val="single" w:sz="5" w:space="0" w:color="000000"/>
              <w:bottom w:val="single" w:sz="5" w:space="0" w:color="000000"/>
              <w:right w:val="single" w:sz="5" w:space="0" w:color="000000"/>
            </w:tcBorders>
            <w:vAlign w:val="center"/>
          </w:tcPr>
          <w:p w14:paraId="12E9C176" w14:textId="77777777" w:rsidR="00130E8B" w:rsidRDefault="000405CC">
            <w:pPr>
              <w:pStyle w:val="TableParagraph"/>
              <w:spacing w:before="24"/>
              <w:ind w:left="102"/>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Klinikai remisszió</w:t>
            </w:r>
          </w:p>
        </w:tc>
        <w:tc>
          <w:tcPr>
            <w:tcW w:w="1417" w:type="dxa"/>
            <w:tcBorders>
              <w:top w:val="single" w:sz="5" w:space="0" w:color="000000"/>
              <w:left w:val="single" w:sz="5" w:space="0" w:color="000000"/>
              <w:bottom w:val="single" w:sz="5" w:space="0" w:color="000000"/>
              <w:right w:val="single" w:sz="5" w:space="0" w:color="000000"/>
            </w:tcBorders>
            <w:vAlign w:val="center"/>
          </w:tcPr>
          <w:p w14:paraId="2CAF84D0" w14:textId="77777777" w:rsidR="00130E8B" w:rsidRDefault="000405CC">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12%</w:t>
            </w:r>
          </w:p>
        </w:tc>
        <w:tc>
          <w:tcPr>
            <w:tcW w:w="1985" w:type="dxa"/>
            <w:tcBorders>
              <w:top w:val="single" w:sz="5" w:space="0" w:color="000000"/>
              <w:left w:val="single" w:sz="5" w:space="0" w:color="000000"/>
              <w:bottom w:val="single" w:sz="5" w:space="0" w:color="000000"/>
              <w:right w:val="single" w:sz="5" w:space="0" w:color="000000"/>
            </w:tcBorders>
            <w:vAlign w:val="center"/>
          </w:tcPr>
          <w:p w14:paraId="6486FB33" w14:textId="77777777" w:rsidR="00130E8B" w:rsidRDefault="000405CC">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36%*</w:t>
            </w:r>
          </w:p>
        </w:tc>
        <w:tc>
          <w:tcPr>
            <w:tcW w:w="2150" w:type="dxa"/>
            <w:tcBorders>
              <w:top w:val="single" w:sz="5" w:space="0" w:color="000000"/>
              <w:left w:val="single" w:sz="5" w:space="0" w:color="000000"/>
              <w:bottom w:val="single" w:sz="5" w:space="0" w:color="000000"/>
              <w:right w:val="single" w:sz="5" w:space="0" w:color="000000"/>
            </w:tcBorders>
            <w:vAlign w:val="center"/>
          </w:tcPr>
          <w:p w14:paraId="295FB2FD" w14:textId="77777777" w:rsidR="00130E8B" w:rsidRDefault="000405CC">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41%*</w:t>
            </w:r>
          </w:p>
        </w:tc>
      </w:tr>
      <w:tr w:rsidR="00130E8B" w14:paraId="6A380BE6" w14:textId="77777777">
        <w:trPr>
          <w:trHeight w:hRule="exact" w:val="329"/>
        </w:trPr>
        <w:tc>
          <w:tcPr>
            <w:tcW w:w="3467" w:type="dxa"/>
            <w:tcBorders>
              <w:top w:val="single" w:sz="5" w:space="0" w:color="000000"/>
              <w:left w:val="single" w:sz="5" w:space="0" w:color="000000"/>
              <w:bottom w:val="single" w:sz="5" w:space="0" w:color="000000"/>
              <w:right w:val="single" w:sz="5" w:space="0" w:color="000000"/>
            </w:tcBorders>
            <w:vAlign w:val="center"/>
          </w:tcPr>
          <w:p w14:paraId="72B5177A" w14:textId="77777777" w:rsidR="00130E8B" w:rsidRDefault="000405CC">
            <w:pPr>
              <w:pStyle w:val="TableParagraph"/>
              <w:spacing w:before="24"/>
              <w:ind w:left="102"/>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Klinikai válasz (CR- 100)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28528DA5" w14:textId="77777777" w:rsidR="00130E8B" w:rsidRDefault="000405CC">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17%</w:t>
            </w:r>
          </w:p>
        </w:tc>
        <w:tc>
          <w:tcPr>
            <w:tcW w:w="1985" w:type="dxa"/>
            <w:tcBorders>
              <w:top w:val="single" w:sz="5" w:space="0" w:color="000000"/>
              <w:left w:val="single" w:sz="5" w:space="0" w:color="000000"/>
              <w:bottom w:val="single" w:sz="5" w:space="0" w:color="000000"/>
              <w:right w:val="single" w:sz="5" w:space="0" w:color="000000"/>
            </w:tcBorders>
            <w:vAlign w:val="center"/>
          </w:tcPr>
          <w:p w14:paraId="0210C332" w14:textId="77777777" w:rsidR="00130E8B" w:rsidRDefault="000405CC">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41%*</w:t>
            </w:r>
          </w:p>
        </w:tc>
        <w:tc>
          <w:tcPr>
            <w:tcW w:w="2150" w:type="dxa"/>
            <w:tcBorders>
              <w:top w:val="single" w:sz="5" w:space="0" w:color="000000"/>
              <w:left w:val="single" w:sz="5" w:space="0" w:color="000000"/>
              <w:bottom w:val="single" w:sz="5" w:space="0" w:color="000000"/>
              <w:right w:val="single" w:sz="5" w:space="0" w:color="000000"/>
            </w:tcBorders>
            <w:vAlign w:val="center"/>
          </w:tcPr>
          <w:p w14:paraId="581CF6E1" w14:textId="77777777" w:rsidR="00130E8B" w:rsidRDefault="000405CC">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48%*</w:t>
            </w:r>
          </w:p>
        </w:tc>
      </w:tr>
      <w:tr w:rsidR="00130E8B" w14:paraId="0F00CC3B" w14:textId="77777777">
        <w:trPr>
          <w:trHeight w:hRule="exact" w:val="571"/>
        </w:trPr>
        <w:tc>
          <w:tcPr>
            <w:tcW w:w="3467" w:type="dxa"/>
            <w:tcBorders>
              <w:top w:val="single" w:sz="5" w:space="0" w:color="000000"/>
              <w:left w:val="single" w:sz="5" w:space="0" w:color="000000"/>
              <w:bottom w:val="single" w:sz="5" w:space="0" w:color="000000"/>
              <w:right w:val="single" w:sz="5" w:space="0" w:color="000000"/>
            </w:tcBorders>
            <w:vAlign w:val="center"/>
          </w:tcPr>
          <w:p w14:paraId="032D788F" w14:textId="77777777" w:rsidR="00130E8B" w:rsidRDefault="000405CC">
            <w:pPr>
              <w:pStyle w:val="TableParagraph"/>
              <w:spacing w:before="40" w:line="240" w:lineRule="exact"/>
              <w:ind w:left="462" w:right="64"/>
              <w:jc w:val="center"/>
              <w:rPr>
                <w:rFonts w:ascii="Times New Roman" w:eastAsia="Times New Roman" w:hAnsi="Times New Roman" w:cs="Times New Roman"/>
                <w:sz w:val="14"/>
                <w:szCs w:val="14"/>
                <w:lang w:val="hu-HU"/>
              </w:rPr>
            </w:pPr>
            <w:r>
              <w:rPr>
                <w:rFonts w:ascii="Times New Roman" w:eastAsia="Times New Roman" w:hAnsi="Times New Roman" w:cs="Times New Roman"/>
                <w:spacing w:val="-1"/>
                <w:lang w:val="hu-HU"/>
              </w:rPr>
              <w:t>Szteroid-kezelés nélkül is ≥90 napja remisszióban lévő betegek</w:t>
            </w:r>
            <w:r w:rsidRPr="009167C6">
              <w:rPr>
                <w:rFonts w:ascii="Times New Roman" w:eastAsia="Times New Roman" w:hAnsi="Times New Roman" w:cs="Times New Roman"/>
                <w:spacing w:val="-1"/>
                <w:vertAlign w:val="superscript"/>
                <w:lang w:val="hu-HU"/>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0276BF0C" w14:textId="77777777" w:rsidR="00130E8B" w:rsidRDefault="000405CC">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5% (3/66)</w:t>
            </w:r>
          </w:p>
        </w:tc>
        <w:tc>
          <w:tcPr>
            <w:tcW w:w="1985" w:type="dxa"/>
            <w:tcBorders>
              <w:top w:val="single" w:sz="5" w:space="0" w:color="000000"/>
              <w:left w:val="single" w:sz="5" w:space="0" w:color="000000"/>
              <w:bottom w:val="single" w:sz="5" w:space="0" w:color="000000"/>
              <w:right w:val="single" w:sz="5" w:space="0" w:color="000000"/>
            </w:tcBorders>
            <w:vAlign w:val="center"/>
          </w:tcPr>
          <w:p w14:paraId="208BF293" w14:textId="77777777" w:rsidR="00130E8B" w:rsidRDefault="000405CC">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29% (17/58)**</w:t>
            </w:r>
          </w:p>
        </w:tc>
        <w:tc>
          <w:tcPr>
            <w:tcW w:w="2150" w:type="dxa"/>
            <w:tcBorders>
              <w:top w:val="single" w:sz="5" w:space="0" w:color="000000"/>
              <w:left w:val="single" w:sz="5" w:space="0" w:color="000000"/>
              <w:bottom w:val="single" w:sz="5" w:space="0" w:color="000000"/>
              <w:right w:val="single" w:sz="5" w:space="0" w:color="000000"/>
            </w:tcBorders>
            <w:vAlign w:val="center"/>
          </w:tcPr>
          <w:p w14:paraId="33E5B941" w14:textId="77777777" w:rsidR="00130E8B" w:rsidRDefault="000405CC">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20% (15/74)**</w:t>
            </w:r>
          </w:p>
        </w:tc>
      </w:tr>
    </w:tbl>
    <w:p w14:paraId="2CA7B034" w14:textId="77777777" w:rsidR="00130E8B" w:rsidRDefault="000405CC">
      <w:pPr>
        <w:pStyle w:val="a3"/>
        <w:rPr>
          <w:lang w:val="hu-HU"/>
        </w:rPr>
      </w:pPr>
      <w:r>
        <w:rPr>
          <w:rFonts w:eastAsia="Times New Roman"/>
          <w:lang w:val="hu-HU"/>
        </w:rPr>
        <w:t xml:space="preserve">* p &lt;0,001 Adalimumabbal </w:t>
      </w:r>
      <w:r>
        <w:rPr>
          <w:rFonts w:eastAsia="Times New Roman"/>
          <w:i/>
          <w:iCs/>
          <w:lang w:val="hu-HU"/>
        </w:rPr>
        <w:t>versus</w:t>
      </w:r>
      <w:r>
        <w:rPr>
          <w:rFonts w:eastAsia="Times New Roman"/>
          <w:lang w:val="hu-HU"/>
        </w:rPr>
        <w:t xml:space="preserve"> placebóval kezelt csoportokban regisztrált részarányok páronkénti összehasonlítása.</w:t>
      </w:r>
    </w:p>
    <w:p w14:paraId="381F7A48" w14:textId="77777777" w:rsidR="00130E8B" w:rsidRDefault="000405CC">
      <w:pPr>
        <w:pStyle w:val="a3"/>
        <w:rPr>
          <w:lang w:val="hu-HU"/>
        </w:rPr>
      </w:pPr>
      <w:r>
        <w:rPr>
          <w:rFonts w:eastAsia="Times New Roman"/>
          <w:lang w:val="hu-HU"/>
        </w:rPr>
        <w:t xml:space="preserve">** p &lt;0,02 Adalimumabbal </w:t>
      </w:r>
      <w:r>
        <w:rPr>
          <w:rFonts w:eastAsia="Times New Roman"/>
          <w:i/>
          <w:iCs/>
          <w:lang w:val="hu-HU"/>
        </w:rPr>
        <w:t>versus</w:t>
      </w:r>
      <w:r>
        <w:rPr>
          <w:rFonts w:eastAsia="Times New Roman"/>
          <w:lang w:val="hu-HU"/>
        </w:rPr>
        <w:t xml:space="preserve"> placebóval kezelt csoportokban regisztrált részarányok páronkénti összehasonlítása.</w:t>
      </w:r>
    </w:p>
    <w:p w14:paraId="2AA2E942" w14:textId="77777777" w:rsidR="00130E8B" w:rsidRDefault="000405CC">
      <w:pPr>
        <w:pStyle w:val="a3"/>
        <w:rPr>
          <w:lang w:val="hu-HU"/>
        </w:rPr>
      </w:pPr>
      <w:r w:rsidRPr="009167C6">
        <w:rPr>
          <w:rFonts w:eastAsia="Times New Roman"/>
          <w:position w:val="8"/>
          <w:vertAlign w:val="superscript"/>
          <w:lang w:val="hu-HU"/>
        </w:rPr>
        <w:t>a</w:t>
      </w:r>
      <w:r w:rsidRPr="009167C6">
        <w:rPr>
          <w:rFonts w:eastAsia="Times New Roman"/>
          <w:position w:val="8"/>
          <w:lang w:val="hu-HU"/>
        </w:rPr>
        <w:t xml:space="preserve"> </w:t>
      </w:r>
      <w:r>
        <w:rPr>
          <w:rFonts w:eastAsia="Times New Roman"/>
          <w:position w:val="8"/>
          <w:lang w:val="hu-HU"/>
        </w:rPr>
        <w:t>A vizsgálat kezdetekor kortikoszteroidokkal kezelt betegek közül</w:t>
      </w:r>
    </w:p>
    <w:p w14:paraId="46DB5F4B" w14:textId="77777777" w:rsidR="00130E8B" w:rsidRDefault="00130E8B">
      <w:pPr>
        <w:pStyle w:val="a3"/>
        <w:rPr>
          <w:lang w:val="hu-HU"/>
        </w:rPr>
      </w:pPr>
    </w:p>
    <w:p w14:paraId="68E3A3AC" w14:textId="3C008A8D" w:rsidR="00130E8B" w:rsidRDefault="000405CC">
      <w:pPr>
        <w:pStyle w:val="a3"/>
        <w:rPr>
          <w:lang w:val="hu-HU"/>
        </w:rPr>
      </w:pPr>
      <w:r>
        <w:rPr>
          <w:rFonts w:eastAsia="Times New Roman"/>
          <w:spacing w:val="1"/>
          <w:lang w:val="hu-HU"/>
        </w:rPr>
        <w:t>A kezelésre a 4. hétig nem reagáló betegek közül a fenntartó adalimumab-kezelésben részesülők 43%-án, míg a placebokezelésben részesülők 30%-án jelentkezett terápiás hatás a 12. hétig. Ezek az eredmények amellett szólnak, hogy egyes, a kezelésre a 4. hétig nem reagáló betegek fenntartó kezelését előnyös lehet a 12. hétig folytatni. A kezelést a 12. héten túl is folytatva már nem nőtt számottevően a kezelésre reagálók részaránya (lásd 4.2 pont).</w:t>
      </w:r>
    </w:p>
    <w:p w14:paraId="000AFF1D" w14:textId="77777777" w:rsidR="00130E8B" w:rsidRDefault="00130E8B">
      <w:pPr>
        <w:pStyle w:val="a3"/>
        <w:rPr>
          <w:lang w:val="hu-HU"/>
        </w:rPr>
      </w:pPr>
    </w:p>
    <w:p w14:paraId="40E9B827" w14:textId="648408D8" w:rsidR="00130E8B" w:rsidRDefault="000405CC">
      <w:pPr>
        <w:pStyle w:val="a3"/>
        <w:rPr>
          <w:lang w:val="hu-HU"/>
        </w:rPr>
      </w:pPr>
      <w:r>
        <w:rPr>
          <w:rFonts w:eastAsia="Times New Roman"/>
          <w:lang w:val="hu-HU"/>
        </w:rPr>
        <w:t>A CD</w:t>
      </w:r>
      <w:r w:rsidR="00424DF6">
        <w:rPr>
          <w:rFonts w:eastAsia="Times New Roman"/>
          <w:lang w:val="hu-HU"/>
        </w:rPr>
        <w:t xml:space="preserve"> </w:t>
      </w:r>
      <w:r>
        <w:rPr>
          <w:rFonts w:eastAsia="Times New Roman"/>
          <w:lang w:val="hu-HU"/>
        </w:rPr>
        <w:t>I vizsgálat 117/276 betegét, míg a CD II és III vizsgálat 272/777 betegét követték nyílt adalimumab-kezelés alatt legalább 3 éven keresztül. Sorrendben 88, illetve 189 betegnél maradt fent a klinikai remisszió. Sorrendben 102 és 233 betegnél maradt fent a klinikai válasz (CR-100).</w:t>
      </w:r>
    </w:p>
    <w:p w14:paraId="614A87FC" w14:textId="77777777" w:rsidR="00130E8B" w:rsidRDefault="00130E8B">
      <w:pPr>
        <w:pStyle w:val="a3"/>
        <w:rPr>
          <w:lang w:val="hu-HU"/>
        </w:rPr>
      </w:pPr>
    </w:p>
    <w:p w14:paraId="034FB188" w14:textId="77777777" w:rsidR="00130E8B" w:rsidRDefault="000405CC">
      <w:pPr>
        <w:pStyle w:val="a3"/>
        <w:rPr>
          <w:rFonts w:eastAsia="Times New Roman"/>
          <w:lang w:val="hu-HU"/>
        </w:rPr>
      </w:pPr>
      <w:r>
        <w:rPr>
          <w:rFonts w:eastAsia="Times New Roman"/>
          <w:i/>
          <w:iCs/>
          <w:spacing w:val="-1"/>
          <w:u w:val="single" w:color="000000"/>
          <w:lang w:val="hu-HU"/>
        </w:rPr>
        <w:t>Életminőség</w:t>
      </w:r>
    </w:p>
    <w:p w14:paraId="235A5FDC" w14:textId="77777777" w:rsidR="00130E8B" w:rsidRDefault="00130E8B">
      <w:pPr>
        <w:pStyle w:val="a3"/>
        <w:rPr>
          <w:sz w:val="18"/>
          <w:szCs w:val="18"/>
          <w:lang w:val="hu-HU"/>
        </w:rPr>
      </w:pPr>
    </w:p>
    <w:p w14:paraId="5D1C5044" w14:textId="3B6AE084" w:rsidR="00130E8B" w:rsidRDefault="000405CC">
      <w:pPr>
        <w:pStyle w:val="a3"/>
        <w:rPr>
          <w:lang w:val="hu-HU"/>
        </w:rPr>
      </w:pPr>
      <w:r>
        <w:rPr>
          <w:rFonts w:eastAsia="Times New Roman"/>
          <w:lang w:val="hu-HU"/>
        </w:rPr>
        <w:t>A CD</w:t>
      </w:r>
      <w:r w:rsidR="00424DF6">
        <w:rPr>
          <w:rFonts w:eastAsia="Times New Roman"/>
          <w:lang w:val="hu-HU"/>
        </w:rPr>
        <w:t xml:space="preserve"> </w:t>
      </w:r>
      <w:r>
        <w:rPr>
          <w:rFonts w:eastAsia="Times New Roman"/>
          <w:lang w:val="hu-HU"/>
        </w:rPr>
        <w:t xml:space="preserve">I és a CD II vizsgálatban statisztikailag szignifikáns javulást értek el a betegségspecifikus Gyulladásos bélbetegség kérdőív (IBDQ – Inflammatory Bowel Disease Questionnaire) összpontszámában a kezelés 4. hetében azoknál a betegeknél, akiket véletlenszerűen az adalimumab 80/40 mg, illetve adalimumab 160/80 mg csoportba soroltak be, a placebocsoportba sorolt betegekével összehasonlítva, és ezt észlelték a CD </w:t>
      </w:r>
      <w:r w:rsidR="00424DF6" w:rsidRPr="009167C6">
        <w:rPr>
          <w:lang w:val="hu-HU"/>
        </w:rPr>
        <w:t> </w:t>
      </w:r>
      <w:r w:rsidR="00424DF6">
        <w:rPr>
          <w:rFonts w:eastAsia="Times New Roman"/>
          <w:lang w:val="hu-HU"/>
        </w:rPr>
        <w:t xml:space="preserve"> </w:t>
      </w:r>
      <w:r>
        <w:rPr>
          <w:rFonts w:eastAsia="Times New Roman"/>
          <w:lang w:val="hu-HU"/>
        </w:rPr>
        <w:t>III vizsgálat során is a 26. és az 56. héten az adalimumabbal, illetve placebóval kezelt betegcsoportokban.</w:t>
      </w:r>
    </w:p>
    <w:p w14:paraId="22402D47" w14:textId="77777777" w:rsidR="00130E8B" w:rsidRDefault="00130E8B">
      <w:pPr>
        <w:spacing w:before="13" w:line="240" w:lineRule="exact"/>
        <w:rPr>
          <w:sz w:val="24"/>
          <w:szCs w:val="24"/>
          <w:lang w:val="hu-HU"/>
        </w:rPr>
      </w:pPr>
    </w:p>
    <w:p w14:paraId="2841DB51" w14:textId="77777777" w:rsidR="00130E8B" w:rsidRDefault="000405CC">
      <w:pPr>
        <w:pStyle w:val="a3"/>
        <w:rPr>
          <w:rFonts w:eastAsia="Times New Roman"/>
          <w:lang w:val="hu-HU"/>
        </w:rPr>
      </w:pPr>
      <w:r>
        <w:rPr>
          <w:rFonts w:eastAsia="Times New Roman"/>
          <w:i/>
          <w:iCs/>
          <w:spacing w:val="-1"/>
          <w:lang w:val="hu-HU"/>
        </w:rPr>
        <w:t>Colitis ulcerosa</w:t>
      </w:r>
    </w:p>
    <w:p w14:paraId="01878CCB" w14:textId="77777777" w:rsidR="00130E8B" w:rsidRDefault="00130E8B">
      <w:pPr>
        <w:pStyle w:val="a3"/>
        <w:rPr>
          <w:lang w:val="hu-HU"/>
        </w:rPr>
      </w:pPr>
    </w:p>
    <w:p w14:paraId="4830FD78" w14:textId="48848C68" w:rsidR="00130E8B" w:rsidRDefault="000405CC">
      <w:pPr>
        <w:pStyle w:val="a3"/>
        <w:rPr>
          <w:lang w:val="hu-HU"/>
        </w:rPr>
      </w:pPr>
      <w:r>
        <w:rPr>
          <w:rFonts w:eastAsia="Times New Roman"/>
          <w:lang w:val="hu-HU"/>
        </w:rPr>
        <w:t xml:space="preserve">Az adalimumab többszörös adagjának biztonságosságát és hatásosságát értékelték közepesen súlyos-súlyos </w:t>
      </w:r>
      <w:r w:rsidR="00E72311" w:rsidRPr="00E72311">
        <w:rPr>
          <w:lang w:val="hu-HU"/>
        </w:rPr>
        <w:t>aktivitású</w:t>
      </w:r>
      <w:r>
        <w:rPr>
          <w:rFonts w:eastAsia="Times New Roman"/>
          <w:lang w:val="hu-HU"/>
        </w:rPr>
        <w:t xml:space="preserve"> colitis ulcerosában szenvedő felnőtt betegeknél (Mayo pontszám 6-12, endoszkópos alpontszám 2-3) randomizált, kettős vak, placebokontrollos vizsgálatokban.</w:t>
      </w:r>
    </w:p>
    <w:p w14:paraId="1A78C781" w14:textId="77777777" w:rsidR="00130E8B" w:rsidRDefault="00130E8B">
      <w:pPr>
        <w:pStyle w:val="a3"/>
        <w:rPr>
          <w:lang w:val="hu-HU"/>
        </w:rPr>
      </w:pPr>
    </w:p>
    <w:p w14:paraId="268A55D0" w14:textId="0BB1171A" w:rsidR="00130E8B" w:rsidRDefault="000405CC">
      <w:pPr>
        <w:pStyle w:val="a3"/>
        <w:rPr>
          <w:lang w:val="hu-HU"/>
        </w:rPr>
      </w:pPr>
      <w:r>
        <w:rPr>
          <w:rFonts w:eastAsia="Times New Roman"/>
          <w:lang w:val="hu-HU"/>
        </w:rPr>
        <w:t>Az UC-I vizsgálatban 390, korábban TNF-antagonista kezelésben nem részesült beteget randomizáltak 3 csoportba: az egyik csoport a 0. és 2. héten placebót kapott, a másik csoport a 0. héten 160 mg, a 2. héten 80 mg adalimumabot, míg a harmadik csoport a 0. héten 80 mg, a 2. héten pedig 40 mg adalimumabot kapott. A 2. hét után a betegek mindkét adalimumab karon kéthetenként 40 mg adalimumabot kaptak. A klinikai remissziót (meghatározás szerint a Mayo pontszám legfeljebb 2 és egyik endoszkópos alpontszám sem nagyobb mint 1) a 8. héten értékelték.</w:t>
      </w:r>
    </w:p>
    <w:p w14:paraId="240ADE03" w14:textId="77777777" w:rsidR="00130E8B" w:rsidRDefault="00130E8B">
      <w:pPr>
        <w:pStyle w:val="a3"/>
        <w:rPr>
          <w:lang w:val="hu-HU"/>
        </w:rPr>
      </w:pPr>
    </w:p>
    <w:p w14:paraId="4FF3DD93" w14:textId="7AF3003B" w:rsidR="00130E8B" w:rsidRDefault="000405CC">
      <w:pPr>
        <w:pStyle w:val="a3"/>
        <w:rPr>
          <w:lang w:val="hu-HU"/>
        </w:rPr>
      </w:pPr>
      <w:r>
        <w:rPr>
          <w:rFonts w:eastAsia="Times New Roman"/>
          <w:lang w:val="hu-HU"/>
        </w:rPr>
        <w:t>Az UC-II vizsgálatban 248 beteg kapott 160 mg adalimumabot a 0. héten, 80 mg-ot a 2. héten, majd ezt követően 40 mg-ot minden második héten, míg 246 betegnek placebót adtak. A klinikai eredményeket a 8. héten a remisszió indukciójára vonatkozóan, az 52. héten a remisszió fenntartására vonatkozóan értékelték.</w:t>
      </w:r>
    </w:p>
    <w:p w14:paraId="59882AFD" w14:textId="77777777" w:rsidR="00130E8B" w:rsidRDefault="00130E8B">
      <w:pPr>
        <w:pStyle w:val="a3"/>
        <w:rPr>
          <w:lang w:val="hu-HU"/>
        </w:rPr>
      </w:pPr>
    </w:p>
    <w:p w14:paraId="57E61CE7" w14:textId="6254A37D" w:rsidR="00130E8B" w:rsidRDefault="000405CC">
      <w:pPr>
        <w:pStyle w:val="a3"/>
        <w:rPr>
          <w:lang w:val="hu-HU"/>
        </w:rPr>
      </w:pPr>
      <w:r>
        <w:rPr>
          <w:rFonts w:eastAsia="Times New Roman"/>
          <w:lang w:val="hu-HU"/>
        </w:rPr>
        <w:t>A 160/80 mg indukciós adalimumab-kezelésben részesülő betegek statisztikailag szignifikánsan nagyobb százalékban mutattak klinikai remissziót a 8. héten a placebóhoz képest az UC-I vizsgálatban (sorrendben 18%, illetve 9%, p = 0,031) és az UC-II vizsgálatban (sorrendben 17%, illetve 9%, p = 0,019). Az UC-II vizsgálatban azok közül az adalimumabbal kezelt betegek közül, akik a 8. héten remisszióban voltak, az 52. héten 21/41 (51%) volt remisszióban</w:t>
      </w:r>
    </w:p>
    <w:p w14:paraId="31EFA076" w14:textId="77777777" w:rsidR="00130E8B" w:rsidRDefault="00130E8B">
      <w:pPr>
        <w:spacing w:before="13" w:line="240" w:lineRule="exact"/>
        <w:rPr>
          <w:sz w:val="24"/>
          <w:szCs w:val="24"/>
          <w:lang w:val="hu-HU"/>
        </w:rPr>
      </w:pPr>
    </w:p>
    <w:p w14:paraId="50EBA0D7" w14:textId="200B3CDD" w:rsidR="00130E8B" w:rsidRDefault="000405CC">
      <w:pPr>
        <w:pStyle w:val="a3"/>
        <w:rPr>
          <w:lang w:val="hu-HU"/>
        </w:rPr>
      </w:pPr>
      <w:r>
        <w:rPr>
          <w:rFonts w:eastAsia="Times New Roman"/>
          <w:lang w:val="hu-HU"/>
        </w:rPr>
        <w:t>Az UC-II vizsgálatban részt vevő teljes betegpopuláció eredményeit a 2</w:t>
      </w:r>
      <w:r w:rsidR="00E72311">
        <w:rPr>
          <w:rFonts w:eastAsia="Times New Roman"/>
          <w:lang w:val="hu-HU"/>
        </w:rPr>
        <w:t>3</w:t>
      </w:r>
      <w:r>
        <w:rPr>
          <w:rFonts w:eastAsia="Times New Roman"/>
          <w:lang w:val="hu-HU"/>
        </w:rPr>
        <w:t>. táblázat mutatja.</w:t>
      </w:r>
    </w:p>
    <w:p w14:paraId="7A862700" w14:textId="77777777" w:rsidR="00130E8B" w:rsidRDefault="00130E8B">
      <w:pPr>
        <w:rPr>
          <w:rFonts w:ascii="Times New Roman" w:hAnsi="Times New Roman" w:cs="Times New Roman"/>
          <w:lang w:val="hu-HU"/>
        </w:rPr>
      </w:pPr>
    </w:p>
    <w:p w14:paraId="07933579" w14:textId="6A2A9DE9" w:rsidR="00130E8B" w:rsidRDefault="000405CC">
      <w:pPr>
        <w:pStyle w:val="a3"/>
        <w:jc w:val="center"/>
        <w:rPr>
          <w:b/>
          <w:lang w:val="hu-HU"/>
        </w:rPr>
      </w:pPr>
      <w:r>
        <w:rPr>
          <w:rFonts w:eastAsia="Times New Roman"/>
          <w:b/>
          <w:bCs/>
          <w:lang w:val="hu-HU"/>
        </w:rPr>
        <w:t>2</w:t>
      </w:r>
      <w:r w:rsidR="00E72311">
        <w:rPr>
          <w:rFonts w:eastAsia="Times New Roman"/>
          <w:b/>
          <w:bCs/>
          <w:lang w:val="hu-HU"/>
        </w:rPr>
        <w:t>3</w:t>
      </w:r>
      <w:r>
        <w:rPr>
          <w:rFonts w:eastAsia="Times New Roman"/>
          <w:b/>
          <w:bCs/>
          <w:lang w:val="hu-HU"/>
        </w:rPr>
        <w:t>. táblázat</w:t>
      </w:r>
    </w:p>
    <w:p w14:paraId="357709D9" w14:textId="71749AEE" w:rsidR="00130E8B" w:rsidRDefault="000405CC">
      <w:pPr>
        <w:pStyle w:val="a3"/>
        <w:jc w:val="center"/>
        <w:rPr>
          <w:b/>
          <w:lang w:val="hu-HU"/>
        </w:rPr>
      </w:pPr>
      <w:r>
        <w:rPr>
          <w:rFonts w:eastAsia="Times New Roman"/>
          <w:b/>
          <w:bCs/>
          <w:lang w:val="hu-HU"/>
        </w:rPr>
        <w:t xml:space="preserve">UC-II vizsgálatban </w:t>
      </w:r>
      <w:r w:rsidR="003F7B9D" w:rsidRPr="001E2F31">
        <w:rPr>
          <w:b/>
          <w:bCs/>
          <w:lang w:val="hu-HU"/>
        </w:rPr>
        <w:t>a klinikai válasz, remisszió és nyálkahártya gyógyulás aránya</w:t>
      </w:r>
    </w:p>
    <w:p w14:paraId="32C187B9" w14:textId="77777777" w:rsidR="00130E8B" w:rsidRDefault="000405CC">
      <w:pPr>
        <w:pStyle w:val="a3"/>
        <w:jc w:val="center"/>
        <w:rPr>
          <w:b/>
          <w:lang w:val="hu-HU"/>
        </w:rPr>
      </w:pPr>
      <w:r>
        <w:rPr>
          <w:rFonts w:eastAsia="Times New Roman"/>
          <w:b/>
          <w:bCs/>
          <w:lang w:val="hu-HU"/>
        </w:rPr>
        <w:t>(betegek százalékában)</w:t>
      </w:r>
    </w:p>
    <w:p w14:paraId="45809F65" w14:textId="77777777" w:rsidR="00130E8B" w:rsidRDefault="00130E8B">
      <w:pPr>
        <w:pStyle w:val="a3"/>
        <w:jc w:val="center"/>
        <w:rPr>
          <w:b/>
          <w:lang w:val="hu-HU"/>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9"/>
        <w:gridCol w:w="3130"/>
        <w:gridCol w:w="3191"/>
      </w:tblGrid>
      <w:tr w:rsidR="00130E8B" w:rsidRPr="00F70E6D" w14:paraId="7CBE2F01" w14:textId="77777777">
        <w:trPr>
          <w:trHeight w:val="403"/>
          <w:jc w:val="center"/>
        </w:trPr>
        <w:tc>
          <w:tcPr>
            <w:tcW w:w="2849" w:type="dxa"/>
            <w:tcBorders>
              <w:top w:val="single" w:sz="4" w:space="0" w:color="auto"/>
              <w:bottom w:val="single" w:sz="4" w:space="0" w:color="auto"/>
            </w:tcBorders>
            <w:vAlign w:val="center"/>
          </w:tcPr>
          <w:p w14:paraId="726FC1B3" w14:textId="77777777" w:rsidR="00130E8B" w:rsidRDefault="00130E8B">
            <w:pPr>
              <w:pStyle w:val="a3"/>
              <w:jc w:val="center"/>
              <w:rPr>
                <w:b/>
                <w:lang w:val="hu-HU"/>
              </w:rPr>
            </w:pPr>
          </w:p>
        </w:tc>
        <w:tc>
          <w:tcPr>
            <w:tcW w:w="3130" w:type="dxa"/>
            <w:tcBorders>
              <w:top w:val="single" w:sz="4" w:space="0" w:color="auto"/>
              <w:bottom w:val="single" w:sz="4" w:space="0" w:color="auto"/>
            </w:tcBorders>
            <w:vAlign w:val="center"/>
          </w:tcPr>
          <w:p w14:paraId="4466F254" w14:textId="77777777" w:rsidR="00130E8B" w:rsidRDefault="000405CC">
            <w:pPr>
              <w:pStyle w:val="a3"/>
              <w:jc w:val="center"/>
              <w:rPr>
                <w:b/>
                <w:lang w:val="hu-HU"/>
              </w:rPr>
            </w:pPr>
            <w:r>
              <w:rPr>
                <w:rFonts w:eastAsia="Times New Roman"/>
                <w:b/>
                <w:bCs/>
                <w:lang w:val="hu-HU"/>
              </w:rPr>
              <w:t>Placebo</w:t>
            </w:r>
          </w:p>
        </w:tc>
        <w:tc>
          <w:tcPr>
            <w:tcW w:w="3191" w:type="dxa"/>
            <w:tcBorders>
              <w:top w:val="single" w:sz="4" w:space="0" w:color="auto"/>
              <w:bottom w:val="single" w:sz="4" w:space="0" w:color="auto"/>
            </w:tcBorders>
            <w:vAlign w:val="center"/>
          </w:tcPr>
          <w:p w14:paraId="3C6B558F" w14:textId="77777777" w:rsidR="00130E8B" w:rsidRDefault="000405CC">
            <w:pPr>
              <w:pStyle w:val="a3"/>
              <w:jc w:val="center"/>
              <w:rPr>
                <w:b/>
                <w:lang w:val="hu-HU"/>
              </w:rPr>
            </w:pPr>
            <w:r>
              <w:rPr>
                <w:rFonts w:eastAsia="Times New Roman"/>
                <w:b/>
                <w:bCs/>
                <w:spacing w:val="-1"/>
                <w:lang w:val="hu-HU"/>
              </w:rPr>
              <w:t>Adalimumab 40 mg minden második héten</w:t>
            </w:r>
          </w:p>
        </w:tc>
      </w:tr>
      <w:tr w:rsidR="00130E8B" w14:paraId="7CA91F20" w14:textId="77777777">
        <w:trPr>
          <w:trHeight w:val="403"/>
          <w:jc w:val="center"/>
        </w:trPr>
        <w:tc>
          <w:tcPr>
            <w:tcW w:w="2849" w:type="dxa"/>
            <w:tcBorders>
              <w:top w:val="single" w:sz="4" w:space="0" w:color="auto"/>
              <w:bottom w:val="single" w:sz="4" w:space="0" w:color="auto"/>
            </w:tcBorders>
            <w:vAlign w:val="center"/>
          </w:tcPr>
          <w:p w14:paraId="271E3453" w14:textId="77777777" w:rsidR="00130E8B" w:rsidRDefault="000405CC">
            <w:pPr>
              <w:pStyle w:val="a3"/>
              <w:jc w:val="both"/>
              <w:rPr>
                <w:b/>
                <w:lang w:val="hu-HU"/>
              </w:rPr>
            </w:pPr>
            <w:r>
              <w:rPr>
                <w:rFonts w:eastAsia="Times New Roman"/>
                <w:lang w:val="hu-HU"/>
              </w:rPr>
              <w:t>52. hét</w:t>
            </w:r>
          </w:p>
        </w:tc>
        <w:tc>
          <w:tcPr>
            <w:tcW w:w="3130" w:type="dxa"/>
            <w:tcBorders>
              <w:top w:val="single" w:sz="4" w:space="0" w:color="auto"/>
              <w:bottom w:val="single" w:sz="4" w:space="0" w:color="auto"/>
            </w:tcBorders>
            <w:vAlign w:val="center"/>
          </w:tcPr>
          <w:p w14:paraId="4CCA0A7A" w14:textId="28887652" w:rsidR="00130E8B" w:rsidRDefault="00AB0C70">
            <w:pPr>
              <w:pStyle w:val="a3"/>
              <w:jc w:val="center"/>
              <w:rPr>
                <w:b/>
                <w:lang w:val="hu-HU"/>
              </w:rPr>
            </w:pPr>
            <w:r>
              <w:rPr>
                <w:rFonts w:eastAsia="Times New Roman"/>
                <w:b/>
                <w:bCs/>
                <w:spacing w:val="-1"/>
                <w:lang w:val="hu-HU"/>
              </w:rPr>
              <w:t>n</w:t>
            </w:r>
            <w:r w:rsidR="000405CC">
              <w:rPr>
                <w:rFonts w:eastAsia="Times New Roman"/>
                <w:b/>
                <w:bCs/>
                <w:spacing w:val="-1"/>
                <w:lang w:val="hu-HU"/>
              </w:rPr>
              <w:t>=246</w:t>
            </w:r>
          </w:p>
        </w:tc>
        <w:tc>
          <w:tcPr>
            <w:tcW w:w="3191" w:type="dxa"/>
            <w:tcBorders>
              <w:top w:val="single" w:sz="4" w:space="0" w:color="auto"/>
              <w:bottom w:val="single" w:sz="4" w:space="0" w:color="auto"/>
            </w:tcBorders>
            <w:vAlign w:val="center"/>
          </w:tcPr>
          <w:p w14:paraId="7E00B83E" w14:textId="162FF904" w:rsidR="00130E8B" w:rsidRDefault="00AB0C70">
            <w:pPr>
              <w:pStyle w:val="a3"/>
              <w:jc w:val="center"/>
              <w:rPr>
                <w:b/>
                <w:lang w:val="hu-HU"/>
              </w:rPr>
            </w:pPr>
            <w:r>
              <w:rPr>
                <w:rFonts w:eastAsia="Times New Roman"/>
                <w:b/>
                <w:bCs/>
                <w:spacing w:val="-1"/>
                <w:lang w:val="hu-HU"/>
              </w:rPr>
              <w:t>n</w:t>
            </w:r>
            <w:r w:rsidR="000405CC">
              <w:rPr>
                <w:rFonts w:eastAsia="Times New Roman"/>
                <w:b/>
                <w:bCs/>
                <w:spacing w:val="-1"/>
                <w:lang w:val="hu-HU"/>
              </w:rPr>
              <w:t>=248</w:t>
            </w:r>
          </w:p>
        </w:tc>
      </w:tr>
      <w:tr w:rsidR="00130E8B" w14:paraId="4B0FB6E0" w14:textId="77777777">
        <w:trPr>
          <w:trHeight w:val="419"/>
          <w:jc w:val="center"/>
        </w:trPr>
        <w:tc>
          <w:tcPr>
            <w:tcW w:w="2849" w:type="dxa"/>
            <w:tcBorders>
              <w:top w:val="single" w:sz="4" w:space="0" w:color="auto"/>
            </w:tcBorders>
            <w:vAlign w:val="center"/>
          </w:tcPr>
          <w:p w14:paraId="7F1C1185" w14:textId="77777777" w:rsidR="00130E8B" w:rsidRDefault="000405CC">
            <w:pPr>
              <w:pStyle w:val="a3"/>
              <w:jc w:val="both"/>
              <w:rPr>
                <w:lang w:val="hu-HU"/>
              </w:rPr>
            </w:pPr>
            <w:r>
              <w:rPr>
                <w:rFonts w:eastAsia="Times New Roman"/>
                <w:lang w:val="hu-HU"/>
              </w:rPr>
              <w:t>Klinikai válasz</w:t>
            </w:r>
          </w:p>
        </w:tc>
        <w:tc>
          <w:tcPr>
            <w:tcW w:w="3130" w:type="dxa"/>
            <w:tcBorders>
              <w:top w:val="single" w:sz="4" w:space="0" w:color="auto"/>
            </w:tcBorders>
            <w:vAlign w:val="center"/>
          </w:tcPr>
          <w:p w14:paraId="72D9281B" w14:textId="77777777" w:rsidR="00130E8B" w:rsidRDefault="000405CC">
            <w:pPr>
              <w:pStyle w:val="a3"/>
              <w:jc w:val="center"/>
              <w:rPr>
                <w:lang w:val="hu-HU"/>
              </w:rPr>
            </w:pPr>
            <w:r>
              <w:rPr>
                <w:rFonts w:eastAsia="Times New Roman"/>
                <w:lang w:val="hu-HU"/>
              </w:rPr>
              <w:t>18 %</w:t>
            </w:r>
          </w:p>
        </w:tc>
        <w:tc>
          <w:tcPr>
            <w:tcW w:w="3191" w:type="dxa"/>
            <w:tcBorders>
              <w:top w:val="single" w:sz="4" w:space="0" w:color="auto"/>
            </w:tcBorders>
            <w:vAlign w:val="center"/>
          </w:tcPr>
          <w:p w14:paraId="0FE47957" w14:textId="77777777" w:rsidR="00130E8B" w:rsidRDefault="000405CC">
            <w:pPr>
              <w:pStyle w:val="a3"/>
              <w:jc w:val="center"/>
              <w:rPr>
                <w:lang w:val="hu-HU"/>
              </w:rPr>
            </w:pPr>
            <w:r>
              <w:rPr>
                <w:rFonts w:eastAsia="Times New Roman"/>
                <w:lang w:val="hu-HU"/>
              </w:rPr>
              <w:t>30 %</w:t>
            </w:r>
            <w:r>
              <w:rPr>
                <w:rFonts w:eastAsia="Times New Roman"/>
                <w:sz w:val="20"/>
                <w:szCs w:val="20"/>
                <w:lang w:val="hu-HU"/>
              </w:rPr>
              <w:t>*</w:t>
            </w:r>
          </w:p>
        </w:tc>
      </w:tr>
      <w:tr w:rsidR="00130E8B" w14:paraId="2620FC76" w14:textId="77777777">
        <w:trPr>
          <w:trHeight w:val="403"/>
          <w:jc w:val="center"/>
        </w:trPr>
        <w:tc>
          <w:tcPr>
            <w:tcW w:w="2849" w:type="dxa"/>
            <w:vAlign w:val="center"/>
          </w:tcPr>
          <w:p w14:paraId="34E79906" w14:textId="77777777" w:rsidR="00130E8B" w:rsidRDefault="000405CC">
            <w:pPr>
              <w:pStyle w:val="a3"/>
              <w:jc w:val="both"/>
              <w:rPr>
                <w:lang w:val="hu-HU"/>
              </w:rPr>
            </w:pPr>
            <w:r>
              <w:rPr>
                <w:rFonts w:eastAsia="Times New Roman"/>
                <w:lang w:val="hu-HU"/>
              </w:rPr>
              <w:lastRenderedPageBreak/>
              <w:t>Klinikai remisszió</w:t>
            </w:r>
          </w:p>
        </w:tc>
        <w:tc>
          <w:tcPr>
            <w:tcW w:w="3130" w:type="dxa"/>
            <w:vAlign w:val="center"/>
          </w:tcPr>
          <w:p w14:paraId="33E6595E" w14:textId="77777777" w:rsidR="00130E8B" w:rsidRDefault="000405CC">
            <w:pPr>
              <w:pStyle w:val="a3"/>
              <w:jc w:val="center"/>
              <w:rPr>
                <w:lang w:val="hu-HU"/>
              </w:rPr>
            </w:pPr>
            <w:r>
              <w:rPr>
                <w:rFonts w:eastAsia="Times New Roman"/>
                <w:lang w:val="hu-HU"/>
              </w:rPr>
              <w:t>9 %</w:t>
            </w:r>
          </w:p>
        </w:tc>
        <w:tc>
          <w:tcPr>
            <w:tcW w:w="3191" w:type="dxa"/>
            <w:vAlign w:val="center"/>
          </w:tcPr>
          <w:p w14:paraId="26FF2AFD" w14:textId="77777777" w:rsidR="00130E8B" w:rsidRDefault="000405CC">
            <w:pPr>
              <w:pStyle w:val="a3"/>
              <w:jc w:val="center"/>
              <w:rPr>
                <w:lang w:val="hu-HU"/>
              </w:rPr>
            </w:pPr>
            <w:r>
              <w:rPr>
                <w:rFonts w:eastAsia="Times New Roman"/>
                <w:lang w:val="hu-HU"/>
              </w:rPr>
              <w:t>17 %</w:t>
            </w:r>
            <w:r>
              <w:rPr>
                <w:rFonts w:eastAsia="Times New Roman"/>
                <w:sz w:val="20"/>
                <w:szCs w:val="20"/>
                <w:lang w:val="hu-HU"/>
              </w:rPr>
              <w:t>*</w:t>
            </w:r>
          </w:p>
        </w:tc>
      </w:tr>
      <w:tr w:rsidR="00130E8B" w14:paraId="6CB1EEB1" w14:textId="77777777">
        <w:trPr>
          <w:trHeight w:val="403"/>
          <w:jc w:val="center"/>
        </w:trPr>
        <w:tc>
          <w:tcPr>
            <w:tcW w:w="2849" w:type="dxa"/>
            <w:vAlign w:val="center"/>
          </w:tcPr>
          <w:p w14:paraId="5A81F875" w14:textId="77777777" w:rsidR="00130E8B" w:rsidRDefault="000405CC">
            <w:pPr>
              <w:pStyle w:val="a3"/>
              <w:jc w:val="both"/>
              <w:rPr>
                <w:lang w:val="hu-HU"/>
              </w:rPr>
            </w:pPr>
            <w:r>
              <w:rPr>
                <w:rFonts w:eastAsia="Times New Roman"/>
                <w:lang w:val="hu-HU"/>
              </w:rPr>
              <w:t>Nyálkahártya-gyógyulás</w:t>
            </w:r>
          </w:p>
        </w:tc>
        <w:tc>
          <w:tcPr>
            <w:tcW w:w="3130" w:type="dxa"/>
            <w:vAlign w:val="center"/>
          </w:tcPr>
          <w:p w14:paraId="4725862E" w14:textId="77777777" w:rsidR="00130E8B" w:rsidRDefault="000405CC">
            <w:pPr>
              <w:pStyle w:val="a3"/>
              <w:jc w:val="center"/>
              <w:rPr>
                <w:lang w:val="hu-HU"/>
              </w:rPr>
            </w:pPr>
            <w:r>
              <w:rPr>
                <w:rFonts w:eastAsia="Times New Roman"/>
                <w:lang w:val="hu-HU"/>
              </w:rPr>
              <w:t>15 %</w:t>
            </w:r>
          </w:p>
        </w:tc>
        <w:tc>
          <w:tcPr>
            <w:tcW w:w="3191" w:type="dxa"/>
            <w:vAlign w:val="center"/>
          </w:tcPr>
          <w:p w14:paraId="05997F36" w14:textId="77777777" w:rsidR="00130E8B" w:rsidRDefault="000405CC">
            <w:pPr>
              <w:pStyle w:val="a3"/>
              <w:jc w:val="center"/>
              <w:rPr>
                <w:lang w:val="hu-HU"/>
              </w:rPr>
            </w:pPr>
            <w:r>
              <w:rPr>
                <w:rFonts w:eastAsia="Times New Roman"/>
                <w:lang w:val="hu-HU"/>
              </w:rPr>
              <w:t>25 %</w:t>
            </w:r>
            <w:r>
              <w:rPr>
                <w:rFonts w:eastAsia="Times New Roman"/>
                <w:sz w:val="20"/>
                <w:szCs w:val="20"/>
                <w:lang w:val="hu-HU"/>
              </w:rPr>
              <w:t>*</w:t>
            </w:r>
          </w:p>
        </w:tc>
      </w:tr>
      <w:tr w:rsidR="00130E8B" w14:paraId="32434696" w14:textId="77777777">
        <w:trPr>
          <w:trHeight w:val="816"/>
          <w:jc w:val="center"/>
        </w:trPr>
        <w:tc>
          <w:tcPr>
            <w:tcW w:w="2849" w:type="dxa"/>
          </w:tcPr>
          <w:p w14:paraId="011EDF5C" w14:textId="77777777" w:rsidR="00130E8B" w:rsidRDefault="000405CC" w:rsidP="004E2591">
            <w:pPr>
              <w:pStyle w:val="a3"/>
              <w:rPr>
                <w:lang w:val="hu-HU"/>
              </w:rPr>
            </w:pPr>
            <w:r>
              <w:rPr>
                <w:rFonts w:eastAsia="Times New Roman"/>
                <w:lang w:val="hu-HU"/>
              </w:rPr>
              <w:t>Szteroidmentes remisszió legalább 90 napig</w:t>
            </w:r>
            <w:r w:rsidRPr="009167C6">
              <w:rPr>
                <w:rFonts w:eastAsia="Times New Roman"/>
                <w:vertAlign w:val="superscript"/>
                <w:lang w:val="hu-HU"/>
              </w:rPr>
              <w:t xml:space="preserve"> a</w:t>
            </w:r>
          </w:p>
        </w:tc>
        <w:tc>
          <w:tcPr>
            <w:tcW w:w="3130" w:type="dxa"/>
            <w:vAlign w:val="center"/>
          </w:tcPr>
          <w:p w14:paraId="186B84FF" w14:textId="77777777" w:rsidR="00130E8B" w:rsidRDefault="000405CC">
            <w:pPr>
              <w:pStyle w:val="a3"/>
              <w:jc w:val="center"/>
              <w:rPr>
                <w:lang w:val="hu-HU"/>
              </w:rPr>
            </w:pPr>
            <w:r>
              <w:rPr>
                <w:rFonts w:eastAsia="Times New Roman"/>
                <w:lang w:val="hu-HU"/>
              </w:rPr>
              <w:t>6 %</w:t>
            </w:r>
          </w:p>
          <w:p w14:paraId="6FD9E36E" w14:textId="4970BE08" w:rsidR="00130E8B" w:rsidRDefault="000405CC" w:rsidP="00AB0C70">
            <w:pPr>
              <w:pStyle w:val="a3"/>
              <w:jc w:val="center"/>
              <w:rPr>
                <w:lang w:val="hu-HU"/>
              </w:rPr>
            </w:pPr>
            <w:r>
              <w:rPr>
                <w:rFonts w:eastAsia="Times New Roman"/>
                <w:b/>
                <w:bCs/>
                <w:lang w:val="hu-HU"/>
              </w:rPr>
              <w:t>(</w:t>
            </w:r>
            <w:r w:rsidR="00AB0C70">
              <w:rPr>
                <w:rFonts w:eastAsia="Times New Roman"/>
                <w:b/>
                <w:bCs/>
                <w:lang w:val="hu-HU"/>
              </w:rPr>
              <w:t>n </w:t>
            </w:r>
            <w:r>
              <w:rPr>
                <w:rFonts w:eastAsia="Times New Roman"/>
                <w:b/>
                <w:bCs/>
                <w:lang w:val="hu-HU"/>
              </w:rPr>
              <w:t>= 140)</w:t>
            </w:r>
          </w:p>
        </w:tc>
        <w:tc>
          <w:tcPr>
            <w:tcW w:w="3191" w:type="dxa"/>
            <w:vAlign w:val="center"/>
          </w:tcPr>
          <w:p w14:paraId="14F6F288" w14:textId="77777777" w:rsidR="00130E8B" w:rsidRDefault="000405CC">
            <w:pPr>
              <w:pStyle w:val="a3"/>
              <w:jc w:val="center"/>
              <w:rPr>
                <w:lang w:val="hu-HU"/>
              </w:rPr>
            </w:pPr>
            <w:r>
              <w:rPr>
                <w:rFonts w:eastAsia="Times New Roman"/>
                <w:lang w:val="hu-HU"/>
              </w:rPr>
              <w:t>13 %</w:t>
            </w:r>
            <w:r>
              <w:rPr>
                <w:rFonts w:eastAsia="Times New Roman"/>
                <w:sz w:val="20"/>
                <w:szCs w:val="20"/>
                <w:lang w:val="hu-HU"/>
              </w:rPr>
              <w:t>*</w:t>
            </w:r>
          </w:p>
          <w:p w14:paraId="60C2F524" w14:textId="05371FDD" w:rsidR="00130E8B" w:rsidRDefault="000405CC" w:rsidP="00AB0C70">
            <w:pPr>
              <w:pStyle w:val="a3"/>
              <w:jc w:val="center"/>
              <w:rPr>
                <w:lang w:val="hu-HU"/>
              </w:rPr>
            </w:pPr>
            <w:r>
              <w:rPr>
                <w:rFonts w:eastAsia="Times New Roman"/>
                <w:b/>
                <w:bCs/>
                <w:lang w:val="hu-HU"/>
              </w:rPr>
              <w:t>(</w:t>
            </w:r>
            <w:r w:rsidR="00AB0C70">
              <w:rPr>
                <w:rFonts w:eastAsia="Times New Roman"/>
                <w:b/>
                <w:bCs/>
                <w:lang w:val="hu-HU"/>
              </w:rPr>
              <w:t>n </w:t>
            </w:r>
            <w:r>
              <w:rPr>
                <w:rFonts w:eastAsia="Times New Roman"/>
                <w:b/>
                <w:bCs/>
                <w:lang w:val="hu-HU"/>
              </w:rPr>
              <w:t>= 150)</w:t>
            </w:r>
          </w:p>
        </w:tc>
      </w:tr>
      <w:tr w:rsidR="00130E8B" w14:paraId="10A20BA8" w14:textId="77777777">
        <w:trPr>
          <w:trHeight w:val="403"/>
          <w:jc w:val="center"/>
        </w:trPr>
        <w:tc>
          <w:tcPr>
            <w:tcW w:w="9170" w:type="dxa"/>
            <w:gridSpan w:val="3"/>
            <w:vAlign w:val="center"/>
          </w:tcPr>
          <w:p w14:paraId="59F7C088" w14:textId="77777777" w:rsidR="00130E8B" w:rsidRDefault="000405CC">
            <w:pPr>
              <w:pStyle w:val="a3"/>
              <w:jc w:val="both"/>
              <w:rPr>
                <w:b/>
                <w:bCs/>
                <w:lang w:val="hu-HU"/>
              </w:rPr>
            </w:pPr>
            <w:r>
              <w:rPr>
                <w:rFonts w:eastAsia="Times New Roman"/>
                <w:lang w:val="hu-HU"/>
              </w:rPr>
              <w:t xml:space="preserve">8. és 52. hét </w:t>
            </w:r>
          </w:p>
        </w:tc>
      </w:tr>
      <w:tr w:rsidR="00130E8B" w14:paraId="7BA103F0" w14:textId="77777777">
        <w:trPr>
          <w:trHeight w:val="403"/>
          <w:jc w:val="center"/>
        </w:trPr>
        <w:tc>
          <w:tcPr>
            <w:tcW w:w="2849" w:type="dxa"/>
            <w:vAlign w:val="center"/>
          </w:tcPr>
          <w:p w14:paraId="33A5F53D" w14:textId="77777777" w:rsidR="00130E8B" w:rsidRDefault="000405CC">
            <w:pPr>
              <w:pStyle w:val="a3"/>
              <w:jc w:val="both"/>
              <w:rPr>
                <w:lang w:val="hu-HU"/>
              </w:rPr>
            </w:pPr>
            <w:r>
              <w:rPr>
                <w:rFonts w:eastAsia="Times New Roman"/>
                <w:lang w:val="hu-HU"/>
              </w:rPr>
              <w:t>Fenntartott válasz</w:t>
            </w:r>
          </w:p>
        </w:tc>
        <w:tc>
          <w:tcPr>
            <w:tcW w:w="3130" w:type="dxa"/>
            <w:vAlign w:val="center"/>
          </w:tcPr>
          <w:p w14:paraId="00BDEA66" w14:textId="77777777" w:rsidR="00130E8B" w:rsidRDefault="000405CC">
            <w:pPr>
              <w:pStyle w:val="a3"/>
              <w:jc w:val="center"/>
              <w:rPr>
                <w:b/>
                <w:bCs/>
                <w:lang w:val="hu-HU"/>
              </w:rPr>
            </w:pPr>
            <w:r>
              <w:rPr>
                <w:rFonts w:eastAsia="Times New Roman"/>
                <w:lang w:val="hu-HU"/>
              </w:rPr>
              <w:t>12 %</w:t>
            </w:r>
          </w:p>
        </w:tc>
        <w:tc>
          <w:tcPr>
            <w:tcW w:w="3191" w:type="dxa"/>
            <w:vAlign w:val="center"/>
          </w:tcPr>
          <w:p w14:paraId="10D5F83D" w14:textId="77777777" w:rsidR="00130E8B" w:rsidRDefault="000405CC">
            <w:pPr>
              <w:pStyle w:val="a3"/>
              <w:jc w:val="center"/>
              <w:rPr>
                <w:b/>
                <w:bCs/>
                <w:lang w:val="hu-HU"/>
              </w:rPr>
            </w:pPr>
            <w:r>
              <w:rPr>
                <w:rFonts w:eastAsia="Times New Roman"/>
                <w:lang w:val="hu-HU"/>
              </w:rPr>
              <w:t>24 %</w:t>
            </w:r>
            <w:r>
              <w:rPr>
                <w:rFonts w:eastAsia="Times New Roman"/>
                <w:sz w:val="20"/>
                <w:szCs w:val="20"/>
                <w:lang w:val="hu-HU"/>
              </w:rPr>
              <w:t>**</w:t>
            </w:r>
          </w:p>
        </w:tc>
      </w:tr>
      <w:tr w:rsidR="00130E8B" w14:paraId="40F51AAD" w14:textId="77777777">
        <w:trPr>
          <w:trHeight w:val="403"/>
          <w:jc w:val="center"/>
        </w:trPr>
        <w:tc>
          <w:tcPr>
            <w:tcW w:w="2849" w:type="dxa"/>
            <w:vAlign w:val="center"/>
          </w:tcPr>
          <w:p w14:paraId="6B211A57" w14:textId="77777777" w:rsidR="00130E8B" w:rsidRDefault="000405CC">
            <w:pPr>
              <w:pStyle w:val="a3"/>
              <w:jc w:val="both"/>
              <w:rPr>
                <w:lang w:val="hu-HU"/>
              </w:rPr>
            </w:pPr>
            <w:r>
              <w:rPr>
                <w:rFonts w:eastAsia="Times New Roman"/>
                <w:lang w:val="hu-HU"/>
              </w:rPr>
              <w:t>Fenntartott remisszió</w:t>
            </w:r>
          </w:p>
        </w:tc>
        <w:tc>
          <w:tcPr>
            <w:tcW w:w="3130" w:type="dxa"/>
            <w:vAlign w:val="center"/>
          </w:tcPr>
          <w:p w14:paraId="6FFC5F7B" w14:textId="77777777" w:rsidR="00130E8B" w:rsidRDefault="000405CC">
            <w:pPr>
              <w:pStyle w:val="a3"/>
              <w:jc w:val="center"/>
              <w:rPr>
                <w:b/>
                <w:bCs/>
                <w:lang w:val="hu-HU"/>
              </w:rPr>
            </w:pPr>
            <w:r>
              <w:rPr>
                <w:rFonts w:eastAsia="Times New Roman"/>
                <w:lang w:val="hu-HU"/>
              </w:rPr>
              <w:t>4 %</w:t>
            </w:r>
          </w:p>
        </w:tc>
        <w:tc>
          <w:tcPr>
            <w:tcW w:w="3191" w:type="dxa"/>
            <w:vAlign w:val="center"/>
          </w:tcPr>
          <w:p w14:paraId="3FE7F6D5" w14:textId="77777777" w:rsidR="00130E8B" w:rsidRDefault="000405CC">
            <w:pPr>
              <w:pStyle w:val="a3"/>
              <w:jc w:val="center"/>
              <w:rPr>
                <w:b/>
                <w:bCs/>
                <w:lang w:val="hu-HU"/>
              </w:rPr>
            </w:pPr>
            <w:r>
              <w:rPr>
                <w:rFonts w:eastAsia="Times New Roman"/>
                <w:lang w:val="hu-HU"/>
              </w:rPr>
              <w:t>8 %</w:t>
            </w:r>
            <w:r>
              <w:rPr>
                <w:rFonts w:eastAsia="Times New Roman"/>
                <w:sz w:val="20"/>
                <w:szCs w:val="20"/>
                <w:lang w:val="hu-HU"/>
              </w:rPr>
              <w:t>*</w:t>
            </w:r>
          </w:p>
        </w:tc>
      </w:tr>
      <w:tr w:rsidR="00130E8B" w14:paraId="1901AF5B" w14:textId="77777777">
        <w:trPr>
          <w:trHeight w:val="403"/>
          <w:jc w:val="center"/>
        </w:trPr>
        <w:tc>
          <w:tcPr>
            <w:tcW w:w="2849" w:type="dxa"/>
            <w:tcBorders>
              <w:bottom w:val="single" w:sz="4" w:space="0" w:color="auto"/>
            </w:tcBorders>
            <w:vAlign w:val="center"/>
          </w:tcPr>
          <w:p w14:paraId="160D3BC3" w14:textId="77777777" w:rsidR="00130E8B" w:rsidRDefault="000405CC">
            <w:pPr>
              <w:pStyle w:val="a3"/>
              <w:jc w:val="both"/>
              <w:rPr>
                <w:lang w:val="hu-HU"/>
              </w:rPr>
            </w:pPr>
            <w:r>
              <w:rPr>
                <w:rFonts w:eastAsia="Times New Roman"/>
                <w:lang w:val="hu-HU"/>
              </w:rPr>
              <w:t>Fenntartott nyálkahártya-gyógyulás</w:t>
            </w:r>
          </w:p>
        </w:tc>
        <w:tc>
          <w:tcPr>
            <w:tcW w:w="3130" w:type="dxa"/>
            <w:tcBorders>
              <w:bottom w:val="single" w:sz="4" w:space="0" w:color="auto"/>
            </w:tcBorders>
            <w:vAlign w:val="center"/>
          </w:tcPr>
          <w:p w14:paraId="14BA644F" w14:textId="77777777" w:rsidR="00130E8B" w:rsidRDefault="000405CC">
            <w:pPr>
              <w:pStyle w:val="a3"/>
              <w:jc w:val="center"/>
              <w:rPr>
                <w:b/>
                <w:bCs/>
                <w:lang w:val="hu-HU"/>
              </w:rPr>
            </w:pPr>
            <w:r>
              <w:rPr>
                <w:rFonts w:eastAsia="Times New Roman"/>
                <w:lang w:val="hu-HU"/>
              </w:rPr>
              <w:t>11 %</w:t>
            </w:r>
          </w:p>
        </w:tc>
        <w:tc>
          <w:tcPr>
            <w:tcW w:w="3191" w:type="dxa"/>
            <w:tcBorders>
              <w:bottom w:val="single" w:sz="4" w:space="0" w:color="auto"/>
            </w:tcBorders>
            <w:vAlign w:val="center"/>
          </w:tcPr>
          <w:p w14:paraId="4DA6F494" w14:textId="77777777" w:rsidR="00130E8B" w:rsidRDefault="000405CC">
            <w:pPr>
              <w:pStyle w:val="a3"/>
              <w:jc w:val="center"/>
              <w:rPr>
                <w:b/>
                <w:bCs/>
                <w:lang w:val="hu-HU"/>
              </w:rPr>
            </w:pPr>
            <w:r>
              <w:rPr>
                <w:rFonts w:eastAsia="Times New Roman"/>
                <w:lang w:val="hu-HU"/>
              </w:rPr>
              <w:t>19 %</w:t>
            </w:r>
            <w:r>
              <w:rPr>
                <w:rFonts w:eastAsia="Times New Roman"/>
                <w:sz w:val="20"/>
                <w:szCs w:val="20"/>
                <w:lang w:val="hu-HU"/>
              </w:rPr>
              <w:t>*</w:t>
            </w:r>
          </w:p>
        </w:tc>
      </w:tr>
    </w:tbl>
    <w:p w14:paraId="70B0E483" w14:textId="77777777" w:rsidR="00130E8B" w:rsidRDefault="000405CC">
      <w:pPr>
        <w:pStyle w:val="a3"/>
        <w:rPr>
          <w:lang w:val="hu-HU"/>
        </w:rPr>
      </w:pPr>
      <w:r>
        <w:rPr>
          <w:rFonts w:eastAsia="Times New Roman"/>
          <w:lang w:val="hu-HU"/>
        </w:rPr>
        <w:t>Klinikai remisszió: Mayo pontszám ≤ 2 és alpontszám &gt; 1;</w:t>
      </w:r>
    </w:p>
    <w:p w14:paraId="4D3B671B" w14:textId="77777777" w:rsidR="00130E8B" w:rsidRDefault="000405CC">
      <w:pPr>
        <w:pStyle w:val="a3"/>
        <w:rPr>
          <w:lang w:val="hu-HU"/>
        </w:rPr>
      </w:pPr>
      <w:r>
        <w:rPr>
          <w:rFonts w:eastAsia="Times New Roman"/>
          <w:lang w:val="hu-HU"/>
        </w:rPr>
        <w:t>Klinikai válasz: a Mayo pontszám kiindulási értékéhez viszonyított  ≥3 pontos és  ≥30%-os csökkenése, és a rectalis vérzés alpontszámának [rectal bleeding subscore; RBS] ≥1 csökkenése vagy az abszolút RBS-érték 0 vagy 1;</w:t>
      </w:r>
    </w:p>
    <w:p w14:paraId="7AEF57D6" w14:textId="77777777" w:rsidR="00130E8B" w:rsidRPr="007C168B" w:rsidRDefault="000405CC">
      <w:pPr>
        <w:pStyle w:val="a3"/>
        <w:rPr>
          <w:lang w:val="hu-HU"/>
        </w:rPr>
      </w:pPr>
      <w:r w:rsidRPr="009167C6">
        <w:rPr>
          <w:rFonts w:eastAsia="Times New Roman"/>
          <w:spacing w:val="-2"/>
          <w:position w:val="9"/>
          <w:lang w:val="hu-HU"/>
        </w:rPr>
        <w:t xml:space="preserve">* p &lt;0,05 adalimumabbal </w:t>
      </w:r>
      <w:r w:rsidRPr="009167C6">
        <w:rPr>
          <w:rFonts w:eastAsia="Times New Roman"/>
          <w:i/>
          <w:iCs/>
          <w:spacing w:val="-2"/>
          <w:position w:val="9"/>
          <w:lang w:val="hu-HU"/>
        </w:rPr>
        <w:t>versus</w:t>
      </w:r>
      <w:r w:rsidRPr="009167C6">
        <w:rPr>
          <w:rFonts w:eastAsia="Times New Roman"/>
          <w:spacing w:val="-2"/>
          <w:position w:val="9"/>
          <w:lang w:val="hu-HU"/>
        </w:rPr>
        <w:t xml:space="preserve"> placebóval kezelt csoportokban regisztrált részarányok páronkénti összehasonlítása.</w:t>
      </w:r>
    </w:p>
    <w:p w14:paraId="4B09B590" w14:textId="77777777" w:rsidR="00130E8B" w:rsidRDefault="000405CC">
      <w:pPr>
        <w:pStyle w:val="a3"/>
        <w:rPr>
          <w:lang w:val="hu-HU"/>
        </w:rPr>
      </w:pPr>
      <w:r>
        <w:rPr>
          <w:rFonts w:eastAsia="Times New Roman"/>
          <w:spacing w:val="-2"/>
          <w:sz w:val="20"/>
          <w:szCs w:val="20"/>
          <w:lang w:val="hu-HU"/>
        </w:rPr>
        <w:t xml:space="preserve">** p &lt;0,001 adalimumabbal </w:t>
      </w:r>
      <w:r>
        <w:rPr>
          <w:rFonts w:eastAsia="Times New Roman"/>
          <w:i/>
          <w:iCs/>
          <w:spacing w:val="-2"/>
          <w:sz w:val="20"/>
          <w:szCs w:val="20"/>
          <w:lang w:val="hu-HU"/>
        </w:rPr>
        <w:t>versus</w:t>
      </w:r>
      <w:r>
        <w:rPr>
          <w:rFonts w:eastAsia="Times New Roman"/>
          <w:spacing w:val="-2"/>
          <w:sz w:val="20"/>
          <w:szCs w:val="20"/>
          <w:lang w:val="hu-HU"/>
        </w:rPr>
        <w:t xml:space="preserve"> placebóval kezelt csoportokban regisztrált részarányok páronkénti összehasonlítása.</w:t>
      </w:r>
    </w:p>
    <w:p w14:paraId="4E8722DD" w14:textId="77777777" w:rsidR="00130E8B" w:rsidRDefault="000405CC">
      <w:pPr>
        <w:pStyle w:val="a3"/>
        <w:rPr>
          <w:lang w:val="hu-HU"/>
        </w:rPr>
      </w:pPr>
      <w:r w:rsidRPr="009167C6">
        <w:rPr>
          <w:rFonts w:eastAsia="Times New Roman"/>
          <w:position w:val="8"/>
          <w:vertAlign w:val="superscript"/>
          <w:lang w:val="hu-HU"/>
        </w:rPr>
        <w:t xml:space="preserve">a </w:t>
      </w:r>
      <w:r>
        <w:rPr>
          <w:rFonts w:eastAsia="Times New Roman"/>
          <w:position w:val="8"/>
          <w:lang w:val="hu-HU"/>
        </w:rPr>
        <w:t>Azok közül a betegek közül, akik a vizsgálat megkezdésekor kortikoszteroidot kaptak</w:t>
      </w:r>
    </w:p>
    <w:p w14:paraId="3151520D" w14:textId="77777777" w:rsidR="00130E8B" w:rsidRDefault="00130E8B">
      <w:pPr>
        <w:spacing w:before="6" w:line="190" w:lineRule="exact"/>
        <w:rPr>
          <w:sz w:val="19"/>
          <w:szCs w:val="19"/>
          <w:lang w:val="hu-HU"/>
        </w:rPr>
      </w:pPr>
    </w:p>
    <w:p w14:paraId="17C5876E" w14:textId="77777777" w:rsidR="00130E8B" w:rsidRDefault="000405CC">
      <w:pPr>
        <w:pStyle w:val="a3"/>
        <w:rPr>
          <w:lang w:val="hu-HU"/>
        </w:rPr>
      </w:pPr>
      <w:r>
        <w:rPr>
          <w:rFonts w:eastAsia="Times New Roman"/>
          <w:lang w:val="hu-HU"/>
        </w:rPr>
        <w:t>Azok közül a betegek közül, akiknél kialakult a válasz a 8. hétig, az 52. hétig 47%-nál alakult ki válasz, 29% remisszióban volt, 41%-nál tapasztaltak nyálkahártya gyógyulást, és 20% volt legalább 90 napja szteroidmentes remisszióban</w:t>
      </w:r>
    </w:p>
    <w:p w14:paraId="0FE93E1D" w14:textId="77777777" w:rsidR="00130E8B" w:rsidRDefault="00130E8B">
      <w:pPr>
        <w:spacing w:before="11" w:line="240" w:lineRule="exact"/>
        <w:rPr>
          <w:sz w:val="24"/>
          <w:szCs w:val="24"/>
          <w:lang w:val="hu-HU"/>
        </w:rPr>
      </w:pPr>
    </w:p>
    <w:p w14:paraId="02008607" w14:textId="45129A4C" w:rsidR="00130E8B" w:rsidRDefault="000405CC">
      <w:pPr>
        <w:pStyle w:val="a3"/>
        <w:rPr>
          <w:lang w:val="hu-HU"/>
        </w:rPr>
      </w:pPr>
      <w:r>
        <w:rPr>
          <w:rFonts w:eastAsia="Times New Roman"/>
          <w:lang w:val="hu-HU"/>
        </w:rPr>
        <w:t>Az UC-II vizsgálatban résztvevő betegek kb. 40%-ánál a korábbi TNF-elleni kezelés (infliximab) eredménytelen volt. Ezen betegeknél az adalimumab-kezelés kevésbé volt hatékony, mint a korábban TNF-elleni kezelésben nem részesült betegek esetében. Azoknál a betegeknél, akiknél a korábbi TNF-elleni kezelés eredménytelen volt, az 52. hétre a placebót kapók 3%-a, az adalimumab-kezelésben részesülők 10%-a ért el remissziót.</w:t>
      </w:r>
    </w:p>
    <w:p w14:paraId="69226374" w14:textId="77777777" w:rsidR="00130E8B" w:rsidRDefault="00130E8B">
      <w:pPr>
        <w:pStyle w:val="a3"/>
        <w:rPr>
          <w:sz w:val="24"/>
          <w:szCs w:val="24"/>
          <w:lang w:val="hu-HU"/>
        </w:rPr>
      </w:pPr>
    </w:p>
    <w:p w14:paraId="674E39B9" w14:textId="5F4012CC" w:rsidR="00130E8B" w:rsidRDefault="000405CC">
      <w:pPr>
        <w:pStyle w:val="a3"/>
        <w:rPr>
          <w:lang w:val="hu-HU"/>
        </w:rPr>
      </w:pPr>
      <w:r>
        <w:rPr>
          <w:rFonts w:eastAsia="Times New Roman"/>
          <w:lang w:val="hu-HU"/>
        </w:rPr>
        <w:t>Az UC</w:t>
      </w:r>
      <w:r w:rsidR="00A32721">
        <w:rPr>
          <w:rFonts w:eastAsia="Times New Roman"/>
          <w:lang w:val="hu-HU"/>
        </w:rPr>
        <w:t>-</w:t>
      </w:r>
      <w:r>
        <w:rPr>
          <w:rFonts w:eastAsia="Times New Roman"/>
          <w:lang w:val="hu-HU"/>
        </w:rPr>
        <w:t>I és UC-II vizsgálatban résztvevő betegeknek lehetőségük volt átlépni egy nyílt, hosszú távú, kiterjesztéses vizsgálatba (UC-III). Három év adalimumab-kezelést követően a betegek 75%-a (301/402) maradt klinikai remisszióban a részleges Mayo pontszám alapján.</w:t>
      </w:r>
    </w:p>
    <w:p w14:paraId="3F096438" w14:textId="77777777" w:rsidR="00130E8B" w:rsidRDefault="00130E8B">
      <w:pPr>
        <w:pStyle w:val="a3"/>
        <w:rPr>
          <w:lang w:val="hu-HU"/>
        </w:rPr>
      </w:pPr>
    </w:p>
    <w:p w14:paraId="66569567" w14:textId="77777777" w:rsidR="00130E8B" w:rsidRDefault="000405CC">
      <w:pPr>
        <w:pStyle w:val="a3"/>
        <w:rPr>
          <w:i/>
          <w:u w:val="single"/>
          <w:lang w:val="hu-HU"/>
        </w:rPr>
      </w:pPr>
      <w:r>
        <w:rPr>
          <w:rFonts w:eastAsia="Times New Roman"/>
          <w:i/>
          <w:iCs/>
          <w:u w:val="single" w:color="000000"/>
          <w:lang w:val="hu-HU"/>
        </w:rPr>
        <w:t>Hospitalizációs arányok</w:t>
      </w:r>
    </w:p>
    <w:p w14:paraId="22AE8130" w14:textId="77777777" w:rsidR="00130E8B" w:rsidRDefault="00130E8B">
      <w:pPr>
        <w:pStyle w:val="a3"/>
        <w:rPr>
          <w:sz w:val="18"/>
          <w:szCs w:val="18"/>
          <w:lang w:val="hu-HU"/>
        </w:rPr>
      </w:pPr>
    </w:p>
    <w:p w14:paraId="1B9ED014" w14:textId="45BAEDB8" w:rsidR="00130E8B" w:rsidRDefault="000405CC">
      <w:pPr>
        <w:pStyle w:val="a3"/>
        <w:rPr>
          <w:lang w:val="hu-HU"/>
        </w:rPr>
      </w:pPr>
      <w:r>
        <w:rPr>
          <w:rFonts w:eastAsia="Times New Roman"/>
          <w:lang w:val="hu-HU"/>
        </w:rPr>
        <w:t xml:space="preserve">Az UC-I és UC-II vizsgálatok 52 hete alatt alacsonyabb hospitalizációs arányokat (bármely okból bekövetkező hospitalizációt és az UC-vel összefüggő hospitalizációt) figyeltek meg az adalimumab-kezelésben részesülő karon, mint a placebo-karon. Az adalimumab-kezelési csoportban a bármely okból bekövetkező hospitalizáció értéke 0,18/betegév volt, </w:t>
      </w:r>
      <w:r>
        <w:rPr>
          <w:rFonts w:eastAsia="Times New Roman"/>
          <w:i/>
          <w:iCs/>
          <w:lang w:val="hu-HU"/>
        </w:rPr>
        <w:t xml:space="preserve">ezzel szemben </w:t>
      </w:r>
      <w:r>
        <w:rPr>
          <w:rFonts w:eastAsia="Times New Roman"/>
          <w:lang w:val="hu-HU"/>
        </w:rPr>
        <w:t xml:space="preserve">a placebocsoportban 0,26/betegév volt. Az UC-vel összefüggő hospitalizáció 0,12/betegév volt az adalimumab-kezelési csoportban, </w:t>
      </w:r>
      <w:r>
        <w:rPr>
          <w:rFonts w:eastAsia="Times New Roman"/>
          <w:i/>
          <w:iCs/>
          <w:lang w:val="hu-HU"/>
        </w:rPr>
        <w:t>ezzel szemben</w:t>
      </w:r>
      <w:r>
        <w:rPr>
          <w:rFonts w:eastAsia="Times New Roman"/>
          <w:lang w:val="hu-HU"/>
        </w:rPr>
        <w:t xml:space="preserve"> 0,22/betegév volt placebocsoportban.</w:t>
      </w:r>
    </w:p>
    <w:p w14:paraId="36A1473D" w14:textId="77777777" w:rsidR="00130E8B" w:rsidRDefault="00130E8B">
      <w:pPr>
        <w:pStyle w:val="a3"/>
        <w:rPr>
          <w:sz w:val="24"/>
          <w:szCs w:val="24"/>
          <w:lang w:val="hu-HU"/>
        </w:rPr>
      </w:pPr>
    </w:p>
    <w:p w14:paraId="6436BCEF" w14:textId="77777777" w:rsidR="00130E8B" w:rsidRDefault="000405CC">
      <w:pPr>
        <w:pStyle w:val="a3"/>
        <w:rPr>
          <w:rFonts w:eastAsia="Times New Roman"/>
          <w:lang w:val="hu-HU"/>
        </w:rPr>
      </w:pPr>
      <w:r>
        <w:rPr>
          <w:rFonts w:eastAsia="Times New Roman"/>
          <w:i/>
          <w:iCs/>
          <w:spacing w:val="-1"/>
          <w:u w:val="single" w:color="000000"/>
          <w:lang w:val="hu-HU"/>
        </w:rPr>
        <w:t>Életminőség</w:t>
      </w:r>
    </w:p>
    <w:p w14:paraId="22FB0B7F" w14:textId="77777777" w:rsidR="00130E8B" w:rsidRDefault="00130E8B">
      <w:pPr>
        <w:pStyle w:val="a3"/>
        <w:rPr>
          <w:sz w:val="18"/>
          <w:szCs w:val="18"/>
          <w:lang w:val="hu-HU"/>
        </w:rPr>
      </w:pPr>
    </w:p>
    <w:p w14:paraId="13F4C57B" w14:textId="0B118DF8" w:rsidR="00130E8B" w:rsidRDefault="000405CC">
      <w:pPr>
        <w:pStyle w:val="a3"/>
        <w:rPr>
          <w:lang w:val="hu-HU"/>
        </w:rPr>
      </w:pPr>
      <w:r>
        <w:rPr>
          <w:rFonts w:eastAsia="Times New Roman"/>
          <w:lang w:val="hu-HU"/>
        </w:rPr>
        <w:t>Az UC-II vizsgálatban az adalimumab-kezelés a Gyulladásos Bélbetegség Kérdőív (Inflammatory Bowel Disease Questionnaire; IBDQ) pontszám javulását eredményezte.</w:t>
      </w:r>
    </w:p>
    <w:p w14:paraId="3048B7F5" w14:textId="77777777" w:rsidR="00130E8B" w:rsidRDefault="00130E8B">
      <w:pPr>
        <w:spacing w:before="10" w:line="240" w:lineRule="exact"/>
        <w:rPr>
          <w:sz w:val="24"/>
          <w:szCs w:val="24"/>
          <w:lang w:val="hu-HU"/>
        </w:rPr>
      </w:pPr>
    </w:p>
    <w:p w14:paraId="70C5F549" w14:textId="77777777" w:rsidR="00130E8B" w:rsidRDefault="000405CC">
      <w:pPr>
        <w:pStyle w:val="a3"/>
        <w:rPr>
          <w:i/>
          <w:lang w:val="hu-HU"/>
        </w:rPr>
      </w:pPr>
      <w:r>
        <w:rPr>
          <w:rFonts w:eastAsia="Times New Roman"/>
          <w:i/>
          <w:iCs/>
          <w:lang w:val="hu-HU"/>
        </w:rPr>
        <w:t>Uveitis</w:t>
      </w:r>
    </w:p>
    <w:p w14:paraId="755FF611" w14:textId="77777777" w:rsidR="00130E8B" w:rsidRDefault="00130E8B">
      <w:pPr>
        <w:pStyle w:val="a3"/>
        <w:rPr>
          <w:sz w:val="24"/>
          <w:szCs w:val="24"/>
          <w:lang w:val="hu-HU"/>
        </w:rPr>
      </w:pPr>
    </w:p>
    <w:p w14:paraId="7D6FD073" w14:textId="77777777" w:rsidR="00130E8B" w:rsidRDefault="000405CC">
      <w:pPr>
        <w:pStyle w:val="a3"/>
        <w:rPr>
          <w:lang w:val="hu-HU"/>
        </w:rPr>
      </w:pPr>
      <w:r>
        <w:rPr>
          <w:rFonts w:eastAsia="Times New Roman"/>
          <w:lang w:val="hu-HU"/>
        </w:rPr>
        <w:t xml:space="preserve">Az adalimumab biztonságosságát és hatásosságát nem fertőzéses eredetű, intermedier, posterior és panuveitisben szenvedő felnőtt betegeknél (az izolált anterior uveitisben szenvedő betegek kizárásra </w:t>
      </w:r>
      <w:r>
        <w:rPr>
          <w:rFonts w:eastAsia="Times New Roman"/>
          <w:lang w:val="hu-HU"/>
        </w:rPr>
        <w:lastRenderedPageBreak/>
        <w:t>kerültek), két randomizált, kettős vak, placebokontrollos vizsgálatban (UV I és II) értékelték. A betegek vagy placebót vagy 80 mg adalimumabot kaptak kezdő dózisként, melyet a kezdő dózis beadásától számított egy hét múlva minden második héten adott 40 mg adalimumab követett. Egy nem biológiai immunszuppresszív szer állandó dózisban történő együttes alkalmazása megengedett volt.</w:t>
      </w:r>
    </w:p>
    <w:p w14:paraId="459CC9BB" w14:textId="77777777" w:rsidR="00130E8B" w:rsidRDefault="00130E8B">
      <w:pPr>
        <w:pStyle w:val="a3"/>
        <w:rPr>
          <w:sz w:val="24"/>
          <w:szCs w:val="24"/>
          <w:lang w:val="hu-HU"/>
        </w:rPr>
      </w:pPr>
    </w:p>
    <w:p w14:paraId="2AF3F1D0" w14:textId="3A3CA43D" w:rsidR="00130E8B" w:rsidRDefault="000405CC">
      <w:pPr>
        <w:pStyle w:val="a3"/>
        <w:rPr>
          <w:lang w:val="hu-HU"/>
        </w:rPr>
      </w:pPr>
      <w:r>
        <w:rPr>
          <w:rFonts w:eastAsia="Times New Roman"/>
          <w:lang w:val="hu-HU"/>
        </w:rPr>
        <w:t>Az UV</w:t>
      </w:r>
      <w:r w:rsidR="00B07467" w:rsidDel="002A3904">
        <w:rPr>
          <w:rFonts w:eastAsia="Times New Roman"/>
          <w:b/>
          <w:bCs/>
          <w:lang w:val="hu-HU"/>
        </w:rPr>
        <w:t xml:space="preserve"> </w:t>
      </w:r>
      <w:r>
        <w:rPr>
          <w:rFonts w:eastAsia="Times New Roman"/>
          <w:lang w:val="hu-HU"/>
        </w:rPr>
        <w:t>I vizsgálatban 217, kortikoszteroid-kezelés (napi 10-60 mg prednizon per os) ellenére aktív uveitisben szenvedő beteget értékeltek. Minden beteg két hétig napi 60 mg prednizont kapott a vizsgálat kezdetekor, melyet kötelező fokozatos dóziscsökkentés követett, ami a 15. hétig a kortikoszteroid teljes elhagyásával fejeződött be.</w:t>
      </w:r>
    </w:p>
    <w:p w14:paraId="6B907B19" w14:textId="77777777" w:rsidR="00130E8B" w:rsidRDefault="00130E8B">
      <w:pPr>
        <w:pStyle w:val="a3"/>
        <w:rPr>
          <w:sz w:val="24"/>
          <w:szCs w:val="24"/>
          <w:lang w:val="hu-HU"/>
        </w:rPr>
      </w:pPr>
    </w:p>
    <w:p w14:paraId="20CF5350" w14:textId="11A26DD6" w:rsidR="00130E8B" w:rsidRDefault="000405CC">
      <w:pPr>
        <w:pStyle w:val="a3"/>
        <w:rPr>
          <w:lang w:val="hu-HU"/>
        </w:rPr>
      </w:pPr>
      <w:r>
        <w:rPr>
          <w:rFonts w:eastAsia="Times New Roman"/>
          <w:lang w:val="hu-HU"/>
        </w:rPr>
        <w:t>Az UV II</w:t>
      </w:r>
      <w:r w:rsidR="00B07467" w:rsidDel="002A3904">
        <w:rPr>
          <w:rFonts w:eastAsia="Times New Roman"/>
          <w:b/>
          <w:bCs/>
          <w:lang w:val="hu-HU"/>
        </w:rPr>
        <w:t xml:space="preserve"> </w:t>
      </w:r>
      <w:r>
        <w:rPr>
          <w:rFonts w:eastAsia="Times New Roman"/>
          <w:lang w:val="hu-HU"/>
        </w:rPr>
        <w:t>vizsgálatban 226, inaktív uveitisben szenvedő olyan beteget értékeltek, akik hosszú távú kortikoszteroid-kezelést (napi 10-35 mg prednizon per os) igényeltek a vizsgálat megkezdésekor betegségük egyensúlyban tartásához. A betegek később kötelező, fokozatos dózicsökkentésen estek át, ami a 19. hétig a kortikoszteroid teljes elhagyásával fejeződött be.</w:t>
      </w:r>
    </w:p>
    <w:p w14:paraId="4CBBE6D3" w14:textId="77777777" w:rsidR="00130E8B" w:rsidRDefault="00130E8B">
      <w:pPr>
        <w:pStyle w:val="a3"/>
        <w:rPr>
          <w:sz w:val="24"/>
          <w:szCs w:val="24"/>
          <w:lang w:val="hu-HU"/>
        </w:rPr>
      </w:pPr>
    </w:p>
    <w:p w14:paraId="5F93006C" w14:textId="77777777" w:rsidR="00130E8B" w:rsidRDefault="000405CC">
      <w:pPr>
        <w:pStyle w:val="a3"/>
        <w:rPr>
          <w:lang w:val="hu-HU"/>
        </w:rPr>
      </w:pPr>
      <w:r>
        <w:rPr>
          <w:rFonts w:eastAsia="Times New Roman"/>
          <w:lang w:val="hu-HU"/>
        </w:rPr>
        <w:t>Az elsődleges hatásossági végpont mindkét vizsgálatban a „kezelés sikertelenségéig eltelt idő” volt. A sikertelen kezelést a többkomponensű kimenetel határozza meg a gyulladásos chorioretinális és/vagy gyulladásos retina-vaszkuláris léziók, az elülső kamrai (AC) sejtosztály, az üvegtesti homályos (VH) osztály és a legjobb korrigált látásélesség (BCVA) alapján.</w:t>
      </w:r>
    </w:p>
    <w:p w14:paraId="25840BEC" w14:textId="77777777" w:rsidR="00130E8B" w:rsidRDefault="00130E8B">
      <w:pPr>
        <w:pStyle w:val="a3"/>
        <w:rPr>
          <w:sz w:val="24"/>
          <w:szCs w:val="24"/>
          <w:lang w:val="hu-HU"/>
        </w:rPr>
      </w:pPr>
    </w:p>
    <w:p w14:paraId="55CA2AA9" w14:textId="272A15FF" w:rsidR="00130E8B" w:rsidRDefault="000405CC">
      <w:pPr>
        <w:pStyle w:val="a3"/>
        <w:rPr>
          <w:lang w:val="hu-HU"/>
        </w:rPr>
      </w:pPr>
      <w:r>
        <w:rPr>
          <w:rFonts w:eastAsia="Times New Roman"/>
          <w:lang w:val="hu-HU"/>
        </w:rPr>
        <w:t>Azok a betegek, akik befejezték az UV</w:t>
      </w:r>
      <w:r w:rsidR="00B07467" w:rsidDel="002A3904">
        <w:rPr>
          <w:rFonts w:eastAsia="Times New Roman"/>
          <w:b/>
          <w:bCs/>
          <w:lang w:val="hu-HU"/>
        </w:rPr>
        <w:t xml:space="preserve"> </w:t>
      </w:r>
      <w:r>
        <w:rPr>
          <w:rFonts w:eastAsia="Times New Roman"/>
          <w:lang w:val="hu-HU"/>
        </w:rPr>
        <w:t>I és UV</w:t>
      </w:r>
      <w:r w:rsidR="00B07467" w:rsidRPr="009167C6">
        <w:rPr>
          <w:lang w:val="hu-HU"/>
        </w:rPr>
        <w:t> </w:t>
      </w:r>
      <w:r>
        <w:rPr>
          <w:rFonts w:eastAsia="Times New Roman"/>
          <w:lang w:val="hu-HU"/>
        </w:rPr>
        <w:t>II vizsgálatot, alkalmasak voltak egy kontrollálatlan hosszú távú kiterjesztett vizsgálatba való bevonásra, amelynek eredetileg tervezett 78 hetes időtartama volt. A betegek tovább kaphatták a vizsgálati készítményt a 78. hét után, amíg nem kaptak adalimumabot.</w:t>
      </w:r>
    </w:p>
    <w:p w14:paraId="47D36BA3" w14:textId="77777777" w:rsidR="00130E8B" w:rsidRDefault="00130E8B">
      <w:pPr>
        <w:pStyle w:val="a3"/>
        <w:rPr>
          <w:sz w:val="24"/>
          <w:szCs w:val="24"/>
          <w:lang w:val="hu-HU"/>
        </w:rPr>
      </w:pPr>
    </w:p>
    <w:p w14:paraId="14D528AE" w14:textId="77777777" w:rsidR="00130E8B" w:rsidRDefault="000405CC">
      <w:pPr>
        <w:pStyle w:val="a3"/>
        <w:rPr>
          <w:rFonts w:eastAsia="Times New Roman"/>
          <w:lang w:val="hu-HU"/>
        </w:rPr>
      </w:pPr>
      <w:r>
        <w:rPr>
          <w:rFonts w:eastAsia="Times New Roman"/>
          <w:i/>
          <w:iCs/>
          <w:spacing w:val="-1"/>
          <w:u w:val="single" w:color="000000"/>
          <w:lang w:val="hu-HU"/>
        </w:rPr>
        <w:t>Klinikai válasz</w:t>
      </w:r>
    </w:p>
    <w:p w14:paraId="5086543B" w14:textId="77777777" w:rsidR="00130E8B" w:rsidRDefault="00130E8B">
      <w:pPr>
        <w:pStyle w:val="a3"/>
        <w:rPr>
          <w:sz w:val="18"/>
          <w:szCs w:val="18"/>
          <w:lang w:val="hu-HU"/>
        </w:rPr>
      </w:pPr>
    </w:p>
    <w:p w14:paraId="4C5A3E0A" w14:textId="7FF8D340" w:rsidR="00130E8B" w:rsidRDefault="000405CC">
      <w:pPr>
        <w:pStyle w:val="a3"/>
        <w:rPr>
          <w:lang w:val="hu-HU"/>
        </w:rPr>
      </w:pPr>
      <w:r>
        <w:rPr>
          <w:rFonts w:eastAsia="Times New Roman"/>
          <w:lang w:val="hu-HU"/>
        </w:rPr>
        <w:t>Mindkét vizsgálat eredményei a kezelés eredménytelensége kockázatának a statisztikailag szignifikáns csökkenését igazolták az adalimumabbal kezelt betegeknél, a placebóval kezelt betegekhez képest (lásd 2</w:t>
      </w:r>
      <w:r w:rsidR="00E72311">
        <w:rPr>
          <w:rFonts w:eastAsia="Times New Roman"/>
          <w:lang w:val="hu-HU"/>
        </w:rPr>
        <w:t>4</w:t>
      </w:r>
      <w:r>
        <w:rPr>
          <w:rFonts w:eastAsia="Times New Roman"/>
          <w:lang w:val="hu-HU"/>
        </w:rPr>
        <w:t>. táblázat). A kezelés eredménytelenségének arányát tekintve mindkét vizsgálat kimutatta a  adalimumab korai és fenntartott hatását a placebóval szemben (lásd 2. ábra).</w:t>
      </w:r>
    </w:p>
    <w:p w14:paraId="6565740A" w14:textId="77777777" w:rsidR="00130E8B" w:rsidRDefault="00130E8B">
      <w:pPr>
        <w:rPr>
          <w:rFonts w:ascii="Times New Roman" w:hAnsi="Times New Roman" w:cs="Times New Roman"/>
          <w:b/>
          <w:lang w:val="hu-HU"/>
        </w:rPr>
      </w:pPr>
    </w:p>
    <w:p w14:paraId="00219DB2" w14:textId="07CD35C4" w:rsidR="00130E8B" w:rsidRDefault="000405CC">
      <w:pPr>
        <w:pStyle w:val="a3"/>
        <w:jc w:val="center"/>
        <w:rPr>
          <w:b/>
          <w:lang w:val="hu-HU"/>
        </w:rPr>
      </w:pPr>
      <w:r>
        <w:rPr>
          <w:rFonts w:eastAsia="Times New Roman"/>
          <w:b/>
          <w:bCs/>
          <w:lang w:val="hu-HU"/>
        </w:rPr>
        <w:t>2</w:t>
      </w:r>
      <w:r w:rsidR="00E72311">
        <w:rPr>
          <w:rFonts w:eastAsia="Times New Roman"/>
          <w:b/>
          <w:bCs/>
          <w:lang w:val="hu-HU"/>
        </w:rPr>
        <w:t>4</w:t>
      </w:r>
      <w:r>
        <w:rPr>
          <w:rFonts w:eastAsia="Times New Roman"/>
          <w:b/>
          <w:bCs/>
          <w:lang w:val="hu-HU"/>
        </w:rPr>
        <w:t>. táblázat</w:t>
      </w:r>
    </w:p>
    <w:p w14:paraId="24AB6505" w14:textId="77777777" w:rsidR="00130E8B" w:rsidRDefault="000405CC">
      <w:pPr>
        <w:pStyle w:val="a3"/>
        <w:jc w:val="center"/>
        <w:rPr>
          <w:b/>
          <w:lang w:val="hu-HU"/>
        </w:rPr>
      </w:pPr>
      <w:r>
        <w:rPr>
          <w:rFonts w:eastAsia="Times New Roman"/>
          <w:b/>
          <w:bCs/>
          <w:lang w:val="hu-HU"/>
        </w:rPr>
        <w:t>A kezelés eredménytelenségéig eltelt idő az UV I és UV II vizsgálatban</w:t>
      </w:r>
    </w:p>
    <w:tbl>
      <w:tblPr>
        <w:tblStyle w:val="ac"/>
        <w:tblW w:w="972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1"/>
        <w:gridCol w:w="1181"/>
        <w:gridCol w:w="2006"/>
        <w:gridCol w:w="2093"/>
        <w:gridCol w:w="946"/>
        <w:gridCol w:w="986"/>
        <w:gridCol w:w="1006"/>
      </w:tblGrid>
      <w:tr w:rsidR="00130E8B" w:rsidRPr="009167C6" w14:paraId="1EC2D073" w14:textId="77777777">
        <w:trPr>
          <w:trHeight w:val="378"/>
          <w:jc w:val="center"/>
        </w:trPr>
        <w:tc>
          <w:tcPr>
            <w:tcW w:w="1624" w:type="dxa"/>
            <w:tcBorders>
              <w:top w:val="single" w:sz="4" w:space="0" w:color="auto"/>
              <w:bottom w:val="single" w:sz="4" w:space="0" w:color="auto"/>
            </w:tcBorders>
            <w:vAlign w:val="center"/>
          </w:tcPr>
          <w:p w14:paraId="21C4FC8B" w14:textId="77777777" w:rsidR="00130E8B" w:rsidRPr="007C168B" w:rsidRDefault="000405CC">
            <w:pPr>
              <w:pStyle w:val="a3"/>
              <w:jc w:val="center"/>
              <w:rPr>
                <w:b/>
                <w:lang w:val="hu-HU" w:eastAsia="ko-KR"/>
              </w:rPr>
            </w:pPr>
            <w:r w:rsidRPr="007C168B">
              <w:rPr>
                <w:rFonts w:eastAsia="Times New Roman"/>
                <w:b/>
                <w:bCs/>
                <w:lang w:val="hu-HU" w:eastAsia="ko-KR"/>
              </w:rPr>
              <w:t>Elemzés kezelés</w:t>
            </w:r>
          </w:p>
        </w:tc>
        <w:tc>
          <w:tcPr>
            <w:tcW w:w="1530" w:type="dxa"/>
            <w:tcBorders>
              <w:top w:val="single" w:sz="4" w:space="0" w:color="auto"/>
              <w:bottom w:val="single" w:sz="4" w:space="0" w:color="auto"/>
            </w:tcBorders>
            <w:vAlign w:val="center"/>
          </w:tcPr>
          <w:p w14:paraId="1D191553" w14:textId="2ECE046E" w:rsidR="00130E8B" w:rsidRPr="009167C6" w:rsidRDefault="00AB0C70">
            <w:pPr>
              <w:pStyle w:val="a3"/>
              <w:jc w:val="center"/>
              <w:rPr>
                <w:b/>
                <w:lang w:val="hu-HU"/>
              </w:rPr>
            </w:pPr>
            <w:r>
              <w:rPr>
                <w:rFonts w:eastAsia="Times New Roman"/>
                <w:b/>
                <w:bCs/>
                <w:lang w:val="hu-HU"/>
              </w:rPr>
              <w:t>n</w:t>
            </w:r>
          </w:p>
        </w:tc>
        <w:tc>
          <w:tcPr>
            <w:tcW w:w="2052" w:type="dxa"/>
            <w:tcBorders>
              <w:top w:val="single" w:sz="4" w:space="0" w:color="auto"/>
              <w:bottom w:val="single" w:sz="4" w:space="0" w:color="auto"/>
            </w:tcBorders>
            <w:vAlign w:val="center"/>
          </w:tcPr>
          <w:p w14:paraId="6653C6CD" w14:textId="308CAAB5" w:rsidR="00130E8B" w:rsidRPr="009167C6" w:rsidRDefault="000405CC" w:rsidP="00AB0C70">
            <w:pPr>
              <w:pStyle w:val="a3"/>
              <w:jc w:val="center"/>
              <w:rPr>
                <w:b/>
                <w:lang w:val="hu-HU"/>
              </w:rPr>
            </w:pPr>
            <w:r w:rsidRPr="009167C6">
              <w:rPr>
                <w:rFonts w:eastAsia="Times New Roman"/>
                <w:b/>
                <w:bCs/>
                <w:spacing w:val="-1"/>
                <w:lang w:val="hu-HU"/>
              </w:rPr>
              <w:t xml:space="preserve">Eredménytelenség </w:t>
            </w:r>
            <w:r w:rsidR="00AB0C70">
              <w:rPr>
                <w:rFonts w:eastAsia="Times New Roman"/>
                <w:b/>
                <w:bCs/>
                <w:spacing w:val="-1"/>
                <w:lang w:val="hu-HU"/>
              </w:rPr>
              <w:t>n</w:t>
            </w:r>
            <w:r w:rsidR="00AB0C70" w:rsidRPr="009167C6">
              <w:rPr>
                <w:rFonts w:eastAsia="Times New Roman"/>
                <w:b/>
                <w:bCs/>
                <w:spacing w:val="-1"/>
                <w:lang w:val="hu-HU"/>
              </w:rPr>
              <w:t xml:space="preserve"> </w:t>
            </w:r>
            <w:r w:rsidRPr="009167C6">
              <w:rPr>
                <w:rFonts w:eastAsia="Times New Roman"/>
                <w:b/>
                <w:bCs/>
                <w:spacing w:val="-1"/>
                <w:lang w:val="hu-HU"/>
              </w:rPr>
              <w:t>(%)</w:t>
            </w:r>
          </w:p>
        </w:tc>
        <w:tc>
          <w:tcPr>
            <w:tcW w:w="1130" w:type="dxa"/>
            <w:tcBorders>
              <w:top w:val="single" w:sz="4" w:space="0" w:color="auto"/>
              <w:bottom w:val="single" w:sz="4" w:space="0" w:color="auto"/>
            </w:tcBorders>
          </w:tcPr>
          <w:p w14:paraId="36FE8269" w14:textId="77777777" w:rsidR="00130E8B" w:rsidRPr="009167C6" w:rsidRDefault="000405CC">
            <w:pPr>
              <w:pStyle w:val="a3"/>
              <w:jc w:val="center"/>
              <w:rPr>
                <w:b/>
                <w:bCs/>
                <w:spacing w:val="-1"/>
                <w:lang w:val="hu-HU" w:eastAsia="ko-KR"/>
              </w:rPr>
            </w:pPr>
            <w:r w:rsidRPr="009167C6">
              <w:rPr>
                <w:rFonts w:eastAsia="Times New Roman"/>
                <w:b/>
                <w:bCs/>
                <w:spacing w:val="-1"/>
                <w:lang w:val="hu-HU" w:eastAsia="ko-KR"/>
              </w:rPr>
              <w:t>Eredménytelenségig eltelt átlagos idő (hónap)</w:t>
            </w:r>
          </w:p>
        </w:tc>
        <w:tc>
          <w:tcPr>
            <w:tcW w:w="1130" w:type="dxa"/>
            <w:tcBorders>
              <w:top w:val="single" w:sz="4" w:space="0" w:color="auto"/>
              <w:bottom w:val="single" w:sz="4" w:space="0" w:color="auto"/>
            </w:tcBorders>
            <w:vAlign w:val="center"/>
          </w:tcPr>
          <w:p w14:paraId="5CDDCB1D" w14:textId="77777777" w:rsidR="00130E8B" w:rsidRPr="007C168B" w:rsidRDefault="000405CC">
            <w:pPr>
              <w:pStyle w:val="a3"/>
              <w:jc w:val="center"/>
              <w:rPr>
                <w:b/>
                <w:bCs/>
                <w:spacing w:val="-1"/>
                <w:lang w:val="hu-HU" w:eastAsia="ko-KR"/>
              </w:rPr>
            </w:pPr>
            <w:r w:rsidRPr="009167C6">
              <w:rPr>
                <w:rFonts w:eastAsia="Times New Roman"/>
                <w:b/>
                <w:bCs/>
                <w:spacing w:val="-1"/>
                <w:lang w:val="hu-HU" w:eastAsia="ko-KR"/>
              </w:rPr>
              <w:t>HR</w:t>
            </w:r>
            <w:r w:rsidRPr="009167C6">
              <w:rPr>
                <w:rFonts w:eastAsia="Times New Roman"/>
                <w:b/>
                <w:bCs/>
                <w:spacing w:val="-1"/>
                <w:vertAlign w:val="superscript"/>
                <w:lang w:val="hu-HU" w:eastAsia="ko-KR"/>
              </w:rPr>
              <w:t>a</w:t>
            </w:r>
          </w:p>
        </w:tc>
        <w:tc>
          <w:tcPr>
            <w:tcW w:w="1130" w:type="dxa"/>
            <w:tcBorders>
              <w:top w:val="single" w:sz="4" w:space="0" w:color="auto"/>
              <w:bottom w:val="single" w:sz="4" w:space="0" w:color="auto"/>
            </w:tcBorders>
            <w:vAlign w:val="center"/>
          </w:tcPr>
          <w:p w14:paraId="43C5F0A0" w14:textId="77777777" w:rsidR="00130E8B" w:rsidRPr="007C168B" w:rsidRDefault="000405CC">
            <w:pPr>
              <w:pStyle w:val="a3"/>
              <w:jc w:val="center"/>
              <w:rPr>
                <w:b/>
                <w:bCs/>
                <w:spacing w:val="-1"/>
                <w:lang w:val="hu-HU" w:eastAsia="ko-KR"/>
              </w:rPr>
            </w:pPr>
            <w:r w:rsidRPr="009167C6">
              <w:rPr>
                <w:rFonts w:eastAsia="Times New Roman"/>
                <w:b/>
                <w:bCs/>
                <w:spacing w:val="-1"/>
                <w:lang w:val="hu-HU" w:eastAsia="ko-KR"/>
              </w:rPr>
              <w:t>CI 95%-os HR</w:t>
            </w:r>
            <w:r w:rsidRPr="009167C6">
              <w:rPr>
                <w:rFonts w:eastAsia="Times New Roman"/>
                <w:b/>
                <w:bCs/>
                <w:spacing w:val="-1"/>
                <w:vertAlign w:val="superscript"/>
                <w:lang w:val="hu-HU" w:eastAsia="ko-KR"/>
              </w:rPr>
              <w:t>a</w:t>
            </w:r>
          </w:p>
        </w:tc>
        <w:tc>
          <w:tcPr>
            <w:tcW w:w="1130" w:type="dxa"/>
            <w:tcBorders>
              <w:top w:val="single" w:sz="4" w:space="0" w:color="auto"/>
              <w:bottom w:val="single" w:sz="4" w:space="0" w:color="auto"/>
            </w:tcBorders>
            <w:vAlign w:val="center"/>
          </w:tcPr>
          <w:p w14:paraId="1BAD02D8" w14:textId="77777777" w:rsidR="00130E8B" w:rsidRPr="007C168B" w:rsidRDefault="000405CC">
            <w:pPr>
              <w:pStyle w:val="a3"/>
              <w:jc w:val="center"/>
              <w:rPr>
                <w:b/>
                <w:lang w:val="hu-HU"/>
              </w:rPr>
            </w:pPr>
            <w:r w:rsidRPr="007C168B">
              <w:rPr>
                <w:rFonts w:eastAsia="Times New Roman"/>
                <w:b/>
                <w:bCs/>
                <w:i/>
                <w:iCs/>
                <w:spacing w:val="-1"/>
                <w:lang w:val="hu-HU" w:eastAsia="ko-KR"/>
              </w:rPr>
              <w:t>p</w:t>
            </w:r>
            <w:r w:rsidRPr="009167C6">
              <w:rPr>
                <w:rFonts w:eastAsia="Times New Roman"/>
                <w:b/>
                <w:bCs/>
                <w:spacing w:val="-1"/>
                <w:lang w:val="hu-HU" w:eastAsia="ko-KR"/>
              </w:rPr>
              <w:t xml:space="preserve"> érték</w:t>
            </w:r>
            <w:r w:rsidRPr="009167C6">
              <w:rPr>
                <w:rFonts w:eastAsia="Times New Roman"/>
                <w:b/>
                <w:bCs/>
                <w:spacing w:val="-1"/>
                <w:vertAlign w:val="superscript"/>
                <w:lang w:val="hu-HU" w:eastAsia="ko-KR"/>
              </w:rPr>
              <w:t>b</w:t>
            </w:r>
          </w:p>
          <w:p w14:paraId="5752CE57" w14:textId="77777777" w:rsidR="00130E8B" w:rsidRPr="009167C6" w:rsidRDefault="00130E8B">
            <w:pPr>
              <w:pStyle w:val="a3"/>
              <w:jc w:val="center"/>
              <w:rPr>
                <w:rFonts w:eastAsia="Times New Roman"/>
                <w:b/>
                <w:bCs/>
                <w:spacing w:val="-1"/>
                <w:lang w:val="hu-HU"/>
              </w:rPr>
            </w:pPr>
          </w:p>
        </w:tc>
      </w:tr>
      <w:tr w:rsidR="00130E8B" w:rsidRPr="009167C6" w14:paraId="36561914" w14:textId="77777777">
        <w:trPr>
          <w:trHeight w:val="378"/>
          <w:jc w:val="center"/>
        </w:trPr>
        <w:tc>
          <w:tcPr>
            <w:tcW w:w="9729" w:type="dxa"/>
            <w:gridSpan w:val="7"/>
            <w:tcBorders>
              <w:top w:val="single" w:sz="4" w:space="0" w:color="auto"/>
              <w:bottom w:val="single" w:sz="4" w:space="0" w:color="auto"/>
            </w:tcBorders>
            <w:vAlign w:val="center"/>
          </w:tcPr>
          <w:p w14:paraId="32C39462" w14:textId="77777777" w:rsidR="00130E8B" w:rsidRPr="009167C6" w:rsidRDefault="000405CC">
            <w:pPr>
              <w:pStyle w:val="a3"/>
              <w:rPr>
                <w:b/>
                <w:lang w:val="hu-HU"/>
              </w:rPr>
            </w:pPr>
            <w:r w:rsidRPr="009167C6">
              <w:rPr>
                <w:rFonts w:eastAsia="Times New Roman"/>
                <w:b/>
                <w:bCs/>
                <w:lang w:val="hu-HU"/>
              </w:rPr>
              <w:t>A kezelés eredménytelenségéig eltelt idő a 6. héten vagy azt követően az UV I vizsgálatban</w:t>
            </w:r>
          </w:p>
          <w:p w14:paraId="14204DD1" w14:textId="77777777" w:rsidR="00130E8B" w:rsidRPr="009167C6" w:rsidRDefault="000405CC">
            <w:pPr>
              <w:pStyle w:val="a3"/>
              <w:jc w:val="both"/>
              <w:rPr>
                <w:lang w:val="hu-HU"/>
              </w:rPr>
            </w:pPr>
            <w:r w:rsidRPr="009167C6">
              <w:rPr>
                <w:rFonts w:eastAsia="Times New Roman"/>
                <w:b/>
                <w:bCs/>
                <w:lang w:val="hu-HU"/>
              </w:rPr>
              <w:t>Elsődleges elemzés (ITT)</w:t>
            </w:r>
          </w:p>
        </w:tc>
      </w:tr>
      <w:tr w:rsidR="00130E8B" w:rsidRPr="009167C6" w14:paraId="51520F02" w14:textId="77777777">
        <w:trPr>
          <w:trHeight w:val="393"/>
          <w:jc w:val="center"/>
        </w:trPr>
        <w:tc>
          <w:tcPr>
            <w:tcW w:w="1624" w:type="dxa"/>
            <w:tcBorders>
              <w:top w:val="single" w:sz="4" w:space="0" w:color="auto"/>
            </w:tcBorders>
            <w:vAlign w:val="center"/>
          </w:tcPr>
          <w:p w14:paraId="200CD90D" w14:textId="77777777" w:rsidR="00130E8B" w:rsidRPr="009167C6" w:rsidRDefault="000405CC">
            <w:pPr>
              <w:pStyle w:val="a3"/>
              <w:jc w:val="center"/>
              <w:rPr>
                <w:lang w:val="hu-HU"/>
              </w:rPr>
            </w:pPr>
            <w:r w:rsidRPr="009167C6">
              <w:rPr>
                <w:rFonts w:eastAsia="Times New Roman"/>
                <w:lang w:val="hu-HU"/>
              </w:rPr>
              <w:t>placebo</w:t>
            </w:r>
          </w:p>
        </w:tc>
        <w:tc>
          <w:tcPr>
            <w:tcW w:w="1530" w:type="dxa"/>
            <w:tcBorders>
              <w:top w:val="single" w:sz="4" w:space="0" w:color="auto"/>
            </w:tcBorders>
          </w:tcPr>
          <w:p w14:paraId="27EF97D3" w14:textId="77777777" w:rsidR="00130E8B" w:rsidRPr="009167C6" w:rsidRDefault="000405CC">
            <w:pPr>
              <w:pStyle w:val="a3"/>
              <w:jc w:val="center"/>
              <w:rPr>
                <w:lang w:val="hu-HU"/>
              </w:rPr>
            </w:pPr>
            <w:r w:rsidRPr="009167C6">
              <w:rPr>
                <w:rFonts w:eastAsia="Times New Roman"/>
                <w:lang w:val="hu-HU"/>
              </w:rPr>
              <w:t>107</w:t>
            </w:r>
          </w:p>
        </w:tc>
        <w:tc>
          <w:tcPr>
            <w:tcW w:w="2052" w:type="dxa"/>
            <w:tcBorders>
              <w:top w:val="single" w:sz="4" w:space="0" w:color="auto"/>
            </w:tcBorders>
          </w:tcPr>
          <w:p w14:paraId="2DA033CC" w14:textId="77777777" w:rsidR="00130E8B" w:rsidRPr="009167C6" w:rsidRDefault="000405CC">
            <w:pPr>
              <w:pStyle w:val="a3"/>
              <w:jc w:val="center"/>
              <w:rPr>
                <w:lang w:val="hu-HU"/>
              </w:rPr>
            </w:pPr>
            <w:r w:rsidRPr="009167C6">
              <w:rPr>
                <w:rFonts w:eastAsia="Times New Roman"/>
                <w:lang w:val="hu-HU"/>
              </w:rPr>
              <w:t>84 (78,5)</w:t>
            </w:r>
          </w:p>
        </w:tc>
        <w:tc>
          <w:tcPr>
            <w:tcW w:w="1130" w:type="dxa"/>
            <w:tcBorders>
              <w:top w:val="single" w:sz="4" w:space="0" w:color="auto"/>
            </w:tcBorders>
          </w:tcPr>
          <w:p w14:paraId="75EFF126" w14:textId="77777777" w:rsidR="00130E8B" w:rsidRPr="009167C6" w:rsidRDefault="000405CC">
            <w:pPr>
              <w:pStyle w:val="a3"/>
              <w:jc w:val="center"/>
              <w:rPr>
                <w:lang w:val="hu-HU"/>
              </w:rPr>
            </w:pPr>
            <w:r w:rsidRPr="009167C6">
              <w:rPr>
                <w:rFonts w:eastAsia="Times New Roman"/>
                <w:lang w:val="hu-HU"/>
              </w:rPr>
              <w:t>3,0</w:t>
            </w:r>
          </w:p>
        </w:tc>
        <w:tc>
          <w:tcPr>
            <w:tcW w:w="1130" w:type="dxa"/>
            <w:tcBorders>
              <w:top w:val="single" w:sz="4" w:space="0" w:color="auto"/>
            </w:tcBorders>
          </w:tcPr>
          <w:p w14:paraId="1103290E" w14:textId="77777777" w:rsidR="00130E8B" w:rsidRPr="009167C6" w:rsidRDefault="000405CC">
            <w:pPr>
              <w:pStyle w:val="a3"/>
              <w:jc w:val="center"/>
              <w:rPr>
                <w:lang w:val="hu-HU"/>
              </w:rPr>
            </w:pPr>
            <w:r w:rsidRPr="009167C6">
              <w:rPr>
                <w:lang w:val="hu-HU"/>
              </w:rPr>
              <w:t xml:space="preserve">-- </w:t>
            </w:r>
          </w:p>
        </w:tc>
        <w:tc>
          <w:tcPr>
            <w:tcW w:w="1130" w:type="dxa"/>
            <w:tcBorders>
              <w:top w:val="single" w:sz="4" w:space="0" w:color="auto"/>
            </w:tcBorders>
          </w:tcPr>
          <w:p w14:paraId="414AC771" w14:textId="77777777" w:rsidR="00130E8B" w:rsidRPr="009167C6" w:rsidRDefault="000405CC">
            <w:pPr>
              <w:pStyle w:val="a3"/>
              <w:jc w:val="center"/>
              <w:rPr>
                <w:lang w:val="hu-HU"/>
              </w:rPr>
            </w:pPr>
            <w:r w:rsidRPr="009167C6">
              <w:rPr>
                <w:lang w:val="hu-HU"/>
              </w:rPr>
              <w:t xml:space="preserve">-- </w:t>
            </w:r>
          </w:p>
        </w:tc>
        <w:tc>
          <w:tcPr>
            <w:tcW w:w="1130" w:type="dxa"/>
            <w:tcBorders>
              <w:top w:val="single" w:sz="4" w:space="0" w:color="auto"/>
            </w:tcBorders>
          </w:tcPr>
          <w:p w14:paraId="6CD20D38" w14:textId="77777777" w:rsidR="00130E8B" w:rsidRPr="009167C6" w:rsidRDefault="000405CC">
            <w:pPr>
              <w:pStyle w:val="a3"/>
              <w:jc w:val="center"/>
              <w:rPr>
                <w:lang w:val="hu-HU"/>
              </w:rPr>
            </w:pPr>
            <w:r w:rsidRPr="009167C6">
              <w:rPr>
                <w:lang w:val="hu-HU"/>
              </w:rPr>
              <w:t xml:space="preserve">-- </w:t>
            </w:r>
          </w:p>
        </w:tc>
      </w:tr>
      <w:tr w:rsidR="00130E8B" w:rsidRPr="009167C6" w14:paraId="708BA205" w14:textId="77777777">
        <w:trPr>
          <w:trHeight w:val="378"/>
          <w:jc w:val="center"/>
        </w:trPr>
        <w:tc>
          <w:tcPr>
            <w:tcW w:w="1624" w:type="dxa"/>
            <w:tcBorders>
              <w:bottom w:val="single" w:sz="4" w:space="0" w:color="auto"/>
            </w:tcBorders>
            <w:vAlign w:val="center"/>
          </w:tcPr>
          <w:p w14:paraId="5416AEB2" w14:textId="77777777" w:rsidR="00130E8B" w:rsidRPr="009167C6" w:rsidRDefault="000405CC">
            <w:pPr>
              <w:pStyle w:val="a3"/>
              <w:jc w:val="center"/>
              <w:rPr>
                <w:lang w:val="hu-HU"/>
              </w:rPr>
            </w:pPr>
            <w:r w:rsidRPr="009167C6">
              <w:rPr>
                <w:rFonts w:eastAsia="Times New Roman"/>
                <w:lang w:val="hu-HU"/>
              </w:rPr>
              <w:t>adalimumab</w:t>
            </w:r>
          </w:p>
        </w:tc>
        <w:tc>
          <w:tcPr>
            <w:tcW w:w="1530" w:type="dxa"/>
            <w:tcBorders>
              <w:bottom w:val="single" w:sz="4" w:space="0" w:color="auto"/>
            </w:tcBorders>
          </w:tcPr>
          <w:p w14:paraId="0538BCE2" w14:textId="77777777" w:rsidR="00130E8B" w:rsidRPr="009167C6" w:rsidRDefault="000405CC">
            <w:pPr>
              <w:pStyle w:val="a3"/>
              <w:jc w:val="center"/>
              <w:rPr>
                <w:lang w:val="hu-HU"/>
              </w:rPr>
            </w:pPr>
            <w:r w:rsidRPr="009167C6">
              <w:rPr>
                <w:rFonts w:eastAsia="Times New Roman"/>
                <w:lang w:val="hu-HU"/>
              </w:rPr>
              <w:t>110</w:t>
            </w:r>
          </w:p>
        </w:tc>
        <w:tc>
          <w:tcPr>
            <w:tcW w:w="2052" w:type="dxa"/>
            <w:tcBorders>
              <w:bottom w:val="single" w:sz="4" w:space="0" w:color="auto"/>
            </w:tcBorders>
          </w:tcPr>
          <w:p w14:paraId="6CB2D1E3" w14:textId="77777777" w:rsidR="00130E8B" w:rsidRPr="009167C6" w:rsidRDefault="000405CC">
            <w:pPr>
              <w:pStyle w:val="a3"/>
              <w:jc w:val="center"/>
              <w:rPr>
                <w:lang w:val="hu-HU"/>
              </w:rPr>
            </w:pPr>
            <w:r w:rsidRPr="009167C6">
              <w:rPr>
                <w:rFonts w:eastAsia="Times New Roman"/>
                <w:lang w:val="hu-HU"/>
              </w:rPr>
              <w:t>60 (54,5)</w:t>
            </w:r>
          </w:p>
        </w:tc>
        <w:tc>
          <w:tcPr>
            <w:tcW w:w="1130" w:type="dxa"/>
            <w:tcBorders>
              <w:bottom w:val="single" w:sz="4" w:space="0" w:color="auto"/>
            </w:tcBorders>
          </w:tcPr>
          <w:p w14:paraId="232ADC9D" w14:textId="77777777" w:rsidR="00130E8B" w:rsidRPr="009167C6" w:rsidRDefault="000405CC">
            <w:pPr>
              <w:pStyle w:val="a3"/>
              <w:jc w:val="center"/>
              <w:rPr>
                <w:lang w:val="hu-HU"/>
              </w:rPr>
            </w:pPr>
            <w:r w:rsidRPr="009167C6">
              <w:rPr>
                <w:rFonts w:eastAsia="Times New Roman"/>
                <w:lang w:val="hu-HU"/>
              </w:rPr>
              <w:t>5,6</w:t>
            </w:r>
          </w:p>
        </w:tc>
        <w:tc>
          <w:tcPr>
            <w:tcW w:w="1130" w:type="dxa"/>
            <w:tcBorders>
              <w:bottom w:val="single" w:sz="4" w:space="0" w:color="auto"/>
            </w:tcBorders>
          </w:tcPr>
          <w:p w14:paraId="3E5E4349" w14:textId="77777777" w:rsidR="00130E8B" w:rsidRPr="009167C6" w:rsidRDefault="000405CC">
            <w:pPr>
              <w:pStyle w:val="a3"/>
              <w:jc w:val="center"/>
              <w:rPr>
                <w:lang w:val="hu-HU"/>
              </w:rPr>
            </w:pPr>
            <w:r w:rsidRPr="009167C6">
              <w:rPr>
                <w:rFonts w:eastAsia="Times New Roman"/>
                <w:lang w:val="hu-HU"/>
              </w:rPr>
              <w:t>0,50</w:t>
            </w:r>
          </w:p>
        </w:tc>
        <w:tc>
          <w:tcPr>
            <w:tcW w:w="1130" w:type="dxa"/>
            <w:tcBorders>
              <w:bottom w:val="single" w:sz="4" w:space="0" w:color="auto"/>
            </w:tcBorders>
          </w:tcPr>
          <w:p w14:paraId="41480F9A" w14:textId="77777777" w:rsidR="00130E8B" w:rsidRPr="009167C6" w:rsidRDefault="000405CC">
            <w:pPr>
              <w:pStyle w:val="a3"/>
              <w:jc w:val="center"/>
              <w:rPr>
                <w:lang w:val="hu-HU"/>
              </w:rPr>
            </w:pPr>
            <w:r w:rsidRPr="009167C6">
              <w:rPr>
                <w:rFonts w:eastAsia="Times New Roman"/>
                <w:lang w:val="hu-HU"/>
              </w:rPr>
              <w:t>0,36, 0,70</w:t>
            </w:r>
          </w:p>
        </w:tc>
        <w:tc>
          <w:tcPr>
            <w:tcW w:w="1130" w:type="dxa"/>
            <w:tcBorders>
              <w:bottom w:val="single" w:sz="4" w:space="0" w:color="auto"/>
            </w:tcBorders>
          </w:tcPr>
          <w:p w14:paraId="048B56BF" w14:textId="77777777" w:rsidR="00130E8B" w:rsidRPr="009167C6" w:rsidRDefault="000405CC">
            <w:pPr>
              <w:pStyle w:val="a3"/>
              <w:jc w:val="center"/>
              <w:rPr>
                <w:lang w:val="hu-HU"/>
              </w:rPr>
            </w:pPr>
            <w:r w:rsidRPr="009167C6">
              <w:rPr>
                <w:rFonts w:eastAsia="Times New Roman"/>
                <w:lang w:val="hu-HU"/>
              </w:rPr>
              <w:t>&lt; 0,001</w:t>
            </w:r>
          </w:p>
        </w:tc>
      </w:tr>
      <w:tr w:rsidR="00130E8B" w:rsidRPr="009167C6" w14:paraId="47815638" w14:textId="77777777">
        <w:trPr>
          <w:trHeight w:val="378"/>
          <w:jc w:val="center"/>
        </w:trPr>
        <w:tc>
          <w:tcPr>
            <w:tcW w:w="9729" w:type="dxa"/>
            <w:gridSpan w:val="7"/>
            <w:tcBorders>
              <w:top w:val="single" w:sz="4" w:space="0" w:color="auto"/>
              <w:bottom w:val="single" w:sz="4" w:space="0" w:color="auto"/>
            </w:tcBorders>
            <w:vAlign w:val="center"/>
          </w:tcPr>
          <w:p w14:paraId="37D38258" w14:textId="77777777" w:rsidR="00130E8B" w:rsidRPr="009167C6" w:rsidRDefault="000405CC">
            <w:pPr>
              <w:pStyle w:val="a3"/>
              <w:jc w:val="both"/>
              <w:rPr>
                <w:b/>
                <w:lang w:val="hu-HU"/>
              </w:rPr>
            </w:pPr>
            <w:r w:rsidRPr="009167C6">
              <w:rPr>
                <w:rFonts w:eastAsia="Times New Roman"/>
                <w:b/>
                <w:bCs/>
                <w:lang w:val="hu-HU"/>
              </w:rPr>
              <w:t>A kezelés eredménytelenségéig eltelt idő a 2. héten vagy azt követően az UV II vizsgálatban</w:t>
            </w:r>
          </w:p>
          <w:p w14:paraId="483C2C6E" w14:textId="77777777" w:rsidR="00130E8B" w:rsidRPr="009167C6" w:rsidRDefault="000405CC">
            <w:pPr>
              <w:pStyle w:val="a3"/>
              <w:jc w:val="both"/>
              <w:rPr>
                <w:lang w:val="hu-HU"/>
              </w:rPr>
            </w:pPr>
            <w:r w:rsidRPr="009167C6">
              <w:rPr>
                <w:rFonts w:eastAsia="Times New Roman"/>
                <w:b/>
                <w:bCs/>
                <w:lang w:val="hu-HU"/>
              </w:rPr>
              <w:t>Elsődleges elemzés (ITT)</w:t>
            </w:r>
          </w:p>
        </w:tc>
      </w:tr>
      <w:tr w:rsidR="00130E8B" w:rsidRPr="009167C6" w14:paraId="6412247F" w14:textId="77777777">
        <w:trPr>
          <w:trHeight w:val="369"/>
          <w:jc w:val="center"/>
        </w:trPr>
        <w:tc>
          <w:tcPr>
            <w:tcW w:w="1624" w:type="dxa"/>
            <w:tcBorders>
              <w:top w:val="single" w:sz="4" w:space="0" w:color="auto"/>
            </w:tcBorders>
          </w:tcPr>
          <w:p w14:paraId="47D58F84" w14:textId="77777777" w:rsidR="00130E8B" w:rsidRPr="009167C6" w:rsidRDefault="000405CC">
            <w:pPr>
              <w:pStyle w:val="a3"/>
              <w:jc w:val="center"/>
              <w:rPr>
                <w:lang w:val="hu-HU"/>
              </w:rPr>
            </w:pPr>
            <w:r w:rsidRPr="009167C6">
              <w:rPr>
                <w:rFonts w:eastAsia="Times New Roman"/>
                <w:lang w:val="hu-HU"/>
              </w:rPr>
              <w:t>placebo</w:t>
            </w:r>
          </w:p>
        </w:tc>
        <w:tc>
          <w:tcPr>
            <w:tcW w:w="1530" w:type="dxa"/>
            <w:tcBorders>
              <w:top w:val="single" w:sz="4" w:space="0" w:color="auto"/>
            </w:tcBorders>
          </w:tcPr>
          <w:p w14:paraId="66EF8761" w14:textId="77777777" w:rsidR="00130E8B" w:rsidRPr="009167C6" w:rsidRDefault="000405CC">
            <w:pPr>
              <w:pStyle w:val="a3"/>
              <w:jc w:val="center"/>
              <w:rPr>
                <w:lang w:val="hu-HU"/>
              </w:rPr>
            </w:pPr>
            <w:r w:rsidRPr="009167C6">
              <w:rPr>
                <w:rFonts w:eastAsia="Times New Roman"/>
                <w:lang w:val="hu-HU"/>
              </w:rPr>
              <w:t>111</w:t>
            </w:r>
          </w:p>
        </w:tc>
        <w:tc>
          <w:tcPr>
            <w:tcW w:w="2052" w:type="dxa"/>
            <w:tcBorders>
              <w:top w:val="single" w:sz="4" w:space="0" w:color="auto"/>
            </w:tcBorders>
          </w:tcPr>
          <w:p w14:paraId="0E297892" w14:textId="77777777" w:rsidR="00130E8B" w:rsidRPr="009167C6" w:rsidRDefault="000405CC">
            <w:pPr>
              <w:pStyle w:val="a3"/>
              <w:jc w:val="center"/>
              <w:rPr>
                <w:lang w:val="hu-HU"/>
              </w:rPr>
            </w:pPr>
            <w:r w:rsidRPr="009167C6">
              <w:rPr>
                <w:rFonts w:eastAsia="Times New Roman"/>
                <w:lang w:val="hu-HU"/>
              </w:rPr>
              <w:t>61 (55,0)</w:t>
            </w:r>
          </w:p>
        </w:tc>
        <w:tc>
          <w:tcPr>
            <w:tcW w:w="1130" w:type="dxa"/>
            <w:tcBorders>
              <w:top w:val="single" w:sz="4" w:space="0" w:color="auto"/>
            </w:tcBorders>
          </w:tcPr>
          <w:p w14:paraId="680334D4" w14:textId="77777777" w:rsidR="00130E8B" w:rsidRPr="009167C6" w:rsidRDefault="000405CC">
            <w:pPr>
              <w:pStyle w:val="a3"/>
              <w:jc w:val="center"/>
              <w:rPr>
                <w:lang w:val="hu-HU"/>
              </w:rPr>
            </w:pPr>
            <w:r w:rsidRPr="009167C6">
              <w:rPr>
                <w:rFonts w:eastAsia="Times New Roman"/>
                <w:lang w:val="hu-HU"/>
              </w:rPr>
              <w:t>8,3</w:t>
            </w:r>
          </w:p>
        </w:tc>
        <w:tc>
          <w:tcPr>
            <w:tcW w:w="1130" w:type="dxa"/>
            <w:tcBorders>
              <w:top w:val="single" w:sz="4" w:space="0" w:color="auto"/>
            </w:tcBorders>
          </w:tcPr>
          <w:p w14:paraId="5E0EA745" w14:textId="77777777" w:rsidR="00130E8B" w:rsidRPr="009167C6" w:rsidRDefault="000405CC">
            <w:pPr>
              <w:pStyle w:val="a3"/>
              <w:jc w:val="center"/>
              <w:rPr>
                <w:lang w:val="hu-HU"/>
              </w:rPr>
            </w:pPr>
            <w:r w:rsidRPr="009167C6">
              <w:rPr>
                <w:lang w:val="hu-HU"/>
              </w:rPr>
              <w:t xml:space="preserve">-- </w:t>
            </w:r>
          </w:p>
        </w:tc>
        <w:tc>
          <w:tcPr>
            <w:tcW w:w="1130" w:type="dxa"/>
            <w:tcBorders>
              <w:top w:val="single" w:sz="4" w:space="0" w:color="auto"/>
            </w:tcBorders>
          </w:tcPr>
          <w:p w14:paraId="7333DE60" w14:textId="77777777" w:rsidR="00130E8B" w:rsidRPr="009167C6" w:rsidRDefault="000405CC">
            <w:pPr>
              <w:pStyle w:val="a3"/>
              <w:jc w:val="center"/>
              <w:rPr>
                <w:lang w:val="hu-HU"/>
              </w:rPr>
            </w:pPr>
            <w:r w:rsidRPr="009167C6">
              <w:rPr>
                <w:lang w:val="hu-HU"/>
              </w:rPr>
              <w:t xml:space="preserve">-- </w:t>
            </w:r>
          </w:p>
        </w:tc>
        <w:tc>
          <w:tcPr>
            <w:tcW w:w="1130" w:type="dxa"/>
            <w:tcBorders>
              <w:top w:val="single" w:sz="4" w:space="0" w:color="auto"/>
            </w:tcBorders>
          </w:tcPr>
          <w:p w14:paraId="27E700B0" w14:textId="77777777" w:rsidR="00130E8B" w:rsidRPr="009167C6" w:rsidRDefault="000405CC">
            <w:pPr>
              <w:pStyle w:val="a3"/>
              <w:jc w:val="center"/>
              <w:rPr>
                <w:lang w:val="hu-HU"/>
              </w:rPr>
            </w:pPr>
            <w:r w:rsidRPr="009167C6">
              <w:rPr>
                <w:lang w:val="hu-HU"/>
              </w:rPr>
              <w:t xml:space="preserve">-- </w:t>
            </w:r>
          </w:p>
        </w:tc>
      </w:tr>
      <w:tr w:rsidR="00130E8B" w:rsidRPr="009167C6" w14:paraId="666113FE" w14:textId="77777777">
        <w:trPr>
          <w:trHeight w:val="227"/>
          <w:jc w:val="center"/>
        </w:trPr>
        <w:tc>
          <w:tcPr>
            <w:tcW w:w="1624" w:type="dxa"/>
            <w:tcBorders>
              <w:bottom w:val="single" w:sz="4" w:space="0" w:color="auto"/>
            </w:tcBorders>
          </w:tcPr>
          <w:p w14:paraId="270EFDB2" w14:textId="77777777" w:rsidR="00130E8B" w:rsidRPr="009167C6" w:rsidRDefault="000405CC">
            <w:pPr>
              <w:pStyle w:val="a3"/>
              <w:jc w:val="center"/>
              <w:rPr>
                <w:lang w:val="hu-HU"/>
              </w:rPr>
            </w:pPr>
            <w:r w:rsidRPr="009167C6">
              <w:rPr>
                <w:rFonts w:eastAsia="Times New Roman"/>
                <w:lang w:val="hu-HU"/>
              </w:rPr>
              <w:t>adalimumab</w:t>
            </w:r>
          </w:p>
        </w:tc>
        <w:tc>
          <w:tcPr>
            <w:tcW w:w="1530" w:type="dxa"/>
            <w:tcBorders>
              <w:bottom w:val="single" w:sz="4" w:space="0" w:color="auto"/>
            </w:tcBorders>
          </w:tcPr>
          <w:p w14:paraId="05275C2D" w14:textId="77777777" w:rsidR="00130E8B" w:rsidRPr="009167C6" w:rsidRDefault="000405CC">
            <w:pPr>
              <w:pStyle w:val="a3"/>
              <w:jc w:val="center"/>
              <w:rPr>
                <w:lang w:val="hu-HU"/>
              </w:rPr>
            </w:pPr>
            <w:r w:rsidRPr="009167C6">
              <w:rPr>
                <w:rFonts w:eastAsia="Times New Roman"/>
                <w:lang w:val="hu-HU"/>
              </w:rPr>
              <w:t>115</w:t>
            </w:r>
          </w:p>
        </w:tc>
        <w:tc>
          <w:tcPr>
            <w:tcW w:w="2052" w:type="dxa"/>
            <w:tcBorders>
              <w:bottom w:val="single" w:sz="4" w:space="0" w:color="auto"/>
            </w:tcBorders>
          </w:tcPr>
          <w:p w14:paraId="5207DAE7" w14:textId="77777777" w:rsidR="00130E8B" w:rsidRPr="009167C6" w:rsidRDefault="000405CC">
            <w:pPr>
              <w:pStyle w:val="a3"/>
              <w:jc w:val="center"/>
              <w:rPr>
                <w:lang w:val="hu-HU"/>
              </w:rPr>
            </w:pPr>
            <w:r w:rsidRPr="009167C6">
              <w:rPr>
                <w:rFonts w:eastAsia="Times New Roman"/>
                <w:lang w:val="hu-HU"/>
              </w:rPr>
              <w:t>45 (39,1)</w:t>
            </w:r>
          </w:p>
        </w:tc>
        <w:tc>
          <w:tcPr>
            <w:tcW w:w="1130" w:type="dxa"/>
            <w:tcBorders>
              <w:bottom w:val="single" w:sz="4" w:space="0" w:color="auto"/>
            </w:tcBorders>
          </w:tcPr>
          <w:p w14:paraId="12659E5F" w14:textId="77777777" w:rsidR="00130E8B" w:rsidRPr="007C168B" w:rsidRDefault="000405CC">
            <w:pPr>
              <w:pStyle w:val="a3"/>
              <w:jc w:val="center"/>
              <w:rPr>
                <w:lang w:val="hu-HU"/>
              </w:rPr>
            </w:pPr>
            <w:r w:rsidRPr="009167C6">
              <w:rPr>
                <w:rFonts w:eastAsia="Times New Roman"/>
                <w:lang w:val="hu-HU"/>
              </w:rPr>
              <w:t>NE</w:t>
            </w:r>
            <w:r w:rsidRPr="009167C6">
              <w:rPr>
                <w:rFonts w:eastAsia="Times New Roman"/>
                <w:vertAlign w:val="superscript"/>
                <w:lang w:val="hu-HU"/>
              </w:rPr>
              <w:t>c</w:t>
            </w:r>
          </w:p>
        </w:tc>
        <w:tc>
          <w:tcPr>
            <w:tcW w:w="1130" w:type="dxa"/>
            <w:tcBorders>
              <w:bottom w:val="single" w:sz="4" w:space="0" w:color="auto"/>
            </w:tcBorders>
          </w:tcPr>
          <w:p w14:paraId="5F795CCE" w14:textId="77777777" w:rsidR="00130E8B" w:rsidRPr="009167C6" w:rsidRDefault="000405CC">
            <w:pPr>
              <w:pStyle w:val="a3"/>
              <w:jc w:val="center"/>
              <w:rPr>
                <w:lang w:val="hu-HU"/>
              </w:rPr>
            </w:pPr>
            <w:r w:rsidRPr="009167C6">
              <w:rPr>
                <w:rFonts w:eastAsia="Times New Roman"/>
                <w:lang w:val="hu-HU"/>
              </w:rPr>
              <w:t>0,57</w:t>
            </w:r>
          </w:p>
        </w:tc>
        <w:tc>
          <w:tcPr>
            <w:tcW w:w="1130" w:type="dxa"/>
            <w:tcBorders>
              <w:bottom w:val="single" w:sz="4" w:space="0" w:color="auto"/>
            </w:tcBorders>
          </w:tcPr>
          <w:p w14:paraId="4DEA30D0" w14:textId="77777777" w:rsidR="00130E8B" w:rsidRPr="009167C6" w:rsidRDefault="000405CC">
            <w:pPr>
              <w:pStyle w:val="a3"/>
              <w:jc w:val="center"/>
              <w:rPr>
                <w:lang w:val="hu-HU"/>
              </w:rPr>
            </w:pPr>
            <w:r w:rsidRPr="009167C6">
              <w:rPr>
                <w:rFonts w:eastAsia="Times New Roman"/>
                <w:lang w:val="hu-HU"/>
              </w:rPr>
              <w:t>0,39, 0,84</w:t>
            </w:r>
          </w:p>
        </w:tc>
        <w:tc>
          <w:tcPr>
            <w:tcW w:w="1130" w:type="dxa"/>
            <w:tcBorders>
              <w:bottom w:val="single" w:sz="4" w:space="0" w:color="auto"/>
            </w:tcBorders>
          </w:tcPr>
          <w:p w14:paraId="2C5F7D92" w14:textId="77777777" w:rsidR="00130E8B" w:rsidRPr="009167C6" w:rsidRDefault="000405CC">
            <w:pPr>
              <w:pStyle w:val="a3"/>
              <w:jc w:val="center"/>
              <w:rPr>
                <w:lang w:val="hu-HU"/>
              </w:rPr>
            </w:pPr>
            <w:r w:rsidRPr="009167C6">
              <w:rPr>
                <w:rFonts w:eastAsia="Times New Roman"/>
                <w:lang w:val="hu-HU"/>
              </w:rPr>
              <w:t>0,004</w:t>
            </w:r>
          </w:p>
        </w:tc>
      </w:tr>
    </w:tbl>
    <w:p w14:paraId="3548DBD4" w14:textId="77777777" w:rsidR="00130E8B" w:rsidRDefault="000405CC">
      <w:pPr>
        <w:pStyle w:val="a3"/>
        <w:rPr>
          <w:lang w:val="hu-HU"/>
        </w:rPr>
      </w:pPr>
      <w:r>
        <w:rPr>
          <w:rFonts w:eastAsia="Times New Roman"/>
          <w:lang w:val="hu-HU"/>
        </w:rPr>
        <w:t>Megjegyzés: Eseménynek értékelték a kezelés eredménytelenségét a 6. héten vagy azt követően (UV I vizsgálat) vagy a 2. héten vagy azt követően (UV II vizsgálat). Azoknak a betegeknek az adatait cenzorálták a vizsgálat abbahagyásakor, akik nem a kezelés eredménytelensége miatt hagyták abba a vizsgálatot.</w:t>
      </w:r>
    </w:p>
    <w:p w14:paraId="472624B7" w14:textId="77777777" w:rsidR="00130E8B" w:rsidRDefault="000405CC" w:rsidP="009167C6">
      <w:pPr>
        <w:pStyle w:val="a3"/>
        <w:numPr>
          <w:ilvl w:val="0"/>
          <w:numId w:val="8"/>
        </w:numPr>
        <w:ind w:left="357" w:hanging="357"/>
        <w:rPr>
          <w:lang w:val="hu-HU"/>
        </w:rPr>
      </w:pPr>
      <w:r>
        <w:rPr>
          <w:rFonts w:eastAsia="Times New Roman"/>
          <w:lang w:val="hu-HU"/>
        </w:rPr>
        <w:t>Az adalimumab placebóval szembeni relatív hazárd értéke (arányos hazárd regresszióból, a kezelést faktorként figyelembe véve).</w:t>
      </w:r>
    </w:p>
    <w:p w14:paraId="1D5B4C03" w14:textId="77777777" w:rsidR="00130E8B" w:rsidRDefault="000405CC" w:rsidP="009167C6">
      <w:pPr>
        <w:pStyle w:val="a3"/>
        <w:numPr>
          <w:ilvl w:val="0"/>
          <w:numId w:val="8"/>
        </w:numPr>
        <w:ind w:left="357" w:hanging="357"/>
        <w:rPr>
          <w:lang w:val="hu-HU"/>
        </w:rPr>
      </w:pPr>
      <w:r>
        <w:rPr>
          <w:rFonts w:eastAsia="Times New Roman"/>
          <w:lang w:val="hu-HU"/>
        </w:rPr>
        <w:t xml:space="preserve">Lograng-próbából meghatározott 2-oldalas </w:t>
      </w:r>
      <w:r>
        <w:rPr>
          <w:rFonts w:eastAsia="Times New Roman"/>
          <w:i/>
          <w:iCs/>
          <w:lang w:val="hu-HU"/>
        </w:rPr>
        <w:t>P</w:t>
      </w:r>
      <w:r>
        <w:rPr>
          <w:rFonts w:eastAsia="Times New Roman"/>
          <w:lang w:val="hu-HU"/>
        </w:rPr>
        <w:t>-érték.</w:t>
      </w:r>
    </w:p>
    <w:p w14:paraId="527FC629" w14:textId="77777777" w:rsidR="00130E8B" w:rsidRDefault="000405CC" w:rsidP="009167C6">
      <w:pPr>
        <w:pStyle w:val="a3"/>
        <w:numPr>
          <w:ilvl w:val="0"/>
          <w:numId w:val="8"/>
        </w:numPr>
        <w:ind w:left="357" w:hanging="357"/>
        <w:rPr>
          <w:lang w:val="hu-HU"/>
        </w:rPr>
      </w:pPr>
      <w:r>
        <w:rPr>
          <w:rFonts w:eastAsia="Times New Roman"/>
          <w:lang w:val="hu-HU"/>
        </w:rPr>
        <w:t>NE = nem becsülhető. A veszélyeztetett betegek kevesebb mint felénél történt esemény.</w:t>
      </w:r>
    </w:p>
    <w:p w14:paraId="49268560" w14:textId="77777777" w:rsidR="00CE42DC" w:rsidRDefault="00CE42DC">
      <w:pPr>
        <w:pStyle w:val="a3"/>
        <w:jc w:val="center"/>
        <w:rPr>
          <w:rFonts w:eastAsia="Times New Roman"/>
          <w:b/>
          <w:bCs/>
          <w:lang w:val="hu-HU"/>
        </w:rPr>
      </w:pPr>
    </w:p>
    <w:p w14:paraId="1B2C387A" w14:textId="2D058E08" w:rsidR="00130E8B" w:rsidRDefault="000405CC">
      <w:pPr>
        <w:pStyle w:val="a3"/>
        <w:jc w:val="center"/>
        <w:rPr>
          <w:b/>
          <w:lang w:val="hu-HU"/>
        </w:rPr>
      </w:pPr>
      <w:r>
        <w:rPr>
          <w:rFonts w:eastAsia="Times New Roman"/>
          <w:b/>
          <w:bCs/>
          <w:lang w:val="hu-HU"/>
        </w:rPr>
        <w:t>2. ábra:A kezelés eredménytelenségéig eltelt időt a 6. héten vagy azt követően (</w:t>
      </w:r>
      <w:r w:rsidR="00A32721">
        <w:rPr>
          <w:rFonts w:eastAsia="Times New Roman"/>
          <w:b/>
          <w:bCs/>
          <w:lang w:val="hu-HU"/>
        </w:rPr>
        <w:t xml:space="preserve">UV </w:t>
      </w:r>
      <w:r>
        <w:rPr>
          <w:rFonts w:eastAsia="Times New Roman"/>
          <w:b/>
          <w:bCs/>
          <w:lang w:val="hu-HU"/>
        </w:rPr>
        <w:t>I vizsgálat) illetve a 2. héten vagy azt követően (UV</w:t>
      </w:r>
      <w:r w:rsidR="00424DF6">
        <w:rPr>
          <w:rFonts w:eastAsia="Times New Roman"/>
          <w:b/>
          <w:bCs/>
          <w:lang w:val="hu-HU"/>
        </w:rPr>
        <w:t xml:space="preserve"> </w:t>
      </w:r>
      <w:r>
        <w:rPr>
          <w:rFonts w:eastAsia="Times New Roman"/>
          <w:b/>
          <w:bCs/>
          <w:lang w:val="hu-HU"/>
        </w:rPr>
        <w:t>II vizsgálat) bemutató Kaplan-Meier görbék</w:t>
      </w:r>
    </w:p>
    <w:tbl>
      <w:tblPr>
        <w:tblW w:w="9481" w:type="dxa"/>
        <w:tblLayout w:type="fixed"/>
        <w:tblLook w:val="04A0" w:firstRow="1" w:lastRow="0" w:firstColumn="1" w:lastColumn="0" w:noHBand="0" w:noVBand="1"/>
      </w:tblPr>
      <w:tblGrid>
        <w:gridCol w:w="675"/>
        <w:gridCol w:w="3496"/>
        <w:gridCol w:w="1170"/>
        <w:gridCol w:w="1350"/>
        <w:gridCol w:w="900"/>
        <w:gridCol w:w="1890"/>
      </w:tblGrid>
      <w:tr w:rsidR="00E72311" w14:paraId="78ADEB6E" w14:textId="77777777" w:rsidTr="00E72311">
        <w:trPr>
          <w:cantSplit/>
          <w:trHeight w:val="3806"/>
        </w:trPr>
        <w:tc>
          <w:tcPr>
            <w:tcW w:w="675" w:type="dxa"/>
            <w:textDirection w:val="btLr"/>
            <w:vAlign w:val="bottom"/>
          </w:tcPr>
          <w:p w14:paraId="48D38E3B" w14:textId="77777777" w:rsidR="00E72311" w:rsidRPr="000F4DB4" w:rsidRDefault="00E72311" w:rsidP="00E72311">
            <w:pPr>
              <w:pStyle w:val="EMEANormal"/>
              <w:keepNext/>
              <w:ind w:left="113" w:right="113"/>
              <w:jc w:val="center"/>
              <w:rPr>
                <w:b/>
                <w:szCs w:val="22"/>
                <w:lang w:val="hu-HU"/>
              </w:rPr>
            </w:pPr>
            <w:r w:rsidRPr="000F4DB4">
              <w:rPr>
                <w:b/>
                <w:szCs w:val="22"/>
                <w:lang w:val="hu-HU"/>
              </w:rPr>
              <w:t>Kezelés eredménytelenségémek aránya (%)</w:t>
            </w:r>
          </w:p>
        </w:tc>
        <w:tc>
          <w:tcPr>
            <w:tcW w:w="8806" w:type="dxa"/>
            <w:gridSpan w:val="5"/>
            <w:vAlign w:val="bottom"/>
          </w:tcPr>
          <w:p w14:paraId="77043D3B" w14:textId="77777777" w:rsidR="00E72311" w:rsidRPr="000F4DB4" w:rsidRDefault="00E72311" w:rsidP="00E72311">
            <w:pPr>
              <w:pStyle w:val="EMEANormal"/>
              <w:keepNext/>
              <w:rPr>
                <w:szCs w:val="22"/>
                <w:lang w:val="hu-HU"/>
              </w:rPr>
            </w:pPr>
            <w:r w:rsidRPr="000F4DB4">
              <w:rPr>
                <w:noProof/>
                <w:lang w:eastAsia="ko-KR"/>
              </w:rPr>
              <w:drawing>
                <wp:inline distT="0" distB="0" distL="0" distR="0" wp14:anchorId="7708A241" wp14:editId="21457CC5">
                  <wp:extent cx="5486400" cy="2209800"/>
                  <wp:effectExtent l="0" t="0" r="0" b="0"/>
                  <wp:docPr id="90" name="Picture 90" descr="Humira Uveitis Figure 5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51528" name="Picture 1" descr="Humira Uveitis Figure 5_6"/>
                          <pic:cNvPicPr>
                            <a:picLocks noChangeAspect="1" noChangeArrowheads="1"/>
                          </pic:cNvPicPr>
                        </pic:nvPicPr>
                        <pic:blipFill>
                          <a:blip r:embed="rId14" r:link="rId15">
                            <a:extLst>
                              <a:ext uri="{28A0092B-C50C-407E-A947-70E740481C1C}">
                                <a14:useLocalDpi xmlns:a14="http://schemas.microsoft.com/office/drawing/2010/main" val="0"/>
                              </a:ext>
                            </a:extLst>
                          </a:blip>
                          <a:stretch>
                            <a:fillRect/>
                          </a:stretch>
                        </pic:blipFill>
                        <pic:spPr bwMode="auto">
                          <a:xfrm>
                            <a:off x="0" y="0"/>
                            <a:ext cx="5486400" cy="2209800"/>
                          </a:xfrm>
                          <a:prstGeom prst="rect">
                            <a:avLst/>
                          </a:prstGeom>
                          <a:noFill/>
                          <a:ln>
                            <a:noFill/>
                          </a:ln>
                        </pic:spPr>
                      </pic:pic>
                    </a:graphicData>
                  </a:graphic>
                </wp:inline>
              </w:drawing>
            </w:r>
          </w:p>
        </w:tc>
      </w:tr>
      <w:tr w:rsidR="00E72311" w14:paraId="2711CD46" w14:textId="77777777" w:rsidTr="00E72311">
        <w:tc>
          <w:tcPr>
            <w:tcW w:w="675" w:type="dxa"/>
          </w:tcPr>
          <w:p w14:paraId="432DC37C" w14:textId="77777777" w:rsidR="00E72311" w:rsidRPr="000F4DB4" w:rsidRDefault="00E72311" w:rsidP="00E72311">
            <w:pPr>
              <w:pStyle w:val="EMEANormal"/>
              <w:rPr>
                <w:szCs w:val="22"/>
                <w:lang w:val="hu-HU"/>
              </w:rPr>
            </w:pPr>
          </w:p>
        </w:tc>
        <w:tc>
          <w:tcPr>
            <w:tcW w:w="8806" w:type="dxa"/>
            <w:gridSpan w:val="5"/>
          </w:tcPr>
          <w:p w14:paraId="4DB154DF" w14:textId="77777777" w:rsidR="00E72311" w:rsidRPr="000F4DB4" w:rsidRDefault="00E72311" w:rsidP="00E72311">
            <w:pPr>
              <w:pStyle w:val="EMEANormal"/>
              <w:jc w:val="center"/>
              <w:rPr>
                <w:b/>
                <w:szCs w:val="22"/>
                <w:lang w:val="hu-HU"/>
              </w:rPr>
            </w:pPr>
            <w:r w:rsidRPr="000F4DB4">
              <w:rPr>
                <w:b/>
                <w:szCs w:val="22"/>
                <w:lang w:val="hu-HU"/>
              </w:rPr>
              <w:t>Idő (hónap)</w:t>
            </w:r>
          </w:p>
        </w:tc>
      </w:tr>
      <w:tr w:rsidR="00E72311" w14:paraId="2EFDC7C1" w14:textId="77777777" w:rsidTr="00E72311">
        <w:tc>
          <w:tcPr>
            <w:tcW w:w="675" w:type="dxa"/>
          </w:tcPr>
          <w:p w14:paraId="70FCBD3C" w14:textId="77777777" w:rsidR="00E72311" w:rsidRPr="000F4DB4" w:rsidRDefault="00E72311" w:rsidP="00E72311">
            <w:pPr>
              <w:pStyle w:val="EMEANormal"/>
              <w:rPr>
                <w:szCs w:val="22"/>
                <w:lang w:val="hu-HU"/>
              </w:rPr>
            </w:pPr>
          </w:p>
        </w:tc>
        <w:tc>
          <w:tcPr>
            <w:tcW w:w="3496" w:type="dxa"/>
          </w:tcPr>
          <w:p w14:paraId="2AF49997" w14:textId="77777777" w:rsidR="00E72311" w:rsidRPr="000F4DB4" w:rsidRDefault="00E72311" w:rsidP="00E72311">
            <w:pPr>
              <w:pStyle w:val="EMEANormal"/>
              <w:rPr>
                <w:szCs w:val="22"/>
                <w:lang w:val="hu-HU"/>
              </w:rPr>
            </w:pPr>
            <w:r w:rsidRPr="000F4DB4">
              <w:rPr>
                <w:szCs w:val="22"/>
                <w:lang w:val="hu-HU"/>
              </w:rPr>
              <w:t>UV I vizsgálat                  Kezelés</w:t>
            </w:r>
          </w:p>
        </w:tc>
        <w:tc>
          <w:tcPr>
            <w:tcW w:w="1170" w:type="dxa"/>
          </w:tcPr>
          <w:p w14:paraId="04B4F3D3" w14:textId="77777777" w:rsidR="00E72311" w:rsidRPr="000F4DB4" w:rsidRDefault="00E72311" w:rsidP="00E72311">
            <w:pPr>
              <w:pStyle w:val="EMEANormal"/>
              <w:jc w:val="right"/>
              <w:rPr>
                <w:szCs w:val="22"/>
                <w:lang w:val="hu-HU"/>
              </w:rPr>
            </w:pPr>
            <w:r w:rsidRPr="000F4DB4">
              <w:rPr>
                <w:noProof/>
                <w:szCs w:val="22"/>
                <w:lang w:eastAsia="ko-KR"/>
              </w:rPr>
              <w:drawing>
                <wp:inline distT="0" distB="0" distL="0" distR="0" wp14:anchorId="01D04D70" wp14:editId="2F377A2F">
                  <wp:extent cx="396875" cy="180975"/>
                  <wp:effectExtent l="0" t="0" r="3175" b="9525"/>
                  <wp:docPr id="20" name="Picture 26"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245444" name="Picture 26" descr="Humira Uveitis Figure 5_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6875" cy="180975"/>
                          </a:xfrm>
                          <a:prstGeom prst="rect">
                            <a:avLst/>
                          </a:prstGeom>
                          <a:noFill/>
                          <a:ln>
                            <a:noFill/>
                          </a:ln>
                        </pic:spPr>
                      </pic:pic>
                    </a:graphicData>
                  </a:graphic>
                </wp:inline>
              </w:drawing>
            </w:r>
          </w:p>
        </w:tc>
        <w:tc>
          <w:tcPr>
            <w:tcW w:w="1350" w:type="dxa"/>
          </w:tcPr>
          <w:p w14:paraId="2CFAA172" w14:textId="77777777" w:rsidR="00E72311" w:rsidRPr="000F4DB4" w:rsidRDefault="00E72311" w:rsidP="00E72311">
            <w:pPr>
              <w:pStyle w:val="EMEANormal"/>
              <w:rPr>
                <w:szCs w:val="22"/>
                <w:lang w:val="hu-HU"/>
              </w:rPr>
            </w:pPr>
            <w:r w:rsidRPr="000F4DB4">
              <w:rPr>
                <w:szCs w:val="22"/>
                <w:lang w:val="hu-HU"/>
              </w:rPr>
              <w:t>Placebo</w:t>
            </w:r>
          </w:p>
        </w:tc>
        <w:tc>
          <w:tcPr>
            <w:tcW w:w="900" w:type="dxa"/>
          </w:tcPr>
          <w:p w14:paraId="26106A4F" w14:textId="77777777" w:rsidR="00E72311" w:rsidRPr="000F4DB4" w:rsidRDefault="00E72311" w:rsidP="00E72311">
            <w:pPr>
              <w:pStyle w:val="EMEANormal"/>
              <w:jc w:val="right"/>
              <w:rPr>
                <w:szCs w:val="22"/>
                <w:lang w:val="hu-HU"/>
              </w:rPr>
            </w:pPr>
            <w:r w:rsidRPr="000F4DB4">
              <w:rPr>
                <w:noProof/>
                <w:szCs w:val="22"/>
                <w:lang w:eastAsia="ko-KR"/>
              </w:rPr>
              <w:drawing>
                <wp:inline distT="0" distB="0" distL="0" distR="0" wp14:anchorId="7E573544" wp14:editId="72A35A86">
                  <wp:extent cx="560705" cy="180975"/>
                  <wp:effectExtent l="0" t="0" r="0" b="9525"/>
                  <wp:docPr id="21" name="Picture 27"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774461" name="Picture 27" descr="Humira Uveitis Figure 5_2"/>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60705" cy="180975"/>
                          </a:xfrm>
                          <a:prstGeom prst="rect">
                            <a:avLst/>
                          </a:prstGeom>
                          <a:noFill/>
                          <a:ln>
                            <a:noFill/>
                          </a:ln>
                        </pic:spPr>
                      </pic:pic>
                    </a:graphicData>
                  </a:graphic>
                </wp:inline>
              </w:drawing>
            </w:r>
          </w:p>
        </w:tc>
        <w:tc>
          <w:tcPr>
            <w:tcW w:w="1890" w:type="dxa"/>
          </w:tcPr>
          <w:p w14:paraId="5ECB0EA5" w14:textId="77777777" w:rsidR="00E72311" w:rsidRPr="000F4DB4" w:rsidRDefault="00E72311" w:rsidP="00E72311">
            <w:pPr>
              <w:pStyle w:val="EMEANormal"/>
              <w:rPr>
                <w:szCs w:val="22"/>
                <w:lang w:val="hu-HU"/>
              </w:rPr>
            </w:pPr>
            <w:r w:rsidRPr="000F4DB4">
              <w:rPr>
                <w:szCs w:val="22"/>
                <w:lang w:val="hu-HU"/>
              </w:rPr>
              <w:t>Adalimumab</w:t>
            </w:r>
          </w:p>
        </w:tc>
      </w:tr>
      <w:tr w:rsidR="00E72311" w14:paraId="64DB1D9C" w14:textId="77777777" w:rsidTr="00E72311">
        <w:trPr>
          <w:trHeight w:val="3869"/>
        </w:trPr>
        <w:tc>
          <w:tcPr>
            <w:tcW w:w="675" w:type="dxa"/>
            <w:textDirection w:val="btLr"/>
            <w:vAlign w:val="bottom"/>
          </w:tcPr>
          <w:p w14:paraId="58E4FB99" w14:textId="77777777" w:rsidR="00E72311" w:rsidRPr="000F4DB4" w:rsidRDefault="00E72311" w:rsidP="00E72311">
            <w:pPr>
              <w:pStyle w:val="EMEANormal"/>
              <w:jc w:val="center"/>
              <w:rPr>
                <w:szCs w:val="22"/>
                <w:lang w:val="hu-HU"/>
              </w:rPr>
            </w:pPr>
            <w:r w:rsidRPr="000F4DB4">
              <w:rPr>
                <w:b/>
                <w:szCs w:val="22"/>
                <w:lang w:val="hu-HU"/>
              </w:rPr>
              <w:t>Kezelés eredménytelenségének aránya (%)</w:t>
            </w:r>
          </w:p>
        </w:tc>
        <w:tc>
          <w:tcPr>
            <w:tcW w:w="8806" w:type="dxa"/>
            <w:gridSpan w:val="5"/>
            <w:vAlign w:val="bottom"/>
          </w:tcPr>
          <w:p w14:paraId="6394F72B" w14:textId="77777777" w:rsidR="00E72311" w:rsidRPr="000F4DB4" w:rsidRDefault="00E72311" w:rsidP="00E72311">
            <w:pPr>
              <w:pStyle w:val="EMEANormal"/>
              <w:rPr>
                <w:szCs w:val="22"/>
                <w:lang w:val="hu-HU"/>
              </w:rPr>
            </w:pPr>
            <w:r w:rsidRPr="000F4DB4">
              <w:rPr>
                <w:noProof/>
                <w:szCs w:val="22"/>
                <w:lang w:eastAsia="ko-KR"/>
              </w:rPr>
              <w:drawing>
                <wp:inline distT="0" distB="0" distL="0" distR="0" wp14:anchorId="7FD4CB60" wp14:editId="218B1617">
                  <wp:extent cx="5495290" cy="219075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883582" name="Picture 9"/>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495290" cy="2190750"/>
                          </a:xfrm>
                          <a:prstGeom prst="rect">
                            <a:avLst/>
                          </a:prstGeom>
                          <a:noFill/>
                        </pic:spPr>
                      </pic:pic>
                    </a:graphicData>
                  </a:graphic>
                </wp:inline>
              </w:drawing>
            </w:r>
          </w:p>
        </w:tc>
      </w:tr>
      <w:tr w:rsidR="00E72311" w14:paraId="41DF5A8F" w14:textId="77777777" w:rsidTr="00E72311">
        <w:tc>
          <w:tcPr>
            <w:tcW w:w="675" w:type="dxa"/>
          </w:tcPr>
          <w:p w14:paraId="450BE694" w14:textId="77777777" w:rsidR="00E72311" w:rsidRPr="000F4DB4" w:rsidRDefault="00E72311" w:rsidP="00E72311">
            <w:pPr>
              <w:pStyle w:val="EMEANormal"/>
              <w:rPr>
                <w:szCs w:val="22"/>
                <w:lang w:val="hu-HU"/>
              </w:rPr>
            </w:pPr>
          </w:p>
        </w:tc>
        <w:tc>
          <w:tcPr>
            <w:tcW w:w="8806" w:type="dxa"/>
            <w:gridSpan w:val="5"/>
          </w:tcPr>
          <w:p w14:paraId="74998DBC" w14:textId="77777777" w:rsidR="00E72311" w:rsidRPr="000F4DB4" w:rsidRDefault="00E72311" w:rsidP="00E72311">
            <w:pPr>
              <w:pStyle w:val="EMEANormal"/>
              <w:jc w:val="center"/>
              <w:rPr>
                <w:b/>
                <w:szCs w:val="22"/>
                <w:lang w:val="hu-HU"/>
              </w:rPr>
            </w:pPr>
            <w:r w:rsidRPr="000F4DB4">
              <w:rPr>
                <w:b/>
                <w:szCs w:val="22"/>
                <w:lang w:val="hu-HU"/>
              </w:rPr>
              <w:t>Idő (hónap)</w:t>
            </w:r>
          </w:p>
        </w:tc>
      </w:tr>
      <w:tr w:rsidR="00E72311" w14:paraId="1DBD0229" w14:textId="77777777" w:rsidTr="00E72311">
        <w:trPr>
          <w:trHeight w:val="369"/>
        </w:trPr>
        <w:tc>
          <w:tcPr>
            <w:tcW w:w="675" w:type="dxa"/>
          </w:tcPr>
          <w:p w14:paraId="30A20421" w14:textId="77777777" w:rsidR="00E72311" w:rsidRPr="000F4DB4" w:rsidRDefault="00E72311" w:rsidP="00E72311">
            <w:pPr>
              <w:pStyle w:val="EMEANormal"/>
              <w:rPr>
                <w:szCs w:val="22"/>
                <w:lang w:val="hu-HU"/>
              </w:rPr>
            </w:pPr>
          </w:p>
        </w:tc>
        <w:tc>
          <w:tcPr>
            <w:tcW w:w="3496" w:type="dxa"/>
          </w:tcPr>
          <w:p w14:paraId="52853A35" w14:textId="77777777" w:rsidR="00E72311" w:rsidRPr="000F4DB4" w:rsidRDefault="00E72311" w:rsidP="00E72311">
            <w:pPr>
              <w:pStyle w:val="EMEANormal"/>
              <w:rPr>
                <w:szCs w:val="22"/>
                <w:lang w:val="hu-HU"/>
              </w:rPr>
            </w:pPr>
            <w:r w:rsidRPr="000F4DB4">
              <w:rPr>
                <w:szCs w:val="22"/>
                <w:lang w:val="hu-HU"/>
              </w:rPr>
              <w:t>UV II vizsgálat                  Kezelés</w:t>
            </w:r>
          </w:p>
        </w:tc>
        <w:tc>
          <w:tcPr>
            <w:tcW w:w="1170" w:type="dxa"/>
          </w:tcPr>
          <w:p w14:paraId="5C16E363" w14:textId="77777777" w:rsidR="00E72311" w:rsidRPr="000F4DB4" w:rsidRDefault="00E72311" w:rsidP="00E72311">
            <w:pPr>
              <w:pStyle w:val="EMEANormal"/>
              <w:jc w:val="right"/>
              <w:rPr>
                <w:szCs w:val="22"/>
                <w:lang w:val="hu-HU"/>
              </w:rPr>
            </w:pPr>
            <w:r w:rsidRPr="000F4DB4">
              <w:rPr>
                <w:noProof/>
                <w:szCs w:val="22"/>
                <w:lang w:eastAsia="ko-KR"/>
              </w:rPr>
              <w:drawing>
                <wp:inline distT="0" distB="0" distL="0" distR="0" wp14:anchorId="6FDB3FB4" wp14:editId="4927C3F1">
                  <wp:extent cx="396875" cy="180975"/>
                  <wp:effectExtent l="0" t="0" r="3175" b="9525"/>
                  <wp:docPr id="23" name="Picture 29"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444654" name="Picture 29" descr="Humira Uveitis Figure 5_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6875" cy="180975"/>
                          </a:xfrm>
                          <a:prstGeom prst="rect">
                            <a:avLst/>
                          </a:prstGeom>
                          <a:noFill/>
                          <a:ln>
                            <a:noFill/>
                          </a:ln>
                        </pic:spPr>
                      </pic:pic>
                    </a:graphicData>
                  </a:graphic>
                </wp:inline>
              </w:drawing>
            </w:r>
          </w:p>
        </w:tc>
        <w:tc>
          <w:tcPr>
            <w:tcW w:w="1350" w:type="dxa"/>
          </w:tcPr>
          <w:p w14:paraId="751E2886" w14:textId="77777777" w:rsidR="00E72311" w:rsidRPr="000F4DB4" w:rsidRDefault="00E72311" w:rsidP="00E72311">
            <w:pPr>
              <w:pStyle w:val="EMEANormal"/>
              <w:rPr>
                <w:szCs w:val="22"/>
                <w:lang w:val="hu-HU"/>
              </w:rPr>
            </w:pPr>
            <w:r w:rsidRPr="000F4DB4">
              <w:rPr>
                <w:szCs w:val="22"/>
                <w:lang w:val="hu-HU"/>
              </w:rPr>
              <w:t>Placebo</w:t>
            </w:r>
          </w:p>
        </w:tc>
        <w:tc>
          <w:tcPr>
            <w:tcW w:w="900" w:type="dxa"/>
          </w:tcPr>
          <w:p w14:paraId="21059B89" w14:textId="77777777" w:rsidR="00E72311" w:rsidRPr="000F4DB4" w:rsidRDefault="00E72311" w:rsidP="00E72311">
            <w:pPr>
              <w:pStyle w:val="EMEANormal"/>
              <w:jc w:val="right"/>
              <w:rPr>
                <w:szCs w:val="22"/>
                <w:lang w:val="hu-HU"/>
              </w:rPr>
            </w:pPr>
            <w:r w:rsidRPr="000F4DB4">
              <w:rPr>
                <w:noProof/>
                <w:szCs w:val="22"/>
                <w:lang w:eastAsia="ko-KR"/>
              </w:rPr>
              <w:drawing>
                <wp:inline distT="0" distB="0" distL="0" distR="0" wp14:anchorId="1594CF97" wp14:editId="08ECA1EF">
                  <wp:extent cx="560705" cy="180975"/>
                  <wp:effectExtent l="0" t="0" r="0" b="9525"/>
                  <wp:docPr id="4" name="Picture 30"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993072" name="Picture 30" descr="Humira Uveitis Figure 5_2"/>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60705" cy="180975"/>
                          </a:xfrm>
                          <a:prstGeom prst="rect">
                            <a:avLst/>
                          </a:prstGeom>
                          <a:noFill/>
                          <a:ln>
                            <a:noFill/>
                          </a:ln>
                        </pic:spPr>
                      </pic:pic>
                    </a:graphicData>
                  </a:graphic>
                </wp:inline>
              </w:drawing>
            </w:r>
          </w:p>
        </w:tc>
        <w:tc>
          <w:tcPr>
            <w:tcW w:w="1890" w:type="dxa"/>
          </w:tcPr>
          <w:p w14:paraId="6F2C9E2C" w14:textId="77777777" w:rsidR="00E72311" w:rsidRPr="000F4DB4" w:rsidRDefault="00E72311" w:rsidP="00E72311">
            <w:pPr>
              <w:pStyle w:val="EMEANormal"/>
              <w:rPr>
                <w:szCs w:val="22"/>
                <w:lang w:val="hu-HU"/>
              </w:rPr>
            </w:pPr>
            <w:r w:rsidRPr="000F4DB4">
              <w:rPr>
                <w:szCs w:val="22"/>
                <w:lang w:val="hu-HU"/>
              </w:rPr>
              <w:t>Adalimumab</w:t>
            </w:r>
          </w:p>
        </w:tc>
      </w:tr>
    </w:tbl>
    <w:p w14:paraId="2ECA43B2" w14:textId="2E8AD668" w:rsidR="00130E8B" w:rsidRDefault="000405CC">
      <w:pPr>
        <w:pStyle w:val="a3"/>
        <w:rPr>
          <w:lang w:val="hu-HU"/>
        </w:rPr>
      </w:pPr>
      <w:r>
        <w:rPr>
          <w:rFonts w:eastAsia="Times New Roman"/>
          <w:lang w:val="hu-HU"/>
        </w:rPr>
        <w:t>Megjegyzés:</w:t>
      </w:r>
      <w:r w:rsidR="00A32721">
        <w:rPr>
          <w:rFonts w:eastAsia="Times New Roman"/>
          <w:lang w:val="hu-HU"/>
        </w:rPr>
        <w:t xml:space="preserve"> </w:t>
      </w:r>
      <w:r>
        <w:rPr>
          <w:rFonts w:eastAsia="Times New Roman"/>
          <w:lang w:val="hu-HU"/>
        </w:rPr>
        <w:t>P# = Placebo (Esemény száma/Veszélyeztetett betegek száma); A# = Adalimumab (Esemény száma/Veszélyeztetett betegek száma).</w:t>
      </w:r>
    </w:p>
    <w:p w14:paraId="2093DB08" w14:textId="77777777" w:rsidR="00130E8B" w:rsidRDefault="00130E8B">
      <w:pPr>
        <w:spacing w:before="3" w:line="110" w:lineRule="exact"/>
        <w:rPr>
          <w:sz w:val="11"/>
          <w:szCs w:val="11"/>
          <w:lang w:val="hu-HU"/>
        </w:rPr>
      </w:pPr>
    </w:p>
    <w:p w14:paraId="634693CD" w14:textId="77777777" w:rsidR="00130E8B" w:rsidRDefault="00130E8B">
      <w:pPr>
        <w:spacing w:line="200" w:lineRule="exact"/>
        <w:rPr>
          <w:sz w:val="20"/>
          <w:szCs w:val="20"/>
          <w:lang w:val="hu-HU"/>
        </w:rPr>
      </w:pPr>
    </w:p>
    <w:p w14:paraId="25A10DC5" w14:textId="67A23589" w:rsidR="00130E8B" w:rsidRDefault="000405CC">
      <w:pPr>
        <w:pStyle w:val="a3"/>
        <w:rPr>
          <w:lang w:val="hu-HU"/>
        </w:rPr>
      </w:pPr>
      <w:r>
        <w:rPr>
          <w:rFonts w:eastAsia="Times New Roman"/>
          <w:lang w:val="hu-HU"/>
        </w:rPr>
        <w:t>Az UV I vizsgálatban statisztikailag szignifikáns különbségeket figyeltek meg az adalimumab javára a placebóhoz képest a kezelés eredménytelenségének valamennyi komponensét tekintve. Az UV II vizsgálatban csak a látásélesség esetén figyeltek meg statisztikailag szignifikáns különbséget, de a többi komponens esetében is az adalimumab-kezelés számszerű előnye igazolódott.</w:t>
      </w:r>
    </w:p>
    <w:p w14:paraId="2E9A006E" w14:textId="77777777" w:rsidR="00130E8B" w:rsidRDefault="00130E8B">
      <w:pPr>
        <w:spacing w:before="13" w:line="240" w:lineRule="exact"/>
        <w:rPr>
          <w:sz w:val="24"/>
          <w:szCs w:val="24"/>
          <w:lang w:val="hu-HU"/>
        </w:rPr>
      </w:pPr>
    </w:p>
    <w:p w14:paraId="650F48D6" w14:textId="33075DBA" w:rsidR="00130E8B" w:rsidRDefault="000405CC">
      <w:pPr>
        <w:pStyle w:val="a3"/>
        <w:rPr>
          <w:lang w:val="hu-HU"/>
        </w:rPr>
      </w:pPr>
      <w:r>
        <w:rPr>
          <w:rFonts w:eastAsia="Times New Roman"/>
          <w:lang w:val="hu-HU"/>
        </w:rPr>
        <w:t xml:space="preserve">Az </w:t>
      </w:r>
      <w:r w:rsidR="00A32721">
        <w:rPr>
          <w:rFonts w:eastAsia="Times New Roman"/>
          <w:lang w:val="hu-HU"/>
        </w:rPr>
        <w:t xml:space="preserve">UV </w:t>
      </w:r>
      <w:r>
        <w:rPr>
          <w:rFonts w:eastAsia="Times New Roman"/>
          <w:lang w:val="hu-HU"/>
        </w:rPr>
        <w:t xml:space="preserve">I és </w:t>
      </w:r>
      <w:r w:rsidR="00A32721">
        <w:rPr>
          <w:rFonts w:eastAsia="Times New Roman"/>
          <w:lang w:val="hu-HU"/>
        </w:rPr>
        <w:t xml:space="preserve">UV </w:t>
      </w:r>
      <w:r>
        <w:rPr>
          <w:rFonts w:eastAsia="Times New Roman"/>
          <w:lang w:val="hu-HU"/>
        </w:rPr>
        <w:t xml:space="preserve">II vizsgálat nem kontrollos, hosszú távú kiterjesztésében résztvevő 424 beteg közül 60 bizonyult vizsgálatra alkalmatlannak (például adminisztratív eltérések miatt, vagy mert a diabéteszes retinopathia másodlagos komplikációi alakultak ki náluk, szürkehályog-műtét vagy vitrektómia következtében), és került kizárásra a hatásosság elsődleges elemzéséből. A 364 vizsgálatban maradó beteg közül 269 értékelésre alkalmas beteg (74%) érte el a 78 hetet a nyílt elrendezésű adalimumab-kezelés során. A megfigyelt adatok elemzése alapján 216 beteg (80,3%) volt nyugalmi állapotban (aktív gyulladásos elváltozás nélkül, elülső csarnoki sejtszint ≤ 0,5+, üvegtesti homály mértéke ≤ 0,5+), napi folyamatos ≤ 7,5 mg szteroid dózis mellett, és 178 beteg (66,2%) szteroidkezelés nélküli nyugalmi állapotban volt. A legjobb </w:t>
      </w:r>
      <w:r>
        <w:rPr>
          <w:rFonts w:eastAsia="Times New Roman"/>
          <w:lang w:val="hu-HU"/>
        </w:rPr>
        <w:lastRenderedPageBreak/>
        <w:t>korrigált látásélesség javult vagy változatlan maradt (kevesebb mint 5 értéket romlott) a szemek 88,6%-a esetében a 78. héten. A 78. hetet követően az adatok általában konzisztensek voltak ezekkel az eredményekkel, de a bevont betegek száma ez után az idő után csökkent. Összességében a vizsgálatot abbahagyó betegek 18%-a mellékhatások, 8%-a az adalimumab-kezelésre adott elégtelen válasz miatt hagyta abba a kezelést.</w:t>
      </w:r>
    </w:p>
    <w:p w14:paraId="166A2185" w14:textId="77777777" w:rsidR="00130E8B" w:rsidRDefault="00130E8B">
      <w:pPr>
        <w:pStyle w:val="a3"/>
        <w:rPr>
          <w:sz w:val="24"/>
          <w:szCs w:val="24"/>
          <w:lang w:val="hu-HU"/>
        </w:rPr>
      </w:pPr>
    </w:p>
    <w:p w14:paraId="0094B4C0" w14:textId="77777777" w:rsidR="00130E8B" w:rsidRDefault="000405CC">
      <w:pPr>
        <w:pStyle w:val="a3"/>
        <w:rPr>
          <w:rFonts w:eastAsia="Times New Roman"/>
          <w:lang w:val="hu-HU"/>
        </w:rPr>
      </w:pPr>
      <w:r>
        <w:rPr>
          <w:rFonts w:eastAsia="Times New Roman"/>
          <w:i/>
          <w:iCs/>
          <w:spacing w:val="-1"/>
          <w:u w:val="single" w:color="000000"/>
          <w:lang w:val="hu-HU"/>
        </w:rPr>
        <w:t>Életminőség</w:t>
      </w:r>
    </w:p>
    <w:p w14:paraId="63E6DD86" w14:textId="77777777" w:rsidR="00130E8B" w:rsidRDefault="00130E8B">
      <w:pPr>
        <w:pStyle w:val="a3"/>
        <w:rPr>
          <w:sz w:val="18"/>
          <w:szCs w:val="18"/>
          <w:lang w:val="hu-HU"/>
        </w:rPr>
      </w:pPr>
    </w:p>
    <w:p w14:paraId="2ACD4B3A" w14:textId="77777777" w:rsidR="00130E8B" w:rsidRDefault="000405CC">
      <w:pPr>
        <w:pStyle w:val="a3"/>
        <w:rPr>
          <w:lang w:val="hu-HU"/>
        </w:rPr>
      </w:pPr>
      <w:r>
        <w:rPr>
          <w:rFonts w:eastAsia="Times New Roman"/>
          <w:lang w:val="hu-HU"/>
        </w:rPr>
        <w:t xml:space="preserve">A betegek által jelentett, látásfunkcióval összefüggő kimenetelt mindkét vizsgálatban a NEI VFQ-25 (National Eye Institute Vizuális Funkciós Kérdőíve) felhasználásával mérték fel. Az adalimumab számszerű előnyt mutatott az alpontok többségében, és statisztikailag szignifikáns átlagos különbség mutatkozott a megszokott látás, szemfájdalom, közellátás, mentális egészség és az összpontszámok átlaga tekintetében az UV </w:t>
      </w:r>
      <w:r w:rsidR="00B07467" w:rsidRPr="009167C6">
        <w:rPr>
          <w:lang w:val="hu-HU"/>
        </w:rPr>
        <w:t> </w:t>
      </w:r>
      <w:r w:rsidR="00B07467" w:rsidDel="002A3904">
        <w:rPr>
          <w:rFonts w:eastAsia="Times New Roman"/>
          <w:b/>
          <w:bCs/>
          <w:lang w:val="hu-HU"/>
        </w:rPr>
        <w:t xml:space="preserve"> </w:t>
      </w:r>
      <w:r>
        <w:rPr>
          <w:rFonts w:eastAsia="Times New Roman"/>
          <w:lang w:val="hu-HU"/>
        </w:rPr>
        <w:t xml:space="preserve">I vizsgálatban, és a megszokott látás és mentális egészség vonatkozásában az UV </w:t>
      </w:r>
      <w:r w:rsidR="00B07467" w:rsidRPr="009167C6">
        <w:rPr>
          <w:lang w:val="hu-HU"/>
        </w:rPr>
        <w:t> </w:t>
      </w:r>
      <w:r w:rsidR="00B07467" w:rsidDel="002A3904">
        <w:rPr>
          <w:rFonts w:eastAsia="Times New Roman"/>
          <w:b/>
          <w:bCs/>
          <w:lang w:val="hu-HU"/>
        </w:rPr>
        <w:t xml:space="preserve"> </w:t>
      </w:r>
      <w:r>
        <w:rPr>
          <w:rFonts w:eastAsia="Times New Roman"/>
          <w:lang w:val="hu-HU"/>
        </w:rPr>
        <w:t xml:space="preserve">II vizsgálatban. A látással összefüggő hatások közül nem mutatott számszerű előnyt az adalimumab a színlátás vonatkozásában az UV </w:t>
      </w:r>
      <w:r w:rsidR="00B07467" w:rsidRPr="009167C6">
        <w:rPr>
          <w:lang w:val="hu-HU"/>
        </w:rPr>
        <w:t> </w:t>
      </w:r>
      <w:r w:rsidR="00B07467" w:rsidDel="002A3904">
        <w:rPr>
          <w:rFonts w:eastAsia="Times New Roman"/>
          <w:b/>
          <w:bCs/>
          <w:lang w:val="hu-HU"/>
        </w:rPr>
        <w:t xml:space="preserve"> </w:t>
      </w:r>
      <w:r>
        <w:rPr>
          <w:rFonts w:eastAsia="Times New Roman"/>
          <w:lang w:val="hu-HU"/>
        </w:rPr>
        <w:t>I vizsgálatban és a színlátás, a perifériás látás és a közellátás vonatkozásában az UV II vizsgálatban.</w:t>
      </w:r>
    </w:p>
    <w:p w14:paraId="20CBC471" w14:textId="77777777" w:rsidR="00130E8B" w:rsidRDefault="00130E8B">
      <w:pPr>
        <w:pStyle w:val="a3"/>
        <w:rPr>
          <w:sz w:val="24"/>
          <w:szCs w:val="24"/>
          <w:lang w:val="hu-HU"/>
        </w:rPr>
      </w:pPr>
    </w:p>
    <w:p w14:paraId="7530858F" w14:textId="77777777" w:rsidR="00130E8B" w:rsidRDefault="000405CC">
      <w:pPr>
        <w:pStyle w:val="a3"/>
        <w:rPr>
          <w:u w:val="single" w:color="000000"/>
          <w:lang w:val="hu-HU"/>
        </w:rPr>
      </w:pPr>
      <w:r>
        <w:rPr>
          <w:rFonts w:eastAsia="Times New Roman"/>
          <w:u w:val="single" w:color="000000"/>
          <w:lang w:val="hu-HU"/>
        </w:rPr>
        <w:t>Immunogenitás</w:t>
      </w:r>
    </w:p>
    <w:p w14:paraId="6180ADC4" w14:textId="77777777" w:rsidR="00130E8B" w:rsidRDefault="00130E8B">
      <w:pPr>
        <w:spacing w:before="1" w:line="180" w:lineRule="exact"/>
        <w:rPr>
          <w:sz w:val="18"/>
          <w:szCs w:val="18"/>
          <w:lang w:val="hu-HU" w:eastAsia="ko-KR"/>
        </w:rPr>
      </w:pPr>
    </w:p>
    <w:p w14:paraId="66AECE3F" w14:textId="77777777" w:rsidR="00516230" w:rsidRPr="00516230" w:rsidRDefault="00516230" w:rsidP="00516230">
      <w:pPr>
        <w:widowControl/>
        <w:suppressAutoHyphens/>
        <w:rPr>
          <w:rFonts w:ascii="Times New Roman" w:eastAsia="바탕" w:hAnsi="Times New Roman" w:cs="Times New Roman"/>
          <w:lang w:val="hu-HU" w:eastAsia="hu-HU"/>
        </w:rPr>
      </w:pPr>
      <w:r w:rsidRPr="00516230">
        <w:rPr>
          <w:rFonts w:ascii="Times New Roman" w:eastAsia="바탕" w:hAnsi="Times New Roman" w:cs="Times New Roman"/>
          <w:lang w:val="hu-HU" w:eastAsia="hu-HU"/>
        </w:rPr>
        <w:t>Adalimumab</w:t>
      </w:r>
      <w:r w:rsidRPr="00516230">
        <w:rPr>
          <w:rFonts w:ascii="Times New Roman" w:eastAsia="바탕" w:hAnsi="Times New Roman" w:cs="Times New Roman"/>
          <w:lang w:val="hu-HU" w:eastAsia="hu-HU"/>
        </w:rPr>
        <w:noBreakHyphen/>
        <w:t>ellenes antiestek képződése az adalimumab clearance</w:t>
      </w:r>
      <w:r w:rsidRPr="00516230">
        <w:rPr>
          <w:rFonts w:ascii="Times New Roman" w:eastAsia="바탕" w:hAnsi="Times New Roman" w:cs="Times New Roman"/>
          <w:lang w:val="hu-HU" w:eastAsia="hu-HU"/>
        </w:rPr>
        <w:noBreakHyphen/>
        <w:t>ének növekedésével és a hatásosságának csökkenésével jár. Az adalimumab</w:t>
      </w:r>
      <w:r w:rsidRPr="00516230">
        <w:rPr>
          <w:rFonts w:ascii="Times New Roman" w:eastAsia="바탕" w:hAnsi="Times New Roman" w:cs="Times New Roman"/>
          <w:lang w:val="hu-HU" w:eastAsia="hu-HU"/>
        </w:rPr>
        <w:noBreakHyphen/>
        <w:t>ellenes antitestek jelenléte és a mellékhatások előfordulása között nincs nyilvánvaló összefüggés.</w:t>
      </w:r>
    </w:p>
    <w:p w14:paraId="5B2B2BE4" w14:textId="77777777" w:rsidR="00516230" w:rsidRPr="00516230" w:rsidRDefault="00516230" w:rsidP="00516230">
      <w:pPr>
        <w:widowControl/>
        <w:suppressAutoHyphens/>
        <w:rPr>
          <w:rFonts w:ascii="Times New Roman" w:eastAsia="바탕" w:hAnsi="Times New Roman" w:cs="Times New Roman"/>
          <w:lang w:val="hu-HU" w:eastAsia="hu-HU"/>
        </w:rPr>
      </w:pPr>
    </w:p>
    <w:p w14:paraId="223F9DFA" w14:textId="77777777" w:rsidR="00516230" w:rsidRPr="00516230" w:rsidRDefault="00516230" w:rsidP="00516230">
      <w:pPr>
        <w:widowControl/>
        <w:suppressAutoHyphens/>
        <w:rPr>
          <w:rFonts w:ascii="Times New Roman" w:eastAsia="바탕" w:hAnsi="Times New Roman" w:cs="Times New Roman"/>
          <w:lang w:val="hu-HU" w:eastAsia="hu-HU"/>
        </w:rPr>
      </w:pPr>
      <w:r w:rsidRPr="00516230">
        <w:rPr>
          <w:rFonts w:ascii="Times New Roman" w:eastAsia="바탕" w:hAnsi="Times New Roman" w:cs="Times New Roman"/>
          <w:lang w:val="hu-HU" w:eastAsia="hu-HU"/>
        </w:rPr>
        <w:t>A reumatoid arthritis I, II és III vizsgálatban a betegeknél több időpontban vizsgálták az adalimumab</w:t>
      </w:r>
      <w:r w:rsidRPr="00516230">
        <w:rPr>
          <w:rFonts w:ascii="Times New Roman" w:eastAsia="바탕" w:hAnsi="Times New Roman" w:cs="Times New Roman"/>
          <w:lang w:val="hu-HU" w:eastAsia="hu-HU"/>
        </w:rPr>
        <w:noBreakHyphen/>
        <w:t>ellenes antitestek jelenlétét a 6 – 12 hónapos időszak folyamán. A pivotális vizsgálatokban adalimumab</w:t>
      </w:r>
      <w:r w:rsidRPr="00516230">
        <w:rPr>
          <w:rFonts w:ascii="Times New Roman" w:eastAsia="바탕" w:hAnsi="Times New Roman" w:cs="Times New Roman"/>
          <w:lang w:val="hu-HU" w:eastAsia="hu-HU"/>
        </w:rPr>
        <w:noBreakHyphen/>
        <w:t>ellenes antitesteket az adalimumabbal kezelt betegek 5,5%</w:t>
      </w:r>
      <w:r w:rsidRPr="00516230">
        <w:rPr>
          <w:rFonts w:ascii="Times New Roman" w:eastAsia="바탕" w:hAnsi="Times New Roman" w:cs="Times New Roman"/>
          <w:lang w:val="hu-HU" w:eastAsia="hu-HU"/>
        </w:rPr>
        <w:noBreakHyphen/>
        <w:t>ánál (58/1053) észleltek, szemben a placebocsoportban észlelt 0,5%</w:t>
      </w:r>
      <w:r w:rsidRPr="00516230">
        <w:rPr>
          <w:rFonts w:ascii="Times New Roman" w:eastAsia="바탕" w:hAnsi="Times New Roman" w:cs="Times New Roman"/>
          <w:lang w:val="hu-HU" w:eastAsia="hu-HU"/>
        </w:rPr>
        <w:noBreakHyphen/>
        <w:t>kal (2/370). Az egyidejűleg metotrexát</w:t>
      </w:r>
      <w:r w:rsidRPr="00516230">
        <w:rPr>
          <w:rFonts w:ascii="Times New Roman" w:eastAsia="바탕" w:hAnsi="Times New Roman" w:cs="Times New Roman"/>
          <w:lang w:val="hu-HU" w:eastAsia="hu-HU"/>
        </w:rPr>
        <w:noBreakHyphen/>
        <w:t>kezelésben nem részesült betegeknél az incidencia 12,4% volt, szemben a 0,6%</w:t>
      </w:r>
      <w:r w:rsidRPr="00516230">
        <w:rPr>
          <w:rFonts w:ascii="Times New Roman" w:eastAsia="바탕" w:hAnsi="Times New Roman" w:cs="Times New Roman"/>
          <w:lang w:val="hu-HU" w:eastAsia="hu-HU"/>
        </w:rPr>
        <w:noBreakHyphen/>
        <w:t>os incidenciával azoknál, akiknél az adalimumabot a metotrexát</w:t>
      </w:r>
      <w:r w:rsidRPr="00516230">
        <w:rPr>
          <w:rFonts w:ascii="Times New Roman" w:eastAsia="바탕" w:hAnsi="Times New Roman" w:cs="Times New Roman"/>
          <w:lang w:val="hu-HU" w:eastAsia="hu-HU"/>
        </w:rPr>
        <w:noBreakHyphen/>
        <w:t>kezeléssel kombinációban alkalmazták.</w:t>
      </w:r>
    </w:p>
    <w:p w14:paraId="7D9C329E" w14:textId="77777777" w:rsidR="00516230" w:rsidRPr="00516230" w:rsidRDefault="00516230" w:rsidP="00516230">
      <w:pPr>
        <w:widowControl/>
        <w:suppressAutoHyphens/>
        <w:rPr>
          <w:rFonts w:ascii="Times New Roman" w:eastAsia="바탕" w:hAnsi="Times New Roman" w:cs="Times New Roman"/>
          <w:lang w:val="hu-HU" w:eastAsia="hu-HU"/>
        </w:rPr>
      </w:pPr>
    </w:p>
    <w:p w14:paraId="6C4EDD71" w14:textId="77777777" w:rsidR="00516230" w:rsidRPr="00516230" w:rsidRDefault="00516230" w:rsidP="00516230">
      <w:pPr>
        <w:widowControl/>
        <w:suppressAutoHyphens/>
        <w:rPr>
          <w:rFonts w:ascii="Times New Roman" w:eastAsia="바탕" w:hAnsi="Times New Roman" w:cs="Times New Roman"/>
          <w:lang w:val="hu-HU" w:eastAsia="hu-HU"/>
        </w:rPr>
      </w:pPr>
      <w:r w:rsidRPr="00516230">
        <w:rPr>
          <w:rFonts w:ascii="Times New Roman" w:eastAsia="바탕" w:hAnsi="Times New Roman" w:cs="Times New Roman"/>
          <w:lang w:val="hu-HU" w:eastAsia="hu-HU"/>
        </w:rPr>
        <w:t>A 269, Crohn</w:t>
      </w:r>
      <w:r w:rsidRPr="00516230">
        <w:rPr>
          <w:rFonts w:ascii="Times New Roman" w:eastAsia="바탕" w:hAnsi="Times New Roman" w:cs="Times New Roman"/>
          <w:lang w:val="hu-HU" w:eastAsia="hu-HU"/>
        </w:rPr>
        <w:noBreakHyphen/>
        <w:t xml:space="preserve">betegségben szenvedő beteg közül 7 (2,6%) és 487, colitis ulcerosában szenvedő beteg közül 19 (3,9%) szérumában mutattak ki adalimumab-ellenes antitesteket. </w:t>
      </w:r>
    </w:p>
    <w:p w14:paraId="2892369B" w14:textId="77777777" w:rsidR="00516230" w:rsidRPr="00516230" w:rsidRDefault="00516230" w:rsidP="00516230">
      <w:pPr>
        <w:widowControl/>
        <w:suppressAutoHyphens/>
        <w:rPr>
          <w:rFonts w:ascii="Times New Roman" w:eastAsia="바탕" w:hAnsi="Times New Roman" w:cs="Times New Roman"/>
          <w:lang w:val="hu-HU" w:eastAsia="hu-HU"/>
        </w:rPr>
      </w:pPr>
    </w:p>
    <w:p w14:paraId="0C45AA35" w14:textId="77777777" w:rsidR="00516230" w:rsidRPr="00516230" w:rsidRDefault="00516230" w:rsidP="00516230">
      <w:pPr>
        <w:widowControl/>
        <w:suppressAutoHyphens/>
        <w:rPr>
          <w:rFonts w:ascii="Times New Roman" w:eastAsia="바탕" w:hAnsi="Times New Roman" w:cs="Times New Roman"/>
          <w:lang w:val="hu-HU" w:eastAsia="hu-HU"/>
        </w:rPr>
      </w:pPr>
      <w:r w:rsidRPr="00516230">
        <w:rPr>
          <w:rFonts w:ascii="Times New Roman" w:eastAsia="바탕" w:hAnsi="Times New Roman" w:cs="Times New Roman"/>
          <w:lang w:val="hu-HU" w:eastAsia="hu-HU"/>
        </w:rPr>
        <w:t>Psoriasisos felnőtt betegek körében 77/920 adalimumab-monoterápiával kezelt beteg esetében (8,4%) mutattak ki adalimumab-ellenes antitesteket.</w:t>
      </w:r>
    </w:p>
    <w:p w14:paraId="679F7B2F" w14:textId="77777777" w:rsidR="00516230" w:rsidRPr="00516230" w:rsidRDefault="00516230" w:rsidP="00516230">
      <w:pPr>
        <w:widowControl/>
        <w:suppressAutoHyphens/>
        <w:rPr>
          <w:rFonts w:ascii="Times New Roman" w:eastAsia="바탕" w:hAnsi="Times New Roman" w:cs="Times New Roman"/>
          <w:lang w:val="hu-HU" w:eastAsia="hu-HU"/>
        </w:rPr>
      </w:pPr>
    </w:p>
    <w:p w14:paraId="6C45A24C" w14:textId="77777777" w:rsidR="00516230" w:rsidRPr="00516230" w:rsidRDefault="00516230" w:rsidP="00516230">
      <w:pPr>
        <w:widowControl/>
        <w:suppressAutoHyphens/>
        <w:rPr>
          <w:rFonts w:ascii="Times New Roman" w:eastAsia="바탕" w:hAnsi="Times New Roman" w:cs="Times New Roman"/>
          <w:lang w:val="hu-HU" w:eastAsia="hu-HU"/>
        </w:rPr>
      </w:pPr>
      <w:r w:rsidRPr="00516230">
        <w:rPr>
          <w:rFonts w:ascii="Times New Roman" w:eastAsia="바탕" w:hAnsi="Times New Roman" w:cs="Times New Roman"/>
          <w:lang w:val="hu-HU" w:eastAsia="hu-HU"/>
        </w:rPr>
        <w:t>Azoknál a hosszú időn át adalimumab-monoterápiát kapó, plakkos psoriasisos felnőtt betegeknél, akik részt vettek a kezelés abbahagyását, majd újrakezdését értékelő vizsgálatban, az újrakezdést követően az adalimumab</w:t>
      </w:r>
      <w:r w:rsidRPr="00516230">
        <w:rPr>
          <w:rFonts w:ascii="Times New Roman" w:eastAsia="바탕" w:hAnsi="Times New Roman" w:cs="Times New Roman"/>
          <w:lang w:val="hu-HU" w:eastAsia="hu-HU"/>
        </w:rPr>
        <w:noBreakHyphen/>
        <w:t>ellenes antitestek aránya (482 beteg közüll 11; 2,3%) hasonló volt a kezelés abbahagyása előtti arányhoz (590 beteg közül 11; 1,9%).</w:t>
      </w:r>
    </w:p>
    <w:p w14:paraId="467030D9" w14:textId="77777777" w:rsidR="00516230" w:rsidRPr="00516230" w:rsidRDefault="00516230" w:rsidP="00516230">
      <w:pPr>
        <w:widowControl/>
        <w:suppressAutoHyphens/>
        <w:rPr>
          <w:rFonts w:ascii="Times New Roman" w:eastAsia="바탕" w:hAnsi="Times New Roman" w:cs="Times New Roman"/>
          <w:lang w:val="hu-HU" w:eastAsia="hu-HU"/>
        </w:rPr>
      </w:pPr>
    </w:p>
    <w:p w14:paraId="590EDCC2" w14:textId="77777777" w:rsidR="00516230" w:rsidRPr="00516230" w:rsidRDefault="00516230" w:rsidP="00516230">
      <w:pPr>
        <w:widowControl/>
        <w:suppressAutoHyphens/>
        <w:rPr>
          <w:rFonts w:ascii="Times New Roman" w:eastAsia="바탕" w:hAnsi="Times New Roman" w:cs="Times New Roman"/>
          <w:lang w:val="hu-HU" w:eastAsia="hu-HU"/>
        </w:rPr>
      </w:pPr>
      <w:r w:rsidRPr="00516230">
        <w:rPr>
          <w:rFonts w:ascii="Times New Roman" w:eastAsia="바탕" w:hAnsi="Times New Roman" w:cs="Times New Roman"/>
          <w:lang w:val="hu-HU" w:eastAsia="hu-HU"/>
        </w:rPr>
        <w:t>A közepesen súlyos, súlyos hidradenitis suppurativában szenvedő, adalimumabbal kezelt betegek 10,1%</w:t>
      </w:r>
      <w:r w:rsidRPr="00516230">
        <w:rPr>
          <w:rFonts w:ascii="Times New Roman" w:eastAsia="바탕" w:hAnsi="Times New Roman" w:cs="Times New Roman"/>
          <w:lang w:val="hu-HU" w:eastAsia="hu-HU"/>
        </w:rPr>
        <w:noBreakHyphen/>
        <w:t>ánál (10/99 betegnél) azonosítottak adalimumab</w:t>
      </w:r>
      <w:r w:rsidRPr="00516230">
        <w:rPr>
          <w:rFonts w:ascii="Times New Roman" w:eastAsia="바탕" w:hAnsi="Times New Roman" w:cs="Times New Roman"/>
          <w:lang w:val="hu-HU" w:eastAsia="hu-HU"/>
        </w:rPr>
        <w:noBreakHyphen/>
        <w:t>ellenes antitesteket.</w:t>
      </w:r>
    </w:p>
    <w:p w14:paraId="2A37D5D8" w14:textId="77777777" w:rsidR="00516230" w:rsidRPr="00516230" w:rsidRDefault="00516230" w:rsidP="002C78FA">
      <w:pPr>
        <w:rPr>
          <w:rFonts w:ascii="Times New Roman" w:eastAsia="바탕" w:hAnsi="Times New Roman" w:cs="Times New Roman"/>
          <w:noProof/>
          <w:szCs w:val="24"/>
          <w:lang w:val="hu-HU" w:eastAsia="hu-HU"/>
        </w:rPr>
      </w:pPr>
    </w:p>
    <w:p w14:paraId="3B13915E" w14:textId="77777777" w:rsidR="00516230" w:rsidRPr="00516230" w:rsidRDefault="00516230" w:rsidP="00516230">
      <w:pPr>
        <w:widowControl/>
        <w:suppressAutoHyphens/>
        <w:rPr>
          <w:rFonts w:ascii="Times New Roman" w:eastAsia="바탕" w:hAnsi="Times New Roman" w:cs="Times New Roman"/>
          <w:lang w:val="hu-HU" w:eastAsia="hu-HU"/>
        </w:rPr>
      </w:pPr>
      <w:r w:rsidRPr="00516230">
        <w:rPr>
          <w:rFonts w:ascii="Times New Roman" w:eastAsia="바탕" w:hAnsi="Times New Roman" w:cs="Times New Roman"/>
          <w:lang w:val="hu-HU" w:eastAsia="hu-HU"/>
        </w:rPr>
        <w:t>Közepesen súlyos - súlyos aktivitású Crohn</w:t>
      </w:r>
      <w:r w:rsidRPr="00516230">
        <w:rPr>
          <w:rFonts w:ascii="Times New Roman" w:eastAsia="바탕" w:hAnsi="Times New Roman" w:cs="Times New Roman"/>
          <w:lang w:val="hu-HU" w:eastAsia="hu-HU"/>
        </w:rPr>
        <w:noBreakHyphen/>
        <w:t>betegségben szenvedő gyermekeknél az adalimumab-ellenes antitest kialakulásának aránya adalimumabot kapó betegeknél 3,3% volt.</w:t>
      </w:r>
    </w:p>
    <w:p w14:paraId="78BC8B14" w14:textId="77777777" w:rsidR="00516230" w:rsidRPr="00516230" w:rsidRDefault="00516230" w:rsidP="00516230">
      <w:pPr>
        <w:widowControl/>
        <w:suppressAutoHyphens/>
        <w:rPr>
          <w:rFonts w:ascii="Times New Roman" w:eastAsia="바탕" w:hAnsi="Times New Roman" w:cs="Times New Roman"/>
          <w:lang w:val="hu-HU" w:eastAsia="hu-HU"/>
        </w:rPr>
      </w:pPr>
    </w:p>
    <w:p w14:paraId="7430667D" w14:textId="77777777" w:rsidR="00516230" w:rsidRPr="00516230" w:rsidRDefault="00516230" w:rsidP="00516230">
      <w:pPr>
        <w:widowControl/>
        <w:suppressAutoHyphens/>
        <w:rPr>
          <w:rFonts w:ascii="Times New Roman" w:eastAsia="바탕" w:hAnsi="Times New Roman" w:cs="Times New Roman"/>
          <w:lang w:val="hu-HU" w:eastAsia="hu-HU"/>
        </w:rPr>
      </w:pPr>
      <w:r w:rsidRPr="00516230">
        <w:rPr>
          <w:rFonts w:ascii="Times New Roman" w:eastAsia="바탕" w:hAnsi="Times New Roman" w:cs="Times New Roman"/>
          <w:lang w:val="hu-HU" w:eastAsia="hu-HU"/>
        </w:rPr>
        <w:t>A nem fertőzéses eredetű uveitisben szenvedő, adalimumabbal kezelt felnőtt betegek 4,8%</w:t>
      </w:r>
      <w:r w:rsidRPr="00516230">
        <w:rPr>
          <w:rFonts w:ascii="Times New Roman" w:eastAsia="바탕" w:hAnsi="Times New Roman" w:cs="Times New Roman"/>
          <w:lang w:val="hu-HU" w:eastAsia="hu-HU"/>
        </w:rPr>
        <w:noBreakHyphen/>
        <w:t>ánál (12/249) azonosítottak adalimumab</w:t>
      </w:r>
      <w:r w:rsidRPr="00516230">
        <w:rPr>
          <w:rFonts w:ascii="Times New Roman" w:eastAsia="바탕" w:hAnsi="Times New Roman" w:cs="Times New Roman"/>
          <w:lang w:val="hu-HU" w:eastAsia="hu-HU"/>
        </w:rPr>
        <w:noBreakHyphen/>
        <w:t>ellenes antitesteket.</w:t>
      </w:r>
    </w:p>
    <w:p w14:paraId="7FD8BCB9" w14:textId="77777777" w:rsidR="00516230" w:rsidRPr="00516230" w:rsidRDefault="00516230" w:rsidP="00516230">
      <w:pPr>
        <w:widowControl/>
        <w:suppressAutoHyphens/>
        <w:rPr>
          <w:rFonts w:ascii="Times New Roman" w:eastAsia="바탕" w:hAnsi="Times New Roman" w:cs="Times New Roman"/>
          <w:lang w:val="hu-HU" w:eastAsia="hu-HU"/>
        </w:rPr>
      </w:pPr>
    </w:p>
    <w:p w14:paraId="38CCF407" w14:textId="77777777" w:rsidR="00516230" w:rsidRPr="00516230" w:rsidRDefault="00516230" w:rsidP="00516230">
      <w:pPr>
        <w:widowControl/>
        <w:suppressAutoHyphens/>
        <w:rPr>
          <w:rFonts w:ascii="Times New Roman" w:eastAsia="바탕" w:hAnsi="Times New Roman" w:cs="Times New Roman"/>
          <w:szCs w:val="20"/>
          <w:lang w:val="hu-HU" w:eastAsia="hu-HU"/>
        </w:rPr>
      </w:pPr>
      <w:r w:rsidRPr="00516230">
        <w:rPr>
          <w:rFonts w:ascii="Times New Roman" w:eastAsia="바탕" w:hAnsi="Times New Roman" w:cs="Times New Roman"/>
          <w:szCs w:val="20"/>
          <w:lang w:val="hu-HU" w:eastAsia="hu-HU"/>
        </w:rPr>
        <w:t xml:space="preserve">Közepesen súlyos </w:t>
      </w:r>
      <w:bookmarkStart w:id="9" w:name="_Hlk53384847"/>
      <w:r w:rsidRPr="00516230">
        <w:rPr>
          <w:rFonts w:ascii="Times New Roman" w:eastAsia="바탕" w:hAnsi="Times New Roman" w:cs="Times New Roman"/>
          <w:szCs w:val="20"/>
          <w:lang w:val="hu-HU" w:eastAsia="hu-HU"/>
        </w:rPr>
        <w:t>–</w:t>
      </w:r>
      <w:bookmarkEnd w:id="9"/>
      <w:r w:rsidRPr="00516230">
        <w:rPr>
          <w:rFonts w:ascii="Times New Roman" w:eastAsia="바탕" w:hAnsi="Times New Roman" w:cs="Times New Roman"/>
          <w:szCs w:val="20"/>
          <w:lang w:val="hu-HU" w:eastAsia="hu-HU"/>
        </w:rPr>
        <w:t xml:space="preserve"> súlyos aktivitású gyermek- es serdülőkori colitis ulcerosában szenvedő betegeknél az adalimumab elleni antitestek kialakulásának aránya az adalimumabbal kezelt betegeknél 3% volt.</w:t>
      </w:r>
    </w:p>
    <w:p w14:paraId="29BA7CE6" w14:textId="77777777" w:rsidR="00516230" w:rsidRPr="00516230" w:rsidRDefault="00516230" w:rsidP="00516230">
      <w:pPr>
        <w:widowControl/>
        <w:suppressAutoHyphens/>
        <w:rPr>
          <w:rFonts w:ascii="Times New Roman" w:eastAsia="바탕" w:hAnsi="Times New Roman" w:cs="Times New Roman"/>
          <w:lang w:val="hu-HU" w:eastAsia="hu-HU"/>
        </w:rPr>
      </w:pPr>
    </w:p>
    <w:p w14:paraId="254A2A36" w14:textId="40FD2FC8" w:rsidR="00130E8B" w:rsidRDefault="00516230">
      <w:pPr>
        <w:pStyle w:val="a3"/>
        <w:rPr>
          <w:lang w:val="hu-HU"/>
        </w:rPr>
      </w:pPr>
      <w:r w:rsidRPr="00516230">
        <w:rPr>
          <w:rFonts w:eastAsia="바탕"/>
          <w:lang w:val="hu-HU" w:eastAsia="hu-HU"/>
        </w:rPr>
        <w:t>Az immunogenitási vizsgálatok termékspecifikusak, így az antitestráták összehasonlítása más termékekével nem helyes</w:t>
      </w:r>
      <w:r w:rsidR="000405CC">
        <w:rPr>
          <w:rFonts w:eastAsia="Times New Roman"/>
          <w:lang w:val="hu-HU"/>
        </w:rPr>
        <w:t>.</w:t>
      </w:r>
    </w:p>
    <w:p w14:paraId="29423123" w14:textId="77777777" w:rsidR="00130E8B" w:rsidRDefault="00130E8B">
      <w:pPr>
        <w:pStyle w:val="a3"/>
        <w:rPr>
          <w:lang w:val="hu-HU"/>
        </w:rPr>
      </w:pPr>
    </w:p>
    <w:p w14:paraId="6B63C52F" w14:textId="77777777" w:rsidR="00B07467" w:rsidRPr="009167C6" w:rsidRDefault="00B07467">
      <w:pPr>
        <w:spacing w:before="1" w:line="180" w:lineRule="exact"/>
        <w:rPr>
          <w:rFonts w:ascii="Times New Roman" w:eastAsia="Times New Roman" w:hAnsi="Times New Roman" w:cs="Times New Roman"/>
          <w:u w:val="single" w:color="000000"/>
          <w:lang w:val="hu-HU"/>
        </w:rPr>
      </w:pPr>
      <w:r w:rsidRPr="009167C6">
        <w:rPr>
          <w:rFonts w:ascii="Times New Roman" w:eastAsia="Times New Roman" w:hAnsi="Times New Roman" w:cs="Times New Roman"/>
          <w:u w:val="single" w:color="000000"/>
          <w:lang w:val="hu-HU"/>
        </w:rPr>
        <w:lastRenderedPageBreak/>
        <w:t>Gyermekek és serdülők</w:t>
      </w:r>
    </w:p>
    <w:p w14:paraId="5BDCEEBF" w14:textId="776AB62C" w:rsidR="00130E8B" w:rsidRDefault="00130E8B">
      <w:pPr>
        <w:spacing w:before="1" w:line="180" w:lineRule="exact"/>
        <w:rPr>
          <w:sz w:val="18"/>
          <w:szCs w:val="18"/>
          <w:lang w:val="hu-HU"/>
        </w:rPr>
      </w:pPr>
    </w:p>
    <w:p w14:paraId="5B87F16D" w14:textId="77777777" w:rsidR="00417A10" w:rsidRDefault="00417A10" w:rsidP="00417A10">
      <w:pPr>
        <w:pStyle w:val="a3"/>
        <w:rPr>
          <w:rFonts w:eastAsia="Times New Roman"/>
          <w:i/>
          <w:spacing w:val="-1"/>
          <w:lang w:val="hu-HU"/>
        </w:rPr>
      </w:pPr>
      <w:r>
        <w:rPr>
          <w:rFonts w:eastAsia="Times New Roman"/>
          <w:i/>
          <w:iCs/>
          <w:spacing w:val="-1"/>
          <w:lang w:val="hu-HU"/>
        </w:rPr>
        <w:t>Juvenilis idiopathiás arthritis (JIA)</w:t>
      </w:r>
    </w:p>
    <w:p w14:paraId="0945D4A4" w14:textId="77777777" w:rsidR="00417A10" w:rsidRDefault="00417A10" w:rsidP="00417A10">
      <w:pPr>
        <w:pStyle w:val="a3"/>
        <w:rPr>
          <w:rFonts w:eastAsia="Times New Roman"/>
          <w:i/>
          <w:spacing w:val="-1"/>
          <w:u w:val="single" w:color="000000"/>
          <w:lang w:val="hu-HU"/>
        </w:rPr>
      </w:pPr>
    </w:p>
    <w:p w14:paraId="56FB5C96" w14:textId="77777777" w:rsidR="00417A10" w:rsidRDefault="00417A10" w:rsidP="00417A10">
      <w:pPr>
        <w:pStyle w:val="a3"/>
        <w:rPr>
          <w:rFonts w:eastAsia="Times New Roman"/>
          <w:lang w:val="hu-HU"/>
        </w:rPr>
      </w:pPr>
      <w:r>
        <w:rPr>
          <w:rFonts w:eastAsia="Times New Roman"/>
          <w:i/>
          <w:iCs/>
          <w:spacing w:val="-1"/>
          <w:u w:val="single" w:color="000000"/>
          <w:lang w:val="hu-HU"/>
        </w:rPr>
        <w:t>Poliartikuláris juvenilis idiopathiás arthritis (pJIA)</w:t>
      </w:r>
    </w:p>
    <w:p w14:paraId="041BCB80" w14:textId="77777777" w:rsidR="00417A10" w:rsidRDefault="00417A10" w:rsidP="00417A10">
      <w:pPr>
        <w:pStyle w:val="a3"/>
        <w:rPr>
          <w:lang w:val="hu-HU"/>
        </w:rPr>
      </w:pPr>
      <w:r>
        <w:rPr>
          <w:rFonts w:eastAsia="Times New Roman"/>
          <w:lang w:val="hu-HU"/>
        </w:rPr>
        <w:t>Az adalimumab biztonságosságát és hatásosságát két vizsgálatban (pJIA I és II) értékelték aktív polyarticularis juvenilis idiopathiás arthritisben szenvedő gyermekeknél, akiknél a JIA kezdeti formája eltért (leggyakrabban rheumatoid faktor pozitív vagy negatív polyarthritis és extendált oligoarthritis fordult elő).</w:t>
      </w:r>
    </w:p>
    <w:p w14:paraId="395A9B48" w14:textId="77777777" w:rsidR="00417A10" w:rsidRDefault="00417A10" w:rsidP="00417A10">
      <w:pPr>
        <w:pStyle w:val="a3"/>
        <w:rPr>
          <w:sz w:val="24"/>
          <w:szCs w:val="24"/>
          <w:lang w:val="hu-HU"/>
        </w:rPr>
      </w:pPr>
    </w:p>
    <w:p w14:paraId="6403F252" w14:textId="77777777" w:rsidR="00417A10" w:rsidRDefault="00417A10" w:rsidP="00417A10">
      <w:pPr>
        <w:pStyle w:val="a3"/>
        <w:rPr>
          <w:lang w:val="hu-HU"/>
        </w:rPr>
      </w:pPr>
      <w:r>
        <w:rPr>
          <w:rFonts w:eastAsia="Times New Roman"/>
          <w:lang w:val="hu-HU"/>
        </w:rPr>
        <w:t>pJIA I</w:t>
      </w:r>
    </w:p>
    <w:p w14:paraId="0674137A" w14:textId="77777777" w:rsidR="00417A10" w:rsidRDefault="00417A10" w:rsidP="00417A10">
      <w:pPr>
        <w:pStyle w:val="a3"/>
        <w:rPr>
          <w:sz w:val="18"/>
          <w:szCs w:val="18"/>
          <w:lang w:val="hu-HU"/>
        </w:rPr>
      </w:pPr>
    </w:p>
    <w:p w14:paraId="2E1BE113" w14:textId="2F48263D" w:rsidR="00417A10" w:rsidRDefault="00417A10" w:rsidP="00417A10">
      <w:pPr>
        <w:pStyle w:val="a3"/>
        <w:rPr>
          <w:rFonts w:eastAsia="Times New Roman"/>
          <w:lang w:val="hu-HU"/>
        </w:rPr>
      </w:pPr>
      <w:r>
        <w:rPr>
          <w:rFonts w:eastAsia="Times New Roman"/>
          <w:lang w:val="hu-HU"/>
        </w:rPr>
        <w:t>Az adalimumab biztonságosságát és hatásosságát egy multicentrikus, randomizált, kettős vak, párhuzamos csoportos vizsgálatban értékelték 171 (4 – 17 éves) polyarticularis JIA-ban szenvedő gyermek esetében. A nyílt elrendezésű bevezetési szakaszban (OL LI) részt vevő betegeket két csoportba, a MTX-tal (metotrexát) kezelt és MTX-tal nem kezelt csoportba különítették el. A nem-MTX csoportba azok a betegek tartoztak, akik korábban még nem részesültek MTX-kezelésben (naive), vagy a vizsgálati gyógyszer alkalmazása előtt legalább két héttel abbahagyták a MTX-kezelésüket. A betegeknél továbbra is stabil dózisokban alkalmaztak nem szteroid gyulladásgátlókat (NSAID) és/vagy prednizont (</w:t>
      </w:r>
      <w:r>
        <w:rPr>
          <w:rFonts w:ascii="Symbol" w:eastAsia="Symbol" w:hAnsi="Symbol" w:cs="Symbol"/>
          <w:lang w:val="hu-HU"/>
        </w:rPr>
        <w:sym w:font="Symbol" w:char="F0A3"/>
      </w:r>
      <w:r>
        <w:rPr>
          <w:rFonts w:ascii="Symbol" w:eastAsia="Symbol" w:hAnsi="Symbol" w:cs="Symbol"/>
          <w:lang w:val="hu-HU"/>
        </w:rPr>
        <w:sym w:font="Symbol" w:char="F020"/>
      </w:r>
      <w:r>
        <w:rPr>
          <w:rFonts w:eastAsia="Times New Roman"/>
          <w:lang w:val="hu-HU"/>
        </w:rPr>
        <w:t>0,2 mg/ttkg/nap vagy maximum 10 mg/nap). Az OL LI szakaszban minden beteg 24 mg/m</w:t>
      </w:r>
      <w:r>
        <w:rPr>
          <w:rFonts w:eastAsia="Times New Roman"/>
          <w:sz w:val="14"/>
          <w:szCs w:val="14"/>
          <w:lang w:val="hu-HU"/>
        </w:rPr>
        <w:t>2</w:t>
      </w:r>
      <w:r>
        <w:rPr>
          <w:rFonts w:eastAsia="Times New Roman"/>
          <w:lang w:val="hu-HU"/>
        </w:rPr>
        <w:t xml:space="preserve">, legfeljebb 40 mg adalimumabot kapott kéthetente, 16 héten keresztül. A betegek életkor szerinti megoszlását és az OL LI szakaszban kapott legkisebb, medián, illetve legnagyobb dózist a </w:t>
      </w:r>
      <w:r w:rsidR="00E72311">
        <w:rPr>
          <w:rFonts w:eastAsia="Times New Roman"/>
          <w:lang w:val="hu-HU"/>
        </w:rPr>
        <w:t>25</w:t>
      </w:r>
      <w:r>
        <w:rPr>
          <w:rFonts w:eastAsia="Times New Roman"/>
          <w:lang w:val="hu-HU"/>
        </w:rPr>
        <w:t>. táblázat mutatja</w:t>
      </w:r>
    </w:p>
    <w:p w14:paraId="7E9660C1" w14:textId="77777777" w:rsidR="00417A10" w:rsidRDefault="00417A10" w:rsidP="00417A10">
      <w:pPr>
        <w:pStyle w:val="a3"/>
        <w:rPr>
          <w:rFonts w:eastAsia="Times New Roman"/>
          <w:lang w:val="hu-HU"/>
        </w:rPr>
      </w:pPr>
    </w:p>
    <w:p w14:paraId="6A0AB78F" w14:textId="7DEFB0CC" w:rsidR="00417A10" w:rsidRDefault="00E72311" w:rsidP="00417A10">
      <w:pPr>
        <w:pStyle w:val="a3"/>
        <w:jc w:val="center"/>
        <w:rPr>
          <w:b/>
          <w:lang w:val="hu-HU"/>
        </w:rPr>
      </w:pPr>
      <w:r>
        <w:rPr>
          <w:rFonts w:eastAsia="Times New Roman"/>
          <w:b/>
          <w:bCs/>
          <w:lang w:val="hu-HU"/>
        </w:rPr>
        <w:t>25</w:t>
      </w:r>
      <w:r w:rsidR="00417A10">
        <w:rPr>
          <w:rFonts w:eastAsia="Times New Roman"/>
          <w:b/>
          <w:bCs/>
          <w:lang w:val="hu-HU"/>
        </w:rPr>
        <w:t>. táblázat</w:t>
      </w:r>
    </w:p>
    <w:p w14:paraId="3830D512" w14:textId="77777777" w:rsidR="00417A10" w:rsidRDefault="00417A10" w:rsidP="00417A10">
      <w:pPr>
        <w:pStyle w:val="a3"/>
        <w:jc w:val="center"/>
        <w:rPr>
          <w:b/>
          <w:lang w:val="hu-HU"/>
        </w:rPr>
      </w:pPr>
      <w:r>
        <w:rPr>
          <w:rFonts w:eastAsia="Times New Roman"/>
          <w:b/>
          <w:bCs/>
          <w:lang w:val="hu-HU"/>
        </w:rPr>
        <w:t>A betegek megoszlása az életkor szerint és az OL LI szakaszban kapott adalimumab-dózis</w:t>
      </w:r>
    </w:p>
    <w:p w14:paraId="446AF180" w14:textId="77777777" w:rsidR="00417A10" w:rsidRDefault="00417A10" w:rsidP="00417A10">
      <w:pPr>
        <w:spacing w:before="15" w:line="260" w:lineRule="exact"/>
        <w:rPr>
          <w:sz w:val="26"/>
          <w:szCs w:val="26"/>
          <w:lang w:val="hu-HU"/>
        </w:rPr>
      </w:pPr>
    </w:p>
    <w:tbl>
      <w:tblPr>
        <w:tblStyle w:val="TableNormal1"/>
        <w:tblW w:w="0" w:type="auto"/>
        <w:tblInd w:w="561" w:type="dxa"/>
        <w:tblLayout w:type="fixed"/>
        <w:tblLook w:val="01E0" w:firstRow="1" w:lastRow="1" w:firstColumn="1" w:lastColumn="1" w:noHBand="0" w:noVBand="0"/>
      </w:tblPr>
      <w:tblGrid>
        <w:gridCol w:w="2076"/>
        <w:gridCol w:w="3453"/>
        <w:gridCol w:w="3308"/>
      </w:tblGrid>
      <w:tr w:rsidR="00417A10" w:rsidRPr="00BE4D18" w14:paraId="4BFD4F37" w14:textId="77777777" w:rsidTr="004F731A">
        <w:trPr>
          <w:trHeight w:hRule="exact" w:val="516"/>
        </w:trPr>
        <w:tc>
          <w:tcPr>
            <w:tcW w:w="2076" w:type="dxa"/>
            <w:tcBorders>
              <w:top w:val="single" w:sz="5" w:space="0" w:color="000000"/>
              <w:left w:val="single" w:sz="5" w:space="0" w:color="000000"/>
              <w:bottom w:val="single" w:sz="5" w:space="0" w:color="000000"/>
              <w:right w:val="single" w:sz="5" w:space="0" w:color="000000"/>
            </w:tcBorders>
          </w:tcPr>
          <w:p w14:paraId="55BF8CCC" w14:textId="77777777" w:rsidR="00417A10" w:rsidRDefault="00417A10" w:rsidP="00E72311">
            <w:pPr>
              <w:pStyle w:val="TableParagraph"/>
              <w:spacing w:line="246"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Korcsoport</w:t>
            </w:r>
          </w:p>
        </w:tc>
        <w:tc>
          <w:tcPr>
            <w:tcW w:w="3453" w:type="dxa"/>
            <w:tcBorders>
              <w:top w:val="single" w:sz="5" w:space="0" w:color="000000"/>
              <w:left w:val="single" w:sz="5" w:space="0" w:color="000000"/>
              <w:bottom w:val="single" w:sz="5" w:space="0" w:color="000000"/>
              <w:right w:val="single" w:sz="5" w:space="0" w:color="000000"/>
            </w:tcBorders>
          </w:tcPr>
          <w:p w14:paraId="30894B06" w14:textId="1F7DA4D1" w:rsidR="00417A10" w:rsidRPr="000C5D78" w:rsidRDefault="00417A10" w:rsidP="00E72311">
            <w:pPr>
              <w:pStyle w:val="Default"/>
              <w:rPr>
                <w:rFonts w:ascii="Times New Roman" w:hAnsi="Times New Roman" w:cs="Times New Roman"/>
              </w:rPr>
            </w:pPr>
            <w:r w:rsidRPr="000C5D78">
              <w:rPr>
                <w:rFonts w:ascii="Times New Roman" w:hAnsi="Times New Roman" w:cs="Times New Roman"/>
                <w:bCs/>
                <w:sz w:val="22"/>
                <w:szCs w:val="22"/>
              </w:rPr>
              <w:t xml:space="preserve">A </w:t>
            </w:r>
            <w:proofErr w:type="spellStart"/>
            <w:r w:rsidRPr="000C5D78">
              <w:rPr>
                <w:rFonts w:ascii="Times New Roman" w:hAnsi="Times New Roman" w:cs="Times New Roman"/>
                <w:bCs/>
                <w:sz w:val="22"/>
                <w:szCs w:val="22"/>
              </w:rPr>
              <w:t>betegek</w:t>
            </w:r>
            <w:proofErr w:type="spellEnd"/>
            <w:r w:rsidRPr="000C5D78">
              <w:rPr>
                <w:rFonts w:ascii="Times New Roman" w:hAnsi="Times New Roman" w:cs="Times New Roman"/>
                <w:bCs/>
                <w:sz w:val="22"/>
                <w:szCs w:val="22"/>
              </w:rPr>
              <w:t xml:space="preserve"> </w:t>
            </w:r>
            <w:proofErr w:type="spellStart"/>
            <w:r w:rsidRPr="000C5D78">
              <w:rPr>
                <w:rFonts w:ascii="Times New Roman" w:hAnsi="Times New Roman" w:cs="Times New Roman"/>
                <w:bCs/>
                <w:sz w:val="22"/>
                <w:szCs w:val="22"/>
              </w:rPr>
              <w:t>száma</w:t>
            </w:r>
            <w:proofErr w:type="spellEnd"/>
            <w:r w:rsidRPr="000C5D78">
              <w:rPr>
                <w:rFonts w:ascii="Times New Roman" w:hAnsi="Times New Roman" w:cs="Times New Roman"/>
                <w:bCs/>
                <w:sz w:val="22"/>
                <w:szCs w:val="22"/>
              </w:rPr>
              <w:t xml:space="preserve"> a </w:t>
            </w:r>
            <w:proofErr w:type="spellStart"/>
            <w:r w:rsidRPr="000C5D78">
              <w:rPr>
                <w:rFonts w:ascii="Times New Roman" w:hAnsi="Times New Roman" w:cs="Times New Roman"/>
                <w:bCs/>
                <w:sz w:val="22"/>
                <w:szCs w:val="22"/>
              </w:rPr>
              <w:t>kiindulási</w:t>
            </w:r>
            <w:proofErr w:type="spellEnd"/>
            <w:r w:rsidRPr="000C5D78">
              <w:rPr>
                <w:rFonts w:ascii="Times New Roman" w:hAnsi="Times New Roman" w:cs="Times New Roman"/>
                <w:bCs/>
                <w:sz w:val="22"/>
                <w:szCs w:val="22"/>
              </w:rPr>
              <w:t xml:space="preserve"> </w:t>
            </w:r>
            <w:proofErr w:type="spellStart"/>
            <w:r w:rsidRPr="000C5D78">
              <w:rPr>
                <w:rFonts w:ascii="Times New Roman" w:hAnsi="Times New Roman" w:cs="Times New Roman"/>
                <w:bCs/>
                <w:sz w:val="22"/>
                <w:szCs w:val="22"/>
              </w:rPr>
              <w:t>időpontban</w:t>
            </w:r>
            <w:proofErr w:type="spellEnd"/>
            <w:r w:rsidRPr="000C5D78">
              <w:rPr>
                <w:rFonts w:ascii="Times New Roman" w:hAnsi="Times New Roman" w:cs="Times New Roman"/>
                <w:bCs/>
                <w:sz w:val="22"/>
                <w:szCs w:val="22"/>
              </w:rPr>
              <w:t xml:space="preserve"> </w:t>
            </w:r>
            <w:r w:rsidR="00611FDF">
              <w:rPr>
                <w:rFonts w:ascii="Times New Roman" w:hAnsi="Times New Roman" w:cs="Times New Roman"/>
                <w:bCs/>
                <w:sz w:val="22"/>
                <w:szCs w:val="22"/>
              </w:rPr>
              <w:t>n</w:t>
            </w:r>
            <w:r w:rsidR="00611FDF" w:rsidRPr="000C5D78">
              <w:rPr>
                <w:rFonts w:ascii="Times New Roman" w:hAnsi="Times New Roman" w:cs="Times New Roman"/>
                <w:bCs/>
                <w:sz w:val="22"/>
                <w:szCs w:val="22"/>
              </w:rPr>
              <w:t xml:space="preserve"> </w:t>
            </w:r>
            <w:r w:rsidRPr="000C5D78">
              <w:rPr>
                <w:rFonts w:ascii="Times New Roman" w:hAnsi="Times New Roman" w:cs="Times New Roman"/>
                <w:bCs/>
                <w:sz w:val="22"/>
                <w:szCs w:val="22"/>
              </w:rPr>
              <w:t xml:space="preserve">(%) </w:t>
            </w:r>
          </w:p>
          <w:p w14:paraId="1E0FE1A6" w14:textId="77777777" w:rsidR="00417A10" w:rsidRDefault="00417A10" w:rsidP="00E72311">
            <w:pPr>
              <w:pStyle w:val="TableParagraph"/>
              <w:spacing w:line="252" w:lineRule="exact"/>
              <w:ind w:left="102"/>
              <w:rPr>
                <w:rFonts w:ascii="Times New Roman" w:eastAsia="Times New Roman" w:hAnsi="Times New Roman" w:cs="Times New Roman"/>
                <w:lang w:val="hu-HU"/>
              </w:rPr>
            </w:pPr>
          </w:p>
        </w:tc>
        <w:tc>
          <w:tcPr>
            <w:tcW w:w="3308" w:type="dxa"/>
            <w:tcBorders>
              <w:top w:val="single" w:sz="5" w:space="0" w:color="000000"/>
              <w:left w:val="single" w:sz="5" w:space="0" w:color="000000"/>
              <w:bottom w:val="single" w:sz="5" w:space="0" w:color="000000"/>
              <w:right w:val="single" w:sz="5" w:space="0" w:color="000000"/>
            </w:tcBorders>
          </w:tcPr>
          <w:p w14:paraId="6250672F" w14:textId="77777777" w:rsidR="00417A10" w:rsidRDefault="00417A10" w:rsidP="00E72311">
            <w:pPr>
              <w:pStyle w:val="TableParagraph"/>
              <w:spacing w:line="246"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Legkisebb, medián és legnagyobb </w:t>
            </w:r>
          </w:p>
          <w:p w14:paraId="419353A9" w14:textId="77777777" w:rsidR="00417A10" w:rsidRDefault="00417A10" w:rsidP="00E72311">
            <w:pPr>
              <w:pStyle w:val="TableParagraph"/>
              <w:spacing w:line="252" w:lineRule="exact"/>
              <w:ind w:left="102"/>
              <w:rPr>
                <w:rFonts w:ascii="Times New Roman" w:eastAsia="Times New Roman" w:hAnsi="Times New Roman" w:cs="Times New Roman"/>
                <w:lang w:val="hu-HU"/>
              </w:rPr>
            </w:pPr>
            <w:r>
              <w:rPr>
                <w:rFonts w:ascii="Times New Roman" w:eastAsia="Times New Roman" w:hAnsi="Times New Roman" w:cs="Times New Roman"/>
                <w:lang w:val="hu-HU"/>
              </w:rPr>
              <w:t>dózis</w:t>
            </w:r>
          </w:p>
        </w:tc>
      </w:tr>
      <w:tr w:rsidR="00417A10" w14:paraId="2071D9F6" w14:textId="77777777" w:rsidTr="004F731A">
        <w:trPr>
          <w:trHeight w:hRule="exact" w:val="377"/>
        </w:trPr>
        <w:tc>
          <w:tcPr>
            <w:tcW w:w="2076" w:type="dxa"/>
            <w:tcBorders>
              <w:top w:val="single" w:sz="5" w:space="0" w:color="000000"/>
              <w:left w:val="single" w:sz="5" w:space="0" w:color="000000"/>
              <w:bottom w:val="single" w:sz="5" w:space="0" w:color="000000"/>
              <w:right w:val="single" w:sz="5" w:space="0" w:color="000000"/>
            </w:tcBorders>
          </w:tcPr>
          <w:p w14:paraId="4FD4BC22" w14:textId="77777777" w:rsidR="00417A10" w:rsidRDefault="00417A10" w:rsidP="00E72311">
            <w:pPr>
              <w:pStyle w:val="TableParagraph"/>
              <w:spacing w:line="246" w:lineRule="exact"/>
              <w:ind w:left="102"/>
              <w:rPr>
                <w:rFonts w:ascii="Times New Roman" w:eastAsia="Times New Roman" w:hAnsi="Times New Roman" w:cs="Times New Roman"/>
                <w:lang w:val="hu-HU"/>
              </w:rPr>
            </w:pPr>
            <w:r>
              <w:rPr>
                <w:rFonts w:ascii="Times New Roman" w:eastAsia="Times New Roman" w:hAnsi="Times New Roman" w:cs="Times New Roman"/>
                <w:lang w:val="hu-HU"/>
              </w:rPr>
              <w:t>4 – 7 év</w:t>
            </w:r>
          </w:p>
        </w:tc>
        <w:tc>
          <w:tcPr>
            <w:tcW w:w="3453" w:type="dxa"/>
            <w:tcBorders>
              <w:top w:val="single" w:sz="5" w:space="0" w:color="000000"/>
              <w:left w:val="single" w:sz="5" w:space="0" w:color="000000"/>
              <w:bottom w:val="single" w:sz="5" w:space="0" w:color="000000"/>
              <w:right w:val="single" w:sz="5" w:space="0" w:color="000000"/>
            </w:tcBorders>
          </w:tcPr>
          <w:p w14:paraId="2F42454F" w14:textId="77777777" w:rsidR="00417A10" w:rsidRDefault="00417A10" w:rsidP="00E72311">
            <w:pPr>
              <w:pStyle w:val="TableParagraph"/>
              <w:spacing w:line="246"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31 (18,1)</w:t>
            </w:r>
          </w:p>
        </w:tc>
        <w:tc>
          <w:tcPr>
            <w:tcW w:w="3308" w:type="dxa"/>
            <w:tcBorders>
              <w:top w:val="single" w:sz="5" w:space="0" w:color="000000"/>
              <w:left w:val="single" w:sz="5" w:space="0" w:color="000000"/>
              <w:bottom w:val="single" w:sz="5" w:space="0" w:color="000000"/>
              <w:right w:val="single" w:sz="5" w:space="0" w:color="000000"/>
            </w:tcBorders>
          </w:tcPr>
          <w:p w14:paraId="1C69C330" w14:textId="77777777" w:rsidR="00417A10" w:rsidRDefault="00417A10" w:rsidP="00E72311">
            <w:pPr>
              <w:pStyle w:val="TableParagraph"/>
              <w:spacing w:line="246"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10, 20 és 25 mg</w:t>
            </w:r>
          </w:p>
        </w:tc>
      </w:tr>
      <w:tr w:rsidR="00417A10" w14:paraId="23FB39B5" w14:textId="77777777" w:rsidTr="004F731A">
        <w:trPr>
          <w:trHeight w:hRule="exact" w:val="264"/>
        </w:trPr>
        <w:tc>
          <w:tcPr>
            <w:tcW w:w="2076" w:type="dxa"/>
            <w:tcBorders>
              <w:top w:val="single" w:sz="5" w:space="0" w:color="000000"/>
              <w:left w:val="single" w:sz="5" w:space="0" w:color="000000"/>
              <w:bottom w:val="single" w:sz="5" w:space="0" w:color="000000"/>
              <w:right w:val="single" w:sz="5" w:space="0" w:color="000000"/>
            </w:tcBorders>
          </w:tcPr>
          <w:p w14:paraId="4AC37DD2" w14:textId="77777777" w:rsidR="00417A10" w:rsidRDefault="00417A10" w:rsidP="00E72311">
            <w:pPr>
              <w:pStyle w:val="TableParagraph"/>
              <w:spacing w:line="248" w:lineRule="exact"/>
              <w:ind w:left="102"/>
              <w:rPr>
                <w:rFonts w:ascii="Times New Roman" w:eastAsia="Times New Roman" w:hAnsi="Times New Roman" w:cs="Times New Roman"/>
                <w:lang w:val="hu-HU"/>
              </w:rPr>
            </w:pPr>
            <w:r>
              <w:rPr>
                <w:rFonts w:ascii="Times New Roman" w:eastAsia="Times New Roman" w:hAnsi="Times New Roman" w:cs="Times New Roman"/>
                <w:lang w:val="hu-HU"/>
              </w:rPr>
              <w:t>8 – 12 év</w:t>
            </w:r>
          </w:p>
        </w:tc>
        <w:tc>
          <w:tcPr>
            <w:tcW w:w="3453" w:type="dxa"/>
            <w:tcBorders>
              <w:top w:val="single" w:sz="5" w:space="0" w:color="000000"/>
              <w:left w:val="single" w:sz="5" w:space="0" w:color="000000"/>
              <w:bottom w:val="single" w:sz="5" w:space="0" w:color="000000"/>
              <w:right w:val="single" w:sz="5" w:space="0" w:color="000000"/>
            </w:tcBorders>
          </w:tcPr>
          <w:p w14:paraId="48BEB7C2" w14:textId="77777777" w:rsidR="00417A10" w:rsidRDefault="00417A10" w:rsidP="00E72311">
            <w:pPr>
              <w:pStyle w:val="TableParagraph"/>
              <w:spacing w:line="248" w:lineRule="exact"/>
              <w:ind w:left="102"/>
              <w:rPr>
                <w:rFonts w:ascii="Times New Roman" w:eastAsia="Times New Roman" w:hAnsi="Times New Roman" w:cs="Times New Roman"/>
                <w:lang w:val="hu-HU"/>
              </w:rPr>
            </w:pPr>
            <w:r>
              <w:rPr>
                <w:rFonts w:ascii="Times New Roman" w:eastAsia="Times New Roman" w:hAnsi="Times New Roman" w:cs="Times New Roman"/>
                <w:lang w:val="hu-HU"/>
              </w:rPr>
              <w:t>71 (41,5)</w:t>
            </w:r>
          </w:p>
        </w:tc>
        <w:tc>
          <w:tcPr>
            <w:tcW w:w="3308" w:type="dxa"/>
            <w:tcBorders>
              <w:top w:val="single" w:sz="5" w:space="0" w:color="000000"/>
              <w:left w:val="single" w:sz="5" w:space="0" w:color="000000"/>
              <w:bottom w:val="single" w:sz="5" w:space="0" w:color="000000"/>
              <w:right w:val="single" w:sz="5" w:space="0" w:color="000000"/>
            </w:tcBorders>
          </w:tcPr>
          <w:p w14:paraId="579C587B" w14:textId="77777777" w:rsidR="00417A10" w:rsidRDefault="00417A10" w:rsidP="00E72311">
            <w:pPr>
              <w:pStyle w:val="TableParagraph"/>
              <w:spacing w:line="248"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20, 25 és 40 mg</w:t>
            </w:r>
          </w:p>
        </w:tc>
      </w:tr>
      <w:tr w:rsidR="00417A10" w14:paraId="20031743" w14:textId="77777777" w:rsidTr="004F731A">
        <w:trPr>
          <w:trHeight w:hRule="exact" w:val="264"/>
        </w:trPr>
        <w:tc>
          <w:tcPr>
            <w:tcW w:w="2076" w:type="dxa"/>
            <w:tcBorders>
              <w:top w:val="single" w:sz="5" w:space="0" w:color="000000"/>
              <w:left w:val="single" w:sz="5" w:space="0" w:color="000000"/>
              <w:bottom w:val="single" w:sz="5" w:space="0" w:color="000000"/>
              <w:right w:val="single" w:sz="5" w:space="0" w:color="000000"/>
            </w:tcBorders>
          </w:tcPr>
          <w:p w14:paraId="77E1921E" w14:textId="77777777" w:rsidR="00417A10" w:rsidRDefault="00417A10" w:rsidP="00E72311">
            <w:pPr>
              <w:pStyle w:val="TableParagraph"/>
              <w:spacing w:line="246"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13 </w:t>
            </w:r>
            <w:r>
              <w:rPr>
                <w:rFonts w:ascii="Times New Roman" w:eastAsia="Times New Roman" w:hAnsi="Times New Roman" w:cs="Times New Roman"/>
                <w:lang w:val="hu-HU"/>
              </w:rPr>
              <w:t>–</w:t>
            </w:r>
            <w:r>
              <w:rPr>
                <w:rFonts w:ascii="Times New Roman" w:eastAsia="Times New Roman" w:hAnsi="Times New Roman" w:cs="Times New Roman"/>
                <w:spacing w:val="-1"/>
                <w:lang w:val="hu-HU"/>
              </w:rPr>
              <w:t xml:space="preserve"> 17 év</w:t>
            </w:r>
          </w:p>
        </w:tc>
        <w:tc>
          <w:tcPr>
            <w:tcW w:w="3453" w:type="dxa"/>
            <w:tcBorders>
              <w:top w:val="single" w:sz="5" w:space="0" w:color="000000"/>
              <w:left w:val="single" w:sz="5" w:space="0" w:color="000000"/>
              <w:bottom w:val="single" w:sz="5" w:space="0" w:color="000000"/>
              <w:right w:val="single" w:sz="5" w:space="0" w:color="000000"/>
            </w:tcBorders>
          </w:tcPr>
          <w:p w14:paraId="23AF8009" w14:textId="77777777" w:rsidR="00417A10" w:rsidRDefault="00417A10" w:rsidP="00E72311">
            <w:pPr>
              <w:pStyle w:val="TableParagraph"/>
              <w:spacing w:line="246"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69 (40,4)</w:t>
            </w:r>
          </w:p>
        </w:tc>
        <w:tc>
          <w:tcPr>
            <w:tcW w:w="3308" w:type="dxa"/>
            <w:tcBorders>
              <w:top w:val="single" w:sz="5" w:space="0" w:color="000000"/>
              <w:left w:val="single" w:sz="5" w:space="0" w:color="000000"/>
              <w:bottom w:val="single" w:sz="5" w:space="0" w:color="000000"/>
              <w:right w:val="single" w:sz="5" w:space="0" w:color="000000"/>
            </w:tcBorders>
          </w:tcPr>
          <w:p w14:paraId="1ECFABEB" w14:textId="77777777" w:rsidR="00417A10" w:rsidRDefault="00417A10" w:rsidP="00E72311">
            <w:pPr>
              <w:pStyle w:val="TableParagraph"/>
              <w:spacing w:line="246"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25, 40 és 40 mg</w:t>
            </w:r>
          </w:p>
        </w:tc>
      </w:tr>
    </w:tbl>
    <w:p w14:paraId="31A0245B" w14:textId="77777777" w:rsidR="00417A10" w:rsidRDefault="00417A10" w:rsidP="00417A10">
      <w:pPr>
        <w:spacing w:before="3" w:line="170" w:lineRule="exact"/>
        <w:rPr>
          <w:sz w:val="17"/>
          <w:szCs w:val="17"/>
          <w:lang w:val="hu-HU"/>
        </w:rPr>
      </w:pPr>
    </w:p>
    <w:p w14:paraId="679F87AE" w14:textId="77777777" w:rsidR="00417A10" w:rsidRDefault="00417A10" w:rsidP="00417A10">
      <w:pPr>
        <w:pStyle w:val="a3"/>
        <w:rPr>
          <w:lang w:val="hu-HU"/>
        </w:rPr>
      </w:pPr>
      <w:r>
        <w:rPr>
          <w:rFonts w:eastAsia="Times New Roman"/>
          <w:lang w:val="hu-HU"/>
        </w:rPr>
        <w:t>Azok a betegek, akik 16. héten Pediátriai ACR 30 választ mutattak, alkalmasak voltak arra, hogy véletlenszerűen besorolják őket a kettős vak (DB) fázisba, melyben minden második héten 24 mg/m</w:t>
      </w:r>
      <w:r>
        <w:rPr>
          <w:rFonts w:eastAsia="Times New Roman"/>
          <w:sz w:val="14"/>
          <w:szCs w:val="14"/>
          <w:lang w:val="hu-HU"/>
        </w:rPr>
        <w:t>2</w:t>
      </w:r>
      <w:r>
        <w:rPr>
          <w:rFonts w:eastAsia="Times New Roman"/>
          <w:lang w:val="hu-HU"/>
        </w:rPr>
        <w:t xml:space="preserve">, de legfeljebb 40 mg adalimumabot vagy placebót kaptak további 32 héten át, vagy a betegség fellángolásáig. A betegség fellángolásának kritériumait a következőképpen határozták meg: a 6 Pediátriai ACR-alapkritérium közül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3 vagy több esetében legalább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30%-os romlás a kiindulási állapothoz képest, legalább</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 2 vagy több aktív ízület megléte, és a 6 kritérium közül legfeljebb 1-ben észlelhető </w:t>
      </w:r>
      <w:r>
        <w:rPr>
          <w:rFonts w:ascii="Symbol" w:eastAsia="Symbol" w:hAnsi="Symbol" w:cs="Symbol"/>
          <w:lang w:val="hu-HU"/>
        </w:rPr>
        <w:sym w:font="Symbol" w:char="F03E"/>
      </w:r>
      <w:r>
        <w:rPr>
          <w:rFonts w:ascii="Symbol" w:eastAsia="Symbol" w:hAnsi="Symbol" w:cs="Symbol"/>
          <w:lang w:val="hu-HU"/>
        </w:rPr>
        <w:sym w:font="Symbol" w:char="F020"/>
      </w:r>
      <w:r>
        <w:rPr>
          <w:rFonts w:eastAsia="Times New Roman"/>
          <w:lang w:val="hu-HU"/>
        </w:rPr>
        <w:t>30%-nál nagyobb mértékű javulásA 32. hét után vagy a betegség fellángolása esetén a betegek alkalmasak voltak arra, hogy beválasszák őket a nyílt kiterjesztéses fázisba</w:t>
      </w:r>
    </w:p>
    <w:p w14:paraId="6E250922" w14:textId="7442FD0A" w:rsidR="00417A10" w:rsidRDefault="00417A10" w:rsidP="00417A10">
      <w:pPr>
        <w:rPr>
          <w:sz w:val="24"/>
          <w:szCs w:val="24"/>
          <w:lang w:val="hu-HU"/>
        </w:rPr>
      </w:pPr>
    </w:p>
    <w:p w14:paraId="1DDC3EE9" w14:textId="6F5E7C9D" w:rsidR="00417A10" w:rsidRDefault="00E72311" w:rsidP="00417A10">
      <w:pPr>
        <w:pStyle w:val="a3"/>
        <w:jc w:val="center"/>
        <w:rPr>
          <w:b/>
          <w:lang w:val="hu-HU"/>
        </w:rPr>
      </w:pPr>
      <w:r>
        <w:rPr>
          <w:rFonts w:eastAsia="Times New Roman"/>
          <w:b/>
          <w:bCs/>
          <w:lang w:val="hu-HU"/>
        </w:rPr>
        <w:t>26</w:t>
      </w:r>
      <w:r w:rsidR="00417A10">
        <w:rPr>
          <w:rFonts w:eastAsia="Times New Roman"/>
          <w:b/>
          <w:bCs/>
          <w:lang w:val="hu-HU"/>
        </w:rPr>
        <w:t>. táblázat</w:t>
      </w:r>
    </w:p>
    <w:p w14:paraId="2566374E" w14:textId="77777777" w:rsidR="00417A10" w:rsidRDefault="00417A10" w:rsidP="00417A10">
      <w:pPr>
        <w:pStyle w:val="a3"/>
        <w:jc w:val="center"/>
        <w:rPr>
          <w:b/>
          <w:lang w:val="hu-HU"/>
        </w:rPr>
      </w:pPr>
      <w:r>
        <w:rPr>
          <w:rFonts w:eastAsia="Times New Roman"/>
          <w:b/>
          <w:bCs/>
          <w:lang w:val="hu-HU"/>
        </w:rPr>
        <w:t>Pediátriai ACR 30 válasz a JIA-vizsgálatban</w:t>
      </w:r>
    </w:p>
    <w:p w14:paraId="5D6469D3" w14:textId="77777777" w:rsidR="00417A10" w:rsidRDefault="00417A10" w:rsidP="00417A10">
      <w:pPr>
        <w:pStyle w:val="a3"/>
        <w:rPr>
          <w:lang w:val="hu-HU"/>
        </w:rPr>
      </w:pPr>
    </w:p>
    <w:tbl>
      <w:tblPr>
        <w:tblStyle w:val="TableNormal1"/>
        <w:tblW w:w="0" w:type="auto"/>
        <w:tblInd w:w="220" w:type="dxa"/>
        <w:tblLayout w:type="fixed"/>
        <w:tblLook w:val="01E0" w:firstRow="1" w:lastRow="1" w:firstColumn="1" w:lastColumn="1" w:noHBand="0" w:noVBand="0"/>
      </w:tblPr>
      <w:tblGrid>
        <w:gridCol w:w="2417"/>
        <w:gridCol w:w="1762"/>
        <w:gridCol w:w="1759"/>
        <w:gridCol w:w="1651"/>
        <w:gridCol w:w="1589"/>
      </w:tblGrid>
      <w:tr w:rsidR="00417A10" w14:paraId="51C711C0" w14:textId="77777777" w:rsidTr="00E72311">
        <w:tc>
          <w:tcPr>
            <w:tcW w:w="2417" w:type="dxa"/>
            <w:tcBorders>
              <w:top w:val="single" w:sz="5" w:space="0" w:color="000000"/>
              <w:left w:val="single" w:sz="5" w:space="0" w:color="000000"/>
              <w:bottom w:val="single" w:sz="5" w:space="0" w:color="000000"/>
              <w:right w:val="single" w:sz="5" w:space="0" w:color="000000"/>
            </w:tcBorders>
          </w:tcPr>
          <w:p w14:paraId="703CB039" w14:textId="77777777" w:rsidR="00417A10" w:rsidRPr="00CF5D7A" w:rsidRDefault="00417A10" w:rsidP="00E72311">
            <w:pPr>
              <w:pStyle w:val="TableParagraph"/>
              <w:spacing w:line="246" w:lineRule="exact"/>
              <w:ind w:left="102"/>
              <w:rPr>
                <w:rFonts w:ascii="Times New Roman" w:eastAsia="Times New Roman" w:hAnsi="Times New Roman" w:cs="Times New Roman"/>
                <w:lang w:val="hu-HU"/>
              </w:rPr>
            </w:pPr>
            <w:r w:rsidRPr="00CF5D7A">
              <w:rPr>
                <w:rFonts w:ascii="Times New Roman" w:eastAsia="Times New Roman" w:hAnsi="Times New Roman" w:cs="Times New Roman"/>
                <w:lang w:val="hu-HU"/>
              </w:rPr>
              <w:t>Betegcsoport</w:t>
            </w:r>
          </w:p>
        </w:tc>
        <w:tc>
          <w:tcPr>
            <w:tcW w:w="3521" w:type="dxa"/>
            <w:gridSpan w:val="2"/>
            <w:tcBorders>
              <w:top w:val="single" w:sz="5" w:space="0" w:color="000000"/>
              <w:left w:val="single" w:sz="5" w:space="0" w:color="000000"/>
              <w:bottom w:val="single" w:sz="5" w:space="0" w:color="000000"/>
              <w:right w:val="single" w:sz="5" w:space="0" w:color="000000"/>
            </w:tcBorders>
          </w:tcPr>
          <w:p w14:paraId="63415C1D" w14:textId="77777777" w:rsidR="00417A10" w:rsidRPr="00CF5D7A" w:rsidRDefault="00417A10" w:rsidP="00E72311">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MTX-tal kezelt</w:t>
            </w:r>
          </w:p>
        </w:tc>
        <w:tc>
          <w:tcPr>
            <w:tcW w:w="3240" w:type="dxa"/>
            <w:gridSpan w:val="2"/>
            <w:tcBorders>
              <w:top w:val="single" w:sz="5" w:space="0" w:color="000000"/>
              <w:left w:val="single" w:sz="5" w:space="0" w:color="000000"/>
              <w:bottom w:val="single" w:sz="5" w:space="0" w:color="000000"/>
              <w:right w:val="single" w:sz="5" w:space="0" w:color="000000"/>
            </w:tcBorders>
          </w:tcPr>
          <w:p w14:paraId="5D77A378" w14:textId="77777777" w:rsidR="00417A10" w:rsidRPr="00CF5D7A" w:rsidRDefault="00417A10" w:rsidP="00E72311">
            <w:pPr>
              <w:pStyle w:val="TableParagraph"/>
              <w:spacing w:line="246" w:lineRule="exact"/>
              <w:ind w:left="954"/>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MTX-tal nem kezelt</w:t>
            </w:r>
          </w:p>
        </w:tc>
      </w:tr>
      <w:tr w:rsidR="00417A10" w14:paraId="7DD1D984" w14:textId="77777777" w:rsidTr="00E72311">
        <w:tc>
          <w:tcPr>
            <w:tcW w:w="2417" w:type="dxa"/>
            <w:tcBorders>
              <w:top w:val="single" w:sz="5" w:space="0" w:color="000000"/>
              <w:left w:val="single" w:sz="5" w:space="0" w:color="000000"/>
              <w:bottom w:val="single" w:sz="5" w:space="0" w:color="000000"/>
              <w:right w:val="single" w:sz="5" w:space="0" w:color="000000"/>
            </w:tcBorders>
          </w:tcPr>
          <w:p w14:paraId="5D00E6D0" w14:textId="77777777" w:rsidR="00417A10" w:rsidRPr="00CF5D7A" w:rsidRDefault="00417A10" w:rsidP="00E72311">
            <w:pPr>
              <w:pStyle w:val="TableParagraph"/>
              <w:spacing w:line="246" w:lineRule="exact"/>
              <w:ind w:left="102"/>
              <w:rPr>
                <w:rFonts w:ascii="Times New Roman" w:eastAsia="Times New Roman" w:hAnsi="Times New Roman" w:cs="Times New Roman"/>
                <w:lang w:val="hu-HU"/>
              </w:rPr>
            </w:pPr>
            <w:r w:rsidRPr="00CF5D7A">
              <w:rPr>
                <w:rFonts w:ascii="Times New Roman" w:eastAsia="Times New Roman" w:hAnsi="Times New Roman" w:cs="Times New Roman"/>
                <w:lang w:val="hu-HU"/>
              </w:rPr>
              <w:t>Szakasz</w:t>
            </w:r>
          </w:p>
        </w:tc>
        <w:tc>
          <w:tcPr>
            <w:tcW w:w="3521" w:type="dxa"/>
            <w:gridSpan w:val="2"/>
            <w:tcBorders>
              <w:top w:val="single" w:sz="5" w:space="0" w:color="000000"/>
              <w:left w:val="single" w:sz="5" w:space="0" w:color="000000"/>
              <w:bottom w:val="single" w:sz="5" w:space="0" w:color="000000"/>
              <w:right w:val="single" w:sz="5" w:space="0" w:color="000000"/>
            </w:tcBorders>
          </w:tcPr>
          <w:p w14:paraId="06A3A144" w14:textId="77777777" w:rsidR="00417A10" w:rsidRPr="00CF5D7A" w:rsidRDefault="00417A10" w:rsidP="00E72311">
            <w:pPr>
              <w:rPr>
                <w:lang w:val="hu-HU"/>
              </w:rPr>
            </w:pPr>
          </w:p>
        </w:tc>
        <w:tc>
          <w:tcPr>
            <w:tcW w:w="3240" w:type="dxa"/>
            <w:gridSpan w:val="2"/>
            <w:tcBorders>
              <w:top w:val="single" w:sz="5" w:space="0" w:color="000000"/>
              <w:left w:val="single" w:sz="5" w:space="0" w:color="000000"/>
              <w:bottom w:val="single" w:sz="5" w:space="0" w:color="000000"/>
              <w:right w:val="single" w:sz="5" w:space="0" w:color="000000"/>
            </w:tcBorders>
          </w:tcPr>
          <w:p w14:paraId="4E6E702A" w14:textId="77777777" w:rsidR="00417A10" w:rsidRPr="00CF5D7A" w:rsidRDefault="00417A10" w:rsidP="00E72311">
            <w:pPr>
              <w:rPr>
                <w:lang w:val="hu-HU"/>
              </w:rPr>
            </w:pPr>
          </w:p>
        </w:tc>
      </w:tr>
      <w:tr w:rsidR="00417A10" w14:paraId="425B43B7" w14:textId="77777777" w:rsidTr="00E72311">
        <w:tc>
          <w:tcPr>
            <w:tcW w:w="2417" w:type="dxa"/>
            <w:tcBorders>
              <w:top w:val="single" w:sz="5" w:space="0" w:color="000000"/>
              <w:left w:val="single" w:sz="5" w:space="0" w:color="000000"/>
              <w:bottom w:val="single" w:sz="5" w:space="0" w:color="000000"/>
              <w:right w:val="single" w:sz="5" w:space="0" w:color="000000"/>
            </w:tcBorders>
          </w:tcPr>
          <w:p w14:paraId="76928A1F" w14:textId="77777777" w:rsidR="00417A10" w:rsidRPr="00CF5D7A" w:rsidRDefault="00417A10" w:rsidP="00E72311">
            <w:pPr>
              <w:pStyle w:val="TableParagraph"/>
              <w:spacing w:line="246" w:lineRule="exact"/>
              <w:ind w:left="102"/>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OL-LI 16 hét</w:t>
            </w:r>
          </w:p>
        </w:tc>
        <w:tc>
          <w:tcPr>
            <w:tcW w:w="3521" w:type="dxa"/>
            <w:gridSpan w:val="2"/>
            <w:tcBorders>
              <w:top w:val="single" w:sz="5" w:space="0" w:color="000000"/>
              <w:left w:val="single" w:sz="5" w:space="0" w:color="000000"/>
              <w:bottom w:val="single" w:sz="5" w:space="0" w:color="000000"/>
              <w:right w:val="single" w:sz="5" w:space="0" w:color="000000"/>
            </w:tcBorders>
          </w:tcPr>
          <w:p w14:paraId="6EC9BA20" w14:textId="77777777" w:rsidR="00417A10" w:rsidRPr="00CF5D7A" w:rsidRDefault="00417A10" w:rsidP="00E72311">
            <w:pPr>
              <w:rPr>
                <w:lang w:val="hu-HU"/>
              </w:rPr>
            </w:pPr>
          </w:p>
        </w:tc>
        <w:tc>
          <w:tcPr>
            <w:tcW w:w="3240" w:type="dxa"/>
            <w:gridSpan w:val="2"/>
            <w:tcBorders>
              <w:top w:val="single" w:sz="5" w:space="0" w:color="000000"/>
              <w:left w:val="single" w:sz="5" w:space="0" w:color="000000"/>
              <w:bottom w:val="single" w:sz="5" w:space="0" w:color="000000"/>
              <w:right w:val="single" w:sz="5" w:space="0" w:color="000000"/>
            </w:tcBorders>
          </w:tcPr>
          <w:p w14:paraId="4BF648FF" w14:textId="77777777" w:rsidR="00417A10" w:rsidRPr="00CF5D7A" w:rsidRDefault="00417A10" w:rsidP="00E72311">
            <w:pPr>
              <w:rPr>
                <w:lang w:val="hu-HU"/>
              </w:rPr>
            </w:pPr>
          </w:p>
        </w:tc>
      </w:tr>
      <w:tr w:rsidR="00417A10" w14:paraId="122009EB" w14:textId="77777777" w:rsidTr="00E72311">
        <w:tc>
          <w:tcPr>
            <w:tcW w:w="2417" w:type="dxa"/>
            <w:tcBorders>
              <w:top w:val="single" w:sz="5" w:space="0" w:color="000000"/>
              <w:left w:val="single" w:sz="5" w:space="0" w:color="000000"/>
              <w:bottom w:val="single" w:sz="5" w:space="0" w:color="000000"/>
              <w:right w:val="single" w:sz="5" w:space="0" w:color="000000"/>
            </w:tcBorders>
          </w:tcPr>
          <w:p w14:paraId="42419E98" w14:textId="77777777" w:rsidR="00417A10" w:rsidRPr="00CF5D7A" w:rsidRDefault="00417A10" w:rsidP="00E72311">
            <w:pPr>
              <w:pStyle w:val="TableParagraph"/>
              <w:spacing w:line="246" w:lineRule="exact"/>
              <w:ind w:left="668"/>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Pediátraiai ACR 30</w:t>
            </w:r>
          </w:p>
          <w:p w14:paraId="6A6E0243" w14:textId="77777777" w:rsidR="00417A10" w:rsidRPr="00CF5D7A" w:rsidRDefault="00417A10" w:rsidP="00E72311">
            <w:pPr>
              <w:pStyle w:val="TableParagraph"/>
              <w:spacing w:line="252" w:lineRule="exact"/>
              <w:ind w:left="668"/>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válasz (n/N)</w:t>
            </w:r>
          </w:p>
        </w:tc>
        <w:tc>
          <w:tcPr>
            <w:tcW w:w="3521" w:type="dxa"/>
            <w:gridSpan w:val="2"/>
            <w:tcBorders>
              <w:top w:val="single" w:sz="5" w:space="0" w:color="000000"/>
              <w:left w:val="single" w:sz="5" w:space="0" w:color="000000"/>
              <w:bottom w:val="single" w:sz="5" w:space="0" w:color="000000"/>
              <w:right w:val="single" w:sz="5" w:space="0" w:color="000000"/>
            </w:tcBorders>
          </w:tcPr>
          <w:p w14:paraId="1959A467" w14:textId="77777777" w:rsidR="00417A10" w:rsidRPr="00CF5D7A" w:rsidRDefault="00417A10" w:rsidP="00E72311">
            <w:pPr>
              <w:pStyle w:val="TableParagraph"/>
              <w:spacing w:line="246" w:lineRule="exact"/>
              <w:ind w:left="1091"/>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94.1% (80/85)</w:t>
            </w:r>
          </w:p>
        </w:tc>
        <w:tc>
          <w:tcPr>
            <w:tcW w:w="3240" w:type="dxa"/>
            <w:gridSpan w:val="2"/>
            <w:tcBorders>
              <w:top w:val="single" w:sz="5" w:space="0" w:color="000000"/>
              <w:left w:val="single" w:sz="5" w:space="0" w:color="000000"/>
              <w:bottom w:val="single" w:sz="5" w:space="0" w:color="000000"/>
              <w:right w:val="single" w:sz="5" w:space="0" w:color="000000"/>
            </w:tcBorders>
          </w:tcPr>
          <w:p w14:paraId="1F04B1A7" w14:textId="77777777" w:rsidR="00417A10" w:rsidRPr="00CF5D7A" w:rsidRDefault="00417A10" w:rsidP="00E72311">
            <w:pPr>
              <w:pStyle w:val="TableParagraph"/>
              <w:spacing w:line="246" w:lineRule="exact"/>
              <w:ind w:left="951"/>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74,4% (64/86)</w:t>
            </w:r>
          </w:p>
        </w:tc>
      </w:tr>
      <w:tr w:rsidR="00417A10" w14:paraId="3408C7E1" w14:textId="77777777" w:rsidTr="00E72311">
        <w:tc>
          <w:tcPr>
            <w:tcW w:w="9178" w:type="dxa"/>
            <w:gridSpan w:val="5"/>
            <w:tcBorders>
              <w:top w:val="single" w:sz="5" w:space="0" w:color="000000"/>
              <w:left w:val="single" w:sz="5" w:space="0" w:color="000000"/>
              <w:bottom w:val="single" w:sz="5" w:space="0" w:color="000000"/>
              <w:right w:val="single" w:sz="5" w:space="0" w:color="000000"/>
            </w:tcBorders>
          </w:tcPr>
          <w:p w14:paraId="72294353" w14:textId="77777777" w:rsidR="00417A10" w:rsidRPr="00CF5D7A" w:rsidRDefault="00417A10" w:rsidP="00E72311">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Hatásossági végpontok</w:t>
            </w:r>
          </w:p>
        </w:tc>
      </w:tr>
      <w:tr w:rsidR="00417A10" w14:paraId="55404F86" w14:textId="77777777" w:rsidTr="00E72311">
        <w:tc>
          <w:tcPr>
            <w:tcW w:w="2417" w:type="dxa"/>
            <w:tcBorders>
              <w:top w:val="single" w:sz="5" w:space="0" w:color="000000"/>
              <w:left w:val="single" w:sz="5" w:space="0" w:color="000000"/>
              <w:bottom w:val="single" w:sz="5" w:space="0" w:color="000000"/>
              <w:right w:val="single" w:sz="5" w:space="0" w:color="000000"/>
            </w:tcBorders>
          </w:tcPr>
          <w:p w14:paraId="4FE8DEF9" w14:textId="77777777" w:rsidR="00417A10" w:rsidRPr="00CF5D7A" w:rsidRDefault="00417A10" w:rsidP="00E72311">
            <w:pPr>
              <w:pStyle w:val="TableParagraph"/>
              <w:spacing w:line="246" w:lineRule="exact"/>
              <w:ind w:left="102"/>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Kettős vak, 32 hét</w:t>
            </w:r>
          </w:p>
        </w:tc>
        <w:tc>
          <w:tcPr>
            <w:tcW w:w="1762" w:type="dxa"/>
            <w:tcBorders>
              <w:top w:val="single" w:sz="5" w:space="0" w:color="000000"/>
              <w:left w:val="single" w:sz="5" w:space="0" w:color="000000"/>
              <w:bottom w:val="single" w:sz="5" w:space="0" w:color="000000"/>
              <w:right w:val="single" w:sz="5" w:space="0" w:color="000000"/>
            </w:tcBorders>
          </w:tcPr>
          <w:p w14:paraId="33BEE74D" w14:textId="77777777" w:rsidR="00417A10" w:rsidRPr="00CF5D7A" w:rsidRDefault="00417A10" w:rsidP="00E72311">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Adalimumab/MTX</w:t>
            </w:r>
          </w:p>
          <w:p w14:paraId="3DBC3D94" w14:textId="3228AF35" w:rsidR="00417A10" w:rsidRPr="00CF5D7A" w:rsidRDefault="00417A10" w:rsidP="00611FDF">
            <w:pPr>
              <w:pStyle w:val="TableParagraph"/>
              <w:spacing w:before="1"/>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w:t>
            </w:r>
            <w:r w:rsidR="00611FDF">
              <w:rPr>
                <w:rFonts w:ascii="Times New Roman" w:eastAsia="Times New Roman" w:hAnsi="Times New Roman" w:cs="Times New Roman"/>
                <w:spacing w:val="-1"/>
                <w:lang w:val="hu-HU"/>
              </w:rPr>
              <w:t>n</w:t>
            </w:r>
            <w:r w:rsidR="00611FDF" w:rsidRPr="00CF5D7A">
              <w:rPr>
                <w:rFonts w:ascii="Times New Roman" w:eastAsia="Times New Roman" w:hAnsi="Times New Roman" w:cs="Times New Roman"/>
                <w:spacing w:val="-1"/>
                <w:lang w:val="hu-HU"/>
              </w:rPr>
              <w:t xml:space="preserve"> </w:t>
            </w:r>
            <w:r w:rsidRPr="00CF5D7A">
              <w:rPr>
                <w:rFonts w:ascii="Times New Roman" w:eastAsia="Times New Roman" w:hAnsi="Times New Roman" w:cs="Times New Roman"/>
                <w:spacing w:val="-1"/>
                <w:lang w:val="hu-HU"/>
              </w:rPr>
              <w:t>= 38)</w:t>
            </w:r>
          </w:p>
        </w:tc>
        <w:tc>
          <w:tcPr>
            <w:tcW w:w="1759" w:type="dxa"/>
            <w:tcBorders>
              <w:top w:val="single" w:sz="5" w:space="0" w:color="000000"/>
              <w:left w:val="single" w:sz="5" w:space="0" w:color="000000"/>
              <w:bottom w:val="single" w:sz="5" w:space="0" w:color="000000"/>
              <w:right w:val="single" w:sz="5" w:space="0" w:color="000000"/>
            </w:tcBorders>
          </w:tcPr>
          <w:p w14:paraId="799330FA" w14:textId="77777777" w:rsidR="00417A10" w:rsidRPr="00CF5D7A" w:rsidRDefault="00417A10" w:rsidP="00E72311">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Placebo/MTX</w:t>
            </w:r>
          </w:p>
          <w:p w14:paraId="1ECADB56" w14:textId="5DD65074" w:rsidR="00417A10" w:rsidRPr="00CF5D7A" w:rsidRDefault="00417A10" w:rsidP="00611FDF">
            <w:pPr>
              <w:pStyle w:val="TableParagraph"/>
              <w:spacing w:before="1"/>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w:t>
            </w:r>
            <w:r w:rsidR="00611FDF">
              <w:rPr>
                <w:rFonts w:ascii="Times New Roman" w:eastAsia="Times New Roman" w:hAnsi="Times New Roman" w:cs="Times New Roman"/>
                <w:spacing w:val="-1"/>
                <w:lang w:val="hu-HU"/>
              </w:rPr>
              <w:t>n</w:t>
            </w:r>
            <w:r w:rsidR="00611FDF" w:rsidRPr="00CF5D7A">
              <w:rPr>
                <w:rFonts w:ascii="Times New Roman" w:eastAsia="Times New Roman" w:hAnsi="Times New Roman" w:cs="Times New Roman"/>
                <w:spacing w:val="-1"/>
                <w:lang w:val="hu-HU"/>
              </w:rPr>
              <w:t xml:space="preserve"> </w:t>
            </w:r>
            <w:r w:rsidRPr="00CF5D7A">
              <w:rPr>
                <w:rFonts w:ascii="Times New Roman" w:eastAsia="Times New Roman" w:hAnsi="Times New Roman" w:cs="Times New Roman"/>
                <w:spacing w:val="-1"/>
                <w:lang w:val="hu-HU"/>
              </w:rPr>
              <w:t>= 37)</w:t>
            </w:r>
          </w:p>
        </w:tc>
        <w:tc>
          <w:tcPr>
            <w:tcW w:w="1651" w:type="dxa"/>
            <w:tcBorders>
              <w:top w:val="single" w:sz="5" w:space="0" w:color="000000"/>
              <w:left w:val="single" w:sz="5" w:space="0" w:color="000000"/>
              <w:bottom w:val="single" w:sz="5" w:space="0" w:color="000000"/>
              <w:right w:val="single" w:sz="5" w:space="0" w:color="000000"/>
            </w:tcBorders>
          </w:tcPr>
          <w:p w14:paraId="674D3719" w14:textId="77777777" w:rsidR="00417A10" w:rsidRPr="00CF5D7A" w:rsidRDefault="00417A10" w:rsidP="00E72311">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Adalimumab</w:t>
            </w:r>
          </w:p>
          <w:p w14:paraId="1847B784" w14:textId="01D967EF" w:rsidR="00417A10" w:rsidRPr="00CF5D7A" w:rsidRDefault="00417A10" w:rsidP="00611FDF">
            <w:pPr>
              <w:pStyle w:val="TableParagraph"/>
              <w:spacing w:before="1"/>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w:t>
            </w:r>
            <w:r w:rsidR="00611FDF">
              <w:rPr>
                <w:rFonts w:ascii="Times New Roman" w:eastAsia="Times New Roman" w:hAnsi="Times New Roman" w:cs="Times New Roman"/>
                <w:spacing w:val="-1"/>
                <w:lang w:val="hu-HU"/>
              </w:rPr>
              <w:t>n</w:t>
            </w:r>
            <w:r w:rsidR="00611FDF" w:rsidRPr="00CF5D7A">
              <w:rPr>
                <w:rFonts w:ascii="Times New Roman" w:eastAsia="Times New Roman" w:hAnsi="Times New Roman" w:cs="Times New Roman"/>
                <w:spacing w:val="-1"/>
                <w:lang w:val="hu-HU"/>
              </w:rPr>
              <w:t xml:space="preserve"> </w:t>
            </w:r>
            <w:r w:rsidRPr="00CF5D7A">
              <w:rPr>
                <w:rFonts w:ascii="Times New Roman" w:eastAsia="Times New Roman" w:hAnsi="Times New Roman" w:cs="Times New Roman"/>
                <w:spacing w:val="-1"/>
                <w:lang w:val="hu-HU"/>
              </w:rPr>
              <w:t>= 30)</w:t>
            </w:r>
          </w:p>
        </w:tc>
        <w:tc>
          <w:tcPr>
            <w:tcW w:w="1589" w:type="dxa"/>
            <w:tcBorders>
              <w:top w:val="single" w:sz="5" w:space="0" w:color="000000"/>
              <w:left w:val="single" w:sz="5" w:space="0" w:color="000000"/>
              <w:bottom w:val="single" w:sz="5" w:space="0" w:color="000000"/>
              <w:right w:val="single" w:sz="5" w:space="0" w:color="000000"/>
            </w:tcBorders>
          </w:tcPr>
          <w:p w14:paraId="1257F8FB" w14:textId="77777777" w:rsidR="00417A10" w:rsidRPr="00CF5D7A" w:rsidRDefault="00417A10" w:rsidP="00E72311">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Placebo</w:t>
            </w:r>
          </w:p>
          <w:p w14:paraId="53F7673C" w14:textId="0C74DD9F" w:rsidR="00417A10" w:rsidRPr="00CF5D7A" w:rsidRDefault="00417A10" w:rsidP="00611FDF">
            <w:pPr>
              <w:pStyle w:val="TableParagraph"/>
              <w:spacing w:before="1"/>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w:t>
            </w:r>
            <w:r w:rsidR="00611FDF">
              <w:rPr>
                <w:rFonts w:ascii="Times New Roman" w:eastAsia="Times New Roman" w:hAnsi="Times New Roman" w:cs="Times New Roman"/>
                <w:spacing w:val="-1"/>
                <w:lang w:val="hu-HU"/>
              </w:rPr>
              <w:t>n</w:t>
            </w:r>
            <w:r w:rsidR="00611FDF" w:rsidRPr="00CF5D7A">
              <w:rPr>
                <w:rFonts w:ascii="Times New Roman" w:eastAsia="Times New Roman" w:hAnsi="Times New Roman" w:cs="Times New Roman"/>
                <w:spacing w:val="-1"/>
                <w:lang w:val="hu-HU"/>
              </w:rPr>
              <w:t xml:space="preserve"> </w:t>
            </w:r>
            <w:r w:rsidRPr="00CF5D7A">
              <w:rPr>
                <w:rFonts w:ascii="Times New Roman" w:eastAsia="Times New Roman" w:hAnsi="Times New Roman" w:cs="Times New Roman"/>
                <w:spacing w:val="-1"/>
                <w:lang w:val="hu-HU"/>
              </w:rPr>
              <w:t>= 28)</w:t>
            </w:r>
          </w:p>
        </w:tc>
      </w:tr>
      <w:tr w:rsidR="00417A10" w14:paraId="76176A4F" w14:textId="77777777" w:rsidTr="00E72311">
        <w:tc>
          <w:tcPr>
            <w:tcW w:w="2417" w:type="dxa"/>
            <w:tcBorders>
              <w:top w:val="single" w:sz="5" w:space="0" w:color="000000"/>
              <w:left w:val="single" w:sz="5" w:space="0" w:color="000000"/>
              <w:bottom w:val="single" w:sz="5" w:space="0" w:color="000000"/>
              <w:right w:val="single" w:sz="5" w:space="0" w:color="000000"/>
            </w:tcBorders>
          </w:tcPr>
          <w:p w14:paraId="1F37A2A5" w14:textId="77777777" w:rsidR="00417A10" w:rsidRPr="00CF5D7A" w:rsidRDefault="00417A10" w:rsidP="00E72311">
            <w:pPr>
              <w:pStyle w:val="TableParagraph"/>
              <w:spacing w:line="246" w:lineRule="exact"/>
              <w:ind w:left="668"/>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 xml:space="preserve">A betegség fellángolása a </w:t>
            </w:r>
            <w:r w:rsidRPr="00CF5D7A">
              <w:rPr>
                <w:rFonts w:ascii="Times New Roman" w:eastAsia="Times New Roman" w:hAnsi="Times New Roman" w:cs="Times New Roman"/>
                <w:lang w:val="hu-HU"/>
              </w:rPr>
              <w:t>32. hét végén</w:t>
            </w:r>
            <w:r w:rsidRPr="009167C6">
              <w:rPr>
                <w:rFonts w:ascii="Times New Roman" w:eastAsia="Times New Roman" w:hAnsi="Times New Roman" w:cs="Times New Roman"/>
                <w:vertAlign w:val="superscript"/>
                <w:lang w:val="hu-HU"/>
              </w:rPr>
              <w:t>a</w:t>
            </w:r>
            <w:r w:rsidRPr="009167C6">
              <w:rPr>
                <w:rFonts w:ascii="Times New Roman" w:eastAsia="Times New Roman" w:hAnsi="Times New Roman" w:cs="Times New Roman"/>
                <w:lang w:val="hu-HU"/>
              </w:rPr>
              <w:t xml:space="preserve"> </w:t>
            </w:r>
            <w:r w:rsidRPr="00CF5D7A">
              <w:rPr>
                <w:rFonts w:ascii="Times New Roman" w:eastAsia="Times New Roman" w:hAnsi="Times New Roman" w:cs="Times New Roman"/>
                <w:lang w:val="hu-HU"/>
              </w:rPr>
              <w:t>(n/N)</w:t>
            </w:r>
          </w:p>
        </w:tc>
        <w:tc>
          <w:tcPr>
            <w:tcW w:w="1762" w:type="dxa"/>
            <w:tcBorders>
              <w:top w:val="single" w:sz="5" w:space="0" w:color="000000"/>
              <w:left w:val="single" w:sz="5" w:space="0" w:color="000000"/>
              <w:bottom w:val="single" w:sz="5" w:space="0" w:color="000000"/>
              <w:right w:val="single" w:sz="5" w:space="0" w:color="000000"/>
            </w:tcBorders>
          </w:tcPr>
          <w:p w14:paraId="34675B0D" w14:textId="77777777" w:rsidR="00417A10" w:rsidRPr="00CF5D7A" w:rsidRDefault="00417A10" w:rsidP="00E72311">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36,8% (14/38)</w:t>
            </w:r>
          </w:p>
        </w:tc>
        <w:tc>
          <w:tcPr>
            <w:tcW w:w="1759" w:type="dxa"/>
            <w:tcBorders>
              <w:top w:val="single" w:sz="5" w:space="0" w:color="000000"/>
              <w:left w:val="single" w:sz="5" w:space="0" w:color="000000"/>
              <w:bottom w:val="single" w:sz="5" w:space="0" w:color="000000"/>
              <w:right w:val="single" w:sz="5" w:space="0" w:color="000000"/>
            </w:tcBorders>
          </w:tcPr>
          <w:p w14:paraId="7C1CC3A8" w14:textId="77777777" w:rsidR="00417A10" w:rsidRPr="009167C6" w:rsidRDefault="00417A10" w:rsidP="00E72311">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64,9% (24/37)</w:t>
            </w:r>
            <w:r w:rsidRPr="009167C6">
              <w:rPr>
                <w:rFonts w:ascii="Times New Roman" w:eastAsia="Times New Roman" w:hAnsi="Times New Roman" w:cs="Times New Roman"/>
                <w:spacing w:val="-1"/>
                <w:vertAlign w:val="superscript"/>
                <w:lang w:val="hu-HU"/>
              </w:rPr>
              <w:t>b</w:t>
            </w:r>
          </w:p>
        </w:tc>
        <w:tc>
          <w:tcPr>
            <w:tcW w:w="1651" w:type="dxa"/>
            <w:tcBorders>
              <w:top w:val="single" w:sz="5" w:space="0" w:color="000000"/>
              <w:left w:val="single" w:sz="5" w:space="0" w:color="000000"/>
              <w:bottom w:val="single" w:sz="5" w:space="0" w:color="000000"/>
              <w:right w:val="single" w:sz="5" w:space="0" w:color="000000"/>
            </w:tcBorders>
          </w:tcPr>
          <w:p w14:paraId="768AFE3C" w14:textId="77777777" w:rsidR="00417A10" w:rsidRPr="00CF5D7A" w:rsidRDefault="00417A10" w:rsidP="00E72311">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43,3% (13/30)</w:t>
            </w:r>
          </w:p>
        </w:tc>
        <w:tc>
          <w:tcPr>
            <w:tcW w:w="1589" w:type="dxa"/>
            <w:tcBorders>
              <w:top w:val="single" w:sz="5" w:space="0" w:color="000000"/>
              <w:left w:val="single" w:sz="5" w:space="0" w:color="000000"/>
              <w:bottom w:val="single" w:sz="5" w:space="0" w:color="000000"/>
              <w:right w:val="single" w:sz="5" w:space="0" w:color="000000"/>
            </w:tcBorders>
          </w:tcPr>
          <w:p w14:paraId="4D484DE4" w14:textId="77777777" w:rsidR="00417A10" w:rsidRPr="00CF5D7A" w:rsidRDefault="00417A10" w:rsidP="00E72311">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71,4%</w:t>
            </w:r>
          </w:p>
          <w:p w14:paraId="69E0F4AC" w14:textId="77777777" w:rsidR="00417A10" w:rsidRPr="009167C6" w:rsidRDefault="00417A10" w:rsidP="00E72311">
            <w:pPr>
              <w:pStyle w:val="TableParagraph"/>
              <w:spacing w:line="252"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(20/28)</w:t>
            </w:r>
            <w:r w:rsidRPr="009167C6">
              <w:rPr>
                <w:rFonts w:ascii="Times New Roman" w:eastAsia="Times New Roman" w:hAnsi="Times New Roman" w:cs="Times New Roman"/>
                <w:spacing w:val="-1"/>
                <w:vertAlign w:val="superscript"/>
                <w:lang w:val="hu-HU"/>
              </w:rPr>
              <w:t>c</w:t>
            </w:r>
          </w:p>
        </w:tc>
      </w:tr>
      <w:tr w:rsidR="00417A10" w14:paraId="0AC0DA50" w14:textId="77777777" w:rsidTr="00E72311">
        <w:tc>
          <w:tcPr>
            <w:tcW w:w="2417" w:type="dxa"/>
            <w:tcBorders>
              <w:top w:val="single" w:sz="5" w:space="0" w:color="000000"/>
              <w:left w:val="single" w:sz="5" w:space="0" w:color="000000"/>
              <w:bottom w:val="single" w:sz="5" w:space="0" w:color="000000"/>
              <w:right w:val="single" w:sz="5" w:space="0" w:color="000000"/>
            </w:tcBorders>
          </w:tcPr>
          <w:p w14:paraId="7B565441" w14:textId="77777777" w:rsidR="00417A10" w:rsidRPr="00CF5D7A" w:rsidRDefault="00417A10" w:rsidP="00E72311">
            <w:pPr>
              <w:pStyle w:val="TableParagraph"/>
              <w:spacing w:line="246" w:lineRule="exact"/>
              <w:ind w:left="668"/>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lastRenderedPageBreak/>
              <w:t>A betegség fellángolásáig eltelt medián idő</w:t>
            </w:r>
          </w:p>
        </w:tc>
        <w:tc>
          <w:tcPr>
            <w:tcW w:w="1762" w:type="dxa"/>
            <w:tcBorders>
              <w:top w:val="single" w:sz="5" w:space="0" w:color="000000"/>
              <w:left w:val="single" w:sz="5" w:space="0" w:color="000000"/>
              <w:bottom w:val="single" w:sz="5" w:space="0" w:color="000000"/>
              <w:right w:val="single" w:sz="5" w:space="0" w:color="000000"/>
            </w:tcBorders>
          </w:tcPr>
          <w:p w14:paraId="39EB2FAF" w14:textId="77777777" w:rsidR="00417A10" w:rsidRPr="00CF5D7A" w:rsidRDefault="00417A10" w:rsidP="00E72311">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&gt; 32 hét</w:t>
            </w:r>
          </w:p>
        </w:tc>
        <w:tc>
          <w:tcPr>
            <w:tcW w:w="1759" w:type="dxa"/>
            <w:tcBorders>
              <w:top w:val="single" w:sz="5" w:space="0" w:color="000000"/>
              <w:left w:val="single" w:sz="5" w:space="0" w:color="000000"/>
              <w:bottom w:val="single" w:sz="5" w:space="0" w:color="000000"/>
              <w:right w:val="single" w:sz="5" w:space="0" w:color="000000"/>
            </w:tcBorders>
          </w:tcPr>
          <w:p w14:paraId="0E911FF9" w14:textId="77777777" w:rsidR="00417A10" w:rsidRPr="00CF5D7A" w:rsidRDefault="00417A10" w:rsidP="00E72311">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20 hét</w:t>
            </w:r>
          </w:p>
        </w:tc>
        <w:tc>
          <w:tcPr>
            <w:tcW w:w="1651" w:type="dxa"/>
            <w:tcBorders>
              <w:top w:val="single" w:sz="5" w:space="0" w:color="000000"/>
              <w:left w:val="single" w:sz="5" w:space="0" w:color="000000"/>
              <w:bottom w:val="single" w:sz="5" w:space="0" w:color="000000"/>
              <w:right w:val="single" w:sz="5" w:space="0" w:color="000000"/>
            </w:tcBorders>
          </w:tcPr>
          <w:p w14:paraId="70844D4D" w14:textId="77777777" w:rsidR="00417A10" w:rsidRPr="00CF5D7A" w:rsidRDefault="00417A10" w:rsidP="00E72311">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&gt; 32 hét</w:t>
            </w:r>
          </w:p>
        </w:tc>
        <w:tc>
          <w:tcPr>
            <w:tcW w:w="1589" w:type="dxa"/>
            <w:tcBorders>
              <w:top w:val="single" w:sz="5" w:space="0" w:color="000000"/>
              <w:left w:val="single" w:sz="5" w:space="0" w:color="000000"/>
              <w:bottom w:val="single" w:sz="5" w:space="0" w:color="000000"/>
              <w:right w:val="single" w:sz="5" w:space="0" w:color="000000"/>
            </w:tcBorders>
          </w:tcPr>
          <w:p w14:paraId="1E966581" w14:textId="77777777" w:rsidR="00417A10" w:rsidRPr="00CF5D7A" w:rsidRDefault="00417A10" w:rsidP="00E72311">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14 hét</w:t>
            </w:r>
          </w:p>
        </w:tc>
      </w:tr>
    </w:tbl>
    <w:p w14:paraId="2383D760" w14:textId="77777777" w:rsidR="00417A10" w:rsidRDefault="00417A10" w:rsidP="00417A10">
      <w:pPr>
        <w:spacing w:before="3" w:line="180" w:lineRule="exact"/>
        <w:rPr>
          <w:sz w:val="18"/>
          <w:szCs w:val="18"/>
          <w:lang w:val="hu-HU"/>
        </w:rPr>
      </w:pPr>
    </w:p>
    <w:p w14:paraId="13EA4D14" w14:textId="77777777" w:rsidR="00417A10" w:rsidRPr="00A9482F" w:rsidRDefault="00417A10" w:rsidP="00417A10">
      <w:pPr>
        <w:pStyle w:val="a3"/>
        <w:rPr>
          <w:lang w:val="hu-HU"/>
        </w:rPr>
      </w:pPr>
      <w:r w:rsidRPr="009167C6">
        <w:rPr>
          <w:rFonts w:eastAsia="Times New Roman"/>
          <w:position w:val="8"/>
          <w:vertAlign w:val="superscript"/>
          <w:lang w:val="hu-HU"/>
        </w:rPr>
        <w:t>a</w:t>
      </w:r>
      <w:r w:rsidRPr="009167C6">
        <w:rPr>
          <w:rFonts w:eastAsia="Times New Roman"/>
          <w:position w:val="8"/>
          <w:lang w:val="hu-HU"/>
        </w:rPr>
        <w:t xml:space="preserve"> </w:t>
      </w:r>
      <w:r w:rsidRPr="00A9482F">
        <w:rPr>
          <w:rFonts w:eastAsia="Times New Roman"/>
          <w:position w:val="8"/>
          <w:lang w:val="hu-HU"/>
        </w:rPr>
        <w:t>A 48. heti Pediátriai ACR 30/50/70 válaszok szignifikánsan magasabbak, mint a placebóval kezelt betegeknél kapott értékek</w:t>
      </w:r>
    </w:p>
    <w:p w14:paraId="1E9BAB85" w14:textId="77777777" w:rsidR="00417A10" w:rsidRPr="00A9482F" w:rsidRDefault="00417A10" w:rsidP="00417A10">
      <w:pPr>
        <w:pStyle w:val="a3"/>
        <w:rPr>
          <w:lang w:val="hu-HU"/>
        </w:rPr>
      </w:pPr>
      <w:r w:rsidRPr="009167C6">
        <w:rPr>
          <w:rFonts w:eastAsia="Times New Roman"/>
          <w:position w:val="8"/>
          <w:vertAlign w:val="superscript"/>
          <w:lang w:val="hu-HU"/>
        </w:rPr>
        <w:t>b</w:t>
      </w:r>
      <w:r w:rsidRPr="009167C6">
        <w:rPr>
          <w:rFonts w:eastAsia="Times New Roman"/>
          <w:position w:val="8"/>
          <w:lang w:val="hu-HU"/>
        </w:rPr>
        <w:t xml:space="preserve"> </w:t>
      </w:r>
      <w:r w:rsidRPr="00A9482F">
        <w:rPr>
          <w:rFonts w:eastAsia="Times New Roman"/>
          <w:position w:val="8"/>
          <w:lang w:val="hu-HU"/>
        </w:rPr>
        <w:t>p = 0,015</w:t>
      </w:r>
    </w:p>
    <w:p w14:paraId="550FCA15" w14:textId="77777777" w:rsidR="00417A10" w:rsidRPr="00A9482F" w:rsidRDefault="00417A10" w:rsidP="00417A10">
      <w:pPr>
        <w:pStyle w:val="a3"/>
        <w:rPr>
          <w:lang w:val="hu-HU"/>
        </w:rPr>
      </w:pPr>
      <w:r w:rsidRPr="009167C6">
        <w:rPr>
          <w:rFonts w:eastAsia="Times New Roman"/>
          <w:position w:val="8"/>
          <w:vertAlign w:val="superscript"/>
          <w:lang w:val="hu-HU"/>
        </w:rPr>
        <w:t>c</w:t>
      </w:r>
      <w:r w:rsidRPr="009167C6">
        <w:rPr>
          <w:rFonts w:eastAsia="Times New Roman"/>
          <w:position w:val="8"/>
          <w:lang w:val="hu-HU"/>
        </w:rPr>
        <w:t xml:space="preserve"> </w:t>
      </w:r>
      <w:r w:rsidRPr="00A9482F">
        <w:rPr>
          <w:rFonts w:eastAsia="Times New Roman"/>
          <w:position w:val="8"/>
          <w:lang w:val="hu-HU"/>
        </w:rPr>
        <w:t>p = 0,031</w:t>
      </w:r>
    </w:p>
    <w:p w14:paraId="59C86D61" w14:textId="77777777" w:rsidR="00417A10" w:rsidRDefault="00417A10" w:rsidP="00417A10">
      <w:pPr>
        <w:spacing w:before="14" w:line="240" w:lineRule="exact"/>
        <w:rPr>
          <w:sz w:val="24"/>
          <w:szCs w:val="24"/>
          <w:lang w:val="hu-HU"/>
        </w:rPr>
      </w:pPr>
    </w:p>
    <w:p w14:paraId="791915B3" w14:textId="77777777" w:rsidR="00417A10" w:rsidRDefault="00417A10" w:rsidP="00417A10">
      <w:pPr>
        <w:pStyle w:val="a3"/>
        <w:rPr>
          <w:lang w:val="hu-HU"/>
        </w:rPr>
      </w:pPr>
      <w:r>
        <w:rPr>
          <w:rFonts w:eastAsia="Times New Roman"/>
          <w:spacing w:val="1"/>
          <w:lang w:val="hu-HU"/>
        </w:rPr>
        <w:t>Azok közül, akiknél terápiás válasz alakult ki a 16. héten (n = 144), a Pediátriai ACR 30/50/70/90 válaszok a nyílt kiterjesztéses szakaszban akár 6 éven át fennmaradtak azoknál, akik adalimumabot kaptak a vizsgálat teljes ideje alatt. Összesen 19 beteget kezeltek 6 évig vagy ennél hosszabb ideig, közülük 11-en tartoztak a 4 – 12 évesek, míg 8-an a 13 – 17 évesek kiindulási korcsoportjába.</w:t>
      </w:r>
    </w:p>
    <w:p w14:paraId="526270B5" w14:textId="77777777" w:rsidR="00417A10" w:rsidRDefault="00417A10" w:rsidP="00417A10">
      <w:pPr>
        <w:spacing w:before="14" w:line="240" w:lineRule="exact"/>
        <w:rPr>
          <w:sz w:val="24"/>
          <w:szCs w:val="24"/>
          <w:lang w:val="hu-HU"/>
        </w:rPr>
      </w:pPr>
    </w:p>
    <w:p w14:paraId="258AB330" w14:textId="77777777" w:rsidR="00417A10" w:rsidRDefault="00417A10" w:rsidP="00417A10">
      <w:pPr>
        <w:pStyle w:val="a3"/>
        <w:rPr>
          <w:lang w:val="hu-HU"/>
        </w:rPr>
      </w:pPr>
      <w:r>
        <w:rPr>
          <w:rFonts w:eastAsia="Times New Roman"/>
          <w:lang w:val="hu-HU"/>
        </w:rPr>
        <w:t>Az adalimumab és MTX kombinációjával kezelteknél az összesített terápiás válaszok általában jobbak voltak és kevesebb betegnél alakultak ki antitestek, mint azoknál, akik az adalimumabot önmagában kapták. Ezeket az eredményeket figyelembe véve a Yuflyma alkalmazása MTX-kombinációban, illetve monoterápiaként olyan betegeknél ajánlott, akiknél az MTX alkalmazása nem megfelelő (lásd 4.2 pont).</w:t>
      </w:r>
    </w:p>
    <w:p w14:paraId="5508ED56" w14:textId="77777777" w:rsidR="00417A10" w:rsidRDefault="00417A10" w:rsidP="00417A10">
      <w:pPr>
        <w:pStyle w:val="a3"/>
        <w:rPr>
          <w:lang w:val="hu-HU"/>
        </w:rPr>
      </w:pPr>
    </w:p>
    <w:p w14:paraId="5285DF39" w14:textId="77777777" w:rsidR="00417A10" w:rsidRDefault="00417A10" w:rsidP="00417A10">
      <w:pPr>
        <w:pStyle w:val="a3"/>
        <w:rPr>
          <w:lang w:val="hu-HU"/>
        </w:rPr>
      </w:pPr>
      <w:r>
        <w:rPr>
          <w:rFonts w:eastAsia="Times New Roman"/>
          <w:spacing w:val="1"/>
          <w:lang w:val="hu-HU"/>
        </w:rPr>
        <w:t>pJIA II</w:t>
      </w:r>
    </w:p>
    <w:p w14:paraId="74D16585" w14:textId="77777777" w:rsidR="00417A10" w:rsidRDefault="00417A10" w:rsidP="00417A10">
      <w:pPr>
        <w:spacing w:before="11" w:line="240" w:lineRule="exact"/>
        <w:rPr>
          <w:sz w:val="24"/>
          <w:szCs w:val="24"/>
          <w:lang w:val="hu-HU"/>
        </w:rPr>
      </w:pPr>
    </w:p>
    <w:p w14:paraId="20309B06" w14:textId="77777777" w:rsidR="00417A10" w:rsidRDefault="00417A10" w:rsidP="00417A10">
      <w:pPr>
        <w:pStyle w:val="a3"/>
        <w:rPr>
          <w:lang w:val="hu-HU"/>
        </w:rPr>
      </w:pPr>
      <w:r>
        <w:rPr>
          <w:rFonts w:eastAsia="Times New Roman"/>
          <w:lang w:val="hu-HU"/>
        </w:rPr>
        <w:t>AAz adalimumab biztonságosságát és hatásosságát egy nyílt, multicentrikus vizsgálatban értékelték, amelyet 32 olyan gyermek bevonásával végeztek</w:t>
      </w:r>
    </w:p>
    <w:p w14:paraId="03B80AD4" w14:textId="77777777" w:rsidR="00417A10" w:rsidRDefault="00417A10" w:rsidP="00417A10">
      <w:pPr>
        <w:pStyle w:val="a3"/>
        <w:rPr>
          <w:lang w:val="hu-HU"/>
        </w:rPr>
      </w:pPr>
      <w:r>
        <w:rPr>
          <w:rFonts w:eastAsia="Times New Roman"/>
          <w:lang w:val="hu-HU"/>
        </w:rPr>
        <w:t>(életkoruk 2 - &lt;4 év vagy 4 év és a feletti, testtömegük &lt; 15 kg volt), akik közepesen súlyos vagy súlyos, aktív pJIA-ban szenvedtek. A betegek 24 mg/testfelszín m</w:t>
      </w:r>
      <w:r>
        <w:rPr>
          <w:rFonts w:eastAsia="Times New Roman"/>
          <w:sz w:val="14"/>
          <w:szCs w:val="14"/>
          <w:lang w:val="hu-HU"/>
        </w:rPr>
        <w:t>2</w:t>
      </w:r>
      <w:r>
        <w:rPr>
          <w:rFonts w:eastAsia="Times New Roman"/>
          <w:lang w:val="hu-HU"/>
        </w:rPr>
        <w:t>, kéthetente legfeljebb 20 mg egyszeri adag adalimumabot kaptak sc. injekció formájában legalább 24 hétig. A vizsgálat alatt a legtöbb betegnél alkalmaztak kísérő MTX-ot, néhány betegnél pedig kortikoszteroidok vagy nem szteroid gyulladásgátlók (NSAID) alkalmazásáról számoltak be</w:t>
      </w:r>
    </w:p>
    <w:p w14:paraId="46840BBB" w14:textId="77777777" w:rsidR="00417A10" w:rsidRDefault="00417A10" w:rsidP="00417A10">
      <w:pPr>
        <w:spacing w:before="14" w:line="240" w:lineRule="exact"/>
        <w:rPr>
          <w:sz w:val="24"/>
          <w:szCs w:val="24"/>
          <w:lang w:val="hu-HU"/>
        </w:rPr>
      </w:pPr>
    </w:p>
    <w:p w14:paraId="52C2DEEC" w14:textId="77777777" w:rsidR="00417A10" w:rsidRDefault="00417A10" w:rsidP="00417A10">
      <w:pPr>
        <w:pStyle w:val="a3"/>
        <w:rPr>
          <w:lang w:val="hu-HU"/>
        </w:rPr>
      </w:pPr>
      <w:r>
        <w:rPr>
          <w:rFonts w:eastAsia="Times New Roman"/>
          <w:lang w:val="hu-HU"/>
        </w:rPr>
        <w:t>A Pediátriai ACR 30 válasz a 12. héten 93,5%, a 24. héten pedig 90,0% volt a megfigyelt adatok elemzése alapján. A Pediátriai ACR 50/70/90 választ elérő betegek aránya a 12. héten 90,3%/61,3%/38,7%, a 24. héten 83,3%/73,3%/36,7% volt. Azok közül, akiknél terápiás válasz (Pediátriai ACR 30 ) alakult ki a 24. héten (n = 27 a 30 betegből), a Pediátriai ACR 30 válasz a nyílt kiterjesztéses szakaszban akár 60 hétig fennmaradt azoknál, akik adalimumabot kaptak ebben az időszakban.Összesen 20 beteget kezeltek 60 hétig vagy ennél hosszabb ideig.</w:t>
      </w:r>
    </w:p>
    <w:p w14:paraId="18EEE358" w14:textId="77777777" w:rsidR="00417A10" w:rsidRDefault="00417A10" w:rsidP="00417A10">
      <w:pPr>
        <w:pStyle w:val="a3"/>
        <w:rPr>
          <w:sz w:val="24"/>
          <w:szCs w:val="24"/>
          <w:lang w:val="hu-HU"/>
        </w:rPr>
      </w:pPr>
    </w:p>
    <w:p w14:paraId="1F94781E" w14:textId="77777777" w:rsidR="00417A10" w:rsidRDefault="00417A10" w:rsidP="00417A10">
      <w:pPr>
        <w:pStyle w:val="a3"/>
        <w:rPr>
          <w:rFonts w:eastAsia="Times New Roman"/>
          <w:lang w:val="hu-HU"/>
        </w:rPr>
      </w:pPr>
      <w:r>
        <w:rPr>
          <w:rFonts w:eastAsia="Times New Roman"/>
          <w:i/>
          <w:iCs/>
          <w:u w:val="single" w:color="000000"/>
          <w:lang w:val="hu-HU"/>
        </w:rPr>
        <w:t>Enthesitis-asszociált arthritis</w:t>
      </w:r>
    </w:p>
    <w:p w14:paraId="1DD0E5E0" w14:textId="77777777" w:rsidR="00417A10" w:rsidRDefault="00417A10" w:rsidP="00417A10">
      <w:pPr>
        <w:pStyle w:val="a3"/>
        <w:rPr>
          <w:sz w:val="18"/>
          <w:szCs w:val="18"/>
          <w:lang w:val="hu-HU"/>
        </w:rPr>
      </w:pPr>
    </w:p>
    <w:p w14:paraId="720F8715" w14:textId="77777777" w:rsidR="00417A10" w:rsidRDefault="00417A10" w:rsidP="00417A10">
      <w:pPr>
        <w:pStyle w:val="a3"/>
        <w:rPr>
          <w:lang w:val="hu-HU"/>
        </w:rPr>
      </w:pPr>
      <w:r>
        <w:rPr>
          <w:rFonts w:eastAsia="Times New Roman"/>
          <w:lang w:val="hu-HU"/>
        </w:rPr>
        <w:t>Az adalimumab biztonságosságát és hatásosságát egy multicentrikus, randomizált, kettős vak vizsgálatban értékelték, amelyet 46 olyan beteg bevonásával végeztek (életkoruk 6-17 év), akik közepesen súlyos enthesitis-asszociált arthritisben szenvedtek. A betegek vagy 24 mg/testfelszín m</w:t>
      </w:r>
      <w:r>
        <w:rPr>
          <w:rFonts w:eastAsia="Times New Roman"/>
          <w:sz w:val="14"/>
          <w:szCs w:val="14"/>
          <w:lang w:val="hu-HU"/>
        </w:rPr>
        <w:t>2</w:t>
      </w:r>
      <w:r>
        <w:rPr>
          <w:rFonts w:eastAsia="Times New Roman"/>
          <w:lang w:val="hu-HU"/>
        </w:rPr>
        <w:t>, kéthetente legfeljebb 40 mg adalimumabot vagy placebót kaptak 12 hétig. A kettős vak szakaszt egy nyílt szakasz követte, ami alatt a betegek 24 mg/testfelszín m</w:t>
      </w:r>
      <w:r>
        <w:rPr>
          <w:rFonts w:eastAsia="Times New Roman"/>
          <w:sz w:val="14"/>
          <w:szCs w:val="14"/>
          <w:lang w:val="hu-HU"/>
        </w:rPr>
        <w:t>2</w:t>
      </w:r>
      <w:r>
        <w:rPr>
          <w:rFonts w:eastAsia="Times New Roman"/>
          <w:lang w:val="hu-HU"/>
        </w:rPr>
        <w:t>, kéthetente legfeljebb 40 mg subcutan adalimumabot kaptak további 192 hétig. Az elsődleges végpont a kiindulási értékek és a 12. heti értékek közötti százalékos változás volt az aktív arthritises ízületek számában (ahol a duzzanatot nem az ízületi deformitás okozza vagy olyan ízület, amelynek mozgása korlátozott és fájdalmas és/vagy duzzadt). Az elsődleges végpont teljesült, az adalimumab-csoportban az átlagos százalékos változás (csökkenés) -62,6% (medián százalékos változás -88,9%) volt, a placebocsoportban pedig -11,6% (medián százalékos változás -50,0%) volt. Az aktív arthritises ízületek számának javulása az adalimumab-csoportban 31 betegből a vizsgálatban maradó 26-nál (84%) megmaradt a nyílt szakaszban a 156. hétig. Bár statisztikailag nem szignifikáns, de a betegek többsége klinikai javulást mutatott a másodlagos végpontok tekintetében is, például az enthesitis által érintett részek számában, az érzékeny ízületek számában, a duzzadt ízületek számában, a pediátriai ACR 50 válaszban és a pediátriai ACR 70 válaszban.</w:t>
      </w:r>
    </w:p>
    <w:p w14:paraId="58BE201F" w14:textId="77777777" w:rsidR="00417A10" w:rsidRDefault="00417A10" w:rsidP="00417A10">
      <w:pPr>
        <w:pStyle w:val="a3"/>
        <w:rPr>
          <w:sz w:val="24"/>
          <w:szCs w:val="24"/>
          <w:lang w:val="hu-HU"/>
        </w:rPr>
      </w:pPr>
    </w:p>
    <w:p w14:paraId="5647D461" w14:textId="77777777" w:rsidR="00D33AB9" w:rsidRDefault="00D33AB9" w:rsidP="00D33AB9">
      <w:pPr>
        <w:pStyle w:val="a3"/>
        <w:rPr>
          <w:rFonts w:eastAsia="Times New Roman"/>
          <w:lang w:val="hu-HU"/>
        </w:rPr>
      </w:pPr>
      <w:r>
        <w:rPr>
          <w:rFonts w:eastAsia="Times New Roman"/>
          <w:i/>
          <w:iCs/>
          <w:spacing w:val="-1"/>
          <w:lang w:val="hu-HU"/>
        </w:rPr>
        <w:lastRenderedPageBreak/>
        <w:t>Gyermekkori plakkos psoriasis</w:t>
      </w:r>
    </w:p>
    <w:p w14:paraId="1CAB79F6" w14:textId="77777777" w:rsidR="00D33AB9" w:rsidRDefault="00D33AB9" w:rsidP="00D33AB9">
      <w:pPr>
        <w:pStyle w:val="a3"/>
        <w:rPr>
          <w:sz w:val="24"/>
          <w:szCs w:val="24"/>
          <w:lang w:val="hu-HU"/>
        </w:rPr>
      </w:pPr>
    </w:p>
    <w:p w14:paraId="79729B58" w14:textId="77777777" w:rsidR="00D33AB9" w:rsidRDefault="00D33AB9" w:rsidP="00D33AB9">
      <w:pPr>
        <w:pStyle w:val="a3"/>
        <w:rPr>
          <w:lang w:val="hu-HU"/>
        </w:rPr>
      </w:pPr>
      <w:r>
        <w:rPr>
          <w:rFonts w:eastAsia="Times New Roman"/>
          <w:lang w:val="hu-HU"/>
        </w:rPr>
        <w:t>Az adalimumab hatásosságát egy randomizált, kettős vak, kontrollos vizsgálattal értékelték, amelyet 114 olyan, 4 évnél idősebb, súlyos krónikus plakkos psoriaA adalimumab hatásosságát egy randomizált, kettős vak, kontrollos vizsgálattal értékelték, amelyet 114 olyan, 4 évnél idősebb, súlyos krónikus plakkos psoriasisban szenvedő gyermek bevonásával végeztek, az orvos által végzett globális értékelés (Physician’s Global Assessment, PGA) definíció szerint ≥ 4 vagy &gt; 20% testfelület érintettség vagy &gt; 10% testfelület érintettség nagyon vastag elváltozásokkal vagy psoriasisos terület és súlyossági index (Psoriasis Area and Severity Index, PASI)</w:t>
      </w:r>
    </w:p>
    <w:p w14:paraId="3CBE7C06" w14:textId="77777777" w:rsidR="00D33AB9" w:rsidRDefault="00D33AB9" w:rsidP="00D33AB9">
      <w:pPr>
        <w:pStyle w:val="a3"/>
        <w:rPr>
          <w:rFonts w:eastAsia="Times New Roman"/>
          <w:lang w:val="hu-HU"/>
        </w:rPr>
      </w:pPr>
      <w:r>
        <w:rPr>
          <w:rFonts w:eastAsia="Times New Roman"/>
          <w:lang w:val="hu-HU"/>
        </w:rPr>
        <w:t>≥ 20 vagy ≥ 10 klinikailag jelentős arc, genitális vagy kézfej/lábfej érintettséggel), akiknél a helyi kezelés és fényterápia vagy fototerápia hatástalan volt.</w:t>
      </w:r>
    </w:p>
    <w:p w14:paraId="72A8D229" w14:textId="77777777" w:rsidR="00D33AB9" w:rsidRDefault="00D33AB9" w:rsidP="00D33AB9">
      <w:pPr>
        <w:pStyle w:val="a3"/>
        <w:rPr>
          <w:sz w:val="24"/>
          <w:szCs w:val="24"/>
          <w:lang w:val="hu-HU"/>
        </w:rPr>
      </w:pPr>
    </w:p>
    <w:p w14:paraId="519362E2" w14:textId="77777777" w:rsidR="00D33AB9" w:rsidRDefault="00D33AB9" w:rsidP="00D33AB9">
      <w:pPr>
        <w:pStyle w:val="a3"/>
        <w:rPr>
          <w:rFonts w:eastAsia="Times New Roman"/>
          <w:lang w:val="hu-HU"/>
        </w:rPr>
      </w:pPr>
      <w:r>
        <w:rPr>
          <w:rFonts w:eastAsia="Times New Roman"/>
          <w:lang w:val="hu-HU"/>
        </w:rPr>
        <w:t>A betegek 0,8 mg/ttkg (legfeljebb 40 mg), 40 mg/ttkg (legfeljebb 20 mg)  adalimumabot kaptak kéthetente vagy 0,1-0,4 mg/ttkg (legfeljebb 25 mg) metotrexátot hetente.16 hetes kezelés után több, 0,8 mg/ttkg  adalimumab-ra randomizált beteg mutatott pozitív hatásossági választ (például PASI 75), mint a kéthetente 0,4 mg/ttkg Adalimumabbal vagy metotrexáttal kezelt betegek.</w:t>
      </w:r>
    </w:p>
    <w:p w14:paraId="1E4558D6" w14:textId="77777777" w:rsidR="00D33AB9" w:rsidRDefault="00D33AB9" w:rsidP="00D33AB9">
      <w:pPr>
        <w:pStyle w:val="a3"/>
        <w:rPr>
          <w:rFonts w:eastAsia="Times New Roman"/>
          <w:lang w:val="hu-HU"/>
        </w:rPr>
      </w:pPr>
    </w:p>
    <w:p w14:paraId="6B519166" w14:textId="09F00526" w:rsidR="00D33AB9" w:rsidRDefault="00D33AB9" w:rsidP="00D33AB9">
      <w:pPr>
        <w:pStyle w:val="a3"/>
        <w:jc w:val="center"/>
        <w:rPr>
          <w:b/>
          <w:lang w:val="hu-HU"/>
        </w:rPr>
      </w:pPr>
      <w:r>
        <w:rPr>
          <w:rFonts w:eastAsia="Times New Roman"/>
          <w:b/>
          <w:bCs/>
          <w:lang w:val="hu-HU"/>
        </w:rPr>
        <w:t>2</w:t>
      </w:r>
      <w:r w:rsidR="00E72311">
        <w:rPr>
          <w:rFonts w:eastAsia="Times New Roman"/>
          <w:b/>
          <w:bCs/>
          <w:lang w:val="hu-HU"/>
        </w:rPr>
        <w:t>7</w:t>
      </w:r>
      <w:r>
        <w:rPr>
          <w:rFonts w:eastAsia="Times New Roman"/>
          <w:b/>
          <w:bCs/>
          <w:lang w:val="hu-HU"/>
        </w:rPr>
        <w:t>. táblázat</w:t>
      </w:r>
    </w:p>
    <w:p w14:paraId="3343D883" w14:textId="77777777" w:rsidR="00D33AB9" w:rsidRDefault="00D33AB9" w:rsidP="00D33AB9">
      <w:pPr>
        <w:pStyle w:val="a3"/>
        <w:jc w:val="center"/>
        <w:rPr>
          <w:rFonts w:eastAsia="Times New Roman"/>
          <w:b/>
          <w:bCs/>
          <w:lang w:val="hu-HU"/>
        </w:rPr>
      </w:pPr>
      <w:r>
        <w:rPr>
          <w:rFonts w:eastAsia="Times New Roman"/>
          <w:b/>
          <w:bCs/>
          <w:lang w:val="hu-HU"/>
        </w:rPr>
        <w:t>Gyermekkori plakkos psoriasis Hatásossági eredmények a 16. héten</w:t>
      </w:r>
    </w:p>
    <w:p w14:paraId="7629A42E" w14:textId="77777777" w:rsidR="00C14860" w:rsidRDefault="00C14860" w:rsidP="00D33AB9">
      <w:pPr>
        <w:pStyle w:val="a3"/>
        <w:jc w:val="center"/>
        <w:rPr>
          <w:b/>
          <w:lang w:val="hu-HU"/>
        </w:rPr>
      </w:pPr>
    </w:p>
    <w:p w14:paraId="4CD5E724" w14:textId="77777777" w:rsidR="00D33AB9" w:rsidRDefault="00D33AB9" w:rsidP="00D33AB9">
      <w:pPr>
        <w:spacing w:before="4" w:line="10" w:lineRule="exact"/>
        <w:rPr>
          <w:sz w:val="4"/>
          <w:szCs w:val="4"/>
          <w:lang w:val="hu-HU"/>
        </w:rPr>
      </w:pPr>
    </w:p>
    <w:tbl>
      <w:tblPr>
        <w:tblStyle w:val="TableNormal1"/>
        <w:tblW w:w="0" w:type="auto"/>
        <w:tblInd w:w="6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28"/>
        <w:gridCol w:w="1680"/>
        <w:gridCol w:w="3190"/>
      </w:tblGrid>
      <w:tr w:rsidR="00D33AB9" w:rsidRPr="009167C6" w14:paraId="1F743D30" w14:textId="77777777" w:rsidTr="004E2591">
        <w:tc>
          <w:tcPr>
            <w:tcW w:w="3528" w:type="dxa"/>
          </w:tcPr>
          <w:p w14:paraId="451129D8" w14:textId="77777777" w:rsidR="00D33AB9" w:rsidRPr="007C168B" w:rsidRDefault="00D33AB9" w:rsidP="00E72311">
            <w:pPr>
              <w:rPr>
                <w:lang w:val="hu-HU"/>
              </w:rPr>
            </w:pPr>
          </w:p>
        </w:tc>
        <w:tc>
          <w:tcPr>
            <w:tcW w:w="1680" w:type="dxa"/>
          </w:tcPr>
          <w:p w14:paraId="3E7F0E2C" w14:textId="77777777" w:rsidR="00D33AB9" w:rsidRPr="009167C6" w:rsidRDefault="00D33AB9" w:rsidP="00E72311">
            <w:pPr>
              <w:pStyle w:val="TableParagraph"/>
              <w:ind w:left="537" w:right="535"/>
              <w:jc w:val="center"/>
              <w:rPr>
                <w:rFonts w:ascii="Times New Roman" w:eastAsia="Times New Roman" w:hAnsi="Times New Roman" w:cs="Times New Roman"/>
                <w:lang w:val="hu-HU"/>
              </w:rPr>
            </w:pPr>
            <w:r w:rsidRPr="007C168B">
              <w:rPr>
                <w:rFonts w:ascii="Times New Roman" w:eastAsia="Times New Roman" w:hAnsi="Times New Roman" w:cs="Times New Roman"/>
                <w:lang w:val="hu-HU"/>
              </w:rPr>
              <w:t>MTX</w:t>
            </w:r>
            <w:r w:rsidRPr="009167C6">
              <w:rPr>
                <w:rFonts w:ascii="Times New Roman" w:eastAsia="Times New Roman" w:hAnsi="Times New Roman" w:cs="Times New Roman"/>
                <w:vertAlign w:val="superscript"/>
                <w:lang w:val="hu-HU"/>
              </w:rPr>
              <w:t>a</w:t>
            </w:r>
          </w:p>
          <w:p w14:paraId="2B4F8B7F" w14:textId="7A66CD2A" w:rsidR="00D33AB9" w:rsidRPr="007C168B" w:rsidRDefault="00611FDF" w:rsidP="00E72311">
            <w:pPr>
              <w:pStyle w:val="TableParagraph"/>
              <w:ind w:left="563" w:right="563"/>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n</w:t>
            </w:r>
            <w:r w:rsidR="00D33AB9" w:rsidRPr="007C168B">
              <w:rPr>
                <w:rFonts w:ascii="Times New Roman" w:eastAsia="Times New Roman" w:hAnsi="Times New Roman" w:cs="Times New Roman"/>
                <w:spacing w:val="-1"/>
                <w:lang w:val="hu-HU"/>
              </w:rPr>
              <w:t>=37</w:t>
            </w:r>
          </w:p>
        </w:tc>
        <w:tc>
          <w:tcPr>
            <w:tcW w:w="3190" w:type="dxa"/>
          </w:tcPr>
          <w:p w14:paraId="6D160285" w14:textId="77777777" w:rsidR="00E72311" w:rsidRDefault="00D33AB9" w:rsidP="00E72311">
            <w:pPr>
              <w:pStyle w:val="TableParagraph"/>
              <w:spacing w:before="5"/>
              <w:ind w:left="113" w:right="102"/>
              <w:jc w:val="center"/>
              <w:rPr>
                <w:rFonts w:ascii="Times New Roman" w:eastAsia="Times New Roman" w:hAnsi="Times New Roman" w:cs="Times New Roman"/>
                <w:spacing w:val="-1"/>
                <w:lang w:val="hu-HU"/>
              </w:rPr>
            </w:pPr>
            <w:r w:rsidRPr="009167C6">
              <w:rPr>
                <w:rFonts w:ascii="Times New Roman" w:eastAsia="Times New Roman" w:hAnsi="Times New Roman" w:cs="Times New Roman"/>
                <w:spacing w:val="-1"/>
                <w:lang w:val="hu-HU"/>
              </w:rPr>
              <w:t xml:space="preserve">Adalimumab 0,8 mg/kg minden második héten </w:t>
            </w:r>
          </w:p>
          <w:p w14:paraId="25A754FD" w14:textId="54D9C221" w:rsidR="00D33AB9" w:rsidRPr="009167C6" w:rsidRDefault="00611FDF" w:rsidP="00E72311">
            <w:pPr>
              <w:pStyle w:val="TableParagraph"/>
              <w:spacing w:before="5"/>
              <w:ind w:left="113" w:right="102"/>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n</w:t>
            </w:r>
            <w:r w:rsidR="00D33AB9" w:rsidRPr="009167C6">
              <w:rPr>
                <w:rFonts w:ascii="Times New Roman" w:eastAsia="Times New Roman" w:hAnsi="Times New Roman" w:cs="Times New Roman"/>
                <w:spacing w:val="-1"/>
                <w:lang w:val="hu-HU"/>
              </w:rPr>
              <w:t>=38</w:t>
            </w:r>
          </w:p>
        </w:tc>
      </w:tr>
      <w:tr w:rsidR="00D33AB9" w:rsidRPr="009167C6" w14:paraId="488A837F" w14:textId="77777777" w:rsidTr="004E2591">
        <w:tc>
          <w:tcPr>
            <w:tcW w:w="3528" w:type="dxa"/>
          </w:tcPr>
          <w:p w14:paraId="495C14A8" w14:textId="77777777" w:rsidR="00D33AB9" w:rsidRPr="009167C6" w:rsidRDefault="00D33AB9" w:rsidP="00E72311">
            <w:pPr>
              <w:pStyle w:val="TableParagraph"/>
              <w:spacing w:before="4"/>
              <w:ind w:left="227"/>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PASI 75</w:t>
            </w:r>
            <w:r w:rsidRPr="009167C6">
              <w:rPr>
                <w:rFonts w:ascii="Times New Roman" w:eastAsia="Times New Roman" w:hAnsi="Times New Roman" w:cs="Times New Roman"/>
                <w:spacing w:val="-1"/>
                <w:vertAlign w:val="superscript"/>
                <w:lang w:val="hu-HU"/>
              </w:rPr>
              <w:t>b</w:t>
            </w:r>
          </w:p>
        </w:tc>
        <w:tc>
          <w:tcPr>
            <w:tcW w:w="1680" w:type="dxa"/>
          </w:tcPr>
          <w:p w14:paraId="6C91500A" w14:textId="77777777" w:rsidR="00D33AB9" w:rsidRPr="007C168B" w:rsidRDefault="00D33AB9" w:rsidP="00E72311">
            <w:pPr>
              <w:pStyle w:val="TableParagraph"/>
              <w:spacing w:before="9"/>
              <w:ind w:left="337"/>
              <w:rPr>
                <w:rFonts w:ascii="Times New Roman" w:eastAsia="Times New Roman" w:hAnsi="Times New Roman" w:cs="Times New Roman"/>
                <w:lang w:val="hu-HU"/>
              </w:rPr>
            </w:pPr>
            <w:r w:rsidRPr="007C168B">
              <w:rPr>
                <w:rFonts w:ascii="Times New Roman" w:eastAsia="Times New Roman" w:hAnsi="Times New Roman" w:cs="Times New Roman"/>
                <w:spacing w:val="-1"/>
                <w:lang w:val="hu-HU"/>
              </w:rPr>
              <w:t>12 (32,4%)</w:t>
            </w:r>
          </w:p>
        </w:tc>
        <w:tc>
          <w:tcPr>
            <w:tcW w:w="3190" w:type="dxa"/>
          </w:tcPr>
          <w:p w14:paraId="1DB875C3" w14:textId="77777777" w:rsidR="00D33AB9" w:rsidRPr="009167C6" w:rsidRDefault="00D33AB9" w:rsidP="00E72311">
            <w:pPr>
              <w:pStyle w:val="TableParagraph"/>
              <w:spacing w:before="9"/>
              <w:ind w:left="1075" w:right="1076"/>
              <w:jc w:val="center"/>
              <w:rPr>
                <w:rFonts w:ascii="Times New Roman" w:eastAsia="Times New Roman" w:hAnsi="Times New Roman" w:cs="Times New Roman"/>
                <w:lang w:val="hu-HU"/>
              </w:rPr>
            </w:pPr>
            <w:r w:rsidRPr="009167C6">
              <w:rPr>
                <w:rFonts w:ascii="Times New Roman" w:eastAsia="Times New Roman" w:hAnsi="Times New Roman" w:cs="Times New Roman"/>
                <w:lang w:val="hu-HU"/>
              </w:rPr>
              <w:t>22 (57,9%)</w:t>
            </w:r>
          </w:p>
        </w:tc>
      </w:tr>
      <w:tr w:rsidR="00D33AB9" w:rsidRPr="009167C6" w14:paraId="1FEC2A0D" w14:textId="77777777" w:rsidTr="004E2591">
        <w:tc>
          <w:tcPr>
            <w:tcW w:w="3528" w:type="dxa"/>
          </w:tcPr>
          <w:p w14:paraId="04E367D2" w14:textId="77777777" w:rsidR="00D33AB9" w:rsidRPr="009167C6" w:rsidRDefault="00D33AB9" w:rsidP="00E72311">
            <w:pPr>
              <w:pStyle w:val="TableParagraph"/>
              <w:spacing w:before="4"/>
              <w:ind w:left="227"/>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PGA:Tiszta/minimális</w:t>
            </w:r>
            <w:r w:rsidRPr="009167C6">
              <w:rPr>
                <w:rFonts w:ascii="Times New Roman" w:eastAsia="Times New Roman" w:hAnsi="Times New Roman" w:cs="Times New Roman"/>
                <w:spacing w:val="-1"/>
                <w:vertAlign w:val="superscript"/>
                <w:lang w:val="hu-HU"/>
              </w:rPr>
              <w:t>c</w:t>
            </w:r>
          </w:p>
        </w:tc>
        <w:tc>
          <w:tcPr>
            <w:tcW w:w="1680" w:type="dxa"/>
          </w:tcPr>
          <w:p w14:paraId="23129E1C" w14:textId="77777777" w:rsidR="00D33AB9" w:rsidRPr="007C168B" w:rsidRDefault="00D33AB9" w:rsidP="00E72311">
            <w:pPr>
              <w:pStyle w:val="TableParagraph"/>
              <w:spacing w:before="9"/>
              <w:ind w:left="337"/>
              <w:rPr>
                <w:rFonts w:ascii="Times New Roman" w:eastAsia="Times New Roman" w:hAnsi="Times New Roman" w:cs="Times New Roman"/>
                <w:lang w:val="hu-HU"/>
              </w:rPr>
            </w:pPr>
            <w:r w:rsidRPr="007C168B">
              <w:rPr>
                <w:rFonts w:ascii="Times New Roman" w:eastAsia="Times New Roman" w:hAnsi="Times New Roman" w:cs="Times New Roman"/>
                <w:spacing w:val="-1"/>
                <w:lang w:val="hu-HU"/>
              </w:rPr>
              <w:t>15 (40,5%)</w:t>
            </w:r>
          </w:p>
        </w:tc>
        <w:tc>
          <w:tcPr>
            <w:tcW w:w="3190" w:type="dxa"/>
          </w:tcPr>
          <w:p w14:paraId="1C486234" w14:textId="77777777" w:rsidR="00D33AB9" w:rsidRPr="009167C6" w:rsidRDefault="00D33AB9" w:rsidP="00E72311">
            <w:pPr>
              <w:pStyle w:val="TableParagraph"/>
              <w:spacing w:before="9"/>
              <w:ind w:left="1076" w:right="1077"/>
              <w:jc w:val="center"/>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23 (60,5%)</w:t>
            </w:r>
          </w:p>
        </w:tc>
      </w:tr>
      <w:tr w:rsidR="00D33AB9" w:rsidRPr="009167C6" w14:paraId="54E89086" w14:textId="77777777" w:rsidTr="004E2591">
        <w:tc>
          <w:tcPr>
            <w:tcW w:w="8398" w:type="dxa"/>
            <w:gridSpan w:val="3"/>
          </w:tcPr>
          <w:p w14:paraId="4216014D" w14:textId="77777777" w:rsidR="00D33AB9" w:rsidRPr="007C168B" w:rsidRDefault="00D33AB9" w:rsidP="00E72311">
            <w:pPr>
              <w:pStyle w:val="TableParagraph"/>
              <w:spacing w:before="4"/>
              <w:ind w:left="6"/>
              <w:rPr>
                <w:rFonts w:ascii="Times New Roman" w:eastAsia="Times New Roman" w:hAnsi="Times New Roman" w:cs="Times New Roman"/>
                <w:lang w:val="hu-HU"/>
              </w:rPr>
            </w:pPr>
            <w:r w:rsidRPr="009167C6">
              <w:rPr>
                <w:rFonts w:ascii="Times New Roman" w:eastAsia="Times New Roman" w:hAnsi="Times New Roman" w:cs="Times New Roman"/>
                <w:position w:val="8"/>
                <w:vertAlign w:val="superscript"/>
                <w:lang w:val="hu-HU"/>
              </w:rPr>
              <w:t>a</w:t>
            </w:r>
            <w:r w:rsidRPr="009167C6">
              <w:rPr>
                <w:rFonts w:ascii="Times New Roman" w:eastAsia="Times New Roman" w:hAnsi="Times New Roman" w:cs="Times New Roman"/>
                <w:position w:val="8"/>
                <w:lang w:val="hu-HU"/>
              </w:rPr>
              <w:t xml:space="preserve"> </w:t>
            </w:r>
            <w:r w:rsidRPr="007C168B">
              <w:rPr>
                <w:rFonts w:ascii="Times New Roman" w:eastAsia="Times New Roman" w:hAnsi="Times New Roman" w:cs="Times New Roman"/>
                <w:position w:val="8"/>
                <w:lang w:val="hu-HU"/>
              </w:rPr>
              <w:t>MTX = metotrexát</w:t>
            </w:r>
          </w:p>
          <w:p w14:paraId="613CB2E0" w14:textId="77777777" w:rsidR="00D33AB9" w:rsidRPr="007C168B" w:rsidRDefault="00D33AB9" w:rsidP="00E72311">
            <w:pPr>
              <w:pStyle w:val="TableParagraph"/>
              <w:ind w:left="6"/>
              <w:rPr>
                <w:rFonts w:ascii="Times New Roman" w:eastAsia="Times New Roman" w:hAnsi="Times New Roman" w:cs="Times New Roman"/>
                <w:lang w:val="hu-HU"/>
              </w:rPr>
            </w:pPr>
            <w:r w:rsidRPr="009167C6">
              <w:rPr>
                <w:rFonts w:ascii="Times New Roman" w:eastAsia="Times New Roman" w:hAnsi="Times New Roman" w:cs="Times New Roman"/>
                <w:position w:val="8"/>
                <w:vertAlign w:val="superscript"/>
                <w:lang w:val="hu-HU"/>
              </w:rPr>
              <w:t>b</w:t>
            </w:r>
            <w:r>
              <w:rPr>
                <w:rFonts w:ascii="Times New Roman" w:eastAsia="Times New Roman" w:hAnsi="Times New Roman" w:cs="Times New Roman"/>
                <w:position w:val="8"/>
                <w:lang w:val="hu-HU"/>
              </w:rPr>
              <w:t xml:space="preserve"> </w:t>
            </w:r>
            <w:r w:rsidRPr="007C168B">
              <w:rPr>
                <w:rFonts w:ascii="Times New Roman" w:eastAsia="Times New Roman" w:hAnsi="Times New Roman" w:cs="Times New Roman"/>
                <w:position w:val="8"/>
                <w:lang w:val="hu-HU"/>
              </w:rPr>
              <w:t>P = 0,027, adalimumab 0,8 mg/kg, illetve MTX</w:t>
            </w:r>
          </w:p>
          <w:p w14:paraId="70A71549" w14:textId="77777777" w:rsidR="00D33AB9" w:rsidRPr="007C168B" w:rsidRDefault="00D33AB9" w:rsidP="00E72311">
            <w:pPr>
              <w:pStyle w:val="TableParagraph"/>
              <w:ind w:left="6"/>
              <w:rPr>
                <w:rFonts w:ascii="Times New Roman" w:eastAsia="Times New Roman" w:hAnsi="Times New Roman" w:cs="Times New Roman"/>
                <w:lang w:val="hu-HU"/>
              </w:rPr>
            </w:pPr>
            <w:r w:rsidRPr="009167C6">
              <w:rPr>
                <w:rFonts w:ascii="Times New Roman" w:eastAsia="Times New Roman" w:hAnsi="Times New Roman" w:cs="Times New Roman"/>
                <w:position w:val="8"/>
                <w:vertAlign w:val="superscript"/>
                <w:lang w:val="hu-HU"/>
              </w:rPr>
              <w:t>c</w:t>
            </w:r>
            <w:r>
              <w:rPr>
                <w:rFonts w:ascii="Times New Roman" w:eastAsia="Times New Roman" w:hAnsi="Times New Roman" w:cs="Times New Roman"/>
                <w:position w:val="8"/>
                <w:lang w:val="hu-HU"/>
              </w:rPr>
              <w:t xml:space="preserve"> </w:t>
            </w:r>
            <w:r w:rsidRPr="007C168B">
              <w:rPr>
                <w:rFonts w:ascii="Times New Roman" w:eastAsia="Times New Roman" w:hAnsi="Times New Roman" w:cs="Times New Roman"/>
                <w:position w:val="8"/>
                <w:lang w:val="hu-HU"/>
              </w:rPr>
              <w:t>P = 0,083, adalimumab 0,8 mg/kg, illetve MTX</w:t>
            </w:r>
          </w:p>
        </w:tc>
      </w:tr>
    </w:tbl>
    <w:p w14:paraId="78FD3A05" w14:textId="77777777" w:rsidR="00D33AB9" w:rsidRDefault="00D33AB9" w:rsidP="00D33AB9">
      <w:pPr>
        <w:spacing w:before="3" w:line="170" w:lineRule="exact"/>
        <w:rPr>
          <w:sz w:val="17"/>
          <w:szCs w:val="17"/>
          <w:lang w:val="hu-HU"/>
        </w:rPr>
      </w:pPr>
    </w:p>
    <w:p w14:paraId="3718F89B" w14:textId="77777777" w:rsidR="00C14860" w:rsidRDefault="00C14860" w:rsidP="00D33AB9">
      <w:pPr>
        <w:pStyle w:val="a3"/>
        <w:rPr>
          <w:rFonts w:eastAsia="Times New Roman"/>
          <w:lang w:val="hu-HU"/>
        </w:rPr>
      </w:pPr>
    </w:p>
    <w:p w14:paraId="2416E59F" w14:textId="77777777" w:rsidR="00C14860" w:rsidRDefault="00C14860" w:rsidP="00D33AB9">
      <w:pPr>
        <w:pStyle w:val="a3"/>
        <w:rPr>
          <w:rFonts w:eastAsia="Times New Roman"/>
          <w:lang w:val="hu-HU"/>
        </w:rPr>
      </w:pPr>
    </w:p>
    <w:p w14:paraId="25A7CDC0" w14:textId="74EF86E5" w:rsidR="00D33AB9" w:rsidRDefault="00D33AB9" w:rsidP="00D33AB9">
      <w:pPr>
        <w:pStyle w:val="a3"/>
        <w:rPr>
          <w:lang w:val="hu-HU"/>
        </w:rPr>
      </w:pPr>
      <w:r>
        <w:rPr>
          <w:rFonts w:eastAsia="Times New Roman"/>
          <w:lang w:val="hu-HU"/>
        </w:rPr>
        <w:t>Azoknál a betegeknél, akik elérték a PASI 75 és a PGA szerinti tiszta vagy minimális értéket,</w:t>
      </w:r>
    </w:p>
    <w:p w14:paraId="318D0303" w14:textId="77777777" w:rsidR="00D33AB9" w:rsidRDefault="00D33AB9" w:rsidP="00D33AB9">
      <w:pPr>
        <w:pStyle w:val="a3"/>
        <w:rPr>
          <w:lang w:val="hu-HU"/>
        </w:rPr>
      </w:pPr>
      <w:r>
        <w:rPr>
          <w:rFonts w:eastAsia="Times New Roman"/>
          <w:lang w:val="hu-HU"/>
        </w:rPr>
        <w:t>felfüggesztették a kezelést legfeljebb 36 hétre, és az állapotuk romlását monitorozták (például a PGA-érték rosszabbodását legalább 2 értékkel). Majd további 16 héten át a betegeket kéthetente 0,8 mg/ttkg adalimumabbal kezelték, és az ez alatt megfigyelt válaszértékek hasonlóak voltak az előzőleg végzett kettős vak vizsgálathoz:78,9%-nál alakult ki PASI 75 válasz</w:t>
      </w:r>
    </w:p>
    <w:p w14:paraId="09B94FC7" w14:textId="77777777" w:rsidR="00D33AB9" w:rsidRDefault="00D33AB9" w:rsidP="00D33AB9">
      <w:pPr>
        <w:pStyle w:val="a3"/>
        <w:rPr>
          <w:lang w:val="hu-HU"/>
        </w:rPr>
      </w:pPr>
      <w:r>
        <w:rPr>
          <w:rFonts w:eastAsia="Times New Roman"/>
          <w:lang w:val="hu-HU"/>
        </w:rPr>
        <w:t>(19 betegből 15) és 52,6%-nál alakult ki PGA szerinti tiszta vagy minimális (19 betegből 10) válasz.</w:t>
      </w:r>
    </w:p>
    <w:p w14:paraId="253635EC" w14:textId="77777777" w:rsidR="00D33AB9" w:rsidRDefault="00D33AB9" w:rsidP="00D33AB9">
      <w:pPr>
        <w:pStyle w:val="a3"/>
        <w:rPr>
          <w:sz w:val="24"/>
          <w:szCs w:val="24"/>
          <w:lang w:val="hu-HU"/>
        </w:rPr>
      </w:pPr>
    </w:p>
    <w:p w14:paraId="2BBF7427" w14:textId="064F325C" w:rsidR="00D33AB9" w:rsidRDefault="00D33AB9" w:rsidP="00D33AB9">
      <w:pPr>
        <w:pStyle w:val="a3"/>
        <w:rPr>
          <w:rFonts w:eastAsia="Times New Roman"/>
          <w:lang w:val="hu-HU"/>
        </w:rPr>
      </w:pPr>
      <w:r>
        <w:rPr>
          <w:rFonts w:eastAsia="Times New Roman"/>
          <w:lang w:val="hu-HU"/>
        </w:rPr>
        <w:t>A vizsgálat nyílt szakaszában, a PASI 75 és PGA szerinti tiszta vagy minimális érték legfeljebb további 52 hétig fennmaradt új biztonsági esemény nélkül.</w:t>
      </w:r>
    </w:p>
    <w:p w14:paraId="274BA387" w14:textId="77777777" w:rsidR="00D33AB9" w:rsidRDefault="00D33AB9" w:rsidP="00D33AB9">
      <w:pPr>
        <w:pStyle w:val="a3"/>
        <w:rPr>
          <w:lang w:val="hu-HU"/>
        </w:rPr>
      </w:pPr>
    </w:p>
    <w:p w14:paraId="2D010ED3" w14:textId="77777777" w:rsidR="00D33AB9" w:rsidRDefault="00D33AB9" w:rsidP="00D33AB9">
      <w:pPr>
        <w:pStyle w:val="a3"/>
        <w:rPr>
          <w:rFonts w:eastAsia="Times New Roman"/>
          <w:lang w:val="hu-HU"/>
        </w:rPr>
      </w:pPr>
      <w:r>
        <w:rPr>
          <w:rFonts w:eastAsia="Times New Roman"/>
          <w:i/>
          <w:iCs/>
          <w:spacing w:val="-1"/>
          <w:lang w:val="hu-HU"/>
        </w:rPr>
        <w:t>Serdülőkori hidradenitis suppurativa</w:t>
      </w:r>
    </w:p>
    <w:p w14:paraId="1CA26E5A" w14:textId="77777777" w:rsidR="00D33AB9" w:rsidRDefault="00D33AB9" w:rsidP="00D33AB9">
      <w:pPr>
        <w:pStyle w:val="a3"/>
        <w:rPr>
          <w:sz w:val="24"/>
          <w:szCs w:val="24"/>
          <w:lang w:val="hu-HU"/>
        </w:rPr>
      </w:pPr>
    </w:p>
    <w:p w14:paraId="1E7020EE" w14:textId="5AB12B01" w:rsidR="00D33AB9" w:rsidRDefault="00D33AB9" w:rsidP="00D33AB9">
      <w:pPr>
        <w:pStyle w:val="a3"/>
        <w:rPr>
          <w:lang w:val="hu-HU"/>
        </w:rPr>
      </w:pPr>
      <w:r>
        <w:rPr>
          <w:rFonts w:eastAsia="Times New Roman"/>
          <w:lang w:val="hu-HU"/>
        </w:rPr>
        <w:t>Nem végeztek klinikai vizsgálatokat adalimumabbal HS-ben szenvedő serdülőknél. Az adalimumab hatásossága a HS-ben szenvedő serdülőkorú betegeknél a felnőtt HS betegeknél mutatott hatásosság és expozíciós válasz alapján előre látható, valamint annak a valószínűsége alapján, hogy betegség lefolyása, a kórélettan és a gyógyszer hatása lényegében megegyezik a felnőtteknél észlelttel az azonos expozíciós szinteken. A serdülőkori HS-ben ajánlott adalimumab adag biztonságosságának alapja az adalimumab keresztindikációs biztonságossági profilja mind a felnőtt, mind gyermekgyógyászati betegeknél, azonos vagy gyakoribb adagolás mellett (lásd 5.2 pont.</w:t>
      </w:r>
      <w:r w:rsidR="004365FC">
        <w:rPr>
          <w:rFonts w:eastAsia="Times New Roman"/>
          <w:lang w:val="hu-HU"/>
        </w:rPr>
        <w:t>)</w:t>
      </w:r>
    </w:p>
    <w:p w14:paraId="4EAC00B5" w14:textId="77777777" w:rsidR="00D33AB9" w:rsidRDefault="00D33AB9" w:rsidP="00D33AB9">
      <w:pPr>
        <w:pStyle w:val="a3"/>
        <w:rPr>
          <w:sz w:val="24"/>
          <w:szCs w:val="24"/>
          <w:lang w:val="hu-HU"/>
        </w:rPr>
      </w:pPr>
    </w:p>
    <w:p w14:paraId="3D5BC003" w14:textId="77777777" w:rsidR="00E72311" w:rsidRDefault="00E72311" w:rsidP="00E72311">
      <w:pPr>
        <w:pStyle w:val="a3"/>
        <w:rPr>
          <w:i/>
          <w:lang w:val="hu-HU"/>
        </w:rPr>
      </w:pPr>
      <w:r>
        <w:rPr>
          <w:rFonts w:eastAsia="Times New Roman"/>
          <w:i/>
          <w:iCs/>
          <w:lang w:val="hu-HU"/>
        </w:rPr>
        <w:t>Gyermekkori Crohn-betegség</w:t>
      </w:r>
    </w:p>
    <w:p w14:paraId="03E20225" w14:textId="77777777" w:rsidR="00E72311" w:rsidRDefault="00E72311" w:rsidP="00E72311">
      <w:pPr>
        <w:pStyle w:val="a3"/>
        <w:rPr>
          <w:sz w:val="18"/>
          <w:szCs w:val="18"/>
          <w:lang w:val="hu-HU"/>
        </w:rPr>
      </w:pPr>
    </w:p>
    <w:p w14:paraId="1078EAC2" w14:textId="77777777" w:rsidR="00E72311" w:rsidRDefault="00E72311" w:rsidP="00E72311">
      <w:pPr>
        <w:pStyle w:val="a3"/>
        <w:rPr>
          <w:lang w:val="hu-HU"/>
        </w:rPr>
      </w:pPr>
      <w:r>
        <w:rPr>
          <w:rFonts w:eastAsia="Times New Roman"/>
          <w:lang w:val="hu-HU"/>
        </w:rPr>
        <w:t xml:space="preserve">Egy multicentrikus, randomizált, kettős vak klinikai vizsgálatban tanulmányozták az indukciós és fenntartó </w:t>
      </w:r>
      <w:r>
        <w:rPr>
          <w:rFonts w:eastAsia="Times New Roman"/>
          <w:lang w:val="hu-HU"/>
        </w:rPr>
        <w:lastRenderedPageBreak/>
        <w:t>adalimumab-kezelés hatásosságát és biztonságosságát testtömegre illesztett dózisokkal (&lt; 40 kg vagy ≥ 40 kg) 192, 6-17 éves korú (bezárólag), közepesen súlyos-súlyos aktivitású Crohn-betegségben (CD) szenvedő gyermekeknél, amely a definíció szerint PCDAI (Gyermekkori Crohn-betegség Aktivitási Index)-pontszám &gt; 30 esetén állt fenn. Beválasztási kritérium volt, hogy a betegek nem reagáltak a CD hagyományos kezelésére (beleértve egy kortikoszteroidot és/vagy egy immunmodulátort). Az infliximab hatásának megszűnése vagy az arra kialakuló intolerancia a kórtörténetben megengedett volt.</w:t>
      </w:r>
    </w:p>
    <w:p w14:paraId="09D2D97D" w14:textId="77777777" w:rsidR="00E72311" w:rsidRDefault="00E72311" w:rsidP="00E72311">
      <w:pPr>
        <w:pStyle w:val="a3"/>
        <w:rPr>
          <w:sz w:val="24"/>
          <w:szCs w:val="24"/>
          <w:lang w:val="hu-HU"/>
        </w:rPr>
      </w:pPr>
    </w:p>
    <w:p w14:paraId="78EE4F0C" w14:textId="77777777" w:rsidR="00E72311" w:rsidRDefault="00E72311" w:rsidP="00E72311">
      <w:pPr>
        <w:pStyle w:val="a3"/>
        <w:rPr>
          <w:lang w:val="hu-HU"/>
        </w:rPr>
      </w:pPr>
      <w:r>
        <w:rPr>
          <w:rFonts w:eastAsia="Times New Roman"/>
          <w:lang w:val="hu-HU"/>
        </w:rPr>
        <w:t>Minden beteg nyílt indukciós kezelést kapott a kiindulási testtömegnek megfelelő dózisban: a 0. héten 160 mg és a 2. héten 80 mg a legalább 40 kg testtömegű betegeknél, valamint 80 és 40 mg a&lt; 40 kg testtömegű betegeknél.</w:t>
      </w:r>
    </w:p>
    <w:p w14:paraId="695B79DD" w14:textId="77777777" w:rsidR="00E72311" w:rsidRDefault="00E72311" w:rsidP="00E72311">
      <w:pPr>
        <w:pStyle w:val="a3"/>
        <w:rPr>
          <w:sz w:val="24"/>
          <w:szCs w:val="24"/>
          <w:lang w:val="hu-HU"/>
        </w:rPr>
      </w:pPr>
    </w:p>
    <w:p w14:paraId="755F12E3" w14:textId="16DF92A4" w:rsidR="00E72311" w:rsidRDefault="00E72311" w:rsidP="00E72311">
      <w:pPr>
        <w:pStyle w:val="a3"/>
        <w:rPr>
          <w:lang w:val="hu-HU"/>
        </w:rPr>
      </w:pPr>
      <w:r>
        <w:rPr>
          <w:rFonts w:eastAsia="Times New Roman"/>
          <w:lang w:val="hu-HU"/>
        </w:rPr>
        <w:t>A 4. héten a betegeket az aktuális testtömegük alapján Alacsony dózisú vagy Standard dózisú fenntartó kezelési sémákra randomizálták 1:1 arányban (28. táblázat).</w:t>
      </w:r>
    </w:p>
    <w:p w14:paraId="5B64751E" w14:textId="77777777" w:rsidR="00E72311" w:rsidRDefault="00E72311" w:rsidP="00E72311">
      <w:pPr>
        <w:pStyle w:val="a3"/>
        <w:rPr>
          <w:sz w:val="24"/>
          <w:szCs w:val="24"/>
          <w:lang w:val="hu-HU"/>
        </w:rPr>
      </w:pPr>
    </w:p>
    <w:p w14:paraId="37EDD40B" w14:textId="1A095DF2" w:rsidR="00E72311" w:rsidRDefault="00E72311" w:rsidP="00E72311">
      <w:pPr>
        <w:pStyle w:val="a3"/>
        <w:jc w:val="center"/>
        <w:rPr>
          <w:b/>
          <w:lang w:val="hu-HU"/>
        </w:rPr>
      </w:pPr>
      <w:r>
        <w:rPr>
          <w:rFonts w:eastAsia="Times New Roman"/>
          <w:b/>
          <w:bCs/>
          <w:lang w:val="hu-HU"/>
        </w:rPr>
        <w:t>28. táblázat Fenntartó kezelési séma</w:t>
      </w:r>
    </w:p>
    <w:p w14:paraId="39EC8329" w14:textId="77777777" w:rsidR="00E72311" w:rsidRDefault="00E72311" w:rsidP="00E72311">
      <w:pPr>
        <w:pStyle w:val="a3"/>
        <w:jc w:val="center"/>
        <w:rPr>
          <w:b/>
          <w:lang w:val="hu-HU"/>
        </w:rPr>
      </w:pPr>
    </w:p>
    <w:tbl>
      <w:tblPr>
        <w:tblStyle w:val="TableNormal1"/>
        <w:tblW w:w="0" w:type="auto"/>
        <w:jc w:val="center"/>
        <w:tblLayout w:type="fixed"/>
        <w:tblLook w:val="01E0" w:firstRow="1" w:lastRow="1" w:firstColumn="1" w:lastColumn="1" w:noHBand="0" w:noVBand="0"/>
      </w:tblPr>
      <w:tblGrid>
        <w:gridCol w:w="1866"/>
        <w:gridCol w:w="2284"/>
        <w:gridCol w:w="2284"/>
      </w:tblGrid>
      <w:tr w:rsidR="00E72311" w14:paraId="317D06C1" w14:textId="77777777" w:rsidTr="004E2591">
        <w:trPr>
          <w:jc w:val="center"/>
        </w:trPr>
        <w:tc>
          <w:tcPr>
            <w:tcW w:w="1866" w:type="dxa"/>
            <w:tcBorders>
              <w:top w:val="single" w:sz="5" w:space="0" w:color="000000"/>
              <w:left w:val="single" w:sz="5" w:space="0" w:color="000000"/>
              <w:bottom w:val="single" w:sz="5" w:space="0" w:color="000000"/>
              <w:right w:val="single" w:sz="5" w:space="0" w:color="000000"/>
            </w:tcBorders>
          </w:tcPr>
          <w:p w14:paraId="180D54E2" w14:textId="7465C183" w:rsidR="00E72311" w:rsidRDefault="00E72311" w:rsidP="00E72311">
            <w:pPr>
              <w:pStyle w:val="TableParagraph"/>
              <w:spacing w:before="1" w:line="252" w:lineRule="exact"/>
              <w:ind w:left="102"/>
              <w:rPr>
                <w:rFonts w:ascii="Times New Roman" w:eastAsia="Times New Roman" w:hAnsi="Times New Roman" w:cs="Times New Roman"/>
                <w:lang w:val="hu-HU"/>
              </w:rPr>
            </w:pPr>
            <w:r>
              <w:rPr>
                <w:rFonts w:ascii="Times New Roman" w:eastAsia="Times New Roman" w:hAnsi="Times New Roman" w:cs="Times New Roman"/>
                <w:b/>
                <w:bCs/>
                <w:lang w:val="hu-HU"/>
              </w:rPr>
              <w:t xml:space="preserve">Beteg </w:t>
            </w:r>
            <w:r>
              <w:rPr>
                <w:rFonts w:ascii="Times New Roman" w:eastAsia="Times New Roman" w:hAnsi="Times New Roman" w:cs="Times New Roman"/>
                <w:b/>
                <w:bCs/>
                <w:spacing w:val="-1"/>
                <w:lang w:val="hu-HU"/>
              </w:rPr>
              <w:t>testtömege</w:t>
            </w:r>
          </w:p>
        </w:tc>
        <w:tc>
          <w:tcPr>
            <w:tcW w:w="2284" w:type="dxa"/>
            <w:tcBorders>
              <w:top w:val="single" w:sz="5" w:space="0" w:color="000000"/>
              <w:left w:val="single" w:sz="5" w:space="0" w:color="000000"/>
              <w:bottom w:val="single" w:sz="5" w:space="0" w:color="000000"/>
              <w:right w:val="single" w:sz="5" w:space="0" w:color="000000"/>
            </w:tcBorders>
          </w:tcPr>
          <w:p w14:paraId="527E2CF4" w14:textId="77777777" w:rsidR="00E72311" w:rsidRDefault="00E72311" w:rsidP="00E72311">
            <w:pPr>
              <w:pStyle w:val="TableParagraph"/>
              <w:spacing w:line="249"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2"/>
                <w:lang w:val="hu-HU"/>
              </w:rPr>
              <w:t>Alacsony dózis</w:t>
            </w:r>
          </w:p>
        </w:tc>
        <w:tc>
          <w:tcPr>
            <w:tcW w:w="2284" w:type="dxa"/>
            <w:tcBorders>
              <w:top w:val="single" w:sz="5" w:space="0" w:color="000000"/>
              <w:left w:val="single" w:sz="5" w:space="0" w:color="000000"/>
              <w:bottom w:val="single" w:sz="5" w:space="0" w:color="000000"/>
              <w:right w:val="single" w:sz="5" w:space="0" w:color="000000"/>
            </w:tcBorders>
          </w:tcPr>
          <w:p w14:paraId="13FECFF8" w14:textId="7EBDAC0E" w:rsidR="00E72311" w:rsidRDefault="00E72311" w:rsidP="00E72311">
            <w:pPr>
              <w:pStyle w:val="TableParagraph"/>
              <w:spacing w:before="1" w:line="252"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 xml:space="preserve">Standard </w:t>
            </w:r>
            <w:r>
              <w:rPr>
                <w:rFonts w:ascii="Times New Roman" w:eastAsia="Times New Roman" w:hAnsi="Times New Roman" w:cs="Times New Roman"/>
                <w:b/>
                <w:bCs/>
                <w:lang w:val="hu-HU"/>
              </w:rPr>
              <w:t>dózis</w:t>
            </w:r>
          </w:p>
        </w:tc>
      </w:tr>
      <w:tr w:rsidR="00E72311" w14:paraId="000B5E8F" w14:textId="77777777" w:rsidTr="004E2591">
        <w:trPr>
          <w:jc w:val="center"/>
        </w:trPr>
        <w:tc>
          <w:tcPr>
            <w:tcW w:w="1866" w:type="dxa"/>
            <w:tcBorders>
              <w:top w:val="single" w:sz="5" w:space="0" w:color="000000"/>
              <w:left w:val="single" w:sz="5" w:space="0" w:color="000000"/>
              <w:bottom w:val="single" w:sz="5" w:space="0" w:color="000000"/>
              <w:right w:val="single" w:sz="5" w:space="0" w:color="000000"/>
            </w:tcBorders>
          </w:tcPr>
          <w:p w14:paraId="2478F3A8" w14:textId="77777777" w:rsidR="00E72311" w:rsidRDefault="00E72311" w:rsidP="00E72311">
            <w:pPr>
              <w:pStyle w:val="TableParagraph"/>
              <w:spacing w:line="244" w:lineRule="exact"/>
              <w:ind w:left="102"/>
              <w:rPr>
                <w:rFonts w:ascii="Times New Roman" w:eastAsia="Times New Roman" w:hAnsi="Times New Roman" w:cs="Times New Roman"/>
                <w:lang w:val="hu-HU"/>
              </w:rPr>
            </w:pPr>
            <w:r>
              <w:rPr>
                <w:rFonts w:ascii="Times New Roman" w:eastAsia="Times New Roman" w:hAnsi="Times New Roman" w:cs="Times New Roman"/>
                <w:lang w:val="hu-HU"/>
              </w:rPr>
              <w:t>&lt; 40 kg</w:t>
            </w:r>
          </w:p>
        </w:tc>
        <w:tc>
          <w:tcPr>
            <w:tcW w:w="2284" w:type="dxa"/>
            <w:tcBorders>
              <w:top w:val="single" w:sz="5" w:space="0" w:color="000000"/>
              <w:left w:val="single" w:sz="5" w:space="0" w:color="000000"/>
              <w:bottom w:val="single" w:sz="5" w:space="0" w:color="000000"/>
              <w:right w:val="single" w:sz="5" w:space="0" w:color="000000"/>
            </w:tcBorders>
          </w:tcPr>
          <w:p w14:paraId="4F2829D4" w14:textId="77777777" w:rsidR="00E72311" w:rsidRDefault="00E72311" w:rsidP="00E72311">
            <w:pPr>
              <w:pStyle w:val="TableParagraph"/>
              <w:spacing w:line="244" w:lineRule="exact"/>
              <w:ind w:left="102"/>
              <w:rPr>
                <w:rFonts w:ascii="Times New Roman" w:eastAsia="Times New Roman" w:hAnsi="Times New Roman" w:cs="Times New Roman"/>
                <w:lang w:val="hu-HU"/>
              </w:rPr>
            </w:pPr>
            <w:r>
              <w:rPr>
                <w:rFonts w:ascii="Times New Roman" w:eastAsia="Times New Roman" w:hAnsi="Times New Roman" w:cs="Times New Roman"/>
                <w:lang w:val="hu-HU"/>
              </w:rPr>
              <w:t>10 mg kéthetente</w:t>
            </w:r>
          </w:p>
        </w:tc>
        <w:tc>
          <w:tcPr>
            <w:tcW w:w="2284" w:type="dxa"/>
            <w:tcBorders>
              <w:top w:val="single" w:sz="5" w:space="0" w:color="000000"/>
              <w:left w:val="single" w:sz="5" w:space="0" w:color="000000"/>
              <w:bottom w:val="single" w:sz="5" w:space="0" w:color="000000"/>
              <w:right w:val="single" w:sz="5" w:space="0" w:color="000000"/>
            </w:tcBorders>
          </w:tcPr>
          <w:p w14:paraId="52D993E3" w14:textId="77777777" w:rsidR="00E72311" w:rsidRDefault="00E72311" w:rsidP="00E72311">
            <w:pPr>
              <w:pStyle w:val="TableParagraph"/>
              <w:spacing w:line="244" w:lineRule="exact"/>
              <w:ind w:left="102"/>
              <w:rPr>
                <w:rFonts w:ascii="Times New Roman" w:eastAsia="Times New Roman" w:hAnsi="Times New Roman" w:cs="Times New Roman"/>
                <w:lang w:val="hu-HU"/>
              </w:rPr>
            </w:pPr>
            <w:r>
              <w:rPr>
                <w:rFonts w:ascii="Times New Roman" w:eastAsia="Times New Roman" w:hAnsi="Times New Roman" w:cs="Times New Roman"/>
                <w:lang w:val="hu-HU"/>
              </w:rPr>
              <w:t>20 mg kéthetente</w:t>
            </w:r>
          </w:p>
        </w:tc>
      </w:tr>
      <w:tr w:rsidR="00E72311" w14:paraId="0EF0F132" w14:textId="77777777" w:rsidTr="004E2591">
        <w:trPr>
          <w:jc w:val="center"/>
        </w:trPr>
        <w:tc>
          <w:tcPr>
            <w:tcW w:w="1866" w:type="dxa"/>
            <w:tcBorders>
              <w:top w:val="single" w:sz="5" w:space="0" w:color="000000"/>
              <w:left w:val="single" w:sz="5" w:space="0" w:color="000000"/>
              <w:bottom w:val="single" w:sz="5" w:space="0" w:color="000000"/>
              <w:right w:val="single" w:sz="5" w:space="0" w:color="000000"/>
            </w:tcBorders>
          </w:tcPr>
          <w:p w14:paraId="4F37476D" w14:textId="77777777" w:rsidR="00E72311" w:rsidRDefault="00E72311" w:rsidP="00E72311">
            <w:pPr>
              <w:pStyle w:val="TableParagraph"/>
              <w:spacing w:line="244" w:lineRule="exact"/>
              <w:ind w:left="102"/>
              <w:rPr>
                <w:rFonts w:ascii="Times New Roman" w:eastAsia="Times New Roman" w:hAnsi="Times New Roman" w:cs="Times New Roman"/>
                <w:lang w:val="hu-HU"/>
              </w:rPr>
            </w:pPr>
            <w:r>
              <w:rPr>
                <w:rFonts w:ascii="Times New Roman" w:eastAsia="Times New Roman" w:hAnsi="Times New Roman" w:cs="Times New Roman"/>
                <w:lang w:val="hu-HU"/>
              </w:rPr>
              <w:t>≥ 40 kg</w:t>
            </w:r>
          </w:p>
        </w:tc>
        <w:tc>
          <w:tcPr>
            <w:tcW w:w="2284" w:type="dxa"/>
            <w:tcBorders>
              <w:top w:val="single" w:sz="5" w:space="0" w:color="000000"/>
              <w:left w:val="single" w:sz="5" w:space="0" w:color="000000"/>
              <w:bottom w:val="single" w:sz="5" w:space="0" w:color="000000"/>
              <w:right w:val="single" w:sz="5" w:space="0" w:color="000000"/>
            </w:tcBorders>
          </w:tcPr>
          <w:p w14:paraId="16BBF246" w14:textId="77777777" w:rsidR="00E72311" w:rsidRDefault="00E72311" w:rsidP="00E72311">
            <w:pPr>
              <w:pStyle w:val="TableParagraph"/>
              <w:spacing w:line="244" w:lineRule="exact"/>
              <w:ind w:left="102"/>
              <w:rPr>
                <w:rFonts w:ascii="Times New Roman" w:eastAsia="Times New Roman" w:hAnsi="Times New Roman" w:cs="Times New Roman"/>
                <w:lang w:val="hu-HU"/>
              </w:rPr>
            </w:pPr>
            <w:r>
              <w:rPr>
                <w:rFonts w:ascii="Times New Roman" w:eastAsia="Times New Roman" w:hAnsi="Times New Roman" w:cs="Times New Roman"/>
                <w:lang w:val="hu-HU"/>
              </w:rPr>
              <w:t>20 mg kéthetente</w:t>
            </w:r>
          </w:p>
        </w:tc>
        <w:tc>
          <w:tcPr>
            <w:tcW w:w="2284" w:type="dxa"/>
            <w:tcBorders>
              <w:top w:val="single" w:sz="5" w:space="0" w:color="000000"/>
              <w:left w:val="single" w:sz="5" w:space="0" w:color="000000"/>
              <w:bottom w:val="single" w:sz="5" w:space="0" w:color="000000"/>
              <w:right w:val="single" w:sz="5" w:space="0" w:color="000000"/>
            </w:tcBorders>
          </w:tcPr>
          <w:p w14:paraId="434A2818" w14:textId="77777777" w:rsidR="00E72311" w:rsidRDefault="00E72311" w:rsidP="00E72311">
            <w:pPr>
              <w:pStyle w:val="TableParagraph"/>
              <w:spacing w:line="244" w:lineRule="exact"/>
              <w:ind w:left="102"/>
              <w:rPr>
                <w:rFonts w:ascii="Times New Roman" w:eastAsia="Times New Roman" w:hAnsi="Times New Roman" w:cs="Times New Roman"/>
                <w:lang w:val="hu-HU"/>
              </w:rPr>
            </w:pPr>
            <w:r>
              <w:rPr>
                <w:rFonts w:ascii="Times New Roman" w:eastAsia="Times New Roman" w:hAnsi="Times New Roman" w:cs="Times New Roman"/>
                <w:lang w:val="hu-HU"/>
              </w:rPr>
              <w:t>40 mg kéthetente</w:t>
            </w:r>
          </w:p>
        </w:tc>
      </w:tr>
    </w:tbl>
    <w:p w14:paraId="5D5425D1" w14:textId="77777777" w:rsidR="00E72311" w:rsidRDefault="00E72311" w:rsidP="00E72311">
      <w:pPr>
        <w:pStyle w:val="a3"/>
        <w:rPr>
          <w:rFonts w:eastAsia="Times New Roman"/>
          <w:i/>
          <w:iCs/>
          <w:spacing w:val="-1"/>
          <w:u w:val="single" w:color="000000"/>
          <w:lang w:val="hu-HU"/>
        </w:rPr>
      </w:pPr>
    </w:p>
    <w:p w14:paraId="003BAF0D" w14:textId="77777777" w:rsidR="00E72311" w:rsidRDefault="00E72311" w:rsidP="00E72311">
      <w:pPr>
        <w:pStyle w:val="a3"/>
        <w:rPr>
          <w:rFonts w:eastAsia="Times New Roman"/>
          <w:lang w:val="hu-HU"/>
        </w:rPr>
      </w:pPr>
      <w:r>
        <w:rPr>
          <w:rFonts w:eastAsia="Times New Roman"/>
          <w:i/>
          <w:iCs/>
          <w:spacing w:val="-1"/>
          <w:u w:val="single" w:color="000000"/>
          <w:lang w:val="hu-HU"/>
        </w:rPr>
        <w:t>Hatásossági eredmények</w:t>
      </w:r>
    </w:p>
    <w:p w14:paraId="0CB73D53" w14:textId="77777777" w:rsidR="00E72311" w:rsidRDefault="00E72311" w:rsidP="00E72311">
      <w:pPr>
        <w:pStyle w:val="a3"/>
        <w:rPr>
          <w:sz w:val="19"/>
          <w:szCs w:val="19"/>
          <w:lang w:val="hu-HU"/>
        </w:rPr>
      </w:pPr>
    </w:p>
    <w:p w14:paraId="6CB84416" w14:textId="77777777" w:rsidR="00E72311" w:rsidRDefault="00E72311" w:rsidP="00E72311">
      <w:pPr>
        <w:pStyle w:val="a3"/>
        <w:rPr>
          <w:lang w:val="hu-HU"/>
        </w:rPr>
      </w:pPr>
      <w:r>
        <w:rPr>
          <w:rFonts w:eastAsia="Times New Roman"/>
          <w:lang w:val="hu-HU"/>
        </w:rPr>
        <w:t>A vizsgálat elsődleges végpontja a 26. hétre elért remisszió volt, amely a definíció szerint a PCDAI-pontszám ≤ 10.</w:t>
      </w:r>
    </w:p>
    <w:p w14:paraId="7418EB47" w14:textId="77777777" w:rsidR="00E72311" w:rsidRDefault="00E72311" w:rsidP="00E72311">
      <w:pPr>
        <w:pStyle w:val="a3"/>
        <w:rPr>
          <w:sz w:val="24"/>
          <w:szCs w:val="24"/>
          <w:lang w:val="hu-HU"/>
        </w:rPr>
      </w:pPr>
    </w:p>
    <w:p w14:paraId="7B06F80D" w14:textId="0E5FB08B" w:rsidR="00E72311" w:rsidRDefault="00E72311" w:rsidP="00E72311">
      <w:pPr>
        <w:pStyle w:val="a3"/>
        <w:rPr>
          <w:lang w:val="hu-HU"/>
        </w:rPr>
      </w:pPr>
      <w:r>
        <w:rPr>
          <w:rFonts w:eastAsia="Times New Roman"/>
          <w:lang w:val="hu-HU"/>
        </w:rPr>
        <w:t>A klinikai remisszió és a klinikai válasz (meghatározás szerint a PCDAI-pontszám a kiindulási értéktől számított, legalább 15 pontos csökkenése) mértéke a 29. táblázatban van feltüntetve. A kortikoszteroidok vagy az immunmodulátorok elhagyásának arányait a 30. táblázat tartalmazza.</w:t>
      </w:r>
    </w:p>
    <w:p w14:paraId="1B4101CA" w14:textId="77777777" w:rsidR="00CE42DC" w:rsidRDefault="00CE42DC" w:rsidP="00E72311">
      <w:pPr>
        <w:pStyle w:val="a3"/>
        <w:rPr>
          <w:lang w:val="hu-HU"/>
        </w:rPr>
      </w:pPr>
    </w:p>
    <w:p w14:paraId="796F482E" w14:textId="77777777" w:rsidR="00C14860" w:rsidRDefault="00C14860" w:rsidP="00E72311">
      <w:pPr>
        <w:pStyle w:val="a3"/>
        <w:rPr>
          <w:lang w:val="hu-HU"/>
        </w:rPr>
      </w:pPr>
    </w:p>
    <w:p w14:paraId="30980EBD" w14:textId="77777777" w:rsidR="00E72311" w:rsidRDefault="00E72311" w:rsidP="00E72311">
      <w:pPr>
        <w:spacing w:before="7" w:line="90" w:lineRule="exact"/>
        <w:rPr>
          <w:sz w:val="9"/>
          <w:szCs w:val="9"/>
          <w:lang w:val="hu-HU"/>
        </w:rPr>
      </w:pPr>
    </w:p>
    <w:tbl>
      <w:tblPr>
        <w:tblStyle w:val="TableNormal1"/>
        <w:tblW w:w="0" w:type="auto"/>
        <w:tblInd w:w="984" w:type="dxa"/>
        <w:tblLayout w:type="fixed"/>
        <w:tblLook w:val="01E0" w:firstRow="1" w:lastRow="1" w:firstColumn="1" w:lastColumn="1" w:noHBand="0" w:noVBand="0"/>
      </w:tblPr>
      <w:tblGrid>
        <w:gridCol w:w="2409"/>
        <w:gridCol w:w="1843"/>
        <w:gridCol w:w="1766"/>
        <w:gridCol w:w="2061"/>
      </w:tblGrid>
      <w:tr w:rsidR="00E72311" w:rsidRPr="00BE4D18" w14:paraId="667A81AF" w14:textId="77777777" w:rsidTr="004F731A">
        <w:tc>
          <w:tcPr>
            <w:tcW w:w="8079" w:type="dxa"/>
            <w:gridSpan w:val="4"/>
            <w:tcBorders>
              <w:top w:val="single" w:sz="7" w:space="0" w:color="000000"/>
              <w:left w:val="single" w:sz="7" w:space="0" w:color="000000"/>
              <w:bottom w:val="single" w:sz="7" w:space="0" w:color="000000"/>
              <w:right w:val="single" w:sz="7" w:space="0" w:color="000000"/>
            </w:tcBorders>
          </w:tcPr>
          <w:p w14:paraId="547A401A" w14:textId="080484A3" w:rsidR="00E72311" w:rsidRPr="007C168B" w:rsidRDefault="00E72311" w:rsidP="00E72311">
            <w:pPr>
              <w:pStyle w:val="a3"/>
              <w:jc w:val="center"/>
              <w:rPr>
                <w:b/>
                <w:lang w:val="hu-HU"/>
              </w:rPr>
            </w:pPr>
            <w:r w:rsidRPr="007C168B">
              <w:rPr>
                <w:rFonts w:eastAsia="Times New Roman"/>
                <w:b/>
                <w:bCs/>
                <w:lang w:val="hu-HU"/>
              </w:rPr>
              <w:t>2</w:t>
            </w:r>
            <w:r>
              <w:rPr>
                <w:rFonts w:eastAsia="Times New Roman"/>
                <w:b/>
                <w:bCs/>
                <w:lang w:val="hu-HU"/>
              </w:rPr>
              <w:t>9</w:t>
            </w:r>
            <w:r w:rsidRPr="007C168B">
              <w:rPr>
                <w:rFonts w:eastAsia="Times New Roman"/>
                <w:b/>
                <w:bCs/>
                <w:lang w:val="hu-HU"/>
              </w:rPr>
              <w:t>. táblázat</w:t>
            </w:r>
          </w:p>
          <w:p w14:paraId="70F9FE4F" w14:textId="77777777" w:rsidR="00E72311" w:rsidRPr="009167C6" w:rsidRDefault="00E72311" w:rsidP="00E72311">
            <w:pPr>
              <w:pStyle w:val="a3"/>
              <w:jc w:val="center"/>
              <w:rPr>
                <w:b/>
                <w:lang w:val="hu-HU"/>
              </w:rPr>
            </w:pPr>
            <w:r w:rsidRPr="009167C6">
              <w:rPr>
                <w:rFonts w:eastAsia="Times New Roman"/>
                <w:b/>
                <w:bCs/>
                <w:lang w:val="hu-HU"/>
              </w:rPr>
              <w:t>Gyermekkori CD Vizsgálat</w:t>
            </w:r>
          </w:p>
          <w:p w14:paraId="419E06DF" w14:textId="77777777" w:rsidR="00E72311" w:rsidRPr="009167C6" w:rsidRDefault="00E72311" w:rsidP="00E72311">
            <w:pPr>
              <w:pStyle w:val="a3"/>
              <w:jc w:val="center"/>
              <w:rPr>
                <w:rFonts w:eastAsia="Times New Roman"/>
                <w:lang w:val="hu-HU"/>
              </w:rPr>
            </w:pPr>
            <w:r w:rsidRPr="009167C6">
              <w:rPr>
                <w:rFonts w:eastAsia="Times New Roman"/>
                <w:b/>
                <w:bCs/>
                <w:lang w:val="hu-HU"/>
              </w:rPr>
              <w:t>PCDAI klinikai remisszió és válasz</w:t>
            </w:r>
          </w:p>
        </w:tc>
      </w:tr>
      <w:tr w:rsidR="00E72311" w:rsidRPr="009167C6" w14:paraId="656BA85B" w14:textId="77777777" w:rsidTr="004F731A">
        <w:tc>
          <w:tcPr>
            <w:tcW w:w="2409" w:type="dxa"/>
            <w:tcBorders>
              <w:top w:val="single" w:sz="7" w:space="0" w:color="000000"/>
              <w:left w:val="single" w:sz="7" w:space="0" w:color="000000"/>
              <w:bottom w:val="single" w:sz="7" w:space="0" w:color="000000"/>
              <w:right w:val="single" w:sz="7" w:space="0" w:color="000000"/>
            </w:tcBorders>
          </w:tcPr>
          <w:p w14:paraId="04CE0D44" w14:textId="77777777" w:rsidR="00E72311" w:rsidRPr="009167C6" w:rsidRDefault="00E72311" w:rsidP="00E72311">
            <w:pPr>
              <w:rPr>
                <w:rFonts w:ascii="Times New Roman" w:hAnsi="Times New Roman" w:cs="Times New Roman"/>
                <w:lang w:val="hu-HU"/>
              </w:rPr>
            </w:pPr>
          </w:p>
        </w:tc>
        <w:tc>
          <w:tcPr>
            <w:tcW w:w="1843" w:type="dxa"/>
            <w:tcBorders>
              <w:top w:val="single" w:sz="7" w:space="0" w:color="000000"/>
              <w:left w:val="single" w:sz="7" w:space="0" w:color="000000"/>
              <w:bottom w:val="single" w:sz="7" w:space="0" w:color="000000"/>
              <w:right w:val="single" w:sz="7" w:space="0" w:color="000000"/>
            </w:tcBorders>
          </w:tcPr>
          <w:p w14:paraId="6FDF9263" w14:textId="77777777" w:rsidR="00E72311" w:rsidRPr="007C168B" w:rsidRDefault="00E72311" w:rsidP="00E72311">
            <w:pPr>
              <w:pStyle w:val="TableParagraph"/>
              <w:spacing w:before="1"/>
              <w:ind w:left="111" w:right="98"/>
              <w:jc w:val="center"/>
              <w:rPr>
                <w:rFonts w:ascii="Times New Roman" w:eastAsia="Times New Roman" w:hAnsi="Times New Roman" w:cs="Times New Roman"/>
                <w:b/>
                <w:bCs/>
                <w:spacing w:val="-1"/>
                <w:lang w:val="hu-HU"/>
              </w:rPr>
            </w:pPr>
            <w:r w:rsidRPr="007C168B">
              <w:rPr>
                <w:rFonts w:ascii="Times New Roman" w:eastAsia="Times New Roman" w:hAnsi="Times New Roman" w:cs="Times New Roman"/>
                <w:b/>
                <w:bCs/>
                <w:spacing w:val="-1"/>
                <w:lang w:val="hu-HU"/>
              </w:rPr>
              <w:t>Standard dózis 40/20 mg kéthetente</w:t>
            </w:r>
            <w:r>
              <w:rPr>
                <w:rFonts w:asciiTheme="minorEastAsia" w:hAnsiTheme="minorEastAsia" w:cs="Times New Roman" w:hint="eastAsia"/>
                <w:b/>
                <w:bCs/>
                <w:spacing w:val="-1"/>
                <w:lang w:val="hu-HU" w:eastAsia="ko-KR"/>
              </w:rPr>
              <w:t xml:space="preserve"> </w:t>
            </w:r>
          </w:p>
          <w:p w14:paraId="6EFFD201" w14:textId="40F93CB0" w:rsidR="00E72311" w:rsidRPr="009167C6" w:rsidRDefault="00611FDF" w:rsidP="00E72311">
            <w:pPr>
              <w:pStyle w:val="TableParagraph"/>
              <w:ind w:left="480" w:right="468"/>
              <w:jc w:val="center"/>
              <w:rPr>
                <w:rFonts w:ascii="Times New Roman" w:eastAsia="Times New Roman" w:hAnsi="Times New Roman" w:cs="Times New Roman"/>
                <w:lang w:val="hu-HU"/>
              </w:rPr>
            </w:pPr>
            <w:r>
              <w:rPr>
                <w:rFonts w:ascii="Times New Roman" w:eastAsia="Times New Roman" w:hAnsi="Times New Roman" w:cs="Times New Roman"/>
                <w:b/>
                <w:bCs/>
                <w:lang w:val="hu-HU"/>
              </w:rPr>
              <w:t>n</w:t>
            </w:r>
            <w:r w:rsidRPr="009167C6">
              <w:rPr>
                <w:rFonts w:ascii="Times New Roman" w:eastAsia="Times New Roman" w:hAnsi="Times New Roman" w:cs="Times New Roman"/>
                <w:b/>
                <w:bCs/>
                <w:lang w:val="hu-HU"/>
              </w:rPr>
              <w:t xml:space="preserve"> </w:t>
            </w:r>
            <w:r w:rsidR="00E72311" w:rsidRPr="009167C6">
              <w:rPr>
                <w:rFonts w:ascii="Times New Roman" w:eastAsia="Times New Roman" w:hAnsi="Times New Roman" w:cs="Times New Roman"/>
                <w:b/>
                <w:bCs/>
                <w:lang w:val="hu-HU"/>
              </w:rPr>
              <w:t>= 93</w:t>
            </w:r>
          </w:p>
        </w:tc>
        <w:tc>
          <w:tcPr>
            <w:tcW w:w="1766" w:type="dxa"/>
            <w:tcBorders>
              <w:top w:val="single" w:sz="7" w:space="0" w:color="000000"/>
              <w:left w:val="single" w:sz="7" w:space="0" w:color="000000"/>
              <w:bottom w:val="single" w:sz="7" w:space="0" w:color="000000"/>
              <w:right w:val="single" w:sz="7" w:space="0" w:color="000000"/>
            </w:tcBorders>
          </w:tcPr>
          <w:p w14:paraId="67285BE2" w14:textId="77777777" w:rsidR="00E72311" w:rsidRPr="009167C6" w:rsidRDefault="00E72311" w:rsidP="00E72311">
            <w:pPr>
              <w:pStyle w:val="TableParagraph"/>
              <w:spacing w:before="1"/>
              <w:ind w:left="157" w:right="142" w:firstLine="1"/>
              <w:jc w:val="center"/>
              <w:rPr>
                <w:rFonts w:ascii="Times New Roman" w:eastAsia="Times New Roman" w:hAnsi="Times New Roman" w:cs="Times New Roman"/>
                <w:lang w:val="hu-HU"/>
              </w:rPr>
            </w:pPr>
            <w:r w:rsidRPr="009167C6">
              <w:rPr>
                <w:rFonts w:ascii="Times New Roman" w:eastAsia="Times New Roman" w:hAnsi="Times New Roman" w:cs="Times New Roman"/>
                <w:b/>
                <w:bCs/>
                <w:spacing w:val="-2"/>
                <w:lang w:val="hu-HU"/>
              </w:rPr>
              <w:t>Alacsony dózis 20/10 mg kéthetente</w:t>
            </w:r>
          </w:p>
          <w:p w14:paraId="1259E01F" w14:textId="3499F777" w:rsidR="00E72311" w:rsidRPr="009167C6" w:rsidRDefault="00611FDF" w:rsidP="00E72311">
            <w:pPr>
              <w:pStyle w:val="TableParagraph"/>
              <w:ind w:left="468" w:right="456"/>
              <w:jc w:val="center"/>
              <w:rPr>
                <w:rFonts w:ascii="Times New Roman" w:eastAsia="Times New Roman" w:hAnsi="Times New Roman" w:cs="Times New Roman"/>
                <w:lang w:val="hu-HU"/>
              </w:rPr>
            </w:pPr>
            <w:r>
              <w:rPr>
                <w:rFonts w:ascii="Times New Roman" w:eastAsia="Times New Roman" w:hAnsi="Times New Roman" w:cs="Times New Roman"/>
                <w:b/>
                <w:bCs/>
                <w:lang w:val="hu-HU"/>
              </w:rPr>
              <w:t>n</w:t>
            </w:r>
            <w:r w:rsidRPr="009167C6">
              <w:rPr>
                <w:rFonts w:ascii="Times New Roman" w:eastAsia="Times New Roman" w:hAnsi="Times New Roman" w:cs="Times New Roman"/>
                <w:b/>
                <w:bCs/>
                <w:lang w:val="hu-HU"/>
              </w:rPr>
              <w:t xml:space="preserve"> </w:t>
            </w:r>
            <w:r w:rsidR="00E72311" w:rsidRPr="009167C6">
              <w:rPr>
                <w:rFonts w:ascii="Times New Roman" w:eastAsia="Times New Roman" w:hAnsi="Times New Roman" w:cs="Times New Roman"/>
                <w:b/>
                <w:bCs/>
                <w:lang w:val="hu-HU"/>
              </w:rPr>
              <w:t>= 95</w:t>
            </w:r>
          </w:p>
        </w:tc>
        <w:tc>
          <w:tcPr>
            <w:tcW w:w="2061" w:type="dxa"/>
            <w:tcBorders>
              <w:top w:val="single" w:sz="7" w:space="0" w:color="000000"/>
              <w:left w:val="single" w:sz="7" w:space="0" w:color="000000"/>
              <w:bottom w:val="single" w:sz="7" w:space="0" w:color="000000"/>
              <w:right w:val="single" w:sz="7" w:space="0" w:color="000000"/>
            </w:tcBorders>
          </w:tcPr>
          <w:p w14:paraId="1CF7B1C6" w14:textId="11B76DAB" w:rsidR="00E72311" w:rsidRPr="009167C6" w:rsidRDefault="00611FDF" w:rsidP="00E72311">
            <w:pPr>
              <w:pStyle w:val="TableParagraph"/>
              <w:ind w:left="169"/>
              <w:rPr>
                <w:rFonts w:ascii="Times New Roman" w:eastAsia="Times New Roman" w:hAnsi="Times New Roman" w:cs="Times New Roman"/>
                <w:lang w:val="hu-HU"/>
              </w:rPr>
            </w:pPr>
            <w:r>
              <w:rPr>
                <w:rFonts w:ascii="Times New Roman" w:eastAsia="Times New Roman" w:hAnsi="Times New Roman" w:cs="Times New Roman"/>
                <w:b/>
                <w:bCs/>
                <w:lang w:val="hu-HU"/>
              </w:rPr>
              <w:t>p</w:t>
            </w:r>
            <w:r w:rsidRPr="009167C6">
              <w:rPr>
                <w:rFonts w:ascii="Times New Roman" w:eastAsia="Times New Roman" w:hAnsi="Times New Roman" w:cs="Times New Roman"/>
                <w:b/>
                <w:bCs/>
                <w:lang w:val="hu-HU"/>
              </w:rPr>
              <w:t xml:space="preserve"> </w:t>
            </w:r>
            <w:r w:rsidR="00E72311" w:rsidRPr="009167C6">
              <w:rPr>
                <w:rFonts w:ascii="Times New Roman" w:eastAsia="Times New Roman" w:hAnsi="Times New Roman" w:cs="Times New Roman"/>
                <w:b/>
                <w:bCs/>
                <w:lang w:val="hu-HU"/>
              </w:rPr>
              <w:t>érték</w:t>
            </w:r>
            <w:r w:rsidR="00E72311" w:rsidRPr="009167C6">
              <w:rPr>
                <w:rFonts w:ascii="Times New Roman" w:eastAsia="Times New Roman" w:hAnsi="Times New Roman" w:cs="Times New Roman"/>
                <w:lang w:val="hu-HU"/>
              </w:rPr>
              <w:t>*</w:t>
            </w:r>
          </w:p>
        </w:tc>
      </w:tr>
      <w:tr w:rsidR="00E72311" w:rsidRPr="009167C6" w14:paraId="140B3E3B" w14:textId="77777777" w:rsidTr="004F731A">
        <w:tc>
          <w:tcPr>
            <w:tcW w:w="2409" w:type="dxa"/>
            <w:tcBorders>
              <w:top w:val="single" w:sz="7" w:space="0" w:color="000000"/>
              <w:left w:val="single" w:sz="7" w:space="0" w:color="000000"/>
              <w:bottom w:val="single" w:sz="7" w:space="0" w:color="000000"/>
              <w:right w:val="single" w:sz="7" w:space="0" w:color="000000"/>
            </w:tcBorders>
          </w:tcPr>
          <w:p w14:paraId="6E26AA6F" w14:textId="77777777" w:rsidR="00E72311" w:rsidRPr="007C168B" w:rsidRDefault="00E72311" w:rsidP="00E72311">
            <w:pPr>
              <w:pStyle w:val="TableParagraph"/>
              <w:ind w:left="13"/>
              <w:rPr>
                <w:rFonts w:ascii="Times New Roman" w:eastAsia="Times New Roman" w:hAnsi="Times New Roman" w:cs="Times New Roman"/>
                <w:lang w:val="hu-HU"/>
              </w:rPr>
            </w:pPr>
            <w:r w:rsidRPr="007C168B">
              <w:rPr>
                <w:rFonts w:ascii="Times New Roman" w:eastAsia="Times New Roman" w:hAnsi="Times New Roman" w:cs="Times New Roman"/>
                <w:b/>
                <w:bCs/>
                <w:lang w:val="hu-HU"/>
              </w:rPr>
              <w:t>26. hét</w:t>
            </w:r>
          </w:p>
        </w:tc>
        <w:tc>
          <w:tcPr>
            <w:tcW w:w="1843" w:type="dxa"/>
            <w:tcBorders>
              <w:top w:val="single" w:sz="7" w:space="0" w:color="000000"/>
              <w:left w:val="single" w:sz="7" w:space="0" w:color="000000"/>
              <w:bottom w:val="single" w:sz="7" w:space="0" w:color="000000"/>
              <w:right w:val="single" w:sz="7" w:space="0" w:color="000000"/>
            </w:tcBorders>
          </w:tcPr>
          <w:p w14:paraId="5C655C6F" w14:textId="77777777" w:rsidR="00E72311" w:rsidRPr="009167C6" w:rsidRDefault="00E72311" w:rsidP="00E72311">
            <w:pPr>
              <w:rPr>
                <w:rFonts w:ascii="Times New Roman" w:hAnsi="Times New Roman" w:cs="Times New Roman"/>
                <w:lang w:val="hu-HU"/>
              </w:rPr>
            </w:pPr>
          </w:p>
        </w:tc>
        <w:tc>
          <w:tcPr>
            <w:tcW w:w="1766" w:type="dxa"/>
            <w:tcBorders>
              <w:top w:val="single" w:sz="7" w:space="0" w:color="000000"/>
              <w:left w:val="single" w:sz="7" w:space="0" w:color="000000"/>
              <w:bottom w:val="single" w:sz="7" w:space="0" w:color="000000"/>
              <w:right w:val="single" w:sz="7" w:space="0" w:color="000000"/>
            </w:tcBorders>
          </w:tcPr>
          <w:p w14:paraId="3797EEC2" w14:textId="77777777" w:rsidR="00E72311" w:rsidRPr="009167C6" w:rsidRDefault="00E72311" w:rsidP="00E72311">
            <w:pPr>
              <w:rPr>
                <w:rFonts w:ascii="Times New Roman" w:hAnsi="Times New Roman" w:cs="Times New Roman"/>
                <w:lang w:val="hu-HU"/>
              </w:rPr>
            </w:pPr>
          </w:p>
        </w:tc>
        <w:tc>
          <w:tcPr>
            <w:tcW w:w="2061" w:type="dxa"/>
            <w:tcBorders>
              <w:top w:val="single" w:sz="7" w:space="0" w:color="000000"/>
              <w:left w:val="single" w:sz="7" w:space="0" w:color="000000"/>
              <w:bottom w:val="single" w:sz="7" w:space="0" w:color="000000"/>
              <w:right w:val="single" w:sz="7" w:space="0" w:color="000000"/>
            </w:tcBorders>
          </w:tcPr>
          <w:p w14:paraId="5AAF598C" w14:textId="77777777" w:rsidR="00E72311" w:rsidRPr="009167C6" w:rsidRDefault="00E72311" w:rsidP="00E72311">
            <w:pPr>
              <w:rPr>
                <w:rFonts w:ascii="Times New Roman" w:hAnsi="Times New Roman" w:cs="Times New Roman"/>
                <w:lang w:val="hu-HU"/>
              </w:rPr>
            </w:pPr>
          </w:p>
        </w:tc>
      </w:tr>
      <w:tr w:rsidR="00E72311" w:rsidRPr="009167C6" w14:paraId="66745FD3" w14:textId="77777777" w:rsidTr="004F731A">
        <w:tc>
          <w:tcPr>
            <w:tcW w:w="2409" w:type="dxa"/>
            <w:tcBorders>
              <w:top w:val="single" w:sz="7" w:space="0" w:color="000000"/>
              <w:left w:val="single" w:sz="7" w:space="0" w:color="000000"/>
              <w:bottom w:val="single" w:sz="7" w:space="0" w:color="000000"/>
              <w:right w:val="single" w:sz="7" w:space="0" w:color="000000"/>
            </w:tcBorders>
          </w:tcPr>
          <w:p w14:paraId="0E5F2644" w14:textId="77777777" w:rsidR="00E72311" w:rsidRPr="009167C6" w:rsidRDefault="00E72311" w:rsidP="00E72311">
            <w:pPr>
              <w:pStyle w:val="TableParagraph"/>
              <w:ind w:left="179"/>
              <w:rPr>
                <w:rFonts w:ascii="Times New Roman" w:eastAsia="Times New Roman" w:hAnsi="Times New Roman" w:cs="Times New Roman"/>
                <w:lang w:val="hu-HU"/>
              </w:rPr>
            </w:pPr>
            <w:r w:rsidRPr="007C168B">
              <w:rPr>
                <w:rFonts w:ascii="Times New Roman" w:eastAsia="Times New Roman" w:hAnsi="Times New Roman" w:cs="Times New Roman"/>
                <w:spacing w:val="-1"/>
                <w:lang w:val="hu-HU"/>
              </w:rPr>
              <w:t>Klinikai remisszió</w:t>
            </w:r>
          </w:p>
        </w:tc>
        <w:tc>
          <w:tcPr>
            <w:tcW w:w="1843" w:type="dxa"/>
            <w:tcBorders>
              <w:top w:val="single" w:sz="7" w:space="0" w:color="000000"/>
              <w:left w:val="single" w:sz="7" w:space="0" w:color="000000"/>
              <w:bottom w:val="single" w:sz="7" w:space="0" w:color="000000"/>
              <w:right w:val="single" w:sz="7" w:space="0" w:color="000000"/>
            </w:tcBorders>
          </w:tcPr>
          <w:p w14:paraId="734BC775" w14:textId="77777777" w:rsidR="00E72311" w:rsidRPr="009167C6" w:rsidRDefault="00E72311" w:rsidP="00E72311">
            <w:pPr>
              <w:pStyle w:val="TableParagraph"/>
              <w:ind w:left="519"/>
              <w:rPr>
                <w:rFonts w:ascii="Times New Roman" w:eastAsia="Times New Roman" w:hAnsi="Times New Roman" w:cs="Times New Roman"/>
                <w:lang w:val="hu-HU"/>
              </w:rPr>
            </w:pPr>
            <w:r w:rsidRPr="009167C6">
              <w:rPr>
                <w:rFonts w:ascii="Times New Roman" w:eastAsia="Times New Roman" w:hAnsi="Times New Roman" w:cs="Times New Roman"/>
                <w:lang w:val="hu-HU"/>
              </w:rPr>
              <w:t>38,7%</w:t>
            </w:r>
          </w:p>
        </w:tc>
        <w:tc>
          <w:tcPr>
            <w:tcW w:w="1766" w:type="dxa"/>
            <w:tcBorders>
              <w:top w:val="single" w:sz="7" w:space="0" w:color="000000"/>
              <w:left w:val="single" w:sz="7" w:space="0" w:color="000000"/>
              <w:bottom w:val="single" w:sz="7" w:space="0" w:color="000000"/>
              <w:right w:val="single" w:sz="7" w:space="0" w:color="000000"/>
            </w:tcBorders>
          </w:tcPr>
          <w:p w14:paraId="3D2FBBA8" w14:textId="77777777" w:rsidR="00E72311" w:rsidRPr="009167C6" w:rsidRDefault="00E72311" w:rsidP="00E72311">
            <w:pPr>
              <w:pStyle w:val="TableParagraph"/>
              <w:ind w:left="510"/>
              <w:rPr>
                <w:rFonts w:ascii="Times New Roman" w:eastAsia="Times New Roman" w:hAnsi="Times New Roman" w:cs="Times New Roman"/>
                <w:lang w:val="hu-HU"/>
              </w:rPr>
            </w:pPr>
            <w:r w:rsidRPr="009167C6">
              <w:rPr>
                <w:rFonts w:ascii="Times New Roman" w:eastAsia="Times New Roman" w:hAnsi="Times New Roman" w:cs="Times New Roman"/>
                <w:lang w:val="hu-HU"/>
              </w:rPr>
              <w:t>28,4%</w:t>
            </w:r>
          </w:p>
        </w:tc>
        <w:tc>
          <w:tcPr>
            <w:tcW w:w="2061" w:type="dxa"/>
            <w:tcBorders>
              <w:top w:val="single" w:sz="7" w:space="0" w:color="000000"/>
              <w:left w:val="single" w:sz="7" w:space="0" w:color="000000"/>
              <w:bottom w:val="single" w:sz="7" w:space="0" w:color="000000"/>
              <w:right w:val="single" w:sz="7" w:space="0" w:color="000000"/>
            </w:tcBorders>
          </w:tcPr>
          <w:p w14:paraId="6B3EE216" w14:textId="77777777" w:rsidR="00E72311" w:rsidRPr="009167C6" w:rsidRDefault="00E72311" w:rsidP="00E72311">
            <w:pPr>
              <w:pStyle w:val="TableParagraph"/>
              <w:ind w:left="323"/>
              <w:rPr>
                <w:rFonts w:ascii="Times New Roman" w:eastAsia="Times New Roman" w:hAnsi="Times New Roman" w:cs="Times New Roman"/>
                <w:lang w:val="hu-HU"/>
              </w:rPr>
            </w:pPr>
            <w:r w:rsidRPr="009167C6">
              <w:rPr>
                <w:rFonts w:ascii="Times New Roman" w:eastAsia="Times New Roman" w:hAnsi="Times New Roman" w:cs="Times New Roman"/>
                <w:lang w:val="hu-HU"/>
              </w:rPr>
              <w:t>0,075</w:t>
            </w:r>
          </w:p>
        </w:tc>
      </w:tr>
      <w:tr w:rsidR="00E72311" w:rsidRPr="009167C6" w14:paraId="5D74C0FC" w14:textId="77777777" w:rsidTr="004F731A">
        <w:tc>
          <w:tcPr>
            <w:tcW w:w="2409" w:type="dxa"/>
            <w:tcBorders>
              <w:top w:val="single" w:sz="7" w:space="0" w:color="000000"/>
              <w:left w:val="single" w:sz="7" w:space="0" w:color="000000"/>
              <w:bottom w:val="single" w:sz="7" w:space="0" w:color="000000"/>
              <w:right w:val="single" w:sz="7" w:space="0" w:color="000000"/>
            </w:tcBorders>
          </w:tcPr>
          <w:p w14:paraId="198D08FB" w14:textId="77777777" w:rsidR="00E72311" w:rsidRPr="007C168B" w:rsidRDefault="00E72311" w:rsidP="00E72311">
            <w:pPr>
              <w:pStyle w:val="TableParagraph"/>
              <w:ind w:left="179"/>
              <w:rPr>
                <w:rFonts w:ascii="Times New Roman" w:eastAsia="Times New Roman" w:hAnsi="Times New Roman" w:cs="Times New Roman"/>
                <w:lang w:val="hu-HU"/>
              </w:rPr>
            </w:pPr>
            <w:r w:rsidRPr="007C168B">
              <w:rPr>
                <w:rFonts w:ascii="Times New Roman" w:eastAsia="Times New Roman" w:hAnsi="Times New Roman" w:cs="Times New Roman"/>
                <w:spacing w:val="-1"/>
                <w:lang w:val="hu-HU"/>
              </w:rPr>
              <w:t>Klinikai válasz</w:t>
            </w:r>
          </w:p>
        </w:tc>
        <w:tc>
          <w:tcPr>
            <w:tcW w:w="1843" w:type="dxa"/>
            <w:tcBorders>
              <w:top w:val="single" w:sz="7" w:space="0" w:color="000000"/>
              <w:left w:val="single" w:sz="7" w:space="0" w:color="000000"/>
              <w:bottom w:val="single" w:sz="7" w:space="0" w:color="000000"/>
              <w:right w:val="single" w:sz="7" w:space="0" w:color="000000"/>
            </w:tcBorders>
          </w:tcPr>
          <w:p w14:paraId="529E4B2A" w14:textId="77777777" w:rsidR="00E72311" w:rsidRPr="009167C6" w:rsidRDefault="00E72311" w:rsidP="00E72311">
            <w:pPr>
              <w:pStyle w:val="TableParagraph"/>
              <w:ind w:left="519"/>
              <w:rPr>
                <w:rFonts w:ascii="Times New Roman" w:eastAsia="Times New Roman" w:hAnsi="Times New Roman" w:cs="Times New Roman"/>
                <w:lang w:val="hu-HU"/>
              </w:rPr>
            </w:pPr>
            <w:r w:rsidRPr="009167C6">
              <w:rPr>
                <w:rFonts w:ascii="Times New Roman" w:eastAsia="Times New Roman" w:hAnsi="Times New Roman" w:cs="Times New Roman"/>
                <w:lang w:val="hu-HU"/>
              </w:rPr>
              <w:t>59,1%</w:t>
            </w:r>
          </w:p>
        </w:tc>
        <w:tc>
          <w:tcPr>
            <w:tcW w:w="1766" w:type="dxa"/>
            <w:tcBorders>
              <w:top w:val="single" w:sz="7" w:space="0" w:color="000000"/>
              <w:left w:val="single" w:sz="7" w:space="0" w:color="000000"/>
              <w:bottom w:val="single" w:sz="7" w:space="0" w:color="000000"/>
              <w:right w:val="single" w:sz="7" w:space="0" w:color="000000"/>
            </w:tcBorders>
          </w:tcPr>
          <w:p w14:paraId="1DB67D20" w14:textId="77777777" w:rsidR="00E72311" w:rsidRPr="009167C6" w:rsidRDefault="00E72311" w:rsidP="00E72311">
            <w:pPr>
              <w:pStyle w:val="TableParagraph"/>
              <w:ind w:left="510"/>
              <w:rPr>
                <w:rFonts w:ascii="Times New Roman" w:eastAsia="Times New Roman" w:hAnsi="Times New Roman" w:cs="Times New Roman"/>
                <w:lang w:val="hu-HU"/>
              </w:rPr>
            </w:pPr>
            <w:r w:rsidRPr="009167C6">
              <w:rPr>
                <w:rFonts w:ascii="Times New Roman" w:eastAsia="Times New Roman" w:hAnsi="Times New Roman" w:cs="Times New Roman"/>
                <w:lang w:val="hu-HU"/>
              </w:rPr>
              <w:t>48,4%</w:t>
            </w:r>
          </w:p>
        </w:tc>
        <w:tc>
          <w:tcPr>
            <w:tcW w:w="2061" w:type="dxa"/>
            <w:tcBorders>
              <w:top w:val="single" w:sz="7" w:space="0" w:color="000000"/>
              <w:left w:val="single" w:sz="7" w:space="0" w:color="000000"/>
              <w:bottom w:val="single" w:sz="7" w:space="0" w:color="000000"/>
              <w:right w:val="single" w:sz="7" w:space="0" w:color="000000"/>
            </w:tcBorders>
          </w:tcPr>
          <w:p w14:paraId="7CEAF98E" w14:textId="77777777" w:rsidR="00E72311" w:rsidRPr="009167C6" w:rsidRDefault="00E72311" w:rsidP="00E72311">
            <w:pPr>
              <w:pStyle w:val="TableParagraph"/>
              <w:ind w:left="323"/>
              <w:rPr>
                <w:rFonts w:ascii="Times New Roman" w:eastAsia="Times New Roman" w:hAnsi="Times New Roman" w:cs="Times New Roman"/>
                <w:lang w:val="hu-HU"/>
              </w:rPr>
            </w:pPr>
            <w:r w:rsidRPr="009167C6">
              <w:rPr>
                <w:rFonts w:ascii="Times New Roman" w:eastAsia="Times New Roman" w:hAnsi="Times New Roman" w:cs="Times New Roman"/>
                <w:lang w:val="hu-HU"/>
              </w:rPr>
              <w:t>0,073</w:t>
            </w:r>
          </w:p>
        </w:tc>
      </w:tr>
      <w:tr w:rsidR="00E72311" w:rsidRPr="009167C6" w14:paraId="155E8E25" w14:textId="77777777" w:rsidTr="004F731A">
        <w:tc>
          <w:tcPr>
            <w:tcW w:w="2409" w:type="dxa"/>
            <w:tcBorders>
              <w:top w:val="single" w:sz="7" w:space="0" w:color="000000"/>
              <w:left w:val="single" w:sz="7" w:space="0" w:color="000000"/>
              <w:bottom w:val="single" w:sz="7" w:space="0" w:color="000000"/>
              <w:right w:val="single" w:sz="7" w:space="0" w:color="000000"/>
            </w:tcBorders>
          </w:tcPr>
          <w:p w14:paraId="631C5BE3" w14:textId="77777777" w:rsidR="00E72311" w:rsidRPr="007C168B" w:rsidRDefault="00E72311" w:rsidP="00E72311">
            <w:pPr>
              <w:pStyle w:val="TableParagraph"/>
              <w:ind w:left="13"/>
              <w:rPr>
                <w:rFonts w:ascii="Times New Roman" w:eastAsia="Times New Roman" w:hAnsi="Times New Roman" w:cs="Times New Roman"/>
                <w:lang w:val="hu-HU"/>
              </w:rPr>
            </w:pPr>
            <w:r w:rsidRPr="007C168B">
              <w:rPr>
                <w:rFonts w:ascii="Times New Roman" w:eastAsia="Times New Roman" w:hAnsi="Times New Roman" w:cs="Times New Roman"/>
                <w:b/>
                <w:bCs/>
                <w:lang w:val="hu-HU"/>
              </w:rPr>
              <w:t>52. hét</w:t>
            </w:r>
          </w:p>
        </w:tc>
        <w:tc>
          <w:tcPr>
            <w:tcW w:w="1843" w:type="dxa"/>
            <w:tcBorders>
              <w:top w:val="single" w:sz="7" w:space="0" w:color="000000"/>
              <w:left w:val="single" w:sz="7" w:space="0" w:color="000000"/>
              <w:bottom w:val="single" w:sz="7" w:space="0" w:color="000000"/>
              <w:right w:val="single" w:sz="7" w:space="0" w:color="000000"/>
            </w:tcBorders>
          </w:tcPr>
          <w:p w14:paraId="51FDF339" w14:textId="77777777" w:rsidR="00E72311" w:rsidRPr="009167C6" w:rsidRDefault="00E72311" w:rsidP="00E72311">
            <w:pPr>
              <w:rPr>
                <w:rFonts w:ascii="Times New Roman" w:hAnsi="Times New Roman" w:cs="Times New Roman"/>
                <w:lang w:val="hu-HU"/>
              </w:rPr>
            </w:pPr>
          </w:p>
        </w:tc>
        <w:tc>
          <w:tcPr>
            <w:tcW w:w="1766" w:type="dxa"/>
            <w:tcBorders>
              <w:top w:val="single" w:sz="7" w:space="0" w:color="000000"/>
              <w:left w:val="single" w:sz="7" w:space="0" w:color="000000"/>
              <w:bottom w:val="single" w:sz="7" w:space="0" w:color="000000"/>
              <w:right w:val="single" w:sz="7" w:space="0" w:color="000000"/>
            </w:tcBorders>
          </w:tcPr>
          <w:p w14:paraId="1668B0CB" w14:textId="77777777" w:rsidR="00E72311" w:rsidRPr="009167C6" w:rsidRDefault="00E72311" w:rsidP="00E72311">
            <w:pPr>
              <w:rPr>
                <w:rFonts w:ascii="Times New Roman" w:hAnsi="Times New Roman" w:cs="Times New Roman"/>
                <w:lang w:val="hu-HU"/>
              </w:rPr>
            </w:pPr>
          </w:p>
        </w:tc>
        <w:tc>
          <w:tcPr>
            <w:tcW w:w="2061" w:type="dxa"/>
            <w:tcBorders>
              <w:top w:val="single" w:sz="7" w:space="0" w:color="000000"/>
              <w:left w:val="single" w:sz="7" w:space="0" w:color="000000"/>
              <w:bottom w:val="single" w:sz="7" w:space="0" w:color="000000"/>
              <w:right w:val="single" w:sz="7" w:space="0" w:color="000000"/>
            </w:tcBorders>
          </w:tcPr>
          <w:p w14:paraId="4953227A" w14:textId="77777777" w:rsidR="00E72311" w:rsidRPr="009167C6" w:rsidRDefault="00E72311" w:rsidP="00E72311">
            <w:pPr>
              <w:rPr>
                <w:rFonts w:ascii="Times New Roman" w:hAnsi="Times New Roman" w:cs="Times New Roman"/>
                <w:lang w:val="hu-HU"/>
              </w:rPr>
            </w:pPr>
          </w:p>
        </w:tc>
      </w:tr>
      <w:tr w:rsidR="00E72311" w:rsidRPr="009167C6" w14:paraId="35BFBC95" w14:textId="77777777" w:rsidTr="004F731A">
        <w:tc>
          <w:tcPr>
            <w:tcW w:w="2409" w:type="dxa"/>
            <w:tcBorders>
              <w:top w:val="single" w:sz="7" w:space="0" w:color="000000"/>
              <w:left w:val="single" w:sz="7" w:space="0" w:color="000000"/>
              <w:bottom w:val="single" w:sz="7" w:space="0" w:color="000000"/>
              <w:right w:val="single" w:sz="7" w:space="0" w:color="000000"/>
            </w:tcBorders>
          </w:tcPr>
          <w:p w14:paraId="677FE387" w14:textId="77777777" w:rsidR="00E72311" w:rsidRPr="007C168B" w:rsidRDefault="00E72311" w:rsidP="00E72311">
            <w:pPr>
              <w:pStyle w:val="TableParagraph"/>
              <w:ind w:left="179"/>
              <w:rPr>
                <w:rFonts w:ascii="Times New Roman" w:eastAsia="Times New Roman" w:hAnsi="Times New Roman" w:cs="Times New Roman"/>
                <w:lang w:val="hu-HU"/>
              </w:rPr>
            </w:pPr>
            <w:r w:rsidRPr="007C168B">
              <w:rPr>
                <w:rFonts w:ascii="Times New Roman" w:eastAsia="Times New Roman" w:hAnsi="Times New Roman" w:cs="Times New Roman"/>
                <w:spacing w:val="-1"/>
                <w:lang w:val="hu-HU"/>
              </w:rPr>
              <w:t>Klinikai remisszió</w:t>
            </w:r>
          </w:p>
        </w:tc>
        <w:tc>
          <w:tcPr>
            <w:tcW w:w="1843" w:type="dxa"/>
            <w:tcBorders>
              <w:top w:val="single" w:sz="7" w:space="0" w:color="000000"/>
              <w:left w:val="single" w:sz="7" w:space="0" w:color="000000"/>
              <w:bottom w:val="single" w:sz="7" w:space="0" w:color="000000"/>
              <w:right w:val="single" w:sz="7" w:space="0" w:color="000000"/>
            </w:tcBorders>
          </w:tcPr>
          <w:p w14:paraId="304893D3" w14:textId="77777777" w:rsidR="00E72311" w:rsidRPr="009167C6" w:rsidRDefault="00E72311" w:rsidP="00E72311">
            <w:pPr>
              <w:pStyle w:val="TableParagraph"/>
              <w:ind w:left="519"/>
              <w:rPr>
                <w:rFonts w:ascii="Times New Roman" w:eastAsia="Times New Roman" w:hAnsi="Times New Roman" w:cs="Times New Roman"/>
                <w:lang w:val="hu-HU"/>
              </w:rPr>
            </w:pPr>
            <w:r w:rsidRPr="009167C6">
              <w:rPr>
                <w:rFonts w:ascii="Times New Roman" w:eastAsia="Times New Roman" w:hAnsi="Times New Roman" w:cs="Times New Roman"/>
                <w:lang w:val="hu-HU"/>
              </w:rPr>
              <w:t>33,3%</w:t>
            </w:r>
          </w:p>
        </w:tc>
        <w:tc>
          <w:tcPr>
            <w:tcW w:w="1766" w:type="dxa"/>
            <w:tcBorders>
              <w:top w:val="single" w:sz="7" w:space="0" w:color="000000"/>
              <w:left w:val="single" w:sz="7" w:space="0" w:color="000000"/>
              <w:bottom w:val="single" w:sz="7" w:space="0" w:color="000000"/>
              <w:right w:val="single" w:sz="7" w:space="0" w:color="000000"/>
            </w:tcBorders>
          </w:tcPr>
          <w:p w14:paraId="6B5BE110" w14:textId="77777777" w:rsidR="00E72311" w:rsidRPr="009167C6" w:rsidRDefault="00E72311" w:rsidP="00E72311">
            <w:pPr>
              <w:pStyle w:val="TableParagraph"/>
              <w:ind w:left="510"/>
              <w:rPr>
                <w:rFonts w:ascii="Times New Roman" w:eastAsia="Times New Roman" w:hAnsi="Times New Roman" w:cs="Times New Roman"/>
                <w:lang w:val="hu-HU"/>
              </w:rPr>
            </w:pPr>
            <w:r w:rsidRPr="009167C6">
              <w:rPr>
                <w:rFonts w:ascii="Times New Roman" w:eastAsia="Times New Roman" w:hAnsi="Times New Roman" w:cs="Times New Roman"/>
                <w:lang w:val="hu-HU"/>
              </w:rPr>
              <w:t>23,2%</w:t>
            </w:r>
          </w:p>
        </w:tc>
        <w:tc>
          <w:tcPr>
            <w:tcW w:w="2061" w:type="dxa"/>
            <w:tcBorders>
              <w:top w:val="single" w:sz="7" w:space="0" w:color="000000"/>
              <w:left w:val="single" w:sz="7" w:space="0" w:color="000000"/>
              <w:bottom w:val="single" w:sz="7" w:space="0" w:color="000000"/>
              <w:right w:val="single" w:sz="7" w:space="0" w:color="000000"/>
            </w:tcBorders>
          </w:tcPr>
          <w:p w14:paraId="3ED613BB" w14:textId="77777777" w:rsidR="00E72311" w:rsidRPr="009167C6" w:rsidRDefault="00E72311" w:rsidP="00E72311">
            <w:pPr>
              <w:pStyle w:val="TableParagraph"/>
              <w:ind w:left="323"/>
              <w:rPr>
                <w:rFonts w:ascii="Times New Roman" w:eastAsia="Times New Roman" w:hAnsi="Times New Roman" w:cs="Times New Roman"/>
                <w:lang w:val="hu-HU"/>
              </w:rPr>
            </w:pPr>
            <w:r w:rsidRPr="009167C6">
              <w:rPr>
                <w:rFonts w:ascii="Times New Roman" w:eastAsia="Times New Roman" w:hAnsi="Times New Roman" w:cs="Times New Roman"/>
                <w:lang w:val="hu-HU"/>
              </w:rPr>
              <w:t>0,100</w:t>
            </w:r>
          </w:p>
        </w:tc>
      </w:tr>
      <w:tr w:rsidR="00E72311" w:rsidRPr="009167C6" w14:paraId="6020D708" w14:textId="77777777" w:rsidTr="004F731A">
        <w:tc>
          <w:tcPr>
            <w:tcW w:w="2409" w:type="dxa"/>
            <w:tcBorders>
              <w:top w:val="single" w:sz="7" w:space="0" w:color="000000"/>
              <w:left w:val="single" w:sz="7" w:space="0" w:color="000000"/>
              <w:bottom w:val="single" w:sz="7" w:space="0" w:color="000000"/>
              <w:right w:val="single" w:sz="7" w:space="0" w:color="000000"/>
            </w:tcBorders>
          </w:tcPr>
          <w:p w14:paraId="17B27D31" w14:textId="77777777" w:rsidR="00E72311" w:rsidRPr="007C168B" w:rsidRDefault="00E72311" w:rsidP="00E72311">
            <w:pPr>
              <w:pStyle w:val="TableParagraph"/>
              <w:ind w:left="179"/>
              <w:rPr>
                <w:rFonts w:ascii="Times New Roman" w:eastAsia="Times New Roman" w:hAnsi="Times New Roman" w:cs="Times New Roman"/>
                <w:lang w:val="hu-HU"/>
              </w:rPr>
            </w:pPr>
            <w:r w:rsidRPr="007C168B">
              <w:rPr>
                <w:rFonts w:ascii="Times New Roman" w:eastAsia="Times New Roman" w:hAnsi="Times New Roman" w:cs="Times New Roman"/>
                <w:spacing w:val="-1"/>
                <w:lang w:val="hu-HU"/>
              </w:rPr>
              <w:t>Klinikai válasz</w:t>
            </w:r>
          </w:p>
        </w:tc>
        <w:tc>
          <w:tcPr>
            <w:tcW w:w="1843" w:type="dxa"/>
            <w:tcBorders>
              <w:top w:val="single" w:sz="7" w:space="0" w:color="000000"/>
              <w:left w:val="single" w:sz="7" w:space="0" w:color="000000"/>
              <w:bottom w:val="single" w:sz="7" w:space="0" w:color="000000"/>
              <w:right w:val="single" w:sz="7" w:space="0" w:color="000000"/>
            </w:tcBorders>
          </w:tcPr>
          <w:p w14:paraId="35798B35" w14:textId="77777777" w:rsidR="00E72311" w:rsidRPr="009167C6" w:rsidRDefault="00E72311" w:rsidP="00E72311">
            <w:pPr>
              <w:pStyle w:val="TableParagraph"/>
              <w:ind w:left="519"/>
              <w:rPr>
                <w:rFonts w:ascii="Times New Roman" w:eastAsia="Times New Roman" w:hAnsi="Times New Roman" w:cs="Times New Roman"/>
                <w:lang w:val="hu-HU"/>
              </w:rPr>
            </w:pPr>
            <w:r w:rsidRPr="009167C6">
              <w:rPr>
                <w:rFonts w:ascii="Times New Roman" w:eastAsia="Times New Roman" w:hAnsi="Times New Roman" w:cs="Times New Roman"/>
                <w:lang w:val="hu-HU"/>
              </w:rPr>
              <w:t>41,9%</w:t>
            </w:r>
          </w:p>
        </w:tc>
        <w:tc>
          <w:tcPr>
            <w:tcW w:w="1766" w:type="dxa"/>
            <w:tcBorders>
              <w:top w:val="single" w:sz="7" w:space="0" w:color="000000"/>
              <w:left w:val="single" w:sz="7" w:space="0" w:color="000000"/>
              <w:bottom w:val="single" w:sz="7" w:space="0" w:color="000000"/>
              <w:right w:val="single" w:sz="7" w:space="0" w:color="000000"/>
            </w:tcBorders>
          </w:tcPr>
          <w:p w14:paraId="12DE31E5" w14:textId="77777777" w:rsidR="00E72311" w:rsidRPr="009167C6" w:rsidRDefault="00E72311" w:rsidP="00E72311">
            <w:pPr>
              <w:pStyle w:val="TableParagraph"/>
              <w:ind w:left="510"/>
              <w:rPr>
                <w:rFonts w:ascii="Times New Roman" w:eastAsia="Times New Roman" w:hAnsi="Times New Roman" w:cs="Times New Roman"/>
                <w:lang w:val="hu-HU"/>
              </w:rPr>
            </w:pPr>
            <w:r w:rsidRPr="009167C6">
              <w:rPr>
                <w:rFonts w:ascii="Times New Roman" w:eastAsia="Times New Roman" w:hAnsi="Times New Roman" w:cs="Times New Roman"/>
                <w:lang w:val="hu-HU"/>
              </w:rPr>
              <w:t>28,4%</w:t>
            </w:r>
          </w:p>
        </w:tc>
        <w:tc>
          <w:tcPr>
            <w:tcW w:w="2061" w:type="dxa"/>
            <w:tcBorders>
              <w:top w:val="single" w:sz="7" w:space="0" w:color="000000"/>
              <w:left w:val="single" w:sz="7" w:space="0" w:color="000000"/>
              <w:bottom w:val="single" w:sz="7" w:space="0" w:color="000000"/>
              <w:right w:val="single" w:sz="7" w:space="0" w:color="000000"/>
            </w:tcBorders>
          </w:tcPr>
          <w:p w14:paraId="712CD629" w14:textId="77777777" w:rsidR="00E72311" w:rsidRPr="009167C6" w:rsidRDefault="00E72311" w:rsidP="00E72311">
            <w:pPr>
              <w:pStyle w:val="TableParagraph"/>
              <w:ind w:left="323"/>
              <w:rPr>
                <w:rFonts w:ascii="Times New Roman" w:eastAsia="Times New Roman" w:hAnsi="Times New Roman" w:cs="Times New Roman"/>
                <w:lang w:val="hu-HU"/>
              </w:rPr>
            </w:pPr>
            <w:r w:rsidRPr="009167C6">
              <w:rPr>
                <w:rFonts w:ascii="Times New Roman" w:eastAsia="Times New Roman" w:hAnsi="Times New Roman" w:cs="Times New Roman"/>
                <w:lang w:val="hu-HU"/>
              </w:rPr>
              <w:t>0,038</w:t>
            </w:r>
          </w:p>
        </w:tc>
      </w:tr>
      <w:tr w:rsidR="00E72311" w:rsidRPr="009167C6" w14:paraId="29B477D9" w14:textId="77777777" w:rsidTr="004F731A">
        <w:tc>
          <w:tcPr>
            <w:tcW w:w="8079" w:type="dxa"/>
            <w:gridSpan w:val="4"/>
            <w:tcBorders>
              <w:top w:val="single" w:sz="7" w:space="0" w:color="000000"/>
              <w:left w:val="single" w:sz="7" w:space="0" w:color="000000"/>
              <w:bottom w:val="single" w:sz="7" w:space="0" w:color="000000"/>
              <w:right w:val="single" w:sz="7" w:space="0" w:color="000000"/>
            </w:tcBorders>
          </w:tcPr>
          <w:p w14:paraId="66E63CB9" w14:textId="77777777" w:rsidR="00E72311" w:rsidRPr="009167C6" w:rsidRDefault="00E72311" w:rsidP="00E72311">
            <w:pPr>
              <w:pStyle w:val="TableParagraph"/>
              <w:ind w:left="13"/>
              <w:rPr>
                <w:rFonts w:ascii="Times New Roman" w:eastAsia="Times New Roman" w:hAnsi="Times New Roman" w:cs="Times New Roman"/>
                <w:lang w:val="hu-HU"/>
              </w:rPr>
            </w:pPr>
            <w:r w:rsidRPr="007C168B">
              <w:rPr>
                <w:rFonts w:ascii="Times New Roman" w:eastAsia="Times New Roman" w:hAnsi="Times New Roman" w:cs="Times New Roman"/>
                <w:lang w:val="hu-HU"/>
              </w:rPr>
              <w:t xml:space="preserve">* p érték Standard dózis </w:t>
            </w:r>
            <w:r w:rsidRPr="007C168B">
              <w:rPr>
                <w:rFonts w:ascii="Times New Roman" w:eastAsia="Times New Roman" w:hAnsi="Times New Roman" w:cs="Times New Roman"/>
                <w:i/>
                <w:iCs/>
                <w:lang w:val="hu-HU"/>
              </w:rPr>
              <w:t xml:space="preserve">versus </w:t>
            </w:r>
            <w:r w:rsidRPr="009167C6">
              <w:rPr>
                <w:rFonts w:ascii="Times New Roman" w:eastAsia="Times New Roman" w:hAnsi="Times New Roman" w:cs="Times New Roman"/>
                <w:lang w:val="hu-HU"/>
              </w:rPr>
              <w:t xml:space="preserve"> alacsony dózis összehasonlítása esetén.</w:t>
            </w:r>
          </w:p>
        </w:tc>
      </w:tr>
    </w:tbl>
    <w:p w14:paraId="0B66963A" w14:textId="77777777" w:rsidR="00E72311" w:rsidRDefault="00E72311" w:rsidP="00E72311">
      <w:pPr>
        <w:spacing w:before="10" w:line="240" w:lineRule="exact"/>
        <w:rPr>
          <w:sz w:val="24"/>
          <w:szCs w:val="24"/>
          <w:lang w:val="hu-HU"/>
        </w:rPr>
      </w:pPr>
    </w:p>
    <w:p w14:paraId="799DF31A" w14:textId="77777777" w:rsidR="00E72311" w:rsidRDefault="00E72311" w:rsidP="00E72311">
      <w:pPr>
        <w:rPr>
          <w:sz w:val="24"/>
          <w:szCs w:val="24"/>
          <w:lang w:val="hu-HU"/>
        </w:rPr>
      </w:pPr>
    </w:p>
    <w:tbl>
      <w:tblPr>
        <w:tblStyle w:val="TableNormal1"/>
        <w:tblW w:w="0" w:type="auto"/>
        <w:tblInd w:w="984" w:type="dxa"/>
        <w:tblLayout w:type="fixed"/>
        <w:tblLook w:val="01E0" w:firstRow="1" w:lastRow="1" w:firstColumn="1" w:lastColumn="1" w:noHBand="0" w:noVBand="0"/>
      </w:tblPr>
      <w:tblGrid>
        <w:gridCol w:w="3118"/>
        <w:gridCol w:w="1984"/>
        <w:gridCol w:w="1985"/>
        <w:gridCol w:w="962"/>
      </w:tblGrid>
      <w:tr w:rsidR="00E72311" w:rsidRPr="00BE4D18" w14:paraId="4F00ED6F" w14:textId="77777777" w:rsidTr="004F731A">
        <w:tc>
          <w:tcPr>
            <w:tcW w:w="8049" w:type="dxa"/>
            <w:gridSpan w:val="4"/>
            <w:tcBorders>
              <w:top w:val="single" w:sz="7" w:space="0" w:color="000000"/>
              <w:left w:val="single" w:sz="7" w:space="0" w:color="000000"/>
              <w:bottom w:val="single" w:sz="7" w:space="0" w:color="000000"/>
              <w:right w:val="single" w:sz="7" w:space="0" w:color="000000"/>
            </w:tcBorders>
          </w:tcPr>
          <w:p w14:paraId="3B8429F3" w14:textId="30612746" w:rsidR="00E72311" w:rsidRDefault="00E72311" w:rsidP="00E72311">
            <w:pPr>
              <w:pStyle w:val="TableParagraph"/>
              <w:spacing w:before="3" w:line="252" w:lineRule="exact"/>
              <w:jc w:val="center"/>
              <w:rPr>
                <w:rFonts w:ascii="Times New Roman" w:eastAsia="Times New Roman" w:hAnsi="Times New Roman" w:cs="Times New Roman"/>
                <w:b/>
                <w:bCs/>
                <w:lang w:val="hu-HU"/>
              </w:rPr>
            </w:pPr>
            <w:r>
              <w:rPr>
                <w:rFonts w:ascii="Times New Roman" w:eastAsia="Times New Roman" w:hAnsi="Times New Roman" w:cs="Times New Roman"/>
                <w:b/>
                <w:bCs/>
                <w:lang w:val="hu-HU"/>
              </w:rPr>
              <w:t>30. táblázat</w:t>
            </w:r>
          </w:p>
          <w:p w14:paraId="584A32B5" w14:textId="77777777" w:rsidR="00E72311" w:rsidRDefault="00E72311" w:rsidP="00E72311">
            <w:pPr>
              <w:pStyle w:val="TableParagraph"/>
              <w:spacing w:before="3" w:line="252" w:lineRule="exact"/>
              <w:jc w:val="center"/>
              <w:rPr>
                <w:rFonts w:ascii="Times New Roman" w:eastAsia="Times New Roman" w:hAnsi="Times New Roman" w:cs="Times New Roman"/>
                <w:lang w:val="hu-HU"/>
              </w:rPr>
            </w:pPr>
            <w:r>
              <w:rPr>
                <w:rFonts w:ascii="Times New Roman" w:eastAsia="Times New Roman" w:hAnsi="Times New Roman" w:cs="Times New Roman"/>
                <w:b/>
                <w:bCs/>
                <w:lang w:val="hu-HU"/>
              </w:rPr>
              <w:t>Gyermekkori CD Vizsgálat</w:t>
            </w:r>
          </w:p>
          <w:p w14:paraId="31882505" w14:textId="77777777" w:rsidR="00E72311" w:rsidRDefault="00E72311" w:rsidP="00E72311">
            <w:pPr>
              <w:pStyle w:val="TableParagraph"/>
              <w:spacing w:line="249"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Kortikoszteroidok vagy immunmodulátorok felfüggesztése és fistula-remisszió</w:t>
            </w:r>
          </w:p>
        </w:tc>
      </w:tr>
      <w:tr w:rsidR="00E72311" w14:paraId="100F4C8D" w14:textId="77777777" w:rsidTr="004F731A">
        <w:tc>
          <w:tcPr>
            <w:tcW w:w="3118" w:type="dxa"/>
            <w:tcBorders>
              <w:top w:val="single" w:sz="7" w:space="0" w:color="000000"/>
              <w:left w:val="single" w:sz="7" w:space="0" w:color="000000"/>
              <w:bottom w:val="single" w:sz="7" w:space="0" w:color="000000"/>
              <w:right w:val="single" w:sz="7" w:space="0" w:color="000000"/>
            </w:tcBorders>
          </w:tcPr>
          <w:p w14:paraId="71A19323" w14:textId="77777777" w:rsidR="00E72311" w:rsidRDefault="00E72311" w:rsidP="00E72311">
            <w:pPr>
              <w:rPr>
                <w:lang w:val="hu-HU"/>
              </w:rPr>
            </w:pPr>
          </w:p>
        </w:tc>
        <w:tc>
          <w:tcPr>
            <w:tcW w:w="1984" w:type="dxa"/>
            <w:tcBorders>
              <w:top w:val="single" w:sz="7" w:space="0" w:color="000000"/>
              <w:left w:val="single" w:sz="7" w:space="0" w:color="000000"/>
              <w:bottom w:val="single" w:sz="7" w:space="0" w:color="000000"/>
              <w:right w:val="single" w:sz="7" w:space="0" w:color="000000"/>
            </w:tcBorders>
          </w:tcPr>
          <w:p w14:paraId="5E96A16B" w14:textId="77777777" w:rsidR="00E72311" w:rsidRDefault="00E72311" w:rsidP="00E72311">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Standard dózis</w:t>
            </w:r>
          </w:p>
          <w:p w14:paraId="53BB81E0" w14:textId="77777777" w:rsidR="00E72311" w:rsidRDefault="00E72311" w:rsidP="00E72311">
            <w:pPr>
              <w:pStyle w:val="TableParagraph"/>
              <w:spacing w:before="1" w:line="252" w:lineRule="exact"/>
              <w:jc w:val="center"/>
              <w:rPr>
                <w:rFonts w:ascii="Times New Roman" w:eastAsia="Times New Roman" w:hAnsi="Times New Roman" w:cs="Times New Roman"/>
                <w:lang w:val="hu-HU"/>
              </w:rPr>
            </w:pPr>
            <w:r>
              <w:rPr>
                <w:rFonts w:ascii="Times New Roman" w:eastAsia="Times New Roman" w:hAnsi="Times New Roman" w:cs="Times New Roman"/>
                <w:b/>
                <w:bCs/>
                <w:lang w:val="hu-HU"/>
              </w:rPr>
              <w:t>40/20 mg kéthetente</w:t>
            </w:r>
          </w:p>
        </w:tc>
        <w:tc>
          <w:tcPr>
            <w:tcW w:w="1985" w:type="dxa"/>
            <w:tcBorders>
              <w:top w:val="single" w:sz="7" w:space="0" w:color="000000"/>
              <w:left w:val="single" w:sz="7" w:space="0" w:color="000000"/>
              <w:bottom w:val="single" w:sz="7" w:space="0" w:color="000000"/>
              <w:right w:val="single" w:sz="7" w:space="0" w:color="000000"/>
            </w:tcBorders>
          </w:tcPr>
          <w:p w14:paraId="5B725FD1" w14:textId="77777777" w:rsidR="00E72311" w:rsidRDefault="00E72311" w:rsidP="00E72311">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2"/>
                <w:lang w:val="hu-HU"/>
              </w:rPr>
              <w:t>Alacsony dózis</w:t>
            </w:r>
          </w:p>
          <w:p w14:paraId="4DD2AEEA" w14:textId="77777777" w:rsidR="00E72311" w:rsidRDefault="00E72311" w:rsidP="00E72311">
            <w:pPr>
              <w:pStyle w:val="TableParagraph"/>
              <w:spacing w:before="1" w:line="252" w:lineRule="exact"/>
              <w:jc w:val="center"/>
              <w:rPr>
                <w:rFonts w:ascii="Times New Roman" w:eastAsia="Times New Roman" w:hAnsi="Times New Roman" w:cs="Times New Roman"/>
                <w:lang w:val="hu-HU"/>
              </w:rPr>
            </w:pPr>
            <w:r>
              <w:rPr>
                <w:rFonts w:ascii="Times New Roman" w:eastAsia="Times New Roman" w:hAnsi="Times New Roman" w:cs="Times New Roman"/>
                <w:b/>
                <w:bCs/>
                <w:lang w:val="hu-HU"/>
              </w:rPr>
              <w:t>20/10 mg kéthetente</w:t>
            </w:r>
          </w:p>
        </w:tc>
        <w:tc>
          <w:tcPr>
            <w:tcW w:w="962" w:type="dxa"/>
            <w:tcBorders>
              <w:top w:val="single" w:sz="7" w:space="0" w:color="000000"/>
              <w:left w:val="single" w:sz="7" w:space="0" w:color="000000"/>
              <w:bottom w:val="single" w:sz="7" w:space="0" w:color="000000"/>
              <w:right w:val="single" w:sz="7" w:space="0" w:color="000000"/>
            </w:tcBorders>
          </w:tcPr>
          <w:p w14:paraId="268D269E" w14:textId="77777777" w:rsidR="00E72311" w:rsidRDefault="00E72311" w:rsidP="00E72311">
            <w:pPr>
              <w:pStyle w:val="TableParagraph"/>
              <w:spacing w:line="251" w:lineRule="exact"/>
              <w:jc w:val="center"/>
              <w:rPr>
                <w:rFonts w:ascii="Times New Roman" w:eastAsia="Times New Roman" w:hAnsi="Times New Roman" w:cs="Times New Roman"/>
                <w:sz w:val="14"/>
                <w:szCs w:val="14"/>
                <w:lang w:val="hu-HU"/>
              </w:rPr>
            </w:pPr>
            <w:r>
              <w:rPr>
                <w:rFonts w:ascii="Times New Roman" w:eastAsia="Times New Roman" w:hAnsi="Times New Roman" w:cs="Times New Roman"/>
                <w:b/>
                <w:bCs/>
                <w:lang w:val="hu-HU"/>
              </w:rPr>
              <w:t>P érték</w:t>
            </w:r>
            <w:r w:rsidRPr="009167C6">
              <w:rPr>
                <w:rFonts w:ascii="Times New Roman" w:eastAsia="Times New Roman" w:hAnsi="Times New Roman" w:cs="Times New Roman"/>
                <w:b/>
                <w:bCs/>
                <w:vertAlign w:val="superscript"/>
                <w:lang w:val="hu-HU"/>
              </w:rPr>
              <w:t>1</w:t>
            </w:r>
          </w:p>
        </w:tc>
      </w:tr>
      <w:tr w:rsidR="00E72311" w14:paraId="1C465955" w14:textId="77777777" w:rsidTr="004F731A">
        <w:tc>
          <w:tcPr>
            <w:tcW w:w="3118" w:type="dxa"/>
            <w:tcBorders>
              <w:top w:val="single" w:sz="7" w:space="0" w:color="000000"/>
              <w:left w:val="single" w:sz="7" w:space="0" w:color="000000"/>
              <w:bottom w:val="single" w:sz="7" w:space="0" w:color="000000"/>
              <w:right w:val="single" w:sz="7" w:space="0" w:color="000000"/>
            </w:tcBorders>
          </w:tcPr>
          <w:p w14:paraId="35F865D6" w14:textId="77777777" w:rsidR="00E72311" w:rsidRDefault="00E72311" w:rsidP="00E72311">
            <w:pPr>
              <w:pStyle w:val="TableParagraph"/>
              <w:spacing w:line="251" w:lineRule="exact"/>
              <w:ind w:left="-1"/>
              <w:rPr>
                <w:rFonts w:ascii="Times New Roman" w:eastAsia="Times New Roman" w:hAnsi="Times New Roman" w:cs="Times New Roman"/>
                <w:lang w:val="hu-HU"/>
              </w:rPr>
            </w:pPr>
            <w:r>
              <w:rPr>
                <w:rFonts w:ascii="Times New Roman" w:eastAsia="Times New Roman" w:hAnsi="Times New Roman" w:cs="Times New Roman"/>
                <w:b/>
                <w:bCs/>
                <w:spacing w:val="-1"/>
                <w:lang w:val="hu-HU"/>
              </w:rPr>
              <w:t>Kortikoszteroidok felfüggesztése</w:t>
            </w:r>
          </w:p>
        </w:tc>
        <w:tc>
          <w:tcPr>
            <w:tcW w:w="1984" w:type="dxa"/>
            <w:tcBorders>
              <w:top w:val="single" w:sz="7" w:space="0" w:color="000000"/>
              <w:left w:val="single" w:sz="7" w:space="0" w:color="000000"/>
              <w:bottom w:val="single" w:sz="7" w:space="0" w:color="000000"/>
              <w:right w:val="single" w:sz="7" w:space="0" w:color="000000"/>
            </w:tcBorders>
          </w:tcPr>
          <w:p w14:paraId="15678774" w14:textId="44F70001" w:rsidR="00E72311" w:rsidRDefault="00611FDF" w:rsidP="00E72311">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E72311">
              <w:rPr>
                <w:rFonts w:ascii="Times New Roman" w:eastAsia="Times New Roman" w:hAnsi="Times New Roman" w:cs="Times New Roman"/>
                <w:b/>
                <w:bCs/>
                <w:spacing w:val="-1"/>
                <w:lang w:val="hu-HU"/>
              </w:rPr>
              <w:t>= 33</w:t>
            </w:r>
          </w:p>
        </w:tc>
        <w:tc>
          <w:tcPr>
            <w:tcW w:w="1985" w:type="dxa"/>
            <w:tcBorders>
              <w:top w:val="single" w:sz="7" w:space="0" w:color="000000"/>
              <w:left w:val="single" w:sz="7" w:space="0" w:color="000000"/>
              <w:bottom w:val="single" w:sz="7" w:space="0" w:color="000000"/>
              <w:right w:val="single" w:sz="7" w:space="0" w:color="000000"/>
            </w:tcBorders>
          </w:tcPr>
          <w:p w14:paraId="3FC43645" w14:textId="52C7F9C2" w:rsidR="00E72311" w:rsidRDefault="00611FDF" w:rsidP="00E72311">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E72311">
              <w:rPr>
                <w:rFonts w:ascii="Times New Roman" w:eastAsia="Times New Roman" w:hAnsi="Times New Roman" w:cs="Times New Roman"/>
                <w:b/>
                <w:bCs/>
                <w:spacing w:val="-1"/>
                <w:lang w:val="hu-HU"/>
              </w:rPr>
              <w:t>=38</w:t>
            </w:r>
          </w:p>
        </w:tc>
        <w:tc>
          <w:tcPr>
            <w:tcW w:w="962" w:type="dxa"/>
            <w:tcBorders>
              <w:top w:val="single" w:sz="7" w:space="0" w:color="000000"/>
              <w:left w:val="single" w:sz="7" w:space="0" w:color="000000"/>
              <w:bottom w:val="single" w:sz="7" w:space="0" w:color="000000"/>
              <w:right w:val="single" w:sz="7" w:space="0" w:color="000000"/>
            </w:tcBorders>
          </w:tcPr>
          <w:p w14:paraId="6562D9B1" w14:textId="77777777" w:rsidR="00E72311" w:rsidRDefault="00E72311" w:rsidP="00E72311">
            <w:pPr>
              <w:jc w:val="center"/>
              <w:rPr>
                <w:lang w:val="hu-HU"/>
              </w:rPr>
            </w:pPr>
          </w:p>
        </w:tc>
      </w:tr>
      <w:tr w:rsidR="00E72311" w14:paraId="74C9D34A" w14:textId="77777777" w:rsidTr="004F731A">
        <w:tc>
          <w:tcPr>
            <w:tcW w:w="3118" w:type="dxa"/>
            <w:tcBorders>
              <w:top w:val="single" w:sz="7" w:space="0" w:color="000000"/>
              <w:left w:val="single" w:sz="7" w:space="0" w:color="000000"/>
              <w:bottom w:val="single" w:sz="7" w:space="0" w:color="000000"/>
              <w:right w:val="single" w:sz="7" w:space="0" w:color="000000"/>
            </w:tcBorders>
          </w:tcPr>
          <w:p w14:paraId="51DDD949" w14:textId="77777777" w:rsidR="00E72311" w:rsidRDefault="00E72311" w:rsidP="00E72311">
            <w:pPr>
              <w:pStyle w:val="TableParagraph"/>
              <w:spacing w:line="246" w:lineRule="exact"/>
              <w:ind w:left="-1"/>
              <w:rPr>
                <w:rFonts w:ascii="Times New Roman" w:eastAsia="Times New Roman" w:hAnsi="Times New Roman" w:cs="Times New Roman"/>
                <w:lang w:val="hu-HU"/>
              </w:rPr>
            </w:pPr>
            <w:r>
              <w:rPr>
                <w:rFonts w:ascii="Times New Roman" w:eastAsia="Times New Roman" w:hAnsi="Times New Roman" w:cs="Times New Roman"/>
                <w:lang w:val="hu-HU"/>
              </w:rPr>
              <w:lastRenderedPageBreak/>
              <w:t>26. hét</w:t>
            </w:r>
          </w:p>
        </w:tc>
        <w:tc>
          <w:tcPr>
            <w:tcW w:w="1984" w:type="dxa"/>
            <w:tcBorders>
              <w:top w:val="single" w:sz="7" w:space="0" w:color="000000"/>
              <w:left w:val="single" w:sz="7" w:space="0" w:color="000000"/>
              <w:bottom w:val="single" w:sz="7" w:space="0" w:color="000000"/>
              <w:right w:val="single" w:sz="7" w:space="0" w:color="000000"/>
            </w:tcBorders>
          </w:tcPr>
          <w:p w14:paraId="46E5A354" w14:textId="77777777" w:rsidR="00E72311" w:rsidRDefault="00E72311" w:rsidP="00E72311">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84,8%</w:t>
            </w:r>
          </w:p>
        </w:tc>
        <w:tc>
          <w:tcPr>
            <w:tcW w:w="1985" w:type="dxa"/>
            <w:tcBorders>
              <w:top w:val="single" w:sz="7" w:space="0" w:color="000000"/>
              <w:left w:val="single" w:sz="7" w:space="0" w:color="000000"/>
              <w:bottom w:val="single" w:sz="7" w:space="0" w:color="000000"/>
              <w:right w:val="single" w:sz="7" w:space="0" w:color="000000"/>
            </w:tcBorders>
          </w:tcPr>
          <w:p w14:paraId="72B7B73D" w14:textId="77777777" w:rsidR="00E72311" w:rsidRDefault="00E72311" w:rsidP="00E72311">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65,8%</w:t>
            </w:r>
          </w:p>
        </w:tc>
        <w:tc>
          <w:tcPr>
            <w:tcW w:w="962" w:type="dxa"/>
            <w:tcBorders>
              <w:top w:val="single" w:sz="7" w:space="0" w:color="000000"/>
              <w:left w:val="single" w:sz="7" w:space="0" w:color="000000"/>
              <w:bottom w:val="single" w:sz="7" w:space="0" w:color="000000"/>
              <w:right w:val="single" w:sz="7" w:space="0" w:color="000000"/>
            </w:tcBorders>
          </w:tcPr>
          <w:p w14:paraId="0CFD8451" w14:textId="77777777" w:rsidR="00E72311" w:rsidRDefault="00E72311" w:rsidP="00E72311">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0,066</w:t>
            </w:r>
          </w:p>
        </w:tc>
      </w:tr>
      <w:tr w:rsidR="00E72311" w14:paraId="5ECCC0AD" w14:textId="77777777" w:rsidTr="004F731A">
        <w:tc>
          <w:tcPr>
            <w:tcW w:w="3118" w:type="dxa"/>
            <w:tcBorders>
              <w:top w:val="single" w:sz="7" w:space="0" w:color="000000"/>
              <w:left w:val="single" w:sz="7" w:space="0" w:color="000000"/>
              <w:bottom w:val="single" w:sz="7" w:space="0" w:color="000000"/>
              <w:right w:val="single" w:sz="7" w:space="0" w:color="000000"/>
            </w:tcBorders>
          </w:tcPr>
          <w:p w14:paraId="7DBBC31A" w14:textId="77777777" w:rsidR="00E72311" w:rsidRDefault="00E72311" w:rsidP="00E72311">
            <w:pPr>
              <w:pStyle w:val="TableParagraph"/>
              <w:spacing w:line="246" w:lineRule="exact"/>
              <w:ind w:left="-1"/>
              <w:rPr>
                <w:rFonts w:ascii="Times New Roman" w:eastAsia="Times New Roman" w:hAnsi="Times New Roman" w:cs="Times New Roman"/>
                <w:lang w:val="hu-HU"/>
              </w:rPr>
            </w:pPr>
            <w:r>
              <w:rPr>
                <w:rFonts w:ascii="Times New Roman" w:eastAsia="Times New Roman" w:hAnsi="Times New Roman" w:cs="Times New Roman"/>
                <w:lang w:val="hu-HU"/>
              </w:rPr>
              <w:t>52. hét</w:t>
            </w:r>
          </w:p>
        </w:tc>
        <w:tc>
          <w:tcPr>
            <w:tcW w:w="1984" w:type="dxa"/>
            <w:tcBorders>
              <w:top w:val="single" w:sz="7" w:space="0" w:color="000000"/>
              <w:left w:val="single" w:sz="7" w:space="0" w:color="000000"/>
              <w:bottom w:val="single" w:sz="7" w:space="0" w:color="000000"/>
              <w:right w:val="single" w:sz="7" w:space="0" w:color="000000"/>
            </w:tcBorders>
          </w:tcPr>
          <w:p w14:paraId="2738BB27" w14:textId="77777777" w:rsidR="00E72311" w:rsidRDefault="00E72311" w:rsidP="00E72311">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69,7%</w:t>
            </w:r>
          </w:p>
        </w:tc>
        <w:tc>
          <w:tcPr>
            <w:tcW w:w="1985" w:type="dxa"/>
            <w:tcBorders>
              <w:top w:val="single" w:sz="7" w:space="0" w:color="000000"/>
              <w:left w:val="single" w:sz="7" w:space="0" w:color="000000"/>
              <w:bottom w:val="single" w:sz="7" w:space="0" w:color="000000"/>
              <w:right w:val="single" w:sz="7" w:space="0" w:color="000000"/>
            </w:tcBorders>
          </w:tcPr>
          <w:p w14:paraId="467080A3" w14:textId="77777777" w:rsidR="00E72311" w:rsidRDefault="00E72311" w:rsidP="00E72311">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60,5%</w:t>
            </w:r>
          </w:p>
        </w:tc>
        <w:tc>
          <w:tcPr>
            <w:tcW w:w="962" w:type="dxa"/>
            <w:tcBorders>
              <w:top w:val="single" w:sz="7" w:space="0" w:color="000000"/>
              <w:left w:val="single" w:sz="7" w:space="0" w:color="000000"/>
              <w:bottom w:val="single" w:sz="7" w:space="0" w:color="000000"/>
              <w:right w:val="single" w:sz="7" w:space="0" w:color="000000"/>
            </w:tcBorders>
          </w:tcPr>
          <w:p w14:paraId="6503D344" w14:textId="77777777" w:rsidR="00E72311" w:rsidRDefault="00E72311" w:rsidP="00E72311">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0,420</w:t>
            </w:r>
          </w:p>
        </w:tc>
      </w:tr>
      <w:tr w:rsidR="00E72311" w14:paraId="79AF9BAD" w14:textId="77777777" w:rsidTr="004F731A">
        <w:tc>
          <w:tcPr>
            <w:tcW w:w="3118" w:type="dxa"/>
            <w:tcBorders>
              <w:top w:val="single" w:sz="7" w:space="0" w:color="000000"/>
              <w:left w:val="single" w:sz="7" w:space="0" w:color="000000"/>
              <w:bottom w:val="single" w:sz="7" w:space="0" w:color="000000"/>
              <w:right w:val="single" w:sz="7" w:space="0" w:color="000000"/>
            </w:tcBorders>
          </w:tcPr>
          <w:p w14:paraId="7008990B" w14:textId="77777777" w:rsidR="00E72311" w:rsidRDefault="00E72311" w:rsidP="00E72311">
            <w:pPr>
              <w:pStyle w:val="TableParagraph"/>
              <w:spacing w:line="251" w:lineRule="exact"/>
              <w:ind w:left="-1"/>
              <w:rPr>
                <w:rFonts w:ascii="Times New Roman" w:eastAsia="Times New Roman" w:hAnsi="Times New Roman" w:cs="Times New Roman"/>
                <w:sz w:val="14"/>
                <w:szCs w:val="14"/>
                <w:lang w:val="hu-HU"/>
              </w:rPr>
            </w:pPr>
            <w:r>
              <w:rPr>
                <w:rFonts w:ascii="Times New Roman" w:eastAsia="Times New Roman" w:hAnsi="Times New Roman" w:cs="Times New Roman"/>
                <w:b/>
                <w:bCs/>
                <w:spacing w:val="-1"/>
                <w:lang w:val="hu-HU"/>
              </w:rPr>
              <w:t>Immunomodulátorok felfüggesztése</w:t>
            </w:r>
            <w:r w:rsidRPr="009167C6">
              <w:rPr>
                <w:rFonts w:ascii="Times New Roman" w:eastAsia="Times New Roman" w:hAnsi="Times New Roman" w:cs="Times New Roman"/>
                <w:b/>
                <w:bCs/>
                <w:spacing w:val="-1"/>
                <w:vertAlign w:val="superscript"/>
                <w:lang w:val="hu-HU"/>
              </w:rPr>
              <w:t>2</w:t>
            </w:r>
          </w:p>
        </w:tc>
        <w:tc>
          <w:tcPr>
            <w:tcW w:w="1984" w:type="dxa"/>
            <w:tcBorders>
              <w:top w:val="single" w:sz="7" w:space="0" w:color="000000"/>
              <w:left w:val="single" w:sz="7" w:space="0" w:color="000000"/>
              <w:bottom w:val="single" w:sz="7" w:space="0" w:color="000000"/>
              <w:right w:val="single" w:sz="7" w:space="0" w:color="000000"/>
            </w:tcBorders>
          </w:tcPr>
          <w:p w14:paraId="14E41FED" w14:textId="5CC567AF" w:rsidR="00E72311" w:rsidRDefault="00611FDF" w:rsidP="00E72311">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E72311">
              <w:rPr>
                <w:rFonts w:ascii="Times New Roman" w:eastAsia="Times New Roman" w:hAnsi="Times New Roman" w:cs="Times New Roman"/>
                <w:b/>
                <w:bCs/>
                <w:spacing w:val="-1"/>
                <w:lang w:val="hu-HU"/>
              </w:rPr>
              <w:t>=60</w:t>
            </w:r>
          </w:p>
        </w:tc>
        <w:tc>
          <w:tcPr>
            <w:tcW w:w="1985" w:type="dxa"/>
            <w:tcBorders>
              <w:top w:val="single" w:sz="7" w:space="0" w:color="000000"/>
              <w:left w:val="single" w:sz="7" w:space="0" w:color="000000"/>
              <w:bottom w:val="single" w:sz="7" w:space="0" w:color="000000"/>
              <w:right w:val="single" w:sz="7" w:space="0" w:color="000000"/>
            </w:tcBorders>
          </w:tcPr>
          <w:p w14:paraId="0EA9945A" w14:textId="1C27871C" w:rsidR="00E72311" w:rsidRDefault="00611FDF" w:rsidP="00E72311">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E72311">
              <w:rPr>
                <w:rFonts w:ascii="Times New Roman" w:eastAsia="Times New Roman" w:hAnsi="Times New Roman" w:cs="Times New Roman"/>
                <w:b/>
                <w:bCs/>
                <w:spacing w:val="-1"/>
                <w:lang w:val="hu-HU"/>
              </w:rPr>
              <w:t>=57</w:t>
            </w:r>
          </w:p>
        </w:tc>
        <w:tc>
          <w:tcPr>
            <w:tcW w:w="962" w:type="dxa"/>
            <w:tcBorders>
              <w:top w:val="single" w:sz="7" w:space="0" w:color="000000"/>
              <w:left w:val="single" w:sz="7" w:space="0" w:color="000000"/>
              <w:bottom w:val="single" w:sz="7" w:space="0" w:color="000000"/>
              <w:right w:val="single" w:sz="7" w:space="0" w:color="000000"/>
            </w:tcBorders>
          </w:tcPr>
          <w:p w14:paraId="1AACFE97" w14:textId="77777777" w:rsidR="00E72311" w:rsidRDefault="00E72311" w:rsidP="00E72311">
            <w:pPr>
              <w:jc w:val="center"/>
              <w:rPr>
                <w:lang w:val="hu-HU"/>
              </w:rPr>
            </w:pPr>
          </w:p>
        </w:tc>
      </w:tr>
      <w:tr w:rsidR="00E72311" w14:paraId="0C3AF604" w14:textId="77777777" w:rsidTr="004F731A">
        <w:tc>
          <w:tcPr>
            <w:tcW w:w="3118" w:type="dxa"/>
            <w:tcBorders>
              <w:top w:val="single" w:sz="7" w:space="0" w:color="000000"/>
              <w:left w:val="single" w:sz="7" w:space="0" w:color="000000"/>
              <w:bottom w:val="single" w:sz="7" w:space="0" w:color="000000"/>
              <w:right w:val="single" w:sz="7" w:space="0" w:color="000000"/>
            </w:tcBorders>
          </w:tcPr>
          <w:p w14:paraId="60F43E39" w14:textId="77777777" w:rsidR="00E72311" w:rsidRDefault="00E72311" w:rsidP="00E72311">
            <w:pPr>
              <w:pStyle w:val="TableParagraph"/>
              <w:spacing w:line="246" w:lineRule="exact"/>
              <w:ind w:left="-1"/>
              <w:rPr>
                <w:rFonts w:ascii="Times New Roman" w:eastAsia="Times New Roman" w:hAnsi="Times New Roman" w:cs="Times New Roman"/>
                <w:lang w:val="hu-HU"/>
              </w:rPr>
            </w:pPr>
            <w:r>
              <w:rPr>
                <w:rFonts w:ascii="Times New Roman" w:eastAsia="Times New Roman" w:hAnsi="Times New Roman" w:cs="Times New Roman"/>
                <w:lang w:val="hu-HU"/>
              </w:rPr>
              <w:t>52. hét</w:t>
            </w:r>
          </w:p>
        </w:tc>
        <w:tc>
          <w:tcPr>
            <w:tcW w:w="1984" w:type="dxa"/>
            <w:tcBorders>
              <w:top w:val="single" w:sz="7" w:space="0" w:color="000000"/>
              <w:left w:val="single" w:sz="7" w:space="0" w:color="000000"/>
              <w:bottom w:val="single" w:sz="7" w:space="0" w:color="000000"/>
              <w:right w:val="single" w:sz="7" w:space="0" w:color="000000"/>
            </w:tcBorders>
          </w:tcPr>
          <w:p w14:paraId="1503ECA6" w14:textId="77777777" w:rsidR="00E72311" w:rsidRDefault="00E72311" w:rsidP="00E72311">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30,0%</w:t>
            </w:r>
          </w:p>
        </w:tc>
        <w:tc>
          <w:tcPr>
            <w:tcW w:w="1985" w:type="dxa"/>
            <w:tcBorders>
              <w:top w:val="single" w:sz="7" w:space="0" w:color="000000"/>
              <w:left w:val="single" w:sz="7" w:space="0" w:color="000000"/>
              <w:bottom w:val="single" w:sz="7" w:space="0" w:color="000000"/>
              <w:right w:val="single" w:sz="7" w:space="0" w:color="000000"/>
            </w:tcBorders>
          </w:tcPr>
          <w:p w14:paraId="529A4AE9" w14:textId="77777777" w:rsidR="00E72311" w:rsidRDefault="00E72311" w:rsidP="00E72311">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29,8%</w:t>
            </w:r>
          </w:p>
        </w:tc>
        <w:tc>
          <w:tcPr>
            <w:tcW w:w="962" w:type="dxa"/>
            <w:tcBorders>
              <w:top w:val="single" w:sz="7" w:space="0" w:color="000000"/>
              <w:left w:val="single" w:sz="7" w:space="0" w:color="000000"/>
              <w:bottom w:val="single" w:sz="7" w:space="0" w:color="000000"/>
              <w:right w:val="single" w:sz="7" w:space="0" w:color="000000"/>
            </w:tcBorders>
          </w:tcPr>
          <w:p w14:paraId="0438A5BD" w14:textId="77777777" w:rsidR="00E72311" w:rsidRDefault="00E72311" w:rsidP="00E72311">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0,983</w:t>
            </w:r>
          </w:p>
        </w:tc>
      </w:tr>
      <w:tr w:rsidR="00E72311" w14:paraId="1C3C88D0" w14:textId="77777777" w:rsidTr="004F731A">
        <w:tc>
          <w:tcPr>
            <w:tcW w:w="3118" w:type="dxa"/>
            <w:tcBorders>
              <w:top w:val="single" w:sz="7" w:space="0" w:color="000000"/>
              <w:left w:val="single" w:sz="7" w:space="0" w:color="000000"/>
              <w:bottom w:val="single" w:sz="7" w:space="0" w:color="000000"/>
              <w:right w:val="single" w:sz="7" w:space="0" w:color="000000"/>
            </w:tcBorders>
          </w:tcPr>
          <w:p w14:paraId="4CFCAD53" w14:textId="77777777" w:rsidR="00E72311" w:rsidRDefault="00E72311" w:rsidP="00E72311">
            <w:pPr>
              <w:pStyle w:val="TableParagraph"/>
              <w:spacing w:line="251" w:lineRule="exact"/>
              <w:ind w:left="-1"/>
              <w:rPr>
                <w:rFonts w:ascii="Times New Roman" w:eastAsia="Times New Roman" w:hAnsi="Times New Roman" w:cs="Times New Roman"/>
                <w:sz w:val="14"/>
                <w:szCs w:val="14"/>
                <w:lang w:val="hu-HU"/>
              </w:rPr>
            </w:pPr>
            <w:r>
              <w:rPr>
                <w:rFonts w:ascii="Times New Roman" w:eastAsia="Times New Roman" w:hAnsi="Times New Roman" w:cs="Times New Roman"/>
                <w:b/>
                <w:bCs/>
                <w:spacing w:val="-1"/>
                <w:lang w:val="hu-HU"/>
              </w:rPr>
              <w:t>Fistula-remisszió</w:t>
            </w:r>
            <w:r w:rsidRPr="009167C6">
              <w:rPr>
                <w:rFonts w:ascii="Times New Roman" w:eastAsia="Times New Roman" w:hAnsi="Times New Roman" w:cs="Times New Roman"/>
                <w:b/>
                <w:bCs/>
                <w:spacing w:val="-1"/>
                <w:vertAlign w:val="superscript"/>
                <w:lang w:val="hu-HU"/>
              </w:rPr>
              <w:t>3</w:t>
            </w:r>
          </w:p>
        </w:tc>
        <w:tc>
          <w:tcPr>
            <w:tcW w:w="1984" w:type="dxa"/>
            <w:tcBorders>
              <w:top w:val="single" w:sz="7" w:space="0" w:color="000000"/>
              <w:left w:val="single" w:sz="7" w:space="0" w:color="000000"/>
              <w:bottom w:val="single" w:sz="7" w:space="0" w:color="000000"/>
              <w:right w:val="single" w:sz="7" w:space="0" w:color="000000"/>
            </w:tcBorders>
          </w:tcPr>
          <w:p w14:paraId="149239FF" w14:textId="3376EB2E" w:rsidR="00E72311" w:rsidRDefault="00611FDF" w:rsidP="00E72311">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E72311">
              <w:rPr>
                <w:rFonts w:ascii="Times New Roman" w:eastAsia="Times New Roman" w:hAnsi="Times New Roman" w:cs="Times New Roman"/>
                <w:b/>
                <w:bCs/>
                <w:spacing w:val="-1"/>
                <w:lang w:val="hu-HU"/>
              </w:rPr>
              <w:t>=15</w:t>
            </w:r>
          </w:p>
        </w:tc>
        <w:tc>
          <w:tcPr>
            <w:tcW w:w="1985" w:type="dxa"/>
            <w:tcBorders>
              <w:top w:val="single" w:sz="7" w:space="0" w:color="000000"/>
              <w:left w:val="single" w:sz="7" w:space="0" w:color="000000"/>
              <w:bottom w:val="single" w:sz="7" w:space="0" w:color="000000"/>
              <w:right w:val="single" w:sz="7" w:space="0" w:color="000000"/>
            </w:tcBorders>
          </w:tcPr>
          <w:p w14:paraId="48C7B43E" w14:textId="74290B6A" w:rsidR="00E72311" w:rsidRDefault="00611FDF" w:rsidP="00E72311">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E72311">
              <w:rPr>
                <w:rFonts w:ascii="Times New Roman" w:eastAsia="Times New Roman" w:hAnsi="Times New Roman" w:cs="Times New Roman"/>
                <w:b/>
                <w:bCs/>
                <w:spacing w:val="-1"/>
                <w:lang w:val="hu-HU"/>
              </w:rPr>
              <w:t>=21</w:t>
            </w:r>
          </w:p>
        </w:tc>
        <w:tc>
          <w:tcPr>
            <w:tcW w:w="962" w:type="dxa"/>
            <w:tcBorders>
              <w:top w:val="single" w:sz="7" w:space="0" w:color="000000"/>
              <w:left w:val="single" w:sz="7" w:space="0" w:color="000000"/>
              <w:bottom w:val="single" w:sz="7" w:space="0" w:color="000000"/>
              <w:right w:val="single" w:sz="7" w:space="0" w:color="000000"/>
            </w:tcBorders>
          </w:tcPr>
          <w:p w14:paraId="305A88BD" w14:textId="77777777" w:rsidR="00E72311" w:rsidRDefault="00E72311" w:rsidP="00E72311">
            <w:pPr>
              <w:jc w:val="center"/>
              <w:rPr>
                <w:lang w:val="hu-HU"/>
              </w:rPr>
            </w:pPr>
          </w:p>
        </w:tc>
      </w:tr>
      <w:tr w:rsidR="00E72311" w14:paraId="4F2EAA19" w14:textId="77777777" w:rsidTr="004F731A">
        <w:tc>
          <w:tcPr>
            <w:tcW w:w="3118" w:type="dxa"/>
            <w:tcBorders>
              <w:top w:val="single" w:sz="7" w:space="0" w:color="000000"/>
              <w:left w:val="single" w:sz="7" w:space="0" w:color="000000"/>
              <w:bottom w:val="single" w:sz="7" w:space="0" w:color="000000"/>
              <w:right w:val="single" w:sz="7" w:space="0" w:color="000000"/>
            </w:tcBorders>
          </w:tcPr>
          <w:p w14:paraId="59595858" w14:textId="77777777" w:rsidR="00E72311" w:rsidRDefault="00E72311" w:rsidP="00E72311">
            <w:pPr>
              <w:pStyle w:val="TableParagraph"/>
              <w:spacing w:line="246" w:lineRule="exact"/>
              <w:ind w:left="-1"/>
              <w:rPr>
                <w:rFonts w:ascii="Times New Roman" w:eastAsia="Times New Roman" w:hAnsi="Times New Roman" w:cs="Times New Roman"/>
                <w:lang w:val="hu-HU"/>
              </w:rPr>
            </w:pPr>
            <w:r>
              <w:rPr>
                <w:rFonts w:ascii="Times New Roman" w:eastAsia="Times New Roman" w:hAnsi="Times New Roman" w:cs="Times New Roman"/>
                <w:lang w:val="hu-HU"/>
              </w:rPr>
              <w:t>26. hét</w:t>
            </w:r>
          </w:p>
        </w:tc>
        <w:tc>
          <w:tcPr>
            <w:tcW w:w="1984" w:type="dxa"/>
            <w:tcBorders>
              <w:top w:val="single" w:sz="7" w:space="0" w:color="000000"/>
              <w:left w:val="single" w:sz="7" w:space="0" w:color="000000"/>
              <w:bottom w:val="single" w:sz="7" w:space="0" w:color="000000"/>
              <w:right w:val="single" w:sz="7" w:space="0" w:color="000000"/>
            </w:tcBorders>
          </w:tcPr>
          <w:p w14:paraId="539F1E6E" w14:textId="77777777" w:rsidR="00E72311" w:rsidRDefault="00E72311" w:rsidP="00E72311">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46,7%</w:t>
            </w:r>
          </w:p>
        </w:tc>
        <w:tc>
          <w:tcPr>
            <w:tcW w:w="1985" w:type="dxa"/>
            <w:tcBorders>
              <w:top w:val="single" w:sz="7" w:space="0" w:color="000000"/>
              <w:left w:val="single" w:sz="7" w:space="0" w:color="000000"/>
              <w:bottom w:val="single" w:sz="7" w:space="0" w:color="000000"/>
              <w:right w:val="single" w:sz="7" w:space="0" w:color="000000"/>
            </w:tcBorders>
          </w:tcPr>
          <w:p w14:paraId="1A5F4279" w14:textId="77777777" w:rsidR="00E72311" w:rsidRDefault="00E72311" w:rsidP="00E72311">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38,1%</w:t>
            </w:r>
          </w:p>
        </w:tc>
        <w:tc>
          <w:tcPr>
            <w:tcW w:w="962" w:type="dxa"/>
            <w:tcBorders>
              <w:top w:val="single" w:sz="7" w:space="0" w:color="000000"/>
              <w:left w:val="single" w:sz="7" w:space="0" w:color="000000"/>
              <w:bottom w:val="single" w:sz="7" w:space="0" w:color="000000"/>
              <w:right w:val="single" w:sz="7" w:space="0" w:color="000000"/>
            </w:tcBorders>
          </w:tcPr>
          <w:p w14:paraId="5385CDA2" w14:textId="77777777" w:rsidR="00E72311" w:rsidRDefault="00E72311" w:rsidP="00E72311">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0,608</w:t>
            </w:r>
          </w:p>
        </w:tc>
      </w:tr>
      <w:tr w:rsidR="00E72311" w14:paraId="3B277661" w14:textId="77777777" w:rsidTr="004F731A">
        <w:tc>
          <w:tcPr>
            <w:tcW w:w="3118" w:type="dxa"/>
            <w:tcBorders>
              <w:top w:val="single" w:sz="7" w:space="0" w:color="000000"/>
              <w:left w:val="single" w:sz="7" w:space="0" w:color="000000"/>
              <w:bottom w:val="single" w:sz="5" w:space="0" w:color="000000"/>
              <w:right w:val="single" w:sz="7" w:space="0" w:color="000000"/>
            </w:tcBorders>
          </w:tcPr>
          <w:p w14:paraId="4C4070A6" w14:textId="77777777" w:rsidR="00E72311" w:rsidRDefault="00E72311" w:rsidP="00E72311">
            <w:pPr>
              <w:pStyle w:val="TableParagraph"/>
              <w:spacing w:line="246" w:lineRule="exact"/>
              <w:ind w:left="-1"/>
              <w:rPr>
                <w:rFonts w:ascii="Times New Roman" w:eastAsia="Times New Roman" w:hAnsi="Times New Roman" w:cs="Times New Roman"/>
                <w:lang w:val="hu-HU"/>
              </w:rPr>
            </w:pPr>
            <w:r>
              <w:rPr>
                <w:rFonts w:ascii="Times New Roman" w:eastAsia="Times New Roman" w:hAnsi="Times New Roman" w:cs="Times New Roman"/>
                <w:lang w:val="hu-HU"/>
              </w:rPr>
              <w:t>52. hét</w:t>
            </w:r>
          </w:p>
        </w:tc>
        <w:tc>
          <w:tcPr>
            <w:tcW w:w="1984" w:type="dxa"/>
            <w:tcBorders>
              <w:top w:val="single" w:sz="7" w:space="0" w:color="000000"/>
              <w:left w:val="single" w:sz="7" w:space="0" w:color="000000"/>
              <w:bottom w:val="single" w:sz="5" w:space="0" w:color="000000"/>
              <w:right w:val="single" w:sz="7" w:space="0" w:color="000000"/>
            </w:tcBorders>
          </w:tcPr>
          <w:p w14:paraId="5F2E7BE6" w14:textId="77777777" w:rsidR="00E72311" w:rsidRDefault="00E72311" w:rsidP="00E72311">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40,0%</w:t>
            </w:r>
          </w:p>
        </w:tc>
        <w:tc>
          <w:tcPr>
            <w:tcW w:w="1985" w:type="dxa"/>
            <w:tcBorders>
              <w:top w:val="single" w:sz="7" w:space="0" w:color="000000"/>
              <w:left w:val="single" w:sz="7" w:space="0" w:color="000000"/>
              <w:bottom w:val="single" w:sz="5" w:space="0" w:color="000000"/>
              <w:right w:val="single" w:sz="7" w:space="0" w:color="000000"/>
            </w:tcBorders>
          </w:tcPr>
          <w:p w14:paraId="15542077" w14:textId="77777777" w:rsidR="00E72311" w:rsidRDefault="00E72311" w:rsidP="00E72311">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23,8%</w:t>
            </w:r>
          </w:p>
        </w:tc>
        <w:tc>
          <w:tcPr>
            <w:tcW w:w="962" w:type="dxa"/>
            <w:tcBorders>
              <w:top w:val="single" w:sz="7" w:space="0" w:color="000000"/>
              <w:left w:val="single" w:sz="7" w:space="0" w:color="000000"/>
              <w:bottom w:val="single" w:sz="5" w:space="0" w:color="000000"/>
              <w:right w:val="single" w:sz="7" w:space="0" w:color="000000"/>
            </w:tcBorders>
          </w:tcPr>
          <w:p w14:paraId="576E3D03" w14:textId="77777777" w:rsidR="00E72311" w:rsidRDefault="00E72311" w:rsidP="00E72311">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0,303</w:t>
            </w:r>
          </w:p>
        </w:tc>
      </w:tr>
    </w:tbl>
    <w:p w14:paraId="73F53C5B" w14:textId="77777777" w:rsidR="00E72311" w:rsidRDefault="00E72311" w:rsidP="00E72311">
      <w:pPr>
        <w:pStyle w:val="a3"/>
        <w:numPr>
          <w:ilvl w:val="0"/>
          <w:numId w:val="1"/>
        </w:numPr>
        <w:ind w:left="181" w:hanging="181"/>
        <w:rPr>
          <w:lang w:val="hu-HU"/>
        </w:rPr>
      </w:pPr>
      <w:r>
        <w:rPr>
          <w:rFonts w:eastAsia="Times New Roman"/>
          <w:lang w:val="hu-HU"/>
        </w:rPr>
        <w:t xml:space="preserve">p érték Standard dózis </w:t>
      </w:r>
      <w:r>
        <w:rPr>
          <w:rFonts w:eastAsia="Times New Roman"/>
          <w:i/>
          <w:iCs/>
          <w:lang w:val="hu-HU"/>
        </w:rPr>
        <w:t xml:space="preserve">versus </w:t>
      </w:r>
      <w:r>
        <w:rPr>
          <w:rFonts w:eastAsia="Times New Roman"/>
          <w:lang w:val="hu-HU"/>
        </w:rPr>
        <w:t>alacsony dózis összehasonlítása esetén.</w:t>
      </w:r>
    </w:p>
    <w:p w14:paraId="22195616" w14:textId="77777777" w:rsidR="00E72311" w:rsidRDefault="00E72311" w:rsidP="00E72311">
      <w:pPr>
        <w:pStyle w:val="a3"/>
        <w:numPr>
          <w:ilvl w:val="0"/>
          <w:numId w:val="1"/>
        </w:numPr>
        <w:ind w:left="181" w:hanging="181"/>
        <w:rPr>
          <w:lang w:val="hu-HU"/>
        </w:rPr>
      </w:pPr>
      <w:r>
        <w:rPr>
          <w:rFonts w:eastAsia="Times New Roman"/>
          <w:lang w:val="hu-HU"/>
        </w:rPr>
        <w:t>Az immunszuppresszív kezelést csak a 26. héten vagy azt követően lehetett felfüggeszteni a vizsgáló orvos megítélése alapján, ha a beteg teljesítette a klinikai válasz kritériumait</w:t>
      </w:r>
    </w:p>
    <w:p w14:paraId="41085A8A" w14:textId="77777777" w:rsidR="00E72311" w:rsidRDefault="00E72311" w:rsidP="00E72311">
      <w:pPr>
        <w:pStyle w:val="a3"/>
        <w:numPr>
          <w:ilvl w:val="0"/>
          <w:numId w:val="1"/>
        </w:numPr>
        <w:ind w:left="181" w:hanging="181"/>
        <w:rPr>
          <w:lang w:val="hu-HU"/>
        </w:rPr>
      </w:pPr>
      <w:r>
        <w:rPr>
          <w:rFonts w:eastAsia="Times New Roman"/>
          <w:lang w:val="hu-HU"/>
        </w:rPr>
        <w:t>Meghatározás szerint valamennyi, a vizsgálat megkezdésekor váladékozó fistula záródása legalább 2 egymást követő kontrollvizsgálat alkalmával</w:t>
      </w:r>
    </w:p>
    <w:p w14:paraId="78864416" w14:textId="77777777" w:rsidR="00E72311" w:rsidRDefault="00E72311" w:rsidP="00E72311">
      <w:pPr>
        <w:spacing w:before="8" w:line="170" w:lineRule="exact"/>
        <w:rPr>
          <w:sz w:val="17"/>
          <w:szCs w:val="17"/>
          <w:lang w:val="hu-HU"/>
        </w:rPr>
      </w:pPr>
    </w:p>
    <w:p w14:paraId="51EEE5AB" w14:textId="77777777" w:rsidR="00E72311" w:rsidRDefault="00E72311" w:rsidP="00E72311">
      <w:pPr>
        <w:pStyle w:val="a3"/>
        <w:rPr>
          <w:lang w:val="hu-HU"/>
        </w:rPr>
      </w:pPr>
      <w:r>
        <w:rPr>
          <w:rFonts w:eastAsia="Times New Roman"/>
          <w:lang w:val="hu-HU"/>
        </w:rPr>
        <w:t>Mindkét kezelési csoportban a testtömegindex és a növekedési sebesség kiindulási értékhez viszonyított, statisztikailag szignifikáns emelkedését (javulását) észlelték a 26. és az 52. héten.</w:t>
      </w:r>
    </w:p>
    <w:p w14:paraId="54EDBDB1" w14:textId="77777777" w:rsidR="00E72311" w:rsidRDefault="00E72311" w:rsidP="00E72311">
      <w:pPr>
        <w:spacing w:before="14" w:line="240" w:lineRule="exact"/>
        <w:rPr>
          <w:sz w:val="24"/>
          <w:szCs w:val="24"/>
          <w:lang w:val="hu-HU"/>
        </w:rPr>
      </w:pPr>
    </w:p>
    <w:p w14:paraId="3F9310B5" w14:textId="77777777" w:rsidR="00E72311" w:rsidRDefault="00E72311" w:rsidP="00E72311">
      <w:pPr>
        <w:pStyle w:val="a3"/>
        <w:rPr>
          <w:lang w:val="hu-HU"/>
        </w:rPr>
      </w:pPr>
      <w:r>
        <w:rPr>
          <w:rFonts w:eastAsia="Times New Roman"/>
          <w:lang w:val="hu-HU"/>
        </w:rPr>
        <w:t xml:space="preserve">Mindkét kezelési csoportban az életminőségi paraméterek (köztük az IMPACT </w:t>
      </w:r>
      <w:r w:rsidRPr="009167C6">
        <w:rPr>
          <w:lang w:val="hu-HU"/>
        </w:rPr>
        <w:t> </w:t>
      </w:r>
      <w:r>
        <w:rPr>
          <w:rFonts w:eastAsia="Times New Roman"/>
          <w:lang w:val="hu-HU"/>
        </w:rPr>
        <w:t xml:space="preserve"> III-t) kiindulási értékhez viszonyított, statisztikailag szignifikáns és klinikailag jelentős javulását is megfigyelték.</w:t>
      </w:r>
    </w:p>
    <w:p w14:paraId="07F4CEB1" w14:textId="77777777" w:rsidR="00E72311" w:rsidRDefault="00E72311" w:rsidP="00E72311">
      <w:pPr>
        <w:pStyle w:val="a3"/>
        <w:rPr>
          <w:lang w:val="hu-HU"/>
        </w:rPr>
      </w:pPr>
    </w:p>
    <w:p w14:paraId="55AA1518" w14:textId="77777777" w:rsidR="00E72311" w:rsidRDefault="00E72311" w:rsidP="00E72311">
      <w:pPr>
        <w:pStyle w:val="a3"/>
        <w:rPr>
          <w:lang w:val="hu-HU"/>
        </w:rPr>
      </w:pPr>
      <w:r>
        <w:rPr>
          <w:rFonts w:eastAsia="Times New Roman"/>
          <w:lang w:val="hu-HU"/>
        </w:rPr>
        <w:t>A gyermekkori CD vizsgálatból 100 beteg (n = 100) egy további, nyílt elrendezésű, hosszú távú vizsgálatban vett részt. Az 5 évig tartó adalimumab-kezelés után, a vizsgálatban továbbra is részt vevő 50 beteg 74,0%-ánál (37/50) fennmaradt a klinikai remisszió, és 92%-uk (46/50) adott PCDAI szerinti klinikai választ.</w:t>
      </w:r>
    </w:p>
    <w:p w14:paraId="78F82DC8" w14:textId="74A805CE" w:rsidR="00E72311" w:rsidRDefault="00E72311" w:rsidP="00E72311">
      <w:pPr>
        <w:pStyle w:val="a3"/>
        <w:rPr>
          <w:lang w:val="hu-HU"/>
        </w:rPr>
      </w:pPr>
    </w:p>
    <w:p w14:paraId="71767B32" w14:textId="77777777" w:rsidR="00E72311" w:rsidRPr="00E72311" w:rsidRDefault="00E72311" w:rsidP="00E72311">
      <w:pPr>
        <w:keepNext/>
        <w:widowControl/>
        <w:suppressAutoHyphens/>
        <w:spacing w:line="260" w:lineRule="exact"/>
        <w:rPr>
          <w:rFonts w:ascii="Times New Roman" w:eastAsia="바탕" w:hAnsi="Times New Roman" w:cs="Times New Roman"/>
          <w:bCs/>
          <w:i/>
          <w:szCs w:val="20"/>
          <w:lang w:val="hu-HU" w:eastAsia="hu-HU"/>
        </w:rPr>
      </w:pPr>
      <w:r w:rsidRPr="00E72311">
        <w:rPr>
          <w:rFonts w:ascii="Times New Roman" w:eastAsia="바탕" w:hAnsi="Times New Roman" w:cs="Times New Roman"/>
          <w:i/>
          <w:szCs w:val="20"/>
          <w:lang w:val="hu-HU" w:eastAsia="hu-HU"/>
        </w:rPr>
        <w:t>Gyermek- és serdülőkori colitis ulcerosa</w:t>
      </w:r>
    </w:p>
    <w:p w14:paraId="69611EAE" w14:textId="77777777" w:rsidR="00E72311" w:rsidRPr="00E72311" w:rsidRDefault="00E72311" w:rsidP="00E72311">
      <w:pPr>
        <w:keepNext/>
        <w:widowControl/>
        <w:suppressAutoHyphens/>
        <w:spacing w:line="260" w:lineRule="exact"/>
        <w:rPr>
          <w:rFonts w:ascii="Times New Roman" w:eastAsia="바탕" w:hAnsi="Times New Roman" w:cs="Times New Roman"/>
          <w:bCs/>
          <w:i/>
          <w:szCs w:val="20"/>
          <w:lang w:val="hu-HU" w:eastAsia="hu-HU"/>
        </w:rPr>
      </w:pPr>
    </w:p>
    <w:p w14:paraId="4DE2DA3E" w14:textId="77C5F849" w:rsidR="00E72311" w:rsidRPr="00E72311" w:rsidRDefault="00E72311" w:rsidP="00E72311">
      <w:pPr>
        <w:widowControl/>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A</w:t>
      </w:r>
      <w:r>
        <w:rPr>
          <w:rFonts w:ascii="Times New Roman" w:eastAsia="바탕" w:hAnsi="Times New Roman" w:cs="Times New Roman"/>
          <w:szCs w:val="20"/>
          <w:lang w:val="hu-HU" w:eastAsia="hu-HU"/>
        </w:rPr>
        <w:t>z</w:t>
      </w:r>
      <w:r w:rsidRPr="00E72311">
        <w:rPr>
          <w:rFonts w:ascii="Times New Roman" w:eastAsia="바탕" w:hAnsi="Times New Roman" w:cs="Times New Roman"/>
          <w:szCs w:val="20"/>
          <w:lang w:val="hu-HU" w:eastAsia="hu-HU"/>
        </w:rPr>
        <w:t xml:space="preserve"> </w:t>
      </w:r>
      <w:r>
        <w:rPr>
          <w:rFonts w:ascii="Times New Roman" w:eastAsia="바탕" w:hAnsi="Times New Roman" w:cs="Times New Roman"/>
          <w:szCs w:val="20"/>
          <w:lang w:val="hu-HU" w:eastAsia="hu-HU"/>
        </w:rPr>
        <w:t>adalimumab</w:t>
      </w:r>
      <w:r w:rsidRPr="00E72311">
        <w:rPr>
          <w:rFonts w:ascii="Times New Roman" w:eastAsia="바탕" w:hAnsi="Times New Roman" w:cs="Times New Roman"/>
          <w:szCs w:val="20"/>
          <w:lang w:val="hu-HU" w:eastAsia="hu-HU"/>
        </w:rPr>
        <w:t xml:space="preserve"> biztonságosságát és hatásosságát egy multicentrikus, randomizált, kettős vak vizsgálatban értékelték, 93, közepesen súlyos – súlyos aktivitású colitis ulcerosában szenvedő (Mayo</w:t>
      </w:r>
      <w:r w:rsidRPr="00E72311">
        <w:rPr>
          <w:rFonts w:ascii="Times New Roman" w:eastAsia="바탕" w:hAnsi="Times New Roman" w:cs="Times New Roman"/>
          <w:szCs w:val="20"/>
          <w:lang w:val="hu-HU" w:eastAsia="hu-HU"/>
        </w:rPr>
        <w:noBreakHyphen/>
        <w:t>pontszám 6–12, endoszkópiás alpontszám 2–3, amelyet központilag értékelt endoszkópiával igazoltak), 5–17 éves gyermeknél és serdülőnél, akik nem adtak megfelelő terápiás választ a hagyományos terápiára vagy intolerancia lépett fel azokkal szemben. A vizsgálatban részt vevő betegek körülbelül 16%-ánál sikertelen volt a korábbi anti</w:t>
      </w:r>
      <w:r w:rsidRPr="00E72311">
        <w:rPr>
          <w:rFonts w:ascii="Times New Roman" w:eastAsia="바탕" w:hAnsi="Times New Roman" w:cs="Times New Roman"/>
          <w:szCs w:val="20"/>
          <w:lang w:val="hu-HU" w:eastAsia="hu-HU"/>
        </w:rPr>
        <w:noBreakHyphen/>
        <w:t>TNF</w:t>
      </w:r>
      <w:r w:rsidRPr="00E72311">
        <w:rPr>
          <w:rFonts w:ascii="Times New Roman" w:eastAsia="바탕" w:hAnsi="Times New Roman" w:cs="Times New Roman"/>
          <w:szCs w:val="20"/>
          <w:lang w:val="hu-HU" w:eastAsia="hu-HU"/>
        </w:rPr>
        <w:noBreakHyphen/>
        <w:t>kezelés. Azok a betegek, akik a bevonáskor kortikoszteroidot kaptak, a 4. hét után fokozatosan csökkenthették a kortikoszteroid-kezelést.</w:t>
      </w:r>
    </w:p>
    <w:p w14:paraId="12DB5EFB" w14:textId="77777777" w:rsidR="00E72311" w:rsidRPr="00E72311" w:rsidRDefault="00E72311" w:rsidP="00E72311">
      <w:pPr>
        <w:widowControl/>
        <w:suppressAutoHyphens/>
        <w:spacing w:line="260" w:lineRule="exact"/>
        <w:rPr>
          <w:rFonts w:ascii="Times New Roman" w:eastAsia="바탕" w:hAnsi="Times New Roman" w:cs="Times New Roman"/>
          <w:szCs w:val="20"/>
          <w:lang w:val="hu-HU" w:eastAsia="hu-HU"/>
        </w:rPr>
      </w:pPr>
    </w:p>
    <w:p w14:paraId="04D79097" w14:textId="622170A5" w:rsidR="00E72311" w:rsidRPr="00E72311" w:rsidRDefault="00E72311" w:rsidP="00E72311">
      <w:pPr>
        <w:widowControl/>
        <w:suppressAutoHyphens/>
        <w:spacing w:line="260" w:lineRule="exact"/>
        <w:rPr>
          <w:rFonts w:ascii="Times New Roman" w:eastAsia="바탕" w:hAnsi="Times New Roman" w:cs="Times New Roman"/>
          <w:szCs w:val="20"/>
          <w:shd w:val="clear" w:color="auto" w:fill="FFFFFF"/>
          <w:lang w:val="hu-HU" w:eastAsia="hu-HU"/>
        </w:rPr>
      </w:pPr>
      <w:r w:rsidRPr="00E72311">
        <w:rPr>
          <w:rFonts w:ascii="Times New Roman" w:eastAsia="바탕" w:hAnsi="Times New Roman" w:cs="Times New Roman"/>
          <w:szCs w:val="20"/>
          <w:shd w:val="clear" w:color="auto" w:fill="FFFFFF"/>
          <w:lang w:val="hu-HU" w:eastAsia="hu-HU"/>
        </w:rPr>
        <w:t xml:space="preserve">A vizsgálat indukciós periódusában 77 beteget randomizáltak kettős vak </w:t>
      </w:r>
      <w:r>
        <w:rPr>
          <w:rFonts w:ascii="Times New Roman" w:eastAsia="바탕" w:hAnsi="Times New Roman" w:cs="Times New Roman"/>
          <w:szCs w:val="20"/>
          <w:shd w:val="clear" w:color="auto" w:fill="FFFFFF"/>
          <w:lang w:val="hu-HU" w:eastAsia="hu-HU"/>
        </w:rPr>
        <w:t>adalimumab</w:t>
      </w:r>
      <w:r w:rsidRPr="00E72311">
        <w:rPr>
          <w:rFonts w:ascii="Times New Roman" w:eastAsia="바탕" w:hAnsi="Times New Roman" w:cs="Times New Roman"/>
          <w:szCs w:val="20"/>
          <w:shd w:val="clear" w:color="auto" w:fill="FFFFFF"/>
          <w:lang w:val="hu-HU" w:eastAsia="hu-HU"/>
        </w:rPr>
        <w:t>-kezelésre 3:2 arányban a következő kezelési karokra: így indukciós dózisként a 0. és az 1. héten 2,4 mg/ttkg-os (legfeljebb 160 mg) és a 2. héten 1,2 mg/ttkg-os (legfeljebb 80 mg) adagot; vagy a 0. héten 2,4 mg/ttkg</w:t>
      </w:r>
      <w:r w:rsidRPr="00E72311">
        <w:rPr>
          <w:rFonts w:ascii="Times New Roman" w:eastAsia="바탕" w:hAnsi="Times New Roman" w:cs="Times New Roman"/>
          <w:szCs w:val="20"/>
          <w:shd w:val="clear" w:color="auto" w:fill="FFFFFF"/>
          <w:lang w:val="hu-HU" w:eastAsia="hu-HU"/>
        </w:rPr>
        <w:noBreakHyphen/>
        <w:t>os (legfeljebb 160 mg), az 1. héten placebót és a 2. héten 1,2 mg/ttkg</w:t>
      </w:r>
      <w:r w:rsidRPr="00E72311">
        <w:rPr>
          <w:rFonts w:ascii="Times New Roman" w:eastAsia="바탕" w:hAnsi="Times New Roman" w:cs="Times New Roman"/>
          <w:szCs w:val="20"/>
          <w:shd w:val="clear" w:color="auto" w:fill="FFFFFF"/>
          <w:lang w:val="hu-HU" w:eastAsia="hu-HU"/>
        </w:rPr>
        <w:noBreakHyphen/>
        <w:t xml:space="preserve">os (legfeljebb 80 mg) dózist kaptak. Mindkét csoport 0,6 mg/ttkg-os (legfeljebb 40 mg) dózist kapott a 4. és a 6. héten. A vizsgálati elrendezés módosítását követően az indukciós periódusba bevont további 16 beteg nyílt elrendezésben kapta a </w:t>
      </w:r>
      <w:r>
        <w:rPr>
          <w:rFonts w:ascii="Times New Roman" w:eastAsia="바탕" w:hAnsi="Times New Roman" w:cs="Times New Roman"/>
          <w:szCs w:val="20"/>
          <w:shd w:val="clear" w:color="auto" w:fill="FFFFFF"/>
          <w:lang w:val="hu-HU" w:eastAsia="hu-HU"/>
        </w:rPr>
        <w:t>adalimumab</w:t>
      </w:r>
      <w:r w:rsidRPr="00E72311">
        <w:rPr>
          <w:rFonts w:ascii="Times New Roman" w:eastAsia="바탕" w:hAnsi="Times New Roman" w:cs="Times New Roman"/>
          <w:szCs w:val="20"/>
          <w:shd w:val="clear" w:color="auto" w:fill="FFFFFF"/>
          <w:lang w:val="hu-HU" w:eastAsia="hu-HU"/>
        </w:rPr>
        <w:noBreakHyphen/>
        <w:t>kezelést: a 0. héten és az 1. héten 2,4 mg/ttkg-os (legfeljebb 160 mg), a 2. héten 1,2 mg/ttkg</w:t>
      </w:r>
      <w:r w:rsidRPr="00E72311">
        <w:rPr>
          <w:rFonts w:ascii="Times New Roman" w:eastAsia="바탕" w:hAnsi="Times New Roman" w:cs="Times New Roman"/>
          <w:szCs w:val="20"/>
          <w:shd w:val="clear" w:color="auto" w:fill="FFFFFF"/>
          <w:lang w:val="hu-HU" w:eastAsia="hu-HU"/>
        </w:rPr>
        <w:noBreakHyphen/>
        <w:t>os (legfeljebb 80 mg) indukciós dózissal kezdve.</w:t>
      </w:r>
    </w:p>
    <w:p w14:paraId="5CD29651" w14:textId="77777777" w:rsidR="00E72311" w:rsidRPr="00E72311" w:rsidRDefault="00E72311" w:rsidP="00E72311">
      <w:pPr>
        <w:widowControl/>
        <w:suppressAutoHyphens/>
        <w:spacing w:line="260" w:lineRule="exact"/>
        <w:rPr>
          <w:rFonts w:ascii="Times New Roman" w:eastAsia="바탕" w:hAnsi="Times New Roman" w:cs="Times New Roman"/>
          <w:szCs w:val="20"/>
          <w:lang w:val="hu-HU" w:eastAsia="hu-HU"/>
        </w:rPr>
      </w:pPr>
    </w:p>
    <w:p w14:paraId="15DD9ABD" w14:textId="0122E79E" w:rsidR="00E72311" w:rsidRPr="00E72311" w:rsidRDefault="00E72311" w:rsidP="00E72311">
      <w:pPr>
        <w:widowControl/>
        <w:suppressAutoHyphens/>
        <w:spacing w:line="260" w:lineRule="exact"/>
        <w:rPr>
          <w:rFonts w:ascii="Times New Roman" w:eastAsia="바탕" w:hAnsi="Times New Roman" w:cs="Times New Roman"/>
          <w:szCs w:val="20"/>
          <w:shd w:val="clear" w:color="auto" w:fill="FFFFFF"/>
          <w:lang w:val="hu-HU" w:eastAsia="hu-HU"/>
        </w:rPr>
      </w:pPr>
      <w:r w:rsidRPr="00E72311">
        <w:rPr>
          <w:rFonts w:ascii="Times New Roman" w:eastAsia="바탕" w:hAnsi="Times New Roman" w:cs="Times New Roman"/>
          <w:szCs w:val="20"/>
          <w:shd w:val="clear" w:color="auto" w:fill="FFFFFF"/>
          <w:lang w:val="hu-HU" w:eastAsia="hu-HU"/>
        </w:rPr>
        <w:t xml:space="preserve">A 8. héten 62, a részleges Mayo-pontszám (PMS) szerint klinikai választ mutató (a kiinduláshoz képest a PMS ≥ 2 pontos és ≥ 30%-os csökkenése) beteget randomizáltak egyenlő arányban kettős vak </w:t>
      </w:r>
      <w:r>
        <w:rPr>
          <w:rFonts w:ascii="Times New Roman" w:eastAsia="바탕" w:hAnsi="Times New Roman" w:cs="Times New Roman"/>
          <w:szCs w:val="20"/>
          <w:shd w:val="clear" w:color="auto" w:fill="FFFFFF"/>
          <w:lang w:val="hu-HU" w:eastAsia="hu-HU"/>
        </w:rPr>
        <w:t>adalimumab</w:t>
      </w:r>
      <w:r w:rsidRPr="00E72311">
        <w:rPr>
          <w:rFonts w:ascii="Times New Roman" w:eastAsia="바탕" w:hAnsi="Times New Roman" w:cs="Times New Roman"/>
          <w:szCs w:val="20"/>
          <w:shd w:val="clear" w:color="auto" w:fill="FFFFFF"/>
          <w:lang w:val="hu-HU" w:eastAsia="hu-HU"/>
        </w:rPr>
        <w:t xml:space="preserve"> fenntartó kezelésre: hetente adott 0,6 mg/ttkg</w:t>
      </w:r>
      <w:r w:rsidRPr="00E72311">
        <w:rPr>
          <w:rFonts w:ascii="Times New Roman" w:eastAsia="바탕" w:hAnsi="Times New Roman" w:cs="Times New Roman"/>
          <w:szCs w:val="20"/>
          <w:shd w:val="clear" w:color="auto" w:fill="FFFFFF"/>
          <w:lang w:val="hu-HU" w:eastAsia="hu-HU"/>
        </w:rPr>
        <w:noBreakHyphen/>
        <w:t>os (maximum 40 mg) dózisra, vagy minden második héten adott 0,6 mg/ttkg-os (maximum 40 mg) dózisra. A vizsgálati elrendezés módosítását megelőzően további 12, PMS szerint klinikai választ mutató beteget placebóra randomizáltak, de őket nem vették be a hatásosságot megerősítő elemzésbe.</w:t>
      </w:r>
    </w:p>
    <w:p w14:paraId="7185FB0E" w14:textId="77777777" w:rsidR="00E72311" w:rsidRPr="00E72311" w:rsidRDefault="00E72311" w:rsidP="00E72311">
      <w:pPr>
        <w:widowControl/>
        <w:suppressAutoHyphens/>
        <w:spacing w:line="260" w:lineRule="exact"/>
        <w:rPr>
          <w:rFonts w:ascii="Times New Roman" w:eastAsia="바탕" w:hAnsi="Times New Roman" w:cs="Times New Roman"/>
          <w:szCs w:val="20"/>
          <w:shd w:val="clear" w:color="auto" w:fill="FFFFFF"/>
          <w:lang w:val="hu-HU" w:eastAsia="hu-HU"/>
        </w:rPr>
      </w:pPr>
    </w:p>
    <w:p w14:paraId="3BFD4358" w14:textId="77777777" w:rsidR="00E72311" w:rsidRPr="00E72311" w:rsidRDefault="00E72311" w:rsidP="00E72311">
      <w:pPr>
        <w:widowControl/>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A betegség fellángolását a PMS legalább 3 pontos (a 8. héten 0–2-es PMS pontszámú betegeknél), legalább 2 pontos (a 8. héten 3–4-es PMS pontszámú betegeknél) vagy legalább 1 pontos (a 8. héten 5–6</w:t>
      </w:r>
      <w:r w:rsidRPr="00E72311">
        <w:rPr>
          <w:rFonts w:ascii="Times New Roman" w:eastAsia="바탕" w:hAnsi="Times New Roman" w:cs="Times New Roman"/>
          <w:szCs w:val="20"/>
          <w:lang w:val="hu-HU" w:eastAsia="hu-HU"/>
        </w:rPr>
        <w:noBreakHyphen/>
        <w:t>os pontszámú betegeknél) növekedésével határozták meg.</w:t>
      </w:r>
    </w:p>
    <w:p w14:paraId="7E0D5929" w14:textId="77777777" w:rsidR="00E72311" w:rsidRPr="00E72311" w:rsidRDefault="00E72311" w:rsidP="00E72311">
      <w:pPr>
        <w:widowControl/>
        <w:suppressAutoHyphens/>
        <w:spacing w:line="260" w:lineRule="exact"/>
        <w:rPr>
          <w:rFonts w:ascii="Times New Roman" w:eastAsia="바탕" w:hAnsi="Times New Roman" w:cs="Times New Roman"/>
          <w:szCs w:val="20"/>
          <w:lang w:val="hu-HU" w:eastAsia="hu-HU"/>
        </w:rPr>
      </w:pPr>
    </w:p>
    <w:p w14:paraId="61228410" w14:textId="77777777" w:rsidR="00E72311" w:rsidRPr="00E72311" w:rsidRDefault="00E72311" w:rsidP="00E72311">
      <w:pPr>
        <w:widowControl/>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Azokat a betegeket, akiknél a 12. héten vagy azt követően teljesült a betegség fellángolásának kritériuma, 2,4 mg/ttkg (maximum 160 mg) ismételt indukciós dózisra vagy 0,6 mg/ttkg (legfeljebb 40 mg) dózisra randomizálták, majd a továbbiakban őket a számukra meghatározott fenntartó adagolási sémával kezelték.</w:t>
      </w:r>
    </w:p>
    <w:p w14:paraId="0431318F" w14:textId="77777777" w:rsidR="00E72311" w:rsidRPr="00E72311" w:rsidRDefault="00E72311" w:rsidP="00E72311">
      <w:pPr>
        <w:widowControl/>
        <w:suppressAutoHyphens/>
        <w:spacing w:before="240" w:line="260" w:lineRule="exact"/>
        <w:rPr>
          <w:rFonts w:ascii="Times New Roman" w:eastAsia="바탕" w:hAnsi="Times New Roman" w:cs="Times New Roman"/>
          <w:i/>
          <w:szCs w:val="20"/>
          <w:lang w:val="hu-HU" w:eastAsia="hu-HU"/>
        </w:rPr>
      </w:pPr>
      <w:r w:rsidRPr="00E72311">
        <w:rPr>
          <w:rFonts w:ascii="Times New Roman" w:eastAsia="바탕" w:hAnsi="Times New Roman" w:cs="Times New Roman"/>
          <w:i/>
          <w:szCs w:val="24"/>
          <w:lang w:val="hu-HU" w:eastAsia="hu-HU"/>
        </w:rPr>
        <w:t>Hatásossági eredmények</w:t>
      </w:r>
    </w:p>
    <w:p w14:paraId="6E46E2F5" w14:textId="77777777" w:rsidR="00E72311" w:rsidRPr="00E72311" w:rsidRDefault="00E72311" w:rsidP="00E72311">
      <w:pPr>
        <w:widowControl/>
        <w:suppressAutoHyphens/>
        <w:spacing w:line="260" w:lineRule="exact"/>
        <w:rPr>
          <w:rFonts w:ascii="Times New Roman" w:eastAsia="바탕" w:hAnsi="Times New Roman" w:cs="Times New Roman"/>
          <w:i/>
          <w:szCs w:val="20"/>
          <w:lang w:val="hu-HU" w:eastAsia="hu-HU"/>
        </w:rPr>
      </w:pPr>
    </w:p>
    <w:p w14:paraId="307DD10F" w14:textId="77777777" w:rsidR="00E72311" w:rsidRPr="00E72311" w:rsidRDefault="00E72311" w:rsidP="00E72311">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A vizsgálat elsődleges kompozit végpontjai a következők voltak: a PMS szerinti klinikai remisszió (PMS ≤ 2, és nincs olyan egyedi alpontszám, ami &gt; 1) a 8. héten, és az FMS szerinti (Full Mayo Score) (meghatározva: Mayo-pontszám ≤ 2, és nincs olyan egyedi alpontszám, ami &gt; 1) klinikai remisszió az 52. héten azoknál a betegeknél, akik a 8. héten PMS szerinti klinikai választ értek el.</w:t>
      </w:r>
    </w:p>
    <w:p w14:paraId="65C9F042" w14:textId="77777777" w:rsidR="00E72311" w:rsidRPr="00E72311" w:rsidRDefault="00E72311" w:rsidP="00E72311">
      <w:pPr>
        <w:widowControl/>
        <w:suppressAutoHyphens/>
        <w:spacing w:line="260" w:lineRule="exact"/>
        <w:textAlignment w:val="baseline"/>
        <w:rPr>
          <w:rFonts w:ascii="Times New Roman" w:eastAsia="바탕" w:hAnsi="Times New Roman" w:cs="Times New Roman"/>
          <w:szCs w:val="20"/>
          <w:lang w:val="hu-HU" w:eastAsia="hu-HU"/>
        </w:rPr>
      </w:pPr>
    </w:p>
    <w:p w14:paraId="0F12FC94" w14:textId="011D16B0" w:rsidR="00E72311" w:rsidRPr="00E72311" w:rsidRDefault="00E72311" w:rsidP="00E72311">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 xml:space="preserve">A PMS szerinti klinikai remisszió arányát a 8. héten a </w:t>
      </w:r>
      <w:r>
        <w:rPr>
          <w:rFonts w:ascii="Times New Roman" w:eastAsia="바탕" w:hAnsi="Times New Roman" w:cs="Times New Roman"/>
          <w:szCs w:val="20"/>
          <w:shd w:val="clear" w:color="auto" w:fill="FFFFFF"/>
          <w:lang w:val="hu-HU" w:eastAsia="hu-HU"/>
        </w:rPr>
        <w:t>adalimumab</w:t>
      </w:r>
      <w:r w:rsidRPr="00E72311">
        <w:rPr>
          <w:rFonts w:ascii="Times New Roman" w:eastAsia="바탕" w:hAnsi="Times New Roman" w:cs="Times New Roman"/>
          <w:szCs w:val="20"/>
          <w:shd w:val="clear" w:color="auto" w:fill="FFFFFF"/>
          <w:lang w:val="hu-HU" w:eastAsia="hu-HU"/>
        </w:rPr>
        <w:t xml:space="preserve"> </w:t>
      </w:r>
      <w:r w:rsidRPr="00E72311">
        <w:rPr>
          <w:rFonts w:ascii="Times New Roman" w:eastAsia="바탕" w:hAnsi="Times New Roman" w:cs="Times New Roman"/>
          <w:szCs w:val="20"/>
          <w:lang w:val="hu-HU" w:eastAsia="hu-HU"/>
        </w:rPr>
        <w:t>kettős vak indukciós csoport mindegyikében lévő betegeknél a 31. táblázat mutatja be.</w:t>
      </w:r>
    </w:p>
    <w:p w14:paraId="6670831E" w14:textId="77777777" w:rsidR="00E72311" w:rsidRPr="00E72311" w:rsidRDefault="00E72311" w:rsidP="004E2591">
      <w:pPr>
        <w:keepNext/>
        <w:widowControl/>
        <w:suppressAutoHyphens/>
        <w:spacing w:before="240" w:line="260" w:lineRule="exact"/>
        <w:jc w:val="center"/>
        <w:rPr>
          <w:rFonts w:ascii="Times New Roman" w:eastAsia="바탕" w:hAnsi="Times New Roman" w:cs="Times New Roman"/>
          <w:b/>
          <w:szCs w:val="24"/>
          <w:lang w:val="hu-HU" w:eastAsia="hu-HU"/>
        </w:rPr>
      </w:pPr>
      <w:r w:rsidRPr="00E72311">
        <w:rPr>
          <w:rFonts w:ascii="Times New Roman" w:eastAsia="바탕" w:hAnsi="Times New Roman" w:cs="Times New Roman"/>
          <w:b/>
          <w:szCs w:val="24"/>
          <w:lang w:val="hu-HU" w:eastAsia="hu-HU"/>
        </w:rPr>
        <w:t xml:space="preserve">31. táblázat: A PMS szerint klinikai remisszió 8 hét alatt </w:t>
      </w:r>
    </w:p>
    <w:tbl>
      <w:tblPr>
        <w:tblW w:w="4842" w:type="pct"/>
        <w:jc w:val="center"/>
        <w:tblLook w:val="04A0" w:firstRow="1" w:lastRow="0" w:firstColumn="1" w:lastColumn="0" w:noHBand="0" w:noVBand="1"/>
      </w:tblPr>
      <w:tblGrid>
        <w:gridCol w:w="3157"/>
        <w:gridCol w:w="3035"/>
        <w:gridCol w:w="3089"/>
      </w:tblGrid>
      <w:tr w:rsidR="00E72311" w:rsidRPr="00E72311" w14:paraId="7D6FE561" w14:textId="77777777" w:rsidTr="00CE42DC">
        <w:trPr>
          <w:jc w:val="center"/>
        </w:trPr>
        <w:tc>
          <w:tcPr>
            <w:tcW w:w="1701"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5630F70" w14:textId="77777777" w:rsidR="00E72311" w:rsidRPr="00E72311" w:rsidRDefault="00E72311" w:rsidP="004E2591">
            <w:pPr>
              <w:keepNext/>
              <w:widowControl/>
              <w:suppressAutoHyphens/>
              <w:spacing w:line="260" w:lineRule="exact"/>
              <w:rPr>
                <w:rFonts w:ascii="Times New Roman" w:eastAsia="바탕" w:hAnsi="Times New Roman" w:cs="Times New Roman"/>
                <w:szCs w:val="20"/>
                <w:lang w:val="hu-HU" w:eastAsia="hu-HU"/>
              </w:rPr>
            </w:pPr>
          </w:p>
        </w:tc>
        <w:tc>
          <w:tcPr>
            <w:tcW w:w="1635"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453E0A1" w14:textId="742A0970" w:rsidR="00E72311" w:rsidRPr="00E72311" w:rsidRDefault="00E72311" w:rsidP="004E2591">
            <w:pPr>
              <w:keepNext/>
              <w:widowControl/>
              <w:suppressAutoHyphens/>
              <w:spacing w:line="260" w:lineRule="exact"/>
              <w:jc w:val="center"/>
              <w:textAlignment w:val="baseline"/>
              <w:rPr>
                <w:rFonts w:ascii="Times New Roman" w:eastAsia="바탕" w:hAnsi="Times New Roman" w:cs="Times New Roman"/>
                <w:b/>
                <w:bCs/>
                <w:szCs w:val="20"/>
                <w:lang w:val="hu-HU" w:eastAsia="hu-HU"/>
              </w:rPr>
            </w:pPr>
            <w:r>
              <w:rPr>
                <w:rFonts w:ascii="Times New Roman" w:eastAsia="바탕" w:hAnsi="Times New Roman" w:cs="Times New Roman"/>
                <w:b/>
                <w:bCs/>
                <w:szCs w:val="24"/>
                <w:lang w:val="hu-HU" w:eastAsia="hu-HU"/>
              </w:rPr>
              <w:t>Adalimumab</w:t>
            </w:r>
            <w:r w:rsidRPr="00E72311">
              <w:rPr>
                <w:rFonts w:ascii="Times New Roman" w:eastAsia="바탕" w:hAnsi="Times New Roman" w:cs="Times New Roman"/>
                <w:b/>
                <w:bCs/>
                <w:szCs w:val="24"/>
                <w:vertAlign w:val="superscript"/>
                <w:lang w:val="hu-HU" w:eastAsia="hu-HU"/>
              </w:rPr>
              <w:t>a</w:t>
            </w:r>
            <w:r w:rsidRPr="00E72311">
              <w:rPr>
                <w:rFonts w:ascii="Times New Roman" w:eastAsia="바탕" w:hAnsi="Times New Roman" w:cs="Times New Roman"/>
                <w:b/>
                <w:bCs/>
                <w:sz w:val="24"/>
                <w:szCs w:val="24"/>
                <w:lang w:val="hu-HU" w:eastAsia="hu-HU"/>
              </w:rPr>
              <w:t> </w:t>
            </w:r>
          </w:p>
          <w:p w14:paraId="60DD4904" w14:textId="77777777" w:rsidR="00E72311" w:rsidRPr="00E72311" w:rsidRDefault="00E72311" w:rsidP="004E2591">
            <w:pPr>
              <w:keepNext/>
              <w:widowControl/>
              <w:suppressAutoHyphens/>
              <w:spacing w:line="260" w:lineRule="exact"/>
              <w:jc w:val="center"/>
              <w:rPr>
                <w:rFonts w:ascii="Times New Roman" w:eastAsia="바탕" w:hAnsi="Times New Roman" w:cs="Times New Roman"/>
                <w:b/>
                <w:bCs/>
                <w:szCs w:val="20"/>
                <w:lang w:val="hu-HU" w:eastAsia="hu-HU"/>
              </w:rPr>
            </w:pPr>
            <w:r w:rsidRPr="00E72311">
              <w:rPr>
                <w:rFonts w:ascii="Times New Roman" w:eastAsia="바탕" w:hAnsi="Times New Roman" w:cs="Times New Roman"/>
                <w:b/>
                <w:bCs/>
                <w:szCs w:val="20"/>
                <w:lang w:val="hu-HU" w:eastAsia="hu-HU"/>
              </w:rPr>
              <w:t>Legfeljebb 160 mg a 0. héten / placebo az 1. héten </w:t>
            </w:r>
          </w:p>
          <w:p w14:paraId="24471810" w14:textId="65A7DB30" w:rsidR="00E72311" w:rsidRPr="00E72311" w:rsidRDefault="00611FDF" w:rsidP="004E2591">
            <w:pPr>
              <w:keepNext/>
              <w:widowControl/>
              <w:suppressAutoHyphens/>
              <w:spacing w:line="260" w:lineRule="exact"/>
              <w:jc w:val="center"/>
              <w:rPr>
                <w:rFonts w:ascii="Times New Roman" w:eastAsia="바탕" w:hAnsi="Times New Roman" w:cs="Times New Roman"/>
                <w:szCs w:val="20"/>
                <w:lang w:val="hu-HU" w:eastAsia="hu-HU"/>
              </w:rPr>
            </w:pPr>
            <w:r>
              <w:rPr>
                <w:rFonts w:ascii="Times New Roman" w:eastAsia="바탕" w:hAnsi="Times New Roman" w:cs="Times New Roman"/>
                <w:szCs w:val="20"/>
                <w:lang w:val="hu-HU" w:eastAsia="hu-HU"/>
              </w:rPr>
              <w:t>n</w:t>
            </w:r>
            <w:r w:rsidR="00E72311" w:rsidRPr="00E72311">
              <w:rPr>
                <w:rFonts w:ascii="Times New Roman" w:eastAsia="바탕" w:hAnsi="Times New Roman" w:cs="Times New Roman"/>
                <w:szCs w:val="20"/>
                <w:lang w:val="hu-HU" w:eastAsia="hu-HU"/>
              </w:rPr>
              <w:t>=30</w:t>
            </w:r>
          </w:p>
        </w:tc>
        <w:tc>
          <w:tcPr>
            <w:tcW w:w="1665"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5672F015" w14:textId="08B7F6A8" w:rsidR="00E72311" w:rsidRPr="00E72311" w:rsidRDefault="00E72311" w:rsidP="004E2591">
            <w:pPr>
              <w:keepNext/>
              <w:widowControl/>
              <w:suppressAutoHyphens/>
              <w:spacing w:line="260" w:lineRule="exact"/>
              <w:jc w:val="center"/>
              <w:textAlignment w:val="baseline"/>
              <w:rPr>
                <w:rFonts w:ascii="Times New Roman" w:eastAsia="바탕" w:hAnsi="Times New Roman" w:cs="Times New Roman"/>
                <w:b/>
                <w:bCs/>
                <w:szCs w:val="20"/>
                <w:lang w:val="hu-HU" w:eastAsia="hu-HU"/>
              </w:rPr>
            </w:pPr>
            <w:r>
              <w:rPr>
                <w:rFonts w:ascii="Times New Roman" w:eastAsia="바탕" w:hAnsi="Times New Roman" w:cs="Times New Roman"/>
                <w:b/>
                <w:bCs/>
                <w:szCs w:val="24"/>
                <w:lang w:val="hu-HU" w:eastAsia="hu-HU"/>
              </w:rPr>
              <w:t>Adalimumab</w:t>
            </w:r>
            <w:r w:rsidRPr="00E72311">
              <w:rPr>
                <w:rFonts w:ascii="Times New Roman" w:eastAsia="바탕" w:hAnsi="Times New Roman" w:cs="Times New Roman"/>
                <w:b/>
                <w:bCs/>
                <w:szCs w:val="24"/>
                <w:vertAlign w:val="superscript"/>
                <w:lang w:val="hu-HU" w:eastAsia="hu-HU"/>
              </w:rPr>
              <w:t>b, c</w:t>
            </w:r>
            <w:r w:rsidRPr="00E72311">
              <w:rPr>
                <w:rFonts w:ascii="Times New Roman" w:eastAsia="바탕" w:hAnsi="Times New Roman" w:cs="Times New Roman"/>
                <w:b/>
                <w:bCs/>
                <w:sz w:val="24"/>
                <w:szCs w:val="24"/>
                <w:lang w:val="hu-HU" w:eastAsia="hu-HU"/>
              </w:rPr>
              <w:t> </w:t>
            </w:r>
          </w:p>
          <w:p w14:paraId="12714068" w14:textId="77777777" w:rsidR="00E72311" w:rsidRPr="00E72311" w:rsidRDefault="00E72311" w:rsidP="004E2591">
            <w:pPr>
              <w:keepNext/>
              <w:widowControl/>
              <w:suppressAutoHyphens/>
              <w:spacing w:line="260" w:lineRule="exact"/>
              <w:jc w:val="center"/>
              <w:rPr>
                <w:rFonts w:ascii="Times New Roman" w:eastAsia="바탕" w:hAnsi="Times New Roman" w:cs="Times New Roman"/>
                <w:b/>
                <w:bCs/>
                <w:szCs w:val="20"/>
                <w:lang w:val="hu-HU" w:eastAsia="hu-HU"/>
              </w:rPr>
            </w:pPr>
            <w:r w:rsidRPr="00E72311">
              <w:rPr>
                <w:rFonts w:ascii="Times New Roman" w:eastAsia="바탕" w:hAnsi="Times New Roman" w:cs="Times New Roman"/>
                <w:b/>
                <w:bCs/>
                <w:szCs w:val="20"/>
                <w:lang w:val="hu-HU" w:eastAsia="hu-HU"/>
              </w:rPr>
              <w:t>Legfeljebb 160 mg a 0. és az 1. héten </w:t>
            </w:r>
          </w:p>
          <w:p w14:paraId="1DC0830A" w14:textId="7390C00A" w:rsidR="00E72311" w:rsidRPr="00E72311" w:rsidRDefault="00611FDF" w:rsidP="004E2591">
            <w:pPr>
              <w:keepNext/>
              <w:widowControl/>
              <w:suppressAutoHyphens/>
              <w:spacing w:line="260" w:lineRule="exact"/>
              <w:jc w:val="center"/>
              <w:rPr>
                <w:rFonts w:ascii="Times New Roman" w:eastAsia="바탕" w:hAnsi="Times New Roman" w:cs="Times New Roman"/>
                <w:szCs w:val="20"/>
                <w:lang w:val="hu-HU" w:eastAsia="hu-HU"/>
              </w:rPr>
            </w:pPr>
            <w:r>
              <w:rPr>
                <w:rFonts w:ascii="Times New Roman" w:eastAsia="바탕" w:hAnsi="Times New Roman" w:cs="Times New Roman"/>
                <w:szCs w:val="20"/>
                <w:lang w:val="hu-HU" w:eastAsia="hu-HU"/>
              </w:rPr>
              <w:t>n</w:t>
            </w:r>
            <w:r w:rsidR="00E72311" w:rsidRPr="00E72311">
              <w:rPr>
                <w:rFonts w:ascii="Times New Roman" w:eastAsia="바탕" w:hAnsi="Times New Roman" w:cs="Times New Roman"/>
                <w:szCs w:val="20"/>
                <w:lang w:val="hu-HU" w:eastAsia="hu-HU"/>
              </w:rPr>
              <w:t>=47</w:t>
            </w:r>
          </w:p>
        </w:tc>
      </w:tr>
      <w:tr w:rsidR="00E72311" w:rsidRPr="00E72311" w14:paraId="3DA8A1CE" w14:textId="77777777" w:rsidTr="00CE42DC">
        <w:trPr>
          <w:jc w:val="center"/>
        </w:trPr>
        <w:tc>
          <w:tcPr>
            <w:tcW w:w="1701"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8BFB6C5" w14:textId="77777777" w:rsidR="00E72311" w:rsidRPr="00E72311" w:rsidRDefault="00E72311" w:rsidP="004E2591">
            <w:pPr>
              <w:keepNext/>
              <w:widowControl/>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Klinikai remisszió</w:t>
            </w:r>
          </w:p>
        </w:tc>
        <w:tc>
          <w:tcPr>
            <w:tcW w:w="1635"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7DD37935" w14:textId="77777777" w:rsidR="00E72311" w:rsidRPr="00E72311" w:rsidRDefault="00E72311" w:rsidP="004E2591">
            <w:pPr>
              <w:keepNext/>
              <w:widowControl/>
              <w:suppressAutoHyphens/>
              <w:spacing w:line="260" w:lineRule="exact"/>
              <w:jc w:val="center"/>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13/30 (43,3%)</w:t>
            </w:r>
          </w:p>
        </w:tc>
        <w:tc>
          <w:tcPr>
            <w:tcW w:w="1665"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34DDD7B2" w14:textId="77777777" w:rsidR="00E72311" w:rsidRPr="00E72311" w:rsidRDefault="00E72311" w:rsidP="004E2591">
            <w:pPr>
              <w:keepNext/>
              <w:widowControl/>
              <w:suppressAutoHyphens/>
              <w:spacing w:line="260" w:lineRule="exact"/>
              <w:jc w:val="center"/>
              <w:rPr>
                <w:rFonts w:ascii="Times New Roman" w:eastAsia="바탕" w:hAnsi="Times New Roman" w:cs="Times New Roman"/>
                <w:szCs w:val="20"/>
                <w:vertAlign w:val="superscript"/>
                <w:lang w:val="hu-HU" w:eastAsia="hu-HU"/>
              </w:rPr>
            </w:pPr>
            <w:r w:rsidRPr="00E72311">
              <w:rPr>
                <w:rFonts w:ascii="Times New Roman" w:eastAsia="바탕" w:hAnsi="Times New Roman" w:cs="Times New Roman"/>
                <w:szCs w:val="20"/>
                <w:lang w:val="hu-HU" w:eastAsia="hu-HU"/>
              </w:rPr>
              <w:t>28/47 (59,6%)</w:t>
            </w:r>
          </w:p>
        </w:tc>
      </w:tr>
      <w:tr w:rsidR="00E72311" w:rsidRPr="00BE4D18" w14:paraId="54DE7E68" w14:textId="77777777" w:rsidTr="00CE42DC">
        <w:trPr>
          <w:trHeight w:val="2438"/>
          <w:jc w:val="center"/>
        </w:trPr>
        <w:tc>
          <w:tcPr>
            <w:tcW w:w="5000" w:type="pct"/>
            <w:gridSpan w:val="3"/>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09542305" w14:textId="0B56D645" w:rsidR="00E72311" w:rsidRPr="00E72311" w:rsidRDefault="00E72311" w:rsidP="00E72311">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4"/>
                <w:vertAlign w:val="superscript"/>
                <w:lang w:val="hu-HU" w:eastAsia="hu-HU"/>
              </w:rPr>
              <w:t>a </w:t>
            </w:r>
            <w:r>
              <w:rPr>
                <w:rFonts w:ascii="Times New Roman" w:eastAsia="바탕" w:hAnsi="Times New Roman" w:cs="Times New Roman"/>
                <w:szCs w:val="24"/>
                <w:lang w:val="hu-HU" w:eastAsia="hu-HU"/>
              </w:rPr>
              <w:t>Adalimumab</w:t>
            </w:r>
            <w:r w:rsidRPr="00E72311">
              <w:rPr>
                <w:rFonts w:ascii="Times New Roman" w:eastAsia="바탕" w:hAnsi="Times New Roman" w:cs="Times New Roman"/>
                <w:szCs w:val="24"/>
                <w:lang w:val="hu-HU" w:eastAsia="hu-HU"/>
              </w:rPr>
              <w:t xml:space="preserve"> 2,4 mg/ttkg (legfeljebb 160 mg) a 0. héten, placebo az 1. héten és 1,2 mg/ttkg (legfeljebb 80 mg) a 2. héten</w:t>
            </w:r>
            <w:r w:rsidRPr="00E72311">
              <w:rPr>
                <w:rFonts w:ascii="Times New Roman" w:eastAsia="바탕" w:hAnsi="Times New Roman" w:cs="Times New Roman"/>
                <w:sz w:val="24"/>
                <w:szCs w:val="24"/>
                <w:lang w:val="hu-HU" w:eastAsia="hu-HU"/>
              </w:rPr>
              <w:t> </w:t>
            </w:r>
          </w:p>
          <w:p w14:paraId="7BD03FB8" w14:textId="43054F45" w:rsidR="00E72311" w:rsidRPr="00E72311" w:rsidRDefault="00E72311" w:rsidP="00E72311">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4"/>
                <w:vertAlign w:val="superscript"/>
                <w:lang w:val="hu-HU" w:eastAsia="hu-HU"/>
              </w:rPr>
              <w:t>b </w:t>
            </w:r>
            <w:r>
              <w:rPr>
                <w:rFonts w:ascii="Times New Roman" w:eastAsia="바탕" w:hAnsi="Times New Roman" w:cs="Times New Roman"/>
                <w:szCs w:val="24"/>
                <w:lang w:val="hu-HU" w:eastAsia="hu-HU"/>
              </w:rPr>
              <w:t>Adalimumab</w:t>
            </w:r>
            <w:r w:rsidRPr="00E72311">
              <w:rPr>
                <w:rFonts w:ascii="Times New Roman" w:eastAsia="바탕" w:hAnsi="Times New Roman" w:cs="Times New Roman"/>
                <w:szCs w:val="24"/>
                <w:lang w:val="hu-HU" w:eastAsia="hu-HU"/>
              </w:rPr>
              <w:t xml:space="preserve"> 2,4 mg/ttkg (legfeljebb 160 mg) a 0. és az 1. héten és 1,2 mg/ttkg (legfeljebb 80 mg) a 2. héten</w:t>
            </w:r>
            <w:r w:rsidRPr="00E72311">
              <w:rPr>
                <w:rFonts w:ascii="Times New Roman" w:eastAsia="바탕" w:hAnsi="Times New Roman" w:cs="Times New Roman"/>
                <w:sz w:val="24"/>
                <w:szCs w:val="24"/>
                <w:lang w:val="hu-HU" w:eastAsia="hu-HU"/>
              </w:rPr>
              <w:t> </w:t>
            </w:r>
          </w:p>
          <w:p w14:paraId="7F296BED" w14:textId="108A0E65" w:rsidR="00E72311" w:rsidRPr="00E72311" w:rsidRDefault="00E72311" w:rsidP="00E72311">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4"/>
                <w:vertAlign w:val="superscript"/>
                <w:lang w:val="hu-HU" w:eastAsia="hu-HU"/>
              </w:rPr>
              <w:t>c </w:t>
            </w:r>
            <w:r w:rsidRPr="00E72311">
              <w:rPr>
                <w:rFonts w:ascii="Times New Roman" w:eastAsia="바탕" w:hAnsi="Times New Roman" w:cs="Times New Roman"/>
                <w:szCs w:val="24"/>
                <w:lang w:val="hu-HU" w:eastAsia="hu-HU"/>
              </w:rPr>
              <w:t xml:space="preserve">Nem tartalmazza a nyílt elrendezésű </w:t>
            </w:r>
            <w:r>
              <w:rPr>
                <w:rFonts w:ascii="Times New Roman" w:eastAsia="바탕" w:hAnsi="Times New Roman" w:cs="Times New Roman"/>
                <w:szCs w:val="24"/>
                <w:lang w:val="hu-HU" w:eastAsia="hu-HU"/>
              </w:rPr>
              <w:t>adalimumab</w:t>
            </w:r>
            <w:r w:rsidRPr="00E72311">
              <w:rPr>
                <w:rFonts w:ascii="Times New Roman" w:eastAsia="바탕" w:hAnsi="Times New Roman" w:cs="Times New Roman"/>
                <w:szCs w:val="24"/>
                <w:lang w:val="hu-HU" w:eastAsia="hu-HU"/>
              </w:rPr>
              <w:t xml:space="preserve"> indukciós dózist: 2,4 mg/ttkg (legfeljebb 160 mg) a 0. héten, placebo az 1. héten és 1,2 mg/ttkg (legfeljebb 80 mg) a 2. héten</w:t>
            </w:r>
          </w:p>
          <w:p w14:paraId="731E6D7D" w14:textId="77777777" w:rsidR="00E72311" w:rsidRPr="00E72311" w:rsidRDefault="00E72311" w:rsidP="00E72311">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4"/>
                <w:lang w:val="hu-HU" w:eastAsia="hu-HU"/>
              </w:rPr>
              <w:t>1. megjegyzés: Mindkét indukciós csoport 0,6 mg/ttkg-ot (legfeljebb 40 mg) kapott a 4. és a 6. héten</w:t>
            </w:r>
            <w:r w:rsidRPr="00E72311">
              <w:rPr>
                <w:rFonts w:ascii="Times New Roman" w:eastAsia="바탕" w:hAnsi="Times New Roman" w:cs="Times New Roman"/>
                <w:sz w:val="24"/>
                <w:szCs w:val="24"/>
                <w:lang w:val="hu-HU" w:eastAsia="hu-HU"/>
              </w:rPr>
              <w:t> </w:t>
            </w:r>
          </w:p>
          <w:p w14:paraId="715B4121" w14:textId="77777777" w:rsidR="00E72311" w:rsidRPr="00E72311" w:rsidRDefault="00E72311" w:rsidP="00E72311">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4"/>
                <w:lang w:val="hu-HU" w:eastAsia="hu-HU"/>
              </w:rPr>
              <w:t>2. megjegyzés: A 8. héten hiányzó értékek esetén úgy tekintették, hogy a betegek nem teljesítették a végpontot</w:t>
            </w:r>
            <w:r w:rsidRPr="00E72311">
              <w:rPr>
                <w:rFonts w:ascii="Times New Roman" w:eastAsia="바탕" w:hAnsi="Times New Roman" w:cs="Times New Roman"/>
                <w:sz w:val="24"/>
                <w:szCs w:val="24"/>
                <w:lang w:val="hu-HU" w:eastAsia="hu-HU"/>
              </w:rPr>
              <w:t> </w:t>
            </w:r>
          </w:p>
        </w:tc>
      </w:tr>
    </w:tbl>
    <w:p w14:paraId="76A43983" w14:textId="77777777" w:rsidR="00E72311" w:rsidRPr="00E72311" w:rsidRDefault="00E72311" w:rsidP="00E72311">
      <w:pPr>
        <w:widowControl/>
        <w:suppressAutoHyphens/>
        <w:spacing w:line="260" w:lineRule="exact"/>
        <w:rPr>
          <w:rFonts w:ascii="Times New Roman" w:eastAsia="바탕" w:hAnsi="Times New Roman" w:cs="Times New Roman"/>
          <w:szCs w:val="20"/>
          <w:shd w:val="clear" w:color="auto" w:fill="FFFFFF"/>
          <w:lang w:val="hu-HU" w:eastAsia="hu-HU"/>
        </w:rPr>
      </w:pPr>
    </w:p>
    <w:p w14:paraId="153F5FB6" w14:textId="76323138" w:rsidR="00E72311" w:rsidRPr="00E72311" w:rsidRDefault="00E72311" w:rsidP="00E72311">
      <w:pPr>
        <w:widowControl/>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shd w:val="clear" w:color="auto" w:fill="FFFFFF"/>
          <w:lang w:val="hu-HU" w:eastAsia="hu-HU"/>
        </w:rPr>
        <w:t xml:space="preserve">Az 52. héten értékelték az FMS szerinti klinikai remissziót a 8. héten választ mutatóknál, az FMS szerinti klinikai választ (a Mayo Score ≥ 3 pontos és ≥ 30%-os csökkenése a kiindulási értékhez képest) a 8. héten választ mutatóknál, az FMS szerinti nyálkahártya gyógyulást (Mayo endoszkópiás pontszám ≤ 1) a 8. héten választ mutatóknál, az FMS szerinti klinikai remissziót a 8. héten remisszióban lévő betegeknél, valamint az FMS szerinti kortikoszteroidmentes remisszióban lévők arányát a 8. héten választ mutatóknál azoknak a betegeknek körében, akik kettős vak elrendezésben kéthetente legfeljebb 40 mg/hét (0,6 mg/ttkg) és hetente legfeljebb 40 mg (0,6 mg/ttkg) fenntartó dózis </w:t>
      </w:r>
      <w:r>
        <w:rPr>
          <w:rFonts w:ascii="Times New Roman" w:eastAsia="바탕" w:hAnsi="Times New Roman" w:cs="Times New Roman"/>
          <w:szCs w:val="20"/>
          <w:shd w:val="clear" w:color="auto" w:fill="FFFFFF"/>
          <w:lang w:val="hu-HU" w:eastAsia="hu-HU"/>
        </w:rPr>
        <w:t>adalimumab</w:t>
      </w:r>
      <w:r w:rsidRPr="00E72311">
        <w:rPr>
          <w:rFonts w:ascii="Times New Roman" w:eastAsia="바탕" w:hAnsi="Times New Roman" w:cs="Times New Roman"/>
          <w:szCs w:val="20"/>
          <w:shd w:val="clear" w:color="auto" w:fill="FFFFFF"/>
          <w:lang w:val="hu-HU" w:eastAsia="hu-HU"/>
        </w:rPr>
        <w:t>-t kaptak (32. táblázat). </w:t>
      </w:r>
    </w:p>
    <w:p w14:paraId="3B478C2E" w14:textId="77777777" w:rsidR="00E72311" w:rsidRPr="00E72311" w:rsidRDefault="00E72311" w:rsidP="00E72311">
      <w:pPr>
        <w:widowControl/>
        <w:suppressAutoHyphens/>
        <w:spacing w:line="260" w:lineRule="exact"/>
        <w:rPr>
          <w:rFonts w:ascii="Times New Roman" w:eastAsia="바탕" w:hAnsi="Times New Roman" w:cs="Times New Roman"/>
          <w:szCs w:val="20"/>
          <w:lang w:val="hu-HU" w:eastAsia="hu-HU"/>
        </w:rPr>
      </w:pPr>
    </w:p>
    <w:p w14:paraId="42D989FE" w14:textId="77777777" w:rsidR="00E72311" w:rsidRPr="00E72311" w:rsidRDefault="00E72311" w:rsidP="00E72311">
      <w:pPr>
        <w:keepNext/>
        <w:widowControl/>
        <w:suppressAutoHyphens/>
        <w:spacing w:line="260" w:lineRule="exact"/>
        <w:jc w:val="center"/>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b/>
          <w:szCs w:val="20"/>
          <w:lang w:val="hu-HU" w:eastAsia="hu-HU"/>
        </w:rPr>
        <w:t>32. táblázat: Hatásossági eredmények az 52. héten</w:t>
      </w:r>
      <w:r w:rsidRPr="00E72311">
        <w:rPr>
          <w:rFonts w:ascii="Times New Roman" w:eastAsia="바탕" w:hAnsi="Times New Roman" w:cs="Times New Roman"/>
          <w:szCs w:val="20"/>
          <w:lang w:val="hu-HU" w:eastAsia="hu-HU"/>
        </w:rPr>
        <w:t> </w:t>
      </w:r>
    </w:p>
    <w:p w14:paraId="2E8FA17A" w14:textId="77777777" w:rsidR="00E72311" w:rsidRPr="00E72311" w:rsidRDefault="00E72311" w:rsidP="00E72311">
      <w:pPr>
        <w:keepNext/>
        <w:widowControl/>
        <w:suppressAutoHyphens/>
        <w:spacing w:line="260" w:lineRule="exact"/>
        <w:jc w:val="center"/>
        <w:textAlignment w:val="baseline"/>
        <w:rPr>
          <w:rFonts w:ascii="Times New Roman" w:eastAsia="바탕" w:hAnsi="Times New Roman" w:cs="Times New Roman"/>
          <w:szCs w:val="20"/>
          <w:lang w:val="hu-HU" w:eastAsia="en-GB"/>
        </w:rPr>
      </w:pPr>
    </w:p>
    <w:tbl>
      <w:tblPr>
        <w:tblW w:w="9498"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731"/>
        <w:gridCol w:w="2728"/>
        <w:gridCol w:w="3039"/>
      </w:tblGrid>
      <w:tr w:rsidR="00E72311" w:rsidRPr="00F70E6D" w14:paraId="0431FE76" w14:textId="77777777" w:rsidTr="004F731A">
        <w:trPr>
          <w:trHeight w:val="912"/>
          <w:jc w:val="center"/>
        </w:trPr>
        <w:tc>
          <w:tcPr>
            <w:tcW w:w="3731" w:type="dxa"/>
            <w:tcBorders>
              <w:top w:val="single" w:sz="6" w:space="0" w:color="auto"/>
              <w:left w:val="single" w:sz="6" w:space="0" w:color="auto"/>
              <w:bottom w:val="single" w:sz="6" w:space="0" w:color="auto"/>
              <w:right w:val="single" w:sz="6" w:space="0" w:color="auto"/>
            </w:tcBorders>
            <w:hideMark/>
          </w:tcPr>
          <w:p w14:paraId="573294BE" w14:textId="77777777" w:rsidR="00E72311" w:rsidRPr="00E72311" w:rsidRDefault="00E72311" w:rsidP="00E72311">
            <w:pPr>
              <w:keepNext/>
              <w:widowControl/>
              <w:suppressAutoHyphens/>
              <w:spacing w:line="260" w:lineRule="exact"/>
              <w:jc w:val="center"/>
              <w:textAlignment w:val="baseline"/>
              <w:rPr>
                <w:rFonts w:ascii="Times New Roman" w:eastAsia="바탕" w:hAnsi="Times New Roman" w:cs="Times New Roman"/>
                <w:szCs w:val="20"/>
                <w:lang w:val="hu-HU" w:eastAsia="en-GB"/>
              </w:rPr>
            </w:pPr>
          </w:p>
        </w:tc>
        <w:tc>
          <w:tcPr>
            <w:tcW w:w="2728" w:type="dxa"/>
            <w:tcBorders>
              <w:top w:val="single" w:sz="6" w:space="0" w:color="auto"/>
              <w:left w:val="nil"/>
              <w:bottom w:val="single" w:sz="6" w:space="0" w:color="auto"/>
              <w:right w:val="single" w:sz="6" w:space="0" w:color="auto"/>
            </w:tcBorders>
            <w:vAlign w:val="center"/>
            <w:hideMark/>
          </w:tcPr>
          <w:p w14:paraId="4A812B8B" w14:textId="6EBE2AA5" w:rsidR="00E72311" w:rsidRPr="00E72311" w:rsidRDefault="00E72311" w:rsidP="00E72311">
            <w:pPr>
              <w:keepNext/>
              <w:widowControl/>
              <w:suppressAutoHyphens/>
              <w:spacing w:line="260" w:lineRule="exact"/>
              <w:jc w:val="center"/>
              <w:textAlignment w:val="baseline"/>
              <w:rPr>
                <w:rFonts w:ascii="Times New Roman" w:eastAsia="바탕" w:hAnsi="Times New Roman" w:cs="Times New Roman"/>
                <w:szCs w:val="20"/>
                <w:lang w:val="hu-HU" w:eastAsia="hu-HU"/>
              </w:rPr>
            </w:pPr>
            <w:r>
              <w:rPr>
                <w:rFonts w:ascii="Times New Roman" w:eastAsia="바탕" w:hAnsi="Times New Roman" w:cs="Times New Roman"/>
                <w:b/>
                <w:szCs w:val="20"/>
                <w:lang w:val="hu-HU" w:eastAsia="hu-HU"/>
              </w:rPr>
              <w:t>Adalimumab</w:t>
            </w:r>
            <w:r w:rsidRPr="00E72311">
              <w:rPr>
                <w:rFonts w:ascii="Times New Roman" w:eastAsia="바탕" w:hAnsi="Times New Roman" w:cs="Times New Roman"/>
                <w:b/>
                <w:szCs w:val="20"/>
                <w:vertAlign w:val="superscript"/>
                <w:lang w:val="hu-HU" w:eastAsia="hu-HU"/>
              </w:rPr>
              <w:t>a</w:t>
            </w:r>
            <w:r w:rsidRPr="00E72311">
              <w:rPr>
                <w:rFonts w:ascii="Times New Roman" w:eastAsia="바탕" w:hAnsi="Times New Roman" w:cs="Times New Roman"/>
                <w:b/>
                <w:szCs w:val="20"/>
                <w:lang w:val="hu-HU" w:eastAsia="hu-HU"/>
              </w:rPr>
              <w:t> </w:t>
            </w:r>
            <w:r w:rsidRPr="00E72311">
              <w:rPr>
                <w:rFonts w:ascii="Times New Roman" w:eastAsia="바탕" w:hAnsi="Times New Roman" w:cs="Times New Roman"/>
                <w:szCs w:val="20"/>
                <w:lang w:val="hu-HU" w:eastAsia="hu-HU"/>
              </w:rPr>
              <w:t> </w:t>
            </w:r>
          </w:p>
          <w:p w14:paraId="58704A43" w14:textId="77777777" w:rsidR="00E72311" w:rsidRPr="00E72311" w:rsidRDefault="00E72311" w:rsidP="00E72311">
            <w:pPr>
              <w:keepNext/>
              <w:widowControl/>
              <w:suppressAutoHyphens/>
              <w:spacing w:line="260" w:lineRule="exact"/>
              <w:jc w:val="center"/>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b/>
                <w:bCs/>
                <w:szCs w:val="20"/>
                <w:lang w:val="hu-HU" w:eastAsia="hu-HU"/>
              </w:rPr>
              <w:t>Legfeljebb 40 mg kéthetente </w:t>
            </w:r>
          </w:p>
          <w:p w14:paraId="66DDD337" w14:textId="1324264A" w:rsidR="00E72311" w:rsidRPr="00E72311" w:rsidRDefault="00611FDF" w:rsidP="00E72311">
            <w:pPr>
              <w:keepNext/>
              <w:widowControl/>
              <w:suppressAutoHyphens/>
              <w:spacing w:line="260" w:lineRule="exact"/>
              <w:jc w:val="center"/>
              <w:textAlignment w:val="baseline"/>
              <w:rPr>
                <w:rFonts w:ascii="Times New Roman" w:eastAsia="바탕" w:hAnsi="Times New Roman" w:cs="Times New Roman"/>
                <w:szCs w:val="20"/>
                <w:lang w:val="hu-HU" w:eastAsia="hu-HU"/>
              </w:rPr>
            </w:pPr>
            <w:r>
              <w:rPr>
                <w:rFonts w:ascii="Times New Roman" w:eastAsia="바탕" w:hAnsi="Times New Roman" w:cs="Times New Roman"/>
                <w:szCs w:val="20"/>
                <w:lang w:val="hu-HU" w:eastAsia="hu-HU"/>
              </w:rPr>
              <w:t>n</w:t>
            </w:r>
            <w:r w:rsidR="00E72311" w:rsidRPr="00E72311">
              <w:rPr>
                <w:rFonts w:ascii="Times New Roman" w:eastAsia="바탕" w:hAnsi="Times New Roman" w:cs="Times New Roman"/>
                <w:szCs w:val="20"/>
                <w:lang w:val="hu-HU" w:eastAsia="hu-HU"/>
              </w:rPr>
              <w:t>=31</w:t>
            </w:r>
          </w:p>
        </w:tc>
        <w:tc>
          <w:tcPr>
            <w:tcW w:w="3039" w:type="dxa"/>
            <w:tcBorders>
              <w:top w:val="single" w:sz="6" w:space="0" w:color="auto"/>
              <w:left w:val="nil"/>
              <w:bottom w:val="single" w:sz="6" w:space="0" w:color="auto"/>
              <w:right w:val="single" w:sz="6" w:space="0" w:color="auto"/>
            </w:tcBorders>
            <w:vAlign w:val="center"/>
            <w:hideMark/>
          </w:tcPr>
          <w:p w14:paraId="66FCCDE1" w14:textId="3363944A" w:rsidR="00E72311" w:rsidRPr="00E72311" w:rsidRDefault="00E72311" w:rsidP="00E72311">
            <w:pPr>
              <w:keepNext/>
              <w:widowControl/>
              <w:suppressAutoHyphens/>
              <w:spacing w:line="260" w:lineRule="exact"/>
              <w:jc w:val="center"/>
              <w:textAlignment w:val="baseline"/>
              <w:rPr>
                <w:rFonts w:ascii="Times New Roman" w:eastAsia="바탕" w:hAnsi="Times New Roman" w:cs="Times New Roman"/>
                <w:szCs w:val="20"/>
                <w:lang w:val="hu-HU" w:eastAsia="hu-HU"/>
              </w:rPr>
            </w:pPr>
            <w:r>
              <w:rPr>
                <w:rFonts w:ascii="Times New Roman" w:eastAsia="바탕" w:hAnsi="Times New Roman" w:cs="Times New Roman"/>
                <w:b/>
                <w:szCs w:val="20"/>
                <w:lang w:val="hu-HU" w:eastAsia="hu-HU"/>
              </w:rPr>
              <w:t>Adalimumab</w:t>
            </w:r>
            <w:r w:rsidRPr="00E72311">
              <w:rPr>
                <w:rFonts w:ascii="Times New Roman" w:eastAsia="바탕" w:hAnsi="Times New Roman" w:cs="Times New Roman"/>
                <w:b/>
                <w:szCs w:val="20"/>
                <w:vertAlign w:val="superscript"/>
                <w:lang w:val="hu-HU" w:eastAsia="hu-HU"/>
              </w:rPr>
              <w:t>b</w:t>
            </w:r>
            <w:r w:rsidRPr="00E72311">
              <w:rPr>
                <w:rFonts w:ascii="Times New Roman" w:eastAsia="바탕" w:hAnsi="Times New Roman" w:cs="Times New Roman"/>
                <w:b/>
                <w:szCs w:val="20"/>
                <w:lang w:val="hu-HU" w:eastAsia="hu-HU"/>
              </w:rPr>
              <w:t> </w:t>
            </w:r>
            <w:r w:rsidRPr="00E72311">
              <w:rPr>
                <w:rFonts w:ascii="Times New Roman" w:eastAsia="바탕" w:hAnsi="Times New Roman" w:cs="Times New Roman"/>
                <w:szCs w:val="20"/>
                <w:lang w:val="hu-HU" w:eastAsia="hu-HU"/>
              </w:rPr>
              <w:t> </w:t>
            </w:r>
          </w:p>
          <w:p w14:paraId="0B7315F8" w14:textId="77777777" w:rsidR="00E72311" w:rsidRPr="00E72311" w:rsidRDefault="00E72311" w:rsidP="00E72311">
            <w:pPr>
              <w:keepNext/>
              <w:widowControl/>
              <w:suppressAutoHyphens/>
              <w:spacing w:line="260" w:lineRule="exact"/>
              <w:jc w:val="center"/>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b/>
                <w:bCs/>
                <w:szCs w:val="20"/>
                <w:lang w:val="hu-HU" w:eastAsia="hu-HU"/>
              </w:rPr>
              <w:t>Legfeljebb 40 mg hetente</w:t>
            </w:r>
            <w:r w:rsidRPr="00E72311">
              <w:rPr>
                <w:rFonts w:ascii="Times New Roman" w:eastAsia="바탕" w:hAnsi="Times New Roman" w:cs="Times New Roman"/>
                <w:szCs w:val="20"/>
                <w:lang w:val="hu-HU" w:eastAsia="hu-HU"/>
              </w:rPr>
              <w:t> </w:t>
            </w:r>
          </w:p>
          <w:p w14:paraId="591E8DC7" w14:textId="6CDD92A9" w:rsidR="00E72311" w:rsidRPr="00E72311" w:rsidRDefault="00611FDF" w:rsidP="00E72311">
            <w:pPr>
              <w:keepNext/>
              <w:widowControl/>
              <w:suppressAutoHyphens/>
              <w:spacing w:line="260" w:lineRule="exact"/>
              <w:jc w:val="center"/>
              <w:textAlignment w:val="baseline"/>
              <w:rPr>
                <w:rFonts w:ascii="Times New Roman" w:eastAsia="바탕" w:hAnsi="Times New Roman" w:cs="Times New Roman"/>
                <w:szCs w:val="20"/>
                <w:lang w:val="hu-HU" w:eastAsia="hu-HU"/>
              </w:rPr>
            </w:pPr>
            <w:r>
              <w:rPr>
                <w:rFonts w:ascii="Times New Roman" w:eastAsia="바탕" w:hAnsi="Times New Roman" w:cs="Times New Roman"/>
                <w:szCs w:val="20"/>
                <w:lang w:val="hu-HU" w:eastAsia="hu-HU"/>
              </w:rPr>
              <w:t>n</w:t>
            </w:r>
            <w:r w:rsidR="00E72311" w:rsidRPr="00E72311">
              <w:rPr>
                <w:rFonts w:ascii="Times New Roman" w:eastAsia="바탕" w:hAnsi="Times New Roman" w:cs="Times New Roman"/>
                <w:szCs w:val="20"/>
                <w:lang w:val="hu-HU" w:eastAsia="hu-HU"/>
              </w:rPr>
              <w:t>=31</w:t>
            </w:r>
          </w:p>
        </w:tc>
      </w:tr>
      <w:tr w:rsidR="00E72311" w:rsidRPr="00E72311" w14:paraId="45DD682D" w14:textId="77777777" w:rsidTr="004F731A">
        <w:trPr>
          <w:trHeight w:val="570"/>
          <w:jc w:val="center"/>
        </w:trPr>
        <w:tc>
          <w:tcPr>
            <w:tcW w:w="3731" w:type="dxa"/>
            <w:tcBorders>
              <w:top w:val="nil"/>
              <w:left w:val="single" w:sz="6" w:space="0" w:color="auto"/>
              <w:bottom w:val="single" w:sz="6" w:space="0" w:color="auto"/>
              <w:right w:val="single" w:sz="6" w:space="0" w:color="auto"/>
            </w:tcBorders>
            <w:vAlign w:val="center"/>
            <w:hideMark/>
          </w:tcPr>
          <w:p w14:paraId="0CFBAF51" w14:textId="50687F17" w:rsidR="00E72311" w:rsidRPr="00E72311" w:rsidRDefault="00E72311" w:rsidP="00E72311">
            <w:pPr>
              <w:keepNext/>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 xml:space="preserve">Klinikai remisszió a 8. héten PMS szerint </w:t>
            </w:r>
            <w:r w:rsidRPr="00E72311">
              <w:rPr>
                <w:rFonts w:ascii="Times New Roman" w:eastAsia="바탕" w:hAnsi="Times New Roman" w:cs="Times New Roman"/>
                <w:szCs w:val="20"/>
                <w:shd w:val="clear" w:color="auto" w:fill="FFFFFF"/>
                <w:lang w:val="hu-HU" w:eastAsia="hu-HU"/>
              </w:rPr>
              <w:t>választ mutatóknál</w:t>
            </w:r>
          </w:p>
        </w:tc>
        <w:tc>
          <w:tcPr>
            <w:tcW w:w="2728" w:type="dxa"/>
            <w:tcBorders>
              <w:top w:val="nil"/>
              <w:left w:val="nil"/>
              <w:bottom w:val="single" w:sz="6" w:space="0" w:color="auto"/>
              <w:right w:val="single" w:sz="6" w:space="0" w:color="auto"/>
            </w:tcBorders>
            <w:vAlign w:val="center"/>
            <w:hideMark/>
          </w:tcPr>
          <w:p w14:paraId="2E815D9D" w14:textId="77777777" w:rsidR="00E72311" w:rsidRPr="00E72311" w:rsidRDefault="00E72311" w:rsidP="00E72311">
            <w:pPr>
              <w:keepNext/>
              <w:widowControl/>
              <w:suppressAutoHyphens/>
              <w:spacing w:line="260" w:lineRule="exact"/>
              <w:jc w:val="center"/>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9/31 (29,0%) </w:t>
            </w:r>
          </w:p>
        </w:tc>
        <w:tc>
          <w:tcPr>
            <w:tcW w:w="3039" w:type="dxa"/>
            <w:tcBorders>
              <w:top w:val="nil"/>
              <w:left w:val="nil"/>
              <w:bottom w:val="single" w:sz="6" w:space="0" w:color="auto"/>
              <w:right w:val="single" w:sz="6" w:space="0" w:color="auto"/>
            </w:tcBorders>
            <w:vAlign w:val="center"/>
            <w:hideMark/>
          </w:tcPr>
          <w:p w14:paraId="33F129CD" w14:textId="77777777" w:rsidR="00E72311" w:rsidRPr="00E72311" w:rsidRDefault="00E72311" w:rsidP="00E72311">
            <w:pPr>
              <w:keepNext/>
              <w:widowControl/>
              <w:suppressAutoHyphens/>
              <w:spacing w:line="260" w:lineRule="exact"/>
              <w:jc w:val="center"/>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14/31 (45,2%)</w:t>
            </w:r>
          </w:p>
        </w:tc>
      </w:tr>
      <w:tr w:rsidR="00E72311" w:rsidRPr="00E72311" w14:paraId="1C39F67A" w14:textId="77777777" w:rsidTr="004F731A">
        <w:trPr>
          <w:trHeight w:val="555"/>
          <w:jc w:val="center"/>
        </w:trPr>
        <w:tc>
          <w:tcPr>
            <w:tcW w:w="3731" w:type="dxa"/>
            <w:tcBorders>
              <w:top w:val="nil"/>
              <w:left w:val="single" w:sz="6" w:space="0" w:color="auto"/>
              <w:bottom w:val="single" w:sz="6" w:space="0" w:color="auto"/>
              <w:right w:val="single" w:sz="6" w:space="0" w:color="auto"/>
            </w:tcBorders>
            <w:vAlign w:val="center"/>
            <w:hideMark/>
          </w:tcPr>
          <w:p w14:paraId="59F263DB" w14:textId="1AD344AB" w:rsidR="00E72311" w:rsidRPr="00E72311" w:rsidRDefault="00E72311" w:rsidP="00E72311">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 xml:space="preserve">Klinikai válasz a 8. héten  PMS szerint </w:t>
            </w:r>
            <w:r w:rsidRPr="00E72311">
              <w:rPr>
                <w:rFonts w:ascii="Times New Roman" w:eastAsia="바탕" w:hAnsi="Times New Roman" w:cs="Times New Roman"/>
                <w:szCs w:val="20"/>
                <w:shd w:val="clear" w:color="auto" w:fill="FFFFFF"/>
                <w:lang w:val="hu-HU" w:eastAsia="hu-HU"/>
              </w:rPr>
              <w:t>választ mutatóknál</w:t>
            </w:r>
            <w:r w:rsidRPr="00E72311">
              <w:rPr>
                <w:rFonts w:ascii="Times New Roman" w:eastAsia="바탕" w:hAnsi="Times New Roman" w:cs="Times New Roman"/>
                <w:szCs w:val="20"/>
                <w:lang w:val="hu-HU" w:eastAsia="hu-HU"/>
              </w:rPr>
              <w:t> </w:t>
            </w:r>
          </w:p>
        </w:tc>
        <w:tc>
          <w:tcPr>
            <w:tcW w:w="2728" w:type="dxa"/>
            <w:tcBorders>
              <w:top w:val="nil"/>
              <w:left w:val="nil"/>
              <w:bottom w:val="single" w:sz="6" w:space="0" w:color="auto"/>
              <w:right w:val="single" w:sz="6" w:space="0" w:color="auto"/>
            </w:tcBorders>
            <w:vAlign w:val="center"/>
            <w:hideMark/>
          </w:tcPr>
          <w:p w14:paraId="42EDBCC6" w14:textId="77777777" w:rsidR="00E72311" w:rsidRPr="00E72311" w:rsidRDefault="00E72311" w:rsidP="00E72311">
            <w:pPr>
              <w:widowControl/>
              <w:suppressAutoHyphens/>
              <w:spacing w:line="260" w:lineRule="exact"/>
              <w:jc w:val="center"/>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19/31 (61,3%) </w:t>
            </w:r>
          </w:p>
        </w:tc>
        <w:tc>
          <w:tcPr>
            <w:tcW w:w="3039" w:type="dxa"/>
            <w:tcBorders>
              <w:top w:val="nil"/>
              <w:left w:val="nil"/>
              <w:bottom w:val="single" w:sz="6" w:space="0" w:color="auto"/>
              <w:right w:val="single" w:sz="6" w:space="0" w:color="auto"/>
            </w:tcBorders>
            <w:vAlign w:val="center"/>
            <w:hideMark/>
          </w:tcPr>
          <w:p w14:paraId="356FC734" w14:textId="77777777" w:rsidR="00E72311" w:rsidRPr="00E72311" w:rsidRDefault="00E72311" w:rsidP="00E72311">
            <w:pPr>
              <w:widowControl/>
              <w:suppressAutoHyphens/>
              <w:spacing w:line="260" w:lineRule="exact"/>
              <w:jc w:val="center"/>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21/31 (67,7%) </w:t>
            </w:r>
          </w:p>
        </w:tc>
      </w:tr>
      <w:tr w:rsidR="00E72311" w:rsidRPr="00E72311" w14:paraId="2C83DA73" w14:textId="77777777" w:rsidTr="004F731A">
        <w:trPr>
          <w:jc w:val="center"/>
        </w:trPr>
        <w:tc>
          <w:tcPr>
            <w:tcW w:w="3731" w:type="dxa"/>
            <w:tcBorders>
              <w:top w:val="nil"/>
              <w:left w:val="single" w:sz="6" w:space="0" w:color="auto"/>
              <w:bottom w:val="single" w:sz="6" w:space="0" w:color="auto"/>
              <w:right w:val="single" w:sz="6" w:space="0" w:color="auto"/>
            </w:tcBorders>
            <w:vAlign w:val="center"/>
            <w:hideMark/>
          </w:tcPr>
          <w:p w14:paraId="76B15EF7" w14:textId="591A84A7" w:rsidR="00E72311" w:rsidRPr="00E72311" w:rsidRDefault="00E72311" w:rsidP="00E72311">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 xml:space="preserve">Nyálkahártya-gyógyulás a 8. héten PMS szerint </w:t>
            </w:r>
            <w:r w:rsidRPr="00E72311">
              <w:rPr>
                <w:rFonts w:ascii="Times New Roman" w:eastAsia="바탕" w:hAnsi="Times New Roman" w:cs="Times New Roman"/>
                <w:szCs w:val="20"/>
                <w:shd w:val="clear" w:color="auto" w:fill="FFFFFF"/>
                <w:lang w:val="hu-HU" w:eastAsia="hu-HU"/>
              </w:rPr>
              <w:t>választ mutatóknál</w:t>
            </w:r>
          </w:p>
        </w:tc>
        <w:tc>
          <w:tcPr>
            <w:tcW w:w="2728" w:type="dxa"/>
            <w:tcBorders>
              <w:top w:val="nil"/>
              <w:left w:val="nil"/>
              <w:bottom w:val="single" w:sz="6" w:space="0" w:color="auto"/>
              <w:right w:val="single" w:sz="6" w:space="0" w:color="auto"/>
            </w:tcBorders>
            <w:vAlign w:val="center"/>
            <w:hideMark/>
          </w:tcPr>
          <w:p w14:paraId="0D950FDC" w14:textId="77777777" w:rsidR="00E72311" w:rsidRPr="00E72311" w:rsidRDefault="00E72311" w:rsidP="00E72311">
            <w:pPr>
              <w:widowControl/>
              <w:suppressAutoHyphens/>
              <w:spacing w:line="260" w:lineRule="exact"/>
              <w:jc w:val="center"/>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12/31 (38,7%) </w:t>
            </w:r>
          </w:p>
        </w:tc>
        <w:tc>
          <w:tcPr>
            <w:tcW w:w="3039" w:type="dxa"/>
            <w:tcBorders>
              <w:top w:val="nil"/>
              <w:left w:val="nil"/>
              <w:bottom w:val="single" w:sz="6" w:space="0" w:color="auto"/>
              <w:right w:val="single" w:sz="6" w:space="0" w:color="auto"/>
            </w:tcBorders>
            <w:vAlign w:val="center"/>
            <w:hideMark/>
          </w:tcPr>
          <w:p w14:paraId="2A8E3494" w14:textId="77777777" w:rsidR="00E72311" w:rsidRPr="00E72311" w:rsidRDefault="00E72311" w:rsidP="00E72311">
            <w:pPr>
              <w:widowControl/>
              <w:suppressAutoHyphens/>
              <w:spacing w:line="260" w:lineRule="exact"/>
              <w:jc w:val="center"/>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16/31 (51,6%) </w:t>
            </w:r>
          </w:p>
        </w:tc>
      </w:tr>
      <w:tr w:rsidR="00E72311" w:rsidRPr="00E72311" w14:paraId="66D25DBD" w14:textId="77777777" w:rsidTr="004F731A">
        <w:trPr>
          <w:jc w:val="center"/>
        </w:trPr>
        <w:tc>
          <w:tcPr>
            <w:tcW w:w="3731" w:type="dxa"/>
            <w:tcBorders>
              <w:top w:val="nil"/>
              <w:left w:val="single" w:sz="6" w:space="0" w:color="auto"/>
              <w:bottom w:val="single" w:sz="6" w:space="0" w:color="auto"/>
              <w:right w:val="single" w:sz="6" w:space="0" w:color="auto"/>
            </w:tcBorders>
            <w:vAlign w:val="center"/>
            <w:hideMark/>
          </w:tcPr>
          <w:p w14:paraId="59602898" w14:textId="77777777" w:rsidR="00E72311" w:rsidRPr="00E72311" w:rsidRDefault="00E72311" w:rsidP="00E72311">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lastRenderedPageBreak/>
              <w:t>Klinikai remisszió a 8. héten PMS szerint remisszióban lévőknél </w:t>
            </w:r>
          </w:p>
        </w:tc>
        <w:tc>
          <w:tcPr>
            <w:tcW w:w="2728" w:type="dxa"/>
            <w:tcBorders>
              <w:top w:val="nil"/>
              <w:left w:val="nil"/>
              <w:bottom w:val="single" w:sz="6" w:space="0" w:color="auto"/>
              <w:right w:val="single" w:sz="6" w:space="0" w:color="auto"/>
            </w:tcBorders>
            <w:vAlign w:val="center"/>
            <w:hideMark/>
          </w:tcPr>
          <w:p w14:paraId="59023F9C" w14:textId="77777777" w:rsidR="00E72311" w:rsidRPr="00E72311" w:rsidRDefault="00E72311" w:rsidP="00E72311">
            <w:pPr>
              <w:widowControl/>
              <w:suppressAutoHyphens/>
              <w:spacing w:line="260" w:lineRule="exact"/>
              <w:jc w:val="center"/>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9/21 (42,9%) </w:t>
            </w:r>
          </w:p>
        </w:tc>
        <w:tc>
          <w:tcPr>
            <w:tcW w:w="3039" w:type="dxa"/>
            <w:tcBorders>
              <w:top w:val="nil"/>
              <w:left w:val="nil"/>
              <w:bottom w:val="single" w:sz="6" w:space="0" w:color="auto"/>
              <w:right w:val="single" w:sz="6" w:space="0" w:color="auto"/>
            </w:tcBorders>
            <w:vAlign w:val="center"/>
            <w:hideMark/>
          </w:tcPr>
          <w:p w14:paraId="464F2F32" w14:textId="77777777" w:rsidR="00E72311" w:rsidRPr="00E72311" w:rsidRDefault="00E72311" w:rsidP="00E72311">
            <w:pPr>
              <w:widowControl/>
              <w:suppressAutoHyphens/>
              <w:spacing w:line="260" w:lineRule="exact"/>
              <w:jc w:val="center"/>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10/22 (45,5%) </w:t>
            </w:r>
          </w:p>
        </w:tc>
      </w:tr>
      <w:tr w:rsidR="00E72311" w:rsidRPr="00E72311" w14:paraId="1E962934" w14:textId="77777777" w:rsidTr="004F731A">
        <w:trPr>
          <w:jc w:val="center"/>
        </w:trPr>
        <w:tc>
          <w:tcPr>
            <w:tcW w:w="3731" w:type="dxa"/>
            <w:tcBorders>
              <w:top w:val="nil"/>
              <w:left w:val="single" w:sz="6" w:space="0" w:color="auto"/>
              <w:bottom w:val="single" w:sz="6" w:space="0" w:color="auto"/>
              <w:right w:val="single" w:sz="6" w:space="0" w:color="auto"/>
            </w:tcBorders>
            <w:vAlign w:val="center"/>
            <w:hideMark/>
          </w:tcPr>
          <w:p w14:paraId="2F630DED" w14:textId="6E69BD25" w:rsidR="00E72311" w:rsidRPr="00E72311" w:rsidRDefault="00E72311" w:rsidP="00E72311">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 xml:space="preserve">Kortikoszteroidmentes remisszió a 8. héten PMS szerint </w:t>
            </w:r>
            <w:r w:rsidRPr="00E72311">
              <w:rPr>
                <w:rFonts w:ascii="Times New Roman" w:eastAsia="바탕" w:hAnsi="Times New Roman" w:cs="Times New Roman"/>
                <w:szCs w:val="20"/>
                <w:shd w:val="clear" w:color="auto" w:fill="FFFFFF"/>
                <w:lang w:val="hu-HU" w:eastAsia="hu-HU"/>
              </w:rPr>
              <w:t>választ mutatóknál</w:t>
            </w:r>
            <w:r w:rsidRPr="00E72311">
              <w:rPr>
                <w:rFonts w:ascii="Times New Roman" w:eastAsia="바탕" w:hAnsi="Times New Roman" w:cs="Times New Roman"/>
                <w:szCs w:val="20"/>
                <w:lang w:val="hu-HU" w:eastAsia="hu-HU"/>
              </w:rPr>
              <w:t> </w:t>
            </w:r>
          </w:p>
        </w:tc>
        <w:tc>
          <w:tcPr>
            <w:tcW w:w="2728" w:type="dxa"/>
            <w:tcBorders>
              <w:top w:val="nil"/>
              <w:left w:val="nil"/>
              <w:bottom w:val="single" w:sz="6" w:space="0" w:color="auto"/>
              <w:right w:val="single" w:sz="6" w:space="0" w:color="auto"/>
            </w:tcBorders>
            <w:vAlign w:val="center"/>
            <w:hideMark/>
          </w:tcPr>
          <w:p w14:paraId="061A1704" w14:textId="77777777" w:rsidR="00E72311" w:rsidRPr="00E72311" w:rsidRDefault="00E72311" w:rsidP="00E72311">
            <w:pPr>
              <w:widowControl/>
              <w:suppressAutoHyphens/>
              <w:spacing w:line="260" w:lineRule="exact"/>
              <w:jc w:val="center"/>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4/13 (30,8%) </w:t>
            </w:r>
          </w:p>
        </w:tc>
        <w:tc>
          <w:tcPr>
            <w:tcW w:w="3039" w:type="dxa"/>
            <w:tcBorders>
              <w:top w:val="nil"/>
              <w:left w:val="nil"/>
              <w:bottom w:val="single" w:sz="6" w:space="0" w:color="auto"/>
              <w:right w:val="single" w:sz="6" w:space="0" w:color="auto"/>
            </w:tcBorders>
            <w:vAlign w:val="center"/>
            <w:hideMark/>
          </w:tcPr>
          <w:p w14:paraId="31F1A6BB" w14:textId="77777777" w:rsidR="00E72311" w:rsidRPr="00E72311" w:rsidRDefault="00E72311" w:rsidP="00E72311">
            <w:pPr>
              <w:widowControl/>
              <w:suppressAutoHyphens/>
              <w:spacing w:line="260" w:lineRule="exact"/>
              <w:jc w:val="center"/>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5/16 (31,3%) </w:t>
            </w:r>
          </w:p>
        </w:tc>
      </w:tr>
      <w:tr w:rsidR="00E72311" w:rsidRPr="00BE4D18" w14:paraId="1DAA4464" w14:textId="77777777" w:rsidTr="004F731A">
        <w:trPr>
          <w:jc w:val="center"/>
        </w:trPr>
        <w:tc>
          <w:tcPr>
            <w:tcW w:w="9498" w:type="dxa"/>
            <w:gridSpan w:val="3"/>
            <w:tcBorders>
              <w:top w:val="nil"/>
              <w:left w:val="single" w:sz="6" w:space="0" w:color="auto"/>
              <w:bottom w:val="single" w:sz="6" w:space="0" w:color="auto"/>
              <w:right w:val="single" w:sz="6" w:space="0" w:color="auto"/>
            </w:tcBorders>
            <w:hideMark/>
          </w:tcPr>
          <w:p w14:paraId="01B77E7F" w14:textId="10DED658" w:rsidR="00E72311" w:rsidRPr="00E72311" w:rsidRDefault="00E72311" w:rsidP="00E72311">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vertAlign w:val="superscript"/>
                <w:lang w:val="hu-HU" w:eastAsia="hu-HU"/>
              </w:rPr>
              <w:t>a </w:t>
            </w:r>
            <w:r>
              <w:rPr>
                <w:rFonts w:ascii="Times New Roman" w:eastAsia="바탕" w:hAnsi="Times New Roman" w:cs="Times New Roman"/>
                <w:szCs w:val="20"/>
                <w:lang w:val="hu-HU" w:eastAsia="hu-HU"/>
              </w:rPr>
              <w:t>Adalimumab</w:t>
            </w:r>
            <w:r w:rsidRPr="00E72311">
              <w:rPr>
                <w:rFonts w:ascii="Times New Roman" w:eastAsia="바탕" w:hAnsi="Times New Roman" w:cs="Times New Roman"/>
                <w:szCs w:val="20"/>
                <w:lang w:val="hu-HU" w:eastAsia="hu-HU"/>
              </w:rPr>
              <w:t xml:space="preserve"> 0,6 mg/ttkg (legfeljebb 40 mg) kéthetente </w:t>
            </w:r>
          </w:p>
          <w:p w14:paraId="777C7000" w14:textId="5610C7E4" w:rsidR="00E72311" w:rsidRPr="00E72311" w:rsidRDefault="00E72311" w:rsidP="00E72311">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vertAlign w:val="superscript"/>
                <w:lang w:val="hu-HU" w:eastAsia="hu-HU"/>
              </w:rPr>
              <w:t>b </w:t>
            </w:r>
            <w:r>
              <w:rPr>
                <w:rFonts w:ascii="Times New Roman" w:eastAsia="바탕" w:hAnsi="Times New Roman" w:cs="Times New Roman"/>
                <w:szCs w:val="20"/>
                <w:lang w:val="hu-HU" w:eastAsia="hu-HU"/>
              </w:rPr>
              <w:t>Adalimumab</w:t>
            </w:r>
            <w:r w:rsidRPr="00E72311">
              <w:rPr>
                <w:rFonts w:ascii="Times New Roman" w:eastAsia="바탕" w:hAnsi="Times New Roman" w:cs="Times New Roman"/>
                <w:szCs w:val="20"/>
                <w:lang w:val="hu-HU" w:eastAsia="hu-HU"/>
              </w:rPr>
              <w:t xml:space="preserve"> 0,6 mg/ttkg (legfeljebb 40 mg) hetente </w:t>
            </w:r>
          </w:p>
          <w:p w14:paraId="7BE1B419" w14:textId="77777777" w:rsidR="00E72311" w:rsidRPr="00E72311" w:rsidRDefault="00E72311" w:rsidP="00E72311">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Kiindulásnál egyidejűleg kortikoszteroidokat kapó betegeknél </w:t>
            </w:r>
          </w:p>
          <w:p w14:paraId="1CC71CD8" w14:textId="6AD67760" w:rsidR="00E72311" w:rsidRPr="00E72311" w:rsidRDefault="00E72311" w:rsidP="00E72311">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Megjegyzés: Azokat a betegeket, akiknek az 52. héten hiányoztak az értékei, vagy akiket ismételt indukcióra vagy fenntartó kezelésre randomizáltak, az 52. hét végpontjain választ nem mutatóknak tekintették </w:t>
            </w:r>
          </w:p>
        </w:tc>
      </w:tr>
    </w:tbl>
    <w:p w14:paraId="280E7377" w14:textId="77777777" w:rsidR="00E72311" w:rsidRPr="00E72311" w:rsidRDefault="00E72311" w:rsidP="00E72311">
      <w:pPr>
        <w:widowControl/>
        <w:suppressAutoHyphens/>
        <w:spacing w:line="260" w:lineRule="exact"/>
        <w:rPr>
          <w:rFonts w:ascii="Times New Roman" w:eastAsia="바탕" w:hAnsi="Times New Roman" w:cs="Times New Roman"/>
          <w:szCs w:val="20"/>
          <w:lang w:val="hu-HU" w:eastAsia="hu-HU"/>
        </w:rPr>
      </w:pPr>
    </w:p>
    <w:p w14:paraId="4D706C7A" w14:textId="77777777" w:rsidR="00E72311" w:rsidRPr="00E72311" w:rsidRDefault="00E72311" w:rsidP="00E72311">
      <w:pPr>
        <w:widowControl/>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A további feltáró hatásossági végpontok között szerepelt a klinikai válasz a gyermek- és serdülőkori colitis ulcerosa aktivitási indexe (PUCAI) (a PUCAI ≥ 20 pontos csökkenése a kiindulási értékhez viszonyítva) és a klinikai remisszió a PUCAI periódusonként (PUCAI &lt; 10 pontos csökkenéseként definiálva) a 8. és az 52. héten (33. táblázat).</w:t>
      </w:r>
    </w:p>
    <w:p w14:paraId="6CFE72C3" w14:textId="77777777" w:rsidR="00E72311" w:rsidRPr="00E72311" w:rsidRDefault="00E72311" w:rsidP="00E72311">
      <w:pPr>
        <w:widowControl/>
        <w:suppressAutoHyphens/>
        <w:spacing w:line="260" w:lineRule="exact"/>
        <w:rPr>
          <w:rFonts w:ascii="Times New Roman" w:eastAsia="바탕" w:hAnsi="Times New Roman" w:cs="Times New Roman"/>
          <w:szCs w:val="20"/>
          <w:lang w:val="hu-HU" w:eastAsia="hu-HU"/>
        </w:rPr>
      </w:pPr>
    </w:p>
    <w:tbl>
      <w:tblPr>
        <w:tblW w:w="9538" w:type="dxa"/>
        <w:jc w:val="center"/>
        <w:tblCellMar>
          <w:left w:w="0" w:type="dxa"/>
          <w:right w:w="0" w:type="dxa"/>
        </w:tblCellMar>
        <w:tblLook w:val="04A0" w:firstRow="1" w:lastRow="0" w:firstColumn="1" w:lastColumn="0" w:noHBand="0" w:noVBand="1"/>
      </w:tblPr>
      <w:tblGrid>
        <w:gridCol w:w="4061"/>
        <w:gridCol w:w="2896"/>
        <w:gridCol w:w="2581"/>
      </w:tblGrid>
      <w:tr w:rsidR="00E72311" w:rsidRPr="00BE4D18" w14:paraId="384B8013" w14:textId="77777777" w:rsidTr="004F731A">
        <w:trPr>
          <w:trHeight w:val="60"/>
          <w:jc w:val="center"/>
        </w:trPr>
        <w:tc>
          <w:tcPr>
            <w:tcW w:w="9538" w:type="dxa"/>
            <w:gridSpan w:val="3"/>
            <w:tcMar>
              <w:top w:w="0" w:type="dxa"/>
              <w:left w:w="108" w:type="dxa"/>
              <w:bottom w:w="0" w:type="dxa"/>
              <w:right w:w="108" w:type="dxa"/>
            </w:tcMar>
            <w:hideMark/>
          </w:tcPr>
          <w:p w14:paraId="78859900" w14:textId="77777777" w:rsidR="00E72311" w:rsidRPr="00E72311" w:rsidRDefault="00E72311" w:rsidP="00E72311">
            <w:pPr>
              <w:widowControl/>
              <w:suppressAutoHyphens/>
              <w:spacing w:line="260" w:lineRule="exact"/>
              <w:jc w:val="center"/>
              <w:rPr>
                <w:rFonts w:ascii="Times New Roman" w:eastAsia="바탕" w:hAnsi="Times New Roman" w:cs="Times New Roman"/>
                <w:b/>
                <w:bCs/>
                <w:szCs w:val="20"/>
                <w:lang w:val="hu-HU" w:eastAsia="hu-HU"/>
              </w:rPr>
            </w:pPr>
            <w:r w:rsidRPr="00E72311">
              <w:rPr>
                <w:rFonts w:ascii="Times New Roman" w:eastAsia="바탕" w:hAnsi="Times New Roman" w:cs="Times New Roman"/>
                <w:b/>
                <w:szCs w:val="20"/>
                <w:lang w:val="hu-HU" w:eastAsia="hu-HU"/>
              </w:rPr>
              <w:t>33. táblázat: Feltáró végpontok eredményei PUCAI szerint</w:t>
            </w:r>
          </w:p>
        </w:tc>
      </w:tr>
      <w:tr w:rsidR="00E72311" w:rsidRPr="00E72311" w14:paraId="3249D654" w14:textId="77777777" w:rsidTr="004F731A">
        <w:trPr>
          <w:trHeight w:val="265"/>
          <w:jc w:val="center"/>
        </w:trPr>
        <w:tc>
          <w:tcPr>
            <w:tcW w:w="4061" w:type="dxa"/>
            <w:vMerge w:val="restart"/>
            <w:tcBorders>
              <w:top w:val="single" w:sz="4" w:space="0" w:color="auto"/>
              <w:left w:val="single" w:sz="8" w:space="0" w:color="auto"/>
              <w:bottom w:val="single" w:sz="8" w:space="0" w:color="auto"/>
              <w:right w:val="single" w:sz="4" w:space="0" w:color="auto"/>
            </w:tcBorders>
            <w:tcMar>
              <w:top w:w="0" w:type="dxa"/>
              <w:left w:w="108" w:type="dxa"/>
              <w:bottom w:w="0" w:type="dxa"/>
              <w:right w:w="108" w:type="dxa"/>
            </w:tcMar>
          </w:tcPr>
          <w:p w14:paraId="437D221B" w14:textId="77777777" w:rsidR="00E72311" w:rsidRPr="00E72311" w:rsidRDefault="00E72311" w:rsidP="00E72311">
            <w:pPr>
              <w:widowControl/>
              <w:suppressAutoHyphens/>
              <w:spacing w:line="260" w:lineRule="exact"/>
              <w:rPr>
                <w:rFonts w:ascii="Times New Roman" w:eastAsia="바탕" w:hAnsi="Times New Roman" w:cs="Times New Roman"/>
                <w:szCs w:val="20"/>
                <w:lang w:val="hu-HU" w:eastAsia="hu-HU"/>
              </w:rPr>
            </w:pPr>
          </w:p>
        </w:tc>
        <w:tc>
          <w:tcPr>
            <w:tcW w:w="5477"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2925168" w14:textId="77777777" w:rsidR="00E72311" w:rsidRPr="00E72311" w:rsidRDefault="00E72311" w:rsidP="00E72311">
            <w:pPr>
              <w:widowControl/>
              <w:suppressAutoHyphens/>
              <w:spacing w:line="260" w:lineRule="exact"/>
              <w:jc w:val="center"/>
              <w:rPr>
                <w:rFonts w:ascii="Times New Roman" w:eastAsia="바탕" w:hAnsi="Times New Roman" w:cs="Times New Roman"/>
                <w:b/>
                <w:bCs/>
                <w:szCs w:val="20"/>
                <w:lang w:val="hu-HU" w:eastAsia="hu-HU"/>
              </w:rPr>
            </w:pPr>
            <w:r w:rsidRPr="00E72311">
              <w:rPr>
                <w:rFonts w:ascii="Times New Roman" w:eastAsia="바탕" w:hAnsi="Times New Roman" w:cs="Times New Roman"/>
                <w:b/>
                <w:szCs w:val="20"/>
                <w:lang w:val="hu-HU" w:eastAsia="hu-HU"/>
              </w:rPr>
              <w:t>8. hét</w:t>
            </w:r>
          </w:p>
        </w:tc>
      </w:tr>
      <w:tr w:rsidR="00E72311" w:rsidRPr="00E72311" w14:paraId="56704567" w14:textId="77777777" w:rsidTr="004F731A">
        <w:trPr>
          <w:trHeight w:val="1042"/>
          <w:jc w:val="center"/>
        </w:trPr>
        <w:tc>
          <w:tcPr>
            <w:tcW w:w="4061" w:type="dxa"/>
            <w:vMerge/>
            <w:tcBorders>
              <w:top w:val="single" w:sz="4" w:space="0" w:color="auto"/>
              <w:left w:val="single" w:sz="8" w:space="0" w:color="auto"/>
              <w:bottom w:val="single" w:sz="4" w:space="0" w:color="auto"/>
              <w:right w:val="single" w:sz="4" w:space="0" w:color="auto"/>
            </w:tcBorders>
            <w:vAlign w:val="center"/>
            <w:hideMark/>
          </w:tcPr>
          <w:p w14:paraId="55B01C4C" w14:textId="77777777" w:rsidR="00E72311" w:rsidRPr="00E72311" w:rsidRDefault="00E72311" w:rsidP="00E72311">
            <w:pPr>
              <w:widowControl/>
              <w:suppressAutoHyphens/>
              <w:spacing w:line="260" w:lineRule="exact"/>
              <w:rPr>
                <w:rFonts w:ascii="Times New Roman" w:eastAsia="바탕" w:hAnsi="Times New Roman" w:cs="Times New Roman"/>
                <w:szCs w:val="20"/>
                <w:lang w:val="hu-HU" w:eastAsia="hu-HU"/>
              </w:rPr>
            </w:pPr>
          </w:p>
        </w:tc>
        <w:tc>
          <w:tcPr>
            <w:tcW w:w="2896"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14:paraId="603A69E5" w14:textId="739FD77D" w:rsidR="00E72311" w:rsidRPr="00E72311" w:rsidRDefault="00E72311" w:rsidP="00E72311">
            <w:pPr>
              <w:widowControl/>
              <w:suppressAutoHyphens/>
              <w:spacing w:line="260" w:lineRule="exact"/>
              <w:jc w:val="center"/>
              <w:rPr>
                <w:rFonts w:ascii="Times New Roman" w:eastAsia="바탕" w:hAnsi="Times New Roman" w:cs="Times New Roman"/>
                <w:b/>
                <w:bCs/>
                <w:szCs w:val="20"/>
                <w:vertAlign w:val="superscript"/>
                <w:lang w:val="hu-HU" w:eastAsia="hu-HU"/>
              </w:rPr>
            </w:pPr>
            <w:r>
              <w:rPr>
                <w:rFonts w:ascii="Times New Roman" w:eastAsia="바탕" w:hAnsi="Times New Roman" w:cs="Times New Roman"/>
                <w:b/>
                <w:szCs w:val="20"/>
                <w:lang w:val="hu-HU" w:eastAsia="hu-HU"/>
              </w:rPr>
              <w:t>Adalimumab</w:t>
            </w:r>
            <w:r w:rsidRPr="00E72311">
              <w:rPr>
                <w:rFonts w:ascii="Times New Roman" w:eastAsia="바탕" w:hAnsi="Times New Roman" w:cs="Times New Roman"/>
                <w:b/>
                <w:szCs w:val="20"/>
                <w:vertAlign w:val="superscript"/>
                <w:lang w:val="hu-HU" w:eastAsia="hu-HU"/>
              </w:rPr>
              <w:t>a</w:t>
            </w:r>
          </w:p>
          <w:p w14:paraId="3BFD71AC" w14:textId="77777777" w:rsidR="00E72311" w:rsidRPr="00E72311" w:rsidRDefault="00E72311" w:rsidP="00E72311">
            <w:pPr>
              <w:widowControl/>
              <w:suppressAutoHyphens/>
              <w:spacing w:line="260" w:lineRule="exact"/>
              <w:jc w:val="center"/>
              <w:rPr>
                <w:rFonts w:ascii="Times New Roman" w:eastAsia="바탕" w:hAnsi="Times New Roman" w:cs="Times New Roman"/>
                <w:b/>
                <w:bCs/>
                <w:szCs w:val="20"/>
                <w:lang w:val="hu-HU" w:eastAsia="hu-HU"/>
              </w:rPr>
            </w:pPr>
            <w:r w:rsidRPr="00E72311">
              <w:rPr>
                <w:rFonts w:ascii="Times New Roman" w:eastAsia="바탕" w:hAnsi="Times New Roman" w:cs="Times New Roman"/>
                <w:b/>
                <w:szCs w:val="20"/>
                <w:lang w:val="hu-HU" w:eastAsia="hu-HU"/>
              </w:rPr>
              <w:t>Legfeljebb 160 mg a 0. héten / placebo az 1. héten</w:t>
            </w:r>
          </w:p>
          <w:p w14:paraId="04FEBA84" w14:textId="0B505CED" w:rsidR="00E72311" w:rsidRPr="00E72311" w:rsidRDefault="00611FDF" w:rsidP="00E72311">
            <w:pPr>
              <w:widowControl/>
              <w:suppressAutoHyphens/>
              <w:spacing w:line="260" w:lineRule="exact"/>
              <w:jc w:val="center"/>
              <w:rPr>
                <w:rFonts w:ascii="Times New Roman" w:eastAsia="바탕" w:hAnsi="Times New Roman" w:cs="Times New Roman"/>
                <w:szCs w:val="20"/>
                <w:lang w:val="hu-HU" w:eastAsia="hu-HU"/>
              </w:rPr>
            </w:pPr>
            <w:r>
              <w:rPr>
                <w:rFonts w:ascii="Times New Roman" w:eastAsia="바탕" w:hAnsi="Times New Roman" w:cs="Times New Roman"/>
                <w:szCs w:val="20"/>
                <w:lang w:val="hu-HU" w:eastAsia="hu-HU"/>
              </w:rPr>
              <w:t>n</w:t>
            </w:r>
            <w:r w:rsidR="00E72311" w:rsidRPr="00E72311">
              <w:rPr>
                <w:rFonts w:ascii="Times New Roman" w:eastAsia="바탕" w:hAnsi="Times New Roman" w:cs="Times New Roman"/>
                <w:szCs w:val="20"/>
                <w:lang w:val="hu-HU" w:eastAsia="hu-HU"/>
              </w:rPr>
              <w:t>=30</w:t>
            </w:r>
          </w:p>
        </w:tc>
        <w:tc>
          <w:tcPr>
            <w:tcW w:w="2581"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14:paraId="3B460410" w14:textId="0454F085" w:rsidR="00E72311" w:rsidRPr="00E72311" w:rsidRDefault="00E72311" w:rsidP="00E72311">
            <w:pPr>
              <w:widowControl/>
              <w:suppressAutoHyphens/>
              <w:spacing w:line="260" w:lineRule="exact"/>
              <w:jc w:val="center"/>
              <w:rPr>
                <w:rFonts w:ascii="Times New Roman" w:eastAsia="바탕" w:hAnsi="Times New Roman" w:cs="Times New Roman"/>
                <w:b/>
                <w:bCs/>
                <w:szCs w:val="20"/>
                <w:vertAlign w:val="superscript"/>
                <w:lang w:val="hu-HU" w:eastAsia="hu-HU"/>
              </w:rPr>
            </w:pPr>
            <w:r>
              <w:rPr>
                <w:rFonts w:ascii="Times New Roman" w:eastAsia="바탕" w:hAnsi="Times New Roman" w:cs="Times New Roman"/>
                <w:b/>
                <w:szCs w:val="20"/>
                <w:lang w:val="hu-HU" w:eastAsia="hu-HU"/>
              </w:rPr>
              <w:t>Adalimumab</w:t>
            </w:r>
            <w:r w:rsidRPr="00E72311">
              <w:rPr>
                <w:rFonts w:ascii="Times New Roman" w:eastAsia="바탕" w:hAnsi="Times New Roman" w:cs="Times New Roman"/>
                <w:b/>
                <w:szCs w:val="20"/>
                <w:vertAlign w:val="superscript"/>
                <w:lang w:val="hu-HU" w:eastAsia="hu-HU"/>
              </w:rPr>
              <w:t>b,c</w:t>
            </w:r>
          </w:p>
          <w:p w14:paraId="0816B6CD" w14:textId="77777777" w:rsidR="00E72311" w:rsidRPr="00E72311" w:rsidRDefault="00E72311" w:rsidP="00E72311">
            <w:pPr>
              <w:widowControl/>
              <w:suppressAutoHyphens/>
              <w:spacing w:line="260" w:lineRule="exact"/>
              <w:jc w:val="center"/>
              <w:rPr>
                <w:rFonts w:ascii="Times New Roman" w:eastAsia="바탕" w:hAnsi="Times New Roman" w:cs="Times New Roman"/>
                <w:b/>
                <w:bCs/>
                <w:szCs w:val="20"/>
                <w:lang w:val="hu-HU" w:eastAsia="hu-HU"/>
              </w:rPr>
            </w:pPr>
            <w:r w:rsidRPr="00E72311">
              <w:rPr>
                <w:rFonts w:ascii="Times New Roman" w:eastAsia="바탕" w:hAnsi="Times New Roman" w:cs="Times New Roman"/>
                <w:b/>
                <w:szCs w:val="20"/>
                <w:lang w:val="hu-HU" w:eastAsia="hu-HU"/>
              </w:rPr>
              <w:t>Legfeljebb 160 mg a 0. és az 1. héten</w:t>
            </w:r>
          </w:p>
          <w:p w14:paraId="6A6F99E8" w14:textId="2509A992" w:rsidR="00E72311" w:rsidRPr="00E72311" w:rsidRDefault="00611FDF" w:rsidP="00E72311">
            <w:pPr>
              <w:widowControl/>
              <w:suppressAutoHyphens/>
              <w:spacing w:line="260" w:lineRule="exact"/>
              <w:jc w:val="center"/>
              <w:rPr>
                <w:rFonts w:ascii="Times New Roman" w:eastAsia="바탕" w:hAnsi="Times New Roman" w:cs="Times New Roman"/>
                <w:szCs w:val="20"/>
                <w:lang w:val="hu-HU" w:eastAsia="hu-HU"/>
              </w:rPr>
            </w:pPr>
            <w:r>
              <w:rPr>
                <w:rFonts w:ascii="Times New Roman" w:eastAsia="바탕" w:hAnsi="Times New Roman" w:cs="Times New Roman"/>
                <w:szCs w:val="20"/>
                <w:lang w:val="hu-HU" w:eastAsia="hu-HU"/>
              </w:rPr>
              <w:t>n</w:t>
            </w:r>
            <w:r w:rsidR="00E72311" w:rsidRPr="00E72311">
              <w:rPr>
                <w:rFonts w:ascii="Times New Roman" w:eastAsia="바탕" w:hAnsi="Times New Roman" w:cs="Times New Roman"/>
                <w:szCs w:val="20"/>
                <w:lang w:val="hu-HU" w:eastAsia="hu-HU"/>
              </w:rPr>
              <w:t>=47</w:t>
            </w:r>
          </w:p>
        </w:tc>
      </w:tr>
      <w:tr w:rsidR="00E72311" w:rsidRPr="00E72311" w14:paraId="032CCA0C" w14:textId="77777777" w:rsidTr="004F731A">
        <w:trPr>
          <w:trHeight w:val="202"/>
          <w:jc w:val="center"/>
        </w:trPr>
        <w:tc>
          <w:tcPr>
            <w:tcW w:w="40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C235E61" w14:textId="77777777" w:rsidR="00E72311" w:rsidRPr="00E72311" w:rsidRDefault="00E72311" w:rsidP="00E72311">
            <w:pPr>
              <w:widowControl/>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Klinikai remisszió PUCAI szerint</w:t>
            </w:r>
          </w:p>
        </w:tc>
        <w:tc>
          <w:tcPr>
            <w:tcW w:w="28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3E88089" w14:textId="77777777" w:rsidR="00E72311" w:rsidRPr="00E72311" w:rsidRDefault="00E72311" w:rsidP="00E72311">
            <w:pPr>
              <w:widowControl/>
              <w:suppressAutoHyphens/>
              <w:spacing w:line="260" w:lineRule="exact"/>
              <w:jc w:val="center"/>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10/30 (33,3%)</w:t>
            </w:r>
          </w:p>
        </w:tc>
        <w:tc>
          <w:tcPr>
            <w:tcW w:w="258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997E4AE" w14:textId="77777777" w:rsidR="00E72311" w:rsidRPr="00E72311" w:rsidRDefault="00E72311" w:rsidP="00E72311">
            <w:pPr>
              <w:widowControl/>
              <w:suppressAutoHyphens/>
              <w:spacing w:line="260" w:lineRule="exact"/>
              <w:jc w:val="center"/>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22/47 (46,8%)</w:t>
            </w:r>
          </w:p>
        </w:tc>
      </w:tr>
      <w:tr w:rsidR="00E72311" w:rsidRPr="00E72311" w14:paraId="388191E3" w14:textId="77777777" w:rsidTr="004F731A">
        <w:trPr>
          <w:trHeight w:val="238"/>
          <w:jc w:val="center"/>
        </w:trPr>
        <w:tc>
          <w:tcPr>
            <w:tcW w:w="40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84FD1E0" w14:textId="77777777" w:rsidR="00E72311" w:rsidRPr="00E72311" w:rsidRDefault="00E72311" w:rsidP="00E72311">
            <w:pPr>
              <w:widowControl/>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Klinikai remisszió PUCAI szerint</w:t>
            </w:r>
          </w:p>
        </w:tc>
        <w:tc>
          <w:tcPr>
            <w:tcW w:w="28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9335BF6" w14:textId="77777777" w:rsidR="00E72311" w:rsidRPr="00E72311" w:rsidRDefault="00E72311" w:rsidP="00E72311">
            <w:pPr>
              <w:widowControl/>
              <w:suppressAutoHyphens/>
              <w:spacing w:line="260" w:lineRule="exact"/>
              <w:jc w:val="center"/>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15/30 (50,0%)</w:t>
            </w:r>
          </w:p>
        </w:tc>
        <w:tc>
          <w:tcPr>
            <w:tcW w:w="258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25BD831" w14:textId="77777777" w:rsidR="00E72311" w:rsidRPr="00E72311" w:rsidRDefault="00E72311" w:rsidP="00E72311">
            <w:pPr>
              <w:widowControl/>
              <w:suppressAutoHyphens/>
              <w:spacing w:line="260" w:lineRule="exact"/>
              <w:jc w:val="center"/>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32/47 (68,1%)</w:t>
            </w:r>
          </w:p>
        </w:tc>
      </w:tr>
      <w:tr w:rsidR="00E72311" w:rsidRPr="00E72311" w14:paraId="29EA5B87" w14:textId="77777777" w:rsidTr="004F731A">
        <w:trPr>
          <w:trHeight w:val="238"/>
          <w:jc w:val="center"/>
        </w:trPr>
        <w:tc>
          <w:tcPr>
            <w:tcW w:w="4061" w:type="dxa"/>
            <w:vMerge w:val="restart"/>
            <w:tcBorders>
              <w:top w:val="nil"/>
              <w:left w:val="single" w:sz="8" w:space="0" w:color="auto"/>
              <w:bottom w:val="single" w:sz="4" w:space="0" w:color="auto"/>
              <w:right w:val="single" w:sz="8" w:space="0" w:color="auto"/>
            </w:tcBorders>
            <w:tcMar>
              <w:top w:w="0" w:type="dxa"/>
              <w:left w:w="108" w:type="dxa"/>
              <w:bottom w:w="0" w:type="dxa"/>
              <w:right w:w="108" w:type="dxa"/>
            </w:tcMar>
          </w:tcPr>
          <w:p w14:paraId="5DC6933F" w14:textId="77777777" w:rsidR="00E72311" w:rsidRPr="00E72311" w:rsidRDefault="00E72311" w:rsidP="00E72311">
            <w:pPr>
              <w:widowControl/>
              <w:suppressAutoHyphens/>
              <w:spacing w:line="260" w:lineRule="exact"/>
              <w:rPr>
                <w:rFonts w:ascii="Times New Roman" w:eastAsia="바탕" w:hAnsi="Times New Roman" w:cs="Times New Roman"/>
                <w:szCs w:val="20"/>
                <w:lang w:val="hu-HU" w:eastAsia="hu-HU"/>
              </w:rPr>
            </w:pPr>
          </w:p>
        </w:tc>
        <w:tc>
          <w:tcPr>
            <w:tcW w:w="5477" w:type="dxa"/>
            <w:gridSpan w:val="2"/>
            <w:tcBorders>
              <w:top w:val="nil"/>
              <w:left w:val="nil"/>
              <w:bottom w:val="single" w:sz="4" w:space="0" w:color="auto"/>
              <w:right w:val="single" w:sz="8" w:space="0" w:color="auto"/>
            </w:tcBorders>
            <w:tcMar>
              <w:top w:w="0" w:type="dxa"/>
              <w:left w:w="108" w:type="dxa"/>
              <w:bottom w:w="0" w:type="dxa"/>
              <w:right w:w="108" w:type="dxa"/>
            </w:tcMar>
            <w:hideMark/>
          </w:tcPr>
          <w:p w14:paraId="260BB34D" w14:textId="77777777" w:rsidR="00E72311" w:rsidRPr="00E72311" w:rsidRDefault="00E72311" w:rsidP="00E72311">
            <w:pPr>
              <w:widowControl/>
              <w:suppressAutoHyphens/>
              <w:spacing w:line="260" w:lineRule="exact"/>
              <w:jc w:val="center"/>
              <w:rPr>
                <w:rFonts w:ascii="Times New Roman" w:eastAsia="바탕" w:hAnsi="Times New Roman" w:cs="Times New Roman"/>
                <w:b/>
                <w:bCs/>
                <w:szCs w:val="20"/>
                <w:lang w:val="hu-HU" w:eastAsia="hu-HU"/>
              </w:rPr>
            </w:pPr>
            <w:r w:rsidRPr="00E72311">
              <w:rPr>
                <w:rFonts w:ascii="Times New Roman" w:eastAsia="바탕" w:hAnsi="Times New Roman" w:cs="Times New Roman"/>
                <w:b/>
                <w:szCs w:val="20"/>
                <w:lang w:val="hu-HU" w:eastAsia="hu-HU"/>
              </w:rPr>
              <w:t>52. hét</w:t>
            </w:r>
          </w:p>
        </w:tc>
      </w:tr>
      <w:tr w:rsidR="00E72311" w:rsidRPr="00F70E6D" w14:paraId="002CA2B0" w14:textId="77777777" w:rsidTr="004F731A">
        <w:trPr>
          <w:trHeight w:val="238"/>
          <w:jc w:val="center"/>
        </w:trPr>
        <w:tc>
          <w:tcPr>
            <w:tcW w:w="4061" w:type="dxa"/>
            <w:vMerge/>
            <w:tcBorders>
              <w:top w:val="nil"/>
              <w:left w:val="single" w:sz="8" w:space="0" w:color="auto"/>
              <w:bottom w:val="single" w:sz="4" w:space="0" w:color="auto"/>
              <w:right w:val="single" w:sz="8" w:space="0" w:color="auto"/>
            </w:tcBorders>
            <w:vAlign w:val="center"/>
            <w:hideMark/>
          </w:tcPr>
          <w:p w14:paraId="1EC6199F" w14:textId="77777777" w:rsidR="00E72311" w:rsidRPr="00E72311" w:rsidRDefault="00E72311" w:rsidP="00E72311">
            <w:pPr>
              <w:widowControl/>
              <w:suppressAutoHyphens/>
              <w:spacing w:line="260" w:lineRule="exact"/>
              <w:rPr>
                <w:rFonts w:ascii="Times New Roman" w:eastAsia="바탕" w:hAnsi="Times New Roman" w:cs="Times New Roman"/>
                <w:szCs w:val="20"/>
                <w:lang w:val="hu-HU" w:eastAsia="hu-HU"/>
              </w:rPr>
            </w:pPr>
          </w:p>
        </w:tc>
        <w:tc>
          <w:tcPr>
            <w:tcW w:w="2896" w:type="dxa"/>
            <w:tcBorders>
              <w:top w:val="nil"/>
              <w:left w:val="nil"/>
              <w:bottom w:val="single" w:sz="4" w:space="0" w:color="auto"/>
              <w:right w:val="single" w:sz="8" w:space="0" w:color="auto"/>
            </w:tcBorders>
            <w:tcMar>
              <w:top w:w="0" w:type="dxa"/>
              <w:left w:w="108" w:type="dxa"/>
              <w:bottom w:w="0" w:type="dxa"/>
              <w:right w:w="108" w:type="dxa"/>
            </w:tcMar>
            <w:hideMark/>
          </w:tcPr>
          <w:p w14:paraId="30D1987E" w14:textId="137A5AC8" w:rsidR="00E72311" w:rsidRPr="00E72311" w:rsidRDefault="00E72311" w:rsidP="00E72311">
            <w:pPr>
              <w:widowControl/>
              <w:suppressAutoHyphens/>
              <w:spacing w:line="260" w:lineRule="exact"/>
              <w:jc w:val="center"/>
              <w:rPr>
                <w:rFonts w:ascii="Times New Roman" w:eastAsia="바탕" w:hAnsi="Times New Roman" w:cs="Times New Roman"/>
                <w:b/>
                <w:bCs/>
                <w:szCs w:val="20"/>
                <w:vertAlign w:val="superscript"/>
                <w:lang w:val="hu-HU" w:eastAsia="hu-HU"/>
              </w:rPr>
            </w:pPr>
            <w:r>
              <w:rPr>
                <w:rFonts w:ascii="Times New Roman" w:eastAsia="바탕" w:hAnsi="Times New Roman" w:cs="Times New Roman"/>
                <w:b/>
                <w:szCs w:val="20"/>
                <w:lang w:val="hu-HU" w:eastAsia="hu-HU"/>
              </w:rPr>
              <w:t>Adalimumab</w:t>
            </w:r>
            <w:r w:rsidRPr="00E72311">
              <w:rPr>
                <w:rFonts w:ascii="Times New Roman" w:eastAsia="바탕" w:hAnsi="Times New Roman" w:cs="Times New Roman"/>
                <w:b/>
                <w:szCs w:val="20"/>
                <w:vertAlign w:val="superscript"/>
                <w:lang w:val="hu-HU" w:eastAsia="hu-HU"/>
              </w:rPr>
              <w:t>d</w:t>
            </w:r>
          </w:p>
          <w:p w14:paraId="73D3E84C" w14:textId="77777777" w:rsidR="00E72311" w:rsidRPr="00E72311" w:rsidRDefault="00E72311" w:rsidP="00E72311">
            <w:pPr>
              <w:widowControl/>
              <w:suppressAutoHyphens/>
              <w:spacing w:line="260" w:lineRule="exact"/>
              <w:jc w:val="center"/>
              <w:rPr>
                <w:rFonts w:ascii="Times New Roman" w:eastAsia="바탕" w:hAnsi="Times New Roman" w:cs="Times New Roman"/>
                <w:b/>
                <w:bCs/>
                <w:szCs w:val="20"/>
                <w:lang w:val="hu-HU" w:eastAsia="hu-HU"/>
              </w:rPr>
            </w:pPr>
            <w:r w:rsidRPr="00E72311">
              <w:rPr>
                <w:rFonts w:ascii="Times New Roman" w:eastAsia="바탕" w:hAnsi="Times New Roman" w:cs="Times New Roman"/>
                <w:b/>
                <w:bCs/>
                <w:szCs w:val="20"/>
                <w:lang w:val="hu-HU" w:eastAsia="hu-HU"/>
              </w:rPr>
              <w:t>Legfeljebb 40 mg kéthetente</w:t>
            </w:r>
          </w:p>
          <w:p w14:paraId="2383933D" w14:textId="7EBB05BA" w:rsidR="00E72311" w:rsidRPr="00E72311" w:rsidRDefault="00611FDF" w:rsidP="00E72311">
            <w:pPr>
              <w:widowControl/>
              <w:suppressAutoHyphens/>
              <w:spacing w:line="260" w:lineRule="exact"/>
              <w:jc w:val="center"/>
              <w:rPr>
                <w:rFonts w:ascii="Times New Roman" w:eastAsia="바탕" w:hAnsi="Times New Roman" w:cs="Times New Roman"/>
                <w:szCs w:val="20"/>
                <w:lang w:val="hu-HU" w:eastAsia="hu-HU"/>
              </w:rPr>
            </w:pPr>
            <w:r>
              <w:rPr>
                <w:rFonts w:ascii="Times New Roman" w:eastAsia="바탕" w:hAnsi="Times New Roman" w:cs="Times New Roman"/>
                <w:szCs w:val="20"/>
                <w:lang w:val="hu-HU" w:eastAsia="hu-HU"/>
              </w:rPr>
              <w:t>n</w:t>
            </w:r>
            <w:r w:rsidR="00E72311" w:rsidRPr="00E72311">
              <w:rPr>
                <w:rFonts w:ascii="Times New Roman" w:eastAsia="바탕" w:hAnsi="Times New Roman" w:cs="Times New Roman"/>
                <w:szCs w:val="20"/>
                <w:lang w:val="hu-HU" w:eastAsia="hu-HU"/>
              </w:rPr>
              <w:t>=31</w:t>
            </w:r>
          </w:p>
        </w:tc>
        <w:tc>
          <w:tcPr>
            <w:tcW w:w="2581" w:type="dxa"/>
            <w:tcBorders>
              <w:top w:val="nil"/>
              <w:left w:val="nil"/>
              <w:bottom w:val="single" w:sz="4" w:space="0" w:color="auto"/>
              <w:right w:val="single" w:sz="8" w:space="0" w:color="auto"/>
            </w:tcBorders>
            <w:tcMar>
              <w:top w:w="0" w:type="dxa"/>
              <w:left w:w="108" w:type="dxa"/>
              <w:bottom w:w="0" w:type="dxa"/>
              <w:right w:w="108" w:type="dxa"/>
            </w:tcMar>
            <w:hideMark/>
          </w:tcPr>
          <w:p w14:paraId="09B446BB" w14:textId="33C765D7" w:rsidR="00E72311" w:rsidRPr="00E72311" w:rsidRDefault="00E72311" w:rsidP="00E72311">
            <w:pPr>
              <w:widowControl/>
              <w:suppressAutoHyphens/>
              <w:spacing w:line="260" w:lineRule="exact"/>
              <w:jc w:val="center"/>
              <w:rPr>
                <w:rFonts w:ascii="Times New Roman" w:eastAsia="바탕" w:hAnsi="Times New Roman" w:cs="Times New Roman"/>
                <w:b/>
                <w:bCs/>
                <w:szCs w:val="20"/>
                <w:vertAlign w:val="superscript"/>
                <w:lang w:val="hu-HU" w:eastAsia="hu-HU"/>
              </w:rPr>
            </w:pPr>
            <w:r>
              <w:rPr>
                <w:rFonts w:ascii="Times New Roman" w:eastAsia="바탕" w:hAnsi="Times New Roman" w:cs="Times New Roman"/>
                <w:b/>
                <w:szCs w:val="20"/>
                <w:lang w:val="hu-HU" w:eastAsia="hu-HU"/>
              </w:rPr>
              <w:t>Adalimumab</w:t>
            </w:r>
            <w:r w:rsidRPr="00E72311">
              <w:rPr>
                <w:rFonts w:ascii="Times New Roman" w:eastAsia="바탕" w:hAnsi="Times New Roman" w:cs="Times New Roman"/>
                <w:b/>
                <w:szCs w:val="20"/>
                <w:vertAlign w:val="superscript"/>
                <w:lang w:val="hu-HU" w:eastAsia="hu-HU"/>
              </w:rPr>
              <w:t>e</w:t>
            </w:r>
          </w:p>
          <w:p w14:paraId="640A36EB" w14:textId="77777777" w:rsidR="00E72311" w:rsidRPr="00E72311" w:rsidRDefault="00E72311" w:rsidP="00E72311">
            <w:pPr>
              <w:widowControl/>
              <w:suppressAutoHyphens/>
              <w:spacing w:line="260" w:lineRule="exact"/>
              <w:jc w:val="center"/>
              <w:rPr>
                <w:rFonts w:ascii="Times New Roman" w:eastAsia="바탕" w:hAnsi="Times New Roman" w:cs="Times New Roman"/>
                <w:b/>
                <w:bCs/>
                <w:szCs w:val="20"/>
                <w:lang w:val="hu-HU" w:eastAsia="hu-HU"/>
              </w:rPr>
            </w:pPr>
            <w:r w:rsidRPr="00E72311">
              <w:rPr>
                <w:rFonts w:ascii="Times New Roman" w:eastAsia="바탕" w:hAnsi="Times New Roman" w:cs="Times New Roman"/>
                <w:b/>
                <w:bCs/>
                <w:szCs w:val="20"/>
                <w:lang w:val="hu-HU" w:eastAsia="hu-HU"/>
              </w:rPr>
              <w:t>Legfeljebb 40 mg hetente</w:t>
            </w:r>
          </w:p>
          <w:p w14:paraId="76E9BE0B" w14:textId="67D7998B" w:rsidR="00E72311" w:rsidRPr="00E72311" w:rsidRDefault="00611FDF" w:rsidP="00E72311">
            <w:pPr>
              <w:widowControl/>
              <w:suppressAutoHyphens/>
              <w:spacing w:line="260" w:lineRule="exact"/>
              <w:jc w:val="center"/>
              <w:rPr>
                <w:rFonts w:ascii="Times New Roman" w:eastAsia="바탕" w:hAnsi="Times New Roman" w:cs="Times New Roman"/>
                <w:szCs w:val="20"/>
                <w:lang w:val="hu-HU" w:eastAsia="hu-HU"/>
              </w:rPr>
            </w:pPr>
            <w:r>
              <w:rPr>
                <w:rFonts w:ascii="Times New Roman" w:eastAsia="바탕" w:hAnsi="Times New Roman" w:cs="Times New Roman"/>
                <w:szCs w:val="20"/>
                <w:lang w:val="hu-HU" w:eastAsia="hu-HU"/>
              </w:rPr>
              <w:t>n</w:t>
            </w:r>
            <w:r w:rsidR="00E72311" w:rsidRPr="00E72311">
              <w:rPr>
                <w:rFonts w:ascii="Times New Roman" w:eastAsia="바탕" w:hAnsi="Times New Roman" w:cs="Times New Roman"/>
                <w:szCs w:val="20"/>
                <w:lang w:val="hu-HU" w:eastAsia="hu-HU"/>
              </w:rPr>
              <w:t>=31</w:t>
            </w:r>
          </w:p>
        </w:tc>
      </w:tr>
      <w:tr w:rsidR="00E72311" w:rsidRPr="00E72311" w14:paraId="5E5278A4" w14:textId="77777777" w:rsidTr="004F731A">
        <w:trPr>
          <w:trHeight w:val="238"/>
          <w:jc w:val="center"/>
        </w:trPr>
        <w:tc>
          <w:tcPr>
            <w:tcW w:w="4061"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4B69E2A0" w14:textId="2C041553" w:rsidR="00E72311" w:rsidRPr="00E72311" w:rsidRDefault="00E72311" w:rsidP="00E72311">
            <w:pPr>
              <w:widowControl/>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 xml:space="preserve">Klinikai remisszió PUCAI szerint a 8. héten PMS szerint </w:t>
            </w:r>
            <w:r w:rsidRPr="00E72311">
              <w:rPr>
                <w:rFonts w:ascii="Times New Roman" w:eastAsia="바탕" w:hAnsi="Times New Roman" w:cs="Times New Roman"/>
                <w:szCs w:val="20"/>
                <w:shd w:val="clear" w:color="auto" w:fill="FFFFFF"/>
                <w:lang w:val="hu-HU" w:eastAsia="hu-HU"/>
              </w:rPr>
              <w:t>választ mutatóknál</w:t>
            </w:r>
          </w:p>
        </w:tc>
        <w:tc>
          <w:tcPr>
            <w:tcW w:w="2896" w:type="dxa"/>
            <w:tcBorders>
              <w:top w:val="nil"/>
              <w:left w:val="nil"/>
              <w:bottom w:val="single" w:sz="4" w:space="0" w:color="auto"/>
              <w:right w:val="single" w:sz="8" w:space="0" w:color="auto"/>
            </w:tcBorders>
            <w:tcMar>
              <w:top w:w="0" w:type="dxa"/>
              <w:left w:w="108" w:type="dxa"/>
              <w:bottom w:w="0" w:type="dxa"/>
              <w:right w:w="108" w:type="dxa"/>
            </w:tcMar>
            <w:hideMark/>
          </w:tcPr>
          <w:p w14:paraId="3827DFCE" w14:textId="77777777" w:rsidR="00E72311" w:rsidRPr="00E72311" w:rsidRDefault="00E72311" w:rsidP="00E72311">
            <w:pPr>
              <w:widowControl/>
              <w:suppressAutoHyphens/>
              <w:spacing w:line="260" w:lineRule="exact"/>
              <w:jc w:val="center"/>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14/31 (45,2%)</w:t>
            </w:r>
          </w:p>
        </w:tc>
        <w:tc>
          <w:tcPr>
            <w:tcW w:w="2581" w:type="dxa"/>
            <w:tcBorders>
              <w:top w:val="nil"/>
              <w:left w:val="nil"/>
              <w:bottom w:val="single" w:sz="4" w:space="0" w:color="auto"/>
              <w:right w:val="single" w:sz="8" w:space="0" w:color="auto"/>
            </w:tcBorders>
            <w:tcMar>
              <w:top w:w="0" w:type="dxa"/>
              <w:left w:w="108" w:type="dxa"/>
              <w:bottom w:w="0" w:type="dxa"/>
              <w:right w:w="108" w:type="dxa"/>
            </w:tcMar>
            <w:hideMark/>
          </w:tcPr>
          <w:p w14:paraId="6CC1B53B" w14:textId="77777777" w:rsidR="00E72311" w:rsidRPr="00E72311" w:rsidRDefault="00E72311" w:rsidP="00E72311">
            <w:pPr>
              <w:widowControl/>
              <w:suppressAutoHyphens/>
              <w:spacing w:line="260" w:lineRule="exact"/>
              <w:jc w:val="center"/>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18/31 (58,1%)</w:t>
            </w:r>
          </w:p>
        </w:tc>
      </w:tr>
      <w:tr w:rsidR="00E72311" w:rsidRPr="00E72311" w14:paraId="7CC54635" w14:textId="77777777" w:rsidTr="004F731A">
        <w:trPr>
          <w:trHeight w:val="238"/>
          <w:jc w:val="center"/>
        </w:trPr>
        <w:tc>
          <w:tcPr>
            <w:tcW w:w="4061"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1CEB0E1C" w14:textId="29587500" w:rsidR="00E72311" w:rsidRPr="00E72311" w:rsidRDefault="00E72311" w:rsidP="00E72311">
            <w:pPr>
              <w:widowControl/>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 xml:space="preserve">Klinikai válasz PUCAI szerint a 8. héten PMS szerint </w:t>
            </w:r>
            <w:r w:rsidRPr="00E72311">
              <w:rPr>
                <w:rFonts w:ascii="Times New Roman" w:eastAsia="바탕" w:hAnsi="Times New Roman" w:cs="Times New Roman"/>
                <w:szCs w:val="20"/>
                <w:shd w:val="clear" w:color="auto" w:fill="FFFFFF"/>
                <w:lang w:val="hu-HU" w:eastAsia="hu-HU"/>
              </w:rPr>
              <w:t>választ mutatóknál</w:t>
            </w:r>
          </w:p>
        </w:tc>
        <w:tc>
          <w:tcPr>
            <w:tcW w:w="2896" w:type="dxa"/>
            <w:tcBorders>
              <w:top w:val="nil"/>
              <w:left w:val="nil"/>
              <w:bottom w:val="single" w:sz="4" w:space="0" w:color="auto"/>
              <w:right w:val="single" w:sz="8" w:space="0" w:color="auto"/>
            </w:tcBorders>
            <w:tcMar>
              <w:top w:w="0" w:type="dxa"/>
              <w:left w:w="108" w:type="dxa"/>
              <w:bottom w:w="0" w:type="dxa"/>
              <w:right w:w="108" w:type="dxa"/>
            </w:tcMar>
            <w:hideMark/>
          </w:tcPr>
          <w:p w14:paraId="00891C8C" w14:textId="77777777" w:rsidR="00E72311" w:rsidRPr="00E72311" w:rsidRDefault="00E72311" w:rsidP="00E72311">
            <w:pPr>
              <w:widowControl/>
              <w:suppressAutoHyphens/>
              <w:spacing w:line="260" w:lineRule="exact"/>
              <w:jc w:val="center"/>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18/31 (58,1%)</w:t>
            </w:r>
          </w:p>
        </w:tc>
        <w:tc>
          <w:tcPr>
            <w:tcW w:w="2581" w:type="dxa"/>
            <w:tcBorders>
              <w:top w:val="nil"/>
              <w:left w:val="nil"/>
              <w:bottom w:val="single" w:sz="4" w:space="0" w:color="auto"/>
              <w:right w:val="single" w:sz="8" w:space="0" w:color="auto"/>
            </w:tcBorders>
            <w:tcMar>
              <w:top w:w="0" w:type="dxa"/>
              <w:left w:w="108" w:type="dxa"/>
              <w:bottom w:w="0" w:type="dxa"/>
              <w:right w:w="108" w:type="dxa"/>
            </w:tcMar>
            <w:hideMark/>
          </w:tcPr>
          <w:p w14:paraId="2718C834" w14:textId="77777777" w:rsidR="00E72311" w:rsidRPr="00E72311" w:rsidRDefault="00E72311" w:rsidP="00E72311">
            <w:pPr>
              <w:widowControl/>
              <w:suppressAutoHyphens/>
              <w:spacing w:line="260" w:lineRule="exact"/>
              <w:jc w:val="center"/>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16/31 (51,6%)</w:t>
            </w:r>
          </w:p>
        </w:tc>
      </w:tr>
      <w:tr w:rsidR="00E72311" w:rsidRPr="00BE4D18" w14:paraId="61D2CB9F" w14:textId="77777777" w:rsidTr="004F731A">
        <w:trPr>
          <w:trHeight w:val="533"/>
          <w:jc w:val="center"/>
        </w:trPr>
        <w:tc>
          <w:tcPr>
            <w:tcW w:w="9538" w:type="dxa"/>
            <w:gridSpan w:val="3"/>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37236A5C" w14:textId="5B109B72" w:rsidR="00E72311" w:rsidRPr="00E72311" w:rsidRDefault="00E72311" w:rsidP="00E72311">
            <w:pPr>
              <w:widowControl/>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vertAlign w:val="superscript"/>
                <w:lang w:val="hu-HU" w:eastAsia="hu-HU"/>
              </w:rPr>
              <w:t>a </w:t>
            </w:r>
            <w:r>
              <w:rPr>
                <w:rFonts w:ascii="Times New Roman" w:eastAsia="바탕" w:hAnsi="Times New Roman" w:cs="Times New Roman"/>
                <w:szCs w:val="20"/>
                <w:lang w:val="hu-HU" w:eastAsia="hu-HU"/>
              </w:rPr>
              <w:t>Adalimumab</w:t>
            </w:r>
            <w:r w:rsidRPr="00E72311">
              <w:rPr>
                <w:rFonts w:ascii="Times New Roman" w:eastAsia="바탕" w:hAnsi="Times New Roman" w:cs="Times New Roman"/>
                <w:szCs w:val="20"/>
                <w:lang w:val="hu-HU" w:eastAsia="hu-HU"/>
              </w:rPr>
              <w:t xml:space="preserve"> 2,4 mg/ttkg (maximum 160 mg) a 0. héten, placebo az 1. héten és 1,2 mg/ttkg (maximum 80 mg) a 2. héten </w:t>
            </w:r>
          </w:p>
          <w:p w14:paraId="64B41A78" w14:textId="1F8BC08B" w:rsidR="00E72311" w:rsidRPr="00E72311" w:rsidRDefault="00E72311" w:rsidP="00E72311">
            <w:pPr>
              <w:widowControl/>
              <w:suppressAutoHyphens/>
              <w:spacing w:line="260" w:lineRule="exact"/>
              <w:textAlignment w:val="baseline"/>
              <w:rPr>
                <w:rFonts w:ascii="Times New Roman" w:eastAsia="바탕" w:hAnsi="Times New Roman" w:cs="Times New Roman"/>
                <w:sz w:val="24"/>
                <w:szCs w:val="24"/>
                <w:lang w:val="hu-HU" w:eastAsia="hu-HU"/>
              </w:rPr>
            </w:pPr>
            <w:r w:rsidRPr="00E72311">
              <w:rPr>
                <w:rFonts w:ascii="Times New Roman" w:eastAsia="바탕" w:hAnsi="Times New Roman" w:cs="Times New Roman"/>
                <w:szCs w:val="24"/>
                <w:vertAlign w:val="superscript"/>
                <w:lang w:val="hu-HU" w:eastAsia="hu-HU"/>
              </w:rPr>
              <w:t>b </w:t>
            </w:r>
            <w:r>
              <w:rPr>
                <w:rFonts w:ascii="Times New Roman" w:eastAsia="바탕" w:hAnsi="Times New Roman" w:cs="Times New Roman"/>
                <w:szCs w:val="24"/>
                <w:lang w:val="hu-HU" w:eastAsia="hu-HU"/>
              </w:rPr>
              <w:t>Adalimumab</w:t>
            </w:r>
            <w:r w:rsidRPr="00E72311">
              <w:rPr>
                <w:rFonts w:ascii="Times New Roman" w:eastAsia="바탕" w:hAnsi="Times New Roman" w:cs="Times New Roman"/>
                <w:szCs w:val="24"/>
                <w:lang w:val="hu-HU" w:eastAsia="hu-HU"/>
              </w:rPr>
              <w:t xml:space="preserve"> 2,4 mg/ttkg (maximum 160 mg) a 0. és az 1. héten és 1,2 mg/ttkg (maximum 80 mg) a 2. héten</w:t>
            </w:r>
            <w:r w:rsidRPr="00E72311">
              <w:rPr>
                <w:rFonts w:ascii="Times New Roman" w:eastAsia="바탕" w:hAnsi="Times New Roman" w:cs="Times New Roman"/>
                <w:sz w:val="24"/>
                <w:szCs w:val="24"/>
                <w:lang w:val="hu-HU" w:eastAsia="hu-HU"/>
              </w:rPr>
              <w:t> </w:t>
            </w:r>
          </w:p>
          <w:p w14:paraId="6C685FA2" w14:textId="5E69DD5D" w:rsidR="00E72311" w:rsidRPr="00E72311" w:rsidRDefault="00E72311" w:rsidP="00E72311">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4"/>
                <w:vertAlign w:val="superscript"/>
                <w:lang w:val="hu-HU" w:eastAsia="hu-HU"/>
              </w:rPr>
              <w:t>c </w:t>
            </w:r>
            <w:r w:rsidRPr="00E72311">
              <w:rPr>
                <w:rFonts w:ascii="Times New Roman" w:eastAsia="바탕" w:hAnsi="Times New Roman" w:cs="Times New Roman"/>
                <w:szCs w:val="24"/>
                <w:lang w:val="hu-HU" w:eastAsia="hu-HU"/>
              </w:rPr>
              <w:t xml:space="preserve">Nem tartalmazza a </w:t>
            </w:r>
            <w:r>
              <w:rPr>
                <w:rFonts w:ascii="Times New Roman" w:eastAsia="바탕" w:hAnsi="Times New Roman" w:cs="Times New Roman"/>
                <w:szCs w:val="24"/>
                <w:lang w:val="hu-HU" w:eastAsia="hu-HU"/>
              </w:rPr>
              <w:t>adalimumab</w:t>
            </w:r>
            <w:r w:rsidRPr="00E72311">
              <w:rPr>
                <w:rFonts w:ascii="Times New Roman" w:eastAsia="바탕" w:hAnsi="Times New Roman" w:cs="Times New Roman"/>
                <w:szCs w:val="24"/>
                <w:lang w:val="hu-HU" w:eastAsia="hu-HU"/>
              </w:rPr>
              <w:t xml:space="preserve"> nyílt indukciós dózist: 2,4 mg/ttkg (maximum 160 mg) a 0. héten, placebo az 1. héten és 1,2 mg/ttkg (maximum 80 mg) a 2. héten</w:t>
            </w:r>
          </w:p>
          <w:p w14:paraId="7B29B538" w14:textId="36EDDB6E" w:rsidR="00E72311" w:rsidRPr="00E72311" w:rsidRDefault="00E72311" w:rsidP="00E72311">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4"/>
                <w:vertAlign w:val="superscript"/>
                <w:lang w:val="hu-HU" w:eastAsia="hu-HU"/>
              </w:rPr>
              <w:t>d </w:t>
            </w:r>
            <w:r>
              <w:rPr>
                <w:rFonts w:ascii="Times New Roman" w:eastAsia="바탕" w:hAnsi="Times New Roman" w:cs="Times New Roman"/>
                <w:szCs w:val="24"/>
                <w:lang w:val="hu-HU" w:eastAsia="hu-HU"/>
              </w:rPr>
              <w:t>Adalimumab</w:t>
            </w:r>
            <w:r w:rsidRPr="00E72311">
              <w:rPr>
                <w:rFonts w:ascii="Times New Roman" w:eastAsia="바탕" w:hAnsi="Times New Roman" w:cs="Times New Roman"/>
                <w:szCs w:val="24"/>
                <w:lang w:val="hu-HU" w:eastAsia="hu-HU"/>
              </w:rPr>
              <w:t xml:space="preserve"> 0,6 mg/ttkg (maximum 40 mg) kéthetente</w:t>
            </w:r>
          </w:p>
          <w:p w14:paraId="0A1A30CA" w14:textId="070D414A" w:rsidR="00E72311" w:rsidRPr="00E72311" w:rsidRDefault="00E72311" w:rsidP="00E72311">
            <w:pPr>
              <w:widowControl/>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vertAlign w:val="superscript"/>
                <w:lang w:val="hu-HU" w:eastAsia="hu-HU"/>
              </w:rPr>
              <w:t>e </w:t>
            </w:r>
            <w:r>
              <w:rPr>
                <w:rFonts w:ascii="Times New Roman" w:eastAsia="바탕" w:hAnsi="Times New Roman" w:cs="Times New Roman"/>
                <w:szCs w:val="20"/>
                <w:lang w:val="hu-HU" w:eastAsia="hu-HU"/>
              </w:rPr>
              <w:t>Adalimumab</w:t>
            </w:r>
            <w:r w:rsidRPr="00E72311">
              <w:rPr>
                <w:rFonts w:ascii="Times New Roman" w:eastAsia="바탕" w:hAnsi="Times New Roman" w:cs="Times New Roman"/>
                <w:szCs w:val="20"/>
                <w:lang w:val="hu-HU" w:eastAsia="hu-HU"/>
              </w:rPr>
              <w:t xml:space="preserve"> 0,6 mg/ttkg (maximum 40 mg) hetente</w:t>
            </w:r>
          </w:p>
          <w:p w14:paraId="29CE6A35" w14:textId="77777777" w:rsidR="00E72311" w:rsidRPr="00E72311" w:rsidRDefault="00E72311" w:rsidP="00E72311">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4"/>
                <w:lang w:val="hu-HU" w:eastAsia="hu-HU"/>
              </w:rPr>
              <w:t>1. megjegyzés: Mindkét indukciós csoport 0,6 mg/ttkg-ot (maximum 40 mg) kapott a 4. és a 6. héten</w:t>
            </w:r>
            <w:r w:rsidRPr="00E72311">
              <w:rPr>
                <w:rFonts w:ascii="Times New Roman" w:eastAsia="바탕" w:hAnsi="Times New Roman" w:cs="Times New Roman"/>
                <w:sz w:val="24"/>
                <w:szCs w:val="24"/>
                <w:lang w:val="hu-HU" w:eastAsia="hu-HU"/>
              </w:rPr>
              <w:t> </w:t>
            </w:r>
          </w:p>
          <w:p w14:paraId="6ECD4F43" w14:textId="77777777" w:rsidR="00E72311" w:rsidRPr="00E72311" w:rsidRDefault="00E72311" w:rsidP="00E72311">
            <w:pPr>
              <w:widowControl/>
              <w:suppressAutoHyphens/>
              <w:spacing w:line="260" w:lineRule="exact"/>
              <w:textAlignment w:val="baseline"/>
              <w:rPr>
                <w:rFonts w:ascii="Times New Roman" w:eastAsia="바탕" w:hAnsi="Times New Roman" w:cs="Times New Roman"/>
                <w:sz w:val="24"/>
                <w:szCs w:val="24"/>
                <w:lang w:val="hu-HU" w:eastAsia="hu-HU"/>
              </w:rPr>
            </w:pPr>
            <w:r w:rsidRPr="00E72311">
              <w:rPr>
                <w:rFonts w:ascii="Times New Roman" w:eastAsia="바탕" w:hAnsi="Times New Roman" w:cs="Times New Roman"/>
                <w:szCs w:val="24"/>
                <w:lang w:val="hu-HU" w:eastAsia="hu-HU"/>
              </w:rPr>
              <w:t>2. megjegyzés: Úgy ítélték meg, hogy a 8. héten hiányzó adatok esetén a betegek nem teljesítették a végpontokat</w:t>
            </w:r>
            <w:r w:rsidRPr="00E72311">
              <w:rPr>
                <w:rFonts w:ascii="Times New Roman" w:eastAsia="바탕" w:hAnsi="Times New Roman" w:cs="Times New Roman"/>
                <w:sz w:val="24"/>
                <w:szCs w:val="24"/>
                <w:lang w:val="hu-HU" w:eastAsia="hu-HU"/>
              </w:rPr>
              <w:t> </w:t>
            </w:r>
          </w:p>
          <w:p w14:paraId="5566BFA4" w14:textId="5A826ABD" w:rsidR="00E72311" w:rsidRPr="00E72311" w:rsidRDefault="00E72311" w:rsidP="00E72311">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3. megjegyzés: Azokat a betegeket, akiknek az 52. héten hiányoztak az értékei, vagy akiket randomizáltak ismételt indukcióra vagy fenntartó kezelésre, az 52. hét végpontjain választ nem mutatóknak tekintették</w:t>
            </w:r>
          </w:p>
        </w:tc>
      </w:tr>
    </w:tbl>
    <w:p w14:paraId="6EDA72D1" w14:textId="77777777" w:rsidR="00E72311" w:rsidRPr="00E72311" w:rsidRDefault="00E72311" w:rsidP="00E72311">
      <w:pPr>
        <w:widowControl/>
        <w:suppressAutoHyphens/>
        <w:spacing w:line="260" w:lineRule="exact"/>
        <w:rPr>
          <w:rFonts w:ascii="Times New Roman" w:eastAsia="바탕" w:hAnsi="Times New Roman" w:cs="Times New Roman"/>
          <w:szCs w:val="20"/>
          <w:lang w:val="hu-HU" w:eastAsia="hu-HU"/>
        </w:rPr>
      </w:pPr>
    </w:p>
    <w:p w14:paraId="4D73B6E2" w14:textId="763FD135" w:rsidR="00E72311" w:rsidRPr="00E72311" w:rsidRDefault="00E72311" w:rsidP="00E72311">
      <w:pPr>
        <w:widowControl/>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 xml:space="preserve">A fenntartó periódus alatt ismételt indukciós kezelést kapott, </w:t>
      </w:r>
      <w:r>
        <w:rPr>
          <w:rFonts w:ascii="Times New Roman" w:eastAsia="바탕" w:hAnsi="Times New Roman" w:cs="Times New Roman"/>
          <w:szCs w:val="20"/>
          <w:lang w:val="hu-HU" w:eastAsia="hu-HU"/>
        </w:rPr>
        <w:t>adalimumab</w:t>
      </w:r>
      <w:r w:rsidRPr="00E72311">
        <w:rPr>
          <w:rFonts w:ascii="Times New Roman" w:eastAsia="바탕" w:hAnsi="Times New Roman" w:cs="Times New Roman"/>
          <w:szCs w:val="20"/>
          <w:lang w:val="hu-HU" w:eastAsia="hu-HU"/>
        </w:rPr>
        <w:t>-val kezelt betegek közül 2/6 (33%) ért el klinikai választ FMS szerint az 52. héten.</w:t>
      </w:r>
    </w:p>
    <w:p w14:paraId="6B3BD8C9" w14:textId="77777777" w:rsidR="00E72311" w:rsidRPr="00E72311" w:rsidRDefault="00E72311" w:rsidP="00E72311">
      <w:pPr>
        <w:widowControl/>
        <w:suppressAutoHyphens/>
        <w:spacing w:line="260" w:lineRule="exact"/>
        <w:rPr>
          <w:rFonts w:ascii="Times New Roman" w:eastAsia="바탕" w:hAnsi="Times New Roman" w:cs="Times New Roman"/>
          <w:szCs w:val="20"/>
          <w:lang w:val="hu-HU" w:eastAsia="hu-HU"/>
        </w:rPr>
      </w:pPr>
    </w:p>
    <w:p w14:paraId="71F88B4E" w14:textId="77777777" w:rsidR="00E72311" w:rsidRPr="00E72311" w:rsidRDefault="00E72311" w:rsidP="00E72311">
      <w:pPr>
        <w:keepNext/>
        <w:widowControl/>
        <w:suppressAutoHyphens/>
        <w:spacing w:line="260" w:lineRule="exact"/>
        <w:rPr>
          <w:rFonts w:ascii="Times New Roman" w:eastAsia="바탕" w:hAnsi="Times New Roman" w:cs="Times New Roman"/>
          <w:bCs/>
          <w:i/>
          <w:szCs w:val="20"/>
          <w:u w:val="single"/>
          <w:lang w:val="hu-HU" w:eastAsia="hu-HU"/>
        </w:rPr>
      </w:pPr>
      <w:r w:rsidRPr="00E72311">
        <w:rPr>
          <w:rFonts w:ascii="Times New Roman" w:eastAsia="바탕" w:hAnsi="Times New Roman" w:cs="Times New Roman"/>
          <w:i/>
          <w:szCs w:val="20"/>
          <w:u w:val="single"/>
          <w:lang w:val="hu-HU" w:eastAsia="hu-HU"/>
        </w:rPr>
        <w:lastRenderedPageBreak/>
        <w:t>Életminőség</w:t>
      </w:r>
    </w:p>
    <w:p w14:paraId="67052BF1" w14:textId="77777777" w:rsidR="00E72311" w:rsidRPr="00E72311" w:rsidRDefault="00E72311" w:rsidP="00E72311">
      <w:pPr>
        <w:keepNext/>
        <w:widowControl/>
        <w:suppressAutoHyphens/>
        <w:spacing w:line="260" w:lineRule="exact"/>
        <w:rPr>
          <w:rFonts w:ascii="Times New Roman" w:eastAsia="바탕" w:hAnsi="Times New Roman" w:cs="Times New Roman"/>
          <w:bCs/>
          <w:i/>
          <w:szCs w:val="20"/>
          <w:u w:val="single"/>
          <w:lang w:val="hu-HU" w:eastAsia="hu-HU"/>
        </w:rPr>
      </w:pPr>
    </w:p>
    <w:p w14:paraId="4C739916" w14:textId="6FD208D0" w:rsidR="00E72311" w:rsidRPr="00E72311" w:rsidRDefault="00E72311" w:rsidP="00E72311">
      <w:pPr>
        <w:keepNext/>
        <w:widowControl/>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 xml:space="preserve">A kiindulási értékhez képest klinikailag jelentős javulást figyeltek meg az IMPACT III és a WPAI (gondozói munka produktivitás és aktivitásromlás) pontszámokban a </w:t>
      </w:r>
      <w:r>
        <w:rPr>
          <w:rFonts w:ascii="Times New Roman" w:eastAsia="바탕" w:hAnsi="Times New Roman" w:cs="Times New Roman"/>
          <w:szCs w:val="20"/>
          <w:lang w:val="hu-HU" w:eastAsia="hu-HU"/>
        </w:rPr>
        <w:t>adalimumab</w:t>
      </w:r>
      <w:r w:rsidRPr="00E72311">
        <w:rPr>
          <w:rFonts w:ascii="Times New Roman" w:eastAsia="바탕" w:hAnsi="Times New Roman" w:cs="Times New Roman"/>
          <w:szCs w:val="20"/>
          <w:lang w:val="hu-HU" w:eastAsia="hu-HU"/>
        </w:rPr>
        <w:t>-val kezelt csoportoknál.</w:t>
      </w:r>
    </w:p>
    <w:p w14:paraId="09C4C759" w14:textId="77777777" w:rsidR="00E72311" w:rsidRPr="00E72311" w:rsidRDefault="00E72311" w:rsidP="00E72311">
      <w:pPr>
        <w:keepNext/>
        <w:widowControl/>
        <w:suppressAutoHyphens/>
        <w:spacing w:line="260" w:lineRule="exact"/>
        <w:rPr>
          <w:rFonts w:ascii="Times New Roman" w:eastAsia="바탕" w:hAnsi="Times New Roman" w:cs="Times New Roman"/>
          <w:szCs w:val="20"/>
          <w:lang w:val="hu-HU" w:eastAsia="hu-HU"/>
        </w:rPr>
      </w:pPr>
    </w:p>
    <w:p w14:paraId="3D1492DA" w14:textId="6CC9354E" w:rsidR="00E72311" w:rsidRPr="00E72311" w:rsidRDefault="00E72311" w:rsidP="004E2591">
      <w:pPr>
        <w:widowControl/>
        <w:suppressAutoHyphens/>
        <w:spacing w:line="260" w:lineRule="exact"/>
        <w:rPr>
          <w:rFonts w:ascii="Times New Roman" w:eastAsia="바탕" w:hAnsi="Times New Roman" w:cs="Times New Roman"/>
          <w:szCs w:val="20"/>
          <w:lang w:val="hu-HU"/>
        </w:rPr>
      </w:pPr>
      <w:r w:rsidRPr="00E72311">
        <w:rPr>
          <w:rFonts w:ascii="Times New Roman" w:eastAsia="바탕" w:hAnsi="Times New Roman" w:cs="Times New Roman"/>
          <w:szCs w:val="20"/>
          <w:lang w:val="hu-HU" w:eastAsia="hu-HU"/>
        </w:rPr>
        <w:t>Az adalimumabbal kezelt csoportoknál a növekedési sebesség klinikailag jelentős mértékű növekedését (javulását) figyelték meg a kiindulási értékhez képest és a testtömeg-index klinikailag jelentős növekedését (javulását) a kiindulási értékhez képest azoknál az alanyoknál, akik a nagy, hetente adott legfeljebb 40 mg (0,6 mg/ttkg) fenntartó dózist kapták.</w:t>
      </w:r>
    </w:p>
    <w:p w14:paraId="6CF39DFA" w14:textId="7DF3819D" w:rsidR="00E72311" w:rsidRPr="00E72311" w:rsidRDefault="00E72311" w:rsidP="00E72311">
      <w:pPr>
        <w:pStyle w:val="a3"/>
        <w:rPr>
          <w:lang w:val="hu-HU"/>
        </w:rPr>
      </w:pPr>
    </w:p>
    <w:p w14:paraId="7D79324D" w14:textId="77777777" w:rsidR="00E72311" w:rsidRDefault="00E72311" w:rsidP="00E72311">
      <w:pPr>
        <w:pStyle w:val="a3"/>
        <w:rPr>
          <w:rFonts w:eastAsia="Times New Roman"/>
          <w:lang w:val="hu-HU"/>
        </w:rPr>
      </w:pPr>
      <w:r>
        <w:rPr>
          <w:rFonts w:eastAsia="Times New Roman"/>
          <w:i/>
          <w:iCs/>
          <w:spacing w:val="-1"/>
          <w:lang w:val="hu-HU"/>
        </w:rPr>
        <w:t>Gyermekkori uveitis</w:t>
      </w:r>
    </w:p>
    <w:p w14:paraId="2D8B9D9F" w14:textId="77777777" w:rsidR="00E72311" w:rsidRDefault="00E72311" w:rsidP="00E72311">
      <w:pPr>
        <w:pStyle w:val="a3"/>
        <w:rPr>
          <w:sz w:val="24"/>
          <w:szCs w:val="24"/>
          <w:lang w:val="hu-HU"/>
        </w:rPr>
      </w:pPr>
    </w:p>
    <w:p w14:paraId="602ABB18" w14:textId="77777777" w:rsidR="00E72311" w:rsidRDefault="00E72311" w:rsidP="00E72311">
      <w:pPr>
        <w:pStyle w:val="a3"/>
        <w:rPr>
          <w:lang w:val="hu-HU"/>
        </w:rPr>
      </w:pPr>
      <w:r>
        <w:rPr>
          <w:rFonts w:eastAsia="Times New Roman"/>
          <w:lang w:val="hu-HU"/>
        </w:rPr>
        <w:t>Az adalimumab biztonságosságát és hatásosságát 90, 2 – &lt;18 éves kor közötti, aktív, JIA-asszociált, nem fertőzéses eredetű anterior uvitisben szenvedő, legalább 12 hetes metotrexát-kezelésre refrakter gyermeknél egy randomizált, kettős vak, kontrollos vizsgálatban értékelték. A betegek vagy placebót, vagy 20 mg adalimumabot (30 kg testtömeg alatt), illetve 40 mg adalimumabot (legalább 30 kg-os testtömeg esetén) kaptak minden második héten a kezelés kezdetén alkalmazott metotrexát dózissal kombinálva.</w:t>
      </w:r>
    </w:p>
    <w:p w14:paraId="62587BDB" w14:textId="77777777" w:rsidR="00E72311" w:rsidRDefault="00E72311" w:rsidP="00E72311">
      <w:pPr>
        <w:pStyle w:val="a3"/>
        <w:rPr>
          <w:lang w:val="hu-HU"/>
        </w:rPr>
      </w:pPr>
      <w:r>
        <w:rPr>
          <w:rFonts w:eastAsia="Times New Roman"/>
          <w:lang w:val="hu-HU"/>
        </w:rPr>
        <w:t>Az elsődleges végpont a „kezelés eredménytelenségéig eltelt idő” volt. A kezelés eredménytelenségének kritériumai a szemgyulladás romlása, vagy tartós nem javulása, részleges javulás tartós szemészeti társbetegségek kialakulása mellett, vagy a szemészeti társbetegségek romlása, nem engedélyezett egyidejű gyógyszeralkalmazás, vagy a kezelés hosszabb ideig tartó felfüggesztése voltak.</w:t>
      </w:r>
    </w:p>
    <w:p w14:paraId="77946F3A" w14:textId="77777777" w:rsidR="00E72311" w:rsidRDefault="00E72311" w:rsidP="00E72311">
      <w:pPr>
        <w:pStyle w:val="a3"/>
        <w:rPr>
          <w:sz w:val="24"/>
          <w:szCs w:val="24"/>
          <w:lang w:val="hu-HU"/>
        </w:rPr>
      </w:pPr>
    </w:p>
    <w:p w14:paraId="147BE8C7" w14:textId="77777777" w:rsidR="00E72311" w:rsidRDefault="00E72311" w:rsidP="00E72311">
      <w:pPr>
        <w:pStyle w:val="a3"/>
        <w:rPr>
          <w:rFonts w:eastAsia="Times New Roman"/>
          <w:lang w:val="hu-HU"/>
        </w:rPr>
      </w:pPr>
      <w:r>
        <w:rPr>
          <w:rFonts w:eastAsia="Times New Roman"/>
          <w:i/>
          <w:iCs/>
          <w:spacing w:val="-1"/>
          <w:u w:val="single" w:color="000000"/>
          <w:lang w:val="hu-HU"/>
        </w:rPr>
        <w:t>Klinikai válasz</w:t>
      </w:r>
    </w:p>
    <w:p w14:paraId="709DD290" w14:textId="77777777" w:rsidR="00E72311" w:rsidRDefault="00E72311" w:rsidP="00E72311">
      <w:pPr>
        <w:pStyle w:val="a3"/>
        <w:rPr>
          <w:sz w:val="20"/>
          <w:szCs w:val="20"/>
          <w:lang w:val="hu-HU"/>
        </w:rPr>
      </w:pPr>
    </w:p>
    <w:p w14:paraId="71A3C7F5" w14:textId="77777777" w:rsidR="00E72311" w:rsidRDefault="00E72311" w:rsidP="00E72311">
      <w:pPr>
        <w:pStyle w:val="a3"/>
        <w:rPr>
          <w:lang w:val="hu-HU"/>
        </w:rPr>
      </w:pPr>
      <w:r>
        <w:rPr>
          <w:rFonts w:eastAsia="Times New Roman"/>
          <w:lang w:val="hu-HU"/>
        </w:rPr>
        <w:t>Az adalimumab szignifikánsan késleltette a kezelés eredménytelenségéig eltelt időt a placebóhoz képest (lásd 3. ábra, p &lt; 0,0001, lograng-próba). A kezelés eredménytelenségéig eltelt medián időtartam 24,1 hét volt placebóval kezelt betegek esetén, míg az adalimumabbal kezelt betegek esetén a kezelés eredménytelenségéig eltelt medián időtartam nem volt becsülhető, mivel kevesebb mint a betegek felénél tapasztaltak kezelési eredménytelenséget. Az adalimumab szignifikánsan, 75%-kal csökkentette a kezelési eredménytelenség kockázatát a placebóhoz képest, ahogy ezt a relatív hazárd érték mutatja (HR = 0,25 [95%-os CI: 0,12; 0,49]).</w:t>
      </w:r>
    </w:p>
    <w:p w14:paraId="0263A7C1" w14:textId="6AD14567" w:rsidR="009569F2" w:rsidRDefault="009569F2" w:rsidP="00E72311">
      <w:pPr>
        <w:rPr>
          <w:sz w:val="20"/>
          <w:szCs w:val="20"/>
          <w:lang w:val="hu-HU"/>
        </w:rPr>
      </w:pPr>
    </w:p>
    <w:p w14:paraId="26E78F87" w14:textId="77777777" w:rsidR="009569F2" w:rsidRDefault="009569F2" w:rsidP="00E72311">
      <w:pPr>
        <w:rPr>
          <w:sz w:val="20"/>
          <w:szCs w:val="20"/>
          <w:lang w:val="hu-HU"/>
        </w:rPr>
      </w:pPr>
    </w:p>
    <w:p w14:paraId="26D91ACD" w14:textId="77777777" w:rsidR="00E72311" w:rsidRDefault="00E72311" w:rsidP="00E72311">
      <w:pPr>
        <w:pStyle w:val="a3"/>
        <w:jc w:val="center"/>
        <w:rPr>
          <w:b/>
          <w:lang w:val="hu-HU"/>
        </w:rPr>
      </w:pPr>
      <w:r>
        <w:rPr>
          <w:rFonts w:eastAsia="Times New Roman"/>
          <w:b/>
          <w:bCs/>
          <w:lang w:val="hu-HU"/>
        </w:rPr>
        <w:t>3. ábra:A kezelés eredménytelenségéig eltelt időt összegző Kaplan-Meier görbék a gyermekkori uveitis vizsgálatban</w:t>
      </w:r>
    </w:p>
    <w:p w14:paraId="71E5E4D7" w14:textId="77777777" w:rsidR="00E72311" w:rsidRDefault="00E72311" w:rsidP="00E72311">
      <w:pPr>
        <w:pStyle w:val="a3"/>
        <w:rPr>
          <w:rFonts w:eastAsia="Times New Roman"/>
          <w:lang w:val="hu-HU"/>
        </w:rPr>
      </w:pPr>
      <w:r w:rsidRPr="00E91FF7">
        <w:rPr>
          <w:rFonts w:eastAsia="Times New Roman"/>
          <w:noProof/>
          <w:lang w:eastAsia="ko-KR"/>
        </w:rPr>
        <w:lastRenderedPageBreak/>
        <w:drawing>
          <wp:inline distT="0" distB="0" distL="0" distR="0" wp14:anchorId="27CBFBBE" wp14:editId="0379F94F">
            <wp:extent cx="6095130" cy="4191000"/>
            <wp:effectExtent l="0" t="0" r="1270" b="0"/>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그림 5"/>
                    <pic:cNvPicPr>
                      <a:picLocks noChangeAspect="1"/>
                    </pic:cNvPicPr>
                  </pic:nvPicPr>
                  <pic:blipFill rotWithShape="1">
                    <a:blip r:embed="rId19"/>
                    <a:srcRect l="6096" t="25106" r="57448" b="21223"/>
                    <a:stretch/>
                  </pic:blipFill>
                  <pic:spPr>
                    <a:xfrm>
                      <a:off x="0" y="0"/>
                      <a:ext cx="6102263" cy="4195905"/>
                    </a:xfrm>
                    <a:prstGeom prst="rect">
                      <a:avLst/>
                    </a:prstGeom>
                  </pic:spPr>
                </pic:pic>
              </a:graphicData>
            </a:graphic>
          </wp:inline>
        </w:drawing>
      </w:r>
    </w:p>
    <w:p w14:paraId="53DBB044" w14:textId="28C455BA" w:rsidR="00417A10" w:rsidRPr="00E72311" w:rsidRDefault="00E72311" w:rsidP="00AF1AD1">
      <w:pPr>
        <w:pStyle w:val="a3"/>
        <w:rPr>
          <w:sz w:val="18"/>
          <w:szCs w:val="18"/>
          <w:lang w:val="hu-HU"/>
        </w:rPr>
      </w:pPr>
      <w:r>
        <w:rPr>
          <w:rFonts w:eastAsia="Times New Roman"/>
          <w:lang w:val="hu-HU"/>
        </w:rPr>
        <w:t>Megjegyzés: P = Placebo (Veszélyeztetett betegek száma); A = Adalimumab (Veszélyeztetett betegek száma).</w:t>
      </w:r>
    </w:p>
    <w:p w14:paraId="74231DDF" w14:textId="77777777" w:rsidR="00130E8B" w:rsidRDefault="00130E8B">
      <w:pPr>
        <w:spacing w:before="16" w:line="240" w:lineRule="exact"/>
        <w:rPr>
          <w:sz w:val="24"/>
          <w:szCs w:val="24"/>
          <w:lang w:val="hu-HU"/>
        </w:rPr>
      </w:pPr>
    </w:p>
    <w:p w14:paraId="023DE42F" w14:textId="77777777" w:rsidR="00130E8B" w:rsidRDefault="000405CC">
      <w:pPr>
        <w:widowControl/>
        <w:numPr>
          <w:ilvl w:val="1"/>
          <w:numId w:val="29"/>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Farmakokinetikai tulajdonságok</w:t>
      </w:r>
    </w:p>
    <w:p w14:paraId="1B678F68" w14:textId="77777777" w:rsidR="00130E8B" w:rsidRDefault="00130E8B">
      <w:pPr>
        <w:spacing w:before="9" w:line="240" w:lineRule="exact"/>
        <w:rPr>
          <w:sz w:val="24"/>
          <w:szCs w:val="24"/>
          <w:lang w:val="hu-HU"/>
        </w:rPr>
      </w:pPr>
    </w:p>
    <w:p w14:paraId="6EF54253" w14:textId="77777777" w:rsidR="00130E8B" w:rsidRDefault="000405CC">
      <w:pPr>
        <w:pStyle w:val="a3"/>
        <w:rPr>
          <w:u w:val="single"/>
          <w:lang w:val="hu-HU"/>
        </w:rPr>
      </w:pPr>
      <w:r>
        <w:rPr>
          <w:rFonts w:eastAsia="Times New Roman"/>
          <w:u w:val="single" w:color="000000"/>
          <w:lang w:val="hu-HU"/>
        </w:rPr>
        <w:t>Felszívódás és eloszlás</w:t>
      </w:r>
    </w:p>
    <w:p w14:paraId="51FE6E2D" w14:textId="77777777" w:rsidR="00130E8B" w:rsidRDefault="00130E8B">
      <w:pPr>
        <w:spacing w:before="1" w:line="180" w:lineRule="exact"/>
        <w:rPr>
          <w:sz w:val="18"/>
          <w:szCs w:val="18"/>
          <w:lang w:val="hu-HU"/>
        </w:rPr>
      </w:pPr>
    </w:p>
    <w:p w14:paraId="28D59049" w14:textId="77777777" w:rsidR="00130E8B" w:rsidRDefault="000405CC">
      <w:pPr>
        <w:pStyle w:val="a3"/>
        <w:rPr>
          <w:lang w:val="hu-HU"/>
        </w:rPr>
      </w:pPr>
      <w:r>
        <w:rPr>
          <w:rFonts w:eastAsia="Times New Roman"/>
          <w:lang w:val="hu-HU"/>
        </w:rPr>
        <w:t>40 mg adag egyszeri subcutan beadását követően az adalimumab felszívódása és eloszlása lassú volt, a szérumban a csúcskoncentrációt csak a beadást követő 5. napon érte el. Az adalimumab átlagos abszolút biohasznosulása, 40 mg adalimumab subcutan beadását követően, három vizsgálat eredményei alapján 64% volt.0,25 mg/ttkg-tól 10 mg/ttkg-ig terjedő adag egyszeri intravénás beadását követően a szérumkoncentráció az adaggal részarányos volt.0,5 mg/ttkg-os adag (~40 mg) beadását követően, a clearence 11 és 15 ml/óra között, az eloszlási térfogat (Vss) 5-6 liter között változott, és az átlagos terminális felezési idő megközelítőleg két hét volt. Az adalimumab synovialis folyadékban mérhető koncentrációja néhány rheumatoid arthritises beteg vizsgálata alapján, a szérumkoncentráció 31-96%-a volt.</w:t>
      </w:r>
    </w:p>
    <w:p w14:paraId="240D157E" w14:textId="77777777" w:rsidR="00130E8B" w:rsidRDefault="00130E8B">
      <w:pPr>
        <w:spacing w:before="14" w:line="240" w:lineRule="exact"/>
        <w:rPr>
          <w:sz w:val="24"/>
          <w:szCs w:val="24"/>
          <w:lang w:val="hu-HU"/>
        </w:rPr>
      </w:pPr>
    </w:p>
    <w:p w14:paraId="24FE3580" w14:textId="77777777" w:rsidR="00130E8B" w:rsidRDefault="000405CC">
      <w:pPr>
        <w:pStyle w:val="a3"/>
        <w:rPr>
          <w:lang w:val="hu-HU"/>
        </w:rPr>
      </w:pPr>
      <w:r>
        <w:rPr>
          <w:rFonts w:eastAsia="Times New Roman"/>
          <w:lang w:val="hu-HU"/>
        </w:rPr>
        <w:t xml:space="preserve">Felnőtt rheumatoid arthritises (RA), metotrexáttal nem kezelt betegeknek minden második héten subcutan beadott 40 mg adalimumab után az átlagos legalacsonyabb dinamikus egyensúlyi állapotban mért koncentráció 5 </w:t>
      </w:r>
      <w:r>
        <w:rPr>
          <w:rFonts w:ascii="Symbol" w:eastAsia="Symbol" w:hAnsi="Symbol" w:cs="Symbol"/>
          <w:lang w:val="hu-HU"/>
        </w:rPr>
        <w:sym w:font="Symbol" w:char="F06D"/>
      </w:r>
      <w:r>
        <w:rPr>
          <w:rFonts w:eastAsia="Times New Roman"/>
          <w:lang w:val="hu-HU"/>
        </w:rPr>
        <w:t xml:space="preserve">mikrogramm/ml volt, míg metotrexáttal együtt alkalmazva ez az érték 8-9 </w:t>
      </w:r>
      <w:r>
        <w:rPr>
          <w:rFonts w:ascii="Symbol" w:eastAsia="Symbol" w:hAnsi="Symbol" w:cs="Symbol"/>
          <w:lang w:val="hu-HU"/>
        </w:rPr>
        <w:sym w:font="Symbol" w:char="F06D"/>
      </w:r>
      <w:r>
        <w:rPr>
          <w:rFonts w:eastAsia="Times New Roman"/>
          <w:lang w:val="hu-HU"/>
        </w:rPr>
        <w:t>mikrogramm/ml volt. Az adalimumab dinamikus egyensúlyi állapotban mért minimális szérumkoncentrációja csaknem részarányosan nőtt kéthetenként, illetve hetenként subcutan adott 20, 40 illetve 80 mg dózis adagolásával.</w:t>
      </w:r>
    </w:p>
    <w:p w14:paraId="47574837" w14:textId="77777777" w:rsidR="00130E8B" w:rsidRDefault="00130E8B">
      <w:pPr>
        <w:spacing w:before="8" w:line="240" w:lineRule="exact"/>
        <w:rPr>
          <w:sz w:val="24"/>
          <w:szCs w:val="24"/>
          <w:lang w:val="hu-HU"/>
        </w:rPr>
      </w:pPr>
    </w:p>
    <w:p w14:paraId="7A7A4237" w14:textId="2FF903DB" w:rsidR="00130E8B" w:rsidRDefault="000405CC">
      <w:pPr>
        <w:pStyle w:val="a3"/>
        <w:rPr>
          <w:lang w:val="hu-HU"/>
        </w:rPr>
      </w:pPr>
      <w:r>
        <w:rPr>
          <w:rFonts w:eastAsia="Times New Roman"/>
          <w:lang w:val="hu-HU"/>
        </w:rPr>
        <w:t>A kéthetente 24 mg/m</w:t>
      </w:r>
      <w:r>
        <w:rPr>
          <w:rFonts w:eastAsia="Times New Roman"/>
          <w:sz w:val="14"/>
          <w:szCs w:val="14"/>
          <w:lang w:val="hu-HU"/>
        </w:rPr>
        <w:t>2</w:t>
      </w:r>
      <w:r>
        <w:rPr>
          <w:rFonts w:eastAsia="Times New Roman"/>
          <w:lang w:val="hu-HU"/>
        </w:rPr>
        <w:t xml:space="preserve"> (legfeljebb 40 mg) dózis subcutan alkalmazását követően a polyarticularis juvenilis idiopathiás arthritises (JIA) betegeknél, akiknek életkora 4 – 17 év volt, az átlagos legalacsonyabb dinamikus egyensúlyi állapotú (a 20.-tól a 48. hétig mért értékek) szérum-adalimumab-koncentráció értéke 5,6 ± 5,6 mikrogramm/ml (102% CV) volt, ha az adalimumabot együttadott metotrexát nélkül alkalmazták, míg 10,9 ± 5,2 mikrogramm/ml (47,7% CV) a kiegészítő metotrexát-kezelés esetén.</w:t>
      </w:r>
    </w:p>
    <w:p w14:paraId="3F4B28D3" w14:textId="77777777" w:rsidR="00130E8B" w:rsidRPr="007D275C" w:rsidRDefault="00130E8B">
      <w:pPr>
        <w:spacing w:before="13" w:line="240" w:lineRule="exact"/>
        <w:rPr>
          <w:sz w:val="24"/>
          <w:szCs w:val="24"/>
          <w:lang w:val="hu-HU"/>
        </w:rPr>
      </w:pPr>
    </w:p>
    <w:p w14:paraId="4169EF68" w14:textId="77777777" w:rsidR="00130E8B" w:rsidRDefault="000405CC">
      <w:pPr>
        <w:pStyle w:val="a3"/>
        <w:rPr>
          <w:lang w:val="hu-HU"/>
        </w:rPr>
      </w:pPr>
      <w:r>
        <w:rPr>
          <w:rFonts w:eastAsia="Times New Roman"/>
          <w:lang w:val="hu-HU"/>
        </w:rPr>
        <w:t>Azoknál a polyarticularis JIA-ban szenvedő betegeknél, akiknek életkora 2 - &lt;4 vagy 4 év és a feletti, testtömege &lt;15 kg volt és 24 mg/m</w:t>
      </w:r>
      <w:r>
        <w:rPr>
          <w:rFonts w:eastAsia="Times New Roman"/>
          <w:sz w:val="14"/>
          <w:szCs w:val="14"/>
          <w:lang w:val="hu-HU"/>
        </w:rPr>
        <w:t>2</w:t>
      </w:r>
      <w:r>
        <w:rPr>
          <w:rFonts w:eastAsia="Times New Roman"/>
          <w:lang w:val="hu-HU"/>
        </w:rPr>
        <w:t xml:space="preserve"> dózisú adalimumabot kaptak, a legalacsonyabb átlagos dinamikus egyensúlyi állapotban mért adalimumab-koncentráció 6,0 ± 6,1 mikrogramm/ml (101% CV) volt, ha az adalimumabot együttadott metotrexát nélkül alkalmazták és 7,9 ± 5,6 mikrogramm/ml (71,2% CV) volt metotrexáttal kombinált terápia esetén.</w:t>
      </w:r>
    </w:p>
    <w:p w14:paraId="181250EF" w14:textId="77777777" w:rsidR="00130E8B" w:rsidRDefault="00130E8B">
      <w:pPr>
        <w:spacing w:before="6" w:line="240" w:lineRule="exact"/>
        <w:rPr>
          <w:sz w:val="24"/>
          <w:szCs w:val="24"/>
          <w:lang w:val="hu-HU"/>
        </w:rPr>
      </w:pPr>
    </w:p>
    <w:p w14:paraId="11B7A6BC" w14:textId="7F15BD99" w:rsidR="00130E8B" w:rsidRDefault="000405CC">
      <w:pPr>
        <w:pStyle w:val="a3"/>
        <w:rPr>
          <w:lang w:val="hu-HU"/>
        </w:rPr>
      </w:pPr>
      <w:r>
        <w:rPr>
          <w:rFonts w:eastAsia="Times New Roman"/>
          <w:lang w:val="hu-HU"/>
        </w:rPr>
        <w:t>Azoknál a 6-17 éves, enthesitis-asszociált arthritisben szenvedő betegeknél, akik 24 mg/m</w:t>
      </w:r>
      <w:r>
        <w:rPr>
          <w:rFonts w:eastAsia="Times New Roman"/>
          <w:sz w:val="14"/>
          <w:szCs w:val="14"/>
          <w:lang w:val="hu-HU"/>
        </w:rPr>
        <w:t>2</w:t>
      </w:r>
      <w:r>
        <w:rPr>
          <w:rFonts w:eastAsia="Times New Roman"/>
          <w:lang w:val="hu-HU"/>
        </w:rPr>
        <w:t xml:space="preserve"> (40 mg) dózisú adalimumabot kaptak subcutan minden második héten, a legalacsonyabb átlagos dinamikus egyensúlyi állapotban mért adalimumab-koncentráció (a 24. héten mérve) 8,8 ± 6,6 mikrogramm/ml volt, ha az adalimumabot együttadott metotrexát nélkül alkalmazták és 11,8 ± 4,3 mikrogramm/ml volt metotrexáttal kombinált terápia esetén.</w:t>
      </w:r>
    </w:p>
    <w:p w14:paraId="4D843FD4" w14:textId="77777777" w:rsidR="00130E8B" w:rsidRDefault="00130E8B">
      <w:pPr>
        <w:pStyle w:val="a3"/>
        <w:rPr>
          <w:sz w:val="24"/>
          <w:szCs w:val="24"/>
          <w:lang w:val="hu-HU"/>
        </w:rPr>
      </w:pPr>
    </w:p>
    <w:p w14:paraId="6591976F" w14:textId="77777777" w:rsidR="00130E8B" w:rsidRDefault="000405CC">
      <w:pPr>
        <w:pStyle w:val="a3"/>
        <w:rPr>
          <w:lang w:val="hu-HU"/>
        </w:rPr>
      </w:pPr>
      <w:r>
        <w:rPr>
          <w:rFonts w:eastAsia="Times New Roman"/>
          <w:lang w:val="hu-HU"/>
        </w:rPr>
        <w:t xml:space="preserve">A kéthetente 40 mg adalimumab subcutan alkalmazását követően a röntgeneltéréssel nem járó axiális spondyloarthritisben szenvedő felnőtt betegeknél az átlagos (± SD) dinamikus egyensúlyi állapotban mért minimális adalimumab-koncentráció 8,0 ± 4,6 </w:t>
      </w:r>
      <w:r>
        <w:rPr>
          <w:rFonts w:ascii="Symbol" w:eastAsia="Symbol" w:hAnsi="Symbol" w:cs="Symbol"/>
          <w:lang w:val="hu-HU"/>
        </w:rPr>
        <w:sym w:font="Symbol" w:char="F06D"/>
      </w:r>
      <w:r>
        <w:rPr>
          <w:rFonts w:eastAsia="Times New Roman"/>
          <w:lang w:val="hu-HU"/>
        </w:rPr>
        <w:t>g/ml volt a 68. héten.</w:t>
      </w:r>
    </w:p>
    <w:p w14:paraId="1D6B5AFD" w14:textId="77777777" w:rsidR="00130E8B" w:rsidRDefault="00130E8B">
      <w:pPr>
        <w:pStyle w:val="a3"/>
        <w:rPr>
          <w:rFonts w:eastAsia="Times New Roman"/>
          <w:lang w:val="hu-HU"/>
        </w:rPr>
      </w:pPr>
    </w:p>
    <w:p w14:paraId="00D31747" w14:textId="77777777" w:rsidR="00130E8B" w:rsidRDefault="000405CC">
      <w:pPr>
        <w:pStyle w:val="a3"/>
        <w:rPr>
          <w:lang w:val="hu-HU"/>
        </w:rPr>
      </w:pPr>
      <w:r>
        <w:rPr>
          <w:rFonts w:eastAsia="Times New Roman"/>
          <w:lang w:val="hu-HU"/>
        </w:rPr>
        <w:t xml:space="preserve">Psoriasisos felnőtt betegek esetében a legalacsonyabb egyensúlyi plazmakoncentráció átlagértéke 5 </w:t>
      </w:r>
      <w:r>
        <w:rPr>
          <w:rFonts w:ascii="Symbol" w:eastAsia="Symbol" w:hAnsi="Symbol" w:cs="Symbol"/>
          <w:lang w:val="hu-HU"/>
        </w:rPr>
        <w:sym w:font="Symbol" w:char="F06D"/>
      </w:r>
      <w:r>
        <w:rPr>
          <w:rFonts w:eastAsia="Times New Roman"/>
          <w:lang w:val="hu-HU"/>
        </w:rPr>
        <w:t>mikrogramm/ml volt a kéthetente 40 mg adalimumabbal végzett monoterápiás kezelés esetén.</w:t>
      </w:r>
    </w:p>
    <w:p w14:paraId="3D30B9C3" w14:textId="77777777" w:rsidR="00130E8B" w:rsidRDefault="00130E8B">
      <w:pPr>
        <w:spacing w:before="11" w:line="240" w:lineRule="exact"/>
        <w:rPr>
          <w:sz w:val="24"/>
          <w:szCs w:val="24"/>
          <w:lang w:val="hu-HU"/>
        </w:rPr>
      </w:pPr>
    </w:p>
    <w:p w14:paraId="115345CF" w14:textId="77777777" w:rsidR="00130E8B" w:rsidRDefault="000405CC">
      <w:pPr>
        <w:pStyle w:val="a3"/>
        <w:rPr>
          <w:lang w:val="hu-HU"/>
        </w:rPr>
      </w:pPr>
      <w:r>
        <w:rPr>
          <w:rFonts w:eastAsia="Times New Roman"/>
          <w:lang w:val="hu-HU"/>
        </w:rPr>
        <w:t>Azoknál a krónikus plakkos psoriasisban szenvedő gyermekeknél, akik 0,8 mg/ttkg (legfeljebb 40 mg) dózisú adalimumabot kaptak subcutan minden második héten, az átlagos (± SD), dinamikus egyensúlyi állapotban mért minimális adalimumab-koncentráció körülbelül 7,4 ± 5,8 mikrogramm/ml (79% CV) volt</w:t>
      </w:r>
    </w:p>
    <w:p w14:paraId="42A9DE95" w14:textId="77777777" w:rsidR="00130E8B" w:rsidRDefault="00130E8B">
      <w:pPr>
        <w:spacing w:before="13" w:line="240" w:lineRule="exact"/>
        <w:rPr>
          <w:sz w:val="24"/>
          <w:szCs w:val="24"/>
          <w:lang w:val="hu-HU"/>
        </w:rPr>
      </w:pPr>
    </w:p>
    <w:p w14:paraId="09CCBF71" w14:textId="77777777" w:rsidR="00130E8B" w:rsidRDefault="000405CC">
      <w:pPr>
        <w:pStyle w:val="a3"/>
        <w:rPr>
          <w:lang w:val="hu-HU"/>
        </w:rPr>
      </w:pPr>
      <w:r>
        <w:rPr>
          <w:rFonts w:eastAsia="Times New Roman"/>
          <w:lang w:val="hu-HU"/>
        </w:rPr>
        <w:t>A hidradenitis suppurativában szenvedő felnőtt betegeknél az adalimumab 160 mg-os adagja a 0. héten, majd 80 mg a 2. héten kb. 7-8 mikrogramm/ml-es minimális adalimumab-szérumszintet eredményezett a 2. és 4 héten. Megközelítőleg 8-10 mikrogramm/ml-es átlagos dinamikus egyensúlyi állapotú minimális szérumszintet mértek a 12. héttől a 36. hétig, a hetente 40 mg adalimumab-kezelés alatt.</w:t>
      </w:r>
    </w:p>
    <w:p w14:paraId="0ED90634" w14:textId="77777777" w:rsidR="00130E8B" w:rsidRDefault="00130E8B">
      <w:pPr>
        <w:spacing w:before="13" w:line="240" w:lineRule="exact"/>
        <w:rPr>
          <w:sz w:val="24"/>
          <w:szCs w:val="24"/>
          <w:lang w:val="hu-HU"/>
        </w:rPr>
      </w:pPr>
    </w:p>
    <w:p w14:paraId="36CFBC8D" w14:textId="77777777" w:rsidR="00130E8B" w:rsidRDefault="000405CC">
      <w:pPr>
        <w:pStyle w:val="a3"/>
        <w:rPr>
          <w:lang w:val="hu-HU"/>
        </w:rPr>
      </w:pPr>
      <w:r>
        <w:rPr>
          <w:rFonts w:eastAsia="Times New Roman"/>
          <w:lang w:val="hu-HU"/>
        </w:rPr>
        <w:t>Az adalimumab expozícióját HS-ben szenvedő serdülőknél populációs farmakokinetikai modellezéssel és szimulációval határozták meg, egyéb keresztindikációs gyermekgyógyászati betegek (gyermekkori psoriasis, juvenilis idiopathiás arthritis, gyermekkori Crohn-betegség és enthesitis-asszociált arthritis) farmakokinetikája alapján. HS-ben szenvedő serdülőknél az ajánlott adag 40 mg minden második héten. Mivel az adalimumab expozícióját a testméret befolyásolhatja, a nagyobb testtömegű serdülőknél, vagy azoknál, akik nem megfelelően reagáltak a kezelésre, előnyös lehet, a dózis heti 40 mg-os, felnőtt adagra való növelése.</w:t>
      </w:r>
    </w:p>
    <w:p w14:paraId="5A8147E2" w14:textId="77777777" w:rsidR="00130E8B" w:rsidRDefault="00130E8B">
      <w:pPr>
        <w:spacing w:before="13" w:line="240" w:lineRule="exact"/>
        <w:rPr>
          <w:sz w:val="24"/>
          <w:szCs w:val="24"/>
          <w:lang w:val="hu-HU"/>
        </w:rPr>
      </w:pPr>
    </w:p>
    <w:p w14:paraId="2CAFA110" w14:textId="77777777" w:rsidR="00130E8B" w:rsidRDefault="000405CC">
      <w:pPr>
        <w:pStyle w:val="a3"/>
        <w:rPr>
          <w:lang w:val="hu-HU"/>
        </w:rPr>
      </w:pPr>
      <w:r>
        <w:rPr>
          <w:rFonts w:eastAsia="Times New Roman"/>
          <w:lang w:val="hu-HU"/>
        </w:rPr>
        <w:t xml:space="preserve">Crohn-betegségben szenvedő betegeknél az adalimumab 80 mg-os telítő adagja a 0. héten, majd 40 mg a 2. héten kb. 5,5 </w:t>
      </w:r>
      <w:r>
        <w:rPr>
          <w:rFonts w:ascii="Symbol" w:eastAsia="Symbol" w:hAnsi="Symbol" w:cs="Symbol"/>
          <w:lang w:val="hu-HU"/>
        </w:rPr>
        <w:sym w:font="Symbol" w:char="F06D"/>
      </w:r>
      <w:r>
        <w:rPr>
          <w:rFonts w:eastAsia="Times New Roman"/>
          <w:lang w:val="hu-HU"/>
        </w:rPr>
        <w:t xml:space="preserve">mikrogramm/ml-es minimális adalimumab-szérumszintet eredményez az indukció időszakában. A 0. héten 160 mg-os telítő dózist, majd a 2. héten 80 mg adalimumab-t adva az adalimumab minimális szérumszintje kb. 12 </w:t>
      </w:r>
      <w:r>
        <w:rPr>
          <w:rFonts w:ascii="Symbol" w:eastAsia="Symbol" w:hAnsi="Symbol" w:cs="Symbol"/>
          <w:lang w:val="hu-HU"/>
        </w:rPr>
        <w:sym w:font="Symbol" w:char="F06D"/>
      </w:r>
      <w:r>
        <w:rPr>
          <w:rFonts w:eastAsia="Times New Roman"/>
          <w:lang w:val="hu-HU"/>
        </w:rPr>
        <w:t xml:space="preserve">gramm/ml-ot ér el az indukció időszakában. Megközelítőleg 7 </w:t>
      </w:r>
      <w:r>
        <w:rPr>
          <w:rFonts w:ascii="Symbol" w:eastAsia="Symbol" w:hAnsi="Symbol" w:cs="Symbol"/>
          <w:lang w:val="hu-HU"/>
        </w:rPr>
        <w:sym w:font="Symbol" w:char="F06D"/>
      </w:r>
      <w:r>
        <w:rPr>
          <w:rFonts w:eastAsia="Times New Roman"/>
          <w:lang w:val="hu-HU"/>
        </w:rPr>
        <w:t>mikrogramm/ml egyensúlyi minimális szérumszintet mértek olyan Crohn-betegségben szenvedő betegeknél, akik minden második héten 40 mg adalimumab-t kaptak fenntartó adagként.</w:t>
      </w:r>
    </w:p>
    <w:p w14:paraId="68C2B53B" w14:textId="77777777" w:rsidR="00130E8B" w:rsidRDefault="00130E8B">
      <w:pPr>
        <w:spacing w:before="11" w:line="240" w:lineRule="exact"/>
        <w:rPr>
          <w:sz w:val="24"/>
          <w:szCs w:val="24"/>
          <w:lang w:val="hu-HU"/>
        </w:rPr>
      </w:pPr>
    </w:p>
    <w:p w14:paraId="10AF9125" w14:textId="77777777" w:rsidR="00130E8B" w:rsidRDefault="000405CC">
      <w:pPr>
        <w:pStyle w:val="a3"/>
        <w:rPr>
          <w:lang w:val="hu-HU"/>
        </w:rPr>
      </w:pPr>
      <w:r>
        <w:rPr>
          <w:rFonts w:eastAsia="Times New Roman"/>
          <w:lang w:val="hu-HU"/>
        </w:rPr>
        <w:t>Közepesen súlyos-</w:t>
      </w:r>
      <w:r w:rsidR="00424DF6" w:rsidRPr="009167C6">
        <w:rPr>
          <w:lang w:val="hu-HU"/>
        </w:rPr>
        <w:t> </w:t>
      </w:r>
      <w:r w:rsidR="00424DF6">
        <w:rPr>
          <w:rFonts w:eastAsia="Times New Roman"/>
          <w:lang w:val="hu-HU"/>
        </w:rPr>
        <w:t xml:space="preserve"> </w:t>
      </w:r>
      <w:r>
        <w:rPr>
          <w:rFonts w:eastAsia="Times New Roman"/>
          <w:lang w:val="hu-HU"/>
        </w:rPr>
        <w:t xml:space="preserve">súlyos aktivitású Crohn-betegségben szenvedő gyermekeknél és serdülőknél az adalimumab nyílt elrendezésben alkalmazott indukciós dózisa 160/80 mg, illetve 80/40 mg volt a 0. és a 2. héten, figyelembe véve a testtömegre meghatározott 40 kg-os határértéket. A 4. héten a betegeket 1:1 arányban Standard dózisú (40/20 mg minden második héten) vagy Alacsony dózisú (20/10 mg minden második héten) fenntartó kezelési csoportba randomizálták a testtömegük alapján. A 4. hétre elért átlag (±SD) maradék szérum-adalimumab-koncentráció 15,7±6,6 </w:t>
      </w:r>
      <w:r>
        <w:rPr>
          <w:rFonts w:ascii="Symbol" w:eastAsia="Symbol" w:hAnsi="Symbol" w:cs="Symbol"/>
          <w:lang w:val="hu-HU"/>
        </w:rPr>
        <w:sym w:font="Symbol" w:char="F06D"/>
      </w:r>
      <w:r>
        <w:rPr>
          <w:rFonts w:eastAsia="Times New Roman"/>
          <w:lang w:val="hu-HU"/>
        </w:rPr>
        <w:t xml:space="preserve">gramm/ml volt a 40 kg-os, vagy annál nagyobb testtömegű betegeknél (160/80 mg), míg a 40 kg-nál alacsonyabb testtömegű betegeknél (80/40 mg) ez az érték 10,6±6,1 </w:t>
      </w:r>
      <w:r>
        <w:rPr>
          <w:rFonts w:ascii="Symbol" w:eastAsia="Symbol" w:hAnsi="Symbol" w:cs="Symbol"/>
          <w:lang w:val="hu-HU"/>
        </w:rPr>
        <w:sym w:font="Symbol" w:char="F06D"/>
      </w:r>
      <w:r>
        <w:rPr>
          <w:rFonts w:eastAsia="Times New Roman"/>
          <w:lang w:val="hu-HU"/>
        </w:rPr>
        <w:t>gramm/ml volt.</w:t>
      </w:r>
    </w:p>
    <w:p w14:paraId="3A6003D2" w14:textId="77777777" w:rsidR="00130E8B" w:rsidRDefault="00130E8B">
      <w:pPr>
        <w:spacing w:before="7" w:line="240" w:lineRule="exact"/>
        <w:rPr>
          <w:sz w:val="24"/>
          <w:szCs w:val="24"/>
          <w:lang w:val="hu-HU"/>
        </w:rPr>
      </w:pPr>
    </w:p>
    <w:p w14:paraId="107F5ECB" w14:textId="77777777" w:rsidR="00130E8B" w:rsidRDefault="000405CC">
      <w:pPr>
        <w:pStyle w:val="a3"/>
        <w:rPr>
          <w:lang w:val="hu-HU"/>
        </w:rPr>
      </w:pPr>
      <w:r>
        <w:rPr>
          <w:rFonts w:eastAsia="Times New Roman"/>
          <w:lang w:val="hu-HU"/>
        </w:rPr>
        <w:t xml:space="preserve">Azoknál a betegeknél, akik a randomizált kezelésen maradtak, az 52. héten az átlagos (±SD) maradék </w:t>
      </w:r>
      <w:r>
        <w:rPr>
          <w:rFonts w:eastAsia="Times New Roman"/>
          <w:lang w:val="hu-HU"/>
        </w:rPr>
        <w:lastRenderedPageBreak/>
        <w:t xml:space="preserve">szérum-adalimumab-koncentráció a Standard dózissal kezeltek csoportjában 9,5±5,6 </w:t>
      </w:r>
      <w:r>
        <w:rPr>
          <w:rFonts w:ascii="Symbol" w:eastAsia="Symbol" w:hAnsi="Symbol" w:cs="Symbol"/>
          <w:lang w:val="hu-HU"/>
        </w:rPr>
        <w:sym w:font="Symbol" w:char="F06D"/>
      </w:r>
      <w:r>
        <w:rPr>
          <w:rFonts w:eastAsia="Times New Roman"/>
          <w:lang w:val="hu-HU"/>
        </w:rPr>
        <w:t>gramm/ml, míg az Alacsony dózissal kezelteknél 3,5±2,2</w:t>
      </w:r>
      <w:r>
        <w:rPr>
          <w:rFonts w:ascii="Symbol" w:eastAsia="Symbol" w:hAnsi="Symbol" w:cs="Symbol"/>
          <w:lang w:val="hu-HU"/>
        </w:rPr>
        <w:sym w:font="Symbol" w:char="F06D"/>
      </w:r>
      <w:r>
        <w:rPr>
          <w:rFonts w:eastAsia="Times New Roman"/>
          <w:lang w:val="hu-HU"/>
        </w:rPr>
        <w:t>gramm/ml volt. Az átlagos maradék koncentráció fennmaradt azoknál a betegeknél, akik kéthetenkénti adalimumab-kezelést kaptak az 52. hétig. Azoknál a betegeknél, akiknél a kezelés gyakoriságát kéthetenkéntiről heti egyszerire emelték, az átlagos (±SD) szérum-adalimumab-koncentráció az 52. héten 15,3±11,4 mikrogramm/ml (40/20 mg hetente), illetve 6,7±3,5 mikrogramm/ml (20/10 mg hetente) volt.</w:t>
      </w:r>
    </w:p>
    <w:p w14:paraId="01643A83" w14:textId="77777777" w:rsidR="00130E8B" w:rsidRDefault="00130E8B">
      <w:pPr>
        <w:spacing w:before="11" w:line="240" w:lineRule="exact"/>
        <w:rPr>
          <w:sz w:val="24"/>
          <w:szCs w:val="24"/>
          <w:lang w:val="hu-HU"/>
        </w:rPr>
      </w:pPr>
    </w:p>
    <w:p w14:paraId="7D255FDE" w14:textId="77777777" w:rsidR="00130E8B" w:rsidRDefault="000405CC">
      <w:pPr>
        <w:pStyle w:val="a3"/>
        <w:rPr>
          <w:lang w:val="hu-HU"/>
        </w:rPr>
      </w:pPr>
      <w:r>
        <w:rPr>
          <w:rFonts w:eastAsia="Times New Roman"/>
          <w:lang w:val="hu-HU"/>
        </w:rPr>
        <w:t xml:space="preserve">A colitis ulcerosában szenvedő betegeknél az adalimumab 160 mg-os telítő adagja a 0. héten, majd 80 mg a 2. héten kb. 12 </w:t>
      </w:r>
      <w:r>
        <w:rPr>
          <w:rFonts w:ascii="Symbol" w:eastAsia="Symbol" w:hAnsi="Symbol" w:cs="Symbol"/>
          <w:lang w:val="hu-HU"/>
        </w:rPr>
        <w:sym w:font="Symbol" w:char="F06D"/>
      </w:r>
      <w:r>
        <w:rPr>
          <w:rFonts w:eastAsia="Times New Roman"/>
          <w:lang w:val="hu-HU"/>
        </w:rPr>
        <w:t xml:space="preserve">gramm/ml-es minimális adalimumab-szérumszintet eredményez az indukció időszakában. Megközelítőleg 8 </w:t>
      </w:r>
      <w:r>
        <w:rPr>
          <w:rFonts w:ascii="Symbol" w:eastAsia="Symbol" w:hAnsi="Symbol" w:cs="Symbol"/>
          <w:lang w:val="hu-HU"/>
        </w:rPr>
        <w:sym w:font="Symbol" w:char="F06D"/>
      </w:r>
      <w:r>
        <w:rPr>
          <w:rFonts w:eastAsia="Times New Roman"/>
          <w:lang w:val="hu-HU"/>
        </w:rPr>
        <w:t>gramm/ml minimális egyensúlyi szérumszintet mértek olyan colitis ulcerosaban szenvedő betegeknél, akik minden második héten 40 mg adalimumabot kaptak fenntartó adagként.</w:t>
      </w:r>
    </w:p>
    <w:p w14:paraId="25F87C90" w14:textId="77777777" w:rsidR="00113FF2" w:rsidRPr="00113FF2" w:rsidRDefault="00113FF2" w:rsidP="00113FF2">
      <w:pPr>
        <w:widowControl/>
        <w:suppressAutoHyphens/>
        <w:rPr>
          <w:rFonts w:ascii="Times New Roman" w:eastAsia="바탕" w:hAnsi="Times New Roman" w:cs="Times New Roman"/>
          <w:lang w:val="hu-HU" w:eastAsia="hu-HU"/>
        </w:rPr>
      </w:pPr>
    </w:p>
    <w:p w14:paraId="48CF670B" w14:textId="77777777" w:rsidR="00113FF2" w:rsidRPr="00113FF2" w:rsidRDefault="00113FF2" w:rsidP="00113FF2">
      <w:pPr>
        <w:widowControl/>
        <w:suppressAutoHyphens/>
        <w:spacing w:line="260" w:lineRule="exact"/>
        <w:rPr>
          <w:rFonts w:ascii="Times New Roman" w:eastAsia="바탕" w:hAnsi="Times New Roman" w:cs="Times New Roman"/>
          <w:szCs w:val="20"/>
          <w:lang w:val="hu-HU" w:eastAsia="hu-HU"/>
        </w:rPr>
      </w:pPr>
      <w:bookmarkStart w:id="10" w:name="_Hlk53174358"/>
      <w:r w:rsidRPr="00113FF2">
        <w:rPr>
          <w:rFonts w:ascii="Times New Roman" w:eastAsia="바탕" w:hAnsi="Times New Roman" w:cs="Times New Roman"/>
          <w:szCs w:val="20"/>
          <w:lang w:val="hu-HU" w:eastAsia="hu-HU"/>
        </w:rPr>
        <w:t>A colitis ulcerosában szenvedő gyermekeknél és serdülőknél subcutan adott, testtömeg-alapú, kéthetente 0,6 mg/ttkg</w:t>
      </w:r>
      <w:r w:rsidRPr="00113FF2">
        <w:rPr>
          <w:rFonts w:ascii="Times New Roman" w:eastAsia="바탕" w:hAnsi="Times New Roman" w:cs="Times New Roman"/>
          <w:szCs w:val="20"/>
          <w:lang w:val="hu-HU" w:eastAsia="hu-HU"/>
        </w:rPr>
        <w:noBreakHyphen/>
        <w:t>os (legfeljebb 40 mg) adagolás esetén az átlagos minimális egyensúlyi állapotú szérum adalimumab-koncentráció 5,01±3,28 mikrogramm/ml volt az 52. héten. Azoknál a betegeknél, akik hetente 0,6 mg/ttkg-ot (legfeljebb 40 mg) kaptak, az átlagos (± SD) minimális egyensúlyi állapotú szérum adalimumab-koncentráció 15,7±5,60 mikrogramm/ml volt az 52. héten.</w:t>
      </w:r>
    </w:p>
    <w:bookmarkEnd w:id="10"/>
    <w:p w14:paraId="1DDBD544" w14:textId="77777777" w:rsidR="00130E8B" w:rsidRDefault="00130E8B">
      <w:pPr>
        <w:spacing w:before="14" w:line="240" w:lineRule="exact"/>
        <w:rPr>
          <w:sz w:val="24"/>
          <w:szCs w:val="24"/>
          <w:lang w:val="hu-HU"/>
        </w:rPr>
      </w:pPr>
    </w:p>
    <w:p w14:paraId="15915C42" w14:textId="77777777" w:rsidR="00130E8B" w:rsidRDefault="000405CC">
      <w:pPr>
        <w:pStyle w:val="a3"/>
        <w:rPr>
          <w:lang w:val="hu-HU"/>
        </w:rPr>
      </w:pPr>
      <w:r>
        <w:rPr>
          <w:rFonts w:eastAsia="Times New Roman"/>
          <w:spacing w:val="-2"/>
          <w:lang w:val="hu-HU"/>
        </w:rPr>
        <w:t>Uveitisben szenvedő felnőtt betegeknél a 80 mg-os telítő adag a 0. héten, melyet minden második héten beadott 40 mg követ az 1. héttől kezdve, hozzávetőlegesen 8-10</w:t>
      </w:r>
      <w:r>
        <w:rPr>
          <w:rFonts w:ascii="Symbol" w:eastAsia="Symbol" w:hAnsi="Symbol" w:cs="Symbol"/>
          <w:spacing w:val="-2"/>
          <w:lang w:val="hu-HU"/>
        </w:rPr>
        <w:sym w:font="Symbol" w:char="F06D"/>
      </w:r>
      <w:r>
        <w:rPr>
          <w:rFonts w:eastAsia="Times New Roman"/>
          <w:spacing w:val="-2"/>
          <w:lang w:val="hu-HU"/>
        </w:rPr>
        <w:t>gramm/ml átlagos egyensúlyi koncentrációt eredményezett.</w:t>
      </w:r>
    </w:p>
    <w:p w14:paraId="048D1F8E" w14:textId="77777777" w:rsidR="00130E8B" w:rsidRDefault="00130E8B">
      <w:pPr>
        <w:spacing w:before="13" w:line="240" w:lineRule="exact"/>
        <w:rPr>
          <w:sz w:val="24"/>
          <w:szCs w:val="24"/>
          <w:lang w:val="hu-HU"/>
        </w:rPr>
      </w:pPr>
    </w:p>
    <w:p w14:paraId="35003A51" w14:textId="77777777" w:rsidR="00130E8B" w:rsidRDefault="000405CC">
      <w:pPr>
        <w:pStyle w:val="a3"/>
        <w:rPr>
          <w:lang w:val="hu-HU"/>
        </w:rPr>
      </w:pPr>
      <w:r>
        <w:rPr>
          <w:rFonts w:eastAsia="Times New Roman"/>
          <w:lang w:val="hu-HU"/>
        </w:rPr>
        <w:t>Az adalimumab expozícióját gyermekeknél populációs farmakokinetikai modellezéssel és szimulációval határozták meg egyéb keresztindikációs gyermekgyógyászati betegek (gyermekkori psoriasis, juvenilis idiopathiás arthritis, gyermekkori Crohn-betegség és enthesitis-asszociált arthritis) farmakokinetikája alapján. Nem állnak rendelkezésre klinikai expozíciós adatok a telítő dózis 6 évnél fiatalabb gyermekeknél történő alkalmazásáról. A várható expozíció alapján metotrexát hiányában a telítő dózis a szisztémás expozíció kezdeti növekedéséhez vezethet.</w:t>
      </w:r>
    </w:p>
    <w:p w14:paraId="64CA03F3" w14:textId="77777777" w:rsidR="00130E8B" w:rsidRDefault="00130E8B">
      <w:pPr>
        <w:spacing w:before="13" w:line="240" w:lineRule="exact"/>
        <w:rPr>
          <w:sz w:val="24"/>
          <w:szCs w:val="24"/>
          <w:lang w:val="hu-HU"/>
        </w:rPr>
      </w:pPr>
    </w:p>
    <w:p w14:paraId="350668E7" w14:textId="64DC6979" w:rsidR="00130E8B" w:rsidRDefault="000405CC">
      <w:pPr>
        <w:pStyle w:val="a3"/>
        <w:rPr>
          <w:lang w:val="hu-HU"/>
        </w:rPr>
      </w:pPr>
      <w:r>
        <w:rPr>
          <w:rFonts w:eastAsia="Times New Roman"/>
          <w:lang w:val="hu-HU"/>
        </w:rPr>
        <w:t xml:space="preserve">A populációs farmakokinetikai és farmakokinetikai/farmakodinámás modellezés és szimuláció hasonló adalimumab-expozíciót és hatásosságot prognosztizált azoknál a betegeknél, akiket minden második héten 80 mg-mal kezeltek, és azoknál, akiket hetente 40 mg-mal kezeltek (ideértve a rheumatoid arthritisben, hidradenitis suppurativában, colitis ulcerosában, Crohn-betegségben vagy psoriasisban szenvedő felnőtt betegeket, serdülőkori HS-ben szenvedő betegeket és legalább 40 kg testtömegű, Crohn-betegségben </w:t>
      </w:r>
      <w:r w:rsidR="00113FF2" w:rsidRPr="004E2591">
        <w:rPr>
          <w:lang w:val="hu-HU"/>
        </w:rPr>
        <w:t xml:space="preserve">és colitis ulcerosában </w:t>
      </w:r>
      <w:r>
        <w:rPr>
          <w:rFonts w:eastAsia="Times New Roman"/>
          <w:lang w:val="hu-HU"/>
        </w:rPr>
        <w:t>szenvedő gyermekeket is).</w:t>
      </w:r>
    </w:p>
    <w:p w14:paraId="51F347C6" w14:textId="77777777" w:rsidR="00130E8B" w:rsidRDefault="00130E8B">
      <w:pPr>
        <w:spacing w:before="13" w:line="240" w:lineRule="exact"/>
        <w:rPr>
          <w:sz w:val="24"/>
          <w:szCs w:val="24"/>
          <w:lang w:val="hu-HU"/>
        </w:rPr>
      </w:pPr>
    </w:p>
    <w:p w14:paraId="7D15594F" w14:textId="77777777" w:rsidR="00130E8B" w:rsidRDefault="000405CC">
      <w:pPr>
        <w:pStyle w:val="a3"/>
        <w:rPr>
          <w:u w:val="single"/>
          <w:lang w:val="hu-HU"/>
        </w:rPr>
      </w:pPr>
      <w:r>
        <w:rPr>
          <w:rFonts w:eastAsia="Times New Roman"/>
          <w:u w:val="single" w:color="000000"/>
          <w:lang w:val="hu-HU"/>
        </w:rPr>
        <w:t>Dózis-hatás összefüggés gyermekeknél és serdülőknél</w:t>
      </w:r>
    </w:p>
    <w:p w14:paraId="3710187F" w14:textId="77777777" w:rsidR="00130E8B" w:rsidRDefault="00130E8B">
      <w:pPr>
        <w:pStyle w:val="a3"/>
        <w:rPr>
          <w:lang w:val="hu-HU"/>
        </w:rPr>
      </w:pPr>
    </w:p>
    <w:p w14:paraId="7F889015" w14:textId="77777777" w:rsidR="00130E8B" w:rsidRDefault="000405CC">
      <w:pPr>
        <w:pStyle w:val="a3"/>
        <w:rPr>
          <w:lang w:val="hu-HU"/>
        </w:rPr>
      </w:pPr>
      <w:r>
        <w:rPr>
          <w:rFonts w:eastAsia="Times New Roman"/>
          <w:lang w:val="hu-HU"/>
        </w:rPr>
        <w:t>JIA-ban (pJIA és ERA) szenvedő betegeknél végzett klinikai vizsgálati adatok alapján állapították meg a dózis-hatás összefüggést a plazmakoncentrációk és a Pediátriai ACR 50 válasz között. Az adalimumab látszólagos plazmakoncentrációja, ami a Pediátriai ACR 50 válasz maximális valószínűsége felének eléréséhez szükséges (EC50), 3 mikrogramm/ml (95%-os CI:1-6 mikrogramm/ml) volt.</w:t>
      </w:r>
    </w:p>
    <w:p w14:paraId="350C6E90" w14:textId="77777777" w:rsidR="00130E8B" w:rsidRDefault="00130E8B">
      <w:pPr>
        <w:spacing w:before="13" w:line="240" w:lineRule="exact"/>
        <w:rPr>
          <w:sz w:val="24"/>
          <w:szCs w:val="24"/>
          <w:lang w:val="hu-HU"/>
        </w:rPr>
      </w:pPr>
    </w:p>
    <w:p w14:paraId="38FA6ABF" w14:textId="77777777" w:rsidR="00130E8B" w:rsidRDefault="000405CC">
      <w:pPr>
        <w:pStyle w:val="a3"/>
        <w:rPr>
          <w:lang w:val="hu-HU"/>
        </w:rPr>
      </w:pPr>
      <w:r>
        <w:rPr>
          <w:rFonts w:eastAsia="Times New Roman"/>
          <w:lang w:val="hu-HU"/>
        </w:rPr>
        <w:t>Az adalimumab koncentrációja és hatásossága közötti dózis-hatás összefüggést a súlyos, krónikus plakkos psoriasisban szenvedő gyermekeknél a PASI 75 és PGA szerinti tiszta vagy minimális értékre vonatkozóan állapították meg.</w:t>
      </w:r>
    </w:p>
    <w:p w14:paraId="79DDF275" w14:textId="77777777" w:rsidR="00130E8B" w:rsidRDefault="000405CC">
      <w:pPr>
        <w:pStyle w:val="a3"/>
        <w:rPr>
          <w:rFonts w:eastAsia="Times New Roman"/>
          <w:lang w:val="hu-HU"/>
        </w:rPr>
      </w:pPr>
      <w:r>
        <w:rPr>
          <w:rFonts w:eastAsia="Times New Roman"/>
          <w:lang w:val="hu-HU"/>
        </w:rPr>
        <w:t>A PASI 75 és PGA szerinti tiszta vagy minimális értéke emelkedett a növekvő adalimumab-koncentrációkkal, mindkettő hasonló látszólagos EC50 értékkel, ami hozzávetőlegesen 4,5 mikrogramm/ml (95%-os CI 0,4-47,6 illetve 1,9-10,5) volt</w:t>
      </w:r>
    </w:p>
    <w:p w14:paraId="52AB60DF" w14:textId="77777777" w:rsidR="00130E8B" w:rsidRDefault="00130E8B">
      <w:pPr>
        <w:spacing w:before="13" w:line="240" w:lineRule="exact"/>
        <w:rPr>
          <w:sz w:val="24"/>
          <w:szCs w:val="24"/>
          <w:lang w:val="hu-HU"/>
        </w:rPr>
      </w:pPr>
    </w:p>
    <w:p w14:paraId="13B03A49" w14:textId="77777777" w:rsidR="00130E8B" w:rsidRDefault="000405CC">
      <w:pPr>
        <w:pStyle w:val="a3"/>
        <w:rPr>
          <w:u w:val="single"/>
          <w:lang w:val="hu-HU"/>
        </w:rPr>
      </w:pPr>
      <w:r>
        <w:rPr>
          <w:rFonts w:eastAsia="Times New Roman"/>
          <w:u w:val="single" w:color="000000"/>
          <w:lang w:val="hu-HU"/>
        </w:rPr>
        <w:t>Elimináció</w:t>
      </w:r>
    </w:p>
    <w:p w14:paraId="6AB8ABE1" w14:textId="77777777" w:rsidR="00130E8B" w:rsidRDefault="00130E8B">
      <w:pPr>
        <w:spacing w:before="1" w:line="180" w:lineRule="exact"/>
        <w:rPr>
          <w:sz w:val="18"/>
          <w:szCs w:val="18"/>
          <w:lang w:val="hu-HU"/>
        </w:rPr>
      </w:pPr>
    </w:p>
    <w:p w14:paraId="49A6BAC4" w14:textId="77777777" w:rsidR="00130E8B" w:rsidRDefault="000405CC">
      <w:pPr>
        <w:pStyle w:val="a3"/>
        <w:rPr>
          <w:lang w:val="hu-HU"/>
        </w:rPr>
      </w:pPr>
      <w:r>
        <w:rPr>
          <w:rFonts w:eastAsia="Times New Roman"/>
          <w:lang w:val="hu-HU"/>
        </w:rPr>
        <w:t xml:space="preserve">Több mint 1300 RA betegen végzett populációs farmakokinetikai vizsgálatokból származó adatok alapján derült ki, hogy a testsúly növekedésével nő az adalimumab-clearence. A testsúlykülönbség korrekciója után </w:t>
      </w:r>
      <w:r>
        <w:rPr>
          <w:rFonts w:eastAsia="Times New Roman"/>
          <w:lang w:val="hu-HU"/>
        </w:rPr>
        <w:lastRenderedPageBreak/>
        <w:t>úgy látszik, a nemnek és az életkornak minimális hatása van az adalimumab clearence- ére. A szérumban mérhető, adalimumab-ellenes antitestekhez (AAA) nem kötődő szabad adalimumab koncentrációja alacsonyabbnak bizonyult olyan betegek esetében, akiknél mérhető volt az AAA szintje.</w:t>
      </w:r>
    </w:p>
    <w:p w14:paraId="1C57DDDA" w14:textId="77777777" w:rsidR="00130E8B" w:rsidRDefault="00130E8B">
      <w:pPr>
        <w:spacing w:before="13" w:line="240" w:lineRule="exact"/>
        <w:rPr>
          <w:sz w:val="24"/>
          <w:szCs w:val="24"/>
          <w:lang w:val="hu-HU"/>
        </w:rPr>
      </w:pPr>
    </w:p>
    <w:p w14:paraId="71E6B634" w14:textId="77777777" w:rsidR="00130E8B" w:rsidRDefault="000405CC">
      <w:pPr>
        <w:pStyle w:val="a3"/>
        <w:rPr>
          <w:u w:val="single"/>
          <w:lang w:val="hu-HU"/>
        </w:rPr>
      </w:pPr>
      <w:r>
        <w:rPr>
          <w:rFonts w:eastAsia="Times New Roman"/>
          <w:u w:val="single" w:color="000000"/>
          <w:lang w:val="hu-HU"/>
        </w:rPr>
        <w:t>Máj- vagy vesekárosodás</w:t>
      </w:r>
    </w:p>
    <w:p w14:paraId="3AE8EA11" w14:textId="77777777" w:rsidR="00130E8B" w:rsidRDefault="00130E8B">
      <w:pPr>
        <w:spacing w:before="1" w:line="180" w:lineRule="exact"/>
        <w:rPr>
          <w:sz w:val="18"/>
          <w:szCs w:val="18"/>
          <w:lang w:val="hu-HU"/>
        </w:rPr>
      </w:pPr>
    </w:p>
    <w:p w14:paraId="14686DB6" w14:textId="77777777" w:rsidR="00130E8B" w:rsidRDefault="000405CC">
      <w:pPr>
        <w:pStyle w:val="a3"/>
        <w:rPr>
          <w:lang w:val="hu-HU"/>
        </w:rPr>
      </w:pPr>
      <w:r>
        <w:rPr>
          <w:rFonts w:eastAsia="Times New Roman"/>
          <w:lang w:val="hu-HU"/>
        </w:rPr>
        <w:t>Az adalimumabot nem vizsgálták máj -, illetve vesekárosodásban szenvedő betegeken.</w:t>
      </w:r>
    </w:p>
    <w:p w14:paraId="0545A94D" w14:textId="77777777" w:rsidR="00130E8B" w:rsidRDefault="00130E8B">
      <w:pPr>
        <w:spacing w:before="18" w:line="240" w:lineRule="exact"/>
        <w:rPr>
          <w:sz w:val="24"/>
          <w:szCs w:val="24"/>
          <w:lang w:val="hu-HU"/>
        </w:rPr>
      </w:pPr>
    </w:p>
    <w:p w14:paraId="5C7C9BB4" w14:textId="77777777" w:rsidR="00130E8B" w:rsidRDefault="000405CC">
      <w:pPr>
        <w:widowControl/>
        <w:numPr>
          <w:ilvl w:val="1"/>
          <w:numId w:val="29"/>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A preklinikai biztonságossági vizsgálatok eredményei</w:t>
      </w:r>
    </w:p>
    <w:p w14:paraId="336E3317" w14:textId="77777777" w:rsidR="00130E8B" w:rsidRDefault="00130E8B">
      <w:pPr>
        <w:spacing w:before="6" w:line="240" w:lineRule="exact"/>
        <w:rPr>
          <w:sz w:val="24"/>
          <w:szCs w:val="24"/>
          <w:lang w:val="hu-HU"/>
        </w:rPr>
      </w:pPr>
    </w:p>
    <w:p w14:paraId="25AAC602" w14:textId="77777777" w:rsidR="00130E8B" w:rsidRDefault="000405CC">
      <w:pPr>
        <w:pStyle w:val="a3"/>
        <w:rPr>
          <w:lang w:val="hu-HU"/>
        </w:rPr>
      </w:pPr>
      <w:r>
        <w:rPr>
          <w:rFonts w:eastAsia="Times New Roman"/>
          <w:lang w:val="hu-HU"/>
        </w:rPr>
        <w:t>Egyszeri és ismételt adagolású dózistoxicitási, valamint genotoxicitási vizsgálatokból származó nem klinikai jellegű adatok azt igazolták, hogy a készítmény alkalmazásakor humán vonatkozásban különleges kockázat nem várható.</w:t>
      </w:r>
    </w:p>
    <w:p w14:paraId="237B0D99" w14:textId="77777777" w:rsidR="00130E8B" w:rsidRDefault="00130E8B">
      <w:pPr>
        <w:spacing w:before="12" w:line="240" w:lineRule="exact"/>
        <w:rPr>
          <w:sz w:val="24"/>
          <w:szCs w:val="24"/>
          <w:lang w:val="hu-HU"/>
        </w:rPr>
      </w:pPr>
    </w:p>
    <w:p w14:paraId="42C57C60" w14:textId="0E7175F5" w:rsidR="00130E8B" w:rsidRDefault="000405CC">
      <w:pPr>
        <w:pStyle w:val="a3"/>
        <w:rPr>
          <w:lang w:val="hu-HU"/>
        </w:rPr>
      </w:pPr>
      <w:r>
        <w:rPr>
          <w:rFonts w:eastAsia="Times New Roman"/>
          <w:lang w:val="hu-HU"/>
        </w:rPr>
        <w:t>Majmok</w:t>
      </w:r>
      <w:r w:rsidR="001F7351">
        <w:rPr>
          <w:rFonts w:eastAsia="Times New Roman"/>
          <w:lang w:val="hu-HU"/>
        </w:rPr>
        <w:t>nál</w:t>
      </w:r>
      <w:r>
        <w:rPr>
          <w:rFonts w:eastAsia="Times New Roman"/>
          <w:lang w:val="hu-HU"/>
        </w:rPr>
        <w:t xml:space="preserve"> folytattak vizsgálatot a gyógyszernek az embrionális - magzati fejlődésre, illetve a perinatalis fejlődésre gyakorolt hatásának felmérésére, aminek során 0, 30 mg/ kg illetve 100 mg/ kg dózisú adalimumabot adtak majmoknak (csoportonként 9- 17 majom volt), a magzati károsodás minden jele nélkül. Sem karcinogenitási vizsgálatok, sem standard termékenységi vagy postnatalis toxicitási vizsgálatok nem történtek megfelelő antitestmodell hiányában, mivel az adalimumab a rágcsáló TNF-fel alacsony keresztreakciót mutat, és ellene a rágcsálókban neutralizáló antitestek képződnek.</w:t>
      </w:r>
    </w:p>
    <w:p w14:paraId="2D4147E4" w14:textId="77777777" w:rsidR="00130E8B" w:rsidRDefault="00130E8B">
      <w:pPr>
        <w:rPr>
          <w:rFonts w:ascii="Times New Roman" w:eastAsia="Times New Roman" w:hAnsi="Times New Roman"/>
          <w:lang w:val="hu-HU"/>
        </w:rPr>
      </w:pPr>
    </w:p>
    <w:p w14:paraId="3C6FC793" w14:textId="77777777" w:rsidR="00130E8B" w:rsidRDefault="00130E8B">
      <w:pPr>
        <w:rPr>
          <w:rFonts w:ascii="Times New Roman" w:eastAsia="Times New Roman" w:hAnsi="Times New Roman"/>
          <w:lang w:val="hu-HU"/>
        </w:rPr>
      </w:pPr>
    </w:p>
    <w:p w14:paraId="274832C3" w14:textId="77777777" w:rsidR="00130E8B" w:rsidRDefault="000405CC">
      <w:pPr>
        <w:widowControl/>
        <w:numPr>
          <w:ilvl w:val="0"/>
          <w:numId w:val="25"/>
        </w:numPr>
        <w:tabs>
          <w:tab w:val="left" w:pos="567"/>
        </w:tabs>
        <w:spacing w:line="260" w:lineRule="exact"/>
        <w:ind w:left="0"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GYÓGYSZERÉSZETI JELLEMZŐK</w:t>
      </w:r>
    </w:p>
    <w:p w14:paraId="17D02CF2" w14:textId="77777777" w:rsidR="00130E8B" w:rsidRDefault="00130E8B">
      <w:pPr>
        <w:spacing w:before="13" w:line="240" w:lineRule="exact"/>
        <w:rPr>
          <w:sz w:val="24"/>
          <w:szCs w:val="24"/>
          <w:lang w:val="hu-HU"/>
        </w:rPr>
      </w:pPr>
    </w:p>
    <w:p w14:paraId="28590C0B" w14:textId="77777777" w:rsidR="00130E8B" w:rsidRDefault="000405CC">
      <w:pPr>
        <w:widowControl/>
        <w:numPr>
          <w:ilvl w:val="1"/>
          <w:numId w:val="30"/>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Segédanyagok felsorolása</w:t>
      </w:r>
    </w:p>
    <w:p w14:paraId="7B2FCA73" w14:textId="77777777" w:rsidR="00130E8B" w:rsidRDefault="00130E8B">
      <w:pPr>
        <w:spacing w:line="240" w:lineRule="exact"/>
        <w:rPr>
          <w:sz w:val="24"/>
          <w:szCs w:val="24"/>
          <w:lang w:val="hu-HU"/>
        </w:rPr>
      </w:pPr>
    </w:p>
    <w:p w14:paraId="7376906A" w14:textId="77777777" w:rsidR="00130E8B" w:rsidRDefault="000405CC">
      <w:pPr>
        <w:pStyle w:val="a3"/>
        <w:rPr>
          <w:lang w:val="hu-HU"/>
        </w:rPr>
      </w:pPr>
      <w:r>
        <w:rPr>
          <w:rFonts w:eastAsia="Times New Roman"/>
          <w:lang w:val="hu-HU"/>
        </w:rPr>
        <w:t>ecetsav</w:t>
      </w:r>
    </w:p>
    <w:p w14:paraId="268F2F6A" w14:textId="77777777" w:rsidR="00130E8B" w:rsidRDefault="000405CC">
      <w:pPr>
        <w:pStyle w:val="a3"/>
        <w:rPr>
          <w:lang w:val="hu-HU"/>
        </w:rPr>
      </w:pPr>
      <w:r>
        <w:rPr>
          <w:rFonts w:eastAsia="Times New Roman"/>
          <w:lang w:val="hu-HU"/>
        </w:rPr>
        <w:t>nátrium-acetáttrihidrát</w:t>
      </w:r>
    </w:p>
    <w:p w14:paraId="5E1AC78E" w14:textId="77777777" w:rsidR="00130E8B" w:rsidRDefault="000405CC">
      <w:pPr>
        <w:pStyle w:val="a3"/>
        <w:rPr>
          <w:lang w:val="hu-HU"/>
        </w:rPr>
      </w:pPr>
      <w:r>
        <w:rPr>
          <w:rFonts w:eastAsia="Times New Roman"/>
          <w:lang w:val="hu-HU"/>
        </w:rPr>
        <w:t>glicin</w:t>
      </w:r>
    </w:p>
    <w:p w14:paraId="44666874" w14:textId="77777777" w:rsidR="00130E8B" w:rsidRDefault="000405CC">
      <w:pPr>
        <w:pStyle w:val="a3"/>
        <w:rPr>
          <w:lang w:val="hu-HU"/>
        </w:rPr>
      </w:pPr>
      <w:r>
        <w:rPr>
          <w:rFonts w:eastAsia="Times New Roman"/>
          <w:lang w:val="hu-HU"/>
        </w:rPr>
        <w:t>poliszorbát 80</w:t>
      </w:r>
    </w:p>
    <w:p w14:paraId="27C20A20" w14:textId="77777777" w:rsidR="00130E8B" w:rsidRDefault="000405CC">
      <w:pPr>
        <w:pStyle w:val="a3"/>
        <w:rPr>
          <w:lang w:val="hu-HU"/>
        </w:rPr>
      </w:pPr>
      <w:r>
        <w:rPr>
          <w:rFonts w:eastAsia="Times New Roman"/>
          <w:lang w:val="hu-HU"/>
        </w:rPr>
        <w:t>injekcióhoz való víz</w:t>
      </w:r>
    </w:p>
    <w:p w14:paraId="5A0B3B40" w14:textId="77777777" w:rsidR="00130E8B" w:rsidRDefault="00130E8B">
      <w:pPr>
        <w:spacing w:line="240" w:lineRule="exact"/>
        <w:rPr>
          <w:sz w:val="24"/>
          <w:szCs w:val="24"/>
          <w:lang w:val="hu-HU"/>
        </w:rPr>
      </w:pPr>
    </w:p>
    <w:p w14:paraId="7BECE6FB" w14:textId="77777777" w:rsidR="00130E8B" w:rsidRDefault="000405CC">
      <w:pPr>
        <w:widowControl/>
        <w:numPr>
          <w:ilvl w:val="1"/>
          <w:numId w:val="30"/>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Inkompatibilitások</w:t>
      </w:r>
    </w:p>
    <w:p w14:paraId="4A661821" w14:textId="77777777" w:rsidR="00130E8B" w:rsidRDefault="00130E8B">
      <w:pPr>
        <w:spacing w:line="240" w:lineRule="exact"/>
        <w:rPr>
          <w:sz w:val="24"/>
          <w:szCs w:val="24"/>
          <w:lang w:val="hu-HU"/>
        </w:rPr>
      </w:pPr>
    </w:p>
    <w:p w14:paraId="49B88806" w14:textId="77777777" w:rsidR="00130E8B" w:rsidRDefault="000405CC">
      <w:pPr>
        <w:pStyle w:val="a3"/>
        <w:rPr>
          <w:lang w:val="hu-HU"/>
        </w:rPr>
      </w:pPr>
      <w:r>
        <w:rPr>
          <w:rFonts w:eastAsia="Times New Roman"/>
          <w:lang w:val="hu-HU"/>
        </w:rPr>
        <w:t>Kompatibilitási vizsgálatok hiányában ez a gyógyszer nem keverhető más gyógyszerrel.</w:t>
      </w:r>
    </w:p>
    <w:p w14:paraId="47472672" w14:textId="77777777" w:rsidR="00130E8B" w:rsidRDefault="00130E8B">
      <w:pPr>
        <w:spacing w:line="240" w:lineRule="exact"/>
        <w:rPr>
          <w:sz w:val="24"/>
          <w:szCs w:val="24"/>
          <w:lang w:val="hu-HU"/>
        </w:rPr>
      </w:pPr>
    </w:p>
    <w:p w14:paraId="0F9ABC35" w14:textId="77777777" w:rsidR="00130E8B" w:rsidRDefault="000405CC">
      <w:pPr>
        <w:widowControl/>
        <w:numPr>
          <w:ilvl w:val="1"/>
          <w:numId w:val="30"/>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Felhasználhatósági időtartam</w:t>
      </w:r>
    </w:p>
    <w:p w14:paraId="3E32FA19" w14:textId="77777777" w:rsidR="00130E8B" w:rsidRDefault="00130E8B">
      <w:pPr>
        <w:spacing w:line="240" w:lineRule="exact"/>
        <w:rPr>
          <w:sz w:val="24"/>
          <w:szCs w:val="24"/>
          <w:lang w:val="hu-HU"/>
        </w:rPr>
      </w:pPr>
    </w:p>
    <w:p w14:paraId="44B15771" w14:textId="0258FB26" w:rsidR="00130E8B" w:rsidRDefault="00596AB9">
      <w:pPr>
        <w:pStyle w:val="a3"/>
        <w:rPr>
          <w:lang w:val="hu-HU"/>
        </w:rPr>
      </w:pPr>
      <w:r>
        <w:rPr>
          <w:rFonts w:eastAsia="Times New Roman"/>
          <w:lang w:val="hu-HU"/>
        </w:rPr>
        <w:t>3</w:t>
      </w:r>
      <w:r w:rsidR="000405CC">
        <w:rPr>
          <w:rFonts w:eastAsia="Times New Roman"/>
          <w:lang w:val="hu-HU"/>
        </w:rPr>
        <w:t xml:space="preserve"> év</w:t>
      </w:r>
    </w:p>
    <w:p w14:paraId="62745307" w14:textId="77777777" w:rsidR="00130E8B" w:rsidRDefault="00130E8B">
      <w:pPr>
        <w:spacing w:line="240" w:lineRule="exact"/>
        <w:rPr>
          <w:sz w:val="24"/>
          <w:szCs w:val="24"/>
          <w:lang w:val="hu-HU"/>
        </w:rPr>
      </w:pPr>
    </w:p>
    <w:p w14:paraId="23A2309A" w14:textId="77777777" w:rsidR="00130E8B" w:rsidRDefault="000405CC">
      <w:pPr>
        <w:widowControl/>
        <w:numPr>
          <w:ilvl w:val="1"/>
          <w:numId w:val="30"/>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Különleges tárolási előírások</w:t>
      </w:r>
    </w:p>
    <w:p w14:paraId="202F3D7E" w14:textId="77777777" w:rsidR="00130E8B" w:rsidRDefault="00130E8B">
      <w:pPr>
        <w:spacing w:line="260" w:lineRule="exact"/>
        <w:rPr>
          <w:sz w:val="26"/>
          <w:szCs w:val="26"/>
          <w:lang w:val="hu-HU"/>
        </w:rPr>
      </w:pPr>
    </w:p>
    <w:p w14:paraId="4F56D16E" w14:textId="77777777" w:rsidR="00130E8B" w:rsidRDefault="000405CC">
      <w:pPr>
        <w:pStyle w:val="a3"/>
        <w:rPr>
          <w:lang w:val="hu-HU"/>
        </w:rPr>
      </w:pPr>
      <w:r>
        <w:rPr>
          <w:rFonts w:eastAsia="Times New Roman"/>
          <w:lang w:val="hu-HU"/>
        </w:rPr>
        <w:t>Hűtőszekrényben (2</w:t>
      </w:r>
      <w:r>
        <w:rPr>
          <w:rFonts w:ascii="Symbol" w:eastAsia="Symbol" w:hAnsi="Symbol" w:cs="Symbol"/>
          <w:lang w:val="hu-HU"/>
        </w:rPr>
        <w:sym w:font="Symbol" w:char="F0B0"/>
      </w:r>
      <w:r>
        <w:rPr>
          <w:rFonts w:eastAsia="Times New Roman"/>
          <w:lang w:val="hu-HU"/>
        </w:rPr>
        <w:t>C – 8</w:t>
      </w:r>
      <w:r>
        <w:rPr>
          <w:rFonts w:ascii="Symbol" w:eastAsia="Symbol" w:hAnsi="Symbol" w:cs="Symbol"/>
          <w:lang w:val="hu-HU"/>
        </w:rPr>
        <w:sym w:font="Symbol" w:char="F0B0"/>
      </w:r>
      <w:r>
        <w:rPr>
          <w:rFonts w:eastAsia="Times New Roman"/>
          <w:lang w:val="hu-HU"/>
        </w:rPr>
        <w:t>C) tárolandó. Nem fagyasztható.</w:t>
      </w:r>
    </w:p>
    <w:p w14:paraId="50AD4DD0" w14:textId="77777777" w:rsidR="00130E8B" w:rsidRDefault="000405CC">
      <w:pPr>
        <w:pStyle w:val="a3"/>
        <w:rPr>
          <w:lang w:val="hu-HU"/>
        </w:rPr>
      </w:pPr>
      <w:r>
        <w:rPr>
          <w:rFonts w:eastAsia="Times New Roman"/>
          <w:lang w:val="hu-HU"/>
        </w:rPr>
        <w:t>A fénytől való védelem érdekében az előretöltött fecskendő vagy az előretöltött injekciós toll az eredeti dobozban tárolandó.</w:t>
      </w:r>
    </w:p>
    <w:p w14:paraId="238F1123" w14:textId="77777777" w:rsidR="00130E8B" w:rsidRDefault="00130E8B">
      <w:pPr>
        <w:spacing w:line="240" w:lineRule="exact"/>
        <w:rPr>
          <w:sz w:val="24"/>
          <w:szCs w:val="24"/>
          <w:lang w:val="hu-HU"/>
        </w:rPr>
      </w:pPr>
    </w:p>
    <w:p w14:paraId="429126C2" w14:textId="796FDA06" w:rsidR="00130E8B" w:rsidRDefault="000405CC">
      <w:pPr>
        <w:pStyle w:val="a3"/>
        <w:rPr>
          <w:lang w:val="hu-HU"/>
        </w:rPr>
      </w:pPr>
      <w:r>
        <w:rPr>
          <w:rFonts w:eastAsia="Times New Roman"/>
          <w:lang w:val="hu-HU"/>
        </w:rPr>
        <w:t xml:space="preserve">Önmagában a Yuflyma előretöltött fecskendő vagy előretöltött injekciós toll legfeljebb 25°C-on, maximum </w:t>
      </w:r>
      <w:r w:rsidR="005F473D">
        <w:rPr>
          <w:rFonts w:eastAsia="Times New Roman"/>
          <w:lang w:val="hu-HU"/>
        </w:rPr>
        <w:t xml:space="preserve">31 </w:t>
      </w:r>
      <w:r>
        <w:rPr>
          <w:rFonts w:eastAsia="Times New Roman"/>
          <w:lang w:val="hu-HU"/>
        </w:rPr>
        <w:t xml:space="preserve">napig tárolható. Az előretöltött fecskendőt vagy az előretöltött injekciós tollat fénytől védeni kell, és meg kell semmisíteni, amennyiben a </w:t>
      </w:r>
      <w:r w:rsidR="005F473D">
        <w:rPr>
          <w:rFonts w:eastAsia="Times New Roman"/>
          <w:lang w:val="hu-HU"/>
        </w:rPr>
        <w:t xml:space="preserve">31 </w:t>
      </w:r>
      <w:r>
        <w:rPr>
          <w:rFonts w:eastAsia="Times New Roman"/>
          <w:lang w:val="hu-HU"/>
        </w:rPr>
        <w:t>napos időtartam alatt nem használták fel</w:t>
      </w:r>
    </w:p>
    <w:p w14:paraId="5588BF69" w14:textId="77777777" w:rsidR="00130E8B" w:rsidRDefault="00130E8B">
      <w:pPr>
        <w:spacing w:line="240" w:lineRule="exact"/>
        <w:rPr>
          <w:sz w:val="24"/>
          <w:szCs w:val="24"/>
          <w:lang w:val="hu-HU"/>
        </w:rPr>
      </w:pPr>
    </w:p>
    <w:p w14:paraId="7A23FE4D" w14:textId="77777777" w:rsidR="00130E8B" w:rsidRDefault="000405CC">
      <w:pPr>
        <w:widowControl/>
        <w:numPr>
          <w:ilvl w:val="1"/>
          <w:numId w:val="30"/>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Csomagolás típusa és kiszerelése</w:t>
      </w:r>
    </w:p>
    <w:p w14:paraId="51DFC409" w14:textId="77777777" w:rsidR="00130E8B" w:rsidRDefault="00130E8B">
      <w:pPr>
        <w:pStyle w:val="a4"/>
        <w:spacing w:line="240" w:lineRule="exact"/>
        <w:rPr>
          <w:sz w:val="24"/>
          <w:szCs w:val="24"/>
          <w:lang w:val="hu-HU"/>
        </w:rPr>
      </w:pPr>
    </w:p>
    <w:p w14:paraId="1070750C" w14:textId="08D382B3" w:rsidR="00130E8B" w:rsidRDefault="000405CC">
      <w:pPr>
        <w:pStyle w:val="a3"/>
        <w:rPr>
          <w:u w:val="single"/>
          <w:lang w:val="hu-HU"/>
        </w:rPr>
      </w:pPr>
      <w:r>
        <w:rPr>
          <w:rFonts w:eastAsia="Times New Roman"/>
          <w:u w:val="single"/>
          <w:lang w:val="hu-HU"/>
        </w:rPr>
        <w:t>Yuflyma 40 mg</w:t>
      </w:r>
      <w:r w:rsidR="001F7685">
        <w:rPr>
          <w:rFonts w:eastAsia="Times New Roman"/>
          <w:u w:val="single"/>
          <w:lang w:val="hu-HU"/>
        </w:rPr>
        <w:t xml:space="preserve"> </w:t>
      </w:r>
      <w:r>
        <w:rPr>
          <w:rFonts w:eastAsia="Times New Roman"/>
          <w:u w:val="single"/>
          <w:lang w:val="hu-HU"/>
        </w:rPr>
        <w:t>oldatos injekció előretöltött fecskendőben</w:t>
      </w:r>
    </w:p>
    <w:p w14:paraId="454716CA" w14:textId="77777777" w:rsidR="00130E8B" w:rsidRDefault="00130E8B">
      <w:pPr>
        <w:pStyle w:val="a3"/>
        <w:rPr>
          <w:u w:val="single"/>
          <w:lang w:val="hu-HU"/>
        </w:rPr>
      </w:pPr>
    </w:p>
    <w:p w14:paraId="53421D85" w14:textId="77777777" w:rsidR="00130E8B" w:rsidRDefault="000405CC">
      <w:pPr>
        <w:pStyle w:val="a3"/>
        <w:rPr>
          <w:lang w:val="hu-HU"/>
        </w:rPr>
      </w:pPr>
      <w:r>
        <w:rPr>
          <w:rFonts w:eastAsia="Times New Roman"/>
          <w:lang w:val="hu-HU"/>
        </w:rPr>
        <w:t>Oldatos injekció előretöltött fecskendőben (I. típusú üveg)</w:t>
      </w:r>
    </w:p>
    <w:p w14:paraId="2A7364DD" w14:textId="77777777" w:rsidR="00130E8B" w:rsidRDefault="000405CC">
      <w:pPr>
        <w:pStyle w:val="a3"/>
        <w:rPr>
          <w:rFonts w:eastAsia="Times New Roman"/>
          <w:lang w:val="hu-HU"/>
        </w:rPr>
      </w:pPr>
      <w:r>
        <w:rPr>
          <w:rFonts w:eastAsia="Times New Roman"/>
          <w:lang w:val="hu-HU"/>
        </w:rPr>
        <w:lastRenderedPageBreak/>
        <w:t>brómbutil gumitömítéses dugattyúval és tűvédővel ellátott tűvel (termoplasztikus elasztomer).</w:t>
      </w:r>
    </w:p>
    <w:p w14:paraId="27F13B31" w14:textId="77777777" w:rsidR="00130E8B" w:rsidRDefault="00130E8B">
      <w:pPr>
        <w:spacing w:line="240" w:lineRule="exact"/>
        <w:rPr>
          <w:sz w:val="24"/>
          <w:szCs w:val="24"/>
          <w:lang w:val="hu-HU"/>
        </w:rPr>
      </w:pPr>
    </w:p>
    <w:p w14:paraId="6C789686" w14:textId="77777777" w:rsidR="00130E8B" w:rsidRDefault="000405CC">
      <w:pPr>
        <w:pStyle w:val="a3"/>
        <w:rPr>
          <w:lang w:val="hu-HU"/>
        </w:rPr>
      </w:pPr>
      <w:r>
        <w:rPr>
          <w:rFonts w:eastAsia="Times New Roman"/>
          <w:lang w:val="hu-HU"/>
        </w:rPr>
        <w:t>Csomagolási egység:</w:t>
      </w:r>
    </w:p>
    <w:p w14:paraId="693376B5" w14:textId="31C6FA18" w:rsidR="00130E8B" w:rsidRDefault="000405CC">
      <w:pPr>
        <w:pStyle w:val="a3"/>
        <w:numPr>
          <w:ilvl w:val="0"/>
          <w:numId w:val="15"/>
        </w:numPr>
        <w:ind w:left="660" w:hanging="660"/>
        <w:rPr>
          <w:lang w:val="hu-HU"/>
        </w:rPr>
      </w:pPr>
      <w:r>
        <w:rPr>
          <w:rFonts w:eastAsia="Times New Roman"/>
          <w:lang w:val="hu-HU"/>
        </w:rPr>
        <w:t>1</w:t>
      </w:r>
      <w:r w:rsidR="00424DF6">
        <w:rPr>
          <w:rFonts w:eastAsia="Times New Roman"/>
          <w:lang w:val="hu-HU"/>
        </w:rPr>
        <w:t xml:space="preserve"> </w:t>
      </w:r>
      <w:r>
        <w:rPr>
          <w:rFonts w:eastAsia="Times New Roman"/>
          <w:lang w:val="hu-HU"/>
        </w:rPr>
        <w:t>előretöltött fecskendő (0,4 ml steriloldat) 2 alkoholos</w:t>
      </w:r>
      <w:r w:rsidR="00FE6CD4">
        <w:rPr>
          <w:rFonts w:eastAsia="Times New Roman"/>
          <w:lang w:val="hu-HU"/>
        </w:rPr>
        <w:t xml:space="preserve"> </w:t>
      </w:r>
      <w:r>
        <w:rPr>
          <w:rFonts w:eastAsia="Times New Roman"/>
          <w:lang w:val="hu-HU"/>
        </w:rPr>
        <w:t>törlőkendővel.</w:t>
      </w:r>
    </w:p>
    <w:p w14:paraId="765DEA79" w14:textId="39752623" w:rsidR="00130E8B" w:rsidRDefault="000405CC" w:rsidP="001F7685">
      <w:pPr>
        <w:pStyle w:val="a3"/>
        <w:numPr>
          <w:ilvl w:val="0"/>
          <w:numId w:val="15"/>
        </w:numPr>
        <w:ind w:left="660"/>
        <w:rPr>
          <w:lang w:val="hu-HU"/>
        </w:rPr>
      </w:pPr>
      <w:r>
        <w:rPr>
          <w:rFonts w:eastAsia="Times New Roman"/>
          <w:lang w:val="hu-HU"/>
        </w:rPr>
        <w:t>2</w:t>
      </w:r>
      <w:r w:rsidR="00424DF6">
        <w:rPr>
          <w:rFonts w:eastAsia="Times New Roman"/>
          <w:lang w:val="hu-HU"/>
        </w:rPr>
        <w:t xml:space="preserve"> </w:t>
      </w:r>
      <w:r>
        <w:rPr>
          <w:rFonts w:eastAsia="Times New Roman"/>
          <w:lang w:val="hu-HU"/>
        </w:rPr>
        <w:t xml:space="preserve">előretöltött fecskendő (0,4 ml steriloldat) </w:t>
      </w:r>
      <w:r w:rsidR="001F7685" w:rsidRPr="001F7685">
        <w:rPr>
          <w:rFonts w:eastAsia="Times New Roman"/>
          <w:lang w:val="hu-HU"/>
        </w:rPr>
        <w:t>egy-egy</w:t>
      </w:r>
      <w:r w:rsidR="001F7685">
        <w:rPr>
          <w:rFonts w:eastAsia="Times New Roman"/>
          <w:lang w:val="hu-HU"/>
        </w:rPr>
        <w:t xml:space="preserve"> </w:t>
      </w:r>
      <w:r>
        <w:rPr>
          <w:rFonts w:eastAsia="Times New Roman"/>
          <w:lang w:val="hu-HU"/>
        </w:rPr>
        <w:t>1 alkoholos</w:t>
      </w:r>
      <w:r w:rsidR="00FE6CD4">
        <w:rPr>
          <w:rFonts w:eastAsia="Times New Roman"/>
          <w:lang w:val="hu-HU"/>
        </w:rPr>
        <w:t xml:space="preserve"> </w:t>
      </w:r>
      <w:r>
        <w:rPr>
          <w:rFonts w:eastAsia="Times New Roman"/>
          <w:lang w:val="hu-HU"/>
        </w:rPr>
        <w:t>törlőkendővel.</w:t>
      </w:r>
    </w:p>
    <w:p w14:paraId="0BF9134E" w14:textId="5E44E820" w:rsidR="00130E8B" w:rsidRDefault="000405CC" w:rsidP="001F7685">
      <w:pPr>
        <w:pStyle w:val="a3"/>
        <w:numPr>
          <w:ilvl w:val="0"/>
          <w:numId w:val="15"/>
        </w:numPr>
        <w:ind w:left="660"/>
        <w:rPr>
          <w:lang w:val="hu-HU"/>
        </w:rPr>
      </w:pPr>
      <w:r>
        <w:rPr>
          <w:rFonts w:eastAsia="Times New Roman"/>
          <w:lang w:val="hu-HU"/>
        </w:rPr>
        <w:t>4</w:t>
      </w:r>
      <w:r w:rsidR="00424DF6">
        <w:rPr>
          <w:rFonts w:eastAsia="Times New Roman"/>
          <w:lang w:val="hu-HU"/>
        </w:rPr>
        <w:t xml:space="preserve"> </w:t>
      </w:r>
      <w:r>
        <w:rPr>
          <w:rFonts w:eastAsia="Times New Roman"/>
          <w:lang w:val="hu-HU"/>
        </w:rPr>
        <w:t xml:space="preserve">előretöltött fecskendő (0,4 ml steriloldat) </w:t>
      </w:r>
      <w:r w:rsidR="001F7685" w:rsidRPr="001F7685">
        <w:rPr>
          <w:rFonts w:eastAsia="Times New Roman"/>
          <w:lang w:val="hu-HU"/>
        </w:rPr>
        <w:t>egy-egy</w:t>
      </w:r>
      <w:r w:rsidR="001F7685">
        <w:rPr>
          <w:rFonts w:eastAsia="Times New Roman"/>
          <w:lang w:val="hu-HU"/>
        </w:rPr>
        <w:t xml:space="preserve"> </w:t>
      </w:r>
      <w:r>
        <w:rPr>
          <w:rFonts w:eastAsia="Times New Roman"/>
          <w:lang w:val="hu-HU"/>
        </w:rPr>
        <w:t>1 alkoholos</w:t>
      </w:r>
      <w:r w:rsidR="00FE6CD4">
        <w:rPr>
          <w:rFonts w:eastAsia="Times New Roman"/>
          <w:lang w:val="hu-HU"/>
        </w:rPr>
        <w:t xml:space="preserve"> </w:t>
      </w:r>
      <w:r>
        <w:rPr>
          <w:rFonts w:eastAsia="Times New Roman"/>
          <w:lang w:val="hu-HU"/>
        </w:rPr>
        <w:t>törlőkendővel.</w:t>
      </w:r>
    </w:p>
    <w:p w14:paraId="6D6647D0" w14:textId="148A048B" w:rsidR="00130E8B" w:rsidRDefault="000405CC" w:rsidP="001F7685">
      <w:pPr>
        <w:pStyle w:val="a3"/>
        <w:numPr>
          <w:ilvl w:val="0"/>
          <w:numId w:val="15"/>
        </w:numPr>
        <w:ind w:left="660"/>
        <w:rPr>
          <w:lang w:val="hu-HU"/>
        </w:rPr>
      </w:pPr>
      <w:r>
        <w:rPr>
          <w:rFonts w:eastAsia="Times New Roman"/>
          <w:lang w:val="hu-HU"/>
        </w:rPr>
        <w:t>6</w:t>
      </w:r>
      <w:r w:rsidR="00424DF6">
        <w:rPr>
          <w:rFonts w:eastAsia="Times New Roman"/>
          <w:lang w:val="hu-HU"/>
        </w:rPr>
        <w:t xml:space="preserve"> </w:t>
      </w:r>
      <w:r>
        <w:rPr>
          <w:rFonts w:eastAsia="Times New Roman"/>
          <w:lang w:val="hu-HU"/>
        </w:rPr>
        <w:t xml:space="preserve">előretöltött fecskendő (0,4 ml steriloldat) </w:t>
      </w:r>
      <w:r w:rsidR="001F7685" w:rsidRPr="001F7685">
        <w:rPr>
          <w:rFonts w:eastAsia="Times New Roman"/>
          <w:lang w:val="hu-HU"/>
        </w:rPr>
        <w:t>egy-egy</w:t>
      </w:r>
      <w:r w:rsidR="001F7685">
        <w:rPr>
          <w:rFonts w:eastAsia="Times New Roman"/>
          <w:lang w:val="hu-HU"/>
        </w:rPr>
        <w:t xml:space="preserve"> </w:t>
      </w:r>
      <w:r>
        <w:rPr>
          <w:rFonts w:eastAsia="Times New Roman"/>
          <w:lang w:val="hu-HU"/>
        </w:rPr>
        <w:t>1 alkoholos</w:t>
      </w:r>
      <w:r w:rsidR="00FE6CD4">
        <w:rPr>
          <w:rFonts w:eastAsia="Times New Roman"/>
          <w:lang w:val="hu-HU"/>
        </w:rPr>
        <w:t xml:space="preserve"> </w:t>
      </w:r>
      <w:r>
        <w:rPr>
          <w:rFonts w:eastAsia="Times New Roman"/>
          <w:lang w:val="hu-HU"/>
        </w:rPr>
        <w:t>törlőkendővel.</w:t>
      </w:r>
    </w:p>
    <w:p w14:paraId="07DDE469" w14:textId="77777777" w:rsidR="00130E8B" w:rsidRDefault="00130E8B">
      <w:pPr>
        <w:spacing w:before="13" w:line="240" w:lineRule="exact"/>
        <w:rPr>
          <w:sz w:val="24"/>
          <w:szCs w:val="24"/>
          <w:lang w:val="hu-HU"/>
        </w:rPr>
      </w:pPr>
    </w:p>
    <w:p w14:paraId="66904EB5" w14:textId="376E8638" w:rsidR="00130E8B" w:rsidRDefault="000405CC">
      <w:pPr>
        <w:pStyle w:val="a3"/>
        <w:rPr>
          <w:u w:val="single"/>
          <w:lang w:val="hu-HU"/>
        </w:rPr>
      </w:pPr>
      <w:r>
        <w:rPr>
          <w:rFonts w:eastAsia="Times New Roman"/>
          <w:u w:val="single"/>
          <w:lang w:val="hu-HU"/>
        </w:rPr>
        <w:t>Yuflyma 40 mg</w:t>
      </w:r>
      <w:r w:rsidR="00AC50BB">
        <w:rPr>
          <w:rFonts w:eastAsia="Times New Roman"/>
          <w:u w:val="single"/>
          <w:lang w:val="hu-HU"/>
        </w:rPr>
        <w:t xml:space="preserve"> </w:t>
      </w:r>
      <w:r>
        <w:rPr>
          <w:rFonts w:eastAsia="Times New Roman"/>
          <w:u w:val="single"/>
          <w:lang w:val="hu-HU"/>
        </w:rPr>
        <w:t>oldatos injekció előretöltött fecskendőben tűvédővel</w:t>
      </w:r>
    </w:p>
    <w:p w14:paraId="4928694B" w14:textId="77777777" w:rsidR="00130E8B" w:rsidRDefault="00130E8B">
      <w:pPr>
        <w:pStyle w:val="a3"/>
        <w:rPr>
          <w:u w:val="single"/>
          <w:lang w:val="hu-HU"/>
        </w:rPr>
      </w:pPr>
    </w:p>
    <w:p w14:paraId="2E5C3F89" w14:textId="77777777" w:rsidR="00130E8B" w:rsidRDefault="000405CC">
      <w:pPr>
        <w:pStyle w:val="a3"/>
        <w:rPr>
          <w:lang w:val="hu-HU"/>
        </w:rPr>
      </w:pPr>
      <w:r>
        <w:rPr>
          <w:rFonts w:eastAsia="Times New Roman"/>
          <w:lang w:val="hu-HU"/>
        </w:rPr>
        <w:t>Afecskendő I. típusú üvegből készült dugattyúval (brómbutil gumi), és egy tű, tűvédővel (termoplasztikus elasztomer).</w:t>
      </w:r>
    </w:p>
    <w:p w14:paraId="23FE23B8" w14:textId="77777777" w:rsidR="00130E8B" w:rsidRDefault="00130E8B">
      <w:pPr>
        <w:spacing w:line="240" w:lineRule="exact"/>
        <w:rPr>
          <w:sz w:val="24"/>
          <w:szCs w:val="24"/>
          <w:lang w:val="hu-HU"/>
        </w:rPr>
      </w:pPr>
    </w:p>
    <w:p w14:paraId="67ACFF1E" w14:textId="77777777" w:rsidR="00130E8B" w:rsidRDefault="000405CC">
      <w:pPr>
        <w:pStyle w:val="a3"/>
        <w:rPr>
          <w:lang w:val="hu-HU"/>
        </w:rPr>
      </w:pPr>
      <w:r>
        <w:rPr>
          <w:rFonts w:eastAsia="Times New Roman"/>
          <w:lang w:val="hu-HU"/>
        </w:rPr>
        <w:t>Csomagolási egység:</w:t>
      </w:r>
    </w:p>
    <w:p w14:paraId="72C4015B" w14:textId="0DDD1813" w:rsidR="00130E8B" w:rsidRDefault="000405CC">
      <w:pPr>
        <w:pStyle w:val="a3"/>
        <w:numPr>
          <w:ilvl w:val="0"/>
          <w:numId w:val="15"/>
        </w:numPr>
        <w:ind w:left="660" w:hanging="660"/>
        <w:rPr>
          <w:lang w:val="hu-HU"/>
        </w:rPr>
      </w:pPr>
      <w:r>
        <w:rPr>
          <w:rFonts w:eastAsia="Times New Roman"/>
          <w:lang w:val="hu-HU"/>
        </w:rPr>
        <w:t>1</w:t>
      </w:r>
      <w:r w:rsidR="00435A19">
        <w:rPr>
          <w:rFonts w:eastAsia="Times New Roman"/>
          <w:lang w:val="hu-HU"/>
        </w:rPr>
        <w:t xml:space="preserve"> </w:t>
      </w:r>
      <w:r>
        <w:rPr>
          <w:rFonts w:eastAsia="Times New Roman"/>
          <w:lang w:val="hu-HU"/>
        </w:rPr>
        <w:t>előretöltött fecskendő tűvédővel (0,4 ml steriloldat) 2 alkoholos</w:t>
      </w:r>
      <w:r w:rsidR="00FE6CD4">
        <w:rPr>
          <w:rFonts w:eastAsia="Times New Roman"/>
          <w:lang w:val="hu-HU"/>
        </w:rPr>
        <w:t xml:space="preserve"> </w:t>
      </w:r>
      <w:r>
        <w:rPr>
          <w:rFonts w:eastAsia="Times New Roman"/>
          <w:lang w:val="hu-HU"/>
        </w:rPr>
        <w:t>törlőkendővel.</w:t>
      </w:r>
    </w:p>
    <w:p w14:paraId="6474E9A1" w14:textId="61E2BCDD" w:rsidR="00130E8B" w:rsidRDefault="000405CC" w:rsidP="001F7685">
      <w:pPr>
        <w:pStyle w:val="a3"/>
        <w:numPr>
          <w:ilvl w:val="0"/>
          <w:numId w:val="15"/>
        </w:numPr>
        <w:ind w:left="660"/>
        <w:rPr>
          <w:lang w:val="hu-HU"/>
        </w:rPr>
      </w:pPr>
      <w:r>
        <w:rPr>
          <w:rFonts w:eastAsia="Times New Roman"/>
          <w:lang w:val="hu-HU"/>
        </w:rPr>
        <w:t>2</w:t>
      </w:r>
      <w:r w:rsidR="00435A19">
        <w:rPr>
          <w:rFonts w:eastAsia="Times New Roman"/>
          <w:lang w:val="hu-HU"/>
        </w:rPr>
        <w:t xml:space="preserve"> </w:t>
      </w:r>
      <w:r>
        <w:rPr>
          <w:rFonts w:eastAsia="Times New Roman"/>
          <w:lang w:val="hu-HU"/>
        </w:rPr>
        <w:t xml:space="preserve">előretöltött fecskendő tűvédővel (0,4 ml steriloldat) </w:t>
      </w:r>
      <w:r w:rsidR="001F7685" w:rsidRPr="001F7685">
        <w:rPr>
          <w:rFonts w:eastAsia="Times New Roman"/>
          <w:lang w:val="hu-HU"/>
        </w:rPr>
        <w:t>egy-egy</w:t>
      </w:r>
      <w:r w:rsidR="001F7685">
        <w:rPr>
          <w:rFonts w:eastAsia="Times New Roman"/>
          <w:lang w:val="hu-HU"/>
        </w:rPr>
        <w:t xml:space="preserve"> </w:t>
      </w:r>
      <w:r>
        <w:rPr>
          <w:rFonts w:eastAsia="Times New Roman"/>
          <w:lang w:val="hu-HU"/>
        </w:rPr>
        <w:t>1 alkoholos</w:t>
      </w:r>
      <w:r w:rsidR="00FE6CD4">
        <w:rPr>
          <w:rFonts w:eastAsia="Times New Roman"/>
          <w:lang w:val="hu-HU"/>
        </w:rPr>
        <w:t xml:space="preserve"> </w:t>
      </w:r>
      <w:r>
        <w:rPr>
          <w:rFonts w:eastAsia="Times New Roman"/>
          <w:lang w:val="hu-HU"/>
        </w:rPr>
        <w:t>törlőkendővel.</w:t>
      </w:r>
    </w:p>
    <w:p w14:paraId="7433C324" w14:textId="7DEB017B" w:rsidR="00130E8B" w:rsidRDefault="000405CC" w:rsidP="001F7685">
      <w:pPr>
        <w:pStyle w:val="a3"/>
        <w:numPr>
          <w:ilvl w:val="0"/>
          <w:numId w:val="15"/>
        </w:numPr>
        <w:ind w:left="660"/>
        <w:rPr>
          <w:lang w:val="hu-HU"/>
        </w:rPr>
      </w:pPr>
      <w:r>
        <w:rPr>
          <w:rFonts w:eastAsia="Times New Roman"/>
          <w:lang w:val="hu-HU"/>
        </w:rPr>
        <w:t>4</w:t>
      </w:r>
      <w:r w:rsidR="00435A19">
        <w:rPr>
          <w:rFonts w:eastAsia="Times New Roman"/>
          <w:lang w:val="hu-HU"/>
        </w:rPr>
        <w:t xml:space="preserve"> </w:t>
      </w:r>
      <w:r>
        <w:rPr>
          <w:rFonts w:eastAsia="Times New Roman"/>
          <w:lang w:val="hu-HU"/>
        </w:rPr>
        <w:t xml:space="preserve">előretöltött fecskendő tűvédővel (0,4 ml steriloldat) </w:t>
      </w:r>
      <w:r w:rsidR="001F7685" w:rsidRPr="001F7685">
        <w:rPr>
          <w:rFonts w:eastAsia="Times New Roman"/>
          <w:lang w:val="hu-HU"/>
        </w:rPr>
        <w:t>egy-egy</w:t>
      </w:r>
      <w:r w:rsidR="001F7685">
        <w:rPr>
          <w:rFonts w:eastAsia="Times New Roman"/>
          <w:lang w:val="hu-HU"/>
        </w:rPr>
        <w:t xml:space="preserve"> </w:t>
      </w:r>
      <w:r>
        <w:rPr>
          <w:rFonts w:eastAsia="Times New Roman"/>
          <w:lang w:val="hu-HU"/>
        </w:rPr>
        <w:t>1 alkoholos</w:t>
      </w:r>
      <w:r w:rsidR="00FE6CD4">
        <w:rPr>
          <w:rFonts w:eastAsia="Times New Roman"/>
          <w:lang w:val="hu-HU"/>
        </w:rPr>
        <w:t xml:space="preserve"> </w:t>
      </w:r>
      <w:r>
        <w:rPr>
          <w:rFonts w:eastAsia="Times New Roman"/>
          <w:lang w:val="hu-HU"/>
        </w:rPr>
        <w:t>törlőkendővel.</w:t>
      </w:r>
    </w:p>
    <w:p w14:paraId="00D22D60" w14:textId="5F6C3E83" w:rsidR="00130E8B" w:rsidRDefault="000405CC" w:rsidP="001F7685">
      <w:pPr>
        <w:pStyle w:val="a3"/>
        <w:numPr>
          <w:ilvl w:val="0"/>
          <w:numId w:val="15"/>
        </w:numPr>
        <w:ind w:left="660"/>
        <w:rPr>
          <w:lang w:val="hu-HU"/>
        </w:rPr>
      </w:pPr>
      <w:r>
        <w:rPr>
          <w:rFonts w:eastAsia="Times New Roman"/>
          <w:lang w:val="hu-HU"/>
        </w:rPr>
        <w:t>6</w:t>
      </w:r>
      <w:r w:rsidR="00435A19">
        <w:rPr>
          <w:rFonts w:eastAsia="Times New Roman"/>
          <w:lang w:val="hu-HU"/>
        </w:rPr>
        <w:t xml:space="preserve"> </w:t>
      </w:r>
      <w:r>
        <w:rPr>
          <w:rFonts w:eastAsia="Times New Roman"/>
          <w:lang w:val="hu-HU"/>
        </w:rPr>
        <w:t xml:space="preserve">előretöltött fecskendő tűvédővel (0,4 ml steriloldat) </w:t>
      </w:r>
      <w:r w:rsidR="001F7685" w:rsidRPr="001F7685">
        <w:rPr>
          <w:rFonts w:eastAsia="Times New Roman"/>
          <w:lang w:val="hu-HU"/>
        </w:rPr>
        <w:t>egy-egy</w:t>
      </w:r>
      <w:r w:rsidR="001F7685">
        <w:rPr>
          <w:rFonts w:eastAsia="Times New Roman"/>
          <w:lang w:val="hu-HU"/>
        </w:rPr>
        <w:t xml:space="preserve"> </w:t>
      </w:r>
      <w:r>
        <w:rPr>
          <w:rFonts w:eastAsia="Times New Roman"/>
          <w:lang w:val="hu-HU"/>
        </w:rPr>
        <w:t>1 alkoholos</w:t>
      </w:r>
      <w:r w:rsidR="00FE6CD4">
        <w:rPr>
          <w:rFonts w:eastAsia="Times New Roman"/>
          <w:lang w:val="hu-HU"/>
        </w:rPr>
        <w:t xml:space="preserve"> </w:t>
      </w:r>
      <w:r>
        <w:rPr>
          <w:rFonts w:eastAsia="Times New Roman"/>
          <w:lang w:val="hu-HU"/>
        </w:rPr>
        <w:t>törlőkendővel.</w:t>
      </w:r>
    </w:p>
    <w:p w14:paraId="1A236191" w14:textId="77777777" w:rsidR="00130E8B" w:rsidRDefault="00130E8B">
      <w:pPr>
        <w:pStyle w:val="a3"/>
        <w:rPr>
          <w:rFonts w:eastAsia="Times New Roman"/>
          <w:u w:val="single"/>
          <w:lang w:val="hu-HU"/>
        </w:rPr>
      </w:pPr>
    </w:p>
    <w:p w14:paraId="5A62B92A" w14:textId="77777777" w:rsidR="00130E8B" w:rsidRDefault="000405CC">
      <w:pPr>
        <w:pStyle w:val="a3"/>
        <w:rPr>
          <w:u w:val="single"/>
          <w:lang w:val="hu-HU"/>
        </w:rPr>
      </w:pPr>
      <w:r>
        <w:rPr>
          <w:rFonts w:eastAsia="Times New Roman"/>
          <w:u w:val="single"/>
          <w:lang w:val="hu-HU"/>
        </w:rPr>
        <w:t>Yuflyma 40 mg oldatos injekció előretöltött injekciós tollban</w:t>
      </w:r>
    </w:p>
    <w:p w14:paraId="18665C29" w14:textId="77777777" w:rsidR="00130E8B" w:rsidRDefault="00130E8B">
      <w:pPr>
        <w:pStyle w:val="a3"/>
        <w:rPr>
          <w:u w:val="single"/>
          <w:lang w:val="hu-HU"/>
        </w:rPr>
      </w:pPr>
    </w:p>
    <w:p w14:paraId="29EA4F3D" w14:textId="43495560" w:rsidR="00130E8B" w:rsidRDefault="000405CC">
      <w:pPr>
        <w:pStyle w:val="a3"/>
        <w:rPr>
          <w:lang w:val="hu-HU"/>
        </w:rPr>
      </w:pPr>
      <w:r>
        <w:rPr>
          <w:rFonts w:eastAsia="Times New Roman"/>
          <w:lang w:val="hu-HU"/>
        </w:rPr>
        <w:t>Oldatos injekció előretöltött injekciós tollbanbeteg általi alkalmazásra egy előretöltött fecskendőt tartalmaz. Az  injekciós tollban lévő fecskendőfecskendő I. típusú üvegből készült, dugattyúval(brómbutil gumi), és egy tű, tűvédővel (termoplasztikus elasztomer</w:t>
      </w:r>
      <w:r w:rsidR="000C0BB8">
        <w:rPr>
          <w:rFonts w:eastAsia="Times New Roman"/>
          <w:lang w:val="hu-HU"/>
        </w:rPr>
        <w:t>)</w:t>
      </w:r>
      <w:r>
        <w:rPr>
          <w:rFonts w:eastAsia="Times New Roman"/>
          <w:lang w:val="hu-HU"/>
        </w:rPr>
        <w:t>.</w:t>
      </w:r>
    </w:p>
    <w:p w14:paraId="1CEE8F6F" w14:textId="77777777" w:rsidR="00130E8B" w:rsidRDefault="00130E8B">
      <w:pPr>
        <w:spacing w:line="240" w:lineRule="exact"/>
        <w:rPr>
          <w:sz w:val="24"/>
          <w:szCs w:val="24"/>
          <w:lang w:val="hu-HU"/>
        </w:rPr>
      </w:pPr>
    </w:p>
    <w:p w14:paraId="0701589D" w14:textId="77777777" w:rsidR="00130E8B" w:rsidRDefault="000405CC">
      <w:pPr>
        <w:pStyle w:val="a3"/>
        <w:rPr>
          <w:lang w:val="hu-HU"/>
        </w:rPr>
      </w:pPr>
      <w:r>
        <w:rPr>
          <w:rFonts w:eastAsia="Times New Roman"/>
          <w:lang w:val="hu-HU"/>
        </w:rPr>
        <w:t>Csomagolási egység:</w:t>
      </w:r>
    </w:p>
    <w:p w14:paraId="59B136DB" w14:textId="77777777" w:rsidR="00130E8B" w:rsidRDefault="000405CC">
      <w:pPr>
        <w:pStyle w:val="a3"/>
        <w:numPr>
          <w:ilvl w:val="1"/>
          <w:numId w:val="15"/>
        </w:numPr>
        <w:ind w:left="660" w:hanging="660"/>
        <w:rPr>
          <w:lang w:val="hu-HU"/>
        </w:rPr>
      </w:pPr>
      <w:r>
        <w:rPr>
          <w:rFonts w:eastAsia="Times New Roman"/>
          <w:lang w:val="hu-HU"/>
        </w:rPr>
        <w:t>1</w:t>
      </w:r>
      <w:r w:rsidR="00435A19">
        <w:rPr>
          <w:rFonts w:eastAsia="Times New Roman"/>
          <w:lang w:val="hu-HU"/>
        </w:rPr>
        <w:t xml:space="preserve"> </w:t>
      </w:r>
      <w:r>
        <w:rPr>
          <w:rFonts w:eastAsia="Times New Roman"/>
          <w:lang w:val="hu-HU"/>
        </w:rPr>
        <w:t>előretöltött injekciós toll (0,4 ml steriloldat) 2 alkoholos</w:t>
      </w:r>
      <w:r w:rsidR="00923B97">
        <w:rPr>
          <w:rFonts w:eastAsia="Times New Roman"/>
          <w:lang w:val="hu-HU"/>
        </w:rPr>
        <w:t xml:space="preserve"> </w:t>
      </w:r>
      <w:r>
        <w:rPr>
          <w:rFonts w:eastAsia="Times New Roman"/>
          <w:lang w:val="hu-HU"/>
        </w:rPr>
        <w:t>törlőkendővel.</w:t>
      </w:r>
    </w:p>
    <w:p w14:paraId="7E9255C2" w14:textId="6F5D2B80" w:rsidR="00130E8B" w:rsidRDefault="000405CC" w:rsidP="001F7685">
      <w:pPr>
        <w:pStyle w:val="a3"/>
        <w:numPr>
          <w:ilvl w:val="1"/>
          <w:numId w:val="15"/>
        </w:numPr>
        <w:ind w:left="660"/>
        <w:rPr>
          <w:lang w:val="hu-HU"/>
        </w:rPr>
      </w:pPr>
      <w:r>
        <w:rPr>
          <w:rFonts w:eastAsia="Times New Roman"/>
          <w:lang w:val="hu-HU"/>
        </w:rPr>
        <w:t>2</w:t>
      </w:r>
      <w:r w:rsidR="00435A19">
        <w:rPr>
          <w:rFonts w:eastAsia="Times New Roman"/>
          <w:lang w:val="hu-HU"/>
        </w:rPr>
        <w:t xml:space="preserve"> </w:t>
      </w:r>
      <w:r>
        <w:rPr>
          <w:rFonts w:eastAsia="Times New Roman"/>
          <w:lang w:val="hu-HU"/>
        </w:rPr>
        <w:t xml:space="preserve">előretöltött injekciós toll  (0,4 ml steriloldat) </w:t>
      </w:r>
      <w:r w:rsidR="001F7685" w:rsidRPr="001F7685">
        <w:rPr>
          <w:rFonts w:eastAsia="Times New Roman"/>
          <w:lang w:val="hu-HU"/>
        </w:rPr>
        <w:t>egy-egy</w:t>
      </w:r>
      <w:r w:rsidR="001F7685">
        <w:rPr>
          <w:rFonts w:eastAsia="Times New Roman"/>
          <w:lang w:val="hu-HU"/>
        </w:rPr>
        <w:t xml:space="preserve"> </w:t>
      </w:r>
      <w:r>
        <w:rPr>
          <w:rFonts w:eastAsia="Times New Roman"/>
          <w:lang w:val="hu-HU"/>
        </w:rPr>
        <w:t>1 alkoholos</w:t>
      </w:r>
      <w:r w:rsidR="00923B97">
        <w:rPr>
          <w:rFonts w:eastAsia="Times New Roman"/>
          <w:lang w:val="hu-HU"/>
        </w:rPr>
        <w:t xml:space="preserve"> </w:t>
      </w:r>
      <w:r>
        <w:rPr>
          <w:rFonts w:eastAsia="Times New Roman"/>
          <w:lang w:val="hu-HU"/>
        </w:rPr>
        <w:t>törlőkendővel.</w:t>
      </w:r>
    </w:p>
    <w:p w14:paraId="4EF0EA63" w14:textId="645AAF5B" w:rsidR="00130E8B" w:rsidRDefault="000405CC" w:rsidP="001F7685">
      <w:pPr>
        <w:pStyle w:val="a3"/>
        <w:numPr>
          <w:ilvl w:val="1"/>
          <w:numId w:val="15"/>
        </w:numPr>
        <w:ind w:left="660"/>
        <w:rPr>
          <w:lang w:val="hu-HU"/>
        </w:rPr>
      </w:pPr>
      <w:r>
        <w:rPr>
          <w:rFonts w:eastAsia="Times New Roman"/>
          <w:lang w:val="hu-HU"/>
        </w:rPr>
        <w:t>4</w:t>
      </w:r>
      <w:r w:rsidR="00435A19">
        <w:rPr>
          <w:rFonts w:eastAsia="Times New Roman"/>
          <w:lang w:val="hu-HU"/>
        </w:rPr>
        <w:t xml:space="preserve"> </w:t>
      </w:r>
      <w:r>
        <w:rPr>
          <w:rFonts w:eastAsia="Times New Roman"/>
          <w:lang w:val="hu-HU"/>
        </w:rPr>
        <w:t xml:space="preserve">előretöltött injekciós toll  (0,4 ml steriloldat) </w:t>
      </w:r>
      <w:r w:rsidR="001F7685" w:rsidRPr="001F7685">
        <w:rPr>
          <w:rFonts w:eastAsia="Times New Roman"/>
          <w:lang w:val="hu-HU"/>
        </w:rPr>
        <w:t>egy-egy</w:t>
      </w:r>
      <w:r w:rsidR="001F7685">
        <w:rPr>
          <w:rFonts w:eastAsia="Times New Roman"/>
          <w:lang w:val="hu-HU"/>
        </w:rPr>
        <w:t xml:space="preserve"> </w:t>
      </w:r>
      <w:r>
        <w:rPr>
          <w:rFonts w:eastAsia="Times New Roman"/>
          <w:lang w:val="hu-HU"/>
        </w:rPr>
        <w:t>1 alkoholos</w:t>
      </w:r>
      <w:r w:rsidR="00923B97">
        <w:rPr>
          <w:rFonts w:eastAsia="Times New Roman"/>
          <w:lang w:val="hu-HU"/>
        </w:rPr>
        <w:t xml:space="preserve"> </w:t>
      </w:r>
      <w:r>
        <w:rPr>
          <w:rFonts w:eastAsia="Times New Roman"/>
          <w:lang w:val="hu-HU"/>
        </w:rPr>
        <w:t>törlőkendővel.</w:t>
      </w:r>
    </w:p>
    <w:p w14:paraId="0B5CBBFF" w14:textId="06061898" w:rsidR="00130E8B" w:rsidRDefault="000405CC" w:rsidP="001F7685">
      <w:pPr>
        <w:pStyle w:val="a3"/>
        <w:numPr>
          <w:ilvl w:val="1"/>
          <w:numId w:val="15"/>
        </w:numPr>
        <w:ind w:left="660"/>
        <w:rPr>
          <w:lang w:val="hu-HU"/>
        </w:rPr>
      </w:pPr>
      <w:r>
        <w:rPr>
          <w:rFonts w:eastAsia="Times New Roman"/>
          <w:lang w:val="hu-HU"/>
        </w:rPr>
        <w:t>6</w:t>
      </w:r>
      <w:r w:rsidR="00435A19">
        <w:rPr>
          <w:rFonts w:eastAsia="Times New Roman"/>
          <w:lang w:val="hu-HU"/>
        </w:rPr>
        <w:t xml:space="preserve"> </w:t>
      </w:r>
      <w:r>
        <w:rPr>
          <w:rFonts w:eastAsia="Times New Roman"/>
          <w:lang w:val="hu-HU"/>
        </w:rPr>
        <w:t xml:space="preserve">előretöltött injekciós toll  (0,4 ml steriloldat) </w:t>
      </w:r>
      <w:r w:rsidR="001F7685" w:rsidRPr="001F7685">
        <w:rPr>
          <w:rFonts w:eastAsia="Times New Roman"/>
          <w:lang w:val="hu-HU"/>
        </w:rPr>
        <w:t>egy-egy</w:t>
      </w:r>
      <w:r w:rsidR="001F7685">
        <w:rPr>
          <w:rFonts w:eastAsia="Times New Roman"/>
          <w:lang w:val="hu-HU"/>
        </w:rPr>
        <w:t xml:space="preserve"> </w:t>
      </w:r>
      <w:r>
        <w:rPr>
          <w:rFonts w:eastAsia="Times New Roman"/>
          <w:lang w:val="hu-HU"/>
        </w:rPr>
        <w:t>1 alkoholos</w:t>
      </w:r>
      <w:r w:rsidR="00923B97">
        <w:rPr>
          <w:rFonts w:eastAsia="Times New Roman"/>
          <w:lang w:val="hu-HU"/>
        </w:rPr>
        <w:t xml:space="preserve"> </w:t>
      </w:r>
      <w:r>
        <w:rPr>
          <w:rFonts w:eastAsia="Times New Roman"/>
          <w:lang w:val="hu-HU"/>
        </w:rPr>
        <w:t>törlőkendővel.</w:t>
      </w:r>
    </w:p>
    <w:p w14:paraId="7FA4EBEA" w14:textId="77777777" w:rsidR="00130E8B" w:rsidRDefault="00130E8B">
      <w:pPr>
        <w:spacing w:before="10" w:line="240" w:lineRule="exact"/>
        <w:rPr>
          <w:sz w:val="24"/>
          <w:szCs w:val="24"/>
          <w:lang w:val="hu-HU" w:eastAsia="ko-KR"/>
        </w:rPr>
      </w:pPr>
    </w:p>
    <w:p w14:paraId="74FB7EBE" w14:textId="77777777" w:rsidR="00130E8B" w:rsidRDefault="000405CC">
      <w:pPr>
        <w:pStyle w:val="a3"/>
        <w:rPr>
          <w:lang w:val="hu-HU"/>
        </w:rPr>
      </w:pPr>
      <w:r>
        <w:rPr>
          <w:rFonts w:eastAsia="Times New Roman"/>
          <w:lang w:val="hu-HU"/>
        </w:rPr>
        <w:t>Nem feltétlenül mindegyik kiszerelés kerül kereskedelmi forgalomba.</w:t>
      </w:r>
    </w:p>
    <w:p w14:paraId="6F3A4046" w14:textId="77777777" w:rsidR="00130E8B" w:rsidRDefault="00130E8B">
      <w:pPr>
        <w:widowControl/>
        <w:tabs>
          <w:tab w:val="left" w:pos="567"/>
        </w:tabs>
        <w:spacing w:line="260" w:lineRule="exact"/>
        <w:rPr>
          <w:rFonts w:ascii="Times New Roman" w:eastAsia="Times New Roman" w:hAnsi="Times New Roman" w:cs="Times New Roman"/>
          <w:b/>
          <w:noProof/>
          <w:lang w:val="hu-HU"/>
        </w:rPr>
      </w:pPr>
    </w:p>
    <w:p w14:paraId="28C0A402" w14:textId="77777777" w:rsidR="00130E8B" w:rsidRDefault="000405CC">
      <w:pPr>
        <w:widowControl/>
        <w:numPr>
          <w:ilvl w:val="1"/>
          <w:numId w:val="30"/>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A megsemmisítésre vonatkozó különleges óvintézkedések és egyéb, a készítmény kezelésével kapcsolatos információk</w:t>
      </w:r>
    </w:p>
    <w:p w14:paraId="0160ADD5" w14:textId="77777777" w:rsidR="00130E8B" w:rsidRDefault="00130E8B">
      <w:pPr>
        <w:spacing w:before="12" w:line="240" w:lineRule="exact"/>
        <w:rPr>
          <w:sz w:val="24"/>
          <w:szCs w:val="24"/>
          <w:lang w:val="hu-HU"/>
        </w:rPr>
      </w:pPr>
    </w:p>
    <w:p w14:paraId="74F97455" w14:textId="77777777" w:rsidR="00130E8B" w:rsidRDefault="000405CC">
      <w:pPr>
        <w:pStyle w:val="a3"/>
        <w:rPr>
          <w:lang w:val="hu-HU"/>
        </w:rPr>
      </w:pPr>
      <w:r>
        <w:rPr>
          <w:rFonts w:eastAsia="Times New Roman"/>
          <w:lang w:val="hu-HU"/>
        </w:rPr>
        <w:t>Bármilyen fel nem használt gyógyszer, illetve hulladékanyag megsemmisítését a gyógyszerekre vonatkozó előírások szerint kell végrehajtani.</w:t>
      </w:r>
    </w:p>
    <w:p w14:paraId="20F0C450" w14:textId="77777777" w:rsidR="00130E8B" w:rsidRDefault="00130E8B">
      <w:pPr>
        <w:spacing w:line="200" w:lineRule="exact"/>
        <w:rPr>
          <w:sz w:val="20"/>
          <w:szCs w:val="20"/>
          <w:lang w:val="hu-HU"/>
        </w:rPr>
      </w:pPr>
    </w:p>
    <w:p w14:paraId="4FA7F193" w14:textId="77777777" w:rsidR="00130E8B" w:rsidRDefault="00130E8B">
      <w:pPr>
        <w:widowControl/>
        <w:tabs>
          <w:tab w:val="left" w:pos="567"/>
        </w:tabs>
        <w:spacing w:line="260" w:lineRule="exact"/>
        <w:rPr>
          <w:rFonts w:ascii="Times New Roman" w:eastAsia="Times New Roman" w:hAnsi="Times New Roman" w:cs="Times New Roman"/>
          <w:b/>
          <w:noProof/>
          <w:lang w:val="hu-HU"/>
        </w:rPr>
      </w:pPr>
    </w:p>
    <w:p w14:paraId="78EB7D4C" w14:textId="77777777" w:rsidR="00130E8B" w:rsidRDefault="000405CC">
      <w:pPr>
        <w:widowControl/>
        <w:numPr>
          <w:ilvl w:val="0"/>
          <w:numId w:val="25"/>
        </w:numPr>
        <w:tabs>
          <w:tab w:val="left" w:pos="567"/>
        </w:tabs>
        <w:spacing w:line="260" w:lineRule="exact"/>
        <w:ind w:left="0"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A FORGALOMBA HOZATALI ENGEDÉLY JOGOSULTJA</w:t>
      </w:r>
    </w:p>
    <w:p w14:paraId="7D32D833" w14:textId="77777777" w:rsidR="00130E8B" w:rsidRDefault="00130E8B">
      <w:pPr>
        <w:spacing w:before="12" w:line="240" w:lineRule="exact"/>
        <w:rPr>
          <w:sz w:val="24"/>
          <w:szCs w:val="24"/>
          <w:lang w:val="hu-HU"/>
        </w:rPr>
      </w:pPr>
    </w:p>
    <w:p w14:paraId="229D05A7" w14:textId="77777777" w:rsidR="00130E8B" w:rsidRDefault="000405CC">
      <w:pPr>
        <w:pStyle w:val="a3"/>
        <w:rPr>
          <w:lang w:val="hu-HU"/>
        </w:rPr>
      </w:pPr>
      <w:r>
        <w:rPr>
          <w:lang w:val="hu-HU"/>
        </w:rPr>
        <w:t xml:space="preserve">Celltrion Healthcare Hungary Kft. </w:t>
      </w:r>
    </w:p>
    <w:p w14:paraId="7CEEAB82" w14:textId="77777777" w:rsidR="00130E8B" w:rsidRDefault="000405CC">
      <w:pPr>
        <w:pStyle w:val="a3"/>
        <w:rPr>
          <w:lang w:val="hu-HU"/>
        </w:rPr>
      </w:pPr>
      <w:r>
        <w:rPr>
          <w:lang w:val="hu-HU"/>
        </w:rPr>
        <w:t>1062 Budapest</w:t>
      </w:r>
    </w:p>
    <w:p w14:paraId="6B36A43E" w14:textId="77777777" w:rsidR="00130E8B" w:rsidRDefault="000405CC">
      <w:pPr>
        <w:pStyle w:val="a3"/>
        <w:rPr>
          <w:lang w:val="hu-HU"/>
        </w:rPr>
      </w:pPr>
      <w:r>
        <w:rPr>
          <w:lang w:val="hu-HU"/>
        </w:rPr>
        <w:t>Váci út 1-3. WestEnd Office Building B torony</w:t>
      </w:r>
    </w:p>
    <w:p w14:paraId="2A47CED8" w14:textId="77777777" w:rsidR="00130E8B" w:rsidRDefault="000405CC">
      <w:pPr>
        <w:pStyle w:val="a3"/>
        <w:rPr>
          <w:lang w:val="hu-HU"/>
        </w:rPr>
      </w:pPr>
      <w:r>
        <w:rPr>
          <w:rFonts w:eastAsia="Times New Roman"/>
          <w:lang w:val="hu-HU"/>
        </w:rPr>
        <w:t>Magyarország</w:t>
      </w:r>
    </w:p>
    <w:p w14:paraId="1FD6F2BD" w14:textId="77777777" w:rsidR="00130E8B" w:rsidRDefault="00130E8B">
      <w:pPr>
        <w:spacing w:line="200" w:lineRule="exact"/>
        <w:rPr>
          <w:sz w:val="20"/>
          <w:szCs w:val="20"/>
          <w:lang w:val="hu-HU"/>
        </w:rPr>
      </w:pPr>
    </w:p>
    <w:p w14:paraId="142AEDF7" w14:textId="77777777" w:rsidR="00130E8B" w:rsidRDefault="00130E8B">
      <w:pPr>
        <w:spacing w:line="200" w:lineRule="exact"/>
        <w:rPr>
          <w:sz w:val="20"/>
          <w:szCs w:val="20"/>
          <w:lang w:val="hu-HU"/>
        </w:rPr>
      </w:pPr>
    </w:p>
    <w:p w14:paraId="4DF7E423" w14:textId="77777777" w:rsidR="00130E8B" w:rsidRDefault="000405CC">
      <w:pPr>
        <w:widowControl/>
        <w:numPr>
          <w:ilvl w:val="0"/>
          <w:numId w:val="25"/>
        </w:numPr>
        <w:tabs>
          <w:tab w:val="left" w:pos="567"/>
        </w:tabs>
        <w:spacing w:line="260" w:lineRule="exact"/>
        <w:ind w:left="0"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A FORGALOMBA HOZATALI ENGEDÉLY SZÁMAI</w:t>
      </w:r>
    </w:p>
    <w:p w14:paraId="39F7F087" w14:textId="77777777" w:rsidR="00130E8B" w:rsidRDefault="00130E8B">
      <w:pPr>
        <w:spacing w:before="9" w:line="240" w:lineRule="exact"/>
        <w:rPr>
          <w:sz w:val="24"/>
          <w:szCs w:val="24"/>
          <w:lang w:val="hu-HU"/>
        </w:rPr>
      </w:pPr>
    </w:p>
    <w:p w14:paraId="77D32E67" w14:textId="77777777" w:rsidR="00130E8B" w:rsidRDefault="000405CC">
      <w:pPr>
        <w:pStyle w:val="a3"/>
        <w:rPr>
          <w:u w:val="single"/>
          <w:lang w:val="hu-HU"/>
        </w:rPr>
      </w:pPr>
      <w:r>
        <w:rPr>
          <w:rFonts w:eastAsia="Times New Roman"/>
          <w:u w:val="single" w:color="000000"/>
          <w:lang w:val="hu-HU"/>
        </w:rPr>
        <w:t>Yuflyma 40 mgoldatos injekció előretöltött fecskendőben</w:t>
      </w:r>
    </w:p>
    <w:p w14:paraId="7BA80A91" w14:textId="77777777" w:rsidR="00130E8B" w:rsidRDefault="00130E8B">
      <w:pPr>
        <w:pStyle w:val="a3"/>
        <w:rPr>
          <w:lang w:val="hu-HU"/>
        </w:rPr>
      </w:pPr>
    </w:p>
    <w:p w14:paraId="78AA6544" w14:textId="77777777" w:rsidR="00130E8B" w:rsidRDefault="000405CC">
      <w:pPr>
        <w:pStyle w:val="a3"/>
        <w:rPr>
          <w:lang w:val="hu-HU"/>
        </w:rPr>
      </w:pPr>
      <w:r>
        <w:rPr>
          <w:rFonts w:eastAsia="Times New Roman"/>
          <w:lang w:val="hu-HU"/>
        </w:rPr>
        <w:t>EU/</w:t>
      </w:r>
      <w:r>
        <w:rPr>
          <w:rFonts w:eastAsia="Times New Roman" w:cs="Verdana"/>
          <w:color w:val="000000"/>
          <w:lang w:val="hu-HU"/>
        </w:rPr>
        <w:t>1/20/1513/001</w:t>
      </w:r>
    </w:p>
    <w:p w14:paraId="3BFBE700" w14:textId="77777777" w:rsidR="00130E8B" w:rsidRDefault="000405CC">
      <w:pPr>
        <w:pStyle w:val="a3"/>
        <w:rPr>
          <w:rFonts w:cs="Verdana"/>
          <w:color w:val="000000"/>
          <w:lang w:val="hu-HU"/>
        </w:rPr>
      </w:pPr>
      <w:r>
        <w:rPr>
          <w:rFonts w:eastAsia="Times New Roman" w:cs="Verdana"/>
          <w:color w:val="000000"/>
          <w:lang w:val="hu-HU"/>
        </w:rPr>
        <w:t>EU/1/20/1513/002</w:t>
      </w:r>
    </w:p>
    <w:p w14:paraId="49D9CA3C" w14:textId="77777777" w:rsidR="00130E8B" w:rsidRDefault="000405CC">
      <w:pPr>
        <w:pStyle w:val="a3"/>
        <w:rPr>
          <w:lang w:val="hu-HU"/>
        </w:rPr>
      </w:pPr>
      <w:r>
        <w:rPr>
          <w:rFonts w:eastAsia="Times New Roman" w:cs="Verdana"/>
          <w:color w:val="000000"/>
          <w:lang w:val="hu-HU"/>
        </w:rPr>
        <w:lastRenderedPageBreak/>
        <w:t>EU/1/20/1513/</w:t>
      </w:r>
      <w:r>
        <w:rPr>
          <w:rFonts w:eastAsia="Times New Roman"/>
          <w:lang w:val="hu-HU"/>
        </w:rPr>
        <w:t>003</w:t>
      </w:r>
    </w:p>
    <w:p w14:paraId="43303477" w14:textId="77777777" w:rsidR="00130E8B" w:rsidRDefault="000405CC">
      <w:pPr>
        <w:pStyle w:val="a3"/>
        <w:rPr>
          <w:lang w:val="hu-HU"/>
        </w:rPr>
      </w:pPr>
      <w:r>
        <w:rPr>
          <w:rFonts w:eastAsia="Times New Roman" w:cs="Verdana"/>
          <w:color w:val="000000"/>
          <w:lang w:val="hu-HU"/>
        </w:rPr>
        <w:t>EU/1/20/1513/</w:t>
      </w:r>
      <w:r>
        <w:rPr>
          <w:rFonts w:eastAsia="Times New Roman"/>
          <w:lang w:val="hu-HU"/>
        </w:rPr>
        <w:t>004</w:t>
      </w:r>
    </w:p>
    <w:p w14:paraId="2B599CD0" w14:textId="77777777" w:rsidR="00130E8B" w:rsidRDefault="00130E8B">
      <w:pPr>
        <w:spacing w:before="14" w:line="240" w:lineRule="exact"/>
        <w:rPr>
          <w:sz w:val="24"/>
          <w:szCs w:val="24"/>
          <w:lang w:val="hu-HU"/>
        </w:rPr>
      </w:pPr>
    </w:p>
    <w:p w14:paraId="27E19A66" w14:textId="77777777" w:rsidR="00130E8B" w:rsidRDefault="000405CC">
      <w:pPr>
        <w:pStyle w:val="a3"/>
        <w:rPr>
          <w:u w:val="single" w:color="000000"/>
          <w:lang w:val="hu-HU"/>
        </w:rPr>
      </w:pPr>
      <w:r>
        <w:rPr>
          <w:rFonts w:eastAsia="Times New Roman"/>
          <w:u w:val="single" w:color="000000"/>
          <w:lang w:val="hu-HU"/>
        </w:rPr>
        <w:t>Yuflyma 40 mgoldatos injekció előretöltött fecskendőben tűvédővel</w:t>
      </w:r>
    </w:p>
    <w:p w14:paraId="14ED15CC" w14:textId="77777777" w:rsidR="00130E8B" w:rsidRDefault="00130E8B">
      <w:pPr>
        <w:pStyle w:val="a3"/>
        <w:rPr>
          <w:lang w:val="hu-HU"/>
        </w:rPr>
      </w:pPr>
    </w:p>
    <w:p w14:paraId="6669E54F" w14:textId="77777777" w:rsidR="00130E8B" w:rsidRDefault="000405CC">
      <w:pPr>
        <w:pStyle w:val="a3"/>
        <w:rPr>
          <w:lang w:val="hu-HU"/>
        </w:rPr>
      </w:pPr>
      <w:r>
        <w:rPr>
          <w:rFonts w:eastAsia="Times New Roman" w:cs="Verdana"/>
          <w:color w:val="000000"/>
          <w:lang w:val="hu-HU"/>
        </w:rPr>
        <w:t>EU/1/20/1513</w:t>
      </w:r>
      <w:r>
        <w:rPr>
          <w:rFonts w:eastAsia="Times New Roman"/>
          <w:lang w:val="hu-HU"/>
        </w:rPr>
        <w:t>/005</w:t>
      </w:r>
    </w:p>
    <w:p w14:paraId="078EFC5E" w14:textId="77777777" w:rsidR="00130E8B" w:rsidRDefault="000405CC">
      <w:pPr>
        <w:pStyle w:val="a3"/>
        <w:rPr>
          <w:lang w:val="hu-HU"/>
        </w:rPr>
      </w:pPr>
      <w:r>
        <w:rPr>
          <w:rFonts w:eastAsia="Times New Roman" w:cs="Verdana"/>
          <w:color w:val="000000"/>
          <w:lang w:val="hu-HU"/>
        </w:rPr>
        <w:t>EU/1/20/1513/</w:t>
      </w:r>
      <w:r>
        <w:rPr>
          <w:rFonts w:eastAsia="Times New Roman"/>
          <w:lang w:val="hu-HU"/>
        </w:rPr>
        <w:t>006</w:t>
      </w:r>
    </w:p>
    <w:p w14:paraId="13744E82" w14:textId="77777777" w:rsidR="00130E8B" w:rsidRDefault="000405CC">
      <w:pPr>
        <w:pStyle w:val="a3"/>
        <w:rPr>
          <w:lang w:val="hu-HU"/>
        </w:rPr>
      </w:pPr>
      <w:r>
        <w:rPr>
          <w:rFonts w:eastAsia="Times New Roman" w:cs="Verdana"/>
          <w:color w:val="000000"/>
          <w:lang w:val="hu-HU"/>
        </w:rPr>
        <w:t>EU/1/20/1513/</w:t>
      </w:r>
      <w:r>
        <w:rPr>
          <w:rFonts w:eastAsia="Times New Roman"/>
          <w:lang w:val="hu-HU"/>
        </w:rPr>
        <w:t>007</w:t>
      </w:r>
    </w:p>
    <w:p w14:paraId="6FF49915" w14:textId="77777777" w:rsidR="00130E8B" w:rsidRDefault="000405CC">
      <w:pPr>
        <w:pStyle w:val="a3"/>
        <w:rPr>
          <w:lang w:val="hu-HU"/>
        </w:rPr>
      </w:pPr>
      <w:r>
        <w:rPr>
          <w:rFonts w:eastAsia="Times New Roman" w:cs="Verdana"/>
          <w:color w:val="000000"/>
          <w:lang w:val="hu-HU"/>
        </w:rPr>
        <w:t>EU/1/20/1513/</w:t>
      </w:r>
      <w:r>
        <w:rPr>
          <w:rFonts w:eastAsia="Times New Roman"/>
          <w:lang w:val="hu-HU"/>
        </w:rPr>
        <w:t>008</w:t>
      </w:r>
    </w:p>
    <w:p w14:paraId="15A19BE4" w14:textId="77777777" w:rsidR="00130E8B" w:rsidRDefault="00130E8B">
      <w:pPr>
        <w:spacing w:before="14" w:line="240" w:lineRule="exact"/>
        <w:rPr>
          <w:sz w:val="24"/>
          <w:szCs w:val="24"/>
          <w:lang w:val="hu-HU"/>
        </w:rPr>
      </w:pPr>
    </w:p>
    <w:p w14:paraId="73E6249C" w14:textId="77777777" w:rsidR="00130E8B" w:rsidRDefault="000405CC">
      <w:pPr>
        <w:pStyle w:val="a3"/>
        <w:rPr>
          <w:u w:val="single"/>
          <w:lang w:val="hu-HU"/>
        </w:rPr>
      </w:pPr>
      <w:r>
        <w:rPr>
          <w:rFonts w:eastAsia="Times New Roman"/>
          <w:u w:val="single" w:color="000000"/>
          <w:lang w:val="hu-HU"/>
        </w:rPr>
        <w:t>Yuflyma 40 mg oldatos injekció előretöltött injekciós tollban</w:t>
      </w:r>
    </w:p>
    <w:p w14:paraId="5F176A02" w14:textId="77777777" w:rsidR="00130E8B" w:rsidRDefault="00130E8B">
      <w:pPr>
        <w:pStyle w:val="a3"/>
        <w:rPr>
          <w:lang w:val="hu-HU"/>
        </w:rPr>
      </w:pPr>
    </w:p>
    <w:p w14:paraId="204AB9F4" w14:textId="77777777" w:rsidR="00130E8B" w:rsidRDefault="000405CC">
      <w:pPr>
        <w:pStyle w:val="a3"/>
        <w:rPr>
          <w:lang w:val="hu-HU"/>
        </w:rPr>
      </w:pPr>
      <w:r>
        <w:rPr>
          <w:rFonts w:eastAsia="Times New Roman" w:cs="Verdana"/>
          <w:color w:val="000000"/>
          <w:lang w:val="hu-HU"/>
        </w:rPr>
        <w:t>EU/1/20/1513</w:t>
      </w:r>
      <w:r>
        <w:rPr>
          <w:rFonts w:eastAsia="Times New Roman"/>
          <w:lang w:val="hu-HU"/>
        </w:rPr>
        <w:t>/009</w:t>
      </w:r>
    </w:p>
    <w:p w14:paraId="6DCC7657" w14:textId="77777777" w:rsidR="00130E8B" w:rsidRDefault="000405CC">
      <w:pPr>
        <w:pStyle w:val="a3"/>
        <w:rPr>
          <w:lang w:val="hu-HU"/>
        </w:rPr>
      </w:pPr>
      <w:r>
        <w:rPr>
          <w:rFonts w:eastAsia="Times New Roman" w:cs="Verdana"/>
          <w:color w:val="000000"/>
          <w:lang w:val="hu-HU"/>
        </w:rPr>
        <w:t>EU/1/20/1513/</w:t>
      </w:r>
      <w:r>
        <w:rPr>
          <w:rFonts w:eastAsia="Times New Roman"/>
          <w:lang w:val="hu-HU"/>
        </w:rPr>
        <w:t>010</w:t>
      </w:r>
    </w:p>
    <w:p w14:paraId="57E4EA5B" w14:textId="77777777" w:rsidR="00130E8B" w:rsidRDefault="000405CC">
      <w:pPr>
        <w:pStyle w:val="a3"/>
        <w:rPr>
          <w:lang w:val="hu-HU"/>
        </w:rPr>
      </w:pPr>
      <w:r>
        <w:rPr>
          <w:rFonts w:eastAsia="Times New Roman" w:cs="Verdana"/>
          <w:color w:val="000000"/>
          <w:lang w:val="hu-HU"/>
        </w:rPr>
        <w:t>EU/1/20/1513/</w:t>
      </w:r>
      <w:r>
        <w:rPr>
          <w:rFonts w:eastAsia="Times New Roman"/>
          <w:lang w:val="hu-HU"/>
        </w:rPr>
        <w:t>011</w:t>
      </w:r>
    </w:p>
    <w:p w14:paraId="03FF7D8E" w14:textId="77777777" w:rsidR="00130E8B" w:rsidRDefault="000405CC">
      <w:pPr>
        <w:pStyle w:val="a3"/>
        <w:rPr>
          <w:lang w:val="hu-HU"/>
        </w:rPr>
      </w:pPr>
      <w:r>
        <w:rPr>
          <w:rFonts w:eastAsia="Times New Roman" w:cs="Verdana"/>
          <w:color w:val="000000"/>
          <w:lang w:val="hu-HU"/>
        </w:rPr>
        <w:t>EU/1/20/1513/</w:t>
      </w:r>
      <w:r>
        <w:rPr>
          <w:rFonts w:eastAsia="Times New Roman"/>
          <w:lang w:val="hu-HU"/>
        </w:rPr>
        <w:t>012</w:t>
      </w:r>
    </w:p>
    <w:p w14:paraId="7B80518D" w14:textId="77777777" w:rsidR="00130E8B" w:rsidRDefault="00130E8B">
      <w:pPr>
        <w:pStyle w:val="a3"/>
        <w:rPr>
          <w:lang w:val="hu-HU"/>
        </w:rPr>
      </w:pPr>
    </w:p>
    <w:p w14:paraId="04C58B6F" w14:textId="77777777" w:rsidR="00130E8B" w:rsidRDefault="00130E8B">
      <w:pPr>
        <w:spacing w:line="200" w:lineRule="exact"/>
        <w:rPr>
          <w:sz w:val="20"/>
          <w:szCs w:val="20"/>
          <w:lang w:val="hu-HU"/>
        </w:rPr>
      </w:pPr>
    </w:p>
    <w:p w14:paraId="2982C285" w14:textId="77777777" w:rsidR="00130E8B" w:rsidRDefault="000405CC">
      <w:pPr>
        <w:widowControl/>
        <w:numPr>
          <w:ilvl w:val="0"/>
          <w:numId w:val="25"/>
        </w:numPr>
        <w:tabs>
          <w:tab w:val="left" w:pos="567"/>
        </w:tabs>
        <w:spacing w:line="260" w:lineRule="exact"/>
        <w:ind w:left="0"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A FORGALOMBA HOZATALI ENGEDÉLY ELSŐ KIADÁSÁNAK/MEGÚJÍTÁSÁNAK DÁTUMA</w:t>
      </w:r>
    </w:p>
    <w:p w14:paraId="186D2DB4" w14:textId="77777777" w:rsidR="00130E8B" w:rsidRDefault="00130E8B">
      <w:pPr>
        <w:widowControl/>
        <w:tabs>
          <w:tab w:val="left" w:pos="567"/>
        </w:tabs>
        <w:spacing w:line="260" w:lineRule="exact"/>
        <w:rPr>
          <w:rFonts w:ascii="Times New Roman" w:eastAsia="Times New Roman" w:hAnsi="Times New Roman" w:cs="Times New Roman"/>
          <w:b/>
          <w:noProof/>
          <w:lang w:val="hu-HU"/>
        </w:rPr>
      </w:pPr>
    </w:p>
    <w:p w14:paraId="2F7F0D83" w14:textId="32D501F4" w:rsidR="00130E8B" w:rsidRDefault="000405CC">
      <w:pPr>
        <w:widowControl/>
        <w:tabs>
          <w:tab w:val="left" w:pos="567"/>
        </w:tabs>
        <w:spacing w:line="260" w:lineRule="exact"/>
        <w:rPr>
          <w:rFonts w:ascii="Times New Roman" w:eastAsia="Times New Roman" w:hAnsi="Times New Roman" w:cs="Times New Roman"/>
          <w:bCs/>
          <w:noProof/>
          <w:lang w:val="hu-HU"/>
        </w:rPr>
      </w:pPr>
      <w:r>
        <w:rPr>
          <w:rFonts w:ascii="Times New Roman" w:eastAsia="Times New Roman" w:hAnsi="Times New Roman" w:cs="Times New Roman"/>
          <w:bCs/>
          <w:noProof/>
          <w:lang w:val="hu-HU"/>
        </w:rPr>
        <w:t>Az első kiadásának dátuma:</w:t>
      </w:r>
      <w:r w:rsidR="00673FDD">
        <w:rPr>
          <w:rFonts w:ascii="Times New Roman" w:eastAsia="Times New Roman" w:hAnsi="Times New Roman" w:cs="Times New Roman"/>
          <w:bCs/>
          <w:noProof/>
          <w:lang w:val="hu-HU"/>
        </w:rPr>
        <w:t xml:space="preserve"> </w:t>
      </w:r>
      <w:r w:rsidR="00673FDD" w:rsidRPr="00673FDD">
        <w:rPr>
          <w:rFonts w:ascii="Times New Roman" w:eastAsia="Times New Roman" w:hAnsi="Times New Roman" w:cs="Times New Roman"/>
          <w:bCs/>
          <w:noProof/>
          <w:lang w:val="hu-HU"/>
        </w:rPr>
        <w:t>2021. február 11.</w:t>
      </w:r>
    </w:p>
    <w:p w14:paraId="38361A21" w14:textId="77777777" w:rsidR="00130E8B" w:rsidRDefault="00130E8B">
      <w:pPr>
        <w:widowControl/>
        <w:tabs>
          <w:tab w:val="left" w:pos="567"/>
        </w:tabs>
        <w:spacing w:line="260" w:lineRule="exact"/>
        <w:rPr>
          <w:rFonts w:ascii="Times New Roman" w:eastAsia="Times New Roman" w:hAnsi="Times New Roman" w:cs="Times New Roman"/>
          <w:b/>
          <w:noProof/>
          <w:lang w:val="hu-HU"/>
        </w:rPr>
      </w:pPr>
    </w:p>
    <w:p w14:paraId="0E953F08" w14:textId="77777777" w:rsidR="00130E8B" w:rsidRDefault="00130E8B">
      <w:pPr>
        <w:widowControl/>
        <w:tabs>
          <w:tab w:val="left" w:pos="567"/>
        </w:tabs>
        <w:spacing w:line="260" w:lineRule="exact"/>
        <w:rPr>
          <w:rFonts w:ascii="Times New Roman" w:eastAsia="Times New Roman" w:hAnsi="Times New Roman" w:cs="Times New Roman"/>
          <w:b/>
          <w:noProof/>
          <w:lang w:val="hu-HU"/>
        </w:rPr>
      </w:pPr>
    </w:p>
    <w:p w14:paraId="0E9FBD9F" w14:textId="77777777" w:rsidR="00130E8B" w:rsidRDefault="000405CC">
      <w:pPr>
        <w:widowControl/>
        <w:numPr>
          <w:ilvl w:val="0"/>
          <w:numId w:val="25"/>
        </w:numPr>
        <w:tabs>
          <w:tab w:val="left" w:pos="567"/>
        </w:tabs>
        <w:spacing w:line="260" w:lineRule="exact"/>
        <w:ind w:left="0"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A SZÖVEG ELLENŐRZÉSÉNEK DÁTUMA</w:t>
      </w:r>
    </w:p>
    <w:p w14:paraId="213A3A94" w14:textId="77777777" w:rsidR="00130E8B" w:rsidRDefault="00130E8B">
      <w:pPr>
        <w:spacing w:before="12" w:line="240" w:lineRule="exact"/>
        <w:rPr>
          <w:sz w:val="24"/>
          <w:szCs w:val="24"/>
          <w:lang w:val="hu-HU"/>
        </w:rPr>
      </w:pPr>
    </w:p>
    <w:p w14:paraId="51E613FC" w14:textId="7CF50A01" w:rsidR="00C770CB" w:rsidRDefault="000405CC" w:rsidP="000405CC">
      <w:pPr>
        <w:pStyle w:val="a3"/>
        <w:rPr>
          <w:rFonts w:eastAsia="Times New Roman"/>
          <w:lang w:val="hu-HU"/>
        </w:rPr>
      </w:pPr>
      <w:r>
        <w:rPr>
          <w:rFonts w:eastAsia="Times New Roman"/>
          <w:lang w:val="hu-HU"/>
        </w:rPr>
        <w:t>A gyógyszerről részletes információ az Európai Gyógyszerügynökség internetes honlapján (</w:t>
      </w:r>
      <w:r>
        <w:fldChar w:fldCharType="begin"/>
      </w:r>
      <w:r w:rsidRPr="00BE4D18">
        <w:rPr>
          <w:lang w:val="hu-HU"/>
        </w:rPr>
        <w:instrText>HYPERLINK "http://www.ema.europa.eu"</w:instrText>
      </w:r>
      <w:r>
        <w:fldChar w:fldCharType="separate"/>
      </w:r>
      <w:r w:rsidRPr="009167C6">
        <w:rPr>
          <w:rStyle w:val="ad"/>
          <w:lang w:val="hu-HU"/>
        </w:rPr>
        <w:t>http://www.ema.europa.eu</w:t>
      </w:r>
      <w:r>
        <w:fldChar w:fldCharType="end"/>
      </w:r>
      <w:r w:rsidRPr="000405CC">
        <w:rPr>
          <w:rFonts w:eastAsia="Times New Roman"/>
          <w:lang w:val="hu-HU"/>
        </w:rPr>
        <w:t>) található.</w:t>
      </w:r>
    </w:p>
    <w:p w14:paraId="5F8DB59B" w14:textId="77777777" w:rsidR="00C770CB" w:rsidRDefault="00C770CB">
      <w:pPr>
        <w:rPr>
          <w:rFonts w:ascii="Times New Roman" w:eastAsia="Times New Roman" w:hAnsi="Times New Roman" w:cs="Times New Roman"/>
          <w:lang w:val="hu-HU"/>
        </w:rPr>
      </w:pPr>
      <w:r>
        <w:rPr>
          <w:rFonts w:eastAsia="Times New Roman"/>
          <w:lang w:val="hu-HU"/>
        </w:rPr>
        <w:br w:type="page"/>
      </w:r>
    </w:p>
    <w:p w14:paraId="5A7CF537" w14:textId="77777777" w:rsidR="00C770CB" w:rsidRDefault="00C770CB" w:rsidP="00C770CB">
      <w:pPr>
        <w:rPr>
          <w:rFonts w:ascii="Times New Roman" w:eastAsia="맑은 고딕" w:hAnsi="Times New Roman" w:cs="Times New Roman"/>
          <w:lang w:val="hu-HU" w:eastAsia="ko-KR"/>
        </w:rPr>
      </w:pPr>
      <w:r>
        <w:rPr>
          <w:rFonts w:ascii="Times New Roman" w:hAnsi="Times New Roman" w:cs="Times New Roman"/>
          <w:noProof/>
          <w:lang w:eastAsia="ko-KR"/>
        </w:rPr>
        <w:lastRenderedPageBreak/>
        <w:drawing>
          <wp:inline distT="0" distB="0" distL="0" distR="0" wp14:anchorId="04D34195" wp14:editId="3787AB46">
            <wp:extent cx="203200" cy="169545"/>
            <wp:effectExtent l="0" t="0" r="6350" b="1905"/>
            <wp:docPr id="2" name="그림 2"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41359"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Pr>
          <w:rFonts w:ascii="Times New Roman" w:eastAsia="Times New Roman" w:hAnsi="Times New Roman" w:cs="Times New Roman"/>
          <w:lang w:val="hu-HU"/>
        </w:rPr>
        <w:t>Ez a gyógyszer fokozott felügyelet alatt áll, mely lehetővé teszi az új gyógyszerbiztonsági információk gyors azonosítását. Az egészségügyi szakembereket arra kérjük, hogy jelentsenek bármilyen feltételezett mellékhatást. A mellékhatások jelentésének módjairól a 4.8 pontban kaphatnak további tájékoztatást.</w:t>
      </w:r>
    </w:p>
    <w:p w14:paraId="06D82D21" w14:textId="77777777" w:rsidR="00C770CB" w:rsidRDefault="00C770CB" w:rsidP="00C770CB">
      <w:pPr>
        <w:widowControl/>
        <w:tabs>
          <w:tab w:val="left" w:pos="567"/>
        </w:tabs>
        <w:rPr>
          <w:rFonts w:ascii="Times New Roman" w:eastAsia="Times New Roman" w:hAnsi="Times New Roman" w:cs="Times New Roman"/>
          <w:lang w:val="hu-HU"/>
        </w:rPr>
      </w:pPr>
    </w:p>
    <w:p w14:paraId="2E47FEEA" w14:textId="77777777" w:rsidR="00C770CB" w:rsidRDefault="00C770CB" w:rsidP="00C770CB">
      <w:pPr>
        <w:widowControl/>
        <w:tabs>
          <w:tab w:val="left" w:pos="567"/>
        </w:tabs>
        <w:rPr>
          <w:rFonts w:ascii="Times New Roman" w:eastAsia="Times New Roman" w:hAnsi="Times New Roman" w:cs="Times New Roman"/>
          <w:lang w:val="hu-HU"/>
        </w:rPr>
      </w:pPr>
    </w:p>
    <w:p w14:paraId="1B0B2C21" w14:textId="77777777" w:rsidR="00C770CB" w:rsidRDefault="00C770CB" w:rsidP="00FD05AA">
      <w:pPr>
        <w:widowControl/>
        <w:numPr>
          <w:ilvl w:val="0"/>
          <w:numId w:val="52"/>
        </w:numPr>
        <w:tabs>
          <w:tab w:val="left" w:pos="567"/>
        </w:tabs>
        <w:spacing w:line="260" w:lineRule="exact"/>
        <w:rPr>
          <w:rFonts w:ascii="Times New Roman" w:hAnsi="Times New Roman" w:cs="Times New Roman"/>
          <w:noProof/>
          <w:lang w:val="hu-HU"/>
        </w:rPr>
      </w:pPr>
      <w:r>
        <w:rPr>
          <w:rFonts w:ascii="Times New Roman" w:eastAsia="Times New Roman" w:hAnsi="Times New Roman" w:cs="Times New Roman"/>
          <w:b/>
          <w:bCs/>
          <w:noProof/>
          <w:lang w:val="hu-HU"/>
        </w:rPr>
        <w:t>A GYÓGYSZER NEVE</w:t>
      </w:r>
    </w:p>
    <w:p w14:paraId="16A8AEA7" w14:textId="77777777" w:rsidR="00C770CB" w:rsidRDefault="00C770CB" w:rsidP="00C770CB">
      <w:pPr>
        <w:spacing w:line="240" w:lineRule="exact"/>
        <w:rPr>
          <w:rFonts w:ascii="Times New Roman" w:hAnsi="Times New Roman" w:cs="Times New Roman"/>
          <w:lang w:val="hu-HU"/>
        </w:rPr>
      </w:pPr>
    </w:p>
    <w:p w14:paraId="60410D24" w14:textId="54AFC0E6" w:rsidR="00C770CB" w:rsidRDefault="00C770CB" w:rsidP="00C770CB">
      <w:pPr>
        <w:widowControl/>
        <w:tabs>
          <w:tab w:val="left" w:pos="567"/>
        </w:tabs>
        <w:rPr>
          <w:rFonts w:ascii="Times New Roman" w:eastAsia="Times New Roman" w:hAnsi="Times New Roman" w:cs="Times New Roman"/>
          <w:lang w:val="hu-HU"/>
        </w:rPr>
      </w:pPr>
      <w:r>
        <w:rPr>
          <w:rFonts w:ascii="Times New Roman" w:eastAsia="Times New Roman" w:hAnsi="Times New Roman" w:cs="Times New Roman"/>
          <w:lang w:val="hu-HU"/>
        </w:rPr>
        <w:t xml:space="preserve">Yuflyma </w:t>
      </w:r>
      <w:r w:rsidR="00A84F39">
        <w:rPr>
          <w:rFonts w:ascii="Times New Roman" w:eastAsia="Times New Roman" w:hAnsi="Times New Roman" w:cs="Times New Roman"/>
          <w:lang w:val="hu-HU"/>
        </w:rPr>
        <w:t>8</w:t>
      </w:r>
      <w:r>
        <w:rPr>
          <w:rFonts w:ascii="Times New Roman" w:eastAsia="Times New Roman" w:hAnsi="Times New Roman" w:cs="Times New Roman"/>
          <w:lang w:val="hu-HU"/>
        </w:rPr>
        <w:t>0 mg oldatos injekció előretöltött fecskendőben</w:t>
      </w:r>
    </w:p>
    <w:p w14:paraId="3AA1FB11" w14:textId="77777777" w:rsidR="00C770CB" w:rsidRDefault="00C770CB" w:rsidP="00C770CB">
      <w:pPr>
        <w:widowControl/>
        <w:tabs>
          <w:tab w:val="left" w:pos="567"/>
        </w:tabs>
        <w:rPr>
          <w:rFonts w:ascii="Times New Roman" w:eastAsia="Times New Roman" w:hAnsi="Times New Roman" w:cs="Times New Roman"/>
          <w:lang w:val="hu-HU"/>
        </w:rPr>
      </w:pPr>
    </w:p>
    <w:p w14:paraId="73297E9C" w14:textId="03BEF6F3" w:rsidR="00C770CB" w:rsidRDefault="00C770CB" w:rsidP="00C770CB">
      <w:pPr>
        <w:widowControl/>
        <w:tabs>
          <w:tab w:val="left" w:pos="567"/>
        </w:tabs>
        <w:rPr>
          <w:rFonts w:ascii="Times New Roman" w:eastAsia="Times New Roman" w:hAnsi="Times New Roman" w:cs="Times New Roman"/>
          <w:lang w:val="hu-HU"/>
        </w:rPr>
      </w:pPr>
      <w:r>
        <w:rPr>
          <w:rFonts w:ascii="Times New Roman" w:eastAsia="Times New Roman" w:hAnsi="Times New Roman" w:cs="Times New Roman"/>
          <w:lang w:val="hu-HU"/>
        </w:rPr>
        <w:t xml:space="preserve">Yuflyma </w:t>
      </w:r>
      <w:r w:rsidR="00A84F39">
        <w:rPr>
          <w:rFonts w:ascii="Times New Roman" w:eastAsia="Times New Roman" w:hAnsi="Times New Roman" w:cs="Times New Roman"/>
          <w:lang w:val="hu-HU"/>
        </w:rPr>
        <w:t>8</w:t>
      </w:r>
      <w:r>
        <w:rPr>
          <w:rFonts w:ascii="Times New Roman" w:eastAsia="Times New Roman" w:hAnsi="Times New Roman" w:cs="Times New Roman"/>
          <w:lang w:val="hu-HU"/>
        </w:rPr>
        <w:t>0 mg oldatos injekció előretöltött injekciós tollban</w:t>
      </w:r>
    </w:p>
    <w:p w14:paraId="19EB12CC" w14:textId="77777777" w:rsidR="00C770CB" w:rsidRDefault="00C770CB" w:rsidP="00C770CB">
      <w:pPr>
        <w:spacing w:line="200" w:lineRule="exact"/>
        <w:rPr>
          <w:rFonts w:ascii="Times New Roman" w:hAnsi="Times New Roman" w:cs="Times New Roman"/>
          <w:lang w:val="hu-HU"/>
        </w:rPr>
      </w:pPr>
    </w:p>
    <w:p w14:paraId="6A3CD3C7" w14:textId="77777777" w:rsidR="00C770CB" w:rsidRDefault="00C770CB" w:rsidP="00C770CB">
      <w:pPr>
        <w:widowControl/>
        <w:tabs>
          <w:tab w:val="left" w:pos="567"/>
        </w:tabs>
        <w:spacing w:line="260" w:lineRule="exact"/>
        <w:rPr>
          <w:rFonts w:ascii="Times New Roman" w:eastAsia="Times New Roman" w:hAnsi="Times New Roman" w:cs="Times New Roman"/>
          <w:b/>
          <w:noProof/>
          <w:lang w:val="hu-HU"/>
        </w:rPr>
      </w:pPr>
    </w:p>
    <w:p w14:paraId="3A9577EC" w14:textId="77777777" w:rsidR="00C770CB" w:rsidRDefault="00C770CB" w:rsidP="00FD05AA">
      <w:pPr>
        <w:widowControl/>
        <w:numPr>
          <w:ilvl w:val="0"/>
          <w:numId w:val="52"/>
        </w:numPr>
        <w:tabs>
          <w:tab w:val="left" w:pos="567"/>
        </w:tabs>
        <w:spacing w:line="260" w:lineRule="exact"/>
        <w:ind w:left="0" w:firstLine="0"/>
        <w:rPr>
          <w:rFonts w:ascii="Times New Roman" w:hAnsi="Times New Roman" w:cs="Times New Roman"/>
          <w:b/>
          <w:bCs/>
          <w:spacing w:val="-1"/>
          <w:lang w:val="hu-HU"/>
        </w:rPr>
      </w:pPr>
      <w:r>
        <w:rPr>
          <w:rFonts w:ascii="Times New Roman" w:eastAsia="Times New Roman" w:hAnsi="Times New Roman" w:cs="Times New Roman"/>
          <w:b/>
          <w:bCs/>
          <w:noProof/>
          <w:lang w:val="hu-HU"/>
        </w:rPr>
        <w:t>MINŐSÉGI ÉS MENNYISÉGI ÖSSZETÉTEL</w:t>
      </w:r>
    </w:p>
    <w:p w14:paraId="13267187" w14:textId="77777777" w:rsidR="00C770CB" w:rsidRDefault="00C770CB" w:rsidP="00C770CB">
      <w:pPr>
        <w:widowControl/>
        <w:tabs>
          <w:tab w:val="left" w:pos="567"/>
        </w:tabs>
        <w:rPr>
          <w:rFonts w:ascii="Times New Roman" w:eastAsia="Times New Roman" w:hAnsi="Times New Roman" w:cs="Times New Roman"/>
          <w:u w:val="single"/>
          <w:lang w:val="hu-HU"/>
        </w:rPr>
      </w:pPr>
    </w:p>
    <w:p w14:paraId="44DE04E3" w14:textId="3B77FCD2" w:rsidR="00C770CB" w:rsidRDefault="00C770CB" w:rsidP="00C770CB">
      <w:pPr>
        <w:widowControl/>
        <w:tabs>
          <w:tab w:val="left" w:pos="567"/>
        </w:tabs>
        <w:rPr>
          <w:rFonts w:ascii="Times New Roman" w:eastAsia="Times New Roman" w:hAnsi="Times New Roman" w:cs="Times New Roman"/>
          <w:u w:val="single"/>
          <w:lang w:val="hu-HU"/>
        </w:rPr>
      </w:pPr>
      <w:r>
        <w:rPr>
          <w:rFonts w:ascii="Times New Roman" w:eastAsia="Times New Roman" w:hAnsi="Times New Roman" w:cs="Times New Roman"/>
          <w:u w:val="single"/>
          <w:lang w:val="hu-HU"/>
        </w:rPr>
        <w:t xml:space="preserve">Yuflyma </w:t>
      </w:r>
      <w:r w:rsidR="00A84F39">
        <w:rPr>
          <w:rFonts w:ascii="Times New Roman" w:eastAsia="Times New Roman" w:hAnsi="Times New Roman" w:cs="Times New Roman"/>
          <w:u w:val="single"/>
          <w:lang w:val="hu-HU"/>
        </w:rPr>
        <w:t>8</w:t>
      </w:r>
      <w:r>
        <w:rPr>
          <w:rFonts w:ascii="Times New Roman" w:eastAsia="Times New Roman" w:hAnsi="Times New Roman" w:cs="Times New Roman"/>
          <w:u w:val="single"/>
          <w:lang w:val="hu-HU"/>
        </w:rPr>
        <w:t>0 mg oldatos injekció előretöltött fecskendőben</w:t>
      </w:r>
    </w:p>
    <w:p w14:paraId="146E3ED3" w14:textId="77777777" w:rsidR="00C770CB" w:rsidRDefault="00C770CB" w:rsidP="00C770CB">
      <w:pPr>
        <w:widowControl/>
        <w:tabs>
          <w:tab w:val="left" w:pos="567"/>
        </w:tabs>
        <w:adjustRightInd w:val="0"/>
        <w:rPr>
          <w:rFonts w:ascii="Times New Roman" w:eastAsia="Times New Roman" w:hAnsi="Times New Roman" w:cs="Times New Roman"/>
          <w:lang w:val="hu-HU"/>
        </w:rPr>
      </w:pPr>
    </w:p>
    <w:p w14:paraId="646CEDA1" w14:textId="2BBCE084" w:rsidR="00C770CB" w:rsidRDefault="00A84F39" w:rsidP="00C770CB">
      <w:pPr>
        <w:widowControl/>
        <w:tabs>
          <w:tab w:val="left" w:pos="567"/>
        </w:tabs>
        <w:adjustRightInd w:val="0"/>
        <w:rPr>
          <w:rFonts w:ascii="Times New Roman" w:hAnsi="Times New Roman" w:cs="Times New Roman"/>
          <w:lang w:val="hu-HU"/>
        </w:rPr>
      </w:pPr>
      <w:r>
        <w:rPr>
          <w:rFonts w:ascii="Times New Roman" w:eastAsia="Times New Roman" w:hAnsi="Times New Roman" w:cs="Times New Roman"/>
          <w:lang w:val="hu-HU"/>
        </w:rPr>
        <w:t>8</w:t>
      </w:r>
      <w:r w:rsidR="00C770CB">
        <w:rPr>
          <w:rFonts w:ascii="Times New Roman" w:eastAsia="Times New Roman" w:hAnsi="Times New Roman" w:cs="Times New Roman"/>
          <w:lang w:val="hu-HU"/>
        </w:rPr>
        <w:t>0 mg adalimumabot tartalmaz 0,</w:t>
      </w:r>
      <w:r>
        <w:rPr>
          <w:rFonts w:ascii="Times New Roman" w:eastAsia="Times New Roman" w:hAnsi="Times New Roman" w:cs="Times New Roman"/>
          <w:lang w:val="hu-HU"/>
        </w:rPr>
        <w:t>8</w:t>
      </w:r>
      <w:r w:rsidR="00C770CB">
        <w:rPr>
          <w:rFonts w:ascii="Times New Roman" w:eastAsia="Times New Roman" w:hAnsi="Times New Roman" w:cs="Times New Roman"/>
          <w:lang w:val="hu-HU"/>
        </w:rPr>
        <w:t xml:space="preserve"> ml-es, egyadagos, előretöltött fecskendőben.</w:t>
      </w:r>
    </w:p>
    <w:p w14:paraId="41E5368B" w14:textId="77777777" w:rsidR="00C770CB" w:rsidRDefault="00C770CB" w:rsidP="00C770CB">
      <w:pPr>
        <w:spacing w:line="240" w:lineRule="exact"/>
        <w:rPr>
          <w:rFonts w:ascii="Times New Roman" w:hAnsi="Times New Roman" w:cs="Times New Roman"/>
          <w:lang w:val="hu-HU"/>
        </w:rPr>
      </w:pPr>
    </w:p>
    <w:p w14:paraId="116A5268" w14:textId="17D9DA49" w:rsidR="00C770CB" w:rsidRDefault="00C770CB" w:rsidP="00C770CB">
      <w:pPr>
        <w:widowControl/>
        <w:tabs>
          <w:tab w:val="left" w:pos="567"/>
        </w:tabs>
        <w:rPr>
          <w:rFonts w:ascii="Times New Roman" w:eastAsia="Times New Roman" w:hAnsi="Times New Roman" w:cs="Times New Roman"/>
          <w:u w:val="single"/>
          <w:lang w:val="hu-HU"/>
        </w:rPr>
      </w:pPr>
      <w:r>
        <w:rPr>
          <w:rFonts w:ascii="Times New Roman" w:eastAsia="Times New Roman" w:hAnsi="Times New Roman" w:cs="Times New Roman"/>
          <w:u w:val="single"/>
          <w:lang w:val="hu-HU"/>
        </w:rPr>
        <w:t xml:space="preserve">Yuflyma </w:t>
      </w:r>
      <w:r w:rsidR="00A84F39">
        <w:rPr>
          <w:rFonts w:ascii="Times New Roman" w:eastAsia="Times New Roman" w:hAnsi="Times New Roman" w:cs="Times New Roman"/>
          <w:u w:val="single"/>
          <w:lang w:val="hu-HU"/>
        </w:rPr>
        <w:t>8</w:t>
      </w:r>
      <w:r>
        <w:rPr>
          <w:rFonts w:ascii="Times New Roman" w:eastAsia="Times New Roman" w:hAnsi="Times New Roman" w:cs="Times New Roman"/>
          <w:u w:val="single"/>
          <w:lang w:val="hu-HU"/>
        </w:rPr>
        <w:t>0 mg oldatos injekció előretöltött injekciós tollban</w:t>
      </w:r>
    </w:p>
    <w:p w14:paraId="36E82671" w14:textId="77777777" w:rsidR="00C770CB" w:rsidRDefault="00C770CB" w:rsidP="00C770CB">
      <w:pPr>
        <w:widowControl/>
        <w:tabs>
          <w:tab w:val="left" w:pos="567"/>
        </w:tabs>
        <w:rPr>
          <w:rFonts w:ascii="Times New Roman" w:hAnsi="Times New Roman" w:cs="Times New Roman"/>
          <w:lang w:val="hu-HU"/>
        </w:rPr>
      </w:pPr>
    </w:p>
    <w:p w14:paraId="03177B8C" w14:textId="57901BB7" w:rsidR="00C770CB" w:rsidRDefault="00A84F39" w:rsidP="00C770CB">
      <w:pPr>
        <w:widowControl/>
        <w:tabs>
          <w:tab w:val="left" w:pos="567"/>
        </w:tabs>
        <w:adjustRightInd w:val="0"/>
        <w:rPr>
          <w:rFonts w:ascii="Times New Roman" w:eastAsia="Times New Roman" w:hAnsi="Times New Roman" w:cs="Times New Roman"/>
          <w:lang w:val="hu-HU"/>
        </w:rPr>
      </w:pPr>
      <w:r>
        <w:rPr>
          <w:rFonts w:ascii="Times New Roman" w:eastAsia="Times New Roman" w:hAnsi="Times New Roman" w:cs="Times New Roman"/>
          <w:lang w:val="hu-HU"/>
        </w:rPr>
        <w:t>8</w:t>
      </w:r>
      <w:r w:rsidR="00C770CB">
        <w:rPr>
          <w:rFonts w:ascii="Times New Roman" w:eastAsia="Times New Roman" w:hAnsi="Times New Roman" w:cs="Times New Roman"/>
          <w:lang w:val="hu-HU"/>
        </w:rPr>
        <w:t>0 mg adalimumabot tartalmaz 0,</w:t>
      </w:r>
      <w:r>
        <w:rPr>
          <w:rFonts w:ascii="Times New Roman" w:eastAsia="Times New Roman" w:hAnsi="Times New Roman" w:cs="Times New Roman"/>
          <w:lang w:val="hu-HU"/>
        </w:rPr>
        <w:t>8</w:t>
      </w:r>
      <w:r w:rsidR="00C770CB">
        <w:rPr>
          <w:rFonts w:ascii="Times New Roman" w:eastAsia="Times New Roman" w:hAnsi="Times New Roman" w:cs="Times New Roman"/>
          <w:lang w:val="hu-HU"/>
        </w:rPr>
        <w:t xml:space="preserve"> ml-es, egyadagos, előretöltött injekciós tollban.</w:t>
      </w:r>
    </w:p>
    <w:p w14:paraId="36EB49B4" w14:textId="77777777" w:rsidR="00C770CB" w:rsidRDefault="00C770CB" w:rsidP="00C770CB">
      <w:pPr>
        <w:spacing w:line="240" w:lineRule="exact"/>
        <w:rPr>
          <w:rFonts w:ascii="Times New Roman" w:hAnsi="Times New Roman" w:cs="Times New Roman"/>
          <w:lang w:val="hu-HU"/>
        </w:rPr>
      </w:pPr>
    </w:p>
    <w:p w14:paraId="7B775FCC" w14:textId="77777777" w:rsidR="00C770CB" w:rsidRDefault="00C770CB" w:rsidP="00C770CB">
      <w:pPr>
        <w:widowControl/>
        <w:tabs>
          <w:tab w:val="left" w:pos="567"/>
        </w:tabs>
        <w:adjustRightInd w:val="0"/>
        <w:rPr>
          <w:rFonts w:ascii="Times New Roman" w:eastAsia="Times New Roman" w:hAnsi="Times New Roman" w:cs="Times New Roman"/>
          <w:lang w:val="hu-HU"/>
        </w:rPr>
      </w:pPr>
      <w:r>
        <w:rPr>
          <w:rFonts w:ascii="Times New Roman" w:eastAsia="Times New Roman" w:hAnsi="Times New Roman" w:cs="Times New Roman"/>
          <w:lang w:val="hu-HU"/>
        </w:rPr>
        <w:t>Az adalimumab egy rekombináns humán monoklonális antitest, melyet kínai hörcsög petefészek sejtekben állítanak elő.</w:t>
      </w:r>
    </w:p>
    <w:p w14:paraId="2DA30B0C" w14:textId="77777777" w:rsidR="00C770CB" w:rsidRDefault="00C770CB" w:rsidP="00C770CB">
      <w:pPr>
        <w:widowControl/>
        <w:tabs>
          <w:tab w:val="left" w:pos="567"/>
        </w:tabs>
        <w:adjustRightInd w:val="0"/>
        <w:rPr>
          <w:rFonts w:ascii="Times New Roman" w:eastAsia="Times New Roman" w:hAnsi="Times New Roman" w:cs="Times New Roman"/>
          <w:lang w:val="hu-HU"/>
        </w:rPr>
      </w:pPr>
    </w:p>
    <w:p w14:paraId="62EBA19A" w14:textId="77777777" w:rsidR="00C770CB" w:rsidRDefault="00C770CB" w:rsidP="00C770CB">
      <w:pPr>
        <w:widowControl/>
        <w:tabs>
          <w:tab w:val="left" w:pos="567"/>
        </w:tabs>
        <w:adjustRightInd w:val="0"/>
        <w:rPr>
          <w:rFonts w:ascii="Times New Roman" w:eastAsia="Times New Roman" w:hAnsi="Times New Roman" w:cs="Times New Roman"/>
          <w:lang w:val="hu-HU"/>
        </w:rPr>
      </w:pPr>
      <w:r>
        <w:rPr>
          <w:rFonts w:ascii="Times New Roman" w:eastAsia="Times New Roman" w:hAnsi="Times New Roman" w:cs="Times New Roman"/>
          <w:lang w:val="hu-HU"/>
        </w:rPr>
        <w:t>A segédanyagok teljes listáját lásd a 6.1. pontban.</w:t>
      </w:r>
    </w:p>
    <w:p w14:paraId="04A36D69" w14:textId="77777777" w:rsidR="00C770CB" w:rsidRDefault="00C770CB" w:rsidP="00C770CB">
      <w:pPr>
        <w:spacing w:line="260" w:lineRule="exact"/>
        <w:rPr>
          <w:rFonts w:ascii="Times New Roman" w:hAnsi="Times New Roman" w:cs="Times New Roman"/>
          <w:lang w:val="hu-HU"/>
        </w:rPr>
      </w:pPr>
    </w:p>
    <w:p w14:paraId="0CA90E2B" w14:textId="77777777" w:rsidR="00C770CB" w:rsidRDefault="00C770CB" w:rsidP="00C770CB">
      <w:pPr>
        <w:spacing w:line="260" w:lineRule="exact"/>
        <w:rPr>
          <w:rFonts w:ascii="Times New Roman" w:hAnsi="Times New Roman" w:cs="Times New Roman"/>
          <w:lang w:val="hu-HU"/>
        </w:rPr>
      </w:pPr>
    </w:p>
    <w:p w14:paraId="4C9143DD" w14:textId="77777777" w:rsidR="00C770CB" w:rsidRDefault="00C770CB" w:rsidP="00FD05AA">
      <w:pPr>
        <w:widowControl/>
        <w:numPr>
          <w:ilvl w:val="0"/>
          <w:numId w:val="52"/>
        </w:numPr>
        <w:tabs>
          <w:tab w:val="left" w:pos="567"/>
        </w:tabs>
        <w:spacing w:line="260" w:lineRule="exact"/>
        <w:ind w:left="0" w:firstLine="0"/>
        <w:rPr>
          <w:rFonts w:ascii="Times New Roman" w:hAnsi="Times New Roman" w:cs="Times New Roman"/>
          <w:b/>
          <w:spacing w:val="-1"/>
          <w:lang w:val="hu-HU"/>
        </w:rPr>
      </w:pPr>
      <w:r>
        <w:rPr>
          <w:rFonts w:ascii="Times New Roman" w:eastAsia="Times New Roman" w:hAnsi="Times New Roman" w:cs="Times New Roman"/>
          <w:b/>
          <w:bCs/>
          <w:noProof/>
          <w:lang w:val="hu-HU"/>
        </w:rPr>
        <w:t>GYÓGYSZERFORMA</w:t>
      </w:r>
    </w:p>
    <w:p w14:paraId="7BE5509F" w14:textId="77777777" w:rsidR="00C770CB" w:rsidRDefault="00C770CB" w:rsidP="00C770CB">
      <w:pPr>
        <w:spacing w:line="240" w:lineRule="exact"/>
        <w:rPr>
          <w:rFonts w:ascii="Times New Roman" w:hAnsi="Times New Roman" w:cs="Times New Roman"/>
          <w:lang w:val="hu-HU"/>
        </w:rPr>
      </w:pPr>
    </w:p>
    <w:p w14:paraId="2752CDB6" w14:textId="77777777" w:rsidR="00C770CB" w:rsidRDefault="00C770CB" w:rsidP="00C770CB">
      <w:pPr>
        <w:widowControl/>
        <w:tabs>
          <w:tab w:val="left" w:pos="567"/>
        </w:tabs>
        <w:adjustRightInd w:val="0"/>
        <w:rPr>
          <w:rFonts w:ascii="Times New Roman" w:eastAsia="Times New Roman" w:hAnsi="Times New Roman" w:cs="Times New Roman"/>
          <w:lang w:val="hu-HU"/>
        </w:rPr>
      </w:pPr>
      <w:r>
        <w:rPr>
          <w:rFonts w:ascii="Times New Roman" w:eastAsia="Times New Roman" w:hAnsi="Times New Roman" w:cs="Times New Roman"/>
          <w:lang w:val="hu-HU"/>
        </w:rPr>
        <w:t xml:space="preserve">Oldatos injekció (injekció) </w:t>
      </w:r>
    </w:p>
    <w:p w14:paraId="2EAA92F7" w14:textId="77777777" w:rsidR="00C770CB" w:rsidRDefault="00C770CB" w:rsidP="00C770CB">
      <w:pPr>
        <w:widowControl/>
        <w:tabs>
          <w:tab w:val="left" w:pos="567"/>
        </w:tabs>
        <w:adjustRightInd w:val="0"/>
        <w:rPr>
          <w:rFonts w:ascii="Times New Roman" w:eastAsia="Times New Roman" w:hAnsi="Times New Roman" w:cs="Times New Roman"/>
          <w:lang w:val="hu-HU"/>
        </w:rPr>
      </w:pPr>
    </w:p>
    <w:p w14:paraId="60D4CB05" w14:textId="77777777" w:rsidR="00C770CB" w:rsidRDefault="00C770CB" w:rsidP="00C770CB">
      <w:pPr>
        <w:widowControl/>
        <w:tabs>
          <w:tab w:val="left" w:pos="567"/>
        </w:tabs>
        <w:adjustRightInd w:val="0"/>
        <w:rPr>
          <w:rFonts w:ascii="Times New Roman" w:eastAsia="Times New Roman" w:hAnsi="Times New Roman" w:cs="Times New Roman"/>
          <w:lang w:val="hu-HU"/>
        </w:rPr>
      </w:pPr>
      <w:r>
        <w:rPr>
          <w:rFonts w:ascii="Times New Roman" w:eastAsia="Times New Roman" w:hAnsi="Times New Roman" w:cs="Times New Roman"/>
          <w:lang w:val="hu-HU"/>
        </w:rPr>
        <w:t>Tiszta vagy enyhén opálos, színtelen vagy halvány barna oldat.</w:t>
      </w:r>
    </w:p>
    <w:p w14:paraId="5E7D6EFC" w14:textId="77777777" w:rsidR="00C770CB" w:rsidRDefault="00C770CB" w:rsidP="00C770CB">
      <w:pPr>
        <w:spacing w:line="260" w:lineRule="exact"/>
        <w:rPr>
          <w:rFonts w:ascii="Times New Roman" w:hAnsi="Times New Roman" w:cs="Times New Roman"/>
          <w:lang w:val="hu-HU"/>
        </w:rPr>
      </w:pPr>
    </w:p>
    <w:p w14:paraId="0D17902B" w14:textId="77777777" w:rsidR="00C770CB" w:rsidRDefault="00C770CB" w:rsidP="00C770CB">
      <w:pPr>
        <w:spacing w:line="260" w:lineRule="exact"/>
        <w:rPr>
          <w:rFonts w:ascii="Times New Roman" w:hAnsi="Times New Roman" w:cs="Times New Roman"/>
          <w:lang w:val="hu-HU"/>
        </w:rPr>
      </w:pPr>
    </w:p>
    <w:p w14:paraId="5C027432" w14:textId="77777777" w:rsidR="00C770CB" w:rsidRDefault="00C770CB" w:rsidP="00FD05AA">
      <w:pPr>
        <w:widowControl/>
        <w:numPr>
          <w:ilvl w:val="0"/>
          <w:numId w:val="52"/>
        </w:numPr>
        <w:tabs>
          <w:tab w:val="left" w:pos="567"/>
        </w:tabs>
        <w:spacing w:line="260" w:lineRule="exact"/>
        <w:ind w:left="0" w:firstLine="0"/>
        <w:rPr>
          <w:rFonts w:ascii="Times New Roman" w:hAnsi="Times New Roman" w:cs="Times New Roman"/>
          <w:b/>
          <w:spacing w:val="-1"/>
          <w:lang w:val="hu-HU"/>
        </w:rPr>
      </w:pPr>
      <w:r>
        <w:rPr>
          <w:rFonts w:ascii="Times New Roman" w:eastAsia="Times New Roman" w:hAnsi="Times New Roman" w:cs="Times New Roman"/>
          <w:b/>
          <w:bCs/>
          <w:noProof/>
          <w:lang w:val="hu-HU"/>
        </w:rPr>
        <w:t>KLINIKAI JELLEMZŐK</w:t>
      </w:r>
    </w:p>
    <w:p w14:paraId="6530934E" w14:textId="77777777" w:rsidR="00C770CB" w:rsidRDefault="00C770CB" w:rsidP="00C770CB">
      <w:pPr>
        <w:pStyle w:val="a4"/>
        <w:tabs>
          <w:tab w:val="left" w:pos="672"/>
        </w:tabs>
        <w:rPr>
          <w:rFonts w:ascii="Times New Roman" w:eastAsia="Times New Roman" w:hAnsi="Times New Roman" w:cs="Times New Roman"/>
          <w:b/>
          <w:noProof/>
          <w:lang w:val="hu-HU"/>
        </w:rPr>
      </w:pPr>
    </w:p>
    <w:p w14:paraId="138FFBD1" w14:textId="77777777" w:rsidR="00C770CB" w:rsidRDefault="00C770CB" w:rsidP="00FD05AA">
      <w:pPr>
        <w:widowControl/>
        <w:numPr>
          <w:ilvl w:val="1"/>
          <w:numId w:val="53"/>
        </w:numPr>
        <w:tabs>
          <w:tab w:val="left" w:pos="567"/>
        </w:tabs>
        <w:spacing w:line="260" w:lineRule="exact"/>
        <w:ind w:firstLine="0"/>
        <w:rPr>
          <w:rFonts w:ascii="Times New Roman" w:eastAsia="Times New Roman" w:hAnsi="Times New Roman" w:cs="Times New Roman"/>
          <w:lang w:val="hu-HU"/>
        </w:rPr>
      </w:pPr>
      <w:r>
        <w:rPr>
          <w:rFonts w:ascii="Times New Roman" w:eastAsia="Times New Roman" w:hAnsi="Times New Roman" w:cs="Times New Roman"/>
          <w:b/>
          <w:bCs/>
          <w:noProof/>
          <w:lang w:val="hu-HU"/>
        </w:rPr>
        <w:t>Terápiás javallatok</w:t>
      </w:r>
    </w:p>
    <w:p w14:paraId="15BC4AA8" w14:textId="77777777" w:rsidR="00C770CB" w:rsidRDefault="00C770CB" w:rsidP="00C770CB">
      <w:pPr>
        <w:spacing w:line="240" w:lineRule="exact"/>
        <w:rPr>
          <w:rFonts w:ascii="Times New Roman" w:hAnsi="Times New Roman" w:cs="Times New Roman"/>
          <w:lang w:val="hu-HU"/>
        </w:rPr>
      </w:pPr>
    </w:p>
    <w:p w14:paraId="7388DEAD" w14:textId="77777777" w:rsidR="00C770CB" w:rsidRDefault="00C770CB" w:rsidP="00C770CB">
      <w:pPr>
        <w:pStyle w:val="a3"/>
        <w:rPr>
          <w:u w:val="single"/>
          <w:lang w:val="hu-HU"/>
        </w:rPr>
      </w:pPr>
      <w:r>
        <w:rPr>
          <w:rFonts w:eastAsia="Times New Roman"/>
          <w:u w:val="single" w:color="000000"/>
          <w:lang w:val="hu-HU"/>
        </w:rPr>
        <w:t>Rheumatoid arthritis</w:t>
      </w:r>
    </w:p>
    <w:p w14:paraId="64D39645" w14:textId="77777777" w:rsidR="00C770CB" w:rsidRDefault="00C770CB" w:rsidP="00C770CB">
      <w:pPr>
        <w:spacing w:line="170" w:lineRule="exact"/>
        <w:rPr>
          <w:rFonts w:ascii="Times New Roman" w:hAnsi="Times New Roman" w:cs="Times New Roman"/>
          <w:lang w:val="hu-HU"/>
        </w:rPr>
      </w:pPr>
    </w:p>
    <w:p w14:paraId="2438C5FC" w14:textId="77777777" w:rsidR="00C770CB" w:rsidRDefault="00C770CB" w:rsidP="00C770CB">
      <w:pPr>
        <w:pStyle w:val="a3"/>
        <w:rPr>
          <w:lang w:val="hu-HU"/>
        </w:rPr>
      </w:pPr>
      <w:r>
        <w:rPr>
          <w:rFonts w:eastAsia="Times New Roman"/>
          <w:lang w:val="hu-HU"/>
        </w:rPr>
        <w:t>A Yuflyma metotrexáttal együtt adva a következők kezelésére javallott:</w:t>
      </w:r>
    </w:p>
    <w:p w14:paraId="3110241F" w14:textId="77777777" w:rsidR="00C770CB" w:rsidRDefault="00C770CB" w:rsidP="00C770CB">
      <w:pPr>
        <w:spacing w:line="240" w:lineRule="exact"/>
        <w:rPr>
          <w:rFonts w:ascii="Times New Roman" w:hAnsi="Times New Roman" w:cs="Times New Roman"/>
          <w:lang w:val="hu-HU"/>
        </w:rPr>
      </w:pPr>
    </w:p>
    <w:p w14:paraId="53468F5A" w14:textId="77777777" w:rsidR="00C770CB" w:rsidRDefault="00C770CB" w:rsidP="00C770CB">
      <w:pPr>
        <w:pStyle w:val="a3"/>
        <w:numPr>
          <w:ilvl w:val="0"/>
          <w:numId w:val="14"/>
        </w:numPr>
        <w:ind w:left="660" w:hanging="660"/>
        <w:rPr>
          <w:lang w:val="hu-HU"/>
        </w:rPr>
      </w:pPr>
      <w:r>
        <w:rPr>
          <w:rFonts w:eastAsia="Times New Roman"/>
          <w:lang w:val="hu-HU"/>
        </w:rPr>
        <w:t>közepesen súlyos-</w:t>
      </w:r>
      <w:r w:rsidRPr="009167C6">
        <w:rPr>
          <w:lang w:val="hu-HU"/>
        </w:rPr>
        <w:t> </w:t>
      </w:r>
      <w:r>
        <w:rPr>
          <w:rFonts w:eastAsia="Times New Roman"/>
          <w:lang w:val="hu-HU"/>
        </w:rPr>
        <w:t>súlyos aktív rheumatoid arthritisben szenvedő felnőtt betegek kezelésére, ha a betegségmódosító reumaellenes gyógyszerek, beleértve a metotrexátot, nem bizonyultak hatásosnak.</w:t>
      </w:r>
    </w:p>
    <w:p w14:paraId="54F66495" w14:textId="77777777" w:rsidR="00C770CB" w:rsidRDefault="00C770CB" w:rsidP="00C770CB">
      <w:pPr>
        <w:pStyle w:val="a3"/>
        <w:numPr>
          <w:ilvl w:val="0"/>
          <w:numId w:val="14"/>
        </w:numPr>
        <w:ind w:left="660" w:hanging="660"/>
        <w:rPr>
          <w:lang w:val="hu-HU"/>
        </w:rPr>
      </w:pPr>
      <w:r>
        <w:rPr>
          <w:rFonts w:eastAsia="Times New Roman"/>
          <w:lang w:val="hu-HU"/>
        </w:rPr>
        <w:t>súlyos, aktív és progresszív rheumatoid arthritis betegségben szenvedő felnőttek kezelésére, akiket előzőleg még nem kezeltek metotrexáttal.</w:t>
      </w:r>
    </w:p>
    <w:p w14:paraId="0B7D8FC2" w14:textId="77777777" w:rsidR="00C770CB" w:rsidRDefault="00C770CB" w:rsidP="00C770CB">
      <w:pPr>
        <w:spacing w:line="240" w:lineRule="exact"/>
        <w:rPr>
          <w:rFonts w:ascii="Times New Roman" w:hAnsi="Times New Roman" w:cs="Times New Roman"/>
          <w:lang w:val="hu-HU"/>
        </w:rPr>
      </w:pPr>
    </w:p>
    <w:p w14:paraId="6B00C0F8" w14:textId="77777777" w:rsidR="00C770CB" w:rsidRDefault="00C770CB" w:rsidP="00C770CB">
      <w:pPr>
        <w:pStyle w:val="a3"/>
        <w:rPr>
          <w:lang w:val="hu-HU"/>
        </w:rPr>
      </w:pPr>
      <w:r>
        <w:rPr>
          <w:rFonts w:eastAsia="Times New Roman"/>
          <w:lang w:val="hu-HU"/>
        </w:rPr>
        <w:t>A Yuflyma monoterápiaként is alkalmazható metotrexát-intolerancia esetén, vagy ha a folyamatos metotrexát kezelés nem megfelelő.</w:t>
      </w:r>
    </w:p>
    <w:p w14:paraId="16F7CC7A" w14:textId="77777777" w:rsidR="00C770CB" w:rsidRDefault="00C770CB" w:rsidP="00C770CB">
      <w:pPr>
        <w:spacing w:line="240" w:lineRule="exact"/>
        <w:rPr>
          <w:rFonts w:ascii="Times New Roman" w:hAnsi="Times New Roman" w:cs="Times New Roman"/>
          <w:lang w:val="hu-HU"/>
        </w:rPr>
      </w:pPr>
    </w:p>
    <w:p w14:paraId="3B6C2AD4" w14:textId="77777777" w:rsidR="00C770CB" w:rsidRDefault="00C770CB" w:rsidP="00C770CB">
      <w:pPr>
        <w:pStyle w:val="a3"/>
        <w:rPr>
          <w:lang w:val="hu-HU"/>
        </w:rPr>
      </w:pPr>
      <w:r>
        <w:rPr>
          <w:rFonts w:eastAsia="Times New Roman"/>
          <w:lang w:val="hu-HU" w:eastAsia="ko-KR"/>
        </w:rPr>
        <w:t>Az adalimumab csökkenti a röntgenfelvétellel kimutatott ízületi károsodás progressziójának mértékét és javítja a fizikai funkciókat, ha metotrexáttal kombinálva kerül alkalmazásra.</w:t>
      </w:r>
    </w:p>
    <w:p w14:paraId="76D74ECE" w14:textId="77777777" w:rsidR="00A84F39" w:rsidRDefault="00A84F39" w:rsidP="00C770CB">
      <w:pPr>
        <w:pStyle w:val="a3"/>
        <w:rPr>
          <w:rFonts w:eastAsia="Times New Roman"/>
          <w:u w:val="single" w:color="000000"/>
          <w:lang w:val="hu-HU"/>
        </w:rPr>
      </w:pPr>
    </w:p>
    <w:p w14:paraId="2D8163A0" w14:textId="3853830D" w:rsidR="00C770CB" w:rsidRDefault="00C770CB" w:rsidP="00C770CB">
      <w:pPr>
        <w:pStyle w:val="a3"/>
        <w:rPr>
          <w:u w:val="single"/>
          <w:lang w:val="hu-HU"/>
        </w:rPr>
      </w:pPr>
      <w:r>
        <w:rPr>
          <w:rFonts w:eastAsia="Times New Roman"/>
          <w:u w:val="single" w:color="000000"/>
          <w:lang w:val="hu-HU"/>
        </w:rPr>
        <w:t>Psoriasis</w:t>
      </w:r>
    </w:p>
    <w:p w14:paraId="57D7B04A" w14:textId="77777777" w:rsidR="00C770CB" w:rsidRDefault="00C770CB" w:rsidP="00C770CB">
      <w:pPr>
        <w:spacing w:line="180" w:lineRule="exact"/>
        <w:rPr>
          <w:rFonts w:ascii="Times New Roman" w:hAnsi="Times New Roman" w:cs="Times New Roman"/>
          <w:lang w:val="hu-HU"/>
        </w:rPr>
      </w:pPr>
    </w:p>
    <w:p w14:paraId="25DD350E" w14:textId="0819491E" w:rsidR="00C770CB" w:rsidRDefault="00C770CB" w:rsidP="00C770CB">
      <w:pPr>
        <w:pStyle w:val="a3"/>
        <w:rPr>
          <w:lang w:val="hu-HU"/>
        </w:rPr>
      </w:pPr>
      <w:r>
        <w:rPr>
          <w:rFonts w:eastAsia="Times New Roman"/>
          <w:lang w:val="hu-HU"/>
        </w:rPr>
        <w:t>A Yuflyma a közepesen súlyos–</w:t>
      </w:r>
      <w:r w:rsidRPr="009167C6">
        <w:rPr>
          <w:lang w:val="hu-HU"/>
        </w:rPr>
        <w:t> </w:t>
      </w:r>
      <w:r>
        <w:rPr>
          <w:rFonts w:eastAsia="Times New Roman"/>
          <w:lang w:val="hu-HU"/>
        </w:rPr>
        <w:t xml:space="preserve"> súlyos plakkos psoriasis kezelésére javallott olyan felnőtteknél, akiknél szisztémás kezelés szükséges.</w:t>
      </w:r>
    </w:p>
    <w:p w14:paraId="32493354" w14:textId="77777777" w:rsidR="00C770CB" w:rsidRDefault="00C770CB" w:rsidP="00C770CB">
      <w:pPr>
        <w:spacing w:line="240" w:lineRule="exact"/>
        <w:rPr>
          <w:rFonts w:ascii="Times New Roman" w:hAnsi="Times New Roman" w:cs="Times New Roman"/>
          <w:lang w:val="hu-HU"/>
        </w:rPr>
      </w:pPr>
    </w:p>
    <w:p w14:paraId="3D42DDCE" w14:textId="77777777" w:rsidR="00C770CB" w:rsidRDefault="00C770CB" w:rsidP="00C770CB">
      <w:pPr>
        <w:pStyle w:val="a3"/>
        <w:rPr>
          <w:u w:val="single"/>
          <w:lang w:val="hu-HU"/>
        </w:rPr>
      </w:pPr>
      <w:r>
        <w:rPr>
          <w:rFonts w:eastAsia="Times New Roman"/>
          <w:u w:val="single" w:color="000000"/>
          <w:lang w:val="hu-HU"/>
        </w:rPr>
        <w:t>Hidradenitis suppurativa (HS)</w:t>
      </w:r>
    </w:p>
    <w:p w14:paraId="4943FBD5" w14:textId="77777777" w:rsidR="00C770CB" w:rsidRDefault="00C770CB" w:rsidP="00C770CB">
      <w:pPr>
        <w:spacing w:line="180" w:lineRule="exact"/>
        <w:rPr>
          <w:rFonts w:ascii="Times New Roman" w:hAnsi="Times New Roman" w:cs="Times New Roman"/>
          <w:lang w:val="hu-HU"/>
        </w:rPr>
      </w:pPr>
    </w:p>
    <w:p w14:paraId="5020E59B" w14:textId="77777777" w:rsidR="00C770CB" w:rsidRDefault="00C770CB" w:rsidP="00C770CB">
      <w:pPr>
        <w:pStyle w:val="a3"/>
        <w:rPr>
          <w:lang w:val="hu-HU"/>
        </w:rPr>
      </w:pPr>
      <w:r>
        <w:rPr>
          <w:rFonts w:eastAsia="Times New Roman"/>
          <w:lang w:val="hu-HU"/>
        </w:rPr>
        <w:t>A Yuflyma aktív közepesen súlyos-</w:t>
      </w:r>
      <w:r w:rsidRPr="009167C6">
        <w:rPr>
          <w:lang w:val="hu-HU"/>
        </w:rPr>
        <w:t> </w:t>
      </w:r>
      <w:r>
        <w:rPr>
          <w:rFonts w:eastAsia="Times New Roman"/>
          <w:lang w:val="hu-HU"/>
        </w:rPr>
        <w:t xml:space="preserve"> súlyos</w:t>
      </w:r>
      <w:r w:rsidDel="00011824">
        <w:rPr>
          <w:rFonts w:eastAsia="Times New Roman"/>
          <w:lang w:val="hu-HU"/>
        </w:rPr>
        <w:t xml:space="preserve"> </w:t>
      </w:r>
      <w:r>
        <w:rPr>
          <w:rFonts w:eastAsia="Times New Roman"/>
          <w:lang w:val="hu-HU"/>
        </w:rPr>
        <w:t>hidradenitis suppurativa (acne inversa) kezelésére javallott olyan felnőtteknél és serdülőknél 12 éves kortól, akik nem reagáltak megfelelően a hagyományos, szisztémás HS kezelésre (lásd 5.1 és 5.2 pont).</w:t>
      </w:r>
    </w:p>
    <w:p w14:paraId="1915533D" w14:textId="77777777" w:rsidR="00C770CB" w:rsidRDefault="00C770CB" w:rsidP="00C770CB">
      <w:pPr>
        <w:pStyle w:val="a3"/>
        <w:rPr>
          <w:u w:color="000000"/>
          <w:lang w:val="hu-HU"/>
        </w:rPr>
      </w:pPr>
    </w:p>
    <w:p w14:paraId="6226FC29" w14:textId="77777777" w:rsidR="00C770CB" w:rsidRDefault="00C770CB" w:rsidP="00C770CB">
      <w:pPr>
        <w:pStyle w:val="a3"/>
        <w:rPr>
          <w:u w:val="single"/>
          <w:lang w:val="hu-HU"/>
        </w:rPr>
      </w:pPr>
      <w:r>
        <w:rPr>
          <w:rFonts w:eastAsia="Times New Roman"/>
          <w:u w:val="single" w:color="000000"/>
          <w:lang w:val="hu-HU"/>
        </w:rPr>
        <w:t>Crohn-betegség</w:t>
      </w:r>
    </w:p>
    <w:p w14:paraId="0CA4A928" w14:textId="77777777" w:rsidR="00C770CB" w:rsidRDefault="00C770CB" w:rsidP="00C770CB">
      <w:pPr>
        <w:spacing w:line="180" w:lineRule="exact"/>
        <w:rPr>
          <w:rFonts w:ascii="Times New Roman" w:hAnsi="Times New Roman" w:cs="Times New Roman"/>
          <w:lang w:val="hu-HU"/>
        </w:rPr>
      </w:pPr>
    </w:p>
    <w:p w14:paraId="23FA2B77" w14:textId="77777777" w:rsidR="00C770CB" w:rsidRDefault="00C770CB" w:rsidP="00C770CB">
      <w:pPr>
        <w:pStyle w:val="a3"/>
        <w:rPr>
          <w:lang w:val="hu-HU"/>
        </w:rPr>
      </w:pPr>
      <w:r>
        <w:rPr>
          <w:rFonts w:eastAsia="Times New Roman"/>
          <w:lang w:val="hu-HU"/>
        </w:rPr>
        <w:t>A Yuflyma közepesen súlyos-</w:t>
      </w:r>
      <w:r w:rsidRPr="009167C6">
        <w:rPr>
          <w:lang w:val="hu-HU"/>
        </w:rPr>
        <w:t> s</w:t>
      </w:r>
      <w:r>
        <w:rPr>
          <w:rFonts w:eastAsia="Times New Roman"/>
          <w:lang w:val="hu-HU"/>
        </w:rPr>
        <w:t>úlyos</w:t>
      </w:r>
      <w:r w:rsidDel="00011824">
        <w:rPr>
          <w:rFonts w:eastAsia="Times New Roman"/>
          <w:lang w:val="hu-HU"/>
        </w:rPr>
        <w:t xml:space="preserve"> </w:t>
      </w:r>
      <w:r>
        <w:rPr>
          <w:rFonts w:eastAsia="Times New Roman"/>
          <w:lang w:val="hu-HU"/>
        </w:rPr>
        <w:t>s aktivitású Crohn- betegség kezelésére javallott olyan betegeknél, akik nem reagáltak a kortikoszteroiddal és/vagy immunszuppresszánsokkal végzett teljes és megfelelő kezelésre, vagy akik nem tolerálják ezeket agyógyszereket vagy akiknél e gyógyszerek alkalmazása orvosi szempontból ellenjavallt.</w:t>
      </w:r>
    </w:p>
    <w:p w14:paraId="4F623618" w14:textId="77777777" w:rsidR="00C770CB" w:rsidRDefault="00C770CB" w:rsidP="00C770CB">
      <w:pPr>
        <w:spacing w:line="240" w:lineRule="exact"/>
        <w:rPr>
          <w:rFonts w:ascii="Times New Roman" w:hAnsi="Times New Roman" w:cs="Times New Roman"/>
          <w:lang w:val="hu-HU"/>
        </w:rPr>
      </w:pPr>
    </w:p>
    <w:p w14:paraId="05C20399" w14:textId="77777777" w:rsidR="00C770CB" w:rsidRDefault="00C770CB" w:rsidP="00C770CB">
      <w:pPr>
        <w:pStyle w:val="a3"/>
        <w:rPr>
          <w:u w:val="single"/>
          <w:lang w:val="hu-HU"/>
        </w:rPr>
      </w:pPr>
      <w:r w:rsidRPr="009167C6">
        <w:rPr>
          <w:u w:val="single"/>
          <w:lang w:val="hu-HU"/>
        </w:rPr>
        <w:t>Gyermekkori</w:t>
      </w:r>
      <w:r w:rsidDel="0079791D">
        <w:rPr>
          <w:rFonts w:eastAsia="Times New Roman"/>
          <w:u w:val="single" w:color="000000"/>
          <w:lang w:val="hu-HU"/>
        </w:rPr>
        <w:t xml:space="preserve"> </w:t>
      </w:r>
      <w:r>
        <w:rPr>
          <w:rFonts w:eastAsia="Times New Roman"/>
          <w:u w:val="single" w:color="000000"/>
          <w:lang w:val="hu-HU"/>
        </w:rPr>
        <w:t>Crohn-betegség</w:t>
      </w:r>
      <w:r w:rsidRPr="0079791D">
        <w:rPr>
          <w:rFonts w:eastAsia="Times New Roman"/>
          <w:u w:val="single" w:color="000000"/>
          <w:lang w:val="hu-HU"/>
        </w:rPr>
        <w:t xml:space="preserve"> </w:t>
      </w:r>
    </w:p>
    <w:p w14:paraId="7F10C5FE" w14:textId="77777777" w:rsidR="00C770CB" w:rsidRDefault="00C770CB" w:rsidP="00C770CB">
      <w:pPr>
        <w:spacing w:line="170" w:lineRule="exact"/>
        <w:rPr>
          <w:rFonts w:ascii="Times New Roman" w:hAnsi="Times New Roman" w:cs="Times New Roman"/>
          <w:lang w:val="hu-HU"/>
        </w:rPr>
      </w:pPr>
    </w:p>
    <w:p w14:paraId="41889111" w14:textId="77777777" w:rsidR="00C770CB" w:rsidRDefault="00C770CB" w:rsidP="00C770CB">
      <w:pPr>
        <w:pStyle w:val="a3"/>
        <w:rPr>
          <w:lang w:val="hu-HU"/>
        </w:rPr>
      </w:pPr>
      <w:r>
        <w:rPr>
          <w:rFonts w:eastAsia="Times New Roman"/>
          <w:lang w:val="hu-HU"/>
        </w:rPr>
        <w:t>Az közepesen súlyos-</w:t>
      </w:r>
      <w:r w:rsidRPr="009167C6">
        <w:rPr>
          <w:lang w:val="hu-HU"/>
        </w:rPr>
        <w:t> </w:t>
      </w:r>
      <w:r>
        <w:rPr>
          <w:rFonts w:eastAsia="Times New Roman"/>
          <w:lang w:val="hu-HU"/>
        </w:rPr>
        <w:t>súlyos aktivitású Crohn-betegség kezelésére javallott olyan gyermekeknél (6 éves kortól), akik nem reagáltak megfelelően a hagyományos kezelésekre, beleértve a primer étrendi kezelést és egy kortikoszteroidot és/vagy egy immunmodulánst, vagy akik nem tolerálták ezeket a gyógyszereket, illetve akiknél ezek a kezelések kontraindikáltak.</w:t>
      </w:r>
    </w:p>
    <w:p w14:paraId="2F321351" w14:textId="77777777" w:rsidR="00C770CB" w:rsidRDefault="00C770CB" w:rsidP="00C770CB">
      <w:pPr>
        <w:spacing w:line="240" w:lineRule="exact"/>
        <w:rPr>
          <w:rFonts w:ascii="Times New Roman" w:hAnsi="Times New Roman" w:cs="Times New Roman"/>
          <w:lang w:val="hu-HU"/>
        </w:rPr>
      </w:pPr>
    </w:p>
    <w:p w14:paraId="2F1BD19C" w14:textId="77777777" w:rsidR="00C770CB" w:rsidRDefault="00C770CB" w:rsidP="00C770CB">
      <w:pPr>
        <w:pStyle w:val="a3"/>
        <w:rPr>
          <w:u w:val="single"/>
          <w:lang w:val="hu-HU"/>
        </w:rPr>
      </w:pPr>
      <w:r>
        <w:rPr>
          <w:rFonts w:eastAsia="Times New Roman"/>
          <w:u w:val="single" w:color="000000"/>
          <w:lang w:val="hu-HU"/>
        </w:rPr>
        <w:t>Colitis ulcerosa</w:t>
      </w:r>
    </w:p>
    <w:p w14:paraId="59451693" w14:textId="77777777" w:rsidR="00C770CB" w:rsidRDefault="00C770CB" w:rsidP="00C770CB">
      <w:pPr>
        <w:spacing w:line="180" w:lineRule="exact"/>
        <w:rPr>
          <w:rFonts w:ascii="Times New Roman" w:hAnsi="Times New Roman" w:cs="Times New Roman"/>
          <w:lang w:val="hu-HU"/>
        </w:rPr>
      </w:pPr>
    </w:p>
    <w:p w14:paraId="4A7FFB7D" w14:textId="77777777" w:rsidR="00C770CB" w:rsidRDefault="00C770CB" w:rsidP="00C770CB">
      <w:pPr>
        <w:pStyle w:val="a3"/>
        <w:rPr>
          <w:lang w:val="hu-HU"/>
        </w:rPr>
      </w:pPr>
      <w:r>
        <w:rPr>
          <w:rFonts w:eastAsia="Times New Roman"/>
          <w:lang w:val="hu-HU"/>
        </w:rPr>
        <w:t>A Yuflyma felnőttkori, közepesen súlyos-</w:t>
      </w:r>
      <w:r w:rsidRPr="009167C6">
        <w:rPr>
          <w:lang w:val="hu-HU"/>
        </w:rPr>
        <w:t> </w:t>
      </w:r>
      <w:r>
        <w:rPr>
          <w:rFonts w:eastAsia="Times New Roman"/>
          <w:lang w:val="hu-HU"/>
        </w:rPr>
        <w:t>súlyos aktivitású colitis ulcerosa kezelésére javallott olyan betegeknél, akik a hagyományos kezelésre, köztük kortikoszteroidra és 6-merkaptopurinra (6-MP) vagy azatioprinre (AZA) nem mutattak megfelelő terápiás választ, vagy nem tolerálják ezeket a kezeléseket, illetve orvosi szempontból ellenjavallt ezen gyógyszerek adása.</w:t>
      </w:r>
    </w:p>
    <w:p w14:paraId="2ADFCE71" w14:textId="77777777" w:rsidR="00C770CB" w:rsidRDefault="00C770CB" w:rsidP="00C770CB">
      <w:pPr>
        <w:spacing w:line="240" w:lineRule="exact"/>
        <w:rPr>
          <w:rFonts w:ascii="Times New Roman" w:hAnsi="Times New Roman" w:cs="Times New Roman"/>
          <w:lang w:val="hu-HU"/>
        </w:rPr>
      </w:pPr>
    </w:p>
    <w:p w14:paraId="66FF8B55" w14:textId="77777777" w:rsidR="00C770CB" w:rsidRPr="00B90FEB" w:rsidRDefault="00C770CB" w:rsidP="00C770CB">
      <w:pPr>
        <w:widowControl/>
        <w:suppressAutoHyphens/>
        <w:spacing w:line="260" w:lineRule="exact"/>
        <w:rPr>
          <w:rFonts w:ascii="Times New Roman" w:eastAsia="바탕" w:hAnsi="Times New Roman" w:cs="Times New Roman"/>
          <w:b/>
          <w:iCs/>
          <w:szCs w:val="20"/>
          <w:u w:val="single"/>
          <w:lang w:val="hu-HU" w:eastAsia="hu-HU"/>
        </w:rPr>
      </w:pPr>
      <w:r w:rsidRPr="00B90FEB">
        <w:rPr>
          <w:rFonts w:ascii="Times New Roman" w:eastAsia="바탕" w:hAnsi="Times New Roman" w:cs="Times New Roman"/>
          <w:iCs/>
          <w:szCs w:val="20"/>
          <w:u w:val="single"/>
          <w:lang w:val="hu-HU" w:eastAsia="hu-HU"/>
        </w:rPr>
        <w:t>Gyermek- és serdülőkori colitis ulcerosa</w:t>
      </w:r>
    </w:p>
    <w:p w14:paraId="74912440" w14:textId="77777777" w:rsidR="00C770CB" w:rsidRPr="00B90FEB" w:rsidRDefault="00C770CB" w:rsidP="00C770CB">
      <w:pPr>
        <w:widowControl/>
        <w:suppressAutoHyphens/>
        <w:spacing w:line="260" w:lineRule="exact"/>
        <w:rPr>
          <w:rFonts w:ascii="Times New Roman" w:eastAsia="바탕" w:hAnsi="Times New Roman" w:cs="Times New Roman"/>
          <w:szCs w:val="20"/>
          <w:lang w:val="hu-HU" w:eastAsia="hu-HU"/>
        </w:rPr>
      </w:pPr>
    </w:p>
    <w:p w14:paraId="7F28AC6C" w14:textId="77777777" w:rsidR="00C770CB" w:rsidRPr="00B90FEB" w:rsidRDefault="00C770CB" w:rsidP="00C770CB">
      <w:pPr>
        <w:widowControl/>
        <w:suppressAutoHyphens/>
        <w:spacing w:line="260" w:lineRule="exact"/>
        <w:rPr>
          <w:rFonts w:ascii="Times New Roman" w:eastAsia="바탕" w:hAnsi="Times New Roman" w:cs="Times New Roman"/>
          <w:szCs w:val="20"/>
          <w:lang w:val="hu-HU" w:eastAsia="hu-HU"/>
        </w:rPr>
      </w:pPr>
      <w:r w:rsidRPr="00B90FEB">
        <w:rPr>
          <w:rFonts w:ascii="Times New Roman" w:eastAsia="바탕" w:hAnsi="Times New Roman" w:cs="Times New Roman"/>
          <w:szCs w:val="20"/>
          <w:lang w:val="hu-HU" w:eastAsia="hu-HU"/>
        </w:rPr>
        <w:t xml:space="preserve">A </w:t>
      </w:r>
      <w:r>
        <w:rPr>
          <w:rFonts w:ascii="Times New Roman" w:eastAsia="바탕" w:hAnsi="Times New Roman" w:cs="Times New Roman"/>
          <w:szCs w:val="20"/>
          <w:lang w:val="hu-HU" w:eastAsia="hu-HU"/>
        </w:rPr>
        <w:t>Yuflyma</w:t>
      </w:r>
      <w:r w:rsidRPr="00B90FEB">
        <w:rPr>
          <w:rFonts w:ascii="Times New Roman" w:eastAsia="바탕" w:hAnsi="Times New Roman" w:cs="Times New Roman"/>
          <w:szCs w:val="20"/>
          <w:lang w:val="hu-HU" w:eastAsia="hu-HU"/>
        </w:rPr>
        <w:t xml:space="preserve"> közepesen súlyos – súlyos aktivitású colitis ulcerosa kezelésére javallott olyan gyermekeknél és serdülőknél (6 éves kortól), akik a hagyományos kezelésre, köztük kortikoszteroidra és 6</w:t>
      </w:r>
      <w:r w:rsidRPr="00B90FEB">
        <w:rPr>
          <w:rFonts w:ascii="Times New Roman" w:eastAsia="바탕" w:hAnsi="Times New Roman" w:cs="Times New Roman"/>
          <w:szCs w:val="20"/>
          <w:lang w:val="hu-HU" w:eastAsia="hu-HU"/>
        </w:rPr>
        <w:noBreakHyphen/>
        <w:t>merkaptopurinra (6</w:t>
      </w:r>
      <w:r w:rsidRPr="00B90FEB">
        <w:rPr>
          <w:rFonts w:ascii="Times New Roman" w:eastAsia="바탕" w:hAnsi="Times New Roman" w:cs="Times New Roman"/>
          <w:szCs w:val="20"/>
          <w:lang w:val="hu-HU" w:eastAsia="hu-HU"/>
        </w:rPr>
        <w:noBreakHyphen/>
        <w:t>MP) vagy azathioprinre (AZA) nem mutattak megfelelő terápiás választ, vagy nem tolerálják ezeket a kezeléseket, illetve orvosi szempontból ellenjavallt ezen gyógyszerek adása.</w:t>
      </w:r>
    </w:p>
    <w:p w14:paraId="566BB121" w14:textId="77777777" w:rsidR="00C770CB" w:rsidRPr="00B90FEB" w:rsidRDefault="00C770CB" w:rsidP="00C770CB">
      <w:pPr>
        <w:spacing w:line="240" w:lineRule="exact"/>
        <w:rPr>
          <w:rFonts w:ascii="Times New Roman" w:hAnsi="Times New Roman" w:cs="Times New Roman"/>
          <w:lang w:val="hu-HU"/>
        </w:rPr>
      </w:pPr>
    </w:p>
    <w:p w14:paraId="7C772F9A" w14:textId="77777777" w:rsidR="00C770CB" w:rsidRDefault="00C770CB" w:rsidP="00C770CB">
      <w:pPr>
        <w:pStyle w:val="a3"/>
        <w:rPr>
          <w:u w:val="single"/>
          <w:lang w:val="hu-HU"/>
        </w:rPr>
      </w:pPr>
      <w:r>
        <w:rPr>
          <w:rFonts w:eastAsia="Times New Roman"/>
          <w:u w:val="single" w:color="000000"/>
          <w:lang w:val="hu-HU"/>
        </w:rPr>
        <w:t>Uveitis</w:t>
      </w:r>
    </w:p>
    <w:p w14:paraId="036A2760" w14:textId="77777777" w:rsidR="00C770CB" w:rsidRDefault="00C770CB" w:rsidP="00C770CB">
      <w:pPr>
        <w:spacing w:line="180" w:lineRule="exact"/>
        <w:rPr>
          <w:rFonts w:ascii="Times New Roman" w:hAnsi="Times New Roman" w:cs="Times New Roman"/>
          <w:lang w:val="hu-HU"/>
        </w:rPr>
      </w:pPr>
    </w:p>
    <w:p w14:paraId="1A754E3E" w14:textId="77777777" w:rsidR="00C770CB" w:rsidRDefault="00C770CB" w:rsidP="00C770CB">
      <w:pPr>
        <w:pStyle w:val="a3"/>
        <w:rPr>
          <w:lang w:val="hu-HU"/>
        </w:rPr>
      </w:pPr>
      <w:r>
        <w:rPr>
          <w:rFonts w:eastAsia="Times New Roman"/>
          <w:lang w:val="hu-HU"/>
        </w:rPr>
        <w:t>A Yuflyma javallot a nem fertőzéses eredetű, intermedier, posterior és panuveitis kezelésére t olyan felnőtt betegeknél, akik nem megfelelően reagálnak a kortikoszteroid-kezelésre, illetve olyan betegeknél, akiknél kortikoszteroid-mentes kezelés szükséges, vagy akiknél a kortikoszteroid-kezelés nem alkalmazható.</w:t>
      </w:r>
    </w:p>
    <w:p w14:paraId="21475520" w14:textId="77777777" w:rsidR="00C770CB" w:rsidRDefault="00C770CB" w:rsidP="00C770CB">
      <w:pPr>
        <w:spacing w:line="240" w:lineRule="exact"/>
        <w:rPr>
          <w:rFonts w:ascii="Times New Roman" w:hAnsi="Times New Roman" w:cs="Times New Roman"/>
          <w:lang w:val="hu-HU"/>
        </w:rPr>
      </w:pPr>
    </w:p>
    <w:p w14:paraId="489973BB" w14:textId="77777777" w:rsidR="00C770CB" w:rsidRDefault="00C770CB" w:rsidP="00C770CB">
      <w:pPr>
        <w:pStyle w:val="a3"/>
        <w:rPr>
          <w:u w:val="single"/>
          <w:lang w:val="hu-HU"/>
        </w:rPr>
      </w:pPr>
      <w:r w:rsidRPr="009167C6">
        <w:rPr>
          <w:u w:val="single"/>
          <w:lang w:val="hu-HU"/>
        </w:rPr>
        <w:t>Gyermekkori</w:t>
      </w:r>
      <w:r w:rsidDel="00414C73">
        <w:rPr>
          <w:rFonts w:eastAsia="Times New Roman"/>
          <w:u w:val="single" w:color="000000"/>
          <w:lang w:val="hu-HU"/>
        </w:rPr>
        <w:t xml:space="preserve"> </w:t>
      </w:r>
      <w:r>
        <w:rPr>
          <w:rFonts w:eastAsia="Times New Roman"/>
          <w:u w:val="single" w:color="000000"/>
          <w:lang w:val="hu-HU"/>
        </w:rPr>
        <w:t>uveitis</w:t>
      </w:r>
    </w:p>
    <w:p w14:paraId="41F9B53C" w14:textId="77777777" w:rsidR="00C770CB" w:rsidRDefault="00C770CB" w:rsidP="00C770CB">
      <w:pPr>
        <w:spacing w:line="180" w:lineRule="exact"/>
        <w:rPr>
          <w:rFonts w:ascii="Times New Roman" w:hAnsi="Times New Roman" w:cs="Times New Roman"/>
          <w:lang w:val="hu-HU"/>
        </w:rPr>
      </w:pPr>
    </w:p>
    <w:p w14:paraId="23AA92A5" w14:textId="77777777" w:rsidR="00C770CB" w:rsidRDefault="00C770CB" w:rsidP="00C770CB">
      <w:pPr>
        <w:pStyle w:val="a3"/>
        <w:rPr>
          <w:lang w:val="hu-HU"/>
        </w:rPr>
      </w:pPr>
      <w:r>
        <w:rPr>
          <w:rFonts w:eastAsia="Times New Roman"/>
          <w:lang w:val="hu-HU"/>
        </w:rPr>
        <w:t>A Yuflyma a krónikus, nem fertőzéses eredetű anterior uveitis kezelésére javallott olyan 2 évnél idősebb gyermekeknél, akik nem megfelelően reagáltak a hagyományos kezelésre vagy nem tolerálták azt, illetve akiknél a hagyományos kezelés nem alkalmazható.</w:t>
      </w:r>
    </w:p>
    <w:p w14:paraId="61C8813B" w14:textId="77777777" w:rsidR="00C770CB" w:rsidRDefault="00C770CB" w:rsidP="00C770CB">
      <w:pPr>
        <w:spacing w:before="15" w:line="240" w:lineRule="exact"/>
        <w:rPr>
          <w:rFonts w:ascii="Times New Roman" w:hAnsi="Times New Roman" w:cs="Times New Roman"/>
          <w:lang w:val="hu-HU"/>
        </w:rPr>
      </w:pPr>
    </w:p>
    <w:p w14:paraId="6412A499" w14:textId="77777777" w:rsidR="00C770CB" w:rsidRDefault="00C770CB" w:rsidP="00FD05AA">
      <w:pPr>
        <w:widowControl/>
        <w:numPr>
          <w:ilvl w:val="1"/>
          <w:numId w:val="53"/>
        </w:numPr>
        <w:tabs>
          <w:tab w:val="left" w:pos="567"/>
        </w:tabs>
        <w:spacing w:line="260" w:lineRule="exact"/>
        <w:ind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Adagolás és alkalmazás</w:t>
      </w:r>
    </w:p>
    <w:p w14:paraId="3A417E90" w14:textId="77777777" w:rsidR="00C770CB" w:rsidRDefault="00C770CB" w:rsidP="00C770CB">
      <w:pPr>
        <w:spacing w:before="9" w:line="240" w:lineRule="exact"/>
        <w:rPr>
          <w:rFonts w:ascii="Times New Roman" w:hAnsi="Times New Roman" w:cs="Times New Roman"/>
          <w:lang w:val="hu-HU"/>
        </w:rPr>
      </w:pPr>
    </w:p>
    <w:p w14:paraId="7DA13340" w14:textId="77777777" w:rsidR="00C770CB" w:rsidRDefault="00C770CB" w:rsidP="00C770CB">
      <w:pPr>
        <w:pStyle w:val="a3"/>
        <w:rPr>
          <w:lang w:val="hu-HU"/>
        </w:rPr>
      </w:pPr>
      <w:r>
        <w:rPr>
          <w:rFonts w:eastAsia="Times New Roman"/>
          <w:lang w:val="hu-HU"/>
        </w:rPr>
        <w:t xml:space="preserve">Yuflyma-kezelést csak olyan szakorvos kezdhet el, illetve folytathat, aki jártas azoknak a betegségeknek a diagnosztikájában és kezelésében, amikre a Yuflyma javallott. Javasolt, hogy a szemészek a Yuflyma -kezelés megkezdése előtt konzultáljanak a megfelelő szakorvossal (lásd 4.4 pont). A Yuflyma-val kezelt betegeknek egy </w:t>
      </w:r>
      <w:proofErr w:type="spellStart"/>
      <w:r>
        <w:t>Betegemlékeztető</w:t>
      </w:r>
      <w:proofErr w:type="spellEnd"/>
      <w:r w:rsidRPr="000F4DB4">
        <w:t xml:space="preserve"> </w:t>
      </w:r>
      <w:proofErr w:type="spellStart"/>
      <w:r w:rsidRPr="000F4DB4">
        <w:t>Kártyát</w:t>
      </w:r>
      <w:proofErr w:type="spellEnd"/>
      <w:r w:rsidRPr="000F4DB4">
        <w:t xml:space="preserve"> </w:t>
      </w:r>
      <w:r>
        <w:t>is</w:t>
      </w:r>
      <w:r>
        <w:rPr>
          <w:rFonts w:eastAsia="Times New Roman"/>
          <w:lang w:val="hu-HU"/>
        </w:rPr>
        <w:t xml:space="preserve"> kell kapniuk.</w:t>
      </w:r>
    </w:p>
    <w:p w14:paraId="2C380F65" w14:textId="77777777" w:rsidR="00C770CB" w:rsidRDefault="00C770CB" w:rsidP="00C770CB">
      <w:pPr>
        <w:spacing w:line="240" w:lineRule="exact"/>
        <w:rPr>
          <w:rFonts w:ascii="Times New Roman" w:hAnsi="Times New Roman" w:cs="Times New Roman"/>
          <w:lang w:val="hu-HU"/>
        </w:rPr>
      </w:pPr>
    </w:p>
    <w:p w14:paraId="7DB353F4" w14:textId="77777777" w:rsidR="00C770CB" w:rsidRDefault="00C770CB" w:rsidP="00C770CB">
      <w:pPr>
        <w:pStyle w:val="a3"/>
        <w:rPr>
          <w:lang w:val="hu-HU"/>
        </w:rPr>
      </w:pPr>
      <w:r>
        <w:rPr>
          <w:rFonts w:eastAsia="Times New Roman"/>
          <w:lang w:val="hu-HU"/>
        </w:rPr>
        <w:t>A helyes injekciós technika elsajátítása után a betegek, ha az orvos úgy ítéli meg, akár önmaguknak is beadhatják a Yuflyma-t szükség szerinti orvosi ellenőrzés mellett.</w:t>
      </w:r>
    </w:p>
    <w:p w14:paraId="63A8B5AB" w14:textId="77777777" w:rsidR="00C770CB" w:rsidRDefault="00C770CB" w:rsidP="00C770CB">
      <w:pPr>
        <w:spacing w:line="240" w:lineRule="exact"/>
        <w:rPr>
          <w:rFonts w:ascii="Times New Roman" w:hAnsi="Times New Roman" w:cs="Times New Roman"/>
          <w:lang w:val="hu-HU"/>
        </w:rPr>
      </w:pPr>
    </w:p>
    <w:p w14:paraId="5A4E4F0A" w14:textId="77777777" w:rsidR="00C770CB" w:rsidRDefault="00C770CB" w:rsidP="00C770CB">
      <w:pPr>
        <w:pStyle w:val="a3"/>
        <w:rPr>
          <w:lang w:val="hu-HU"/>
        </w:rPr>
      </w:pPr>
      <w:r>
        <w:rPr>
          <w:rFonts w:eastAsia="Times New Roman"/>
          <w:lang w:val="hu-HU"/>
        </w:rPr>
        <w:t>A Yuflyma-kezelés ideje alatt optimalizálni kell a más gyógyszerek (például kortikoszteroidok és/ vagy immunmodulánsok) alkalmazásával végzett egyidejű terápiát.</w:t>
      </w:r>
    </w:p>
    <w:p w14:paraId="093B1E62" w14:textId="77777777" w:rsidR="00C770CB" w:rsidRDefault="00C770CB" w:rsidP="00C770CB">
      <w:pPr>
        <w:pStyle w:val="a3"/>
        <w:rPr>
          <w:lang w:val="hu-HU"/>
        </w:rPr>
      </w:pPr>
    </w:p>
    <w:p w14:paraId="3F573DAC" w14:textId="77777777" w:rsidR="00C770CB" w:rsidRDefault="00C770CB" w:rsidP="00C770CB">
      <w:pPr>
        <w:pStyle w:val="a3"/>
        <w:rPr>
          <w:u w:val="single"/>
          <w:lang w:val="hu-HU"/>
        </w:rPr>
      </w:pPr>
      <w:r>
        <w:rPr>
          <w:rFonts w:eastAsia="Times New Roman"/>
          <w:u w:val="single" w:color="000000"/>
          <w:lang w:val="hu-HU"/>
        </w:rPr>
        <w:t>Adagolás</w:t>
      </w:r>
    </w:p>
    <w:p w14:paraId="10E5D3AB" w14:textId="77777777" w:rsidR="00C770CB" w:rsidRDefault="00C770CB" w:rsidP="00C770CB">
      <w:pPr>
        <w:spacing w:line="170" w:lineRule="exact"/>
        <w:rPr>
          <w:rFonts w:ascii="Times New Roman" w:hAnsi="Times New Roman" w:cs="Times New Roman"/>
          <w:lang w:val="hu-HU"/>
        </w:rPr>
      </w:pPr>
    </w:p>
    <w:p w14:paraId="5BF5F4FA" w14:textId="77777777" w:rsidR="00C770CB" w:rsidRDefault="00C770CB" w:rsidP="00C770CB">
      <w:pPr>
        <w:rPr>
          <w:rFonts w:ascii="Times New Roman" w:eastAsia="Times New Roman" w:hAnsi="Times New Roman" w:cs="Times New Roman"/>
          <w:lang w:val="hu-HU"/>
        </w:rPr>
      </w:pPr>
      <w:r>
        <w:rPr>
          <w:rFonts w:ascii="Times New Roman" w:eastAsia="Times New Roman" w:hAnsi="Times New Roman" w:cs="Times New Roman"/>
          <w:i/>
          <w:iCs/>
          <w:spacing w:val="-1"/>
          <w:lang w:val="hu-HU"/>
        </w:rPr>
        <w:t>Rheumatoid arthritis</w:t>
      </w:r>
    </w:p>
    <w:p w14:paraId="05C3FAF5" w14:textId="77777777" w:rsidR="00C770CB" w:rsidRDefault="00C770CB" w:rsidP="00C770CB">
      <w:pPr>
        <w:spacing w:line="240" w:lineRule="exact"/>
        <w:rPr>
          <w:rFonts w:ascii="Times New Roman" w:hAnsi="Times New Roman" w:cs="Times New Roman"/>
          <w:lang w:val="hu-HU"/>
        </w:rPr>
      </w:pPr>
    </w:p>
    <w:p w14:paraId="4A7F3E34" w14:textId="77777777" w:rsidR="00C770CB" w:rsidRDefault="00C770CB" w:rsidP="00C770CB">
      <w:pPr>
        <w:pStyle w:val="a3"/>
        <w:rPr>
          <w:lang w:val="hu-HU"/>
        </w:rPr>
      </w:pPr>
      <w:r>
        <w:rPr>
          <w:rFonts w:eastAsia="Times New Roman"/>
          <w:lang w:val="hu-HU"/>
        </w:rPr>
        <w:t>A Yuflyma javasolt dózisa rheumatoid arthritisben szenvedő felnőttek esetében 40 mg adalimumab, kéthetente egy alkalommal egy adagban subcutan injekció formájában. A metotrexát folytatása javasolt a Yuflyma-val való kezelés ideje alatt.</w:t>
      </w:r>
    </w:p>
    <w:p w14:paraId="0E822962" w14:textId="77777777" w:rsidR="00C770CB" w:rsidRDefault="00C770CB" w:rsidP="00C770CB">
      <w:pPr>
        <w:pStyle w:val="a3"/>
        <w:rPr>
          <w:lang w:val="hu-HU"/>
        </w:rPr>
      </w:pPr>
    </w:p>
    <w:p w14:paraId="327A5BEF" w14:textId="518CD723" w:rsidR="00C770CB" w:rsidRDefault="00C770CB" w:rsidP="00C770CB">
      <w:pPr>
        <w:pStyle w:val="a3"/>
        <w:rPr>
          <w:lang w:val="hu-HU"/>
        </w:rPr>
      </w:pPr>
      <w:r>
        <w:rPr>
          <w:rFonts w:eastAsia="Times New Roman"/>
          <w:lang w:val="hu-HU"/>
        </w:rPr>
        <w:t xml:space="preserve">Glükokortikoidok, szalicilátok, nem- szteroid gyulladáscsökkentők, </w:t>
      </w:r>
      <w:r w:rsidR="0037671F" w:rsidRPr="00AA71AB">
        <w:rPr>
          <w:lang w:val="hu-HU"/>
        </w:rPr>
        <w:t>(NSAID-ok),</w:t>
      </w:r>
      <w:r w:rsidR="0037671F">
        <w:rPr>
          <w:rFonts w:eastAsia="Times New Roman"/>
          <w:lang w:val="hu-HU"/>
        </w:rPr>
        <w:t xml:space="preserve"> </w:t>
      </w:r>
      <w:r>
        <w:rPr>
          <w:rFonts w:eastAsia="Times New Roman"/>
          <w:lang w:val="hu-HU"/>
        </w:rPr>
        <w:t>illetve analgetikumok adása is folytatható a Yuflyma-kezelés ideje alatt. A metotrexáton kívüli más, betegséget befolyásoló reumaellenes szerekkel való együttes szedést illetően lásd a 4. 4 és az 5. 1 pontokat.</w:t>
      </w:r>
    </w:p>
    <w:p w14:paraId="1B25B6AB" w14:textId="77777777" w:rsidR="00C770CB" w:rsidRDefault="00C770CB" w:rsidP="00C770CB">
      <w:pPr>
        <w:spacing w:line="240" w:lineRule="exact"/>
        <w:rPr>
          <w:rFonts w:ascii="Times New Roman" w:hAnsi="Times New Roman" w:cs="Times New Roman"/>
          <w:lang w:val="hu-HU"/>
        </w:rPr>
      </w:pPr>
    </w:p>
    <w:p w14:paraId="10DD859B" w14:textId="77777777" w:rsidR="00C770CB" w:rsidRDefault="00C770CB" w:rsidP="00C770CB">
      <w:pPr>
        <w:pStyle w:val="a3"/>
        <w:rPr>
          <w:lang w:val="hu-HU"/>
        </w:rPr>
      </w:pPr>
      <w:r>
        <w:rPr>
          <w:rFonts w:eastAsia="Times New Roman"/>
          <w:lang w:val="hu-HU"/>
        </w:rPr>
        <w:t>Monoterápiában, olyan betegek esetében, akiknél hatáscsökkenés mutatkozik a minden második héten alkalmazott 40 mg Yuflyma-kezelés mellett, jó eredmény érhető el a dózis hetenkénti 40 mg adalimumabra vagy kéthetente 80 mg-ra való emelésével.</w:t>
      </w:r>
    </w:p>
    <w:p w14:paraId="1D5B49BA" w14:textId="77777777" w:rsidR="00C770CB" w:rsidRDefault="00C770CB" w:rsidP="00C770CB">
      <w:pPr>
        <w:spacing w:line="240" w:lineRule="exact"/>
        <w:rPr>
          <w:rFonts w:ascii="Times New Roman" w:hAnsi="Times New Roman" w:cs="Times New Roman"/>
          <w:lang w:val="hu-HU"/>
        </w:rPr>
      </w:pPr>
    </w:p>
    <w:p w14:paraId="522823CF" w14:textId="77777777" w:rsidR="00C770CB" w:rsidRDefault="00C770CB" w:rsidP="00C770CB">
      <w:pPr>
        <w:pStyle w:val="a3"/>
        <w:rPr>
          <w:lang w:val="hu-HU"/>
        </w:rPr>
      </w:pPr>
      <w:r>
        <w:rPr>
          <w:rFonts w:eastAsia="Times New Roman"/>
          <w:lang w:val="hu-HU"/>
        </w:rPr>
        <w:t>A rendelkezésre álló adatok azt mutatják, hogy a klinikai válasz általában 12 hetes kezelésen belül elérhető. A kezelés folytatását alaposan meg kell fontolni, ha a beteg ezen időszak alatt nem reagál a kezelésre.</w:t>
      </w:r>
    </w:p>
    <w:p w14:paraId="68452E4A" w14:textId="77777777" w:rsidR="00C770CB" w:rsidRDefault="00C770CB" w:rsidP="00C770CB">
      <w:pPr>
        <w:pStyle w:val="a3"/>
        <w:rPr>
          <w:rFonts w:eastAsia="Times New Roman"/>
          <w:lang w:val="hu-HU"/>
        </w:rPr>
      </w:pPr>
    </w:p>
    <w:p w14:paraId="410DAE84" w14:textId="77777777" w:rsidR="00C770CB" w:rsidRDefault="00C770CB" w:rsidP="00C770CB">
      <w:pPr>
        <w:pStyle w:val="a3"/>
        <w:rPr>
          <w:rFonts w:eastAsia="Times New Roman"/>
          <w:lang w:val="hu-HU"/>
        </w:rPr>
      </w:pPr>
      <w:r>
        <w:rPr>
          <w:rFonts w:eastAsia="Times New Roman"/>
          <w:i/>
          <w:iCs/>
          <w:spacing w:val="-1"/>
          <w:lang w:val="hu-HU"/>
        </w:rPr>
        <w:t>Psoriasis</w:t>
      </w:r>
    </w:p>
    <w:p w14:paraId="44ECCB6E" w14:textId="77777777" w:rsidR="00C770CB" w:rsidRDefault="00C770CB" w:rsidP="00C770CB">
      <w:pPr>
        <w:spacing w:line="240" w:lineRule="exact"/>
        <w:rPr>
          <w:rFonts w:ascii="Times New Roman" w:hAnsi="Times New Roman" w:cs="Times New Roman"/>
          <w:lang w:val="hu-HU"/>
        </w:rPr>
      </w:pPr>
    </w:p>
    <w:p w14:paraId="4B450DC2" w14:textId="36391449" w:rsidR="00C770CB" w:rsidRDefault="00C770CB" w:rsidP="00C770CB">
      <w:pPr>
        <w:pStyle w:val="a3"/>
        <w:rPr>
          <w:lang w:val="hu-HU"/>
        </w:rPr>
      </w:pPr>
      <w:r>
        <w:rPr>
          <w:rFonts w:eastAsia="Times New Roman"/>
          <w:lang w:val="hu-HU"/>
        </w:rPr>
        <w:t>A Yuflyma javasolt kezdő dózisa felnőtt betegek részére kezdő dózisként 80 mg subcutan alkalmazva, amelyet a kezdődózis beadásától számított egy hét múlva minden második héten subcutan beadott 40 mg- os dózisok követnek.</w:t>
      </w:r>
      <w:r w:rsidR="00A84F39">
        <w:rPr>
          <w:rFonts w:eastAsia="Times New Roman"/>
          <w:lang w:val="hu-HU"/>
        </w:rPr>
        <w:t xml:space="preserve"> </w:t>
      </w:r>
      <w:r w:rsidR="00A84F39" w:rsidRPr="00A84F39">
        <w:rPr>
          <w:rFonts w:eastAsia="Times New Roman"/>
          <w:lang w:val="hu-HU"/>
        </w:rPr>
        <w:t>A fenntartó adaghoz Yuflyma 40 mg oldatos injekció előretöltött fecskendőben és/vagy előretöltött injekciós tollban kapható.</w:t>
      </w:r>
    </w:p>
    <w:p w14:paraId="332D9A4D" w14:textId="77777777" w:rsidR="00C770CB" w:rsidRDefault="00C770CB" w:rsidP="00C770CB">
      <w:pPr>
        <w:spacing w:line="240" w:lineRule="exact"/>
        <w:rPr>
          <w:rFonts w:ascii="Times New Roman" w:hAnsi="Times New Roman" w:cs="Times New Roman"/>
          <w:lang w:val="hu-HU"/>
        </w:rPr>
      </w:pPr>
    </w:p>
    <w:p w14:paraId="7785591B" w14:textId="77777777" w:rsidR="00C770CB" w:rsidRDefault="00C770CB" w:rsidP="00C770CB">
      <w:pPr>
        <w:pStyle w:val="a3"/>
        <w:rPr>
          <w:lang w:val="hu-HU"/>
        </w:rPr>
      </w:pPr>
      <w:r>
        <w:rPr>
          <w:rFonts w:eastAsia="Times New Roman"/>
          <w:lang w:val="hu-HU"/>
        </w:rPr>
        <w:t>A 16 hétnél hosszabb ideig tartó kezeléseket gondosan újra értékelni olyan betegek esetében, akik ezen időszak alatt nem reagáltak a terápiára.</w:t>
      </w:r>
    </w:p>
    <w:p w14:paraId="51B8588B" w14:textId="77777777" w:rsidR="00C770CB" w:rsidRDefault="00C770CB" w:rsidP="00C770CB">
      <w:pPr>
        <w:spacing w:line="240" w:lineRule="exact"/>
        <w:rPr>
          <w:rFonts w:ascii="Times New Roman" w:hAnsi="Times New Roman" w:cs="Times New Roman"/>
          <w:lang w:val="hu-HU"/>
        </w:rPr>
      </w:pPr>
    </w:p>
    <w:p w14:paraId="2829B087" w14:textId="77777777" w:rsidR="00C770CB" w:rsidRDefault="00C770CB" w:rsidP="00C770CB">
      <w:pPr>
        <w:pStyle w:val="a3"/>
        <w:rPr>
          <w:lang w:val="hu-HU"/>
        </w:rPr>
      </w:pPr>
      <w:r>
        <w:rPr>
          <w:rFonts w:eastAsia="Times New Roman"/>
          <w:lang w:val="hu-HU"/>
        </w:rPr>
        <w:t>A 16. hét után azoknál a betegeknél, akik nem megfelelően reagáltak a a kéthetente adott 40 mg Yuflyma-kezelésre, előnyös lehet a dózis növelése hetente 40 mg-ra vagy kéthetente 80 mg-ra. Alaposan mérlegelni kell a heti 40 mg vagy kéthetente 80 mg adagolásának előnyeit és kockázatait az olyan betegeknél, akik nem megfelelően reagáltak az adag növelése után (lásd 5.1 pont). Ha a hetente 40 mg vagy kéthetente 80 mg adagolással elérték a megfelelő választ, a dózis ezután kéthetente 40 mg-ra csökkenthető.</w:t>
      </w:r>
    </w:p>
    <w:p w14:paraId="6265F153" w14:textId="77777777" w:rsidR="00C770CB" w:rsidRDefault="00C770CB" w:rsidP="00C770CB">
      <w:pPr>
        <w:pStyle w:val="a3"/>
        <w:rPr>
          <w:lang w:val="hu-HU"/>
        </w:rPr>
      </w:pPr>
    </w:p>
    <w:p w14:paraId="7BE7E586" w14:textId="77777777" w:rsidR="00C770CB" w:rsidRDefault="00C770CB" w:rsidP="00C770CB">
      <w:pPr>
        <w:rPr>
          <w:rFonts w:ascii="Times New Roman" w:eastAsia="Times New Roman" w:hAnsi="Times New Roman" w:cs="Times New Roman"/>
          <w:lang w:val="hu-HU"/>
        </w:rPr>
      </w:pPr>
      <w:r>
        <w:rPr>
          <w:rFonts w:ascii="Times New Roman" w:eastAsia="Times New Roman" w:hAnsi="Times New Roman" w:cs="Times New Roman"/>
          <w:i/>
          <w:iCs/>
          <w:spacing w:val="-1"/>
          <w:lang w:val="hu-HU"/>
        </w:rPr>
        <w:t>Hidradenitis suppurativa</w:t>
      </w:r>
    </w:p>
    <w:p w14:paraId="0A5D46DC" w14:textId="77777777" w:rsidR="00C770CB" w:rsidRDefault="00C770CB" w:rsidP="00C770CB">
      <w:pPr>
        <w:spacing w:line="240" w:lineRule="exact"/>
        <w:rPr>
          <w:rFonts w:ascii="Times New Roman" w:hAnsi="Times New Roman" w:cs="Times New Roman"/>
          <w:lang w:val="hu-HU"/>
        </w:rPr>
      </w:pPr>
    </w:p>
    <w:p w14:paraId="37741F18" w14:textId="46096EBC" w:rsidR="00C770CB" w:rsidRDefault="00C770CB" w:rsidP="00C770CB">
      <w:pPr>
        <w:pStyle w:val="a3"/>
        <w:rPr>
          <w:lang w:val="hu-HU"/>
        </w:rPr>
      </w:pPr>
      <w:r>
        <w:rPr>
          <w:rFonts w:eastAsia="Times New Roman"/>
          <w:lang w:val="hu-HU"/>
        </w:rPr>
        <w:t xml:space="preserve">A Yuflyma javasolt adagja hidradenitis suppurativa-ban (HS) szenvedő felnőttek indukciós kezelésére az </w:t>
      </w:r>
      <w:r>
        <w:rPr>
          <w:lang w:val="hu-HU"/>
        </w:rPr>
        <w:t>első</w:t>
      </w:r>
      <w:r w:rsidRPr="00E669A2">
        <w:rPr>
          <w:lang w:val="hu-HU"/>
        </w:rPr>
        <w:t xml:space="preserve"> napon 160 mg (</w:t>
      </w:r>
      <w:r w:rsidR="00A84F39" w:rsidRPr="00A84F39">
        <w:rPr>
          <w:lang w:val="hu-HU"/>
        </w:rPr>
        <w:t>két 80 mg-os injekció</w:t>
      </w:r>
      <w:r w:rsidR="00A84F39">
        <w:rPr>
          <w:lang w:val="hu-HU"/>
        </w:rPr>
        <w:t xml:space="preserve"> </w:t>
      </w:r>
      <w:r w:rsidRPr="00E669A2">
        <w:rPr>
          <w:lang w:val="hu-HU"/>
        </w:rPr>
        <w:t xml:space="preserve">egy nap alatt, vagy </w:t>
      </w:r>
      <w:r w:rsidR="00A84F39" w:rsidRPr="00A84F39">
        <w:rPr>
          <w:lang w:val="hu-HU"/>
        </w:rPr>
        <w:t>egy 80 mg-os injekció</w:t>
      </w:r>
      <w:r w:rsidR="00A84F39">
        <w:rPr>
          <w:lang w:val="hu-HU"/>
        </w:rPr>
        <w:t xml:space="preserve"> </w:t>
      </w:r>
      <w:r w:rsidRPr="00E669A2">
        <w:rPr>
          <w:lang w:val="hu-HU"/>
        </w:rPr>
        <w:t>naponta, két</w:t>
      </w:r>
      <w:r>
        <w:rPr>
          <w:lang w:val="hu-HU"/>
        </w:rPr>
        <w:t xml:space="preserve"> </w:t>
      </w:r>
      <w:r w:rsidRPr="00DA48CC">
        <w:rPr>
          <w:rFonts w:eastAsia="TimesNewRomanPSMT"/>
          <w:lang w:val="hu-HU"/>
        </w:rPr>
        <w:t>egymást követő napon), majd 80 mg két héttel később, a 15 napon. Két héttel később (29. nap) az adagolást hetente egyszer adott 40 mg vagy minden</w:t>
      </w:r>
      <w:r>
        <w:rPr>
          <w:rFonts w:eastAsia="TimesNewRomanPSMT"/>
          <w:lang w:val="hu-HU"/>
        </w:rPr>
        <w:t xml:space="preserve"> </w:t>
      </w:r>
      <w:r w:rsidRPr="00E669A2">
        <w:rPr>
          <w:lang w:val="hu-HU"/>
        </w:rPr>
        <w:t>második héten adott 80 mg adásával kell folytatni</w:t>
      </w:r>
      <w:r w:rsidRPr="00E669A2">
        <w:rPr>
          <w:rFonts w:eastAsia="Times New Roman"/>
          <w:lang w:val="hu-HU"/>
        </w:rPr>
        <w:t>. Antibiotikum adása folytatható a Yuflyma kezelés alatt</w:t>
      </w:r>
      <w:r>
        <w:rPr>
          <w:rFonts w:eastAsia="Times New Roman"/>
          <w:lang w:val="hu-HU"/>
        </w:rPr>
        <w:t xml:space="preserve"> szükség esetén. A</w:t>
      </w:r>
      <w:r w:rsidRPr="00E669A2">
        <w:rPr>
          <w:rFonts w:eastAsia="Times New Roman"/>
          <w:lang w:val="hu-HU"/>
        </w:rPr>
        <w:t xml:space="preserve"> </w:t>
      </w:r>
      <w:r>
        <w:rPr>
          <w:rFonts w:eastAsia="Times New Roman"/>
          <w:lang w:val="hu-HU"/>
        </w:rPr>
        <w:t xml:space="preserve">Yuflyma kezelés alatt </w:t>
      </w:r>
      <w:r w:rsidRPr="00DA48CC">
        <w:rPr>
          <w:rFonts w:eastAsia="TimesNewRomanPSMT"/>
          <w:lang w:val="hu-HU"/>
        </w:rPr>
        <w:t>javasolt a HS-es bőrelváltozások lokális antiszeptikus mosakodóval történő napi szintű</w:t>
      </w:r>
      <w:r>
        <w:rPr>
          <w:rFonts w:eastAsia="TimesNewRomanPSMT"/>
          <w:lang w:val="hu-HU"/>
        </w:rPr>
        <w:t xml:space="preserve"> </w:t>
      </w:r>
      <w:r w:rsidRPr="00E669A2">
        <w:rPr>
          <w:rFonts w:eastAsia="TimesNewRomanPSMT"/>
          <w:lang w:val="hu-HU"/>
        </w:rPr>
        <w:t>kezelése</w:t>
      </w:r>
      <w:r>
        <w:rPr>
          <w:rFonts w:eastAsia="TimesNewRomanPSMT"/>
          <w:lang w:val="hu-HU"/>
        </w:rPr>
        <w:t>.</w:t>
      </w:r>
    </w:p>
    <w:p w14:paraId="7CD9A5E5" w14:textId="77777777" w:rsidR="00C770CB" w:rsidRDefault="00C770CB" w:rsidP="00C770CB">
      <w:pPr>
        <w:spacing w:line="240" w:lineRule="exact"/>
        <w:rPr>
          <w:rFonts w:ascii="Times New Roman" w:hAnsi="Times New Roman" w:cs="Times New Roman"/>
          <w:lang w:val="hu-HU"/>
        </w:rPr>
      </w:pPr>
    </w:p>
    <w:p w14:paraId="44BE3BA6" w14:textId="77777777" w:rsidR="00C770CB" w:rsidRDefault="00C770CB" w:rsidP="00C770CB">
      <w:pPr>
        <w:spacing w:line="240" w:lineRule="exact"/>
        <w:rPr>
          <w:rFonts w:ascii="Times New Roman" w:hAnsi="Times New Roman" w:cs="Times New Roman"/>
          <w:lang w:val="hu-HU"/>
        </w:rPr>
      </w:pPr>
      <w:r w:rsidRPr="00DA48CC">
        <w:rPr>
          <w:rFonts w:ascii="Times New Roman" w:eastAsia="TimesNewRomanPSMT" w:hAnsi="Times New Roman" w:cs="Times New Roman"/>
          <w:lang w:val="hu-HU"/>
        </w:rPr>
        <w:t>12 héten túli kezelést alaposan meg kell fontolni azoknál a betegeknél, akiknél ezen időszak</w:t>
      </w:r>
      <w:r>
        <w:rPr>
          <w:rFonts w:eastAsia="TimesNewRomanPSMT"/>
          <w:lang w:val="hu-HU"/>
        </w:rPr>
        <w:t xml:space="preserve"> </w:t>
      </w:r>
      <w:r w:rsidRPr="00DA48CC">
        <w:rPr>
          <w:rFonts w:ascii="Times New Roman" w:eastAsia="TimesNewRomanPSMT" w:hAnsi="Times New Roman" w:cs="Times New Roman"/>
          <w:lang w:val="hu-HU"/>
        </w:rPr>
        <w:t>alatt nem észlelhető javulás</w:t>
      </w:r>
      <w:r>
        <w:rPr>
          <w:rFonts w:eastAsia="Times New Roman"/>
          <w:lang w:val="hu-HU"/>
        </w:rPr>
        <w:t>.</w:t>
      </w:r>
    </w:p>
    <w:p w14:paraId="51033A14" w14:textId="77777777" w:rsidR="00C770CB" w:rsidRDefault="00C770CB" w:rsidP="00C770CB">
      <w:pPr>
        <w:pStyle w:val="a3"/>
        <w:rPr>
          <w:lang w:val="hu-HU"/>
        </w:rPr>
      </w:pPr>
      <w:r>
        <w:rPr>
          <w:rFonts w:eastAsia="Times New Roman"/>
          <w:lang w:val="hu-HU"/>
        </w:rPr>
        <w:t>Amennyiben a kezelést meg kell szakítani, hetente 40 mg vagy kéthetente 80 mg Yuflyma adásával újrakezdhető (lásd 5.1 pont).</w:t>
      </w:r>
    </w:p>
    <w:p w14:paraId="03D7E4E4" w14:textId="77777777" w:rsidR="00C770CB" w:rsidRDefault="00C770CB" w:rsidP="00C770CB">
      <w:pPr>
        <w:pStyle w:val="a3"/>
        <w:rPr>
          <w:lang w:val="hu-HU"/>
        </w:rPr>
      </w:pPr>
    </w:p>
    <w:p w14:paraId="0C74A738" w14:textId="77777777" w:rsidR="00C770CB" w:rsidRDefault="00C770CB" w:rsidP="00C770CB">
      <w:pPr>
        <w:pStyle w:val="a3"/>
        <w:rPr>
          <w:lang w:val="hu-HU"/>
        </w:rPr>
      </w:pPr>
      <w:r>
        <w:rPr>
          <w:rFonts w:eastAsia="Times New Roman"/>
          <w:lang w:val="hu-HU"/>
        </w:rPr>
        <w:t>A hosszú távú kezelés előnyeit és kockázatát időszakosan mérlegelni kell (lásd 5.1 pont).</w:t>
      </w:r>
    </w:p>
    <w:p w14:paraId="723FBF25" w14:textId="77777777" w:rsidR="00C770CB" w:rsidRDefault="00C770CB" w:rsidP="00C770CB">
      <w:pPr>
        <w:rPr>
          <w:rFonts w:ascii="Times New Roman" w:eastAsia="Times New Roman" w:hAnsi="Times New Roman" w:cs="Times New Roman"/>
          <w:i/>
          <w:spacing w:val="-1"/>
          <w:lang w:val="hu-HU"/>
        </w:rPr>
      </w:pPr>
    </w:p>
    <w:p w14:paraId="1294EA4D" w14:textId="77777777" w:rsidR="00C770CB" w:rsidRDefault="00C770CB" w:rsidP="00C770CB">
      <w:pPr>
        <w:rPr>
          <w:rFonts w:ascii="Times New Roman" w:eastAsia="Times New Roman" w:hAnsi="Times New Roman" w:cs="Times New Roman"/>
          <w:lang w:val="hu-HU"/>
        </w:rPr>
      </w:pPr>
      <w:r>
        <w:rPr>
          <w:rFonts w:ascii="Times New Roman" w:eastAsia="Times New Roman" w:hAnsi="Times New Roman" w:cs="Times New Roman"/>
          <w:i/>
          <w:iCs/>
          <w:spacing w:val="-1"/>
          <w:lang w:val="hu-HU"/>
        </w:rPr>
        <w:t>Crohn-betegség</w:t>
      </w:r>
    </w:p>
    <w:p w14:paraId="75ED4930" w14:textId="77777777" w:rsidR="00C770CB" w:rsidRDefault="00C770CB" w:rsidP="00C770CB">
      <w:pPr>
        <w:spacing w:line="240" w:lineRule="exact"/>
        <w:rPr>
          <w:rFonts w:ascii="Times New Roman" w:hAnsi="Times New Roman" w:cs="Times New Roman"/>
          <w:lang w:val="hu-HU"/>
        </w:rPr>
      </w:pPr>
    </w:p>
    <w:p w14:paraId="2B1D9FA3" w14:textId="0297388A" w:rsidR="00C770CB" w:rsidRDefault="00C770CB" w:rsidP="00C770CB">
      <w:pPr>
        <w:pStyle w:val="a3"/>
        <w:rPr>
          <w:lang w:val="hu-HU"/>
        </w:rPr>
      </w:pPr>
      <w:r>
        <w:rPr>
          <w:rFonts w:eastAsia="Times New Roman"/>
          <w:lang w:val="hu-HU"/>
        </w:rPr>
        <w:t>A közepesen súlyos–súlyos aktív Crohn-betegségben szenvedő felnőtt betegek esetében a javasolt Yuflyma indukciós adagolási rend 80 mg a 0. héten, amelyet a 2. héten 40 mg követ. Abban az esetben, ha a kezelésre gyorsabb válaszra van szükség, a 0. héten alkalmazott 160 mg-os adagolási rend (</w:t>
      </w:r>
      <w:r w:rsidR="00A84F39" w:rsidRPr="00A84F39">
        <w:rPr>
          <w:rFonts w:eastAsia="Times New Roman"/>
          <w:lang w:val="hu-HU"/>
        </w:rPr>
        <w:t>két 80 mg-os injekció</w:t>
      </w:r>
      <w:r w:rsidR="00A84F39">
        <w:rPr>
          <w:rFonts w:eastAsia="Times New Roman"/>
          <w:lang w:val="hu-HU"/>
        </w:rPr>
        <w:t xml:space="preserve"> </w:t>
      </w:r>
      <w:r>
        <w:rPr>
          <w:rFonts w:eastAsia="Times New Roman"/>
          <w:lang w:val="hu-HU"/>
        </w:rPr>
        <w:t xml:space="preserve">formájában egy nap alatt vagy </w:t>
      </w:r>
      <w:r w:rsidR="004365FC" w:rsidRPr="004365FC">
        <w:rPr>
          <w:rFonts w:eastAsia="Times New Roman"/>
          <w:lang w:val="hu-HU"/>
        </w:rPr>
        <w:t>egy 80 mg-os injekció</w:t>
      </w:r>
      <w:r w:rsidR="004365FC">
        <w:rPr>
          <w:rFonts w:eastAsia="Times New Roman"/>
          <w:lang w:val="hu-HU"/>
        </w:rPr>
        <w:t xml:space="preserve"> </w:t>
      </w:r>
      <w:r>
        <w:rPr>
          <w:rFonts w:eastAsia="Times New Roman"/>
          <w:lang w:val="hu-HU"/>
        </w:rPr>
        <w:t>formájában naponta két egymást követő napon), majd a 2. héten alkalmazott 80 mg-os adagolási rend alkalmazható azzal a tudattal, hogy a nemkívánatos hatások kialakulásának kockázata nagyobb az indukció során.</w:t>
      </w:r>
    </w:p>
    <w:p w14:paraId="2A820AF4" w14:textId="77777777" w:rsidR="00C770CB" w:rsidRDefault="00C770CB" w:rsidP="00C770CB">
      <w:pPr>
        <w:spacing w:line="240" w:lineRule="exact"/>
        <w:rPr>
          <w:rFonts w:ascii="Times New Roman" w:hAnsi="Times New Roman" w:cs="Times New Roman"/>
          <w:lang w:val="hu-HU"/>
        </w:rPr>
      </w:pPr>
    </w:p>
    <w:p w14:paraId="59EB0B34" w14:textId="77777777" w:rsidR="00C770CB" w:rsidRDefault="00C770CB" w:rsidP="00C770CB">
      <w:pPr>
        <w:pStyle w:val="a3"/>
        <w:rPr>
          <w:lang w:val="hu-HU"/>
        </w:rPr>
      </w:pPr>
      <w:r>
        <w:rPr>
          <w:rFonts w:eastAsia="Times New Roman"/>
          <w:lang w:val="hu-HU"/>
        </w:rPr>
        <w:t>Az indukciós kezelést követően a javasolt adag 40 mg minden második héten, subcután injekcióban. Ha a betegnél abbahagyták a Yuflyma alkalmazását, és kiújulnak a betegség okozta jelek és tünetek, újrakezdhető a Yuflyma adása. Kevés a tapasztalat a kezelés újrakezdésével, ha az előző dózis beadása után 8 hétnél hosszabb idő telt el.</w:t>
      </w:r>
    </w:p>
    <w:p w14:paraId="2919BE8E" w14:textId="77777777" w:rsidR="00C770CB" w:rsidRDefault="00C770CB" w:rsidP="00C770CB">
      <w:pPr>
        <w:spacing w:line="240" w:lineRule="exact"/>
        <w:rPr>
          <w:rFonts w:ascii="Times New Roman" w:hAnsi="Times New Roman" w:cs="Times New Roman"/>
          <w:lang w:val="hu-HU"/>
        </w:rPr>
      </w:pPr>
    </w:p>
    <w:p w14:paraId="5BB0204E" w14:textId="77777777" w:rsidR="00C770CB" w:rsidRPr="001F7351" w:rsidRDefault="00C770CB" w:rsidP="00C770CB">
      <w:pPr>
        <w:rPr>
          <w:rFonts w:ascii="Times New Roman" w:eastAsia="TimesNewRomanPSMT" w:hAnsi="Times New Roman" w:cs="Times New Roman"/>
          <w:lang w:val="hu-HU"/>
        </w:rPr>
      </w:pPr>
      <w:r w:rsidRPr="009167C6">
        <w:rPr>
          <w:rFonts w:ascii="Times New Roman" w:eastAsia="Times New Roman" w:hAnsi="Times New Roman" w:cs="Times New Roman"/>
          <w:lang w:val="hu-HU"/>
        </w:rPr>
        <w:t xml:space="preserve">A fenntartó kezelés során a kortikoszteroidokat a klinikai </w:t>
      </w:r>
      <w:r w:rsidRPr="006C3BEF">
        <w:rPr>
          <w:rFonts w:ascii="Times New Roman" w:eastAsia="TimesNewRomanPSMT" w:hAnsi="Times New Roman" w:cs="Times New Roman"/>
          <w:lang w:val="hu-HU"/>
        </w:rPr>
        <w:t>gyakorlati</w:t>
      </w:r>
      <w:r w:rsidRPr="009167C6">
        <w:rPr>
          <w:rFonts w:ascii="Times New Roman" w:eastAsia="Times New Roman" w:hAnsi="Times New Roman" w:cs="Times New Roman"/>
          <w:lang w:val="hu-HU"/>
        </w:rPr>
        <w:t xml:space="preserve"> irányelveknek </w:t>
      </w:r>
      <w:r w:rsidRPr="006C3BEF">
        <w:rPr>
          <w:rFonts w:ascii="Times New Roman" w:eastAsia="TimesNewRomanPSMT" w:hAnsi="Times New Roman" w:cs="Times New Roman"/>
          <w:lang w:val="hu-HU"/>
        </w:rPr>
        <w:t>megfelelő módon leépíthetők.</w:t>
      </w:r>
    </w:p>
    <w:p w14:paraId="0ED43E8F" w14:textId="77777777" w:rsidR="00C770CB" w:rsidRDefault="00C770CB" w:rsidP="00C770CB">
      <w:pPr>
        <w:pStyle w:val="a3"/>
        <w:rPr>
          <w:lang w:val="hu-HU"/>
        </w:rPr>
      </w:pPr>
      <w:r>
        <w:rPr>
          <w:rFonts w:eastAsia="Times New Roman"/>
          <w:lang w:val="hu-HU"/>
        </w:rPr>
        <w:t>Olyan betegek esetében, akiknél hatáscsökkenés mutatkozik a minden második héten alkalmazott 40 mg Yuflyma-kezelés mellett, jó eredmény érhető el a dózis hetenkénti 40 mg vagy kéthetente 80 mg Yuflyma-ra való emelésével.</w:t>
      </w:r>
    </w:p>
    <w:p w14:paraId="7F70AED7" w14:textId="77777777" w:rsidR="00C770CB" w:rsidRDefault="00C770CB" w:rsidP="00C770CB">
      <w:pPr>
        <w:spacing w:line="240" w:lineRule="exact"/>
        <w:rPr>
          <w:rFonts w:ascii="Times New Roman" w:hAnsi="Times New Roman" w:cs="Times New Roman"/>
          <w:lang w:val="hu-HU"/>
        </w:rPr>
      </w:pPr>
    </w:p>
    <w:p w14:paraId="20F06578" w14:textId="77777777" w:rsidR="00C770CB" w:rsidRDefault="00C770CB" w:rsidP="00C770CB">
      <w:pPr>
        <w:pStyle w:val="a3"/>
        <w:rPr>
          <w:lang w:val="hu-HU"/>
        </w:rPr>
      </w:pPr>
      <w:r>
        <w:rPr>
          <w:rFonts w:eastAsia="Times New Roman"/>
          <w:lang w:val="hu-HU"/>
        </w:rPr>
        <w:t>Azoknál a betegeknél, akiknél a kezelés 4. hetéig nem jelentkezik terápiás hatás, előnyös lehet a fenntartó kezelés folytatása a 12 héten át. A kezelés folytatását felül kell vizsgálni azoknál a betegeknél,akik ezen időszak alatt sem reagáltak a kezelésre.</w:t>
      </w:r>
    </w:p>
    <w:p w14:paraId="41716DB5" w14:textId="77777777" w:rsidR="00C770CB" w:rsidRDefault="00C770CB" w:rsidP="00C770CB">
      <w:pPr>
        <w:rPr>
          <w:rFonts w:ascii="Times New Roman" w:hAnsi="Times New Roman" w:cs="Times New Roman"/>
          <w:lang w:val="hu-HU"/>
        </w:rPr>
      </w:pPr>
    </w:p>
    <w:p w14:paraId="378A8CAD" w14:textId="77777777" w:rsidR="00C770CB" w:rsidRDefault="00C770CB" w:rsidP="00C770CB">
      <w:pPr>
        <w:rPr>
          <w:rFonts w:ascii="Times New Roman" w:eastAsia="Times New Roman" w:hAnsi="Times New Roman" w:cs="Times New Roman"/>
          <w:lang w:val="hu-HU"/>
        </w:rPr>
      </w:pPr>
      <w:r>
        <w:rPr>
          <w:rFonts w:ascii="Times New Roman" w:eastAsia="Times New Roman" w:hAnsi="Times New Roman" w:cs="Times New Roman"/>
          <w:i/>
          <w:iCs/>
          <w:spacing w:val="-1"/>
          <w:lang w:val="hu-HU"/>
        </w:rPr>
        <w:t>Colitis ulcerosa</w:t>
      </w:r>
    </w:p>
    <w:p w14:paraId="59438D1B" w14:textId="77777777" w:rsidR="00C770CB" w:rsidRDefault="00C770CB" w:rsidP="00C770CB">
      <w:pPr>
        <w:spacing w:line="240" w:lineRule="exact"/>
        <w:rPr>
          <w:rFonts w:ascii="Times New Roman" w:hAnsi="Times New Roman" w:cs="Times New Roman"/>
          <w:lang w:val="hu-HU"/>
        </w:rPr>
      </w:pPr>
    </w:p>
    <w:p w14:paraId="0F8930DC" w14:textId="1D6ABAC7" w:rsidR="00C770CB" w:rsidRDefault="00C770CB" w:rsidP="00C770CB">
      <w:pPr>
        <w:pStyle w:val="a3"/>
        <w:rPr>
          <w:lang w:val="hu-HU"/>
        </w:rPr>
      </w:pPr>
      <w:r>
        <w:rPr>
          <w:rFonts w:eastAsia="Times New Roman"/>
          <w:lang w:val="hu-HU"/>
        </w:rPr>
        <w:t>A javasolt Yuflyma</w:t>
      </w:r>
      <w:r w:rsidRPr="00FA734A">
        <w:rPr>
          <w:rFonts w:eastAsia="Times New Roman"/>
          <w:lang w:val="hu-HU"/>
        </w:rPr>
        <w:t xml:space="preserve"> </w:t>
      </w:r>
      <w:r>
        <w:rPr>
          <w:rFonts w:eastAsia="Times New Roman"/>
          <w:lang w:val="hu-HU"/>
        </w:rPr>
        <w:t>javasolt indukciós dózisa közepesen súlyos–</w:t>
      </w:r>
      <w:r w:rsidRPr="009167C6">
        <w:rPr>
          <w:lang w:val="hu-HU"/>
        </w:rPr>
        <w:t> </w:t>
      </w:r>
      <w:r>
        <w:rPr>
          <w:rFonts w:eastAsia="Times New Roman"/>
          <w:lang w:val="hu-HU"/>
        </w:rPr>
        <w:t xml:space="preserve"> súlyos fekélyes vastagbélgyulladásban szenvedő felnőtt betegeknél 160 mg a 0. héten (</w:t>
      </w:r>
      <w:r w:rsidR="004365FC" w:rsidRPr="004365FC">
        <w:rPr>
          <w:rFonts w:eastAsia="Times New Roman"/>
          <w:lang w:val="hu-HU"/>
        </w:rPr>
        <w:t>két 80 mg-os injekció</w:t>
      </w:r>
      <w:r w:rsidR="004365FC">
        <w:rPr>
          <w:rFonts w:eastAsia="Times New Roman"/>
          <w:lang w:val="hu-HU"/>
        </w:rPr>
        <w:t xml:space="preserve"> </w:t>
      </w:r>
      <w:r>
        <w:rPr>
          <w:rFonts w:eastAsia="Times New Roman"/>
          <w:lang w:val="hu-HU"/>
        </w:rPr>
        <w:t xml:space="preserve">formájában, egy nap alatt vagy </w:t>
      </w:r>
      <w:r w:rsidR="004365FC" w:rsidRPr="004365FC">
        <w:rPr>
          <w:rFonts w:eastAsia="Times New Roman"/>
          <w:lang w:val="hu-HU"/>
        </w:rPr>
        <w:t>egy 80 mg-os injekció</w:t>
      </w:r>
      <w:r>
        <w:rPr>
          <w:rFonts w:eastAsia="Times New Roman"/>
          <w:lang w:val="hu-HU"/>
        </w:rPr>
        <w:t xml:space="preserve"> formájában, két egymást követő napon) és 80 mg a 2. héten</w:t>
      </w:r>
      <w:r w:rsidR="004365FC">
        <w:rPr>
          <w:rFonts w:eastAsia="Times New Roman"/>
          <w:lang w:val="hu-HU"/>
        </w:rPr>
        <w:t xml:space="preserve">. </w:t>
      </w:r>
      <w:r>
        <w:rPr>
          <w:rFonts w:eastAsia="Times New Roman"/>
          <w:lang w:val="hu-HU"/>
        </w:rPr>
        <w:t>Az indukciós kezelést követően a javasolt adag 40 mg minden második héten, subcután injekcióban.</w:t>
      </w:r>
    </w:p>
    <w:p w14:paraId="1D24188E" w14:textId="77777777" w:rsidR="00C770CB" w:rsidRDefault="00C770CB" w:rsidP="00C770CB">
      <w:pPr>
        <w:spacing w:line="240" w:lineRule="exact"/>
        <w:rPr>
          <w:rFonts w:ascii="Times New Roman" w:hAnsi="Times New Roman" w:cs="Times New Roman"/>
          <w:lang w:val="hu-HU"/>
        </w:rPr>
      </w:pPr>
    </w:p>
    <w:p w14:paraId="0CCEAEA5" w14:textId="77777777" w:rsidR="00C770CB" w:rsidRDefault="00C770CB" w:rsidP="00C770CB">
      <w:pPr>
        <w:pStyle w:val="a3"/>
        <w:rPr>
          <w:lang w:val="hu-HU"/>
        </w:rPr>
      </w:pPr>
      <w:r>
        <w:rPr>
          <w:rFonts w:eastAsia="Times New Roman"/>
          <w:lang w:val="hu-HU"/>
        </w:rPr>
        <w:t>A fenntartó kezelés során a kortikoszteroidokat a klinikai gyakorlati irányelveknek megfelelő módon leépíthetők.</w:t>
      </w:r>
    </w:p>
    <w:p w14:paraId="700EA61D" w14:textId="77777777" w:rsidR="00C770CB" w:rsidRDefault="00C770CB" w:rsidP="00C770CB">
      <w:pPr>
        <w:pStyle w:val="a3"/>
        <w:rPr>
          <w:lang w:val="hu-HU"/>
        </w:rPr>
      </w:pPr>
    </w:p>
    <w:p w14:paraId="7D078CE2" w14:textId="77777777" w:rsidR="00C770CB" w:rsidRDefault="00C770CB" w:rsidP="00C770CB">
      <w:pPr>
        <w:pStyle w:val="a3"/>
        <w:rPr>
          <w:lang w:val="hu-HU"/>
        </w:rPr>
      </w:pPr>
      <w:r>
        <w:rPr>
          <w:rFonts w:eastAsia="Times New Roman"/>
          <w:spacing w:val="-2"/>
          <w:lang w:val="hu-HU"/>
        </w:rPr>
        <w:t>Olyan betegek esetében, akiknél hatáscsökkenés mutatkozik a minden második héten alkalmazott 40 mg Yuflyma-kezelés mellett, jó eredmény érhető el a dózis hetenkénti 40 mg vagy kéthetente 80 mg Yuflyma-ra való emelésével.</w:t>
      </w:r>
    </w:p>
    <w:p w14:paraId="25B4BF1A" w14:textId="77777777" w:rsidR="00C770CB" w:rsidRDefault="00C770CB" w:rsidP="00C770CB">
      <w:pPr>
        <w:spacing w:line="240" w:lineRule="exact"/>
        <w:rPr>
          <w:rFonts w:ascii="Times New Roman" w:hAnsi="Times New Roman" w:cs="Times New Roman"/>
          <w:lang w:val="hu-HU"/>
        </w:rPr>
      </w:pPr>
    </w:p>
    <w:p w14:paraId="22140BCF" w14:textId="77777777" w:rsidR="00C770CB" w:rsidRDefault="00C770CB" w:rsidP="00C770CB">
      <w:pPr>
        <w:pStyle w:val="a3"/>
        <w:rPr>
          <w:lang w:val="hu-HU"/>
        </w:rPr>
      </w:pPr>
      <w:r>
        <w:rPr>
          <w:rFonts w:eastAsia="Times New Roman"/>
          <w:lang w:val="hu-HU"/>
        </w:rPr>
        <w:t xml:space="preserve">A rendelkezésre álló adatok alapján a kezelésre adott klinikai választ általában 2 - 8 héten belül kialakúl. Azoknál a betegeknél, akik nem reagálnak ennyi idő alatt a terápiára, a </w:t>
      </w:r>
      <w:r>
        <w:rPr>
          <w:rFonts w:eastAsia="Times New Roman"/>
          <w:spacing w:val="-2"/>
          <w:lang w:val="hu-HU"/>
        </w:rPr>
        <w:t>Yuflyma</w:t>
      </w:r>
      <w:r>
        <w:rPr>
          <w:rFonts w:eastAsia="Times New Roman"/>
          <w:lang w:val="hu-HU"/>
        </w:rPr>
        <w:t>-kezelés folytatása nem javasolt.</w:t>
      </w:r>
    </w:p>
    <w:p w14:paraId="7615C2FC" w14:textId="77777777" w:rsidR="00C770CB" w:rsidRDefault="00C770CB" w:rsidP="00C770CB">
      <w:pPr>
        <w:rPr>
          <w:rFonts w:ascii="Times New Roman" w:eastAsia="Times New Roman" w:hAnsi="Times New Roman" w:cs="Times New Roman"/>
          <w:i/>
          <w:lang w:val="hu-HU"/>
        </w:rPr>
      </w:pPr>
    </w:p>
    <w:p w14:paraId="3BE645FE" w14:textId="77777777" w:rsidR="00C770CB" w:rsidRDefault="00C770CB" w:rsidP="00C770CB">
      <w:pPr>
        <w:rPr>
          <w:rFonts w:ascii="Times New Roman" w:eastAsia="Times New Roman" w:hAnsi="Times New Roman" w:cs="Times New Roman"/>
          <w:lang w:val="hu-HU"/>
        </w:rPr>
      </w:pPr>
      <w:r>
        <w:rPr>
          <w:rFonts w:ascii="Times New Roman" w:eastAsia="Times New Roman" w:hAnsi="Times New Roman" w:cs="Times New Roman"/>
          <w:i/>
          <w:iCs/>
          <w:lang w:val="hu-HU"/>
        </w:rPr>
        <w:t>Uveitis</w:t>
      </w:r>
    </w:p>
    <w:p w14:paraId="0C17F246" w14:textId="77777777" w:rsidR="00C770CB" w:rsidRDefault="00C770CB" w:rsidP="00C770CB">
      <w:pPr>
        <w:spacing w:line="240" w:lineRule="exact"/>
        <w:rPr>
          <w:rFonts w:ascii="Times New Roman" w:hAnsi="Times New Roman" w:cs="Times New Roman"/>
          <w:lang w:val="hu-HU"/>
        </w:rPr>
      </w:pPr>
    </w:p>
    <w:p w14:paraId="0DB62879" w14:textId="77777777" w:rsidR="00C770CB" w:rsidRDefault="00C770CB" w:rsidP="00C770CB">
      <w:pPr>
        <w:pStyle w:val="a3"/>
        <w:rPr>
          <w:lang w:val="hu-HU"/>
        </w:rPr>
      </w:pPr>
      <w:r>
        <w:rPr>
          <w:rFonts w:eastAsia="Times New Roman"/>
          <w:lang w:val="hu-HU"/>
        </w:rPr>
        <w:t xml:space="preserve">A Yuflyma </w:t>
      </w:r>
      <w:r w:rsidRPr="00DA48CC">
        <w:rPr>
          <w:rFonts w:eastAsia="TimesNewRomanPSMT"/>
          <w:lang w:val="hu-HU"/>
        </w:rPr>
        <w:t>javasolt dózisa</w:t>
      </w:r>
      <w:r w:rsidDel="00945BB5">
        <w:rPr>
          <w:rFonts w:eastAsia="Times New Roman"/>
          <w:lang w:val="hu-HU"/>
        </w:rPr>
        <w:t xml:space="preserve"> </w:t>
      </w:r>
      <w:r>
        <w:rPr>
          <w:rFonts w:eastAsia="Times New Roman"/>
          <w:lang w:val="hu-HU"/>
        </w:rPr>
        <w:t>felnőtt betegek részére kezdő dózisként 80 mg, amelyet a kezdődózis beadásától számított egy hét múlva minden második héten 40 mg követ. Korlátozott tapasztalat áll rendelkezésre az adalimumab-kezelés monoterápiában történő megkezdésével kapcsolatban. A Yuflyma-val való kezelés megkezdhető kortikoszteroiddal és/vagy egyéb, nem biológiai immunmodulátor szerrel kombinációban.. Az együttadott kortikoszteroid fokozatos dóziscsökkentését két héttel a Yuflyma-kezelés elkezdése után lehet elkezdeni, a klinikai gyakorlatnak megfelelően.</w:t>
      </w:r>
    </w:p>
    <w:p w14:paraId="203B508C" w14:textId="77777777" w:rsidR="00C770CB" w:rsidRDefault="00C770CB" w:rsidP="00C770CB">
      <w:pPr>
        <w:spacing w:line="240" w:lineRule="exact"/>
        <w:rPr>
          <w:rFonts w:ascii="Times New Roman" w:hAnsi="Times New Roman" w:cs="Times New Roman"/>
          <w:lang w:val="hu-HU"/>
        </w:rPr>
      </w:pPr>
    </w:p>
    <w:p w14:paraId="1E8DD33E" w14:textId="77777777" w:rsidR="00C770CB" w:rsidRDefault="00C770CB" w:rsidP="00C770CB">
      <w:pPr>
        <w:pStyle w:val="a3"/>
        <w:rPr>
          <w:lang w:val="hu-HU"/>
        </w:rPr>
      </w:pPr>
      <w:r>
        <w:rPr>
          <w:lang w:val="hu-HU"/>
        </w:rPr>
        <w:t>A folyamatos hosszú távú kezelés haszon/kockázat értékelését évente el kell végezni (lásd 5.1 pont)</w:t>
      </w:r>
    </w:p>
    <w:p w14:paraId="41EDB6D5" w14:textId="77777777" w:rsidR="00C770CB" w:rsidRDefault="00C770CB" w:rsidP="00C770CB">
      <w:pPr>
        <w:pStyle w:val="a3"/>
        <w:rPr>
          <w:lang w:val="hu-HU"/>
        </w:rPr>
      </w:pPr>
    </w:p>
    <w:p w14:paraId="578BE3E4" w14:textId="77777777" w:rsidR="00C770CB" w:rsidRDefault="00C770CB" w:rsidP="00C770CB">
      <w:pPr>
        <w:pStyle w:val="a3"/>
        <w:rPr>
          <w:u w:val="single"/>
          <w:lang w:val="hu-HU"/>
        </w:rPr>
      </w:pPr>
      <w:r>
        <w:rPr>
          <w:rFonts w:eastAsia="Times New Roman"/>
          <w:u w:val="single" w:color="000000"/>
          <w:lang w:val="hu-HU"/>
        </w:rPr>
        <w:t>Különleges betegcsoportok</w:t>
      </w:r>
    </w:p>
    <w:p w14:paraId="2CB28BDA" w14:textId="77777777" w:rsidR="00C770CB" w:rsidRDefault="00C770CB" w:rsidP="00C770CB">
      <w:pPr>
        <w:spacing w:line="180" w:lineRule="exact"/>
        <w:rPr>
          <w:rFonts w:ascii="Times New Roman" w:hAnsi="Times New Roman" w:cs="Times New Roman"/>
          <w:lang w:val="hu-HU"/>
        </w:rPr>
      </w:pPr>
    </w:p>
    <w:p w14:paraId="58AC04DB" w14:textId="77777777" w:rsidR="00C770CB" w:rsidRDefault="00C770CB" w:rsidP="00C770CB">
      <w:pPr>
        <w:pStyle w:val="a3"/>
        <w:rPr>
          <w:i/>
          <w:lang w:val="hu-HU"/>
        </w:rPr>
      </w:pPr>
      <w:r>
        <w:rPr>
          <w:rFonts w:eastAsia="Times New Roman"/>
          <w:i/>
          <w:iCs/>
          <w:lang w:val="hu-HU"/>
        </w:rPr>
        <w:t>Idősek</w:t>
      </w:r>
    </w:p>
    <w:p w14:paraId="5A433D84" w14:textId="77777777" w:rsidR="00C770CB" w:rsidRDefault="00C770CB" w:rsidP="00C770CB">
      <w:pPr>
        <w:spacing w:line="240" w:lineRule="exact"/>
        <w:rPr>
          <w:rFonts w:ascii="Times New Roman" w:hAnsi="Times New Roman" w:cs="Times New Roman"/>
          <w:lang w:val="hu-HU"/>
        </w:rPr>
      </w:pPr>
    </w:p>
    <w:p w14:paraId="609BE9BC" w14:textId="77777777" w:rsidR="00C770CB" w:rsidRDefault="00C770CB" w:rsidP="00C770CB">
      <w:pPr>
        <w:pStyle w:val="a3"/>
        <w:rPr>
          <w:lang w:val="hu-HU"/>
        </w:rPr>
      </w:pPr>
      <w:r>
        <w:rPr>
          <w:rFonts w:eastAsia="Times New Roman"/>
          <w:lang w:val="hu-HU"/>
        </w:rPr>
        <w:t>Dózismódosítás nem szükséges.</w:t>
      </w:r>
    </w:p>
    <w:p w14:paraId="5862CA01" w14:textId="77777777" w:rsidR="00C770CB" w:rsidRDefault="00C770CB" w:rsidP="00C770CB">
      <w:pPr>
        <w:pStyle w:val="a3"/>
        <w:rPr>
          <w:lang w:val="hu-HU"/>
        </w:rPr>
      </w:pPr>
    </w:p>
    <w:p w14:paraId="60EC7A1A" w14:textId="77777777" w:rsidR="00C770CB" w:rsidRDefault="00C770CB" w:rsidP="00C770CB">
      <w:pPr>
        <w:pStyle w:val="a3"/>
        <w:rPr>
          <w:i/>
          <w:lang w:val="hu-HU"/>
        </w:rPr>
      </w:pPr>
      <w:r>
        <w:rPr>
          <w:rFonts w:eastAsia="Times New Roman"/>
          <w:i/>
          <w:iCs/>
          <w:lang w:val="hu-HU"/>
        </w:rPr>
        <w:t>Vese- és/vagy májkárosodás</w:t>
      </w:r>
    </w:p>
    <w:p w14:paraId="6B152D4E" w14:textId="77777777" w:rsidR="00C770CB" w:rsidRDefault="00C770CB" w:rsidP="00C770CB">
      <w:pPr>
        <w:pStyle w:val="a3"/>
        <w:rPr>
          <w:lang w:val="hu-HU"/>
        </w:rPr>
      </w:pPr>
    </w:p>
    <w:p w14:paraId="2677FED3" w14:textId="77777777" w:rsidR="00C770CB" w:rsidRDefault="00C770CB" w:rsidP="00C770CB">
      <w:pPr>
        <w:pStyle w:val="a3"/>
        <w:rPr>
          <w:lang w:val="hu-HU"/>
        </w:rPr>
      </w:pPr>
      <w:r>
        <w:rPr>
          <w:rFonts w:eastAsia="Times New Roman"/>
          <w:lang w:val="hu-HU"/>
        </w:rPr>
        <w:t>Az adalimumabot még nem vizsgálták ezekben a betegpopulációkban. Adagolási ajánlások nem tehetők.</w:t>
      </w:r>
    </w:p>
    <w:p w14:paraId="6477B74C" w14:textId="77777777" w:rsidR="00C770CB" w:rsidRDefault="00C770CB" w:rsidP="00C770CB">
      <w:pPr>
        <w:pStyle w:val="a3"/>
        <w:rPr>
          <w:lang w:val="hu-HU"/>
        </w:rPr>
      </w:pPr>
    </w:p>
    <w:p w14:paraId="5FBFC5DC" w14:textId="77777777" w:rsidR="00C770CB" w:rsidRDefault="00C770CB" w:rsidP="00C770CB">
      <w:pPr>
        <w:pStyle w:val="a3"/>
        <w:rPr>
          <w:rFonts w:eastAsia="Times New Roman"/>
          <w:u w:val="single"/>
          <w:lang w:val="hu-HU"/>
        </w:rPr>
      </w:pPr>
      <w:r w:rsidRPr="00167BF3">
        <w:rPr>
          <w:rFonts w:eastAsia="Times New Roman"/>
          <w:u w:val="single"/>
          <w:lang w:val="hu-HU"/>
        </w:rPr>
        <w:t>Gyermekek és serdülők</w:t>
      </w:r>
    </w:p>
    <w:p w14:paraId="3C5E293A" w14:textId="77777777" w:rsidR="000E66E9" w:rsidRDefault="000E66E9" w:rsidP="00C770CB">
      <w:pPr>
        <w:pStyle w:val="a3"/>
        <w:rPr>
          <w:rFonts w:eastAsia="Times New Roman"/>
          <w:u w:val="single"/>
          <w:lang w:val="hu-HU"/>
        </w:rPr>
      </w:pPr>
    </w:p>
    <w:p w14:paraId="74880553" w14:textId="77777777" w:rsidR="000E66E9" w:rsidRPr="00167BF3" w:rsidRDefault="000E66E9" w:rsidP="000E66E9">
      <w:pPr>
        <w:pStyle w:val="a3"/>
        <w:rPr>
          <w:i/>
          <w:iCs/>
          <w:lang w:val="hu-HU"/>
        </w:rPr>
      </w:pPr>
      <w:r w:rsidRPr="00167BF3">
        <w:rPr>
          <w:i/>
          <w:iCs/>
          <w:lang w:val="hu-HU"/>
        </w:rPr>
        <w:t xml:space="preserve">Gyermekkori plakkos psoriasis </w:t>
      </w:r>
    </w:p>
    <w:p w14:paraId="45E9477F" w14:textId="77777777" w:rsidR="000E66E9" w:rsidRDefault="000E66E9" w:rsidP="000E66E9">
      <w:pPr>
        <w:pStyle w:val="a3"/>
        <w:rPr>
          <w:lang w:val="hu-HU"/>
        </w:rPr>
      </w:pPr>
    </w:p>
    <w:p w14:paraId="06925099" w14:textId="4A6B2CA9" w:rsidR="00C770CB" w:rsidRDefault="000E66E9" w:rsidP="000E66E9">
      <w:pPr>
        <w:pStyle w:val="a3"/>
        <w:rPr>
          <w:lang w:val="hu-HU"/>
        </w:rPr>
      </w:pPr>
      <w:r w:rsidRPr="00167BF3">
        <w:rPr>
          <w:lang w:val="hu-HU"/>
        </w:rPr>
        <w:t xml:space="preserve">A </w:t>
      </w:r>
      <w:r w:rsidR="00151C9A">
        <w:rPr>
          <w:lang w:val="hu-HU"/>
        </w:rPr>
        <w:t>Yuflyma</w:t>
      </w:r>
      <w:r w:rsidRPr="00167BF3">
        <w:rPr>
          <w:lang w:val="hu-HU"/>
        </w:rPr>
        <w:t xml:space="preserve"> biztonságosságát és hatásosságát 4-17 éves gyermekek </w:t>
      </w:r>
      <w:r w:rsidR="009712B7">
        <w:rPr>
          <w:lang w:val="hu-HU"/>
        </w:rPr>
        <w:t xml:space="preserve">és serdükők </w:t>
      </w:r>
      <w:r w:rsidRPr="00167BF3">
        <w:rPr>
          <w:lang w:val="hu-HU"/>
        </w:rPr>
        <w:t xml:space="preserve">esetében nem igazolták plakkos psoriasis esetén. A </w:t>
      </w:r>
      <w:r w:rsidR="00151C9A">
        <w:rPr>
          <w:lang w:val="hu-HU"/>
        </w:rPr>
        <w:t>Yuflyma</w:t>
      </w:r>
      <w:r w:rsidRPr="00167BF3">
        <w:rPr>
          <w:lang w:val="hu-HU"/>
        </w:rPr>
        <w:t xml:space="preserve"> javasolt dózisa legfeljebb adagonként 40 mg.</w:t>
      </w:r>
    </w:p>
    <w:p w14:paraId="362AC224" w14:textId="77777777" w:rsidR="00C770CB" w:rsidRDefault="00C770CB" w:rsidP="00C770CB">
      <w:pPr>
        <w:pStyle w:val="a3"/>
        <w:rPr>
          <w:lang w:val="hu-HU"/>
        </w:rPr>
      </w:pPr>
    </w:p>
    <w:p w14:paraId="7E32D797" w14:textId="77777777" w:rsidR="00C770CB" w:rsidRPr="00167BF3" w:rsidRDefault="00C770CB" w:rsidP="00C770CB">
      <w:pPr>
        <w:jc w:val="both"/>
        <w:rPr>
          <w:rFonts w:ascii="Times New Roman" w:eastAsia="Times New Roman" w:hAnsi="Times New Roman" w:cs="Times New Roman"/>
          <w:lang w:val="hu-HU"/>
        </w:rPr>
      </w:pPr>
      <w:r w:rsidRPr="00167BF3">
        <w:rPr>
          <w:rFonts w:ascii="Times New Roman" w:eastAsia="Times New Roman" w:hAnsi="Times New Roman" w:cs="Times New Roman"/>
          <w:i/>
          <w:iCs/>
          <w:spacing w:val="-1"/>
          <w:lang w:val="hu-HU"/>
        </w:rPr>
        <w:t>Serdülőkori hidradenitis suppurativa (12 éves kortól, legalább 30 kg-os betegeknél)</w:t>
      </w:r>
    </w:p>
    <w:p w14:paraId="7F85AD4B" w14:textId="77777777" w:rsidR="00C770CB" w:rsidRDefault="00C770CB" w:rsidP="00C770CB">
      <w:pPr>
        <w:spacing w:line="240" w:lineRule="exact"/>
        <w:rPr>
          <w:rFonts w:ascii="Times New Roman" w:hAnsi="Times New Roman" w:cs="Times New Roman"/>
          <w:sz w:val="24"/>
          <w:szCs w:val="24"/>
          <w:lang w:val="hu-HU"/>
        </w:rPr>
      </w:pPr>
    </w:p>
    <w:p w14:paraId="465616C0" w14:textId="77777777" w:rsidR="00C770CB" w:rsidRDefault="00C770CB" w:rsidP="00C770CB">
      <w:pPr>
        <w:pStyle w:val="a3"/>
        <w:rPr>
          <w:lang w:val="hu-HU"/>
        </w:rPr>
      </w:pPr>
      <w:r>
        <w:rPr>
          <w:rFonts w:eastAsia="Times New Roman"/>
          <w:lang w:val="hu-HU"/>
        </w:rPr>
        <w:t>Nem végeztek klinikai vizsgálatokat adalimumabbal HS-ben szenvedő serdülőknél. Az adalimumab adagolását ezeknél a betegeknél farmakokinetikai modellezéssel és szimulációval határozták meg (lásd 5.2 pont).</w:t>
      </w:r>
    </w:p>
    <w:p w14:paraId="6FB38B01" w14:textId="77777777" w:rsidR="00C770CB" w:rsidRDefault="00C770CB" w:rsidP="00C770CB">
      <w:pPr>
        <w:spacing w:line="240" w:lineRule="exact"/>
        <w:rPr>
          <w:rFonts w:ascii="Times New Roman" w:hAnsi="Times New Roman" w:cs="Times New Roman"/>
          <w:sz w:val="24"/>
          <w:szCs w:val="24"/>
          <w:lang w:val="hu-HU"/>
        </w:rPr>
      </w:pPr>
    </w:p>
    <w:p w14:paraId="55E89B99" w14:textId="77777777" w:rsidR="00C770CB" w:rsidRDefault="00C770CB" w:rsidP="00C770CB">
      <w:pPr>
        <w:pStyle w:val="a3"/>
        <w:rPr>
          <w:lang w:val="hu-HU"/>
        </w:rPr>
      </w:pPr>
      <w:r>
        <w:rPr>
          <w:rFonts w:eastAsia="Times New Roman"/>
          <w:spacing w:val="1"/>
          <w:lang w:val="hu-HU"/>
        </w:rPr>
        <w:t>A Yuflyma ajánlott adagja a 0. héten 80 mg, amit az első héttől kezdve 40 mg subcutan adott injekció követ minden 2. héten.</w:t>
      </w:r>
    </w:p>
    <w:p w14:paraId="57A62EB2" w14:textId="77777777" w:rsidR="00C770CB" w:rsidRDefault="00C770CB" w:rsidP="00C770CB">
      <w:pPr>
        <w:spacing w:line="240" w:lineRule="exact"/>
        <w:rPr>
          <w:rFonts w:ascii="Times New Roman" w:hAnsi="Times New Roman" w:cs="Times New Roman"/>
          <w:sz w:val="24"/>
          <w:szCs w:val="24"/>
          <w:lang w:val="hu-HU"/>
        </w:rPr>
      </w:pPr>
    </w:p>
    <w:p w14:paraId="1D5A5502" w14:textId="77777777" w:rsidR="00C770CB" w:rsidRDefault="00C770CB" w:rsidP="00C770CB">
      <w:pPr>
        <w:pStyle w:val="a3"/>
        <w:rPr>
          <w:lang w:val="hu-HU"/>
        </w:rPr>
      </w:pPr>
      <w:r>
        <w:rPr>
          <w:rFonts w:eastAsia="Times New Roman"/>
          <w:lang w:val="hu-HU"/>
        </w:rPr>
        <w:t xml:space="preserve">Azoknál a serdülőkorú betegeknél, akik nem megfelelően reagálnak a kéthetente adagolt 40 mg </w:t>
      </w:r>
      <w:r>
        <w:rPr>
          <w:rFonts w:eastAsia="Times New Roman"/>
          <w:spacing w:val="1"/>
          <w:lang w:val="hu-HU"/>
        </w:rPr>
        <w:t xml:space="preserve">Yuflyma </w:t>
      </w:r>
      <w:r>
        <w:rPr>
          <w:rFonts w:eastAsia="Times New Roman"/>
          <w:lang w:val="hu-HU"/>
        </w:rPr>
        <w:t xml:space="preserve">kezelésre, megfontolandó a </w:t>
      </w:r>
      <w:r>
        <w:rPr>
          <w:rFonts w:eastAsia="Times New Roman"/>
          <w:spacing w:val="1"/>
          <w:lang w:val="hu-HU"/>
        </w:rPr>
        <w:t xml:space="preserve">Yuflyma </w:t>
      </w:r>
      <w:r>
        <w:rPr>
          <w:rFonts w:eastAsia="Times New Roman"/>
          <w:lang w:val="hu-HU"/>
        </w:rPr>
        <w:t>adagját heti 40 mg-ra, vagy kéthetente 80 mg-ra emelni.</w:t>
      </w:r>
    </w:p>
    <w:p w14:paraId="2D7BE83F" w14:textId="77777777" w:rsidR="00C770CB" w:rsidRDefault="00C770CB" w:rsidP="00C770CB">
      <w:pPr>
        <w:spacing w:line="240" w:lineRule="exact"/>
        <w:rPr>
          <w:rFonts w:ascii="Times New Roman" w:hAnsi="Times New Roman" w:cs="Times New Roman"/>
          <w:sz w:val="24"/>
          <w:szCs w:val="24"/>
          <w:lang w:val="hu-HU"/>
        </w:rPr>
      </w:pPr>
    </w:p>
    <w:p w14:paraId="05898D69" w14:textId="77777777" w:rsidR="00C770CB" w:rsidRDefault="00C770CB" w:rsidP="00C770CB">
      <w:pPr>
        <w:widowControl/>
        <w:autoSpaceDE w:val="0"/>
        <w:autoSpaceDN w:val="0"/>
        <w:adjustRightInd w:val="0"/>
        <w:rPr>
          <w:rFonts w:ascii="Times New Roman" w:eastAsia="TimesNewRomanPSMT" w:hAnsi="Times New Roman" w:cs="Times New Roman"/>
          <w:lang w:val="hu-HU"/>
        </w:rPr>
      </w:pPr>
      <w:r w:rsidRPr="00BF69D1">
        <w:rPr>
          <w:rFonts w:ascii="Times New Roman" w:hAnsi="Times New Roman" w:cs="Times New Roman"/>
          <w:lang w:val="hu-HU"/>
        </w:rPr>
        <w:t>Az antibiotikumok adását a</w:t>
      </w:r>
      <w:r w:rsidRPr="00DA48CC">
        <w:rPr>
          <w:rFonts w:ascii="Times New Roman" w:eastAsia="Times New Roman" w:hAnsi="Times New Roman" w:cs="Times New Roman"/>
          <w:spacing w:val="1"/>
          <w:lang w:val="hu-HU"/>
        </w:rPr>
        <w:t xml:space="preserve"> Yuflyma</w:t>
      </w:r>
      <w:r w:rsidRPr="00BF69D1">
        <w:rPr>
          <w:rFonts w:ascii="Times New Roman" w:hAnsi="Times New Roman" w:cs="Times New Roman"/>
          <w:lang w:val="hu-HU"/>
        </w:rPr>
        <w:t xml:space="preserve"> kezelés alatt sz</w:t>
      </w:r>
      <w:r w:rsidRPr="005328A6">
        <w:rPr>
          <w:rFonts w:ascii="Times New Roman" w:hAnsi="Times New Roman" w:cs="Times New Roman"/>
          <w:lang w:val="hu-HU"/>
        </w:rPr>
        <w:t>ükség esetén folytatni lehet. A</w:t>
      </w:r>
      <w:r w:rsidRPr="00DA48CC">
        <w:rPr>
          <w:rFonts w:ascii="Times New Roman" w:eastAsia="Times New Roman" w:hAnsi="Times New Roman" w:cs="Times New Roman"/>
          <w:spacing w:val="1"/>
          <w:lang w:val="hu-HU"/>
        </w:rPr>
        <w:t xml:space="preserve"> Yuflyma </w:t>
      </w:r>
      <w:r w:rsidRPr="00DA48CC">
        <w:rPr>
          <w:rFonts w:ascii="Times New Roman" w:eastAsia="TimesNewRomanPSMT" w:hAnsi="Times New Roman" w:cs="Times New Roman"/>
          <w:lang w:val="hu-HU"/>
        </w:rPr>
        <w:t>kezelés alatt javasolt a HS-es bőrelváltozások lokális antiszeptikus mosakodóval történő napi</w:t>
      </w:r>
      <w:r w:rsidRPr="00BF69D1">
        <w:rPr>
          <w:rFonts w:ascii="Times New Roman" w:eastAsia="TimesNewRomanPSMT" w:hAnsi="Times New Roman" w:cs="Times New Roman"/>
          <w:lang w:val="hu-HU"/>
        </w:rPr>
        <w:t xml:space="preserve"> </w:t>
      </w:r>
      <w:r w:rsidRPr="00DA48CC">
        <w:rPr>
          <w:rFonts w:ascii="Times New Roman" w:eastAsia="TimesNewRomanPSMT" w:hAnsi="Times New Roman" w:cs="Times New Roman"/>
          <w:lang w:val="hu-HU"/>
        </w:rPr>
        <w:t>szintű kezelése.</w:t>
      </w:r>
      <w:r w:rsidRPr="00BF69D1">
        <w:rPr>
          <w:rFonts w:ascii="Times New Roman" w:eastAsia="TimesNewRomanPSMT" w:hAnsi="Times New Roman" w:cs="Times New Roman"/>
          <w:lang w:val="hu-HU"/>
        </w:rPr>
        <w:t xml:space="preserve"> </w:t>
      </w:r>
    </w:p>
    <w:p w14:paraId="0902A46E" w14:textId="77777777" w:rsidR="00C770CB" w:rsidRDefault="00C770CB" w:rsidP="00C770CB">
      <w:pPr>
        <w:widowControl/>
        <w:autoSpaceDE w:val="0"/>
        <w:autoSpaceDN w:val="0"/>
        <w:adjustRightInd w:val="0"/>
        <w:rPr>
          <w:rFonts w:ascii="Times New Roman" w:eastAsia="TimesNewRomanPSMT" w:hAnsi="Times New Roman" w:cs="Times New Roman"/>
          <w:lang w:val="hu-HU"/>
        </w:rPr>
      </w:pPr>
    </w:p>
    <w:p w14:paraId="456AB4AD" w14:textId="77777777" w:rsidR="00C770CB" w:rsidRPr="008A5E26" w:rsidRDefault="00C770CB" w:rsidP="00C770CB">
      <w:pPr>
        <w:widowControl/>
        <w:autoSpaceDE w:val="0"/>
        <w:autoSpaceDN w:val="0"/>
        <w:adjustRightInd w:val="0"/>
        <w:rPr>
          <w:rFonts w:ascii="Times New Roman" w:hAnsi="Times New Roman" w:cs="Times New Roman"/>
          <w:sz w:val="24"/>
          <w:szCs w:val="24"/>
          <w:lang w:val="hu-HU"/>
        </w:rPr>
      </w:pPr>
      <w:r w:rsidRPr="00DA48CC">
        <w:rPr>
          <w:rFonts w:ascii="Times New Roman" w:eastAsia="TimesNewRomanPSMT" w:hAnsi="Times New Roman" w:cs="Times New Roman"/>
          <w:lang w:val="hu-HU"/>
        </w:rPr>
        <w:t>A 12 héten túli kezelést alaposan meg kell fontolni azoknál a betegeknél, akiknél ezen időszak</w:t>
      </w:r>
      <w:r>
        <w:rPr>
          <w:rFonts w:ascii="Times New Roman" w:eastAsia="TimesNewRomanPSMT" w:hAnsi="Times New Roman" w:cs="Times New Roman"/>
          <w:lang w:val="hu-HU"/>
        </w:rPr>
        <w:t xml:space="preserve"> </w:t>
      </w:r>
      <w:r w:rsidRPr="00DA48CC">
        <w:rPr>
          <w:rFonts w:ascii="Times New Roman" w:eastAsia="TimesNewRomanPSMT" w:hAnsi="Times New Roman" w:cs="Times New Roman"/>
          <w:lang w:val="hu-HU"/>
        </w:rPr>
        <w:t>alatt nem észlelhető javulás.</w:t>
      </w:r>
    </w:p>
    <w:p w14:paraId="29A22AD7" w14:textId="77777777" w:rsidR="00C770CB" w:rsidRDefault="00C770CB" w:rsidP="00C770CB">
      <w:pPr>
        <w:spacing w:line="240" w:lineRule="exact"/>
        <w:rPr>
          <w:rFonts w:ascii="Times New Roman" w:hAnsi="Times New Roman" w:cs="Times New Roman"/>
          <w:sz w:val="24"/>
          <w:szCs w:val="24"/>
          <w:lang w:val="hu-HU"/>
        </w:rPr>
      </w:pPr>
    </w:p>
    <w:p w14:paraId="4D52335A" w14:textId="77777777" w:rsidR="00C770CB" w:rsidRDefault="00C770CB" w:rsidP="00C770CB">
      <w:pPr>
        <w:pStyle w:val="a3"/>
        <w:rPr>
          <w:lang w:val="hu-HU"/>
        </w:rPr>
      </w:pPr>
      <w:r>
        <w:rPr>
          <w:rFonts w:eastAsia="Times New Roman"/>
          <w:lang w:val="hu-HU"/>
        </w:rPr>
        <w:t>Ha a kezelést meg kell szakítani, a Yuflyma adása újrakezdhető.</w:t>
      </w:r>
    </w:p>
    <w:p w14:paraId="6588D4D7" w14:textId="77777777" w:rsidR="00C770CB" w:rsidRDefault="00C770CB" w:rsidP="00C770CB">
      <w:pPr>
        <w:spacing w:line="240" w:lineRule="exact"/>
        <w:rPr>
          <w:rFonts w:ascii="Times New Roman" w:hAnsi="Times New Roman" w:cs="Times New Roman"/>
          <w:sz w:val="24"/>
          <w:szCs w:val="24"/>
          <w:lang w:val="hu-HU"/>
        </w:rPr>
      </w:pPr>
    </w:p>
    <w:p w14:paraId="4D5A3171" w14:textId="77777777" w:rsidR="00C770CB" w:rsidRDefault="00C770CB" w:rsidP="00C770CB">
      <w:pPr>
        <w:pStyle w:val="a3"/>
        <w:rPr>
          <w:lang w:val="hu-HU"/>
        </w:rPr>
      </w:pPr>
      <w:r>
        <w:rPr>
          <w:rFonts w:eastAsia="Times New Roman"/>
          <w:lang w:val="hu-HU"/>
        </w:rPr>
        <w:t>A hosszú távú kezelés előnyeit és kockázatát időszakosan értékelni kell (a felnőttkori adatokat lásd 5.1 pont).</w:t>
      </w:r>
    </w:p>
    <w:p w14:paraId="1827A720" w14:textId="77777777" w:rsidR="00C770CB" w:rsidRDefault="00C770CB" w:rsidP="00C770CB">
      <w:pPr>
        <w:spacing w:line="240" w:lineRule="exact"/>
        <w:rPr>
          <w:rFonts w:ascii="Times New Roman" w:hAnsi="Times New Roman" w:cs="Times New Roman"/>
          <w:sz w:val="24"/>
          <w:szCs w:val="24"/>
          <w:lang w:val="hu-HU"/>
        </w:rPr>
      </w:pPr>
    </w:p>
    <w:p w14:paraId="44433FC1" w14:textId="77777777" w:rsidR="00C770CB" w:rsidRDefault="00C770CB" w:rsidP="00C770CB">
      <w:pPr>
        <w:pStyle w:val="a3"/>
        <w:rPr>
          <w:lang w:val="hu-HU"/>
        </w:rPr>
      </w:pPr>
      <w:r>
        <w:rPr>
          <w:rFonts w:eastAsia="Times New Roman"/>
          <w:lang w:val="hu-HU"/>
        </w:rPr>
        <w:t>12 évesnél fiatalabb gyermekek esetében ebben a javallatban nincs releváns alkalmazása.</w:t>
      </w:r>
    </w:p>
    <w:p w14:paraId="62F1B3BD" w14:textId="77777777" w:rsidR="00C770CB" w:rsidRDefault="00C770CB" w:rsidP="00C770CB">
      <w:pPr>
        <w:spacing w:line="240" w:lineRule="exact"/>
        <w:rPr>
          <w:rFonts w:ascii="Times New Roman" w:hAnsi="Times New Roman" w:cs="Times New Roman"/>
          <w:sz w:val="24"/>
          <w:szCs w:val="24"/>
          <w:lang w:val="hu-HU"/>
        </w:rPr>
      </w:pPr>
    </w:p>
    <w:p w14:paraId="6D8957B0" w14:textId="77777777" w:rsidR="00C770CB" w:rsidRPr="00167BF3" w:rsidRDefault="00C770CB" w:rsidP="00C770CB">
      <w:pPr>
        <w:jc w:val="both"/>
        <w:rPr>
          <w:rFonts w:ascii="Times New Roman" w:eastAsia="Times New Roman" w:hAnsi="Times New Roman" w:cs="Times New Roman"/>
          <w:i/>
          <w:lang w:val="hu-HU"/>
        </w:rPr>
      </w:pPr>
      <w:r w:rsidRPr="00167BF3">
        <w:rPr>
          <w:rFonts w:ascii="Times New Roman" w:eastAsia="Times New Roman" w:hAnsi="Times New Roman" w:cs="Times New Roman"/>
          <w:i/>
          <w:iCs/>
          <w:spacing w:val="-1"/>
          <w:lang w:val="hu-HU"/>
        </w:rPr>
        <w:t>Gyermekkori Crohn-betegség</w:t>
      </w:r>
    </w:p>
    <w:p w14:paraId="48F5E8B5" w14:textId="77777777" w:rsidR="00C770CB" w:rsidRDefault="00C770CB" w:rsidP="00C770CB">
      <w:pPr>
        <w:spacing w:line="240" w:lineRule="exact"/>
        <w:rPr>
          <w:rFonts w:ascii="Times New Roman" w:hAnsi="Times New Roman" w:cs="Times New Roman"/>
          <w:sz w:val="24"/>
          <w:szCs w:val="24"/>
          <w:lang w:val="hu-HU"/>
        </w:rPr>
      </w:pPr>
    </w:p>
    <w:p w14:paraId="1CED45A4" w14:textId="36E45651" w:rsidR="00C770CB" w:rsidRDefault="00C770CB" w:rsidP="00C770CB">
      <w:pPr>
        <w:pStyle w:val="a3"/>
        <w:rPr>
          <w:lang w:val="hu-HU"/>
        </w:rPr>
      </w:pPr>
      <w:r>
        <w:rPr>
          <w:rFonts w:eastAsia="Times New Roman"/>
          <w:lang w:val="hu-HU"/>
        </w:rPr>
        <w:t xml:space="preserve">A Yuflyma ajánlott adagja Crohn-betegségben szenvedő betegeknek </w:t>
      </w:r>
      <w:r w:rsidRPr="009167C6">
        <w:rPr>
          <w:lang w:val="hu-HU"/>
        </w:rPr>
        <w:t xml:space="preserve">6-tólt betöltött 18 éves korig </w:t>
      </w:r>
      <w:r>
        <w:rPr>
          <w:rFonts w:eastAsia="Times New Roman"/>
          <w:lang w:val="hu-HU"/>
        </w:rPr>
        <w:t>a testtömegtől függ (</w:t>
      </w:r>
      <w:r w:rsidR="009B2521">
        <w:rPr>
          <w:rFonts w:eastAsia="Times New Roman"/>
          <w:lang w:val="hu-HU"/>
        </w:rPr>
        <w:t>1</w:t>
      </w:r>
      <w:r>
        <w:rPr>
          <w:rFonts w:eastAsia="Times New Roman"/>
          <w:lang w:val="hu-HU"/>
        </w:rPr>
        <w:t>. táblázat). A Yuflymát subcutan injekció formájában kell alkalmazni.</w:t>
      </w:r>
    </w:p>
    <w:p w14:paraId="3BDB8CCD" w14:textId="02E316D8" w:rsidR="00CE42DC" w:rsidRDefault="00CE42DC" w:rsidP="00C770CB">
      <w:pPr>
        <w:pStyle w:val="a3"/>
        <w:rPr>
          <w:lang w:val="hu-HU"/>
        </w:rPr>
      </w:pPr>
    </w:p>
    <w:p w14:paraId="60CC9B50" w14:textId="7F72F1E4" w:rsidR="00C770CB" w:rsidRDefault="009B2521" w:rsidP="00C770CB">
      <w:pPr>
        <w:pStyle w:val="a3"/>
        <w:jc w:val="center"/>
        <w:rPr>
          <w:b/>
          <w:lang w:val="hu-HU"/>
        </w:rPr>
      </w:pPr>
      <w:r>
        <w:rPr>
          <w:rFonts w:eastAsia="Times New Roman"/>
          <w:b/>
          <w:bCs/>
          <w:lang w:val="hu-HU"/>
        </w:rPr>
        <w:t>1</w:t>
      </w:r>
      <w:r w:rsidR="00C770CB">
        <w:rPr>
          <w:rFonts w:eastAsia="Times New Roman"/>
          <w:b/>
          <w:bCs/>
          <w:lang w:val="hu-HU"/>
        </w:rPr>
        <w:t>. táblázat. Adalimumab dózis Crohn-betegségben szenvedő gyermekeknél</w:t>
      </w:r>
    </w:p>
    <w:p w14:paraId="246F2E85" w14:textId="77777777" w:rsidR="00C770CB" w:rsidRDefault="00C770CB" w:rsidP="00C770CB">
      <w:pPr>
        <w:spacing w:before="14" w:line="240" w:lineRule="exact"/>
        <w:rPr>
          <w:rFonts w:ascii="Times New Roman" w:hAnsi="Times New Roman" w:cs="Times New Roman"/>
          <w:sz w:val="24"/>
          <w:szCs w:val="24"/>
          <w:lang w:val="hu-HU"/>
        </w:rPr>
      </w:pPr>
    </w:p>
    <w:tbl>
      <w:tblPr>
        <w:tblStyle w:val="TableNormal1"/>
        <w:tblW w:w="0" w:type="auto"/>
        <w:tblInd w:w="110" w:type="dxa"/>
        <w:tblLayout w:type="fixed"/>
        <w:tblLook w:val="01E0" w:firstRow="1" w:lastRow="1" w:firstColumn="1" w:lastColumn="1" w:noHBand="0" w:noVBand="0"/>
      </w:tblPr>
      <w:tblGrid>
        <w:gridCol w:w="1870"/>
        <w:gridCol w:w="5808"/>
        <w:gridCol w:w="1725"/>
      </w:tblGrid>
      <w:tr w:rsidR="00C770CB" w14:paraId="69F2F0B8" w14:textId="77777777" w:rsidTr="00AF1AD1">
        <w:tc>
          <w:tcPr>
            <w:tcW w:w="1870" w:type="dxa"/>
            <w:tcBorders>
              <w:top w:val="single" w:sz="4" w:space="0" w:color="auto"/>
              <w:left w:val="single" w:sz="4" w:space="0" w:color="auto"/>
              <w:bottom w:val="single" w:sz="4" w:space="0" w:color="auto"/>
              <w:right w:val="single" w:sz="4" w:space="0" w:color="auto"/>
            </w:tcBorders>
            <w:vAlign w:val="center"/>
          </w:tcPr>
          <w:p w14:paraId="585871B7" w14:textId="77777777" w:rsidR="00C770CB" w:rsidRDefault="00C770CB" w:rsidP="007E7849">
            <w:pPr>
              <w:pStyle w:val="TableParagraph"/>
              <w:spacing w:line="252" w:lineRule="exact"/>
              <w:ind w:firstLine="4"/>
              <w:jc w:val="center"/>
              <w:rPr>
                <w:rFonts w:ascii="Times New Roman" w:eastAsia="Times New Roman" w:hAnsi="Times New Roman" w:cs="Times New Roman"/>
                <w:lang w:val="hu-HU"/>
              </w:rPr>
            </w:pPr>
            <w:r>
              <w:rPr>
                <w:rFonts w:ascii="Times New Roman" w:eastAsia="Times New Roman" w:hAnsi="Times New Roman" w:cs="Times New Roman"/>
                <w:b/>
                <w:bCs/>
                <w:lang w:val="hu-HU"/>
              </w:rPr>
              <w:t>A beteg testtömege</w:t>
            </w:r>
          </w:p>
        </w:tc>
        <w:tc>
          <w:tcPr>
            <w:tcW w:w="5808" w:type="dxa"/>
            <w:tcBorders>
              <w:top w:val="single" w:sz="4" w:space="0" w:color="auto"/>
              <w:left w:val="single" w:sz="4" w:space="0" w:color="auto"/>
              <w:bottom w:val="single" w:sz="4" w:space="0" w:color="auto"/>
              <w:right w:val="single" w:sz="4" w:space="0" w:color="auto"/>
            </w:tcBorders>
            <w:vAlign w:val="center"/>
          </w:tcPr>
          <w:p w14:paraId="540F6BAC" w14:textId="77777777" w:rsidR="00C770CB" w:rsidRDefault="00C770CB" w:rsidP="007E7849">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Indukciós dózis</w:t>
            </w:r>
          </w:p>
        </w:tc>
        <w:tc>
          <w:tcPr>
            <w:tcW w:w="1725" w:type="dxa"/>
            <w:tcBorders>
              <w:top w:val="single" w:sz="4" w:space="0" w:color="auto"/>
              <w:left w:val="single" w:sz="4" w:space="0" w:color="auto"/>
              <w:bottom w:val="single" w:sz="4" w:space="0" w:color="auto"/>
              <w:right w:val="single" w:sz="4" w:space="0" w:color="auto"/>
            </w:tcBorders>
            <w:vAlign w:val="center"/>
          </w:tcPr>
          <w:p w14:paraId="6EA2786D" w14:textId="77777777" w:rsidR="00C770CB" w:rsidRDefault="00C770CB" w:rsidP="007E7849">
            <w:pPr>
              <w:pStyle w:val="TableParagraph"/>
              <w:spacing w:line="239" w:lineRule="auto"/>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A fenntartó dózis a 4. héttől kezdve</w:t>
            </w:r>
          </w:p>
        </w:tc>
      </w:tr>
      <w:tr w:rsidR="00C770CB" w14:paraId="234CCA89" w14:textId="77777777" w:rsidTr="00AF1AD1">
        <w:tc>
          <w:tcPr>
            <w:tcW w:w="1870" w:type="dxa"/>
            <w:tcBorders>
              <w:top w:val="single" w:sz="4" w:space="0" w:color="auto"/>
              <w:left w:val="single" w:sz="7" w:space="0" w:color="000000"/>
              <w:bottom w:val="single" w:sz="7" w:space="0" w:color="000000"/>
              <w:right w:val="single" w:sz="7" w:space="0" w:color="000000"/>
            </w:tcBorders>
          </w:tcPr>
          <w:p w14:paraId="2809BE41" w14:textId="77777777" w:rsidR="00C770CB" w:rsidRDefault="00C770CB" w:rsidP="007E7849">
            <w:pPr>
              <w:pStyle w:val="TableParagraph"/>
              <w:spacing w:before="9"/>
              <w:ind w:left="140"/>
              <w:rPr>
                <w:rFonts w:ascii="Times New Roman" w:eastAsia="Times New Roman" w:hAnsi="Times New Roman" w:cs="Times New Roman"/>
                <w:lang w:val="hu-HU"/>
              </w:rPr>
            </w:pPr>
            <w:r>
              <w:rPr>
                <w:rFonts w:ascii="Times New Roman" w:eastAsia="Times New Roman" w:hAnsi="Times New Roman" w:cs="Times New Roman"/>
                <w:lang w:val="hu-HU"/>
              </w:rPr>
              <w:t>&lt; 40 kg</w:t>
            </w:r>
          </w:p>
        </w:tc>
        <w:tc>
          <w:tcPr>
            <w:tcW w:w="5808" w:type="dxa"/>
            <w:tcBorders>
              <w:top w:val="single" w:sz="4" w:space="0" w:color="auto"/>
              <w:left w:val="single" w:sz="7" w:space="0" w:color="000000"/>
              <w:bottom w:val="single" w:sz="7" w:space="0" w:color="000000"/>
              <w:right w:val="single" w:sz="7" w:space="0" w:color="000000"/>
            </w:tcBorders>
          </w:tcPr>
          <w:p w14:paraId="18D47D50" w14:textId="0C9D2292" w:rsidR="00C770CB" w:rsidRDefault="00C770CB" w:rsidP="007E7849">
            <w:pPr>
              <w:pStyle w:val="a4"/>
              <w:numPr>
                <w:ilvl w:val="0"/>
                <w:numId w:val="12"/>
              </w:numPr>
              <w:tabs>
                <w:tab w:val="left" w:pos="315"/>
              </w:tabs>
              <w:spacing w:before="10"/>
              <w:ind w:left="315"/>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40 mg a 0. héten és 20 mg a 2. héten </w:t>
            </w:r>
          </w:p>
          <w:p w14:paraId="2AD8144B" w14:textId="77777777" w:rsidR="00C770CB" w:rsidRDefault="00C770CB" w:rsidP="007E7849">
            <w:pPr>
              <w:pStyle w:val="TableParagraph"/>
              <w:spacing w:before="10" w:line="240" w:lineRule="exact"/>
              <w:rPr>
                <w:rFonts w:ascii="Times New Roman" w:hAnsi="Times New Roman" w:cs="Times New Roman"/>
                <w:sz w:val="24"/>
                <w:szCs w:val="24"/>
                <w:lang w:val="hu-HU"/>
              </w:rPr>
            </w:pPr>
          </w:p>
          <w:p w14:paraId="3E8F5DDC" w14:textId="77777777" w:rsidR="00C770CB" w:rsidRDefault="00C770CB" w:rsidP="007E7849">
            <w:pPr>
              <w:pStyle w:val="TableParagraph"/>
              <w:ind w:left="159"/>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Amennyiben gyorsabb terápiás válaszra van szükség, </w:t>
            </w:r>
            <w:r>
              <w:rPr>
                <w:rFonts w:ascii="Times New Roman" w:eastAsia="Times New Roman" w:hAnsi="Times New Roman" w:cs="Times New Roman"/>
                <w:spacing w:val="-1"/>
                <w:lang w:val="hu-HU"/>
              </w:rPr>
              <w:lastRenderedPageBreak/>
              <w:t>figyelembe véve, hogy a nagyobb indukciós dózis adásakor a nemkívánatos események kockázata is nagyobb, úgy a következő adagolás alkalmazható:</w:t>
            </w:r>
          </w:p>
          <w:p w14:paraId="1D1087E2" w14:textId="0343DFFC" w:rsidR="00C770CB" w:rsidRDefault="00C770CB" w:rsidP="007E7849">
            <w:pPr>
              <w:pStyle w:val="a4"/>
              <w:numPr>
                <w:ilvl w:val="0"/>
                <w:numId w:val="12"/>
              </w:numPr>
              <w:tabs>
                <w:tab w:val="left" w:pos="315"/>
              </w:tabs>
              <w:spacing w:before="2"/>
              <w:ind w:left="315"/>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80 mg a 0. héten és 40 mg a 2. héten </w:t>
            </w:r>
          </w:p>
        </w:tc>
        <w:tc>
          <w:tcPr>
            <w:tcW w:w="1725" w:type="dxa"/>
            <w:tcBorders>
              <w:top w:val="single" w:sz="4" w:space="0" w:color="auto"/>
              <w:left w:val="single" w:sz="7" w:space="0" w:color="000000"/>
              <w:bottom w:val="single" w:sz="7" w:space="0" w:color="000000"/>
              <w:right w:val="single" w:sz="7" w:space="0" w:color="000000"/>
            </w:tcBorders>
          </w:tcPr>
          <w:p w14:paraId="1E399D1B" w14:textId="5DF468B6" w:rsidR="00C770CB" w:rsidRDefault="000E66E9" w:rsidP="00167BF3">
            <w:pPr>
              <w:pStyle w:val="TableParagraph"/>
              <w:spacing w:before="100" w:beforeAutospacing="1" w:line="252" w:lineRule="exact"/>
              <w:ind w:left="63" w:firstLineChars="50" w:firstLine="109"/>
              <w:jc w:val="both"/>
              <w:rPr>
                <w:rFonts w:ascii="Times New Roman" w:eastAsia="Times New Roman" w:hAnsi="Times New Roman" w:cs="Times New Roman"/>
                <w:lang w:val="hu-HU"/>
              </w:rPr>
            </w:pPr>
            <w:r>
              <w:rPr>
                <w:rFonts w:ascii="Times New Roman" w:eastAsia="Times New Roman" w:hAnsi="Times New Roman" w:cs="Times New Roman"/>
                <w:spacing w:val="-1"/>
                <w:lang w:val="hu-HU"/>
              </w:rPr>
              <w:lastRenderedPageBreak/>
              <w:t>20 mg kéthetente</w:t>
            </w:r>
          </w:p>
        </w:tc>
      </w:tr>
      <w:tr w:rsidR="00C770CB" w14:paraId="12616617" w14:textId="77777777" w:rsidTr="00AF1AD1">
        <w:tc>
          <w:tcPr>
            <w:tcW w:w="1870" w:type="dxa"/>
            <w:tcBorders>
              <w:top w:val="single" w:sz="7" w:space="0" w:color="000000"/>
              <w:left w:val="single" w:sz="7" w:space="0" w:color="000000"/>
              <w:bottom w:val="single" w:sz="7" w:space="0" w:color="000000"/>
              <w:right w:val="single" w:sz="7" w:space="0" w:color="000000"/>
            </w:tcBorders>
          </w:tcPr>
          <w:p w14:paraId="5402A650" w14:textId="77777777" w:rsidR="00C770CB" w:rsidRDefault="00C770CB" w:rsidP="007E7849">
            <w:pPr>
              <w:pStyle w:val="TableParagraph"/>
              <w:spacing w:before="7"/>
              <w:ind w:left="143"/>
              <w:rPr>
                <w:rFonts w:ascii="Times New Roman" w:eastAsia="Times New Roman" w:hAnsi="Times New Roman" w:cs="Times New Roman"/>
                <w:lang w:val="hu-HU"/>
              </w:rPr>
            </w:pPr>
            <w:r>
              <w:rPr>
                <w:rFonts w:ascii="Times New Roman" w:eastAsia="Times New Roman" w:hAnsi="Times New Roman" w:cs="Times New Roman"/>
                <w:lang w:val="hu-HU"/>
              </w:rPr>
              <w:t>≥ 40 kg</w:t>
            </w:r>
          </w:p>
        </w:tc>
        <w:tc>
          <w:tcPr>
            <w:tcW w:w="5808" w:type="dxa"/>
            <w:tcBorders>
              <w:top w:val="single" w:sz="7" w:space="0" w:color="000000"/>
              <w:left w:val="single" w:sz="7" w:space="0" w:color="000000"/>
              <w:bottom w:val="single" w:sz="7" w:space="0" w:color="000000"/>
              <w:right w:val="single" w:sz="7" w:space="0" w:color="000000"/>
            </w:tcBorders>
          </w:tcPr>
          <w:p w14:paraId="04B31BEA" w14:textId="046207BB" w:rsidR="00C770CB" w:rsidRDefault="00C770CB" w:rsidP="007E7849">
            <w:pPr>
              <w:pStyle w:val="a4"/>
              <w:numPr>
                <w:ilvl w:val="0"/>
                <w:numId w:val="11"/>
              </w:numPr>
              <w:tabs>
                <w:tab w:val="left" w:pos="315"/>
              </w:tabs>
              <w:spacing w:before="8"/>
              <w:ind w:left="315"/>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80 mg a 0. héten és 40 mg a 2. héten </w:t>
            </w:r>
          </w:p>
          <w:p w14:paraId="6642931B" w14:textId="77777777" w:rsidR="00C770CB" w:rsidRDefault="00C770CB" w:rsidP="007E7849">
            <w:pPr>
              <w:tabs>
                <w:tab w:val="left" w:pos="315"/>
              </w:tabs>
              <w:spacing w:before="8"/>
              <w:rPr>
                <w:rFonts w:ascii="Times New Roman" w:eastAsia="Times New Roman" w:hAnsi="Times New Roman" w:cs="Times New Roman"/>
                <w:lang w:val="hu-HU"/>
              </w:rPr>
            </w:pPr>
          </w:p>
          <w:p w14:paraId="23126E5E" w14:textId="77777777" w:rsidR="00C770CB" w:rsidRDefault="00C770CB" w:rsidP="007E7849">
            <w:pPr>
              <w:pStyle w:val="TableParagraph"/>
              <w:spacing w:before="7"/>
              <w:ind w:left="159" w:right="353"/>
              <w:rPr>
                <w:rFonts w:ascii="Times New Roman" w:eastAsia="Times New Roman" w:hAnsi="Times New Roman" w:cs="Times New Roman"/>
                <w:lang w:val="hu-HU"/>
              </w:rPr>
            </w:pPr>
            <w:r>
              <w:rPr>
                <w:rFonts w:ascii="Times New Roman" w:eastAsia="Times New Roman" w:hAnsi="Times New Roman" w:cs="Times New Roman"/>
                <w:spacing w:val="-1"/>
                <w:lang w:val="hu-HU"/>
              </w:rPr>
              <w:t>Amennyiben gyorsabb terápiás válaszra van szükség, figyelembe véve, hogy a nagyobb indukciós dózis adásakor a nemkívánatos események kockázata is nagyobb, úgy a következő adagolás alkalmazható:</w:t>
            </w:r>
          </w:p>
          <w:p w14:paraId="1520D3C8" w14:textId="3FCF53D8" w:rsidR="00C770CB" w:rsidRDefault="00C770CB" w:rsidP="007E7849">
            <w:pPr>
              <w:pStyle w:val="a4"/>
              <w:numPr>
                <w:ilvl w:val="0"/>
                <w:numId w:val="12"/>
              </w:numPr>
              <w:tabs>
                <w:tab w:val="left" w:pos="315"/>
              </w:tabs>
              <w:spacing w:before="2"/>
              <w:ind w:left="315"/>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160 mg a 0. héten és 80 mg a 2. héten </w:t>
            </w:r>
          </w:p>
        </w:tc>
        <w:tc>
          <w:tcPr>
            <w:tcW w:w="1725" w:type="dxa"/>
            <w:tcBorders>
              <w:top w:val="single" w:sz="7" w:space="0" w:color="000000"/>
              <w:left w:val="single" w:sz="7" w:space="0" w:color="000000"/>
              <w:bottom w:val="single" w:sz="7" w:space="0" w:color="000000"/>
              <w:right w:val="single" w:sz="7" w:space="0" w:color="000000"/>
            </w:tcBorders>
          </w:tcPr>
          <w:p w14:paraId="27696C03" w14:textId="77777777" w:rsidR="00C770CB" w:rsidRDefault="00C770CB" w:rsidP="007E7849">
            <w:pPr>
              <w:pStyle w:val="TableParagraph"/>
              <w:spacing w:before="7" w:line="241" w:lineRule="auto"/>
              <w:ind w:left="301" w:hanging="63"/>
              <w:rPr>
                <w:rFonts w:ascii="Times New Roman" w:eastAsia="Times New Roman" w:hAnsi="Times New Roman" w:cs="Times New Roman"/>
                <w:lang w:val="hu-HU"/>
              </w:rPr>
            </w:pPr>
            <w:r>
              <w:rPr>
                <w:rFonts w:ascii="Times New Roman" w:eastAsia="Times New Roman" w:hAnsi="Times New Roman" w:cs="Times New Roman"/>
                <w:spacing w:val="-1"/>
                <w:lang w:val="hu-HU"/>
              </w:rPr>
              <w:t>40 mg kéthetente</w:t>
            </w:r>
          </w:p>
        </w:tc>
      </w:tr>
    </w:tbl>
    <w:p w14:paraId="5F78EF77" w14:textId="77777777" w:rsidR="00154B26" w:rsidRDefault="00154B26" w:rsidP="00C770CB">
      <w:pPr>
        <w:spacing w:line="170" w:lineRule="exact"/>
        <w:rPr>
          <w:sz w:val="17"/>
          <w:szCs w:val="17"/>
          <w:lang w:val="hu-HU"/>
        </w:rPr>
      </w:pPr>
    </w:p>
    <w:p w14:paraId="3AA5A86C" w14:textId="77777777" w:rsidR="00C770CB" w:rsidRDefault="00C770CB" w:rsidP="00C770CB">
      <w:pPr>
        <w:pStyle w:val="a3"/>
        <w:rPr>
          <w:lang w:val="hu-HU"/>
        </w:rPr>
      </w:pPr>
      <w:r>
        <w:rPr>
          <w:rFonts w:eastAsia="Times New Roman"/>
          <w:lang w:val="hu-HU"/>
        </w:rPr>
        <w:t>A nem megfelelően reagáló betegeknél előnyös lehet az adag növelése:</w:t>
      </w:r>
    </w:p>
    <w:p w14:paraId="04AEE577" w14:textId="77777777" w:rsidR="0023597A" w:rsidRPr="00E92900" w:rsidRDefault="0023597A" w:rsidP="0023597A">
      <w:pPr>
        <w:pStyle w:val="a3"/>
        <w:numPr>
          <w:ilvl w:val="0"/>
          <w:numId w:val="11"/>
        </w:numPr>
        <w:ind w:left="660" w:hanging="660"/>
      </w:pPr>
      <w:r w:rsidRPr="00E92900">
        <w:rPr>
          <w:rFonts w:hint="eastAsia"/>
        </w:rPr>
        <w:t>&lt;</w:t>
      </w:r>
      <w:r w:rsidRPr="00E92900">
        <w:t xml:space="preserve"> 40 kg: 20 mg </w:t>
      </w:r>
      <w:proofErr w:type="spellStart"/>
      <w:r w:rsidRPr="00E92900">
        <w:t>minden</w:t>
      </w:r>
      <w:proofErr w:type="spellEnd"/>
      <w:r w:rsidRPr="00E92900">
        <w:t xml:space="preserve"> </w:t>
      </w:r>
      <w:proofErr w:type="spellStart"/>
      <w:r w:rsidRPr="00E92900">
        <w:t>héten</w:t>
      </w:r>
      <w:proofErr w:type="spellEnd"/>
      <w:r w:rsidRPr="00E92900">
        <w:t xml:space="preserve"> </w:t>
      </w:r>
    </w:p>
    <w:p w14:paraId="71957F67" w14:textId="77777777" w:rsidR="00C770CB" w:rsidRPr="00FB315F" w:rsidRDefault="00C770CB" w:rsidP="00167BF3">
      <w:pPr>
        <w:pStyle w:val="a3"/>
        <w:numPr>
          <w:ilvl w:val="0"/>
          <w:numId w:val="11"/>
        </w:numPr>
        <w:ind w:left="660" w:hanging="660"/>
        <w:rPr>
          <w:rFonts w:eastAsia="Times New Roman"/>
          <w:spacing w:val="-1"/>
          <w:lang w:val="hu-HU"/>
        </w:rPr>
      </w:pPr>
      <w:r w:rsidRPr="009167C6">
        <w:rPr>
          <w:rFonts w:eastAsia="Calibri" w:hint="eastAsia"/>
          <w:spacing w:val="-1"/>
          <w:lang w:val="hu-HU"/>
        </w:rPr>
        <w:t>≥</w:t>
      </w:r>
      <w:r w:rsidRPr="009167C6">
        <w:rPr>
          <w:rFonts w:eastAsia="Calibri"/>
          <w:spacing w:val="-1"/>
          <w:lang w:val="hu-HU"/>
        </w:rPr>
        <w:t xml:space="preserve"> 40 kg: </w:t>
      </w:r>
      <w:r w:rsidRPr="00FB315F">
        <w:rPr>
          <w:rFonts w:eastAsia="Times New Roman"/>
          <w:spacing w:val="-1"/>
          <w:lang w:val="hu-HU"/>
        </w:rPr>
        <w:t>40 mg minden héten vagy 80 mg minden második héten</w:t>
      </w:r>
    </w:p>
    <w:p w14:paraId="0F459579" w14:textId="77777777" w:rsidR="00C770CB" w:rsidRDefault="00C770CB" w:rsidP="00C770CB">
      <w:pPr>
        <w:spacing w:line="240" w:lineRule="exact"/>
        <w:rPr>
          <w:rFonts w:ascii="Times New Roman" w:hAnsi="Times New Roman" w:cs="Times New Roman"/>
          <w:sz w:val="24"/>
          <w:szCs w:val="24"/>
          <w:lang w:val="hu-HU"/>
        </w:rPr>
      </w:pPr>
    </w:p>
    <w:p w14:paraId="7B83F8FA" w14:textId="77777777" w:rsidR="00C770CB" w:rsidRDefault="00C770CB" w:rsidP="00C770CB">
      <w:pPr>
        <w:pStyle w:val="a3"/>
        <w:rPr>
          <w:lang w:val="hu-HU"/>
        </w:rPr>
      </w:pPr>
      <w:r>
        <w:rPr>
          <w:rFonts w:eastAsia="Times New Roman"/>
          <w:lang w:val="hu-HU"/>
        </w:rPr>
        <w:t>A kezelés folytatását alaposan meg kell fontolni azoknál a betegeknél, akik a 12. hétig nem reagálnak a kezelésre.</w:t>
      </w:r>
    </w:p>
    <w:p w14:paraId="10F38D9A" w14:textId="77777777" w:rsidR="00C770CB" w:rsidRDefault="00C770CB" w:rsidP="00C770CB">
      <w:pPr>
        <w:pStyle w:val="a3"/>
        <w:rPr>
          <w:lang w:val="hu-HU"/>
        </w:rPr>
      </w:pPr>
    </w:p>
    <w:p w14:paraId="6A8C0D4E" w14:textId="77777777" w:rsidR="00C770CB" w:rsidRDefault="00C770CB" w:rsidP="00C770CB">
      <w:pPr>
        <w:pStyle w:val="a3"/>
        <w:rPr>
          <w:lang w:val="hu-HU"/>
        </w:rPr>
      </w:pPr>
      <w:r>
        <w:rPr>
          <w:rFonts w:eastAsia="Times New Roman"/>
          <w:lang w:val="hu-HU"/>
        </w:rPr>
        <w:t>6 évesnél fiatalabb gyermekek esetében az adalimumabnak ebben a javallatban nincs releváns alkalmazása.</w:t>
      </w:r>
    </w:p>
    <w:p w14:paraId="19E76AAA" w14:textId="77777777" w:rsidR="00C770CB" w:rsidRDefault="00C770CB" w:rsidP="00C770CB">
      <w:pPr>
        <w:rPr>
          <w:rFonts w:ascii="Times New Roman" w:eastAsia="Times New Roman" w:hAnsi="Times New Roman" w:cs="Times New Roman"/>
          <w:i/>
          <w:spacing w:val="-1"/>
          <w:u w:val="single" w:color="000000"/>
          <w:lang w:val="hu-HU"/>
        </w:rPr>
      </w:pPr>
    </w:p>
    <w:p w14:paraId="5DF3C2DD" w14:textId="77777777" w:rsidR="00C770CB" w:rsidRPr="00167BF3" w:rsidRDefault="00C770CB" w:rsidP="00C770CB">
      <w:pPr>
        <w:widowControl/>
        <w:suppressAutoHyphens/>
        <w:spacing w:line="260" w:lineRule="exact"/>
        <w:rPr>
          <w:rFonts w:ascii="Times New Roman" w:eastAsia="바탕" w:hAnsi="Times New Roman" w:cs="Times New Roman"/>
          <w:b/>
          <w:szCs w:val="20"/>
          <w:lang w:val="hu-HU" w:eastAsia="hu-HU"/>
        </w:rPr>
      </w:pPr>
      <w:r w:rsidRPr="00167BF3">
        <w:rPr>
          <w:rFonts w:ascii="Times New Roman" w:eastAsia="바탕" w:hAnsi="Times New Roman" w:cs="Times New Roman"/>
          <w:i/>
          <w:szCs w:val="20"/>
          <w:lang w:val="hu-HU" w:eastAsia="hu-HU"/>
        </w:rPr>
        <w:t>Gyermek- és serdülőkori colitis ulcerosa</w:t>
      </w:r>
      <w:r w:rsidRPr="00167BF3">
        <w:rPr>
          <w:rFonts w:ascii="Times New Roman" w:eastAsia="바탕" w:hAnsi="Times New Roman" w:cs="Times New Roman"/>
          <w:b/>
          <w:szCs w:val="20"/>
          <w:lang w:val="hu-HU" w:eastAsia="hu-HU"/>
        </w:rPr>
        <w:t xml:space="preserve"> </w:t>
      </w:r>
    </w:p>
    <w:p w14:paraId="6B878095" w14:textId="77777777" w:rsidR="00C770CB" w:rsidRPr="00B90FEB" w:rsidRDefault="00C770CB" w:rsidP="00C770CB">
      <w:pPr>
        <w:widowControl/>
        <w:suppressAutoHyphens/>
        <w:spacing w:line="260" w:lineRule="exact"/>
        <w:rPr>
          <w:rFonts w:ascii="Times New Roman" w:eastAsia="바탕" w:hAnsi="Times New Roman" w:cs="Times New Roman"/>
          <w:b/>
          <w:szCs w:val="20"/>
          <w:lang w:val="hu-HU" w:eastAsia="hu-HU"/>
        </w:rPr>
      </w:pPr>
    </w:p>
    <w:p w14:paraId="485CCE56" w14:textId="346C02EF" w:rsidR="00C770CB" w:rsidRPr="00B90FEB" w:rsidRDefault="00C770CB" w:rsidP="00C770CB">
      <w:pPr>
        <w:widowControl/>
        <w:suppressAutoHyphens/>
        <w:spacing w:line="260" w:lineRule="exact"/>
        <w:rPr>
          <w:rFonts w:ascii="Times New Roman" w:eastAsia="바탕" w:hAnsi="Times New Roman" w:cs="Times New Roman"/>
          <w:szCs w:val="20"/>
          <w:lang w:val="hu-HU" w:eastAsia="hu-HU"/>
        </w:rPr>
      </w:pPr>
      <w:r w:rsidRPr="00B90FEB">
        <w:rPr>
          <w:rFonts w:ascii="Times New Roman" w:eastAsia="바탕" w:hAnsi="Times New Roman" w:cs="Times New Roman"/>
          <w:szCs w:val="20"/>
          <w:lang w:val="hu-HU" w:eastAsia="hu-HU"/>
        </w:rPr>
        <w:t xml:space="preserve">A </w:t>
      </w:r>
      <w:r>
        <w:rPr>
          <w:rFonts w:ascii="Times New Roman" w:eastAsia="바탕" w:hAnsi="Times New Roman" w:cs="Times New Roman"/>
          <w:szCs w:val="20"/>
          <w:lang w:val="hu-HU" w:eastAsia="hu-HU"/>
        </w:rPr>
        <w:t>Yuflyma</w:t>
      </w:r>
      <w:r w:rsidRPr="00B90FEB">
        <w:rPr>
          <w:rFonts w:ascii="Times New Roman" w:eastAsia="바탕" w:hAnsi="Times New Roman" w:cs="Times New Roman"/>
          <w:szCs w:val="20"/>
          <w:lang w:val="hu-HU" w:eastAsia="hu-HU"/>
        </w:rPr>
        <w:t xml:space="preserve"> ajánlott adagja colitis ulcerosában szenvedő, 6–17 éves korú betegeknél a testtömegtől függ (</w:t>
      </w:r>
      <w:r w:rsidR="009B2521">
        <w:rPr>
          <w:rFonts w:ascii="Times New Roman" w:eastAsia="바탕" w:hAnsi="Times New Roman" w:cs="Times New Roman"/>
          <w:szCs w:val="20"/>
          <w:lang w:val="hu-HU" w:eastAsia="hu-HU"/>
        </w:rPr>
        <w:t>2</w:t>
      </w:r>
      <w:r w:rsidRPr="00B90FEB">
        <w:rPr>
          <w:rFonts w:ascii="Times New Roman" w:eastAsia="바탕" w:hAnsi="Times New Roman" w:cs="Times New Roman"/>
          <w:szCs w:val="20"/>
          <w:lang w:val="hu-HU" w:eastAsia="hu-HU"/>
        </w:rPr>
        <w:t xml:space="preserve">. táblázat). A </w:t>
      </w:r>
      <w:r>
        <w:rPr>
          <w:rFonts w:ascii="Times New Roman" w:eastAsia="바탕" w:hAnsi="Times New Roman" w:cs="Times New Roman"/>
          <w:szCs w:val="20"/>
          <w:lang w:val="hu-HU" w:eastAsia="hu-HU"/>
        </w:rPr>
        <w:t>Yuflyma</w:t>
      </w:r>
      <w:r w:rsidRPr="00B90FEB">
        <w:rPr>
          <w:rFonts w:ascii="Times New Roman" w:eastAsia="바탕" w:hAnsi="Times New Roman" w:cs="Times New Roman"/>
          <w:szCs w:val="20"/>
          <w:lang w:val="hu-HU" w:eastAsia="hu-HU"/>
        </w:rPr>
        <w:t>-t subcutan injekció formájában kell beadni.</w:t>
      </w:r>
    </w:p>
    <w:p w14:paraId="2B649CF9" w14:textId="77777777" w:rsidR="00C770CB" w:rsidRPr="00B90FEB" w:rsidRDefault="00C770CB" w:rsidP="00C770CB">
      <w:pPr>
        <w:widowControl/>
        <w:suppressAutoHyphens/>
        <w:spacing w:line="260" w:lineRule="exact"/>
        <w:rPr>
          <w:rFonts w:ascii="Times New Roman" w:eastAsia="바탕" w:hAnsi="Times New Roman" w:cs="Times New Roman"/>
          <w:szCs w:val="20"/>
          <w:lang w:val="hu-HU" w:eastAsia="hu-HU"/>
        </w:rPr>
      </w:pPr>
      <w:r w:rsidRPr="00B90FEB">
        <w:rPr>
          <w:rFonts w:ascii="Times New Roman" w:eastAsia="바탕" w:hAnsi="Times New Roman" w:cs="Times New Roman"/>
          <w:szCs w:val="20"/>
          <w:lang w:val="hu-HU" w:eastAsia="hu-HU"/>
        </w:rPr>
        <w:t xml:space="preserve"> </w:t>
      </w:r>
    </w:p>
    <w:p w14:paraId="4DE6CD3B" w14:textId="1929A180" w:rsidR="00C770CB" w:rsidRPr="00B90FEB" w:rsidRDefault="009B2521" w:rsidP="00C770CB">
      <w:pPr>
        <w:keepNext/>
        <w:widowControl/>
        <w:suppressAutoHyphens/>
        <w:spacing w:line="260" w:lineRule="exact"/>
        <w:jc w:val="center"/>
        <w:rPr>
          <w:rFonts w:ascii="Times New Roman" w:eastAsia="바탕" w:hAnsi="Times New Roman" w:cs="Times New Roman"/>
          <w:szCs w:val="20"/>
          <w:lang w:val="hu-HU" w:eastAsia="hu-HU"/>
        </w:rPr>
      </w:pPr>
      <w:r>
        <w:rPr>
          <w:rFonts w:ascii="Times New Roman" w:eastAsia="바탕" w:hAnsi="Times New Roman" w:cs="Times New Roman"/>
          <w:b/>
          <w:szCs w:val="20"/>
          <w:lang w:val="hu-HU" w:eastAsia="hu-HU"/>
        </w:rPr>
        <w:t>2</w:t>
      </w:r>
      <w:r w:rsidR="00C770CB" w:rsidRPr="00B90FEB">
        <w:rPr>
          <w:rFonts w:ascii="Times New Roman" w:eastAsia="바탕" w:hAnsi="Times New Roman" w:cs="Times New Roman"/>
          <w:b/>
          <w:szCs w:val="20"/>
          <w:lang w:val="hu-HU" w:eastAsia="hu-HU"/>
        </w:rPr>
        <w:t xml:space="preserve">. táblázat: A </w:t>
      </w:r>
      <w:r w:rsidR="00C770CB">
        <w:rPr>
          <w:rFonts w:ascii="Times New Roman" w:eastAsia="바탕" w:hAnsi="Times New Roman" w:cs="Times New Roman"/>
          <w:b/>
          <w:szCs w:val="20"/>
          <w:lang w:val="hu-HU" w:eastAsia="hu-HU"/>
        </w:rPr>
        <w:t>Yuflyma</w:t>
      </w:r>
      <w:r w:rsidR="00C770CB" w:rsidRPr="00B90FEB">
        <w:rPr>
          <w:rFonts w:ascii="Times New Roman" w:eastAsia="바탕" w:hAnsi="Times New Roman" w:cs="Times New Roman"/>
          <w:b/>
          <w:szCs w:val="20"/>
          <w:lang w:val="hu-HU" w:eastAsia="hu-HU"/>
        </w:rPr>
        <w:t xml:space="preserve"> dózisa colitis ulcerosában szenvedő gyermekeknél és serdülőknél </w:t>
      </w:r>
    </w:p>
    <w:tbl>
      <w:tblPr>
        <w:tblW w:w="4574" w:type="pct"/>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910"/>
        <w:gridCol w:w="4462"/>
        <w:gridCol w:w="2395"/>
      </w:tblGrid>
      <w:tr w:rsidR="00C770CB" w:rsidRPr="00BE4D18" w14:paraId="3CC289AF" w14:textId="77777777" w:rsidTr="009569F2">
        <w:trPr>
          <w:jc w:val="center"/>
        </w:trPr>
        <w:tc>
          <w:tcPr>
            <w:tcW w:w="0" w:type="auto"/>
            <w:tcBorders>
              <w:top w:val="single" w:sz="6" w:space="0" w:color="000000"/>
              <w:left w:val="single" w:sz="6" w:space="0" w:color="000000"/>
              <w:bottom w:val="single" w:sz="6" w:space="0" w:color="000000"/>
              <w:right w:val="single" w:sz="6" w:space="0" w:color="000000"/>
            </w:tcBorders>
            <w:vAlign w:val="center"/>
            <w:hideMark/>
          </w:tcPr>
          <w:p w14:paraId="2A5C22EE" w14:textId="77777777" w:rsidR="00C770CB" w:rsidRPr="00B90FEB" w:rsidRDefault="00C770CB" w:rsidP="007E7849">
            <w:pPr>
              <w:widowControl/>
              <w:suppressAutoHyphens/>
              <w:spacing w:line="260" w:lineRule="exact"/>
              <w:jc w:val="center"/>
              <w:rPr>
                <w:rFonts w:ascii="Times New Roman" w:eastAsia="바탕" w:hAnsi="Times New Roman" w:cs="Times New Roman"/>
                <w:b/>
                <w:szCs w:val="20"/>
                <w:lang w:val="hu-HU" w:eastAsia="hu-HU"/>
              </w:rPr>
            </w:pPr>
            <w:r w:rsidRPr="00B90FEB">
              <w:rPr>
                <w:rFonts w:ascii="Times New Roman" w:eastAsia="바탕" w:hAnsi="Times New Roman" w:cs="Times New Roman"/>
                <w:b/>
                <w:szCs w:val="20"/>
                <w:lang w:val="hu-HU" w:eastAsia="hu-HU"/>
              </w:rPr>
              <w:t>A beteg testtömege</w:t>
            </w:r>
          </w:p>
        </w:tc>
        <w:tc>
          <w:tcPr>
            <w:tcW w:w="2545" w:type="pct"/>
            <w:tcBorders>
              <w:top w:val="single" w:sz="6" w:space="0" w:color="000000"/>
              <w:left w:val="single" w:sz="6" w:space="0" w:color="000000"/>
              <w:bottom w:val="single" w:sz="6" w:space="0" w:color="000000"/>
              <w:right w:val="single" w:sz="6" w:space="0" w:color="000000"/>
            </w:tcBorders>
            <w:vAlign w:val="center"/>
            <w:hideMark/>
          </w:tcPr>
          <w:p w14:paraId="2BB4DDC7" w14:textId="77777777" w:rsidR="00C770CB" w:rsidRPr="00B90FEB" w:rsidRDefault="00C770CB" w:rsidP="007E7849">
            <w:pPr>
              <w:widowControl/>
              <w:suppressAutoHyphens/>
              <w:spacing w:line="260" w:lineRule="exact"/>
              <w:jc w:val="center"/>
              <w:rPr>
                <w:rFonts w:ascii="Times New Roman" w:eastAsia="바탕" w:hAnsi="Times New Roman" w:cs="Times New Roman"/>
                <w:b/>
                <w:szCs w:val="20"/>
                <w:lang w:val="hu-HU" w:eastAsia="hu-HU"/>
              </w:rPr>
            </w:pPr>
            <w:r w:rsidRPr="00B90FEB">
              <w:rPr>
                <w:rFonts w:ascii="Times New Roman" w:eastAsia="바탕" w:hAnsi="Times New Roman" w:cs="Times New Roman"/>
                <w:b/>
                <w:szCs w:val="20"/>
                <w:lang w:val="hu-HU" w:eastAsia="hu-HU"/>
              </w:rPr>
              <w:t>Indukciós dózis</w:t>
            </w:r>
          </w:p>
        </w:tc>
        <w:tc>
          <w:tcPr>
            <w:tcW w:w="1366" w:type="pct"/>
            <w:tcBorders>
              <w:top w:val="single" w:sz="6" w:space="0" w:color="000000"/>
              <w:left w:val="single" w:sz="6" w:space="0" w:color="000000"/>
              <w:bottom w:val="single" w:sz="6" w:space="0" w:color="000000"/>
              <w:right w:val="single" w:sz="6" w:space="0" w:color="000000"/>
            </w:tcBorders>
            <w:hideMark/>
          </w:tcPr>
          <w:p w14:paraId="54ACE28D" w14:textId="77777777" w:rsidR="00C770CB" w:rsidRPr="00B90FEB" w:rsidRDefault="00C770CB" w:rsidP="007E7849">
            <w:pPr>
              <w:widowControl/>
              <w:suppressAutoHyphens/>
              <w:spacing w:line="260" w:lineRule="exact"/>
              <w:jc w:val="center"/>
              <w:rPr>
                <w:rFonts w:ascii="Times New Roman" w:eastAsia="바탕" w:hAnsi="Times New Roman" w:cs="Times New Roman"/>
                <w:b/>
                <w:szCs w:val="20"/>
                <w:lang w:val="hu-HU" w:eastAsia="hu-HU"/>
              </w:rPr>
            </w:pPr>
            <w:r w:rsidRPr="00B90FEB">
              <w:rPr>
                <w:rFonts w:ascii="Times New Roman" w:eastAsia="바탕" w:hAnsi="Times New Roman" w:cs="Times New Roman"/>
                <w:b/>
                <w:szCs w:val="20"/>
                <w:lang w:val="hu-HU" w:eastAsia="hu-HU"/>
              </w:rPr>
              <w:t>Fenntartó dózis</w:t>
            </w:r>
          </w:p>
          <w:p w14:paraId="077C0B1A" w14:textId="77777777" w:rsidR="00C770CB" w:rsidRPr="00B90FEB" w:rsidRDefault="00C770CB" w:rsidP="007E7849">
            <w:pPr>
              <w:widowControl/>
              <w:suppressAutoHyphens/>
              <w:spacing w:line="260" w:lineRule="exact"/>
              <w:jc w:val="center"/>
              <w:rPr>
                <w:rFonts w:ascii="Times New Roman" w:eastAsia="바탕" w:hAnsi="Times New Roman" w:cs="Times New Roman"/>
                <w:b/>
                <w:szCs w:val="20"/>
                <w:lang w:val="hu-HU" w:eastAsia="hu-HU"/>
              </w:rPr>
            </w:pPr>
            <w:r w:rsidRPr="00B90FEB">
              <w:rPr>
                <w:rFonts w:ascii="Times New Roman" w:eastAsia="바탕" w:hAnsi="Times New Roman" w:cs="Times New Roman"/>
                <w:b/>
                <w:szCs w:val="20"/>
                <w:lang w:val="hu-HU" w:eastAsia="hu-HU"/>
              </w:rPr>
              <w:t>4. héttől kezdve*</w:t>
            </w:r>
          </w:p>
        </w:tc>
      </w:tr>
      <w:tr w:rsidR="00C770CB" w:rsidRPr="00B90FEB" w14:paraId="77964243" w14:textId="77777777" w:rsidTr="009569F2">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0E28E2FB" w14:textId="77777777" w:rsidR="00C770CB" w:rsidRPr="00B90FEB" w:rsidRDefault="00C770CB" w:rsidP="007E7849">
            <w:pPr>
              <w:widowControl/>
              <w:suppressAutoHyphens/>
              <w:spacing w:line="260" w:lineRule="exact"/>
              <w:jc w:val="center"/>
              <w:rPr>
                <w:rFonts w:ascii="Times New Roman" w:eastAsia="바탕" w:hAnsi="Times New Roman" w:cs="Times New Roman"/>
                <w:szCs w:val="20"/>
                <w:lang w:val="hu-HU" w:eastAsia="hu-HU"/>
              </w:rPr>
            </w:pPr>
            <w:r w:rsidRPr="00B90FEB">
              <w:rPr>
                <w:rFonts w:ascii="Times New Roman" w:eastAsia="바탕" w:hAnsi="Times New Roman" w:cs="Times New Roman"/>
                <w:szCs w:val="20"/>
                <w:lang w:val="hu-HU" w:eastAsia="hu-HU"/>
              </w:rPr>
              <w:t>&lt; 40 kg</w:t>
            </w:r>
          </w:p>
        </w:tc>
        <w:tc>
          <w:tcPr>
            <w:tcW w:w="2545" w:type="pct"/>
            <w:tcBorders>
              <w:top w:val="single" w:sz="6" w:space="0" w:color="000000"/>
              <w:left w:val="single" w:sz="6" w:space="0" w:color="000000"/>
              <w:bottom w:val="single" w:sz="6" w:space="0" w:color="000000"/>
              <w:right w:val="single" w:sz="6" w:space="0" w:color="000000"/>
            </w:tcBorders>
            <w:hideMark/>
          </w:tcPr>
          <w:p w14:paraId="519879F2" w14:textId="10BE3746" w:rsidR="00C770CB" w:rsidRPr="00B90FEB" w:rsidRDefault="00C770CB" w:rsidP="00FD05AA">
            <w:pPr>
              <w:widowControl/>
              <w:numPr>
                <w:ilvl w:val="0"/>
                <w:numId w:val="49"/>
              </w:numPr>
              <w:suppressAutoHyphens/>
              <w:spacing w:line="260" w:lineRule="exact"/>
              <w:ind w:left="360" w:hanging="210"/>
              <w:rPr>
                <w:rFonts w:ascii="Times New Roman" w:eastAsia="바탕" w:hAnsi="Times New Roman" w:cs="Times New Roman"/>
                <w:szCs w:val="20"/>
                <w:lang w:val="hu-HU" w:eastAsia="hu-HU"/>
              </w:rPr>
            </w:pPr>
            <w:r w:rsidRPr="00B90FEB">
              <w:rPr>
                <w:rFonts w:ascii="Times New Roman" w:eastAsia="바탕" w:hAnsi="Times New Roman" w:cs="Times New Roman"/>
                <w:szCs w:val="20"/>
                <w:lang w:val="hu-HU" w:eastAsia="hu-HU"/>
              </w:rPr>
              <w:t>80 mg a 0. héten (</w:t>
            </w:r>
            <w:r w:rsidR="004365FC" w:rsidRPr="004365FC">
              <w:rPr>
                <w:rFonts w:ascii="Times New Roman" w:eastAsia="바탕" w:hAnsi="Times New Roman" w:cs="Times New Roman"/>
                <w:szCs w:val="20"/>
                <w:lang w:val="hu-HU" w:eastAsia="hu-HU"/>
              </w:rPr>
              <w:t>egy 80 mg-os injekció</w:t>
            </w:r>
            <w:r w:rsidR="004365FC">
              <w:rPr>
                <w:rFonts w:ascii="Times New Roman" w:eastAsia="바탕" w:hAnsi="Times New Roman" w:cs="Times New Roman"/>
                <w:szCs w:val="20"/>
                <w:lang w:val="hu-HU" w:eastAsia="hu-HU"/>
              </w:rPr>
              <w:t xml:space="preserve"> </w:t>
            </w:r>
            <w:r w:rsidRPr="00B90FEB">
              <w:rPr>
                <w:rFonts w:ascii="Times New Roman" w:eastAsia="바탕" w:hAnsi="Times New Roman" w:cs="Times New Roman"/>
                <w:szCs w:val="20"/>
                <w:lang w:val="hu-HU" w:eastAsia="hu-HU"/>
              </w:rPr>
              <w:t>formájában egy napon) és</w:t>
            </w:r>
          </w:p>
          <w:p w14:paraId="618B0CAF" w14:textId="77777777" w:rsidR="00C770CB" w:rsidRPr="00B90FEB" w:rsidRDefault="00C770CB" w:rsidP="00FD05AA">
            <w:pPr>
              <w:widowControl/>
              <w:numPr>
                <w:ilvl w:val="0"/>
                <w:numId w:val="49"/>
              </w:numPr>
              <w:suppressAutoHyphens/>
              <w:spacing w:line="260" w:lineRule="exact"/>
              <w:ind w:left="360" w:hanging="210"/>
              <w:rPr>
                <w:rFonts w:ascii="Times New Roman" w:eastAsia="바탕" w:hAnsi="Times New Roman" w:cs="Times New Roman"/>
                <w:szCs w:val="20"/>
                <w:lang w:val="hu-HU" w:eastAsia="hu-HU"/>
              </w:rPr>
            </w:pPr>
            <w:r w:rsidRPr="00B90FEB">
              <w:rPr>
                <w:rFonts w:ascii="Times New Roman" w:eastAsia="바탕" w:hAnsi="Times New Roman" w:cs="Times New Roman"/>
                <w:szCs w:val="20"/>
                <w:lang w:val="hu-HU" w:eastAsia="hu-HU"/>
              </w:rPr>
              <w:t>40 mg a 2. héten (egy 40 mg-os injekció formájában)</w:t>
            </w:r>
          </w:p>
        </w:tc>
        <w:tc>
          <w:tcPr>
            <w:tcW w:w="1366" w:type="pct"/>
            <w:tcBorders>
              <w:top w:val="single" w:sz="6" w:space="0" w:color="000000"/>
              <w:left w:val="single" w:sz="6" w:space="0" w:color="000000"/>
              <w:bottom w:val="single" w:sz="6" w:space="0" w:color="000000"/>
              <w:right w:val="single" w:sz="6" w:space="0" w:color="000000"/>
            </w:tcBorders>
            <w:hideMark/>
          </w:tcPr>
          <w:p w14:paraId="6722D8D9" w14:textId="77777777" w:rsidR="008567E4" w:rsidRDefault="00C770CB" w:rsidP="008567E4">
            <w:pPr>
              <w:pStyle w:val="a3"/>
              <w:jc w:val="center"/>
              <w:rPr>
                <w:rFonts w:eastAsia="Times New Roman"/>
                <w:lang w:val="hu-HU"/>
              </w:rPr>
            </w:pPr>
            <w:r w:rsidRPr="00B90FEB">
              <w:rPr>
                <w:rFonts w:eastAsia="바탕"/>
                <w:szCs w:val="20"/>
                <w:lang w:val="hu-HU" w:eastAsia="hu-HU"/>
              </w:rPr>
              <w:t xml:space="preserve">40 mg </w:t>
            </w:r>
            <w:r w:rsidR="008567E4">
              <w:rPr>
                <w:rFonts w:eastAsia="Times New Roman"/>
                <w:spacing w:val="-1"/>
                <w:lang w:val="hu-HU"/>
              </w:rPr>
              <w:t>kéthetente</w:t>
            </w:r>
            <w:r w:rsidR="008567E4" w:rsidDel="00611FDF">
              <w:rPr>
                <w:rFonts w:eastAsia="Times New Roman"/>
                <w:lang w:val="hu-HU"/>
              </w:rPr>
              <w:t xml:space="preserve"> </w:t>
            </w:r>
          </w:p>
          <w:p w14:paraId="2E727243" w14:textId="0FD0672E" w:rsidR="00C770CB" w:rsidRPr="00B90FEB" w:rsidRDefault="00C770CB" w:rsidP="00FD05AA">
            <w:pPr>
              <w:widowControl/>
              <w:numPr>
                <w:ilvl w:val="0"/>
                <w:numId w:val="49"/>
              </w:numPr>
              <w:suppressAutoHyphens/>
              <w:spacing w:line="260" w:lineRule="exact"/>
              <w:ind w:left="360" w:hanging="210"/>
              <w:rPr>
                <w:rFonts w:ascii="Times New Roman" w:eastAsia="바탕" w:hAnsi="Times New Roman" w:cs="Times New Roman"/>
                <w:szCs w:val="20"/>
                <w:lang w:val="hu-HU" w:eastAsia="hu-HU"/>
              </w:rPr>
            </w:pPr>
          </w:p>
        </w:tc>
      </w:tr>
      <w:tr w:rsidR="00C770CB" w:rsidRPr="00B90FEB" w14:paraId="51FE9F69" w14:textId="77777777" w:rsidTr="009569F2">
        <w:trPr>
          <w:jc w:val="center"/>
        </w:trPr>
        <w:tc>
          <w:tcPr>
            <w:tcW w:w="0" w:type="auto"/>
            <w:tcBorders>
              <w:top w:val="single" w:sz="6" w:space="0" w:color="000000"/>
              <w:left w:val="single" w:sz="6" w:space="0" w:color="000000"/>
              <w:bottom w:val="single" w:sz="4" w:space="0" w:color="auto"/>
              <w:right w:val="single" w:sz="6" w:space="0" w:color="000000"/>
            </w:tcBorders>
            <w:hideMark/>
          </w:tcPr>
          <w:p w14:paraId="5A7900F2" w14:textId="77777777" w:rsidR="00C770CB" w:rsidRPr="00B90FEB" w:rsidRDefault="00C770CB" w:rsidP="007E7849">
            <w:pPr>
              <w:widowControl/>
              <w:suppressAutoHyphens/>
              <w:spacing w:line="260" w:lineRule="exact"/>
              <w:jc w:val="center"/>
              <w:rPr>
                <w:rFonts w:ascii="Times New Roman" w:eastAsia="바탕" w:hAnsi="Times New Roman" w:cs="Times New Roman"/>
                <w:szCs w:val="20"/>
                <w:lang w:val="hu-HU" w:eastAsia="hu-HU"/>
              </w:rPr>
            </w:pPr>
            <w:r w:rsidRPr="00B90FEB">
              <w:rPr>
                <w:rFonts w:ascii="Times New Roman" w:eastAsia="바탕" w:hAnsi="Times New Roman" w:cs="Times New Roman"/>
                <w:szCs w:val="20"/>
                <w:lang w:val="hu-HU" w:eastAsia="hu-HU"/>
              </w:rPr>
              <w:t>≥ 40 kg</w:t>
            </w:r>
          </w:p>
        </w:tc>
        <w:tc>
          <w:tcPr>
            <w:tcW w:w="2545" w:type="pct"/>
            <w:tcBorders>
              <w:top w:val="single" w:sz="6" w:space="0" w:color="000000"/>
              <w:left w:val="single" w:sz="6" w:space="0" w:color="000000"/>
              <w:bottom w:val="single" w:sz="4" w:space="0" w:color="auto"/>
              <w:right w:val="single" w:sz="6" w:space="0" w:color="000000"/>
            </w:tcBorders>
            <w:hideMark/>
          </w:tcPr>
          <w:p w14:paraId="6F262073" w14:textId="109053BF" w:rsidR="00C770CB" w:rsidRPr="00B90FEB" w:rsidRDefault="00C770CB" w:rsidP="00FD05AA">
            <w:pPr>
              <w:widowControl/>
              <w:numPr>
                <w:ilvl w:val="0"/>
                <w:numId w:val="50"/>
              </w:numPr>
              <w:suppressAutoHyphens/>
              <w:spacing w:line="260" w:lineRule="exact"/>
              <w:ind w:left="360" w:hanging="210"/>
              <w:rPr>
                <w:rFonts w:ascii="Times New Roman" w:eastAsia="바탕" w:hAnsi="Times New Roman" w:cs="Times New Roman"/>
                <w:szCs w:val="20"/>
                <w:lang w:val="hu-HU" w:eastAsia="hu-HU"/>
              </w:rPr>
            </w:pPr>
            <w:r w:rsidRPr="00B90FEB">
              <w:rPr>
                <w:rFonts w:ascii="Times New Roman" w:eastAsia="바탕" w:hAnsi="Times New Roman" w:cs="Times New Roman"/>
                <w:szCs w:val="20"/>
                <w:lang w:val="hu-HU" w:eastAsia="hu-HU"/>
              </w:rPr>
              <w:t>160 mg a 0. héten (</w:t>
            </w:r>
            <w:r w:rsidR="004365FC" w:rsidRPr="004365FC">
              <w:rPr>
                <w:rFonts w:ascii="Times New Roman" w:eastAsia="바탕" w:hAnsi="Times New Roman" w:cs="Times New Roman"/>
                <w:szCs w:val="20"/>
                <w:lang w:val="hu-HU" w:eastAsia="hu-HU"/>
              </w:rPr>
              <w:t>két 80 mg-os injekció</w:t>
            </w:r>
            <w:r w:rsidRPr="00B90FEB">
              <w:rPr>
                <w:rFonts w:ascii="Times New Roman" w:eastAsia="바탕" w:hAnsi="Times New Roman" w:cs="Times New Roman"/>
                <w:szCs w:val="20"/>
                <w:lang w:val="hu-HU" w:eastAsia="hu-HU"/>
              </w:rPr>
              <w:t xml:space="preserve"> formájában egy napon vagy </w:t>
            </w:r>
            <w:r w:rsidR="004365FC" w:rsidRPr="004365FC">
              <w:rPr>
                <w:rFonts w:ascii="Times New Roman" w:eastAsia="바탕" w:hAnsi="Times New Roman" w:cs="Times New Roman"/>
                <w:szCs w:val="20"/>
                <w:lang w:val="hu-HU" w:eastAsia="hu-HU"/>
              </w:rPr>
              <w:t>egy 80 mg-os injekció</w:t>
            </w:r>
            <w:r w:rsidR="004365FC">
              <w:rPr>
                <w:rFonts w:ascii="Times New Roman" w:eastAsia="바탕" w:hAnsi="Times New Roman" w:cs="Times New Roman"/>
                <w:szCs w:val="20"/>
                <w:lang w:val="hu-HU" w:eastAsia="hu-HU"/>
              </w:rPr>
              <w:t xml:space="preserve"> </w:t>
            </w:r>
            <w:r w:rsidRPr="00B90FEB">
              <w:rPr>
                <w:rFonts w:ascii="Times New Roman" w:eastAsia="바탕" w:hAnsi="Times New Roman" w:cs="Times New Roman"/>
                <w:szCs w:val="20"/>
                <w:lang w:val="hu-HU" w:eastAsia="hu-HU"/>
              </w:rPr>
              <w:t>két egymást követő napon beadva) és</w:t>
            </w:r>
          </w:p>
          <w:p w14:paraId="24B7C222" w14:textId="31FBECB6" w:rsidR="00C770CB" w:rsidRPr="00B90FEB" w:rsidRDefault="00C770CB" w:rsidP="00FD05AA">
            <w:pPr>
              <w:widowControl/>
              <w:numPr>
                <w:ilvl w:val="0"/>
                <w:numId w:val="50"/>
              </w:numPr>
              <w:suppressAutoHyphens/>
              <w:spacing w:line="260" w:lineRule="exact"/>
              <w:ind w:left="360" w:hanging="210"/>
              <w:rPr>
                <w:rFonts w:ascii="Times New Roman" w:eastAsia="바탕" w:hAnsi="Times New Roman" w:cs="Times New Roman"/>
                <w:szCs w:val="20"/>
                <w:lang w:val="hu-HU" w:eastAsia="hu-HU"/>
              </w:rPr>
            </w:pPr>
            <w:r w:rsidRPr="00B90FEB">
              <w:rPr>
                <w:rFonts w:ascii="Times New Roman" w:eastAsia="바탕" w:hAnsi="Times New Roman" w:cs="Times New Roman"/>
                <w:szCs w:val="20"/>
                <w:lang w:val="hu-HU" w:eastAsia="hu-HU"/>
              </w:rPr>
              <w:t>80 mg a 2. héten (</w:t>
            </w:r>
            <w:r w:rsidR="004365FC" w:rsidRPr="004365FC">
              <w:rPr>
                <w:rFonts w:ascii="Times New Roman" w:eastAsia="바탕" w:hAnsi="Times New Roman" w:cs="Times New Roman"/>
                <w:szCs w:val="20"/>
                <w:lang w:val="hu-HU" w:eastAsia="hu-HU"/>
              </w:rPr>
              <w:t>egy 80 mg-os injekció</w:t>
            </w:r>
            <w:r w:rsidR="004365FC">
              <w:rPr>
                <w:rFonts w:ascii="Times New Roman" w:eastAsia="바탕" w:hAnsi="Times New Roman" w:cs="Times New Roman"/>
                <w:szCs w:val="20"/>
                <w:lang w:val="hu-HU" w:eastAsia="hu-HU"/>
              </w:rPr>
              <w:t xml:space="preserve"> </w:t>
            </w:r>
            <w:r w:rsidRPr="00B90FEB">
              <w:rPr>
                <w:rFonts w:ascii="Times New Roman" w:eastAsia="바탕" w:hAnsi="Times New Roman" w:cs="Times New Roman"/>
                <w:szCs w:val="20"/>
                <w:lang w:val="hu-HU" w:eastAsia="hu-HU"/>
              </w:rPr>
              <w:t>formájában egy napon)</w:t>
            </w:r>
          </w:p>
        </w:tc>
        <w:tc>
          <w:tcPr>
            <w:tcW w:w="1366" w:type="pct"/>
            <w:tcBorders>
              <w:top w:val="single" w:sz="6" w:space="0" w:color="000000"/>
              <w:left w:val="single" w:sz="6" w:space="0" w:color="000000"/>
              <w:bottom w:val="single" w:sz="4" w:space="0" w:color="auto"/>
              <w:right w:val="single" w:sz="6" w:space="0" w:color="000000"/>
            </w:tcBorders>
            <w:hideMark/>
          </w:tcPr>
          <w:p w14:paraId="52664232" w14:textId="77777777" w:rsidR="008567E4" w:rsidRDefault="00C770CB" w:rsidP="008567E4">
            <w:pPr>
              <w:pStyle w:val="a3"/>
              <w:jc w:val="center"/>
              <w:rPr>
                <w:rFonts w:eastAsia="Times New Roman"/>
                <w:lang w:val="hu-HU"/>
              </w:rPr>
            </w:pPr>
            <w:r w:rsidRPr="00B90FEB">
              <w:rPr>
                <w:rFonts w:eastAsia="바탕"/>
                <w:szCs w:val="20"/>
                <w:lang w:val="hu-HU" w:eastAsia="hu-HU"/>
              </w:rPr>
              <w:t xml:space="preserve">80 mg </w:t>
            </w:r>
            <w:r w:rsidR="008567E4">
              <w:rPr>
                <w:rFonts w:eastAsia="Times New Roman"/>
                <w:spacing w:val="-1"/>
                <w:lang w:val="hu-HU"/>
              </w:rPr>
              <w:t>kéthetente</w:t>
            </w:r>
            <w:r w:rsidR="008567E4" w:rsidDel="00611FDF">
              <w:rPr>
                <w:rFonts w:eastAsia="Times New Roman"/>
                <w:lang w:val="hu-HU"/>
              </w:rPr>
              <w:t xml:space="preserve"> </w:t>
            </w:r>
          </w:p>
          <w:p w14:paraId="389F4AA0" w14:textId="4912FDCB" w:rsidR="00C770CB" w:rsidRPr="00B90FEB" w:rsidRDefault="00C770CB" w:rsidP="00FD05AA">
            <w:pPr>
              <w:widowControl/>
              <w:numPr>
                <w:ilvl w:val="0"/>
                <w:numId w:val="49"/>
              </w:numPr>
              <w:suppressAutoHyphens/>
              <w:spacing w:line="260" w:lineRule="exact"/>
              <w:ind w:left="360" w:hanging="210"/>
              <w:rPr>
                <w:rFonts w:ascii="Times New Roman" w:eastAsia="바탕" w:hAnsi="Times New Roman" w:cs="Times New Roman"/>
                <w:szCs w:val="20"/>
                <w:lang w:val="hu-HU" w:eastAsia="hu-HU"/>
              </w:rPr>
            </w:pPr>
          </w:p>
        </w:tc>
      </w:tr>
      <w:tr w:rsidR="00C770CB" w:rsidRPr="00B90FEB" w14:paraId="30A745B8" w14:textId="77777777" w:rsidTr="007E7849">
        <w:trPr>
          <w:jc w:val="center"/>
        </w:trPr>
        <w:tc>
          <w:tcPr>
            <w:tcW w:w="5000" w:type="pct"/>
            <w:gridSpan w:val="3"/>
            <w:tcBorders>
              <w:top w:val="single" w:sz="4" w:space="0" w:color="auto"/>
              <w:left w:val="nil"/>
              <w:bottom w:val="nil"/>
              <w:right w:val="nil"/>
            </w:tcBorders>
          </w:tcPr>
          <w:p w14:paraId="30365D55" w14:textId="77777777" w:rsidR="00C770CB" w:rsidRPr="00B90FEB" w:rsidRDefault="00C770CB" w:rsidP="007E7849">
            <w:pPr>
              <w:widowControl/>
              <w:suppressAutoHyphens/>
              <w:spacing w:line="260" w:lineRule="exact"/>
              <w:rPr>
                <w:rFonts w:ascii="Times New Roman" w:eastAsia="바탕" w:hAnsi="Times New Roman" w:cs="Times New Roman"/>
                <w:szCs w:val="20"/>
                <w:lang w:val="hu-HU" w:eastAsia="hu-HU"/>
              </w:rPr>
            </w:pPr>
            <w:r w:rsidRPr="00B90FEB">
              <w:rPr>
                <w:rFonts w:ascii="Times New Roman" w:eastAsia="바탕" w:hAnsi="Times New Roman" w:cs="Times New Roman"/>
                <w:szCs w:val="20"/>
                <w:lang w:val="hu-HU" w:eastAsia="hu-HU"/>
              </w:rPr>
              <w:t xml:space="preserve">*Azoknak a serdülőknek, akik a </w:t>
            </w:r>
            <w:r>
              <w:rPr>
                <w:rFonts w:ascii="Times New Roman" w:eastAsia="바탕" w:hAnsi="Times New Roman" w:cs="Times New Roman"/>
                <w:szCs w:val="20"/>
                <w:lang w:val="hu-HU" w:eastAsia="hu-HU"/>
              </w:rPr>
              <w:t>Yuflyma</w:t>
            </w:r>
            <w:r w:rsidRPr="00B90FEB">
              <w:rPr>
                <w:rFonts w:ascii="Times New Roman" w:eastAsia="바탕" w:hAnsi="Times New Roman" w:cs="Times New Roman"/>
                <w:szCs w:val="20"/>
                <w:lang w:val="hu-HU" w:eastAsia="hu-HU"/>
              </w:rPr>
              <w:t>-kezelés alatt töltik be 18 éves kort, folytatniuk kell az előírt fenntartó kezelést.</w:t>
            </w:r>
          </w:p>
        </w:tc>
      </w:tr>
    </w:tbl>
    <w:p w14:paraId="1C2A7465" w14:textId="77777777" w:rsidR="00C770CB" w:rsidRPr="00B90FEB" w:rsidRDefault="00C770CB" w:rsidP="00C770CB">
      <w:pPr>
        <w:widowControl/>
        <w:suppressAutoHyphens/>
        <w:spacing w:line="260" w:lineRule="exact"/>
        <w:rPr>
          <w:rFonts w:ascii="Times New Roman" w:eastAsia="바탕" w:hAnsi="Times New Roman" w:cs="Times New Roman"/>
          <w:szCs w:val="20"/>
          <w:lang w:val="hu-HU" w:eastAsia="hu-HU"/>
        </w:rPr>
      </w:pPr>
    </w:p>
    <w:p w14:paraId="23C00449" w14:textId="77777777" w:rsidR="00C770CB" w:rsidRPr="00B90FEB" w:rsidRDefault="00C770CB" w:rsidP="00C770CB">
      <w:pPr>
        <w:widowControl/>
        <w:suppressAutoHyphens/>
        <w:spacing w:line="260" w:lineRule="exact"/>
        <w:rPr>
          <w:rFonts w:ascii="Times New Roman" w:eastAsia="바탕" w:hAnsi="Times New Roman" w:cs="Times New Roman"/>
          <w:szCs w:val="20"/>
          <w:lang w:val="hu-HU" w:eastAsia="hu-HU"/>
        </w:rPr>
      </w:pPr>
      <w:r w:rsidRPr="00B90FEB">
        <w:rPr>
          <w:rFonts w:ascii="Times New Roman" w:eastAsia="바탕" w:hAnsi="Times New Roman" w:cs="Times New Roman"/>
          <w:szCs w:val="20"/>
          <w:lang w:val="hu-HU" w:eastAsia="hu-HU"/>
        </w:rPr>
        <w:t>A kezelés folytatását alaposan meg kell fontolni azoknál a betegeknél, akik 12. hétig nem reagálnak a kezelésre.</w:t>
      </w:r>
    </w:p>
    <w:p w14:paraId="187123D6" w14:textId="77777777" w:rsidR="00C770CB" w:rsidRPr="00B90FEB" w:rsidRDefault="00C770CB" w:rsidP="00C770CB">
      <w:pPr>
        <w:widowControl/>
        <w:suppressAutoHyphens/>
        <w:spacing w:line="260" w:lineRule="exact"/>
        <w:rPr>
          <w:rFonts w:ascii="Times New Roman" w:eastAsia="바탕" w:hAnsi="Times New Roman" w:cs="Times New Roman"/>
          <w:szCs w:val="20"/>
          <w:lang w:val="hu-HU" w:eastAsia="hu-HU"/>
        </w:rPr>
      </w:pPr>
    </w:p>
    <w:p w14:paraId="47788EE0" w14:textId="77777777" w:rsidR="00C770CB" w:rsidRPr="00B90FEB" w:rsidRDefault="00C770CB" w:rsidP="00C770CB">
      <w:pPr>
        <w:widowControl/>
        <w:suppressAutoHyphens/>
        <w:spacing w:line="260" w:lineRule="exact"/>
        <w:rPr>
          <w:rFonts w:ascii="Times New Roman" w:eastAsia="바탕" w:hAnsi="Times New Roman" w:cs="Times New Roman"/>
          <w:szCs w:val="20"/>
          <w:lang w:val="hu-HU" w:eastAsia="hu-HU"/>
        </w:rPr>
      </w:pPr>
      <w:r w:rsidRPr="00B90FEB">
        <w:rPr>
          <w:rFonts w:ascii="Times New Roman" w:eastAsia="바탕" w:hAnsi="Times New Roman" w:cs="Times New Roman"/>
          <w:szCs w:val="20"/>
          <w:lang w:val="hu-HU" w:eastAsia="hu-HU"/>
        </w:rPr>
        <w:t xml:space="preserve">6 évesnél fiatalabb betegeknél ebben </w:t>
      </w:r>
      <w:r w:rsidRPr="000569A0">
        <w:rPr>
          <w:rFonts w:ascii="Times New Roman" w:eastAsia="바탕" w:hAnsi="Times New Roman" w:cs="Times New Roman"/>
          <w:szCs w:val="20"/>
          <w:lang w:val="hu-HU" w:eastAsia="hu-HU"/>
        </w:rPr>
        <w:t xml:space="preserve">az adalimumabnak </w:t>
      </w:r>
      <w:r w:rsidRPr="00B90FEB">
        <w:rPr>
          <w:rFonts w:ascii="Times New Roman" w:eastAsia="바탕" w:hAnsi="Times New Roman" w:cs="Times New Roman"/>
          <w:szCs w:val="20"/>
          <w:lang w:val="hu-HU" w:eastAsia="hu-HU"/>
        </w:rPr>
        <w:t>a javallatban nincs releváns alkalmazása.</w:t>
      </w:r>
    </w:p>
    <w:p w14:paraId="770E01CF" w14:textId="77777777" w:rsidR="00C770CB" w:rsidRPr="00B90FEB" w:rsidRDefault="00C770CB" w:rsidP="00C770CB">
      <w:pPr>
        <w:widowControl/>
        <w:suppressAutoHyphens/>
        <w:spacing w:line="260" w:lineRule="exact"/>
        <w:rPr>
          <w:rFonts w:ascii="Times New Roman" w:eastAsia="바탕" w:hAnsi="Times New Roman" w:cs="Times New Roman"/>
          <w:szCs w:val="20"/>
          <w:lang w:val="hu-HU" w:eastAsia="hu-HU"/>
        </w:rPr>
      </w:pPr>
    </w:p>
    <w:p w14:paraId="6F686B9D" w14:textId="77777777" w:rsidR="00C770CB" w:rsidRPr="00167BF3" w:rsidRDefault="00C770CB" w:rsidP="00C770CB">
      <w:pPr>
        <w:rPr>
          <w:rFonts w:ascii="Times New Roman" w:eastAsia="Times New Roman" w:hAnsi="Times New Roman" w:cs="Times New Roman"/>
          <w:i/>
          <w:spacing w:val="-1"/>
          <w:u w:color="000000"/>
          <w:lang w:val="hu-HU"/>
        </w:rPr>
      </w:pPr>
      <w:r w:rsidRPr="00167BF3">
        <w:rPr>
          <w:rFonts w:ascii="Times New Roman" w:eastAsia="Times New Roman" w:hAnsi="Times New Roman" w:cs="Times New Roman"/>
          <w:i/>
          <w:iCs/>
          <w:spacing w:val="-1"/>
          <w:u w:color="000000"/>
          <w:lang w:val="hu-HU"/>
        </w:rPr>
        <w:t>Gyermekkori uveitis</w:t>
      </w:r>
    </w:p>
    <w:p w14:paraId="13F56B56" w14:textId="77777777" w:rsidR="00C770CB" w:rsidRDefault="00C770CB" w:rsidP="00C770CB">
      <w:pPr>
        <w:rPr>
          <w:rFonts w:ascii="Times New Roman" w:eastAsia="Times New Roman" w:hAnsi="Times New Roman" w:cs="Times New Roman"/>
          <w:lang w:val="hu-HU"/>
        </w:rPr>
      </w:pPr>
    </w:p>
    <w:p w14:paraId="49237B1D" w14:textId="51C9FFAD" w:rsidR="00C770CB" w:rsidRDefault="00C770CB" w:rsidP="00C770CB">
      <w:pPr>
        <w:pStyle w:val="a3"/>
        <w:rPr>
          <w:lang w:val="hu-HU"/>
        </w:rPr>
      </w:pPr>
      <w:r>
        <w:rPr>
          <w:rFonts w:eastAsia="Times New Roman"/>
          <w:lang w:val="hu-HU"/>
        </w:rPr>
        <w:t>A Yuflyma ajánlott adagja uveitisben szenvedő, 2 évesnél idősebb gyermekeknél a testtömegtől függ (</w:t>
      </w:r>
      <w:r w:rsidR="009B2521">
        <w:rPr>
          <w:rFonts w:eastAsia="Times New Roman"/>
          <w:lang w:val="hu-HU"/>
        </w:rPr>
        <w:t>3</w:t>
      </w:r>
      <w:r>
        <w:rPr>
          <w:rFonts w:eastAsia="Times New Roman"/>
          <w:lang w:val="hu-HU"/>
        </w:rPr>
        <w:t>. táblázat). A Yuflyma-t subcutan injekció formájában kell alkalmazni.</w:t>
      </w:r>
    </w:p>
    <w:p w14:paraId="7136DC34" w14:textId="77777777" w:rsidR="00C770CB" w:rsidRDefault="00C770CB" w:rsidP="00C770CB">
      <w:pPr>
        <w:rPr>
          <w:rFonts w:ascii="Times New Roman" w:hAnsi="Times New Roman" w:cs="Times New Roman"/>
          <w:sz w:val="24"/>
          <w:szCs w:val="24"/>
          <w:lang w:val="hu-HU"/>
        </w:rPr>
      </w:pPr>
    </w:p>
    <w:p w14:paraId="60AA9A78" w14:textId="77777777" w:rsidR="00C770CB" w:rsidRDefault="00C770CB" w:rsidP="00C770CB">
      <w:pPr>
        <w:pStyle w:val="a3"/>
        <w:rPr>
          <w:lang w:val="hu-HU"/>
        </w:rPr>
      </w:pPr>
      <w:r>
        <w:rPr>
          <w:rFonts w:eastAsia="Times New Roman"/>
          <w:lang w:val="hu-HU"/>
        </w:rPr>
        <w:t>Gyermekkori uveitisben nincs tapasztalat az egyidejű metotrexát-kezelés nélküli adalimumab-kezeléssel.</w:t>
      </w:r>
    </w:p>
    <w:p w14:paraId="0BF4D6DF" w14:textId="77777777" w:rsidR="00C770CB" w:rsidRDefault="00C770CB" w:rsidP="00C770CB">
      <w:pPr>
        <w:pStyle w:val="a3"/>
        <w:rPr>
          <w:lang w:val="hu-HU"/>
        </w:rPr>
      </w:pPr>
    </w:p>
    <w:p w14:paraId="4AE3E45B" w14:textId="5412CFE2" w:rsidR="00C770CB" w:rsidRDefault="009B2521" w:rsidP="00C770CB">
      <w:pPr>
        <w:pStyle w:val="a3"/>
        <w:jc w:val="center"/>
        <w:rPr>
          <w:b/>
          <w:lang w:val="hu-HU"/>
        </w:rPr>
      </w:pPr>
      <w:r>
        <w:rPr>
          <w:rFonts w:eastAsia="Times New Roman"/>
          <w:b/>
          <w:bCs/>
          <w:lang w:val="hu-HU"/>
        </w:rPr>
        <w:t>3</w:t>
      </w:r>
      <w:r w:rsidR="00C770CB">
        <w:rPr>
          <w:rFonts w:eastAsia="Times New Roman"/>
          <w:b/>
          <w:bCs/>
          <w:lang w:val="hu-HU"/>
        </w:rPr>
        <w:t>. táblázat. A Yuflyma dózisa uveitisben szenvedő gyermekeknél</w:t>
      </w:r>
    </w:p>
    <w:p w14:paraId="23BC4B81" w14:textId="77777777" w:rsidR="00C770CB" w:rsidRDefault="00C770CB" w:rsidP="00C770CB">
      <w:pPr>
        <w:spacing w:before="4" w:line="220" w:lineRule="exact"/>
        <w:rPr>
          <w:rFonts w:ascii="Times New Roman" w:hAnsi="Times New Roman" w:cs="Times New Roman"/>
          <w:lang w:val="hu-HU"/>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C770CB" w14:paraId="3029F17F" w14:textId="77777777" w:rsidTr="007E7849">
        <w:trPr>
          <w:trHeight w:val="374"/>
          <w:jc w:val="center"/>
        </w:trPr>
        <w:tc>
          <w:tcPr>
            <w:tcW w:w="3572" w:type="dxa"/>
            <w:tcBorders>
              <w:top w:val="single" w:sz="4" w:space="0" w:color="auto"/>
              <w:bottom w:val="single" w:sz="4" w:space="0" w:color="auto"/>
            </w:tcBorders>
            <w:vAlign w:val="center"/>
          </w:tcPr>
          <w:p w14:paraId="09A9628B" w14:textId="77777777" w:rsidR="00C770CB" w:rsidRDefault="00C770CB" w:rsidP="007E7849">
            <w:pPr>
              <w:pStyle w:val="a3"/>
              <w:jc w:val="center"/>
              <w:rPr>
                <w:b/>
                <w:lang w:val="hu-HU"/>
              </w:rPr>
            </w:pPr>
            <w:r>
              <w:rPr>
                <w:rFonts w:eastAsia="Times New Roman"/>
                <w:b/>
                <w:bCs/>
                <w:lang w:val="hu-HU"/>
              </w:rPr>
              <w:t>A beteg testtömege</w:t>
            </w:r>
          </w:p>
        </w:tc>
        <w:tc>
          <w:tcPr>
            <w:tcW w:w="3572" w:type="dxa"/>
            <w:tcBorders>
              <w:top w:val="single" w:sz="4" w:space="0" w:color="auto"/>
              <w:bottom w:val="single" w:sz="4" w:space="0" w:color="auto"/>
            </w:tcBorders>
            <w:vAlign w:val="center"/>
          </w:tcPr>
          <w:p w14:paraId="42361755" w14:textId="77777777" w:rsidR="00C770CB" w:rsidRDefault="00C770CB" w:rsidP="007E7849">
            <w:pPr>
              <w:pStyle w:val="a3"/>
              <w:jc w:val="center"/>
              <w:rPr>
                <w:b/>
                <w:lang w:val="hu-HU"/>
              </w:rPr>
            </w:pPr>
            <w:r>
              <w:rPr>
                <w:rFonts w:eastAsia="Times New Roman"/>
                <w:b/>
                <w:bCs/>
                <w:lang w:val="hu-HU"/>
              </w:rPr>
              <w:t>Adagolási rend</w:t>
            </w:r>
          </w:p>
        </w:tc>
      </w:tr>
      <w:tr w:rsidR="00C770CB" w14:paraId="5C99C396" w14:textId="77777777" w:rsidTr="007E7849">
        <w:trPr>
          <w:trHeight w:val="388"/>
          <w:jc w:val="center"/>
        </w:trPr>
        <w:tc>
          <w:tcPr>
            <w:tcW w:w="3572" w:type="dxa"/>
            <w:tcBorders>
              <w:top w:val="single" w:sz="4" w:space="0" w:color="auto"/>
              <w:bottom w:val="single" w:sz="4" w:space="0" w:color="auto"/>
            </w:tcBorders>
            <w:vAlign w:val="center"/>
          </w:tcPr>
          <w:p w14:paraId="542251E7" w14:textId="77777777" w:rsidR="00C770CB" w:rsidRDefault="00C770CB" w:rsidP="007E7849">
            <w:pPr>
              <w:pStyle w:val="a3"/>
              <w:jc w:val="center"/>
              <w:rPr>
                <w:lang w:val="hu-HU"/>
              </w:rPr>
            </w:pPr>
            <w:r>
              <w:rPr>
                <w:rFonts w:eastAsia="Times New Roman"/>
                <w:lang w:val="hu-HU"/>
              </w:rPr>
              <w:t>&lt; 30 kg</w:t>
            </w:r>
          </w:p>
        </w:tc>
        <w:tc>
          <w:tcPr>
            <w:tcW w:w="3572" w:type="dxa"/>
            <w:tcBorders>
              <w:top w:val="single" w:sz="4" w:space="0" w:color="auto"/>
              <w:bottom w:val="single" w:sz="4" w:space="0" w:color="auto"/>
            </w:tcBorders>
            <w:vAlign w:val="center"/>
          </w:tcPr>
          <w:p w14:paraId="788304D3" w14:textId="789F236B" w:rsidR="00611FDF" w:rsidRDefault="00611FDF" w:rsidP="007E7849">
            <w:pPr>
              <w:pStyle w:val="a3"/>
              <w:jc w:val="center"/>
              <w:rPr>
                <w:rFonts w:eastAsia="Times New Roman"/>
                <w:lang w:val="hu-HU"/>
              </w:rPr>
            </w:pPr>
            <w:r>
              <w:rPr>
                <w:rFonts w:eastAsia="Times New Roman"/>
                <w:spacing w:val="-1"/>
                <w:lang w:val="hu-HU"/>
              </w:rPr>
              <w:t>20 mg kéthetente</w:t>
            </w:r>
          </w:p>
          <w:p w14:paraId="43ACF0AC" w14:textId="0C1EB570" w:rsidR="00C770CB" w:rsidRDefault="009454CE" w:rsidP="007E7849">
            <w:pPr>
              <w:pStyle w:val="a3"/>
              <w:jc w:val="center"/>
              <w:rPr>
                <w:lang w:val="hu-HU"/>
              </w:rPr>
            </w:pPr>
            <w:r>
              <w:rPr>
                <w:rFonts w:eastAsia="Times New Roman"/>
                <w:lang w:val="hu-HU"/>
              </w:rPr>
              <w:t>metotrexáttal kombinálva</w:t>
            </w:r>
          </w:p>
        </w:tc>
      </w:tr>
      <w:tr w:rsidR="00C770CB" w14:paraId="37AAE2C0" w14:textId="77777777" w:rsidTr="007E7849">
        <w:trPr>
          <w:trHeight w:val="374"/>
          <w:jc w:val="center"/>
        </w:trPr>
        <w:tc>
          <w:tcPr>
            <w:tcW w:w="3572" w:type="dxa"/>
            <w:tcBorders>
              <w:top w:val="single" w:sz="4" w:space="0" w:color="auto"/>
              <w:bottom w:val="single" w:sz="4" w:space="0" w:color="auto"/>
            </w:tcBorders>
            <w:vAlign w:val="center"/>
          </w:tcPr>
          <w:p w14:paraId="11F127D0" w14:textId="77777777" w:rsidR="00C770CB" w:rsidRDefault="00C770CB" w:rsidP="007E7849">
            <w:pPr>
              <w:pStyle w:val="a3"/>
              <w:jc w:val="center"/>
              <w:rPr>
                <w:lang w:val="hu-HU"/>
              </w:rPr>
            </w:pPr>
            <w:r>
              <w:rPr>
                <w:rFonts w:eastAsia="Times New Roman"/>
                <w:lang w:val="hu-HU"/>
              </w:rPr>
              <w:t>≥ 30 kg</w:t>
            </w:r>
          </w:p>
        </w:tc>
        <w:tc>
          <w:tcPr>
            <w:tcW w:w="3572" w:type="dxa"/>
            <w:tcBorders>
              <w:top w:val="single" w:sz="4" w:space="0" w:color="auto"/>
              <w:bottom w:val="single" w:sz="4" w:space="0" w:color="auto"/>
            </w:tcBorders>
            <w:vAlign w:val="center"/>
          </w:tcPr>
          <w:p w14:paraId="6B9113A0" w14:textId="11233D04" w:rsidR="00C770CB" w:rsidRDefault="00C770CB" w:rsidP="007E7849">
            <w:pPr>
              <w:pStyle w:val="a3"/>
              <w:jc w:val="center"/>
              <w:rPr>
                <w:lang w:val="hu-HU"/>
              </w:rPr>
            </w:pPr>
            <w:r>
              <w:rPr>
                <w:rFonts w:eastAsia="Times New Roman"/>
                <w:lang w:val="hu-HU"/>
              </w:rPr>
              <w:t xml:space="preserve">40 mg </w:t>
            </w:r>
            <w:r w:rsidR="00611FDF">
              <w:rPr>
                <w:rFonts w:eastAsia="Times New Roman"/>
                <w:spacing w:val="-1"/>
                <w:lang w:val="hu-HU"/>
              </w:rPr>
              <w:t>kéthetente</w:t>
            </w:r>
            <w:r w:rsidR="00611FDF" w:rsidDel="00611FDF">
              <w:rPr>
                <w:rFonts w:eastAsia="Times New Roman"/>
                <w:lang w:val="hu-HU"/>
              </w:rPr>
              <w:t xml:space="preserve"> </w:t>
            </w:r>
            <w:r>
              <w:rPr>
                <w:rFonts w:eastAsia="Times New Roman"/>
                <w:lang w:val="hu-HU"/>
              </w:rPr>
              <w:t>metotrexáttal kombinálva</w:t>
            </w:r>
          </w:p>
        </w:tc>
      </w:tr>
    </w:tbl>
    <w:p w14:paraId="2446177E" w14:textId="77777777" w:rsidR="00C770CB" w:rsidRDefault="00C770CB" w:rsidP="00C770CB">
      <w:pPr>
        <w:pStyle w:val="a3"/>
        <w:rPr>
          <w:lang w:val="hu-HU"/>
        </w:rPr>
      </w:pPr>
    </w:p>
    <w:p w14:paraId="300009E0" w14:textId="77777777" w:rsidR="00C770CB" w:rsidRDefault="00C770CB" w:rsidP="00C770CB">
      <w:pPr>
        <w:pStyle w:val="a3"/>
        <w:rPr>
          <w:lang w:val="hu-HU"/>
        </w:rPr>
      </w:pPr>
      <w:r>
        <w:rPr>
          <w:rFonts w:eastAsia="Times New Roman"/>
          <w:lang w:val="hu-HU"/>
        </w:rPr>
        <w:t>A Yuflyma-kezelés megkezdésekor egy 40 mg-os telítő dózis adható a 30 kg alatti betegeknek, vagy egy 80 mg-os telítő dózis adható a legalább 30 kg-os betegeknek egy héttel a fenntartó kezelés megkezdése előtt. Nem állnak rendelkezésre klinikai adatok az adalimumab telítő dózis 6 évesnél fiatalabb gyermekeknél történő alkalmazásáról (lásd 5.2 pont).</w:t>
      </w:r>
    </w:p>
    <w:p w14:paraId="0C87ACB2" w14:textId="77777777" w:rsidR="00C770CB" w:rsidRDefault="00C770CB" w:rsidP="00C770CB">
      <w:pPr>
        <w:spacing w:before="10" w:line="240" w:lineRule="exact"/>
        <w:rPr>
          <w:rFonts w:ascii="Times New Roman" w:hAnsi="Times New Roman" w:cs="Times New Roman"/>
          <w:sz w:val="24"/>
          <w:szCs w:val="24"/>
          <w:lang w:val="hu-HU"/>
        </w:rPr>
      </w:pPr>
    </w:p>
    <w:p w14:paraId="4BF8E5BB" w14:textId="77777777" w:rsidR="00C770CB" w:rsidRDefault="00C770CB" w:rsidP="00C770CB">
      <w:pPr>
        <w:pStyle w:val="a3"/>
        <w:rPr>
          <w:lang w:val="hu-HU"/>
        </w:rPr>
      </w:pPr>
      <w:r>
        <w:rPr>
          <w:rFonts w:eastAsia="Times New Roman"/>
          <w:lang w:val="hu-HU"/>
        </w:rPr>
        <w:t>2 évesnél fiatalabb gyermekek esetében ebben az adalimumabnak a javallatban nincs releváns alkalmazása.</w:t>
      </w:r>
    </w:p>
    <w:p w14:paraId="26921233" w14:textId="77777777" w:rsidR="00C770CB" w:rsidRDefault="00C770CB" w:rsidP="00C770CB">
      <w:pPr>
        <w:spacing w:before="11" w:line="240" w:lineRule="exact"/>
        <w:rPr>
          <w:rFonts w:ascii="Times New Roman" w:hAnsi="Times New Roman" w:cs="Times New Roman"/>
          <w:sz w:val="24"/>
          <w:szCs w:val="24"/>
          <w:lang w:val="hu-HU"/>
        </w:rPr>
      </w:pPr>
    </w:p>
    <w:p w14:paraId="4CD0EB25" w14:textId="35603880" w:rsidR="00C770CB" w:rsidRDefault="00C770CB" w:rsidP="00C770CB">
      <w:pPr>
        <w:pStyle w:val="a3"/>
        <w:rPr>
          <w:lang w:val="hu-HU"/>
        </w:rPr>
      </w:pPr>
      <w:r>
        <w:rPr>
          <w:rFonts w:eastAsia="Times New Roman"/>
          <w:spacing w:val="-4"/>
          <w:lang w:val="hu-HU"/>
        </w:rPr>
        <w:t>Javasolt a hosszú távú kezelés előny</w:t>
      </w:r>
      <w:r w:rsidR="009E4FD6">
        <w:rPr>
          <w:rFonts w:eastAsia="Times New Roman"/>
          <w:spacing w:val="-4"/>
          <w:lang w:val="hu-HU"/>
        </w:rPr>
        <w:t>é</w:t>
      </w:r>
      <w:r>
        <w:rPr>
          <w:rFonts w:eastAsia="Times New Roman"/>
          <w:spacing w:val="-4"/>
          <w:lang w:val="hu-HU"/>
        </w:rPr>
        <w:t>nek és kockázatának évente történő értékelése (lásd 5.1 pont).</w:t>
      </w:r>
    </w:p>
    <w:p w14:paraId="05D9C243" w14:textId="2A68251D" w:rsidR="00C770CB" w:rsidRPr="00CE42DC" w:rsidRDefault="00C770CB" w:rsidP="00C770CB">
      <w:pPr>
        <w:spacing w:before="16" w:line="240" w:lineRule="exact"/>
        <w:rPr>
          <w:rFonts w:ascii="Times New Roman" w:eastAsia="Times New Roman" w:hAnsi="Times New Roman" w:cs="Times New Roman"/>
          <w:spacing w:val="-4"/>
          <w:lang w:val="hu-HU"/>
        </w:rPr>
      </w:pPr>
    </w:p>
    <w:p w14:paraId="6C03A65B" w14:textId="77777777" w:rsidR="00C770CB" w:rsidRDefault="00C770CB" w:rsidP="00C770CB">
      <w:pPr>
        <w:pStyle w:val="a3"/>
        <w:rPr>
          <w:u w:val="single"/>
          <w:lang w:val="hu-HU"/>
        </w:rPr>
      </w:pPr>
      <w:r>
        <w:rPr>
          <w:rFonts w:eastAsia="Times New Roman"/>
          <w:u w:val="single" w:color="000000"/>
          <w:lang w:val="hu-HU"/>
        </w:rPr>
        <w:t>Az alkalmazás módja</w:t>
      </w:r>
    </w:p>
    <w:p w14:paraId="6311DB88" w14:textId="77777777" w:rsidR="00C770CB" w:rsidRDefault="00C770CB" w:rsidP="00C770CB">
      <w:pPr>
        <w:spacing w:before="9" w:line="170" w:lineRule="exact"/>
        <w:rPr>
          <w:rFonts w:ascii="Times New Roman" w:hAnsi="Times New Roman" w:cs="Times New Roman"/>
          <w:lang w:val="hu-HU"/>
        </w:rPr>
      </w:pPr>
    </w:p>
    <w:p w14:paraId="7A0FD8FE" w14:textId="59EE438A" w:rsidR="00C770CB" w:rsidRDefault="00C770CB" w:rsidP="00C770CB">
      <w:pPr>
        <w:pStyle w:val="a3"/>
        <w:rPr>
          <w:lang w:val="hu-HU"/>
        </w:rPr>
      </w:pPr>
      <w:r>
        <w:rPr>
          <w:rFonts w:eastAsia="Times New Roman"/>
          <w:lang w:val="hu-HU"/>
        </w:rPr>
        <w:t>A Yuflyma-t subcutan injekció formájában kell alkalmazni.</w:t>
      </w:r>
      <w:r w:rsidR="00502510">
        <w:rPr>
          <w:rFonts w:eastAsia="Times New Roman"/>
          <w:lang w:val="hu-HU"/>
        </w:rPr>
        <w:t xml:space="preserve"> </w:t>
      </w:r>
      <w:r>
        <w:rPr>
          <w:rFonts w:eastAsia="Times New Roman"/>
          <w:lang w:val="hu-HU"/>
        </w:rPr>
        <w:t>A használatra vonatkozó teljes utasításokat a betegtájékoztató tartalmazza.</w:t>
      </w:r>
    </w:p>
    <w:p w14:paraId="4D049297" w14:textId="77777777" w:rsidR="00C770CB" w:rsidRDefault="00C770CB" w:rsidP="00C770CB">
      <w:pPr>
        <w:spacing w:before="12" w:line="240" w:lineRule="exact"/>
        <w:rPr>
          <w:rFonts w:ascii="Times New Roman" w:hAnsi="Times New Roman" w:cs="Times New Roman"/>
          <w:lang w:val="hu-HU"/>
        </w:rPr>
      </w:pPr>
    </w:p>
    <w:p w14:paraId="437890AF" w14:textId="700812BB" w:rsidR="00C770CB" w:rsidRDefault="00D86383" w:rsidP="00C770CB">
      <w:pPr>
        <w:pStyle w:val="a3"/>
        <w:rPr>
          <w:lang w:val="hu-HU"/>
        </w:rPr>
      </w:pPr>
      <w:r w:rsidRPr="00E92900">
        <w:rPr>
          <w:lang w:val="hu-HU"/>
        </w:rPr>
        <w:t xml:space="preserve">A </w:t>
      </w:r>
      <w:r>
        <w:rPr>
          <w:rFonts w:eastAsia="Times New Roman"/>
          <w:lang w:val="hu-HU"/>
        </w:rPr>
        <w:t>Yuflyma</w:t>
      </w:r>
      <w:r w:rsidRPr="00E92900">
        <w:rPr>
          <w:lang w:val="hu-HU"/>
        </w:rPr>
        <w:t xml:space="preserve"> más hatáserősségekben és kiszerelésekben is rendelkezésre áll.</w:t>
      </w:r>
    </w:p>
    <w:p w14:paraId="03535DA6" w14:textId="77777777" w:rsidR="00C770CB" w:rsidRDefault="00C770CB" w:rsidP="00C770CB">
      <w:pPr>
        <w:spacing w:before="16" w:line="240" w:lineRule="exact"/>
        <w:rPr>
          <w:rFonts w:ascii="Times New Roman" w:hAnsi="Times New Roman" w:cs="Times New Roman"/>
          <w:lang w:val="hu-HU"/>
        </w:rPr>
      </w:pPr>
    </w:p>
    <w:p w14:paraId="303C5524" w14:textId="77777777" w:rsidR="00C770CB" w:rsidRDefault="00C770CB" w:rsidP="00FD05AA">
      <w:pPr>
        <w:widowControl/>
        <w:numPr>
          <w:ilvl w:val="1"/>
          <w:numId w:val="53"/>
        </w:numPr>
        <w:tabs>
          <w:tab w:val="left" w:pos="567"/>
        </w:tabs>
        <w:spacing w:line="260" w:lineRule="exact"/>
        <w:ind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Ellenjavallatok</w:t>
      </w:r>
    </w:p>
    <w:p w14:paraId="159B0386" w14:textId="77777777" w:rsidR="00C770CB" w:rsidRDefault="00C770CB" w:rsidP="00C770CB">
      <w:pPr>
        <w:spacing w:before="9" w:line="240" w:lineRule="exact"/>
        <w:rPr>
          <w:rFonts w:ascii="Times New Roman" w:hAnsi="Times New Roman" w:cs="Times New Roman"/>
          <w:lang w:val="hu-HU"/>
        </w:rPr>
      </w:pPr>
    </w:p>
    <w:p w14:paraId="76E2F40F" w14:textId="77777777" w:rsidR="00C770CB" w:rsidRDefault="00C770CB" w:rsidP="00C770CB">
      <w:pPr>
        <w:pStyle w:val="a3"/>
        <w:rPr>
          <w:lang w:val="hu-HU"/>
        </w:rPr>
      </w:pPr>
      <w:r>
        <w:rPr>
          <w:rFonts w:eastAsia="Times New Roman"/>
          <w:lang w:val="hu-HU"/>
        </w:rPr>
        <w:t>A készítmény hatóanyagával vagy a 6.1 pontban felsorolt bármely segédanyagával szembeni túlérzékenység.</w:t>
      </w:r>
    </w:p>
    <w:p w14:paraId="7BB9CF1E" w14:textId="77777777" w:rsidR="00C770CB" w:rsidRDefault="00C770CB" w:rsidP="00C770CB">
      <w:pPr>
        <w:spacing w:before="13" w:line="240" w:lineRule="exact"/>
        <w:rPr>
          <w:rFonts w:ascii="Times New Roman" w:hAnsi="Times New Roman" w:cs="Times New Roman"/>
          <w:lang w:val="hu-HU"/>
        </w:rPr>
      </w:pPr>
    </w:p>
    <w:p w14:paraId="224BB2DA" w14:textId="77777777" w:rsidR="00C770CB" w:rsidRDefault="00C770CB" w:rsidP="00C770CB">
      <w:pPr>
        <w:pStyle w:val="a3"/>
        <w:rPr>
          <w:lang w:val="hu-HU"/>
        </w:rPr>
      </w:pPr>
      <w:r>
        <w:rPr>
          <w:rFonts w:eastAsia="Times New Roman"/>
          <w:lang w:val="hu-HU"/>
        </w:rPr>
        <w:t>Aktív tuberkulózis vagy más súlyos fertőzés, mint szepszis vagy opportunista fertőzések (lásd 4. 4 pont).</w:t>
      </w:r>
    </w:p>
    <w:p w14:paraId="4D191FE6" w14:textId="77777777" w:rsidR="00C770CB" w:rsidRDefault="00C770CB" w:rsidP="00C770CB">
      <w:pPr>
        <w:pStyle w:val="a3"/>
        <w:rPr>
          <w:lang w:val="hu-HU"/>
        </w:rPr>
      </w:pPr>
    </w:p>
    <w:p w14:paraId="57E99810" w14:textId="77777777" w:rsidR="00C770CB" w:rsidRDefault="00C770CB" w:rsidP="00C770CB">
      <w:pPr>
        <w:pStyle w:val="a3"/>
        <w:rPr>
          <w:lang w:val="hu-HU"/>
        </w:rPr>
      </w:pPr>
      <w:r>
        <w:rPr>
          <w:rFonts w:eastAsia="Times New Roman"/>
          <w:lang w:val="hu-HU"/>
        </w:rPr>
        <w:t>Közepesen súlyos-</w:t>
      </w:r>
      <w:r w:rsidRPr="009167C6">
        <w:rPr>
          <w:lang w:val="hu-HU"/>
        </w:rPr>
        <w:t> </w:t>
      </w:r>
      <w:r>
        <w:rPr>
          <w:rFonts w:eastAsia="Times New Roman"/>
          <w:lang w:val="hu-HU"/>
        </w:rPr>
        <w:t xml:space="preserve"> súlyos</w:t>
      </w:r>
      <w:r w:rsidDel="00011824">
        <w:rPr>
          <w:rFonts w:eastAsia="Times New Roman"/>
          <w:lang w:val="hu-HU"/>
        </w:rPr>
        <w:t xml:space="preserve"> </w:t>
      </w:r>
      <w:r>
        <w:rPr>
          <w:rFonts w:eastAsia="Times New Roman"/>
          <w:lang w:val="hu-HU"/>
        </w:rPr>
        <w:t>szívelégtelenség (NYHA III/ IV) (lásd 4. 4 pont).</w:t>
      </w:r>
    </w:p>
    <w:p w14:paraId="377B9207" w14:textId="77777777" w:rsidR="00C770CB" w:rsidRDefault="00C770CB" w:rsidP="00C770CB">
      <w:pPr>
        <w:pStyle w:val="a3"/>
        <w:rPr>
          <w:lang w:val="hu-HU"/>
        </w:rPr>
      </w:pPr>
    </w:p>
    <w:p w14:paraId="1A9DE5D2" w14:textId="77777777" w:rsidR="00C770CB" w:rsidRDefault="00C770CB" w:rsidP="00FD05AA">
      <w:pPr>
        <w:widowControl/>
        <w:numPr>
          <w:ilvl w:val="1"/>
          <w:numId w:val="53"/>
        </w:numPr>
        <w:tabs>
          <w:tab w:val="left" w:pos="567"/>
        </w:tabs>
        <w:spacing w:line="260" w:lineRule="exact"/>
        <w:ind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Különleges figyelmeztetések és az alkalmazással kapcsolatos óvintézkedések</w:t>
      </w:r>
    </w:p>
    <w:p w14:paraId="36866382" w14:textId="77777777" w:rsidR="00C770CB" w:rsidRDefault="00C770CB" w:rsidP="00C770CB">
      <w:pPr>
        <w:spacing w:before="9" w:line="240" w:lineRule="exact"/>
        <w:rPr>
          <w:rFonts w:ascii="Times New Roman" w:hAnsi="Times New Roman" w:cs="Times New Roman"/>
          <w:lang w:val="hu-HU"/>
        </w:rPr>
      </w:pPr>
    </w:p>
    <w:p w14:paraId="5CA4513C" w14:textId="77777777" w:rsidR="00C770CB" w:rsidRDefault="00C770CB" w:rsidP="00C770CB">
      <w:pPr>
        <w:pStyle w:val="a3"/>
        <w:rPr>
          <w:u w:val="single"/>
          <w:lang w:val="hu-HU"/>
        </w:rPr>
      </w:pPr>
      <w:r>
        <w:rPr>
          <w:rFonts w:eastAsia="Times New Roman"/>
          <w:spacing w:val="1"/>
          <w:u w:val="single" w:color="000000"/>
          <w:lang w:val="hu-HU"/>
        </w:rPr>
        <w:t>Nyomon követhetőség</w:t>
      </w:r>
    </w:p>
    <w:p w14:paraId="26CD50ED" w14:textId="77777777" w:rsidR="00C770CB" w:rsidRDefault="00C770CB" w:rsidP="00C770CB">
      <w:pPr>
        <w:spacing w:before="1" w:line="180" w:lineRule="exact"/>
        <w:rPr>
          <w:rFonts w:ascii="Times New Roman" w:hAnsi="Times New Roman" w:cs="Times New Roman"/>
          <w:lang w:val="hu-HU"/>
        </w:rPr>
      </w:pPr>
    </w:p>
    <w:p w14:paraId="2DA65DAE" w14:textId="77777777" w:rsidR="00C770CB" w:rsidRDefault="00C770CB" w:rsidP="00C770CB">
      <w:pPr>
        <w:pStyle w:val="a3"/>
        <w:rPr>
          <w:lang w:val="hu-HU"/>
        </w:rPr>
      </w:pPr>
      <w:r>
        <w:rPr>
          <w:rFonts w:eastAsia="Times New Roman"/>
          <w:lang w:val="hu-HU"/>
        </w:rPr>
        <w:t>A biológiai gyógyszerek nyomonkövethetőségének javítása érdekében a gyógyszer nevét és gyártási számát egyértelműen fel kell jegyezni.</w:t>
      </w:r>
    </w:p>
    <w:p w14:paraId="62649DEC" w14:textId="77777777" w:rsidR="00C770CB" w:rsidRDefault="00C770CB" w:rsidP="00C770CB">
      <w:pPr>
        <w:spacing w:before="11" w:line="240" w:lineRule="exact"/>
        <w:rPr>
          <w:rFonts w:ascii="Times New Roman" w:hAnsi="Times New Roman" w:cs="Times New Roman"/>
          <w:lang w:val="hu-HU"/>
        </w:rPr>
      </w:pPr>
    </w:p>
    <w:p w14:paraId="490B4C0A" w14:textId="77777777" w:rsidR="00C770CB" w:rsidRDefault="00C770CB" w:rsidP="00C770CB">
      <w:pPr>
        <w:pStyle w:val="a3"/>
        <w:rPr>
          <w:u w:val="single"/>
          <w:lang w:val="hu-HU"/>
        </w:rPr>
      </w:pPr>
      <w:r>
        <w:rPr>
          <w:rFonts w:eastAsia="Times New Roman"/>
          <w:u w:val="single" w:color="000000"/>
          <w:lang w:val="hu-HU"/>
        </w:rPr>
        <w:t>Fertőzések</w:t>
      </w:r>
    </w:p>
    <w:p w14:paraId="5170E549" w14:textId="77777777" w:rsidR="00C770CB" w:rsidRDefault="00C770CB" w:rsidP="00C770CB">
      <w:pPr>
        <w:spacing w:before="1" w:line="180" w:lineRule="exact"/>
        <w:rPr>
          <w:rFonts w:ascii="Times New Roman" w:hAnsi="Times New Roman" w:cs="Times New Roman"/>
          <w:lang w:val="hu-HU"/>
        </w:rPr>
      </w:pPr>
    </w:p>
    <w:p w14:paraId="7319108F" w14:textId="77777777" w:rsidR="00C770CB" w:rsidRDefault="00C770CB" w:rsidP="00C770CB">
      <w:pPr>
        <w:pStyle w:val="a3"/>
        <w:rPr>
          <w:lang w:val="hu-HU"/>
        </w:rPr>
      </w:pPr>
      <w:r>
        <w:rPr>
          <w:rFonts w:eastAsia="Times New Roman"/>
          <w:lang w:val="hu-HU"/>
        </w:rPr>
        <w:t>A TNF-antagonistákat kapó betegek fogékonyabbak a súlyos fertőzésekre. A károsodott légzésfunkció növelheti a fertőzések kialakulásának kockázatát. Ezért a Yuflyma-val való kezelés előtt, alatt és után a betegeknél gondosan figyelni kell a fertőzéseket, beleértve a tuberculosist is. Tekintettel arra, hogy az adalimumab teljes eliminációja akár négy hónapot vehet igénybe, a megfigyelés ezen idő alatt is szükséges.</w:t>
      </w:r>
    </w:p>
    <w:p w14:paraId="239D457F" w14:textId="77777777" w:rsidR="00C770CB" w:rsidRDefault="00C770CB" w:rsidP="00C770CB">
      <w:pPr>
        <w:spacing w:before="14" w:line="240" w:lineRule="exact"/>
        <w:rPr>
          <w:rFonts w:ascii="Times New Roman" w:hAnsi="Times New Roman" w:cs="Times New Roman"/>
          <w:lang w:val="hu-HU"/>
        </w:rPr>
      </w:pPr>
    </w:p>
    <w:p w14:paraId="637FE33D" w14:textId="77777777" w:rsidR="00C770CB" w:rsidRDefault="00C770CB" w:rsidP="00C770CB">
      <w:pPr>
        <w:pStyle w:val="a3"/>
        <w:rPr>
          <w:lang w:val="hu-HU"/>
        </w:rPr>
      </w:pPr>
      <w:r>
        <w:rPr>
          <w:rFonts w:eastAsia="Times New Roman"/>
          <w:lang w:val="hu-HU"/>
        </w:rPr>
        <w:t xml:space="preserve">Yuflyma-val való kezelés nem kezdhető aktív fertőzésben szenvedő betegek esetében, beleértve a krónikus és lokális fertőzéseket is, amíg a fertőzés nem gyógyul meg. A tuberculosis által veszélyeztetett betegeknél és azoknál a betegeknél, akik olyan területekre utaztak, ahol nagy a tuberculosis vagy az endemiás mycosisok, mint például a histoplasmosis, coccidioidomycosis vagy blastomycosis kockázata, a Yuflyma-kezelés kockázatát és előnyét a kezelés megkezdése előtt mérlegelni kell (lásd </w:t>
      </w:r>
      <w:r>
        <w:rPr>
          <w:rFonts w:eastAsia="Times New Roman"/>
          <w:i/>
          <w:iCs/>
          <w:lang w:val="hu-HU"/>
        </w:rPr>
        <w:t>Egyéb opportunista fertőzések</w:t>
      </w:r>
      <w:r>
        <w:rPr>
          <w:rFonts w:eastAsia="Times New Roman"/>
          <w:lang w:val="hu-HU"/>
        </w:rPr>
        <w:t>).</w:t>
      </w:r>
    </w:p>
    <w:p w14:paraId="3C3D8DA7" w14:textId="77777777" w:rsidR="00C770CB" w:rsidRDefault="00C770CB" w:rsidP="00C770CB">
      <w:pPr>
        <w:spacing w:before="13" w:line="240" w:lineRule="exact"/>
        <w:rPr>
          <w:rFonts w:ascii="Times New Roman" w:hAnsi="Times New Roman" w:cs="Times New Roman"/>
          <w:lang w:val="hu-HU"/>
        </w:rPr>
      </w:pPr>
    </w:p>
    <w:p w14:paraId="20700820" w14:textId="77777777" w:rsidR="00C770CB" w:rsidRDefault="00C770CB" w:rsidP="00C770CB">
      <w:pPr>
        <w:pStyle w:val="a3"/>
        <w:rPr>
          <w:lang w:val="hu-HU"/>
        </w:rPr>
      </w:pPr>
      <w:r>
        <w:rPr>
          <w:rFonts w:eastAsia="Times New Roman"/>
          <w:lang w:val="hu-HU"/>
        </w:rPr>
        <w:t xml:space="preserve">Szoros megfigyelés alatt kell tartani azokat a betegeket, akiknél a Yuflyma-val való kezelés során alakul ki </w:t>
      </w:r>
      <w:r>
        <w:rPr>
          <w:rFonts w:eastAsia="Times New Roman"/>
          <w:lang w:val="hu-HU"/>
        </w:rPr>
        <w:lastRenderedPageBreak/>
        <w:t>új fertőzés, és teljes diagnosztikus kivizsgáláson kell átesniük. Olyan esetekben, amikor új, súlyos fertőzés vagy sepsis alakul ki a Yuflyma- val való kezelést mindaddig abba kell hagyni, és megfelelő antimikrobiális és gombaellenes kezelést kell kezdeni, amíg a fertőzés meg nem gyógyul. Az orvos különös gonddal döntsön a Yuflyma adása mellett olyan betegek esetében, akiknek az anamnézisében visszatérő, gyakori fertőzések illetve fertőzésekre való hajlamosító tényező szerepel az immunoszuppresszív szerek egyidejű alkalmazását is beleértve.</w:t>
      </w:r>
    </w:p>
    <w:p w14:paraId="04F47FE8" w14:textId="77777777" w:rsidR="00C770CB" w:rsidRDefault="00C770CB" w:rsidP="00C770CB">
      <w:pPr>
        <w:pStyle w:val="a3"/>
        <w:rPr>
          <w:lang w:val="hu-HU"/>
        </w:rPr>
      </w:pPr>
    </w:p>
    <w:p w14:paraId="32DB9750" w14:textId="77777777" w:rsidR="00C770CB" w:rsidRDefault="00C770CB" w:rsidP="00C770CB">
      <w:pPr>
        <w:rPr>
          <w:rFonts w:ascii="Times New Roman" w:eastAsia="Times New Roman" w:hAnsi="Times New Roman" w:cs="Times New Roman"/>
          <w:lang w:val="hu-HU"/>
        </w:rPr>
      </w:pPr>
      <w:r>
        <w:rPr>
          <w:rFonts w:ascii="Times New Roman" w:eastAsia="Times New Roman" w:hAnsi="Times New Roman" w:cs="Times New Roman"/>
          <w:i/>
          <w:iCs/>
          <w:spacing w:val="-1"/>
          <w:lang w:val="hu-HU"/>
        </w:rPr>
        <w:t>Súlyos fertőzések</w:t>
      </w:r>
    </w:p>
    <w:p w14:paraId="2D489C19" w14:textId="77777777" w:rsidR="00C770CB" w:rsidRDefault="00C770CB" w:rsidP="00C770CB">
      <w:pPr>
        <w:spacing w:line="240" w:lineRule="exact"/>
        <w:rPr>
          <w:rFonts w:ascii="Times New Roman" w:hAnsi="Times New Roman" w:cs="Times New Roman"/>
          <w:lang w:val="hu-HU"/>
        </w:rPr>
      </w:pPr>
    </w:p>
    <w:p w14:paraId="55994239" w14:textId="77777777" w:rsidR="00C770CB" w:rsidRDefault="00C770CB" w:rsidP="00C770CB">
      <w:pPr>
        <w:pStyle w:val="a3"/>
        <w:rPr>
          <w:lang w:val="hu-HU"/>
        </w:rPr>
      </w:pPr>
      <w:r>
        <w:rPr>
          <w:rFonts w:eastAsia="Times New Roman"/>
          <w:lang w:val="hu-HU"/>
        </w:rPr>
        <w:t>Súlyos fertőzéseket, köztük bakteriális, mycobacterialis, invazív gomba - és vírusfertőzés okozta sepsist és egyéb opportunista fertőzéseket, például listeriosist és pneumocystis fertőzést is leírtak az adalimumabot kapó betegeknél.</w:t>
      </w:r>
    </w:p>
    <w:p w14:paraId="738E680F" w14:textId="77777777" w:rsidR="00C770CB" w:rsidRDefault="00C770CB" w:rsidP="00C770CB">
      <w:pPr>
        <w:spacing w:line="240" w:lineRule="exact"/>
        <w:rPr>
          <w:rFonts w:ascii="Times New Roman" w:hAnsi="Times New Roman" w:cs="Times New Roman"/>
          <w:lang w:val="hu-HU"/>
        </w:rPr>
      </w:pPr>
    </w:p>
    <w:p w14:paraId="393B021C" w14:textId="77777777" w:rsidR="00C770CB" w:rsidRDefault="00C770CB" w:rsidP="00C770CB">
      <w:pPr>
        <w:pStyle w:val="a3"/>
        <w:rPr>
          <w:lang w:val="hu-HU"/>
        </w:rPr>
      </w:pPr>
      <w:r>
        <w:rPr>
          <w:rFonts w:eastAsia="Times New Roman"/>
          <w:lang w:val="hu-HU"/>
        </w:rPr>
        <w:t>A klinikai vizsgálatokban további súlyos fertőzéseket köztük pneumoniát, pyelonephritist, septicus arthritist, valamint septicaemiát észleltek. A fertőzésekkel kapcsolatban hospitalizációról vagy fatális kimenetelről számoltak be.</w:t>
      </w:r>
    </w:p>
    <w:p w14:paraId="27CCACFD" w14:textId="77777777" w:rsidR="00C770CB" w:rsidRDefault="00C770CB" w:rsidP="00C770CB">
      <w:pPr>
        <w:spacing w:line="240" w:lineRule="exact"/>
        <w:rPr>
          <w:rFonts w:ascii="Times New Roman" w:hAnsi="Times New Roman" w:cs="Times New Roman"/>
          <w:lang w:val="hu-HU"/>
        </w:rPr>
      </w:pPr>
    </w:p>
    <w:p w14:paraId="72151DF4" w14:textId="77777777" w:rsidR="00C770CB" w:rsidRDefault="00C770CB" w:rsidP="00C770CB">
      <w:pPr>
        <w:rPr>
          <w:rFonts w:ascii="Times New Roman" w:eastAsia="Times New Roman" w:hAnsi="Times New Roman" w:cs="Times New Roman"/>
          <w:lang w:val="hu-HU"/>
        </w:rPr>
      </w:pPr>
      <w:r>
        <w:rPr>
          <w:rFonts w:ascii="Times New Roman" w:eastAsia="Times New Roman" w:hAnsi="Times New Roman" w:cs="Times New Roman"/>
          <w:i/>
          <w:iCs/>
          <w:spacing w:val="-1"/>
          <w:lang w:val="hu-HU"/>
        </w:rPr>
        <w:t>Tuberculosis</w:t>
      </w:r>
    </w:p>
    <w:p w14:paraId="2F2B14C0" w14:textId="77777777" w:rsidR="00C770CB" w:rsidRDefault="00C770CB" w:rsidP="00C770CB">
      <w:pPr>
        <w:spacing w:line="240" w:lineRule="exact"/>
        <w:rPr>
          <w:rFonts w:ascii="Times New Roman" w:hAnsi="Times New Roman" w:cs="Times New Roman"/>
          <w:lang w:val="hu-HU"/>
        </w:rPr>
      </w:pPr>
    </w:p>
    <w:p w14:paraId="22C7CE03" w14:textId="77777777" w:rsidR="00C770CB" w:rsidRDefault="00C770CB" w:rsidP="00C770CB">
      <w:pPr>
        <w:pStyle w:val="a3"/>
        <w:rPr>
          <w:lang w:val="hu-HU"/>
        </w:rPr>
      </w:pPr>
      <w:r>
        <w:rPr>
          <w:rFonts w:eastAsia="Times New Roman"/>
          <w:lang w:val="hu-HU"/>
        </w:rPr>
        <w:t>Az kezelt betegeknél tuberculosisról számoltak be, beleértve a reaktivációt és új tuberculosis kialakulását. A bejelentések pulmonalis és extrapulmonalis (azaz disszeminált) eseteket tartalmaztak.</w:t>
      </w:r>
    </w:p>
    <w:p w14:paraId="66370EC5" w14:textId="77777777" w:rsidR="00C770CB" w:rsidRDefault="00C770CB" w:rsidP="00C770CB">
      <w:pPr>
        <w:spacing w:line="240" w:lineRule="exact"/>
        <w:rPr>
          <w:rFonts w:ascii="Times New Roman" w:hAnsi="Times New Roman" w:cs="Times New Roman"/>
          <w:lang w:val="hu-HU"/>
        </w:rPr>
      </w:pPr>
    </w:p>
    <w:p w14:paraId="693E98EB" w14:textId="77777777" w:rsidR="00C770CB" w:rsidRDefault="00C770CB" w:rsidP="00C770CB">
      <w:pPr>
        <w:pStyle w:val="a3"/>
        <w:rPr>
          <w:lang w:val="hu-HU"/>
        </w:rPr>
      </w:pPr>
      <w:r>
        <w:rPr>
          <w:rFonts w:eastAsia="Times New Roman"/>
          <w:lang w:val="hu-HU"/>
        </w:rPr>
        <w:t>A Yuflyma-val való kezelés megkezdése előtt minden beteget meg kell vizsgálni aktív és inaktív („látens”) tuberculosis irányábanA felmérés során részletesen értékelni kell a beteg tuberculosissal kapcsolatos kórtörténetét, hogy a beteg kapcsolatba került-e aktív tuberculosisban szenvedő beteggel, valamint a múltban vagy jelenleg immunszuppresszív kezelés alatt áll-e. Minden beteg esetében a megfelelő szűrő vizsgálatok például tuberkulin bőrteszt és mellkasröntgen elvégzése szükséges (helyi irányelvek követendők). A szűrővizsgálatok elvégzésének tényét és azok eredményét javasolt feltüntetni a Betegemlékeztető Kártyán. A kezelés indikáló orvosnak számolnia kell az álnegatív tuberculin bőrteszt lehetőségével is, különösen a súlyos állapotú, illetve az immundeficiens betegek esetében.</w:t>
      </w:r>
    </w:p>
    <w:p w14:paraId="217D6B28" w14:textId="77777777" w:rsidR="00C770CB" w:rsidRDefault="00C770CB" w:rsidP="00C770CB">
      <w:pPr>
        <w:spacing w:before="13" w:line="240" w:lineRule="exact"/>
        <w:rPr>
          <w:rFonts w:ascii="Times New Roman" w:hAnsi="Times New Roman" w:cs="Times New Roman"/>
          <w:lang w:val="hu-HU"/>
        </w:rPr>
      </w:pPr>
    </w:p>
    <w:p w14:paraId="638493B4" w14:textId="77777777" w:rsidR="00C770CB" w:rsidRDefault="00C770CB" w:rsidP="00C770CB">
      <w:pPr>
        <w:pStyle w:val="a3"/>
        <w:rPr>
          <w:lang w:val="hu-HU"/>
        </w:rPr>
      </w:pPr>
      <w:r>
        <w:rPr>
          <w:rFonts w:eastAsia="Times New Roman"/>
          <w:lang w:val="hu-HU"/>
        </w:rPr>
        <w:t>Ha a diagnózis aktív tuberkulózis, a Yuflyma - kezelést nem szabad elkezdeni (lásd 4. 3 pont).</w:t>
      </w:r>
    </w:p>
    <w:p w14:paraId="702346BD" w14:textId="77777777" w:rsidR="00C770CB" w:rsidRDefault="00C770CB" w:rsidP="00C770CB">
      <w:pPr>
        <w:pStyle w:val="a3"/>
        <w:rPr>
          <w:lang w:val="hu-HU"/>
        </w:rPr>
      </w:pPr>
    </w:p>
    <w:p w14:paraId="145DC583" w14:textId="77777777" w:rsidR="00C770CB" w:rsidRDefault="00C770CB" w:rsidP="00C770CB">
      <w:pPr>
        <w:pStyle w:val="a3"/>
        <w:rPr>
          <w:lang w:val="hu-HU"/>
        </w:rPr>
      </w:pPr>
      <w:r>
        <w:rPr>
          <w:rFonts w:eastAsia="Times New Roman"/>
          <w:lang w:val="hu-HU"/>
        </w:rPr>
        <w:t>Minden, az alábbiakban megadott helyzetben nagyon gondosan kell mérlegelni a Yuflyma-kezelés előny/kockázat arányát.</w:t>
      </w:r>
    </w:p>
    <w:p w14:paraId="6C6EE803" w14:textId="77777777" w:rsidR="00C770CB" w:rsidRDefault="00C770CB" w:rsidP="00C770CB">
      <w:pPr>
        <w:pStyle w:val="a3"/>
        <w:rPr>
          <w:lang w:val="hu-HU"/>
        </w:rPr>
      </w:pPr>
    </w:p>
    <w:p w14:paraId="75C7A87B" w14:textId="77777777" w:rsidR="00C770CB" w:rsidRDefault="00C770CB" w:rsidP="00C770CB">
      <w:pPr>
        <w:pStyle w:val="a3"/>
        <w:rPr>
          <w:lang w:val="hu-HU"/>
        </w:rPr>
      </w:pPr>
      <w:r>
        <w:rPr>
          <w:rFonts w:eastAsia="Times New Roman"/>
          <w:lang w:val="hu-HU"/>
        </w:rPr>
        <w:t>Ha inaktív (latens) tuberkulózist diagnosztizáltak, el kell kezdeni a latens tuberkulózis antituberkulotikus terápiáját a Remicade-kezelés megkezdése előtt a helyi ajánlásoknak megfelelen.</w:t>
      </w:r>
    </w:p>
    <w:p w14:paraId="07977E62" w14:textId="77777777" w:rsidR="00C770CB" w:rsidRDefault="00C770CB" w:rsidP="00C770CB">
      <w:pPr>
        <w:spacing w:before="11" w:line="240" w:lineRule="exact"/>
        <w:rPr>
          <w:rFonts w:ascii="Times New Roman" w:hAnsi="Times New Roman" w:cs="Times New Roman"/>
          <w:lang w:val="hu-HU"/>
        </w:rPr>
      </w:pPr>
    </w:p>
    <w:p w14:paraId="59D82747" w14:textId="77777777" w:rsidR="00C770CB" w:rsidRDefault="00C770CB" w:rsidP="00C770CB">
      <w:pPr>
        <w:pStyle w:val="a3"/>
        <w:rPr>
          <w:lang w:val="hu-HU"/>
        </w:rPr>
      </w:pPr>
      <w:r>
        <w:rPr>
          <w:rFonts w:eastAsia="Times New Roman"/>
          <w:lang w:val="hu-HU"/>
        </w:rPr>
        <w:t>Ha látens tuberculosist diagnosztizálnak, a látens tuberculosis helyi ajánlásokkal összhangban lévő, antituberculotikus profilaktikus kezelésének a Yuflyma alkalmazásának megkezdése előtt el kell kezdődnie.</w:t>
      </w:r>
    </w:p>
    <w:p w14:paraId="5467B90A" w14:textId="77777777" w:rsidR="00C770CB" w:rsidRDefault="00C770CB" w:rsidP="00C770CB">
      <w:pPr>
        <w:spacing w:before="12" w:line="240" w:lineRule="exact"/>
        <w:rPr>
          <w:rFonts w:ascii="Times New Roman" w:hAnsi="Times New Roman" w:cs="Times New Roman"/>
          <w:lang w:val="hu-HU"/>
        </w:rPr>
      </w:pPr>
    </w:p>
    <w:p w14:paraId="2A32A434" w14:textId="77777777" w:rsidR="00C770CB" w:rsidRDefault="00C770CB" w:rsidP="00C770CB">
      <w:pPr>
        <w:pStyle w:val="a3"/>
        <w:rPr>
          <w:lang w:val="hu-HU"/>
        </w:rPr>
      </w:pPr>
      <w:r>
        <w:rPr>
          <w:rFonts w:eastAsia="Times New Roman"/>
          <w:lang w:val="hu-HU"/>
        </w:rPr>
        <w:t>Yuflyma -kezelés indítása előtt az antituberkulotikus profilaktikus kezelést azoknál a betegeknél is fontolóra kell venni, akik a tuberculosis több vagy jelentős kockázati tényezőjével rendelkeznek, bár a tuberculosis-tesztjük negatív, valamint akiknek az anamnézisében látens vagy aktív tuberculosis szerepel, de annak megfelelő kezelése nem igazolható.</w:t>
      </w:r>
    </w:p>
    <w:p w14:paraId="73D2241F" w14:textId="77777777" w:rsidR="00C770CB" w:rsidRDefault="00C770CB" w:rsidP="00C770CB">
      <w:pPr>
        <w:spacing w:before="17" w:line="240" w:lineRule="exact"/>
        <w:rPr>
          <w:rFonts w:ascii="Times New Roman" w:hAnsi="Times New Roman" w:cs="Times New Roman"/>
          <w:lang w:val="hu-HU"/>
        </w:rPr>
      </w:pPr>
    </w:p>
    <w:p w14:paraId="5FC0B32B" w14:textId="77777777" w:rsidR="00C770CB" w:rsidRDefault="00C770CB" w:rsidP="00C770CB">
      <w:pPr>
        <w:pStyle w:val="a3"/>
        <w:rPr>
          <w:lang w:val="hu-HU"/>
        </w:rPr>
      </w:pPr>
      <w:r>
        <w:rPr>
          <w:rFonts w:eastAsia="Times New Roman"/>
          <w:lang w:val="hu-HU"/>
        </w:rPr>
        <w:t>A profilaktikus antituberkulotikus kezelés ellenére előfordultak tuberculosis reaktiválódásának esetei Yuflyma-val kezelt betegeknél. Egyes betegeknél, akiket korábban sikeresen kezeltek aktív tuberculosis ellen, a Yuflyma-kezelés alatt ismét tuberculosis alakult ki</w:t>
      </w:r>
    </w:p>
    <w:p w14:paraId="7EA666D6" w14:textId="77777777" w:rsidR="00C770CB" w:rsidRDefault="00C770CB" w:rsidP="00C770CB">
      <w:pPr>
        <w:spacing w:before="11" w:line="240" w:lineRule="exact"/>
        <w:rPr>
          <w:rFonts w:ascii="Times New Roman" w:hAnsi="Times New Roman" w:cs="Times New Roman"/>
          <w:lang w:val="hu-HU"/>
        </w:rPr>
      </w:pPr>
    </w:p>
    <w:p w14:paraId="50C4275D" w14:textId="77777777" w:rsidR="00C770CB" w:rsidRDefault="00C770CB" w:rsidP="00C770CB">
      <w:pPr>
        <w:pStyle w:val="a3"/>
        <w:rPr>
          <w:lang w:val="hu-HU"/>
        </w:rPr>
      </w:pPr>
      <w:r>
        <w:rPr>
          <w:rFonts w:eastAsia="Times New Roman"/>
          <w:lang w:val="hu-HU"/>
        </w:rPr>
        <w:t>A betegeket tájékoztatni kell, hogy – Yuflyma -kezelés alatt vagy után – tuberculosisra jellemző tünetek (például tartós köhögés, fogyás, kisebb fokú láz, fáradékonyság) fellépése esetén forduljanak orvoshoz.</w:t>
      </w:r>
    </w:p>
    <w:p w14:paraId="1026EBF0" w14:textId="77777777" w:rsidR="00C770CB" w:rsidRDefault="00C770CB" w:rsidP="00C770CB">
      <w:pPr>
        <w:ind w:left="111"/>
        <w:rPr>
          <w:rFonts w:ascii="Times New Roman" w:hAnsi="Times New Roman" w:cs="Times New Roman"/>
          <w:lang w:val="hu-HU"/>
        </w:rPr>
      </w:pPr>
    </w:p>
    <w:p w14:paraId="4035FECD" w14:textId="77777777" w:rsidR="00C770CB" w:rsidRDefault="00C770CB" w:rsidP="00C770CB">
      <w:pPr>
        <w:rPr>
          <w:rFonts w:ascii="Times New Roman" w:eastAsia="Times New Roman" w:hAnsi="Times New Roman" w:cs="Times New Roman"/>
          <w:lang w:val="hu-HU"/>
        </w:rPr>
      </w:pPr>
      <w:r w:rsidRPr="00926C92">
        <w:rPr>
          <w:rFonts w:ascii="Times New Roman" w:eastAsia="Times New Roman" w:hAnsi="Times New Roman" w:cs="Times New Roman"/>
          <w:i/>
          <w:iCs/>
          <w:spacing w:val="-1"/>
          <w:lang w:val="hu-HU"/>
        </w:rPr>
        <w:lastRenderedPageBreak/>
        <w:t>Egyéb opportunista fertőzések</w:t>
      </w:r>
    </w:p>
    <w:p w14:paraId="727CC32E" w14:textId="77777777" w:rsidR="00C770CB" w:rsidRDefault="00C770CB" w:rsidP="00C770CB">
      <w:pPr>
        <w:spacing w:before="13" w:line="240" w:lineRule="exact"/>
        <w:rPr>
          <w:rFonts w:ascii="Times New Roman" w:hAnsi="Times New Roman" w:cs="Times New Roman"/>
          <w:lang w:val="hu-HU"/>
        </w:rPr>
      </w:pPr>
    </w:p>
    <w:p w14:paraId="3758AB35" w14:textId="77777777" w:rsidR="00C770CB" w:rsidRDefault="00C770CB" w:rsidP="00C770CB">
      <w:pPr>
        <w:pStyle w:val="a3"/>
        <w:rPr>
          <w:lang w:val="hu-HU"/>
        </w:rPr>
      </w:pPr>
      <w:r>
        <w:rPr>
          <w:rFonts w:eastAsia="Times New Roman"/>
          <w:lang w:val="hu-HU"/>
        </w:rPr>
        <w:t>A Yuflyma-kezelést kapó betegeknél opportunista fertőzéseket köztük invazív gombafertőzéseket észleltek. Ezek a fertőzések a TNF-gátlókat kapó betegeknél nem kerültek következetesen felismerésre, és ez a megfelelő kezelés késlekedését eredményezte, ami néha halálos kimenetelhez vezetett.</w:t>
      </w:r>
    </w:p>
    <w:p w14:paraId="5FACCE85" w14:textId="77777777" w:rsidR="00C770CB" w:rsidRDefault="00C770CB" w:rsidP="00C770CB">
      <w:pPr>
        <w:pStyle w:val="a3"/>
        <w:rPr>
          <w:lang w:val="hu-HU"/>
        </w:rPr>
      </w:pPr>
    </w:p>
    <w:p w14:paraId="037B9BFD" w14:textId="77777777" w:rsidR="00C770CB" w:rsidRDefault="00C770CB" w:rsidP="00C770CB">
      <w:pPr>
        <w:pStyle w:val="a3"/>
        <w:rPr>
          <w:lang w:val="hu-HU"/>
        </w:rPr>
      </w:pPr>
      <w:r>
        <w:rPr>
          <w:rFonts w:eastAsia="Times New Roman"/>
          <w:lang w:val="hu-HU"/>
        </w:rPr>
        <w:t>Azoknál a betegeknél, akiknél olyan panaszok és tünetek alakulnak ki, mint például a láz, rossz közérzet, fogyás, verejtékezés, köhögés, dyspnoe és vagy pulmonalis infiltrátumok vagy sokkal vagy anélkül jelentkező egyéb súlyos, szisztémás betegségek, invazív gombafertőzésre kell gyanakodni, és a Yuflyma adását azonnal abba kell hagyni, és el kell kezdeni a megfelelő gombaellenes kezelést. Ezeknél a betegeknél a diagnózis megállapítását és az empirikus gombaellenes kezelés megkezdését olyan szakemberrel történő konzultációt követően kell elvégezni, aki jártas az invazív gombafertőzések kezelésében.</w:t>
      </w:r>
    </w:p>
    <w:p w14:paraId="381BD9F4" w14:textId="77777777" w:rsidR="00C770CB" w:rsidRDefault="00C770CB" w:rsidP="00C770CB">
      <w:pPr>
        <w:spacing w:before="13" w:line="240" w:lineRule="exact"/>
        <w:rPr>
          <w:rFonts w:ascii="Times New Roman" w:hAnsi="Times New Roman" w:cs="Times New Roman"/>
          <w:lang w:val="hu-HU"/>
        </w:rPr>
      </w:pPr>
    </w:p>
    <w:p w14:paraId="1F854374" w14:textId="77777777" w:rsidR="00C770CB" w:rsidRDefault="00C770CB" w:rsidP="00C770CB">
      <w:pPr>
        <w:pStyle w:val="a3"/>
        <w:rPr>
          <w:u w:val="single"/>
          <w:lang w:val="hu-HU"/>
        </w:rPr>
      </w:pPr>
      <w:r>
        <w:rPr>
          <w:rFonts w:eastAsia="Times New Roman"/>
          <w:u w:val="single" w:color="000000"/>
          <w:lang w:val="hu-HU"/>
        </w:rPr>
        <w:t>Hepatitis B reaktiválódása</w:t>
      </w:r>
    </w:p>
    <w:p w14:paraId="56797C80" w14:textId="77777777" w:rsidR="00C770CB" w:rsidRDefault="00C770CB" w:rsidP="00C770CB">
      <w:pPr>
        <w:spacing w:before="9" w:line="170" w:lineRule="exact"/>
        <w:rPr>
          <w:rFonts w:ascii="Times New Roman" w:hAnsi="Times New Roman" w:cs="Times New Roman"/>
          <w:lang w:val="hu-HU"/>
        </w:rPr>
      </w:pPr>
    </w:p>
    <w:p w14:paraId="0DAA1FA8" w14:textId="77777777" w:rsidR="00C770CB" w:rsidRDefault="00C770CB" w:rsidP="00C770CB">
      <w:pPr>
        <w:pStyle w:val="a3"/>
        <w:rPr>
          <w:lang w:val="hu-HU"/>
        </w:rPr>
      </w:pPr>
      <w:r>
        <w:rPr>
          <w:rFonts w:eastAsia="Times New Roman"/>
          <w:lang w:val="hu-HU"/>
        </w:rPr>
        <w:t>Krónikus hepatitis B-vírus-hordozó betegeknél (azaz a felszíni antigén pozitív) a hepatitis B reaktiválódása fordult elő, amennyiben TNF-antagonista (köztük adalimumab) kezelésben részesültek. Néhány esetben ez halálhoz vezetett. A Yuflyma-kezelés elkezdése előtt a betegeket HBV-fertőzés irányában vizsgálni kell. Azoknál a betegeknél, akiknél a hepatitis B infekció vizsgálatának eredménye pozitív, konzultáció javasolt egy, a hepatitis B kezelésében jártas orvossal.</w:t>
      </w:r>
    </w:p>
    <w:p w14:paraId="528D2BC0" w14:textId="77777777" w:rsidR="00C770CB" w:rsidRDefault="00C770CB" w:rsidP="00C770CB">
      <w:pPr>
        <w:spacing w:before="13" w:line="240" w:lineRule="exact"/>
        <w:rPr>
          <w:rFonts w:ascii="Times New Roman" w:hAnsi="Times New Roman" w:cs="Times New Roman"/>
          <w:lang w:val="hu-HU"/>
        </w:rPr>
      </w:pPr>
    </w:p>
    <w:p w14:paraId="0CD435AD" w14:textId="77777777" w:rsidR="00C770CB" w:rsidRDefault="00C770CB" w:rsidP="00C770CB">
      <w:pPr>
        <w:pStyle w:val="a3"/>
        <w:rPr>
          <w:lang w:val="hu-HU"/>
        </w:rPr>
      </w:pPr>
      <w:r>
        <w:rPr>
          <w:rFonts w:eastAsia="Times New Roman"/>
          <w:lang w:val="hu-HU"/>
        </w:rPr>
        <w:t xml:space="preserve">A Yuflyma terápiára szoruló HBV hordozókat a kezelés ideje alatt, illetve a befejezését követő néhány hónapon keresztül gondosan meg kell figyelni, hogy jelentkeznek- e rajtuk aktív HBV fertőzésre utaló panaszok és tünetek. A HBV-hordozóknak a HBV reaktiválódásának megelőzése céljából végzett TNF-antagonista és antiretrovirális szer kombinációjával végzett kezeléséről nem állnak rendelkezésre megfelelő adatok. Azoknál a betegeknél, akiknél a HBV reaktiválódása alakul ki, abba kell hagyni a Yuflyma adását, és hatékony antiretrovirális szer adását, valamint megfelelő szupportív kezelést kell kezdeni. </w:t>
      </w:r>
    </w:p>
    <w:p w14:paraId="441BE7EB" w14:textId="77777777" w:rsidR="00C770CB" w:rsidRDefault="00C770CB" w:rsidP="00C770CB">
      <w:pPr>
        <w:spacing w:before="13" w:line="240" w:lineRule="exact"/>
        <w:rPr>
          <w:rFonts w:ascii="Times New Roman" w:hAnsi="Times New Roman" w:cs="Times New Roman"/>
          <w:lang w:val="hu-HU"/>
        </w:rPr>
      </w:pPr>
    </w:p>
    <w:p w14:paraId="7D9CF371" w14:textId="77777777" w:rsidR="00C770CB" w:rsidRDefault="00C770CB" w:rsidP="00C770CB">
      <w:pPr>
        <w:pStyle w:val="a3"/>
        <w:rPr>
          <w:u w:val="single"/>
          <w:lang w:val="hu-HU"/>
        </w:rPr>
      </w:pPr>
      <w:r>
        <w:rPr>
          <w:rFonts w:eastAsia="Times New Roman"/>
          <w:u w:val="single" w:color="000000"/>
          <w:lang w:val="hu-HU"/>
        </w:rPr>
        <w:t>Neurológiai vonatkozások</w:t>
      </w:r>
    </w:p>
    <w:p w14:paraId="0934246D" w14:textId="77777777" w:rsidR="00C770CB" w:rsidRDefault="00C770CB" w:rsidP="00C770CB">
      <w:pPr>
        <w:spacing w:before="1" w:line="180" w:lineRule="exact"/>
        <w:rPr>
          <w:rFonts w:ascii="Times New Roman" w:hAnsi="Times New Roman" w:cs="Times New Roman"/>
          <w:lang w:val="hu-HU"/>
        </w:rPr>
      </w:pPr>
    </w:p>
    <w:p w14:paraId="30660C24" w14:textId="77777777" w:rsidR="00C770CB" w:rsidRDefault="00C770CB" w:rsidP="00C770CB">
      <w:pPr>
        <w:pStyle w:val="a3"/>
        <w:rPr>
          <w:lang w:val="hu-HU"/>
        </w:rPr>
      </w:pPr>
      <w:r>
        <w:rPr>
          <w:rFonts w:eastAsia="Times New Roman"/>
          <w:lang w:val="hu-HU"/>
        </w:rPr>
        <w:t>A TNF-antagonisták, beleértve az adalimumabot, ritkán a központi idegrendszeri demyelinisatiós betegség (közte a sclerosis multiplex és az opticus neuritis) és a perifériás demyelinisatiós betegség (közte a Guillan-Barré szindróma) klinikai tüneteinek és/vagy radiológiai bizonyítékának új megjelenésével vagy súlyosbodásával társultak. A gyógyszert felíró orvosnak különös gonddal kell eljárnia olyan esetekben, amikor Yuflyma-kezelés lehetősége felmerül régi vagy friss központi idegrendszeri vagy perifériás demyelinisatiós betegségben szenvedő betegeknél; ezen betegségek bármelyikének kialakulása esetén fontolóra kell venni a Yuflyma adásának felfüggesztését. Ismert az összefüggés az intermedier uveitis és a központi idegrendszeri demyelinisatiós betegség között. A nem fertőzéses eredetű, intermedier uveitisben szenvedő betegeknél neurológiai vizsgálatot kell végezni a Yuflyma-kezelés megkezdése előtt és a kezelés ideje alatt rendszeresen, a már meglévő vagy kialakuló központi idegrendszeri demyelinisatiós betegség értékelésére</w:t>
      </w:r>
    </w:p>
    <w:p w14:paraId="55EC90CD" w14:textId="77777777" w:rsidR="00C770CB" w:rsidRDefault="00C770CB" w:rsidP="00C770CB">
      <w:pPr>
        <w:spacing w:before="13" w:line="240" w:lineRule="exact"/>
        <w:rPr>
          <w:rFonts w:ascii="Times New Roman" w:hAnsi="Times New Roman" w:cs="Times New Roman"/>
          <w:lang w:val="hu-HU"/>
        </w:rPr>
      </w:pPr>
    </w:p>
    <w:p w14:paraId="6F7BEC80" w14:textId="77777777" w:rsidR="00C770CB" w:rsidRDefault="00C770CB" w:rsidP="00C770CB">
      <w:pPr>
        <w:pStyle w:val="a3"/>
        <w:rPr>
          <w:u w:val="single"/>
          <w:lang w:val="hu-HU"/>
        </w:rPr>
      </w:pPr>
      <w:r>
        <w:rPr>
          <w:rFonts w:eastAsia="Times New Roman"/>
          <w:u w:val="single" w:color="000000"/>
          <w:lang w:val="hu-HU"/>
        </w:rPr>
        <w:t>Allergiás reakciók</w:t>
      </w:r>
    </w:p>
    <w:p w14:paraId="002CD726" w14:textId="77777777" w:rsidR="00C770CB" w:rsidRDefault="00C770CB" w:rsidP="00C770CB">
      <w:pPr>
        <w:spacing w:before="9" w:line="170" w:lineRule="exact"/>
        <w:rPr>
          <w:rFonts w:ascii="Times New Roman" w:hAnsi="Times New Roman" w:cs="Times New Roman"/>
          <w:lang w:val="hu-HU"/>
        </w:rPr>
      </w:pPr>
    </w:p>
    <w:p w14:paraId="53468EF7" w14:textId="77777777" w:rsidR="00C770CB" w:rsidRDefault="00C770CB" w:rsidP="00C770CB">
      <w:pPr>
        <w:pStyle w:val="a3"/>
        <w:rPr>
          <w:lang w:val="hu-HU"/>
        </w:rPr>
      </w:pPr>
      <w:r>
        <w:rPr>
          <w:rFonts w:eastAsia="Times New Roman"/>
          <w:lang w:val="hu-HU"/>
        </w:rPr>
        <w:t>A klinikai vizsgálatok során az adalimumab alkalmazásával összefüggő súlyos allergiás reakciók ritkán fordultak elő. Nem súlyos allergiás reakciók nem gyakran fordultak elő az adalimumabbal végzett klinikai vizsgálatok során. Az adalimumab alkalmazását követően jelentettek súlyos allergiás reakciót, beleértve az anafilaxiát. Ha anafilaxiás vagy más súlyos allergiás reakció fordul elő a Yuflyma adását azonnal abba kell hagyni, és a megfelelő kezelést kell elkezdeni.</w:t>
      </w:r>
    </w:p>
    <w:p w14:paraId="54E7827B" w14:textId="77777777" w:rsidR="00C770CB" w:rsidRDefault="00C770CB" w:rsidP="00C770CB">
      <w:pPr>
        <w:spacing w:before="13" w:line="240" w:lineRule="exact"/>
        <w:rPr>
          <w:rFonts w:ascii="Times New Roman" w:hAnsi="Times New Roman" w:cs="Times New Roman"/>
          <w:lang w:val="hu-HU"/>
        </w:rPr>
      </w:pPr>
    </w:p>
    <w:p w14:paraId="50858E5C" w14:textId="77777777" w:rsidR="00C770CB" w:rsidRDefault="00C770CB" w:rsidP="00C770CB">
      <w:pPr>
        <w:pStyle w:val="a3"/>
        <w:rPr>
          <w:u w:val="single"/>
          <w:lang w:val="hu-HU"/>
        </w:rPr>
      </w:pPr>
      <w:r>
        <w:rPr>
          <w:rFonts w:eastAsia="Times New Roman"/>
          <w:u w:val="single" w:color="000000"/>
          <w:lang w:val="hu-HU"/>
        </w:rPr>
        <w:t>Immunszuppresszió</w:t>
      </w:r>
    </w:p>
    <w:p w14:paraId="2EB34BEB" w14:textId="77777777" w:rsidR="00C770CB" w:rsidRDefault="00C770CB" w:rsidP="00C770CB">
      <w:pPr>
        <w:spacing w:before="1" w:line="180" w:lineRule="exact"/>
        <w:rPr>
          <w:rFonts w:ascii="Times New Roman" w:hAnsi="Times New Roman" w:cs="Times New Roman"/>
          <w:lang w:val="hu-HU"/>
        </w:rPr>
      </w:pPr>
    </w:p>
    <w:p w14:paraId="2F7450D0" w14:textId="77777777" w:rsidR="00C770CB" w:rsidRDefault="00C770CB" w:rsidP="00C770CB">
      <w:pPr>
        <w:pStyle w:val="a3"/>
        <w:rPr>
          <w:lang w:val="hu-HU"/>
        </w:rPr>
      </w:pPr>
      <w:r>
        <w:rPr>
          <w:rFonts w:eastAsia="Times New Roman"/>
          <w:lang w:val="hu-HU"/>
        </w:rPr>
        <w:t>Rheumatoid arthritisben szenvedő, Yuflyma-val kezelt 64 beteg vizsgálata során nem tapasztaltak csökkent késői típusú hyperszenzitivitási reakciót, alacsonyabb immunglobulin szinteket, illetve nem észleltek változást az effektor- T -, B - és NK- sejtek, monocyták/ macrophagok és neutrophilek számában.</w:t>
      </w:r>
    </w:p>
    <w:p w14:paraId="1C4CF842" w14:textId="77777777" w:rsidR="00C770CB" w:rsidRDefault="00C770CB" w:rsidP="00C770CB">
      <w:pPr>
        <w:spacing w:before="11" w:line="240" w:lineRule="exact"/>
        <w:rPr>
          <w:rFonts w:ascii="Times New Roman" w:hAnsi="Times New Roman" w:cs="Times New Roman"/>
          <w:lang w:val="hu-HU"/>
        </w:rPr>
      </w:pPr>
    </w:p>
    <w:p w14:paraId="4FDCB466" w14:textId="77777777" w:rsidR="00C770CB" w:rsidRDefault="00C770CB" w:rsidP="00C770CB">
      <w:pPr>
        <w:pStyle w:val="a3"/>
        <w:rPr>
          <w:u w:val="single"/>
          <w:lang w:val="hu-HU"/>
        </w:rPr>
      </w:pPr>
      <w:r>
        <w:rPr>
          <w:rFonts w:eastAsia="Times New Roman"/>
          <w:u w:val="single" w:color="000000"/>
          <w:lang w:val="hu-HU"/>
        </w:rPr>
        <w:t>Malignus és lymphoproliferatív betegségek</w:t>
      </w:r>
    </w:p>
    <w:p w14:paraId="61017E46" w14:textId="77777777" w:rsidR="00C770CB" w:rsidRDefault="00C770CB" w:rsidP="00C770CB">
      <w:pPr>
        <w:spacing w:before="1" w:line="180" w:lineRule="exact"/>
        <w:rPr>
          <w:rFonts w:ascii="Times New Roman" w:hAnsi="Times New Roman" w:cs="Times New Roman"/>
          <w:lang w:val="hu-HU"/>
        </w:rPr>
      </w:pPr>
    </w:p>
    <w:p w14:paraId="11563FBD" w14:textId="77777777" w:rsidR="00C770CB" w:rsidRDefault="00C770CB" w:rsidP="00C770CB">
      <w:pPr>
        <w:pStyle w:val="a3"/>
        <w:rPr>
          <w:lang w:val="hu-HU"/>
        </w:rPr>
      </w:pPr>
      <w:r>
        <w:rPr>
          <w:rFonts w:eastAsia="Times New Roman"/>
          <w:lang w:val="hu-HU"/>
        </w:rPr>
        <w:t>A TNF-gátlókkal végzett klinikai vizsgálatok során a TNF- gátlót kapott betegek körében nagyobb számban észleltek malignomákat, beleértve a lymphomát, mint a kontrollcsoport betegeinél. Ez azonban ritkán fordult elő. Posztmarketing alkalmazás körülményei között TNF-antagonistával kezelt betegek körében leukémiás eseteket jelentettek. A kockázat megítélését nehezíti, hogy a lymphoma és a leukémia háttérkockázata nagyobb olyan rheumatoid arthritisben szenvedő betegeknél, akiknek régóta fennálló, fokozott aktivitású gyulladásos betegségük vanJelenlegi ismereteink szerint a TNF-antagonistákkal kezelt betegeknél a lymphoma, leukaemia vagy más malignus betegségek kialakulásának lehetséges rizikója nem zárható ki</w:t>
      </w:r>
    </w:p>
    <w:p w14:paraId="34D7F640" w14:textId="77777777" w:rsidR="00C770CB" w:rsidRDefault="00C770CB" w:rsidP="00C770CB">
      <w:pPr>
        <w:spacing w:before="13" w:line="240" w:lineRule="exact"/>
        <w:rPr>
          <w:rFonts w:ascii="Times New Roman" w:hAnsi="Times New Roman" w:cs="Times New Roman"/>
          <w:lang w:val="hu-HU"/>
        </w:rPr>
      </w:pPr>
    </w:p>
    <w:p w14:paraId="5C0EBEC1" w14:textId="77777777" w:rsidR="00C770CB" w:rsidRDefault="00C770CB" w:rsidP="00C770CB">
      <w:pPr>
        <w:pStyle w:val="a3"/>
        <w:rPr>
          <w:lang w:val="hu-HU"/>
        </w:rPr>
      </w:pPr>
      <w:r>
        <w:rPr>
          <w:rFonts w:eastAsia="Times New Roman"/>
          <w:lang w:val="hu-HU"/>
        </w:rPr>
        <w:t>A forgalomba hozatalt követő megfigyelés során a TNF-blokkoló szerekkel, köztük az adalimumabbal kezelt (a kezelés megkezdése ≤ 18 éves életkor) gyermekeknél, serdülőknél és fiatal felnőtteknél (22 éves korig) malignitásokról számoltak be, melyek némelyike végzetes kimenetelű volt. Az esetek mintegy fele lymphoma volt. A többi eset sokféle különböző malignitás volt, köztük ritka malignitások is, amelyek rendszerint immunszuppresszióhoz társultak. A TNF-blokkolókkal kezelt gyermekeknél és serdülőknél a malignitások kialakulásának kockázata nem zárható ki.</w:t>
      </w:r>
    </w:p>
    <w:p w14:paraId="3CB8D339" w14:textId="77777777" w:rsidR="00C770CB" w:rsidRDefault="00C770CB" w:rsidP="00C770CB">
      <w:pPr>
        <w:spacing w:before="11" w:line="240" w:lineRule="exact"/>
        <w:rPr>
          <w:rFonts w:ascii="Times New Roman" w:hAnsi="Times New Roman" w:cs="Times New Roman"/>
          <w:lang w:val="hu-HU"/>
        </w:rPr>
      </w:pPr>
    </w:p>
    <w:p w14:paraId="198BF4C5" w14:textId="77777777" w:rsidR="00C770CB" w:rsidRDefault="00C770CB" w:rsidP="00C770CB">
      <w:pPr>
        <w:pStyle w:val="a3"/>
        <w:rPr>
          <w:lang w:val="hu-HU"/>
        </w:rPr>
      </w:pPr>
      <w:r>
        <w:rPr>
          <w:rFonts w:eastAsia="Times New Roman"/>
          <w:lang w:val="hu-HU"/>
        </w:rPr>
        <w:t>Adalimumabbal kezelt betegeknél a forgalomba hozatalt követően ritkán hepatosplenikus T- sejtes lymphoma eseteket észleltek. A T- sejtes lymphoma e ritkán előforduló típusa nagyon agresszív lefolyású és rendszerint halálos kimenetelű. A kezelés során észlelt hepatosplenikus T- sejtes lymphoma esetek némelyike olyan fiatal felnőtt betegeknél fordult elő, akiket Crohn- betegség ellen egyidejűleg azatioprinnel, illetve 6- merkaptopurinnal kezeltek. Az azatioprin vagy a 6-merkaptopurin Yuflyma-val történő egyidejű adásának lehetséges kockázatát alaposan mérlegelni kell. A hepatosplenicus T-sejtes lymphoma kialakulása nem zárható ki a Yuflyma-val kezelt betegeknél (lásd 4.8 pont).</w:t>
      </w:r>
    </w:p>
    <w:p w14:paraId="2939F2D9" w14:textId="77777777" w:rsidR="00C770CB" w:rsidRDefault="00C770CB" w:rsidP="00C770CB">
      <w:pPr>
        <w:spacing w:before="11" w:line="240" w:lineRule="exact"/>
        <w:rPr>
          <w:rFonts w:ascii="Times New Roman" w:hAnsi="Times New Roman" w:cs="Times New Roman"/>
          <w:lang w:val="hu-HU"/>
        </w:rPr>
      </w:pPr>
    </w:p>
    <w:p w14:paraId="2F263B09" w14:textId="77777777" w:rsidR="00C770CB" w:rsidRDefault="00C770CB" w:rsidP="00C770CB">
      <w:pPr>
        <w:pStyle w:val="a3"/>
        <w:rPr>
          <w:lang w:val="hu-HU"/>
        </w:rPr>
      </w:pPr>
      <w:r>
        <w:rPr>
          <w:rFonts w:eastAsia="Times New Roman"/>
          <w:lang w:val="hu-HU"/>
        </w:rPr>
        <w:t>Ezidáig nem végeztek vizsgálatokat olyan betegek bevonásával, akik kórtörténetében malignitás szerepelt, vagy akiknél az adalimumab kezelést malignitás kialakulását követően is folytatták. Ezért ezen betegek Yuflyma -kezelésbe való bevonásának mérlegelésekor fokozott elővigyázatosság szükséges (lásd 4. 8 pont).</w:t>
      </w:r>
    </w:p>
    <w:p w14:paraId="68B397B1" w14:textId="77777777" w:rsidR="00C770CB" w:rsidRDefault="00C770CB" w:rsidP="00C770CB">
      <w:pPr>
        <w:spacing w:before="13" w:line="240" w:lineRule="exact"/>
        <w:rPr>
          <w:rFonts w:ascii="Times New Roman" w:hAnsi="Times New Roman" w:cs="Times New Roman"/>
          <w:lang w:val="hu-HU"/>
        </w:rPr>
      </w:pPr>
    </w:p>
    <w:p w14:paraId="4CCF4FD2" w14:textId="77777777" w:rsidR="00C770CB" w:rsidRDefault="00C770CB" w:rsidP="00C770CB">
      <w:pPr>
        <w:pStyle w:val="a3"/>
        <w:rPr>
          <w:lang w:val="hu-HU"/>
        </w:rPr>
      </w:pPr>
      <w:r>
        <w:rPr>
          <w:rFonts w:eastAsia="Times New Roman"/>
          <w:lang w:val="hu-HU"/>
        </w:rPr>
        <w:t>Minden betegnél, de főként azoknál, akiknek az anamnézisében extenzív immunszuppresszív kezelés szerepel, illetve olyan psoriasisos betegeknél, akik PUFA- kezelést kaptak, a Yuflyma- kezelés kezdete előtt és az alatt vizsgálni kell a nem melanomás bőrrák előfordulását. Melanoma és Merkel-sejtes carcinoma előfordulásáról is beszámoltak TNF-antagonistával kezelt betegeknél, beleértve az adalimumabot (lásd 4.8 pont).</w:t>
      </w:r>
    </w:p>
    <w:p w14:paraId="4836020E" w14:textId="77777777" w:rsidR="00C770CB" w:rsidRDefault="00C770CB" w:rsidP="00C770CB">
      <w:pPr>
        <w:spacing w:before="13" w:line="240" w:lineRule="exact"/>
        <w:rPr>
          <w:rFonts w:ascii="Times New Roman" w:hAnsi="Times New Roman" w:cs="Times New Roman"/>
          <w:lang w:val="hu-HU"/>
        </w:rPr>
      </w:pPr>
    </w:p>
    <w:p w14:paraId="5AF9B9F6" w14:textId="77777777" w:rsidR="00C770CB" w:rsidRDefault="00C770CB" w:rsidP="00C770CB">
      <w:pPr>
        <w:pStyle w:val="a3"/>
        <w:rPr>
          <w:lang w:val="hu-HU"/>
        </w:rPr>
      </w:pPr>
      <w:r>
        <w:rPr>
          <w:rFonts w:eastAsia="Times New Roman"/>
          <w:lang w:val="hu-HU"/>
        </w:rPr>
        <w:t>Egy másik TNF-antagonista, az infliximab hatásait közepesen súlyos-</w:t>
      </w:r>
      <w:r w:rsidRPr="009167C6">
        <w:rPr>
          <w:lang w:val="hu-HU"/>
        </w:rPr>
        <w:t> </w:t>
      </w:r>
      <w:r>
        <w:rPr>
          <w:rFonts w:eastAsia="Times New Roman"/>
          <w:lang w:val="hu-HU"/>
        </w:rPr>
        <w:t xml:space="preserve"> súlyos idült obstruktív tüdőbetegségben (COPD) értékelték egy feltáró klinikai vizsgálattal. Az infliximabbal kezelt betegeken több rosszindulatú (javarészt tüdő-, fej-, vagy nyaki) daganatot észleltek, mint a kontrollcsoportban. A kórelőzmény alapján mindegyik beteg erős dohányos volt. Ennélfogva, COPD- ban 7 szenvedő, valamint az erős dohányzás miatt rosszindulatú daganat kialakulása szempontjából fokozottan veszélyeztetett betegeken körültekintően kell alkalmazni a TNF- antagonistákat.</w:t>
      </w:r>
    </w:p>
    <w:p w14:paraId="395FFB44" w14:textId="77777777" w:rsidR="00C770CB" w:rsidRDefault="00C770CB" w:rsidP="00C770CB">
      <w:pPr>
        <w:spacing w:before="11" w:line="240" w:lineRule="exact"/>
        <w:rPr>
          <w:rFonts w:ascii="Times New Roman" w:hAnsi="Times New Roman" w:cs="Times New Roman"/>
          <w:lang w:val="hu-HU"/>
        </w:rPr>
      </w:pPr>
    </w:p>
    <w:p w14:paraId="323744EF" w14:textId="77777777" w:rsidR="00C770CB" w:rsidRDefault="00C770CB" w:rsidP="00C770CB">
      <w:pPr>
        <w:pStyle w:val="a3"/>
        <w:rPr>
          <w:lang w:val="hu-HU"/>
        </w:rPr>
      </w:pPr>
      <w:r>
        <w:rPr>
          <w:rFonts w:eastAsia="Times New Roman"/>
          <w:lang w:val="hu-HU"/>
        </w:rPr>
        <w:t>A jelenleg rendelkezésre álló adatok alapján nem ismert, hogy az adalimumab-kezelés befolyásolja-e a dysplasia vagy a vastagbélrák kialakulásának veszélyét (lásd 4. 8 pont) . A kezelés megkezdése előtt és a betegség teljes lefolyása alatt azokat a colitis ulcerosában szenvedő betegeket, akiknél dysplasia vagy vastagbélrák kialakulásának fokozott kockázata áll fenn (például hosszan fennálló colitis ulcerosában vagy primer cholangitis sclerotisansban szenvedő betegeknél) vagy akiknek az anamnézisében dysplasia vagy vastagbélrák szerepel, rendszeresen szűrni kell dysplasia irányában. A szűrővizsgálat során kolonoszkópiát és szövettani mintavételt is kell végezni a helyi ajánlásoknak megfelelően.</w:t>
      </w:r>
    </w:p>
    <w:p w14:paraId="0D5C4784" w14:textId="77777777" w:rsidR="00C770CB" w:rsidRDefault="00C770CB" w:rsidP="00C770CB">
      <w:pPr>
        <w:spacing w:before="13" w:line="240" w:lineRule="exact"/>
        <w:rPr>
          <w:rFonts w:ascii="Times New Roman" w:hAnsi="Times New Roman" w:cs="Times New Roman"/>
          <w:lang w:val="hu-HU"/>
        </w:rPr>
      </w:pPr>
    </w:p>
    <w:p w14:paraId="28303965" w14:textId="77777777" w:rsidR="00C770CB" w:rsidRDefault="00C770CB" w:rsidP="00C770CB">
      <w:pPr>
        <w:pStyle w:val="a3"/>
        <w:rPr>
          <w:u w:val="single"/>
          <w:lang w:val="hu-HU"/>
        </w:rPr>
      </w:pPr>
      <w:r>
        <w:rPr>
          <w:rFonts w:eastAsia="Times New Roman"/>
          <w:u w:val="single" w:color="000000"/>
          <w:lang w:val="hu-HU"/>
        </w:rPr>
        <w:t>Hematológiai reakciók</w:t>
      </w:r>
    </w:p>
    <w:p w14:paraId="5D169222" w14:textId="77777777" w:rsidR="00C770CB" w:rsidRDefault="00C770CB" w:rsidP="00C770CB">
      <w:pPr>
        <w:spacing w:before="1" w:line="180" w:lineRule="exact"/>
        <w:rPr>
          <w:rFonts w:ascii="Times New Roman" w:hAnsi="Times New Roman" w:cs="Times New Roman"/>
          <w:lang w:val="hu-HU"/>
        </w:rPr>
      </w:pPr>
    </w:p>
    <w:p w14:paraId="45F11644" w14:textId="77777777" w:rsidR="00C770CB" w:rsidRDefault="00C770CB" w:rsidP="00C770CB">
      <w:pPr>
        <w:pStyle w:val="a3"/>
        <w:rPr>
          <w:lang w:val="hu-HU"/>
        </w:rPr>
      </w:pPr>
      <w:r>
        <w:rPr>
          <w:rFonts w:eastAsia="Times New Roman"/>
          <w:lang w:val="hu-HU"/>
        </w:rPr>
        <w:t xml:space="preserve">TNF-antagonista szerek használata kapcsán ritkán pancytopeniáról számoltak be, beleértve az aplasticus anaemiát is. Az adalimumab kapcsán hematológiai mellékhatásokról, köztük klinikailag jelentős </w:t>
      </w:r>
      <w:r>
        <w:rPr>
          <w:rFonts w:eastAsia="Times New Roman"/>
          <w:lang w:val="hu-HU"/>
        </w:rPr>
        <w:lastRenderedPageBreak/>
        <w:t>cytopeniáról (például thrombocytopenia, leukopenia) számoltak be. Minden betegnél javasolt az azonnali orvosi felügyelet, amennyiben Yuflyma- kezelés alatt a vérképváltozásra utaló jelek és tünetek jelentkeznek (például állandósult láz, véraláfutások, vérzés, sápadtság). A Yuflyma-kezelés megszakítását fontolóra kell venni, ha a betegnél igazolt, jelentős hematológiai eltérések vannak.</w:t>
      </w:r>
    </w:p>
    <w:p w14:paraId="4CF00877" w14:textId="77777777" w:rsidR="00C770CB" w:rsidRDefault="00C770CB" w:rsidP="00C770CB">
      <w:pPr>
        <w:pStyle w:val="a3"/>
        <w:rPr>
          <w:lang w:val="hu-HU"/>
        </w:rPr>
      </w:pPr>
    </w:p>
    <w:p w14:paraId="2F81AE4C" w14:textId="77777777" w:rsidR="00C770CB" w:rsidRDefault="00C770CB" w:rsidP="00C770CB">
      <w:pPr>
        <w:pStyle w:val="a3"/>
        <w:rPr>
          <w:u w:val="single"/>
          <w:lang w:val="hu-HU"/>
        </w:rPr>
      </w:pPr>
      <w:r>
        <w:rPr>
          <w:rFonts w:eastAsia="Times New Roman"/>
          <w:u w:val="single" w:color="000000"/>
          <w:lang w:val="hu-HU"/>
        </w:rPr>
        <w:t>Védőoltások</w:t>
      </w:r>
    </w:p>
    <w:p w14:paraId="1D08771F" w14:textId="77777777" w:rsidR="00C770CB" w:rsidRDefault="00C770CB" w:rsidP="00C770CB">
      <w:pPr>
        <w:spacing w:before="1" w:line="180" w:lineRule="exact"/>
        <w:rPr>
          <w:rFonts w:ascii="Times New Roman" w:hAnsi="Times New Roman" w:cs="Times New Roman"/>
          <w:lang w:val="hu-HU"/>
        </w:rPr>
      </w:pPr>
    </w:p>
    <w:p w14:paraId="68CEAE1C" w14:textId="77777777" w:rsidR="00C770CB" w:rsidRDefault="00C770CB" w:rsidP="00C770CB">
      <w:pPr>
        <w:pStyle w:val="a3"/>
        <w:rPr>
          <w:lang w:val="hu-HU"/>
        </w:rPr>
      </w:pPr>
      <w:r>
        <w:rPr>
          <w:rFonts w:eastAsia="Times New Roman"/>
          <w:lang w:val="hu-HU"/>
        </w:rPr>
        <w:t>Egy vizsgálat 226 rheumatoid arthritises, adalimumabbal vagy placebóval kezelt résztvevőjén hasonló antitest- választ figyeltek meg a Pneumococcus 23 szerotípusát tartalmazó standard oltóanyaggal, valamint a trivalens influenza vírus vakcinával szemben. Nincs adat arról, hogy az adalimumabbal kezelt betegek élő kórokozót tartalmazó vakcinával végzett védőoltása esetén bekövetkezhet- e a fertőzés másodlagos transzmissziója.</w:t>
      </w:r>
    </w:p>
    <w:p w14:paraId="5BFA5DCF" w14:textId="77777777" w:rsidR="00C770CB" w:rsidRDefault="00C770CB" w:rsidP="00C770CB">
      <w:pPr>
        <w:spacing w:before="17" w:line="240" w:lineRule="exact"/>
        <w:rPr>
          <w:rFonts w:ascii="Times New Roman" w:hAnsi="Times New Roman" w:cs="Times New Roman"/>
          <w:lang w:val="hu-HU"/>
        </w:rPr>
      </w:pPr>
    </w:p>
    <w:p w14:paraId="2EEDAEC8" w14:textId="77777777" w:rsidR="00C770CB" w:rsidRDefault="00C770CB" w:rsidP="00C770CB">
      <w:pPr>
        <w:pStyle w:val="a3"/>
        <w:rPr>
          <w:lang w:val="hu-HU"/>
        </w:rPr>
      </w:pPr>
      <w:r>
        <w:rPr>
          <w:rFonts w:eastAsia="Times New Roman"/>
          <w:spacing w:val="-4"/>
          <w:lang w:val="hu-HU"/>
        </w:rPr>
        <w:t>Ajánlott, hogy – ha lehetséges – a gyermekeknél és serdülőknél a Yuflyma-kezelés megkezdése előtt adjanak be minden védőoltást a hatályos védőoltási irányelvek alapján</w:t>
      </w:r>
    </w:p>
    <w:p w14:paraId="6F570DAA" w14:textId="77777777" w:rsidR="00C770CB" w:rsidRDefault="00C770CB" w:rsidP="00C770CB">
      <w:pPr>
        <w:spacing w:before="11" w:line="240" w:lineRule="exact"/>
        <w:rPr>
          <w:rFonts w:ascii="Times New Roman" w:hAnsi="Times New Roman" w:cs="Times New Roman"/>
          <w:lang w:val="hu-HU"/>
        </w:rPr>
      </w:pPr>
    </w:p>
    <w:p w14:paraId="79B418E2" w14:textId="77777777" w:rsidR="00C770CB" w:rsidRDefault="00C770CB" w:rsidP="00C770CB">
      <w:pPr>
        <w:pStyle w:val="a3"/>
        <w:rPr>
          <w:lang w:val="hu-HU"/>
        </w:rPr>
      </w:pPr>
      <w:r>
        <w:rPr>
          <w:rFonts w:eastAsia="Times New Roman"/>
          <w:lang w:val="hu-HU"/>
        </w:rPr>
        <w:t>A Yuflyma-val kezelt betegeknek – élő kórokozót tartalmazó vakcinák kivételével – adható egyidejűleg védőoltás. Az anya terhesség alatti utolsó adalimumab-injekciójától számított 5 hónapig nem javasolt az olyan csecsemők élő kórokozót tartalmazó vakcinával (például BCG-vakcinával) való oltása, akik in utero adalimumab hatásának voltak kitéve.</w:t>
      </w:r>
    </w:p>
    <w:p w14:paraId="0D2B861F" w14:textId="77777777" w:rsidR="00C770CB" w:rsidRDefault="00C770CB" w:rsidP="00C770CB">
      <w:pPr>
        <w:spacing w:before="13" w:line="240" w:lineRule="exact"/>
        <w:rPr>
          <w:rFonts w:ascii="Times New Roman" w:hAnsi="Times New Roman" w:cs="Times New Roman"/>
          <w:lang w:val="hu-HU"/>
        </w:rPr>
      </w:pPr>
    </w:p>
    <w:p w14:paraId="59C51C04" w14:textId="77777777" w:rsidR="00C770CB" w:rsidRDefault="00C770CB" w:rsidP="00C770CB">
      <w:pPr>
        <w:pStyle w:val="a3"/>
        <w:rPr>
          <w:u w:val="single"/>
          <w:lang w:val="hu-HU"/>
        </w:rPr>
      </w:pPr>
      <w:r>
        <w:rPr>
          <w:rFonts w:eastAsia="Times New Roman"/>
          <w:u w:val="single" w:color="000000"/>
          <w:lang w:val="hu-HU"/>
        </w:rPr>
        <w:t>Pangásos szívelégtelenség</w:t>
      </w:r>
    </w:p>
    <w:p w14:paraId="79D0AD9A" w14:textId="77777777" w:rsidR="00C770CB" w:rsidRDefault="00C770CB" w:rsidP="00C770CB">
      <w:pPr>
        <w:spacing w:before="1" w:line="180" w:lineRule="exact"/>
        <w:rPr>
          <w:rFonts w:ascii="Times New Roman" w:hAnsi="Times New Roman" w:cs="Times New Roman"/>
          <w:lang w:val="hu-HU"/>
        </w:rPr>
      </w:pPr>
    </w:p>
    <w:p w14:paraId="55A0D937" w14:textId="77777777" w:rsidR="00C770CB" w:rsidRDefault="00C770CB" w:rsidP="00C770CB">
      <w:pPr>
        <w:pStyle w:val="a3"/>
        <w:rPr>
          <w:lang w:val="hu-HU"/>
        </w:rPr>
      </w:pPr>
      <w:r>
        <w:rPr>
          <w:rFonts w:eastAsia="Times New Roman"/>
          <w:lang w:val="hu-HU"/>
        </w:rPr>
        <w:t>Egy másik TNF - antagonistával végzett klinikai vizsgálat során a pangásos szívelégtelenség súlyosbodását illetve a pangásos szívelégtelenséggel összefüggésben levő halálesetek számának növekedését tapasztalták. A pangásos szívelégtelenség súlyosbodásáról szintén beszámoltak az adalimumabbal kezelt betegeknél. A Yuflyma-t csak fokozott óvatossággal szabad használni enyhe szívelégtelenségben (NYHA I/ II) szenvedők kezelésére. A Yuflyma kontraindikált a közepesen súlyos-</w:t>
      </w:r>
      <w:r w:rsidRPr="009167C6">
        <w:rPr>
          <w:lang w:val="hu-HU"/>
        </w:rPr>
        <w:t> </w:t>
      </w:r>
      <w:r>
        <w:rPr>
          <w:rFonts w:eastAsia="Times New Roman"/>
          <w:lang w:val="hu-HU"/>
        </w:rPr>
        <w:t xml:space="preserve"> súlyos</w:t>
      </w:r>
      <w:r w:rsidDel="00E50727">
        <w:rPr>
          <w:rFonts w:eastAsia="Times New Roman"/>
          <w:lang w:val="hu-HU"/>
        </w:rPr>
        <w:t xml:space="preserve"> </w:t>
      </w:r>
      <w:r>
        <w:rPr>
          <w:rFonts w:eastAsia="Times New Roman"/>
          <w:lang w:val="hu-HU"/>
        </w:rPr>
        <w:t>szívelégtelenség eseteiben (lásd 4. 3 pont). A Yuflyma- kezelést fel kell függeszteni minden olyan beteg esetében, akinél a pangásos szívelégtelenség rosszabbodása, illetve új tünet megjelenése tapasztalható.</w:t>
      </w:r>
    </w:p>
    <w:p w14:paraId="16B9FEF4" w14:textId="77777777" w:rsidR="00C770CB" w:rsidRDefault="00C770CB" w:rsidP="00C770CB">
      <w:pPr>
        <w:spacing w:before="13" w:line="240" w:lineRule="exact"/>
        <w:rPr>
          <w:rFonts w:ascii="Times New Roman" w:hAnsi="Times New Roman" w:cs="Times New Roman"/>
          <w:lang w:val="hu-HU"/>
        </w:rPr>
      </w:pPr>
    </w:p>
    <w:p w14:paraId="7876A6A9" w14:textId="77777777" w:rsidR="00C770CB" w:rsidRDefault="00C770CB" w:rsidP="00C770CB">
      <w:pPr>
        <w:pStyle w:val="a3"/>
        <w:rPr>
          <w:u w:val="single"/>
          <w:lang w:val="hu-HU"/>
        </w:rPr>
      </w:pPr>
      <w:r>
        <w:rPr>
          <w:rFonts w:eastAsia="Times New Roman"/>
          <w:u w:val="single" w:color="000000"/>
          <w:lang w:val="hu-HU"/>
        </w:rPr>
        <w:t>Autoimmun folyamatok</w:t>
      </w:r>
    </w:p>
    <w:p w14:paraId="7AE4A14B" w14:textId="77777777" w:rsidR="00C770CB" w:rsidRDefault="00C770CB" w:rsidP="00C770CB">
      <w:pPr>
        <w:spacing w:before="9" w:line="170" w:lineRule="exact"/>
        <w:rPr>
          <w:rFonts w:ascii="Times New Roman" w:hAnsi="Times New Roman" w:cs="Times New Roman"/>
          <w:lang w:val="hu-HU"/>
        </w:rPr>
      </w:pPr>
    </w:p>
    <w:p w14:paraId="300CBCD9" w14:textId="77777777" w:rsidR="00C770CB" w:rsidRDefault="00C770CB" w:rsidP="00C770CB">
      <w:pPr>
        <w:pStyle w:val="a3"/>
        <w:rPr>
          <w:lang w:val="hu-HU"/>
        </w:rPr>
      </w:pPr>
      <w:r>
        <w:rPr>
          <w:rFonts w:eastAsia="Times New Roman"/>
          <w:lang w:val="hu-HU"/>
        </w:rPr>
        <w:t>A Yuflyma- val való kezelés során autoantitestek képződése előfordulhat. Az adalimumab hosszútávú hatása az autoimmun betegségek kialakulására nem ismert. Ha a Yuflyma alkalmazása után lupus-szerű szindrómára utaló tünetek jelentkeznek, továbbá kettős szálú DNS elleni antitestek jelennek meg, akkor nem szabad folytatni a Yuflyma adását (lásd 4. 8 pont).</w:t>
      </w:r>
    </w:p>
    <w:p w14:paraId="73B59B62" w14:textId="77777777" w:rsidR="00C770CB" w:rsidRDefault="00C770CB" w:rsidP="00C770CB">
      <w:pPr>
        <w:spacing w:before="13" w:line="240" w:lineRule="exact"/>
        <w:rPr>
          <w:rFonts w:ascii="Times New Roman" w:hAnsi="Times New Roman" w:cs="Times New Roman"/>
          <w:u w:val="single"/>
          <w:lang w:val="hu-HU"/>
        </w:rPr>
      </w:pPr>
    </w:p>
    <w:p w14:paraId="1916F48B" w14:textId="77777777" w:rsidR="00C770CB" w:rsidRDefault="00C770CB" w:rsidP="00C770CB">
      <w:pPr>
        <w:pStyle w:val="a3"/>
        <w:rPr>
          <w:u w:val="single"/>
          <w:lang w:val="hu-HU"/>
        </w:rPr>
      </w:pPr>
      <w:r>
        <w:rPr>
          <w:rFonts w:eastAsia="Times New Roman"/>
          <w:u w:val="single" w:color="000000"/>
          <w:lang w:val="hu-HU"/>
        </w:rPr>
        <w:t>Biológiai reumaellenes betegségmódosító gyógyszerek (DMARD-ok) vagy TNF-antagonisták együttadása</w:t>
      </w:r>
    </w:p>
    <w:p w14:paraId="20B02861" w14:textId="77777777" w:rsidR="00C770CB" w:rsidRDefault="00C770CB" w:rsidP="00C770CB">
      <w:pPr>
        <w:spacing w:before="1" w:line="180" w:lineRule="exact"/>
        <w:rPr>
          <w:rFonts w:ascii="Times New Roman" w:hAnsi="Times New Roman" w:cs="Times New Roman"/>
          <w:lang w:val="hu-HU"/>
        </w:rPr>
      </w:pPr>
    </w:p>
    <w:p w14:paraId="2109C757" w14:textId="77777777" w:rsidR="00C770CB" w:rsidRDefault="00C770CB" w:rsidP="00C770CB">
      <w:pPr>
        <w:pStyle w:val="a3"/>
        <w:rPr>
          <w:lang w:val="hu-HU"/>
        </w:rPr>
      </w:pPr>
      <w:r>
        <w:rPr>
          <w:rFonts w:eastAsia="Times New Roman"/>
          <w:lang w:val="hu-HU"/>
        </w:rPr>
        <w:t>Klinikai vizsgálatokban súlyos fertőzéseket tapasztaltak előnyösebb klinikai hatás nélkül anakinra és egy másik</w:t>
      </w:r>
    </w:p>
    <w:p w14:paraId="0F310DA1" w14:textId="77777777" w:rsidR="00C770CB" w:rsidRDefault="00C770CB" w:rsidP="00C770CB">
      <w:pPr>
        <w:pStyle w:val="a3"/>
        <w:rPr>
          <w:lang w:val="hu-HU"/>
        </w:rPr>
      </w:pPr>
      <w:r>
        <w:rPr>
          <w:rFonts w:eastAsia="Times New Roman"/>
          <w:lang w:val="hu-HU"/>
        </w:rPr>
        <w:t>TNF-antagonista, az etanercept együttes adásakor, amennyiben a kombinált kezelés hatását az önmagában adagolt etanercept hatásával hasonlították össze. Az etanercept és anakinra kombinációs kezelésnél észlelt mellékhatások természete miatt hasonló toxicitás várható az anakinra és más TNF- antagonista kombinációnál is. Ezért az adalimumab és anakinra kombinációjának alkalmazása nem javasolt (lásd 4.5 pont).</w:t>
      </w:r>
    </w:p>
    <w:p w14:paraId="67E495BB" w14:textId="77777777" w:rsidR="00C770CB" w:rsidRDefault="00C770CB" w:rsidP="00C770CB">
      <w:pPr>
        <w:spacing w:before="14" w:line="240" w:lineRule="exact"/>
        <w:rPr>
          <w:rFonts w:ascii="Times New Roman" w:hAnsi="Times New Roman" w:cs="Times New Roman"/>
          <w:lang w:val="hu-HU"/>
        </w:rPr>
      </w:pPr>
    </w:p>
    <w:p w14:paraId="47510245" w14:textId="77777777" w:rsidR="00C770CB" w:rsidRDefault="00C770CB" w:rsidP="00C770CB">
      <w:pPr>
        <w:pStyle w:val="a3"/>
        <w:rPr>
          <w:lang w:val="hu-HU"/>
        </w:rPr>
      </w:pPr>
      <w:r>
        <w:rPr>
          <w:rFonts w:eastAsia="Times New Roman"/>
          <w:lang w:val="hu-HU"/>
        </w:rPr>
        <w:t>Az adalimumab és egyéb biológiai betegségmódosító reumaellenes gyógyszerek (például anakinra és abatacept) vagy egyéb TNF-antagonisták egyidejű alkalmazása nem javasolt a fertőzések – köztük súlyos fertőzések – lehetséges fokozott kockázata és egyéb potenciális gyógyszerkölcsönhatások miatt. (lásd 4.5 pont).</w:t>
      </w:r>
    </w:p>
    <w:p w14:paraId="09D0FB05" w14:textId="77777777" w:rsidR="00C770CB" w:rsidRDefault="00C770CB" w:rsidP="00C770CB">
      <w:pPr>
        <w:spacing w:before="13" w:line="240" w:lineRule="exact"/>
        <w:rPr>
          <w:rFonts w:ascii="Times New Roman" w:hAnsi="Times New Roman" w:cs="Times New Roman"/>
          <w:lang w:val="hu-HU"/>
        </w:rPr>
      </w:pPr>
    </w:p>
    <w:p w14:paraId="313A9C26" w14:textId="77777777" w:rsidR="00C770CB" w:rsidRDefault="00C770CB" w:rsidP="00C770CB">
      <w:pPr>
        <w:pStyle w:val="a3"/>
        <w:rPr>
          <w:u w:val="single"/>
          <w:lang w:val="hu-HU"/>
        </w:rPr>
      </w:pPr>
      <w:r>
        <w:rPr>
          <w:rFonts w:eastAsia="Times New Roman"/>
          <w:u w:val="single" w:color="000000"/>
          <w:lang w:val="hu-HU"/>
        </w:rPr>
        <w:t>Sebészet</w:t>
      </w:r>
    </w:p>
    <w:p w14:paraId="30853386" w14:textId="77777777" w:rsidR="00C770CB" w:rsidRDefault="00C770CB" w:rsidP="00C770CB">
      <w:pPr>
        <w:spacing w:before="1" w:line="180" w:lineRule="exact"/>
        <w:rPr>
          <w:rFonts w:ascii="Times New Roman" w:hAnsi="Times New Roman" w:cs="Times New Roman"/>
          <w:lang w:val="hu-HU"/>
        </w:rPr>
      </w:pPr>
    </w:p>
    <w:p w14:paraId="01166DBB" w14:textId="77777777" w:rsidR="00C770CB" w:rsidRDefault="00C770CB" w:rsidP="00C770CB">
      <w:pPr>
        <w:pStyle w:val="a3"/>
        <w:rPr>
          <w:lang w:val="hu-HU"/>
        </w:rPr>
      </w:pPr>
      <w:r>
        <w:rPr>
          <w:rFonts w:eastAsia="Times New Roman"/>
          <w:lang w:val="hu-HU"/>
        </w:rPr>
        <w:t xml:space="preserve">Sebészeti beavatkozások során Yuflyma- val kezelt betegek körében biztonságossági tapasztalatok </w:t>
      </w:r>
      <w:r>
        <w:rPr>
          <w:rFonts w:eastAsia="Times New Roman"/>
          <w:lang w:val="hu-HU"/>
        </w:rPr>
        <w:lastRenderedPageBreak/>
        <w:t>korlátozottan állnak rendelkezésre. Az adalimumab hosszú felezési idejét a tervezett műtéti beavatkozás során figyelembe kell venni. Yuflyma-kezelés alatt műtéti beavatkozást igénylő beteget infekció tekintetében szorosan monitorozni kell és megfelelő módon kell ellátni. A Yuflyma-val kezelt arthroplasztikán áteső betegekkel szerzett biztonságossági tapasztalatok korlátozottak</w:t>
      </w:r>
    </w:p>
    <w:p w14:paraId="547C4E70" w14:textId="77777777" w:rsidR="00C770CB" w:rsidRDefault="00C770CB" w:rsidP="00C770CB">
      <w:pPr>
        <w:pStyle w:val="a3"/>
        <w:rPr>
          <w:u w:color="000000"/>
          <w:lang w:val="hu-HU"/>
        </w:rPr>
      </w:pPr>
    </w:p>
    <w:p w14:paraId="3FD9FEAC" w14:textId="77777777" w:rsidR="00C770CB" w:rsidRDefault="00C770CB" w:rsidP="00C770CB">
      <w:pPr>
        <w:pStyle w:val="a3"/>
        <w:rPr>
          <w:u w:val="single"/>
          <w:lang w:val="hu-HU"/>
        </w:rPr>
      </w:pPr>
      <w:r>
        <w:rPr>
          <w:rFonts w:eastAsia="Times New Roman"/>
          <w:u w:val="single" w:color="000000"/>
          <w:lang w:val="hu-HU"/>
        </w:rPr>
        <w:t>Vékonybél-elzáródás</w:t>
      </w:r>
    </w:p>
    <w:p w14:paraId="290BE593" w14:textId="77777777" w:rsidR="00C770CB" w:rsidRDefault="00C770CB" w:rsidP="00C770CB">
      <w:pPr>
        <w:pStyle w:val="a3"/>
        <w:rPr>
          <w:lang w:val="hu-HU"/>
        </w:rPr>
      </w:pPr>
    </w:p>
    <w:p w14:paraId="4873111E" w14:textId="77777777" w:rsidR="00C770CB" w:rsidRDefault="00C770CB" w:rsidP="00C770CB">
      <w:pPr>
        <w:pStyle w:val="a3"/>
        <w:rPr>
          <w:lang w:val="hu-HU"/>
        </w:rPr>
      </w:pPr>
      <w:r>
        <w:rPr>
          <w:rFonts w:eastAsia="Times New Roman"/>
          <w:lang w:val="hu-HU"/>
        </w:rPr>
        <w:t>A Crohn- betegség miatt végzett kezelés hatástalansága műtéti kezelést igénylő, heges szűkület jelenlétére utalhat. A rendelkezésre álló adatok alapján az adalimumab nem idéz elő bélszűkületet, és nem is súlyosbítja a már kialakult stricturát.</w:t>
      </w:r>
    </w:p>
    <w:p w14:paraId="01648824" w14:textId="77777777" w:rsidR="00C770CB" w:rsidRDefault="00C770CB" w:rsidP="00C770CB">
      <w:pPr>
        <w:spacing w:before="13" w:line="240" w:lineRule="exact"/>
        <w:rPr>
          <w:rFonts w:ascii="Times New Roman" w:hAnsi="Times New Roman" w:cs="Times New Roman"/>
          <w:lang w:val="hu-HU"/>
        </w:rPr>
      </w:pPr>
    </w:p>
    <w:p w14:paraId="08C77132" w14:textId="77777777" w:rsidR="00C770CB" w:rsidRDefault="00C770CB" w:rsidP="00C770CB">
      <w:pPr>
        <w:pStyle w:val="a3"/>
        <w:rPr>
          <w:u w:val="single"/>
          <w:lang w:val="hu-HU"/>
        </w:rPr>
      </w:pPr>
      <w:r>
        <w:rPr>
          <w:rFonts w:eastAsia="Times New Roman"/>
          <w:u w:val="single" w:color="000000"/>
          <w:lang w:val="hu-HU"/>
        </w:rPr>
        <w:t>Idősek</w:t>
      </w:r>
    </w:p>
    <w:p w14:paraId="664E53C5" w14:textId="77777777" w:rsidR="00C770CB" w:rsidRDefault="00C770CB" w:rsidP="00C770CB">
      <w:pPr>
        <w:spacing w:before="9" w:line="170" w:lineRule="exact"/>
        <w:rPr>
          <w:rFonts w:ascii="Times New Roman" w:hAnsi="Times New Roman" w:cs="Times New Roman"/>
          <w:lang w:val="hu-HU"/>
        </w:rPr>
      </w:pPr>
    </w:p>
    <w:p w14:paraId="65F09248" w14:textId="77777777" w:rsidR="00C770CB" w:rsidRDefault="00C770CB" w:rsidP="00C770CB">
      <w:pPr>
        <w:pStyle w:val="a3"/>
        <w:rPr>
          <w:lang w:val="hu-HU"/>
        </w:rPr>
      </w:pPr>
      <w:r>
        <w:rPr>
          <w:rFonts w:eastAsia="Times New Roman"/>
          <w:lang w:val="hu-HU"/>
        </w:rPr>
        <w:t>Az adalimumabbal kezelt, 65 éves kor feletti betegeknél a súlyos fertőzések gyakorisága magasabb volt (3,7%), mint a 65 évnél fiatalabbaknál (1,5%). Némelyiküknél ez végzetes volt. Idősek kezelésekor különös figyelmet kell fordítani a fertőzés veszélyére.</w:t>
      </w:r>
    </w:p>
    <w:p w14:paraId="5928B0EB" w14:textId="77777777" w:rsidR="00C770CB" w:rsidRDefault="00C770CB" w:rsidP="00C770CB">
      <w:pPr>
        <w:spacing w:before="11" w:line="240" w:lineRule="exact"/>
        <w:rPr>
          <w:rFonts w:ascii="Times New Roman" w:hAnsi="Times New Roman" w:cs="Times New Roman"/>
          <w:lang w:val="hu-HU"/>
        </w:rPr>
      </w:pPr>
    </w:p>
    <w:p w14:paraId="0917FC45" w14:textId="77777777" w:rsidR="00C770CB" w:rsidRDefault="00C770CB" w:rsidP="00C770CB">
      <w:pPr>
        <w:pStyle w:val="a3"/>
        <w:rPr>
          <w:u w:val="single"/>
          <w:lang w:val="hu-HU"/>
        </w:rPr>
      </w:pPr>
      <w:r>
        <w:rPr>
          <w:rFonts w:eastAsia="Times New Roman"/>
          <w:u w:val="single" w:color="000000"/>
          <w:lang w:val="hu-HU"/>
        </w:rPr>
        <w:t>Gyermekek és serdülők</w:t>
      </w:r>
    </w:p>
    <w:p w14:paraId="78358ED2" w14:textId="77777777" w:rsidR="00C770CB" w:rsidRDefault="00C770CB" w:rsidP="00C770CB">
      <w:pPr>
        <w:spacing w:before="1" w:line="180" w:lineRule="exact"/>
        <w:rPr>
          <w:rFonts w:ascii="Times New Roman" w:hAnsi="Times New Roman" w:cs="Times New Roman"/>
          <w:lang w:val="hu-HU"/>
        </w:rPr>
      </w:pPr>
    </w:p>
    <w:p w14:paraId="39B5117D" w14:textId="77777777" w:rsidR="00C770CB" w:rsidRDefault="00C770CB" w:rsidP="00C770CB">
      <w:pPr>
        <w:pStyle w:val="a3"/>
        <w:rPr>
          <w:lang w:val="hu-HU"/>
        </w:rPr>
      </w:pPr>
      <w:r>
        <w:rPr>
          <w:rFonts w:eastAsia="Times New Roman"/>
          <w:lang w:val="hu-HU"/>
        </w:rPr>
        <w:t>Lásd feljebb a Védőoltások részben.</w:t>
      </w:r>
    </w:p>
    <w:p w14:paraId="726CC458" w14:textId="77777777" w:rsidR="00C770CB" w:rsidRDefault="00C770CB" w:rsidP="00C770CB">
      <w:pPr>
        <w:pStyle w:val="a3"/>
        <w:rPr>
          <w:lang w:val="hu-HU"/>
        </w:rPr>
      </w:pPr>
    </w:p>
    <w:p w14:paraId="51B55F4D" w14:textId="77777777" w:rsidR="00C770CB" w:rsidRDefault="00C770CB" w:rsidP="00C770CB">
      <w:pPr>
        <w:pStyle w:val="a3"/>
        <w:rPr>
          <w:u w:val="single"/>
          <w:lang w:val="hu-HU"/>
        </w:rPr>
      </w:pPr>
      <w:r>
        <w:rPr>
          <w:rFonts w:eastAsia="Times New Roman"/>
          <w:u w:val="single" w:color="000000"/>
          <w:lang w:val="hu-HU"/>
        </w:rPr>
        <w:t>Nátriumtartalom</w:t>
      </w:r>
    </w:p>
    <w:p w14:paraId="3615E637" w14:textId="77777777" w:rsidR="00C770CB" w:rsidRDefault="00C770CB" w:rsidP="00C770CB">
      <w:pPr>
        <w:pStyle w:val="a3"/>
        <w:rPr>
          <w:lang w:val="hu-HU"/>
        </w:rPr>
      </w:pPr>
    </w:p>
    <w:p w14:paraId="012D8C46" w14:textId="1ADF18BF" w:rsidR="00C770CB" w:rsidRDefault="00C770CB" w:rsidP="00C770CB">
      <w:pPr>
        <w:pStyle w:val="a3"/>
        <w:rPr>
          <w:lang w:val="hu-HU"/>
        </w:rPr>
      </w:pPr>
      <w:r>
        <w:rPr>
          <w:rFonts w:eastAsia="Times New Roman"/>
          <w:lang w:val="hu-HU"/>
        </w:rPr>
        <w:t>A készítmény kevesebb, mint 1 mmol (23 mg) per 0,</w:t>
      </w:r>
      <w:r w:rsidR="00CE42DC">
        <w:rPr>
          <w:rFonts w:eastAsia="Times New Roman"/>
          <w:lang w:val="hu-HU"/>
        </w:rPr>
        <w:t>8</w:t>
      </w:r>
      <w:r>
        <w:rPr>
          <w:rFonts w:eastAsia="Times New Roman"/>
          <w:lang w:val="hu-HU"/>
        </w:rPr>
        <w:t xml:space="preserve"> ml adag nátriumot tartalmaz, azaz gyakorlatilag „nátriummentes”.</w:t>
      </w:r>
    </w:p>
    <w:p w14:paraId="4B6B0710" w14:textId="77777777" w:rsidR="00C770CB" w:rsidRDefault="00C770CB" w:rsidP="00C770CB">
      <w:pPr>
        <w:spacing w:before="18" w:line="240" w:lineRule="exact"/>
        <w:rPr>
          <w:sz w:val="24"/>
          <w:szCs w:val="24"/>
          <w:lang w:val="hu-HU"/>
        </w:rPr>
      </w:pPr>
    </w:p>
    <w:p w14:paraId="63FABC0A" w14:textId="77777777" w:rsidR="00C770CB" w:rsidRDefault="00C770CB" w:rsidP="00FD05AA">
      <w:pPr>
        <w:widowControl/>
        <w:numPr>
          <w:ilvl w:val="1"/>
          <w:numId w:val="53"/>
        </w:numPr>
        <w:tabs>
          <w:tab w:val="left" w:pos="567"/>
        </w:tabs>
        <w:spacing w:line="260" w:lineRule="exact"/>
        <w:ind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Gyógyszerkölcsönhatások és egyéb interakciók</w:t>
      </w:r>
    </w:p>
    <w:p w14:paraId="250CBF06" w14:textId="77777777" w:rsidR="00C770CB" w:rsidRDefault="00C770CB" w:rsidP="00C770CB">
      <w:pPr>
        <w:spacing w:before="9" w:line="240" w:lineRule="exact"/>
        <w:rPr>
          <w:sz w:val="24"/>
          <w:szCs w:val="24"/>
          <w:lang w:val="hu-HU"/>
        </w:rPr>
      </w:pPr>
    </w:p>
    <w:p w14:paraId="75091887" w14:textId="77777777" w:rsidR="00C770CB" w:rsidRDefault="00C770CB" w:rsidP="00C770CB">
      <w:pPr>
        <w:pStyle w:val="a3"/>
        <w:rPr>
          <w:lang w:val="hu-HU"/>
        </w:rPr>
      </w:pPr>
      <w:r>
        <w:rPr>
          <w:rFonts w:eastAsia="Times New Roman"/>
          <w:lang w:val="hu-HU"/>
        </w:rPr>
        <w:t>Az adalimumabot vizsgálták monoterápiában, illetve metotrexát kombinációban szedő rheumatoid arthritises, polyarticularis juvenilis idiopathiás arthritises, valamint arthritis psoriaticában szenvedő betegek köreiben is. Ha az adalimumabot kombinációban adták metotrexáttal, az antitestképződés alacsonyabb volt, mint monoterápiában. Az adalimumab metotrexát nélküli alkalmazása fokozott antitestképződést, továbbá az adalimumab-clearance fokozódását és a hatásosság csökkenését eredményezte (lásd 5. 1 pont).</w:t>
      </w:r>
    </w:p>
    <w:p w14:paraId="78FEDA97" w14:textId="77777777" w:rsidR="00C770CB" w:rsidRDefault="00C770CB" w:rsidP="00C770CB">
      <w:pPr>
        <w:spacing w:before="17" w:line="240" w:lineRule="exact"/>
        <w:rPr>
          <w:sz w:val="24"/>
          <w:szCs w:val="24"/>
          <w:lang w:val="hu-HU"/>
        </w:rPr>
      </w:pPr>
    </w:p>
    <w:p w14:paraId="6414D441" w14:textId="77777777" w:rsidR="00C770CB" w:rsidRDefault="00C770CB" w:rsidP="00C770CB">
      <w:pPr>
        <w:pStyle w:val="a3"/>
        <w:rPr>
          <w:lang w:val="hu-HU"/>
        </w:rPr>
      </w:pPr>
      <w:r>
        <w:rPr>
          <w:rFonts w:eastAsia="Times New Roman"/>
          <w:lang w:val="hu-HU"/>
        </w:rPr>
        <w:t>Az adalimumab és az anakinra kombinált alkalmazása nem ajánlott (lásd a 4.4 pont „Biológiai reumaellenes betegségmódosító gyógyszerek (DMARD-ok) vagy TNF-antagonisták együttadása” c. fejezetét).</w:t>
      </w:r>
    </w:p>
    <w:p w14:paraId="0E1FB621" w14:textId="77777777" w:rsidR="00C770CB" w:rsidRDefault="00C770CB" w:rsidP="00C770CB">
      <w:pPr>
        <w:spacing w:before="11" w:line="240" w:lineRule="exact"/>
        <w:rPr>
          <w:sz w:val="24"/>
          <w:szCs w:val="24"/>
          <w:lang w:val="hu-HU"/>
        </w:rPr>
      </w:pPr>
    </w:p>
    <w:p w14:paraId="719AD4C5" w14:textId="77777777" w:rsidR="00C770CB" w:rsidRDefault="00C770CB" w:rsidP="00C770CB">
      <w:pPr>
        <w:pStyle w:val="a3"/>
        <w:rPr>
          <w:lang w:val="hu-HU"/>
        </w:rPr>
      </w:pPr>
      <w:r>
        <w:rPr>
          <w:rFonts w:eastAsia="Times New Roman"/>
          <w:lang w:val="hu-HU"/>
        </w:rPr>
        <w:t>Az adalimumab és az abatacept kombinált alkalmazása nem ajánlott (lásd a 4.4 pont „Biológiai reumaellenes betegségmódosító gyógyszerek (DMARD-ok) vagy TNF-antagonisták együttadása” c. fejezetét).</w:t>
      </w:r>
    </w:p>
    <w:p w14:paraId="5BE18007" w14:textId="77777777" w:rsidR="00C770CB" w:rsidRDefault="00C770CB" w:rsidP="00C770CB">
      <w:pPr>
        <w:spacing w:before="14" w:line="240" w:lineRule="exact"/>
        <w:rPr>
          <w:sz w:val="24"/>
          <w:szCs w:val="24"/>
          <w:lang w:val="hu-HU"/>
        </w:rPr>
      </w:pPr>
    </w:p>
    <w:p w14:paraId="74F96D1F" w14:textId="77777777" w:rsidR="00C770CB" w:rsidRDefault="00C770CB" w:rsidP="00FD05AA">
      <w:pPr>
        <w:widowControl/>
        <w:numPr>
          <w:ilvl w:val="1"/>
          <w:numId w:val="53"/>
        </w:numPr>
        <w:tabs>
          <w:tab w:val="left" w:pos="567"/>
        </w:tabs>
        <w:spacing w:line="260" w:lineRule="exact"/>
        <w:ind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Termékenység, terhesség és szoptatás</w:t>
      </w:r>
    </w:p>
    <w:p w14:paraId="1FDC43A3" w14:textId="77777777" w:rsidR="00C770CB" w:rsidRDefault="00C770CB" w:rsidP="00C770CB">
      <w:pPr>
        <w:spacing w:before="9" w:line="240" w:lineRule="exact"/>
        <w:rPr>
          <w:rFonts w:ascii="Times New Roman" w:hAnsi="Times New Roman" w:cs="Times New Roman"/>
          <w:lang w:val="hu-HU"/>
        </w:rPr>
      </w:pPr>
    </w:p>
    <w:p w14:paraId="601B83FA" w14:textId="77777777" w:rsidR="00C770CB" w:rsidRDefault="00C770CB" w:rsidP="00C770CB">
      <w:pPr>
        <w:pStyle w:val="a3"/>
        <w:rPr>
          <w:u w:val="single"/>
          <w:lang w:val="hu-HU"/>
        </w:rPr>
      </w:pPr>
      <w:r>
        <w:rPr>
          <w:rFonts w:eastAsia="Times New Roman"/>
          <w:u w:val="single" w:color="000000"/>
          <w:lang w:val="hu-HU"/>
        </w:rPr>
        <w:t>Fogamzóképes korban lévő nők</w:t>
      </w:r>
    </w:p>
    <w:p w14:paraId="1AA2FDC4" w14:textId="77777777" w:rsidR="00C770CB" w:rsidRDefault="00C770CB" w:rsidP="00C770CB">
      <w:pPr>
        <w:spacing w:before="1" w:line="180" w:lineRule="exact"/>
        <w:rPr>
          <w:rFonts w:ascii="Times New Roman" w:hAnsi="Times New Roman" w:cs="Times New Roman"/>
          <w:lang w:val="hu-HU"/>
        </w:rPr>
      </w:pPr>
    </w:p>
    <w:p w14:paraId="79EE09E9" w14:textId="77777777" w:rsidR="00C770CB" w:rsidRDefault="00C770CB" w:rsidP="00C770CB">
      <w:pPr>
        <w:pStyle w:val="a3"/>
        <w:rPr>
          <w:lang w:val="hu-HU"/>
        </w:rPr>
      </w:pPr>
      <w:r>
        <w:rPr>
          <w:rFonts w:eastAsia="Times New Roman"/>
          <w:lang w:val="hu-HU"/>
        </w:rPr>
        <w:t>Fogamzóképes korú nőknek fontolóra kell venniük egy megfelelő fogamzásgátlás alkalmazását, és az alkalmazás folytatását az utolsó Yuflyma-kezelés után legalább öt hónapon keresztül</w:t>
      </w:r>
    </w:p>
    <w:p w14:paraId="3BFF3B50" w14:textId="77777777" w:rsidR="00C770CB" w:rsidRDefault="00C770CB" w:rsidP="00C770CB">
      <w:pPr>
        <w:spacing w:before="11" w:line="240" w:lineRule="exact"/>
        <w:rPr>
          <w:rFonts w:ascii="Times New Roman" w:hAnsi="Times New Roman" w:cs="Times New Roman"/>
          <w:lang w:val="hu-HU"/>
        </w:rPr>
      </w:pPr>
    </w:p>
    <w:p w14:paraId="499335B7" w14:textId="77777777" w:rsidR="00C770CB" w:rsidRDefault="00C770CB" w:rsidP="00C770CB">
      <w:pPr>
        <w:pStyle w:val="a3"/>
        <w:rPr>
          <w:u w:val="single"/>
          <w:lang w:val="hu-HU"/>
        </w:rPr>
      </w:pPr>
      <w:r>
        <w:rPr>
          <w:rFonts w:eastAsia="Times New Roman"/>
          <w:u w:val="single" w:color="000000"/>
          <w:lang w:val="hu-HU"/>
        </w:rPr>
        <w:t>Terhesség</w:t>
      </w:r>
    </w:p>
    <w:p w14:paraId="2F809C87" w14:textId="77777777" w:rsidR="00C770CB" w:rsidRDefault="00C770CB" w:rsidP="00C770CB">
      <w:pPr>
        <w:spacing w:before="1" w:line="180" w:lineRule="exact"/>
        <w:rPr>
          <w:rFonts w:ascii="Times New Roman" w:hAnsi="Times New Roman" w:cs="Times New Roman"/>
          <w:lang w:val="hu-HU"/>
        </w:rPr>
      </w:pPr>
    </w:p>
    <w:p w14:paraId="7401A1DC" w14:textId="77777777" w:rsidR="00C770CB" w:rsidRDefault="00C770CB" w:rsidP="00C770CB">
      <w:pPr>
        <w:pStyle w:val="a3"/>
        <w:rPr>
          <w:lang w:val="hu-HU"/>
        </w:rPr>
      </w:pPr>
      <w:r>
        <w:rPr>
          <w:rFonts w:eastAsia="Times New Roman"/>
          <w:lang w:val="hu-HU"/>
        </w:rPr>
        <w:t>Nagy számú (körülbelül 2100), adalimumab-expozíciónak kitett, ismert kimenetelű, élve születéssel végződő terhesség prospektív módon gyűjtött adatai – beleértve több mint 1500 esetet, mikor az első trimeszterben alkalmazták az adalimumabot – nem igazolták a rendellenességek arányának növekedését az újszülötteknél.</w:t>
      </w:r>
    </w:p>
    <w:p w14:paraId="7DAB6550" w14:textId="77777777" w:rsidR="00C770CB" w:rsidRDefault="00C770CB" w:rsidP="00C770CB">
      <w:pPr>
        <w:spacing w:before="13" w:line="240" w:lineRule="exact"/>
        <w:rPr>
          <w:rFonts w:ascii="Times New Roman" w:hAnsi="Times New Roman" w:cs="Times New Roman"/>
          <w:lang w:val="hu-HU"/>
        </w:rPr>
      </w:pPr>
    </w:p>
    <w:p w14:paraId="335A9996" w14:textId="77777777" w:rsidR="00C770CB" w:rsidRDefault="00C770CB" w:rsidP="00C770CB">
      <w:pPr>
        <w:pStyle w:val="a3"/>
        <w:rPr>
          <w:lang w:val="hu-HU"/>
        </w:rPr>
      </w:pPr>
      <w:r>
        <w:rPr>
          <w:rFonts w:eastAsia="Times New Roman"/>
          <w:lang w:val="hu-HU"/>
        </w:rPr>
        <w:t xml:space="preserve">Egy prospektív kohorsz regiszterben 257, rheumatoid arthritisben (RA) vagy Crohn-betegségben (CD) </w:t>
      </w:r>
      <w:r>
        <w:rPr>
          <w:rFonts w:eastAsia="Times New Roman"/>
          <w:lang w:val="hu-HU"/>
        </w:rPr>
        <w:lastRenderedPageBreak/>
        <w:t>szenvedő, a terhességük legalább első trimeszterében adalimumabbal kezelt nőt és 120, RA-ban vagy Crohn-betegségben szenvedő, adalimumabbal nem kezelt nőt vizsgáltak. Az elsődleges végpont a major születési rendellenesség születéskori prevalenciája volt. Azoknak a terhességeknek az aránya, amelyek kimenetele legalább egy, major fejlődési rendellenességgel élve született csecsemő volt, 6/69 (8,7%) volt az adalimumab-kezelésben részesült RA-s nőknél, és 5/74 (6,8%) volt a nem kezelt RA-s nőknél (nem korrigált OR: 1,31; 95%-os konfidencia intervallum [CI]: 0,38-4,52), továbbá 16/152 (10,5%) volt az adalimumab-kezelésben részesült Crohn-beteg nőknél, és 3/32 (9,4%) volt a nem kezelt Crohn-beteg nőknél (nem korrigált OR: 1,14; 95%-os CI: 0,31-4,16). A korrigált OR (a kiindulási különbségeket tekintetbe véve) 1,10 volt (95%-os CI: 0,45-2,73) együttesen RA-ban és Crohn-betegségben. Nem volt határozott különbség az adalimumabbal kezelt és nem kezelt nők esetében a másodlagos végpontokban, amelyek a spontán abortusz, a minor születési rendellenességek, a koraszülés, a kis születési súly és a súlyos vagy opportunista fertőzések voltak, és nem jelentettek halvaszületést vagy rosszindulatú daganat kialakulást sem. Az adatok értelmezésére hatással lehetnek a regiszter módszertani korlátai, beleértve a kis mintaszámot és a nem randomizált elrendezést.</w:t>
      </w:r>
    </w:p>
    <w:p w14:paraId="35C2DC25" w14:textId="77777777" w:rsidR="00C770CB" w:rsidRDefault="00C770CB" w:rsidP="00C770CB">
      <w:pPr>
        <w:spacing w:before="10" w:line="240" w:lineRule="exact"/>
        <w:rPr>
          <w:rFonts w:ascii="Times New Roman" w:hAnsi="Times New Roman" w:cs="Times New Roman"/>
          <w:lang w:val="hu-HU"/>
        </w:rPr>
      </w:pPr>
    </w:p>
    <w:p w14:paraId="0F844A51" w14:textId="77777777" w:rsidR="00C770CB" w:rsidRDefault="00C770CB" w:rsidP="00C770CB">
      <w:pPr>
        <w:pStyle w:val="a3"/>
        <w:rPr>
          <w:lang w:val="hu-HU"/>
        </w:rPr>
      </w:pPr>
      <w:r>
        <w:rPr>
          <w:rFonts w:eastAsia="Times New Roman"/>
          <w:spacing w:val="-2"/>
          <w:lang w:val="hu-HU"/>
        </w:rPr>
        <w:t>Majmoknál végzett fejlődés toxicitási vizsgálat során anyai, illetve embriótoxicitásra vagy teratogenitásra utaló eltérést nem észleltek. Az adalimumab postnatalis toxicitást okozó hatására vonatkozó preklinikai adatok nem állnak rendelkezésre (lásd 5. 3 pont).</w:t>
      </w:r>
    </w:p>
    <w:p w14:paraId="6123B4DB" w14:textId="77777777" w:rsidR="00C770CB" w:rsidRDefault="00C770CB" w:rsidP="00C770CB">
      <w:pPr>
        <w:spacing w:before="14" w:line="260" w:lineRule="exact"/>
        <w:rPr>
          <w:rFonts w:ascii="Times New Roman" w:hAnsi="Times New Roman" w:cs="Times New Roman"/>
          <w:lang w:val="hu-HU"/>
        </w:rPr>
      </w:pPr>
    </w:p>
    <w:p w14:paraId="31DE0E93" w14:textId="77777777" w:rsidR="00C770CB" w:rsidRDefault="00C770CB" w:rsidP="00C770CB">
      <w:pPr>
        <w:pStyle w:val="a3"/>
        <w:rPr>
          <w:lang w:val="hu-HU"/>
        </w:rPr>
      </w:pPr>
      <w:r>
        <w:rPr>
          <w:rFonts w:eastAsia="Times New Roman"/>
          <w:lang w:val="hu-HU"/>
        </w:rPr>
        <w:t>A TNF-</w:t>
      </w:r>
      <w:r>
        <w:rPr>
          <w:rFonts w:ascii="Symbol" w:eastAsia="Symbol" w:hAnsi="Symbol" w:cs="Symbol"/>
          <w:lang w:val="hu-HU"/>
        </w:rPr>
        <w:sym w:font="Symbol" w:char="F061"/>
      </w:r>
      <w:r>
        <w:rPr>
          <w:rFonts w:eastAsia="Times New Roman"/>
          <w:lang w:val="hu-HU"/>
        </w:rPr>
        <w:t>gátlást okozó hatása miatt, a terhesség alatt adott adalimumab befolyásolhatja az újszülött normális immunreakcióit. Az adalimumab csak akkor alkalmazható terhesség alatt, ha egyértelműen szükséges.</w:t>
      </w:r>
    </w:p>
    <w:p w14:paraId="2EE1EF27" w14:textId="77777777" w:rsidR="00C770CB" w:rsidRDefault="00C770CB" w:rsidP="00C770CB">
      <w:pPr>
        <w:spacing w:before="11" w:line="240" w:lineRule="exact"/>
        <w:rPr>
          <w:rFonts w:ascii="Times New Roman" w:hAnsi="Times New Roman" w:cs="Times New Roman"/>
          <w:lang w:val="hu-HU"/>
        </w:rPr>
      </w:pPr>
    </w:p>
    <w:p w14:paraId="2CA0652A" w14:textId="77777777" w:rsidR="00C770CB" w:rsidRDefault="00C770CB" w:rsidP="00C770CB">
      <w:pPr>
        <w:pStyle w:val="a3"/>
        <w:rPr>
          <w:lang w:val="hu-HU"/>
        </w:rPr>
      </w:pPr>
      <w:r>
        <w:rPr>
          <w:rFonts w:eastAsia="Times New Roman"/>
          <w:lang w:val="hu-HU"/>
        </w:rPr>
        <w:t>Az adalimumab átjuthat a méhlepényen az adalimumabbal a terhesség alatt kezelt nőknek született csecsemők szérumába. Következésképpen ezek a csecsemők nagyobb fertőzési kockázatnak lehetnek kitéve. Az anya terhesség alatti utolsó adalimumab-injekciójától számított 5 hónapig nem javasolt az olyan csecsemők élő kórokozót tartalmazó vakcinával (például BCG-vakcinával) való oltása, akik in utero adalimumab hatásának voltak kitéve.</w:t>
      </w:r>
    </w:p>
    <w:p w14:paraId="2055C65D" w14:textId="77777777" w:rsidR="00C770CB" w:rsidRDefault="00C770CB" w:rsidP="00C770CB">
      <w:pPr>
        <w:spacing w:before="13" w:line="240" w:lineRule="exact"/>
        <w:rPr>
          <w:rFonts w:ascii="Times New Roman" w:hAnsi="Times New Roman" w:cs="Times New Roman"/>
          <w:lang w:val="hu-HU"/>
        </w:rPr>
      </w:pPr>
    </w:p>
    <w:p w14:paraId="15A7A9EA" w14:textId="77777777" w:rsidR="00C770CB" w:rsidRDefault="00C770CB" w:rsidP="00C770CB">
      <w:pPr>
        <w:pStyle w:val="a3"/>
        <w:rPr>
          <w:u w:val="single"/>
          <w:lang w:val="hu-HU"/>
        </w:rPr>
      </w:pPr>
      <w:r>
        <w:rPr>
          <w:rFonts w:eastAsia="Times New Roman"/>
          <w:spacing w:val="-1"/>
          <w:u w:val="single" w:color="000000"/>
          <w:lang w:val="hu-HU"/>
        </w:rPr>
        <w:t>Szoptatás</w:t>
      </w:r>
    </w:p>
    <w:p w14:paraId="5C2E3E76" w14:textId="77777777" w:rsidR="00C770CB" w:rsidRDefault="00C770CB" w:rsidP="00C770CB">
      <w:pPr>
        <w:spacing w:before="1" w:line="180" w:lineRule="exact"/>
        <w:rPr>
          <w:rFonts w:ascii="Times New Roman" w:hAnsi="Times New Roman" w:cs="Times New Roman"/>
          <w:lang w:val="hu-HU"/>
        </w:rPr>
      </w:pPr>
    </w:p>
    <w:p w14:paraId="751F2781" w14:textId="77777777" w:rsidR="00C770CB" w:rsidRDefault="00C770CB" w:rsidP="00C770CB">
      <w:pPr>
        <w:pStyle w:val="a3"/>
        <w:rPr>
          <w:lang w:val="hu-HU"/>
        </w:rPr>
      </w:pPr>
      <w:r>
        <w:rPr>
          <w:rFonts w:eastAsia="Times New Roman"/>
          <w:lang w:val="hu-HU"/>
        </w:rPr>
        <w:t>A szakirodalomban közzétett korlátozott mennyiségű információ alapján az adalimumab nagyon kis koncentrációban kiválasztódik az anyatejbe, az anyai szérumszint 0,1-1%-ában van jelen. Szájon át adva, az immunglobulin G-fehérjék intestinalis proteolízist szenvednek, és a biohasznosulásuk csekély. Nem várhatóak a szoptatott újszülöttekre/csecsemőkre gyakorolt hatások. Következésképpen a Yuflyma alkalmazható szoptatás alatt.</w:t>
      </w:r>
    </w:p>
    <w:p w14:paraId="473B7C9E" w14:textId="77777777" w:rsidR="00C770CB" w:rsidRDefault="00C770CB" w:rsidP="00C770CB">
      <w:pPr>
        <w:spacing w:before="11" w:line="240" w:lineRule="exact"/>
        <w:rPr>
          <w:rFonts w:ascii="Times New Roman" w:hAnsi="Times New Roman" w:cs="Times New Roman"/>
          <w:lang w:val="hu-HU"/>
        </w:rPr>
      </w:pPr>
    </w:p>
    <w:p w14:paraId="5028A3DF" w14:textId="77777777" w:rsidR="00C770CB" w:rsidRDefault="00C770CB" w:rsidP="00C770CB">
      <w:pPr>
        <w:pStyle w:val="a3"/>
        <w:rPr>
          <w:u w:val="single"/>
          <w:lang w:val="hu-HU"/>
        </w:rPr>
      </w:pPr>
      <w:r>
        <w:rPr>
          <w:rFonts w:eastAsia="Times New Roman"/>
          <w:u w:val="single" w:color="000000"/>
          <w:lang w:val="hu-HU"/>
        </w:rPr>
        <w:t>Termékenység</w:t>
      </w:r>
    </w:p>
    <w:p w14:paraId="4223801F" w14:textId="77777777" w:rsidR="00C770CB" w:rsidRDefault="00C770CB" w:rsidP="00C770CB">
      <w:pPr>
        <w:spacing w:before="1" w:line="180" w:lineRule="exact"/>
        <w:rPr>
          <w:rFonts w:ascii="Times New Roman" w:hAnsi="Times New Roman" w:cs="Times New Roman"/>
          <w:lang w:val="hu-HU"/>
        </w:rPr>
      </w:pPr>
    </w:p>
    <w:p w14:paraId="66F7047E" w14:textId="77777777" w:rsidR="00C770CB" w:rsidRDefault="00C770CB" w:rsidP="00C770CB">
      <w:pPr>
        <w:pStyle w:val="a3"/>
        <w:rPr>
          <w:lang w:val="hu-HU"/>
        </w:rPr>
      </w:pPr>
      <w:r>
        <w:rPr>
          <w:rFonts w:eastAsia="Times New Roman"/>
          <w:lang w:val="hu-HU"/>
        </w:rPr>
        <w:t>Nem áll rendelkezésre preklinikai adat az adalimumab termékenységre gyakorolt hatásával kapcsolatban.</w:t>
      </w:r>
    </w:p>
    <w:p w14:paraId="2D7450CF" w14:textId="77777777" w:rsidR="00C770CB" w:rsidRDefault="00C770CB" w:rsidP="00C770CB">
      <w:pPr>
        <w:spacing w:before="18" w:line="240" w:lineRule="exact"/>
        <w:rPr>
          <w:sz w:val="24"/>
          <w:szCs w:val="24"/>
          <w:lang w:val="hu-HU"/>
        </w:rPr>
      </w:pPr>
    </w:p>
    <w:p w14:paraId="624CD26A" w14:textId="77777777" w:rsidR="00C770CB" w:rsidRDefault="00C770CB" w:rsidP="00FD05AA">
      <w:pPr>
        <w:widowControl/>
        <w:numPr>
          <w:ilvl w:val="1"/>
          <w:numId w:val="53"/>
        </w:numPr>
        <w:tabs>
          <w:tab w:val="left" w:pos="567"/>
        </w:tabs>
        <w:spacing w:line="260" w:lineRule="exact"/>
        <w:ind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A készítmény hatásai a gépjárművezetéshez és a gépek kezeléséhez szükséges képességekre</w:t>
      </w:r>
    </w:p>
    <w:p w14:paraId="383115B5" w14:textId="77777777" w:rsidR="00C770CB" w:rsidRDefault="00C770CB" w:rsidP="00C770CB">
      <w:pPr>
        <w:spacing w:before="12" w:line="240" w:lineRule="exact"/>
        <w:rPr>
          <w:sz w:val="24"/>
          <w:szCs w:val="24"/>
          <w:lang w:val="hu-HU"/>
        </w:rPr>
      </w:pPr>
    </w:p>
    <w:p w14:paraId="4E1A9B7E" w14:textId="77777777" w:rsidR="00C770CB" w:rsidRDefault="00C770CB" w:rsidP="00C770CB">
      <w:pPr>
        <w:pStyle w:val="a3"/>
        <w:rPr>
          <w:lang w:val="hu-HU"/>
        </w:rPr>
      </w:pPr>
      <w:r>
        <w:rPr>
          <w:rFonts w:eastAsia="Times New Roman"/>
          <w:lang w:val="hu-HU"/>
        </w:rPr>
        <w:t>A Yuflyma csekély mértékben befolyásolhatja a gépjárművezetéshez és a gépek kezeléséhez szükséges képességeket. A Yuflyma alkalmazását követően vertigo és látásromlás fordulhat elő(lásd 4.8 pont).</w:t>
      </w:r>
    </w:p>
    <w:p w14:paraId="6DCC0956" w14:textId="77777777" w:rsidR="00C770CB" w:rsidRDefault="00C770CB" w:rsidP="00C770CB">
      <w:pPr>
        <w:spacing w:before="15" w:line="240" w:lineRule="exact"/>
        <w:rPr>
          <w:sz w:val="24"/>
          <w:szCs w:val="24"/>
          <w:lang w:val="hu-HU"/>
        </w:rPr>
      </w:pPr>
    </w:p>
    <w:p w14:paraId="478F1CE8" w14:textId="77777777" w:rsidR="00C770CB" w:rsidRDefault="00C770CB" w:rsidP="00FD05AA">
      <w:pPr>
        <w:widowControl/>
        <w:numPr>
          <w:ilvl w:val="1"/>
          <w:numId w:val="53"/>
        </w:numPr>
        <w:tabs>
          <w:tab w:val="left" w:pos="567"/>
        </w:tabs>
        <w:spacing w:line="260" w:lineRule="exact"/>
        <w:ind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Nemkívánatos hatások, mellékhatások</w:t>
      </w:r>
    </w:p>
    <w:p w14:paraId="5854C313" w14:textId="77777777" w:rsidR="00C770CB" w:rsidRDefault="00C770CB" w:rsidP="00C770CB">
      <w:pPr>
        <w:spacing w:before="9" w:line="240" w:lineRule="exact"/>
        <w:rPr>
          <w:sz w:val="24"/>
          <w:szCs w:val="24"/>
          <w:lang w:val="hu-HU"/>
        </w:rPr>
      </w:pPr>
    </w:p>
    <w:p w14:paraId="46CCA517" w14:textId="77777777" w:rsidR="00C770CB" w:rsidRDefault="00C770CB" w:rsidP="00C770CB">
      <w:pPr>
        <w:pStyle w:val="a3"/>
        <w:rPr>
          <w:u w:val="single"/>
          <w:lang w:val="hu-HU"/>
        </w:rPr>
      </w:pPr>
      <w:r>
        <w:rPr>
          <w:rFonts w:eastAsia="Times New Roman"/>
          <w:u w:val="single" w:color="000000"/>
          <w:lang w:val="hu-HU"/>
        </w:rPr>
        <w:t>A biztonságossági profil összefoglalása</w:t>
      </w:r>
    </w:p>
    <w:p w14:paraId="33E6407E" w14:textId="77777777" w:rsidR="00C770CB" w:rsidRDefault="00C770CB" w:rsidP="00C770CB">
      <w:pPr>
        <w:spacing w:before="1" w:line="180" w:lineRule="exact"/>
        <w:rPr>
          <w:sz w:val="18"/>
          <w:szCs w:val="18"/>
          <w:lang w:val="hu-HU"/>
        </w:rPr>
      </w:pPr>
    </w:p>
    <w:p w14:paraId="2344F326" w14:textId="77777777" w:rsidR="00C770CB" w:rsidRDefault="00C770CB" w:rsidP="00C770CB">
      <w:pPr>
        <w:pStyle w:val="a3"/>
        <w:rPr>
          <w:lang w:val="hu-HU"/>
        </w:rPr>
      </w:pPr>
      <w:r>
        <w:rPr>
          <w:rFonts w:eastAsia="Times New Roman"/>
          <w:lang w:val="hu-HU"/>
        </w:rPr>
        <w:t xml:space="preserve">Az adalimumabot 9506 beteg bevonásával tanulmányozták pivotális, kontrollos és nyílt vizsgálatokban, 60 hónapig vagy még tovább. Ezekbe a vizsgálatokba rövidebb vagy hosszabb ideje rheumatoid arthritisben, juvenilis idiopathiás arthritisben (polyarticularis juvenilis idiopathiás arthritisben és enthesitis-asszociált arthritisben), valamint axialis spondyloarthritisben (spondylitis ankylopoeticában és a spondylitis ankylopoeticának (SPA) megfelelő röntgeneltéréssel nem járó axiális spondyloarthritisben), arthritis psoriaticában, Crohn-betegségben, colitis ulcerosában, psoriasisban, hidradenitis suppurativában és </w:t>
      </w:r>
      <w:r>
        <w:rPr>
          <w:rFonts w:eastAsia="Times New Roman"/>
          <w:lang w:val="hu-HU"/>
        </w:rPr>
        <w:lastRenderedPageBreak/>
        <w:t>uveitisben szenvedő betegeket választottak be. A pivotális, kontrollos vizsgálatok, amelyek során 6089 beteg részesült adalimumab kezelésben és 3801 beteg kapott placebót vagy aktív összehasonlító gyógyszert a kontrollos periódusban és a spontán jelentés során</w:t>
      </w:r>
    </w:p>
    <w:p w14:paraId="2730B653" w14:textId="77777777" w:rsidR="00C770CB" w:rsidRDefault="00C770CB" w:rsidP="00C770CB">
      <w:pPr>
        <w:spacing w:before="13" w:line="240" w:lineRule="exact"/>
        <w:rPr>
          <w:sz w:val="24"/>
          <w:szCs w:val="24"/>
          <w:lang w:val="hu-HU"/>
        </w:rPr>
      </w:pPr>
    </w:p>
    <w:p w14:paraId="12CF4680" w14:textId="77777777" w:rsidR="00C770CB" w:rsidRDefault="00C770CB" w:rsidP="00C770CB">
      <w:pPr>
        <w:pStyle w:val="a3"/>
        <w:rPr>
          <w:lang w:val="hu-HU"/>
        </w:rPr>
      </w:pPr>
      <w:r>
        <w:rPr>
          <w:rFonts w:eastAsia="Times New Roman"/>
          <w:lang w:val="hu-HU"/>
        </w:rPr>
        <w:t>Azon betegek aránya, akik a pivotális vizsgálatok kettős vak, kontrollos részében mellékhatások miatt abbahagyták a kezelést, az adalimumabbal kezelt betegcsoportban 5,9%, míg a kontroll kezelt betegeknél 5,4% volt</w:t>
      </w:r>
    </w:p>
    <w:p w14:paraId="34D066C1" w14:textId="77777777" w:rsidR="00C770CB" w:rsidRDefault="00C770CB" w:rsidP="00C770CB">
      <w:pPr>
        <w:spacing w:before="17" w:line="240" w:lineRule="exact"/>
        <w:rPr>
          <w:sz w:val="24"/>
          <w:szCs w:val="24"/>
          <w:lang w:val="hu-HU"/>
        </w:rPr>
      </w:pPr>
    </w:p>
    <w:p w14:paraId="3A02D42E" w14:textId="77777777" w:rsidR="00C770CB" w:rsidRDefault="00C770CB" w:rsidP="00C770CB">
      <w:pPr>
        <w:pStyle w:val="a3"/>
        <w:rPr>
          <w:lang w:val="hu-HU"/>
        </w:rPr>
      </w:pPr>
      <w:r>
        <w:rPr>
          <w:rFonts w:eastAsia="Times New Roman"/>
          <w:lang w:val="hu-HU"/>
        </w:rPr>
        <w:t>A leggyakoribb mellékhatások a fertőzések (mint például nasopharyngitis, felső légúti fertőzés és sinusitis), az injekció beadási helyén jelentkező reakciók (erythema, pruritus, suffusio, fájdalom vagy duzzanat), a fejfájás és a mozgásszervi eredetű fájdalom.</w:t>
      </w:r>
    </w:p>
    <w:p w14:paraId="1992A8ED" w14:textId="77777777" w:rsidR="00C770CB" w:rsidRDefault="00C770CB" w:rsidP="00C770CB">
      <w:pPr>
        <w:pStyle w:val="a3"/>
        <w:rPr>
          <w:lang w:val="hu-HU"/>
        </w:rPr>
      </w:pPr>
    </w:p>
    <w:p w14:paraId="2A675920" w14:textId="77777777" w:rsidR="00C770CB" w:rsidRDefault="00C770CB" w:rsidP="00C770CB">
      <w:pPr>
        <w:pStyle w:val="a3"/>
        <w:rPr>
          <w:lang w:val="hu-HU"/>
        </w:rPr>
      </w:pPr>
      <w:r>
        <w:rPr>
          <w:rFonts w:eastAsia="Times New Roman"/>
          <w:lang w:val="hu-HU"/>
        </w:rPr>
        <w:t>Súlyos mellékhatásokról is beszámoltak az adalimumab alkalmazása soránA TNF-antagonisták, így az adalimumab is befolyásolják az immunrendszert, és alkalmazásuk megváltoztathatja a szervezet fertőzésekkel és daganatokkal szembeni védekező képességét.</w:t>
      </w:r>
    </w:p>
    <w:p w14:paraId="59D2EFF9" w14:textId="77777777" w:rsidR="00C770CB" w:rsidRDefault="00C770CB" w:rsidP="00C770CB">
      <w:pPr>
        <w:pStyle w:val="a3"/>
        <w:rPr>
          <w:lang w:val="hu-HU"/>
        </w:rPr>
      </w:pPr>
      <w:r>
        <w:rPr>
          <w:rFonts w:eastAsia="Times New Roman"/>
          <w:lang w:val="hu-HU"/>
        </w:rPr>
        <w:t>Az adalimumab alkalmazása során beszámoltak fatális és életveszélyes fertőzésekről (beleértve a szepszist, az oppurtunista fertőzést és a TBC-t), HBV-reaktiválódásról és különböző malignus betegségekről is (beleértve a leukaemiát, a lymphomát és hepatosplenicus T-sejtes lymphomát).</w:t>
      </w:r>
    </w:p>
    <w:p w14:paraId="0C4D0B03" w14:textId="77777777" w:rsidR="00C770CB" w:rsidRDefault="00C770CB" w:rsidP="00C770CB">
      <w:pPr>
        <w:spacing w:before="17" w:line="240" w:lineRule="exact"/>
        <w:rPr>
          <w:sz w:val="24"/>
          <w:szCs w:val="24"/>
          <w:lang w:val="hu-HU"/>
        </w:rPr>
      </w:pPr>
    </w:p>
    <w:p w14:paraId="02AC269E" w14:textId="77777777" w:rsidR="00C770CB" w:rsidRDefault="00C770CB" w:rsidP="00C770CB">
      <w:pPr>
        <w:pStyle w:val="a3"/>
        <w:rPr>
          <w:lang w:val="hu-HU"/>
        </w:rPr>
      </w:pPr>
      <w:r>
        <w:rPr>
          <w:rFonts w:eastAsia="Times New Roman"/>
          <w:lang w:val="hu-HU"/>
        </w:rPr>
        <w:t>Súlyos hematológiai, neurológiai és autoimmun reakciókat is jelentettek. Mint például pancytopenia, aplasticus anaemia, központi és perifériás demyelinisatiós betegségek néhány esete, lupus erythematosus, lupus-szal összefüggő betegségek és Stevens–Johnson-szindróma.</w:t>
      </w:r>
    </w:p>
    <w:p w14:paraId="21523B8A" w14:textId="77777777" w:rsidR="00C770CB" w:rsidRDefault="00C770CB" w:rsidP="00C770CB">
      <w:pPr>
        <w:spacing w:before="11" w:line="240" w:lineRule="exact"/>
        <w:rPr>
          <w:sz w:val="24"/>
          <w:szCs w:val="24"/>
          <w:lang w:val="hu-HU"/>
        </w:rPr>
      </w:pPr>
    </w:p>
    <w:p w14:paraId="6AC2E331" w14:textId="77777777" w:rsidR="00C770CB" w:rsidRPr="009167C6" w:rsidRDefault="00C770CB" w:rsidP="00C770CB">
      <w:pPr>
        <w:keepNext/>
        <w:rPr>
          <w:rFonts w:ascii="Times New Roman" w:hAnsi="Times New Roman" w:cs="Times New Roman"/>
          <w:iCs/>
          <w:u w:val="single"/>
          <w:lang w:val="hu-HU"/>
        </w:rPr>
      </w:pPr>
      <w:r w:rsidRPr="009167C6">
        <w:rPr>
          <w:rFonts w:ascii="Times New Roman" w:hAnsi="Times New Roman" w:cs="Times New Roman"/>
          <w:iCs/>
          <w:u w:val="single"/>
          <w:lang w:val="hu-HU"/>
        </w:rPr>
        <w:t>Gyermekek és serdülők</w:t>
      </w:r>
    </w:p>
    <w:p w14:paraId="5192B946" w14:textId="77777777" w:rsidR="00C770CB" w:rsidRDefault="00C770CB" w:rsidP="00C770CB">
      <w:pPr>
        <w:pStyle w:val="a3"/>
        <w:rPr>
          <w:rFonts w:eastAsia="Times New Roman"/>
          <w:lang w:val="hu-HU"/>
        </w:rPr>
      </w:pPr>
    </w:p>
    <w:p w14:paraId="04DA908B" w14:textId="77777777" w:rsidR="00C770CB" w:rsidRDefault="00C770CB" w:rsidP="00C770CB">
      <w:pPr>
        <w:pStyle w:val="a3"/>
        <w:rPr>
          <w:lang w:val="hu-HU"/>
        </w:rPr>
      </w:pPr>
      <w:r>
        <w:rPr>
          <w:rFonts w:eastAsia="Times New Roman"/>
          <w:lang w:val="hu-HU"/>
        </w:rPr>
        <w:t>Általában véve a gyermek és serdülőkorú betegeknél megfigyelt nemkívánatos események gyakorisága és típusa hasonló volt azokhoz, mint amiket a felnőtt betegeknél észleltek.</w:t>
      </w:r>
    </w:p>
    <w:p w14:paraId="4FE7DD5E" w14:textId="77777777" w:rsidR="00C770CB" w:rsidRDefault="00C770CB" w:rsidP="00C770CB">
      <w:pPr>
        <w:spacing w:before="11" w:line="240" w:lineRule="exact"/>
        <w:rPr>
          <w:sz w:val="24"/>
          <w:szCs w:val="24"/>
          <w:lang w:val="hu-HU"/>
        </w:rPr>
      </w:pPr>
    </w:p>
    <w:p w14:paraId="0D2433D2" w14:textId="77777777" w:rsidR="00C770CB" w:rsidRDefault="00C770CB" w:rsidP="00C770CB">
      <w:pPr>
        <w:pStyle w:val="a3"/>
        <w:rPr>
          <w:u w:val="single"/>
          <w:lang w:val="hu-HU"/>
        </w:rPr>
      </w:pPr>
      <w:r>
        <w:rPr>
          <w:rFonts w:eastAsia="Times New Roman"/>
          <w:u w:val="single" w:color="000000"/>
          <w:lang w:val="hu-HU"/>
        </w:rPr>
        <w:t>A mellékhatások táblázatos felsorolása</w:t>
      </w:r>
    </w:p>
    <w:p w14:paraId="40E4BC81" w14:textId="77777777" w:rsidR="00C770CB" w:rsidRDefault="00C770CB" w:rsidP="00C770CB">
      <w:pPr>
        <w:spacing w:before="1" w:line="180" w:lineRule="exact"/>
        <w:rPr>
          <w:sz w:val="18"/>
          <w:szCs w:val="18"/>
          <w:lang w:val="hu-HU"/>
        </w:rPr>
      </w:pPr>
    </w:p>
    <w:p w14:paraId="22208A11" w14:textId="00C38859" w:rsidR="00C770CB" w:rsidRDefault="00C770CB" w:rsidP="00C770CB">
      <w:pPr>
        <w:pStyle w:val="a3"/>
        <w:rPr>
          <w:lang w:val="hu-HU"/>
        </w:rPr>
      </w:pPr>
      <w:r>
        <w:rPr>
          <w:rFonts w:eastAsia="Times New Roman"/>
          <w:lang w:val="hu-HU"/>
        </w:rPr>
        <w:t xml:space="preserve">A </w:t>
      </w:r>
      <w:r w:rsidR="009454CE">
        <w:rPr>
          <w:rFonts w:eastAsia="Times New Roman"/>
          <w:lang w:val="hu-HU"/>
        </w:rPr>
        <w:t>4</w:t>
      </w:r>
      <w:r>
        <w:rPr>
          <w:rFonts w:eastAsia="Times New Roman"/>
          <w:lang w:val="hu-HU"/>
        </w:rPr>
        <w:t>. táblázatban a klinikai vizsgálatok során és a forgalomba hozatalt követően észlelt mellékhatások szervrendszer és gyakoriság szerint vannak felsorolva: nagyon gyakori</w:t>
      </w:r>
    </w:p>
    <w:p w14:paraId="555D628D" w14:textId="77777777" w:rsidR="00C770CB" w:rsidRDefault="00C770CB" w:rsidP="00C770CB">
      <w:pPr>
        <w:pStyle w:val="a3"/>
        <w:rPr>
          <w:rFonts w:eastAsia="Times New Roman"/>
          <w:lang w:val="hu-HU"/>
        </w:rPr>
      </w:pPr>
      <w:r>
        <w:rPr>
          <w:rFonts w:eastAsia="Times New Roman"/>
          <w:lang w:val="hu-HU"/>
        </w:rPr>
        <w:t>(</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 1/10); gyakori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 1/100 &lt;1/10); nem gyakori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 1/1000, &lt;1/100); ritka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 1 / 10,000 &lt;1 / 1,000); és nem ismert (a gyakoriság a rendelkezésre álló adatokból nem állapítható meg). Az egyes gyakorisági kategóriákon belül a mellékhatások csökkenő súlyosság szerint kerülnek megadásra.. A különböző indikációk esetén előforduló legnagyobb előfordulási gyakoriság került feltüntetésre. A szervrendszeri kategóriák oszlopában csillag (*) jelzi, ha további információ található a 4.3, 4.4 és 4.8 pontban.</w:t>
      </w:r>
    </w:p>
    <w:p w14:paraId="7A9A93C9" w14:textId="77777777" w:rsidR="00C770CB" w:rsidRDefault="00C770CB" w:rsidP="00C770CB">
      <w:pPr>
        <w:pStyle w:val="a3"/>
        <w:rPr>
          <w:rFonts w:eastAsia="Times New Roman"/>
          <w:lang w:val="hu-HU"/>
        </w:rPr>
      </w:pPr>
    </w:p>
    <w:p w14:paraId="63C83156" w14:textId="68526DE9" w:rsidR="00C770CB" w:rsidRDefault="009454CE" w:rsidP="00C770CB">
      <w:pPr>
        <w:pStyle w:val="a3"/>
        <w:jc w:val="center"/>
        <w:rPr>
          <w:b/>
          <w:lang w:val="hu-HU"/>
        </w:rPr>
      </w:pPr>
      <w:r>
        <w:rPr>
          <w:rFonts w:eastAsia="Times New Roman"/>
          <w:b/>
          <w:bCs/>
          <w:lang w:val="hu-HU"/>
        </w:rPr>
        <w:t>4</w:t>
      </w:r>
      <w:r w:rsidR="00C770CB">
        <w:rPr>
          <w:rFonts w:eastAsia="Times New Roman"/>
          <w:b/>
          <w:bCs/>
          <w:lang w:val="hu-HU"/>
        </w:rPr>
        <w:t>. táblázat. Nemkívánatos hatások</w:t>
      </w:r>
    </w:p>
    <w:p w14:paraId="12198D62" w14:textId="77777777" w:rsidR="00C770CB" w:rsidRDefault="00C770CB" w:rsidP="00C770CB">
      <w:pPr>
        <w:spacing w:before="10" w:line="240" w:lineRule="exact"/>
        <w:rPr>
          <w:sz w:val="24"/>
          <w:szCs w:val="24"/>
          <w:lang w:val="hu-HU"/>
        </w:rPr>
      </w:pPr>
    </w:p>
    <w:tbl>
      <w:tblPr>
        <w:tblStyle w:val="TableNormal1"/>
        <w:tblW w:w="0" w:type="auto"/>
        <w:tblInd w:w="110" w:type="dxa"/>
        <w:tblLayout w:type="fixed"/>
        <w:tblLook w:val="01E0" w:firstRow="1" w:lastRow="1" w:firstColumn="1" w:lastColumn="1" w:noHBand="0" w:noVBand="0"/>
      </w:tblPr>
      <w:tblGrid>
        <w:gridCol w:w="2599"/>
        <w:gridCol w:w="2076"/>
        <w:gridCol w:w="4574"/>
      </w:tblGrid>
      <w:tr w:rsidR="00C770CB" w14:paraId="168460F4" w14:textId="77777777" w:rsidTr="007E7849">
        <w:tc>
          <w:tcPr>
            <w:tcW w:w="2599" w:type="dxa"/>
            <w:tcBorders>
              <w:top w:val="single" w:sz="5" w:space="0" w:color="000000"/>
              <w:left w:val="single" w:sz="5" w:space="0" w:color="000000"/>
              <w:bottom w:val="single" w:sz="5" w:space="0" w:color="000000"/>
              <w:right w:val="single" w:sz="5" w:space="0" w:color="000000"/>
            </w:tcBorders>
            <w:vAlign w:val="center"/>
          </w:tcPr>
          <w:p w14:paraId="7951939B" w14:textId="77777777" w:rsidR="00C770CB" w:rsidRDefault="00C770CB" w:rsidP="007E7849">
            <w:pPr>
              <w:pStyle w:val="TableParagraph"/>
              <w:jc w:val="both"/>
              <w:rPr>
                <w:rFonts w:ascii="Times New Roman" w:eastAsia="Times New Roman" w:hAnsi="Times New Roman" w:cs="Times New Roman"/>
                <w:lang w:val="hu-HU"/>
              </w:rPr>
            </w:pPr>
            <w:r>
              <w:rPr>
                <w:rFonts w:ascii="Times New Roman" w:eastAsia="Times New Roman" w:hAnsi="Times New Roman" w:cs="Times New Roman"/>
                <w:b/>
                <w:bCs/>
                <w:spacing w:val="-1"/>
                <w:lang w:val="hu-HU"/>
              </w:rPr>
              <w:t>Szervrendszerenkénti csoportosítás</w:t>
            </w:r>
          </w:p>
        </w:tc>
        <w:tc>
          <w:tcPr>
            <w:tcW w:w="2076" w:type="dxa"/>
            <w:tcBorders>
              <w:top w:val="single" w:sz="5" w:space="0" w:color="000000"/>
              <w:left w:val="single" w:sz="5" w:space="0" w:color="000000"/>
              <w:bottom w:val="single" w:sz="5" w:space="0" w:color="000000"/>
              <w:right w:val="single" w:sz="5" w:space="0" w:color="000000"/>
            </w:tcBorders>
            <w:vAlign w:val="center"/>
          </w:tcPr>
          <w:p w14:paraId="4998AB8D" w14:textId="77777777" w:rsidR="00C770CB" w:rsidRDefault="00C770CB" w:rsidP="007E7849">
            <w:pPr>
              <w:pStyle w:val="TableParagraph"/>
              <w:jc w:val="both"/>
              <w:rPr>
                <w:rFonts w:ascii="Times New Roman" w:eastAsia="Times New Roman" w:hAnsi="Times New Roman" w:cs="Times New Roman"/>
                <w:lang w:val="hu-HU"/>
              </w:rPr>
            </w:pPr>
            <w:r>
              <w:rPr>
                <w:rFonts w:ascii="Times New Roman" w:eastAsia="Times New Roman" w:hAnsi="Times New Roman" w:cs="Times New Roman"/>
                <w:b/>
                <w:bCs/>
                <w:lang w:val="hu-HU"/>
              </w:rPr>
              <w:t>Gyakoriság</w:t>
            </w:r>
          </w:p>
        </w:tc>
        <w:tc>
          <w:tcPr>
            <w:tcW w:w="4574" w:type="dxa"/>
            <w:tcBorders>
              <w:top w:val="single" w:sz="5" w:space="0" w:color="000000"/>
              <w:left w:val="single" w:sz="5" w:space="0" w:color="000000"/>
              <w:bottom w:val="single" w:sz="5" w:space="0" w:color="000000"/>
              <w:right w:val="single" w:sz="5" w:space="0" w:color="000000"/>
            </w:tcBorders>
            <w:vAlign w:val="center"/>
          </w:tcPr>
          <w:p w14:paraId="00FA1F03" w14:textId="77777777" w:rsidR="00C770CB" w:rsidRDefault="00C770CB" w:rsidP="007E7849">
            <w:pPr>
              <w:pStyle w:val="TableParagraph"/>
              <w:jc w:val="both"/>
              <w:rPr>
                <w:rFonts w:ascii="Times New Roman" w:eastAsia="Times New Roman" w:hAnsi="Times New Roman" w:cs="Times New Roman"/>
                <w:lang w:val="hu-HU"/>
              </w:rPr>
            </w:pPr>
            <w:r>
              <w:rPr>
                <w:rFonts w:ascii="Times New Roman" w:eastAsia="Times New Roman" w:hAnsi="Times New Roman" w:cs="Times New Roman"/>
                <w:b/>
                <w:bCs/>
                <w:spacing w:val="-1"/>
                <w:lang w:val="hu-HU"/>
              </w:rPr>
              <w:t>Mellékhatás</w:t>
            </w:r>
          </w:p>
        </w:tc>
      </w:tr>
      <w:tr w:rsidR="00C770CB" w:rsidRPr="00BE4D18" w14:paraId="008103CC" w14:textId="77777777" w:rsidTr="007E7849">
        <w:tc>
          <w:tcPr>
            <w:tcW w:w="2599" w:type="dxa"/>
            <w:vMerge w:val="restart"/>
            <w:tcBorders>
              <w:top w:val="single" w:sz="5" w:space="0" w:color="000000"/>
              <w:left w:val="single" w:sz="5" w:space="0" w:color="000000"/>
              <w:right w:val="single" w:sz="5" w:space="0" w:color="000000"/>
            </w:tcBorders>
          </w:tcPr>
          <w:p w14:paraId="6F882038" w14:textId="77777777" w:rsidR="00C770CB" w:rsidRDefault="00C770CB" w:rsidP="007E7849">
            <w:pPr>
              <w:pStyle w:val="TableParagraph"/>
              <w:ind w:left="102" w:right="155"/>
              <w:rPr>
                <w:rFonts w:ascii="Times New Roman" w:eastAsia="Times New Roman" w:hAnsi="Times New Roman" w:cs="Times New Roman"/>
                <w:lang w:val="hu-HU"/>
              </w:rPr>
            </w:pPr>
            <w:r>
              <w:rPr>
                <w:rFonts w:ascii="Times New Roman" w:eastAsia="Times New Roman" w:hAnsi="Times New Roman" w:cs="Times New Roman"/>
                <w:spacing w:val="-1"/>
                <w:lang w:val="hu-HU"/>
              </w:rPr>
              <w:t>Fertőző betegségek és parazitafertőzések*</w:t>
            </w:r>
          </w:p>
        </w:tc>
        <w:tc>
          <w:tcPr>
            <w:tcW w:w="2076" w:type="dxa"/>
            <w:tcBorders>
              <w:top w:val="single" w:sz="5" w:space="0" w:color="000000"/>
              <w:left w:val="single" w:sz="5" w:space="0" w:color="000000"/>
              <w:bottom w:val="single" w:sz="5" w:space="0" w:color="000000"/>
              <w:right w:val="single" w:sz="5" w:space="0" w:color="000000"/>
            </w:tcBorders>
          </w:tcPr>
          <w:p w14:paraId="5448F6CC"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Nagyon gyakori</w:t>
            </w:r>
          </w:p>
        </w:tc>
        <w:tc>
          <w:tcPr>
            <w:tcW w:w="4574" w:type="dxa"/>
            <w:tcBorders>
              <w:top w:val="single" w:sz="5" w:space="0" w:color="000000"/>
              <w:left w:val="single" w:sz="5" w:space="0" w:color="000000"/>
              <w:bottom w:val="single" w:sz="5" w:space="0" w:color="000000"/>
              <w:right w:val="single" w:sz="5" w:space="0" w:color="000000"/>
            </w:tcBorders>
          </w:tcPr>
          <w:p w14:paraId="0E30C84E"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Légúti fertőzések (beleértve az alsó- és a felső légúti fertőzéseket, pneumoniát, sinusitist, pharyngitist, nasopharyngitist és a herpes vírus okozta pneumoniát is)</w:t>
            </w:r>
          </w:p>
        </w:tc>
      </w:tr>
      <w:tr w:rsidR="00C770CB" w:rsidRPr="00BE4D18" w14:paraId="3C54FCB9" w14:textId="77777777" w:rsidTr="007E7849">
        <w:tc>
          <w:tcPr>
            <w:tcW w:w="2599" w:type="dxa"/>
            <w:vMerge/>
            <w:tcBorders>
              <w:left w:val="single" w:sz="5" w:space="0" w:color="000000"/>
              <w:right w:val="single" w:sz="5" w:space="0" w:color="000000"/>
            </w:tcBorders>
          </w:tcPr>
          <w:p w14:paraId="707B6A12"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49A120E3"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45777C81"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Szisztémás fertőzések (beleértve a sepsist, candidiasist és az influenzát is),</w:t>
            </w:r>
          </w:p>
          <w:p w14:paraId="13F04B1D"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bélfertőzések (beleértve a a vírusos gastroenteritist is),</w:t>
            </w:r>
          </w:p>
          <w:p w14:paraId="047E60BE"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bőr- és lágyrészfertőzések (beleértve a paronychiát, cellulitist, impetigót, necrotisáló fasciitist és a herpes zostert is),</w:t>
            </w:r>
          </w:p>
          <w:p w14:paraId="7F521E41"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fülfertőzések,</w:t>
            </w:r>
          </w:p>
          <w:p w14:paraId="0C5F9D86"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lastRenderedPageBreak/>
              <w:t>oralis fertőzések (beleértve a herpes simplexet, oralis herpest és a fogfertőzéseket is),</w:t>
            </w:r>
          </w:p>
          <w:p w14:paraId="4B2AE589" w14:textId="77777777" w:rsidR="00C770CB" w:rsidRDefault="00C770CB" w:rsidP="007E7849">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nemi szervek fertőzései (beleértve a vulvovaginalis mycoticus fertőzéseket is), </w:t>
            </w:r>
          </w:p>
          <w:p w14:paraId="47B49A07"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húgyúti fertőzések (beleértve a pyelonephritist is),</w:t>
            </w:r>
          </w:p>
          <w:p w14:paraId="7685CF8A"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 xml:space="preserve">gombás fertőzések, </w:t>
            </w:r>
          </w:p>
          <w:p w14:paraId="0677C88A"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ízületi fertőzések</w:t>
            </w:r>
          </w:p>
        </w:tc>
      </w:tr>
      <w:tr w:rsidR="00C770CB" w14:paraId="549F5652" w14:textId="77777777" w:rsidTr="007E7849">
        <w:tc>
          <w:tcPr>
            <w:tcW w:w="2599" w:type="dxa"/>
            <w:vMerge/>
            <w:tcBorders>
              <w:left w:val="single" w:sz="5" w:space="0" w:color="000000"/>
              <w:bottom w:val="single" w:sz="5" w:space="0" w:color="000000"/>
              <w:right w:val="single" w:sz="5" w:space="0" w:color="000000"/>
            </w:tcBorders>
          </w:tcPr>
          <w:p w14:paraId="23700D97"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1CC61F2B"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77A668C5"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Neurológiai fertőzések (beleértve a vírusos </w:t>
            </w:r>
            <w:r>
              <w:rPr>
                <w:rFonts w:ascii="Times New Roman" w:eastAsia="Times New Roman" w:hAnsi="Times New Roman" w:cs="Times New Roman"/>
                <w:lang w:val="hu-HU"/>
              </w:rPr>
              <w:t>vírusos meningitist is),</w:t>
            </w:r>
          </w:p>
          <w:p w14:paraId="460E3797"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opportunista fertőzések és tuberculosis (beleértve a coccidioidomycosist, histoplasmosist és a mycobacterium avium complex fertőzést is), bakteriális fertőzések,</w:t>
            </w:r>
          </w:p>
          <w:p w14:paraId="2A777698" w14:textId="77777777" w:rsidR="00C770CB" w:rsidRDefault="00C770CB" w:rsidP="007E7849">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szemfertőzések, </w:t>
            </w:r>
          </w:p>
          <w:p w14:paraId="440D7DC9"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diverticulitis</w:t>
            </w:r>
            <w:r>
              <w:rPr>
                <w:rFonts w:ascii="Times New Roman" w:eastAsia="Times New Roman" w:hAnsi="Times New Roman" w:cs="Times New Roman"/>
                <w:spacing w:val="-1"/>
                <w:vertAlign w:val="superscript"/>
                <w:lang w:val="hu-HU"/>
              </w:rPr>
              <w:t xml:space="preserve"> 1)</w:t>
            </w:r>
          </w:p>
        </w:tc>
      </w:tr>
      <w:tr w:rsidR="00C770CB" w:rsidRPr="00BE4D18" w14:paraId="7D4C58E7" w14:textId="77777777" w:rsidTr="007E7849">
        <w:tc>
          <w:tcPr>
            <w:tcW w:w="2599" w:type="dxa"/>
            <w:vMerge w:val="restart"/>
            <w:tcBorders>
              <w:top w:val="single" w:sz="5" w:space="0" w:color="000000"/>
              <w:left w:val="single" w:sz="5" w:space="0" w:color="000000"/>
              <w:right w:val="single" w:sz="5" w:space="0" w:color="000000"/>
            </w:tcBorders>
          </w:tcPr>
          <w:p w14:paraId="7FBF5A82" w14:textId="77777777" w:rsidR="00C770CB" w:rsidRDefault="00C770CB" w:rsidP="007E7849">
            <w:pPr>
              <w:pStyle w:val="TableParagraph"/>
              <w:ind w:left="102" w:right="11"/>
              <w:rPr>
                <w:rFonts w:ascii="Times New Roman" w:eastAsia="Times New Roman" w:hAnsi="Times New Roman" w:cs="Times New Roman"/>
                <w:lang w:val="hu-HU"/>
              </w:rPr>
            </w:pPr>
            <w:r>
              <w:rPr>
                <w:rFonts w:ascii="Times New Roman" w:eastAsia="Times New Roman" w:hAnsi="Times New Roman" w:cs="Times New Roman"/>
                <w:spacing w:val="-1"/>
                <w:lang w:val="hu-HU"/>
              </w:rPr>
              <w:t>Jó -, rosszindulatú és nem meghatározott daganatok (beleértve a cisztákat és polipokat is)*</w:t>
            </w:r>
          </w:p>
        </w:tc>
        <w:tc>
          <w:tcPr>
            <w:tcW w:w="2076" w:type="dxa"/>
            <w:tcBorders>
              <w:top w:val="single" w:sz="5" w:space="0" w:color="000000"/>
              <w:left w:val="single" w:sz="5" w:space="0" w:color="000000"/>
              <w:bottom w:val="single" w:sz="5" w:space="0" w:color="000000"/>
              <w:right w:val="single" w:sz="5" w:space="0" w:color="000000"/>
            </w:tcBorders>
          </w:tcPr>
          <w:p w14:paraId="6B001B72"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7E29C5BE" w14:textId="77777777" w:rsidR="00C770CB" w:rsidRDefault="00C770CB" w:rsidP="007E7849">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Bőrrák, </w:t>
            </w:r>
          </w:p>
          <w:p w14:paraId="2394086E"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kivéve a melanomát (beleértve a basalsejtes carcinomát és a planocellularis carcinomát is),</w:t>
            </w:r>
          </w:p>
          <w:p w14:paraId="011427ED"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jóindulatú neoplasia</w:t>
            </w:r>
          </w:p>
        </w:tc>
      </w:tr>
      <w:tr w:rsidR="00C770CB" w14:paraId="424244E9" w14:textId="77777777" w:rsidTr="007E7849">
        <w:tc>
          <w:tcPr>
            <w:tcW w:w="2599" w:type="dxa"/>
            <w:vMerge/>
            <w:tcBorders>
              <w:left w:val="single" w:sz="5" w:space="0" w:color="000000"/>
              <w:right w:val="single" w:sz="5" w:space="0" w:color="000000"/>
            </w:tcBorders>
          </w:tcPr>
          <w:p w14:paraId="74FBA3C1"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74C62902"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71202257"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Lymphoma**,</w:t>
            </w:r>
          </w:p>
          <w:p w14:paraId="78D2641B"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solid szervek daganatai (beleértve az emlőrákot, a tüdődaganatot és a pajzsmirigy-daganatot is), </w:t>
            </w:r>
          </w:p>
          <w:p w14:paraId="3A574D6E"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melanoma**</w:t>
            </w:r>
          </w:p>
        </w:tc>
      </w:tr>
      <w:tr w:rsidR="00C770CB" w14:paraId="735C125A" w14:textId="77777777" w:rsidTr="007E7849">
        <w:tc>
          <w:tcPr>
            <w:tcW w:w="2599" w:type="dxa"/>
            <w:vMerge/>
            <w:tcBorders>
              <w:left w:val="single" w:sz="5" w:space="0" w:color="000000"/>
              <w:right w:val="single" w:sz="5" w:space="0" w:color="000000"/>
            </w:tcBorders>
          </w:tcPr>
          <w:p w14:paraId="035A7138"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3FB62B43"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Pr>
          <w:p w14:paraId="4AA692D7"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Leukaemia</w:t>
            </w:r>
            <w:r>
              <w:rPr>
                <w:rFonts w:ascii="Times New Roman" w:eastAsia="Times New Roman" w:hAnsi="Times New Roman" w:cs="Times New Roman"/>
                <w:spacing w:val="-1"/>
                <w:vertAlign w:val="superscript"/>
                <w:lang w:val="hu-HU"/>
              </w:rPr>
              <w:t>1)</w:t>
            </w:r>
          </w:p>
        </w:tc>
      </w:tr>
      <w:tr w:rsidR="00C770CB" w14:paraId="2621FDD9" w14:textId="77777777" w:rsidTr="007E7849">
        <w:tc>
          <w:tcPr>
            <w:tcW w:w="2599" w:type="dxa"/>
            <w:vMerge/>
            <w:tcBorders>
              <w:left w:val="single" w:sz="5" w:space="0" w:color="000000"/>
              <w:bottom w:val="single" w:sz="5" w:space="0" w:color="000000"/>
              <w:right w:val="single" w:sz="5" w:space="0" w:color="000000"/>
            </w:tcBorders>
          </w:tcPr>
          <w:p w14:paraId="2E38F524"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5A213606"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ismert</w:t>
            </w:r>
          </w:p>
        </w:tc>
        <w:tc>
          <w:tcPr>
            <w:tcW w:w="4574" w:type="dxa"/>
            <w:tcBorders>
              <w:top w:val="single" w:sz="5" w:space="0" w:color="000000"/>
              <w:left w:val="single" w:sz="5" w:space="0" w:color="000000"/>
              <w:bottom w:val="single" w:sz="5" w:space="0" w:color="000000"/>
              <w:right w:val="single" w:sz="5" w:space="0" w:color="000000"/>
            </w:tcBorders>
          </w:tcPr>
          <w:p w14:paraId="47227D1D" w14:textId="77777777" w:rsidR="00C770CB" w:rsidRDefault="00C770CB" w:rsidP="007E7849">
            <w:pPr>
              <w:pStyle w:val="TableParagraph"/>
              <w:ind w:left="96"/>
              <w:rPr>
                <w:rFonts w:ascii="Times New Roman" w:eastAsia="Times New Roman" w:hAnsi="Times New Roman" w:cs="Times New Roman"/>
                <w:w w:val="99"/>
                <w:position w:val="8"/>
                <w:lang w:val="hu-HU"/>
              </w:rPr>
            </w:pPr>
            <w:r>
              <w:rPr>
                <w:rFonts w:ascii="Times New Roman" w:eastAsia="Times New Roman" w:hAnsi="Times New Roman" w:cs="Times New Roman"/>
                <w:spacing w:val="-1"/>
                <w:lang w:val="hu-HU"/>
              </w:rPr>
              <w:t>Hepatosplenicus T-sejtes lymphoma</w:t>
            </w:r>
            <w:r>
              <w:rPr>
                <w:rFonts w:ascii="Times New Roman" w:eastAsia="Times New Roman" w:hAnsi="Times New Roman" w:cs="Times New Roman"/>
                <w:spacing w:val="-1"/>
                <w:vertAlign w:val="superscript"/>
                <w:lang w:val="hu-HU"/>
              </w:rPr>
              <w:t>1)</w:t>
            </w:r>
            <w:r>
              <w:rPr>
                <w:rFonts w:ascii="Times New Roman" w:eastAsia="Times New Roman" w:hAnsi="Times New Roman" w:cs="Times New Roman"/>
                <w:spacing w:val="-1"/>
                <w:lang w:val="hu-HU"/>
              </w:rPr>
              <w:t>,</w:t>
            </w:r>
          </w:p>
          <w:p w14:paraId="1126A1D2" w14:textId="77777777" w:rsidR="00C770CB" w:rsidRDefault="00C770CB" w:rsidP="007E7849">
            <w:pPr>
              <w:pStyle w:val="TableParagraph"/>
              <w:ind w:left="96"/>
              <w:rPr>
                <w:rFonts w:ascii="Times New Roman" w:eastAsia="Times New Roman" w:hAnsi="Times New Roman" w:cs="Times New Roman"/>
                <w:w w:val="99"/>
                <w:position w:val="8"/>
                <w:lang w:val="hu-HU"/>
              </w:rPr>
            </w:pPr>
            <w:r>
              <w:rPr>
                <w:rFonts w:ascii="Times New Roman" w:eastAsia="Times New Roman" w:hAnsi="Times New Roman" w:cs="Times New Roman"/>
                <w:spacing w:val="-1"/>
                <w:lang w:val="hu-HU"/>
              </w:rPr>
              <w:t>Merkel-sejtes karcinóma (a bőr neuroendokrin daganata)</w:t>
            </w:r>
            <w:r>
              <w:rPr>
                <w:rFonts w:ascii="Times New Roman" w:eastAsia="Times New Roman" w:hAnsi="Times New Roman" w:cs="Times New Roman"/>
                <w:spacing w:val="-1"/>
                <w:vertAlign w:val="superscript"/>
                <w:lang w:val="hu-HU"/>
              </w:rPr>
              <w:t xml:space="preserve"> 1)</w:t>
            </w:r>
            <w:r>
              <w:rPr>
                <w:rFonts w:ascii="Times New Roman" w:eastAsia="Times New Roman" w:hAnsi="Times New Roman" w:cs="Times New Roman"/>
                <w:spacing w:val="-1"/>
                <w:lang w:val="hu-HU"/>
              </w:rPr>
              <w:t>,</w:t>
            </w:r>
          </w:p>
          <w:p w14:paraId="121AB86E" w14:textId="77777777" w:rsidR="00C770CB" w:rsidRDefault="00C770CB" w:rsidP="007E7849">
            <w:pPr>
              <w:pStyle w:val="TableParagraph"/>
              <w:ind w:left="96"/>
              <w:rPr>
                <w:rFonts w:ascii="Times New Roman" w:eastAsia="Times New Roman" w:hAnsi="Times New Roman" w:cs="Times New Roman"/>
                <w:lang w:val="hu-HU"/>
              </w:rPr>
            </w:pPr>
            <w:r>
              <w:rPr>
                <w:rFonts w:ascii="Times New Roman" w:eastAsia="Times New Roman" w:hAnsi="Times New Roman" w:cs="Times New Roman"/>
                <w:spacing w:val="-1"/>
                <w:lang w:val="hu-HU"/>
              </w:rPr>
              <w:t>Kaposi-sarcoma</w:t>
            </w:r>
          </w:p>
        </w:tc>
      </w:tr>
      <w:tr w:rsidR="00C770CB" w14:paraId="750C4FC0" w14:textId="77777777" w:rsidTr="007E7849">
        <w:tc>
          <w:tcPr>
            <w:tcW w:w="2599" w:type="dxa"/>
            <w:vMerge w:val="restart"/>
            <w:tcBorders>
              <w:top w:val="single" w:sz="5" w:space="0" w:color="000000"/>
              <w:left w:val="single" w:sz="5" w:space="0" w:color="000000"/>
              <w:right w:val="single" w:sz="5" w:space="0" w:color="000000"/>
            </w:tcBorders>
          </w:tcPr>
          <w:p w14:paraId="011435EB"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Vérképzőszervi és nyirokrendszeri betegségek és tünetek*</w:t>
            </w:r>
          </w:p>
        </w:tc>
        <w:tc>
          <w:tcPr>
            <w:tcW w:w="2076" w:type="dxa"/>
            <w:tcBorders>
              <w:top w:val="single" w:sz="5" w:space="0" w:color="000000"/>
              <w:left w:val="single" w:sz="5" w:space="0" w:color="000000"/>
              <w:bottom w:val="single" w:sz="5" w:space="0" w:color="000000"/>
              <w:right w:val="single" w:sz="5" w:space="0" w:color="000000"/>
            </w:tcBorders>
          </w:tcPr>
          <w:p w14:paraId="7F6521CE"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Nagyon gyakori</w:t>
            </w:r>
          </w:p>
        </w:tc>
        <w:tc>
          <w:tcPr>
            <w:tcW w:w="4574" w:type="dxa"/>
            <w:tcBorders>
              <w:top w:val="single" w:sz="5" w:space="0" w:color="000000"/>
              <w:left w:val="single" w:sz="5" w:space="0" w:color="000000"/>
              <w:bottom w:val="single" w:sz="5" w:space="0" w:color="000000"/>
              <w:right w:val="single" w:sz="5" w:space="0" w:color="000000"/>
            </w:tcBorders>
          </w:tcPr>
          <w:p w14:paraId="65CEC6D5"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Leukopénia (beleértve a neutropéniát és az agranulocitózist is),</w:t>
            </w:r>
          </w:p>
          <w:p w14:paraId="48AECD71"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anaemia</w:t>
            </w:r>
          </w:p>
        </w:tc>
      </w:tr>
      <w:tr w:rsidR="00C770CB" w:rsidRPr="004E2591" w14:paraId="2A8978DF" w14:textId="77777777" w:rsidTr="007E7849">
        <w:tc>
          <w:tcPr>
            <w:tcW w:w="2599" w:type="dxa"/>
            <w:vMerge/>
            <w:tcBorders>
              <w:left w:val="single" w:sz="5" w:space="0" w:color="000000"/>
              <w:right w:val="single" w:sz="5" w:space="0" w:color="000000"/>
            </w:tcBorders>
          </w:tcPr>
          <w:p w14:paraId="745C6192"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171822BD"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13F97A83"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Leucocytosis,</w:t>
            </w:r>
          </w:p>
          <w:p w14:paraId="64DDC2DD"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thrombocytopenia</w:t>
            </w:r>
          </w:p>
        </w:tc>
      </w:tr>
      <w:tr w:rsidR="00C770CB" w:rsidRPr="004E2591" w14:paraId="5003F1E7" w14:textId="77777777" w:rsidTr="007E7849">
        <w:tc>
          <w:tcPr>
            <w:tcW w:w="2599" w:type="dxa"/>
            <w:vMerge/>
            <w:tcBorders>
              <w:left w:val="single" w:sz="5" w:space="0" w:color="000000"/>
              <w:right w:val="single" w:sz="5" w:space="0" w:color="000000"/>
            </w:tcBorders>
          </w:tcPr>
          <w:p w14:paraId="76EEBBA8"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3FA20229"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4539A88D"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4"/>
                <w:lang w:val="hu-HU"/>
              </w:rPr>
              <w:t>Idiopathás thrombocytopeniás purpura</w:t>
            </w:r>
          </w:p>
        </w:tc>
      </w:tr>
      <w:tr w:rsidR="00C770CB" w:rsidRPr="004E2591" w14:paraId="0CF59744" w14:textId="77777777" w:rsidTr="007E7849">
        <w:tc>
          <w:tcPr>
            <w:tcW w:w="2599" w:type="dxa"/>
            <w:vMerge/>
            <w:tcBorders>
              <w:left w:val="single" w:sz="5" w:space="0" w:color="000000"/>
              <w:bottom w:val="single" w:sz="5" w:space="0" w:color="000000"/>
              <w:right w:val="single" w:sz="5" w:space="0" w:color="000000"/>
            </w:tcBorders>
          </w:tcPr>
          <w:p w14:paraId="42640C1A"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13310B7A"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Pr>
          <w:p w14:paraId="5B920C7A"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Pancytopenia</w:t>
            </w:r>
          </w:p>
        </w:tc>
      </w:tr>
      <w:tr w:rsidR="00C770CB" w14:paraId="0BFA4A7E" w14:textId="77777777" w:rsidTr="007E7849">
        <w:tc>
          <w:tcPr>
            <w:tcW w:w="2599" w:type="dxa"/>
            <w:vMerge w:val="restart"/>
            <w:tcBorders>
              <w:top w:val="single" w:sz="5" w:space="0" w:color="000000"/>
              <w:left w:val="single" w:sz="5" w:space="0" w:color="000000"/>
              <w:right w:val="single" w:sz="5" w:space="0" w:color="000000"/>
            </w:tcBorders>
          </w:tcPr>
          <w:p w14:paraId="44B8B13E"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Immunrendszeri betegségek és tünetek*</w:t>
            </w:r>
          </w:p>
        </w:tc>
        <w:tc>
          <w:tcPr>
            <w:tcW w:w="2076" w:type="dxa"/>
            <w:tcBorders>
              <w:top w:val="single" w:sz="5" w:space="0" w:color="000000"/>
              <w:left w:val="single" w:sz="5" w:space="0" w:color="000000"/>
              <w:bottom w:val="single" w:sz="5" w:space="0" w:color="000000"/>
              <w:right w:val="single" w:sz="5" w:space="0" w:color="000000"/>
            </w:tcBorders>
          </w:tcPr>
          <w:p w14:paraId="7C74716F"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1A30AE55"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Hypersensitivitás,</w:t>
            </w:r>
          </w:p>
          <w:p w14:paraId="589CA1DC"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allergiák (beleértve a szezonális allergiát is)</w:t>
            </w:r>
          </w:p>
        </w:tc>
      </w:tr>
      <w:tr w:rsidR="00C770CB" w14:paraId="32B32E04" w14:textId="77777777" w:rsidTr="007E7849">
        <w:tc>
          <w:tcPr>
            <w:tcW w:w="2599" w:type="dxa"/>
            <w:vMerge/>
            <w:tcBorders>
              <w:left w:val="single" w:sz="5" w:space="0" w:color="000000"/>
              <w:right w:val="single" w:sz="5" w:space="0" w:color="000000"/>
            </w:tcBorders>
          </w:tcPr>
          <w:p w14:paraId="1C0887E3"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0E51C737"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725441D9" w14:textId="77777777" w:rsidR="00C770CB" w:rsidRDefault="00C770CB" w:rsidP="007E7849">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Sarcoidosis</w:t>
            </w:r>
            <w:r>
              <w:rPr>
                <w:rFonts w:ascii="Times New Roman" w:eastAsia="Times New Roman" w:hAnsi="Times New Roman" w:cs="Times New Roman"/>
                <w:spacing w:val="-1"/>
                <w:vertAlign w:val="superscript"/>
                <w:lang w:val="hu-HU"/>
              </w:rPr>
              <w:t>1)</w:t>
            </w:r>
            <w:r>
              <w:rPr>
                <w:rFonts w:ascii="Times New Roman" w:eastAsia="Times New Roman" w:hAnsi="Times New Roman" w:cs="Times New Roman"/>
                <w:spacing w:val="-1"/>
                <w:lang w:val="hu-HU"/>
              </w:rPr>
              <w:t xml:space="preserve">, </w:t>
            </w:r>
          </w:p>
          <w:p w14:paraId="256F1CDE"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vasculitis</w:t>
            </w:r>
          </w:p>
        </w:tc>
      </w:tr>
      <w:tr w:rsidR="00C770CB" w14:paraId="170CB988" w14:textId="77777777" w:rsidTr="007E7849">
        <w:tc>
          <w:tcPr>
            <w:tcW w:w="2599" w:type="dxa"/>
            <w:vMerge/>
            <w:tcBorders>
              <w:left w:val="single" w:sz="5" w:space="0" w:color="000000"/>
              <w:bottom w:val="single" w:sz="5" w:space="0" w:color="000000"/>
              <w:right w:val="single" w:sz="5" w:space="0" w:color="000000"/>
            </w:tcBorders>
          </w:tcPr>
          <w:p w14:paraId="1EF9203A"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56562391"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Pr>
          <w:p w14:paraId="419F4AFE"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Anaphylaxia</w:t>
            </w:r>
            <w:r>
              <w:rPr>
                <w:rFonts w:ascii="Times New Roman" w:eastAsia="Times New Roman" w:hAnsi="Times New Roman" w:cs="Times New Roman"/>
                <w:spacing w:val="-1"/>
                <w:vertAlign w:val="superscript"/>
                <w:lang w:val="hu-HU"/>
              </w:rPr>
              <w:t>1)</w:t>
            </w:r>
          </w:p>
        </w:tc>
      </w:tr>
      <w:tr w:rsidR="00C770CB" w14:paraId="7635F9DC" w14:textId="77777777" w:rsidTr="007E7849">
        <w:tc>
          <w:tcPr>
            <w:tcW w:w="2599" w:type="dxa"/>
            <w:vMerge w:val="restart"/>
            <w:tcBorders>
              <w:top w:val="single" w:sz="5" w:space="0" w:color="000000"/>
              <w:left w:val="single" w:sz="5" w:space="0" w:color="000000"/>
              <w:right w:val="single" w:sz="5" w:space="0" w:color="000000"/>
            </w:tcBorders>
          </w:tcPr>
          <w:p w14:paraId="5E366647"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Anyagcsere és táplálkozási betegségek és tünetek:</w:t>
            </w:r>
          </w:p>
        </w:tc>
        <w:tc>
          <w:tcPr>
            <w:tcW w:w="2076" w:type="dxa"/>
            <w:tcBorders>
              <w:top w:val="single" w:sz="5" w:space="0" w:color="000000"/>
              <w:left w:val="single" w:sz="5" w:space="0" w:color="000000"/>
              <w:bottom w:val="single" w:sz="5" w:space="0" w:color="000000"/>
              <w:right w:val="single" w:sz="5" w:space="0" w:color="000000"/>
            </w:tcBorders>
          </w:tcPr>
          <w:p w14:paraId="67FEA3C2"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Nagyon gyakori</w:t>
            </w:r>
          </w:p>
        </w:tc>
        <w:tc>
          <w:tcPr>
            <w:tcW w:w="4574" w:type="dxa"/>
            <w:tcBorders>
              <w:top w:val="single" w:sz="5" w:space="0" w:color="000000"/>
              <w:left w:val="single" w:sz="5" w:space="0" w:color="000000"/>
              <w:bottom w:val="single" w:sz="5" w:space="0" w:color="000000"/>
              <w:right w:val="single" w:sz="5" w:space="0" w:color="000000"/>
            </w:tcBorders>
          </w:tcPr>
          <w:p w14:paraId="2EDD2DE2"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Emelkedett lipidszint</w:t>
            </w:r>
          </w:p>
        </w:tc>
      </w:tr>
      <w:tr w:rsidR="00C770CB" w:rsidRPr="00BE4D18" w14:paraId="647C8A2B" w14:textId="77777777" w:rsidTr="007E7849">
        <w:tc>
          <w:tcPr>
            <w:tcW w:w="2599" w:type="dxa"/>
            <w:vMerge/>
            <w:tcBorders>
              <w:left w:val="single" w:sz="5" w:space="0" w:color="000000"/>
              <w:bottom w:val="single" w:sz="5" w:space="0" w:color="000000"/>
              <w:right w:val="single" w:sz="5" w:space="0" w:color="000000"/>
            </w:tcBorders>
          </w:tcPr>
          <w:p w14:paraId="0FBF670F"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3CE160EC"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2D501999"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Hypokalaemia,</w:t>
            </w:r>
          </w:p>
          <w:p w14:paraId="74F2D094" w14:textId="77777777" w:rsidR="00C770CB" w:rsidRDefault="00C770CB" w:rsidP="007E7849">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emelkedett húgysavszint, </w:t>
            </w:r>
          </w:p>
          <w:p w14:paraId="2238C158" w14:textId="77777777" w:rsidR="00C770CB" w:rsidRDefault="00C770CB" w:rsidP="007E7849">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kóros nátriumszint a vérben, </w:t>
            </w:r>
          </w:p>
          <w:p w14:paraId="765DFEF1" w14:textId="77777777" w:rsidR="00C770CB" w:rsidRDefault="00C770CB" w:rsidP="007E7849">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hypocalcaemia, </w:t>
            </w:r>
          </w:p>
          <w:p w14:paraId="0F0A69AD" w14:textId="77777777" w:rsidR="00C770CB" w:rsidRDefault="00C770CB" w:rsidP="007E7849">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hyperglykaemia, </w:t>
            </w:r>
          </w:p>
          <w:p w14:paraId="1D84CAB8" w14:textId="77777777" w:rsidR="00C770CB" w:rsidRDefault="00C770CB" w:rsidP="007E7849">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hypophosphataemia, </w:t>
            </w:r>
          </w:p>
          <w:p w14:paraId="0A61C984"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dehydratio</w:t>
            </w:r>
          </w:p>
        </w:tc>
      </w:tr>
      <w:tr w:rsidR="00C770CB" w14:paraId="4FA19CAD" w14:textId="77777777" w:rsidTr="007E7849">
        <w:tc>
          <w:tcPr>
            <w:tcW w:w="2599" w:type="dxa"/>
            <w:tcBorders>
              <w:top w:val="single" w:sz="5" w:space="0" w:color="000000"/>
              <w:left w:val="single" w:sz="5" w:space="0" w:color="000000"/>
              <w:bottom w:val="single" w:sz="5" w:space="0" w:color="000000"/>
              <w:right w:val="single" w:sz="5" w:space="0" w:color="000000"/>
            </w:tcBorders>
          </w:tcPr>
          <w:p w14:paraId="18CD7CD3"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Pszichiátriai kórképek</w:t>
            </w:r>
          </w:p>
        </w:tc>
        <w:tc>
          <w:tcPr>
            <w:tcW w:w="2076" w:type="dxa"/>
            <w:tcBorders>
              <w:top w:val="single" w:sz="5" w:space="0" w:color="000000"/>
              <w:left w:val="single" w:sz="5" w:space="0" w:color="000000"/>
              <w:bottom w:val="single" w:sz="5" w:space="0" w:color="000000"/>
              <w:right w:val="single" w:sz="5" w:space="0" w:color="000000"/>
            </w:tcBorders>
          </w:tcPr>
          <w:p w14:paraId="1E3A5F08"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405C681C"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Hangulatváltozás (beleértve a depressziót is), szorongás,</w:t>
            </w:r>
          </w:p>
          <w:p w14:paraId="3412C879"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insomnia</w:t>
            </w:r>
          </w:p>
        </w:tc>
      </w:tr>
      <w:tr w:rsidR="00C770CB" w14:paraId="36023044" w14:textId="77777777" w:rsidTr="007E7849">
        <w:tc>
          <w:tcPr>
            <w:tcW w:w="2599" w:type="dxa"/>
            <w:vMerge w:val="restart"/>
            <w:tcBorders>
              <w:top w:val="single" w:sz="5" w:space="0" w:color="000000"/>
              <w:left w:val="single" w:sz="5" w:space="0" w:color="000000"/>
              <w:right w:val="single" w:sz="5" w:space="0" w:color="000000"/>
            </w:tcBorders>
          </w:tcPr>
          <w:p w14:paraId="06048712"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Idegrendszeri betegségek és tünetek</w:t>
            </w:r>
          </w:p>
        </w:tc>
        <w:tc>
          <w:tcPr>
            <w:tcW w:w="2076" w:type="dxa"/>
            <w:tcBorders>
              <w:top w:val="single" w:sz="5" w:space="0" w:color="000000"/>
              <w:left w:val="single" w:sz="5" w:space="0" w:color="000000"/>
              <w:bottom w:val="single" w:sz="5" w:space="0" w:color="000000"/>
              <w:right w:val="single" w:sz="5" w:space="0" w:color="000000"/>
            </w:tcBorders>
          </w:tcPr>
          <w:p w14:paraId="76BE786E"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Nagyon gyakori</w:t>
            </w:r>
          </w:p>
        </w:tc>
        <w:tc>
          <w:tcPr>
            <w:tcW w:w="4574" w:type="dxa"/>
            <w:tcBorders>
              <w:top w:val="single" w:sz="5" w:space="0" w:color="000000"/>
              <w:left w:val="single" w:sz="5" w:space="0" w:color="000000"/>
              <w:bottom w:val="single" w:sz="5" w:space="0" w:color="000000"/>
              <w:right w:val="single" w:sz="5" w:space="0" w:color="000000"/>
            </w:tcBorders>
          </w:tcPr>
          <w:p w14:paraId="041F0B53"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Fejfájás</w:t>
            </w:r>
          </w:p>
        </w:tc>
      </w:tr>
      <w:tr w:rsidR="00C770CB" w14:paraId="51E5D11A" w14:textId="77777777" w:rsidTr="007E7849">
        <w:tc>
          <w:tcPr>
            <w:tcW w:w="2599" w:type="dxa"/>
            <w:vMerge/>
            <w:tcBorders>
              <w:left w:val="single" w:sz="5" w:space="0" w:color="000000"/>
              <w:right w:val="single" w:sz="5" w:space="0" w:color="000000"/>
            </w:tcBorders>
          </w:tcPr>
          <w:p w14:paraId="0D0274A0"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3240E263"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7E39B5A5"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Paraesthesiák (beleértve a hypaesthesiát is), </w:t>
            </w:r>
            <w:r>
              <w:rPr>
                <w:rFonts w:ascii="Times New Roman" w:eastAsia="Times New Roman" w:hAnsi="Times New Roman" w:cs="Times New Roman"/>
                <w:spacing w:val="-1"/>
                <w:lang w:val="hu-HU"/>
              </w:rPr>
              <w:lastRenderedPageBreak/>
              <w:t>migrén,</w:t>
            </w:r>
          </w:p>
          <w:p w14:paraId="06FA784D"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ideggyök-kompresszió</w:t>
            </w:r>
          </w:p>
        </w:tc>
      </w:tr>
      <w:tr w:rsidR="00C770CB" w14:paraId="462845C9" w14:textId="77777777" w:rsidTr="007E7849">
        <w:tc>
          <w:tcPr>
            <w:tcW w:w="2599" w:type="dxa"/>
            <w:vMerge/>
            <w:tcBorders>
              <w:left w:val="single" w:sz="5" w:space="0" w:color="000000"/>
              <w:right w:val="single" w:sz="5" w:space="0" w:color="000000"/>
            </w:tcBorders>
          </w:tcPr>
          <w:p w14:paraId="7893B5F2"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55B80D82"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10EB132A"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Cerebrovascularis történés</w:t>
            </w:r>
            <w:r>
              <w:rPr>
                <w:rFonts w:ascii="Times New Roman" w:eastAsia="Times New Roman" w:hAnsi="Times New Roman" w:cs="Times New Roman"/>
                <w:spacing w:val="-1"/>
                <w:vertAlign w:val="superscript"/>
                <w:lang w:val="hu-HU"/>
              </w:rPr>
              <w:t>1)</w:t>
            </w:r>
            <w:r>
              <w:rPr>
                <w:rFonts w:ascii="Times New Roman" w:eastAsia="Times New Roman" w:hAnsi="Times New Roman" w:cs="Times New Roman"/>
                <w:spacing w:val="-1"/>
                <w:lang w:val="hu-HU"/>
              </w:rPr>
              <w:t>,</w:t>
            </w:r>
          </w:p>
          <w:p w14:paraId="254AEB0E"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remegés, neuropathia</w:t>
            </w:r>
          </w:p>
        </w:tc>
      </w:tr>
      <w:tr w:rsidR="00C770CB" w:rsidRPr="00BE4D18" w14:paraId="78398291" w14:textId="77777777" w:rsidTr="007E7849">
        <w:tc>
          <w:tcPr>
            <w:tcW w:w="2599" w:type="dxa"/>
            <w:vMerge/>
            <w:tcBorders>
              <w:left w:val="single" w:sz="5" w:space="0" w:color="000000"/>
              <w:bottom w:val="single" w:sz="5" w:space="0" w:color="000000"/>
              <w:right w:val="single" w:sz="5" w:space="0" w:color="000000"/>
            </w:tcBorders>
          </w:tcPr>
          <w:p w14:paraId="120A17B9"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283CD6AC"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Pr>
          <w:p w14:paraId="41043C62"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Sclerosis multiplex</w:t>
            </w:r>
          </w:p>
          <w:p w14:paraId="5A8D4268"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demyelinisatiós betegségek (például neuritis nervi optici, Guillain–Barré-szindróma</w:t>
            </w:r>
            <w:r>
              <w:rPr>
                <w:rFonts w:ascii="Times New Roman" w:eastAsia="Times New Roman" w:hAnsi="Times New Roman" w:cs="Times New Roman"/>
                <w:spacing w:val="-1"/>
                <w:vertAlign w:val="superscript"/>
                <w:lang w:val="hu-HU"/>
              </w:rPr>
              <w:t xml:space="preserve"> 1)</w:t>
            </w:r>
          </w:p>
        </w:tc>
      </w:tr>
      <w:tr w:rsidR="00C770CB" w:rsidRPr="00F70E6D" w14:paraId="2720BB28" w14:textId="77777777" w:rsidTr="007E7849">
        <w:tc>
          <w:tcPr>
            <w:tcW w:w="2599" w:type="dxa"/>
            <w:vMerge w:val="restart"/>
            <w:tcBorders>
              <w:top w:val="single" w:sz="5" w:space="0" w:color="000000"/>
              <w:left w:val="single" w:sz="5" w:space="0" w:color="000000"/>
              <w:right w:val="single" w:sz="5" w:space="0" w:color="000000"/>
            </w:tcBorders>
          </w:tcPr>
          <w:p w14:paraId="5152FF5E"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Szembetegségek és szemészeti tünetek</w:t>
            </w:r>
          </w:p>
        </w:tc>
        <w:tc>
          <w:tcPr>
            <w:tcW w:w="2076" w:type="dxa"/>
            <w:tcBorders>
              <w:top w:val="single" w:sz="5" w:space="0" w:color="000000"/>
              <w:left w:val="single" w:sz="5" w:space="0" w:color="000000"/>
              <w:bottom w:val="single" w:sz="5" w:space="0" w:color="000000"/>
              <w:right w:val="single" w:sz="5" w:space="0" w:color="000000"/>
            </w:tcBorders>
          </w:tcPr>
          <w:p w14:paraId="781B9B60"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5624B719" w14:textId="77777777" w:rsidR="00C770CB" w:rsidRDefault="00C770CB" w:rsidP="007E7849">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Látásromlás, </w:t>
            </w:r>
          </w:p>
          <w:p w14:paraId="5991126C" w14:textId="77777777" w:rsidR="00C770CB" w:rsidRDefault="00C770CB" w:rsidP="007E7849">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conjunctivitis, </w:t>
            </w:r>
          </w:p>
          <w:p w14:paraId="2D7C98FF"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blepharitis, </w:t>
            </w:r>
          </w:p>
          <w:p w14:paraId="2006275C"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szemkörnyéki duzzanat</w:t>
            </w:r>
          </w:p>
        </w:tc>
      </w:tr>
      <w:tr w:rsidR="00C770CB" w14:paraId="5CC3214D" w14:textId="77777777" w:rsidTr="007E7849">
        <w:tc>
          <w:tcPr>
            <w:tcW w:w="2599" w:type="dxa"/>
            <w:vMerge/>
            <w:tcBorders>
              <w:left w:val="single" w:sz="5" w:space="0" w:color="000000"/>
              <w:bottom w:val="single" w:sz="5" w:space="0" w:color="000000"/>
              <w:right w:val="single" w:sz="5" w:space="0" w:color="000000"/>
            </w:tcBorders>
          </w:tcPr>
          <w:p w14:paraId="2DB8B2FE"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21B77C5D"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172AB735"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Diplopia</w:t>
            </w:r>
          </w:p>
        </w:tc>
      </w:tr>
      <w:tr w:rsidR="00C770CB" w14:paraId="45771E1D" w14:textId="77777777" w:rsidTr="007E7849">
        <w:tc>
          <w:tcPr>
            <w:tcW w:w="2599" w:type="dxa"/>
            <w:vMerge w:val="restart"/>
            <w:tcBorders>
              <w:top w:val="single" w:sz="5" w:space="0" w:color="000000"/>
              <w:left w:val="single" w:sz="5" w:space="0" w:color="000000"/>
              <w:right w:val="single" w:sz="5" w:space="0" w:color="000000"/>
            </w:tcBorders>
          </w:tcPr>
          <w:p w14:paraId="44E177E4" w14:textId="77777777" w:rsidR="00C770CB" w:rsidRDefault="00C770CB" w:rsidP="007E7849">
            <w:pPr>
              <w:pStyle w:val="TableParagraph"/>
              <w:ind w:left="102" w:right="196"/>
              <w:rPr>
                <w:rFonts w:ascii="Times New Roman" w:eastAsia="Times New Roman" w:hAnsi="Times New Roman" w:cs="Times New Roman"/>
                <w:lang w:val="hu-HU"/>
              </w:rPr>
            </w:pPr>
            <w:r>
              <w:rPr>
                <w:rFonts w:ascii="Times New Roman" w:eastAsia="Times New Roman" w:hAnsi="Times New Roman" w:cs="Times New Roman"/>
                <w:spacing w:val="-1"/>
                <w:lang w:val="hu-HU"/>
              </w:rPr>
              <w:t>A fül és az egyensúly- érzékelő szerv betegségei és tünetei</w:t>
            </w:r>
          </w:p>
        </w:tc>
        <w:tc>
          <w:tcPr>
            <w:tcW w:w="2076" w:type="dxa"/>
            <w:tcBorders>
              <w:top w:val="single" w:sz="5" w:space="0" w:color="000000"/>
              <w:left w:val="single" w:sz="5" w:space="0" w:color="000000"/>
              <w:bottom w:val="single" w:sz="5" w:space="0" w:color="000000"/>
              <w:right w:val="single" w:sz="5" w:space="0" w:color="000000"/>
            </w:tcBorders>
          </w:tcPr>
          <w:p w14:paraId="18C13568"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472A8683"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Vertigo</w:t>
            </w:r>
          </w:p>
        </w:tc>
      </w:tr>
      <w:tr w:rsidR="00C770CB" w14:paraId="118CA0F9" w14:textId="77777777" w:rsidTr="007E7849">
        <w:tc>
          <w:tcPr>
            <w:tcW w:w="2599" w:type="dxa"/>
            <w:vMerge/>
            <w:tcBorders>
              <w:left w:val="single" w:sz="5" w:space="0" w:color="000000"/>
              <w:bottom w:val="single" w:sz="5" w:space="0" w:color="000000"/>
              <w:right w:val="single" w:sz="5" w:space="0" w:color="000000"/>
            </w:tcBorders>
          </w:tcPr>
          <w:p w14:paraId="05CB262A"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5D83D4C0"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2585AC22"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Süketség,</w:t>
            </w:r>
          </w:p>
          <w:p w14:paraId="14295ACA"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tinnitus</w:t>
            </w:r>
          </w:p>
        </w:tc>
      </w:tr>
      <w:tr w:rsidR="00C770CB" w14:paraId="0B7B439A" w14:textId="77777777" w:rsidTr="007E7849">
        <w:tc>
          <w:tcPr>
            <w:tcW w:w="2599" w:type="dxa"/>
            <w:vMerge w:val="restart"/>
            <w:tcBorders>
              <w:top w:val="single" w:sz="5" w:space="0" w:color="000000"/>
              <w:left w:val="single" w:sz="5" w:space="0" w:color="000000"/>
              <w:right w:val="single" w:sz="5" w:space="0" w:color="000000"/>
            </w:tcBorders>
          </w:tcPr>
          <w:p w14:paraId="5B081CAA"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Szívbetegségek és a szívvel kapcsolatos tünetek*</w:t>
            </w:r>
          </w:p>
        </w:tc>
        <w:tc>
          <w:tcPr>
            <w:tcW w:w="2076" w:type="dxa"/>
            <w:tcBorders>
              <w:top w:val="single" w:sz="5" w:space="0" w:color="000000"/>
              <w:left w:val="single" w:sz="5" w:space="0" w:color="000000"/>
              <w:bottom w:val="single" w:sz="5" w:space="0" w:color="000000"/>
              <w:right w:val="single" w:sz="5" w:space="0" w:color="000000"/>
            </w:tcBorders>
          </w:tcPr>
          <w:p w14:paraId="6140860A"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03631723"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Tachycardia</w:t>
            </w:r>
          </w:p>
        </w:tc>
      </w:tr>
      <w:tr w:rsidR="00C770CB" w:rsidRPr="00BE4D18" w14:paraId="405EF358" w14:textId="77777777" w:rsidTr="007E7849">
        <w:tc>
          <w:tcPr>
            <w:tcW w:w="2599" w:type="dxa"/>
            <w:vMerge/>
            <w:tcBorders>
              <w:left w:val="single" w:sz="5" w:space="0" w:color="000000"/>
              <w:right w:val="single" w:sz="5" w:space="0" w:color="000000"/>
            </w:tcBorders>
          </w:tcPr>
          <w:p w14:paraId="12DD3308"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right w:val="single" w:sz="5" w:space="0" w:color="000000"/>
            </w:tcBorders>
          </w:tcPr>
          <w:p w14:paraId="4AFB6357"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right w:val="single" w:sz="5" w:space="0" w:color="000000"/>
            </w:tcBorders>
          </w:tcPr>
          <w:p w14:paraId="291EEB9B" w14:textId="77777777" w:rsidR="00C770CB" w:rsidRDefault="00C770CB" w:rsidP="007E7849">
            <w:pPr>
              <w:pStyle w:val="TableParagraph"/>
              <w:ind w:left="99" w:right="1400"/>
              <w:rPr>
                <w:rFonts w:ascii="Times New Roman" w:eastAsia="Times New Roman" w:hAnsi="Times New Roman" w:cs="Times New Roman"/>
                <w:lang w:val="hu-HU"/>
              </w:rPr>
            </w:pPr>
            <w:r>
              <w:rPr>
                <w:rFonts w:ascii="Times New Roman" w:eastAsia="Times New Roman" w:hAnsi="Times New Roman" w:cs="Times New Roman"/>
                <w:lang w:val="hu-HU"/>
              </w:rPr>
              <w:t>Myocardialis infarktus</w:t>
            </w:r>
            <w:r>
              <w:rPr>
                <w:rFonts w:ascii="Times New Roman" w:eastAsia="Times New Roman" w:hAnsi="Times New Roman" w:cs="Times New Roman"/>
                <w:vertAlign w:val="superscript"/>
                <w:lang w:val="hu-HU"/>
              </w:rPr>
              <w:t>1)</w:t>
            </w:r>
            <w:r>
              <w:rPr>
                <w:rFonts w:ascii="Times New Roman" w:eastAsia="Times New Roman" w:hAnsi="Times New Roman" w:cs="Times New Roman"/>
                <w:lang w:val="hu-HU"/>
              </w:rPr>
              <w:t>, arrhythmia,</w:t>
            </w:r>
          </w:p>
          <w:p w14:paraId="22415B79"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pangásos szívelégtelenség</w:t>
            </w:r>
          </w:p>
        </w:tc>
      </w:tr>
      <w:tr w:rsidR="00C770CB" w:rsidRPr="00BE4D18" w14:paraId="301CE0C0" w14:textId="77777777" w:rsidTr="007E7849">
        <w:tc>
          <w:tcPr>
            <w:tcW w:w="2599" w:type="dxa"/>
            <w:vMerge/>
            <w:tcBorders>
              <w:left w:val="single" w:sz="5" w:space="0" w:color="000000"/>
              <w:bottom w:val="single" w:sz="5" w:space="0" w:color="000000"/>
              <w:right w:val="single" w:sz="5" w:space="0" w:color="000000"/>
            </w:tcBorders>
          </w:tcPr>
          <w:p w14:paraId="15AA4E43"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41892B45"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Pr>
          <w:p w14:paraId="464DC21E"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Szívleállás</w:t>
            </w:r>
          </w:p>
        </w:tc>
      </w:tr>
      <w:tr w:rsidR="00C770CB" w14:paraId="4643B800" w14:textId="77777777" w:rsidTr="007E7849">
        <w:tc>
          <w:tcPr>
            <w:tcW w:w="2599" w:type="dxa"/>
            <w:vMerge w:val="restart"/>
            <w:tcBorders>
              <w:top w:val="single" w:sz="5" w:space="0" w:color="000000"/>
              <w:left w:val="single" w:sz="5" w:space="0" w:color="000000"/>
              <w:right w:val="single" w:sz="5" w:space="0" w:color="000000"/>
            </w:tcBorders>
          </w:tcPr>
          <w:p w14:paraId="5EE6F626"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Érbetegségek és tünetek:</w:t>
            </w:r>
          </w:p>
        </w:tc>
        <w:tc>
          <w:tcPr>
            <w:tcW w:w="2076" w:type="dxa"/>
            <w:tcBorders>
              <w:top w:val="single" w:sz="5" w:space="0" w:color="000000"/>
              <w:left w:val="single" w:sz="5" w:space="0" w:color="000000"/>
              <w:bottom w:val="single" w:sz="5" w:space="0" w:color="000000"/>
              <w:right w:val="single" w:sz="5" w:space="0" w:color="000000"/>
            </w:tcBorders>
          </w:tcPr>
          <w:p w14:paraId="5D7DE5D2"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41E69736" w14:textId="77777777" w:rsidR="00C770CB" w:rsidRDefault="00C770CB" w:rsidP="007E7849">
            <w:pPr>
              <w:pStyle w:val="TableParagraph"/>
              <w:ind w:left="99" w:right="2870"/>
              <w:rPr>
                <w:rFonts w:ascii="Times New Roman" w:eastAsia="Times New Roman" w:hAnsi="Times New Roman" w:cs="Times New Roman"/>
                <w:lang w:val="hu-HU"/>
              </w:rPr>
            </w:pPr>
            <w:r>
              <w:rPr>
                <w:rFonts w:ascii="Times New Roman" w:eastAsia="Times New Roman" w:hAnsi="Times New Roman" w:cs="Times New Roman"/>
                <w:spacing w:val="-1"/>
                <w:lang w:val="hu-HU"/>
              </w:rPr>
              <w:t>Hypertensio, kipirulás, haematoma</w:t>
            </w:r>
          </w:p>
        </w:tc>
      </w:tr>
      <w:tr w:rsidR="00C770CB" w14:paraId="52392594" w14:textId="77777777" w:rsidTr="007E7849">
        <w:tc>
          <w:tcPr>
            <w:tcW w:w="2599" w:type="dxa"/>
            <w:vMerge/>
            <w:tcBorders>
              <w:left w:val="single" w:sz="5" w:space="0" w:color="000000"/>
              <w:bottom w:val="single" w:sz="5" w:space="0" w:color="000000"/>
              <w:right w:val="single" w:sz="5" w:space="0" w:color="000000"/>
            </w:tcBorders>
          </w:tcPr>
          <w:p w14:paraId="2EF6B97C"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4A368996"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29491A88"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Aorta aneurysma,</w:t>
            </w:r>
          </w:p>
          <w:p w14:paraId="748BA17B" w14:textId="77777777" w:rsidR="00C770CB" w:rsidRDefault="00C770CB" w:rsidP="007E7849">
            <w:pPr>
              <w:pStyle w:val="TableParagraph"/>
              <w:ind w:left="99" w:right="658"/>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artériás occlusio, </w:t>
            </w:r>
          </w:p>
          <w:p w14:paraId="2BBECFDD" w14:textId="77777777" w:rsidR="00C770CB" w:rsidRDefault="00C770CB" w:rsidP="007E7849">
            <w:pPr>
              <w:pStyle w:val="TableParagraph"/>
              <w:ind w:left="99" w:right="658"/>
              <w:rPr>
                <w:rFonts w:ascii="Times New Roman" w:eastAsia="Times New Roman" w:hAnsi="Times New Roman" w:cs="Times New Roman"/>
                <w:lang w:val="hu-HU"/>
              </w:rPr>
            </w:pPr>
            <w:r>
              <w:rPr>
                <w:rFonts w:ascii="Times New Roman" w:eastAsia="Times New Roman" w:hAnsi="Times New Roman" w:cs="Times New Roman"/>
                <w:spacing w:val="-1"/>
                <w:lang w:val="hu-HU"/>
              </w:rPr>
              <w:t>thrombophlebitis</w:t>
            </w:r>
          </w:p>
        </w:tc>
      </w:tr>
      <w:tr w:rsidR="00C770CB" w:rsidRPr="00BE4D18" w14:paraId="4ADF0263" w14:textId="77777777" w:rsidTr="007E7849">
        <w:tc>
          <w:tcPr>
            <w:tcW w:w="2599" w:type="dxa"/>
            <w:vMerge w:val="restart"/>
            <w:tcBorders>
              <w:top w:val="single" w:sz="5" w:space="0" w:color="000000"/>
              <w:left w:val="single" w:sz="5" w:space="0" w:color="000000"/>
              <w:right w:val="single" w:sz="5" w:space="0" w:color="000000"/>
            </w:tcBorders>
          </w:tcPr>
          <w:p w14:paraId="756385DD"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Légzőrendszeri, mellkasi és mediastinalis betegségek és tünetek*</w:t>
            </w:r>
          </w:p>
        </w:tc>
        <w:tc>
          <w:tcPr>
            <w:tcW w:w="2076" w:type="dxa"/>
            <w:tcBorders>
              <w:top w:val="single" w:sz="5" w:space="0" w:color="000000"/>
              <w:left w:val="single" w:sz="5" w:space="0" w:color="000000"/>
              <w:bottom w:val="single" w:sz="5" w:space="0" w:color="000000"/>
              <w:right w:val="single" w:sz="5" w:space="0" w:color="000000"/>
            </w:tcBorders>
          </w:tcPr>
          <w:p w14:paraId="06136D18"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324CE44C" w14:textId="77777777" w:rsidR="00C770CB" w:rsidRDefault="00C770CB" w:rsidP="007E7849">
            <w:pPr>
              <w:pStyle w:val="TableParagraph"/>
              <w:ind w:left="99" w:right="3074"/>
              <w:rPr>
                <w:rFonts w:ascii="Times New Roman" w:eastAsia="Times New Roman" w:hAnsi="Times New Roman" w:cs="Times New Roman"/>
                <w:lang w:val="hu-HU"/>
              </w:rPr>
            </w:pPr>
            <w:r>
              <w:rPr>
                <w:rFonts w:ascii="Times New Roman" w:eastAsia="Times New Roman" w:hAnsi="Times New Roman" w:cs="Times New Roman"/>
                <w:spacing w:val="-1"/>
                <w:lang w:val="hu-HU"/>
              </w:rPr>
              <w:t>Asthma, dyspnoea, köhögés</w:t>
            </w:r>
          </w:p>
        </w:tc>
      </w:tr>
      <w:tr w:rsidR="00C770CB" w14:paraId="7B460388" w14:textId="77777777" w:rsidTr="007E7849">
        <w:tc>
          <w:tcPr>
            <w:tcW w:w="2599" w:type="dxa"/>
            <w:vMerge/>
            <w:tcBorders>
              <w:left w:val="single" w:sz="5" w:space="0" w:color="000000"/>
              <w:right w:val="single" w:sz="5" w:space="0" w:color="000000"/>
            </w:tcBorders>
          </w:tcPr>
          <w:p w14:paraId="686B7471"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7D5F0324"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41087217"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Tüdőembólia</w:t>
            </w:r>
            <w:r>
              <w:rPr>
                <w:rFonts w:ascii="Times New Roman" w:eastAsia="Times New Roman" w:hAnsi="Times New Roman" w:cs="Times New Roman"/>
                <w:spacing w:val="-1"/>
                <w:vertAlign w:val="superscript"/>
                <w:lang w:val="hu-HU"/>
              </w:rPr>
              <w:t>1)</w:t>
            </w:r>
            <w:r>
              <w:rPr>
                <w:rFonts w:ascii="Times New Roman" w:eastAsia="Times New Roman" w:hAnsi="Times New Roman" w:cs="Times New Roman"/>
                <w:spacing w:val="-1"/>
                <w:lang w:val="hu-HU"/>
              </w:rPr>
              <w:t>,</w:t>
            </w:r>
          </w:p>
          <w:p w14:paraId="7C0DB97D"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interstitialis tüdőbetegség,</w:t>
            </w:r>
          </w:p>
          <w:p w14:paraId="3591E826" w14:textId="77777777" w:rsidR="00C770CB" w:rsidRDefault="00C770CB" w:rsidP="007E7849">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krónikus obstruktív tüdőbetegség, </w:t>
            </w:r>
          </w:p>
          <w:p w14:paraId="3983B779"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pneumonitis,</w:t>
            </w:r>
          </w:p>
          <w:p w14:paraId="0D22633E"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pleuralis folyadékgyülem</w:t>
            </w:r>
            <w:r>
              <w:rPr>
                <w:rFonts w:ascii="Times New Roman" w:eastAsia="Times New Roman" w:hAnsi="Times New Roman" w:cs="Times New Roman"/>
                <w:spacing w:val="-1"/>
                <w:vertAlign w:val="superscript"/>
                <w:lang w:val="hu-HU"/>
              </w:rPr>
              <w:t>1)</w:t>
            </w:r>
          </w:p>
        </w:tc>
      </w:tr>
      <w:tr w:rsidR="00C770CB" w14:paraId="0FE78949" w14:textId="77777777" w:rsidTr="007E7849">
        <w:tc>
          <w:tcPr>
            <w:tcW w:w="2599" w:type="dxa"/>
            <w:vMerge/>
            <w:tcBorders>
              <w:left w:val="single" w:sz="5" w:space="0" w:color="000000"/>
              <w:bottom w:val="single" w:sz="5" w:space="0" w:color="000000"/>
              <w:right w:val="single" w:sz="5" w:space="0" w:color="000000"/>
            </w:tcBorders>
          </w:tcPr>
          <w:p w14:paraId="48027995"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21FF28AA"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Pr>
          <w:p w14:paraId="54C7CBF0"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Tüdőfibrosis</w:t>
            </w:r>
            <w:r>
              <w:rPr>
                <w:rFonts w:ascii="Times New Roman" w:eastAsia="Times New Roman" w:hAnsi="Times New Roman" w:cs="Times New Roman"/>
                <w:spacing w:val="-1"/>
                <w:vertAlign w:val="superscript"/>
                <w:lang w:val="hu-HU"/>
              </w:rPr>
              <w:t>1)</w:t>
            </w:r>
          </w:p>
        </w:tc>
      </w:tr>
      <w:tr w:rsidR="00C770CB" w14:paraId="5C4FE9FB" w14:textId="77777777" w:rsidTr="007E7849">
        <w:tc>
          <w:tcPr>
            <w:tcW w:w="2599" w:type="dxa"/>
            <w:vMerge w:val="restart"/>
            <w:tcBorders>
              <w:top w:val="single" w:sz="5" w:space="0" w:color="000000"/>
              <w:left w:val="single" w:sz="5" w:space="0" w:color="000000"/>
              <w:right w:val="single" w:sz="5" w:space="0" w:color="000000"/>
            </w:tcBorders>
          </w:tcPr>
          <w:p w14:paraId="408A79DB"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Emésztőrendszeri betegségek és tünetek</w:t>
            </w:r>
          </w:p>
        </w:tc>
        <w:tc>
          <w:tcPr>
            <w:tcW w:w="2076" w:type="dxa"/>
            <w:tcBorders>
              <w:top w:val="single" w:sz="5" w:space="0" w:color="000000"/>
              <w:left w:val="single" w:sz="5" w:space="0" w:color="000000"/>
              <w:bottom w:val="single" w:sz="5" w:space="0" w:color="000000"/>
              <w:right w:val="single" w:sz="5" w:space="0" w:color="000000"/>
            </w:tcBorders>
          </w:tcPr>
          <w:p w14:paraId="1B719336"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Nagyon gyakori</w:t>
            </w:r>
          </w:p>
        </w:tc>
        <w:tc>
          <w:tcPr>
            <w:tcW w:w="4574" w:type="dxa"/>
            <w:tcBorders>
              <w:top w:val="single" w:sz="5" w:space="0" w:color="000000"/>
              <w:left w:val="single" w:sz="5" w:space="0" w:color="000000"/>
              <w:bottom w:val="single" w:sz="5" w:space="0" w:color="000000"/>
              <w:right w:val="single" w:sz="5" w:space="0" w:color="000000"/>
            </w:tcBorders>
          </w:tcPr>
          <w:p w14:paraId="6F29517C" w14:textId="77777777" w:rsidR="00C770CB" w:rsidRDefault="00C770CB" w:rsidP="007E7849">
            <w:pPr>
              <w:pStyle w:val="TableParagraph"/>
              <w:ind w:left="99" w:right="2425"/>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Hasi fájdalom, hányinger, </w:t>
            </w:r>
          </w:p>
          <w:p w14:paraId="1F27FE35" w14:textId="77777777" w:rsidR="00C770CB" w:rsidRDefault="00C770CB" w:rsidP="007E7849">
            <w:pPr>
              <w:pStyle w:val="TableParagraph"/>
              <w:ind w:left="99" w:right="2425"/>
              <w:rPr>
                <w:rFonts w:ascii="Times New Roman" w:eastAsia="Times New Roman" w:hAnsi="Times New Roman" w:cs="Times New Roman"/>
                <w:lang w:val="hu-HU"/>
              </w:rPr>
            </w:pPr>
            <w:r>
              <w:rPr>
                <w:rFonts w:ascii="Times New Roman" w:eastAsia="Times New Roman" w:hAnsi="Times New Roman" w:cs="Times New Roman"/>
                <w:spacing w:val="-1"/>
                <w:lang w:val="hu-HU"/>
              </w:rPr>
              <w:t>hányás</w:t>
            </w:r>
          </w:p>
        </w:tc>
      </w:tr>
      <w:tr w:rsidR="00C770CB" w:rsidRPr="00BE4D18" w14:paraId="2EC5AC3C" w14:textId="77777777" w:rsidTr="007E7849">
        <w:tc>
          <w:tcPr>
            <w:tcW w:w="2599" w:type="dxa"/>
            <w:vMerge/>
            <w:tcBorders>
              <w:left w:val="single" w:sz="5" w:space="0" w:color="000000"/>
              <w:right w:val="single" w:sz="5" w:space="0" w:color="000000"/>
            </w:tcBorders>
          </w:tcPr>
          <w:p w14:paraId="00D01AE7"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4AA4C5CB"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2E44C73A"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Gastrointestinalis vérzés,</w:t>
            </w:r>
          </w:p>
          <w:p w14:paraId="1F9BD024"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Dyspepsia</w:t>
            </w:r>
          </w:p>
          <w:p w14:paraId="378CC746"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Gastrooesophagealis refluxbetegség</w:t>
            </w:r>
          </w:p>
        </w:tc>
      </w:tr>
      <w:tr w:rsidR="00C770CB" w14:paraId="133165EF" w14:textId="77777777" w:rsidTr="007E7849">
        <w:tc>
          <w:tcPr>
            <w:tcW w:w="2599" w:type="dxa"/>
            <w:vMerge/>
            <w:tcBorders>
              <w:left w:val="single" w:sz="5" w:space="0" w:color="000000"/>
              <w:right w:val="single" w:sz="5" w:space="0" w:color="000000"/>
            </w:tcBorders>
          </w:tcPr>
          <w:p w14:paraId="706D5189"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2CDDE982"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5853FA10"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Pancreatitis,</w:t>
            </w:r>
          </w:p>
          <w:p w14:paraId="28AD2FD9" w14:textId="77777777" w:rsidR="00C770CB" w:rsidRDefault="00C770CB" w:rsidP="007E7849">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dysphagia, </w:t>
            </w:r>
          </w:p>
          <w:p w14:paraId="17117139"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arc-oedema</w:t>
            </w:r>
          </w:p>
        </w:tc>
      </w:tr>
      <w:tr w:rsidR="00C770CB" w14:paraId="447EEFCD" w14:textId="77777777" w:rsidTr="007E7849">
        <w:tc>
          <w:tcPr>
            <w:tcW w:w="2599" w:type="dxa"/>
            <w:vMerge/>
            <w:tcBorders>
              <w:left w:val="single" w:sz="5" w:space="0" w:color="000000"/>
              <w:bottom w:val="single" w:sz="5" w:space="0" w:color="000000"/>
              <w:right w:val="single" w:sz="5" w:space="0" w:color="000000"/>
            </w:tcBorders>
          </w:tcPr>
          <w:p w14:paraId="69204D93"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174CF2BF"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Pr>
          <w:p w14:paraId="7E0943E7"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4"/>
                <w:lang w:val="hu-HU"/>
              </w:rPr>
              <w:t>bélperforáció</w:t>
            </w:r>
            <w:r>
              <w:rPr>
                <w:rFonts w:ascii="Times New Roman" w:eastAsia="Times New Roman" w:hAnsi="Times New Roman" w:cs="Times New Roman"/>
                <w:spacing w:val="-4"/>
                <w:vertAlign w:val="superscript"/>
                <w:lang w:val="hu-HU"/>
              </w:rPr>
              <w:t>1)</w:t>
            </w:r>
          </w:p>
        </w:tc>
      </w:tr>
      <w:tr w:rsidR="00C770CB" w14:paraId="655E2ACE" w14:textId="77777777" w:rsidTr="007E7849">
        <w:tc>
          <w:tcPr>
            <w:tcW w:w="2599" w:type="dxa"/>
            <w:vMerge w:val="restart"/>
            <w:tcBorders>
              <w:top w:val="single" w:sz="5" w:space="0" w:color="000000"/>
              <w:left w:val="single" w:sz="5" w:space="0" w:color="000000"/>
              <w:right w:val="single" w:sz="5" w:space="0" w:color="000000"/>
            </w:tcBorders>
          </w:tcPr>
          <w:p w14:paraId="54C2611D"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Máj- és epebetegségek, illetve tünetek*</w:t>
            </w:r>
          </w:p>
        </w:tc>
        <w:tc>
          <w:tcPr>
            <w:tcW w:w="2076" w:type="dxa"/>
            <w:tcBorders>
              <w:top w:val="single" w:sz="5" w:space="0" w:color="000000"/>
              <w:left w:val="single" w:sz="5" w:space="0" w:color="000000"/>
              <w:bottom w:val="single" w:sz="5" w:space="0" w:color="000000"/>
              <w:right w:val="single" w:sz="5" w:space="0" w:color="000000"/>
            </w:tcBorders>
          </w:tcPr>
          <w:p w14:paraId="401486FA"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Nagyon gyakori</w:t>
            </w:r>
          </w:p>
        </w:tc>
        <w:tc>
          <w:tcPr>
            <w:tcW w:w="4574" w:type="dxa"/>
            <w:tcBorders>
              <w:top w:val="single" w:sz="5" w:space="0" w:color="000000"/>
              <w:left w:val="single" w:sz="5" w:space="0" w:color="000000"/>
              <w:bottom w:val="single" w:sz="5" w:space="0" w:color="000000"/>
              <w:right w:val="single" w:sz="5" w:space="0" w:color="000000"/>
            </w:tcBorders>
          </w:tcPr>
          <w:p w14:paraId="6E8AFECF"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Emelkedett májenzimszintek</w:t>
            </w:r>
          </w:p>
        </w:tc>
      </w:tr>
      <w:tr w:rsidR="00C770CB" w14:paraId="39D2FC02" w14:textId="77777777" w:rsidTr="007E7849">
        <w:tc>
          <w:tcPr>
            <w:tcW w:w="2599" w:type="dxa"/>
            <w:vMerge/>
            <w:tcBorders>
              <w:left w:val="single" w:sz="5" w:space="0" w:color="000000"/>
              <w:right w:val="single" w:sz="5" w:space="0" w:color="000000"/>
            </w:tcBorders>
          </w:tcPr>
          <w:p w14:paraId="689D1858"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6DBBDD4E"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5B25E468"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Cholecystitis és cholelithiasis</w:t>
            </w:r>
          </w:p>
          <w:p w14:paraId="57B85959"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 xml:space="preserve">steatosis hepatis, </w:t>
            </w:r>
          </w:p>
          <w:p w14:paraId="564896EE"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emelkedett bilirubinszint</w:t>
            </w:r>
          </w:p>
        </w:tc>
      </w:tr>
      <w:tr w:rsidR="00C770CB" w:rsidRPr="00BE4D18" w14:paraId="71CB14FE" w14:textId="77777777" w:rsidTr="007E7849">
        <w:tc>
          <w:tcPr>
            <w:tcW w:w="2599" w:type="dxa"/>
            <w:vMerge/>
            <w:tcBorders>
              <w:left w:val="single" w:sz="5" w:space="0" w:color="000000"/>
              <w:right w:val="single" w:sz="5" w:space="0" w:color="000000"/>
            </w:tcBorders>
          </w:tcPr>
          <w:p w14:paraId="6E1AA081"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right w:val="single" w:sz="5" w:space="0" w:color="000000"/>
            </w:tcBorders>
          </w:tcPr>
          <w:p w14:paraId="0E8C7585"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right w:val="single" w:sz="5" w:space="0" w:color="000000"/>
            </w:tcBorders>
          </w:tcPr>
          <w:p w14:paraId="3D851E26"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Hepatitis,</w:t>
            </w:r>
          </w:p>
          <w:p w14:paraId="36E25F70"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hepatitis B reaktiválódása</w:t>
            </w:r>
            <w:r>
              <w:rPr>
                <w:rFonts w:ascii="Times New Roman" w:eastAsia="Times New Roman" w:hAnsi="Times New Roman" w:cs="Times New Roman"/>
                <w:spacing w:val="-1"/>
                <w:vertAlign w:val="superscript"/>
                <w:lang w:val="hu-HU"/>
              </w:rPr>
              <w:t>1)</w:t>
            </w:r>
            <w:r>
              <w:rPr>
                <w:rFonts w:ascii="Times New Roman" w:eastAsia="Times New Roman" w:hAnsi="Times New Roman" w:cs="Times New Roman"/>
                <w:spacing w:val="-1"/>
                <w:lang w:val="hu-HU"/>
              </w:rPr>
              <w:t>,</w:t>
            </w:r>
          </w:p>
          <w:p w14:paraId="2574180B"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autoimmun hepatitis</w:t>
            </w:r>
            <w:r>
              <w:rPr>
                <w:rFonts w:ascii="Times New Roman" w:eastAsia="Times New Roman" w:hAnsi="Times New Roman" w:cs="Times New Roman"/>
                <w:spacing w:val="-1"/>
                <w:vertAlign w:val="superscript"/>
                <w:lang w:val="hu-HU"/>
              </w:rPr>
              <w:t>1)</w:t>
            </w:r>
          </w:p>
        </w:tc>
      </w:tr>
      <w:tr w:rsidR="00C770CB" w14:paraId="249335B8" w14:textId="77777777" w:rsidTr="007E7849">
        <w:tc>
          <w:tcPr>
            <w:tcW w:w="2599" w:type="dxa"/>
            <w:vMerge/>
            <w:tcBorders>
              <w:left w:val="single" w:sz="5" w:space="0" w:color="000000"/>
              <w:bottom w:val="single" w:sz="5" w:space="0" w:color="000000"/>
              <w:right w:val="single" w:sz="5" w:space="0" w:color="000000"/>
            </w:tcBorders>
          </w:tcPr>
          <w:p w14:paraId="16F13A8E"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3F600AD0"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ismert</w:t>
            </w:r>
          </w:p>
        </w:tc>
        <w:tc>
          <w:tcPr>
            <w:tcW w:w="4574" w:type="dxa"/>
            <w:tcBorders>
              <w:top w:val="single" w:sz="5" w:space="0" w:color="000000"/>
              <w:left w:val="single" w:sz="5" w:space="0" w:color="000000"/>
              <w:bottom w:val="single" w:sz="5" w:space="0" w:color="000000"/>
              <w:right w:val="single" w:sz="5" w:space="0" w:color="000000"/>
            </w:tcBorders>
          </w:tcPr>
          <w:p w14:paraId="628BB45D"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Májelégtelenség</w:t>
            </w:r>
            <w:r>
              <w:rPr>
                <w:rFonts w:ascii="Times New Roman" w:eastAsia="Times New Roman" w:hAnsi="Times New Roman" w:cs="Times New Roman"/>
                <w:spacing w:val="-1"/>
                <w:vertAlign w:val="superscript"/>
                <w:lang w:val="hu-HU"/>
              </w:rPr>
              <w:t xml:space="preserve"> 1)</w:t>
            </w:r>
          </w:p>
        </w:tc>
      </w:tr>
      <w:tr w:rsidR="00C770CB" w:rsidRPr="00BE4D18" w14:paraId="03B2CA2E" w14:textId="77777777" w:rsidTr="007E7849">
        <w:tc>
          <w:tcPr>
            <w:tcW w:w="2599" w:type="dxa"/>
            <w:vMerge w:val="restart"/>
            <w:tcBorders>
              <w:top w:val="single" w:sz="5" w:space="0" w:color="000000"/>
              <w:left w:val="single" w:sz="5" w:space="0" w:color="000000"/>
              <w:right w:val="single" w:sz="5" w:space="0" w:color="000000"/>
            </w:tcBorders>
          </w:tcPr>
          <w:p w14:paraId="3E8096D4" w14:textId="77777777" w:rsidR="00C770CB" w:rsidRDefault="00C770CB" w:rsidP="007E7849">
            <w:pPr>
              <w:pStyle w:val="TableParagraph"/>
              <w:ind w:left="102" w:right="11"/>
              <w:rPr>
                <w:rFonts w:ascii="Times New Roman" w:eastAsia="Times New Roman" w:hAnsi="Times New Roman" w:cs="Times New Roman"/>
                <w:lang w:val="hu-HU"/>
              </w:rPr>
            </w:pPr>
            <w:r>
              <w:rPr>
                <w:rFonts w:ascii="Times New Roman" w:eastAsia="Times New Roman" w:hAnsi="Times New Roman" w:cs="Times New Roman"/>
                <w:spacing w:val="-1"/>
                <w:lang w:val="hu-HU"/>
              </w:rPr>
              <w:lastRenderedPageBreak/>
              <w:t>A bőr és a bőr alatti szövet betegségei és tünetei:</w:t>
            </w:r>
          </w:p>
        </w:tc>
        <w:tc>
          <w:tcPr>
            <w:tcW w:w="2076" w:type="dxa"/>
            <w:tcBorders>
              <w:top w:val="single" w:sz="5" w:space="0" w:color="000000"/>
              <w:left w:val="single" w:sz="5" w:space="0" w:color="000000"/>
              <w:bottom w:val="single" w:sz="5" w:space="0" w:color="000000"/>
              <w:right w:val="single" w:sz="5" w:space="0" w:color="000000"/>
            </w:tcBorders>
          </w:tcPr>
          <w:p w14:paraId="66272BB0"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Nagyon gyakori</w:t>
            </w:r>
          </w:p>
        </w:tc>
        <w:tc>
          <w:tcPr>
            <w:tcW w:w="4574" w:type="dxa"/>
            <w:tcBorders>
              <w:top w:val="single" w:sz="5" w:space="0" w:color="000000"/>
              <w:left w:val="single" w:sz="5" w:space="0" w:color="000000"/>
              <w:bottom w:val="single" w:sz="5" w:space="0" w:color="000000"/>
              <w:right w:val="single" w:sz="5" w:space="0" w:color="000000"/>
            </w:tcBorders>
          </w:tcPr>
          <w:p w14:paraId="07C3F5A1"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Bőrkiütés (beleértve az exfoliatív bőrkiütést is)</w:t>
            </w:r>
          </w:p>
        </w:tc>
      </w:tr>
      <w:tr w:rsidR="00C770CB" w14:paraId="5BDBF599" w14:textId="77777777" w:rsidTr="007E7849">
        <w:tc>
          <w:tcPr>
            <w:tcW w:w="2599" w:type="dxa"/>
            <w:vMerge/>
            <w:tcBorders>
              <w:left w:val="single" w:sz="5" w:space="0" w:color="000000"/>
              <w:right w:val="single" w:sz="5" w:space="0" w:color="000000"/>
            </w:tcBorders>
          </w:tcPr>
          <w:p w14:paraId="7D02EC06"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74258D8D"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5FB43F4D"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 xml:space="preserve">Psoriasis rosszabbodása, </w:t>
            </w:r>
          </w:p>
          <w:p w14:paraId="20ED482A" w14:textId="77777777" w:rsidR="00C770CB" w:rsidRDefault="00C770CB" w:rsidP="007E7849">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lang w:val="hu-HU"/>
              </w:rPr>
              <w:t xml:space="preserve">illetve újonnan kialakulása (beleértve a </w:t>
            </w:r>
            <w:r>
              <w:rPr>
                <w:rFonts w:ascii="Times New Roman" w:eastAsia="Times New Roman" w:hAnsi="Times New Roman" w:cs="Times New Roman"/>
                <w:spacing w:val="-1"/>
                <w:lang w:val="hu-HU"/>
              </w:rPr>
              <w:t>palmoplantaris pustulosus psoriasist)</w:t>
            </w:r>
            <w:r>
              <w:rPr>
                <w:rFonts w:ascii="Times New Roman" w:eastAsia="Times New Roman" w:hAnsi="Times New Roman" w:cs="Times New Roman"/>
                <w:spacing w:val="-1"/>
                <w:vertAlign w:val="superscript"/>
                <w:lang w:val="hu-HU"/>
              </w:rPr>
              <w:t>1)</w:t>
            </w:r>
            <w:r>
              <w:rPr>
                <w:rFonts w:ascii="Times New Roman" w:eastAsia="Times New Roman" w:hAnsi="Times New Roman" w:cs="Times New Roman"/>
                <w:spacing w:val="-1"/>
                <w:lang w:val="hu-HU"/>
              </w:rPr>
              <w:t xml:space="preserve">, </w:t>
            </w:r>
          </w:p>
          <w:p w14:paraId="49F628E8"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urticaria,</w:t>
            </w:r>
          </w:p>
          <w:p w14:paraId="038C2839"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suffusio (beleértve a purpurát is),</w:t>
            </w:r>
          </w:p>
          <w:p w14:paraId="32EFC150" w14:textId="77777777" w:rsidR="00C770CB" w:rsidRDefault="00C770CB" w:rsidP="007E7849">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dermatitis (beleértve az ekzémát is), </w:t>
            </w:r>
          </w:p>
          <w:p w14:paraId="32D7F327"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onychoclasia,</w:t>
            </w:r>
          </w:p>
          <w:p w14:paraId="2197F7E3"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hyperhidrosis,</w:t>
            </w:r>
          </w:p>
          <w:p w14:paraId="5E0D7556" w14:textId="77777777" w:rsidR="00C770CB" w:rsidRDefault="00C770CB" w:rsidP="007E7849">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alopecia</w:t>
            </w:r>
            <w:r>
              <w:rPr>
                <w:rFonts w:ascii="Times New Roman" w:eastAsia="Times New Roman" w:hAnsi="Times New Roman" w:cs="Times New Roman"/>
                <w:spacing w:val="-1"/>
                <w:vertAlign w:val="superscript"/>
                <w:lang w:val="hu-HU"/>
              </w:rPr>
              <w:t>1)</w:t>
            </w:r>
            <w:r>
              <w:rPr>
                <w:rFonts w:ascii="Times New Roman" w:eastAsia="Times New Roman" w:hAnsi="Times New Roman" w:cs="Times New Roman"/>
                <w:spacing w:val="-1"/>
                <w:lang w:val="hu-HU"/>
              </w:rPr>
              <w:t xml:space="preserve">, </w:t>
            </w:r>
          </w:p>
          <w:p w14:paraId="455B5516"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pruritus</w:t>
            </w:r>
          </w:p>
        </w:tc>
      </w:tr>
      <w:tr w:rsidR="00C770CB" w:rsidRPr="00BE4D18" w14:paraId="2AF897B7" w14:textId="77777777" w:rsidTr="007E7849">
        <w:tc>
          <w:tcPr>
            <w:tcW w:w="2599" w:type="dxa"/>
            <w:vMerge/>
            <w:tcBorders>
              <w:left w:val="single" w:sz="5" w:space="0" w:color="000000"/>
              <w:right w:val="single" w:sz="5" w:space="0" w:color="000000"/>
            </w:tcBorders>
          </w:tcPr>
          <w:p w14:paraId="2069C8CC"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15490843"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2DCEB720"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Éjszakai verítékezés,</w:t>
            </w:r>
          </w:p>
          <w:p w14:paraId="6E5416B9"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hegesedés</w:t>
            </w:r>
          </w:p>
        </w:tc>
      </w:tr>
      <w:tr w:rsidR="00C770CB" w:rsidRPr="00F70E6D" w14:paraId="083DC0B9" w14:textId="77777777" w:rsidTr="007E7849">
        <w:tc>
          <w:tcPr>
            <w:tcW w:w="2599" w:type="dxa"/>
            <w:vMerge/>
            <w:tcBorders>
              <w:left w:val="single" w:sz="5" w:space="0" w:color="000000"/>
              <w:right w:val="single" w:sz="5" w:space="0" w:color="000000"/>
            </w:tcBorders>
          </w:tcPr>
          <w:p w14:paraId="1DE11F86"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60831B90"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Pr>
          <w:p w14:paraId="20C552E2" w14:textId="77777777" w:rsidR="00C770CB" w:rsidRDefault="00C770CB" w:rsidP="007E7849">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erythema multiforme</w:t>
            </w:r>
            <w:r>
              <w:rPr>
                <w:rFonts w:ascii="Times New Roman" w:eastAsia="Times New Roman" w:hAnsi="Times New Roman" w:cs="Times New Roman"/>
                <w:spacing w:val="-1"/>
                <w:vertAlign w:val="superscript"/>
                <w:lang w:val="hu-HU"/>
              </w:rPr>
              <w:t>1)</w:t>
            </w:r>
            <w:r>
              <w:rPr>
                <w:rFonts w:ascii="Times New Roman" w:eastAsia="Times New Roman" w:hAnsi="Times New Roman" w:cs="Times New Roman"/>
                <w:spacing w:val="-1"/>
                <w:lang w:val="hu-HU"/>
              </w:rPr>
              <w:t xml:space="preserve">, </w:t>
            </w:r>
          </w:p>
          <w:p w14:paraId="4D096D56" w14:textId="77777777" w:rsidR="00C770CB" w:rsidRDefault="00C770CB" w:rsidP="007E7849">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Stevens-Johnson-szindróma</w:t>
            </w:r>
            <w:r>
              <w:rPr>
                <w:rFonts w:ascii="Times New Roman" w:eastAsia="Times New Roman" w:hAnsi="Times New Roman" w:cs="Times New Roman"/>
                <w:spacing w:val="-1"/>
                <w:vertAlign w:val="superscript"/>
                <w:lang w:val="hu-HU"/>
              </w:rPr>
              <w:t>1)</w:t>
            </w:r>
            <w:r>
              <w:rPr>
                <w:rFonts w:ascii="Times New Roman" w:eastAsia="Times New Roman" w:hAnsi="Times New Roman" w:cs="Times New Roman"/>
                <w:spacing w:val="-1"/>
                <w:lang w:val="hu-HU"/>
              </w:rPr>
              <w:t xml:space="preserve"> , </w:t>
            </w:r>
          </w:p>
          <w:p w14:paraId="7DB44FC9"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angioodema</w:t>
            </w:r>
            <w:r>
              <w:rPr>
                <w:rFonts w:ascii="Times New Roman" w:eastAsia="Times New Roman" w:hAnsi="Times New Roman" w:cs="Times New Roman"/>
                <w:spacing w:val="-1"/>
                <w:vertAlign w:val="superscript"/>
                <w:lang w:val="hu-HU"/>
              </w:rPr>
              <w:t xml:space="preserve"> 1)</w:t>
            </w:r>
            <w:r>
              <w:rPr>
                <w:rFonts w:ascii="Times New Roman" w:eastAsia="Times New Roman" w:hAnsi="Times New Roman" w:cs="Times New Roman"/>
                <w:spacing w:val="-1"/>
                <w:lang w:val="hu-HU"/>
              </w:rPr>
              <w:t xml:space="preserve"> ,</w:t>
            </w:r>
          </w:p>
          <w:p w14:paraId="0965C02B" w14:textId="77777777" w:rsidR="00C770CB" w:rsidRDefault="00C770CB" w:rsidP="007E7849">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cutan vasculitis</w:t>
            </w:r>
            <w:r>
              <w:rPr>
                <w:rFonts w:ascii="Times New Roman" w:eastAsia="Times New Roman" w:hAnsi="Times New Roman" w:cs="Times New Roman"/>
                <w:spacing w:val="-1"/>
                <w:vertAlign w:val="superscript"/>
                <w:lang w:val="hu-HU"/>
              </w:rPr>
              <w:t>1)</w:t>
            </w:r>
            <w:r>
              <w:rPr>
                <w:rFonts w:ascii="Times New Roman" w:eastAsia="Times New Roman" w:hAnsi="Times New Roman" w:cs="Times New Roman"/>
                <w:spacing w:val="-1"/>
                <w:lang w:val="hu-HU"/>
              </w:rPr>
              <w:t xml:space="preserve">, </w:t>
            </w:r>
          </w:p>
          <w:p w14:paraId="1F89E5B3"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lichenoid bőrreakció</w:t>
            </w:r>
            <w:r>
              <w:rPr>
                <w:rFonts w:ascii="Times New Roman" w:eastAsia="Times New Roman" w:hAnsi="Times New Roman" w:cs="Times New Roman"/>
                <w:spacing w:val="-1"/>
                <w:vertAlign w:val="superscript"/>
                <w:lang w:val="hu-HU"/>
              </w:rPr>
              <w:t xml:space="preserve"> 1)</w:t>
            </w:r>
          </w:p>
        </w:tc>
      </w:tr>
      <w:tr w:rsidR="00C770CB" w14:paraId="27738067" w14:textId="77777777" w:rsidTr="007E7849">
        <w:tc>
          <w:tcPr>
            <w:tcW w:w="2599" w:type="dxa"/>
            <w:vMerge/>
            <w:tcBorders>
              <w:left w:val="single" w:sz="5" w:space="0" w:color="000000"/>
              <w:bottom w:val="single" w:sz="5" w:space="0" w:color="000000"/>
              <w:right w:val="single" w:sz="5" w:space="0" w:color="000000"/>
            </w:tcBorders>
          </w:tcPr>
          <w:p w14:paraId="441731A1"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48D7BEB6"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ismert</w:t>
            </w:r>
          </w:p>
        </w:tc>
        <w:tc>
          <w:tcPr>
            <w:tcW w:w="4574" w:type="dxa"/>
            <w:tcBorders>
              <w:top w:val="single" w:sz="5" w:space="0" w:color="000000"/>
              <w:left w:val="single" w:sz="5" w:space="0" w:color="000000"/>
              <w:bottom w:val="single" w:sz="5" w:space="0" w:color="000000"/>
              <w:right w:val="single" w:sz="5" w:space="0" w:color="000000"/>
            </w:tcBorders>
          </w:tcPr>
          <w:p w14:paraId="17BC2210"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A dermatomyositis tüneteinek súlyosbodása</w:t>
            </w:r>
            <w:r>
              <w:rPr>
                <w:rFonts w:ascii="Times New Roman" w:eastAsia="Times New Roman" w:hAnsi="Times New Roman" w:cs="Times New Roman"/>
                <w:vertAlign w:val="superscript"/>
                <w:lang w:val="hu-HU"/>
              </w:rPr>
              <w:t>1)</w:t>
            </w:r>
          </w:p>
        </w:tc>
      </w:tr>
      <w:tr w:rsidR="00C770CB" w:rsidRPr="00F70E6D" w14:paraId="4F2B6DAF" w14:textId="77777777" w:rsidTr="007E7849">
        <w:tc>
          <w:tcPr>
            <w:tcW w:w="2599" w:type="dxa"/>
            <w:vMerge w:val="restart"/>
            <w:tcBorders>
              <w:top w:val="single" w:sz="5" w:space="0" w:color="000000"/>
              <w:left w:val="single" w:sz="5" w:space="0" w:color="000000"/>
              <w:right w:val="single" w:sz="5" w:space="0" w:color="000000"/>
            </w:tcBorders>
          </w:tcPr>
          <w:p w14:paraId="1511B8ED"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Vázizom és kötőszöveti betegségek</w:t>
            </w:r>
          </w:p>
        </w:tc>
        <w:tc>
          <w:tcPr>
            <w:tcW w:w="2076" w:type="dxa"/>
            <w:tcBorders>
              <w:top w:val="single" w:sz="5" w:space="0" w:color="000000"/>
              <w:left w:val="single" w:sz="5" w:space="0" w:color="000000"/>
              <w:bottom w:val="single" w:sz="5" w:space="0" w:color="000000"/>
              <w:right w:val="single" w:sz="5" w:space="0" w:color="000000"/>
            </w:tcBorders>
          </w:tcPr>
          <w:p w14:paraId="63F016D7"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Nagyon gyakori</w:t>
            </w:r>
          </w:p>
        </w:tc>
        <w:tc>
          <w:tcPr>
            <w:tcW w:w="4574" w:type="dxa"/>
            <w:tcBorders>
              <w:top w:val="single" w:sz="5" w:space="0" w:color="000000"/>
              <w:left w:val="single" w:sz="5" w:space="0" w:color="000000"/>
              <w:bottom w:val="single" w:sz="5" w:space="0" w:color="000000"/>
              <w:right w:val="single" w:sz="5" w:space="0" w:color="000000"/>
            </w:tcBorders>
          </w:tcPr>
          <w:p w14:paraId="0CA91F88"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Csont- izomrendszeri fájdalom</w:t>
            </w:r>
          </w:p>
        </w:tc>
      </w:tr>
      <w:tr w:rsidR="00C770CB" w14:paraId="5927CC95" w14:textId="77777777" w:rsidTr="007E7849">
        <w:tc>
          <w:tcPr>
            <w:tcW w:w="2599" w:type="dxa"/>
            <w:vMerge/>
            <w:tcBorders>
              <w:left w:val="single" w:sz="5" w:space="0" w:color="000000"/>
              <w:right w:val="single" w:sz="5" w:space="0" w:color="000000"/>
            </w:tcBorders>
          </w:tcPr>
          <w:p w14:paraId="501BC524"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5466C580"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05B3AE06"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Izomspasmus (beleértve a kreatin-foszfokináz-szint emelkedését is a vérben)</w:t>
            </w:r>
          </w:p>
        </w:tc>
      </w:tr>
      <w:tr w:rsidR="00C770CB" w:rsidRPr="00BE4D18" w14:paraId="5785DC5F" w14:textId="77777777" w:rsidTr="007E7849">
        <w:tc>
          <w:tcPr>
            <w:tcW w:w="2599" w:type="dxa"/>
            <w:vMerge/>
            <w:tcBorders>
              <w:left w:val="single" w:sz="5" w:space="0" w:color="000000"/>
              <w:right w:val="single" w:sz="5" w:space="0" w:color="000000"/>
            </w:tcBorders>
          </w:tcPr>
          <w:p w14:paraId="66E05701"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4776AA43"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2E6EB192"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Rhabdomyolysis,</w:t>
            </w:r>
          </w:p>
          <w:p w14:paraId="679EF0B9"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szisztémás lupus erythematosus</w:t>
            </w:r>
          </w:p>
        </w:tc>
      </w:tr>
      <w:tr w:rsidR="00C770CB" w:rsidRPr="00BE4D18" w14:paraId="2DDEBA37" w14:textId="77777777" w:rsidTr="007E7849">
        <w:tc>
          <w:tcPr>
            <w:tcW w:w="2599" w:type="dxa"/>
            <w:vMerge/>
            <w:tcBorders>
              <w:left w:val="single" w:sz="5" w:space="0" w:color="000000"/>
              <w:bottom w:val="single" w:sz="5" w:space="0" w:color="000000"/>
              <w:right w:val="single" w:sz="5" w:space="0" w:color="000000"/>
            </w:tcBorders>
          </w:tcPr>
          <w:p w14:paraId="45640952"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29C65C57"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Pr>
          <w:p w14:paraId="39D14F5F"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Lupus-szerű szindróma</w:t>
            </w:r>
            <w:r>
              <w:rPr>
                <w:rFonts w:ascii="Times New Roman" w:eastAsia="Times New Roman" w:hAnsi="Times New Roman" w:cs="Times New Roman"/>
                <w:spacing w:val="-1"/>
                <w:vertAlign w:val="superscript"/>
                <w:lang w:val="hu-HU"/>
              </w:rPr>
              <w:t>1)</w:t>
            </w:r>
          </w:p>
        </w:tc>
      </w:tr>
      <w:tr w:rsidR="00C770CB" w14:paraId="438FF6A3" w14:textId="77777777" w:rsidTr="007E7849">
        <w:tc>
          <w:tcPr>
            <w:tcW w:w="2599" w:type="dxa"/>
            <w:vMerge w:val="restart"/>
            <w:tcBorders>
              <w:top w:val="single" w:sz="5" w:space="0" w:color="000000"/>
              <w:left w:val="single" w:sz="5" w:space="0" w:color="000000"/>
              <w:right w:val="single" w:sz="5" w:space="0" w:color="000000"/>
            </w:tcBorders>
          </w:tcPr>
          <w:p w14:paraId="549AAD7D" w14:textId="77777777" w:rsidR="00C770CB" w:rsidRDefault="00C770CB" w:rsidP="007E7849">
            <w:pPr>
              <w:pStyle w:val="TableParagraph"/>
              <w:ind w:left="102" w:right="196"/>
              <w:rPr>
                <w:rFonts w:ascii="Times New Roman" w:eastAsia="Times New Roman" w:hAnsi="Times New Roman" w:cs="Times New Roman"/>
                <w:lang w:val="hu-HU"/>
              </w:rPr>
            </w:pPr>
            <w:r>
              <w:rPr>
                <w:rFonts w:ascii="Times New Roman" w:eastAsia="Times New Roman" w:hAnsi="Times New Roman" w:cs="Times New Roman"/>
                <w:spacing w:val="-1"/>
                <w:lang w:val="hu-HU"/>
              </w:rPr>
              <w:t>Vese - és húgyúti betegségek és tünetek:</w:t>
            </w:r>
          </w:p>
        </w:tc>
        <w:tc>
          <w:tcPr>
            <w:tcW w:w="2076" w:type="dxa"/>
            <w:tcBorders>
              <w:top w:val="single" w:sz="5" w:space="0" w:color="000000"/>
              <w:left w:val="single" w:sz="5" w:space="0" w:color="000000"/>
              <w:bottom w:val="single" w:sz="5" w:space="0" w:color="000000"/>
              <w:right w:val="single" w:sz="5" w:space="0" w:color="000000"/>
            </w:tcBorders>
          </w:tcPr>
          <w:p w14:paraId="4CFE88A0"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5BCC3166"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Vesekárosodás haematuria</w:t>
            </w:r>
          </w:p>
        </w:tc>
      </w:tr>
      <w:tr w:rsidR="00C770CB" w14:paraId="6E0802DD" w14:textId="77777777" w:rsidTr="007E7849">
        <w:tc>
          <w:tcPr>
            <w:tcW w:w="2599" w:type="dxa"/>
            <w:vMerge/>
            <w:tcBorders>
              <w:left w:val="single" w:sz="5" w:space="0" w:color="000000"/>
              <w:bottom w:val="single" w:sz="5" w:space="0" w:color="000000"/>
              <w:right w:val="single" w:sz="5" w:space="0" w:color="000000"/>
            </w:tcBorders>
          </w:tcPr>
          <w:p w14:paraId="04F5AA3A"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5F9032D5"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39FB0553"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Nocturia</w:t>
            </w:r>
          </w:p>
        </w:tc>
      </w:tr>
      <w:tr w:rsidR="00C770CB" w14:paraId="103FA540" w14:textId="77777777" w:rsidTr="007E7849">
        <w:tc>
          <w:tcPr>
            <w:tcW w:w="2599" w:type="dxa"/>
            <w:tcBorders>
              <w:top w:val="single" w:sz="5" w:space="0" w:color="000000"/>
              <w:left w:val="single" w:sz="5" w:space="0" w:color="000000"/>
              <w:bottom w:val="single" w:sz="5" w:space="0" w:color="000000"/>
              <w:right w:val="single" w:sz="5" w:space="0" w:color="000000"/>
            </w:tcBorders>
          </w:tcPr>
          <w:p w14:paraId="4462BD97"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A nemi szervekkel és az emlőkkel kapcsolatos betegségek és tünetek</w:t>
            </w:r>
          </w:p>
        </w:tc>
        <w:tc>
          <w:tcPr>
            <w:tcW w:w="2076" w:type="dxa"/>
            <w:tcBorders>
              <w:top w:val="single" w:sz="5" w:space="0" w:color="000000"/>
              <w:left w:val="single" w:sz="5" w:space="0" w:color="000000"/>
              <w:bottom w:val="single" w:sz="5" w:space="0" w:color="000000"/>
              <w:right w:val="single" w:sz="5" w:space="0" w:color="000000"/>
            </w:tcBorders>
          </w:tcPr>
          <w:p w14:paraId="1B101383"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52C95145"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Erectilis dysfunctio</w:t>
            </w:r>
          </w:p>
        </w:tc>
      </w:tr>
      <w:tr w:rsidR="00C770CB" w14:paraId="2F86A325" w14:textId="77777777" w:rsidTr="007E7849">
        <w:tc>
          <w:tcPr>
            <w:tcW w:w="2599" w:type="dxa"/>
            <w:vMerge w:val="restart"/>
            <w:tcBorders>
              <w:top w:val="single" w:sz="5" w:space="0" w:color="000000"/>
              <w:left w:val="single" w:sz="5" w:space="0" w:color="000000"/>
              <w:right w:val="single" w:sz="5" w:space="0" w:color="000000"/>
            </w:tcBorders>
          </w:tcPr>
          <w:p w14:paraId="74B35247"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Általános tünetek, az</w:t>
            </w:r>
          </w:p>
          <w:p w14:paraId="1E685951"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alkalmazás helyén fellépő</w:t>
            </w:r>
          </w:p>
          <w:p w14:paraId="24374514"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reakciók*</w:t>
            </w:r>
          </w:p>
        </w:tc>
        <w:tc>
          <w:tcPr>
            <w:tcW w:w="2076" w:type="dxa"/>
            <w:tcBorders>
              <w:top w:val="single" w:sz="5" w:space="0" w:color="000000"/>
              <w:left w:val="single" w:sz="5" w:space="0" w:color="000000"/>
              <w:right w:val="single" w:sz="5" w:space="0" w:color="000000"/>
            </w:tcBorders>
          </w:tcPr>
          <w:p w14:paraId="7761E322"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Nagyon gyakori</w:t>
            </w:r>
          </w:p>
        </w:tc>
        <w:tc>
          <w:tcPr>
            <w:tcW w:w="4574" w:type="dxa"/>
            <w:tcBorders>
              <w:top w:val="single" w:sz="5" w:space="0" w:color="000000"/>
              <w:left w:val="single" w:sz="5" w:space="0" w:color="000000"/>
              <w:right w:val="single" w:sz="5" w:space="0" w:color="000000"/>
            </w:tcBorders>
          </w:tcPr>
          <w:p w14:paraId="01538B83"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4"/>
                <w:lang w:val="hu-HU"/>
              </w:rPr>
              <w:t>Az injekció beadásának helyén fellépő reakció (beleértve az injekció beadási helyén jelentkező</w:t>
            </w:r>
          </w:p>
          <w:p w14:paraId="7D1BD350"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erythemát is)</w:t>
            </w:r>
          </w:p>
        </w:tc>
      </w:tr>
      <w:tr w:rsidR="00C770CB" w:rsidRPr="00BE4D18" w14:paraId="0257BA0E" w14:textId="77777777" w:rsidTr="007E7849">
        <w:tc>
          <w:tcPr>
            <w:tcW w:w="2599" w:type="dxa"/>
            <w:vMerge/>
            <w:tcBorders>
              <w:left w:val="single" w:sz="5" w:space="0" w:color="000000"/>
              <w:right w:val="single" w:sz="5" w:space="0" w:color="000000"/>
            </w:tcBorders>
          </w:tcPr>
          <w:p w14:paraId="5B2D83DA"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7C2831FC"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2D12910D"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Mellkasi fájdalom</w:t>
            </w:r>
          </w:p>
          <w:p w14:paraId="3C5366FB" w14:textId="77777777" w:rsidR="00C770CB" w:rsidRDefault="00C770CB" w:rsidP="007E7849">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oedema, </w:t>
            </w:r>
          </w:p>
          <w:p w14:paraId="66A27B0E"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láz</w:t>
            </w:r>
            <w:r>
              <w:rPr>
                <w:rFonts w:ascii="Times New Roman" w:eastAsia="Times New Roman" w:hAnsi="Times New Roman" w:cs="Times New Roman"/>
                <w:spacing w:val="-1"/>
                <w:vertAlign w:val="superscript"/>
                <w:lang w:val="hu-HU"/>
              </w:rPr>
              <w:t>1)</w:t>
            </w:r>
          </w:p>
        </w:tc>
      </w:tr>
      <w:tr w:rsidR="00C770CB" w14:paraId="11E7394E" w14:textId="77777777" w:rsidTr="007E7849">
        <w:tc>
          <w:tcPr>
            <w:tcW w:w="2599" w:type="dxa"/>
            <w:vMerge/>
            <w:tcBorders>
              <w:left w:val="single" w:sz="5" w:space="0" w:color="000000"/>
              <w:bottom w:val="single" w:sz="5" w:space="0" w:color="000000"/>
              <w:right w:val="single" w:sz="5" w:space="0" w:color="000000"/>
            </w:tcBorders>
          </w:tcPr>
          <w:p w14:paraId="7A896920" w14:textId="77777777" w:rsidR="00C770CB" w:rsidRDefault="00C770CB" w:rsidP="007E7849">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Pr>
          <w:p w14:paraId="0492D9C1"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Pr>
          <w:p w14:paraId="10B88587"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4"/>
                <w:lang w:val="hu-HU"/>
              </w:rPr>
              <w:t>Gyulladás</w:t>
            </w:r>
          </w:p>
        </w:tc>
      </w:tr>
      <w:tr w:rsidR="00C770CB" w:rsidRPr="00BE4D18" w14:paraId="69FB9FD1" w14:textId="77777777" w:rsidTr="007E7849">
        <w:tc>
          <w:tcPr>
            <w:tcW w:w="2599" w:type="dxa"/>
            <w:vMerge w:val="restart"/>
            <w:tcBorders>
              <w:top w:val="single" w:sz="5" w:space="0" w:color="000000"/>
              <w:left w:val="single" w:sz="5" w:space="0" w:color="000000"/>
              <w:right w:val="single" w:sz="5" w:space="0" w:color="000000"/>
            </w:tcBorders>
          </w:tcPr>
          <w:p w14:paraId="6E8E0DB8"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4"/>
                <w:lang w:val="hu-HU"/>
              </w:rPr>
              <w:t>Laboratóriumi és egyéb vizsgálatok eredményei*</w:t>
            </w:r>
          </w:p>
        </w:tc>
        <w:tc>
          <w:tcPr>
            <w:tcW w:w="2076" w:type="dxa"/>
            <w:tcBorders>
              <w:top w:val="single" w:sz="5" w:space="0" w:color="000000"/>
              <w:left w:val="single" w:sz="5" w:space="0" w:color="000000"/>
              <w:bottom w:val="single" w:sz="5" w:space="0" w:color="000000"/>
              <w:right w:val="single" w:sz="5" w:space="0" w:color="000000"/>
            </w:tcBorders>
          </w:tcPr>
          <w:p w14:paraId="5AB14860"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5E326084"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Véralvadási zavar vagy vérzékenység (beleértve az aktivált parciális thromboplastin-idő megnyúlását is),</w:t>
            </w:r>
          </w:p>
          <w:p w14:paraId="4DAD9965"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az autoantitest-vizsgálat pozitívvá válása (beleértve a kettős szálú DNS-ellenes antitestet is),</w:t>
            </w:r>
          </w:p>
          <w:p w14:paraId="17E291AF"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 vér laktát-dehidrogenáz-szintjének emelkedése</w:t>
            </w:r>
          </w:p>
        </w:tc>
      </w:tr>
      <w:tr w:rsidR="00C770CB" w:rsidRPr="00ED0DD9" w14:paraId="603ED577" w14:textId="77777777" w:rsidTr="007E7849">
        <w:tc>
          <w:tcPr>
            <w:tcW w:w="2599" w:type="dxa"/>
            <w:vMerge/>
            <w:tcBorders>
              <w:left w:val="single" w:sz="5" w:space="0" w:color="000000"/>
              <w:bottom w:val="single" w:sz="5" w:space="0" w:color="000000"/>
              <w:right w:val="single" w:sz="5" w:space="0" w:color="000000"/>
            </w:tcBorders>
          </w:tcPr>
          <w:p w14:paraId="752F0C6F" w14:textId="77777777" w:rsidR="00C770CB" w:rsidRDefault="00C770CB" w:rsidP="007E7849">
            <w:pPr>
              <w:pStyle w:val="TableParagraph"/>
              <w:ind w:left="102"/>
              <w:rPr>
                <w:rFonts w:ascii="Times New Roman" w:eastAsia="Times New Roman" w:hAnsi="Times New Roman" w:cs="Times New Roman"/>
                <w:spacing w:val="-4"/>
                <w:lang w:val="hu-HU"/>
              </w:rPr>
            </w:pPr>
          </w:p>
        </w:tc>
        <w:tc>
          <w:tcPr>
            <w:tcW w:w="2076" w:type="dxa"/>
            <w:tcBorders>
              <w:top w:val="single" w:sz="5" w:space="0" w:color="000000"/>
              <w:left w:val="single" w:sz="5" w:space="0" w:color="000000"/>
              <w:bottom w:val="single" w:sz="5" w:space="0" w:color="000000"/>
              <w:right w:val="single" w:sz="5" w:space="0" w:color="000000"/>
            </w:tcBorders>
          </w:tcPr>
          <w:p w14:paraId="28FCF3AA" w14:textId="77777777" w:rsidR="00C770CB" w:rsidRDefault="00C770CB" w:rsidP="007E7849">
            <w:pPr>
              <w:pStyle w:val="TableParagraph"/>
              <w:ind w:left="102"/>
              <w:rPr>
                <w:rFonts w:ascii="Times New Roman" w:eastAsia="Times New Roman" w:hAnsi="Times New Roman" w:cs="Times New Roman"/>
                <w:spacing w:val="-2"/>
                <w:lang w:val="hu-HU"/>
              </w:rPr>
            </w:pPr>
            <w:r w:rsidRPr="00ED0DD9">
              <w:rPr>
                <w:rFonts w:ascii="Times New Roman" w:eastAsia="Times New Roman" w:hAnsi="Times New Roman" w:cs="Times New Roman"/>
                <w:spacing w:val="-2"/>
                <w:lang w:val="hu-HU"/>
              </w:rPr>
              <w:t>Nem ismert</w:t>
            </w:r>
          </w:p>
        </w:tc>
        <w:tc>
          <w:tcPr>
            <w:tcW w:w="4574" w:type="dxa"/>
            <w:tcBorders>
              <w:top w:val="single" w:sz="5" w:space="0" w:color="000000"/>
              <w:left w:val="single" w:sz="5" w:space="0" w:color="000000"/>
              <w:bottom w:val="single" w:sz="5" w:space="0" w:color="000000"/>
              <w:right w:val="single" w:sz="5" w:space="0" w:color="000000"/>
            </w:tcBorders>
          </w:tcPr>
          <w:p w14:paraId="0B1C859F" w14:textId="77777777" w:rsidR="00C770CB" w:rsidRDefault="00C770CB" w:rsidP="007E7849">
            <w:pPr>
              <w:pStyle w:val="TableParagraph"/>
              <w:ind w:left="99"/>
              <w:rPr>
                <w:rFonts w:ascii="Times New Roman" w:eastAsia="Times New Roman" w:hAnsi="Times New Roman" w:cs="Times New Roman"/>
                <w:spacing w:val="-1"/>
                <w:lang w:val="hu-HU"/>
              </w:rPr>
            </w:pPr>
            <w:r w:rsidRPr="00ED0DD9">
              <w:rPr>
                <w:rFonts w:ascii="Times New Roman" w:eastAsia="Times New Roman" w:hAnsi="Times New Roman" w:cs="Times New Roman"/>
                <w:spacing w:val="-1"/>
                <w:lang w:val="hu-HU"/>
              </w:rPr>
              <w:t>Testtömeg növekedése</w:t>
            </w:r>
            <w:r w:rsidRPr="00526958">
              <w:rPr>
                <w:rFonts w:ascii="Times New Roman" w:eastAsia="Times New Roman" w:hAnsi="Times New Roman" w:cs="Times New Roman"/>
                <w:spacing w:val="-1"/>
                <w:vertAlign w:val="superscript"/>
                <w:lang w:val="hu-HU"/>
              </w:rPr>
              <w:t>2)</w:t>
            </w:r>
          </w:p>
        </w:tc>
      </w:tr>
      <w:tr w:rsidR="00C770CB" w:rsidRPr="00BE4D18" w14:paraId="658442D8" w14:textId="77777777" w:rsidTr="007E7849">
        <w:tc>
          <w:tcPr>
            <w:tcW w:w="2599" w:type="dxa"/>
            <w:tcBorders>
              <w:top w:val="single" w:sz="5" w:space="0" w:color="000000"/>
              <w:left w:val="single" w:sz="5" w:space="0" w:color="000000"/>
              <w:bottom w:val="single" w:sz="5" w:space="0" w:color="000000"/>
              <w:right w:val="single" w:sz="5" w:space="0" w:color="000000"/>
            </w:tcBorders>
          </w:tcPr>
          <w:p w14:paraId="6590129D"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Sérülés, mérgezés és a beavatkozással kapcsolatos szövődmények</w:t>
            </w:r>
          </w:p>
        </w:tc>
        <w:tc>
          <w:tcPr>
            <w:tcW w:w="2076" w:type="dxa"/>
            <w:tcBorders>
              <w:top w:val="single" w:sz="5" w:space="0" w:color="000000"/>
              <w:left w:val="single" w:sz="5" w:space="0" w:color="000000"/>
              <w:bottom w:val="single" w:sz="5" w:space="0" w:color="000000"/>
              <w:right w:val="single" w:sz="5" w:space="0" w:color="000000"/>
            </w:tcBorders>
          </w:tcPr>
          <w:p w14:paraId="63270FD0" w14:textId="77777777" w:rsidR="00C770CB" w:rsidRDefault="00C770CB" w:rsidP="007E7849">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Pr>
          <w:p w14:paraId="6C968549" w14:textId="77777777" w:rsidR="00C770CB" w:rsidRDefault="00C770CB" w:rsidP="007E7849">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2"/>
                <w:lang w:val="hu-HU"/>
              </w:rPr>
              <w:t>Sebgyógyulási zavar</w:t>
            </w:r>
          </w:p>
        </w:tc>
      </w:tr>
    </w:tbl>
    <w:p w14:paraId="1E054617" w14:textId="77777777" w:rsidR="00C770CB" w:rsidRDefault="00C770CB" w:rsidP="00C770CB">
      <w:pPr>
        <w:spacing w:before="1" w:line="150" w:lineRule="exact"/>
        <w:rPr>
          <w:sz w:val="15"/>
          <w:szCs w:val="15"/>
          <w:lang w:val="hu-HU"/>
        </w:rPr>
      </w:pPr>
    </w:p>
    <w:p w14:paraId="4B5EB03B" w14:textId="77777777" w:rsidR="00C770CB" w:rsidRDefault="00C770CB" w:rsidP="00C770CB">
      <w:pPr>
        <w:pStyle w:val="a3"/>
        <w:numPr>
          <w:ilvl w:val="0"/>
          <w:numId w:val="0"/>
        </w:numPr>
        <w:rPr>
          <w:lang w:val="hu-HU"/>
        </w:rPr>
      </w:pPr>
      <w:r>
        <w:rPr>
          <w:rFonts w:eastAsia="Times New Roman"/>
          <w:lang w:val="hu-HU"/>
        </w:rPr>
        <w:t>* a 4.3., 4.4. és 4.8. pontban további információ található</w:t>
      </w:r>
    </w:p>
    <w:p w14:paraId="0A9B930A" w14:textId="77777777" w:rsidR="00C770CB" w:rsidRDefault="00C770CB" w:rsidP="00C770CB">
      <w:pPr>
        <w:pStyle w:val="a3"/>
        <w:rPr>
          <w:lang w:val="hu-HU"/>
        </w:rPr>
      </w:pPr>
      <w:r>
        <w:rPr>
          <w:rFonts w:eastAsia="Times New Roman"/>
          <w:lang w:val="hu-HU"/>
        </w:rPr>
        <w:t>**  a nyílt, kiterjesztett vizsgálatokat is beleértve</w:t>
      </w:r>
    </w:p>
    <w:p w14:paraId="0D64A4AD" w14:textId="77777777" w:rsidR="00C770CB" w:rsidRDefault="00C770CB" w:rsidP="00C770CB">
      <w:pPr>
        <w:pStyle w:val="a3"/>
        <w:rPr>
          <w:rFonts w:eastAsia="Times New Roman"/>
          <w:position w:val="8"/>
          <w:lang w:val="hu-HU"/>
        </w:rPr>
      </w:pPr>
      <w:r w:rsidRPr="009167C6">
        <w:rPr>
          <w:rFonts w:eastAsia="Times New Roman"/>
          <w:position w:val="8"/>
          <w:vertAlign w:val="superscript"/>
          <w:lang w:val="hu-HU"/>
        </w:rPr>
        <w:t>1)</w:t>
      </w:r>
      <w:r w:rsidRPr="009167C6">
        <w:rPr>
          <w:rFonts w:eastAsia="Times New Roman"/>
          <w:position w:val="8"/>
          <w:lang w:val="hu-HU"/>
        </w:rPr>
        <w:t xml:space="preserve"> </w:t>
      </w:r>
      <w:r w:rsidRPr="00CF5D7A">
        <w:rPr>
          <w:rFonts w:eastAsia="Times New Roman"/>
          <w:position w:val="8"/>
          <w:lang w:val="hu-HU"/>
        </w:rPr>
        <w:t>a spontán jelentéseket is beleértve</w:t>
      </w:r>
    </w:p>
    <w:p w14:paraId="690E439B" w14:textId="77777777" w:rsidR="00C770CB" w:rsidRPr="00CF5D7A" w:rsidRDefault="00C770CB" w:rsidP="00C770CB">
      <w:pPr>
        <w:pStyle w:val="a3"/>
        <w:ind w:left="176" w:hangingChars="80" w:hanging="176"/>
        <w:rPr>
          <w:lang w:val="hu-HU"/>
        </w:rPr>
      </w:pPr>
      <w:r w:rsidRPr="00526958">
        <w:rPr>
          <w:vertAlign w:val="superscript"/>
          <w:lang w:val="hu-HU"/>
        </w:rPr>
        <w:t>2)</w:t>
      </w:r>
      <w:r w:rsidRPr="00ED0DD9">
        <w:rPr>
          <w:lang w:val="hu-HU"/>
        </w:rPr>
        <w:t xml:space="preserve"> 4–6 hónapos kezelési időszak alatt a kiindulási értékhez képest a testtömeg átlagos változása az adalimumab esetében +0,3 kg és +1,0 kg között volt a felnőtt indikációkban, míg a placebo esetében ugyanez –0,4 kg és +0,4 kg között volt. Vizsgálatok hosszú távú kiterjesztési szakaszában 5-6 kg-os </w:t>
      </w:r>
      <w:r w:rsidRPr="00ED0DD9">
        <w:rPr>
          <w:lang w:val="hu-HU"/>
        </w:rPr>
        <w:lastRenderedPageBreak/>
        <w:t>testtömegnövekedést is megfigyeltek átlagosan kb. 1-2 év expozíció során, kontrollcsoport nélkül, különösen a Crohn-betegségben és a colitis ulcerosában szenvedő betegek esetében. Ennek a hatásnak a mechanizmusa nem tisztázott, de összefügghet az adalimumab gyulladáscsökkentő hatásával.</w:t>
      </w:r>
    </w:p>
    <w:p w14:paraId="63448B71" w14:textId="77777777" w:rsidR="00C770CB" w:rsidRDefault="00C770CB" w:rsidP="00C770CB">
      <w:pPr>
        <w:spacing w:before="13" w:line="240" w:lineRule="exact"/>
        <w:rPr>
          <w:sz w:val="24"/>
          <w:szCs w:val="24"/>
          <w:lang w:val="hu-HU"/>
        </w:rPr>
      </w:pPr>
    </w:p>
    <w:p w14:paraId="57A64ABC" w14:textId="77777777" w:rsidR="00C770CB" w:rsidRDefault="00C770CB" w:rsidP="00C770CB">
      <w:pPr>
        <w:pStyle w:val="a3"/>
        <w:keepNext/>
        <w:rPr>
          <w:u w:val="single"/>
          <w:lang w:val="hu-HU"/>
        </w:rPr>
      </w:pPr>
      <w:r>
        <w:rPr>
          <w:rFonts w:eastAsia="Times New Roman"/>
          <w:u w:val="single" w:color="000000"/>
          <w:lang w:val="hu-HU"/>
        </w:rPr>
        <w:t>Hidradenitis suppurativa</w:t>
      </w:r>
    </w:p>
    <w:p w14:paraId="218E0296" w14:textId="77777777" w:rsidR="00C770CB" w:rsidRDefault="00C770CB" w:rsidP="00C770CB">
      <w:pPr>
        <w:keepNext/>
        <w:spacing w:before="1" w:line="180" w:lineRule="exact"/>
        <w:rPr>
          <w:sz w:val="18"/>
          <w:szCs w:val="18"/>
          <w:lang w:val="hu-HU"/>
        </w:rPr>
      </w:pPr>
    </w:p>
    <w:p w14:paraId="60060ABC" w14:textId="77777777" w:rsidR="00C770CB" w:rsidRDefault="00C770CB" w:rsidP="00C770CB">
      <w:pPr>
        <w:pStyle w:val="a3"/>
        <w:keepNext/>
        <w:rPr>
          <w:lang w:val="hu-HU"/>
        </w:rPr>
      </w:pPr>
      <w:r>
        <w:rPr>
          <w:rFonts w:eastAsia="Times New Roman"/>
          <w:lang w:val="hu-HU"/>
        </w:rPr>
        <w:t>A biztonságossági profil a hetente adalimumabbal kezelt, HS-ben szenvedő betegek esetén megegyezett az adalimumab ismert biztonságossági profiljával.</w:t>
      </w:r>
    </w:p>
    <w:p w14:paraId="62D6AAC2" w14:textId="77777777" w:rsidR="00C770CB" w:rsidRDefault="00C770CB" w:rsidP="00C770CB">
      <w:pPr>
        <w:spacing w:before="11" w:line="240" w:lineRule="exact"/>
        <w:rPr>
          <w:sz w:val="24"/>
          <w:szCs w:val="24"/>
          <w:lang w:val="hu-HU"/>
        </w:rPr>
      </w:pPr>
    </w:p>
    <w:p w14:paraId="6061B3DC" w14:textId="77777777" w:rsidR="00C770CB" w:rsidRDefault="00C770CB" w:rsidP="00C770CB">
      <w:pPr>
        <w:pStyle w:val="a3"/>
        <w:rPr>
          <w:u w:val="single"/>
          <w:lang w:val="hu-HU"/>
        </w:rPr>
      </w:pPr>
      <w:r>
        <w:rPr>
          <w:rFonts w:eastAsia="Times New Roman"/>
          <w:u w:val="single" w:color="000000"/>
          <w:lang w:val="hu-HU"/>
        </w:rPr>
        <w:t>Uveitis</w:t>
      </w:r>
    </w:p>
    <w:p w14:paraId="1F3DE188" w14:textId="77777777" w:rsidR="00C770CB" w:rsidRDefault="00C770CB" w:rsidP="00C770CB">
      <w:pPr>
        <w:spacing w:before="1" w:line="180" w:lineRule="exact"/>
        <w:rPr>
          <w:sz w:val="18"/>
          <w:szCs w:val="18"/>
          <w:lang w:val="hu-HU"/>
        </w:rPr>
      </w:pPr>
    </w:p>
    <w:p w14:paraId="2401D362" w14:textId="77777777" w:rsidR="00C770CB" w:rsidRDefault="00C770CB" w:rsidP="00C770CB">
      <w:pPr>
        <w:pStyle w:val="a3"/>
        <w:rPr>
          <w:lang w:val="hu-HU"/>
        </w:rPr>
      </w:pPr>
      <w:r>
        <w:rPr>
          <w:rFonts w:eastAsia="Times New Roman"/>
          <w:lang w:val="hu-HU"/>
        </w:rPr>
        <w:t>A biztonságossági profil a minden második héten adalimumabbal kezelt, uveitisben szenvedő betegek esetén megegyezett az adalimumab ismert biztonságossági profiljával.</w:t>
      </w:r>
    </w:p>
    <w:p w14:paraId="75171A2F" w14:textId="77777777" w:rsidR="00C770CB" w:rsidRDefault="00C770CB" w:rsidP="00C770CB">
      <w:pPr>
        <w:spacing w:before="11" w:line="240" w:lineRule="exact"/>
        <w:rPr>
          <w:sz w:val="24"/>
          <w:szCs w:val="24"/>
          <w:lang w:val="hu-HU"/>
        </w:rPr>
      </w:pPr>
    </w:p>
    <w:p w14:paraId="12547723" w14:textId="77777777" w:rsidR="00C770CB" w:rsidRPr="00CE42DC" w:rsidRDefault="00C770CB" w:rsidP="00C770CB">
      <w:pPr>
        <w:pStyle w:val="a3"/>
        <w:rPr>
          <w:u w:val="single"/>
          <w:lang w:val="hu-HU"/>
        </w:rPr>
      </w:pPr>
      <w:r w:rsidRPr="00CE42DC">
        <w:rPr>
          <w:rFonts w:eastAsia="Times New Roman"/>
          <w:u w:val="single" w:color="000000"/>
          <w:lang w:val="hu-HU"/>
        </w:rPr>
        <w:t>Kiválasztott mellékhatások leírása</w:t>
      </w:r>
    </w:p>
    <w:p w14:paraId="4D6B2925" w14:textId="77777777" w:rsidR="00C770CB" w:rsidRDefault="00C770CB" w:rsidP="00C770CB">
      <w:pPr>
        <w:pStyle w:val="a3"/>
        <w:rPr>
          <w:sz w:val="18"/>
          <w:szCs w:val="18"/>
          <w:lang w:val="hu-HU"/>
        </w:rPr>
      </w:pPr>
    </w:p>
    <w:p w14:paraId="23164975" w14:textId="77777777" w:rsidR="00C770CB" w:rsidRDefault="00C770CB" w:rsidP="00C770CB">
      <w:pPr>
        <w:pStyle w:val="a3"/>
        <w:rPr>
          <w:rFonts w:eastAsia="Times New Roman"/>
          <w:lang w:val="hu-HU"/>
        </w:rPr>
      </w:pPr>
      <w:r>
        <w:rPr>
          <w:rFonts w:eastAsia="Times New Roman"/>
          <w:i/>
          <w:iCs/>
          <w:spacing w:val="-1"/>
          <w:lang w:val="hu-HU"/>
        </w:rPr>
        <w:t>Az injekció helyén fellépő reakciók</w:t>
      </w:r>
    </w:p>
    <w:p w14:paraId="290CDF41" w14:textId="77777777" w:rsidR="00C770CB" w:rsidRDefault="00C770CB" w:rsidP="00C770CB">
      <w:pPr>
        <w:pStyle w:val="a3"/>
        <w:rPr>
          <w:sz w:val="24"/>
          <w:szCs w:val="24"/>
          <w:lang w:val="hu-HU"/>
        </w:rPr>
      </w:pPr>
    </w:p>
    <w:p w14:paraId="6DDD7A9B" w14:textId="77777777" w:rsidR="00C770CB" w:rsidRDefault="00C770CB" w:rsidP="00C770CB">
      <w:pPr>
        <w:pStyle w:val="a3"/>
        <w:rPr>
          <w:lang w:val="hu-HU"/>
        </w:rPr>
      </w:pPr>
      <w:r>
        <w:rPr>
          <w:rFonts w:eastAsia="Times New Roman"/>
          <w:lang w:val="hu-HU"/>
        </w:rPr>
        <w:t>A felnőttek és gyermekek bevonásával végzett pivotális, kontrollos vizsgálatokban, adalimumabbal kezelt betegek 12,9%-ánál alakult ki lokális reakció az injekció helyén (bőrpír és/vagy viszketés, vérzés, fájdalom vagy duzzadás), míg a placebo- vagy aktív kontroll-csoportban a betegek 7,2%-ánál. A helyi reakciók általában nem tették szükségessé a kezelés felfüggesztésétAz injekció helyén fellépő reakciók általában nem tették szükségessé a kezelés felfüggesztését.</w:t>
      </w:r>
    </w:p>
    <w:p w14:paraId="64B57CC6" w14:textId="77777777" w:rsidR="00C770CB" w:rsidRDefault="00C770CB" w:rsidP="00C770CB">
      <w:pPr>
        <w:pStyle w:val="a3"/>
        <w:rPr>
          <w:lang w:val="hu-HU"/>
        </w:rPr>
      </w:pPr>
    </w:p>
    <w:p w14:paraId="2180AA7F" w14:textId="77777777" w:rsidR="00C770CB" w:rsidRDefault="00C770CB" w:rsidP="00C770CB">
      <w:pPr>
        <w:pStyle w:val="a3"/>
        <w:rPr>
          <w:rFonts w:eastAsia="Times New Roman"/>
          <w:lang w:val="hu-HU"/>
        </w:rPr>
      </w:pPr>
      <w:r>
        <w:rPr>
          <w:rFonts w:eastAsia="Times New Roman"/>
          <w:i/>
          <w:iCs/>
          <w:spacing w:val="-1"/>
          <w:lang w:val="hu-HU"/>
        </w:rPr>
        <w:t>Fertőzések</w:t>
      </w:r>
    </w:p>
    <w:p w14:paraId="6019998F" w14:textId="77777777" w:rsidR="00C770CB" w:rsidRDefault="00C770CB" w:rsidP="00C770CB">
      <w:pPr>
        <w:pStyle w:val="a3"/>
        <w:rPr>
          <w:lang w:val="hu-HU"/>
        </w:rPr>
      </w:pPr>
    </w:p>
    <w:p w14:paraId="5124F178" w14:textId="77777777" w:rsidR="00C770CB" w:rsidRDefault="00C770CB" w:rsidP="00C770CB">
      <w:pPr>
        <w:pStyle w:val="a3"/>
        <w:rPr>
          <w:lang w:val="hu-HU"/>
        </w:rPr>
      </w:pPr>
      <w:r>
        <w:rPr>
          <w:rFonts w:eastAsia="Times New Roman"/>
          <w:lang w:val="hu-HU"/>
        </w:rPr>
        <w:t>A felnőttek és gyermekek bevonásával végzett pivotális, kontrollos vizsgálatokban a fertőzések arányszáma az adalimumabbal kezelt csoportban betegévenként 1,51 volt, míg betegévenként 1,46 volt a placebóval és az aktív kontroll-készítménnyel kezelt betegek csoportjában. A fertőzések döntő többsége nasopharyngitis, felső légúti fertőzés és sinusitis volt. Az adalimumab-kezelést a fertőzés megszűnését követően a betegek nagy részénél folytatni lehetett.</w:t>
      </w:r>
    </w:p>
    <w:p w14:paraId="11505F5D" w14:textId="77777777" w:rsidR="00C770CB" w:rsidRDefault="00C770CB" w:rsidP="00C770CB">
      <w:pPr>
        <w:pStyle w:val="a3"/>
        <w:rPr>
          <w:lang w:val="hu-HU"/>
        </w:rPr>
      </w:pPr>
    </w:p>
    <w:p w14:paraId="5367334C" w14:textId="77777777" w:rsidR="00C770CB" w:rsidRDefault="00C770CB" w:rsidP="00C770CB">
      <w:pPr>
        <w:pStyle w:val="a3"/>
        <w:rPr>
          <w:lang w:val="hu-HU"/>
        </w:rPr>
      </w:pPr>
      <w:r>
        <w:rPr>
          <w:rFonts w:eastAsia="Times New Roman"/>
          <w:lang w:val="hu-HU"/>
        </w:rPr>
        <w:t>A súlyos fertőzések incidenciája 0,04 volt betegévenként az adalimumabbal kezeltek csoportjában, míg 0,03 volt betegévenként a placebóval és az aktív kontrollal kezelt betegek csoportjában</w:t>
      </w:r>
    </w:p>
    <w:p w14:paraId="3927D382" w14:textId="77777777" w:rsidR="00C770CB" w:rsidRDefault="00C770CB" w:rsidP="00C770CB">
      <w:pPr>
        <w:pStyle w:val="a3"/>
        <w:rPr>
          <w:lang w:val="hu-HU"/>
        </w:rPr>
      </w:pPr>
    </w:p>
    <w:p w14:paraId="47EA0774" w14:textId="77777777" w:rsidR="00C770CB" w:rsidRDefault="00C770CB" w:rsidP="00C770CB">
      <w:pPr>
        <w:pStyle w:val="a3"/>
        <w:rPr>
          <w:lang w:val="hu-HU"/>
        </w:rPr>
      </w:pPr>
      <w:r>
        <w:rPr>
          <w:rFonts w:eastAsia="Times New Roman"/>
          <w:lang w:val="hu-HU"/>
        </w:rPr>
        <w:t>Az adalimumabbal végzett kontrollált és a nyílt vizsgálatokban súlyos fertőzésekről (beleértve halálos kimenetelű fertőzést, amely csak ritkán fordult elő) számoltak be többek között tuberkulózisról (miliaris és extrapulmonális előfordulással) és invazív opportunista fertőzésekről (például disszeminált vagy extrapulmonalis histoplasmosis, blastomycosis, coccidioidomycosis, pneumocystis, candidiasis, aspergillosis és listeriosis). A tuberkulózisos megbetegedések többsége a adalimumab – kezelés első 8 hónapjában következett be és korábbi betegség kiújulásaként manifesztálódhatott.</w:t>
      </w:r>
    </w:p>
    <w:p w14:paraId="782CD630" w14:textId="77777777" w:rsidR="00C770CB" w:rsidRDefault="00C770CB" w:rsidP="00C770CB">
      <w:pPr>
        <w:pStyle w:val="a3"/>
        <w:rPr>
          <w:lang w:val="hu-HU"/>
        </w:rPr>
      </w:pPr>
    </w:p>
    <w:p w14:paraId="6B21E29A" w14:textId="77777777" w:rsidR="00C770CB" w:rsidRDefault="00C770CB" w:rsidP="00C770CB">
      <w:pPr>
        <w:pStyle w:val="a3"/>
        <w:rPr>
          <w:rFonts w:eastAsia="Times New Roman"/>
          <w:lang w:val="hu-HU"/>
        </w:rPr>
      </w:pPr>
      <w:r>
        <w:rPr>
          <w:rFonts w:eastAsia="Times New Roman"/>
          <w:i/>
          <w:iCs/>
          <w:spacing w:val="-1"/>
          <w:lang w:val="hu-HU"/>
        </w:rPr>
        <w:t>Rosszindulatú és lymphoproliferatív betegségek</w:t>
      </w:r>
    </w:p>
    <w:p w14:paraId="0DFF0ED5" w14:textId="77777777" w:rsidR="00C770CB" w:rsidRDefault="00C770CB" w:rsidP="00C770CB">
      <w:pPr>
        <w:pStyle w:val="a3"/>
        <w:rPr>
          <w:lang w:val="hu-HU"/>
        </w:rPr>
      </w:pPr>
    </w:p>
    <w:p w14:paraId="0CE8AF9D" w14:textId="77777777" w:rsidR="00C770CB" w:rsidRDefault="00C770CB" w:rsidP="00C770CB">
      <w:pPr>
        <w:pStyle w:val="a3"/>
        <w:rPr>
          <w:lang w:val="hu-HU"/>
        </w:rPr>
      </w:pPr>
      <w:r>
        <w:rPr>
          <w:rFonts w:eastAsia="Times New Roman"/>
          <w:lang w:val="hu-HU"/>
        </w:rPr>
        <w:t>A juvenilis idiopathiás arthritisben (polyarticularis juvenilis idiopathiás arthritisben és enthesitis-asszociált arthritisben) szenvedő betegek körében adalimumabbal végzett vizsgálatokban 655,6 betegévnyi expozíciónak kitett, 249 pediátriai betegnél nem figyeltek meg malignitást. Ezen kívül Crohn-betegségben szenvedő betegek körében adalimumabbal végzett vizsgálatokban 498,1 betegévnyi expozíciónak kitett, 192 pediátriai betegnél nem figyeltek meg malignitást. Krónikus plakkos psoriasisban szenvedő gyermekeknél adalimumabbal végzett vizsgálatban 80 betegévnyi expozíciónak kitett, 77 pediátriai betegnél nem figyeltek meg malignitást.</w:t>
      </w:r>
      <w:r w:rsidRPr="004E2591">
        <w:rPr>
          <w:shd w:val="clear" w:color="auto" w:fill="FFFFFF"/>
          <w:lang w:val="hu-HU"/>
        </w:rPr>
        <w:t xml:space="preserve"> </w:t>
      </w:r>
      <w:r w:rsidRPr="004E2591">
        <w:rPr>
          <w:rStyle w:val="normaltextrun"/>
          <w:shd w:val="clear" w:color="auto" w:fill="FFFFFF"/>
          <w:lang w:val="hu-HU"/>
        </w:rPr>
        <w:t xml:space="preserve">Egy </w:t>
      </w:r>
      <w:r>
        <w:rPr>
          <w:rStyle w:val="normaltextrun"/>
          <w:shd w:val="clear" w:color="auto" w:fill="FFFFFF"/>
          <w:lang w:val="hu-HU"/>
        </w:rPr>
        <w:t>adalimumab</w:t>
      </w:r>
      <w:r w:rsidRPr="004E2591">
        <w:rPr>
          <w:rStyle w:val="normaltextrun"/>
          <w:shd w:val="clear" w:color="auto" w:fill="FFFFFF"/>
          <w:lang w:val="hu-HU"/>
        </w:rPr>
        <w:t xml:space="preserve">-vizsgálat során 65,3 betegévnyi expozíciónak kitett, colitis ulcerosában szenvedő 93 gyermek- és serdülőkorú betegnél nem figyeltek meg malignitást. </w:t>
      </w:r>
      <w:r>
        <w:rPr>
          <w:rFonts w:eastAsia="Times New Roman"/>
          <w:lang w:val="hu-HU"/>
        </w:rPr>
        <w:t>Uveitisben szenvedő gyermekeknél adalimumabbal végzett vizsgálatban 58,4 betegévnyi expozíciónak kitett, 60 pediátriai betegnél nem figyeltek meg malignitást.</w:t>
      </w:r>
    </w:p>
    <w:p w14:paraId="55A5D048" w14:textId="77777777" w:rsidR="00C770CB" w:rsidRDefault="00C770CB" w:rsidP="00C770CB">
      <w:pPr>
        <w:spacing w:before="13" w:line="240" w:lineRule="exact"/>
        <w:rPr>
          <w:sz w:val="24"/>
          <w:szCs w:val="24"/>
          <w:lang w:val="hu-HU"/>
        </w:rPr>
      </w:pPr>
    </w:p>
    <w:p w14:paraId="5534477A" w14:textId="77777777" w:rsidR="00C770CB" w:rsidRDefault="00C770CB" w:rsidP="00C770CB">
      <w:pPr>
        <w:pStyle w:val="a3"/>
        <w:rPr>
          <w:lang w:val="hu-HU"/>
        </w:rPr>
      </w:pPr>
      <w:r>
        <w:rPr>
          <w:rFonts w:eastAsia="Times New Roman"/>
          <w:lang w:val="hu-HU"/>
        </w:rPr>
        <w:lastRenderedPageBreak/>
        <w:t xml:space="preserve">Az adalimumab hatásait közepesen súlyos vagy súlyos aktivitású rheumatoid arthritisben, spondylitis ankylopoeticában, spondylitis ankylopoeticának megfelelő röntgeneltéréssel nem járó axiális spondyloarthritisben, arthritis psoriaticában, psoriasisban, hidradenitis suppurativában, Crohn-betegségben, colitis ulcerosában és uveitisben szenvedő betegeken értékelő legalább 12 hét időtartamú, felnőttek körében végzett pivotális vizsgálatok kontrollos szakaszaiban a következőképpen alakult a rosszindulatú daganatok gyakorisága (a lymphoma és a nem melanomás bőrrák kivételével): az 1000 betegévre számított gyakoriság (95%-os konfidencia intervallum) a 5291 adalimumabbal kezelt beteg esetében 6,8 (4,4; 10,5) </w:t>
      </w:r>
      <w:r>
        <w:rPr>
          <w:rFonts w:eastAsia="Times New Roman"/>
          <w:i/>
          <w:iCs/>
          <w:lang w:val="hu-HU"/>
        </w:rPr>
        <w:t xml:space="preserve">míg </w:t>
      </w:r>
      <w:r>
        <w:rPr>
          <w:rFonts w:eastAsia="Times New Roman"/>
          <w:lang w:val="hu-HU"/>
        </w:rPr>
        <w:t>az 3444 fős kontrollcsoportban 6,3 (3,4; 11,8) volt). (A kezelés medián időtartama az adalimumab-csoportban 4,0 hónap, a kontrollcsoportban 3,8 hónap volt.) A nem melanomás bőrrák 1000 betegévre számított gyakorisága (95%-os konfidencia intervallum) az adalimumabbal kezelt betegek esetében 8,8 (6,0; 13,0), míg a kontrollcsoportban 3,2 (1,3; 7,6) volt. E bőrrákok közül a laphám-carcinoma 1000 betegévre számított gyakorisága (95%-os konfidencia intervallum) az adalimumabbal kezelt betegeknél 2,7 (1,4; 5,4), a kontrollcsoportban 0,6 (0,1, 4,5) volt. A lymphomák 1000 betegévre számított gyakorisága (95%-os konfidencia intervallum) az adalimumabbal kezelt betegek esetében 0,7 (0,2; 2,7), míg a kontrollcsoportban 0,6 (0,1; 4,5) volt.</w:t>
      </w:r>
    </w:p>
    <w:p w14:paraId="51A6EDAF" w14:textId="77777777" w:rsidR="00C770CB" w:rsidRDefault="00C770CB" w:rsidP="00C770CB">
      <w:pPr>
        <w:spacing w:before="13" w:line="240" w:lineRule="exact"/>
        <w:rPr>
          <w:sz w:val="24"/>
          <w:szCs w:val="24"/>
          <w:lang w:val="hu-HU"/>
        </w:rPr>
      </w:pPr>
    </w:p>
    <w:p w14:paraId="0BF92EAA" w14:textId="77777777" w:rsidR="00C770CB" w:rsidRDefault="00C770CB" w:rsidP="00C770CB">
      <w:pPr>
        <w:pStyle w:val="a3"/>
        <w:rPr>
          <w:lang w:val="hu-HU"/>
        </w:rPr>
      </w:pPr>
      <w:r>
        <w:rPr>
          <w:rFonts w:eastAsia="Times New Roman"/>
          <w:lang w:val="hu-HU"/>
        </w:rPr>
        <w:t>E vizsgálatok kontrollos szakaszai és a folyamatban lévő, valamint befejezett nyílt kiterjesztéses vizsgálatok összevont értékelése során, melyben összesen 6427 beteget kb. 3,3 év medián időtartamig követtek (több mint 26 439 betegév), a rosszindulatú daganatok (a lymphoma és a nem melanomás bőrrák kivételével) 1000 betegévre számított gyakorisága 8,5 volt. A nem melanomás bőrrák 1000 betegévre vetített, megfigyelt aránya kb. 9,6, míg a lymphomáké kb. 1,3 volt.</w:t>
      </w:r>
    </w:p>
    <w:p w14:paraId="717FEC4C" w14:textId="77777777" w:rsidR="00C770CB" w:rsidRDefault="00C770CB" w:rsidP="00C770CB">
      <w:pPr>
        <w:spacing w:before="14" w:line="240" w:lineRule="exact"/>
        <w:rPr>
          <w:sz w:val="24"/>
          <w:szCs w:val="24"/>
          <w:lang w:val="hu-HU"/>
        </w:rPr>
      </w:pPr>
    </w:p>
    <w:p w14:paraId="7ED84D21" w14:textId="2934E17F" w:rsidR="00F16701" w:rsidRDefault="00F16701" w:rsidP="00F16701">
      <w:pPr>
        <w:pStyle w:val="a3"/>
        <w:rPr>
          <w:lang w:val="hu-HU"/>
        </w:rPr>
      </w:pPr>
      <w:r>
        <w:rPr>
          <w:rFonts w:eastAsia="Times New Roman"/>
          <w:lang w:val="hu-HU"/>
        </w:rPr>
        <w:t xml:space="preserve">Az adalimumab forgalomba hozatala után (2003. január és 2010. december között), javarészt rheumatoid arthritises betegeken szerzett tapasztalatok alapján, a </w:t>
      </w:r>
      <w:r w:rsidRPr="00632EF2">
        <w:rPr>
          <w:lang w:val="hu-HU"/>
        </w:rPr>
        <w:t xml:space="preserve">spontán jelentésekből származó, </w:t>
      </w:r>
      <w:r>
        <w:rPr>
          <w:rFonts w:eastAsia="Times New Roman"/>
          <w:lang w:val="hu-HU"/>
        </w:rPr>
        <w:t>rosszindulatú daganatok</w:t>
      </w:r>
      <w:r w:rsidRPr="00F16701">
        <w:rPr>
          <w:lang w:val="hu-HU"/>
        </w:rPr>
        <w:t>ra vonatkozó</w:t>
      </w:r>
      <w:r>
        <w:rPr>
          <w:rFonts w:eastAsia="Times New Roman"/>
          <w:lang w:val="hu-HU"/>
        </w:rPr>
        <w:t xml:space="preserve"> bejelent</w:t>
      </w:r>
      <w:r w:rsidRPr="00F16701">
        <w:rPr>
          <w:lang w:val="hu-HU"/>
        </w:rPr>
        <w:t>ések</w:t>
      </w:r>
      <w:r>
        <w:rPr>
          <w:rFonts w:eastAsia="Times New Roman"/>
          <w:lang w:val="hu-HU"/>
        </w:rPr>
        <w:t xml:space="preserve"> gyakorisága kb. 2,7/1000 beteg-kezelési év. A</w:t>
      </w:r>
      <w:r>
        <w:rPr>
          <w:rFonts w:hint="eastAsia"/>
          <w:lang w:val="hu-HU" w:eastAsia="ko-KR"/>
        </w:rPr>
        <w:t xml:space="preserve"> </w:t>
      </w:r>
      <w:r w:rsidRPr="00F16701">
        <w:rPr>
          <w:lang w:val="hu-HU"/>
        </w:rPr>
        <w:t>spontán jelentésekből származó,</w:t>
      </w:r>
      <w:r>
        <w:rPr>
          <w:rFonts w:eastAsia="Times New Roman"/>
          <w:lang w:val="hu-HU"/>
        </w:rPr>
        <w:t xml:space="preserve"> nem melanomás bőrrák</w:t>
      </w:r>
      <w:r>
        <w:rPr>
          <w:rFonts w:hint="eastAsia"/>
          <w:lang w:val="hu-HU" w:eastAsia="ko-KR"/>
        </w:rPr>
        <w:t>ra</w:t>
      </w:r>
      <w:r>
        <w:rPr>
          <w:rFonts w:eastAsia="Times New Roman"/>
          <w:lang w:val="hu-HU"/>
        </w:rPr>
        <w:t xml:space="preserve"> </w:t>
      </w:r>
      <w:r w:rsidRPr="00F16701">
        <w:rPr>
          <w:lang w:val="hu-HU"/>
        </w:rPr>
        <w:t xml:space="preserve">és lymphomákra vonatkozó bejelentések gyakorisága </w:t>
      </w:r>
      <w:r>
        <w:rPr>
          <w:rFonts w:eastAsia="Times New Roman"/>
          <w:lang w:val="hu-HU"/>
        </w:rPr>
        <w:t>1000 beteg-kezelési évre számít</w:t>
      </w:r>
      <w:r>
        <w:rPr>
          <w:rFonts w:hint="eastAsia"/>
          <w:lang w:val="hu-HU" w:eastAsia="ko-KR"/>
        </w:rPr>
        <w:t>va</w:t>
      </w:r>
      <w:r>
        <w:rPr>
          <w:rFonts w:eastAsia="Times New Roman"/>
          <w:lang w:val="hu-HU"/>
        </w:rPr>
        <w:t xml:space="preserve"> 0,2, </w:t>
      </w:r>
      <w:r>
        <w:rPr>
          <w:rFonts w:hint="eastAsia"/>
          <w:lang w:val="hu-HU" w:eastAsia="ko-KR"/>
        </w:rPr>
        <w:t xml:space="preserve">illetve </w:t>
      </w:r>
      <w:r>
        <w:rPr>
          <w:rFonts w:eastAsia="Times New Roman"/>
          <w:lang w:val="hu-HU"/>
        </w:rPr>
        <w:t>0,3 volt (lásd 4.4 pont).</w:t>
      </w:r>
    </w:p>
    <w:p w14:paraId="330D4FD4" w14:textId="77777777" w:rsidR="00C770CB" w:rsidRPr="00F16701" w:rsidRDefault="00C770CB" w:rsidP="00C770CB">
      <w:pPr>
        <w:spacing w:before="17" w:line="240" w:lineRule="exact"/>
        <w:rPr>
          <w:sz w:val="24"/>
          <w:szCs w:val="24"/>
          <w:lang w:val="hu-HU"/>
        </w:rPr>
      </w:pPr>
    </w:p>
    <w:p w14:paraId="20BC542E" w14:textId="77777777" w:rsidR="00C770CB" w:rsidRDefault="00C770CB" w:rsidP="00C770CB">
      <w:pPr>
        <w:pStyle w:val="a3"/>
        <w:rPr>
          <w:lang w:val="hu-HU"/>
        </w:rPr>
      </w:pPr>
      <w:r>
        <w:rPr>
          <w:rFonts w:eastAsia="Times New Roman"/>
          <w:lang w:val="hu-HU"/>
        </w:rPr>
        <w:t>Adalimumabbal kezelt betegeknél a forgalomba hozatalt követően ritkán hepatosplenikus T- sejtes lymphomát jelentettek (lásd 4. 4 pont).</w:t>
      </w:r>
    </w:p>
    <w:p w14:paraId="73F62C38" w14:textId="77777777" w:rsidR="00C770CB" w:rsidRDefault="00C770CB" w:rsidP="00C770CB">
      <w:pPr>
        <w:pStyle w:val="a3"/>
        <w:rPr>
          <w:sz w:val="24"/>
          <w:szCs w:val="24"/>
          <w:lang w:val="hu-HU"/>
        </w:rPr>
      </w:pPr>
    </w:p>
    <w:p w14:paraId="460B536F" w14:textId="77777777" w:rsidR="00C770CB" w:rsidRDefault="00C770CB" w:rsidP="00C770CB">
      <w:pPr>
        <w:pStyle w:val="a3"/>
        <w:rPr>
          <w:rFonts w:eastAsia="Times New Roman"/>
          <w:lang w:val="hu-HU"/>
        </w:rPr>
      </w:pPr>
      <w:r>
        <w:rPr>
          <w:rFonts w:eastAsia="Times New Roman"/>
          <w:i/>
          <w:iCs/>
          <w:spacing w:val="-1"/>
          <w:lang w:val="hu-HU"/>
        </w:rPr>
        <w:t>Autoantitestek</w:t>
      </w:r>
    </w:p>
    <w:p w14:paraId="3B8CA32A" w14:textId="77777777" w:rsidR="00C770CB" w:rsidRDefault="00C770CB" w:rsidP="00C770CB">
      <w:pPr>
        <w:pStyle w:val="a3"/>
        <w:rPr>
          <w:sz w:val="24"/>
          <w:szCs w:val="24"/>
          <w:lang w:val="hu-HU"/>
        </w:rPr>
      </w:pPr>
    </w:p>
    <w:p w14:paraId="1D5C53EF" w14:textId="77777777" w:rsidR="00C770CB" w:rsidRDefault="00C770CB" w:rsidP="00C770CB">
      <w:pPr>
        <w:pStyle w:val="a3"/>
        <w:rPr>
          <w:lang w:val="hu-HU"/>
        </w:rPr>
      </w:pPr>
      <w:r>
        <w:rPr>
          <w:rFonts w:eastAsia="Times New Roman"/>
          <w:lang w:val="hu-HU"/>
        </w:rPr>
        <w:t>A betegektől vett vérsavómintákban különböző időpontokban vizsgálták az autoantitesteket az I-V. rheumatoid arthritis (RA)-vizsgálatokban. Ezekben a vizsgálatokban, a negatív kiindulási antinukleáris antitest titerrel rendelkező betegek közül az adalimumabbal kezeltek 11,9%-ánál, míg a placebóval vagy aktív kontrollal kezelt betegek 8,1%-ánál fejlődött ki antinukleáris antitest titer pozitivitás a 24. hétre. Az összes rheumatoid arthritis és arthritis psoriatica vizsgálatban a 3441 adalimumabbal kezelt beteg közül kettőnél alakultak ki újonnan fellépő lupus-szerű szindróma klinikai jelei. A beteg állapota javult, amint a kezelést abbahagyták. Egy beteg esetében sem alakult ki lupus- nephritis vagy központi idegrendszeri tünet.</w:t>
      </w:r>
    </w:p>
    <w:p w14:paraId="7A0CAAD9" w14:textId="77777777" w:rsidR="00C770CB" w:rsidRDefault="00C770CB" w:rsidP="00C770CB">
      <w:pPr>
        <w:pStyle w:val="a3"/>
        <w:rPr>
          <w:sz w:val="24"/>
          <w:szCs w:val="24"/>
          <w:lang w:val="hu-HU"/>
        </w:rPr>
      </w:pPr>
    </w:p>
    <w:p w14:paraId="53033B6B" w14:textId="77777777" w:rsidR="00C770CB" w:rsidRDefault="00C770CB" w:rsidP="00C770CB">
      <w:pPr>
        <w:pStyle w:val="a3"/>
        <w:rPr>
          <w:rFonts w:eastAsia="Times New Roman"/>
          <w:lang w:val="hu-HU"/>
        </w:rPr>
      </w:pPr>
      <w:r>
        <w:rPr>
          <w:rFonts w:eastAsia="Times New Roman"/>
          <w:i/>
          <w:iCs/>
          <w:lang w:val="hu-HU"/>
        </w:rPr>
        <w:t>Hepatobiliáris események</w:t>
      </w:r>
    </w:p>
    <w:p w14:paraId="3E0B69FD" w14:textId="77777777" w:rsidR="00C770CB" w:rsidRDefault="00C770CB" w:rsidP="00C770CB">
      <w:pPr>
        <w:pStyle w:val="a3"/>
        <w:rPr>
          <w:sz w:val="24"/>
          <w:szCs w:val="24"/>
          <w:lang w:val="hu-HU"/>
        </w:rPr>
      </w:pPr>
    </w:p>
    <w:p w14:paraId="56EDDAE3" w14:textId="47644A9C" w:rsidR="00C770CB" w:rsidRDefault="00C770CB" w:rsidP="00C770CB">
      <w:pPr>
        <w:pStyle w:val="a3"/>
        <w:rPr>
          <w:lang w:val="hu-HU"/>
        </w:rPr>
      </w:pPr>
      <w:r>
        <w:rPr>
          <w:rFonts w:eastAsia="Times New Roman"/>
          <w:lang w:val="hu-HU"/>
        </w:rPr>
        <w:t>Rheumatoid arthritisben és arthritis psoriaticában szenvedő betegeknél végzett, III.</w:t>
      </w:r>
      <w:r w:rsidRPr="009167C6">
        <w:rPr>
          <w:lang w:val="hu-HU"/>
        </w:rPr>
        <w:t xml:space="preserve">  </w:t>
      </w:r>
      <w:r w:rsidDel="00961E14">
        <w:rPr>
          <w:rFonts w:eastAsia="Times New Roman"/>
          <w:lang w:val="hu-HU"/>
        </w:rPr>
        <w:t xml:space="preserve"> </w:t>
      </w:r>
      <w:r>
        <w:rPr>
          <w:rFonts w:eastAsia="Times New Roman"/>
          <w:lang w:val="hu-HU"/>
        </w:rPr>
        <w:t xml:space="preserve">fázisú klinikai vizsgálatokban a 4-104 hetes ellenőrzött periódusban a </w:t>
      </w:r>
      <w:r w:rsidRPr="009167C6">
        <w:rPr>
          <w:lang w:val="hu-HU"/>
        </w:rPr>
        <w:t>GPT (ALAT)</w:t>
      </w:r>
      <w:r>
        <w:rPr>
          <w:rFonts w:eastAsia="Times New Roman"/>
          <w:lang w:val="hu-HU"/>
        </w:rPr>
        <w:t xml:space="preserve">-szint a normálérték felső határának ≥ </w:t>
      </w:r>
      <w:r w:rsidR="00243F2F">
        <w:rPr>
          <w:rFonts w:eastAsia="Times New Roman"/>
          <w:lang w:val="hu-HU"/>
        </w:rPr>
        <w:t>három</w:t>
      </w:r>
      <w:r>
        <w:rPr>
          <w:rFonts w:eastAsia="Times New Roman"/>
          <w:lang w:val="hu-HU"/>
        </w:rPr>
        <w:t>szorosára történő emelkedése az adalimumabbal kezeltek 3,7%-ánál, míg a kontrollkezelést kapó betegek 1,6%-nál fordult elő.</w:t>
      </w:r>
    </w:p>
    <w:p w14:paraId="7DF31758" w14:textId="77777777" w:rsidR="00C770CB" w:rsidRDefault="00C770CB" w:rsidP="00C770CB">
      <w:pPr>
        <w:pStyle w:val="a3"/>
        <w:rPr>
          <w:sz w:val="24"/>
          <w:szCs w:val="24"/>
          <w:lang w:val="hu-HU"/>
        </w:rPr>
      </w:pPr>
    </w:p>
    <w:p w14:paraId="71D385D9" w14:textId="29E4C427" w:rsidR="00C770CB" w:rsidRDefault="00C770CB" w:rsidP="00C770CB">
      <w:pPr>
        <w:pStyle w:val="a3"/>
        <w:rPr>
          <w:lang w:val="hu-HU"/>
        </w:rPr>
      </w:pPr>
      <w:r>
        <w:rPr>
          <w:rFonts w:eastAsia="Times New Roman"/>
          <w:lang w:val="hu-HU"/>
        </w:rPr>
        <w:t>Polyarticularis juvenilis idiopathiás arthritisben szenvedő, 4-17 éves és enthesitis-asszociált arthritisben szenvedő 6-17 éves betegeknél adalimumabbal végzett kontrollos III.</w:t>
      </w:r>
      <w:r w:rsidRPr="009167C6">
        <w:rPr>
          <w:lang w:val="hu-HU"/>
        </w:rPr>
        <w:t xml:space="preserve">  </w:t>
      </w:r>
      <w:r w:rsidDel="00961E14">
        <w:rPr>
          <w:rFonts w:eastAsia="Times New Roman"/>
          <w:lang w:val="hu-HU"/>
        </w:rPr>
        <w:t xml:space="preserve"> </w:t>
      </w:r>
      <w:r>
        <w:rPr>
          <w:rFonts w:eastAsia="Times New Roman"/>
          <w:lang w:val="hu-HU"/>
        </w:rPr>
        <w:t xml:space="preserve">fázisú. vizsgálatok során az adalimumabbal kezelt betegek 6,1%-nál és a kontrollkezelésben részesülő betegek 1,3%-ánál a </w:t>
      </w:r>
      <w:r w:rsidR="0037671F" w:rsidRPr="00AA71AB">
        <w:rPr>
          <w:lang w:val="hu-HU"/>
        </w:rPr>
        <w:t>GPT (ALAT)</w:t>
      </w:r>
      <w:r>
        <w:rPr>
          <w:rFonts w:eastAsia="Times New Roman"/>
          <w:lang w:val="hu-HU"/>
        </w:rPr>
        <w:t>-szint a normálérték felső határának ≥</w:t>
      </w:r>
      <w:r w:rsidR="00243F2F">
        <w:rPr>
          <w:rFonts w:eastAsia="Times New Roman"/>
          <w:lang w:val="hu-HU"/>
        </w:rPr>
        <w:t>három</w:t>
      </w:r>
      <w:r>
        <w:rPr>
          <w:rFonts w:eastAsia="Times New Roman"/>
          <w:lang w:val="hu-HU"/>
        </w:rPr>
        <w:t xml:space="preserve">szorosára emelkedett. A legtöbb </w:t>
      </w:r>
      <w:r w:rsidRPr="00522548">
        <w:rPr>
          <w:lang w:val="hu-HU"/>
        </w:rPr>
        <w:t>GPT (ALAT)</w:t>
      </w:r>
      <w:r>
        <w:rPr>
          <w:rFonts w:eastAsia="Times New Roman"/>
          <w:lang w:val="hu-HU"/>
        </w:rPr>
        <w:t>-szint emelkedés együttadott metotrexát-kezelés mellett fordult elő. Polyarticularis juvenilis idiopathiás arthritisben szenvedő, 2 - &lt;4 éves betegeknél adalimumabbal végzett kontrollos III</w:t>
      </w:r>
      <w:r w:rsidRPr="009167C6">
        <w:rPr>
          <w:lang w:val="hu-HU"/>
        </w:rPr>
        <w:t> </w:t>
      </w:r>
      <w:r w:rsidDel="00961E14">
        <w:rPr>
          <w:rFonts w:eastAsia="Times New Roman"/>
          <w:lang w:val="hu-HU"/>
        </w:rPr>
        <w:t xml:space="preserve"> </w:t>
      </w:r>
      <w:r>
        <w:rPr>
          <w:rFonts w:eastAsia="Times New Roman"/>
          <w:lang w:val="hu-HU"/>
        </w:rPr>
        <w:t xml:space="preserve">fázisú vizsgálatok során </w:t>
      </w:r>
      <w:r>
        <w:rPr>
          <w:rFonts w:eastAsia="Times New Roman"/>
          <w:lang w:val="hu-HU"/>
        </w:rPr>
        <w:lastRenderedPageBreak/>
        <w:t xml:space="preserve">nem fordult elő, hogy a </w:t>
      </w:r>
      <w:r w:rsidR="0037671F" w:rsidRPr="00AA71AB">
        <w:rPr>
          <w:lang w:val="hu-HU"/>
        </w:rPr>
        <w:t>GPT (ALAT)</w:t>
      </w:r>
      <w:r>
        <w:rPr>
          <w:rFonts w:eastAsia="Times New Roman"/>
          <w:lang w:val="hu-HU"/>
        </w:rPr>
        <w:t xml:space="preserve"> a normálérték felső határának ≥</w:t>
      </w:r>
      <w:r w:rsidR="00243F2F">
        <w:rPr>
          <w:rFonts w:eastAsia="Times New Roman"/>
          <w:lang w:val="hu-HU"/>
        </w:rPr>
        <w:t>három</w:t>
      </w:r>
      <w:r>
        <w:rPr>
          <w:rFonts w:eastAsia="Times New Roman"/>
          <w:lang w:val="hu-HU"/>
        </w:rPr>
        <w:t>szorosára emelkedett.</w:t>
      </w:r>
    </w:p>
    <w:p w14:paraId="5AC2D1D6" w14:textId="77777777" w:rsidR="00C770CB" w:rsidRDefault="00C770CB" w:rsidP="00C770CB">
      <w:pPr>
        <w:pStyle w:val="a3"/>
        <w:rPr>
          <w:sz w:val="24"/>
          <w:szCs w:val="24"/>
          <w:lang w:val="hu-HU"/>
        </w:rPr>
      </w:pPr>
    </w:p>
    <w:p w14:paraId="7EF8F041" w14:textId="77777777" w:rsidR="00C770CB" w:rsidRDefault="00C770CB" w:rsidP="00C770CB">
      <w:pPr>
        <w:pStyle w:val="a3"/>
        <w:rPr>
          <w:lang w:val="hu-HU"/>
        </w:rPr>
      </w:pPr>
      <w:r>
        <w:rPr>
          <w:rFonts w:eastAsia="Times New Roman"/>
          <w:lang w:val="hu-HU"/>
        </w:rPr>
        <w:t>Crohn-betegségben és colitis ulcerosában szenvedő betegeknél adalimumabbal végzett, 4-52 hetes III.</w:t>
      </w:r>
      <w:r w:rsidRPr="009167C6">
        <w:rPr>
          <w:lang w:val="hu-HU"/>
        </w:rPr>
        <w:t xml:space="preserve">  </w:t>
      </w:r>
      <w:r w:rsidDel="00961E14">
        <w:rPr>
          <w:rFonts w:eastAsia="Times New Roman"/>
          <w:lang w:val="hu-HU"/>
        </w:rPr>
        <w:t xml:space="preserve"> </w:t>
      </w:r>
      <w:r>
        <w:rPr>
          <w:rFonts w:eastAsia="Times New Roman"/>
          <w:lang w:val="hu-HU"/>
        </w:rPr>
        <w:t>fázisú kontrollos vizsgálatokbanaz GPT(ALAT)-szint a normálérték felső határának 3-szorosára történő emelkedése az adalimumabbal kezelt betegek 0,9%-ánál, valamint a kontrollal kezelt betegek 0,9%-nál fordult elő.</w:t>
      </w:r>
    </w:p>
    <w:p w14:paraId="2F25F4EF" w14:textId="77777777" w:rsidR="00C770CB" w:rsidRDefault="00C770CB" w:rsidP="00C770CB">
      <w:pPr>
        <w:spacing w:before="11" w:line="240" w:lineRule="exact"/>
        <w:rPr>
          <w:sz w:val="24"/>
          <w:szCs w:val="24"/>
          <w:lang w:val="hu-HU"/>
        </w:rPr>
      </w:pPr>
    </w:p>
    <w:p w14:paraId="5E325076" w14:textId="4845E136" w:rsidR="00C770CB" w:rsidRDefault="00C770CB" w:rsidP="00C770CB">
      <w:pPr>
        <w:pStyle w:val="a3"/>
        <w:rPr>
          <w:lang w:val="hu-HU"/>
        </w:rPr>
      </w:pPr>
      <w:r>
        <w:rPr>
          <w:rFonts w:eastAsia="Times New Roman"/>
          <w:lang w:val="hu-HU"/>
        </w:rPr>
        <w:t>A gyermekkori Crohn-betegségben szenvedő betegeknél adalimumabbal végzett III.</w:t>
      </w:r>
      <w:r w:rsidRPr="009167C6">
        <w:rPr>
          <w:lang w:val="hu-HU"/>
        </w:rPr>
        <w:t xml:space="preserve">  </w:t>
      </w:r>
      <w:r w:rsidDel="00961E14">
        <w:rPr>
          <w:rFonts w:eastAsia="Times New Roman"/>
          <w:lang w:val="hu-HU"/>
        </w:rPr>
        <w:t xml:space="preserve"> </w:t>
      </w:r>
      <w:r>
        <w:rPr>
          <w:rFonts w:eastAsia="Times New Roman"/>
          <w:lang w:val="hu-HU"/>
        </w:rPr>
        <w:t xml:space="preserve">fázisú vizsgálatban két, testsúlyra korrigált fenntartó adagolási rend hatásosságát és biztonságosságát vizsgálták 52 kezelési hétig, testsúlyra korrigált indukciós kezelést követően. A vizsgálatok során a betegek 2,6%-ánál (5/192), akik közül 4 egyidejűleg immunszuppresszánst is kapott, a </w:t>
      </w:r>
      <w:r w:rsidRPr="009167C6">
        <w:rPr>
          <w:lang w:val="hu-HU"/>
        </w:rPr>
        <w:t>GPT (ALAT)</w:t>
      </w:r>
      <w:r>
        <w:rPr>
          <w:rFonts w:eastAsia="Times New Roman"/>
          <w:lang w:val="hu-HU"/>
        </w:rPr>
        <w:t>-szint a normálérték felső határának ≥</w:t>
      </w:r>
      <w:r w:rsidR="00243F2F">
        <w:rPr>
          <w:rFonts w:eastAsia="Times New Roman"/>
          <w:lang w:val="hu-HU"/>
        </w:rPr>
        <w:t>három</w:t>
      </w:r>
      <w:r>
        <w:rPr>
          <w:rFonts w:eastAsia="Times New Roman"/>
          <w:lang w:val="hu-HU"/>
        </w:rPr>
        <w:t>szorosára emelkedett</w:t>
      </w:r>
    </w:p>
    <w:p w14:paraId="4B459E53" w14:textId="77777777" w:rsidR="00C770CB" w:rsidRDefault="00C770CB" w:rsidP="00C770CB">
      <w:pPr>
        <w:spacing w:before="13" w:line="240" w:lineRule="exact"/>
        <w:rPr>
          <w:sz w:val="24"/>
          <w:szCs w:val="24"/>
          <w:lang w:val="hu-HU"/>
        </w:rPr>
      </w:pPr>
    </w:p>
    <w:p w14:paraId="48D7BFBA" w14:textId="3BDDB4AD" w:rsidR="00C770CB" w:rsidRDefault="00C770CB" w:rsidP="00C770CB">
      <w:pPr>
        <w:pStyle w:val="a3"/>
        <w:rPr>
          <w:lang w:val="hu-HU"/>
        </w:rPr>
      </w:pPr>
      <w:r>
        <w:rPr>
          <w:rFonts w:eastAsia="Times New Roman"/>
          <w:lang w:val="hu-HU"/>
        </w:rPr>
        <w:t>Plakkos psoriasisban szenvedő betegeknél adalimumabbal végzett, 12-24 hetes, III.</w:t>
      </w:r>
      <w:r w:rsidRPr="009167C6">
        <w:rPr>
          <w:lang w:val="hu-HU"/>
        </w:rPr>
        <w:t xml:space="preserve">  </w:t>
      </w:r>
      <w:r w:rsidDel="00961E14">
        <w:rPr>
          <w:rFonts w:eastAsia="Times New Roman"/>
          <w:lang w:val="hu-HU"/>
        </w:rPr>
        <w:t xml:space="preserve"> </w:t>
      </w:r>
      <w:r>
        <w:rPr>
          <w:rFonts w:eastAsia="Times New Roman"/>
          <w:lang w:val="hu-HU"/>
        </w:rPr>
        <w:t xml:space="preserve">fázisú vizsgálatokban a </w:t>
      </w:r>
      <w:r w:rsidRPr="009167C6">
        <w:rPr>
          <w:lang w:val="hu-HU"/>
        </w:rPr>
        <w:t>GPT (ALAT)</w:t>
      </w:r>
      <w:r>
        <w:rPr>
          <w:rFonts w:eastAsia="Times New Roman"/>
          <w:lang w:val="hu-HU"/>
        </w:rPr>
        <w:t>-szint a normálérték felső határának  ≥</w:t>
      </w:r>
      <w:r w:rsidR="00243F2F">
        <w:rPr>
          <w:rFonts w:eastAsia="Times New Roman"/>
          <w:lang w:val="hu-HU"/>
        </w:rPr>
        <w:t>három</w:t>
      </w:r>
      <w:r>
        <w:rPr>
          <w:rFonts w:eastAsia="Times New Roman"/>
          <w:lang w:val="hu-HU"/>
        </w:rPr>
        <w:t>szorosára történő emelkedése az dalimumabbal kezelt betegek 1,8%-ánál, a kontroll-kezelés mellett a betegek 1,8%-ánál fordult elő,</w:t>
      </w:r>
    </w:p>
    <w:p w14:paraId="17E319CA" w14:textId="77777777" w:rsidR="00C770CB" w:rsidRDefault="00C770CB" w:rsidP="00C770CB">
      <w:pPr>
        <w:spacing w:before="17" w:line="240" w:lineRule="exact"/>
        <w:rPr>
          <w:sz w:val="24"/>
          <w:szCs w:val="24"/>
          <w:lang w:val="hu-HU"/>
        </w:rPr>
      </w:pPr>
    </w:p>
    <w:p w14:paraId="7E611E57" w14:textId="43692571" w:rsidR="00C770CB" w:rsidRDefault="00C770CB" w:rsidP="00C770CB">
      <w:pPr>
        <w:pStyle w:val="a3"/>
        <w:rPr>
          <w:lang w:val="hu-HU"/>
        </w:rPr>
      </w:pPr>
      <w:r>
        <w:rPr>
          <w:rFonts w:eastAsia="Times New Roman"/>
          <w:lang w:val="hu-HU"/>
        </w:rPr>
        <w:t>Plakkos psoriasisban szenvedő pediátriai betegeknél adalimumabbal végzett III.</w:t>
      </w:r>
      <w:r w:rsidRPr="009167C6">
        <w:rPr>
          <w:lang w:val="hu-HU"/>
        </w:rPr>
        <w:t xml:space="preserve">  </w:t>
      </w:r>
      <w:r w:rsidDel="00961E14">
        <w:rPr>
          <w:rFonts w:eastAsia="Times New Roman"/>
          <w:lang w:val="hu-HU"/>
        </w:rPr>
        <w:t xml:space="preserve"> </w:t>
      </w:r>
      <w:r>
        <w:rPr>
          <w:rFonts w:eastAsia="Times New Roman"/>
          <w:lang w:val="hu-HU"/>
        </w:rPr>
        <w:t xml:space="preserve">fázisú vizsgálatok során nem fordult elő a </w:t>
      </w:r>
      <w:r w:rsidRPr="009167C6">
        <w:rPr>
          <w:lang w:val="hu-HU"/>
        </w:rPr>
        <w:t>GPT (ALAT)</w:t>
      </w:r>
      <w:r>
        <w:rPr>
          <w:rFonts w:eastAsia="Times New Roman"/>
          <w:lang w:val="hu-HU"/>
        </w:rPr>
        <w:t>-szintnek a normálérték felső határának  ≥</w:t>
      </w:r>
      <w:r w:rsidR="00243F2F">
        <w:rPr>
          <w:rFonts w:eastAsia="Times New Roman"/>
          <w:lang w:val="hu-HU"/>
        </w:rPr>
        <w:t>három</w:t>
      </w:r>
      <w:r>
        <w:rPr>
          <w:rFonts w:eastAsia="Times New Roman"/>
          <w:lang w:val="hu-HU"/>
        </w:rPr>
        <w:t>szorosára való emelkedése.</w:t>
      </w:r>
    </w:p>
    <w:p w14:paraId="6ED5E624" w14:textId="77777777" w:rsidR="00C770CB" w:rsidRDefault="00C770CB" w:rsidP="00C770CB">
      <w:pPr>
        <w:spacing w:before="11" w:line="240" w:lineRule="exact"/>
        <w:rPr>
          <w:sz w:val="24"/>
          <w:szCs w:val="24"/>
          <w:lang w:val="hu-HU"/>
        </w:rPr>
      </w:pPr>
    </w:p>
    <w:p w14:paraId="1EEADAB5" w14:textId="09FA0CB8" w:rsidR="00C770CB" w:rsidRDefault="00C770CB" w:rsidP="00C770CB">
      <w:pPr>
        <w:pStyle w:val="a3"/>
        <w:rPr>
          <w:lang w:val="hu-HU"/>
        </w:rPr>
      </w:pPr>
      <w:r>
        <w:rPr>
          <w:rFonts w:eastAsia="Times New Roman"/>
          <w:lang w:val="hu-HU"/>
        </w:rPr>
        <w:t xml:space="preserve">Hidradenitis suppurativában szenvedő betegeknél az adalimumabbal (kezdő dózis a 0. héten 160 mg és a 2. héten 80 mg, melyet a 4. héttől kezdve hetente 40 mg követ) végzett kontrollos vizsgálatokban, a 12-16 hetes kontrollperiódusban a </w:t>
      </w:r>
      <w:r w:rsidRPr="009167C6">
        <w:rPr>
          <w:lang w:val="hu-HU"/>
        </w:rPr>
        <w:t>GPT (ALAT)</w:t>
      </w:r>
      <w:r>
        <w:rPr>
          <w:rFonts w:eastAsia="Times New Roman"/>
          <w:lang w:val="hu-HU"/>
        </w:rPr>
        <w:t>-szint normálérték felső határának ≥</w:t>
      </w:r>
      <w:r w:rsidR="00243F2F">
        <w:rPr>
          <w:rFonts w:eastAsia="Times New Roman"/>
          <w:lang w:val="hu-HU"/>
        </w:rPr>
        <w:t>három</w:t>
      </w:r>
      <w:r>
        <w:rPr>
          <w:rFonts w:eastAsia="Times New Roman"/>
          <w:lang w:val="hu-HU"/>
        </w:rPr>
        <w:t>szorosára történő emelkedése az adalimumabbal kezelt betegek 0,3%-ánál, míg a kontrollal kezelt betegek 0,6%-ánál fordult elő.</w:t>
      </w:r>
    </w:p>
    <w:p w14:paraId="32D50D53" w14:textId="77777777" w:rsidR="00C770CB" w:rsidRDefault="00C770CB" w:rsidP="00C770CB">
      <w:pPr>
        <w:spacing w:before="17" w:line="240" w:lineRule="exact"/>
        <w:rPr>
          <w:sz w:val="24"/>
          <w:szCs w:val="24"/>
          <w:lang w:val="hu-HU"/>
        </w:rPr>
      </w:pPr>
    </w:p>
    <w:p w14:paraId="326CEC24" w14:textId="58C6A2D8" w:rsidR="00C770CB" w:rsidRDefault="00C770CB" w:rsidP="00C770CB">
      <w:pPr>
        <w:pStyle w:val="a3"/>
        <w:rPr>
          <w:lang w:val="hu-HU"/>
        </w:rPr>
      </w:pPr>
      <w:r>
        <w:rPr>
          <w:rFonts w:eastAsia="Times New Roman"/>
          <w:lang w:val="hu-HU"/>
        </w:rPr>
        <w:t xml:space="preserve">Uveitisben szenvedő felnőtt betegeknél az adalimumabbal (kezdő dózis a 0. héten 80 mg, melyet az 1. héttől kezdve minden második héten adott 40 mg követett) végzett, 80 hétig tartó kontrollos vizsgálatokban, az adalimumabbal kezelt betegeknél 166,5 nap, a kontrollcsoportnál 105 nap medián expozíciós idő esetén, a </w:t>
      </w:r>
      <w:r w:rsidRPr="009167C6">
        <w:rPr>
          <w:lang w:val="hu-HU"/>
        </w:rPr>
        <w:t>GPT (ALAT)</w:t>
      </w:r>
      <w:r>
        <w:rPr>
          <w:rFonts w:eastAsia="Times New Roman"/>
          <w:lang w:val="hu-HU"/>
        </w:rPr>
        <w:t>-szint normálérték felső határának ≥</w:t>
      </w:r>
      <w:r w:rsidR="00243F2F">
        <w:rPr>
          <w:rFonts w:eastAsia="Times New Roman"/>
          <w:lang w:val="hu-HU"/>
        </w:rPr>
        <w:t>három</w:t>
      </w:r>
      <w:r>
        <w:rPr>
          <w:rFonts w:eastAsia="Times New Roman"/>
          <w:lang w:val="hu-HU"/>
        </w:rPr>
        <w:t>szorosára való emelkedése az adalimumabbal kezelt betegek 2,4%-ánál, a kontrollkezelés mellett a betegek 2,4%-ánál fordult elő.</w:t>
      </w:r>
    </w:p>
    <w:p w14:paraId="17ABE364" w14:textId="77777777" w:rsidR="00C770CB" w:rsidRDefault="00C770CB" w:rsidP="00C770CB">
      <w:pPr>
        <w:spacing w:before="11" w:line="240" w:lineRule="exact"/>
        <w:rPr>
          <w:sz w:val="24"/>
          <w:szCs w:val="24"/>
          <w:lang w:val="hu-HU"/>
        </w:rPr>
      </w:pPr>
    </w:p>
    <w:p w14:paraId="383F43A7" w14:textId="62CD04E2" w:rsidR="00C770CB" w:rsidRPr="004E2591" w:rsidRDefault="00C770CB" w:rsidP="00C770CB">
      <w:pPr>
        <w:rPr>
          <w:rFonts w:ascii="Times New Roman" w:eastAsia="Times New Roman" w:hAnsi="Times New Roman" w:cs="Times New Roman"/>
          <w:lang w:val="hu-HU"/>
        </w:rPr>
      </w:pPr>
      <w:r w:rsidRPr="004E2591">
        <w:rPr>
          <w:rFonts w:ascii="Times New Roman" w:eastAsia="Times New Roman" w:hAnsi="Times New Roman" w:cs="Times New Roman"/>
          <w:lang w:val="hu-HU"/>
        </w:rPr>
        <w:t>Egy gyermek- és serdülőkori colitis ulcerosában szenvedő betegek körében (</w:t>
      </w:r>
      <w:r w:rsidR="000D3F0F">
        <w:rPr>
          <w:rFonts w:ascii="Times New Roman" w:eastAsia="Times New Roman" w:hAnsi="Times New Roman" w:cs="Times New Roman"/>
          <w:lang w:val="hu-HU"/>
        </w:rPr>
        <w:t>n</w:t>
      </w:r>
      <w:r w:rsidRPr="004E2591">
        <w:rPr>
          <w:rFonts w:ascii="Times New Roman" w:eastAsia="Times New Roman" w:hAnsi="Times New Roman" w:cs="Times New Roman"/>
          <w:lang w:val="hu-HU"/>
        </w:rPr>
        <w:t xml:space="preserve">=93) </w:t>
      </w:r>
      <w:r>
        <w:rPr>
          <w:rFonts w:ascii="Times New Roman" w:eastAsia="Times New Roman" w:hAnsi="Times New Roman" w:cs="Times New Roman"/>
          <w:lang w:val="hu-HU"/>
        </w:rPr>
        <w:t>adalimumab</w:t>
      </w:r>
      <w:r w:rsidRPr="004E2591">
        <w:rPr>
          <w:rFonts w:ascii="Times New Roman" w:eastAsia="Times New Roman" w:hAnsi="Times New Roman" w:cs="Times New Roman"/>
          <w:lang w:val="hu-HU"/>
        </w:rPr>
        <w:noBreakHyphen/>
        <w:t>val végzett, kontrollált III. fázisú vizsgálatban a következő adagolási sémák hatásosságát és biztonságosságát értékelték: a 0. és 1. héten a testtömeghez igazított 2,4 mg/ttkg (legfeljebb 160 mg), és a 2. héten 1,2 mg/ttkg (legfeljebb 80 mg) indukciós dózis (</w:t>
      </w:r>
      <w:r w:rsidR="000D3F0F">
        <w:rPr>
          <w:rFonts w:ascii="Times New Roman" w:eastAsia="Times New Roman" w:hAnsi="Times New Roman" w:cs="Times New Roman"/>
          <w:lang w:val="hu-HU"/>
        </w:rPr>
        <w:t>n</w:t>
      </w:r>
      <w:r w:rsidRPr="004E2591">
        <w:rPr>
          <w:rFonts w:ascii="Times New Roman" w:eastAsia="Times New Roman" w:hAnsi="Times New Roman" w:cs="Times New Roman"/>
          <w:lang w:val="hu-HU"/>
        </w:rPr>
        <w:t>=63), vagy a 0. héten 2,4 mg/ttkg (legfeljebb 160 mg), az 1. héten placebo, a 2. héten 1,2 mg/ttkg (legfeljebb 80 mg) indukciós dózis (</w:t>
      </w:r>
      <w:r w:rsidR="000D3F0F">
        <w:rPr>
          <w:rFonts w:ascii="Times New Roman" w:eastAsia="Times New Roman" w:hAnsi="Times New Roman" w:cs="Times New Roman"/>
          <w:lang w:val="hu-HU"/>
        </w:rPr>
        <w:t>n</w:t>
      </w:r>
      <w:r w:rsidRPr="004E2591">
        <w:rPr>
          <w:rFonts w:ascii="Times New Roman" w:eastAsia="Times New Roman" w:hAnsi="Times New Roman" w:cs="Times New Roman"/>
          <w:lang w:val="hu-HU"/>
        </w:rPr>
        <w:t>=30), amit minden második héten adott 0,6 mg/ttkg (legfeljebb 40 mg) fenntartó dózis (</w:t>
      </w:r>
      <w:r w:rsidR="000D3F0F">
        <w:rPr>
          <w:rFonts w:ascii="Times New Roman" w:eastAsia="Times New Roman" w:hAnsi="Times New Roman" w:cs="Times New Roman"/>
          <w:lang w:val="hu-HU"/>
        </w:rPr>
        <w:t>n</w:t>
      </w:r>
      <w:r w:rsidRPr="004E2591">
        <w:rPr>
          <w:rFonts w:ascii="Times New Roman" w:eastAsia="Times New Roman" w:hAnsi="Times New Roman" w:cs="Times New Roman"/>
          <w:lang w:val="hu-HU"/>
        </w:rPr>
        <w:t>=31), vagy hetente adott 0,6 mg/ttkg (legfeljebb 40 mg) fenntartó dózis (</w:t>
      </w:r>
      <w:r w:rsidR="000D3F0F">
        <w:rPr>
          <w:rFonts w:ascii="Times New Roman" w:eastAsia="Times New Roman" w:hAnsi="Times New Roman" w:cs="Times New Roman"/>
          <w:lang w:val="hu-HU"/>
        </w:rPr>
        <w:t>n</w:t>
      </w:r>
      <w:r w:rsidRPr="004E2591">
        <w:rPr>
          <w:rFonts w:ascii="Times New Roman" w:eastAsia="Times New Roman" w:hAnsi="Times New Roman" w:cs="Times New Roman"/>
          <w:lang w:val="hu-HU"/>
        </w:rPr>
        <w:t>=32) követ. A fenti dózisok mellett a betegek 1,1%</w:t>
      </w:r>
      <w:r w:rsidRPr="004E2591">
        <w:rPr>
          <w:rFonts w:ascii="Times New Roman" w:eastAsia="Times New Roman" w:hAnsi="Times New Roman" w:cs="Times New Roman"/>
          <w:lang w:val="hu-HU"/>
        </w:rPr>
        <w:noBreakHyphen/>
        <w:t xml:space="preserve">ánál (1/93) a </w:t>
      </w:r>
      <w:r w:rsidR="0037671F" w:rsidRPr="0037671F">
        <w:rPr>
          <w:rFonts w:ascii="Times New Roman" w:eastAsia="Times New Roman" w:hAnsi="Times New Roman" w:cs="Times New Roman"/>
          <w:lang w:val="hu-HU"/>
        </w:rPr>
        <w:t>GPT (ALAT)</w:t>
      </w:r>
      <w:r w:rsidRPr="004E2591">
        <w:rPr>
          <w:rFonts w:ascii="Times New Roman" w:eastAsia="Times New Roman" w:hAnsi="Times New Roman" w:cs="Times New Roman"/>
          <w:lang w:val="hu-HU"/>
        </w:rPr>
        <w:t xml:space="preserve"> a normálérték felső határának ≥ </w:t>
      </w:r>
      <w:r w:rsidR="000D3F0F">
        <w:rPr>
          <w:rFonts w:ascii="Times New Roman" w:eastAsia="Times New Roman" w:hAnsi="Times New Roman" w:cs="Times New Roman"/>
          <w:lang w:val="hu-HU"/>
        </w:rPr>
        <w:t>három</w:t>
      </w:r>
      <w:r w:rsidRPr="004E2591">
        <w:rPr>
          <w:rFonts w:ascii="Times New Roman" w:eastAsia="Times New Roman" w:hAnsi="Times New Roman" w:cs="Times New Roman"/>
          <w:lang w:val="hu-HU"/>
        </w:rPr>
        <w:t>szorosára emelkedett.</w:t>
      </w:r>
    </w:p>
    <w:p w14:paraId="6E132CB7" w14:textId="77777777" w:rsidR="00C770CB" w:rsidRPr="00522548" w:rsidRDefault="00C770CB" w:rsidP="00C770CB">
      <w:pPr>
        <w:pStyle w:val="a3"/>
        <w:rPr>
          <w:rFonts w:eastAsia="Times New Roman"/>
          <w:lang w:val="hu-HU"/>
        </w:rPr>
      </w:pPr>
    </w:p>
    <w:p w14:paraId="70A75A85" w14:textId="77777777" w:rsidR="00C770CB" w:rsidRDefault="00C770CB" w:rsidP="00C770CB">
      <w:pPr>
        <w:pStyle w:val="a3"/>
        <w:rPr>
          <w:lang w:val="hu-HU"/>
        </w:rPr>
      </w:pPr>
      <w:r>
        <w:rPr>
          <w:rFonts w:eastAsia="Times New Roman"/>
          <w:lang w:val="hu-HU"/>
        </w:rPr>
        <w:t xml:space="preserve">A klinikai vizsgálatokban a magasabb </w:t>
      </w:r>
      <w:r w:rsidRPr="009167C6">
        <w:rPr>
          <w:lang w:val="hu-HU"/>
        </w:rPr>
        <w:t>GPT (ALAT)</w:t>
      </w:r>
      <w:r>
        <w:rPr>
          <w:rFonts w:eastAsia="Times New Roman"/>
          <w:lang w:val="hu-HU"/>
        </w:rPr>
        <w:t>-szintű betegek tünetmentesek voltak valamennyi indikációban. Az esetek többségében az emelkedés átmeneti volt és a kezelés folytatása mellett megszűnt. A forgalomba hozatalt követően is beszámoltak májelégtelenségről és kevésbé súlyos olyan májbetegségekről is, amelyek megelőzhetik a májelégtelenséget, mint például a hepatitis, beleértve az autoimmun hepatitist az adalimumabbal kezelt betegeknél.</w:t>
      </w:r>
    </w:p>
    <w:p w14:paraId="5F488BD6" w14:textId="77777777" w:rsidR="00C770CB" w:rsidRDefault="00C770CB" w:rsidP="00C770CB">
      <w:pPr>
        <w:pStyle w:val="a3"/>
        <w:rPr>
          <w:u w:color="000000"/>
          <w:lang w:val="hu-HU"/>
        </w:rPr>
      </w:pPr>
    </w:p>
    <w:p w14:paraId="7D2983C1" w14:textId="77777777" w:rsidR="00C770CB" w:rsidRDefault="00C770CB" w:rsidP="00C770CB">
      <w:pPr>
        <w:pStyle w:val="a3"/>
        <w:rPr>
          <w:u w:val="single"/>
          <w:lang w:val="hu-HU"/>
        </w:rPr>
      </w:pPr>
      <w:r>
        <w:rPr>
          <w:rFonts w:eastAsia="Times New Roman"/>
          <w:u w:val="single" w:color="000000"/>
          <w:lang w:val="hu-HU"/>
        </w:rPr>
        <w:t xml:space="preserve">Egyidejű azatioprin/6-merkaptopurin kezelés </w:t>
      </w:r>
    </w:p>
    <w:p w14:paraId="3CB07C59" w14:textId="77777777" w:rsidR="00C770CB" w:rsidRDefault="00C770CB" w:rsidP="00C770CB">
      <w:pPr>
        <w:spacing w:before="1" w:line="180" w:lineRule="exact"/>
        <w:rPr>
          <w:sz w:val="18"/>
          <w:szCs w:val="18"/>
          <w:lang w:val="hu-HU"/>
        </w:rPr>
      </w:pPr>
    </w:p>
    <w:p w14:paraId="599F3846" w14:textId="77777777" w:rsidR="00C770CB" w:rsidRDefault="00C770CB" w:rsidP="00C770CB">
      <w:pPr>
        <w:pStyle w:val="a3"/>
        <w:rPr>
          <w:lang w:val="hu-HU"/>
        </w:rPr>
      </w:pPr>
      <w:r>
        <w:rPr>
          <w:rFonts w:eastAsia="Times New Roman"/>
          <w:lang w:val="hu-HU"/>
        </w:rPr>
        <w:t>Felnőttkori Crohn-betegségben végzett vizsgálatok során a rosszindulatú daganatokkal és súlyos fertőzésekkel kapcsolatos nemkívánatos események nagyobb gyakoriságát észlelték adalimumab és azatioprin/6-merkaptopurin kombinációs kezelés során, mint az önmagában adott adalimumab esetén.</w:t>
      </w:r>
    </w:p>
    <w:p w14:paraId="4C3EBC61" w14:textId="77777777" w:rsidR="00C770CB" w:rsidRDefault="00C770CB" w:rsidP="00C770CB">
      <w:pPr>
        <w:spacing w:before="13" w:line="240" w:lineRule="exact"/>
        <w:rPr>
          <w:sz w:val="24"/>
          <w:szCs w:val="24"/>
          <w:lang w:val="hu-HU"/>
        </w:rPr>
      </w:pPr>
    </w:p>
    <w:p w14:paraId="1DCDC51C" w14:textId="77777777" w:rsidR="00C770CB" w:rsidRDefault="00C770CB" w:rsidP="00C770CB">
      <w:pPr>
        <w:pStyle w:val="a3"/>
        <w:rPr>
          <w:u w:val="single"/>
          <w:lang w:val="hu-HU"/>
        </w:rPr>
      </w:pPr>
      <w:r>
        <w:rPr>
          <w:rFonts w:eastAsia="Times New Roman"/>
          <w:u w:val="single" w:color="000000"/>
          <w:lang w:val="hu-HU"/>
        </w:rPr>
        <w:t>Feltételezett mellékhatások bejelentése</w:t>
      </w:r>
    </w:p>
    <w:p w14:paraId="7A0F7DEA" w14:textId="77777777" w:rsidR="00C770CB" w:rsidRDefault="00C770CB" w:rsidP="00C770CB">
      <w:pPr>
        <w:spacing w:before="9" w:line="170" w:lineRule="exact"/>
        <w:rPr>
          <w:sz w:val="17"/>
          <w:szCs w:val="17"/>
          <w:lang w:val="hu-HU"/>
        </w:rPr>
      </w:pPr>
    </w:p>
    <w:p w14:paraId="3F5E636F" w14:textId="77777777" w:rsidR="00C770CB" w:rsidRDefault="00C770CB" w:rsidP="00C770CB">
      <w:pPr>
        <w:pStyle w:val="a3"/>
        <w:rPr>
          <w:lang w:val="hu-HU"/>
        </w:rPr>
      </w:pPr>
      <w:r>
        <w:rPr>
          <w:rFonts w:eastAsia="Times New Roman"/>
          <w:lang w:val="hu-HU"/>
        </w:rPr>
        <w:lastRenderedPageBreak/>
        <w:t xml:space="preserve">A gyógyszer engedélyezését követően lényeges a feltételezett mellékhatások bejelentése, mert ez fontos eszköze annak, hogy a gyógyszer előny/kockázat profilját folyamatosan figyelemmel lehessen kísérni. Az egészségügyi szakembereket kérjük, hogy jelentsék be a feltételezett mellékhatásokat a hatóság részére </w:t>
      </w:r>
      <w:r w:rsidRPr="000405CC">
        <w:rPr>
          <w:rFonts w:eastAsia="Times New Roman"/>
          <w:highlight w:val="lightGray"/>
          <w:lang w:val="hu-HU"/>
        </w:rPr>
        <w:t xml:space="preserve">az </w:t>
      </w:r>
      <w:hyperlink r:id="rId20" w:history="1">
        <w:r w:rsidRPr="000405CC">
          <w:rPr>
            <w:rFonts w:eastAsia="Times New Roman"/>
            <w:color w:val="0000FF"/>
            <w:highlight w:val="lightGray"/>
            <w:u w:val="single"/>
            <w:lang w:val="hu-HU"/>
          </w:rPr>
          <w:t>V. függelékben</w:t>
        </w:r>
        <w:r w:rsidRPr="000405CC">
          <w:rPr>
            <w:rFonts w:eastAsia="Times New Roman"/>
            <w:color w:val="000000"/>
            <w:highlight w:val="lightGray"/>
            <w:lang w:val="hu-HU"/>
          </w:rPr>
          <w:t xml:space="preserve"> található elérhetőségek valamelyikén keresztül.</w:t>
        </w:r>
      </w:hyperlink>
    </w:p>
    <w:p w14:paraId="231962AE" w14:textId="77777777" w:rsidR="00C770CB" w:rsidRDefault="00C770CB" w:rsidP="00C770CB">
      <w:pPr>
        <w:spacing w:before="6" w:line="180" w:lineRule="exact"/>
        <w:rPr>
          <w:sz w:val="18"/>
          <w:szCs w:val="18"/>
          <w:lang w:val="hu-HU"/>
        </w:rPr>
      </w:pPr>
    </w:p>
    <w:p w14:paraId="1FEB8062" w14:textId="77777777" w:rsidR="00C770CB" w:rsidRDefault="00C770CB" w:rsidP="00FD05AA">
      <w:pPr>
        <w:widowControl/>
        <w:numPr>
          <w:ilvl w:val="1"/>
          <w:numId w:val="53"/>
        </w:numPr>
        <w:tabs>
          <w:tab w:val="left" w:pos="567"/>
        </w:tabs>
        <w:spacing w:line="260" w:lineRule="exact"/>
        <w:ind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Túladagolás</w:t>
      </w:r>
    </w:p>
    <w:p w14:paraId="28A8FAE8" w14:textId="77777777" w:rsidR="00C770CB" w:rsidRDefault="00C770CB" w:rsidP="00C770CB">
      <w:pPr>
        <w:spacing w:before="12" w:line="240" w:lineRule="exact"/>
        <w:rPr>
          <w:sz w:val="24"/>
          <w:szCs w:val="24"/>
          <w:lang w:val="hu-HU"/>
        </w:rPr>
      </w:pPr>
    </w:p>
    <w:p w14:paraId="75AE5ECF" w14:textId="0D770383" w:rsidR="00C770CB" w:rsidRDefault="00C770CB" w:rsidP="00C770CB">
      <w:pPr>
        <w:pStyle w:val="a3"/>
        <w:rPr>
          <w:lang w:val="hu-HU"/>
        </w:rPr>
      </w:pPr>
      <w:r>
        <w:rPr>
          <w:rFonts w:eastAsia="Times New Roman"/>
          <w:lang w:val="hu-HU"/>
        </w:rPr>
        <w:t>A klinikai vizsgálatok során nem észlelték dóziskorlátozó toxicitás jeleit. A legmagasabb vizsgált dózis az intravénásan beadott 10 mg/ttkg-os dózis többszöröse volt, amely az ajánlott dózis kb. 15-szörösét teszi ki.</w:t>
      </w:r>
    </w:p>
    <w:p w14:paraId="4528EB8C" w14:textId="77777777" w:rsidR="00C770CB" w:rsidRDefault="00C770CB" w:rsidP="00C770CB">
      <w:pPr>
        <w:spacing w:line="200" w:lineRule="exact"/>
        <w:rPr>
          <w:sz w:val="20"/>
          <w:szCs w:val="20"/>
          <w:lang w:val="hu-HU"/>
        </w:rPr>
      </w:pPr>
    </w:p>
    <w:p w14:paraId="4DE1253D" w14:textId="77777777" w:rsidR="00C770CB" w:rsidRDefault="00C770CB" w:rsidP="00C770CB">
      <w:pPr>
        <w:widowControl/>
        <w:tabs>
          <w:tab w:val="left" w:pos="567"/>
        </w:tabs>
        <w:spacing w:line="260" w:lineRule="exact"/>
        <w:rPr>
          <w:rFonts w:ascii="Times New Roman" w:eastAsia="Times New Roman" w:hAnsi="Times New Roman" w:cs="Times New Roman"/>
          <w:b/>
          <w:noProof/>
          <w:lang w:val="hu-HU"/>
        </w:rPr>
      </w:pPr>
    </w:p>
    <w:p w14:paraId="515E64A9" w14:textId="77777777" w:rsidR="00C770CB" w:rsidRDefault="00C770CB" w:rsidP="00FD05AA">
      <w:pPr>
        <w:keepNext/>
        <w:numPr>
          <w:ilvl w:val="0"/>
          <w:numId w:val="52"/>
        </w:numPr>
        <w:tabs>
          <w:tab w:val="left" w:pos="567"/>
        </w:tabs>
        <w:spacing w:line="260" w:lineRule="exact"/>
        <w:ind w:left="0"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FARMAKOLÓGIAI TULAJDONSÁGOK</w:t>
      </w:r>
    </w:p>
    <w:p w14:paraId="2D487685" w14:textId="77777777" w:rsidR="00C770CB" w:rsidRDefault="00C770CB" w:rsidP="00C770CB">
      <w:pPr>
        <w:keepNext/>
        <w:spacing w:before="11" w:line="240" w:lineRule="exact"/>
        <w:rPr>
          <w:sz w:val="24"/>
          <w:szCs w:val="24"/>
          <w:lang w:val="hu-HU"/>
        </w:rPr>
      </w:pPr>
    </w:p>
    <w:p w14:paraId="4FF79EF6" w14:textId="77777777" w:rsidR="00C770CB" w:rsidRDefault="00C770CB" w:rsidP="00FD05AA">
      <w:pPr>
        <w:keepNext/>
        <w:numPr>
          <w:ilvl w:val="1"/>
          <w:numId w:val="54"/>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Farmakodinámiás tulajdonságok</w:t>
      </w:r>
    </w:p>
    <w:p w14:paraId="699A2A9E" w14:textId="77777777" w:rsidR="00C770CB" w:rsidRDefault="00C770CB" w:rsidP="00C770CB">
      <w:pPr>
        <w:spacing w:before="9" w:line="240" w:lineRule="exact"/>
        <w:rPr>
          <w:sz w:val="24"/>
          <w:szCs w:val="24"/>
          <w:lang w:val="hu-HU"/>
        </w:rPr>
      </w:pPr>
    </w:p>
    <w:p w14:paraId="5A61D4C6" w14:textId="77777777" w:rsidR="00C770CB" w:rsidRDefault="00C770CB" w:rsidP="00C770CB">
      <w:pPr>
        <w:pStyle w:val="a3"/>
        <w:rPr>
          <w:lang w:val="hu-HU"/>
        </w:rPr>
      </w:pPr>
      <w:r>
        <w:rPr>
          <w:rFonts w:eastAsia="Times New Roman"/>
          <w:lang w:val="hu-HU"/>
        </w:rPr>
        <w:t>Farmakoterápiás csoport:Immunszuppresszánsok, tumor nekrózis faktor alfa (TNF-α) gátlók. ATC-kód:L04AB04</w:t>
      </w:r>
    </w:p>
    <w:p w14:paraId="762CA6EA" w14:textId="77777777" w:rsidR="00C770CB" w:rsidRDefault="00C770CB" w:rsidP="00C770CB">
      <w:pPr>
        <w:pStyle w:val="a3"/>
        <w:rPr>
          <w:lang w:val="hu-HU"/>
        </w:rPr>
      </w:pPr>
    </w:p>
    <w:p w14:paraId="2A0C49EF" w14:textId="77777777" w:rsidR="00C770CB" w:rsidRDefault="00C770CB" w:rsidP="00C770CB">
      <w:pPr>
        <w:pStyle w:val="a3"/>
        <w:rPr>
          <w:lang w:val="hu-HU"/>
        </w:rPr>
      </w:pPr>
      <w:r>
        <w:rPr>
          <w:rFonts w:eastAsia="Times New Roman"/>
          <w:lang w:val="hu-HU"/>
        </w:rPr>
        <w:t xml:space="preserve">A Yuflyma egy biohasonló gyógyszerkészítmény. A gyógyszerről részletes információ az Európai Gyógyszerügynökség internetes honlapján </w:t>
      </w:r>
      <w:r>
        <w:fldChar w:fldCharType="begin"/>
      </w:r>
      <w:r w:rsidRPr="00BE4D18">
        <w:rPr>
          <w:lang w:val="hu-HU"/>
        </w:rPr>
        <w:instrText>HYPERLINK "http://www.ema.europa.eu"</w:instrText>
      </w:r>
      <w:r>
        <w:fldChar w:fldCharType="separate"/>
      </w:r>
      <w:r w:rsidRPr="009167C6">
        <w:rPr>
          <w:rStyle w:val="ad"/>
          <w:lang w:val="hu-HU"/>
        </w:rPr>
        <w:t>http://www.ema.europa.eu</w:t>
      </w:r>
      <w:r>
        <w:fldChar w:fldCharType="end"/>
      </w:r>
      <w:r w:rsidRPr="009167C6">
        <w:rPr>
          <w:color w:val="0000FF"/>
          <w:u w:val="single"/>
          <w:lang w:val="hu-HU"/>
        </w:rPr>
        <w:t xml:space="preserve">. </w:t>
      </w:r>
      <w:r>
        <w:rPr>
          <w:rFonts w:eastAsia="Times New Roman"/>
          <w:lang w:val="hu-HU"/>
        </w:rPr>
        <w:t>található.</w:t>
      </w:r>
    </w:p>
    <w:p w14:paraId="347D1118" w14:textId="77777777" w:rsidR="00C770CB" w:rsidRDefault="00C770CB" w:rsidP="00C770CB">
      <w:pPr>
        <w:spacing w:before="10" w:line="240" w:lineRule="exact"/>
        <w:rPr>
          <w:sz w:val="24"/>
          <w:szCs w:val="24"/>
          <w:lang w:val="hu-HU"/>
        </w:rPr>
      </w:pPr>
    </w:p>
    <w:p w14:paraId="3D059332" w14:textId="77777777" w:rsidR="00C770CB" w:rsidRDefault="00C770CB" w:rsidP="00C770CB">
      <w:pPr>
        <w:pStyle w:val="a3"/>
        <w:rPr>
          <w:u w:val="single"/>
          <w:lang w:val="hu-HU"/>
        </w:rPr>
      </w:pPr>
      <w:r>
        <w:rPr>
          <w:rFonts w:eastAsia="Times New Roman"/>
          <w:u w:val="single" w:color="000000"/>
          <w:lang w:val="hu-HU"/>
        </w:rPr>
        <w:t>Hatásmechanizmus</w:t>
      </w:r>
    </w:p>
    <w:p w14:paraId="19ECB7F6" w14:textId="77777777" w:rsidR="00C770CB" w:rsidRDefault="00C770CB" w:rsidP="00C770CB">
      <w:pPr>
        <w:spacing w:before="1" w:line="180" w:lineRule="exact"/>
        <w:rPr>
          <w:sz w:val="18"/>
          <w:szCs w:val="18"/>
          <w:lang w:val="hu-HU"/>
        </w:rPr>
      </w:pPr>
    </w:p>
    <w:p w14:paraId="295A2732" w14:textId="77777777" w:rsidR="00C770CB" w:rsidRDefault="00C770CB" w:rsidP="00C770CB">
      <w:pPr>
        <w:pStyle w:val="a3"/>
        <w:rPr>
          <w:lang w:val="hu-HU"/>
        </w:rPr>
      </w:pPr>
      <w:r>
        <w:rPr>
          <w:rFonts w:eastAsia="Times New Roman"/>
          <w:lang w:val="hu-HU"/>
        </w:rPr>
        <w:t>Az adalimumab specifikusan kötődik a TNF- hez és semlegesíti a TNF biológiai hatását, megakadályozva a TNF interakcióját a p55 és p75 sejtfelszíni TNF receptorokkal.</w:t>
      </w:r>
    </w:p>
    <w:p w14:paraId="029E5FF1" w14:textId="77777777" w:rsidR="00C770CB" w:rsidRDefault="00C770CB" w:rsidP="00C770CB">
      <w:pPr>
        <w:spacing w:before="10" w:line="240" w:lineRule="exact"/>
        <w:rPr>
          <w:sz w:val="24"/>
          <w:szCs w:val="24"/>
          <w:lang w:val="hu-HU"/>
        </w:rPr>
      </w:pPr>
    </w:p>
    <w:p w14:paraId="10D34B90" w14:textId="77777777" w:rsidR="00C770CB" w:rsidRDefault="00C770CB" w:rsidP="00C770CB">
      <w:pPr>
        <w:pStyle w:val="a3"/>
        <w:rPr>
          <w:lang w:val="hu-HU"/>
        </w:rPr>
      </w:pPr>
      <w:r>
        <w:rPr>
          <w:rFonts w:eastAsia="Times New Roman"/>
          <w:lang w:val="hu-HU"/>
        </w:rPr>
        <w:t>Továbbá az adalimumab módosítja a biológiai válaszokat, melyeket a TNF indukál, illetve szabályoz, beleértve a leukocyták vándorlásáért felelős adhéziós molekulák szintjeinek változtatását (ELAM- 1, VCAM- 1 és ICAM- 1, melyek IC</w:t>
      </w:r>
      <w:r>
        <w:rPr>
          <w:rFonts w:eastAsia="Times New Roman"/>
          <w:sz w:val="14"/>
          <w:szCs w:val="14"/>
          <w:lang w:val="hu-HU"/>
        </w:rPr>
        <w:t>50</w:t>
      </w:r>
      <w:r>
        <w:rPr>
          <w:rFonts w:eastAsia="Times New Roman"/>
          <w:lang w:val="hu-HU"/>
        </w:rPr>
        <w:t xml:space="preserve"> értékei 0, 1 - 0, 2 nM).</w:t>
      </w:r>
    </w:p>
    <w:p w14:paraId="150690D5" w14:textId="77777777" w:rsidR="00C770CB" w:rsidRDefault="00C770CB" w:rsidP="00C770CB">
      <w:pPr>
        <w:spacing w:before="12" w:line="240" w:lineRule="exact"/>
        <w:rPr>
          <w:sz w:val="24"/>
          <w:szCs w:val="24"/>
          <w:lang w:val="hu-HU"/>
        </w:rPr>
      </w:pPr>
    </w:p>
    <w:p w14:paraId="37EF0ABB" w14:textId="77777777" w:rsidR="00C770CB" w:rsidRDefault="00C770CB" w:rsidP="00C770CB">
      <w:pPr>
        <w:pStyle w:val="a3"/>
        <w:rPr>
          <w:u w:val="single"/>
          <w:lang w:val="hu-HU"/>
        </w:rPr>
      </w:pPr>
      <w:r>
        <w:rPr>
          <w:rFonts w:eastAsia="Times New Roman"/>
          <w:u w:val="single" w:color="000000"/>
          <w:lang w:val="hu-HU"/>
        </w:rPr>
        <w:t>Farmakodinámiás hatások</w:t>
      </w:r>
    </w:p>
    <w:p w14:paraId="687B691E" w14:textId="77777777" w:rsidR="00C770CB" w:rsidRDefault="00C770CB" w:rsidP="00C770CB">
      <w:pPr>
        <w:spacing w:before="1" w:line="180" w:lineRule="exact"/>
        <w:rPr>
          <w:sz w:val="18"/>
          <w:szCs w:val="18"/>
          <w:lang w:val="hu-HU"/>
        </w:rPr>
      </w:pPr>
    </w:p>
    <w:p w14:paraId="617CA526" w14:textId="77777777" w:rsidR="00C770CB" w:rsidRDefault="00C770CB" w:rsidP="00C770CB">
      <w:pPr>
        <w:pStyle w:val="a3"/>
        <w:rPr>
          <w:lang w:val="hu-HU"/>
        </w:rPr>
      </w:pPr>
      <w:r>
        <w:rPr>
          <w:rFonts w:eastAsia="Times New Roman"/>
          <w:lang w:val="hu-HU"/>
        </w:rPr>
        <w:t xml:space="preserve">A rheumatoid arthritisben szenvedő betegek adalimumabbal való kezelését követően gyors csökkenés tapasztalható az akutfázis-fehérjék </w:t>
      </w:r>
    </w:p>
    <w:p w14:paraId="05D8894F" w14:textId="77777777" w:rsidR="00C770CB" w:rsidRDefault="00C770CB" w:rsidP="00C770CB">
      <w:pPr>
        <w:pStyle w:val="a3"/>
        <w:rPr>
          <w:lang w:val="hu-HU"/>
        </w:rPr>
      </w:pPr>
      <w:r>
        <w:rPr>
          <w:rFonts w:eastAsia="Times New Roman"/>
          <w:lang w:val="hu-HU"/>
        </w:rPr>
        <w:t>(C-reaktív protein - CRP), a süllyedés (ESR), illetve a citokinek (IL-6) szintjeiben, összehasonlítva a kezelés előtti kiindulási értékekkel. A porcszövet pusztulását eredményező szöveti remodelingért felelős matrix metalloproteinázok (MMP- 1 és MMP- 3) szérum szintjeiben is csökkenés tapasztalható az adalimumab alkalmazása után. Az adalimumabbal kezelt betegeknél rendszerint a krónikus gyulladás hematológiai leleteiben is javulás tapasztalható.</w:t>
      </w:r>
    </w:p>
    <w:p w14:paraId="5F1861C1" w14:textId="77777777" w:rsidR="00C770CB" w:rsidRDefault="00C770CB" w:rsidP="00C770CB">
      <w:pPr>
        <w:spacing w:before="10" w:line="240" w:lineRule="exact"/>
        <w:rPr>
          <w:sz w:val="24"/>
          <w:szCs w:val="24"/>
          <w:lang w:val="hu-HU"/>
        </w:rPr>
      </w:pPr>
    </w:p>
    <w:p w14:paraId="456B22F2" w14:textId="77777777" w:rsidR="00C770CB" w:rsidRDefault="00C770CB" w:rsidP="00C770CB">
      <w:pPr>
        <w:pStyle w:val="a3"/>
        <w:rPr>
          <w:lang w:val="hu-HU"/>
        </w:rPr>
      </w:pPr>
      <w:r>
        <w:rPr>
          <w:rFonts w:eastAsia="Times New Roman"/>
          <w:lang w:val="hu-HU"/>
        </w:rPr>
        <w:t>Polyarticularis juvenilis idiopathiás arthritisben, Crohn-betegségben, colitis ulcerosában és hidradenitis suppurativában is a CRP-szint gyors csökkenését figyelték meg az adalimumab-kezelést követően. Crohn-betegségben szenvedő betegeknél a gyulladásos markereket expresszáló sejtek számának csökkenését figyelték meg a vastagbélben, beleértve a TNFα csökkent expresszióját is. A bélnyálkahártya endoszkópos vizsgálatai az adalimumabbal kezelt betegeknél a nyálkahártya gyógyulására utaló bizonyítékot mutattak.</w:t>
      </w:r>
    </w:p>
    <w:p w14:paraId="3A288517" w14:textId="77777777" w:rsidR="00C770CB" w:rsidRDefault="00C770CB" w:rsidP="00C770CB">
      <w:pPr>
        <w:pStyle w:val="a3"/>
        <w:rPr>
          <w:u w:val="single" w:color="000000"/>
          <w:lang w:val="hu-HU"/>
        </w:rPr>
      </w:pPr>
    </w:p>
    <w:p w14:paraId="3F86A1C4" w14:textId="77777777" w:rsidR="00C770CB" w:rsidRDefault="00C770CB" w:rsidP="00C770CB">
      <w:pPr>
        <w:pStyle w:val="a3"/>
        <w:rPr>
          <w:u w:val="single"/>
          <w:lang w:val="hu-HU"/>
        </w:rPr>
      </w:pPr>
      <w:r>
        <w:rPr>
          <w:rFonts w:eastAsia="Times New Roman"/>
          <w:u w:val="single" w:color="000000"/>
          <w:lang w:val="hu-HU"/>
        </w:rPr>
        <w:t>Klinikai hatásosság és biztonságosság</w:t>
      </w:r>
    </w:p>
    <w:p w14:paraId="2AF8B0F3" w14:textId="77777777" w:rsidR="00C770CB" w:rsidRDefault="00C770CB" w:rsidP="00C770CB">
      <w:pPr>
        <w:spacing w:line="180" w:lineRule="exact"/>
        <w:rPr>
          <w:sz w:val="18"/>
          <w:szCs w:val="18"/>
          <w:lang w:val="hu-HU"/>
        </w:rPr>
      </w:pPr>
    </w:p>
    <w:p w14:paraId="21A91E77" w14:textId="77777777" w:rsidR="00C770CB" w:rsidRDefault="00C770CB" w:rsidP="00C770CB">
      <w:pPr>
        <w:pStyle w:val="a3"/>
        <w:rPr>
          <w:i/>
          <w:iCs/>
          <w:lang w:val="hu-HU"/>
        </w:rPr>
      </w:pPr>
      <w:r>
        <w:rPr>
          <w:rFonts w:eastAsia="Times New Roman"/>
          <w:i/>
          <w:iCs/>
          <w:lang w:val="hu-HU"/>
        </w:rPr>
        <w:t>Rheumatoid arthritis</w:t>
      </w:r>
    </w:p>
    <w:p w14:paraId="700279F1" w14:textId="77777777" w:rsidR="00C770CB" w:rsidRDefault="00C770CB" w:rsidP="00C770CB">
      <w:pPr>
        <w:pStyle w:val="a3"/>
        <w:rPr>
          <w:sz w:val="24"/>
          <w:szCs w:val="24"/>
          <w:lang w:val="hu-HU"/>
        </w:rPr>
      </w:pPr>
    </w:p>
    <w:p w14:paraId="2A0D1407" w14:textId="6CBB84E6" w:rsidR="00C770CB" w:rsidRDefault="00C770CB" w:rsidP="00C770CB">
      <w:pPr>
        <w:pStyle w:val="a3"/>
        <w:rPr>
          <w:lang w:val="hu-HU"/>
        </w:rPr>
      </w:pPr>
      <w:r>
        <w:rPr>
          <w:rFonts w:eastAsia="Times New Roman"/>
          <w:lang w:val="hu-HU"/>
        </w:rPr>
        <w:t>Az adalimumabot több mint 3000 betegen vizsgálták az összes rheumatoid arthritises klinikai vizsgálat során. Az adalimumab hatásosságát és biztonságosságát öt randomizált, kettős vak és megfelelő kontrollt alkalmazó vizsgálat során vizsgálták. Néhány beteg akár 120 hónapig tartó kezelést kapott. Az injekció beadásának helyén tapasztalt fájdalmat két randomizált, aktív kontrollos, egyszeresen vak, két periódusú, keresztezett klinikai vizsgálatban értékelték.</w:t>
      </w:r>
    </w:p>
    <w:p w14:paraId="52C62596" w14:textId="77777777" w:rsidR="00C770CB" w:rsidRDefault="00C770CB" w:rsidP="00C770CB">
      <w:pPr>
        <w:spacing w:before="13" w:line="240" w:lineRule="exact"/>
        <w:rPr>
          <w:sz w:val="24"/>
          <w:szCs w:val="24"/>
          <w:lang w:val="hu-HU"/>
        </w:rPr>
      </w:pPr>
    </w:p>
    <w:p w14:paraId="44EE6E62" w14:textId="6195D14E" w:rsidR="0085719A" w:rsidRDefault="0085719A" w:rsidP="0085719A">
      <w:pPr>
        <w:pStyle w:val="a3"/>
        <w:rPr>
          <w:lang w:val="hu-HU"/>
        </w:rPr>
      </w:pPr>
      <w:r>
        <w:rPr>
          <w:rFonts w:eastAsia="Times New Roman"/>
          <w:lang w:val="hu-HU"/>
        </w:rPr>
        <w:t>Az RA</w:t>
      </w:r>
      <w:r w:rsidRPr="000F4DB4">
        <w:t> </w:t>
      </w:r>
      <w:r w:rsidDel="00D36156">
        <w:rPr>
          <w:rFonts w:eastAsia="Times New Roman"/>
          <w:lang w:val="hu-HU"/>
        </w:rPr>
        <w:t xml:space="preserve"> </w:t>
      </w:r>
      <w:r>
        <w:rPr>
          <w:rFonts w:eastAsia="Times New Roman"/>
          <w:lang w:val="hu-HU"/>
        </w:rPr>
        <w:t>I vizsgálatban 271 beteget értékeltek. A résztvevők mind középsúlyos-súlyos</w:t>
      </w:r>
      <w:r>
        <w:rPr>
          <w:rFonts w:hint="eastAsia"/>
          <w:lang w:val="hu-HU" w:eastAsia="ko-KR"/>
        </w:rPr>
        <w:t xml:space="preserve"> </w:t>
      </w:r>
      <w:r w:rsidRPr="001B6310">
        <w:rPr>
          <w:lang w:val="hu-HU" w:eastAsia="ko-KR"/>
        </w:rPr>
        <w:t>aktív rheumatoid arthritisben szenvedő 18 éves vagy annál idősebb betegek voltak,</w:t>
      </w:r>
      <w:r>
        <w:rPr>
          <w:rFonts w:eastAsia="Times New Roman"/>
          <w:lang w:val="hu-HU"/>
        </w:rPr>
        <w:t xml:space="preserve"> akiknél legalább egy betegséget befolyásoló reumaellenes gyógyszer nem járt eredménnyel, és korábban a metotrexát heti 12,5-25 mg-os (10 mg metotrexát intolerancia esetén) dózisaival sem lehetett kielégítő hatást elérni, és akiknél a metotrexát dózisa a vizsgálatot megelőzően stabilan heti 10-25 mg volt. A vizsgálat során 20, 40 vagy</w:t>
      </w:r>
    </w:p>
    <w:p w14:paraId="0A0D8D3B" w14:textId="77777777" w:rsidR="0085719A" w:rsidRDefault="0085719A" w:rsidP="0085719A">
      <w:pPr>
        <w:pStyle w:val="a3"/>
        <w:rPr>
          <w:lang w:val="hu-HU"/>
        </w:rPr>
      </w:pPr>
      <w:r>
        <w:rPr>
          <w:rFonts w:eastAsia="Times New Roman"/>
          <w:lang w:val="hu-HU"/>
        </w:rPr>
        <w:t>80 mg adalimumabot vagy placebót kaptak minden második héten, 24 héten át.</w:t>
      </w:r>
    </w:p>
    <w:p w14:paraId="44EFCBED" w14:textId="77777777" w:rsidR="0085719A" w:rsidRDefault="0085719A" w:rsidP="0085719A">
      <w:pPr>
        <w:spacing w:before="13" w:line="240" w:lineRule="exact"/>
        <w:rPr>
          <w:sz w:val="24"/>
          <w:szCs w:val="24"/>
          <w:lang w:val="hu-HU"/>
        </w:rPr>
      </w:pPr>
    </w:p>
    <w:p w14:paraId="48FDA61E" w14:textId="59EB47C1" w:rsidR="0085719A" w:rsidRDefault="0085719A" w:rsidP="0085719A">
      <w:pPr>
        <w:pStyle w:val="a3"/>
        <w:rPr>
          <w:lang w:val="hu-HU"/>
        </w:rPr>
      </w:pPr>
      <w:r>
        <w:rPr>
          <w:rFonts w:eastAsia="Times New Roman"/>
          <w:lang w:val="hu-HU"/>
        </w:rPr>
        <w:t>Az RA</w:t>
      </w:r>
      <w:r w:rsidRPr="00522548">
        <w:rPr>
          <w:lang w:val="es-ES"/>
        </w:rPr>
        <w:t> </w:t>
      </w:r>
      <w:r w:rsidDel="00D36156">
        <w:rPr>
          <w:rFonts w:eastAsia="Times New Roman"/>
          <w:lang w:val="hu-HU"/>
        </w:rPr>
        <w:t xml:space="preserve"> </w:t>
      </w:r>
      <w:r>
        <w:rPr>
          <w:rFonts w:eastAsia="Times New Roman"/>
          <w:lang w:val="hu-HU"/>
        </w:rPr>
        <w:t>II vizsgálatban 544 beteget értékeltek. A résztvevők</w:t>
      </w:r>
      <w:r>
        <w:rPr>
          <w:rFonts w:hint="eastAsia"/>
          <w:lang w:val="hu-HU" w:eastAsia="ko-KR"/>
        </w:rPr>
        <w:t xml:space="preserve"> </w:t>
      </w:r>
      <w:r w:rsidRPr="001B6310">
        <w:rPr>
          <w:lang w:val="hu-HU" w:eastAsia="ko-KR"/>
        </w:rPr>
        <w:t>mind középsúlyos-súlyos aktív rheumatoid arthritisben szenvedő</w:t>
      </w:r>
      <w:r>
        <w:rPr>
          <w:rFonts w:hint="eastAsia"/>
          <w:lang w:val="hu-HU" w:eastAsia="ko-KR"/>
        </w:rPr>
        <w:t xml:space="preserve"> 1</w:t>
      </w:r>
      <w:r w:rsidRPr="001B6310">
        <w:rPr>
          <w:lang w:val="hu-HU" w:eastAsia="ko-KR"/>
        </w:rPr>
        <w:t>8 éves vagy annál idősebb betegek voltak,</w:t>
      </w:r>
      <w:r>
        <w:rPr>
          <w:rFonts w:eastAsia="Times New Roman"/>
          <w:lang w:val="hu-HU"/>
        </w:rPr>
        <w:t xml:space="preserve"> akiknél legalább egy betegséget befolyásoló reumaellenes gyógyszer nem járt eredménnyel.20, illetve 40 mg adalimumabot kaptak subcutan injekció  formájában minden második héten, placebóval az alternáló heteken vagy minden héten 26 héten át; illetve placebót kaptak minden héten azonos időtartamban. Egyéb betegséget befolyásoló reumaellenes gyógyszert nem kaphattak.</w:t>
      </w:r>
    </w:p>
    <w:p w14:paraId="45DA9CD9" w14:textId="77777777" w:rsidR="0085719A" w:rsidRDefault="0085719A" w:rsidP="0085719A">
      <w:pPr>
        <w:spacing w:before="13" w:line="240" w:lineRule="exact"/>
        <w:rPr>
          <w:sz w:val="24"/>
          <w:szCs w:val="24"/>
          <w:lang w:val="hu-HU"/>
        </w:rPr>
      </w:pPr>
    </w:p>
    <w:p w14:paraId="574F66B3" w14:textId="77C36E3D" w:rsidR="0085719A" w:rsidRDefault="0085719A" w:rsidP="0085719A">
      <w:pPr>
        <w:pStyle w:val="a3"/>
        <w:rPr>
          <w:lang w:val="hu-HU"/>
        </w:rPr>
      </w:pPr>
      <w:r>
        <w:rPr>
          <w:rFonts w:eastAsia="Times New Roman"/>
          <w:lang w:val="hu-HU"/>
        </w:rPr>
        <w:t>Az RA</w:t>
      </w:r>
      <w:r w:rsidRPr="009167C6">
        <w:rPr>
          <w:lang w:val="hu-HU"/>
        </w:rPr>
        <w:t> </w:t>
      </w:r>
      <w:r w:rsidDel="00D36156">
        <w:rPr>
          <w:rFonts w:eastAsia="Times New Roman"/>
          <w:lang w:val="hu-HU"/>
        </w:rPr>
        <w:t xml:space="preserve"> </w:t>
      </w:r>
      <w:r>
        <w:rPr>
          <w:rFonts w:eastAsia="Times New Roman"/>
          <w:lang w:val="hu-HU"/>
        </w:rPr>
        <w:t xml:space="preserve">III vizsgálatban 619 közepesen súlyos-súlyos </w:t>
      </w:r>
      <w:r w:rsidRPr="00F86C66">
        <w:rPr>
          <w:rFonts w:eastAsia="Times New Roman"/>
          <w:lang w:val="hu-HU"/>
        </w:rPr>
        <w:t>aktív rheumatoid arthritisben szenvedő 18 éves vagy annál idősebb beteget értékeltek</w:t>
      </w:r>
      <w:r>
        <w:rPr>
          <w:rFonts w:eastAsia="Times New Roman"/>
          <w:lang w:val="hu-HU"/>
        </w:rPr>
        <w:t>, akik nem megfelelően reagáltak a 1</w:t>
      </w:r>
      <w:r>
        <w:rPr>
          <w:rFonts w:hint="eastAsia"/>
          <w:lang w:val="hu-HU" w:eastAsia="ko-KR"/>
        </w:rPr>
        <w:t>2</w:t>
      </w:r>
      <w:r>
        <w:rPr>
          <w:rFonts w:eastAsia="Times New Roman"/>
          <w:lang w:val="hu-HU"/>
        </w:rPr>
        <w:t>, 5 – 25 mg közötti metotrexát dózisokra, vagy nem tolerálták a hetenkénti 10 mg metotrexátot. Ebben a vizsgálatban a betegeket három csoportra osztották. Az első csoportba tartozók placebo injekciót kaptak minden héten 52 héten át. A második csoport tagjai 20 mg adalimumabot kaptak hetente 52 héten át. A harmadik csoport 40 mg adalimumabot kapott minden második héten és placebo injekciót az alternáló heteken. Az első 52 hetes kezelést követően 457 beteget egy nyílt, kiterjesztett fázisba választották be, melynek során kéthetente 40 mg adalimumabot/metotrexátot kaptak, legfeljebb 10 évig.</w:t>
      </w:r>
    </w:p>
    <w:p w14:paraId="24868CEB" w14:textId="77777777" w:rsidR="00C770CB" w:rsidRPr="0085719A" w:rsidRDefault="00C770CB" w:rsidP="00C770CB">
      <w:pPr>
        <w:spacing w:before="13" w:line="240" w:lineRule="exact"/>
        <w:rPr>
          <w:sz w:val="24"/>
          <w:szCs w:val="24"/>
          <w:lang w:val="hu-HU"/>
        </w:rPr>
      </w:pPr>
    </w:p>
    <w:p w14:paraId="58D8C845" w14:textId="1A2E8143" w:rsidR="00C770CB" w:rsidRDefault="00C770CB" w:rsidP="00C770CB">
      <w:pPr>
        <w:pStyle w:val="a3"/>
        <w:rPr>
          <w:lang w:val="hu-HU"/>
        </w:rPr>
      </w:pPr>
      <w:r>
        <w:rPr>
          <w:rFonts w:eastAsia="Times New Roman"/>
          <w:lang w:val="hu-HU"/>
        </w:rPr>
        <w:t>Az RA</w:t>
      </w:r>
      <w:r w:rsidRPr="00522548">
        <w:rPr>
          <w:lang w:val="hu-HU"/>
        </w:rPr>
        <w:t> </w:t>
      </w:r>
      <w:r w:rsidDel="00D36156">
        <w:rPr>
          <w:rFonts w:eastAsia="Times New Roman"/>
          <w:lang w:val="hu-HU"/>
        </w:rPr>
        <w:t xml:space="preserve"> </w:t>
      </w:r>
      <w:r>
        <w:rPr>
          <w:rFonts w:eastAsia="Times New Roman"/>
          <w:lang w:val="hu-HU"/>
        </w:rPr>
        <w:t>IV vizsgálat elsősorban a kezelés biztonságosságát volt hivatott felmérni. Az RA</w:t>
      </w:r>
      <w:r w:rsidRPr="009167C6">
        <w:rPr>
          <w:lang w:val="hu-HU"/>
        </w:rPr>
        <w:t> </w:t>
      </w:r>
      <w:r w:rsidDel="00961E14">
        <w:rPr>
          <w:rFonts w:eastAsia="Times New Roman"/>
          <w:lang w:val="hu-HU"/>
        </w:rPr>
        <w:t xml:space="preserve"> </w:t>
      </w:r>
      <w:r>
        <w:rPr>
          <w:rFonts w:eastAsia="Times New Roman"/>
          <w:lang w:val="hu-HU"/>
        </w:rPr>
        <w:t>IV vizsgálatba 636 középsúlyos-</w:t>
      </w:r>
      <w:r w:rsidRPr="009167C6">
        <w:rPr>
          <w:lang w:val="hu-HU"/>
        </w:rPr>
        <w:t> </w:t>
      </w:r>
      <w:r w:rsidDel="00961E14">
        <w:rPr>
          <w:rFonts w:eastAsia="Times New Roman"/>
          <w:lang w:val="hu-HU"/>
        </w:rPr>
        <w:t xml:space="preserve"> </w:t>
      </w:r>
      <w:r>
        <w:rPr>
          <w:rFonts w:eastAsia="Times New Roman"/>
          <w:lang w:val="hu-HU"/>
        </w:rPr>
        <w:t>súlyos rheumatoid arthritisben szenvedő,</w:t>
      </w:r>
      <w:r>
        <w:rPr>
          <w:rFonts w:ascii="Symbol" w:eastAsia="Symbol" w:hAnsi="Symbol" w:cs="Symbol"/>
          <w:lang w:val="hu-HU"/>
        </w:rPr>
        <w:sym w:font="Symbol" w:char="F020"/>
      </w:r>
      <w:r>
        <w:rPr>
          <w:rFonts w:eastAsia="Times New Roman"/>
          <w:lang w:val="hu-HU"/>
        </w:rPr>
        <w:t>18 éves és 18 évesnél idősebb beteget vontak be. A vizsgálatban részt vevő betegek vagy soha nem szedtek betegséget befolyásoló reumaellenes szereket, vagy a korábban alkalmazott anti- rheumás kezelésüket folytatták, ha a kezelés legalább 28 napig változatlan volt. A kezelések metotrexát, leflunomid, hidroxiklorokin, szulfaszalazin és/vagy arany sók alkalmazását foglalták magukba. A betegeket 40 mg adalimumab vagy placebo adására randomizálták, a kezelést minden második héten 24 héten át kapták.</w:t>
      </w:r>
    </w:p>
    <w:p w14:paraId="0F87E20D" w14:textId="77777777" w:rsidR="00C770CB" w:rsidRDefault="00C770CB" w:rsidP="00C770CB">
      <w:pPr>
        <w:spacing w:before="11" w:line="240" w:lineRule="exact"/>
        <w:rPr>
          <w:sz w:val="24"/>
          <w:szCs w:val="24"/>
          <w:lang w:val="hu-HU"/>
        </w:rPr>
      </w:pPr>
    </w:p>
    <w:p w14:paraId="6AF7BE2C" w14:textId="77777777" w:rsidR="00C770CB" w:rsidRDefault="00C770CB" w:rsidP="00C770CB">
      <w:pPr>
        <w:pStyle w:val="a3"/>
        <w:rPr>
          <w:lang w:val="hu-HU"/>
        </w:rPr>
      </w:pPr>
      <w:r>
        <w:rPr>
          <w:rFonts w:eastAsia="Times New Roman"/>
          <w:lang w:val="hu-HU"/>
        </w:rPr>
        <w:t>Az RA</w:t>
      </w:r>
      <w:r w:rsidRPr="009167C6">
        <w:rPr>
          <w:lang w:val="hu-HU"/>
        </w:rPr>
        <w:t> </w:t>
      </w:r>
      <w:r w:rsidDel="00961E14">
        <w:rPr>
          <w:rFonts w:eastAsia="Times New Roman"/>
          <w:lang w:val="hu-HU"/>
        </w:rPr>
        <w:t xml:space="preserve"> </w:t>
      </w:r>
      <w:r>
        <w:rPr>
          <w:rFonts w:eastAsia="Times New Roman"/>
          <w:lang w:val="hu-HU"/>
        </w:rPr>
        <w:t>V vizsgálatban 799 felnőtt, közepesen súlyos -</w:t>
      </w:r>
      <w:r w:rsidRPr="009167C6">
        <w:rPr>
          <w:lang w:val="hu-HU"/>
        </w:rPr>
        <w:t> </w:t>
      </w:r>
      <w:r w:rsidDel="00961E14">
        <w:rPr>
          <w:rFonts w:eastAsia="Times New Roman"/>
          <w:lang w:val="hu-HU"/>
        </w:rPr>
        <w:t xml:space="preserve"> </w:t>
      </w:r>
      <w:r>
        <w:rPr>
          <w:rFonts w:eastAsia="Times New Roman"/>
          <w:lang w:val="hu-HU"/>
        </w:rPr>
        <w:t>súlyos, aktív korai (betegség kezdete &lt; 9 hónap) rheumatoid arthritisben szenvedő, metotrexáttal még nem kezelt beteget vizsgáltak. A vizsgálat 104 hétig tartó időszaka alatt a kéthetente egyszer metotrexát kombinációban adott 40 mg adalimumab, 40 mg adalimumab monoterápia, illetve metotrexát monoterápia hatását vizsgálták arra vonatkozóan, hogy a betegség jelei, megjelenése, illetve reumatoid arthritisben az ízületi károsodás előrehaladásának folyamata csökken- e. Az első 104 hetes kezelést követően 497 beteget egy nyílt, kiterjesztett fázisba választották be, melynek során kéthetente 40 mg adalimumabot kaptak, legfeljebb 10 évig.</w:t>
      </w:r>
    </w:p>
    <w:p w14:paraId="3D4799B1" w14:textId="77777777" w:rsidR="00C770CB" w:rsidRDefault="00C770CB" w:rsidP="00C770CB">
      <w:pPr>
        <w:spacing w:before="13" w:line="240" w:lineRule="exact"/>
        <w:rPr>
          <w:sz w:val="24"/>
          <w:szCs w:val="24"/>
          <w:lang w:val="hu-HU"/>
        </w:rPr>
      </w:pPr>
    </w:p>
    <w:p w14:paraId="7EDFF0F1" w14:textId="77777777" w:rsidR="00C770CB" w:rsidRDefault="00C770CB" w:rsidP="00C770CB">
      <w:pPr>
        <w:pStyle w:val="a3"/>
        <w:rPr>
          <w:lang w:val="hu-HU"/>
        </w:rPr>
      </w:pPr>
      <w:r>
        <w:rPr>
          <w:rFonts w:eastAsia="Times New Roman"/>
          <w:lang w:val="hu-HU"/>
        </w:rPr>
        <w:t>Mind az RA</w:t>
      </w:r>
      <w:r w:rsidRPr="009167C6">
        <w:rPr>
          <w:lang w:val="hu-HU"/>
        </w:rPr>
        <w:t> </w:t>
      </w:r>
      <w:r>
        <w:rPr>
          <w:rFonts w:eastAsia="Times New Roman"/>
          <w:lang w:val="hu-HU"/>
        </w:rPr>
        <w:t>VI, mind az RA</w:t>
      </w:r>
      <w:r w:rsidDel="00961E14">
        <w:rPr>
          <w:rFonts w:eastAsia="Times New Roman"/>
          <w:lang w:val="hu-HU"/>
        </w:rPr>
        <w:t xml:space="preserve"> </w:t>
      </w:r>
      <w:r>
        <w:rPr>
          <w:rFonts w:eastAsia="Times New Roman"/>
          <w:lang w:val="hu-HU"/>
        </w:rPr>
        <w:t>VII vizsgálatba 60 beteget vontak be, akik közepesen súlyos- súlyos aktív rheumatoid arthritisben szenvedtek és ≥18 évesek voltak. A bevont betegek vagy az adott időpontban éppen 40 mg/0,8 ml adalimumabot használtak és az injekció beadás helyén fellépő fájdalmat átlagosan legalább 3-cm nek értékelték (egy 0-10-ig terjedő vizuális analóg skálán), vagy bionaív betegek voltak, akik akkor kezdték az adalimumab 40 mg/0,8 ml terápiát. A betegeket úgy randomizálták, hogy egyszeri adag adalimumab 40 mg/0,8 ml injekciót vagy adalimumab 40 mg/0,4 ml injekciót kapjanak, amelyet a következő beadásnál egyszeri adag követett a másik injekcióból.</w:t>
      </w:r>
    </w:p>
    <w:p w14:paraId="702B3EFD" w14:textId="77777777" w:rsidR="00C770CB" w:rsidRDefault="00C770CB" w:rsidP="00C770CB">
      <w:pPr>
        <w:spacing w:before="14" w:line="240" w:lineRule="exact"/>
        <w:rPr>
          <w:sz w:val="24"/>
          <w:szCs w:val="24"/>
          <w:lang w:val="hu-HU"/>
        </w:rPr>
      </w:pPr>
    </w:p>
    <w:p w14:paraId="461C706A" w14:textId="77777777" w:rsidR="00C770CB" w:rsidRDefault="00C770CB" w:rsidP="00C770CB">
      <w:pPr>
        <w:pStyle w:val="a3"/>
        <w:rPr>
          <w:lang w:val="hu-HU"/>
        </w:rPr>
      </w:pPr>
      <w:r>
        <w:rPr>
          <w:rFonts w:eastAsia="Times New Roman"/>
          <w:lang w:val="hu-HU"/>
        </w:rPr>
        <w:t>Az RA</w:t>
      </w:r>
      <w:r w:rsidRPr="009167C6">
        <w:rPr>
          <w:lang w:val="hu-HU"/>
        </w:rPr>
        <w:t> </w:t>
      </w:r>
      <w:r w:rsidDel="00D36156">
        <w:rPr>
          <w:rFonts w:eastAsia="Times New Roman"/>
          <w:lang w:val="hu-HU"/>
        </w:rPr>
        <w:t xml:space="preserve"> </w:t>
      </w:r>
      <w:r>
        <w:rPr>
          <w:rFonts w:eastAsia="Times New Roman"/>
          <w:lang w:val="hu-HU"/>
        </w:rPr>
        <w:t>I,</w:t>
      </w:r>
      <w:r w:rsidRPr="009167C6">
        <w:rPr>
          <w:lang w:val="hu-HU"/>
        </w:rPr>
        <w:t xml:space="preserve">  </w:t>
      </w:r>
      <w:r w:rsidDel="00D36156">
        <w:rPr>
          <w:rFonts w:eastAsia="Times New Roman"/>
          <w:lang w:val="hu-HU"/>
        </w:rPr>
        <w:t xml:space="preserve"> </w:t>
      </w:r>
      <w:r>
        <w:rPr>
          <w:rFonts w:eastAsia="Times New Roman"/>
          <w:lang w:val="hu-HU"/>
        </w:rPr>
        <w:t>II, és</w:t>
      </w:r>
      <w:r w:rsidRPr="009167C6">
        <w:rPr>
          <w:lang w:val="hu-HU"/>
        </w:rPr>
        <w:t> </w:t>
      </w:r>
      <w:r w:rsidDel="00D36156">
        <w:rPr>
          <w:rFonts w:eastAsia="Times New Roman"/>
          <w:lang w:val="hu-HU"/>
        </w:rPr>
        <w:t xml:space="preserve"> </w:t>
      </w:r>
      <w:r>
        <w:rPr>
          <w:rFonts w:eastAsia="Times New Roman"/>
          <w:lang w:val="hu-HU"/>
        </w:rPr>
        <w:t>III vizsgálatokban az elsődleges végpont, míg a RA</w:t>
      </w:r>
      <w:r w:rsidRPr="009167C6">
        <w:rPr>
          <w:lang w:val="hu-HU"/>
        </w:rPr>
        <w:t> </w:t>
      </w:r>
      <w:r w:rsidDel="00D36156">
        <w:rPr>
          <w:rFonts w:eastAsia="Times New Roman"/>
          <w:lang w:val="hu-HU"/>
        </w:rPr>
        <w:t xml:space="preserve"> </w:t>
      </w:r>
      <w:r>
        <w:rPr>
          <w:rFonts w:eastAsia="Times New Roman"/>
          <w:lang w:val="hu-HU"/>
        </w:rPr>
        <w:t>IV vizsgálatban a másodlagos végpont azon betegek százalékos aránya volt, akiknél a 24, illetve 26 hét leteltével kialakult az ACR 20 válasz. Az V</w:t>
      </w:r>
      <w:r w:rsidRPr="009167C6">
        <w:rPr>
          <w:lang w:val="hu-HU"/>
        </w:rPr>
        <w:t> </w:t>
      </w:r>
      <w:r w:rsidDel="00961E14">
        <w:rPr>
          <w:rFonts w:eastAsia="Times New Roman"/>
          <w:lang w:val="hu-HU"/>
        </w:rPr>
        <w:t xml:space="preserve"> </w:t>
      </w:r>
      <w:r>
        <w:rPr>
          <w:rFonts w:eastAsia="Times New Roman"/>
          <w:lang w:val="hu-HU"/>
        </w:rPr>
        <w:t>vizsgálatban az elsődleges végpont az ACR 50 válasz adó betegek százalékos aránya volt a vizsgálat 52. hetében. Az RA</w:t>
      </w:r>
      <w:r w:rsidRPr="009167C6">
        <w:rPr>
          <w:lang w:val="hu-HU"/>
        </w:rPr>
        <w:t> </w:t>
      </w:r>
      <w:r w:rsidDel="00D36156">
        <w:rPr>
          <w:rFonts w:eastAsia="Times New Roman"/>
          <w:lang w:val="hu-HU"/>
        </w:rPr>
        <w:t xml:space="preserve"> </w:t>
      </w:r>
      <w:r>
        <w:rPr>
          <w:rFonts w:eastAsia="Times New Roman"/>
          <w:lang w:val="hu-HU"/>
        </w:rPr>
        <w:t>III és RA</w:t>
      </w:r>
      <w:r w:rsidRPr="009167C6">
        <w:rPr>
          <w:lang w:val="hu-HU"/>
        </w:rPr>
        <w:t> </w:t>
      </w:r>
      <w:r w:rsidDel="00D36156">
        <w:rPr>
          <w:rFonts w:eastAsia="Times New Roman"/>
          <w:lang w:val="hu-HU"/>
        </w:rPr>
        <w:t xml:space="preserve"> </w:t>
      </w:r>
      <w:r>
        <w:rPr>
          <w:rFonts w:eastAsia="Times New Roman"/>
          <w:lang w:val="hu-HU"/>
        </w:rPr>
        <w:t>V vizsgálatban másik elsődleges végpontot jelentett 52 hét után a betegség progressziójának lassulása (röntgeNfelvételek alapján). Az RA</w:t>
      </w:r>
      <w:r w:rsidRPr="009167C6">
        <w:rPr>
          <w:lang w:val="hu-HU"/>
        </w:rPr>
        <w:t> </w:t>
      </w:r>
      <w:r w:rsidDel="00D36156">
        <w:rPr>
          <w:rFonts w:eastAsia="Times New Roman"/>
          <w:lang w:val="hu-HU"/>
        </w:rPr>
        <w:t xml:space="preserve"> </w:t>
      </w:r>
      <w:r>
        <w:rPr>
          <w:rFonts w:eastAsia="Times New Roman"/>
          <w:lang w:val="hu-HU"/>
        </w:rPr>
        <w:t>III vizsgálatban elsődleges végpont volt még az életminőség megváltozása. Az RA</w:t>
      </w:r>
      <w:r w:rsidRPr="009167C6">
        <w:rPr>
          <w:lang w:val="hu-HU"/>
        </w:rPr>
        <w:t> </w:t>
      </w:r>
      <w:r w:rsidDel="00D36156">
        <w:rPr>
          <w:rFonts w:eastAsia="Times New Roman"/>
          <w:lang w:val="hu-HU"/>
        </w:rPr>
        <w:t xml:space="preserve"> </w:t>
      </w:r>
      <w:r>
        <w:rPr>
          <w:rFonts w:eastAsia="Times New Roman"/>
          <w:lang w:val="hu-HU"/>
        </w:rPr>
        <w:t>VI és</w:t>
      </w:r>
      <w:r w:rsidRPr="009167C6">
        <w:rPr>
          <w:lang w:val="hu-HU"/>
        </w:rPr>
        <w:t> </w:t>
      </w:r>
      <w:r w:rsidDel="00D36156">
        <w:rPr>
          <w:rFonts w:eastAsia="Times New Roman"/>
          <w:lang w:val="hu-HU"/>
        </w:rPr>
        <w:t xml:space="preserve"> </w:t>
      </w:r>
      <w:r>
        <w:rPr>
          <w:rFonts w:eastAsia="Times New Roman"/>
          <w:lang w:val="hu-HU"/>
        </w:rPr>
        <w:t xml:space="preserve">VII vizsgálatokban az injekció beadásának helyén </w:t>
      </w:r>
      <w:r>
        <w:rPr>
          <w:rFonts w:eastAsia="Times New Roman"/>
          <w:lang w:val="hu-HU"/>
        </w:rPr>
        <w:lastRenderedPageBreak/>
        <w:t>tapasztalt fájdalom volt az elsődleges végpont közvetlenül az injekció beadását követően, egy 0-10-ig terjedő vizuális analóg skálán mérve.</w:t>
      </w:r>
    </w:p>
    <w:p w14:paraId="4C1159C4" w14:textId="77777777" w:rsidR="00C770CB" w:rsidRDefault="00C770CB" w:rsidP="00C770CB">
      <w:pPr>
        <w:spacing w:before="13" w:line="240" w:lineRule="exact"/>
        <w:rPr>
          <w:sz w:val="24"/>
          <w:szCs w:val="24"/>
          <w:lang w:val="hu-HU"/>
        </w:rPr>
      </w:pPr>
    </w:p>
    <w:p w14:paraId="50AD8413" w14:textId="77777777" w:rsidR="00C770CB" w:rsidRDefault="00C770CB" w:rsidP="00C770CB">
      <w:pPr>
        <w:rPr>
          <w:rFonts w:ascii="Times New Roman" w:eastAsia="Times New Roman" w:hAnsi="Times New Roman" w:cs="Times New Roman"/>
          <w:lang w:val="hu-HU"/>
        </w:rPr>
      </w:pPr>
      <w:r>
        <w:rPr>
          <w:rFonts w:ascii="Times New Roman" w:eastAsia="Times New Roman" w:hAnsi="Times New Roman" w:cs="Times New Roman"/>
          <w:i/>
          <w:iCs/>
          <w:spacing w:val="-1"/>
          <w:u w:val="single" w:color="000000"/>
          <w:lang w:val="hu-HU"/>
        </w:rPr>
        <w:t>ACR válasz</w:t>
      </w:r>
    </w:p>
    <w:p w14:paraId="2BB0BEDF" w14:textId="77777777" w:rsidR="00C770CB" w:rsidRDefault="00C770CB" w:rsidP="00C770CB">
      <w:pPr>
        <w:spacing w:before="1" w:line="180" w:lineRule="exact"/>
        <w:rPr>
          <w:sz w:val="18"/>
          <w:szCs w:val="18"/>
          <w:lang w:val="hu-HU"/>
        </w:rPr>
      </w:pPr>
    </w:p>
    <w:p w14:paraId="36972F0E" w14:textId="6E414111" w:rsidR="00C770CB" w:rsidRDefault="00C770CB" w:rsidP="00C770CB">
      <w:pPr>
        <w:pStyle w:val="a3"/>
        <w:rPr>
          <w:rFonts w:eastAsia="Times New Roman"/>
          <w:b/>
          <w:bCs/>
          <w:lang w:val="hu-HU"/>
        </w:rPr>
      </w:pPr>
      <w:r>
        <w:rPr>
          <w:rFonts w:eastAsia="Times New Roman"/>
          <w:lang w:val="hu-HU"/>
        </w:rPr>
        <w:t>Az ACR 20,</w:t>
      </w:r>
      <w:r w:rsidRPr="009167C6">
        <w:rPr>
          <w:lang w:val="hu-HU"/>
        </w:rPr>
        <w:t xml:space="preserve"> </w:t>
      </w:r>
      <w:r>
        <w:rPr>
          <w:rFonts w:eastAsia="Times New Roman"/>
          <w:lang w:val="hu-HU"/>
        </w:rPr>
        <w:t>50 vagy</w:t>
      </w:r>
      <w:r w:rsidRPr="009167C6">
        <w:rPr>
          <w:lang w:val="hu-HU"/>
        </w:rPr>
        <w:t> </w:t>
      </w:r>
      <w:r>
        <w:rPr>
          <w:rFonts w:eastAsia="Times New Roman"/>
          <w:lang w:val="hu-HU"/>
        </w:rPr>
        <w:t>70- es választ elérő adalimumab-kezelt betegek százalékos aránya állandó volt az RA I,</w:t>
      </w:r>
      <w:r w:rsidRPr="009167C6">
        <w:rPr>
          <w:lang w:val="hu-HU"/>
        </w:rPr>
        <w:t xml:space="preserve"> </w:t>
      </w:r>
      <w:r>
        <w:rPr>
          <w:rFonts w:eastAsia="Times New Roman"/>
          <w:lang w:val="hu-HU"/>
        </w:rPr>
        <w:t>II, és</w:t>
      </w:r>
      <w:r w:rsidRPr="009167C6">
        <w:rPr>
          <w:lang w:val="hu-HU"/>
        </w:rPr>
        <w:t> </w:t>
      </w:r>
      <w:r>
        <w:rPr>
          <w:rFonts w:eastAsia="Times New Roman"/>
          <w:lang w:val="hu-HU"/>
        </w:rPr>
        <w:t xml:space="preserve">III vizsgálatokban. Minden második héten adott 40 mg- os dózissal elért eredmények összefoglalása a </w:t>
      </w:r>
      <w:r w:rsidR="009454CE">
        <w:rPr>
          <w:rFonts w:eastAsia="Times New Roman"/>
          <w:lang w:val="hu-HU"/>
        </w:rPr>
        <w:t>5</w:t>
      </w:r>
      <w:r>
        <w:rPr>
          <w:rFonts w:eastAsia="Times New Roman"/>
          <w:lang w:val="hu-HU"/>
        </w:rPr>
        <w:t>. táblázatban található.</w:t>
      </w:r>
    </w:p>
    <w:p w14:paraId="60F4EED8" w14:textId="77777777" w:rsidR="00C770CB" w:rsidRPr="00417A10" w:rsidRDefault="00C770CB" w:rsidP="00C770CB">
      <w:pPr>
        <w:pStyle w:val="a3"/>
        <w:rPr>
          <w:rFonts w:eastAsia="Times New Roman"/>
          <w:b/>
          <w:bCs/>
          <w:lang w:val="hu-HU"/>
        </w:rPr>
      </w:pPr>
    </w:p>
    <w:p w14:paraId="2F7BCE9A" w14:textId="586A29C0" w:rsidR="00C770CB" w:rsidRDefault="009454CE" w:rsidP="00C770CB">
      <w:pPr>
        <w:pStyle w:val="a3"/>
        <w:jc w:val="center"/>
        <w:rPr>
          <w:b/>
          <w:lang w:val="hu-HU"/>
        </w:rPr>
      </w:pPr>
      <w:r>
        <w:rPr>
          <w:rFonts w:eastAsia="Times New Roman"/>
          <w:b/>
          <w:bCs/>
          <w:lang w:val="hu-HU"/>
        </w:rPr>
        <w:t>5</w:t>
      </w:r>
      <w:r w:rsidR="00C770CB">
        <w:rPr>
          <w:rFonts w:eastAsia="Times New Roman"/>
          <w:b/>
          <w:bCs/>
          <w:lang w:val="hu-HU"/>
        </w:rPr>
        <w:t>. táblázat</w:t>
      </w:r>
    </w:p>
    <w:p w14:paraId="3BB1C6A2" w14:textId="77777777" w:rsidR="00C770CB" w:rsidRDefault="00C770CB" w:rsidP="00C770CB">
      <w:pPr>
        <w:pStyle w:val="a3"/>
        <w:jc w:val="center"/>
        <w:rPr>
          <w:b/>
          <w:lang w:val="hu-HU"/>
        </w:rPr>
      </w:pPr>
      <w:r>
        <w:rPr>
          <w:rFonts w:eastAsia="Times New Roman"/>
          <w:b/>
          <w:bCs/>
          <w:lang w:val="hu-HU"/>
        </w:rPr>
        <w:t xml:space="preserve">ACR válasz placebo-kontrollos vizsgálatokban </w:t>
      </w:r>
      <w:r>
        <w:rPr>
          <w:rFonts w:eastAsia="Times New Roman"/>
          <w:b/>
          <w:bCs/>
          <w:lang w:val="hu-HU"/>
        </w:rPr>
        <w:br/>
        <w:t>(Betegek százaléka)</w:t>
      </w:r>
    </w:p>
    <w:p w14:paraId="2E1E02C7" w14:textId="77777777" w:rsidR="00C770CB" w:rsidRDefault="00C770CB" w:rsidP="00C770CB">
      <w:pPr>
        <w:spacing w:before="11" w:line="240" w:lineRule="exact"/>
        <w:rPr>
          <w:sz w:val="24"/>
          <w:szCs w:val="24"/>
          <w:lang w:val="hu-HU"/>
        </w:rPr>
      </w:pPr>
    </w:p>
    <w:tbl>
      <w:tblPr>
        <w:tblStyle w:val="TableNormal1"/>
        <w:tblW w:w="0" w:type="auto"/>
        <w:tblInd w:w="201" w:type="dxa"/>
        <w:tblLayout w:type="fixed"/>
        <w:tblLook w:val="01E0" w:firstRow="1" w:lastRow="1" w:firstColumn="1" w:lastColumn="1" w:noHBand="0" w:noVBand="0"/>
      </w:tblPr>
      <w:tblGrid>
        <w:gridCol w:w="1186"/>
        <w:gridCol w:w="1075"/>
        <w:gridCol w:w="1608"/>
        <w:gridCol w:w="1273"/>
        <w:gridCol w:w="1288"/>
        <w:gridCol w:w="1151"/>
        <w:gridCol w:w="1544"/>
      </w:tblGrid>
      <w:tr w:rsidR="00C770CB" w:rsidRPr="00CF5D7A" w14:paraId="17C3FCBF" w14:textId="77777777" w:rsidTr="007E7849">
        <w:tc>
          <w:tcPr>
            <w:tcW w:w="1186" w:type="dxa"/>
            <w:vMerge w:val="restart"/>
            <w:tcBorders>
              <w:top w:val="single" w:sz="4" w:space="0" w:color="auto"/>
              <w:left w:val="single" w:sz="4" w:space="0" w:color="auto"/>
              <w:right w:val="single" w:sz="4" w:space="0" w:color="auto"/>
            </w:tcBorders>
          </w:tcPr>
          <w:p w14:paraId="505D6289" w14:textId="77777777" w:rsidR="00C770CB" w:rsidRPr="00CF5D7A" w:rsidRDefault="00C770CB" w:rsidP="007E7849">
            <w:pPr>
              <w:rPr>
                <w:rFonts w:ascii="Times New Roman" w:eastAsia="Times New Roman" w:hAnsi="Times New Roman" w:cs="Times New Roman"/>
                <w:lang w:val="hu-HU"/>
              </w:rPr>
            </w:pPr>
            <w:r w:rsidRPr="00CF5D7A">
              <w:rPr>
                <w:rFonts w:ascii="Times New Roman" w:eastAsia="Times New Roman" w:hAnsi="Times New Roman" w:cs="Times New Roman"/>
                <w:lang w:val="hu-HU"/>
              </w:rPr>
              <w:t>Válaszadás</w:t>
            </w:r>
          </w:p>
        </w:tc>
        <w:tc>
          <w:tcPr>
            <w:tcW w:w="2683" w:type="dxa"/>
            <w:gridSpan w:val="2"/>
            <w:tcBorders>
              <w:top w:val="single" w:sz="4" w:space="0" w:color="auto"/>
              <w:left w:val="single" w:sz="4" w:space="0" w:color="auto"/>
              <w:bottom w:val="single" w:sz="4" w:space="0" w:color="auto"/>
              <w:right w:val="single" w:sz="4" w:space="0" w:color="auto"/>
            </w:tcBorders>
          </w:tcPr>
          <w:p w14:paraId="2999FE3C" w14:textId="77777777" w:rsidR="00C770CB" w:rsidRPr="00CF5D7A" w:rsidRDefault="00C770CB" w:rsidP="007E7849">
            <w:pPr>
              <w:pStyle w:val="TableParagraph"/>
              <w:spacing w:line="246" w:lineRule="exact"/>
              <w:ind w:left="690"/>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RA I vizsgálat</w:t>
            </w:r>
            <w:r w:rsidRPr="009167C6">
              <w:rPr>
                <w:rFonts w:ascii="Times New Roman" w:eastAsia="Times New Roman" w:hAnsi="Times New Roman" w:cs="Times New Roman"/>
                <w:spacing w:val="-1"/>
                <w:vertAlign w:val="superscript"/>
                <w:lang w:val="hu-HU"/>
              </w:rPr>
              <w:t>a</w:t>
            </w:r>
            <w:r w:rsidRPr="00CF5D7A">
              <w:rPr>
                <w:rFonts w:ascii="Times New Roman" w:eastAsia="Times New Roman" w:hAnsi="Times New Roman" w:cs="Times New Roman"/>
                <w:spacing w:val="-1"/>
                <w:lang w:val="hu-HU"/>
              </w:rPr>
              <w:t>**</w:t>
            </w:r>
          </w:p>
        </w:tc>
        <w:tc>
          <w:tcPr>
            <w:tcW w:w="2561" w:type="dxa"/>
            <w:gridSpan w:val="2"/>
            <w:tcBorders>
              <w:top w:val="single" w:sz="4" w:space="0" w:color="auto"/>
              <w:left w:val="single" w:sz="4" w:space="0" w:color="auto"/>
              <w:bottom w:val="single" w:sz="4" w:space="0" w:color="auto"/>
              <w:right w:val="single" w:sz="4" w:space="0" w:color="auto"/>
            </w:tcBorders>
          </w:tcPr>
          <w:p w14:paraId="13BAFCD2" w14:textId="77777777" w:rsidR="00C770CB" w:rsidRPr="00CF5D7A" w:rsidRDefault="00C770CB" w:rsidP="007E7849">
            <w:pPr>
              <w:pStyle w:val="TableParagraph"/>
              <w:spacing w:line="246" w:lineRule="exact"/>
              <w:ind w:left="591"/>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RA II vizsgálat</w:t>
            </w:r>
            <w:r w:rsidRPr="009167C6">
              <w:rPr>
                <w:rFonts w:ascii="Times New Roman" w:eastAsia="Times New Roman" w:hAnsi="Times New Roman" w:cs="Times New Roman"/>
                <w:spacing w:val="-1"/>
                <w:vertAlign w:val="superscript"/>
                <w:lang w:val="hu-HU"/>
              </w:rPr>
              <w:t>a</w:t>
            </w:r>
            <w:r w:rsidRPr="00CF5D7A">
              <w:rPr>
                <w:rFonts w:ascii="Times New Roman" w:eastAsia="Times New Roman" w:hAnsi="Times New Roman" w:cs="Times New Roman"/>
                <w:spacing w:val="-1"/>
                <w:lang w:val="hu-HU"/>
              </w:rPr>
              <w:t>**</w:t>
            </w:r>
          </w:p>
        </w:tc>
        <w:tc>
          <w:tcPr>
            <w:tcW w:w="2695" w:type="dxa"/>
            <w:gridSpan w:val="2"/>
            <w:tcBorders>
              <w:top w:val="single" w:sz="4" w:space="0" w:color="auto"/>
              <w:left w:val="single" w:sz="4" w:space="0" w:color="auto"/>
              <w:bottom w:val="single" w:sz="4" w:space="0" w:color="auto"/>
              <w:right w:val="single" w:sz="4" w:space="0" w:color="auto"/>
            </w:tcBorders>
          </w:tcPr>
          <w:p w14:paraId="0781C089" w14:textId="77777777" w:rsidR="00C770CB" w:rsidRPr="00CF5D7A" w:rsidRDefault="00C770CB" w:rsidP="007E7849">
            <w:pPr>
              <w:pStyle w:val="TableParagraph"/>
              <w:spacing w:line="246" w:lineRule="exact"/>
              <w:ind w:left="625"/>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RA III vizsgálat</w:t>
            </w:r>
            <w:r w:rsidRPr="009167C6">
              <w:rPr>
                <w:rFonts w:ascii="Times New Roman" w:eastAsia="Times New Roman" w:hAnsi="Times New Roman" w:cs="Times New Roman"/>
                <w:spacing w:val="-1"/>
                <w:vertAlign w:val="superscript"/>
                <w:lang w:val="hu-HU"/>
              </w:rPr>
              <w:t>a</w:t>
            </w:r>
            <w:r w:rsidRPr="00CF5D7A">
              <w:rPr>
                <w:rFonts w:ascii="Times New Roman" w:eastAsia="Times New Roman" w:hAnsi="Times New Roman" w:cs="Times New Roman"/>
                <w:spacing w:val="-1"/>
                <w:lang w:val="hu-HU"/>
              </w:rPr>
              <w:t>**</w:t>
            </w:r>
          </w:p>
        </w:tc>
      </w:tr>
      <w:tr w:rsidR="00C770CB" w:rsidRPr="00CF5D7A" w14:paraId="74C95530" w14:textId="77777777" w:rsidTr="007E7849">
        <w:tc>
          <w:tcPr>
            <w:tcW w:w="1186" w:type="dxa"/>
            <w:vMerge/>
            <w:tcBorders>
              <w:left w:val="single" w:sz="4" w:space="0" w:color="auto"/>
              <w:bottom w:val="single" w:sz="4" w:space="0" w:color="auto"/>
              <w:right w:val="single" w:sz="4" w:space="0" w:color="auto"/>
            </w:tcBorders>
          </w:tcPr>
          <w:p w14:paraId="54C3EEF9" w14:textId="77777777" w:rsidR="00C770CB" w:rsidRPr="00CF5D7A" w:rsidRDefault="00C770CB" w:rsidP="007E7849">
            <w:pPr>
              <w:rPr>
                <w:lang w:val="hu-HU"/>
              </w:rPr>
            </w:pPr>
          </w:p>
        </w:tc>
        <w:tc>
          <w:tcPr>
            <w:tcW w:w="1075" w:type="dxa"/>
            <w:tcBorders>
              <w:top w:val="single" w:sz="4" w:space="0" w:color="auto"/>
              <w:left w:val="single" w:sz="4" w:space="0" w:color="auto"/>
              <w:bottom w:val="single" w:sz="4" w:space="0" w:color="auto"/>
            </w:tcBorders>
          </w:tcPr>
          <w:p w14:paraId="7BB39A26" w14:textId="77777777" w:rsidR="00C770CB" w:rsidRPr="00CF5D7A" w:rsidRDefault="00C770CB" w:rsidP="007E7849">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Placebo /</w:t>
            </w:r>
          </w:p>
          <w:p w14:paraId="342D9FE3" w14:textId="77777777" w:rsidR="00C770CB" w:rsidRPr="00CF5D7A" w:rsidRDefault="00C770CB" w:rsidP="007E7849">
            <w:pPr>
              <w:pStyle w:val="TableParagraph"/>
              <w:spacing w:before="5" w:line="252" w:lineRule="exact"/>
              <w:ind w:right="226"/>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MTX</w:t>
            </w:r>
            <w:r w:rsidRPr="009167C6">
              <w:rPr>
                <w:rFonts w:ascii="Times New Roman" w:eastAsia="Times New Roman" w:hAnsi="Times New Roman" w:cs="Times New Roman"/>
                <w:vertAlign w:val="superscript"/>
                <w:lang w:val="hu-HU"/>
              </w:rPr>
              <w:t>c</w:t>
            </w:r>
            <w:r w:rsidRPr="009167C6">
              <w:rPr>
                <w:rFonts w:ascii="Times New Roman" w:eastAsia="Times New Roman" w:hAnsi="Times New Roman" w:cs="Times New Roman"/>
                <w:lang w:val="hu-HU"/>
              </w:rPr>
              <w:t xml:space="preserve"> </w:t>
            </w:r>
            <w:r w:rsidRPr="00CF5D7A">
              <w:rPr>
                <w:rFonts w:ascii="Times New Roman" w:eastAsia="Times New Roman" w:hAnsi="Times New Roman" w:cs="Times New Roman"/>
                <w:lang w:val="hu-HU"/>
              </w:rPr>
              <w:t>n=60</w:t>
            </w:r>
          </w:p>
        </w:tc>
        <w:tc>
          <w:tcPr>
            <w:tcW w:w="1608" w:type="dxa"/>
            <w:tcBorders>
              <w:top w:val="single" w:sz="4" w:space="0" w:color="auto"/>
              <w:bottom w:val="single" w:sz="4" w:space="0" w:color="auto"/>
              <w:right w:val="single" w:sz="4" w:space="0" w:color="auto"/>
            </w:tcBorders>
          </w:tcPr>
          <w:p w14:paraId="555B9983" w14:textId="77777777" w:rsidR="00C770CB" w:rsidRPr="009167C6" w:rsidRDefault="00C770CB" w:rsidP="007E7849">
            <w:pPr>
              <w:pStyle w:val="TableParagraph"/>
              <w:spacing w:line="246" w:lineRule="exact"/>
              <w:ind w:right="50"/>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Adalimumab</w:t>
            </w:r>
            <w:r w:rsidRPr="009167C6">
              <w:rPr>
                <w:rFonts w:ascii="Times New Roman" w:eastAsia="Times New Roman" w:hAnsi="Times New Roman" w:cs="Times New Roman"/>
                <w:spacing w:val="-1"/>
                <w:lang w:val="hu-HU"/>
              </w:rPr>
              <w:t>b</w:t>
            </w:r>
            <w:r w:rsidRPr="00CF5D7A">
              <w:rPr>
                <w:rFonts w:ascii="Times New Roman" w:eastAsia="Times New Roman" w:hAnsi="Times New Roman" w:cs="Times New Roman"/>
                <w:spacing w:val="-1"/>
                <w:lang w:val="hu-HU"/>
              </w:rPr>
              <w:t>/ MTX</w:t>
            </w:r>
            <w:r w:rsidRPr="009167C6">
              <w:rPr>
                <w:rFonts w:ascii="Times New Roman" w:eastAsia="Times New Roman" w:hAnsi="Times New Roman" w:cs="Times New Roman"/>
                <w:spacing w:val="-1"/>
                <w:vertAlign w:val="superscript"/>
                <w:lang w:val="hu-HU"/>
              </w:rPr>
              <w:t>c</w:t>
            </w:r>
          </w:p>
          <w:p w14:paraId="361D0C75" w14:textId="77777777" w:rsidR="00C770CB" w:rsidRPr="00CF5D7A" w:rsidRDefault="00C770CB" w:rsidP="007E7849">
            <w:pPr>
              <w:pStyle w:val="TableParagraph"/>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n=63</w:t>
            </w:r>
          </w:p>
        </w:tc>
        <w:tc>
          <w:tcPr>
            <w:tcW w:w="1273" w:type="dxa"/>
            <w:tcBorders>
              <w:top w:val="single" w:sz="4" w:space="0" w:color="auto"/>
              <w:left w:val="single" w:sz="4" w:space="0" w:color="auto"/>
              <w:bottom w:val="single" w:sz="4" w:space="0" w:color="auto"/>
            </w:tcBorders>
          </w:tcPr>
          <w:p w14:paraId="1373C47D" w14:textId="77777777" w:rsidR="00C770CB" w:rsidRPr="00CF5D7A" w:rsidRDefault="00C770CB" w:rsidP="007E7849">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Placebo</w:t>
            </w:r>
          </w:p>
          <w:p w14:paraId="5B45BD09" w14:textId="77777777" w:rsidR="00C770CB" w:rsidRPr="00CF5D7A" w:rsidRDefault="00C770CB" w:rsidP="007E7849">
            <w:pPr>
              <w:pStyle w:val="TableParagraph"/>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n=110</w:t>
            </w:r>
          </w:p>
        </w:tc>
        <w:tc>
          <w:tcPr>
            <w:tcW w:w="1288" w:type="dxa"/>
            <w:tcBorders>
              <w:top w:val="single" w:sz="4" w:space="0" w:color="auto"/>
              <w:bottom w:val="single" w:sz="4" w:space="0" w:color="auto"/>
              <w:right w:val="single" w:sz="4" w:space="0" w:color="auto"/>
            </w:tcBorders>
          </w:tcPr>
          <w:p w14:paraId="1D71E301" w14:textId="77777777" w:rsidR="00C770CB" w:rsidRPr="009167C6" w:rsidRDefault="00C770CB" w:rsidP="007E7849">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Adalimumab</w:t>
            </w:r>
            <w:r w:rsidRPr="009167C6">
              <w:rPr>
                <w:rFonts w:ascii="Times New Roman" w:eastAsia="Times New Roman" w:hAnsi="Times New Roman" w:cs="Times New Roman"/>
                <w:spacing w:val="-1"/>
                <w:vertAlign w:val="superscript"/>
                <w:lang w:val="hu-HU"/>
              </w:rPr>
              <w:t>b</w:t>
            </w:r>
          </w:p>
          <w:p w14:paraId="351E63F2" w14:textId="77777777" w:rsidR="00C770CB" w:rsidRPr="00CF5D7A" w:rsidRDefault="00C770CB" w:rsidP="007E7849">
            <w:pPr>
              <w:pStyle w:val="TableParagraph"/>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n=113</w:t>
            </w:r>
          </w:p>
        </w:tc>
        <w:tc>
          <w:tcPr>
            <w:tcW w:w="1151" w:type="dxa"/>
            <w:tcBorders>
              <w:top w:val="single" w:sz="4" w:space="0" w:color="auto"/>
              <w:left w:val="single" w:sz="4" w:space="0" w:color="auto"/>
              <w:bottom w:val="single" w:sz="4" w:space="0" w:color="auto"/>
            </w:tcBorders>
          </w:tcPr>
          <w:p w14:paraId="69ED18CC" w14:textId="77777777" w:rsidR="00C770CB" w:rsidRPr="00CF5D7A" w:rsidRDefault="00C770CB" w:rsidP="007E7849">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Placebo/</w:t>
            </w:r>
          </w:p>
          <w:p w14:paraId="47DD3ACD" w14:textId="77777777" w:rsidR="00C770CB" w:rsidRPr="00CF5D7A" w:rsidRDefault="00C770CB" w:rsidP="007E7849">
            <w:pPr>
              <w:pStyle w:val="TableParagraph"/>
              <w:spacing w:line="252" w:lineRule="exact"/>
              <w:ind w:hanging="4"/>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MTX</w:t>
            </w:r>
            <w:r w:rsidRPr="009167C6">
              <w:rPr>
                <w:rFonts w:ascii="Times New Roman" w:eastAsia="Times New Roman" w:hAnsi="Times New Roman" w:cs="Times New Roman"/>
                <w:vertAlign w:val="superscript"/>
                <w:lang w:val="hu-HU"/>
              </w:rPr>
              <w:t>c</w:t>
            </w:r>
            <w:r w:rsidRPr="009167C6">
              <w:rPr>
                <w:rFonts w:ascii="Times New Roman" w:eastAsia="Times New Roman" w:hAnsi="Times New Roman" w:cs="Times New Roman"/>
                <w:lang w:val="hu-HU"/>
              </w:rPr>
              <w:t xml:space="preserve"> </w:t>
            </w:r>
            <w:r w:rsidRPr="00CF5D7A">
              <w:rPr>
                <w:rFonts w:ascii="Times New Roman" w:eastAsia="Times New Roman" w:hAnsi="Times New Roman" w:cs="Times New Roman"/>
                <w:lang w:val="hu-HU"/>
              </w:rPr>
              <w:t>n=200</w:t>
            </w:r>
          </w:p>
        </w:tc>
        <w:tc>
          <w:tcPr>
            <w:tcW w:w="1544" w:type="dxa"/>
            <w:tcBorders>
              <w:top w:val="single" w:sz="4" w:space="0" w:color="auto"/>
              <w:bottom w:val="single" w:sz="4" w:space="0" w:color="auto"/>
              <w:right w:val="single" w:sz="4" w:space="0" w:color="auto"/>
            </w:tcBorders>
          </w:tcPr>
          <w:p w14:paraId="0D25AB82" w14:textId="77777777" w:rsidR="00C770CB" w:rsidRPr="009167C6" w:rsidRDefault="00C770CB" w:rsidP="007E7849">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Adalimumab</w:t>
            </w:r>
            <w:r w:rsidRPr="009167C6">
              <w:rPr>
                <w:rFonts w:ascii="Times New Roman" w:eastAsia="Times New Roman" w:hAnsi="Times New Roman" w:cs="Times New Roman"/>
                <w:spacing w:val="-1"/>
                <w:vertAlign w:val="superscript"/>
                <w:lang w:val="hu-HU"/>
              </w:rPr>
              <w:t>b</w:t>
            </w:r>
            <w:r w:rsidRPr="00CF5D7A">
              <w:rPr>
                <w:rFonts w:ascii="Times New Roman" w:eastAsia="Times New Roman" w:hAnsi="Times New Roman" w:cs="Times New Roman"/>
                <w:spacing w:val="-1"/>
                <w:lang w:val="hu-HU"/>
              </w:rPr>
              <w:t>/ MTX</w:t>
            </w:r>
            <w:r w:rsidRPr="009167C6">
              <w:rPr>
                <w:rFonts w:ascii="Times New Roman" w:eastAsia="Times New Roman" w:hAnsi="Times New Roman" w:cs="Times New Roman"/>
                <w:spacing w:val="-1"/>
                <w:vertAlign w:val="superscript"/>
                <w:lang w:val="hu-HU"/>
              </w:rPr>
              <w:t>c</w:t>
            </w:r>
          </w:p>
          <w:p w14:paraId="79315651" w14:textId="77777777" w:rsidR="00C770CB" w:rsidRPr="00CF5D7A" w:rsidRDefault="00C770CB" w:rsidP="007E7849">
            <w:pPr>
              <w:pStyle w:val="TableParagraph"/>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n=207</w:t>
            </w:r>
          </w:p>
        </w:tc>
      </w:tr>
      <w:tr w:rsidR="00C770CB" w:rsidRPr="00CF5D7A" w14:paraId="5AC3B63A" w14:textId="77777777" w:rsidTr="007E7849">
        <w:tc>
          <w:tcPr>
            <w:tcW w:w="1186" w:type="dxa"/>
            <w:tcBorders>
              <w:top w:val="single" w:sz="4" w:space="0" w:color="auto"/>
              <w:left w:val="single" w:sz="4" w:space="0" w:color="auto"/>
              <w:bottom w:val="nil"/>
              <w:right w:val="single" w:sz="4" w:space="0" w:color="auto"/>
            </w:tcBorders>
          </w:tcPr>
          <w:p w14:paraId="6AD604B3" w14:textId="77777777" w:rsidR="00C770CB" w:rsidRPr="00CF5D7A" w:rsidRDefault="00C770CB" w:rsidP="007E7849">
            <w:pPr>
              <w:pStyle w:val="TableParagraph"/>
              <w:spacing w:line="248"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ACR 20</w:t>
            </w:r>
          </w:p>
        </w:tc>
        <w:tc>
          <w:tcPr>
            <w:tcW w:w="1075" w:type="dxa"/>
            <w:vMerge w:val="restart"/>
            <w:tcBorders>
              <w:top w:val="single" w:sz="4" w:space="0" w:color="auto"/>
              <w:left w:val="single" w:sz="4" w:space="0" w:color="auto"/>
            </w:tcBorders>
          </w:tcPr>
          <w:p w14:paraId="2F7F4761" w14:textId="77777777" w:rsidR="00C770CB" w:rsidRPr="009167C6" w:rsidRDefault="00C770CB" w:rsidP="007E7849">
            <w:pPr>
              <w:pStyle w:val="TableParagraph"/>
              <w:spacing w:before="7" w:line="240" w:lineRule="exact"/>
              <w:rPr>
                <w:lang w:val="hu-HU"/>
              </w:rPr>
            </w:pPr>
          </w:p>
          <w:p w14:paraId="40E233EC" w14:textId="77777777" w:rsidR="00C770CB" w:rsidRPr="00CF5D7A" w:rsidRDefault="00C770CB" w:rsidP="007E7849">
            <w:pPr>
              <w:pStyle w:val="TableParagraph"/>
              <w:ind w:left="277"/>
              <w:rPr>
                <w:rFonts w:ascii="Times New Roman" w:eastAsia="Times New Roman" w:hAnsi="Times New Roman" w:cs="Times New Roman"/>
                <w:lang w:val="hu-HU"/>
              </w:rPr>
            </w:pPr>
            <w:r w:rsidRPr="00CF5D7A">
              <w:rPr>
                <w:rFonts w:ascii="Times New Roman" w:eastAsia="Times New Roman" w:hAnsi="Times New Roman" w:cs="Times New Roman"/>
                <w:lang w:val="hu-HU"/>
              </w:rPr>
              <w:t>13,3%</w:t>
            </w:r>
          </w:p>
        </w:tc>
        <w:tc>
          <w:tcPr>
            <w:tcW w:w="1608" w:type="dxa"/>
            <w:vMerge w:val="restart"/>
            <w:tcBorders>
              <w:top w:val="single" w:sz="4" w:space="0" w:color="auto"/>
              <w:left w:val="nil"/>
              <w:bottom w:val="single" w:sz="4" w:space="0" w:color="auto"/>
              <w:right w:val="single" w:sz="4" w:space="0" w:color="auto"/>
            </w:tcBorders>
          </w:tcPr>
          <w:p w14:paraId="40EEBCDA" w14:textId="77777777" w:rsidR="00C770CB" w:rsidRPr="009167C6" w:rsidRDefault="00C770CB" w:rsidP="007E7849">
            <w:pPr>
              <w:pStyle w:val="TableParagraph"/>
              <w:spacing w:before="7" w:line="240" w:lineRule="exact"/>
              <w:rPr>
                <w:lang w:val="hu-HU"/>
              </w:rPr>
            </w:pPr>
          </w:p>
          <w:p w14:paraId="21CFC20D" w14:textId="77777777" w:rsidR="00C770CB" w:rsidRPr="00CF5D7A" w:rsidRDefault="00C770CB" w:rsidP="007E7849">
            <w:pPr>
              <w:pStyle w:val="TableParagraph"/>
              <w:ind w:left="544"/>
              <w:rPr>
                <w:rFonts w:ascii="Times New Roman" w:eastAsia="Times New Roman" w:hAnsi="Times New Roman" w:cs="Times New Roman"/>
                <w:lang w:val="hu-HU"/>
              </w:rPr>
            </w:pPr>
            <w:r w:rsidRPr="00CF5D7A">
              <w:rPr>
                <w:rFonts w:ascii="Times New Roman" w:eastAsia="Times New Roman" w:hAnsi="Times New Roman" w:cs="Times New Roman"/>
                <w:lang w:val="hu-HU"/>
              </w:rPr>
              <w:t>65,1%</w:t>
            </w:r>
          </w:p>
        </w:tc>
        <w:tc>
          <w:tcPr>
            <w:tcW w:w="1273" w:type="dxa"/>
            <w:vMerge w:val="restart"/>
            <w:tcBorders>
              <w:top w:val="single" w:sz="4" w:space="0" w:color="auto"/>
              <w:left w:val="single" w:sz="4" w:space="0" w:color="auto"/>
              <w:right w:val="nil"/>
            </w:tcBorders>
          </w:tcPr>
          <w:p w14:paraId="3A5431CF" w14:textId="77777777" w:rsidR="00C770CB" w:rsidRPr="009167C6" w:rsidRDefault="00C770CB" w:rsidP="007E7849">
            <w:pPr>
              <w:pStyle w:val="TableParagraph"/>
              <w:spacing w:before="7" w:line="240" w:lineRule="exact"/>
              <w:rPr>
                <w:lang w:val="hu-HU"/>
              </w:rPr>
            </w:pPr>
          </w:p>
          <w:p w14:paraId="4B0797CF" w14:textId="77777777" w:rsidR="00C770CB" w:rsidRPr="00CF5D7A" w:rsidRDefault="00C770CB" w:rsidP="007E7849">
            <w:pPr>
              <w:pStyle w:val="TableParagraph"/>
              <w:ind w:left="351"/>
              <w:rPr>
                <w:rFonts w:ascii="Times New Roman" w:eastAsia="Times New Roman" w:hAnsi="Times New Roman" w:cs="Times New Roman"/>
                <w:lang w:val="hu-HU"/>
              </w:rPr>
            </w:pPr>
            <w:r w:rsidRPr="00CF5D7A">
              <w:rPr>
                <w:rFonts w:ascii="Times New Roman" w:eastAsia="Times New Roman" w:hAnsi="Times New Roman" w:cs="Times New Roman"/>
                <w:lang w:val="hu-HU"/>
              </w:rPr>
              <w:t>19,1%</w:t>
            </w:r>
          </w:p>
        </w:tc>
        <w:tc>
          <w:tcPr>
            <w:tcW w:w="1288" w:type="dxa"/>
            <w:vMerge w:val="restart"/>
            <w:tcBorders>
              <w:top w:val="single" w:sz="4" w:space="0" w:color="auto"/>
              <w:left w:val="nil"/>
              <w:right w:val="single" w:sz="7" w:space="0" w:color="000000"/>
            </w:tcBorders>
          </w:tcPr>
          <w:p w14:paraId="7D57B038" w14:textId="77777777" w:rsidR="00C770CB" w:rsidRPr="009167C6" w:rsidRDefault="00C770CB" w:rsidP="007E7849">
            <w:pPr>
              <w:pStyle w:val="TableParagraph"/>
              <w:spacing w:before="7" w:line="240" w:lineRule="exact"/>
              <w:rPr>
                <w:lang w:val="hu-HU"/>
              </w:rPr>
            </w:pPr>
          </w:p>
          <w:p w14:paraId="28105440" w14:textId="77777777" w:rsidR="00C770CB" w:rsidRPr="00CF5D7A" w:rsidRDefault="00C770CB" w:rsidP="007E7849">
            <w:pPr>
              <w:pStyle w:val="TableParagraph"/>
              <w:ind w:left="363"/>
              <w:rPr>
                <w:rFonts w:ascii="Times New Roman" w:eastAsia="Times New Roman" w:hAnsi="Times New Roman" w:cs="Times New Roman"/>
                <w:lang w:val="hu-HU"/>
              </w:rPr>
            </w:pPr>
            <w:r w:rsidRPr="00CF5D7A">
              <w:rPr>
                <w:rFonts w:ascii="Times New Roman" w:eastAsia="Times New Roman" w:hAnsi="Times New Roman" w:cs="Times New Roman"/>
                <w:lang w:val="hu-HU"/>
              </w:rPr>
              <w:t>46,0%</w:t>
            </w:r>
          </w:p>
        </w:tc>
        <w:tc>
          <w:tcPr>
            <w:tcW w:w="1151" w:type="dxa"/>
            <w:vMerge w:val="restart"/>
            <w:tcBorders>
              <w:top w:val="single" w:sz="4" w:space="0" w:color="auto"/>
              <w:left w:val="single" w:sz="7" w:space="0" w:color="000000"/>
              <w:right w:val="nil"/>
            </w:tcBorders>
          </w:tcPr>
          <w:p w14:paraId="157CD120" w14:textId="77777777" w:rsidR="00C770CB" w:rsidRPr="009167C6" w:rsidRDefault="00C770CB" w:rsidP="007E7849">
            <w:pPr>
              <w:pStyle w:val="TableParagraph"/>
              <w:spacing w:before="7" w:line="240" w:lineRule="exact"/>
              <w:rPr>
                <w:lang w:val="hu-HU"/>
              </w:rPr>
            </w:pPr>
          </w:p>
          <w:p w14:paraId="706F831A" w14:textId="77777777" w:rsidR="00C770CB" w:rsidRPr="00CF5D7A" w:rsidRDefault="00C770CB" w:rsidP="007E7849">
            <w:pPr>
              <w:pStyle w:val="TableParagraph"/>
              <w:ind w:left="344"/>
              <w:rPr>
                <w:rFonts w:ascii="Times New Roman" w:eastAsia="Times New Roman" w:hAnsi="Times New Roman" w:cs="Times New Roman"/>
                <w:lang w:val="hu-HU"/>
              </w:rPr>
            </w:pPr>
            <w:r w:rsidRPr="00CF5D7A">
              <w:rPr>
                <w:rFonts w:ascii="Times New Roman" w:eastAsia="Times New Roman" w:hAnsi="Times New Roman" w:cs="Times New Roman"/>
                <w:lang w:val="hu-HU"/>
              </w:rPr>
              <w:t>29,5%</w:t>
            </w:r>
          </w:p>
        </w:tc>
        <w:tc>
          <w:tcPr>
            <w:tcW w:w="1544" w:type="dxa"/>
            <w:vMerge w:val="restart"/>
            <w:tcBorders>
              <w:top w:val="single" w:sz="4" w:space="0" w:color="auto"/>
              <w:left w:val="nil"/>
              <w:right w:val="single" w:sz="4" w:space="0" w:color="auto"/>
            </w:tcBorders>
          </w:tcPr>
          <w:p w14:paraId="01056B6B" w14:textId="77777777" w:rsidR="00C770CB" w:rsidRPr="009167C6" w:rsidRDefault="00C770CB" w:rsidP="007E7849">
            <w:pPr>
              <w:pStyle w:val="TableParagraph"/>
              <w:spacing w:before="7" w:line="240" w:lineRule="exact"/>
              <w:rPr>
                <w:lang w:val="hu-HU"/>
              </w:rPr>
            </w:pPr>
          </w:p>
          <w:p w14:paraId="47F69BCC" w14:textId="77777777" w:rsidR="00C770CB" w:rsidRPr="00CF5D7A" w:rsidRDefault="00C770CB" w:rsidP="007E7849">
            <w:pPr>
              <w:pStyle w:val="TableParagraph"/>
              <w:ind w:left="567"/>
              <w:rPr>
                <w:rFonts w:ascii="Times New Roman" w:eastAsia="Times New Roman" w:hAnsi="Times New Roman" w:cs="Times New Roman"/>
                <w:lang w:val="hu-HU"/>
              </w:rPr>
            </w:pPr>
            <w:r w:rsidRPr="00CF5D7A">
              <w:rPr>
                <w:rFonts w:ascii="Times New Roman" w:eastAsia="Times New Roman" w:hAnsi="Times New Roman" w:cs="Times New Roman"/>
                <w:lang w:val="hu-HU"/>
              </w:rPr>
              <w:t>63,3%</w:t>
            </w:r>
          </w:p>
        </w:tc>
      </w:tr>
      <w:tr w:rsidR="00C770CB" w:rsidRPr="00CF5D7A" w14:paraId="71DD2B38" w14:textId="77777777" w:rsidTr="007E7849">
        <w:tc>
          <w:tcPr>
            <w:tcW w:w="1186" w:type="dxa"/>
            <w:tcBorders>
              <w:top w:val="nil"/>
              <w:left w:val="single" w:sz="4" w:space="0" w:color="auto"/>
              <w:right w:val="single" w:sz="4" w:space="0" w:color="auto"/>
            </w:tcBorders>
          </w:tcPr>
          <w:p w14:paraId="2132C190" w14:textId="77777777" w:rsidR="00C770CB" w:rsidRPr="00CF5D7A" w:rsidRDefault="00C770CB" w:rsidP="007E7849">
            <w:pPr>
              <w:pStyle w:val="TableParagraph"/>
              <w:spacing w:line="241" w:lineRule="exact"/>
              <w:ind w:left="144"/>
              <w:rPr>
                <w:rFonts w:ascii="Times New Roman" w:eastAsia="Times New Roman" w:hAnsi="Times New Roman" w:cs="Times New Roman"/>
                <w:lang w:val="hu-HU"/>
              </w:rPr>
            </w:pPr>
            <w:r w:rsidRPr="00CF5D7A">
              <w:rPr>
                <w:rFonts w:ascii="Times New Roman" w:eastAsia="Times New Roman" w:hAnsi="Times New Roman" w:cs="Times New Roman"/>
                <w:lang w:val="hu-HU"/>
              </w:rPr>
              <w:t>6 hónap</w:t>
            </w:r>
          </w:p>
        </w:tc>
        <w:tc>
          <w:tcPr>
            <w:tcW w:w="1075" w:type="dxa"/>
            <w:vMerge/>
            <w:tcBorders>
              <w:top w:val="single" w:sz="4" w:space="0" w:color="auto"/>
              <w:left w:val="single" w:sz="4" w:space="0" w:color="auto"/>
            </w:tcBorders>
          </w:tcPr>
          <w:p w14:paraId="333879C5" w14:textId="77777777" w:rsidR="00C770CB" w:rsidRPr="00CF5D7A" w:rsidRDefault="00C770CB" w:rsidP="007E7849">
            <w:pPr>
              <w:rPr>
                <w:lang w:val="hu-HU"/>
              </w:rPr>
            </w:pPr>
          </w:p>
        </w:tc>
        <w:tc>
          <w:tcPr>
            <w:tcW w:w="1608" w:type="dxa"/>
            <w:vMerge/>
            <w:tcBorders>
              <w:top w:val="single" w:sz="4" w:space="0" w:color="auto"/>
              <w:left w:val="nil"/>
              <w:right w:val="single" w:sz="4" w:space="0" w:color="auto"/>
            </w:tcBorders>
          </w:tcPr>
          <w:p w14:paraId="18A446D9" w14:textId="77777777" w:rsidR="00C770CB" w:rsidRPr="00CF5D7A" w:rsidRDefault="00C770CB" w:rsidP="007E7849">
            <w:pPr>
              <w:rPr>
                <w:lang w:val="hu-HU"/>
              </w:rPr>
            </w:pPr>
          </w:p>
        </w:tc>
        <w:tc>
          <w:tcPr>
            <w:tcW w:w="1273" w:type="dxa"/>
            <w:vMerge/>
            <w:tcBorders>
              <w:left w:val="single" w:sz="4" w:space="0" w:color="auto"/>
              <w:right w:val="nil"/>
            </w:tcBorders>
          </w:tcPr>
          <w:p w14:paraId="713EA2DC" w14:textId="77777777" w:rsidR="00C770CB" w:rsidRPr="00CF5D7A" w:rsidRDefault="00C770CB" w:rsidP="007E7849">
            <w:pPr>
              <w:rPr>
                <w:lang w:val="hu-HU"/>
              </w:rPr>
            </w:pPr>
          </w:p>
        </w:tc>
        <w:tc>
          <w:tcPr>
            <w:tcW w:w="1288" w:type="dxa"/>
            <w:vMerge/>
            <w:tcBorders>
              <w:left w:val="nil"/>
              <w:right w:val="single" w:sz="7" w:space="0" w:color="000000"/>
            </w:tcBorders>
          </w:tcPr>
          <w:p w14:paraId="0AFABC53" w14:textId="77777777" w:rsidR="00C770CB" w:rsidRPr="00CF5D7A" w:rsidRDefault="00C770CB" w:rsidP="007E7849">
            <w:pPr>
              <w:rPr>
                <w:lang w:val="hu-HU"/>
              </w:rPr>
            </w:pPr>
          </w:p>
        </w:tc>
        <w:tc>
          <w:tcPr>
            <w:tcW w:w="1151" w:type="dxa"/>
            <w:vMerge/>
            <w:tcBorders>
              <w:left w:val="single" w:sz="7" w:space="0" w:color="000000"/>
              <w:right w:val="nil"/>
            </w:tcBorders>
          </w:tcPr>
          <w:p w14:paraId="50176CEE" w14:textId="77777777" w:rsidR="00C770CB" w:rsidRPr="00CF5D7A" w:rsidRDefault="00C770CB" w:rsidP="007E7849">
            <w:pPr>
              <w:rPr>
                <w:lang w:val="hu-HU"/>
              </w:rPr>
            </w:pPr>
          </w:p>
        </w:tc>
        <w:tc>
          <w:tcPr>
            <w:tcW w:w="1544" w:type="dxa"/>
            <w:vMerge/>
            <w:tcBorders>
              <w:left w:val="nil"/>
              <w:right w:val="single" w:sz="4" w:space="0" w:color="auto"/>
            </w:tcBorders>
          </w:tcPr>
          <w:p w14:paraId="2DBAC9D1" w14:textId="77777777" w:rsidR="00C770CB" w:rsidRPr="00CF5D7A" w:rsidRDefault="00C770CB" w:rsidP="007E7849">
            <w:pPr>
              <w:rPr>
                <w:lang w:val="hu-HU"/>
              </w:rPr>
            </w:pPr>
          </w:p>
        </w:tc>
      </w:tr>
      <w:tr w:rsidR="00C770CB" w:rsidRPr="00CF5D7A" w14:paraId="509562CD" w14:textId="77777777" w:rsidTr="007E7849">
        <w:tc>
          <w:tcPr>
            <w:tcW w:w="1186" w:type="dxa"/>
            <w:tcBorders>
              <w:top w:val="nil"/>
              <w:left w:val="single" w:sz="4" w:space="0" w:color="auto"/>
              <w:bottom w:val="single" w:sz="4" w:space="0" w:color="auto"/>
              <w:right w:val="single" w:sz="4" w:space="0" w:color="auto"/>
            </w:tcBorders>
          </w:tcPr>
          <w:p w14:paraId="4CCFEA72" w14:textId="77777777" w:rsidR="00C770CB" w:rsidRPr="00CF5D7A" w:rsidRDefault="00C770CB" w:rsidP="007E7849">
            <w:pPr>
              <w:pStyle w:val="TableParagraph"/>
              <w:spacing w:line="241" w:lineRule="exact"/>
              <w:ind w:left="144"/>
              <w:rPr>
                <w:rFonts w:ascii="Times New Roman" w:eastAsia="Times New Roman" w:hAnsi="Times New Roman" w:cs="Times New Roman"/>
                <w:lang w:val="hu-HU"/>
              </w:rPr>
            </w:pPr>
            <w:r w:rsidRPr="00CF5D7A">
              <w:rPr>
                <w:rFonts w:ascii="Times New Roman" w:eastAsia="Times New Roman" w:hAnsi="Times New Roman" w:cs="Times New Roman"/>
                <w:lang w:val="hu-HU"/>
              </w:rPr>
              <w:t>12 hónap</w:t>
            </w:r>
          </w:p>
        </w:tc>
        <w:tc>
          <w:tcPr>
            <w:tcW w:w="1075" w:type="dxa"/>
            <w:tcBorders>
              <w:left w:val="single" w:sz="4" w:space="0" w:color="auto"/>
              <w:bottom w:val="single" w:sz="4" w:space="0" w:color="auto"/>
            </w:tcBorders>
          </w:tcPr>
          <w:p w14:paraId="5F61EEDB" w14:textId="77777777" w:rsidR="00C770CB" w:rsidRPr="00CF5D7A" w:rsidRDefault="00C770CB" w:rsidP="007E7849">
            <w:pPr>
              <w:pStyle w:val="TableParagraph"/>
              <w:spacing w:line="241"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608" w:type="dxa"/>
            <w:tcBorders>
              <w:left w:val="nil"/>
              <w:bottom w:val="single" w:sz="4" w:space="0" w:color="auto"/>
              <w:right w:val="single" w:sz="4" w:space="0" w:color="auto"/>
            </w:tcBorders>
          </w:tcPr>
          <w:p w14:paraId="4B15206C" w14:textId="77777777" w:rsidR="00C770CB" w:rsidRPr="00CF5D7A" w:rsidRDefault="00C770CB" w:rsidP="007E7849">
            <w:pPr>
              <w:pStyle w:val="TableParagraph"/>
              <w:spacing w:line="241"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273" w:type="dxa"/>
            <w:tcBorders>
              <w:top w:val="nil"/>
              <w:left w:val="single" w:sz="4" w:space="0" w:color="auto"/>
              <w:bottom w:val="single" w:sz="4" w:space="0" w:color="auto"/>
              <w:right w:val="nil"/>
            </w:tcBorders>
          </w:tcPr>
          <w:p w14:paraId="0489B969" w14:textId="77777777" w:rsidR="00C770CB" w:rsidRPr="00CF5D7A" w:rsidRDefault="00C770CB" w:rsidP="007E7849">
            <w:pPr>
              <w:pStyle w:val="TableParagraph"/>
              <w:spacing w:line="241"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288" w:type="dxa"/>
            <w:tcBorders>
              <w:top w:val="nil"/>
              <w:left w:val="nil"/>
              <w:bottom w:val="single" w:sz="4" w:space="0" w:color="auto"/>
              <w:right w:val="single" w:sz="7" w:space="0" w:color="000000"/>
            </w:tcBorders>
          </w:tcPr>
          <w:p w14:paraId="329AB362" w14:textId="77777777" w:rsidR="00C770CB" w:rsidRPr="00CF5D7A" w:rsidRDefault="00C770CB" w:rsidP="007E7849">
            <w:pPr>
              <w:pStyle w:val="TableParagraph"/>
              <w:spacing w:line="241"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151" w:type="dxa"/>
            <w:tcBorders>
              <w:top w:val="nil"/>
              <w:left w:val="single" w:sz="7" w:space="0" w:color="000000"/>
              <w:bottom w:val="single" w:sz="4" w:space="0" w:color="auto"/>
              <w:right w:val="nil"/>
            </w:tcBorders>
          </w:tcPr>
          <w:p w14:paraId="73E07FF4" w14:textId="77777777" w:rsidR="00C770CB" w:rsidRPr="00CF5D7A" w:rsidRDefault="00C770CB" w:rsidP="007E7849">
            <w:pPr>
              <w:pStyle w:val="TableParagraph"/>
              <w:spacing w:line="241" w:lineRule="exact"/>
              <w:ind w:left="344"/>
              <w:rPr>
                <w:rFonts w:ascii="Times New Roman" w:eastAsia="Times New Roman" w:hAnsi="Times New Roman" w:cs="Times New Roman"/>
                <w:lang w:val="hu-HU"/>
              </w:rPr>
            </w:pPr>
            <w:r w:rsidRPr="00CF5D7A">
              <w:rPr>
                <w:rFonts w:ascii="Times New Roman" w:eastAsia="Times New Roman" w:hAnsi="Times New Roman" w:cs="Times New Roman"/>
                <w:lang w:val="hu-HU"/>
              </w:rPr>
              <w:t>24,0%</w:t>
            </w:r>
          </w:p>
        </w:tc>
        <w:tc>
          <w:tcPr>
            <w:tcW w:w="1544" w:type="dxa"/>
            <w:tcBorders>
              <w:top w:val="nil"/>
              <w:left w:val="nil"/>
              <w:bottom w:val="single" w:sz="4" w:space="0" w:color="auto"/>
              <w:right w:val="single" w:sz="4" w:space="0" w:color="auto"/>
            </w:tcBorders>
          </w:tcPr>
          <w:p w14:paraId="0699AD2E" w14:textId="77777777" w:rsidR="00C770CB" w:rsidRPr="00CF5D7A" w:rsidRDefault="00C770CB" w:rsidP="007E7849">
            <w:pPr>
              <w:pStyle w:val="TableParagraph"/>
              <w:spacing w:line="241" w:lineRule="exact"/>
              <w:ind w:left="567"/>
              <w:rPr>
                <w:rFonts w:ascii="Times New Roman" w:eastAsia="Times New Roman" w:hAnsi="Times New Roman" w:cs="Times New Roman"/>
                <w:lang w:val="hu-HU"/>
              </w:rPr>
            </w:pPr>
            <w:r w:rsidRPr="00CF5D7A">
              <w:rPr>
                <w:rFonts w:ascii="Times New Roman" w:eastAsia="Times New Roman" w:hAnsi="Times New Roman" w:cs="Times New Roman"/>
                <w:lang w:val="hu-HU"/>
              </w:rPr>
              <w:t>58,9%</w:t>
            </w:r>
          </w:p>
        </w:tc>
      </w:tr>
      <w:tr w:rsidR="00C770CB" w:rsidRPr="00CF5D7A" w14:paraId="178B1A6E" w14:textId="77777777" w:rsidTr="007E7849">
        <w:tc>
          <w:tcPr>
            <w:tcW w:w="1186" w:type="dxa"/>
            <w:tcBorders>
              <w:top w:val="single" w:sz="4" w:space="0" w:color="auto"/>
              <w:left w:val="single" w:sz="4" w:space="0" w:color="auto"/>
              <w:bottom w:val="nil"/>
              <w:right w:val="single" w:sz="4" w:space="0" w:color="auto"/>
            </w:tcBorders>
          </w:tcPr>
          <w:p w14:paraId="0DFC28F1" w14:textId="77777777" w:rsidR="00C770CB" w:rsidRPr="00CF5D7A" w:rsidRDefault="00C770CB" w:rsidP="007E7849">
            <w:pPr>
              <w:pStyle w:val="TableParagraph"/>
              <w:spacing w:line="242"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ACR 50</w:t>
            </w:r>
          </w:p>
        </w:tc>
        <w:tc>
          <w:tcPr>
            <w:tcW w:w="1075" w:type="dxa"/>
            <w:tcBorders>
              <w:top w:val="single" w:sz="4" w:space="0" w:color="auto"/>
              <w:left w:val="single" w:sz="4" w:space="0" w:color="auto"/>
              <w:bottom w:val="nil"/>
              <w:right w:val="nil"/>
            </w:tcBorders>
          </w:tcPr>
          <w:p w14:paraId="1DBB708E" w14:textId="77777777" w:rsidR="00C770CB" w:rsidRPr="00CF5D7A" w:rsidRDefault="00C770CB" w:rsidP="007E7849">
            <w:pPr>
              <w:rPr>
                <w:lang w:val="hu-HU"/>
              </w:rPr>
            </w:pPr>
          </w:p>
        </w:tc>
        <w:tc>
          <w:tcPr>
            <w:tcW w:w="1608" w:type="dxa"/>
            <w:tcBorders>
              <w:top w:val="single" w:sz="4" w:space="0" w:color="auto"/>
              <w:left w:val="nil"/>
              <w:bottom w:val="nil"/>
              <w:right w:val="single" w:sz="7" w:space="0" w:color="000000"/>
            </w:tcBorders>
          </w:tcPr>
          <w:p w14:paraId="3AD9CA9B" w14:textId="77777777" w:rsidR="00C770CB" w:rsidRPr="00CF5D7A" w:rsidRDefault="00C770CB" w:rsidP="007E7849">
            <w:pPr>
              <w:rPr>
                <w:lang w:val="hu-HU"/>
              </w:rPr>
            </w:pPr>
          </w:p>
        </w:tc>
        <w:tc>
          <w:tcPr>
            <w:tcW w:w="1273" w:type="dxa"/>
            <w:tcBorders>
              <w:top w:val="single" w:sz="4" w:space="0" w:color="auto"/>
              <w:left w:val="single" w:sz="7" w:space="0" w:color="000000"/>
              <w:bottom w:val="nil"/>
              <w:right w:val="nil"/>
            </w:tcBorders>
          </w:tcPr>
          <w:p w14:paraId="503E800A" w14:textId="77777777" w:rsidR="00C770CB" w:rsidRPr="00CF5D7A" w:rsidRDefault="00C770CB" w:rsidP="007E7849">
            <w:pPr>
              <w:rPr>
                <w:lang w:val="hu-HU"/>
              </w:rPr>
            </w:pPr>
          </w:p>
        </w:tc>
        <w:tc>
          <w:tcPr>
            <w:tcW w:w="1288" w:type="dxa"/>
            <w:tcBorders>
              <w:top w:val="single" w:sz="4" w:space="0" w:color="auto"/>
              <w:left w:val="nil"/>
              <w:bottom w:val="nil"/>
              <w:right w:val="single" w:sz="7" w:space="0" w:color="000000"/>
            </w:tcBorders>
          </w:tcPr>
          <w:p w14:paraId="08C2D069" w14:textId="77777777" w:rsidR="00C770CB" w:rsidRPr="00CF5D7A" w:rsidRDefault="00C770CB" w:rsidP="007E7849">
            <w:pPr>
              <w:rPr>
                <w:lang w:val="hu-HU"/>
              </w:rPr>
            </w:pPr>
          </w:p>
        </w:tc>
        <w:tc>
          <w:tcPr>
            <w:tcW w:w="1151" w:type="dxa"/>
            <w:tcBorders>
              <w:top w:val="single" w:sz="4" w:space="0" w:color="auto"/>
              <w:left w:val="single" w:sz="7" w:space="0" w:color="000000"/>
              <w:bottom w:val="nil"/>
              <w:right w:val="nil"/>
            </w:tcBorders>
          </w:tcPr>
          <w:p w14:paraId="34C1F847" w14:textId="77777777" w:rsidR="00C770CB" w:rsidRPr="00CF5D7A" w:rsidRDefault="00C770CB" w:rsidP="007E7849">
            <w:pPr>
              <w:rPr>
                <w:lang w:val="hu-HU"/>
              </w:rPr>
            </w:pPr>
          </w:p>
        </w:tc>
        <w:tc>
          <w:tcPr>
            <w:tcW w:w="1544" w:type="dxa"/>
            <w:tcBorders>
              <w:top w:val="single" w:sz="4" w:space="0" w:color="auto"/>
              <w:left w:val="nil"/>
              <w:bottom w:val="nil"/>
              <w:right w:val="single" w:sz="4" w:space="0" w:color="auto"/>
            </w:tcBorders>
          </w:tcPr>
          <w:p w14:paraId="105E951C" w14:textId="77777777" w:rsidR="00C770CB" w:rsidRPr="00CF5D7A" w:rsidRDefault="00C770CB" w:rsidP="007E7849">
            <w:pPr>
              <w:rPr>
                <w:lang w:val="hu-HU"/>
              </w:rPr>
            </w:pPr>
          </w:p>
        </w:tc>
      </w:tr>
      <w:tr w:rsidR="00C770CB" w:rsidRPr="00CF5D7A" w14:paraId="1398FD74" w14:textId="77777777" w:rsidTr="007E7849">
        <w:tc>
          <w:tcPr>
            <w:tcW w:w="1186" w:type="dxa"/>
            <w:tcBorders>
              <w:top w:val="nil"/>
              <w:left w:val="single" w:sz="4" w:space="0" w:color="auto"/>
              <w:right w:val="single" w:sz="4" w:space="0" w:color="auto"/>
            </w:tcBorders>
          </w:tcPr>
          <w:p w14:paraId="4E81BDD5" w14:textId="77777777" w:rsidR="00C770CB" w:rsidRPr="00CF5D7A" w:rsidRDefault="00C770CB" w:rsidP="007E7849">
            <w:pPr>
              <w:pStyle w:val="TableParagraph"/>
              <w:spacing w:line="241" w:lineRule="exact"/>
              <w:ind w:left="144"/>
              <w:rPr>
                <w:rFonts w:ascii="Times New Roman" w:eastAsia="Times New Roman" w:hAnsi="Times New Roman" w:cs="Times New Roman"/>
                <w:lang w:val="hu-HU"/>
              </w:rPr>
            </w:pPr>
            <w:r w:rsidRPr="00CF5D7A">
              <w:rPr>
                <w:rFonts w:ascii="Times New Roman" w:eastAsia="Times New Roman" w:hAnsi="Times New Roman" w:cs="Times New Roman"/>
                <w:lang w:val="hu-HU"/>
              </w:rPr>
              <w:t>6 hónap</w:t>
            </w:r>
          </w:p>
        </w:tc>
        <w:tc>
          <w:tcPr>
            <w:tcW w:w="1075" w:type="dxa"/>
            <w:tcBorders>
              <w:top w:val="nil"/>
              <w:left w:val="single" w:sz="4" w:space="0" w:color="auto"/>
              <w:right w:val="nil"/>
            </w:tcBorders>
          </w:tcPr>
          <w:p w14:paraId="625C8658" w14:textId="77777777" w:rsidR="00C770CB" w:rsidRPr="00CF5D7A" w:rsidRDefault="00C770CB" w:rsidP="007E7849">
            <w:pPr>
              <w:pStyle w:val="TableParagraph"/>
              <w:spacing w:line="241" w:lineRule="exact"/>
              <w:ind w:left="337"/>
              <w:rPr>
                <w:rFonts w:ascii="Times New Roman" w:eastAsia="Times New Roman" w:hAnsi="Times New Roman" w:cs="Times New Roman"/>
                <w:lang w:val="hu-HU"/>
              </w:rPr>
            </w:pPr>
            <w:r w:rsidRPr="00CF5D7A">
              <w:rPr>
                <w:rFonts w:ascii="Times New Roman" w:eastAsia="Times New Roman" w:hAnsi="Times New Roman" w:cs="Times New Roman"/>
                <w:lang w:val="hu-HU"/>
              </w:rPr>
              <w:t>6,7%</w:t>
            </w:r>
          </w:p>
        </w:tc>
        <w:tc>
          <w:tcPr>
            <w:tcW w:w="1608" w:type="dxa"/>
            <w:tcBorders>
              <w:top w:val="nil"/>
              <w:left w:val="nil"/>
              <w:right w:val="single" w:sz="7" w:space="0" w:color="000000"/>
            </w:tcBorders>
          </w:tcPr>
          <w:p w14:paraId="129AC260" w14:textId="77777777" w:rsidR="00C770CB" w:rsidRPr="00CF5D7A" w:rsidRDefault="00C770CB" w:rsidP="007E7849">
            <w:pPr>
              <w:pStyle w:val="TableParagraph"/>
              <w:spacing w:line="241" w:lineRule="exact"/>
              <w:ind w:left="544"/>
              <w:rPr>
                <w:rFonts w:ascii="Times New Roman" w:eastAsia="Times New Roman" w:hAnsi="Times New Roman" w:cs="Times New Roman"/>
                <w:lang w:val="hu-HU"/>
              </w:rPr>
            </w:pPr>
            <w:r w:rsidRPr="00CF5D7A">
              <w:rPr>
                <w:rFonts w:ascii="Times New Roman" w:eastAsia="Times New Roman" w:hAnsi="Times New Roman" w:cs="Times New Roman"/>
                <w:lang w:val="hu-HU"/>
              </w:rPr>
              <w:t>52,4%</w:t>
            </w:r>
          </w:p>
        </w:tc>
        <w:tc>
          <w:tcPr>
            <w:tcW w:w="1273" w:type="dxa"/>
            <w:tcBorders>
              <w:top w:val="nil"/>
              <w:left w:val="single" w:sz="7" w:space="0" w:color="000000"/>
              <w:right w:val="nil"/>
            </w:tcBorders>
          </w:tcPr>
          <w:p w14:paraId="561F9FA3" w14:textId="77777777" w:rsidR="00C770CB" w:rsidRPr="00CF5D7A" w:rsidRDefault="00C770CB" w:rsidP="007E7849">
            <w:pPr>
              <w:pStyle w:val="TableParagraph"/>
              <w:spacing w:line="241" w:lineRule="exact"/>
              <w:ind w:left="428"/>
              <w:rPr>
                <w:rFonts w:ascii="Times New Roman" w:eastAsia="Times New Roman" w:hAnsi="Times New Roman" w:cs="Times New Roman"/>
                <w:lang w:val="hu-HU"/>
              </w:rPr>
            </w:pPr>
            <w:r w:rsidRPr="00CF5D7A">
              <w:rPr>
                <w:rFonts w:ascii="Times New Roman" w:eastAsia="Times New Roman" w:hAnsi="Times New Roman" w:cs="Times New Roman"/>
                <w:lang w:val="hu-HU"/>
              </w:rPr>
              <w:t>8,2%</w:t>
            </w:r>
          </w:p>
        </w:tc>
        <w:tc>
          <w:tcPr>
            <w:tcW w:w="1288" w:type="dxa"/>
            <w:tcBorders>
              <w:top w:val="nil"/>
              <w:left w:val="nil"/>
              <w:right w:val="single" w:sz="7" w:space="0" w:color="000000"/>
            </w:tcBorders>
          </w:tcPr>
          <w:p w14:paraId="163C03FD" w14:textId="77777777" w:rsidR="00C770CB" w:rsidRPr="00CF5D7A" w:rsidRDefault="00C770CB" w:rsidP="007E7849">
            <w:pPr>
              <w:pStyle w:val="TableParagraph"/>
              <w:spacing w:line="241" w:lineRule="exact"/>
              <w:ind w:left="363"/>
              <w:rPr>
                <w:rFonts w:ascii="Times New Roman" w:eastAsia="Times New Roman" w:hAnsi="Times New Roman" w:cs="Times New Roman"/>
                <w:lang w:val="hu-HU"/>
              </w:rPr>
            </w:pPr>
            <w:r w:rsidRPr="00CF5D7A">
              <w:rPr>
                <w:rFonts w:ascii="Times New Roman" w:eastAsia="Times New Roman" w:hAnsi="Times New Roman" w:cs="Times New Roman"/>
                <w:lang w:val="hu-HU"/>
              </w:rPr>
              <w:t>22,1%</w:t>
            </w:r>
          </w:p>
        </w:tc>
        <w:tc>
          <w:tcPr>
            <w:tcW w:w="1151" w:type="dxa"/>
            <w:tcBorders>
              <w:top w:val="nil"/>
              <w:left w:val="single" w:sz="7" w:space="0" w:color="000000"/>
              <w:right w:val="nil"/>
            </w:tcBorders>
          </w:tcPr>
          <w:p w14:paraId="1771B73C" w14:textId="77777777" w:rsidR="00C770CB" w:rsidRPr="00CF5D7A" w:rsidRDefault="00C770CB" w:rsidP="007E7849">
            <w:pPr>
              <w:pStyle w:val="TableParagraph"/>
              <w:spacing w:line="241" w:lineRule="exact"/>
              <w:ind w:left="455"/>
              <w:rPr>
                <w:rFonts w:ascii="Times New Roman" w:eastAsia="Times New Roman" w:hAnsi="Times New Roman" w:cs="Times New Roman"/>
                <w:lang w:val="hu-HU"/>
              </w:rPr>
            </w:pPr>
            <w:r w:rsidRPr="00CF5D7A">
              <w:rPr>
                <w:rFonts w:ascii="Times New Roman" w:eastAsia="Times New Roman" w:hAnsi="Times New Roman" w:cs="Times New Roman"/>
                <w:lang w:val="hu-HU"/>
              </w:rPr>
              <w:t>9,5%</w:t>
            </w:r>
          </w:p>
        </w:tc>
        <w:tc>
          <w:tcPr>
            <w:tcW w:w="1544" w:type="dxa"/>
            <w:tcBorders>
              <w:top w:val="nil"/>
              <w:left w:val="nil"/>
              <w:right w:val="single" w:sz="4" w:space="0" w:color="auto"/>
            </w:tcBorders>
          </w:tcPr>
          <w:p w14:paraId="008F46BA" w14:textId="77777777" w:rsidR="00C770CB" w:rsidRPr="00CF5D7A" w:rsidRDefault="00C770CB" w:rsidP="007E7849">
            <w:pPr>
              <w:pStyle w:val="TableParagraph"/>
              <w:spacing w:line="241" w:lineRule="exact"/>
              <w:ind w:left="567"/>
              <w:rPr>
                <w:rFonts w:ascii="Times New Roman" w:eastAsia="Times New Roman" w:hAnsi="Times New Roman" w:cs="Times New Roman"/>
                <w:lang w:val="hu-HU"/>
              </w:rPr>
            </w:pPr>
            <w:r w:rsidRPr="00CF5D7A">
              <w:rPr>
                <w:rFonts w:ascii="Times New Roman" w:eastAsia="Times New Roman" w:hAnsi="Times New Roman" w:cs="Times New Roman"/>
                <w:lang w:val="hu-HU"/>
              </w:rPr>
              <w:t>39,1%</w:t>
            </w:r>
          </w:p>
        </w:tc>
      </w:tr>
      <w:tr w:rsidR="00C770CB" w:rsidRPr="00CF5D7A" w14:paraId="5377D27C" w14:textId="77777777" w:rsidTr="007E7849">
        <w:tc>
          <w:tcPr>
            <w:tcW w:w="1186" w:type="dxa"/>
            <w:tcBorders>
              <w:top w:val="nil"/>
              <w:left w:val="single" w:sz="4" w:space="0" w:color="auto"/>
              <w:bottom w:val="single" w:sz="4" w:space="0" w:color="auto"/>
              <w:right w:val="single" w:sz="4" w:space="0" w:color="auto"/>
            </w:tcBorders>
          </w:tcPr>
          <w:p w14:paraId="6F40013D" w14:textId="77777777" w:rsidR="00C770CB" w:rsidRPr="00CF5D7A" w:rsidRDefault="00C770CB" w:rsidP="007E7849">
            <w:pPr>
              <w:pStyle w:val="TableParagraph"/>
              <w:spacing w:line="242" w:lineRule="exact"/>
              <w:ind w:left="144"/>
              <w:rPr>
                <w:rFonts w:ascii="Times New Roman" w:eastAsia="Times New Roman" w:hAnsi="Times New Roman" w:cs="Times New Roman"/>
                <w:lang w:val="hu-HU"/>
              </w:rPr>
            </w:pPr>
            <w:r w:rsidRPr="00CF5D7A">
              <w:rPr>
                <w:rFonts w:ascii="Times New Roman" w:eastAsia="Times New Roman" w:hAnsi="Times New Roman" w:cs="Times New Roman"/>
                <w:lang w:val="hu-HU"/>
              </w:rPr>
              <w:t>12 hónap</w:t>
            </w:r>
          </w:p>
        </w:tc>
        <w:tc>
          <w:tcPr>
            <w:tcW w:w="1075" w:type="dxa"/>
            <w:tcBorders>
              <w:top w:val="nil"/>
              <w:left w:val="single" w:sz="4" w:space="0" w:color="auto"/>
              <w:bottom w:val="single" w:sz="4" w:space="0" w:color="auto"/>
              <w:right w:val="nil"/>
            </w:tcBorders>
          </w:tcPr>
          <w:p w14:paraId="057C6C0D" w14:textId="77777777" w:rsidR="00C770CB" w:rsidRPr="00CF5D7A" w:rsidRDefault="00C770CB" w:rsidP="007E7849">
            <w:pPr>
              <w:pStyle w:val="TableParagraph"/>
              <w:spacing w:line="242"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608" w:type="dxa"/>
            <w:tcBorders>
              <w:top w:val="nil"/>
              <w:left w:val="nil"/>
              <w:bottom w:val="single" w:sz="4" w:space="0" w:color="auto"/>
              <w:right w:val="single" w:sz="7" w:space="0" w:color="000000"/>
            </w:tcBorders>
          </w:tcPr>
          <w:p w14:paraId="1149D35E" w14:textId="77777777" w:rsidR="00C770CB" w:rsidRPr="00CF5D7A" w:rsidRDefault="00C770CB" w:rsidP="007E7849">
            <w:pPr>
              <w:pStyle w:val="TableParagraph"/>
              <w:spacing w:line="242"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273" w:type="dxa"/>
            <w:tcBorders>
              <w:top w:val="nil"/>
              <w:left w:val="single" w:sz="7" w:space="0" w:color="000000"/>
              <w:bottom w:val="single" w:sz="4" w:space="0" w:color="auto"/>
              <w:right w:val="nil"/>
            </w:tcBorders>
          </w:tcPr>
          <w:p w14:paraId="583E69CE" w14:textId="77777777" w:rsidR="00C770CB" w:rsidRPr="00CF5D7A" w:rsidRDefault="00C770CB" w:rsidP="007E7849">
            <w:pPr>
              <w:pStyle w:val="TableParagraph"/>
              <w:spacing w:line="242"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288" w:type="dxa"/>
            <w:tcBorders>
              <w:top w:val="nil"/>
              <w:left w:val="nil"/>
              <w:bottom w:val="single" w:sz="4" w:space="0" w:color="auto"/>
              <w:right w:val="single" w:sz="7" w:space="0" w:color="000000"/>
            </w:tcBorders>
          </w:tcPr>
          <w:p w14:paraId="6D6DE790" w14:textId="77777777" w:rsidR="00C770CB" w:rsidRPr="00CF5D7A" w:rsidRDefault="00C770CB" w:rsidP="007E7849">
            <w:pPr>
              <w:pStyle w:val="TableParagraph"/>
              <w:spacing w:line="242"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151" w:type="dxa"/>
            <w:tcBorders>
              <w:top w:val="nil"/>
              <w:left w:val="single" w:sz="7" w:space="0" w:color="000000"/>
              <w:bottom w:val="single" w:sz="4" w:space="0" w:color="auto"/>
              <w:right w:val="nil"/>
            </w:tcBorders>
          </w:tcPr>
          <w:p w14:paraId="2C597673" w14:textId="77777777" w:rsidR="00C770CB" w:rsidRPr="00CF5D7A" w:rsidRDefault="00C770CB" w:rsidP="007E7849">
            <w:pPr>
              <w:pStyle w:val="TableParagraph"/>
              <w:spacing w:line="242" w:lineRule="exact"/>
              <w:ind w:left="455"/>
              <w:rPr>
                <w:rFonts w:ascii="Times New Roman" w:eastAsia="Times New Roman" w:hAnsi="Times New Roman" w:cs="Times New Roman"/>
                <w:lang w:val="hu-HU"/>
              </w:rPr>
            </w:pPr>
            <w:r w:rsidRPr="00CF5D7A">
              <w:rPr>
                <w:rFonts w:ascii="Times New Roman" w:eastAsia="Times New Roman" w:hAnsi="Times New Roman" w:cs="Times New Roman"/>
                <w:lang w:val="hu-HU"/>
              </w:rPr>
              <w:t>9,5%</w:t>
            </w:r>
          </w:p>
        </w:tc>
        <w:tc>
          <w:tcPr>
            <w:tcW w:w="1544" w:type="dxa"/>
            <w:tcBorders>
              <w:top w:val="nil"/>
              <w:left w:val="nil"/>
              <w:bottom w:val="single" w:sz="4" w:space="0" w:color="auto"/>
              <w:right w:val="single" w:sz="4" w:space="0" w:color="auto"/>
            </w:tcBorders>
          </w:tcPr>
          <w:p w14:paraId="7F21EC6B" w14:textId="77777777" w:rsidR="00C770CB" w:rsidRPr="00CF5D7A" w:rsidRDefault="00C770CB" w:rsidP="007E7849">
            <w:pPr>
              <w:pStyle w:val="TableParagraph"/>
              <w:spacing w:line="242" w:lineRule="exact"/>
              <w:ind w:left="567"/>
              <w:rPr>
                <w:rFonts w:ascii="Times New Roman" w:eastAsia="Times New Roman" w:hAnsi="Times New Roman" w:cs="Times New Roman"/>
                <w:lang w:val="hu-HU"/>
              </w:rPr>
            </w:pPr>
            <w:r w:rsidRPr="00CF5D7A">
              <w:rPr>
                <w:rFonts w:ascii="Times New Roman" w:eastAsia="Times New Roman" w:hAnsi="Times New Roman" w:cs="Times New Roman"/>
                <w:lang w:val="hu-HU"/>
              </w:rPr>
              <w:t>41,5%</w:t>
            </w:r>
          </w:p>
        </w:tc>
      </w:tr>
      <w:tr w:rsidR="00C770CB" w:rsidRPr="00CF5D7A" w14:paraId="6A54C507" w14:textId="77777777" w:rsidTr="007E7849">
        <w:tc>
          <w:tcPr>
            <w:tcW w:w="1186" w:type="dxa"/>
            <w:tcBorders>
              <w:top w:val="single" w:sz="4" w:space="0" w:color="auto"/>
              <w:left w:val="single" w:sz="4" w:space="0" w:color="auto"/>
              <w:right w:val="single" w:sz="4" w:space="0" w:color="auto"/>
            </w:tcBorders>
          </w:tcPr>
          <w:p w14:paraId="36D2C493" w14:textId="77777777" w:rsidR="00C770CB" w:rsidRPr="00CF5D7A" w:rsidRDefault="00C770CB" w:rsidP="007E7849">
            <w:pPr>
              <w:pStyle w:val="TableParagraph"/>
              <w:spacing w:line="241"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ACR 70</w:t>
            </w:r>
          </w:p>
        </w:tc>
        <w:tc>
          <w:tcPr>
            <w:tcW w:w="1075" w:type="dxa"/>
            <w:tcBorders>
              <w:top w:val="single" w:sz="4" w:space="0" w:color="auto"/>
              <w:left w:val="single" w:sz="4" w:space="0" w:color="auto"/>
              <w:bottom w:val="nil"/>
              <w:right w:val="nil"/>
            </w:tcBorders>
          </w:tcPr>
          <w:p w14:paraId="4ECC19F6" w14:textId="77777777" w:rsidR="00C770CB" w:rsidRPr="00CF5D7A" w:rsidRDefault="00C770CB" w:rsidP="007E7849">
            <w:pPr>
              <w:rPr>
                <w:lang w:val="hu-HU"/>
              </w:rPr>
            </w:pPr>
          </w:p>
        </w:tc>
        <w:tc>
          <w:tcPr>
            <w:tcW w:w="1608" w:type="dxa"/>
            <w:tcBorders>
              <w:top w:val="single" w:sz="4" w:space="0" w:color="auto"/>
              <w:left w:val="nil"/>
              <w:bottom w:val="nil"/>
              <w:right w:val="single" w:sz="7" w:space="0" w:color="000000"/>
            </w:tcBorders>
          </w:tcPr>
          <w:p w14:paraId="070CD50D" w14:textId="77777777" w:rsidR="00C770CB" w:rsidRPr="00CF5D7A" w:rsidRDefault="00C770CB" w:rsidP="007E7849">
            <w:pPr>
              <w:rPr>
                <w:lang w:val="hu-HU"/>
              </w:rPr>
            </w:pPr>
          </w:p>
        </w:tc>
        <w:tc>
          <w:tcPr>
            <w:tcW w:w="1273" w:type="dxa"/>
            <w:tcBorders>
              <w:top w:val="single" w:sz="4" w:space="0" w:color="auto"/>
              <w:left w:val="single" w:sz="7" w:space="0" w:color="000000"/>
              <w:bottom w:val="nil"/>
              <w:right w:val="nil"/>
            </w:tcBorders>
          </w:tcPr>
          <w:p w14:paraId="12560FAB" w14:textId="77777777" w:rsidR="00C770CB" w:rsidRPr="00CF5D7A" w:rsidRDefault="00C770CB" w:rsidP="007E7849">
            <w:pPr>
              <w:rPr>
                <w:lang w:val="hu-HU"/>
              </w:rPr>
            </w:pPr>
          </w:p>
        </w:tc>
        <w:tc>
          <w:tcPr>
            <w:tcW w:w="1288" w:type="dxa"/>
            <w:tcBorders>
              <w:top w:val="single" w:sz="4" w:space="0" w:color="auto"/>
              <w:left w:val="nil"/>
              <w:bottom w:val="nil"/>
              <w:right w:val="single" w:sz="7" w:space="0" w:color="000000"/>
            </w:tcBorders>
          </w:tcPr>
          <w:p w14:paraId="0AA3D297" w14:textId="77777777" w:rsidR="00C770CB" w:rsidRPr="00CF5D7A" w:rsidRDefault="00C770CB" w:rsidP="007E7849">
            <w:pPr>
              <w:rPr>
                <w:lang w:val="hu-HU"/>
              </w:rPr>
            </w:pPr>
          </w:p>
        </w:tc>
        <w:tc>
          <w:tcPr>
            <w:tcW w:w="1151" w:type="dxa"/>
            <w:tcBorders>
              <w:top w:val="single" w:sz="4" w:space="0" w:color="auto"/>
              <w:left w:val="single" w:sz="7" w:space="0" w:color="000000"/>
              <w:bottom w:val="nil"/>
              <w:right w:val="nil"/>
            </w:tcBorders>
          </w:tcPr>
          <w:p w14:paraId="49D29890" w14:textId="77777777" w:rsidR="00C770CB" w:rsidRPr="00CF5D7A" w:rsidRDefault="00C770CB" w:rsidP="007E7849">
            <w:pPr>
              <w:rPr>
                <w:lang w:val="hu-HU"/>
              </w:rPr>
            </w:pPr>
          </w:p>
        </w:tc>
        <w:tc>
          <w:tcPr>
            <w:tcW w:w="1544" w:type="dxa"/>
            <w:tcBorders>
              <w:top w:val="single" w:sz="4" w:space="0" w:color="auto"/>
              <w:left w:val="nil"/>
              <w:bottom w:val="nil"/>
              <w:right w:val="single" w:sz="4" w:space="0" w:color="auto"/>
            </w:tcBorders>
          </w:tcPr>
          <w:p w14:paraId="2F339E83" w14:textId="77777777" w:rsidR="00C770CB" w:rsidRPr="00CF5D7A" w:rsidRDefault="00C770CB" w:rsidP="007E7849">
            <w:pPr>
              <w:rPr>
                <w:lang w:val="hu-HU"/>
              </w:rPr>
            </w:pPr>
          </w:p>
        </w:tc>
      </w:tr>
      <w:tr w:rsidR="00C770CB" w:rsidRPr="00CF5D7A" w14:paraId="799D8F1D" w14:textId="77777777" w:rsidTr="007E7849">
        <w:tc>
          <w:tcPr>
            <w:tcW w:w="1186" w:type="dxa"/>
            <w:tcBorders>
              <w:top w:val="nil"/>
              <w:left w:val="single" w:sz="4" w:space="0" w:color="auto"/>
              <w:right w:val="single" w:sz="4" w:space="0" w:color="auto"/>
            </w:tcBorders>
          </w:tcPr>
          <w:p w14:paraId="51179BA6" w14:textId="77777777" w:rsidR="00C770CB" w:rsidRPr="00CF5D7A" w:rsidRDefault="00C770CB" w:rsidP="007E7849">
            <w:pPr>
              <w:pStyle w:val="TableParagraph"/>
              <w:spacing w:line="242" w:lineRule="exact"/>
              <w:ind w:left="144"/>
              <w:rPr>
                <w:rFonts w:ascii="Times New Roman" w:eastAsia="Times New Roman" w:hAnsi="Times New Roman" w:cs="Times New Roman"/>
                <w:lang w:val="hu-HU"/>
              </w:rPr>
            </w:pPr>
            <w:r w:rsidRPr="00CF5D7A">
              <w:rPr>
                <w:rFonts w:ascii="Times New Roman" w:eastAsia="Times New Roman" w:hAnsi="Times New Roman" w:cs="Times New Roman"/>
                <w:lang w:val="hu-HU"/>
              </w:rPr>
              <w:t>6 hónap</w:t>
            </w:r>
          </w:p>
        </w:tc>
        <w:tc>
          <w:tcPr>
            <w:tcW w:w="1075" w:type="dxa"/>
            <w:tcBorders>
              <w:top w:val="nil"/>
              <w:left w:val="single" w:sz="4" w:space="0" w:color="auto"/>
              <w:bottom w:val="nil"/>
              <w:right w:val="nil"/>
            </w:tcBorders>
          </w:tcPr>
          <w:p w14:paraId="11BAFDAF" w14:textId="77777777" w:rsidR="00C770CB" w:rsidRPr="00CF5D7A" w:rsidRDefault="00C770CB" w:rsidP="007E7849">
            <w:pPr>
              <w:pStyle w:val="TableParagraph"/>
              <w:spacing w:line="242" w:lineRule="exact"/>
              <w:ind w:left="337"/>
              <w:rPr>
                <w:rFonts w:ascii="Times New Roman" w:eastAsia="Times New Roman" w:hAnsi="Times New Roman" w:cs="Times New Roman"/>
                <w:lang w:val="hu-HU"/>
              </w:rPr>
            </w:pPr>
            <w:r w:rsidRPr="00CF5D7A">
              <w:rPr>
                <w:rFonts w:ascii="Times New Roman" w:eastAsia="Times New Roman" w:hAnsi="Times New Roman" w:cs="Times New Roman"/>
                <w:lang w:val="hu-HU"/>
              </w:rPr>
              <w:t>3,3%</w:t>
            </w:r>
          </w:p>
        </w:tc>
        <w:tc>
          <w:tcPr>
            <w:tcW w:w="1608" w:type="dxa"/>
            <w:tcBorders>
              <w:top w:val="nil"/>
              <w:left w:val="nil"/>
              <w:bottom w:val="nil"/>
              <w:right w:val="single" w:sz="7" w:space="0" w:color="000000"/>
            </w:tcBorders>
          </w:tcPr>
          <w:p w14:paraId="4DA2D5E6" w14:textId="77777777" w:rsidR="00C770CB" w:rsidRPr="00CF5D7A" w:rsidRDefault="00C770CB" w:rsidP="007E7849">
            <w:pPr>
              <w:pStyle w:val="TableParagraph"/>
              <w:spacing w:line="242" w:lineRule="exact"/>
              <w:ind w:left="544"/>
              <w:rPr>
                <w:rFonts w:ascii="Times New Roman" w:eastAsia="Times New Roman" w:hAnsi="Times New Roman" w:cs="Times New Roman"/>
                <w:lang w:val="hu-HU"/>
              </w:rPr>
            </w:pPr>
            <w:r w:rsidRPr="00CF5D7A">
              <w:rPr>
                <w:rFonts w:ascii="Times New Roman" w:eastAsia="Times New Roman" w:hAnsi="Times New Roman" w:cs="Times New Roman"/>
                <w:lang w:val="hu-HU"/>
              </w:rPr>
              <w:t>23,8%</w:t>
            </w:r>
          </w:p>
        </w:tc>
        <w:tc>
          <w:tcPr>
            <w:tcW w:w="1273" w:type="dxa"/>
            <w:tcBorders>
              <w:top w:val="nil"/>
              <w:left w:val="single" w:sz="7" w:space="0" w:color="000000"/>
              <w:bottom w:val="nil"/>
              <w:right w:val="nil"/>
            </w:tcBorders>
          </w:tcPr>
          <w:p w14:paraId="7AF4C2A6" w14:textId="77777777" w:rsidR="00C770CB" w:rsidRPr="00CF5D7A" w:rsidRDefault="00C770CB" w:rsidP="007E7849">
            <w:pPr>
              <w:pStyle w:val="TableParagraph"/>
              <w:spacing w:line="242" w:lineRule="exact"/>
              <w:ind w:left="428"/>
              <w:rPr>
                <w:rFonts w:ascii="Times New Roman" w:eastAsia="Times New Roman" w:hAnsi="Times New Roman" w:cs="Times New Roman"/>
                <w:lang w:val="hu-HU"/>
              </w:rPr>
            </w:pPr>
            <w:r w:rsidRPr="00CF5D7A">
              <w:rPr>
                <w:rFonts w:ascii="Times New Roman" w:eastAsia="Times New Roman" w:hAnsi="Times New Roman" w:cs="Times New Roman"/>
                <w:lang w:val="hu-HU"/>
              </w:rPr>
              <w:t>1,8%</w:t>
            </w:r>
          </w:p>
        </w:tc>
        <w:tc>
          <w:tcPr>
            <w:tcW w:w="1288" w:type="dxa"/>
            <w:tcBorders>
              <w:top w:val="nil"/>
              <w:left w:val="nil"/>
              <w:bottom w:val="nil"/>
              <w:right w:val="single" w:sz="7" w:space="0" w:color="000000"/>
            </w:tcBorders>
          </w:tcPr>
          <w:p w14:paraId="1ADC624D" w14:textId="77777777" w:rsidR="00C770CB" w:rsidRPr="00CF5D7A" w:rsidRDefault="00C770CB" w:rsidP="007E7849">
            <w:pPr>
              <w:pStyle w:val="TableParagraph"/>
              <w:spacing w:line="242" w:lineRule="exact"/>
              <w:ind w:left="363"/>
              <w:rPr>
                <w:rFonts w:ascii="Times New Roman" w:eastAsia="Times New Roman" w:hAnsi="Times New Roman" w:cs="Times New Roman"/>
                <w:lang w:val="hu-HU"/>
              </w:rPr>
            </w:pPr>
            <w:r w:rsidRPr="00CF5D7A">
              <w:rPr>
                <w:rFonts w:ascii="Times New Roman" w:eastAsia="Times New Roman" w:hAnsi="Times New Roman" w:cs="Times New Roman"/>
                <w:lang w:val="hu-HU"/>
              </w:rPr>
              <w:t>12,4%</w:t>
            </w:r>
          </w:p>
        </w:tc>
        <w:tc>
          <w:tcPr>
            <w:tcW w:w="1151" w:type="dxa"/>
            <w:tcBorders>
              <w:top w:val="nil"/>
              <w:left w:val="single" w:sz="7" w:space="0" w:color="000000"/>
              <w:bottom w:val="nil"/>
              <w:right w:val="nil"/>
            </w:tcBorders>
          </w:tcPr>
          <w:p w14:paraId="13B3F187" w14:textId="77777777" w:rsidR="00C770CB" w:rsidRPr="00CF5D7A" w:rsidRDefault="00C770CB" w:rsidP="007E7849">
            <w:pPr>
              <w:pStyle w:val="TableParagraph"/>
              <w:spacing w:line="242" w:lineRule="exact"/>
              <w:ind w:left="455"/>
              <w:rPr>
                <w:rFonts w:ascii="Times New Roman" w:eastAsia="Times New Roman" w:hAnsi="Times New Roman" w:cs="Times New Roman"/>
                <w:lang w:val="hu-HU"/>
              </w:rPr>
            </w:pPr>
            <w:r w:rsidRPr="00CF5D7A">
              <w:rPr>
                <w:rFonts w:ascii="Times New Roman" w:eastAsia="Times New Roman" w:hAnsi="Times New Roman" w:cs="Times New Roman"/>
                <w:lang w:val="hu-HU"/>
              </w:rPr>
              <w:t>2,5%</w:t>
            </w:r>
          </w:p>
        </w:tc>
        <w:tc>
          <w:tcPr>
            <w:tcW w:w="1544" w:type="dxa"/>
            <w:tcBorders>
              <w:top w:val="nil"/>
              <w:left w:val="nil"/>
              <w:right w:val="single" w:sz="4" w:space="0" w:color="auto"/>
            </w:tcBorders>
          </w:tcPr>
          <w:p w14:paraId="79457B71" w14:textId="77777777" w:rsidR="00C770CB" w:rsidRPr="00CF5D7A" w:rsidRDefault="00C770CB" w:rsidP="007E7849">
            <w:pPr>
              <w:pStyle w:val="TableParagraph"/>
              <w:spacing w:line="242" w:lineRule="exact"/>
              <w:ind w:left="567"/>
              <w:rPr>
                <w:rFonts w:ascii="Times New Roman" w:eastAsia="Times New Roman" w:hAnsi="Times New Roman" w:cs="Times New Roman"/>
                <w:lang w:val="hu-HU"/>
              </w:rPr>
            </w:pPr>
            <w:r w:rsidRPr="00CF5D7A">
              <w:rPr>
                <w:rFonts w:ascii="Times New Roman" w:eastAsia="Times New Roman" w:hAnsi="Times New Roman" w:cs="Times New Roman"/>
                <w:lang w:val="hu-HU"/>
              </w:rPr>
              <w:t>20,8%</w:t>
            </w:r>
          </w:p>
        </w:tc>
      </w:tr>
      <w:tr w:rsidR="00C770CB" w:rsidRPr="00CF5D7A" w14:paraId="58223D38" w14:textId="77777777" w:rsidTr="007E7849">
        <w:tc>
          <w:tcPr>
            <w:tcW w:w="1186" w:type="dxa"/>
            <w:tcBorders>
              <w:top w:val="nil"/>
              <w:left w:val="single" w:sz="4" w:space="0" w:color="auto"/>
              <w:bottom w:val="single" w:sz="4" w:space="0" w:color="auto"/>
              <w:right w:val="single" w:sz="4" w:space="0" w:color="auto"/>
            </w:tcBorders>
          </w:tcPr>
          <w:p w14:paraId="2C884F7C" w14:textId="77777777" w:rsidR="00C770CB" w:rsidRPr="00CF5D7A" w:rsidRDefault="00C770CB" w:rsidP="007E7849">
            <w:pPr>
              <w:pStyle w:val="TableParagraph"/>
              <w:spacing w:line="241" w:lineRule="exact"/>
              <w:ind w:left="144"/>
              <w:rPr>
                <w:rFonts w:ascii="Times New Roman" w:eastAsia="Times New Roman" w:hAnsi="Times New Roman" w:cs="Times New Roman"/>
                <w:lang w:val="hu-HU"/>
              </w:rPr>
            </w:pPr>
            <w:r w:rsidRPr="00CF5D7A">
              <w:rPr>
                <w:rFonts w:ascii="Times New Roman" w:eastAsia="Times New Roman" w:hAnsi="Times New Roman" w:cs="Times New Roman"/>
                <w:lang w:val="hu-HU"/>
              </w:rPr>
              <w:t>12 hónap</w:t>
            </w:r>
          </w:p>
        </w:tc>
        <w:tc>
          <w:tcPr>
            <w:tcW w:w="1075" w:type="dxa"/>
            <w:tcBorders>
              <w:top w:val="nil"/>
              <w:left w:val="single" w:sz="4" w:space="0" w:color="auto"/>
              <w:bottom w:val="single" w:sz="7" w:space="0" w:color="000000"/>
              <w:right w:val="nil"/>
            </w:tcBorders>
          </w:tcPr>
          <w:p w14:paraId="045E1CF2" w14:textId="77777777" w:rsidR="00C770CB" w:rsidRPr="00CF5D7A" w:rsidRDefault="00C770CB" w:rsidP="007E7849">
            <w:pPr>
              <w:pStyle w:val="TableParagraph"/>
              <w:spacing w:line="241"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608" w:type="dxa"/>
            <w:tcBorders>
              <w:top w:val="nil"/>
              <w:left w:val="nil"/>
              <w:bottom w:val="single" w:sz="7" w:space="0" w:color="000000"/>
              <w:right w:val="single" w:sz="7" w:space="0" w:color="000000"/>
            </w:tcBorders>
          </w:tcPr>
          <w:p w14:paraId="29891BAD" w14:textId="77777777" w:rsidR="00C770CB" w:rsidRPr="00CF5D7A" w:rsidRDefault="00C770CB" w:rsidP="007E7849">
            <w:pPr>
              <w:pStyle w:val="TableParagraph"/>
              <w:spacing w:line="241"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273" w:type="dxa"/>
            <w:tcBorders>
              <w:top w:val="nil"/>
              <w:left w:val="single" w:sz="7" w:space="0" w:color="000000"/>
              <w:bottom w:val="single" w:sz="7" w:space="0" w:color="000000"/>
              <w:right w:val="nil"/>
            </w:tcBorders>
          </w:tcPr>
          <w:p w14:paraId="0BF77253" w14:textId="77777777" w:rsidR="00C770CB" w:rsidRPr="00CF5D7A" w:rsidRDefault="00C770CB" w:rsidP="007E7849">
            <w:pPr>
              <w:pStyle w:val="TableParagraph"/>
              <w:spacing w:line="241"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288" w:type="dxa"/>
            <w:tcBorders>
              <w:top w:val="nil"/>
              <w:left w:val="nil"/>
              <w:bottom w:val="single" w:sz="7" w:space="0" w:color="000000"/>
              <w:right w:val="single" w:sz="7" w:space="0" w:color="000000"/>
            </w:tcBorders>
          </w:tcPr>
          <w:p w14:paraId="2EE98FA7" w14:textId="77777777" w:rsidR="00C770CB" w:rsidRPr="00CF5D7A" w:rsidRDefault="00C770CB" w:rsidP="007E7849">
            <w:pPr>
              <w:pStyle w:val="TableParagraph"/>
              <w:spacing w:line="241"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151" w:type="dxa"/>
            <w:tcBorders>
              <w:top w:val="nil"/>
              <w:left w:val="single" w:sz="7" w:space="0" w:color="000000"/>
              <w:bottom w:val="single" w:sz="7" w:space="0" w:color="000000"/>
              <w:right w:val="nil"/>
            </w:tcBorders>
          </w:tcPr>
          <w:p w14:paraId="5138C7AB" w14:textId="77777777" w:rsidR="00C770CB" w:rsidRPr="00CF5D7A" w:rsidRDefault="00C770CB" w:rsidP="007E7849">
            <w:pPr>
              <w:pStyle w:val="TableParagraph"/>
              <w:spacing w:line="241" w:lineRule="exact"/>
              <w:ind w:left="455"/>
              <w:rPr>
                <w:rFonts w:ascii="Times New Roman" w:eastAsia="Times New Roman" w:hAnsi="Times New Roman" w:cs="Times New Roman"/>
                <w:lang w:val="hu-HU"/>
              </w:rPr>
            </w:pPr>
            <w:r w:rsidRPr="00CF5D7A">
              <w:rPr>
                <w:rFonts w:ascii="Times New Roman" w:eastAsia="Times New Roman" w:hAnsi="Times New Roman" w:cs="Times New Roman"/>
                <w:lang w:val="hu-HU"/>
              </w:rPr>
              <w:t>4,5%</w:t>
            </w:r>
          </w:p>
        </w:tc>
        <w:tc>
          <w:tcPr>
            <w:tcW w:w="1544" w:type="dxa"/>
            <w:tcBorders>
              <w:top w:val="nil"/>
              <w:left w:val="nil"/>
              <w:bottom w:val="single" w:sz="4" w:space="0" w:color="auto"/>
              <w:right w:val="single" w:sz="4" w:space="0" w:color="auto"/>
            </w:tcBorders>
          </w:tcPr>
          <w:p w14:paraId="0A50C856" w14:textId="77777777" w:rsidR="00C770CB" w:rsidRPr="00CF5D7A" w:rsidRDefault="00C770CB" w:rsidP="007E7849">
            <w:pPr>
              <w:pStyle w:val="TableParagraph"/>
              <w:spacing w:line="241" w:lineRule="exact"/>
              <w:ind w:left="567"/>
              <w:rPr>
                <w:rFonts w:ascii="Times New Roman" w:eastAsia="Times New Roman" w:hAnsi="Times New Roman" w:cs="Times New Roman"/>
                <w:lang w:val="hu-HU"/>
              </w:rPr>
            </w:pPr>
            <w:r w:rsidRPr="00CF5D7A">
              <w:rPr>
                <w:rFonts w:ascii="Times New Roman" w:eastAsia="Times New Roman" w:hAnsi="Times New Roman" w:cs="Times New Roman"/>
                <w:lang w:val="hu-HU"/>
              </w:rPr>
              <w:t>23,2%</w:t>
            </w:r>
          </w:p>
        </w:tc>
      </w:tr>
    </w:tbl>
    <w:p w14:paraId="34936D1A" w14:textId="77777777" w:rsidR="00C770CB" w:rsidRDefault="00C770CB" w:rsidP="00C770CB">
      <w:pPr>
        <w:pStyle w:val="a3"/>
        <w:numPr>
          <w:ilvl w:val="0"/>
          <w:numId w:val="0"/>
        </w:numPr>
        <w:rPr>
          <w:lang w:val="hu-HU"/>
        </w:rPr>
      </w:pPr>
      <w:r w:rsidRPr="009167C6">
        <w:rPr>
          <w:rFonts w:eastAsia="Times New Roman"/>
          <w:position w:val="8"/>
          <w:vertAlign w:val="superscript"/>
          <w:lang w:val="hu-HU"/>
        </w:rPr>
        <w:t>a</w:t>
      </w:r>
      <w:r w:rsidRPr="009167C6">
        <w:rPr>
          <w:rFonts w:eastAsia="Times New Roman"/>
          <w:position w:val="8"/>
          <w:lang w:val="hu-HU"/>
        </w:rPr>
        <w:t xml:space="preserve"> </w:t>
      </w:r>
      <w:r>
        <w:rPr>
          <w:rFonts w:eastAsia="Times New Roman"/>
          <w:position w:val="8"/>
          <w:lang w:val="hu-HU"/>
        </w:rPr>
        <w:t xml:space="preserve">RA </w:t>
      </w:r>
      <w:r w:rsidRPr="00522548">
        <w:rPr>
          <w:lang w:val="es-ES"/>
        </w:rPr>
        <w:t xml:space="preserve"> </w:t>
      </w:r>
      <w:r>
        <w:rPr>
          <w:rFonts w:eastAsia="Times New Roman"/>
          <w:position w:val="8"/>
          <w:lang w:val="hu-HU"/>
        </w:rPr>
        <w:t>I vizsgálat 24. héten, RA II vizsgálat 26. héten, RA III vizsgálat 24. és 52.</w:t>
      </w:r>
    </w:p>
    <w:p w14:paraId="16CD5D88" w14:textId="77777777" w:rsidR="00C770CB" w:rsidRDefault="00C770CB" w:rsidP="00C770CB">
      <w:pPr>
        <w:pStyle w:val="a3"/>
        <w:numPr>
          <w:ilvl w:val="0"/>
          <w:numId w:val="0"/>
        </w:numPr>
        <w:rPr>
          <w:lang w:val="hu-HU"/>
        </w:rPr>
      </w:pPr>
      <w:r w:rsidRPr="009167C6">
        <w:rPr>
          <w:rFonts w:eastAsia="Times New Roman"/>
          <w:position w:val="8"/>
          <w:vertAlign w:val="superscript"/>
          <w:lang w:val="hu-HU"/>
        </w:rPr>
        <w:t>b</w:t>
      </w:r>
      <w:r w:rsidRPr="009167C6">
        <w:rPr>
          <w:rFonts w:eastAsia="Times New Roman"/>
          <w:position w:val="8"/>
          <w:lang w:val="hu-HU"/>
        </w:rPr>
        <w:t xml:space="preserve"> </w:t>
      </w:r>
      <w:r>
        <w:rPr>
          <w:rFonts w:eastAsia="Times New Roman"/>
          <w:position w:val="8"/>
          <w:lang w:val="hu-HU"/>
        </w:rPr>
        <w:t>40 mg adalimumab kéthetente</w:t>
      </w:r>
    </w:p>
    <w:p w14:paraId="5F89F123" w14:textId="77777777" w:rsidR="00C770CB" w:rsidRDefault="00C770CB" w:rsidP="00C770CB">
      <w:pPr>
        <w:pStyle w:val="a3"/>
        <w:rPr>
          <w:lang w:val="hu-HU"/>
        </w:rPr>
      </w:pPr>
      <w:r w:rsidRPr="009167C6">
        <w:rPr>
          <w:rFonts w:eastAsia="Times New Roman"/>
          <w:position w:val="8"/>
          <w:vertAlign w:val="superscript"/>
          <w:lang w:val="hu-HU"/>
        </w:rPr>
        <w:t>c</w:t>
      </w:r>
      <w:r w:rsidRPr="009167C6">
        <w:rPr>
          <w:rFonts w:eastAsia="Times New Roman"/>
          <w:position w:val="8"/>
          <w:lang w:val="hu-HU"/>
        </w:rPr>
        <w:t xml:space="preserve"> </w:t>
      </w:r>
      <w:r>
        <w:rPr>
          <w:rFonts w:eastAsia="Times New Roman"/>
          <w:position w:val="8"/>
          <w:lang w:val="hu-HU"/>
        </w:rPr>
        <w:t>MTX = metotrexát</w:t>
      </w:r>
    </w:p>
    <w:p w14:paraId="49F4B789" w14:textId="77777777" w:rsidR="00C770CB" w:rsidRDefault="00C770CB" w:rsidP="00C770CB">
      <w:pPr>
        <w:spacing w:before="1"/>
        <w:rPr>
          <w:rFonts w:ascii="Times New Roman" w:eastAsia="Times New Roman" w:hAnsi="Times New Roman" w:cs="Times New Roman"/>
          <w:lang w:val="hu-HU"/>
        </w:rPr>
      </w:pPr>
      <w:r>
        <w:rPr>
          <w:rFonts w:ascii="Times New Roman" w:eastAsia="Times New Roman" w:hAnsi="Times New Roman" w:cs="Times New Roman"/>
          <w:lang w:val="hu-HU"/>
        </w:rPr>
        <w:t xml:space="preserve">**p &lt; 0,01, adalimumab a placebóhoz </w:t>
      </w:r>
      <w:r>
        <w:rPr>
          <w:rFonts w:ascii="Times New Roman" w:eastAsia="Times New Roman" w:hAnsi="Times New Roman" w:cs="Times New Roman"/>
          <w:i/>
          <w:iCs/>
          <w:lang w:val="hu-HU"/>
        </w:rPr>
        <w:t>képest</w:t>
      </w:r>
    </w:p>
    <w:p w14:paraId="4C31EB38" w14:textId="77777777" w:rsidR="00C770CB" w:rsidRDefault="00C770CB" w:rsidP="00C770CB">
      <w:pPr>
        <w:spacing w:before="1" w:line="180" w:lineRule="exact"/>
        <w:rPr>
          <w:sz w:val="18"/>
          <w:szCs w:val="18"/>
          <w:lang w:val="hu-HU"/>
        </w:rPr>
      </w:pPr>
    </w:p>
    <w:p w14:paraId="3219A520" w14:textId="77777777" w:rsidR="00C770CB" w:rsidRDefault="00C770CB" w:rsidP="00C770CB">
      <w:pPr>
        <w:pStyle w:val="a3"/>
        <w:rPr>
          <w:lang w:val="hu-HU"/>
        </w:rPr>
      </w:pPr>
      <w:r>
        <w:rPr>
          <w:rFonts w:eastAsia="Times New Roman"/>
          <w:lang w:val="hu-HU"/>
        </w:rPr>
        <w:t>Az RA</w:t>
      </w:r>
      <w:r w:rsidDel="00B07467">
        <w:rPr>
          <w:rFonts w:eastAsia="Times New Roman"/>
          <w:lang w:val="hu-HU"/>
        </w:rPr>
        <w:t xml:space="preserve"> </w:t>
      </w:r>
      <w:r>
        <w:rPr>
          <w:rFonts w:eastAsia="Times New Roman"/>
          <w:lang w:val="hu-HU"/>
        </w:rPr>
        <w:t>I-IV vizsgálatokban az ACR választ alkotó kritériumok (duzzadt és érzékeny ízületek száma, a beteg és az orvos értékelése a betegség aktivitásáról és a fájdalomról, rokkantsági index (HAQ), CRP (mg/ dl) értéke) mindegyike egyénileg is javulást mutatott 24 illetve 26 hét elteltével a placebocsoporthoz képest. Az RA</w:t>
      </w:r>
      <w:r w:rsidRPr="00522548">
        <w:rPr>
          <w:lang w:val="es-ES"/>
        </w:rPr>
        <w:t> </w:t>
      </w:r>
      <w:r>
        <w:rPr>
          <w:rFonts w:eastAsia="Times New Roman"/>
          <w:lang w:val="hu-HU"/>
        </w:rPr>
        <w:t>III vizsgálatban ez a javuló tendencia 52 héten át tartott.</w:t>
      </w:r>
    </w:p>
    <w:p w14:paraId="1CE0980A" w14:textId="77777777" w:rsidR="00C770CB" w:rsidRDefault="00C770CB" w:rsidP="00C770CB">
      <w:pPr>
        <w:spacing w:before="13" w:line="240" w:lineRule="exact"/>
        <w:rPr>
          <w:sz w:val="24"/>
          <w:szCs w:val="24"/>
          <w:lang w:val="hu-HU"/>
        </w:rPr>
      </w:pPr>
    </w:p>
    <w:p w14:paraId="6F35822F" w14:textId="77777777" w:rsidR="00C770CB" w:rsidRDefault="00C770CB" w:rsidP="00C770CB">
      <w:pPr>
        <w:pStyle w:val="a3"/>
        <w:rPr>
          <w:lang w:val="hu-HU"/>
        </w:rPr>
      </w:pPr>
      <w:r>
        <w:rPr>
          <w:rFonts w:eastAsia="Times New Roman"/>
          <w:lang w:val="hu-HU"/>
        </w:rPr>
        <w:t>Az RA</w:t>
      </w:r>
      <w:r w:rsidDel="002A3904">
        <w:rPr>
          <w:rFonts w:eastAsia="Times New Roman"/>
          <w:lang w:val="hu-HU"/>
        </w:rPr>
        <w:t xml:space="preserve"> </w:t>
      </w:r>
      <w:r>
        <w:rPr>
          <w:rFonts w:eastAsia="Times New Roman"/>
          <w:lang w:val="hu-HU"/>
        </w:rPr>
        <w:t>III vizsgálat nyílt kiterjesztésének legfeljebb 10 éves követési fázisában az ACR-választ adó betegek többségénél fennmaradt a válaszA minden második héten adalimumabbal kezelt 207 beteg közül 114 beteg folytatta a 2 hetenkénti 40 mg-os adalimumab-kezelést 5 éven keresztül. Közülük 86 (75,4%) mutatott ACR 20 választ, 72 beteg (63,2%) ACR 50 választ és 41 beteg (36%) ACR 70 választ. A 207 beteg közül 81 beteg folytatta a 2 hetenkénti 40 mg-os adalimumab-kezelést 10 éven keresztül. Közülük 64 (79,0%) mutatott ACR 20 választ, 56 beteg (69,1%) ACR 50 választ és 43 beteg (53,1%) ACR 70 választ.</w:t>
      </w:r>
    </w:p>
    <w:p w14:paraId="72D03B02" w14:textId="77777777" w:rsidR="00C770CB" w:rsidRDefault="00C770CB" w:rsidP="00C770CB">
      <w:pPr>
        <w:spacing w:before="17" w:line="240" w:lineRule="exact"/>
        <w:rPr>
          <w:sz w:val="24"/>
          <w:szCs w:val="24"/>
          <w:lang w:val="hu-HU"/>
        </w:rPr>
      </w:pPr>
    </w:p>
    <w:p w14:paraId="3974B855" w14:textId="77777777" w:rsidR="00C770CB" w:rsidRDefault="00C770CB" w:rsidP="00C770CB">
      <w:pPr>
        <w:pStyle w:val="a3"/>
        <w:rPr>
          <w:lang w:val="hu-HU"/>
        </w:rPr>
      </w:pPr>
      <w:r>
        <w:rPr>
          <w:rFonts w:eastAsia="Times New Roman"/>
          <w:lang w:val="hu-HU"/>
        </w:rPr>
        <w:t>Az RA</w:t>
      </w:r>
      <w:r w:rsidDel="002A3904">
        <w:rPr>
          <w:rFonts w:eastAsia="Times New Roman"/>
          <w:lang w:val="hu-HU"/>
        </w:rPr>
        <w:t xml:space="preserve"> </w:t>
      </w:r>
      <w:r>
        <w:rPr>
          <w:rFonts w:eastAsia="Times New Roman"/>
          <w:lang w:val="hu-HU"/>
        </w:rPr>
        <w:t>IV vizsgálatban, adalimumabbal és a standard terápiával kezelt betegek szignifikánsan jobb ACR 20 választ értek el mint a placebóval és a standard terápiával kezeltek (p &lt; 0,001).</w:t>
      </w:r>
    </w:p>
    <w:p w14:paraId="4DD0716A" w14:textId="77777777" w:rsidR="00C770CB" w:rsidRDefault="00C770CB" w:rsidP="00C770CB">
      <w:pPr>
        <w:spacing w:before="11" w:line="240" w:lineRule="exact"/>
        <w:rPr>
          <w:sz w:val="24"/>
          <w:szCs w:val="24"/>
          <w:lang w:val="hu-HU"/>
        </w:rPr>
      </w:pPr>
    </w:p>
    <w:p w14:paraId="509BD5DC" w14:textId="77777777" w:rsidR="00C770CB" w:rsidRDefault="00C770CB" w:rsidP="00C770CB">
      <w:pPr>
        <w:pStyle w:val="a3"/>
        <w:rPr>
          <w:lang w:val="hu-HU"/>
        </w:rPr>
      </w:pPr>
      <w:r>
        <w:rPr>
          <w:rFonts w:eastAsia="Times New Roman"/>
          <w:lang w:val="hu-HU"/>
        </w:rPr>
        <w:t>Az RA</w:t>
      </w:r>
      <w:r w:rsidDel="002A3904">
        <w:rPr>
          <w:rFonts w:eastAsia="Times New Roman"/>
          <w:lang w:val="hu-HU"/>
        </w:rPr>
        <w:t xml:space="preserve"> </w:t>
      </w:r>
      <w:r>
        <w:rPr>
          <w:rFonts w:eastAsia="Times New Roman"/>
          <w:lang w:val="hu-HU"/>
        </w:rPr>
        <w:t>I-IV vizsgálatban adalimumabbal kezelt betegek statisztikailag szignifikánsan jobb ACR 20- as és 50- es választ értek el a placebocsoporttal összehasonlítva, már egy vagy két héttel a vizsgálat kezdete után.</w:t>
      </w:r>
    </w:p>
    <w:p w14:paraId="05683769" w14:textId="77777777" w:rsidR="00C770CB" w:rsidRDefault="00C770CB" w:rsidP="00C770CB">
      <w:pPr>
        <w:pStyle w:val="a3"/>
        <w:rPr>
          <w:lang w:val="hu-HU"/>
        </w:rPr>
      </w:pPr>
    </w:p>
    <w:p w14:paraId="0A226C7F" w14:textId="7BD09F43" w:rsidR="00C770CB" w:rsidRDefault="00C770CB" w:rsidP="00C770CB">
      <w:pPr>
        <w:pStyle w:val="a3"/>
        <w:rPr>
          <w:rFonts w:eastAsia="Times New Roman"/>
          <w:b/>
          <w:bCs/>
          <w:lang w:val="hu-HU"/>
        </w:rPr>
      </w:pPr>
      <w:r>
        <w:rPr>
          <w:rFonts w:eastAsia="Times New Roman"/>
          <w:lang w:val="hu-HU"/>
        </w:rPr>
        <w:t xml:space="preserve">Az RA V vizsgálatban, amelybe korábbi metotrexát kezelés nélkül korai rheumatoid arthritises betegeket vontak be, a kombinációs kezelés metotrexáttal gyorsabb és jelentősen nagyobb ACR választ adott, mint a metotrexát, vagy az adalimumab monoterápia az 52. héten és a hatás fennmaradt a 104. hétig (lásd </w:t>
      </w:r>
      <w:r w:rsidR="009454CE">
        <w:rPr>
          <w:rFonts w:eastAsia="Times New Roman"/>
          <w:lang w:val="hu-HU"/>
        </w:rPr>
        <w:t>6</w:t>
      </w:r>
      <w:r>
        <w:rPr>
          <w:rFonts w:eastAsia="Times New Roman"/>
          <w:lang w:val="hu-HU"/>
        </w:rPr>
        <w:t>. táblázat).</w:t>
      </w:r>
    </w:p>
    <w:p w14:paraId="2012FDFC" w14:textId="0D7AB87E" w:rsidR="00C770CB" w:rsidRDefault="009454CE" w:rsidP="00C770CB">
      <w:pPr>
        <w:pStyle w:val="a3"/>
        <w:jc w:val="center"/>
        <w:rPr>
          <w:b/>
          <w:lang w:val="hu-HU"/>
        </w:rPr>
      </w:pPr>
      <w:r>
        <w:rPr>
          <w:rFonts w:eastAsia="Times New Roman"/>
          <w:b/>
          <w:bCs/>
          <w:lang w:val="hu-HU"/>
        </w:rPr>
        <w:t>6</w:t>
      </w:r>
      <w:r w:rsidR="00C770CB">
        <w:rPr>
          <w:rFonts w:eastAsia="Times New Roman"/>
          <w:b/>
          <w:bCs/>
          <w:lang w:val="hu-HU"/>
        </w:rPr>
        <w:t>. táblázat</w:t>
      </w:r>
    </w:p>
    <w:p w14:paraId="13A65DC7" w14:textId="77777777" w:rsidR="00C770CB" w:rsidRDefault="00C770CB" w:rsidP="00C770CB">
      <w:pPr>
        <w:pStyle w:val="a3"/>
        <w:jc w:val="center"/>
        <w:rPr>
          <w:b/>
          <w:lang w:val="hu-HU"/>
        </w:rPr>
      </w:pPr>
      <w:r>
        <w:rPr>
          <w:rFonts w:eastAsia="Times New Roman"/>
          <w:b/>
          <w:bCs/>
          <w:lang w:val="hu-HU"/>
        </w:rPr>
        <w:lastRenderedPageBreak/>
        <w:t>ACR válasz az RA V vizsgálatban</w:t>
      </w:r>
    </w:p>
    <w:p w14:paraId="70685BBB" w14:textId="77777777" w:rsidR="00C770CB" w:rsidRDefault="00C770CB" w:rsidP="00C770CB">
      <w:pPr>
        <w:pStyle w:val="a3"/>
        <w:jc w:val="center"/>
        <w:rPr>
          <w:b/>
          <w:lang w:val="hu-HU"/>
        </w:rPr>
      </w:pPr>
      <w:r>
        <w:rPr>
          <w:rFonts w:eastAsia="Times New Roman"/>
          <w:b/>
          <w:bCs/>
          <w:lang w:val="hu-HU"/>
        </w:rPr>
        <w:t>(a betegek százaléka)</w:t>
      </w:r>
    </w:p>
    <w:p w14:paraId="6E93F6DD" w14:textId="77777777" w:rsidR="00C770CB" w:rsidRDefault="00C770CB" w:rsidP="00C770CB">
      <w:pPr>
        <w:pStyle w:val="a3"/>
        <w:jc w:val="center"/>
        <w:rPr>
          <w:b/>
          <w:lang w:val="hu-HU"/>
        </w:rPr>
      </w:pPr>
    </w:p>
    <w:tbl>
      <w:tblPr>
        <w:tblStyle w:val="TableNormal1"/>
        <w:tblW w:w="0" w:type="auto"/>
        <w:tblInd w:w="184" w:type="dxa"/>
        <w:tblLayout w:type="fixed"/>
        <w:tblLook w:val="01E0" w:firstRow="1" w:lastRow="1" w:firstColumn="1" w:lastColumn="1" w:noHBand="0" w:noVBand="0"/>
      </w:tblPr>
      <w:tblGrid>
        <w:gridCol w:w="1366"/>
        <w:gridCol w:w="1275"/>
        <w:gridCol w:w="1276"/>
        <w:gridCol w:w="1985"/>
        <w:gridCol w:w="957"/>
        <w:gridCol w:w="1174"/>
        <w:gridCol w:w="1216"/>
      </w:tblGrid>
      <w:tr w:rsidR="00C770CB" w:rsidRPr="00CF5D7A" w14:paraId="5C581ED9" w14:textId="77777777" w:rsidTr="007E7849">
        <w:tc>
          <w:tcPr>
            <w:tcW w:w="1366" w:type="dxa"/>
            <w:tcBorders>
              <w:top w:val="single" w:sz="5" w:space="0" w:color="000000"/>
              <w:left w:val="single" w:sz="8" w:space="0" w:color="000000"/>
              <w:bottom w:val="single" w:sz="5" w:space="0" w:color="000000"/>
              <w:right w:val="single" w:sz="5" w:space="0" w:color="000000"/>
            </w:tcBorders>
            <w:vAlign w:val="center"/>
          </w:tcPr>
          <w:p w14:paraId="3D7265B6" w14:textId="77777777" w:rsidR="00C770CB" w:rsidRPr="009167C6" w:rsidRDefault="00C770CB" w:rsidP="007E7849">
            <w:pPr>
              <w:pStyle w:val="TableParagraph"/>
              <w:spacing w:line="120" w:lineRule="exact"/>
              <w:jc w:val="center"/>
              <w:rPr>
                <w:lang w:val="hu-HU"/>
              </w:rPr>
            </w:pPr>
          </w:p>
          <w:p w14:paraId="68B4C078" w14:textId="77777777" w:rsidR="00C770CB" w:rsidRPr="00CF5D7A" w:rsidRDefault="00C770CB" w:rsidP="007E7849">
            <w:pPr>
              <w:pStyle w:val="TableParagraph"/>
              <w:jc w:val="center"/>
              <w:rPr>
                <w:rFonts w:ascii="Times New Roman" w:eastAsia="Times New Roman" w:hAnsi="Times New Roman" w:cs="Times New Roman"/>
                <w:lang w:val="hu-HU"/>
              </w:rPr>
            </w:pPr>
            <w:r w:rsidRPr="00CF5D7A">
              <w:rPr>
                <w:rFonts w:ascii="Times New Roman" w:eastAsia="Times New Roman" w:hAnsi="Times New Roman" w:cs="Times New Roman"/>
                <w:b/>
                <w:bCs/>
                <w:spacing w:val="-1"/>
                <w:lang w:val="hu-HU"/>
              </w:rPr>
              <w:t>Válasz</w:t>
            </w:r>
          </w:p>
        </w:tc>
        <w:tc>
          <w:tcPr>
            <w:tcW w:w="1275" w:type="dxa"/>
            <w:tcBorders>
              <w:top w:val="single" w:sz="5" w:space="0" w:color="000000"/>
              <w:left w:val="single" w:sz="5" w:space="0" w:color="000000"/>
              <w:bottom w:val="single" w:sz="5" w:space="0" w:color="000000"/>
              <w:right w:val="single" w:sz="5" w:space="0" w:color="000000"/>
            </w:tcBorders>
            <w:vAlign w:val="center"/>
          </w:tcPr>
          <w:p w14:paraId="7948B520" w14:textId="77777777" w:rsidR="00C770CB" w:rsidRDefault="00C770CB" w:rsidP="007E7849">
            <w:pPr>
              <w:pStyle w:val="TableParagraph"/>
              <w:spacing w:line="252" w:lineRule="exact"/>
              <w:ind w:firstLine="33"/>
              <w:jc w:val="center"/>
              <w:rPr>
                <w:rFonts w:ascii="Times New Roman" w:eastAsia="Times New Roman" w:hAnsi="Times New Roman" w:cs="Times New Roman"/>
                <w:b/>
                <w:bCs/>
                <w:spacing w:val="-1"/>
                <w:lang w:val="hu-HU"/>
              </w:rPr>
            </w:pPr>
            <w:r w:rsidRPr="00CF5D7A">
              <w:rPr>
                <w:rFonts w:ascii="Times New Roman" w:eastAsia="Times New Roman" w:hAnsi="Times New Roman" w:cs="Times New Roman"/>
                <w:b/>
                <w:bCs/>
                <w:spacing w:val="-1"/>
                <w:lang w:val="hu-HU"/>
              </w:rPr>
              <w:t xml:space="preserve">MTX </w:t>
            </w:r>
          </w:p>
          <w:p w14:paraId="75597E4A" w14:textId="77777777" w:rsidR="00C770CB" w:rsidRPr="00CF5D7A" w:rsidRDefault="00C770CB" w:rsidP="007E7849">
            <w:pPr>
              <w:pStyle w:val="TableParagraph"/>
              <w:spacing w:line="252" w:lineRule="exact"/>
              <w:ind w:firstLine="33"/>
              <w:jc w:val="center"/>
              <w:rPr>
                <w:rFonts w:ascii="Times New Roman" w:eastAsia="Times New Roman" w:hAnsi="Times New Roman" w:cs="Times New Roman"/>
                <w:lang w:val="hu-HU"/>
              </w:rPr>
            </w:pPr>
            <w:r w:rsidRPr="00CF5D7A">
              <w:rPr>
                <w:rFonts w:ascii="Times New Roman" w:eastAsia="Times New Roman" w:hAnsi="Times New Roman" w:cs="Times New Roman"/>
                <w:b/>
                <w:bCs/>
                <w:spacing w:val="-1"/>
                <w:lang w:val="hu-HU"/>
              </w:rPr>
              <w:t>n=257</w:t>
            </w:r>
          </w:p>
        </w:tc>
        <w:tc>
          <w:tcPr>
            <w:tcW w:w="1276" w:type="dxa"/>
            <w:tcBorders>
              <w:top w:val="single" w:sz="5" w:space="0" w:color="000000"/>
              <w:left w:val="single" w:sz="5" w:space="0" w:color="000000"/>
              <w:bottom w:val="single" w:sz="5" w:space="0" w:color="000000"/>
              <w:right w:val="single" w:sz="5" w:space="0" w:color="000000"/>
            </w:tcBorders>
            <w:vAlign w:val="center"/>
          </w:tcPr>
          <w:p w14:paraId="054ECBDB" w14:textId="77777777" w:rsidR="00C770CB" w:rsidRPr="00CF5D7A" w:rsidRDefault="00C770CB" w:rsidP="007E7849">
            <w:pPr>
              <w:pStyle w:val="TableParagraph"/>
              <w:spacing w:line="252" w:lineRule="exact"/>
              <w:ind w:hanging="84"/>
              <w:jc w:val="center"/>
              <w:rPr>
                <w:rFonts w:ascii="Times New Roman" w:eastAsia="Times New Roman" w:hAnsi="Times New Roman" w:cs="Times New Roman"/>
                <w:lang w:val="hu-HU"/>
              </w:rPr>
            </w:pPr>
            <w:r w:rsidRPr="00CF5D7A">
              <w:rPr>
                <w:rFonts w:ascii="Times New Roman" w:eastAsia="Times New Roman" w:hAnsi="Times New Roman" w:cs="Times New Roman"/>
                <w:b/>
                <w:bCs/>
                <w:lang w:val="hu-HU"/>
              </w:rPr>
              <w:t xml:space="preserve">  Adalimumab n=274</w:t>
            </w:r>
          </w:p>
        </w:tc>
        <w:tc>
          <w:tcPr>
            <w:tcW w:w="1985" w:type="dxa"/>
            <w:tcBorders>
              <w:top w:val="single" w:sz="5" w:space="0" w:color="000000"/>
              <w:left w:val="single" w:sz="5" w:space="0" w:color="000000"/>
              <w:bottom w:val="single" w:sz="5" w:space="0" w:color="000000"/>
              <w:right w:val="single" w:sz="5" w:space="0" w:color="000000"/>
            </w:tcBorders>
            <w:vAlign w:val="center"/>
          </w:tcPr>
          <w:p w14:paraId="3AEF447C" w14:textId="77777777" w:rsidR="00C770CB" w:rsidRDefault="00C770CB" w:rsidP="007E7849">
            <w:pPr>
              <w:pStyle w:val="TableParagraph"/>
              <w:spacing w:line="252" w:lineRule="exact"/>
              <w:jc w:val="center"/>
              <w:rPr>
                <w:rFonts w:ascii="Times New Roman" w:eastAsia="Times New Roman" w:hAnsi="Times New Roman" w:cs="Times New Roman"/>
                <w:b/>
                <w:bCs/>
                <w:spacing w:val="-1"/>
                <w:lang w:val="hu-HU"/>
              </w:rPr>
            </w:pPr>
            <w:r w:rsidRPr="00CF5D7A">
              <w:rPr>
                <w:rFonts w:ascii="Times New Roman" w:eastAsia="Times New Roman" w:hAnsi="Times New Roman" w:cs="Times New Roman"/>
                <w:b/>
                <w:bCs/>
                <w:spacing w:val="-1"/>
                <w:lang w:val="hu-HU"/>
              </w:rPr>
              <w:t>Adalimumab/MTX</w:t>
            </w:r>
          </w:p>
          <w:p w14:paraId="08231E2B" w14:textId="77777777" w:rsidR="00C770CB" w:rsidRPr="00CF5D7A" w:rsidRDefault="00C770CB" w:rsidP="007E7849">
            <w:pPr>
              <w:pStyle w:val="TableParagraph"/>
              <w:spacing w:line="252" w:lineRule="exact"/>
              <w:jc w:val="center"/>
              <w:rPr>
                <w:rFonts w:ascii="Times New Roman" w:eastAsia="Times New Roman" w:hAnsi="Times New Roman" w:cs="Times New Roman"/>
                <w:lang w:val="hu-HU"/>
              </w:rPr>
            </w:pPr>
            <w:r w:rsidRPr="00CF5D7A">
              <w:rPr>
                <w:rFonts w:ascii="Times New Roman" w:eastAsia="Times New Roman" w:hAnsi="Times New Roman" w:cs="Times New Roman"/>
                <w:b/>
                <w:bCs/>
                <w:spacing w:val="-1"/>
                <w:lang w:val="hu-HU"/>
              </w:rPr>
              <w:t>n=268</w:t>
            </w:r>
          </w:p>
        </w:tc>
        <w:tc>
          <w:tcPr>
            <w:tcW w:w="957" w:type="dxa"/>
            <w:tcBorders>
              <w:top w:val="single" w:sz="5" w:space="0" w:color="000000"/>
              <w:left w:val="single" w:sz="5" w:space="0" w:color="000000"/>
              <w:bottom w:val="single" w:sz="5" w:space="0" w:color="000000"/>
              <w:right w:val="single" w:sz="5" w:space="0" w:color="000000"/>
            </w:tcBorders>
            <w:vAlign w:val="center"/>
          </w:tcPr>
          <w:p w14:paraId="46491849" w14:textId="77777777" w:rsidR="00C770CB" w:rsidRPr="009167C6" w:rsidRDefault="00C770CB" w:rsidP="007E7849">
            <w:pPr>
              <w:pStyle w:val="TableParagraph"/>
              <w:jc w:val="center"/>
              <w:rPr>
                <w:rFonts w:ascii="Times New Roman" w:eastAsia="Times New Roman" w:hAnsi="Times New Roman" w:cs="Times New Roman"/>
                <w:lang w:val="hu-HU"/>
              </w:rPr>
            </w:pPr>
            <w:r w:rsidRPr="00CF5D7A">
              <w:rPr>
                <w:rFonts w:ascii="Times New Roman" w:eastAsia="Times New Roman" w:hAnsi="Times New Roman" w:cs="Times New Roman"/>
                <w:b/>
                <w:bCs/>
                <w:spacing w:val="-1"/>
                <w:lang w:val="hu-HU"/>
              </w:rPr>
              <w:t>p-érték</w:t>
            </w:r>
            <w:r w:rsidRPr="009167C6">
              <w:rPr>
                <w:rFonts w:ascii="Times New Roman" w:eastAsia="Times New Roman" w:hAnsi="Times New Roman" w:cs="Times New Roman"/>
                <w:b/>
                <w:bCs/>
                <w:spacing w:val="-1"/>
                <w:vertAlign w:val="superscript"/>
                <w:lang w:val="hu-HU"/>
              </w:rPr>
              <w:t>a</w:t>
            </w:r>
          </w:p>
        </w:tc>
        <w:tc>
          <w:tcPr>
            <w:tcW w:w="1174" w:type="dxa"/>
            <w:tcBorders>
              <w:top w:val="single" w:sz="5" w:space="0" w:color="000000"/>
              <w:left w:val="single" w:sz="5" w:space="0" w:color="000000"/>
              <w:bottom w:val="single" w:sz="5" w:space="0" w:color="000000"/>
              <w:right w:val="single" w:sz="5" w:space="0" w:color="000000"/>
            </w:tcBorders>
            <w:vAlign w:val="center"/>
          </w:tcPr>
          <w:p w14:paraId="7D3578FD" w14:textId="77777777" w:rsidR="00C770CB" w:rsidRPr="009167C6" w:rsidRDefault="00C770CB" w:rsidP="007E7849">
            <w:pPr>
              <w:pStyle w:val="TableParagraph"/>
              <w:jc w:val="center"/>
              <w:rPr>
                <w:rFonts w:ascii="Times New Roman" w:eastAsia="Times New Roman" w:hAnsi="Times New Roman" w:cs="Times New Roman"/>
                <w:lang w:val="hu-HU"/>
              </w:rPr>
            </w:pPr>
            <w:r w:rsidRPr="00CF5D7A">
              <w:rPr>
                <w:rFonts w:ascii="Times New Roman" w:eastAsia="Times New Roman" w:hAnsi="Times New Roman" w:cs="Times New Roman"/>
                <w:b/>
                <w:bCs/>
                <w:spacing w:val="-1"/>
                <w:lang w:val="hu-HU"/>
              </w:rPr>
              <w:t>p-érték</w:t>
            </w:r>
            <w:r w:rsidRPr="009167C6">
              <w:rPr>
                <w:rFonts w:ascii="Times New Roman" w:eastAsia="Times New Roman" w:hAnsi="Times New Roman" w:cs="Times New Roman"/>
                <w:b/>
                <w:bCs/>
                <w:spacing w:val="-1"/>
                <w:vertAlign w:val="superscript"/>
                <w:lang w:val="hu-HU"/>
              </w:rPr>
              <w:t>b</w:t>
            </w:r>
          </w:p>
        </w:tc>
        <w:tc>
          <w:tcPr>
            <w:tcW w:w="1216" w:type="dxa"/>
            <w:tcBorders>
              <w:top w:val="single" w:sz="5" w:space="0" w:color="000000"/>
              <w:left w:val="single" w:sz="5" w:space="0" w:color="000000"/>
              <w:bottom w:val="single" w:sz="5" w:space="0" w:color="000000"/>
              <w:right w:val="single" w:sz="9" w:space="0" w:color="000000"/>
            </w:tcBorders>
            <w:vAlign w:val="center"/>
          </w:tcPr>
          <w:p w14:paraId="076F8543" w14:textId="77777777" w:rsidR="00C770CB" w:rsidRPr="009167C6" w:rsidRDefault="00C770CB" w:rsidP="007E7849">
            <w:pPr>
              <w:pStyle w:val="TableParagraph"/>
              <w:jc w:val="center"/>
              <w:rPr>
                <w:rFonts w:ascii="Times New Roman" w:eastAsia="Times New Roman" w:hAnsi="Times New Roman" w:cs="Times New Roman"/>
                <w:lang w:val="hu-HU"/>
              </w:rPr>
            </w:pPr>
            <w:r w:rsidRPr="00CF5D7A">
              <w:rPr>
                <w:rFonts w:ascii="Times New Roman" w:eastAsia="Times New Roman" w:hAnsi="Times New Roman" w:cs="Times New Roman"/>
                <w:b/>
                <w:bCs/>
                <w:spacing w:val="-1"/>
                <w:lang w:val="hu-HU"/>
              </w:rPr>
              <w:t>p-érték</w:t>
            </w:r>
            <w:r w:rsidRPr="009167C6">
              <w:rPr>
                <w:rFonts w:ascii="Times New Roman" w:eastAsia="Times New Roman" w:hAnsi="Times New Roman" w:cs="Times New Roman"/>
                <w:b/>
                <w:bCs/>
                <w:spacing w:val="-1"/>
                <w:vertAlign w:val="superscript"/>
                <w:lang w:val="hu-HU"/>
              </w:rPr>
              <w:t>c</w:t>
            </w:r>
          </w:p>
        </w:tc>
      </w:tr>
      <w:tr w:rsidR="00C770CB" w:rsidRPr="00CF5D7A" w14:paraId="2BB40093" w14:textId="77777777" w:rsidTr="007E7849">
        <w:tc>
          <w:tcPr>
            <w:tcW w:w="9249" w:type="dxa"/>
            <w:gridSpan w:val="7"/>
            <w:tcBorders>
              <w:top w:val="single" w:sz="5" w:space="0" w:color="000000"/>
              <w:left w:val="single" w:sz="8" w:space="0" w:color="000000"/>
              <w:bottom w:val="single" w:sz="5" w:space="0" w:color="000000"/>
              <w:right w:val="single" w:sz="9" w:space="0" w:color="000000"/>
            </w:tcBorders>
          </w:tcPr>
          <w:p w14:paraId="3BA45DEC" w14:textId="77777777" w:rsidR="00C770CB" w:rsidRPr="00CF5D7A" w:rsidRDefault="00C770CB" w:rsidP="007E7849">
            <w:pPr>
              <w:rPr>
                <w:lang w:val="hu-HU"/>
              </w:rPr>
            </w:pPr>
            <w:r w:rsidRPr="00CF5D7A">
              <w:rPr>
                <w:rFonts w:ascii="Times New Roman" w:eastAsia="Times New Roman" w:hAnsi="Times New Roman" w:cs="Times New Roman"/>
                <w:spacing w:val="-1"/>
                <w:lang w:val="hu-HU"/>
              </w:rPr>
              <w:t>ACR 20</w:t>
            </w:r>
          </w:p>
        </w:tc>
      </w:tr>
      <w:tr w:rsidR="00C770CB" w:rsidRPr="00CF5D7A" w14:paraId="4AD628E0" w14:textId="77777777" w:rsidTr="007E7849">
        <w:tc>
          <w:tcPr>
            <w:tcW w:w="1366" w:type="dxa"/>
            <w:tcBorders>
              <w:top w:val="single" w:sz="5" w:space="0" w:color="000000"/>
              <w:left w:val="single" w:sz="8" w:space="0" w:color="000000"/>
              <w:bottom w:val="single" w:sz="5" w:space="0" w:color="000000"/>
              <w:right w:val="single" w:sz="5" w:space="0" w:color="000000"/>
            </w:tcBorders>
          </w:tcPr>
          <w:p w14:paraId="3386D913" w14:textId="77777777" w:rsidR="00C770CB" w:rsidRPr="00CF5D7A" w:rsidRDefault="00C770CB" w:rsidP="007E7849">
            <w:pPr>
              <w:pStyle w:val="TableParagraph"/>
              <w:spacing w:line="248"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52. hét</w:t>
            </w:r>
          </w:p>
        </w:tc>
        <w:tc>
          <w:tcPr>
            <w:tcW w:w="1275" w:type="dxa"/>
            <w:tcBorders>
              <w:top w:val="single" w:sz="5" w:space="0" w:color="000000"/>
              <w:left w:val="single" w:sz="5" w:space="0" w:color="000000"/>
              <w:bottom w:val="single" w:sz="5" w:space="0" w:color="000000"/>
              <w:right w:val="single" w:sz="5" w:space="0" w:color="000000"/>
            </w:tcBorders>
          </w:tcPr>
          <w:p w14:paraId="5742874A" w14:textId="77777777" w:rsidR="00C770CB" w:rsidRPr="00CF5D7A" w:rsidRDefault="00C770CB" w:rsidP="007E7849">
            <w:pPr>
              <w:pStyle w:val="TableParagraph"/>
              <w:spacing w:line="248"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62,6%</w:t>
            </w:r>
          </w:p>
        </w:tc>
        <w:tc>
          <w:tcPr>
            <w:tcW w:w="1276" w:type="dxa"/>
            <w:tcBorders>
              <w:top w:val="single" w:sz="5" w:space="0" w:color="000000"/>
              <w:left w:val="single" w:sz="5" w:space="0" w:color="000000"/>
              <w:bottom w:val="single" w:sz="5" w:space="0" w:color="000000"/>
              <w:right w:val="single" w:sz="5" w:space="0" w:color="000000"/>
            </w:tcBorders>
          </w:tcPr>
          <w:p w14:paraId="2E4D1679" w14:textId="77777777" w:rsidR="00C770CB" w:rsidRPr="00CF5D7A" w:rsidRDefault="00C770CB" w:rsidP="007E7849">
            <w:pPr>
              <w:pStyle w:val="TableParagraph"/>
              <w:spacing w:line="248"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54,4%</w:t>
            </w:r>
          </w:p>
        </w:tc>
        <w:tc>
          <w:tcPr>
            <w:tcW w:w="1985" w:type="dxa"/>
            <w:tcBorders>
              <w:top w:val="single" w:sz="5" w:space="0" w:color="000000"/>
              <w:left w:val="single" w:sz="5" w:space="0" w:color="000000"/>
              <w:bottom w:val="single" w:sz="5" w:space="0" w:color="000000"/>
              <w:right w:val="single" w:sz="5" w:space="0" w:color="000000"/>
            </w:tcBorders>
          </w:tcPr>
          <w:p w14:paraId="5E63EBB5" w14:textId="77777777" w:rsidR="00C770CB" w:rsidRPr="00CF5D7A" w:rsidRDefault="00C770CB" w:rsidP="007E7849">
            <w:pPr>
              <w:pStyle w:val="TableParagraph"/>
              <w:spacing w:line="248"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72,8%</w:t>
            </w:r>
          </w:p>
        </w:tc>
        <w:tc>
          <w:tcPr>
            <w:tcW w:w="957" w:type="dxa"/>
            <w:tcBorders>
              <w:top w:val="single" w:sz="5" w:space="0" w:color="000000"/>
              <w:left w:val="single" w:sz="5" w:space="0" w:color="000000"/>
              <w:bottom w:val="single" w:sz="5" w:space="0" w:color="000000"/>
              <w:right w:val="single" w:sz="5" w:space="0" w:color="000000"/>
            </w:tcBorders>
          </w:tcPr>
          <w:p w14:paraId="3A567118" w14:textId="77777777" w:rsidR="00C770CB" w:rsidRPr="00CF5D7A" w:rsidRDefault="00C770CB" w:rsidP="007E7849">
            <w:pPr>
              <w:pStyle w:val="TableParagraph"/>
              <w:spacing w:line="248"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0,013</w:t>
            </w:r>
          </w:p>
        </w:tc>
        <w:tc>
          <w:tcPr>
            <w:tcW w:w="1174" w:type="dxa"/>
            <w:tcBorders>
              <w:top w:val="single" w:sz="5" w:space="0" w:color="000000"/>
              <w:left w:val="single" w:sz="5" w:space="0" w:color="000000"/>
              <w:bottom w:val="single" w:sz="5" w:space="0" w:color="000000"/>
              <w:right w:val="single" w:sz="5" w:space="0" w:color="000000"/>
            </w:tcBorders>
          </w:tcPr>
          <w:p w14:paraId="213D869A" w14:textId="77777777" w:rsidR="00C770CB" w:rsidRPr="00CF5D7A" w:rsidRDefault="00C770CB" w:rsidP="007E7849">
            <w:pPr>
              <w:pStyle w:val="TableParagraph"/>
              <w:spacing w:line="248" w:lineRule="exact"/>
              <w:ind w:left="243"/>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216" w:type="dxa"/>
            <w:tcBorders>
              <w:top w:val="single" w:sz="5" w:space="0" w:color="000000"/>
              <w:left w:val="single" w:sz="5" w:space="0" w:color="000000"/>
              <w:bottom w:val="single" w:sz="5" w:space="0" w:color="000000"/>
              <w:right w:val="single" w:sz="9" w:space="0" w:color="000000"/>
            </w:tcBorders>
          </w:tcPr>
          <w:p w14:paraId="50619677" w14:textId="77777777" w:rsidR="00C770CB" w:rsidRPr="00CF5D7A" w:rsidRDefault="00C770CB" w:rsidP="007E7849">
            <w:pPr>
              <w:pStyle w:val="TableParagraph"/>
              <w:spacing w:line="248" w:lineRule="exact"/>
              <w:ind w:left="351"/>
              <w:rPr>
                <w:rFonts w:ascii="Times New Roman" w:eastAsia="Times New Roman" w:hAnsi="Times New Roman" w:cs="Times New Roman"/>
                <w:lang w:val="hu-HU"/>
              </w:rPr>
            </w:pPr>
            <w:r w:rsidRPr="00CF5D7A">
              <w:rPr>
                <w:rFonts w:ascii="Times New Roman" w:eastAsia="Times New Roman" w:hAnsi="Times New Roman" w:cs="Times New Roman"/>
                <w:lang w:val="hu-HU"/>
              </w:rPr>
              <w:t>0,043</w:t>
            </w:r>
          </w:p>
        </w:tc>
      </w:tr>
      <w:tr w:rsidR="00C770CB" w:rsidRPr="00CF5D7A" w14:paraId="39B40811" w14:textId="77777777" w:rsidTr="007E7849">
        <w:tc>
          <w:tcPr>
            <w:tcW w:w="1366" w:type="dxa"/>
            <w:tcBorders>
              <w:top w:val="single" w:sz="5" w:space="0" w:color="000000"/>
              <w:left w:val="single" w:sz="8" w:space="0" w:color="000000"/>
              <w:bottom w:val="single" w:sz="5" w:space="0" w:color="000000"/>
              <w:right w:val="single" w:sz="5" w:space="0" w:color="000000"/>
            </w:tcBorders>
          </w:tcPr>
          <w:p w14:paraId="14EAE475" w14:textId="77777777" w:rsidR="00C770CB" w:rsidRPr="00CF5D7A" w:rsidRDefault="00C770CB" w:rsidP="007E7849">
            <w:pPr>
              <w:pStyle w:val="TableParagraph"/>
              <w:spacing w:line="248"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104. hét</w:t>
            </w:r>
          </w:p>
        </w:tc>
        <w:tc>
          <w:tcPr>
            <w:tcW w:w="1275" w:type="dxa"/>
            <w:tcBorders>
              <w:top w:val="single" w:sz="5" w:space="0" w:color="000000"/>
              <w:left w:val="single" w:sz="5" w:space="0" w:color="000000"/>
              <w:bottom w:val="single" w:sz="5" w:space="0" w:color="000000"/>
              <w:right w:val="single" w:sz="5" w:space="0" w:color="000000"/>
            </w:tcBorders>
          </w:tcPr>
          <w:p w14:paraId="124B1022" w14:textId="77777777" w:rsidR="00C770CB" w:rsidRPr="00CF5D7A" w:rsidRDefault="00C770CB" w:rsidP="007E7849">
            <w:pPr>
              <w:pStyle w:val="TableParagraph"/>
              <w:spacing w:line="248"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56,0%</w:t>
            </w:r>
          </w:p>
        </w:tc>
        <w:tc>
          <w:tcPr>
            <w:tcW w:w="1276" w:type="dxa"/>
            <w:tcBorders>
              <w:top w:val="single" w:sz="5" w:space="0" w:color="000000"/>
              <w:left w:val="single" w:sz="5" w:space="0" w:color="000000"/>
              <w:bottom w:val="single" w:sz="5" w:space="0" w:color="000000"/>
              <w:right w:val="single" w:sz="5" w:space="0" w:color="000000"/>
            </w:tcBorders>
          </w:tcPr>
          <w:p w14:paraId="64B6A198" w14:textId="77777777" w:rsidR="00C770CB" w:rsidRPr="00CF5D7A" w:rsidRDefault="00C770CB" w:rsidP="007E7849">
            <w:pPr>
              <w:pStyle w:val="TableParagraph"/>
              <w:spacing w:line="248"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49,3%</w:t>
            </w:r>
          </w:p>
        </w:tc>
        <w:tc>
          <w:tcPr>
            <w:tcW w:w="1985" w:type="dxa"/>
            <w:tcBorders>
              <w:top w:val="single" w:sz="5" w:space="0" w:color="000000"/>
              <w:left w:val="single" w:sz="5" w:space="0" w:color="000000"/>
              <w:bottom w:val="single" w:sz="5" w:space="0" w:color="000000"/>
              <w:right w:val="single" w:sz="5" w:space="0" w:color="000000"/>
            </w:tcBorders>
          </w:tcPr>
          <w:p w14:paraId="4D623BBB" w14:textId="77777777" w:rsidR="00C770CB" w:rsidRPr="00CF5D7A" w:rsidRDefault="00C770CB" w:rsidP="007E7849">
            <w:pPr>
              <w:pStyle w:val="TableParagraph"/>
              <w:spacing w:line="248"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69,4%</w:t>
            </w:r>
          </w:p>
        </w:tc>
        <w:tc>
          <w:tcPr>
            <w:tcW w:w="957" w:type="dxa"/>
            <w:tcBorders>
              <w:top w:val="single" w:sz="5" w:space="0" w:color="000000"/>
              <w:left w:val="single" w:sz="5" w:space="0" w:color="000000"/>
              <w:bottom w:val="single" w:sz="5" w:space="0" w:color="000000"/>
              <w:right w:val="single" w:sz="5" w:space="0" w:color="000000"/>
            </w:tcBorders>
          </w:tcPr>
          <w:p w14:paraId="4C9A43E8" w14:textId="77777777" w:rsidR="00C770CB" w:rsidRPr="00CF5D7A" w:rsidRDefault="00C770CB" w:rsidP="007E7849">
            <w:pPr>
              <w:pStyle w:val="TableParagraph"/>
              <w:spacing w:line="248"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0,002</w:t>
            </w:r>
          </w:p>
        </w:tc>
        <w:tc>
          <w:tcPr>
            <w:tcW w:w="1174" w:type="dxa"/>
            <w:tcBorders>
              <w:top w:val="single" w:sz="5" w:space="0" w:color="000000"/>
              <w:left w:val="single" w:sz="5" w:space="0" w:color="000000"/>
              <w:bottom w:val="single" w:sz="5" w:space="0" w:color="000000"/>
              <w:right w:val="single" w:sz="5" w:space="0" w:color="000000"/>
            </w:tcBorders>
          </w:tcPr>
          <w:p w14:paraId="552C065A" w14:textId="77777777" w:rsidR="00C770CB" w:rsidRPr="00CF5D7A" w:rsidRDefault="00C770CB" w:rsidP="007E7849">
            <w:pPr>
              <w:pStyle w:val="TableParagraph"/>
              <w:spacing w:line="248" w:lineRule="exact"/>
              <w:ind w:left="243"/>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216" w:type="dxa"/>
            <w:tcBorders>
              <w:top w:val="single" w:sz="5" w:space="0" w:color="000000"/>
              <w:left w:val="single" w:sz="5" w:space="0" w:color="000000"/>
              <w:bottom w:val="single" w:sz="5" w:space="0" w:color="000000"/>
              <w:right w:val="single" w:sz="9" w:space="0" w:color="000000"/>
            </w:tcBorders>
          </w:tcPr>
          <w:p w14:paraId="14FC9A31" w14:textId="77777777" w:rsidR="00C770CB" w:rsidRPr="00CF5D7A" w:rsidRDefault="00C770CB" w:rsidP="007E7849">
            <w:pPr>
              <w:pStyle w:val="TableParagraph"/>
              <w:spacing w:line="248" w:lineRule="exact"/>
              <w:ind w:left="351"/>
              <w:rPr>
                <w:rFonts w:ascii="Times New Roman" w:eastAsia="Times New Roman" w:hAnsi="Times New Roman" w:cs="Times New Roman"/>
                <w:lang w:val="hu-HU"/>
              </w:rPr>
            </w:pPr>
            <w:r w:rsidRPr="00CF5D7A">
              <w:rPr>
                <w:rFonts w:ascii="Times New Roman" w:eastAsia="Times New Roman" w:hAnsi="Times New Roman" w:cs="Times New Roman"/>
                <w:lang w:val="hu-HU"/>
              </w:rPr>
              <w:t>0,140</w:t>
            </w:r>
          </w:p>
        </w:tc>
      </w:tr>
      <w:tr w:rsidR="00C770CB" w:rsidRPr="00CF5D7A" w14:paraId="68B864E0" w14:textId="77777777" w:rsidTr="007E7849">
        <w:tc>
          <w:tcPr>
            <w:tcW w:w="9249" w:type="dxa"/>
            <w:gridSpan w:val="7"/>
            <w:tcBorders>
              <w:top w:val="single" w:sz="5" w:space="0" w:color="000000"/>
              <w:left w:val="single" w:sz="8" w:space="0" w:color="000000"/>
              <w:bottom w:val="single" w:sz="5" w:space="0" w:color="000000"/>
              <w:right w:val="single" w:sz="9" w:space="0" w:color="000000"/>
            </w:tcBorders>
          </w:tcPr>
          <w:p w14:paraId="4AA64BD7" w14:textId="77777777" w:rsidR="00C770CB" w:rsidRPr="00CF5D7A" w:rsidRDefault="00C770CB" w:rsidP="007E7849">
            <w:pPr>
              <w:rPr>
                <w:lang w:val="hu-HU"/>
              </w:rPr>
            </w:pPr>
            <w:r w:rsidRPr="00CF5D7A">
              <w:rPr>
                <w:rFonts w:ascii="Times New Roman" w:eastAsia="Times New Roman" w:hAnsi="Times New Roman" w:cs="Times New Roman"/>
                <w:spacing w:val="-1"/>
                <w:lang w:val="hu-HU"/>
              </w:rPr>
              <w:t>ACR 50</w:t>
            </w:r>
          </w:p>
        </w:tc>
      </w:tr>
      <w:tr w:rsidR="00C770CB" w:rsidRPr="00CF5D7A" w14:paraId="10EAA2FF" w14:textId="77777777" w:rsidTr="007E7849">
        <w:tc>
          <w:tcPr>
            <w:tcW w:w="1366" w:type="dxa"/>
            <w:tcBorders>
              <w:top w:val="single" w:sz="5" w:space="0" w:color="000000"/>
              <w:left w:val="single" w:sz="8" w:space="0" w:color="000000"/>
              <w:bottom w:val="single" w:sz="5" w:space="0" w:color="000000"/>
              <w:right w:val="single" w:sz="5" w:space="0" w:color="000000"/>
            </w:tcBorders>
          </w:tcPr>
          <w:p w14:paraId="0502C330" w14:textId="77777777" w:rsidR="00C770CB" w:rsidRPr="00CF5D7A" w:rsidRDefault="00C770CB" w:rsidP="007E7849">
            <w:pPr>
              <w:pStyle w:val="TableParagraph"/>
              <w:spacing w:line="246"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52. hét</w:t>
            </w:r>
          </w:p>
        </w:tc>
        <w:tc>
          <w:tcPr>
            <w:tcW w:w="1275" w:type="dxa"/>
            <w:tcBorders>
              <w:top w:val="single" w:sz="5" w:space="0" w:color="000000"/>
              <w:left w:val="single" w:sz="5" w:space="0" w:color="000000"/>
              <w:bottom w:val="single" w:sz="5" w:space="0" w:color="000000"/>
              <w:right w:val="single" w:sz="5" w:space="0" w:color="000000"/>
            </w:tcBorders>
          </w:tcPr>
          <w:p w14:paraId="5606CBCC" w14:textId="77777777" w:rsidR="00C770CB" w:rsidRPr="00CF5D7A" w:rsidRDefault="00C770CB" w:rsidP="007E7849">
            <w:pPr>
              <w:pStyle w:val="TableParagraph"/>
              <w:spacing w:line="246"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45,9%</w:t>
            </w:r>
          </w:p>
        </w:tc>
        <w:tc>
          <w:tcPr>
            <w:tcW w:w="1276" w:type="dxa"/>
            <w:tcBorders>
              <w:top w:val="single" w:sz="5" w:space="0" w:color="000000"/>
              <w:left w:val="single" w:sz="5" w:space="0" w:color="000000"/>
              <w:bottom w:val="single" w:sz="5" w:space="0" w:color="000000"/>
              <w:right w:val="single" w:sz="5" w:space="0" w:color="000000"/>
            </w:tcBorders>
          </w:tcPr>
          <w:p w14:paraId="5DC53643" w14:textId="77777777" w:rsidR="00C770CB" w:rsidRPr="00CF5D7A" w:rsidRDefault="00C770CB" w:rsidP="007E7849">
            <w:pPr>
              <w:pStyle w:val="TableParagraph"/>
              <w:spacing w:line="246"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41,2%</w:t>
            </w:r>
          </w:p>
        </w:tc>
        <w:tc>
          <w:tcPr>
            <w:tcW w:w="1985" w:type="dxa"/>
            <w:tcBorders>
              <w:top w:val="single" w:sz="5" w:space="0" w:color="000000"/>
              <w:left w:val="single" w:sz="5" w:space="0" w:color="000000"/>
              <w:bottom w:val="single" w:sz="5" w:space="0" w:color="000000"/>
              <w:right w:val="single" w:sz="5" w:space="0" w:color="000000"/>
            </w:tcBorders>
          </w:tcPr>
          <w:p w14:paraId="71BF8A6B" w14:textId="77777777" w:rsidR="00C770CB" w:rsidRPr="00CF5D7A" w:rsidRDefault="00C770CB" w:rsidP="007E7849">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61,6%</w:t>
            </w:r>
          </w:p>
        </w:tc>
        <w:tc>
          <w:tcPr>
            <w:tcW w:w="957" w:type="dxa"/>
            <w:tcBorders>
              <w:top w:val="single" w:sz="5" w:space="0" w:color="000000"/>
              <w:left w:val="single" w:sz="5" w:space="0" w:color="000000"/>
              <w:bottom w:val="single" w:sz="5" w:space="0" w:color="000000"/>
              <w:right w:val="single" w:sz="5" w:space="0" w:color="000000"/>
            </w:tcBorders>
          </w:tcPr>
          <w:p w14:paraId="5C2E2228" w14:textId="77777777" w:rsidR="00C770CB" w:rsidRPr="00CF5D7A" w:rsidRDefault="00C770CB" w:rsidP="007E7849">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174" w:type="dxa"/>
            <w:tcBorders>
              <w:top w:val="single" w:sz="5" w:space="0" w:color="000000"/>
              <w:left w:val="single" w:sz="5" w:space="0" w:color="000000"/>
              <w:bottom w:val="single" w:sz="5" w:space="0" w:color="000000"/>
              <w:right w:val="single" w:sz="5" w:space="0" w:color="000000"/>
            </w:tcBorders>
          </w:tcPr>
          <w:p w14:paraId="70E138F6" w14:textId="77777777" w:rsidR="00C770CB" w:rsidRPr="00CF5D7A" w:rsidRDefault="00C770CB" w:rsidP="007E7849">
            <w:pPr>
              <w:pStyle w:val="TableParagraph"/>
              <w:spacing w:line="246" w:lineRule="exact"/>
              <w:ind w:left="243"/>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216" w:type="dxa"/>
            <w:tcBorders>
              <w:top w:val="single" w:sz="5" w:space="0" w:color="000000"/>
              <w:left w:val="single" w:sz="5" w:space="0" w:color="000000"/>
              <w:bottom w:val="single" w:sz="5" w:space="0" w:color="000000"/>
              <w:right w:val="single" w:sz="9" w:space="0" w:color="000000"/>
            </w:tcBorders>
          </w:tcPr>
          <w:p w14:paraId="0B532CCE" w14:textId="77777777" w:rsidR="00C770CB" w:rsidRPr="00CF5D7A" w:rsidRDefault="00C770CB" w:rsidP="007E7849">
            <w:pPr>
              <w:pStyle w:val="TableParagraph"/>
              <w:spacing w:line="246" w:lineRule="exact"/>
              <w:ind w:left="351"/>
              <w:rPr>
                <w:rFonts w:ascii="Times New Roman" w:eastAsia="Times New Roman" w:hAnsi="Times New Roman" w:cs="Times New Roman"/>
                <w:lang w:val="hu-HU"/>
              </w:rPr>
            </w:pPr>
            <w:r w:rsidRPr="00CF5D7A">
              <w:rPr>
                <w:rFonts w:ascii="Times New Roman" w:eastAsia="Times New Roman" w:hAnsi="Times New Roman" w:cs="Times New Roman"/>
                <w:lang w:val="hu-HU"/>
              </w:rPr>
              <w:t>0,317</w:t>
            </w:r>
          </w:p>
        </w:tc>
      </w:tr>
      <w:tr w:rsidR="00C770CB" w:rsidRPr="00CF5D7A" w14:paraId="679984EF" w14:textId="77777777" w:rsidTr="007E7849">
        <w:tc>
          <w:tcPr>
            <w:tcW w:w="1366" w:type="dxa"/>
            <w:tcBorders>
              <w:top w:val="single" w:sz="5" w:space="0" w:color="000000"/>
              <w:left w:val="single" w:sz="8" w:space="0" w:color="000000"/>
              <w:bottom w:val="single" w:sz="5" w:space="0" w:color="000000"/>
              <w:right w:val="single" w:sz="5" w:space="0" w:color="000000"/>
            </w:tcBorders>
          </w:tcPr>
          <w:p w14:paraId="147BC10B" w14:textId="77777777" w:rsidR="00C770CB" w:rsidRPr="00CF5D7A" w:rsidRDefault="00C770CB" w:rsidP="007E7849">
            <w:pPr>
              <w:pStyle w:val="TableParagraph"/>
              <w:spacing w:line="246"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104. hét</w:t>
            </w:r>
          </w:p>
        </w:tc>
        <w:tc>
          <w:tcPr>
            <w:tcW w:w="1275" w:type="dxa"/>
            <w:tcBorders>
              <w:top w:val="single" w:sz="5" w:space="0" w:color="000000"/>
              <w:left w:val="single" w:sz="5" w:space="0" w:color="000000"/>
              <w:bottom w:val="single" w:sz="5" w:space="0" w:color="000000"/>
              <w:right w:val="single" w:sz="5" w:space="0" w:color="000000"/>
            </w:tcBorders>
          </w:tcPr>
          <w:p w14:paraId="6AA98382" w14:textId="77777777" w:rsidR="00C770CB" w:rsidRPr="00CF5D7A" w:rsidRDefault="00C770CB" w:rsidP="007E7849">
            <w:pPr>
              <w:pStyle w:val="TableParagraph"/>
              <w:spacing w:line="246"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42,8%</w:t>
            </w:r>
          </w:p>
        </w:tc>
        <w:tc>
          <w:tcPr>
            <w:tcW w:w="1276" w:type="dxa"/>
            <w:tcBorders>
              <w:top w:val="single" w:sz="5" w:space="0" w:color="000000"/>
              <w:left w:val="single" w:sz="5" w:space="0" w:color="000000"/>
              <w:bottom w:val="single" w:sz="5" w:space="0" w:color="000000"/>
              <w:right w:val="single" w:sz="5" w:space="0" w:color="000000"/>
            </w:tcBorders>
          </w:tcPr>
          <w:p w14:paraId="0426FB21" w14:textId="77777777" w:rsidR="00C770CB" w:rsidRPr="00CF5D7A" w:rsidRDefault="00C770CB" w:rsidP="007E7849">
            <w:pPr>
              <w:pStyle w:val="TableParagraph"/>
              <w:spacing w:line="246"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36,9%</w:t>
            </w:r>
          </w:p>
        </w:tc>
        <w:tc>
          <w:tcPr>
            <w:tcW w:w="1985" w:type="dxa"/>
            <w:tcBorders>
              <w:top w:val="single" w:sz="5" w:space="0" w:color="000000"/>
              <w:left w:val="single" w:sz="5" w:space="0" w:color="000000"/>
              <w:bottom w:val="single" w:sz="5" w:space="0" w:color="000000"/>
              <w:right w:val="single" w:sz="5" w:space="0" w:color="000000"/>
            </w:tcBorders>
          </w:tcPr>
          <w:p w14:paraId="667CDFDA" w14:textId="77777777" w:rsidR="00C770CB" w:rsidRPr="00CF5D7A" w:rsidRDefault="00C770CB" w:rsidP="007E7849">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59,0%</w:t>
            </w:r>
          </w:p>
        </w:tc>
        <w:tc>
          <w:tcPr>
            <w:tcW w:w="957" w:type="dxa"/>
            <w:tcBorders>
              <w:top w:val="single" w:sz="5" w:space="0" w:color="000000"/>
              <w:left w:val="single" w:sz="5" w:space="0" w:color="000000"/>
              <w:bottom w:val="single" w:sz="5" w:space="0" w:color="000000"/>
              <w:right w:val="single" w:sz="5" w:space="0" w:color="000000"/>
            </w:tcBorders>
          </w:tcPr>
          <w:p w14:paraId="5FA4973E" w14:textId="77777777" w:rsidR="00C770CB" w:rsidRPr="00CF5D7A" w:rsidRDefault="00C770CB" w:rsidP="007E7849">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174" w:type="dxa"/>
            <w:tcBorders>
              <w:top w:val="single" w:sz="5" w:space="0" w:color="000000"/>
              <w:left w:val="single" w:sz="5" w:space="0" w:color="000000"/>
              <w:bottom w:val="single" w:sz="5" w:space="0" w:color="000000"/>
              <w:right w:val="single" w:sz="5" w:space="0" w:color="000000"/>
            </w:tcBorders>
          </w:tcPr>
          <w:p w14:paraId="484B18B0" w14:textId="77777777" w:rsidR="00C770CB" w:rsidRPr="00CF5D7A" w:rsidRDefault="00C770CB" w:rsidP="007E7849">
            <w:pPr>
              <w:pStyle w:val="TableParagraph"/>
              <w:spacing w:line="246" w:lineRule="exact"/>
              <w:ind w:left="243"/>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216" w:type="dxa"/>
            <w:tcBorders>
              <w:top w:val="single" w:sz="5" w:space="0" w:color="000000"/>
              <w:left w:val="single" w:sz="5" w:space="0" w:color="000000"/>
              <w:bottom w:val="single" w:sz="5" w:space="0" w:color="000000"/>
              <w:right w:val="single" w:sz="9" w:space="0" w:color="000000"/>
            </w:tcBorders>
          </w:tcPr>
          <w:p w14:paraId="03FEF8C0" w14:textId="77777777" w:rsidR="00C770CB" w:rsidRPr="00CF5D7A" w:rsidRDefault="00C770CB" w:rsidP="007E7849">
            <w:pPr>
              <w:pStyle w:val="TableParagraph"/>
              <w:spacing w:line="246" w:lineRule="exact"/>
              <w:ind w:left="351"/>
              <w:rPr>
                <w:rFonts w:ascii="Times New Roman" w:eastAsia="Times New Roman" w:hAnsi="Times New Roman" w:cs="Times New Roman"/>
                <w:lang w:val="hu-HU"/>
              </w:rPr>
            </w:pPr>
            <w:r w:rsidRPr="00CF5D7A">
              <w:rPr>
                <w:rFonts w:ascii="Times New Roman" w:eastAsia="Times New Roman" w:hAnsi="Times New Roman" w:cs="Times New Roman"/>
                <w:lang w:val="hu-HU"/>
              </w:rPr>
              <w:t>0,162</w:t>
            </w:r>
          </w:p>
        </w:tc>
      </w:tr>
      <w:tr w:rsidR="00C770CB" w:rsidRPr="00CF5D7A" w14:paraId="64C98F58" w14:textId="77777777" w:rsidTr="007E7849">
        <w:tc>
          <w:tcPr>
            <w:tcW w:w="9249" w:type="dxa"/>
            <w:gridSpan w:val="7"/>
            <w:tcBorders>
              <w:top w:val="single" w:sz="5" w:space="0" w:color="000000"/>
              <w:left w:val="single" w:sz="8" w:space="0" w:color="000000"/>
              <w:bottom w:val="single" w:sz="5" w:space="0" w:color="000000"/>
              <w:right w:val="single" w:sz="9" w:space="0" w:color="000000"/>
            </w:tcBorders>
          </w:tcPr>
          <w:p w14:paraId="078DC4F5" w14:textId="77777777" w:rsidR="00C770CB" w:rsidRPr="00CF5D7A" w:rsidRDefault="00C770CB" w:rsidP="007E7849">
            <w:pPr>
              <w:rPr>
                <w:lang w:val="hu-HU"/>
              </w:rPr>
            </w:pPr>
            <w:r w:rsidRPr="00CF5D7A">
              <w:rPr>
                <w:rFonts w:ascii="Times New Roman" w:eastAsia="Times New Roman" w:hAnsi="Times New Roman" w:cs="Times New Roman"/>
                <w:spacing w:val="-1"/>
                <w:lang w:val="hu-HU"/>
              </w:rPr>
              <w:t>ACR 70</w:t>
            </w:r>
          </w:p>
        </w:tc>
      </w:tr>
      <w:tr w:rsidR="00C770CB" w:rsidRPr="00CF5D7A" w14:paraId="4046935B" w14:textId="77777777" w:rsidTr="007E7849">
        <w:tc>
          <w:tcPr>
            <w:tcW w:w="1366" w:type="dxa"/>
            <w:tcBorders>
              <w:top w:val="single" w:sz="5" w:space="0" w:color="000000"/>
              <w:left w:val="single" w:sz="8" w:space="0" w:color="000000"/>
              <w:bottom w:val="single" w:sz="5" w:space="0" w:color="000000"/>
              <w:right w:val="single" w:sz="5" w:space="0" w:color="000000"/>
            </w:tcBorders>
          </w:tcPr>
          <w:p w14:paraId="238D007B" w14:textId="77777777" w:rsidR="00C770CB" w:rsidRPr="00CF5D7A" w:rsidRDefault="00C770CB" w:rsidP="007E7849">
            <w:pPr>
              <w:pStyle w:val="TableParagraph"/>
              <w:spacing w:line="248"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52. hét</w:t>
            </w:r>
          </w:p>
        </w:tc>
        <w:tc>
          <w:tcPr>
            <w:tcW w:w="1275" w:type="dxa"/>
            <w:tcBorders>
              <w:top w:val="single" w:sz="5" w:space="0" w:color="000000"/>
              <w:left w:val="single" w:sz="5" w:space="0" w:color="000000"/>
              <w:bottom w:val="single" w:sz="5" w:space="0" w:color="000000"/>
              <w:right w:val="single" w:sz="5" w:space="0" w:color="000000"/>
            </w:tcBorders>
          </w:tcPr>
          <w:p w14:paraId="73583C88" w14:textId="77777777" w:rsidR="00C770CB" w:rsidRPr="00CF5D7A" w:rsidRDefault="00C770CB" w:rsidP="007E7849">
            <w:pPr>
              <w:pStyle w:val="TableParagraph"/>
              <w:spacing w:line="248"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27,2%</w:t>
            </w:r>
          </w:p>
        </w:tc>
        <w:tc>
          <w:tcPr>
            <w:tcW w:w="1276" w:type="dxa"/>
            <w:tcBorders>
              <w:top w:val="single" w:sz="5" w:space="0" w:color="000000"/>
              <w:left w:val="single" w:sz="5" w:space="0" w:color="000000"/>
              <w:bottom w:val="single" w:sz="5" w:space="0" w:color="000000"/>
              <w:right w:val="single" w:sz="5" w:space="0" w:color="000000"/>
            </w:tcBorders>
          </w:tcPr>
          <w:p w14:paraId="1B17230C" w14:textId="77777777" w:rsidR="00C770CB" w:rsidRPr="00CF5D7A" w:rsidRDefault="00C770CB" w:rsidP="007E7849">
            <w:pPr>
              <w:pStyle w:val="TableParagraph"/>
              <w:spacing w:line="248"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25,9%</w:t>
            </w:r>
          </w:p>
        </w:tc>
        <w:tc>
          <w:tcPr>
            <w:tcW w:w="1985" w:type="dxa"/>
            <w:tcBorders>
              <w:top w:val="single" w:sz="5" w:space="0" w:color="000000"/>
              <w:left w:val="single" w:sz="5" w:space="0" w:color="000000"/>
              <w:bottom w:val="single" w:sz="5" w:space="0" w:color="000000"/>
              <w:right w:val="single" w:sz="5" w:space="0" w:color="000000"/>
            </w:tcBorders>
          </w:tcPr>
          <w:p w14:paraId="61A83DBA" w14:textId="77777777" w:rsidR="00C770CB" w:rsidRPr="00CF5D7A" w:rsidRDefault="00C770CB" w:rsidP="007E7849">
            <w:pPr>
              <w:pStyle w:val="TableParagraph"/>
              <w:spacing w:line="248"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45,5%</w:t>
            </w:r>
          </w:p>
        </w:tc>
        <w:tc>
          <w:tcPr>
            <w:tcW w:w="957" w:type="dxa"/>
            <w:tcBorders>
              <w:top w:val="single" w:sz="5" w:space="0" w:color="000000"/>
              <w:left w:val="single" w:sz="5" w:space="0" w:color="000000"/>
              <w:bottom w:val="single" w:sz="5" w:space="0" w:color="000000"/>
              <w:right w:val="single" w:sz="5" w:space="0" w:color="000000"/>
            </w:tcBorders>
          </w:tcPr>
          <w:p w14:paraId="0E54F585" w14:textId="77777777" w:rsidR="00C770CB" w:rsidRPr="00CF5D7A" w:rsidRDefault="00C770CB" w:rsidP="007E7849">
            <w:pPr>
              <w:pStyle w:val="TableParagraph"/>
              <w:spacing w:line="248"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174" w:type="dxa"/>
            <w:tcBorders>
              <w:top w:val="single" w:sz="5" w:space="0" w:color="000000"/>
              <w:left w:val="single" w:sz="5" w:space="0" w:color="000000"/>
              <w:bottom w:val="single" w:sz="5" w:space="0" w:color="000000"/>
              <w:right w:val="single" w:sz="5" w:space="0" w:color="000000"/>
            </w:tcBorders>
          </w:tcPr>
          <w:p w14:paraId="6C5BA6D6" w14:textId="77777777" w:rsidR="00C770CB" w:rsidRPr="00CF5D7A" w:rsidRDefault="00C770CB" w:rsidP="007E7849">
            <w:pPr>
              <w:pStyle w:val="TableParagraph"/>
              <w:spacing w:line="248" w:lineRule="exact"/>
              <w:ind w:left="243"/>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216" w:type="dxa"/>
            <w:tcBorders>
              <w:top w:val="single" w:sz="5" w:space="0" w:color="000000"/>
              <w:left w:val="single" w:sz="5" w:space="0" w:color="000000"/>
              <w:bottom w:val="single" w:sz="5" w:space="0" w:color="000000"/>
              <w:right w:val="single" w:sz="9" w:space="0" w:color="000000"/>
            </w:tcBorders>
          </w:tcPr>
          <w:p w14:paraId="131C5070" w14:textId="77777777" w:rsidR="00C770CB" w:rsidRPr="00CF5D7A" w:rsidRDefault="00C770CB" w:rsidP="007E7849">
            <w:pPr>
              <w:pStyle w:val="TableParagraph"/>
              <w:spacing w:line="248" w:lineRule="exact"/>
              <w:ind w:left="351"/>
              <w:rPr>
                <w:rFonts w:ascii="Times New Roman" w:eastAsia="Times New Roman" w:hAnsi="Times New Roman" w:cs="Times New Roman"/>
                <w:lang w:val="hu-HU"/>
              </w:rPr>
            </w:pPr>
            <w:r w:rsidRPr="00CF5D7A">
              <w:rPr>
                <w:rFonts w:ascii="Times New Roman" w:eastAsia="Times New Roman" w:hAnsi="Times New Roman" w:cs="Times New Roman"/>
                <w:lang w:val="hu-HU"/>
              </w:rPr>
              <w:t>0,656</w:t>
            </w:r>
          </w:p>
        </w:tc>
      </w:tr>
      <w:tr w:rsidR="00C770CB" w:rsidRPr="00CF5D7A" w14:paraId="1FF542A3" w14:textId="77777777" w:rsidTr="007E7849">
        <w:tc>
          <w:tcPr>
            <w:tcW w:w="1366" w:type="dxa"/>
            <w:tcBorders>
              <w:top w:val="single" w:sz="5" w:space="0" w:color="000000"/>
              <w:left w:val="single" w:sz="8" w:space="0" w:color="000000"/>
              <w:bottom w:val="single" w:sz="5" w:space="0" w:color="000000"/>
              <w:right w:val="single" w:sz="5" w:space="0" w:color="000000"/>
            </w:tcBorders>
          </w:tcPr>
          <w:p w14:paraId="6E8FEC83" w14:textId="77777777" w:rsidR="00C770CB" w:rsidRPr="00CF5D7A" w:rsidRDefault="00C770CB" w:rsidP="007E7849">
            <w:pPr>
              <w:pStyle w:val="TableParagraph"/>
              <w:spacing w:line="248"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104. hét</w:t>
            </w:r>
          </w:p>
        </w:tc>
        <w:tc>
          <w:tcPr>
            <w:tcW w:w="1275" w:type="dxa"/>
            <w:tcBorders>
              <w:top w:val="single" w:sz="5" w:space="0" w:color="000000"/>
              <w:left w:val="single" w:sz="5" w:space="0" w:color="000000"/>
              <w:bottom w:val="single" w:sz="5" w:space="0" w:color="000000"/>
              <w:right w:val="single" w:sz="5" w:space="0" w:color="000000"/>
            </w:tcBorders>
          </w:tcPr>
          <w:p w14:paraId="2271515B" w14:textId="77777777" w:rsidR="00C770CB" w:rsidRPr="00CF5D7A" w:rsidRDefault="00C770CB" w:rsidP="007E7849">
            <w:pPr>
              <w:pStyle w:val="TableParagraph"/>
              <w:spacing w:line="248"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28,4%</w:t>
            </w:r>
          </w:p>
        </w:tc>
        <w:tc>
          <w:tcPr>
            <w:tcW w:w="1276" w:type="dxa"/>
            <w:tcBorders>
              <w:top w:val="single" w:sz="5" w:space="0" w:color="000000"/>
              <w:left w:val="single" w:sz="5" w:space="0" w:color="000000"/>
              <w:bottom w:val="single" w:sz="5" w:space="0" w:color="000000"/>
              <w:right w:val="single" w:sz="5" w:space="0" w:color="000000"/>
            </w:tcBorders>
          </w:tcPr>
          <w:p w14:paraId="704ADBF5" w14:textId="77777777" w:rsidR="00C770CB" w:rsidRPr="00CF5D7A" w:rsidRDefault="00C770CB" w:rsidP="007E7849">
            <w:pPr>
              <w:pStyle w:val="TableParagraph"/>
              <w:spacing w:line="248"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28,1%</w:t>
            </w:r>
          </w:p>
        </w:tc>
        <w:tc>
          <w:tcPr>
            <w:tcW w:w="1985" w:type="dxa"/>
            <w:tcBorders>
              <w:top w:val="single" w:sz="5" w:space="0" w:color="000000"/>
              <w:left w:val="single" w:sz="5" w:space="0" w:color="000000"/>
              <w:bottom w:val="single" w:sz="5" w:space="0" w:color="000000"/>
              <w:right w:val="single" w:sz="5" w:space="0" w:color="000000"/>
            </w:tcBorders>
          </w:tcPr>
          <w:p w14:paraId="02E54649" w14:textId="77777777" w:rsidR="00C770CB" w:rsidRPr="00CF5D7A" w:rsidRDefault="00C770CB" w:rsidP="007E7849">
            <w:pPr>
              <w:pStyle w:val="TableParagraph"/>
              <w:spacing w:line="248"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46,6%</w:t>
            </w:r>
          </w:p>
        </w:tc>
        <w:tc>
          <w:tcPr>
            <w:tcW w:w="957" w:type="dxa"/>
            <w:tcBorders>
              <w:top w:val="single" w:sz="5" w:space="0" w:color="000000"/>
              <w:left w:val="single" w:sz="5" w:space="0" w:color="000000"/>
              <w:bottom w:val="single" w:sz="5" w:space="0" w:color="000000"/>
              <w:right w:val="single" w:sz="5" w:space="0" w:color="000000"/>
            </w:tcBorders>
          </w:tcPr>
          <w:p w14:paraId="30C610CC" w14:textId="77777777" w:rsidR="00C770CB" w:rsidRPr="00CF5D7A" w:rsidRDefault="00C770CB" w:rsidP="007E7849">
            <w:pPr>
              <w:pStyle w:val="TableParagraph"/>
              <w:spacing w:line="248"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174" w:type="dxa"/>
            <w:tcBorders>
              <w:top w:val="single" w:sz="5" w:space="0" w:color="000000"/>
              <w:left w:val="single" w:sz="5" w:space="0" w:color="000000"/>
              <w:bottom w:val="single" w:sz="5" w:space="0" w:color="000000"/>
              <w:right w:val="single" w:sz="5" w:space="0" w:color="000000"/>
            </w:tcBorders>
          </w:tcPr>
          <w:p w14:paraId="397F3761" w14:textId="77777777" w:rsidR="00C770CB" w:rsidRPr="00CF5D7A" w:rsidRDefault="00C770CB" w:rsidP="007E7849">
            <w:pPr>
              <w:pStyle w:val="TableParagraph"/>
              <w:spacing w:line="248" w:lineRule="exact"/>
              <w:ind w:left="243"/>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216" w:type="dxa"/>
            <w:tcBorders>
              <w:top w:val="single" w:sz="5" w:space="0" w:color="000000"/>
              <w:left w:val="single" w:sz="5" w:space="0" w:color="000000"/>
              <w:bottom w:val="single" w:sz="5" w:space="0" w:color="000000"/>
              <w:right w:val="single" w:sz="9" w:space="0" w:color="000000"/>
            </w:tcBorders>
          </w:tcPr>
          <w:p w14:paraId="607C69D7" w14:textId="77777777" w:rsidR="00C770CB" w:rsidRPr="00CF5D7A" w:rsidRDefault="00C770CB" w:rsidP="007E7849">
            <w:pPr>
              <w:pStyle w:val="TableParagraph"/>
              <w:spacing w:line="248" w:lineRule="exact"/>
              <w:ind w:left="351"/>
              <w:rPr>
                <w:rFonts w:ascii="Times New Roman" w:eastAsia="Times New Roman" w:hAnsi="Times New Roman" w:cs="Times New Roman"/>
                <w:lang w:val="hu-HU"/>
              </w:rPr>
            </w:pPr>
            <w:r w:rsidRPr="00CF5D7A">
              <w:rPr>
                <w:rFonts w:ascii="Times New Roman" w:eastAsia="Times New Roman" w:hAnsi="Times New Roman" w:cs="Times New Roman"/>
                <w:lang w:val="hu-HU"/>
              </w:rPr>
              <w:t>0,864</w:t>
            </w:r>
          </w:p>
        </w:tc>
      </w:tr>
    </w:tbl>
    <w:p w14:paraId="1F0A1F6A" w14:textId="77777777" w:rsidR="00C770CB" w:rsidRPr="008668A9" w:rsidRDefault="00C770CB" w:rsidP="00C770CB">
      <w:pPr>
        <w:tabs>
          <w:tab w:val="left" w:pos="433"/>
        </w:tabs>
        <w:rPr>
          <w:rFonts w:ascii="Times New Roman" w:eastAsia="Times New Roman" w:hAnsi="Times New Roman" w:cs="Times New Roman"/>
          <w:lang w:val="hu-HU"/>
        </w:rPr>
      </w:pPr>
      <w:r w:rsidRPr="001E2F31">
        <w:rPr>
          <w:rFonts w:ascii="Times New Roman" w:eastAsia="Times New Roman" w:hAnsi="Times New Roman" w:cs="Times New Roman"/>
          <w:vertAlign w:val="superscript"/>
          <w:lang w:val="hu-HU"/>
        </w:rPr>
        <w:t>a</w:t>
      </w:r>
      <w:r w:rsidRPr="001E2F31">
        <w:rPr>
          <w:rFonts w:ascii="Times New Roman" w:eastAsia="Times New Roman" w:hAnsi="Times New Roman" w:cs="Times New Roman"/>
          <w:lang w:val="hu-HU"/>
        </w:rPr>
        <w:t xml:space="preserve"> a p-érték a metotrexát monoterápia és az adalimumab/metotrexát kombinációs terápia páros összehasonlítása alapján Mann-Whitney U teszt szerint.</w:t>
      </w:r>
    </w:p>
    <w:p w14:paraId="6263E1D3" w14:textId="77777777" w:rsidR="00C770CB" w:rsidRPr="008668A9" w:rsidRDefault="00C770CB" w:rsidP="00C770CB">
      <w:pPr>
        <w:tabs>
          <w:tab w:val="left" w:pos="433"/>
        </w:tabs>
        <w:rPr>
          <w:rFonts w:ascii="Times New Roman" w:eastAsia="Times New Roman" w:hAnsi="Times New Roman" w:cs="Times New Roman"/>
          <w:lang w:val="hu-HU"/>
        </w:rPr>
      </w:pPr>
      <w:r w:rsidRPr="001E2F31">
        <w:rPr>
          <w:rFonts w:ascii="Times New Roman" w:eastAsia="Times New Roman" w:hAnsi="Times New Roman" w:cs="Times New Roman"/>
          <w:vertAlign w:val="superscript"/>
          <w:lang w:val="hu-HU"/>
        </w:rPr>
        <w:t>b</w:t>
      </w:r>
      <w:r w:rsidRPr="001E2F31">
        <w:rPr>
          <w:rFonts w:ascii="Times New Roman" w:eastAsia="Times New Roman" w:hAnsi="Times New Roman" w:cs="Times New Roman"/>
          <w:lang w:val="hu-HU"/>
        </w:rPr>
        <w:t xml:space="preserve"> a p-érték a </w:t>
      </w:r>
      <w:r w:rsidRPr="008668A9">
        <w:rPr>
          <w:rFonts w:ascii="Times New Roman" w:eastAsia="Times New Roman" w:hAnsi="Times New Roman" w:cs="Times New Roman"/>
          <w:lang w:val="hu-HU"/>
        </w:rPr>
        <w:t>adalimumab</w:t>
      </w:r>
      <w:r w:rsidRPr="001E2F31">
        <w:rPr>
          <w:rFonts w:ascii="Times New Roman" w:eastAsia="Times New Roman" w:hAnsi="Times New Roman" w:cs="Times New Roman"/>
          <w:lang w:val="hu-HU"/>
        </w:rPr>
        <w:t xml:space="preserve"> monoterápia és az adalimumab/metotrexát kombinációs terápia páros összehasonlítása alapján Mann-Whitney U teszt szerint.</w:t>
      </w:r>
    </w:p>
    <w:p w14:paraId="2CDB3DF6" w14:textId="77777777" w:rsidR="00C770CB" w:rsidRPr="008668A9" w:rsidRDefault="00C770CB" w:rsidP="00C770CB">
      <w:pPr>
        <w:tabs>
          <w:tab w:val="left" w:pos="421"/>
        </w:tabs>
        <w:rPr>
          <w:sz w:val="17"/>
          <w:szCs w:val="17"/>
          <w:lang w:val="hu-HU"/>
        </w:rPr>
      </w:pPr>
      <w:r w:rsidRPr="001E2F31">
        <w:rPr>
          <w:rFonts w:ascii="Times New Roman" w:eastAsia="Times New Roman" w:hAnsi="Times New Roman" w:cs="Times New Roman"/>
          <w:vertAlign w:val="superscript"/>
          <w:lang w:val="hu-HU"/>
        </w:rPr>
        <w:t>c</w:t>
      </w:r>
      <w:r w:rsidRPr="001E2F31">
        <w:rPr>
          <w:rFonts w:ascii="Times New Roman" w:eastAsia="Times New Roman" w:hAnsi="Times New Roman" w:cs="Times New Roman"/>
          <w:lang w:val="hu-HU"/>
        </w:rPr>
        <w:t xml:space="preserve"> a p-érték a </w:t>
      </w:r>
      <w:r w:rsidRPr="008668A9">
        <w:rPr>
          <w:rFonts w:ascii="Times New Roman" w:eastAsia="Times New Roman" w:hAnsi="Times New Roman" w:cs="Times New Roman"/>
          <w:lang w:val="hu-HU"/>
        </w:rPr>
        <w:t>adalimumab</w:t>
      </w:r>
      <w:r w:rsidRPr="001E2F31">
        <w:rPr>
          <w:rFonts w:ascii="Times New Roman" w:eastAsia="Times New Roman" w:hAnsi="Times New Roman" w:cs="Times New Roman"/>
          <w:lang w:val="hu-HU"/>
        </w:rPr>
        <w:t xml:space="preserve"> monoterápia és a metotrexát </w:t>
      </w:r>
      <w:r w:rsidRPr="006B04DD">
        <w:rPr>
          <w:rFonts w:ascii="Times New Roman" w:eastAsia="Times New Roman" w:hAnsi="Times New Roman" w:cs="Times New Roman"/>
          <w:lang w:val="hu-HU"/>
        </w:rPr>
        <w:t>monoterápia</w:t>
      </w:r>
      <w:r w:rsidRPr="001E2F31">
        <w:rPr>
          <w:rFonts w:ascii="Times New Roman" w:eastAsia="Times New Roman" w:hAnsi="Times New Roman" w:cs="Times New Roman"/>
          <w:lang w:val="hu-HU"/>
        </w:rPr>
        <w:t xml:space="preserve"> páros összehasonlítása alapján Mann-Whitney U teszt szerint.</w:t>
      </w:r>
    </w:p>
    <w:p w14:paraId="71E4C5D4" w14:textId="77777777" w:rsidR="00C770CB" w:rsidRDefault="00C770CB" w:rsidP="00C770CB">
      <w:pPr>
        <w:spacing w:before="5" w:line="170" w:lineRule="exact"/>
        <w:rPr>
          <w:sz w:val="17"/>
          <w:szCs w:val="17"/>
          <w:lang w:val="hu-HU"/>
        </w:rPr>
      </w:pPr>
    </w:p>
    <w:p w14:paraId="70865072" w14:textId="77777777" w:rsidR="00C770CB" w:rsidRDefault="00C770CB" w:rsidP="00C770CB">
      <w:pPr>
        <w:pStyle w:val="a3"/>
        <w:rPr>
          <w:lang w:val="hu-HU"/>
        </w:rPr>
      </w:pPr>
      <w:r>
        <w:rPr>
          <w:rFonts w:eastAsia="Times New Roman"/>
          <w:lang w:val="hu-HU"/>
        </w:rPr>
        <w:t>Az RA V vizsgálat nyílt elrendezésű kiterjesztésében az ACR-válasz aránya fennmaradt a legfeljebb 10 éves követés alatt. A minden második héten adalimumabbal kezelt 542 beteg közül 170 beteg folytatta a 2 hetenkénti 40 mg-os adalimumab-kezelést 10 éven keresztül. Közülük 154 (90,6%) mutatott ACR 20 választ, 127 beteg (74,7%) ACR 50 választ és 102 beteg (60,0%) ACR 70 választ.</w:t>
      </w:r>
    </w:p>
    <w:p w14:paraId="6BC91E1F" w14:textId="77777777" w:rsidR="00C770CB" w:rsidRDefault="00C770CB" w:rsidP="00C770CB">
      <w:pPr>
        <w:spacing w:before="13" w:line="240" w:lineRule="exact"/>
        <w:rPr>
          <w:sz w:val="24"/>
          <w:szCs w:val="24"/>
          <w:lang w:val="hu-HU"/>
        </w:rPr>
      </w:pPr>
    </w:p>
    <w:p w14:paraId="1D957D15" w14:textId="77777777" w:rsidR="00C770CB" w:rsidRDefault="00C770CB" w:rsidP="00C770CB">
      <w:pPr>
        <w:pStyle w:val="a3"/>
        <w:rPr>
          <w:lang w:val="hu-HU"/>
        </w:rPr>
      </w:pPr>
      <w:r>
        <w:rPr>
          <w:rFonts w:eastAsia="Times New Roman"/>
          <w:lang w:val="hu-HU"/>
        </w:rPr>
        <w:t>Az 52. héten adalimumab/metotrexát kombinációval kezelt betegek 42, 9% -a klinikai remisszióba került (DAS28 2,6) összehasonlítva a metotrexát monoterápiát kapó 20, 6% és adalimumab monoterápiában részesült 23, 4% beteggel. Az adalimumab/metotrexát kombinációs terápia klinikailag és statisztikailag jobb volt, mint a metotrexát (p &lt; 0,001) és az adalimumab monoterápia (p &lt; 0,001), alacsony betegségaktivitási szint elérése tekintetében, amennyiben korai közepesen súlyos - súlyos rheumatoid arthritisük volt. A két monoterápiás karon kapott válasz hasonló volt (p = 0,447). Az eredetileg adalimumab-monoterápiára vagy adalimumab/methotrexát kombinációra randomizált 342 beteg közül, akik beléptek a nyílt kiterjesztéses vizsgálatba, 171 beteg fejezte be a 10 éves adalimumab-kezelést. Közülük 109 beteg (63,7%) került remisszióba a 10 év alatt.</w:t>
      </w:r>
    </w:p>
    <w:p w14:paraId="0AEC3ED0" w14:textId="77777777" w:rsidR="00C770CB" w:rsidRDefault="00C770CB" w:rsidP="00C770CB">
      <w:pPr>
        <w:pStyle w:val="a3"/>
        <w:rPr>
          <w:lang w:val="hu-HU"/>
        </w:rPr>
      </w:pPr>
    </w:p>
    <w:p w14:paraId="24325D2C" w14:textId="77777777" w:rsidR="00C770CB" w:rsidRDefault="00C770CB" w:rsidP="00C770CB">
      <w:pPr>
        <w:pStyle w:val="a3"/>
        <w:rPr>
          <w:rFonts w:eastAsia="Times New Roman"/>
          <w:lang w:val="hu-HU"/>
        </w:rPr>
      </w:pPr>
      <w:r>
        <w:rPr>
          <w:rFonts w:eastAsia="Times New Roman"/>
          <w:i/>
          <w:iCs/>
          <w:spacing w:val="-1"/>
          <w:u w:val="single" w:color="000000"/>
          <w:lang w:val="hu-HU"/>
        </w:rPr>
        <w:t>Radiológiai válasz</w:t>
      </w:r>
    </w:p>
    <w:p w14:paraId="3B2D2FE2" w14:textId="77777777" w:rsidR="00C770CB" w:rsidRDefault="00C770CB" w:rsidP="00C770CB">
      <w:pPr>
        <w:pStyle w:val="a3"/>
        <w:rPr>
          <w:sz w:val="18"/>
          <w:szCs w:val="18"/>
          <w:lang w:val="hu-HU"/>
        </w:rPr>
      </w:pPr>
    </w:p>
    <w:p w14:paraId="4F92D535" w14:textId="380463A9" w:rsidR="00C770CB" w:rsidRDefault="00C770CB" w:rsidP="00C770CB">
      <w:pPr>
        <w:pStyle w:val="a3"/>
        <w:rPr>
          <w:lang w:val="hu-HU"/>
        </w:rPr>
      </w:pPr>
      <w:r>
        <w:rPr>
          <w:rFonts w:eastAsia="Times New Roman"/>
          <w:lang w:val="hu-HU"/>
        </w:rPr>
        <w:t>Az RA</w:t>
      </w:r>
      <w:r w:rsidRPr="009167C6">
        <w:rPr>
          <w:lang w:val="hu-HU"/>
        </w:rPr>
        <w:t> </w:t>
      </w:r>
      <w:r>
        <w:rPr>
          <w:rFonts w:eastAsia="Times New Roman"/>
          <w:lang w:val="hu-HU"/>
        </w:rPr>
        <w:t xml:space="preserve">III vizsgálatban, amelyben az adalimumabbal kezelt betegek rheumatoid arthritise átlagosan 11 éve fennállt, az ízületek szerkezeti károsodását radiológiailag értékelték és a változást módosított teljes Sharp pontértékkel (Total Sharp Score, TSS) és összetevőivel az eróziós pontértékkel és az ízületi rés beszűkülésének pontértékével fejezték ki. Adalimumabbal/metotrexáttal kezelt betegeknél szignifikánsan kisebb mértékű radiológiai progressziót mutattak ki, mint a 6 és 12 hónapig csak metotrexáttal kezelt betegeknél (lásd </w:t>
      </w:r>
      <w:r w:rsidR="009454CE">
        <w:rPr>
          <w:rFonts w:eastAsia="Times New Roman"/>
          <w:lang w:val="hu-HU"/>
        </w:rPr>
        <w:t>7</w:t>
      </w:r>
      <w:r>
        <w:rPr>
          <w:rFonts w:eastAsia="Times New Roman"/>
          <w:lang w:val="hu-HU"/>
        </w:rPr>
        <w:t>. táblázat).</w:t>
      </w:r>
    </w:p>
    <w:p w14:paraId="4F0A1F81" w14:textId="77777777" w:rsidR="00C770CB" w:rsidRDefault="00C770CB" w:rsidP="00C770CB">
      <w:pPr>
        <w:pStyle w:val="a3"/>
        <w:rPr>
          <w:lang w:val="hu-HU"/>
        </w:rPr>
      </w:pPr>
    </w:p>
    <w:p w14:paraId="52677C1E" w14:textId="77777777" w:rsidR="00C770CB" w:rsidRDefault="00C770CB" w:rsidP="00C770CB">
      <w:pPr>
        <w:pStyle w:val="a3"/>
        <w:rPr>
          <w:lang w:val="hu-HU"/>
        </w:rPr>
      </w:pPr>
      <w:r>
        <w:rPr>
          <w:rFonts w:eastAsia="Times New Roman"/>
          <w:lang w:val="hu-HU"/>
        </w:rPr>
        <w:t>Az RA</w:t>
      </w:r>
      <w:r w:rsidDel="002A3904">
        <w:rPr>
          <w:rFonts w:eastAsia="Times New Roman"/>
          <w:lang w:val="hu-HU"/>
        </w:rPr>
        <w:t xml:space="preserve"> </w:t>
      </w:r>
      <w:r>
        <w:rPr>
          <w:rFonts w:eastAsia="Times New Roman"/>
          <w:lang w:val="hu-HU"/>
        </w:rPr>
        <w:t>III vizsgálat nyílt, kiterjesztett fázisában a strukturális károsodás progressziójának csökkent mértéke 8 és 10 évig fenntartható a betegek egy részénél. Az eredetileg minden második héten 40 mg adalimumabbal kezelt 207 beteg közül 81-et értékeltek radiológiailag a 8. évben. Közülük 48 betegnél nem észlelték a strukturális károsodás progresszióját, melynek meghatározása az mTSS-pontértékben bekövetkezett 0,5 vagy még alacsonyabb változás volt a kiindulási értékhez képest. Az eredetileg minden második héten 40 mg adalimumabbal kezelt 207 beteg közül 79-et értékeltek radiológiailag a 10. évben. Közülük 40 betegnél nem észlelték a strukturális károsodás progresszióját, melynek meghatározása az mTSS-pontértékben bekövetkezett 0,5 vagy még alacsonyabb változás volt a kiindulási értékhez képest.</w:t>
      </w:r>
    </w:p>
    <w:p w14:paraId="67116616" w14:textId="77777777" w:rsidR="00C770CB" w:rsidRDefault="00C770CB" w:rsidP="00C770CB">
      <w:pPr>
        <w:spacing w:before="18" w:line="240" w:lineRule="exact"/>
        <w:rPr>
          <w:sz w:val="24"/>
          <w:szCs w:val="24"/>
          <w:lang w:val="hu-HU"/>
        </w:rPr>
      </w:pPr>
    </w:p>
    <w:p w14:paraId="21863602" w14:textId="1B70127A" w:rsidR="00C770CB" w:rsidRDefault="009454CE" w:rsidP="00C770CB">
      <w:pPr>
        <w:pStyle w:val="a3"/>
        <w:jc w:val="center"/>
        <w:rPr>
          <w:b/>
          <w:lang w:val="hu-HU"/>
        </w:rPr>
      </w:pPr>
      <w:r>
        <w:rPr>
          <w:rFonts w:eastAsia="Times New Roman"/>
          <w:b/>
          <w:bCs/>
          <w:lang w:val="hu-HU"/>
        </w:rPr>
        <w:lastRenderedPageBreak/>
        <w:t>7</w:t>
      </w:r>
      <w:r w:rsidR="00C770CB">
        <w:rPr>
          <w:rFonts w:eastAsia="Times New Roman"/>
          <w:b/>
          <w:bCs/>
          <w:lang w:val="hu-HU"/>
        </w:rPr>
        <w:t>. táblázat</w:t>
      </w:r>
    </w:p>
    <w:p w14:paraId="34D2A04D" w14:textId="77777777" w:rsidR="00C770CB" w:rsidRDefault="00C770CB" w:rsidP="00C770CB">
      <w:pPr>
        <w:pStyle w:val="a3"/>
        <w:jc w:val="center"/>
        <w:rPr>
          <w:b/>
          <w:lang w:val="hu-HU"/>
        </w:rPr>
      </w:pPr>
      <w:r>
        <w:rPr>
          <w:rFonts w:eastAsia="Times New Roman"/>
          <w:b/>
          <w:bCs/>
          <w:lang w:val="hu-HU"/>
        </w:rPr>
        <w:t>Az RA III vizsgálatban észlelt radiológiai változások átlaga 12 hónapot követően</w:t>
      </w:r>
    </w:p>
    <w:p w14:paraId="0F5C7EF2" w14:textId="77777777" w:rsidR="00C770CB" w:rsidRDefault="00C770CB" w:rsidP="00C770CB">
      <w:pPr>
        <w:spacing w:before="14" w:line="240" w:lineRule="exact"/>
        <w:rPr>
          <w:sz w:val="24"/>
          <w:szCs w:val="24"/>
          <w:lang w:val="hu-HU"/>
        </w:rPr>
      </w:pPr>
    </w:p>
    <w:tbl>
      <w:tblPr>
        <w:tblStyle w:val="TableNormal1"/>
        <w:tblW w:w="0" w:type="auto"/>
        <w:tblInd w:w="105" w:type="dxa"/>
        <w:tblLayout w:type="fixed"/>
        <w:tblLook w:val="01E0" w:firstRow="1" w:lastRow="1" w:firstColumn="1" w:lastColumn="1" w:noHBand="0" w:noVBand="0"/>
      </w:tblPr>
      <w:tblGrid>
        <w:gridCol w:w="2088"/>
        <w:gridCol w:w="1430"/>
        <w:gridCol w:w="1790"/>
        <w:gridCol w:w="1999"/>
        <w:gridCol w:w="1548"/>
      </w:tblGrid>
      <w:tr w:rsidR="00C770CB" w:rsidRPr="00CF5D7A" w14:paraId="64F0F513" w14:textId="77777777" w:rsidTr="007E7849">
        <w:tc>
          <w:tcPr>
            <w:tcW w:w="2088" w:type="dxa"/>
            <w:tcBorders>
              <w:top w:val="single" w:sz="5" w:space="0" w:color="000000"/>
              <w:left w:val="single" w:sz="5" w:space="0" w:color="000000"/>
              <w:bottom w:val="single" w:sz="5" w:space="0" w:color="000000"/>
              <w:right w:val="single" w:sz="5" w:space="0" w:color="000000"/>
            </w:tcBorders>
            <w:vAlign w:val="center"/>
          </w:tcPr>
          <w:p w14:paraId="6A7EBCA3" w14:textId="77777777" w:rsidR="00C770CB" w:rsidRPr="00CF5D7A" w:rsidRDefault="00C770CB" w:rsidP="007E7849">
            <w:pPr>
              <w:jc w:val="center"/>
              <w:rPr>
                <w:lang w:val="hu-HU"/>
              </w:rPr>
            </w:pPr>
          </w:p>
        </w:tc>
        <w:tc>
          <w:tcPr>
            <w:tcW w:w="1430" w:type="dxa"/>
            <w:tcBorders>
              <w:top w:val="single" w:sz="5" w:space="0" w:color="000000"/>
              <w:left w:val="single" w:sz="5" w:space="0" w:color="000000"/>
              <w:bottom w:val="single" w:sz="5" w:space="0" w:color="000000"/>
              <w:right w:val="single" w:sz="5" w:space="0" w:color="000000"/>
            </w:tcBorders>
            <w:vAlign w:val="center"/>
          </w:tcPr>
          <w:p w14:paraId="1B17B84C" w14:textId="77777777" w:rsidR="00C770CB" w:rsidRPr="00CF5D7A" w:rsidRDefault="00C770CB" w:rsidP="007E7849">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Placebo/</w:t>
            </w:r>
          </w:p>
          <w:p w14:paraId="7805F17B" w14:textId="77777777" w:rsidR="00C770CB" w:rsidRPr="009167C6" w:rsidRDefault="00C770CB" w:rsidP="007E7849">
            <w:pPr>
              <w:pStyle w:val="TableParagraph"/>
              <w:spacing w:line="254"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MTX</w:t>
            </w:r>
            <w:r w:rsidRPr="009167C6">
              <w:rPr>
                <w:rFonts w:ascii="Times New Roman" w:eastAsia="Times New Roman" w:hAnsi="Times New Roman" w:cs="Times New Roman"/>
                <w:vertAlign w:val="superscript"/>
                <w:lang w:val="hu-HU"/>
              </w:rPr>
              <w:t>a</w:t>
            </w:r>
          </w:p>
        </w:tc>
        <w:tc>
          <w:tcPr>
            <w:tcW w:w="1790" w:type="dxa"/>
            <w:tcBorders>
              <w:top w:val="single" w:sz="5" w:space="0" w:color="000000"/>
              <w:left w:val="single" w:sz="5" w:space="0" w:color="000000"/>
              <w:bottom w:val="single" w:sz="5" w:space="0" w:color="000000"/>
              <w:right w:val="single" w:sz="5" w:space="0" w:color="000000"/>
            </w:tcBorders>
            <w:vAlign w:val="center"/>
          </w:tcPr>
          <w:p w14:paraId="170DEC87" w14:textId="77777777" w:rsidR="00C770CB" w:rsidRPr="00CF5D7A" w:rsidRDefault="00C770CB" w:rsidP="007E7849">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Adalimumab/MTX</w:t>
            </w:r>
          </w:p>
          <w:p w14:paraId="0C37BFCD" w14:textId="77777777" w:rsidR="00C770CB" w:rsidRPr="00CF5D7A" w:rsidRDefault="00C770CB" w:rsidP="007E7849">
            <w:pPr>
              <w:pStyle w:val="TableParagraph"/>
              <w:spacing w:line="252" w:lineRule="exact"/>
              <w:ind w:hanging="6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40 mg kéthetente</w:t>
            </w:r>
          </w:p>
        </w:tc>
        <w:tc>
          <w:tcPr>
            <w:tcW w:w="1999" w:type="dxa"/>
            <w:tcBorders>
              <w:top w:val="single" w:sz="5" w:space="0" w:color="000000"/>
              <w:left w:val="single" w:sz="5" w:space="0" w:color="000000"/>
              <w:bottom w:val="single" w:sz="5" w:space="0" w:color="000000"/>
              <w:right w:val="single" w:sz="5" w:space="0" w:color="000000"/>
            </w:tcBorders>
            <w:vAlign w:val="center"/>
          </w:tcPr>
          <w:p w14:paraId="51C5DD42" w14:textId="77777777" w:rsidR="00C770CB" w:rsidRPr="00CF5D7A" w:rsidRDefault="00C770CB" w:rsidP="007E7849">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Placebo/MTX -</w:t>
            </w:r>
          </w:p>
          <w:p w14:paraId="2EC61940" w14:textId="77777777" w:rsidR="00C770CB" w:rsidRPr="00CF5D7A" w:rsidRDefault="00C770CB" w:rsidP="007E7849">
            <w:pPr>
              <w:pStyle w:val="TableParagraph"/>
              <w:spacing w:line="237" w:lineRule="auto"/>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Adalimumab/MTX (95%-os konfidencia intervallum</w:t>
            </w:r>
            <w:r w:rsidRPr="009167C6">
              <w:rPr>
                <w:rFonts w:ascii="Times New Roman" w:eastAsia="Times New Roman" w:hAnsi="Times New Roman" w:cs="Times New Roman"/>
                <w:spacing w:val="-1"/>
                <w:vertAlign w:val="superscript"/>
                <w:lang w:val="hu-HU"/>
              </w:rPr>
              <w:t>b</w:t>
            </w:r>
            <w:r w:rsidRPr="00CF5D7A">
              <w:rPr>
                <w:rFonts w:ascii="Times New Roman" w:eastAsia="Times New Roman" w:hAnsi="Times New Roman" w:cs="Times New Roman"/>
                <w:spacing w:val="-1"/>
                <w:lang w:val="hu-HU"/>
              </w:rPr>
              <w:t xml:space="preserve"> )</w:t>
            </w:r>
          </w:p>
        </w:tc>
        <w:tc>
          <w:tcPr>
            <w:tcW w:w="1548" w:type="dxa"/>
            <w:tcBorders>
              <w:top w:val="single" w:sz="5" w:space="0" w:color="000000"/>
              <w:left w:val="single" w:sz="5" w:space="0" w:color="000000"/>
              <w:bottom w:val="single" w:sz="5" w:space="0" w:color="000000"/>
              <w:right w:val="single" w:sz="5" w:space="0" w:color="000000"/>
            </w:tcBorders>
            <w:vAlign w:val="center"/>
          </w:tcPr>
          <w:p w14:paraId="00C371CA" w14:textId="77777777" w:rsidR="00C770CB" w:rsidRPr="00CF5D7A" w:rsidRDefault="00C770CB" w:rsidP="007E7849">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p-érték</w:t>
            </w:r>
          </w:p>
        </w:tc>
      </w:tr>
      <w:tr w:rsidR="00C770CB" w:rsidRPr="00CF5D7A" w14:paraId="7B63EF96" w14:textId="77777777" w:rsidTr="007E7849">
        <w:tc>
          <w:tcPr>
            <w:tcW w:w="2088" w:type="dxa"/>
            <w:tcBorders>
              <w:top w:val="single" w:sz="5" w:space="0" w:color="000000"/>
              <w:left w:val="single" w:sz="5" w:space="0" w:color="000000"/>
              <w:bottom w:val="single" w:sz="5" w:space="0" w:color="000000"/>
              <w:right w:val="single" w:sz="5" w:space="0" w:color="000000"/>
            </w:tcBorders>
          </w:tcPr>
          <w:p w14:paraId="0AF6B791" w14:textId="77777777" w:rsidR="00C770CB" w:rsidRPr="00CF5D7A" w:rsidRDefault="00C770CB" w:rsidP="007E7849">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Teljes Sharp-pontérték</w:t>
            </w:r>
          </w:p>
        </w:tc>
        <w:tc>
          <w:tcPr>
            <w:tcW w:w="1430" w:type="dxa"/>
            <w:tcBorders>
              <w:top w:val="single" w:sz="5" w:space="0" w:color="000000"/>
              <w:left w:val="single" w:sz="5" w:space="0" w:color="000000"/>
              <w:bottom w:val="single" w:sz="5" w:space="0" w:color="000000"/>
              <w:right w:val="single" w:sz="5" w:space="0" w:color="000000"/>
            </w:tcBorders>
          </w:tcPr>
          <w:p w14:paraId="35ECF691" w14:textId="77777777" w:rsidR="00C770CB" w:rsidRPr="00CF5D7A" w:rsidRDefault="00C770CB" w:rsidP="007E7849">
            <w:pPr>
              <w:pStyle w:val="TableParagraph"/>
              <w:spacing w:line="246" w:lineRule="exact"/>
              <w:ind w:left="551" w:right="55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2,7</w:t>
            </w:r>
          </w:p>
        </w:tc>
        <w:tc>
          <w:tcPr>
            <w:tcW w:w="1790" w:type="dxa"/>
            <w:tcBorders>
              <w:top w:val="single" w:sz="5" w:space="0" w:color="000000"/>
              <w:left w:val="single" w:sz="5" w:space="0" w:color="000000"/>
              <w:bottom w:val="single" w:sz="5" w:space="0" w:color="000000"/>
              <w:right w:val="single" w:sz="5" w:space="0" w:color="000000"/>
            </w:tcBorders>
          </w:tcPr>
          <w:p w14:paraId="5EBBD7B0" w14:textId="77777777" w:rsidR="00C770CB" w:rsidRPr="00CF5D7A" w:rsidRDefault="00C770CB" w:rsidP="007E7849">
            <w:pPr>
              <w:pStyle w:val="TableParagraph"/>
              <w:spacing w:line="246" w:lineRule="exact"/>
              <w:ind w:left="731" w:right="73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0,1</w:t>
            </w:r>
          </w:p>
        </w:tc>
        <w:tc>
          <w:tcPr>
            <w:tcW w:w="1999" w:type="dxa"/>
            <w:tcBorders>
              <w:top w:val="single" w:sz="5" w:space="0" w:color="000000"/>
              <w:left w:val="single" w:sz="5" w:space="0" w:color="000000"/>
              <w:bottom w:val="single" w:sz="5" w:space="0" w:color="000000"/>
              <w:right w:val="single" w:sz="5" w:space="0" w:color="000000"/>
            </w:tcBorders>
          </w:tcPr>
          <w:p w14:paraId="674E71EC" w14:textId="77777777" w:rsidR="00C770CB" w:rsidRPr="00CF5D7A" w:rsidRDefault="00C770CB" w:rsidP="007E7849">
            <w:pPr>
              <w:pStyle w:val="TableParagraph"/>
              <w:spacing w:line="246" w:lineRule="exact"/>
              <w:ind w:left="423"/>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2,6 (1,4, 3,8)</w:t>
            </w:r>
          </w:p>
        </w:tc>
        <w:tc>
          <w:tcPr>
            <w:tcW w:w="1548" w:type="dxa"/>
            <w:tcBorders>
              <w:top w:val="single" w:sz="5" w:space="0" w:color="000000"/>
              <w:left w:val="single" w:sz="5" w:space="0" w:color="000000"/>
              <w:bottom w:val="single" w:sz="5" w:space="0" w:color="000000"/>
              <w:right w:val="single" w:sz="5" w:space="0" w:color="000000"/>
            </w:tcBorders>
          </w:tcPr>
          <w:p w14:paraId="477555A8" w14:textId="77777777" w:rsidR="00C770CB" w:rsidRPr="009167C6" w:rsidRDefault="00C770CB" w:rsidP="007E7849">
            <w:pPr>
              <w:pStyle w:val="TableParagraph"/>
              <w:spacing w:line="246" w:lineRule="exact"/>
              <w:ind w:left="399"/>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r w:rsidRPr="009167C6">
              <w:rPr>
                <w:rFonts w:ascii="Times New Roman" w:eastAsia="Times New Roman" w:hAnsi="Times New Roman" w:cs="Times New Roman"/>
                <w:vertAlign w:val="superscript"/>
                <w:lang w:val="hu-HU"/>
              </w:rPr>
              <w:t>c</w:t>
            </w:r>
          </w:p>
        </w:tc>
      </w:tr>
      <w:tr w:rsidR="00C770CB" w:rsidRPr="00CF5D7A" w14:paraId="1BCF0474" w14:textId="77777777" w:rsidTr="007E7849">
        <w:tc>
          <w:tcPr>
            <w:tcW w:w="2088" w:type="dxa"/>
            <w:tcBorders>
              <w:top w:val="single" w:sz="5" w:space="0" w:color="000000"/>
              <w:left w:val="single" w:sz="5" w:space="0" w:color="000000"/>
              <w:bottom w:val="single" w:sz="5" w:space="0" w:color="000000"/>
              <w:right w:val="single" w:sz="5" w:space="0" w:color="000000"/>
            </w:tcBorders>
          </w:tcPr>
          <w:p w14:paraId="43EB3A5D" w14:textId="77777777" w:rsidR="00C770CB" w:rsidRPr="00CF5D7A" w:rsidRDefault="00C770CB" w:rsidP="007E7849">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Eróziós pontérték</w:t>
            </w:r>
          </w:p>
        </w:tc>
        <w:tc>
          <w:tcPr>
            <w:tcW w:w="1430" w:type="dxa"/>
            <w:tcBorders>
              <w:top w:val="single" w:sz="5" w:space="0" w:color="000000"/>
              <w:left w:val="single" w:sz="5" w:space="0" w:color="000000"/>
              <w:bottom w:val="single" w:sz="5" w:space="0" w:color="000000"/>
              <w:right w:val="single" w:sz="5" w:space="0" w:color="000000"/>
            </w:tcBorders>
          </w:tcPr>
          <w:p w14:paraId="322AD8C7" w14:textId="77777777" w:rsidR="00C770CB" w:rsidRPr="00CF5D7A" w:rsidRDefault="00C770CB" w:rsidP="007E7849">
            <w:pPr>
              <w:pStyle w:val="TableParagraph"/>
              <w:spacing w:line="246" w:lineRule="exact"/>
              <w:ind w:left="551" w:right="55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1,6</w:t>
            </w:r>
          </w:p>
        </w:tc>
        <w:tc>
          <w:tcPr>
            <w:tcW w:w="1790" w:type="dxa"/>
            <w:tcBorders>
              <w:top w:val="single" w:sz="5" w:space="0" w:color="000000"/>
              <w:left w:val="single" w:sz="5" w:space="0" w:color="000000"/>
              <w:bottom w:val="single" w:sz="5" w:space="0" w:color="000000"/>
              <w:right w:val="single" w:sz="5" w:space="0" w:color="000000"/>
            </w:tcBorders>
          </w:tcPr>
          <w:p w14:paraId="30CB1FB6" w14:textId="77777777" w:rsidR="00C770CB" w:rsidRPr="00CF5D7A" w:rsidRDefault="00C770CB" w:rsidP="007E7849">
            <w:pPr>
              <w:pStyle w:val="TableParagraph"/>
              <w:spacing w:line="246" w:lineRule="exact"/>
              <w:ind w:left="731" w:right="73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0,0</w:t>
            </w:r>
          </w:p>
        </w:tc>
        <w:tc>
          <w:tcPr>
            <w:tcW w:w="1999" w:type="dxa"/>
            <w:tcBorders>
              <w:top w:val="single" w:sz="5" w:space="0" w:color="000000"/>
              <w:left w:val="single" w:sz="5" w:space="0" w:color="000000"/>
              <w:bottom w:val="single" w:sz="5" w:space="0" w:color="000000"/>
              <w:right w:val="single" w:sz="5" w:space="0" w:color="000000"/>
            </w:tcBorders>
          </w:tcPr>
          <w:p w14:paraId="7B8C65A6" w14:textId="77777777" w:rsidR="00C770CB" w:rsidRPr="00CF5D7A" w:rsidRDefault="00C770CB" w:rsidP="007E7849">
            <w:pPr>
              <w:pStyle w:val="TableParagraph"/>
              <w:spacing w:line="246" w:lineRule="exact"/>
              <w:ind w:left="423"/>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1,6 (0,9, 2,2)</w:t>
            </w:r>
          </w:p>
        </w:tc>
        <w:tc>
          <w:tcPr>
            <w:tcW w:w="1548" w:type="dxa"/>
            <w:tcBorders>
              <w:top w:val="single" w:sz="5" w:space="0" w:color="000000"/>
              <w:left w:val="single" w:sz="5" w:space="0" w:color="000000"/>
              <w:bottom w:val="single" w:sz="5" w:space="0" w:color="000000"/>
              <w:right w:val="single" w:sz="5" w:space="0" w:color="000000"/>
            </w:tcBorders>
          </w:tcPr>
          <w:p w14:paraId="54249E05" w14:textId="77777777" w:rsidR="00C770CB" w:rsidRPr="00CF5D7A" w:rsidRDefault="00C770CB" w:rsidP="007E7849">
            <w:pPr>
              <w:pStyle w:val="TableParagraph"/>
              <w:spacing w:line="246" w:lineRule="exact"/>
              <w:ind w:left="431"/>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r>
      <w:tr w:rsidR="00C770CB" w:rsidRPr="00CF5D7A" w14:paraId="0D86D9BE" w14:textId="77777777" w:rsidTr="007E7849">
        <w:tc>
          <w:tcPr>
            <w:tcW w:w="2088" w:type="dxa"/>
            <w:tcBorders>
              <w:top w:val="single" w:sz="5" w:space="0" w:color="000000"/>
              <w:left w:val="single" w:sz="5" w:space="0" w:color="000000"/>
              <w:bottom w:val="single" w:sz="5" w:space="0" w:color="000000"/>
              <w:right w:val="single" w:sz="5" w:space="0" w:color="000000"/>
            </w:tcBorders>
          </w:tcPr>
          <w:p w14:paraId="6FEA996C" w14:textId="77777777" w:rsidR="00C770CB" w:rsidRPr="00CF5D7A" w:rsidRDefault="00C770CB" w:rsidP="007E7849">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JSN</w:t>
            </w:r>
            <w:r w:rsidRPr="009167C6">
              <w:rPr>
                <w:rFonts w:ascii="Times New Roman" w:eastAsia="Times New Roman" w:hAnsi="Times New Roman" w:cs="Times New Roman"/>
                <w:spacing w:val="1"/>
                <w:lang w:val="hu-HU"/>
              </w:rPr>
              <w:t xml:space="preserve"> </w:t>
            </w:r>
            <w:r w:rsidRPr="009167C6">
              <w:rPr>
                <w:rFonts w:ascii="Times New Roman" w:eastAsia="Times New Roman" w:hAnsi="Times New Roman" w:cs="Times New Roman"/>
                <w:spacing w:val="1"/>
                <w:vertAlign w:val="superscript"/>
                <w:lang w:val="hu-HU"/>
              </w:rPr>
              <w:t>d</w:t>
            </w:r>
            <w:r w:rsidRPr="00CF5D7A">
              <w:rPr>
                <w:rFonts w:ascii="Times New Roman" w:eastAsia="Times New Roman" w:hAnsi="Times New Roman" w:cs="Times New Roman"/>
                <w:spacing w:val="1"/>
                <w:lang w:val="hu-HU"/>
              </w:rPr>
              <w:t xml:space="preserve"> pontérték</w:t>
            </w:r>
          </w:p>
        </w:tc>
        <w:tc>
          <w:tcPr>
            <w:tcW w:w="1430" w:type="dxa"/>
            <w:tcBorders>
              <w:top w:val="single" w:sz="5" w:space="0" w:color="000000"/>
              <w:left w:val="single" w:sz="5" w:space="0" w:color="000000"/>
              <w:bottom w:val="single" w:sz="5" w:space="0" w:color="000000"/>
              <w:right w:val="single" w:sz="5" w:space="0" w:color="000000"/>
            </w:tcBorders>
          </w:tcPr>
          <w:p w14:paraId="160CC8C9" w14:textId="77777777" w:rsidR="00C770CB" w:rsidRPr="00CF5D7A" w:rsidRDefault="00C770CB" w:rsidP="007E7849">
            <w:pPr>
              <w:pStyle w:val="TableParagraph"/>
              <w:spacing w:line="246" w:lineRule="exact"/>
              <w:ind w:left="551" w:right="55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1,0</w:t>
            </w:r>
          </w:p>
        </w:tc>
        <w:tc>
          <w:tcPr>
            <w:tcW w:w="1790" w:type="dxa"/>
            <w:tcBorders>
              <w:top w:val="single" w:sz="5" w:space="0" w:color="000000"/>
              <w:left w:val="single" w:sz="5" w:space="0" w:color="000000"/>
              <w:bottom w:val="single" w:sz="5" w:space="0" w:color="000000"/>
              <w:right w:val="single" w:sz="5" w:space="0" w:color="000000"/>
            </w:tcBorders>
          </w:tcPr>
          <w:p w14:paraId="037F86F0" w14:textId="77777777" w:rsidR="00C770CB" w:rsidRPr="00CF5D7A" w:rsidRDefault="00C770CB" w:rsidP="007E7849">
            <w:pPr>
              <w:pStyle w:val="TableParagraph"/>
              <w:spacing w:line="246" w:lineRule="exact"/>
              <w:ind w:left="731" w:right="73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0,1</w:t>
            </w:r>
          </w:p>
        </w:tc>
        <w:tc>
          <w:tcPr>
            <w:tcW w:w="1999" w:type="dxa"/>
            <w:tcBorders>
              <w:top w:val="single" w:sz="5" w:space="0" w:color="000000"/>
              <w:left w:val="single" w:sz="5" w:space="0" w:color="000000"/>
              <w:bottom w:val="single" w:sz="5" w:space="0" w:color="000000"/>
              <w:right w:val="single" w:sz="5" w:space="0" w:color="000000"/>
            </w:tcBorders>
          </w:tcPr>
          <w:p w14:paraId="4E685657" w14:textId="77777777" w:rsidR="00C770CB" w:rsidRPr="00CF5D7A" w:rsidRDefault="00C770CB" w:rsidP="007E7849">
            <w:pPr>
              <w:pStyle w:val="TableParagraph"/>
              <w:spacing w:line="246" w:lineRule="exact"/>
              <w:ind w:left="423"/>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0,9 (0,3, 1,4)</w:t>
            </w:r>
          </w:p>
        </w:tc>
        <w:tc>
          <w:tcPr>
            <w:tcW w:w="1548" w:type="dxa"/>
            <w:tcBorders>
              <w:top w:val="single" w:sz="5" w:space="0" w:color="000000"/>
              <w:left w:val="single" w:sz="5" w:space="0" w:color="000000"/>
              <w:bottom w:val="single" w:sz="5" w:space="0" w:color="000000"/>
              <w:right w:val="single" w:sz="5" w:space="0" w:color="000000"/>
            </w:tcBorders>
          </w:tcPr>
          <w:p w14:paraId="13C52771" w14:textId="77777777" w:rsidR="00C770CB" w:rsidRPr="00CF5D7A" w:rsidRDefault="00C770CB" w:rsidP="007E7849">
            <w:pPr>
              <w:pStyle w:val="TableParagraph"/>
              <w:spacing w:line="246" w:lineRule="exact"/>
              <w:ind w:left="575"/>
              <w:rPr>
                <w:rFonts w:ascii="Times New Roman" w:eastAsia="Times New Roman" w:hAnsi="Times New Roman" w:cs="Times New Roman"/>
                <w:lang w:val="hu-HU"/>
              </w:rPr>
            </w:pPr>
            <w:r w:rsidRPr="00CF5D7A">
              <w:rPr>
                <w:rFonts w:ascii="Times New Roman" w:eastAsia="Times New Roman" w:hAnsi="Times New Roman" w:cs="Times New Roman"/>
                <w:lang w:val="hu-HU"/>
              </w:rPr>
              <w:t>0,002</w:t>
            </w:r>
          </w:p>
        </w:tc>
      </w:tr>
    </w:tbl>
    <w:p w14:paraId="095C10A3" w14:textId="77777777" w:rsidR="00C770CB" w:rsidRPr="00FB315F" w:rsidRDefault="00C770CB" w:rsidP="00C770CB">
      <w:pPr>
        <w:pStyle w:val="a3"/>
        <w:rPr>
          <w:lang w:val="hu-HU"/>
        </w:rPr>
      </w:pPr>
      <w:r w:rsidRPr="009167C6">
        <w:rPr>
          <w:rFonts w:eastAsia="Times New Roman"/>
          <w:bCs/>
          <w:position w:val="8"/>
          <w:vertAlign w:val="superscript"/>
          <w:lang w:val="hu-HU"/>
        </w:rPr>
        <w:t>a</w:t>
      </w:r>
      <w:r w:rsidRPr="009167C6">
        <w:rPr>
          <w:rFonts w:eastAsia="Times New Roman"/>
          <w:b/>
          <w:bCs/>
          <w:position w:val="8"/>
          <w:lang w:val="hu-HU"/>
        </w:rPr>
        <w:t xml:space="preserve"> </w:t>
      </w:r>
      <w:r w:rsidRPr="00FB315F">
        <w:rPr>
          <w:rFonts w:eastAsia="Times New Roman"/>
          <w:position w:val="8"/>
          <w:lang w:val="hu-HU"/>
        </w:rPr>
        <w:t>metotrexát</w:t>
      </w:r>
    </w:p>
    <w:p w14:paraId="2BF7030D" w14:textId="77777777" w:rsidR="00C770CB" w:rsidRPr="00FB315F" w:rsidRDefault="00C770CB" w:rsidP="00C770CB">
      <w:pPr>
        <w:pStyle w:val="a3"/>
        <w:rPr>
          <w:lang w:val="hu-HU"/>
        </w:rPr>
      </w:pPr>
      <w:r w:rsidRPr="009167C6">
        <w:rPr>
          <w:rFonts w:eastAsia="Times New Roman"/>
          <w:position w:val="8"/>
          <w:vertAlign w:val="superscript"/>
          <w:lang w:val="hu-HU"/>
        </w:rPr>
        <w:t>b</w:t>
      </w:r>
      <w:r w:rsidRPr="009167C6">
        <w:rPr>
          <w:rFonts w:eastAsia="Times New Roman"/>
          <w:position w:val="8"/>
          <w:lang w:val="hu-HU"/>
        </w:rPr>
        <w:t xml:space="preserve"> </w:t>
      </w:r>
      <w:r w:rsidRPr="00FB315F">
        <w:rPr>
          <w:rFonts w:eastAsia="Times New Roman"/>
          <w:position w:val="8"/>
          <w:lang w:val="hu-HU"/>
        </w:rPr>
        <w:t>95%-os konfidencia intervallum a metotrexát és a Yuflyma pontértékeinek változása közötti különbségre</w:t>
      </w:r>
    </w:p>
    <w:p w14:paraId="3E3CC84A" w14:textId="77777777" w:rsidR="00C770CB" w:rsidRPr="00FB315F" w:rsidRDefault="00C770CB" w:rsidP="00C770CB">
      <w:pPr>
        <w:pStyle w:val="a3"/>
        <w:rPr>
          <w:lang w:val="hu-HU"/>
        </w:rPr>
      </w:pPr>
      <w:r w:rsidRPr="009167C6">
        <w:rPr>
          <w:rFonts w:eastAsia="Times New Roman"/>
          <w:position w:val="8"/>
          <w:vertAlign w:val="superscript"/>
          <w:lang w:val="hu-HU"/>
        </w:rPr>
        <w:t>c</w:t>
      </w:r>
      <w:r w:rsidRPr="009167C6">
        <w:rPr>
          <w:rFonts w:eastAsia="Times New Roman"/>
          <w:position w:val="8"/>
          <w:lang w:val="hu-HU"/>
        </w:rPr>
        <w:t xml:space="preserve"> </w:t>
      </w:r>
      <w:r w:rsidRPr="00FB315F">
        <w:rPr>
          <w:rFonts w:eastAsia="Times New Roman"/>
          <w:position w:val="8"/>
          <w:lang w:val="hu-HU"/>
        </w:rPr>
        <w:t>rank analízis alapján</w:t>
      </w:r>
    </w:p>
    <w:p w14:paraId="3CDC8C0F" w14:textId="77777777" w:rsidR="00C770CB" w:rsidRPr="00FB315F" w:rsidRDefault="00C770CB" w:rsidP="00C770CB">
      <w:pPr>
        <w:pStyle w:val="a3"/>
        <w:rPr>
          <w:lang w:val="hu-HU"/>
        </w:rPr>
      </w:pPr>
      <w:r w:rsidRPr="009167C6">
        <w:rPr>
          <w:rFonts w:eastAsia="Times New Roman"/>
          <w:position w:val="8"/>
          <w:vertAlign w:val="superscript"/>
          <w:lang w:val="hu-HU"/>
        </w:rPr>
        <w:t>d</w:t>
      </w:r>
      <w:r w:rsidRPr="009167C6">
        <w:rPr>
          <w:rFonts w:eastAsia="Times New Roman"/>
          <w:position w:val="8"/>
          <w:lang w:val="hu-HU"/>
        </w:rPr>
        <w:t xml:space="preserve"> </w:t>
      </w:r>
      <w:r w:rsidRPr="00FB315F">
        <w:rPr>
          <w:rFonts w:eastAsia="Times New Roman"/>
          <w:position w:val="8"/>
          <w:lang w:val="hu-HU"/>
        </w:rPr>
        <w:t>Ízületi rés beszűkülése (JSP- Joint Space Narrowing)</w:t>
      </w:r>
    </w:p>
    <w:p w14:paraId="73F5F8BB" w14:textId="77777777" w:rsidR="00C770CB" w:rsidRDefault="00C770CB" w:rsidP="00C770CB">
      <w:pPr>
        <w:spacing w:before="17" w:line="240" w:lineRule="exact"/>
        <w:rPr>
          <w:sz w:val="24"/>
          <w:szCs w:val="24"/>
          <w:lang w:val="hu-HU"/>
        </w:rPr>
      </w:pPr>
    </w:p>
    <w:p w14:paraId="3E54239B" w14:textId="3581A21F" w:rsidR="00C770CB" w:rsidRDefault="00C770CB" w:rsidP="00C770CB">
      <w:pPr>
        <w:pStyle w:val="a3"/>
        <w:rPr>
          <w:lang w:val="hu-HU"/>
        </w:rPr>
      </w:pPr>
      <w:r>
        <w:rPr>
          <w:rFonts w:eastAsia="Times New Roman"/>
          <w:lang w:val="hu-HU"/>
        </w:rPr>
        <w:t xml:space="preserve">Az RA V vizsgálatban az ízületi károsodást radiológiailag is értékelték és módosított teljes Sharp pontokban fejezték ki (lásd </w:t>
      </w:r>
      <w:r w:rsidR="009454CE">
        <w:rPr>
          <w:rFonts w:eastAsia="Times New Roman"/>
          <w:lang w:val="hu-HU"/>
        </w:rPr>
        <w:t>8</w:t>
      </w:r>
      <w:r>
        <w:rPr>
          <w:rFonts w:eastAsia="Times New Roman"/>
          <w:lang w:val="hu-HU"/>
        </w:rPr>
        <w:t>. táblázat).</w:t>
      </w:r>
    </w:p>
    <w:p w14:paraId="73679FBB" w14:textId="77777777" w:rsidR="009569F2" w:rsidRDefault="009569F2" w:rsidP="00C770CB">
      <w:pPr>
        <w:spacing w:before="15" w:line="240" w:lineRule="exact"/>
        <w:rPr>
          <w:sz w:val="24"/>
          <w:szCs w:val="24"/>
          <w:lang w:val="hu-HU"/>
        </w:rPr>
      </w:pPr>
    </w:p>
    <w:p w14:paraId="30F90916" w14:textId="493543E5" w:rsidR="00C770CB" w:rsidRDefault="009454CE" w:rsidP="00C770CB">
      <w:pPr>
        <w:pStyle w:val="a3"/>
        <w:jc w:val="center"/>
        <w:rPr>
          <w:b/>
          <w:lang w:val="hu-HU"/>
        </w:rPr>
      </w:pPr>
      <w:r>
        <w:rPr>
          <w:rFonts w:eastAsia="Times New Roman"/>
          <w:b/>
          <w:bCs/>
          <w:lang w:val="hu-HU"/>
        </w:rPr>
        <w:t>8</w:t>
      </w:r>
      <w:r w:rsidR="00C770CB">
        <w:rPr>
          <w:rFonts w:eastAsia="Times New Roman"/>
          <w:b/>
          <w:bCs/>
          <w:lang w:val="hu-HU"/>
        </w:rPr>
        <w:t>. táblázat</w:t>
      </w:r>
    </w:p>
    <w:p w14:paraId="5CDE6848" w14:textId="77777777" w:rsidR="00C770CB" w:rsidRDefault="00C770CB" w:rsidP="00C770CB">
      <w:pPr>
        <w:pStyle w:val="a3"/>
        <w:jc w:val="center"/>
        <w:rPr>
          <w:b/>
          <w:lang w:val="hu-HU"/>
        </w:rPr>
      </w:pPr>
      <w:r>
        <w:rPr>
          <w:rFonts w:eastAsia="Times New Roman"/>
          <w:b/>
          <w:bCs/>
          <w:lang w:val="hu-HU"/>
        </w:rPr>
        <w:t>Radiográfiás átlagos változások az 52. héten az RA V. vizsgálatban</w:t>
      </w:r>
    </w:p>
    <w:p w14:paraId="5B538372" w14:textId="77777777" w:rsidR="00C770CB" w:rsidRDefault="00C770CB" w:rsidP="00C770CB">
      <w:pPr>
        <w:spacing w:before="11" w:line="240" w:lineRule="exact"/>
        <w:rPr>
          <w:sz w:val="24"/>
          <w:szCs w:val="24"/>
          <w:lang w:val="hu-HU"/>
        </w:rPr>
      </w:pPr>
    </w:p>
    <w:tbl>
      <w:tblPr>
        <w:tblStyle w:val="TableNormal1"/>
        <w:tblW w:w="0" w:type="auto"/>
        <w:tblInd w:w="213" w:type="dxa"/>
        <w:tblLayout w:type="fixed"/>
        <w:tblLook w:val="01E0" w:firstRow="1" w:lastRow="1" w:firstColumn="1" w:lastColumn="1" w:noHBand="0" w:noVBand="0"/>
      </w:tblPr>
      <w:tblGrid>
        <w:gridCol w:w="1766"/>
        <w:gridCol w:w="1391"/>
        <w:gridCol w:w="1391"/>
        <w:gridCol w:w="1392"/>
        <w:gridCol w:w="991"/>
        <w:gridCol w:w="989"/>
        <w:gridCol w:w="991"/>
      </w:tblGrid>
      <w:tr w:rsidR="00C770CB" w:rsidRPr="00CF5D7A" w14:paraId="311CF2C6" w14:textId="77777777" w:rsidTr="007E7849">
        <w:tc>
          <w:tcPr>
            <w:tcW w:w="1766" w:type="dxa"/>
            <w:tcBorders>
              <w:top w:val="single" w:sz="5" w:space="0" w:color="000000"/>
              <w:left w:val="single" w:sz="5" w:space="0" w:color="000000"/>
              <w:bottom w:val="single" w:sz="5" w:space="0" w:color="000000"/>
              <w:right w:val="single" w:sz="5" w:space="0" w:color="000000"/>
            </w:tcBorders>
          </w:tcPr>
          <w:p w14:paraId="2DE69ED5" w14:textId="77777777" w:rsidR="00C770CB" w:rsidRPr="00CF5D7A" w:rsidRDefault="00C770CB" w:rsidP="007E7849">
            <w:pPr>
              <w:rPr>
                <w:lang w:val="hu-HU"/>
              </w:rPr>
            </w:pPr>
          </w:p>
        </w:tc>
        <w:tc>
          <w:tcPr>
            <w:tcW w:w="1391" w:type="dxa"/>
            <w:tcBorders>
              <w:top w:val="single" w:sz="5" w:space="0" w:color="000000"/>
              <w:left w:val="single" w:sz="5" w:space="0" w:color="000000"/>
              <w:bottom w:val="single" w:sz="5" w:space="0" w:color="000000"/>
              <w:right w:val="single" w:sz="5" w:space="0" w:color="000000"/>
            </w:tcBorders>
          </w:tcPr>
          <w:p w14:paraId="036812DF" w14:textId="77777777" w:rsidR="00C770CB" w:rsidRPr="00CF5D7A" w:rsidRDefault="00C770CB" w:rsidP="007E7849">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MTX</w:t>
            </w:r>
          </w:p>
          <w:p w14:paraId="4AA89F0C" w14:textId="77777777" w:rsidR="00C770CB" w:rsidRPr="00CF5D7A" w:rsidRDefault="00C770CB" w:rsidP="007E7849">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n=257 (95%-os</w:t>
            </w:r>
          </w:p>
          <w:p w14:paraId="41EA6561" w14:textId="77777777" w:rsidR="00C770CB" w:rsidRPr="00CF5D7A" w:rsidRDefault="00C770CB" w:rsidP="007E7849">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konfidencia intervallum)</w:t>
            </w:r>
          </w:p>
        </w:tc>
        <w:tc>
          <w:tcPr>
            <w:tcW w:w="1391" w:type="dxa"/>
            <w:tcBorders>
              <w:top w:val="single" w:sz="5" w:space="0" w:color="000000"/>
              <w:left w:val="single" w:sz="5" w:space="0" w:color="000000"/>
              <w:bottom w:val="single" w:sz="5" w:space="0" w:color="000000"/>
              <w:right w:val="single" w:sz="5" w:space="0" w:color="000000"/>
            </w:tcBorders>
          </w:tcPr>
          <w:p w14:paraId="584001CB" w14:textId="77777777" w:rsidR="00C770CB" w:rsidRPr="00CF5D7A" w:rsidRDefault="00C770CB" w:rsidP="007E7849">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Adalimumab</w:t>
            </w:r>
          </w:p>
          <w:p w14:paraId="2A91B47F" w14:textId="77777777" w:rsidR="00C770CB" w:rsidRPr="00CF5D7A" w:rsidRDefault="00C770CB" w:rsidP="007E7849">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n=274 (95%-os</w:t>
            </w:r>
          </w:p>
          <w:p w14:paraId="32C62742" w14:textId="77777777" w:rsidR="00C770CB" w:rsidRPr="00CF5D7A" w:rsidRDefault="00C770CB" w:rsidP="007E7849">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konfidencia intervallum)</w:t>
            </w:r>
          </w:p>
        </w:tc>
        <w:tc>
          <w:tcPr>
            <w:tcW w:w="1392" w:type="dxa"/>
            <w:tcBorders>
              <w:top w:val="single" w:sz="5" w:space="0" w:color="000000"/>
              <w:left w:val="single" w:sz="5" w:space="0" w:color="000000"/>
              <w:bottom w:val="single" w:sz="5" w:space="0" w:color="000000"/>
              <w:right w:val="single" w:sz="5" w:space="0" w:color="000000"/>
            </w:tcBorders>
          </w:tcPr>
          <w:p w14:paraId="76DCCE83" w14:textId="77777777" w:rsidR="00C770CB" w:rsidRPr="00CF5D7A" w:rsidRDefault="00C770CB" w:rsidP="007E7849">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Adalimumab/MTX</w:t>
            </w:r>
          </w:p>
          <w:p w14:paraId="0FEB78FF" w14:textId="77777777" w:rsidR="00C770CB" w:rsidRPr="00CF5D7A" w:rsidRDefault="00C770CB" w:rsidP="007E7849">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n=268 (95%-os</w:t>
            </w:r>
          </w:p>
          <w:p w14:paraId="578D766C" w14:textId="77777777" w:rsidR="00C770CB" w:rsidRPr="00CF5D7A" w:rsidRDefault="00C770CB" w:rsidP="007E7849">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konfidencia intervallum)</w:t>
            </w:r>
          </w:p>
        </w:tc>
        <w:tc>
          <w:tcPr>
            <w:tcW w:w="991" w:type="dxa"/>
            <w:tcBorders>
              <w:top w:val="single" w:sz="5" w:space="0" w:color="000000"/>
              <w:left w:val="single" w:sz="5" w:space="0" w:color="000000"/>
              <w:bottom w:val="single" w:sz="5" w:space="0" w:color="000000"/>
              <w:right w:val="single" w:sz="5" w:space="0" w:color="000000"/>
            </w:tcBorders>
          </w:tcPr>
          <w:p w14:paraId="6904F861" w14:textId="77777777" w:rsidR="00C770CB" w:rsidRPr="009167C6" w:rsidRDefault="00C770CB" w:rsidP="007E7849">
            <w:pPr>
              <w:pStyle w:val="TableParagraph"/>
              <w:spacing w:line="200" w:lineRule="exact"/>
              <w:rPr>
                <w:lang w:val="hu-HU"/>
              </w:rPr>
            </w:pPr>
          </w:p>
          <w:p w14:paraId="7EB997B2" w14:textId="77777777" w:rsidR="00C770CB" w:rsidRPr="009167C6" w:rsidRDefault="00C770CB" w:rsidP="007E7849">
            <w:pPr>
              <w:pStyle w:val="TableParagraph"/>
              <w:spacing w:before="14" w:line="280" w:lineRule="exact"/>
              <w:rPr>
                <w:lang w:val="hu-HU"/>
              </w:rPr>
            </w:pPr>
          </w:p>
          <w:p w14:paraId="30FD8E89" w14:textId="77777777" w:rsidR="00C770CB" w:rsidRPr="009167C6" w:rsidRDefault="00C770CB" w:rsidP="007E7849">
            <w:pPr>
              <w:pStyle w:val="TableParagraph"/>
              <w:ind w:left="126"/>
              <w:rPr>
                <w:rFonts w:ascii="Times New Roman" w:eastAsia="Times New Roman" w:hAnsi="Times New Roman" w:cs="Times New Roman"/>
                <w:lang w:val="hu-HU"/>
              </w:rPr>
            </w:pPr>
            <w:r w:rsidRPr="00CF5D7A">
              <w:rPr>
                <w:rFonts w:ascii="Times New Roman" w:eastAsia="Times New Roman" w:hAnsi="Times New Roman" w:cs="Times New Roman"/>
                <w:lang w:val="hu-HU"/>
              </w:rPr>
              <w:t>p-érték</w:t>
            </w:r>
            <w:r w:rsidRPr="009167C6">
              <w:rPr>
                <w:rFonts w:ascii="Times New Roman" w:eastAsia="Times New Roman" w:hAnsi="Times New Roman" w:cs="Times New Roman"/>
                <w:vertAlign w:val="superscript"/>
                <w:lang w:val="hu-HU"/>
              </w:rPr>
              <w:t>a</w:t>
            </w:r>
          </w:p>
        </w:tc>
        <w:tc>
          <w:tcPr>
            <w:tcW w:w="989" w:type="dxa"/>
            <w:tcBorders>
              <w:top w:val="single" w:sz="5" w:space="0" w:color="000000"/>
              <w:left w:val="single" w:sz="5" w:space="0" w:color="000000"/>
              <w:bottom w:val="single" w:sz="5" w:space="0" w:color="000000"/>
              <w:right w:val="single" w:sz="5" w:space="0" w:color="000000"/>
            </w:tcBorders>
          </w:tcPr>
          <w:p w14:paraId="0A51F5D0" w14:textId="77777777" w:rsidR="00C770CB" w:rsidRPr="009167C6" w:rsidRDefault="00C770CB" w:rsidP="007E7849">
            <w:pPr>
              <w:pStyle w:val="TableParagraph"/>
              <w:spacing w:line="200" w:lineRule="exact"/>
              <w:rPr>
                <w:lang w:val="hu-HU"/>
              </w:rPr>
            </w:pPr>
          </w:p>
          <w:p w14:paraId="054FF074" w14:textId="77777777" w:rsidR="00C770CB" w:rsidRPr="009167C6" w:rsidRDefault="00C770CB" w:rsidP="007E7849">
            <w:pPr>
              <w:pStyle w:val="TableParagraph"/>
              <w:spacing w:before="14" w:line="280" w:lineRule="exact"/>
              <w:rPr>
                <w:lang w:val="hu-HU"/>
              </w:rPr>
            </w:pPr>
          </w:p>
          <w:p w14:paraId="66C834FB" w14:textId="77777777" w:rsidR="00C770CB" w:rsidRPr="009167C6" w:rsidRDefault="00C770CB" w:rsidP="007E7849">
            <w:pPr>
              <w:pStyle w:val="TableParagraph"/>
              <w:ind w:left="121"/>
              <w:rPr>
                <w:rFonts w:ascii="Times New Roman" w:eastAsia="Times New Roman" w:hAnsi="Times New Roman" w:cs="Times New Roman"/>
                <w:lang w:val="hu-HU"/>
              </w:rPr>
            </w:pPr>
            <w:r w:rsidRPr="00CF5D7A">
              <w:rPr>
                <w:rFonts w:ascii="Times New Roman" w:eastAsia="Times New Roman" w:hAnsi="Times New Roman" w:cs="Times New Roman"/>
                <w:lang w:val="hu-HU"/>
              </w:rPr>
              <w:t>p-érték</w:t>
            </w:r>
            <w:r w:rsidRPr="009167C6">
              <w:rPr>
                <w:rFonts w:ascii="Times New Roman" w:eastAsia="Times New Roman" w:hAnsi="Times New Roman" w:cs="Times New Roman"/>
                <w:vertAlign w:val="superscript"/>
                <w:lang w:val="hu-HU"/>
              </w:rPr>
              <w:t>b</w:t>
            </w:r>
          </w:p>
        </w:tc>
        <w:tc>
          <w:tcPr>
            <w:tcW w:w="991" w:type="dxa"/>
            <w:tcBorders>
              <w:top w:val="single" w:sz="5" w:space="0" w:color="000000"/>
              <w:left w:val="single" w:sz="5" w:space="0" w:color="000000"/>
              <w:bottom w:val="single" w:sz="5" w:space="0" w:color="000000"/>
              <w:right w:val="single" w:sz="5" w:space="0" w:color="000000"/>
            </w:tcBorders>
          </w:tcPr>
          <w:p w14:paraId="29A56CC8" w14:textId="77777777" w:rsidR="00C770CB" w:rsidRPr="009167C6" w:rsidRDefault="00C770CB" w:rsidP="007E7849">
            <w:pPr>
              <w:pStyle w:val="TableParagraph"/>
              <w:spacing w:line="200" w:lineRule="exact"/>
              <w:rPr>
                <w:lang w:val="hu-HU"/>
              </w:rPr>
            </w:pPr>
          </w:p>
          <w:p w14:paraId="4A4B0833" w14:textId="77777777" w:rsidR="00C770CB" w:rsidRPr="009167C6" w:rsidRDefault="00C770CB" w:rsidP="007E7849">
            <w:pPr>
              <w:pStyle w:val="TableParagraph"/>
              <w:spacing w:before="14" w:line="280" w:lineRule="exact"/>
              <w:rPr>
                <w:lang w:val="hu-HU"/>
              </w:rPr>
            </w:pPr>
          </w:p>
          <w:p w14:paraId="3B867AAC" w14:textId="77777777" w:rsidR="00C770CB" w:rsidRPr="009167C6" w:rsidRDefault="00C770CB" w:rsidP="007E7849">
            <w:pPr>
              <w:pStyle w:val="TableParagraph"/>
              <w:ind w:left="126"/>
              <w:rPr>
                <w:rFonts w:ascii="Times New Roman" w:eastAsia="Times New Roman" w:hAnsi="Times New Roman" w:cs="Times New Roman"/>
                <w:lang w:val="hu-HU"/>
              </w:rPr>
            </w:pPr>
            <w:r w:rsidRPr="00CF5D7A">
              <w:rPr>
                <w:rFonts w:ascii="Times New Roman" w:eastAsia="Times New Roman" w:hAnsi="Times New Roman" w:cs="Times New Roman"/>
                <w:lang w:val="hu-HU"/>
              </w:rPr>
              <w:t>p-érték</w:t>
            </w:r>
            <w:r w:rsidRPr="009167C6">
              <w:rPr>
                <w:rFonts w:ascii="Times New Roman" w:eastAsia="Times New Roman" w:hAnsi="Times New Roman" w:cs="Times New Roman"/>
                <w:vertAlign w:val="superscript"/>
                <w:lang w:val="hu-HU"/>
              </w:rPr>
              <w:t>c</w:t>
            </w:r>
          </w:p>
        </w:tc>
      </w:tr>
      <w:tr w:rsidR="00C770CB" w:rsidRPr="00CF5D7A" w14:paraId="5319BA0E" w14:textId="77777777" w:rsidTr="007E7849">
        <w:tc>
          <w:tcPr>
            <w:tcW w:w="1766" w:type="dxa"/>
            <w:tcBorders>
              <w:top w:val="single" w:sz="5" w:space="0" w:color="000000"/>
              <w:left w:val="single" w:sz="5" w:space="0" w:color="000000"/>
              <w:bottom w:val="single" w:sz="5" w:space="0" w:color="000000"/>
              <w:right w:val="single" w:sz="5" w:space="0" w:color="000000"/>
            </w:tcBorders>
          </w:tcPr>
          <w:p w14:paraId="3E9A6B0C" w14:textId="77777777" w:rsidR="00C770CB" w:rsidRPr="00CF5D7A" w:rsidRDefault="00C770CB" w:rsidP="007E7849">
            <w:pPr>
              <w:pStyle w:val="TableParagraph"/>
              <w:spacing w:line="246" w:lineRule="exact"/>
              <w:ind w:left="177" w:right="179"/>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Teljes Sharp-</w:t>
            </w:r>
          </w:p>
          <w:p w14:paraId="45099263" w14:textId="77777777" w:rsidR="00C770CB" w:rsidRPr="00CF5D7A" w:rsidRDefault="00C770CB" w:rsidP="007E7849">
            <w:pPr>
              <w:pStyle w:val="TableParagraph"/>
              <w:spacing w:line="252" w:lineRule="exact"/>
              <w:ind w:left="439" w:right="439"/>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pontérték</w:t>
            </w:r>
          </w:p>
        </w:tc>
        <w:tc>
          <w:tcPr>
            <w:tcW w:w="1391" w:type="dxa"/>
            <w:tcBorders>
              <w:top w:val="single" w:sz="5" w:space="0" w:color="000000"/>
              <w:left w:val="single" w:sz="5" w:space="0" w:color="000000"/>
              <w:bottom w:val="single" w:sz="5" w:space="0" w:color="000000"/>
              <w:right w:val="single" w:sz="5" w:space="0" w:color="000000"/>
            </w:tcBorders>
          </w:tcPr>
          <w:p w14:paraId="1B41B071" w14:textId="77777777" w:rsidR="00C770CB" w:rsidRPr="00CF5D7A" w:rsidRDefault="00C770CB" w:rsidP="007E7849">
            <w:pPr>
              <w:pStyle w:val="TableParagraph"/>
              <w:spacing w:line="246" w:lineRule="exact"/>
              <w:ind w:left="215"/>
              <w:rPr>
                <w:rFonts w:ascii="Times New Roman" w:eastAsia="Times New Roman" w:hAnsi="Times New Roman" w:cs="Times New Roman"/>
                <w:lang w:val="hu-HU"/>
              </w:rPr>
            </w:pPr>
            <w:r w:rsidRPr="00CF5D7A">
              <w:rPr>
                <w:rFonts w:ascii="Times New Roman" w:eastAsia="Times New Roman" w:hAnsi="Times New Roman" w:cs="Times New Roman"/>
              </w:rPr>
              <w:t>5.7 (4.2</w:t>
            </w:r>
            <w:r w:rsidRPr="00CF5D7A">
              <w:rPr>
                <w:rFonts w:ascii="Times New Roman" w:eastAsia="Times New Roman" w:hAnsi="Times New Roman" w:cs="Times New Roman"/>
                <w:spacing w:val="-4"/>
              </w:rPr>
              <w:t>-</w:t>
            </w:r>
            <w:r w:rsidRPr="00CF5D7A">
              <w:rPr>
                <w:rFonts w:ascii="Times New Roman" w:eastAsia="Times New Roman" w:hAnsi="Times New Roman" w:cs="Times New Roman"/>
              </w:rPr>
              <w:t>7.3)</w:t>
            </w:r>
          </w:p>
        </w:tc>
        <w:tc>
          <w:tcPr>
            <w:tcW w:w="1391" w:type="dxa"/>
            <w:tcBorders>
              <w:top w:val="single" w:sz="5" w:space="0" w:color="000000"/>
              <w:left w:val="single" w:sz="5" w:space="0" w:color="000000"/>
              <w:bottom w:val="single" w:sz="5" w:space="0" w:color="000000"/>
              <w:right w:val="single" w:sz="5" w:space="0" w:color="000000"/>
            </w:tcBorders>
          </w:tcPr>
          <w:p w14:paraId="421A95AC" w14:textId="77777777" w:rsidR="00C770CB" w:rsidRPr="00CF5D7A" w:rsidRDefault="00C770CB" w:rsidP="007E7849">
            <w:pPr>
              <w:pStyle w:val="TableParagraph"/>
              <w:spacing w:line="246" w:lineRule="exact"/>
              <w:ind w:left="183"/>
              <w:rPr>
                <w:rFonts w:ascii="Times New Roman" w:eastAsia="Times New Roman" w:hAnsi="Times New Roman" w:cs="Times New Roman"/>
                <w:lang w:val="hu-HU"/>
              </w:rPr>
            </w:pPr>
            <w:r w:rsidRPr="00CF5D7A">
              <w:rPr>
                <w:rFonts w:ascii="Times New Roman" w:eastAsia="Times New Roman" w:hAnsi="Times New Roman" w:cs="Times New Roman"/>
              </w:rPr>
              <w:t>3.0 (1.7</w:t>
            </w:r>
            <w:r w:rsidRPr="00CF5D7A">
              <w:rPr>
                <w:rFonts w:ascii="Times New Roman" w:eastAsia="Times New Roman" w:hAnsi="Times New Roman" w:cs="Times New Roman"/>
                <w:spacing w:val="-4"/>
              </w:rPr>
              <w:t>-</w:t>
            </w:r>
            <w:r w:rsidRPr="00CF5D7A">
              <w:rPr>
                <w:rFonts w:ascii="Times New Roman" w:eastAsia="Times New Roman" w:hAnsi="Times New Roman" w:cs="Times New Roman"/>
              </w:rPr>
              <w:t>4.3)</w:t>
            </w:r>
          </w:p>
        </w:tc>
        <w:tc>
          <w:tcPr>
            <w:tcW w:w="1392" w:type="dxa"/>
            <w:tcBorders>
              <w:top w:val="single" w:sz="5" w:space="0" w:color="000000"/>
              <w:left w:val="single" w:sz="5" w:space="0" w:color="000000"/>
              <w:bottom w:val="single" w:sz="5" w:space="0" w:color="000000"/>
              <w:right w:val="single" w:sz="5" w:space="0" w:color="000000"/>
            </w:tcBorders>
          </w:tcPr>
          <w:p w14:paraId="10ECD149" w14:textId="77777777" w:rsidR="00C770CB" w:rsidRPr="00CF5D7A" w:rsidRDefault="00C770CB" w:rsidP="007E7849">
            <w:pPr>
              <w:pStyle w:val="TableParagraph"/>
              <w:spacing w:line="246" w:lineRule="exact"/>
              <w:ind w:left="188"/>
              <w:rPr>
                <w:rFonts w:ascii="Times New Roman" w:eastAsia="Times New Roman" w:hAnsi="Times New Roman" w:cs="Times New Roman"/>
                <w:lang w:val="hu-HU"/>
              </w:rPr>
            </w:pPr>
            <w:r w:rsidRPr="00CF5D7A">
              <w:rPr>
                <w:rFonts w:ascii="Times New Roman" w:eastAsia="Times New Roman" w:hAnsi="Times New Roman" w:cs="Times New Roman"/>
              </w:rPr>
              <w:t>1.3 (0.5</w:t>
            </w:r>
            <w:r w:rsidRPr="00CF5D7A">
              <w:rPr>
                <w:rFonts w:ascii="Times New Roman" w:eastAsia="Times New Roman" w:hAnsi="Times New Roman" w:cs="Times New Roman"/>
                <w:spacing w:val="-4"/>
              </w:rPr>
              <w:t>-</w:t>
            </w:r>
            <w:r w:rsidRPr="00CF5D7A">
              <w:rPr>
                <w:rFonts w:ascii="Times New Roman" w:eastAsia="Times New Roman" w:hAnsi="Times New Roman" w:cs="Times New Roman"/>
              </w:rPr>
              <w:t>2.1)</w:t>
            </w:r>
          </w:p>
        </w:tc>
        <w:tc>
          <w:tcPr>
            <w:tcW w:w="991" w:type="dxa"/>
            <w:tcBorders>
              <w:top w:val="single" w:sz="5" w:space="0" w:color="000000"/>
              <w:left w:val="single" w:sz="5" w:space="0" w:color="000000"/>
              <w:bottom w:val="single" w:sz="5" w:space="0" w:color="000000"/>
              <w:right w:val="single" w:sz="5" w:space="0" w:color="000000"/>
            </w:tcBorders>
          </w:tcPr>
          <w:p w14:paraId="6825A347" w14:textId="77777777" w:rsidR="00C770CB" w:rsidRPr="00CF5D7A" w:rsidRDefault="00C770CB" w:rsidP="007E7849">
            <w:pPr>
              <w:pStyle w:val="TableParagraph"/>
              <w:spacing w:line="246" w:lineRule="exact"/>
              <w:ind w:left="150"/>
              <w:rPr>
                <w:rFonts w:ascii="Times New Roman" w:eastAsia="Times New Roman" w:hAnsi="Times New Roman" w:cs="Times New Roman"/>
                <w:lang w:val="hu-HU"/>
              </w:rPr>
            </w:pPr>
            <w:r w:rsidRPr="00CF5D7A">
              <w:rPr>
                <w:rFonts w:ascii="Times New Roman" w:eastAsia="Times New Roman" w:hAnsi="Times New Roman" w:cs="Times New Roman"/>
              </w:rPr>
              <w:t>&lt; 0.001</w:t>
            </w:r>
          </w:p>
        </w:tc>
        <w:tc>
          <w:tcPr>
            <w:tcW w:w="989" w:type="dxa"/>
            <w:tcBorders>
              <w:top w:val="single" w:sz="5" w:space="0" w:color="000000"/>
              <w:left w:val="single" w:sz="5" w:space="0" w:color="000000"/>
              <w:bottom w:val="single" w:sz="5" w:space="0" w:color="000000"/>
              <w:right w:val="single" w:sz="5" w:space="0" w:color="000000"/>
            </w:tcBorders>
          </w:tcPr>
          <w:p w14:paraId="06F5B8C2" w14:textId="77777777" w:rsidR="00C770CB" w:rsidRPr="00CF5D7A" w:rsidRDefault="00C770CB" w:rsidP="007E7849">
            <w:pPr>
              <w:pStyle w:val="TableParagraph"/>
              <w:spacing w:line="246" w:lineRule="exact"/>
              <w:ind w:left="183"/>
              <w:rPr>
                <w:rFonts w:ascii="Times New Roman" w:eastAsia="Times New Roman" w:hAnsi="Times New Roman" w:cs="Times New Roman"/>
                <w:lang w:val="hu-HU"/>
              </w:rPr>
            </w:pPr>
            <w:r w:rsidRPr="00CF5D7A">
              <w:rPr>
                <w:rFonts w:ascii="Times New Roman" w:eastAsia="Times New Roman" w:hAnsi="Times New Roman" w:cs="Times New Roman"/>
              </w:rPr>
              <w:t>0.0020</w:t>
            </w:r>
          </w:p>
        </w:tc>
        <w:tc>
          <w:tcPr>
            <w:tcW w:w="991" w:type="dxa"/>
            <w:tcBorders>
              <w:top w:val="single" w:sz="5" w:space="0" w:color="000000"/>
              <w:left w:val="single" w:sz="5" w:space="0" w:color="000000"/>
              <w:bottom w:val="single" w:sz="5" w:space="0" w:color="000000"/>
              <w:right w:val="single" w:sz="5" w:space="0" w:color="000000"/>
            </w:tcBorders>
          </w:tcPr>
          <w:p w14:paraId="1BBD956A" w14:textId="77777777" w:rsidR="00C770CB" w:rsidRPr="00CF5D7A" w:rsidRDefault="00C770CB" w:rsidP="007E7849">
            <w:pPr>
              <w:pStyle w:val="TableParagraph"/>
              <w:spacing w:line="246" w:lineRule="exact"/>
              <w:ind w:left="150"/>
              <w:rPr>
                <w:rFonts w:ascii="Times New Roman" w:eastAsia="Times New Roman" w:hAnsi="Times New Roman" w:cs="Times New Roman"/>
                <w:lang w:val="hu-HU"/>
              </w:rPr>
            </w:pPr>
            <w:r w:rsidRPr="00CF5D7A">
              <w:rPr>
                <w:rFonts w:ascii="Times New Roman" w:eastAsia="Times New Roman" w:hAnsi="Times New Roman" w:cs="Times New Roman"/>
              </w:rPr>
              <w:t>&lt; 0.001</w:t>
            </w:r>
          </w:p>
        </w:tc>
      </w:tr>
      <w:tr w:rsidR="00C770CB" w:rsidRPr="00CF5D7A" w14:paraId="6C18469E" w14:textId="77777777" w:rsidTr="007E7849">
        <w:tc>
          <w:tcPr>
            <w:tcW w:w="1766" w:type="dxa"/>
            <w:tcBorders>
              <w:top w:val="single" w:sz="5" w:space="0" w:color="000000"/>
              <w:left w:val="single" w:sz="5" w:space="0" w:color="000000"/>
              <w:bottom w:val="single" w:sz="5" w:space="0" w:color="000000"/>
              <w:right w:val="single" w:sz="5" w:space="0" w:color="000000"/>
            </w:tcBorders>
          </w:tcPr>
          <w:p w14:paraId="1D038DEB" w14:textId="77777777" w:rsidR="00C770CB" w:rsidRPr="00CF5D7A" w:rsidRDefault="00C770CB" w:rsidP="007E7849">
            <w:pPr>
              <w:pStyle w:val="TableParagraph"/>
              <w:spacing w:line="246" w:lineRule="exact"/>
              <w:ind w:left="107"/>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Eróziós pontérték</w:t>
            </w:r>
          </w:p>
        </w:tc>
        <w:tc>
          <w:tcPr>
            <w:tcW w:w="1391" w:type="dxa"/>
            <w:tcBorders>
              <w:top w:val="single" w:sz="5" w:space="0" w:color="000000"/>
              <w:left w:val="single" w:sz="5" w:space="0" w:color="000000"/>
              <w:bottom w:val="single" w:sz="5" w:space="0" w:color="000000"/>
              <w:right w:val="single" w:sz="5" w:space="0" w:color="000000"/>
            </w:tcBorders>
          </w:tcPr>
          <w:p w14:paraId="2C683A40" w14:textId="77777777" w:rsidR="00C770CB" w:rsidRPr="00CF5D7A" w:rsidRDefault="00C770CB" w:rsidP="007E7849">
            <w:pPr>
              <w:pStyle w:val="TableParagraph"/>
              <w:spacing w:line="246" w:lineRule="exact"/>
              <w:ind w:left="215"/>
              <w:rPr>
                <w:rFonts w:ascii="Times New Roman" w:eastAsia="Times New Roman" w:hAnsi="Times New Roman" w:cs="Times New Roman"/>
                <w:lang w:val="hu-HU"/>
              </w:rPr>
            </w:pPr>
            <w:r w:rsidRPr="00CF5D7A">
              <w:rPr>
                <w:rFonts w:ascii="Times New Roman" w:eastAsia="Times New Roman" w:hAnsi="Times New Roman" w:cs="Times New Roman"/>
                <w:lang w:val="hu-HU"/>
              </w:rPr>
              <w:t>3,7 (2,7-4,7)</w:t>
            </w:r>
          </w:p>
        </w:tc>
        <w:tc>
          <w:tcPr>
            <w:tcW w:w="1391" w:type="dxa"/>
            <w:tcBorders>
              <w:top w:val="single" w:sz="5" w:space="0" w:color="000000"/>
              <w:left w:val="single" w:sz="5" w:space="0" w:color="000000"/>
              <w:bottom w:val="single" w:sz="5" w:space="0" w:color="000000"/>
              <w:right w:val="single" w:sz="5" w:space="0" w:color="000000"/>
            </w:tcBorders>
          </w:tcPr>
          <w:p w14:paraId="358F86D6" w14:textId="77777777" w:rsidR="00C770CB" w:rsidRPr="00CF5D7A" w:rsidRDefault="00C770CB" w:rsidP="007E7849">
            <w:pPr>
              <w:pStyle w:val="TableParagraph"/>
              <w:spacing w:line="246" w:lineRule="exact"/>
              <w:ind w:left="183"/>
              <w:rPr>
                <w:rFonts w:ascii="Times New Roman" w:eastAsia="Times New Roman" w:hAnsi="Times New Roman" w:cs="Times New Roman"/>
                <w:lang w:val="hu-HU"/>
              </w:rPr>
            </w:pPr>
            <w:r w:rsidRPr="00CF5D7A">
              <w:rPr>
                <w:rFonts w:ascii="Times New Roman" w:eastAsia="Times New Roman" w:hAnsi="Times New Roman" w:cs="Times New Roman"/>
                <w:lang w:val="hu-HU"/>
              </w:rPr>
              <w:t>1,7 (1,0-2,4)</w:t>
            </w:r>
          </w:p>
        </w:tc>
        <w:tc>
          <w:tcPr>
            <w:tcW w:w="1392" w:type="dxa"/>
            <w:tcBorders>
              <w:top w:val="single" w:sz="5" w:space="0" w:color="000000"/>
              <w:left w:val="single" w:sz="5" w:space="0" w:color="000000"/>
              <w:bottom w:val="single" w:sz="5" w:space="0" w:color="000000"/>
              <w:right w:val="single" w:sz="5" w:space="0" w:color="000000"/>
            </w:tcBorders>
          </w:tcPr>
          <w:p w14:paraId="5E34948F" w14:textId="77777777" w:rsidR="00C770CB" w:rsidRPr="00CF5D7A" w:rsidRDefault="00C770CB" w:rsidP="007E7849">
            <w:pPr>
              <w:pStyle w:val="TableParagraph"/>
              <w:spacing w:line="246" w:lineRule="exact"/>
              <w:ind w:left="188"/>
              <w:rPr>
                <w:rFonts w:ascii="Times New Roman" w:eastAsia="Times New Roman" w:hAnsi="Times New Roman" w:cs="Times New Roman"/>
                <w:lang w:val="hu-HU"/>
              </w:rPr>
            </w:pPr>
            <w:r w:rsidRPr="00CF5D7A">
              <w:rPr>
                <w:rFonts w:ascii="Times New Roman" w:eastAsia="Times New Roman" w:hAnsi="Times New Roman" w:cs="Times New Roman"/>
                <w:lang w:val="hu-HU"/>
              </w:rPr>
              <w:t>0,8 (0,4-1,2)</w:t>
            </w:r>
          </w:p>
        </w:tc>
        <w:tc>
          <w:tcPr>
            <w:tcW w:w="991" w:type="dxa"/>
            <w:tcBorders>
              <w:top w:val="single" w:sz="5" w:space="0" w:color="000000"/>
              <w:left w:val="single" w:sz="5" w:space="0" w:color="000000"/>
              <w:bottom w:val="single" w:sz="5" w:space="0" w:color="000000"/>
              <w:right w:val="single" w:sz="5" w:space="0" w:color="000000"/>
            </w:tcBorders>
          </w:tcPr>
          <w:p w14:paraId="22342378" w14:textId="77777777" w:rsidR="00C770CB" w:rsidRPr="00CF5D7A" w:rsidRDefault="00C770CB" w:rsidP="007E7849">
            <w:pPr>
              <w:pStyle w:val="TableParagraph"/>
              <w:spacing w:line="246" w:lineRule="exact"/>
              <w:ind w:left="150"/>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989" w:type="dxa"/>
            <w:tcBorders>
              <w:top w:val="single" w:sz="5" w:space="0" w:color="000000"/>
              <w:left w:val="single" w:sz="5" w:space="0" w:color="000000"/>
              <w:bottom w:val="single" w:sz="5" w:space="0" w:color="000000"/>
              <w:right w:val="single" w:sz="5" w:space="0" w:color="000000"/>
            </w:tcBorders>
          </w:tcPr>
          <w:p w14:paraId="45416D30" w14:textId="77777777" w:rsidR="00C770CB" w:rsidRPr="00CF5D7A" w:rsidRDefault="00C770CB" w:rsidP="007E7849">
            <w:pPr>
              <w:pStyle w:val="TableParagraph"/>
              <w:spacing w:line="246" w:lineRule="exact"/>
              <w:ind w:left="183"/>
              <w:rPr>
                <w:rFonts w:ascii="Times New Roman" w:eastAsia="Times New Roman" w:hAnsi="Times New Roman" w:cs="Times New Roman"/>
                <w:lang w:val="hu-HU"/>
              </w:rPr>
            </w:pPr>
            <w:r w:rsidRPr="00CF5D7A">
              <w:rPr>
                <w:rFonts w:ascii="Times New Roman" w:eastAsia="Times New Roman" w:hAnsi="Times New Roman" w:cs="Times New Roman"/>
                <w:lang w:val="hu-HU"/>
              </w:rPr>
              <w:t>0,0082</w:t>
            </w:r>
          </w:p>
        </w:tc>
        <w:tc>
          <w:tcPr>
            <w:tcW w:w="991" w:type="dxa"/>
            <w:tcBorders>
              <w:top w:val="single" w:sz="5" w:space="0" w:color="000000"/>
              <w:left w:val="single" w:sz="5" w:space="0" w:color="000000"/>
              <w:bottom w:val="single" w:sz="5" w:space="0" w:color="000000"/>
              <w:right w:val="single" w:sz="5" w:space="0" w:color="000000"/>
            </w:tcBorders>
          </w:tcPr>
          <w:p w14:paraId="7A06A5EC" w14:textId="77777777" w:rsidR="00C770CB" w:rsidRPr="00CF5D7A" w:rsidRDefault="00C770CB" w:rsidP="007E7849">
            <w:pPr>
              <w:pStyle w:val="TableParagraph"/>
              <w:spacing w:line="246" w:lineRule="exact"/>
              <w:ind w:left="150"/>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r>
      <w:tr w:rsidR="00C770CB" w:rsidRPr="00CF5D7A" w14:paraId="2736001B" w14:textId="77777777" w:rsidTr="007E7849">
        <w:tc>
          <w:tcPr>
            <w:tcW w:w="1766" w:type="dxa"/>
            <w:tcBorders>
              <w:top w:val="single" w:sz="5" w:space="0" w:color="000000"/>
              <w:left w:val="single" w:sz="5" w:space="0" w:color="000000"/>
              <w:bottom w:val="single" w:sz="5" w:space="0" w:color="000000"/>
              <w:right w:val="single" w:sz="5" w:space="0" w:color="000000"/>
            </w:tcBorders>
          </w:tcPr>
          <w:p w14:paraId="7A5A0D36" w14:textId="77777777" w:rsidR="00C770CB" w:rsidRPr="00CF5D7A" w:rsidRDefault="00C770CB" w:rsidP="007E7849">
            <w:pPr>
              <w:pStyle w:val="TableParagraph"/>
              <w:spacing w:line="246" w:lineRule="exact"/>
              <w:ind w:left="265"/>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JSN-pontérték</w:t>
            </w:r>
          </w:p>
        </w:tc>
        <w:tc>
          <w:tcPr>
            <w:tcW w:w="1391" w:type="dxa"/>
            <w:tcBorders>
              <w:top w:val="single" w:sz="5" w:space="0" w:color="000000"/>
              <w:left w:val="single" w:sz="5" w:space="0" w:color="000000"/>
              <w:bottom w:val="single" w:sz="5" w:space="0" w:color="000000"/>
              <w:right w:val="single" w:sz="5" w:space="0" w:color="000000"/>
            </w:tcBorders>
          </w:tcPr>
          <w:p w14:paraId="6BB9CD85" w14:textId="77777777" w:rsidR="00C770CB" w:rsidRPr="00CF5D7A" w:rsidRDefault="00C770CB" w:rsidP="007E7849">
            <w:pPr>
              <w:pStyle w:val="TableParagraph"/>
              <w:spacing w:line="246" w:lineRule="exact"/>
              <w:ind w:left="215"/>
              <w:rPr>
                <w:rFonts w:ascii="Times New Roman" w:eastAsia="Times New Roman" w:hAnsi="Times New Roman" w:cs="Times New Roman"/>
                <w:lang w:val="hu-HU"/>
              </w:rPr>
            </w:pPr>
            <w:r w:rsidRPr="00CF5D7A">
              <w:rPr>
                <w:rFonts w:ascii="Times New Roman" w:eastAsia="Times New Roman" w:hAnsi="Times New Roman" w:cs="Times New Roman"/>
                <w:lang w:val="hu-HU"/>
              </w:rPr>
              <w:t>2,0 (1,2-2,8)</w:t>
            </w:r>
          </w:p>
        </w:tc>
        <w:tc>
          <w:tcPr>
            <w:tcW w:w="1391" w:type="dxa"/>
            <w:tcBorders>
              <w:top w:val="single" w:sz="5" w:space="0" w:color="000000"/>
              <w:left w:val="single" w:sz="5" w:space="0" w:color="000000"/>
              <w:bottom w:val="single" w:sz="5" w:space="0" w:color="000000"/>
              <w:right w:val="single" w:sz="5" w:space="0" w:color="000000"/>
            </w:tcBorders>
          </w:tcPr>
          <w:p w14:paraId="520E5FBA" w14:textId="77777777" w:rsidR="00C770CB" w:rsidRPr="00CF5D7A" w:rsidRDefault="00C770CB" w:rsidP="007E7849">
            <w:pPr>
              <w:pStyle w:val="TableParagraph"/>
              <w:spacing w:line="246" w:lineRule="exact"/>
              <w:ind w:left="183"/>
              <w:rPr>
                <w:rFonts w:ascii="Times New Roman" w:eastAsia="Times New Roman" w:hAnsi="Times New Roman" w:cs="Times New Roman"/>
                <w:lang w:val="hu-HU"/>
              </w:rPr>
            </w:pPr>
            <w:r w:rsidRPr="00CF5D7A">
              <w:rPr>
                <w:rFonts w:ascii="Times New Roman" w:eastAsia="Times New Roman" w:hAnsi="Times New Roman" w:cs="Times New Roman"/>
                <w:lang w:val="hu-HU"/>
              </w:rPr>
              <w:t>1,3 (0,5-2,1)</w:t>
            </w:r>
          </w:p>
        </w:tc>
        <w:tc>
          <w:tcPr>
            <w:tcW w:w="1392" w:type="dxa"/>
            <w:tcBorders>
              <w:top w:val="single" w:sz="5" w:space="0" w:color="000000"/>
              <w:left w:val="single" w:sz="5" w:space="0" w:color="000000"/>
              <w:bottom w:val="single" w:sz="5" w:space="0" w:color="000000"/>
              <w:right w:val="single" w:sz="5" w:space="0" w:color="000000"/>
            </w:tcBorders>
          </w:tcPr>
          <w:p w14:paraId="0C7B3884" w14:textId="77777777" w:rsidR="00C770CB" w:rsidRPr="00CF5D7A" w:rsidRDefault="00C770CB" w:rsidP="007E7849">
            <w:pPr>
              <w:pStyle w:val="TableParagraph"/>
              <w:spacing w:line="246" w:lineRule="exact"/>
              <w:ind w:left="270"/>
              <w:rPr>
                <w:rFonts w:ascii="Times New Roman" w:eastAsia="Times New Roman" w:hAnsi="Times New Roman" w:cs="Times New Roman"/>
                <w:lang w:val="hu-HU"/>
              </w:rPr>
            </w:pPr>
            <w:r w:rsidRPr="00CF5D7A">
              <w:rPr>
                <w:rFonts w:ascii="Times New Roman" w:eastAsia="Times New Roman" w:hAnsi="Times New Roman" w:cs="Times New Roman"/>
                <w:lang w:val="hu-HU"/>
              </w:rPr>
              <w:t>0,5 (0-1,0)</w:t>
            </w:r>
          </w:p>
        </w:tc>
        <w:tc>
          <w:tcPr>
            <w:tcW w:w="991" w:type="dxa"/>
            <w:tcBorders>
              <w:top w:val="single" w:sz="5" w:space="0" w:color="000000"/>
              <w:left w:val="single" w:sz="5" w:space="0" w:color="000000"/>
              <w:bottom w:val="single" w:sz="5" w:space="0" w:color="000000"/>
              <w:right w:val="single" w:sz="5" w:space="0" w:color="000000"/>
            </w:tcBorders>
          </w:tcPr>
          <w:p w14:paraId="6E33E08A" w14:textId="77777777" w:rsidR="00C770CB" w:rsidRPr="00CF5D7A" w:rsidRDefault="00C770CB" w:rsidP="007E7849">
            <w:pPr>
              <w:pStyle w:val="TableParagraph"/>
              <w:spacing w:line="246" w:lineRule="exact"/>
              <w:ind w:left="150"/>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989" w:type="dxa"/>
            <w:tcBorders>
              <w:top w:val="single" w:sz="5" w:space="0" w:color="000000"/>
              <w:left w:val="single" w:sz="5" w:space="0" w:color="000000"/>
              <w:bottom w:val="single" w:sz="5" w:space="0" w:color="000000"/>
              <w:right w:val="single" w:sz="5" w:space="0" w:color="000000"/>
            </w:tcBorders>
          </w:tcPr>
          <w:p w14:paraId="5739FE00" w14:textId="77777777" w:rsidR="00C770CB" w:rsidRPr="00CF5D7A" w:rsidRDefault="00C770CB" w:rsidP="007E7849">
            <w:pPr>
              <w:pStyle w:val="TableParagraph"/>
              <w:spacing w:line="246" w:lineRule="exact"/>
              <w:ind w:left="183"/>
              <w:rPr>
                <w:rFonts w:ascii="Times New Roman" w:eastAsia="Times New Roman" w:hAnsi="Times New Roman" w:cs="Times New Roman"/>
                <w:lang w:val="hu-HU"/>
              </w:rPr>
            </w:pPr>
            <w:r w:rsidRPr="00CF5D7A">
              <w:rPr>
                <w:rFonts w:ascii="Times New Roman" w:eastAsia="Times New Roman" w:hAnsi="Times New Roman" w:cs="Times New Roman"/>
                <w:lang w:val="hu-HU"/>
              </w:rPr>
              <w:t>0,0037</w:t>
            </w:r>
          </w:p>
        </w:tc>
        <w:tc>
          <w:tcPr>
            <w:tcW w:w="991" w:type="dxa"/>
            <w:tcBorders>
              <w:top w:val="single" w:sz="5" w:space="0" w:color="000000"/>
              <w:left w:val="single" w:sz="5" w:space="0" w:color="000000"/>
              <w:bottom w:val="single" w:sz="5" w:space="0" w:color="000000"/>
              <w:right w:val="single" w:sz="5" w:space="0" w:color="000000"/>
            </w:tcBorders>
          </w:tcPr>
          <w:p w14:paraId="66D2272E" w14:textId="77777777" w:rsidR="00C770CB" w:rsidRPr="00CF5D7A" w:rsidRDefault="00C770CB" w:rsidP="007E7849">
            <w:pPr>
              <w:pStyle w:val="TableParagraph"/>
              <w:spacing w:line="246" w:lineRule="exact"/>
              <w:ind w:left="241"/>
              <w:rPr>
                <w:rFonts w:ascii="Times New Roman" w:eastAsia="Times New Roman" w:hAnsi="Times New Roman" w:cs="Times New Roman"/>
                <w:lang w:val="hu-HU"/>
              </w:rPr>
            </w:pPr>
            <w:r w:rsidRPr="00CF5D7A">
              <w:rPr>
                <w:rFonts w:ascii="Times New Roman" w:eastAsia="Times New Roman" w:hAnsi="Times New Roman" w:cs="Times New Roman"/>
                <w:lang w:val="hu-HU"/>
              </w:rPr>
              <w:t>0,151</w:t>
            </w:r>
          </w:p>
        </w:tc>
      </w:tr>
    </w:tbl>
    <w:p w14:paraId="5DAED0F7" w14:textId="77777777" w:rsidR="00C770CB" w:rsidRPr="008668A9" w:rsidRDefault="00C770CB" w:rsidP="00C770CB">
      <w:pPr>
        <w:pStyle w:val="a3"/>
        <w:rPr>
          <w:lang w:val="hu-HU"/>
        </w:rPr>
      </w:pPr>
      <w:r w:rsidRPr="001E2F31">
        <w:rPr>
          <w:rFonts w:eastAsia="Times New Roman"/>
          <w:vertAlign w:val="superscript"/>
          <w:lang w:val="hu-HU"/>
        </w:rPr>
        <w:t>a</w:t>
      </w:r>
      <w:r w:rsidRPr="001E2F31">
        <w:rPr>
          <w:rFonts w:eastAsia="Times New Roman"/>
          <w:lang w:val="hu-HU"/>
        </w:rPr>
        <w:t xml:space="preserve"> a p-érték a metotrexát monoterápia és az adalimumab/metotrexát kombinációs terápia páros összehasonlítása alapján Mann-Whitney U teszt szerint.</w:t>
      </w:r>
    </w:p>
    <w:p w14:paraId="169386AC" w14:textId="77777777" w:rsidR="00C770CB" w:rsidRPr="008668A9" w:rsidRDefault="00C770CB" w:rsidP="00C770CB">
      <w:pPr>
        <w:pStyle w:val="a3"/>
        <w:rPr>
          <w:lang w:val="hu-HU"/>
        </w:rPr>
      </w:pPr>
      <w:r w:rsidRPr="001E2F31">
        <w:rPr>
          <w:rFonts w:eastAsia="Times New Roman"/>
          <w:vertAlign w:val="superscript"/>
          <w:lang w:val="hu-HU"/>
        </w:rPr>
        <w:t>b</w:t>
      </w:r>
      <w:r w:rsidRPr="001E2F31">
        <w:rPr>
          <w:rFonts w:eastAsia="Times New Roman"/>
          <w:lang w:val="hu-HU"/>
        </w:rPr>
        <w:t xml:space="preserve"> a p-érték a </w:t>
      </w:r>
      <w:r w:rsidRPr="008668A9">
        <w:rPr>
          <w:rFonts w:eastAsia="Times New Roman"/>
          <w:lang w:val="hu-HU"/>
        </w:rPr>
        <w:t>adalimumab</w:t>
      </w:r>
      <w:r w:rsidRPr="001E2F31">
        <w:rPr>
          <w:rFonts w:eastAsia="Times New Roman"/>
          <w:lang w:val="hu-HU"/>
        </w:rPr>
        <w:t xml:space="preserve"> monoterápia és az adalimumab/metotrexát kombinációs terápia páros összehasonlítása alapján Mann-Whitney U teszt szerint.</w:t>
      </w:r>
    </w:p>
    <w:p w14:paraId="34A24063" w14:textId="77777777" w:rsidR="00C770CB" w:rsidRPr="008668A9" w:rsidRDefault="00C770CB" w:rsidP="00C770CB">
      <w:pPr>
        <w:pStyle w:val="a3"/>
        <w:rPr>
          <w:lang w:val="hu-HU"/>
        </w:rPr>
      </w:pPr>
      <w:r w:rsidRPr="001E2F31">
        <w:rPr>
          <w:rFonts w:eastAsia="Times New Roman"/>
          <w:vertAlign w:val="superscript"/>
          <w:lang w:val="hu-HU"/>
        </w:rPr>
        <w:t>c</w:t>
      </w:r>
      <w:r w:rsidRPr="001E2F31">
        <w:rPr>
          <w:rFonts w:eastAsia="Times New Roman"/>
          <w:lang w:val="hu-HU"/>
        </w:rPr>
        <w:t xml:space="preserve"> a p-érték a </w:t>
      </w:r>
      <w:r w:rsidRPr="008668A9">
        <w:rPr>
          <w:rFonts w:eastAsia="Times New Roman"/>
          <w:lang w:val="hu-HU"/>
        </w:rPr>
        <w:t>adalimumab</w:t>
      </w:r>
      <w:r w:rsidRPr="001E2F31">
        <w:rPr>
          <w:rFonts w:eastAsia="Times New Roman"/>
          <w:lang w:val="hu-HU"/>
        </w:rPr>
        <w:t xml:space="preserve"> monoterápia és a metotrexát </w:t>
      </w:r>
      <w:r w:rsidRPr="006B04DD">
        <w:rPr>
          <w:rFonts w:eastAsia="Times New Roman"/>
          <w:lang w:val="hu-HU"/>
        </w:rPr>
        <w:t>monoterápia</w:t>
      </w:r>
      <w:r w:rsidRPr="001E2F31">
        <w:rPr>
          <w:rFonts w:eastAsia="Times New Roman"/>
          <w:lang w:val="hu-HU"/>
        </w:rPr>
        <w:t xml:space="preserve"> páros összehasonlítása alapján Mann-Whitney U teszt szerint.</w:t>
      </w:r>
    </w:p>
    <w:p w14:paraId="4F8CEFE1" w14:textId="77777777" w:rsidR="00C770CB" w:rsidRDefault="00C770CB" w:rsidP="00C770CB">
      <w:pPr>
        <w:spacing w:before="8" w:line="170" w:lineRule="exact"/>
        <w:rPr>
          <w:sz w:val="17"/>
          <w:szCs w:val="17"/>
          <w:lang w:val="hu-HU"/>
        </w:rPr>
      </w:pPr>
    </w:p>
    <w:p w14:paraId="6CDB6360" w14:textId="77777777" w:rsidR="00C770CB" w:rsidRDefault="00C770CB" w:rsidP="00C770CB">
      <w:pPr>
        <w:pStyle w:val="a3"/>
        <w:rPr>
          <w:lang w:val="hu-HU"/>
        </w:rPr>
      </w:pPr>
      <w:r>
        <w:rPr>
          <w:rFonts w:eastAsia="Times New Roman"/>
          <w:lang w:val="hu-HU"/>
        </w:rPr>
        <w:t xml:space="preserve">Ötvenkét, illetve 104 hétig tartó kezelés után a progresszió nélküli betegek százaléka (a módosított teljes Sharp-pontérték változása a kiinduláshoz képest </w:t>
      </w:r>
      <w:r>
        <w:rPr>
          <w:rFonts w:ascii="Symbol" w:eastAsia="Symbol" w:hAnsi="Symbol" w:cs="Symbol"/>
          <w:lang w:val="hu-HU"/>
        </w:rPr>
        <w:sym w:font="Symbol" w:char="F0A3"/>
      </w:r>
      <w:r>
        <w:rPr>
          <w:rFonts w:ascii="Symbol" w:eastAsia="Symbol" w:hAnsi="Symbol" w:cs="Symbol"/>
          <w:lang w:val="hu-HU"/>
        </w:rPr>
        <w:sym w:font="Symbol" w:char="F020"/>
      </w:r>
      <w:r>
        <w:rPr>
          <w:rFonts w:eastAsia="Times New Roman"/>
          <w:lang w:val="hu-HU"/>
        </w:rPr>
        <w:t>0,5) szignifikánsan magasabb volt az adalimumab/metotrexát kombinációs kezelésben részesült betegeknél (63,8%, illetve 61,2%, ebben a sorrendben) összehasonlítva a metotrexát-monoterápia eredményével (37,4% és 33,5%, p &lt; 0,001, ebben a sorrendben) és az adalimumab-monoterápiával (50,7%, p &lt; 0,002 és 44,5%, p &lt; 0,001, ebben a sorrendben).</w:t>
      </w:r>
    </w:p>
    <w:p w14:paraId="37805582" w14:textId="77777777" w:rsidR="00C770CB" w:rsidRDefault="00C770CB" w:rsidP="00C770CB">
      <w:pPr>
        <w:spacing w:before="10" w:line="240" w:lineRule="exact"/>
        <w:rPr>
          <w:sz w:val="24"/>
          <w:szCs w:val="24"/>
          <w:lang w:val="hu-HU"/>
        </w:rPr>
      </w:pPr>
    </w:p>
    <w:p w14:paraId="515D2AFA" w14:textId="77777777" w:rsidR="00C770CB" w:rsidRDefault="00C770CB" w:rsidP="00C770CB">
      <w:pPr>
        <w:pStyle w:val="a3"/>
        <w:rPr>
          <w:lang w:val="hu-HU"/>
        </w:rPr>
      </w:pPr>
      <w:r>
        <w:rPr>
          <w:rFonts w:eastAsia="Times New Roman"/>
          <w:lang w:val="hu-HU"/>
        </w:rPr>
        <w:t>Az RA</w:t>
      </w:r>
      <w:r w:rsidDel="002A3904">
        <w:rPr>
          <w:rFonts w:eastAsia="Times New Roman"/>
          <w:b/>
          <w:bCs/>
          <w:lang w:val="hu-HU"/>
        </w:rPr>
        <w:t xml:space="preserve"> </w:t>
      </w:r>
      <w:r>
        <w:rPr>
          <w:rFonts w:eastAsia="Times New Roman"/>
          <w:lang w:val="hu-HU"/>
        </w:rPr>
        <w:t>V vizsgálat nyílt elrendezésű kiterjesztésének 10. évében a módosított teljes Sharp-pontérték átlagos változása a kiinduláshoz képest az eredetileg metotrexát-monoterápiára, adalimumab-monoterápiára és adalimumab/metotrexát kombinációs terápiára randomizált betegeknél sorrendben 10,8; 9,2 és 3,9 volt. A radiológiai progressziót nem mutató betegeknél az arány sorrendben 31,3%, 23,7% és 36,7% volt</w:t>
      </w:r>
    </w:p>
    <w:p w14:paraId="7E468EFC" w14:textId="77777777" w:rsidR="00C770CB" w:rsidRDefault="00C770CB" w:rsidP="00C770CB">
      <w:pPr>
        <w:pStyle w:val="a3"/>
        <w:rPr>
          <w:sz w:val="24"/>
          <w:szCs w:val="24"/>
          <w:lang w:val="hu-HU"/>
        </w:rPr>
      </w:pPr>
    </w:p>
    <w:p w14:paraId="73E85567" w14:textId="77777777" w:rsidR="00C770CB" w:rsidRDefault="00C770CB" w:rsidP="00C770CB">
      <w:pPr>
        <w:pStyle w:val="a3"/>
        <w:rPr>
          <w:rFonts w:eastAsia="Times New Roman"/>
          <w:lang w:val="hu-HU"/>
        </w:rPr>
      </w:pPr>
      <w:r>
        <w:rPr>
          <w:rFonts w:eastAsia="Times New Roman"/>
          <w:i/>
          <w:iCs/>
          <w:spacing w:val="-1"/>
          <w:u w:val="single" w:color="000000"/>
          <w:lang w:val="hu-HU"/>
        </w:rPr>
        <w:t>Életminőség és fizikai aktivitás</w:t>
      </w:r>
    </w:p>
    <w:p w14:paraId="33213400" w14:textId="77777777" w:rsidR="00C770CB" w:rsidRDefault="00C770CB" w:rsidP="00C770CB">
      <w:pPr>
        <w:pStyle w:val="a3"/>
        <w:rPr>
          <w:sz w:val="18"/>
          <w:szCs w:val="18"/>
          <w:lang w:val="hu-HU"/>
        </w:rPr>
      </w:pPr>
    </w:p>
    <w:p w14:paraId="1BD4A6EA" w14:textId="77777777" w:rsidR="00C770CB" w:rsidRDefault="00C770CB" w:rsidP="00C770CB">
      <w:pPr>
        <w:pStyle w:val="a3"/>
        <w:rPr>
          <w:lang w:val="hu-HU"/>
        </w:rPr>
      </w:pPr>
      <w:r>
        <w:rPr>
          <w:rFonts w:eastAsia="Times New Roman"/>
          <w:lang w:val="hu-HU"/>
        </w:rPr>
        <w:t>Az Egészségfelmérő kérdőív (Health Assessment Questionnaire-HAQ) rokkantsági indexének segítségével a négy eredeti és megfelelő kontrollt alkalmazó vizsgálatban megvizsgálták az egészségfüggő életminőséget és fizikális működést, illetve az RA</w:t>
      </w:r>
      <w:r w:rsidRPr="009167C6">
        <w:rPr>
          <w:lang w:val="hu-HU"/>
        </w:rPr>
        <w:t> </w:t>
      </w:r>
      <w:r w:rsidDel="002A3904">
        <w:rPr>
          <w:rFonts w:eastAsia="Times New Roman"/>
          <w:b/>
          <w:bCs/>
          <w:lang w:val="hu-HU"/>
        </w:rPr>
        <w:t xml:space="preserve"> </w:t>
      </w:r>
      <w:r>
        <w:rPr>
          <w:rFonts w:eastAsia="Times New Roman"/>
          <w:lang w:val="hu-HU"/>
        </w:rPr>
        <w:t xml:space="preserve">III vizsgálatban ez egy előre megállapított elsődleges végpontja volt a </w:t>
      </w:r>
      <w:r>
        <w:rPr>
          <w:rFonts w:eastAsia="Times New Roman"/>
          <w:lang w:val="hu-HU"/>
        </w:rPr>
        <w:lastRenderedPageBreak/>
        <w:t>vizsgálatnak az 52. héten. Az adalimumab, adagolási módtól és dózistól függetlenül, mind a négy vizsgálatban a kiinduláshoz viszonyítva a vizsgált hat hónap alatt statisztikailag szignifikáns javulást eredményezett a HAQ rokkantsági indexében</w:t>
      </w:r>
    </w:p>
    <w:p w14:paraId="48141A5A" w14:textId="77777777" w:rsidR="00C770CB" w:rsidRDefault="00C770CB" w:rsidP="00C770CB">
      <w:pPr>
        <w:pStyle w:val="a3"/>
        <w:rPr>
          <w:lang w:val="hu-HU"/>
        </w:rPr>
      </w:pPr>
      <w:r>
        <w:rPr>
          <w:rFonts w:eastAsia="Times New Roman"/>
          <w:lang w:val="hu-HU"/>
        </w:rPr>
        <w:t>a placebóval összehasonlítva, és az RA</w:t>
      </w:r>
      <w:r w:rsidRPr="009167C6">
        <w:rPr>
          <w:lang w:val="hu-HU"/>
        </w:rPr>
        <w:t> </w:t>
      </w:r>
      <w:r w:rsidDel="002A3904">
        <w:rPr>
          <w:rFonts w:eastAsia="Times New Roman"/>
          <w:b/>
          <w:bCs/>
          <w:lang w:val="hu-HU"/>
        </w:rPr>
        <w:t xml:space="preserve"> </w:t>
      </w:r>
      <w:r>
        <w:rPr>
          <w:rFonts w:eastAsia="Times New Roman"/>
          <w:lang w:val="hu-HU"/>
        </w:rPr>
        <w:t>III. vizsgálatban ugyanezt észlelték az 52. héten. A Rövid Egészségfelmérés (Short Form Health Survey (SF 36) eredményei is alátámasztják a fentieket, a kéthetente alkalmazott 40 mg-os dózis esetében a fizikális komponensre (PCS) adott értékek, illetve a fájdalmat valamint a vitalitást mérő értékek is statisztikailag szignifikáns javulást mutattak. A krónikus betegségek terápiájának funkcionális felmérését szolgáló kérdőívben (FACIT) a fáradtságra adott értékek alapján statisztikailag jelentős javulás állapítható meg mindhárom vizsgálatban, amelyben ezt kiértékelték (RA I,  III,</w:t>
      </w:r>
      <w:r w:rsidRPr="009167C6">
        <w:rPr>
          <w:lang w:val="hu-HU"/>
        </w:rPr>
        <w:t xml:space="preserve"> </w:t>
      </w:r>
      <w:r>
        <w:rPr>
          <w:rFonts w:eastAsia="Times New Roman"/>
          <w:lang w:val="hu-HU"/>
        </w:rPr>
        <w:t>IV vizsgálatok).</w:t>
      </w:r>
    </w:p>
    <w:p w14:paraId="4643C324" w14:textId="77777777" w:rsidR="00C770CB" w:rsidRDefault="00C770CB" w:rsidP="00C770CB">
      <w:pPr>
        <w:pStyle w:val="a3"/>
        <w:rPr>
          <w:sz w:val="24"/>
          <w:szCs w:val="24"/>
          <w:lang w:val="hu-HU"/>
        </w:rPr>
      </w:pPr>
    </w:p>
    <w:p w14:paraId="30A20AC1" w14:textId="77777777" w:rsidR="00C770CB" w:rsidRDefault="00C770CB" w:rsidP="00C770CB">
      <w:pPr>
        <w:pStyle w:val="a3"/>
        <w:rPr>
          <w:lang w:val="hu-HU"/>
        </w:rPr>
      </w:pPr>
      <w:r>
        <w:rPr>
          <w:rFonts w:eastAsia="Times New Roman"/>
          <w:lang w:val="hu-HU"/>
        </w:rPr>
        <w:t>Az RA</w:t>
      </w:r>
      <w:r w:rsidDel="002A3904">
        <w:rPr>
          <w:rFonts w:eastAsia="Times New Roman"/>
          <w:b/>
          <w:bCs/>
          <w:lang w:val="hu-HU"/>
        </w:rPr>
        <w:t xml:space="preserve"> </w:t>
      </w:r>
      <w:r>
        <w:rPr>
          <w:rFonts w:eastAsia="Times New Roman"/>
          <w:lang w:val="hu-HU"/>
        </w:rPr>
        <w:t>III vizsgálatban a nyílt kezelés során a betegek többsége, akiknél a fizikai funkció javulása volt megfigyelhető és folytatták a kezelést, a javulás 520 héten (120 hónap) keresztül fennmaradt. Az életminőség javulását legfeljebb 156 hétig (36 hónap) mérték, és a javulás ezalatt az idő alatt fennmaradt.</w:t>
      </w:r>
    </w:p>
    <w:p w14:paraId="53835D50" w14:textId="77777777" w:rsidR="00C770CB" w:rsidRDefault="00C770CB" w:rsidP="00C770CB">
      <w:pPr>
        <w:pStyle w:val="a3"/>
        <w:rPr>
          <w:sz w:val="24"/>
          <w:szCs w:val="24"/>
          <w:lang w:val="hu-HU"/>
        </w:rPr>
      </w:pPr>
    </w:p>
    <w:p w14:paraId="719F9FAD" w14:textId="77777777" w:rsidR="00C770CB" w:rsidRDefault="00C770CB" w:rsidP="00C770CB">
      <w:pPr>
        <w:pStyle w:val="a3"/>
        <w:rPr>
          <w:lang w:val="hu-HU"/>
        </w:rPr>
      </w:pPr>
      <w:r>
        <w:rPr>
          <w:rFonts w:eastAsia="Times New Roman"/>
          <w:lang w:val="hu-HU"/>
        </w:rPr>
        <w:t>Az RA</w:t>
      </w:r>
      <w:r w:rsidRPr="009167C6">
        <w:rPr>
          <w:lang w:val="hu-HU"/>
        </w:rPr>
        <w:t> </w:t>
      </w:r>
      <w:r>
        <w:rPr>
          <w:rFonts w:eastAsia="Times New Roman"/>
          <w:lang w:val="hu-HU"/>
        </w:rPr>
        <w:t xml:space="preserve">V vizsgálatban az 52. héten a HAQ rokkantsági indexben és az SF 36 fizikai összetevőiben mutatkozó javulás nagyobb volt (p &lt; 0,001) az adalimumab/metotrexát kombinációs kezelést kapott csoportban, </w:t>
      </w:r>
      <w:r>
        <w:rPr>
          <w:rFonts w:eastAsia="Times New Roman"/>
          <w:i/>
          <w:iCs/>
          <w:lang w:val="hu-HU"/>
        </w:rPr>
        <w:t xml:space="preserve">mint </w:t>
      </w:r>
      <w:r>
        <w:rPr>
          <w:rFonts w:eastAsia="Times New Roman"/>
          <w:lang w:val="hu-HU"/>
        </w:rPr>
        <w:t>a metotrexát- és adalimumab-monoterápiákban. Ezek a változások a 104. hétig fennálltak. A 250 betegnél, akik befejezték a nyílt elrendezésű kiterjesztéses vizsgálatot, a fizikai funkció javulása a kezelés 10 éve alatt fennmaradt.</w:t>
      </w:r>
    </w:p>
    <w:p w14:paraId="13BD92FB" w14:textId="77777777" w:rsidR="00C770CB" w:rsidRDefault="00C770CB" w:rsidP="00C770CB">
      <w:pPr>
        <w:pStyle w:val="a3"/>
        <w:rPr>
          <w:sz w:val="24"/>
          <w:szCs w:val="24"/>
          <w:lang w:val="hu-HU"/>
        </w:rPr>
      </w:pPr>
    </w:p>
    <w:p w14:paraId="6ABC66A5" w14:textId="77777777" w:rsidR="00C770CB" w:rsidRDefault="00C770CB" w:rsidP="00C770CB">
      <w:pPr>
        <w:pStyle w:val="a3"/>
        <w:rPr>
          <w:rFonts w:eastAsia="Times New Roman"/>
          <w:lang w:val="hu-HU"/>
        </w:rPr>
      </w:pPr>
      <w:r>
        <w:rPr>
          <w:rFonts w:eastAsia="Times New Roman"/>
          <w:i/>
          <w:iCs/>
          <w:spacing w:val="-1"/>
          <w:u w:val="single" w:color="000000"/>
          <w:lang w:val="hu-HU"/>
        </w:rPr>
        <w:t>Fájdalom az injekció beadásának helyén</w:t>
      </w:r>
    </w:p>
    <w:p w14:paraId="58BAC260" w14:textId="77777777" w:rsidR="00C770CB" w:rsidRDefault="00C770CB" w:rsidP="00C770CB">
      <w:pPr>
        <w:pStyle w:val="a3"/>
        <w:rPr>
          <w:sz w:val="18"/>
          <w:szCs w:val="18"/>
          <w:lang w:val="hu-HU"/>
        </w:rPr>
      </w:pPr>
    </w:p>
    <w:p w14:paraId="0FBFAF13" w14:textId="1B7A90B8" w:rsidR="00C770CB" w:rsidRDefault="00C770CB" w:rsidP="00C770CB">
      <w:pPr>
        <w:pStyle w:val="a3"/>
        <w:rPr>
          <w:lang w:val="hu-HU"/>
        </w:rPr>
      </w:pPr>
      <w:r>
        <w:rPr>
          <w:rFonts w:eastAsia="Times New Roman"/>
          <w:lang w:val="hu-HU"/>
        </w:rPr>
        <w:t>Az RA</w:t>
      </w:r>
      <w:r w:rsidDel="002A3904">
        <w:rPr>
          <w:rFonts w:eastAsia="Times New Roman"/>
          <w:b/>
          <w:bCs/>
          <w:lang w:val="hu-HU"/>
        </w:rPr>
        <w:t xml:space="preserve"> </w:t>
      </w:r>
      <w:r>
        <w:rPr>
          <w:rFonts w:eastAsia="Times New Roman"/>
          <w:lang w:val="hu-HU"/>
        </w:rPr>
        <w:t xml:space="preserve">VI és VII-es vizsgálatok összesített adatai alapján statisztikailag szignifikáns különbség volt megfigyelhető az injekció beadásának helyén fellépő azonnali fájdalomban az adalimumab 40 mg/0,8 ml és az adalimumab 40 mg/0,4 ml között (a 0-10 cm-es vizuális analóg skálán átlagosan 3,7 cm szemben az 1,2 cm-rel, </w:t>
      </w:r>
      <w:r w:rsidR="008B34E5">
        <w:rPr>
          <w:rFonts w:eastAsia="Times New Roman"/>
          <w:lang w:val="hu-HU"/>
        </w:rPr>
        <w:t xml:space="preserve">p </w:t>
      </w:r>
      <w:r>
        <w:rPr>
          <w:rFonts w:eastAsia="Times New Roman"/>
          <w:lang w:val="hu-HU"/>
        </w:rPr>
        <w:t>&lt; 0,001). Ez 84%-os medián fájdalomcsökkenést mutat az injekció beadásának helyén.</w:t>
      </w:r>
    </w:p>
    <w:p w14:paraId="4527A29A" w14:textId="77777777" w:rsidR="00C770CB" w:rsidRPr="00AC50BB" w:rsidRDefault="00C770CB" w:rsidP="00C770CB">
      <w:pPr>
        <w:pStyle w:val="a3"/>
        <w:rPr>
          <w:sz w:val="24"/>
          <w:szCs w:val="24"/>
          <w:lang w:val="hu-HU"/>
        </w:rPr>
      </w:pPr>
    </w:p>
    <w:p w14:paraId="1C95D14E" w14:textId="77777777" w:rsidR="00C770CB" w:rsidRDefault="00C770CB" w:rsidP="00C770CB">
      <w:pPr>
        <w:pStyle w:val="a3"/>
        <w:rPr>
          <w:rFonts w:eastAsia="Times New Roman"/>
          <w:lang w:val="hu-HU"/>
        </w:rPr>
      </w:pPr>
      <w:r>
        <w:rPr>
          <w:rFonts w:eastAsia="Times New Roman"/>
          <w:i/>
          <w:iCs/>
          <w:spacing w:val="-1"/>
          <w:lang w:val="hu-HU"/>
        </w:rPr>
        <w:t>Psoriasis</w:t>
      </w:r>
    </w:p>
    <w:p w14:paraId="3A8B6245" w14:textId="77777777" w:rsidR="00C770CB" w:rsidRDefault="00C770CB" w:rsidP="00C770CB">
      <w:pPr>
        <w:pStyle w:val="a3"/>
        <w:rPr>
          <w:sz w:val="24"/>
          <w:szCs w:val="24"/>
          <w:lang w:val="hu-HU"/>
        </w:rPr>
      </w:pPr>
    </w:p>
    <w:p w14:paraId="1045CF1B" w14:textId="77777777" w:rsidR="00C770CB" w:rsidRDefault="00C770CB" w:rsidP="00C770CB">
      <w:pPr>
        <w:pStyle w:val="a3"/>
        <w:rPr>
          <w:lang w:val="hu-HU"/>
        </w:rPr>
      </w:pPr>
      <w:r>
        <w:rPr>
          <w:rFonts w:eastAsia="Times New Roman"/>
          <w:lang w:val="hu-HU"/>
        </w:rPr>
        <w:t>Az adalimumab biztonságosságát és hatásosságát randomizált, kettős vak vizsgálatokban értékelték olyan krónikus, plakkos psoriasisban szenvedő felnőtt betegek körében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10% testfelület-érintettség és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 12, ill.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 10 Psoriasis Area and Severity Index [PASI]), akik szisztémás vagy fototerápiás kezelésre vártak. A Psoriasis I és</w:t>
      </w:r>
      <w:r w:rsidRPr="009167C6">
        <w:rPr>
          <w:lang w:val="hu-HU"/>
        </w:rPr>
        <w:t> </w:t>
      </w:r>
      <w:r>
        <w:rPr>
          <w:rFonts w:eastAsia="Times New Roman"/>
          <w:lang w:val="hu-HU"/>
        </w:rPr>
        <w:t xml:space="preserve"> II vizsgálatokba beválogatott betegek 73%-a kapott már korábban szisztémás kezelést vagy fototerápiát. Az adalimumab biztonságosságát és hatásosságát olyan közepesen súlyos-súlyos krónikus plakkos psoriasisban szenvedő felnőtt betegek körében is értékelték egy randomizált kettős vak vizsgálat során (Psoriasis III vizsgálat), akik egyidejűleg a kézfejet és/vagy a lábfejet érintő psoriasisban is szenvedtek és szisztémás kezelésre vártak.</w:t>
      </w:r>
    </w:p>
    <w:p w14:paraId="6126F0B6" w14:textId="77777777" w:rsidR="00C770CB" w:rsidRDefault="00C770CB" w:rsidP="00C770CB">
      <w:pPr>
        <w:pStyle w:val="a3"/>
        <w:rPr>
          <w:lang w:val="hu-HU"/>
        </w:rPr>
      </w:pPr>
    </w:p>
    <w:p w14:paraId="2DED4EE9" w14:textId="77777777" w:rsidR="00C770CB" w:rsidRDefault="00C770CB" w:rsidP="00C770CB">
      <w:pPr>
        <w:pStyle w:val="a3"/>
        <w:rPr>
          <w:lang w:val="hu-HU"/>
        </w:rPr>
      </w:pPr>
      <w:r>
        <w:rPr>
          <w:rFonts w:eastAsia="Times New Roman"/>
          <w:lang w:val="hu-HU"/>
        </w:rPr>
        <w:t>A Psoriasis</w:t>
      </w:r>
      <w:r w:rsidDel="002A3904">
        <w:rPr>
          <w:rFonts w:eastAsia="Times New Roman"/>
          <w:b/>
          <w:bCs/>
          <w:lang w:val="hu-HU"/>
        </w:rPr>
        <w:t xml:space="preserve"> </w:t>
      </w:r>
      <w:r>
        <w:rPr>
          <w:rFonts w:eastAsia="Times New Roman"/>
          <w:lang w:val="hu-HU"/>
        </w:rPr>
        <w:t xml:space="preserve">I (REVEAL) vizsgálatban 1212 beteg állapotát értékelték három kezelési időszakban. Az „A” időszakban a betegek placebót vagy 80 mg kezdő dózisú adalimumabot kaptak, amelyet egy héttel a kezdő dózist követően minden második héten 40 mg adaggal folytattak. Tizenhat hetes kezelés után a legalább PASI 75 választ (a kiindulási értékhez képest legalább 75%-os PASI-pontszám-javulást) mutató betegek egy „B” időszakba léptek, amelyben nyílt elrendezésben, minden második héten 40 mg adalimumabot kaptak. A 33. héten </w:t>
      </w:r>
      <w:r>
        <w:rPr>
          <w:rFonts w:ascii="Symbol" w:eastAsia="Symbol" w:hAnsi="Symbol" w:cs="Symbol"/>
          <w:lang w:val="hu-HU"/>
        </w:rPr>
        <w:sym w:font="Symbol" w:char="F0B3"/>
      </w:r>
      <w:r>
        <w:rPr>
          <w:rFonts w:eastAsia="Times New Roman"/>
          <w:lang w:val="hu-HU"/>
        </w:rPr>
        <w:t>PASI 75 választ mutató és eredetileg az „A” időszakban aktív kezelést kapók közé randomizált betegeket a „C” időszakban újrarandomizálták, hogy további 19 héten át minden második héten 40 mg adalimumabot vagy placebót kapjanak. Minden kezelési csoportot figyelembe véve a kiindulási PASI-pontérték 18,9 volt, míg a kiindulási PGA-pontszám a „közepestől” (a vizsgálatban résztvevők 53%-a) a „súlyosig” (41%) és a „nagyon súlyosig” (6%) terjedt.</w:t>
      </w:r>
    </w:p>
    <w:p w14:paraId="03F8FD7E" w14:textId="77777777" w:rsidR="00C770CB" w:rsidRDefault="00C770CB" w:rsidP="00C770CB">
      <w:pPr>
        <w:spacing w:before="14" w:line="240" w:lineRule="exact"/>
        <w:rPr>
          <w:sz w:val="24"/>
          <w:szCs w:val="24"/>
          <w:lang w:val="hu-HU"/>
        </w:rPr>
      </w:pPr>
    </w:p>
    <w:p w14:paraId="02216AC6" w14:textId="77777777" w:rsidR="00C770CB" w:rsidRDefault="00C770CB" w:rsidP="00C770CB">
      <w:pPr>
        <w:pStyle w:val="a3"/>
        <w:rPr>
          <w:lang w:val="hu-HU"/>
        </w:rPr>
      </w:pPr>
      <w:r>
        <w:rPr>
          <w:rFonts w:eastAsia="Times New Roman"/>
          <w:lang w:val="hu-HU"/>
        </w:rPr>
        <w:t>A Psoriasis</w:t>
      </w:r>
      <w:r w:rsidDel="002A3904">
        <w:rPr>
          <w:rFonts w:eastAsia="Times New Roman"/>
          <w:b/>
          <w:bCs/>
          <w:lang w:val="hu-HU"/>
        </w:rPr>
        <w:t xml:space="preserve"> </w:t>
      </w:r>
      <w:r>
        <w:rPr>
          <w:rFonts w:eastAsia="Times New Roman"/>
          <w:lang w:val="hu-HU"/>
        </w:rPr>
        <w:t xml:space="preserve">II vizsgálatban (CHAMPION) az adalimumab hatásosságát és biztonságosságát a metotrexáttal és a placebóval </w:t>
      </w:r>
      <w:r>
        <w:rPr>
          <w:rFonts w:eastAsia="Times New Roman"/>
          <w:i/>
          <w:iCs/>
          <w:lang w:val="hu-HU"/>
        </w:rPr>
        <w:t xml:space="preserve">szemben </w:t>
      </w:r>
      <w:r>
        <w:rPr>
          <w:rFonts w:eastAsia="Times New Roman"/>
          <w:lang w:val="hu-HU"/>
        </w:rPr>
        <w:t xml:space="preserve">hasonlították össze 271 beteg esetében. A betegek placebót, egy kezdeti, 7,5 mg-os metotrexát-dózist kaptak, és azt követően az adagot legfeljebb a 12. hétig, 25 mg-os maximális dózisig emelték, vagy egy 80 mg-os adalimumab kezdő dózisban részesültek, amit 16 hétig kéthetente 40 mg-os </w:t>
      </w:r>
      <w:r>
        <w:rPr>
          <w:rFonts w:eastAsia="Times New Roman"/>
          <w:lang w:val="hu-HU"/>
        </w:rPr>
        <w:lastRenderedPageBreak/>
        <w:t xml:space="preserve">adag követett (egy héttel a kezdő dózis beadása után kezdve). Nincs az adalimumab- és a metotrexát-kezelést 16 hétnél hosszabb idő után összehasonlító adat. A metotrexátot szedő és </w:t>
      </w:r>
      <w:r>
        <w:rPr>
          <w:rFonts w:ascii="Symbol" w:eastAsia="Symbol" w:hAnsi="Symbol" w:cs="Symbol"/>
          <w:lang w:val="hu-HU"/>
        </w:rPr>
        <w:sym w:font="Symbol" w:char="F0B3"/>
      </w:r>
      <w:r>
        <w:rPr>
          <w:rFonts w:eastAsia="Times New Roman"/>
          <w:lang w:val="hu-HU"/>
        </w:rPr>
        <w:t>PASI 50 választ a 8. és/vagy a 12. héten elérő betegeknél nem növelték tovább a dózist. Minden kezelési csoportot figyelembe véve az átlagos PASI-pontszám 19,7 volt, míg a kiindulási PGA-pontszám az „enyhétől” (&lt; 1%) a „közepesen át” (48%) a „súlyosig” (46%) és a „nagyon súlyosig” (6%) terjedt.</w:t>
      </w:r>
    </w:p>
    <w:p w14:paraId="5709D08C" w14:textId="77777777" w:rsidR="00C770CB" w:rsidRDefault="00C770CB" w:rsidP="00C770CB">
      <w:pPr>
        <w:spacing w:before="17" w:line="240" w:lineRule="exact"/>
        <w:rPr>
          <w:sz w:val="24"/>
          <w:szCs w:val="24"/>
          <w:lang w:val="hu-HU"/>
        </w:rPr>
      </w:pPr>
    </w:p>
    <w:p w14:paraId="2E92618E" w14:textId="77777777" w:rsidR="00C770CB" w:rsidRDefault="00C770CB" w:rsidP="00C770CB">
      <w:pPr>
        <w:pStyle w:val="a3"/>
        <w:rPr>
          <w:lang w:val="hu-HU"/>
        </w:rPr>
      </w:pPr>
      <w:r>
        <w:rPr>
          <w:rFonts w:eastAsia="Times New Roman"/>
          <w:lang w:val="hu-HU"/>
        </w:rPr>
        <w:t>Az összes</w:t>
      </w:r>
      <w:r w:rsidRPr="009167C6">
        <w:rPr>
          <w:lang w:val="hu-HU"/>
        </w:rPr>
        <w:t> </w:t>
      </w:r>
      <w:r w:rsidDel="002A3904">
        <w:rPr>
          <w:rFonts w:eastAsia="Times New Roman"/>
          <w:b/>
          <w:bCs/>
          <w:lang w:val="hu-HU"/>
        </w:rPr>
        <w:t xml:space="preserve"> </w:t>
      </w:r>
      <w:r>
        <w:rPr>
          <w:rFonts w:eastAsia="Times New Roman"/>
          <w:lang w:val="hu-HU"/>
        </w:rPr>
        <w:t xml:space="preserve">II. és </w:t>
      </w:r>
      <w:r w:rsidRPr="009167C6">
        <w:rPr>
          <w:lang w:val="hu-HU"/>
        </w:rPr>
        <w:t> </w:t>
      </w:r>
      <w:r w:rsidDel="002A3904">
        <w:rPr>
          <w:rFonts w:eastAsia="Times New Roman"/>
          <w:b/>
          <w:bCs/>
          <w:lang w:val="hu-HU"/>
        </w:rPr>
        <w:t xml:space="preserve"> </w:t>
      </w:r>
      <w:r>
        <w:rPr>
          <w:rFonts w:eastAsia="Times New Roman"/>
          <w:lang w:val="hu-HU"/>
        </w:rPr>
        <w:t>III. fázisú psoriasis vizsgálatban részt vevő beteg alkalmas volt egy nyílt elrendezésű kiterjesztéses vizsgálatba való beválogatásra, amelyben a adalimumabot legalább további 108 héten át adták.</w:t>
      </w:r>
    </w:p>
    <w:p w14:paraId="40B55522" w14:textId="77777777" w:rsidR="00C770CB" w:rsidRDefault="00C770CB" w:rsidP="00C770CB">
      <w:pPr>
        <w:spacing w:before="14" w:line="240" w:lineRule="exact"/>
        <w:rPr>
          <w:sz w:val="24"/>
          <w:szCs w:val="24"/>
          <w:lang w:val="hu-HU"/>
        </w:rPr>
      </w:pPr>
    </w:p>
    <w:p w14:paraId="078FDD4F" w14:textId="74E59FB9" w:rsidR="00C770CB" w:rsidRDefault="00C770CB" w:rsidP="00C770CB">
      <w:pPr>
        <w:pStyle w:val="a3"/>
        <w:rPr>
          <w:rFonts w:eastAsia="Times New Roman"/>
          <w:lang w:val="hu-HU"/>
        </w:rPr>
      </w:pPr>
      <w:r>
        <w:rPr>
          <w:rFonts w:eastAsia="Times New Roman"/>
          <w:lang w:val="hu-HU"/>
        </w:rPr>
        <w:t>A Psoriasis</w:t>
      </w:r>
      <w:r w:rsidRPr="009167C6">
        <w:rPr>
          <w:lang w:val="hu-HU"/>
        </w:rPr>
        <w:t> </w:t>
      </w:r>
      <w:r>
        <w:rPr>
          <w:rFonts w:eastAsia="Times New Roman"/>
          <w:lang w:val="hu-HU"/>
        </w:rPr>
        <w:t>I és</w:t>
      </w:r>
      <w:r w:rsidDel="002A3904">
        <w:rPr>
          <w:rFonts w:eastAsia="Times New Roman"/>
          <w:b/>
          <w:bCs/>
          <w:lang w:val="hu-HU"/>
        </w:rPr>
        <w:t xml:space="preserve"> </w:t>
      </w:r>
      <w:r>
        <w:rPr>
          <w:rFonts w:eastAsia="Times New Roman"/>
          <w:lang w:val="hu-HU"/>
        </w:rPr>
        <w:t xml:space="preserve">II vizsgálatokban az elsődleges végpont azon betegek aránya volt, akik a kiindulási időponttól a 16. hétig PASI 75 választ értek el (lásd </w:t>
      </w:r>
      <w:r w:rsidR="009454CE">
        <w:rPr>
          <w:rFonts w:eastAsia="Times New Roman"/>
          <w:lang w:val="hu-HU"/>
        </w:rPr>
        <w:t>9</w:t>
      </w:r>
      <w:r>
        <w:rPr>
          <w:rFonts w:eastAsia="Times New Roman"/>
          <w:lang w:val="hu-HU"/>
        </w:rPr>
        <w:t xml:space="preserve">. és </w:t>
      </w:r>
      <w:r w:rsidR="009454CE">
        <w:rPr>
          <w:rFonts w:eastAsia="Times New Roman"/>
          <w:lang w:val="hu-HU"/>
        </w:rPr>
        <w:t>10</w:t>
      </w:r>
      <w:r>
        <w:rPr>
          <w:rFonts w:eastAsia="Times New Roman"/>
          <w:lang w:val="hu-HU"/>
        </w:rPr>
        <w:t>. táblázat).</w:t>
      </w:r>
    </w:p>
    <w:p w14:paraId="330A84EB" w14:textId="77777777" w:rsidR="00CB3242" w:rsidRDefault="00CB3242" w:rsidP="00C770CB">
      <w:pPr>
        <w:pStyle w:val="a3"/>
        <w:rPr>
          <w:lang w:val="hu-HU"/>
        </w:rPr>
      </w:pPr>
    </w:p>
    <w:p w14:paraId="3529DF04" w14:textId="77777777" w:rsidR="00C770CB" w:rsidRDefault="00C770CB" w:rsidP="00C770CB">
      <w:pPr>
        <w:rPr>
          <w:rFonts w:ascii="Times New Roman" w:hAnsi="Times New Roman" w:cs="Times New Roman"/>
          <w:b/>
          <w:lang w:val="hu-HU"/>
        </w:rPr>
      </w:pPr>
    </w:p>
    <w:p w14:paraId="225D6297" w14:textId="282D6D80" w:rsidR="00C770CB" w:rsidRDefault="009454CE" w:rsidP="00C770CB">
      <w:pPr>
        <w:pStyle w:val="a3"/>
        <w:jc w:val="center"/>
        <w:rPr>
          <w:b/>
          <w:lang w:val="hu-HU"/>
        </w:rPr>
      </w:pPr>
      <w:r>
        <w:rPr>
          <w:rFonts w:eastAsia="Times New Roman"/>
          <w:b/>
          <w:bCs/>
          <w:lang w:val="hu-HU"/>
        </w:rPr>
        <w:t>9</w:t>
      </w:r>
      <w:r w:rsidR="00C770CB">
        <w:rPr>
          <w:rFonts w:eastAsia="Times New Roman"/>
          <w:b/>
          <w:bCs/>
          <w:lang w:val="hu-HU"/>
        </w:rPr>
        <w:t>. táblázat</w:t>
      </w:r>
    </w:p>
    <w:p w14:paraId="739BEEEE" w14:textId="77777777" w:rsidR="00C770CB" w:rsidRDefault="00C770CB" w:rsidP="00C770CB">
      <w:pPr>
        <w:pStyle w:val="a3"/>
        <w:jc w:val="center"/>
        <w:rPr>
          <w:b/>
          <w:lang w:val="hu-HU"/>
        </w:rPr>
      </w:pPr>
      <w:r>
        <w:rPr>
          <w:rFonts w:eastAsia="Times New Roman"/>
          <w:b/>
          <w:bCs/>
          <w:lang w:val="hu-HU"/>
        </w:rPr>
        <w:t>Psoriasis I (REVEAL) vizsgálat – Hatékonysági eredmények a 16. héten</w:t>
      </w:r>
    </w:p>
    <w:tbl>
      <w:tblPr>
        <w:tblStyle w:val="TableNormal1"/>
        <w:tblW w:w="9355" w:type="dxa"/>
        <w:tblInd w:w="278" w:type="dxa"/>
        <w:tblLayout w:type="fixed"/>
        <w:tblLook w:val="01E0" w:firstRow="1" w:lastRow="1" w:firstColumn="1" w:lastColumn="1" w:noHBand="0" w:noVBand="0"/>
      </w:tblPr>
      <w:tblGrid>
        <w:gridCol w:w="3685"/>
        <w:gridCol w:w="1701"/>
        <w:gridCol w:w="3969"/>
      </w:tblGrid>
      <w:tr w:rsidR="00C770CB" w14:paraId="13574C78" w14:textId="77777777" w:rsidTr="00CB3242">
        <w:tc>
          <w:tcPr>
            <w:tcW w:w="3685" w:type="dxa"/>
            <w:tcBorders>
              <w:top w:val="single" w:sz="5" w:space="0" w:color="000000"/>
              <w:left w:val="single" w:sz="5" w:space="0" w:color="000000"/>
              <w:bottom w:val="single" w:sz="5" w:space="0" w:color="000000"/>
              <w:right w:val="single" w:sz="5" w:space="0" w:color="000000"/>
            </w:tcBorders>
          </w:tcPr>
          <w:p w14:paraId="402A0384" w14:textId="77777777" w:rsidR="00C770CB" w:rsidRDefault="00C770CB" w:rsidP="007E7849">
            <w:pPr>
              <w:rPr>
                <w:lang w:val="hu-HU"/>
              </w:rPr>
            </w:pPr>
          </w:p>
        </w:tc>
        <w:tc>
          <w:tcPr>
            <w:tcW w:w="1701" w:type="dxa"/>
            <w:tcBorders>
              <w:top w:val="single" w:sz="5" w:space="0" w:color="000000"/>
              <w:left w:val="single" w:sz="5" w:space="0" w:color="000000"/>
              <w:bottom w:val="single" w:sz="5" w:space="0" w:color="000000"/>
              <w:right w:val="single" w:sz="5" w:space="0" w:color="000000"/>
            </w:tcBorders>
          </w:tcPr>
          <w:p w14:paraId="26D5BDE4" w14:textId="71CE938D" w:rsidR="00C770CB" w:rsidRDefault="00C770CB" w:rsidP="007E7849">
            <w:pPr>
              <w:pStyle w:val="TableParagraph"/>
              <w:spacing w:before="3" w:line="252" w:lineRule="exact"/>
              <w:ind w:left="498" w:right="433" w:hanging="60"/>
              <w:jc w:val="both"/>
              <w:rPr>
                <w:rFonts w:ascii="Times New Roman" w:eastAsia="Times New Roman" w:hAnsi="Times New Roman" w:cs="Times New Roman"/>
                <w:b/>
                <w:bCs/>
                <w:spacing w:val="-1"/>
                <w:lang w:val="hu-HU"/>
              </w:rPr>
            </w:pPr>
            <w:r>
              <w:rPr>
                <w:rFonts w:ascii="Times New Roman" w:eastAsia="Times New Roman" w:hAnsi="Times New Roman" w:cs="Times New Roman"/>
                <w:b/>
                <w:bCs/>
                <w:lang w:val="hu-HU"/>
              </w:rPr>
              <w:t xml:space="preserve">Placebo </w:t>
            </w:r>
            <w:r w:rsidR="00F30D98">
              <w:rPr>
                <w:rFonts w:ascii="Times New Roman" w:eastAsia="Times New Roman" w:hAnsi="Times New Roman" w:cs="Times New Roman"/>
                <w:b/>
                <w:bCs/>
                <w:lang w:val="hu-HU"/>
              </w:rPr>
              <w:t>n</w:t>
            </w:r>
            <w:r>
              <w:rPr>
                <w:rFonts w:ascii="Times New Roman" w:eastAsia="Times New Roman" w:hAnsi="Times New Roman" w:cs="Times New Roman"/>
                <w:b/>
                <w:bCs/>
                <w:lang w:val="hu-HU"/>
              </w:rPr>
              <w:t>=398</w:t>
            </w:r>
          </w:p>
          <w:p w14:paraId="70E28C9F" w14:textId="77777777" w:rsidR="00C770CB" w:rsidRDefault="00C770CB" w:rsidP="007E7849">
            <w:pPr>
              <w:pStyle w:val="TableParagraph"/>
              <w:spacing w:before="3" w:line="252" w:lineRule="exact"/>
              <w:ind w:left="498" w:right="433" w:hanging="60"/>
              <w:jc w:val="center"/>
              <w:rPr>
                <w:rFonts w:ascii="Times New Roman" w:eastAsia="Times New Roman" w:hAnsi="Times New Roman" w:cs="Times New Roman"/>
                <w:lang w:val="hu-HU"/>
              </w:rPr>
            </w:pPr>
            <w:r>
              <w:rPr>
                <w:rFonts w:ascii="Times New Roman" w:eastAsia="Times New Roman" w:hAnsi="Times New Roman" w:cs="Times New Roman"/>
                <w:b/>
                <w:bCs/>
                <w:lang w:val="hu-HU"/>
              </w:rPr>
              <w:t>n (%)</w:t>
            </w:r>
          </w:p>
        </w:tc>
        <w:tc>
          <w:tcPr>
            <w:tcW w:w="3969" w:type="dxa"/>
            <w:tcBorders>
              <w:top w:val="single" w:sz="5" w:space="0" w:color="000000"/>
              <w:left w:val="single" w:sz="5" w:space="0" w:color="000000"/>
              <w:bottom w:val="single" w:sz="5" w:space="0" w:color="000000"/>
              <w:right w:val="single" w:sz="5" w:space="0" w:color="000000"/>
            </w:tcBorders>
          </w:tcPr>
          <w:p w14:paraId="3E39A3D3" w14:textId="77777777" w:rsidR="00C770CB" w:rsidRDefault="00C770CB" w:rsidP="007E7849">
            <w:pPr>
              <w:pStyle w:val="TableParagraph"/>
              <w:ind w:left="113" w:right="113"/>
              <w:jc w:val="center"/>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 xml:space="preserve">Adalimumab 40 mg minden második héten </w:t>
            </w:r>
          </w:p>
          <w:p w14:paraId="444EBD6E" w14:textId="1CFF7013" w:rsidR="00C770CB" w:rsidRDefault="00F30D98" w:rsidP="007E7849">
            <w:pPr>
              <w:pStyle w:val="TableParagraph"/>
              <w:spacing w:before="3" w:line="252" w:lineRule="exact"/>
              <w:ind w:left="113" w:right="113"/>
              <w:jc w:val="center"/>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n</w:t>
            </w:r>
            <w:r w:rsidR="00C770CB">
              <w:rPr>
                <w:rFonts w:ascii="Times New Roman" w:eastAsia="Times New Roman" w:hAnsi="Times New Roman" w:cs="Times New Roman"/>
                <w:b/>
                <w:bCs/>
                <w:spacing w:val="-1"/>
                <w:lang w:val="hu-HU"/>
              </w:rPr>
              <w:t>=814</w:t>
            </w:r>
          </w:p>
          <w:p w14:paraId="1BC5EE65" w14:textId="77777777" w:rsidR="00C770CB" w:rsidRDefault="00C770CB" w:rsidP="007E7849">
            <w:pPr>
              <w:pStyle w:val="TableParagraph"/>
              <w:spacing w:before="3" w:line="252" w:lineRule="exact"/>
              <w:ind w:left="277" w:right="271"/>
              <w:jc w:val="center"/>
              <w:rPr>
                <w:rFonts w:ascii="Times New Roman" w:eastAsia="Times New Roman" w:hAnsi="Times New Roman" w:cs="Times New Roman"/>
                <w:lang w:val="hu-HU"/>
              </w:rPr>
            </w:pPr>
            <w:r>
              <w:rPr>
                <w:rFonts w:ascii="Times New Roman" w:eastAsia="Times New Roman" w:hAnsi="Times New Roman" w:cs="Times New Roman"/>
                <w:b/>
                <w:bCs/>
                <w:lang w:val="hu-HU"/>
              </w:rPr>
              <w:t>n (%)</w:t>
            </w:r>
          </w:p>
        </w:tc>
      </w:tr>
      <w:tr w:rsidR="00C770CB" w14:paraId="47A22847" w14:textId="77777777" w:rsidTr="00CB3242">
        <w:tc>
          <w:tcPr>
            <w:tcW w:w="3685" w:type="dxa"/>
            <w:tcBorders>
              <w:top w:val="single" w:sz="5" w:space="0" w:color="000000"/>
              <w:left w:val="single" w:sz="5" w:space="0" w:color="000000"/>
              <w:bottom w:val="single" w:sz="5" w:space="0" w:color="000000"/>
              <w:right w:val="single" w:sz="5" w:space="0" w:color="000000"/>
            </w:tcBorders>
          </w:tcPr>
          <w:p w14:paraId="171D5EC7" w14:textId="77777777" w:rsidR="00C770CB" w:rsidRDefault="00C770CB" w:rsidP="007E7849">
            <w:pPr>
              <w:pStyle w:val="TableParagraph"/>
              <w:spacing w:line="267" w:lineRule="exact"/>
              <w:ind w:left="320"/>
              <w:rPr>
                <w:rFonts w:ascii="Times New Roman" w:eastAsia="Times New Roman" w:hAnsi="Times New Roman" w:cs="Times New Roman"/>
                <w:sz w:val="14"/>
                <w:szCs w:val="14"/>
                <w:lang w:val="hu-HU"/>
              </w:rPr>
            </w:pPr>
            <w:r>
              <w:rPr>
                <w:rFonts w:ascii="Symbol" w:eastAsia="Symbol" w:hAnsi="Symbol" w:cs="Symbol"/>
                <w:b/>
                <w:bCs/>
                <w:lang w:val="hu-HU"/>
              </w:rPr>
              <w:sym w:font="Symbol" w:char="F0B3"/>
            </w:r>
            <w:r>
              <w:rPr>
                <w:rFonts w:ascii="Symbol" w:eastAsia="Symbol" w:hAnsi="Symbol" w:cs="Symbol"/>
                <w:b/>
                <w:bCs/>
                <w:lang w:val="hu-HU"/>
              </w:rPr>
              <w:sym w:font="Symbol" w:char="F020"/>
            </w:r>
            <w:r>
              <w:rPr>
                <w:rFonts w:ascii="Times New Roman" w:eastAsia="Times New Roman" w:hAnsi="Times New Roman" w:cs="Times New Roman"/>
                <w:b/>
                <w:bCs/>
                <w:lang w:val="hu-HU"/>
              </w:rPr>
              <w:t>PASI 75</w:t>
            </w:r>
            <w:r>
              <w:rPr>
                <w:rFonts w:ascii="Times New Roman" w:eastAsia="Times New Roman" w:hAnsi="Times New Roman" w:cs="Times New Roman"/>
                <w:b/>
                <w:bCs/>
                <w:sz w:val="14"/>
                <w:szCs w:val="14"/>
                <w:lang w:val="hu-HU"/>
              </w:rPr>
              <w:t>a</w:t>
            </w:r>
          </w:p>
        </w:tc>
        <w:tc>
          <w:tcPr>
            <w:tcW w:w="1701" w:type="dxa"/>
            <w:tcBorders>
              <w:top w:val="single" w:sz="5" w:space="0" w:color="000000"/>
              <w:left w:val="single" w:sz="5" w:space="0" w:color="000000"/>
              <w:bottom w:val="single" w:sz="5" w:space="0" w:color="000000"/>
              <w:right w:val="single" w:sz="5" w:space="0" w:color="000000"/>
            </w:tcBorders>
          </w:tcPr>
          <w:p w14:paraId="5CC9C132" w14:textId="77777777" w:rsidR="00C770CB" w:rsidRDefault="00C770CB" w:rsidP="007E7849">
            <w:pPr>
              <w:pStyle w:val="TableParagraph"/>
              <w:spacing w:line="246" w:lineRule="exact"/>
              <w:ind w:left="457"/>
              <w:rPr>
                <w:rFonts w:ascii="Times New Roman" w:eastAsia="Times New Roman" w:hAnsi="Times New Roman" w:cs="Times New Roman"/>
                <w:lang w:val="hu-HU"/>
              </w:rPr>
            </w:pPr>
            <w:r>
              <w:rPr>
                <w:rFonts w:ascii="Times New Roman" w:eastAsia="Times New Roman" w:hAnsi="Times New Roman" w:cs="Times New Roman"/>
                <w:spacing w:val="-1"/>
                <w:lang w:val="hu-HU"/>
              </w:rPr>
              <w:t>26 (6,5)</w:t>
            </w:r>
          </w:p>
        </w:tc>
        <w:tc>
          <w:tcPr>
            <w:tcW w:w="3969" w:type="dxa"/>
            <w:tcBorders>
              <w:top w:val="single" w:sz="5" w:space="0" w:color="000000"/>
              <w:left w:val="single" w:sz="5" w:space="0" w:color="000000"/>
              <w:bottom w:val="single" w:sz="5" w:space="0" w:color="000000"/>
              <w:right w:val="single" w:sz="5" w:space="0" w:color="000000"/>
            </w:tcBorders>
          </w:tcPr>
          <w:p w14:paraId="43059140" w14:textId="77777777" w:rsidR="00C770CB" w:rsidRDefault="00C770CB" w:rsidP="007E7849">
            <w:pPr>
              <w:pStyle w:val="TableParagraph"/>
              <w:spacing w:line="246" w:lineRule="exact"/>
              <w:ind w:left="678"/>
              <w:rPr>
                <w:rFonts w:ascii="Times New Roman" w:eastAsia="Times New Roman" w:hAnsi="Times New Roman" w:cs="Times New Roman"/>
                <w:sz w:val="14"/>
                <w:szCs w:val="14"/>
                <w:lang w:val="hu-HU"/>
              </w:rPr>
            </w:pPr>
            <w:r>
              <w:rPr>
                <w:rFonts w:ascii="Times New Roman" w:eastAsia="Times New Roman" w:hAnsi="Times New Roman" w:cs="Times New Roman"/>
                <w:spacing w:val="-1"/>
                <w:lang w:val="hu-HU"/>
              </w:rPr>
              <w:t>578 (70,9)</w:t>
            </w:r>
            <w:r w:rsidRPr="009167C6">
              <w:rPr>
                <w:rFonts w:ascii="Times New Roman" w:eastAsia="Times New Roman" w:hAnsi="Times New Roman" w:cs="Times New Roman"/>
                <w:spacing w:val="-1"/>
                <w:vertAlign w:val="superscript"/>
                <w:lang w:val="hu-HU"/>
              </w:rPr>
              <w:t>b</w:t>
            </w:r>
          </w:p>
        </w:tc>
      </w:tr>
      <w:tr w:rsidR="00C770CB" w14:paraId="519C8AA8" w14:textId="77777777" w:rsidTr="00CB3242">
        <w:tc>
          <w:tcPr>
            <w:tcW w:w="3685" w:type="dxa"/>
            <w:tcBorders>
              <w:top w:val="single" w:sz="5" w:space="0" w:color="000000"/>
              <w:left w:val="single" w:sz="5" w:space="0" w:color="000000"/>
              <w:bottom w:val="single" w:sz="5" w:space="0" w:color="000000"/>
              <w:right w:val="single" w:sz="5" w:space="0" w:color="000000"/>
            </w:tcBorders>
          </w:tcPr>
          <w:p w14:paraId="32F01871" w14:textId="77777777" w:rsidR="00C770CB" w:rsidRDefault="00C770CB" w:rsidP="007E7849">
            <w:pPr>
              <w:pStyle w:val="TableParagraph"/>
              <w:spacing w:line="251" w:lineRule="exact"/>
              <w:ind w:left="323"/>
              <w:rPr>
                <w:rFonts w:ascii="Times New Roman" w:eastAsia="Times New Roman" w:hAnsi="Times New Roman" w:cs="Times New Roman"/>
                <w:lang w:val="hu-HU"/>
              </w:rPr>
            </w:pPr>
            <w:r>
              <w:rPr>
                <w:rFonts w:ascii="Times New Roman" w:eastAsia="Times New Roman" w:hAnsi="Times New Roman" w:cs="Times New Roman"/>
                <w:b/>
                <w:bCs/>
                <w:spacing w:val="-1"/>
                <w:lang w:val="hu-HU"/>
              </w:rPr>
              <w:t>PASI 100</w:t>
            </w:r>
          </w:p>
        </w:tc>
        <w:tc>
          <w:tcPr>
            <w:tcW w:w="1701" w:type="dxa"/>
            <w:tcBorders>
              <w:top w:val="single" w:sz="5" w:space="0" w:color="000000"/>
              <w:left w:val="single" w:sz="5" w:space="0" w:color="000000"/>
              <w:bottom w:val="single" w:sz="5" w:space="0" w:color="000000"/>
              <w:right w:val="single" w:sz="5" w:space="0" w:color="000000"/>
            </w:tcBorders>
          </w:tcPr>
          <w:p w14:paraId="3FE66910" w14:textId="77777777" w:rsidR="00C770CB" w:rsidRDefault="00C770CB" w:rsidP="007E7849">
            <w:pPr>
              <w:pStyle w:val="TableParagraph"/>
              <w:spacing w:line="246" w:lineRule="exact"/>
              <w:ind w:left="512"/>
              <w:rPr>
                <w:rFonts w:ascii="Times New Roman" w:eastAsia="Times New Roman" w:hAnsi="Times New Roman" w:cs="Times New Roman"/>
                <w:lang w:val="hu-HU"/>
              </w:rPr>
            </w:pPr>
            <w:r>
              <w:rPr>
                <w:rFonts w:ascii="Times New Roman" w:eastAsia="Times New Roman" w:hAnsi="Times New Roman" w:cs="Times New Roman"/>
                <w:lang w:val="hu-HU"/>
              </w:rPr>
              <w:t>3 (0,8)</w:t>
            </w:r>
          </w:p>
        </w:tc>
        <w:tc>
          <w:tcPr>
            <w:tcW w:w="3969" w:type="dxa"/>
            <w:tcBorders>
              <w:top w:val="single" w:sz="5" w:space="0" w:color="000000"/>
              <w:left w:val="single" w:sz="5" w:space="0" w:color="000000"/>
              <w:bottom w:val="single" w:sz="5" w:space="0" w:color="000000"/>
              <w:right w:val="single" w:sz="5" w:space="0" w:color="000000"/>
            </w:tcBorders>
          </w:tcPr>
          <w:p w14:paraId="055965A1" w14:textId="77777777" w:rsidR="00C770CB" w:rsidRDefault="00C770CB" w:rsidP="007E7849">
            <w:pPr>
              <w:pStyle w:val="TableParagraph"/>
              <w:spacing w:line="246" w:lineRule="exact"/>
              <w:ind w:left="678"/>
              <w:rPr>
                <w:rFonts w:ascii="Times New Roman" w:eastAsia="Times New Roman" w:hAnsi="Times New Roman" w:cs="Times New Roman"/>
                <w:sz w:val="14"/>
                <w:szCs w:val="14"/>
                <w:lang w:val="hu-HU"/>
              </w:rPr>
            </w:pPr>
            <w:r>
              <w:rPr>
                <w:rFonts w:ascii="Times New Roman" w:eastAsia="Times New Roman" w:hAnsi="Times New Roman" w:cs="Times New Roman"/>
                <w:spacing w:val="-1"/>
                <w:lang w:val="hu-HU"/>
              </w:rPr>
              <w:t>163 (20,0)</w:t>
            </w:r>
            <w:r w:rsidRPr="009167C6">
              <w:rPr>
                <w:rFonts w:ascii="Times New Roman" w:eastAsia="Times New Roman" w:hAnsi="Times New Roman" w:cs="Times New Roman"/>
                <w:spacing w:val="-1"/>
                <w:vertAlign w:val="superscript"/>
                <w:lang w:val="hu-HU"/>
              </w:rPr>
              <w:t>b</w:t>
            </w:r>
          </w:p>
        </w:tc>
      </w:tr>
      <w:tr w:rsidR="00C770CB" w14:paraId="74BF0D43" w14:textId="77777777" w:rsidTr="00CB3242">
        <w:tc>
          <w:tcPr>
            <w:tcW w:w="3685" w:type="dxa"/>
            <w:tcBorders>
              <w:top w:val="single" w:sz="5" w:space="0" w:color="000000"/>
              <w:left w:val="single" w:sz="5" w:space="0" w:color="000000"/>
              <w:bottom w:val="single" w:sz="5" w:space="0" w:color="000000"/>
              <w:right w:val="single" w:sz="5" w:space="0" w:color="000000"/>
            </w:tcBorders>
          </w:tcPr>
          <w:p w14:paraId="7D803F92" w14:textId="77777777" w:rsidR="00C770CB" w:rsidRDefault="00C770CB" w:rsidP="007E7849">
            <w:pPr>
              <w:pStyle w:val="TableParagraph"/>
              <w:spacing w:line="250" w:lineRule="exact"/>
              <w:ind w:left="323"/>
              <w:rPr>
                <w:rFonts w:ascii="Times New Roman" w:eastAsia="Times New Roman" w:hAnsi="Times New Roman" w:cs="Times New Roman"/>
                <w:lang w:val="hu-HU"/>
              </w:rPr>
            </w:pPr>
            <w:r>
              <w:rPr>
                <w:rFonts w:ascii="Times New Roman" w:eastAsia="Times New Roman" w:hAnsi="Times New Roman" w:cs="Times New Roman"/>
                <w:b/>
                <w:bCs/>
                <w:spacing w:val="-1"/>
                <w:lang w:val="hu-HU"/>
              </w:rPr>
              <w:t>PGA:tiszta/minimális</w:t>
            </w:r>
          </w:p>
        </w:tc>
        <w:tc>
          <w:tcPr>
            <w:tcW w:w="1701" w:type="dxa"/>
            <w:tcBorders>
              <w:top w:val="single" w:sz="5" w:space="0" w:color="000000"/>
              <w:left w:val="single" w:sz="5" w:space="0" w:color="000000"/>
              <w:bottom w:val="single" w:sz="5" w:space="0" w:color="000000"/>
              <w:right w:val="single" w:sz="5" w:space="0" w:color="000000"/>
            </w:tcBorders>
          </w:tcPr>
          <w:p w14:paraId="3C13BD80" w14:textId="77777777" w:rsidR="00C770CB" w:rsidRDefault="00C770CB" w:rsidP="007E7849">
            <w:pPr>
              <w:pStyle w:val="TableParagraph"/>
              <w:spacing w:line="246" w:lineRule="exact"/>
              <w:ind w:left="457"/>
              <w:rPr>
                <w:rFonts w:ascii="Times New Roman" w:eastAsia="Times New Roman" w:hAnsi="Times New Roman" w:cs="Times New Roman"/>
                <w:lang w:val="hu-HU"/>
              </w:rPr>
            </w:pPr>
            <w:r>
              <w:rPr>
                <w:rFonts w:ascii="Times New Roman" w:eastAsia="Times New Roman" w:hAnsi="Times New Roman" w:cs="Times New Roman"/>
                <w:spacing w:val="-1"/>
                <w:lang w:val="hu-HU"/>
              </w:rPr>
              <w:t>17 (4,3)</w:t>
            </w:r>
          </w:p>
        </w:tc>
        <w:tc>
          <w:tcPr>
            <w:tcW w:w="3969" w:type="dxa"/>
            <w:tcBorders>
              <w:top w:val="single" w:sz="5" w:space="0" w:color="000000"/>
              <w:left w:val="single" w:sz="5" w:space="0" w:color="000000"/>
              <w:bottom w:val="single" w:sz="5" w:space="0" w:color="000000"/>
              <w:right w:val="single" w:sz="5" w:space="0" w:color="000000"/>
            </w:tcBorders>
          </w:tcPr>
          <w:p w14:paraId="5C599BE8" w14:textId="77777777" w:rsidR="00C770CB" w:rsidRDefault="00C770CB" w:rsidP="007E7849">
            <w:pPr>
              <w:pStyle w:val="TableParagraph"/>
              <w:spacing w:line="246" w:lineRule="exact"/>
              <w:ind w:left="678"/>
              <w:rPr>
                <w:rFonts w:ascii="Times New Roman" w:eastAsia="Times New Roman" w:hAnsi="Times New Roman" w:cs="Times New Roman"/>
                <w:sz w:val="14"/>
                <w:szCs w:val="14"/>
                <w:lang w:val="hu-HU"/>
              </w:rPr>
            </w:pPr>
            <w:r>
              <w:rPr>
                <w:rFonts w:ascii="Times New Roman" w:eastAsia="Times New Roman" w:hAnsi="Times New Roman" w:cs="Times New Roman"/>
                <w:spacing w:val="-1"/>
                <w:lang w:val="hu-HU"/>
              </w:rPr>
              <w:t>506 (62,2)</w:t>
            </w:r>
            <w:r w:rsidRPr="009167C6">
              <w:rPr>
                <w:rFonts w:ascii="Times New Roman" w:eastAsia="Times New Roman" w:hAnsi="Times New Roman" w:cs="Times New Roman"/>
                <w:spacing w:val="-1"/>
                <w:vertAlign w:val="superscript"/>
                <w:lang w:val="hu-HU"/>
              </w:rPr>
              <w:t>b</w:t>
            </w:r>
          </w:p>
        </w:tc>
      </w:tr>
      <w:tr w:rsidR="00C770CB" w14:paraId="329A5C10" w14:textId="77777777" w:rsidTr="00CB3242">
        <w:tc>
          <w:tcPr>
            <w:tcW w:w="9355" w:type="dxa"/>
            <w:gridSpan w:val="3"/>
            <w:tcBorders>
              <w:top w:val="single" w:sz="5" w:space="0" w:color="000000"/>
              <w:left w:val="single" w:sz="5" w:space="0" w:color="000000"/>
              <w:bottom w:val="single" w:sz="5" w:space="0" w:color="000000"/>
              <w:right w:val="single" w:sz="5" w:space="0" w:color="000000"/>
            </w:tcBorders>
          </w:tcPr>
          <w:p w14:paraId="606CB873" w14:textId="77777777" w:rsidR="00C770CB" w:rsidRPr="00CF5D7A" w:rsidRDefault="00C770CB" w:rsidP="007E7849">
            <w:pPr>
              <w:pStyle w:val="TableParagraph"/>
              <w:ind w:left="102"/>
              <w:rPr>
                <w:rFonts w:ascii="Times New Roman" w:eastAsia="Times New Roman" w:hAnsi="Times New Roman" w:cs="Times New Roman"/>
                <w:lang w:val="hu-HU"/>
              </w:rPr>
            </w:pPr>
            <w:r w:rsidRPr="009167C6">
              <w:rPr>
                <w:rFonts w:ascii="Times New Roman" w:eastAsia="Times New Roman" w:hAnsi="Times New Roman" w:cs="Times New Roman"/>
                <w:position w:val="8"/>
                <w:vertAlign w:val="superscript"/>
                <w:lang w:val="hu-HU"/>
              </w:rPr>
              <w:t>a</w:t>
            </w:r>
            <w:r w:rsidRPr="009167C6">
              <w:rPr>
                <w:rFonts w:ascii="Times New Roman" w:eastAsia="Times New Roman" w:hAnsi="Times New Roman" w:cs="Times New Roman"/>
                <w:position w:val="8"/>
                <w:lang w:val="hu-HU"/>
              </w:rPr>
              <w:t xml:space="preserve"> </w:t>
            </w:r>
            <w:r w:rsidRPr="00CF5D7A">
              <w:rPr>
                <w:rFonts w:ascii="Times New Roman" w:eastAsia="Times New Roman" w:hAnsi="Times New Roman" w:cs="Times New Roman"/>
                <w:position w:val="8"/>
                <w:lang w:val="hu-HU"/>
              </w:rPr>
              <w:t xml:space="preserve">A PASI 75 választ elért betegek százalékos aránya középértékre korrigált arány </w:t>
            </w:r>
            <w:r w:rsidRPr="009167C6">
              <w:rPr>
                <w:rFonts w:ascii="Times New Roman" w:eastAsia="Times New Roman" w:hAnsi="Times New Roman" w:cs="Times New Roman"/>
                <w:spacing w:val="-1"/>
                <w:position w:val="8"/>
                <w:lang w:val="hu-HU"/>
              </w:rPr>
              <w:t>formájában</w:t>
            </w:r>
            <w:r w:rsidRPr="00CF5D7A">
              <w:rPr>
                <w:rFonts w:ascii="Times New Roman" w:eastAsia="Times New Roman" w:hAnsi="Times New Roman" w:cs="Times New Roman"/>
                <w:spacing w:val="-1"/>
                <w:lang w:val="hu-HU"/>
              </w:rPr>
              <w:t xml:space="preserve"> </w:t>
            </w:r>
            <w:r w:rsidRPr="009167C6">
              <w:rPr>
                <w:rFonts w:ascii="Times New Roman" w:eastAsia="Times New Roman" w:hAnsi="Times New Roman" w:cs="Times New Roman"/>
                <w:spacing w:val="-1"/>
                <w:position w:val="8"/>
                <w:lang w:val="hu-HU"/>
              </w:rPr>
              <w:t>került</w:t>
            </w:r>
            <w:r w:rsidRPr="00CF5D7A">
              <w:rPr>
                <w:rFonts w:ascii="Times New Roman" w:eastAsia="Times New Roman" w:hAnsi="Times New Roman" w:cs="Times New Roman"/>
                <w:spacing w:val="-1"/>
                <w:lang w:val="hu-HU"/>
              </w:rPr>
              <w:t xml:space="preserve"> </w:t>
            </w:r>
            <w:r w:rsidRPr="009167C6">
              <w:rPr>
                <w:rFonts w:ascii="Times New Roman" w:eastAsia="Times New Roman" w:hAnsi="Times New Roman" w:cs="Times New Roman"/>
                <w:position w:val="8"/>
                <w:lang w:val="hu-HU"/>
              </w:rPr>
              <w:t>kiszámításra</w:t>
            </w:r>
          </w:p>
          <w:p w14:paraId="45ED1062" w14:textId="77777777" w:rsidR="00C770CB" w:rsidRDefault="00C770CB" w:rsidP="007E7849">
            <w:pPr>
              <w:pStyle w:val="TableParagraph"/>
              <w:ind w:left="102"/>
              <w:rPr>
                <w:rFonts w:ascii="Times New Roman" w:eastAsia="Times New Roman" w:hAnsi="Times New Roman" w:cs="Times New Roman"/>
                <w:lang w:val="hu-HU"/>
              </w:rPr>
            </w:pPr>
            <w:r w:rsidRPr="009167C6">
              <w:rPr>
                <w:rFonts w:ascii="Times New Roman" w:eastAsia="Times New Roman" w:hAnsi="Times New Roman" w:cs="Times New Roman"/>
                <w:position w:val="8"/>
                <w:vertAlign w:val="superscript"/>
                <w:lang w:val="hu-HU"/>
              </w:rPr>
              <w:t xml:space="preserve">b </w:t>
            </w:r>
            <w:r w:rsidRPr="00CF5D7A">
              <w:rPr>
                <w:rFonts w:ascii="Times New Roman" w:eastAsia="Times New Roman" w:hAnsi="Times New Roman" w:cs="Times New Roman"/>
                <w:position w:val="8"/>
                <w:lang w:val="hu-HU"/>
              </w:rPr>
              <w:t>p &lt; 0,001, adalimumab vs. placebo</w:t>
            </w:r>
          </w:p>
        </w:tc>
      </w:tr>
    </w:tbl>
    <w:p w14:paraId="66CAB132" w14:textId="77777777" w:rsidR="00C770CB" w:rsidRDefault="00C770CB" w:rsidP="00C770CB">
      <w:pPr>
        <w:spacing w:line="110" w:lineRule="exact"/>
        <w:rPr>
          <w:sz w:val="11"/>
          <w:szCs w:val="11"/>
          <w:lang w:val="hu-HU"/>
        </w:rPr>
      </w:pPr>
    </w:p>
    <w:p w14:paraId="08FCADC6" w14:textId="77777777" w:rsidR="00C770CB" w:rsidRDefault="00C770CB" w:rsidP="00C770CB">
      <w:pPr>
        <w:spacing w:before="3" w:line="170" w:lineRule="exact"/>
        <w:rPr>
          <w:sz w:val="17"/>
          <w:szCs w:val="17"/>
          <w:lang w:val="hu-HU"/>
        </w:rPr>
      </w:pPr>
    </w:p>
    <w:p w14:paraId="60A339E7" w14:textId="0E7B5974" w:rsidR="00C770CB" w:rsidRDefault="009454CE" w:rsidP="00C770CB">
      <w:pPr>
        <w:pStyle w:val="a3"/>
        <w:jc w:val="center"/>
        <w:rPr>
          <w:b/>
          <w:lang w:val="hu-HU"/>
        </w:rPr>
      </w:pPr>
      <w:r>
        <w:rPr>
          <w:rFonts w:eastAsia="Times New Roman"/>
          <w:b/>
          <w:bCs/>
          <w:lang w:val="hu-HU"/>
        </w:rPr>
        <w:t>10</w:t>
      </w:r>
      <w:r w:rsidR="00C770CB">
        <w:rPr>
          <w:rFonts w:eastAsia="Times New Roman"/>
          <w:b/>
          <w:bCs/>
          <w:lang w:val="hu-HU"/>
        </w:rPr>
        <w:t>. táblázat</w:t>
      </w:r>
    </w:p>
    <w:p w14:paraId="70F13CDD" w14:textId="77777777" w:rsidR="00C770CB" w:rsidRDefault="00C770CB" w:rsidP="00C770CB">
      <w:pPr>
        <w:pStyle w:val="a3"/>
        <w:jc w:val="center"/>
        <w:rPr>
          <w:b/>
          <w:lang w:val="hu-HU"/>
        </w:rPr>
      </w:pPr>
      <w:r>
        <w:rPr>
          <w:rFonts w:eastAsia="Times New Roman"/>
          <w:b/>
          <w:bCs/>
          <w:lang w:val="hu-HU"/>
        </w:rPr>
        <w:t>Psoriasis</w:t>
      </w:r>
      <w:r w:rsidRPr="000F4DB4">
        <w:t> </w:t>
      </w:r>
      <w:r>
        <w:rPr>
          <w:rFonts w:eastAsia="Times New Roman"/>
          <w:b/>
          <w:bCs/>
          <w:lang w:val="hu-HU"/>
        </w:rPr>
        <w:t>II (CHAMPION) vizsgálat – Hatékonysági eredmények a 16. héten</w:t>
      </w:r>
    </w:p>
    <w:tbl>
      <w:tblPr>
        <w:tblStyle w:val="ac"/>
        <w:tblW w:w="9439" w:type="dxa"/>
        <w:tblInd w:w="111" w:type="dxa"/>
        <w:tblLayout w:type="fixed"/>
        <w:tblLook w:val="04A0" w:firstRow="1" w:lastRow="0" w:firstColumn="1" w:lastColumn="0" w:noHBand="0" w:noVBand="1"/>
      </w:tblPr>
      <w:tblGrid>
        <w:gridCol w:w="2294"/>
        <w:gridCol w:w="2197"/>
        <w:gridCol w:w="2197"/>
        <w:gridCol w:w="2751"/>
      </w:tblGrid>
      <w:tr w:rsidR="00C770CB" w14:paraId="345FBFDB" w14:textId="77777777" w:rsidTr="007E7849">
        <w:tc>
          <w:tcPr>
            <w:tcW w:w="2294" w:type="dxa"/>
            <w:vAlign w:val="center"/>
          </w:tcPr>
          <w:p w14:paraId="71B8E457" w14:textId="77777777" w:rsidR="00C770CB" w:rsidRDefault="00C770CB" w:rsidP="007E7849">
            <w:pPr>
              <w:pStyle w:val="a3"/>
              <w:rPr>
                <w:lang w:val="hu-HU"/>
              </w:rPr>
            </w:pPr>
          </w:p>
        </w:tc>
        <w:tc>
          <w:tcPr>
            <w:tcW w:w="2197" w:type="dxa"/>
            <w:vAlign w:val="center"/>
          </w:tcPr>
          <w:p w14:paraId="5D1CD9C3" w14:textId="2D2374BC" w:rsidR="00C770CB" w:rsidRDefault="00C770CB" w:rsidP="007E7849">
            <w:pPr>
              <w:pStyle w:val="TableParagraph"/>
              <w:spacing w:before="4" w:line="252" w:lineRule="exact"/>
              <w:ind w:left="459" w:right="459"/>
              <w:jc w:val="center"/>
              <w:rPr>
                <w:rFonts w:ascii="Times New Roman" w:eastAsia="Times New Roman" w:hAnsi="Times New Roman" w:cs="Times New Roman"/>
                <w:b/>
                <w:bCs/>
                <w:spacing w:val="-1"/>
                <w:lang w:val="hu-HU"/>
              </w:rPr>
            </w:pPr>
            <w:r>
              <w:rPr>
                <w:rFonts w:ascii="Times New Roman" w:eastAsia="Times New Roman" w:hAnsi="Times New Roman" w:cs="Times New Roman"/>
                <w:b/>
                <w:bCs/>
                <w:lang w:val="hu-HU"/>
              </w:rPr>
              <w:t xml:space="preserve">Placebo </w:t>
            </w:r>
            <w:r w:rsidR="00DC3D6F">
              <w:rPr>
                <w:rFonts w:ascii="Times New Roman" w:eastAsia="Times New Roman" w:hAnsi="Times New Roman" w:cs="Times New Roman"/>
                <w:b/>
                <w:bCs/>
                <w:lang w:val="hu-HU"/>
              </w:rPr>
              <w:t>n</w:t>
            </w:r>
            <w:r>
              <w:rPr>
                <w:rFonts w:ascii="Times New Roman" w:eastAsia="Times New Roman" w:hAnsi="Times New Roman" w:cs="Times New Roman"/>
                <w:b/>
                <w:bCs/>
                <w:lang w:val="hu-HU"/>
              </w:rPr>
              <w:t>=53</w:t>
            </w:r>
          </w:p>
          <w:p w14:paraId="36DAE6EE" w14:textId="77777777" w:rsidR="00C770CB" w:rsidRDefault="00C770CB" w:rsidP="007E7849">
            <w:pPr>
              <w:pStyle w:val="TableParagraph"/>
              <w:spacing w:before="4" w:line="252" w:lineRule="exact"/>
              <w:ind w:left="459" w:right="459"/>
              <w:jc w:val="center"/>
              <w:rPr>
                <w:b/>
                <w:lang w:val="hu-HU"/>
              </w:rPr>
            </w:pPr>
            <w:r>
              <w:rPr>
                <w:rFonts w:ascii="Times New Roman" w:eastAsia="Times New Roman" w:hAnsi="Times New Roman" w:cs="Times New Roman"/>
                <w:b/>
                <w:bCs/>
                <w:lang w:val="hu-HU"/>
              </w:rPr>
              <w:t>n (%)</w:t>
            </w:r>
          </w:p>
        </w:tc>
        <w:tc>
          <w:tcPr>
            <w:tcW w:w="2197" w:type="dxa"/>
            <w:vAlign w:val="center"/>
          </w:tcPr>
          <w:p w14:paraId="06DA112E" w14:textId="77777777" w:rsidR="00C770CB" w:rsidRDefault="00C770CB" w:rsidP="007E7849">
            <w:pPr>
              <w:pStyle w:val="a3"/>
              <w:jc w:val="center"/>
              <w:rPr>
                <w:b/>
                <w:lang w:val="hu-HU"/>
              </w:rPr>
            </w:pPr>
            <w:r>
              <w:rPr>
                <w:rFonts w:eastAsia="Times New Roman"/>
                <w:b/>
                <w:bCs/>
                <w:lang w:val="hu-HU"/>
              </w:rPr>
              <w:t>MTX</w:t>
            </w:r>
          </w:p>
          <w:p w14:paraId="76D1C795" w14:textId="44420F9D" w:rsidR="00C770CB" w:rsidRDefault="00DC3D6F" w:rsidP="007E7849">
            <w:pPr>
              <w:pStyle w:val="a3"/>
              <w:jc w:val="center"/>
              <w:rPr>
                <w:b/>
                <w:lang w:val="hu-HU"/>
              </w:rPr>
            </w:pPr>
            <w:r>
              <w:rPr>
                <w:rFonts w:eastAsia="Times New Roman"/>
                <w:b/>
                <w:bCs/>
                <w:lang w:val="hu-HU"/>
              </w:rPr>
              <w:t>n</w:t>
            </w:r>
            <w:r w:rsidR="00C770CB">
              <w:rPr>
                <w:rFonts w:eastAsia="Times New Roman"/>
                <w:b/>
                <w:bCs/>
                <w:lang w:val="hu-HU"/>
              </w:rPr>
              <w:t>=110</w:t>
            </w:r>
          </w:p>
          <w:p w14:paraId="68E28FF8" w14:textId="77777777" w:rsidR="00C770CB" w:rsidRDefault="00C770CB" w:rsidP="007E7849">
            <w:pPr>
              <w:pStyle w:val="a3"/>
              <w:jc w:val="center"/>
              <w:rPr>
                <w:lang w:val="hu-HU"/>
              </w:rPr>
            </w:pPr>
            <w:r>
              <w:rPr>
                <w:rFonts w:eastAsia="Times New Roman"/>
                <w:b/>
                <w:bCs/>
                <w:lang w:val="hu-HU"/>
              </w:rPr>
              <w:t>n (%)</w:t>
            </w:r>
          </w:p>
        </w:tc>
        <w:tc>
          <w:tcPr>
            <w:tcW w:w="2751" w:type="dxa"/>
            <w:vAlign w:val="center"/>
          </w:tcPr>
          <w:p w14:paraId="56BA0C36" w14:textId="77777777" w:rsidR="00C770CB" w:rsidRDefault="00C770CB" w:rsidP="007E7849">
            <w:pPr>
              <w:pStyle w:val="TableParagraph"/>
              <w:spacing w:before="4" w:line="252" w:lineRule="exact"/>
              <w:ind w:left="113" w:right="113"/>
              <w:jc w:val="center"/>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Adalimumab 40 mg minden második héten</w:t>
            </w:r>
          </w:p>
          <w:p w14:paraId="3A735BC5" w14:textId="355DC02B" w:rsidR="00C770CB" w:rsidRDefault="00DC3D6F" w:rsidP="007E7849">
            <w:pPr>
              <w:pStyle w:val="TableParagraph"/>
              <w:spacing w:before="4" w:line="252" w:lineRule="exact"/>
              <w:ind w:left="113" w:right="113"/>
              <w:jc w:val="center"/>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n</w:t>
            </w:r>
            <w:r w:rsidR="00C770CB">
              <w:rPr>
                <w:rFonts w:ascii="Times New Roman" w:eastAsia="Times New Roman" w:hAnsi="Times New Roman" w:cs="Times New Roman"/>
                <w:b/>
                <w:bCs/>
                <w:spacing w:val="-1"/>
                <w:lang w:val="hu-HU"/>
              </w:rPr>
              <w:t>=108</w:t>
            </w:r>
          </w:p>
          <w:p w14:paraId="76945A79" w14:textId="77777777" w:rsidR="00C770CB" w:rsidRDefault="00C770CB" w:rsidP="007E7849">
            <w:pPr>
              <w:pStyle w:val="TableParagraph"/>
              <w:spacing w:before="4" w:line="252" w:lineRule="exact"/>
              <w:ind w:left="113" w:right="113"/>
              <w:jc w:val="center"/>
              <w:rPr>
                <w:rFonts w:ascii="Times New Roman" w:eastAsia="Times New Roman" w:hAnsi="Times New Roman" w:cs="Times New Roman"/>
                <w:lang w:val="hu-HU"/>
              </w:rPr>
            </w:pPr>
            <w:r>
              <w:rPr>
                <w:rFonts w:ascii="Times New Roman" w:eastAsia="Times New Roman" w:hAnsi="Times New Roman" w:cs="Times New Roman"/>
                <w:b/>
                <w:bCs/>
                <w:lang w:val="hu-HU"/>
              </w:rPr>
              <w:t>n (%)</w:t>
            </w:r>
          </w:p>
        </w:tc>
      </w:tr>
      <w:tr w:rsidR="00C770CB" w14:paraId="327EA751" w14:textId="77777777" w:rsidTr="007E7849">
        <w:tc>
          <w:tcPr>
            <w:tcW w:w="2294" w:type="dxa"/>
          </w:tcPr>
          <w:p w14:paraId="584FFD9D" w14:textId="77777777" w:rsidR="00C770CB" w:rsidRPr="004E2591" w:rsidRDefault="00C770CB" w:rsidP="007E7849">
            <w:pPr>
              <w:pStyle w:val="a3"/>
              <w:rPr>
                <w:b/>
                <w:lang w:val="hu-HU"/>
              </w:rPr>
            </w:pPr>
            <w:r w:rsidRPr="004E2591">
              <w:rPr>
                <w:rFonts w:ascii="Symbol" w:eastAsia="Symbol" w:hAnsi="Symbol" w:cs="Symbol"/>
                <w:b/>
                <w:lang w:val="hu-HU"/>
              </w:rPr>
              <w:sym w:font="Symbol" w:char="F0B3"/>
            </w:r>
            <w:r w:rsidRPr="004E2591">
              <w:rPr>
                <w:rFonts w:ascii="Symbol" w:eastAsia="Symbol" w:hAnsi="Symbol" w:cs="Symbol"/>
                <w:b/>
                <w:lang w:val="hu-HU"/>
              </w:rPr>
              <w:sym w:font="Symbol" w:char="F020"/>
            </w:r>
            <w:r w:rsidRPr="004E2591">
              <w:rPr>
                <w:rFonts w:eastAsia="Times New Roman"/>
                <w:b/>
                <w:lang w:val="hu-HU"/>
              </w:rPr>
              <w:t>PASI 75</w:t>
            </w:r>
          </w:p>
        </w:tc>
        <w:tc>
          <w:tcPr>
            <w:tcW w:w="2197" w:type="dxa"/>
          </w:tcPr>
          <w:p w14:paraId="0FC14DB3" w14:textId="77777777" w:rsidR="00C770CB" w:rsidRDefault="00C770CB" w:rsidP="007E7849">
            <w:pPr>
              <w:pStyle w:val="a3"/>
              <w:jc w:val="center"/>
              <w:rPr>
                <w:b/>
                <w:lang w:val="hu-HU"/>
              </w:rPr>
            </w:pPr>
            <w:r>
              <w:rPr>
                <w:rFonts w:eastAsia="Times New Roman"/>
                <w:lang w:val="hu-HU"/>
              </w:rPr>
              <w:t>10 (18,9)</w:t>
            </w:r>
          </w:p>
        </w:tc>
        <w:tc>
          <w:tcPr>
            <w:tcW w:w="2197" w:type="dxa"/>
          </w:tcPr>
          <w:p w14:paraId="05CE8175" w14:textId="77777777" w:rsidR="00C770CB" w:rsidRDefault="00C770CB" w:rsidP="007E7849">
            <w:pPr>
              <w:pStyle w:val="a3"/>
              <w:jc w:val="center"/>
              <w:rPr>
                <w:b/>
                <w:lang w:val="hu-HU"/>
              </w:rPr>
            </w:pPr>
            <w:r>
              <w:rPr>
                <w:rFonts w:eastAsia="Times New Roman"/>
                <w:lang w:val="hu-HU"/>
              </w:rPr>
              <w:t>39 (35,5)</w:t>
            </w:r>
          </w:p>
        </w:tc>
        <w:tc>
          <w:tcPr>
            <w:tcW w:w="2751" w:type="dxa"/>
          </w:tcPr>
          <w:p w14:paraId="5E49062C" w14:textId="77777777" w:rsidR="00C770CB" w:rsidRPr="00CF5D7A" w:rsidRDefault="00C770CB" w:rsidP="007E7849">
            <w:pPr>
              <w:pStyle w:val="a3"/>
              <w:jc w:val="center"/>
              <w:rPr>
                <w:b/>
                <w:lang w:val="hu-HU"/>
              </w:rPr>
            </w:pPr>
            <w:r w:rsidRPr="00CF5D7A">
              <w:rPr>
                <w:rFonts w:eastAsia="Times New Roman"/>
                <w:spacing w:val="-1"/>
                <w:lang w:val="hu-HU"/>
              </w:rPr>
              <w:t xml:space="preserve">86 (79.6) </w:t>
            </w:r>
            <w:r w:rsidRPr="009167C6">
              <w:rPr>
                <w:rFonts w:eastAsia="Times New Roman"/>
                <w:spacing w:val="-1"/>
                <w:vertAlign w:val="superscript"/>
                <w:lang w:val="hu-HU"/>
              </w:rPr>
              <w:t>a, b</w:t>
            </w:r>
          </w:p>
        </w:tc>
      </w:tr>
      <w:tr w:rsidR="00C770CB" w14:paraId="165101FE" w14:textId="77777777" w:rsidTr="007E7849">
        <w:tc>
          <w:tcPr>
            <w:tcW w:w="2294" w:type="dxa"/>
          </w:tcPr>
          <w:p w14:paraId="3FE5A664" w14:textId="77777777" w:rsidR="00C770CB" w:rsidRPr="004E2591" w:rsidRDefault="00C770CB" w:rsidP="007E7849">
            <w:pPr>
              <w:pStyle w:val="a3"/>
              <w:rPr>
                <w:b/>
                <w:lang w:val="hu-HU"/>
              </w:rPr>
            </w:pPr>
            <w:r w:rsidRPr="004E2591">
              <w:rPr>
                <w:rFonts w:eastAsia="Times New Roman"/>
                <w:b/>
                <w:lang w:val="hu-HU"/>
              </w:rPr>
              <w:t>PASI 100</w:t>
            </w:r>
          </w:p>
        </w:tc>
        <w:tc>
          <w:tcPr>
            <w:tcW w:w="2197" w:type="dxa"/>
          </w:tcPr>
          <w:p w14:paraId="682D2D9B" w14:textId="77777777" w:rsidR="00C770CB" w:rsidRDefault="00C770CB" w:rsidP="007E7849">
            <w:pPr>
              <w:pStyle w:val="a3"/>
              <w:jc w:val="center"/>
              <w:rPr>
                <w:b/>
                <w:lang w:val="hu-HU"/>
              </w:rPr>
            </w:pPr>
            <w:r>
              <w:rPr>
                <w:rFonts w:eastAsia="Times New Roman"/>
                <w:lang w:val="hu-HU"/>
              </w:rPr>
              <w:t>1 (1,9)</w:t>
            </w:r>
          </w:p>
        </w:tc>
        <w:tc>
          <w:tcPr>
            <w:tcW w:w="2197" w:type="dxa"/>
          </w:tcPr>
          <w:p w14:paraId="283B8700" w14:textId="77777777" w:rsidR="00C770CB" w:rsidRDefault="00C770CB" w:rsidP="007E7849">
            <w:pPr>
              <w:pStyle w:val="a3"/>
              <w:jc w:val="center"/>
              <w:rPr>
                <w:b/>
                <w:lang w:val="hu-HU"/>
              </w:rPr>
            </w:pPr>
            <w:r>
              <w:rPr>
                <w:rFonts w:eastAsia="Times New Roman"/>
                <w:lang w:val="hu-HU"/>
              </w:rPr>
              <w:t>8 (7,3)</w:t>
            </w:r>
          </w:p>
        </w:tc>
        <w:tc>
          <w:tcPr>
            <w:tcW w:w="2751" w:type="dxa"/>
          </w:tcPr>
          <w:p w14:paraId="0EB6CFDD" w14:textId="77777777" w:rsidR="00C770CB" w:rsidRPr="00CF5D7A" w:rsidRDefault="00C770CB" w:rsidP="007E7849">
            <w:pPr>
              <w:pStyle w:val="a3"/>
              <w:jc w:val="center"/>
              <w:rPr>
                <w:b/>
                <w:lang w:val="hu-HU"/>
              </w:rPr>
            </w:pPr>
            <w:r w:rsidRPr="00CF5D7A">
              <w:rPr>
                <w:rFonts w:eastAsia="Times New Roman"/>
                <w:spacing w:val="-1"/>
                <w:lang w:val="hu-HU"/>
              </w:rPr>
              <w:t xml:space="preserve">18 (16.7) </w:t>
            </w:r>
            <w:r w:rsidRPr="009167C6">
              <w:rPr>
                <w:rFonts w:eastAsia="Times New Roman"/>
                <w:spacing w:val="-1"/>
                <w:vertAlign w:val="superscript"/>
                <w:lang w:val="hu-HU"/>
              </w:rPr>
              <w:t>c, d</w:t>
            </w:r>
          </w:p>
        </w:tc>
      </w:tr>
      <w:tr w:rsidR="00C770CB" w14:paraId="4E9EE5FE" w14:textId="77777777" w:rsidTr="007E7849">
        <w:tc>
          <w:tcPr>
            <w:tcW w:w="2294" w:type="dxa"/>
          </w:tcPr>
          <w:p w14:paraId="3CC6234C" w14:textId="77777777" w:rsidR="00C770CB" w:rsidRDefault="00C770CB" w:rsidP="007E7849">
            <w:pPr>
              <w:pStyle w:val="TableParagraph"/>
              <w:spacing w:line="251" w:lineRule="exact"/>
              <w:rPr>
                <w:b/>
                <w:lang w:val="hu-HU"/>
              </w:rPr>
            </w:pPr>
            <w:r>
              <w:rPr>
                <w:rFonts w:ascii="Times New Roman" w:eastAsia="Times New Roman" w:hAnsi="Times New Roman" w:cs="Times New Roman"/>
                <w:b/>
                <w:bCs/>
                <w:lang w:val="hu-HU"/>
              </w:rPr>
              <w:t>PGA:tiszta/minimális</w:t>
            </w:r>
          </w:p>
        </w:tc>
        <w:tc>
          <w:tcPr>
            <w:tcW w:w="2197" w:type="dxa"/>
          </w:tcPr>
          <w:p w14:paraId="1844F307" w14:textId="77777777" w:rsidR="00C770CB" w:rsidRDefault="00C770CB" w:rsidP="007E7849">
            <w:pPr>
              <w:pStyle w:val="a3"/>
              <w:jc w:val="center"/>
              <w:rPr>
                <w:b/>
                <w:lang w:val="hu-HU"/>
              </w:rPr>
            </w:pPr>
            <w:r>
              <w:rPr>
                <w:rFonts w:eastAsia="Times New Roman"/>
                <w:lang w:val="hu-HU"/>
              </w:rPr>
              <w:t>6 (11,3)</w:t>
            </w:r>
          </w:p>
        </w:tc>
        <w:tc>
          <w:tcPr>
            <w:tcW w:w="2197" w:type="dxa"/>
          </w:tcPr>
          <w:p w14:paraId="282C13E8" w14:textId="77777777" w:rsidR="00C770CB" w:rsidRDefault="00C770CB" w:rsidP="007E7849">
            <w:pPr>
              <w:pStyle w:val="a3"/>
              <w:jc w:val="center"/>
              <w:rPr>
                <w:b/>
                <w:lang w:val="hu-HU"/>
              </w:rPr>
            </w:pPr>
            <w:r>
              <w:rPr>
                <w:rFonts w:eastAsia="Times New Roman"/>
                <w:lang w:val="hu-HU"/>
              </w:rPr>
              <w:t>33 (30,0)</w:t>
            </w:r>
          </w:p>
        </w:tc>
        <w:tc>
          <w:tcPr>
            <w:tcW w:w="2751" w:type="dxa"/>
          </w:tcPr>
          <w:p w14:paraId="3E04863F" w14:textId="77777777" w:rsidR="00C770CB" w:rsidRPr="00CF5D7A" w:rsidRDefault="00C770CB" w:rsidP="007E7849">
            <w:pPr>
              <w:pStyle w:val="a3"/>
              <w:jc w:val="center"/>
              <w:rPr>
                <w:b/>
                <w:lang w:val="hu-HU"/>
              </w:rPr>
            </w:pPr>
            <w:r w:rsidRPr="00CF5D7A">
              <w:rPr>
                <w:rFonts w:eastAsia="Times New Roman"/>
                <w:spacing w:val="-1"/>
                <w:lang w:val="hu-HU"/>
              </w:rPr>
              <w:t xml:space="preserve">79 (73.1) </w:t>
            </w:r>
            <w:r w:rsidRPr="009167C6">
              <w:rPr>
                <w:rFonts w:eastAsia="Times New Roman"/>
                <w:spacing w:val="-1"/>
                <w:vertAlign w:val="superscript"/>
                <w:lang w:val="hu-HU"/>
              </w:rPr>
              <w:t>a, b</w:t>
            </w:r>
          </w:p>
        </w:tc>
      </w:tr>
      <w:tr w:rsidR="00C770CB" w:rsidRPr="00BE4D18" w14:paraId="79C53A54" w14:textId="77777777" w:rsidTr="007E7849">
        <w:tc>
          <w:tcPr>
            <w:tcW w:w="9439" w:type="dxa"/>
            <w:gridSpan w:val="4"/>
          </w:tcPr>
          <w:p w14:paraId="40EA2993" w14:textId="77777777" w:rsidR="00C770CB" w:rsidRPr="00CF5D7A" w:rsidRDefault="00C770CB" w:rsidP="007E7849">
            <w:pPr>
              <w:pStyle w:val="TableParagraph"/>
              <w:rPr>
                <w:rFonts w:ascii="Times New Roman" w:eastAsia="Times New Roman" w:hAnsi="Times New Roman" w:cs="Times New Roman"/>
                <w:lang w:val="hu-HU"/>
              </w:rPr>
            </w:pPr>
            <w:r w:rsidRPr="009167C6">
              <w:rPr>
                <w:rFonts w:ascii="Times New Roman" w:eastAsia="Times New Roman" w:hAnsi="Times New Roman" w:cs="Times New Roman"/>
                <w:position w:val="8"/>
                <w:vertAlign w:val="superscript"/>
                <w:lang w:val="hu-HU"/>
              </w:rPr>
              <w:t>a</w:t>
            </w:r>
            <w:r w:rsidRPr="009167C6">
              <w:rPr>
                <w:rFonts w:ascii="Times New Roman" w:eastAsia="Times New Roman" w:hAnsi="Times New Roman" w:cs="Times New Roman"/>
                <w:position w:val="8"/>
                <w:lang w:val="hu-HU"/>
              </w:rPr>
              <w:t xml:space="preserve"> </w:t>
            </w:r>
            <w:r w:rsidRPr="00CF5D7A">
              <w:rPr>
                <w:rFonts w:ascii="Times New Roman" w:eastAsia="Times New Roman" w:hAnsi="Times New Roman" w:cs="Times New Roman"/>
                <w:position w:val="8"/>
                <w:lang w:val="hu-HU"/>
              </w:rPr>
              <w:t>p &lt; 0,001 adalimumab vs. placebo</w:t>
            </w:r>
          </w:p>
          <w:p w14:paraId="7249C03F" w14:textId="77777777" w:rsidR="00C770CB" w:rsidRPr="00CF5D7A" w:rsidRDefault="00C770CB" w:rsidP="007E7849">
            <w:pPr>
              <w:pStyle w:val="TableParagraph"/>
              <w:rPr>
                <w:rFonts w:ascii="Times New Roman" w:eastAsia="Times New Roman" w:hAnsi="Times New Roman" w:cs="Times New Roman"/>
                <w:lang w:val="hu-HU"/>
              </w:rPr>
            </w:pPr>
            <w:r w:rsidRPr="009167C6">
              <w:rPr>
                <w:rFonts w:ascii="Times New Roman" w:eastAsia="Times New Roman" w:hAnsi="Times New Roman" w:cs="Times New Roman"/>
                <w:position w:val="8"/>
                <w:vertAlign w:val="superscript"/>
                <w:lang w:val="hu-HU"/>
              </w:rPr>
              <w:t>b</w:t>
            </w:r>
            <w:r w:rsidRPr="009167C6">
              <w:rPr>
                <w:rFonts w:ascii="Times New Roman" w:eastAsia="Times New Roman" w:hAnsi="Times New Roman" w:cs="Times New Roman"/>
                <w:position w:val="8"/>
                <w:lang w:val="hu-HU"/>
              </w:rPr>
              <w:t xml:space="preserve"> </w:t>
            </w:r>
            <w:r w:rsidRPr="00CF5D7A">
              <w:rPr>
                <w:rFonts w:ascii="Times New Roman" w:eastAsia="Times New Roman" w:hAnsi="Times New Roman" w:cs="Times New Roman"/>
                <w:position w:val="8"/>
                <w:lang w:val="hu-HU"/>
              </w:rPr>
              <w:t>p &lt; 0,001 adalimumab vs. metotrexát</w:t>
            </w:r>
          </w:p>
          <w:p w14:paraId="1261148B" w14:textId="77777777" w:rsidR="00C770CB" w:rsidRPr="00CF5D7A" w:rsidRDefault="00C770CB" w:rsidP="007E7849">
            <w:pPr>
              <w:pStyle w:val="TableParagraph"/>
              <w:rPr>
                <w:rFonts w:ascii="Times New Roman" w:eastAsia="Times New Roman" w:hAnsi="Times New Roman" w:cs="Times New Roman"/>
                <w:lang w:val="hu-HU"/>
              </w:rPr>
            </w:pPr>
            <w:r w:rsidRPr="009167C6">
              <w:rPr>
                <w:rFonts w:ascii="Times New Roman" w:eastAsia="Times New Roman" w:hAnsi="Times New Roman" w:cs="Times New Roman"/>
                <w:position w:val="8"/>
                <w:vertAlign w:val="superscript"/>
                <w:lang w:val="hu-HU"/>
              </w:rPr>
              <w:t>c</w:t>
            </w:r>
            <w:r w:rsidRPr="009167C6">
              <w:rPr>
                <w:rFonts w:ascii="Times New Roman" w:eastAsia="Times New Roman" w:hAnsi="Times New Roman" w:cs="Times New Roman"/>
                <w:position w:val="8"/>
                <w:lang w:val="hu-HU"/>
              </w:rPr>
              <w:t xml:space="preserve"> </w:t>
            </w:r>
            <w:r w:rsidRPr="00CF5D7A">
              <w:rPr>
                <w:rFonts w:ascii="Times New Roman" w:eastAsia="Times New Roman" w:hAnsi="Times New Roman" w:cs="Times New Roman"/>
                <w:position w:val="8"/>
                <w:lang w:val="hu-HU"/>
              </w:rPr>
              <w:t>p &lt; 0,01 adalimumab vs. placebo</w:t>
            </w:r>
          </w:p>
          <w:p w14:paraId="315DE274" w14:textId="77777777" w:rsidR="00C770CB" w:rsidRDefault="00C770CB" w:rsidP="007E7849">
            <w:pPr>
              <w:pStyle w:val="a3"/>
              <w:rPr>
                <w:b/>
                <w:lang w:val="hu-HU"/>
              </w:rPr>
            </w:pPr>
            <w:r w:rsidRPr="009167C6">
              <w:rPr>
                <w:rFonts w:eastAsia="Times New Roman"/>
                <w:position w:val="8"/>
                <w:vertAlign w:val="superscript"/>
                <w:lang w:val="hu-HU"/>
              </w:rPr>
              <w:t>d</w:t>
            </w:r>
            <w:r w:rsidRPr="009167C6">
              <w:rPr>
                <w:rFonts w:eastAsia="Times New Roman"/>
                <w:position w:val="8"/>
                <w:lang w:val="hu-HU"/>
              </w:rPr>
              <w:t xml:space="preserve"> </w:t>
            </w:r>
            <w:r w:rsidRPr="00CF5D7A">
              <w:rPr>
                <w:rFonts w:eastAsia="Times New Roman"/>
                <w:position w:val="8"/>
                <w:lang w:val="hu-HU"/>
              </w:rPr>
              <w:t>p &lt; 0,05 adalimumab vs. metotrexát</w:t>
            </w:r>
          </w:p>
        </w:tc>
      </w:tr>
    </w:tbl>
    <w:p w14:paraId="1E5B9F94" w14:textId="77777777" w:rsidR="00C770CB" w:rsidRDefault="00C770CB" w:rsidP="00C770CB">
      <w:pPr>
        <w:pStyle w:val="a3"/>
        <w:rPr>
          <w:lang w:val="hu-HU"/>
        </w:rPr>
      </w:pPr>
    </w:p>
    <w:p w14:paraId="3C05BC5E" w14:textId="77777777" w:rsidR="00C770CB" w:rsidRDefault="00C770CB" w:rsidP="00C770CB">
      <w:pPr>
        <w:pStyle w:val="a3"/>
        <w:rPr>
          <w:lang w:val="hu-HU"/>
        </w:rPr>
      </w:pPr>
      <w:r>
        <w:rPr>
          <w:rFonts w:eastAsia="Times New Roman"/>
          <w:spacing w:val="-2"/>
          <w:lang w:val="hu-HU"/>
        </w:rPr>
        <w:t>A Psoriasis</w:t>
      </w:r>
      <w:r w:rsidRPr="009167C6">
        <w:rPr>
          <w:lang w:val="hu-HU"/>
        </w:rPr>
        <w:t> </w:t>
      </w:r>
      <w:r>
        <w:rPr>
          <w:rFonts w:eastAsia="Times New Roman"/>
          <w:spacing w:val="-2"/>
          <w:lang w:val="hu-HU"/>
        </w:rPr>
        <w:t>I vizsgálatban a PASI 75 választ adó és a 33. héten újra placebóra randomizált betegek 28%-ánál „a megfelelő terápiás válasz elvesztését” (a PASI-pontszám a 33. hét után és az 52. héten vagy előtte, amely a kiindulási értékhez képest &lt; PASI 50 választ eredményez, a 33. héthez viszonyítva minimum 6 PASI-pontos növekedéssel) tapasztalták, az adalimumab-kezelést folytató betegeknél észlelt 5%-kal szemben (p &lt; 0,001). Azok közül a betegek közül, akik a placebóra ismételt randomizálást követően elvesztették a megfelelő választ, és akiket beválogattak a nyílt elrendezésű kiterjesztéses vizsgálatba, a 12, illetve 24 hetes újbóli kezelést követően sorrendben 38% (25/66) és 55% (36/66) nyerte vissza a PASI 75 választ.</w:t>
      </w:r>
    </w:p>
    <w:p w14:paraId="4318468D" w14:textId="77777777" w:rsidR="00C770CB" w:rsidRDefault="00C770CB" w:rsidP="00C770CB">
      <w:pPr>
        <w:spacing w:before="11" w:line="240" w:lineRule="exact"/>
        <w:rPr>
          <w:sz w:val="24"/>
          <w:szCs w:val="24"/>
          <w:lang w:val="hu-HU"/>
        </w:rPr>
      </w:pPr>
    </w:p>
    <w:p w14:paraId="1557785A" w14:textId="77777777" w:rsidR="00C770CB" w:rsidRDefault="00C770CB" w:rsidP="00C770CB">
      <w:pPr>
        <w:pStyle w:val="a3"/>
        <w:rPr>
          <w:lang w:val="hu-HU"/>
        </w:rPr>
      </w:pPr>
      <w:r>
        <w:rPr>
          <w:rFonts w:eastAsia="Times New Roman"/>
          <w:lang w:val="hu-HU"/>
        </w:rPr>
        <w:t>A 16. és a 33. héten összesen 233 PASI 75 reszponder részesült folyamatos  adalimumab-kezelésben</w:t>
      </w:r>
    </w:p>
    <w:p w14:paraId="57B0C21A" w14:textId="77777777" w:rsidR="00C770CB" w:rsidRDefault="00C770CB" w:rsidP="00C770CB">
      <w:pPr>
        <w:pStyle w:val="a3"/>
        <w:rPr>
          <w:lang w:val="hu-HU"/>
        </w:rPr>
      </w:pPr>
      <w:r>
        <w:rPr>
          <w:rFonts w:eastAsia="Times New Roman"/>
          <w:lang w:val="hu-HU"/>
        </w:rPr>
        <w:t xml:space="preserve">52 héten át a Psoriasis I vizsgálatban, és folytatta a  adalimumab alkalmazását a nyílt elrendezésű kiterjesztéses vizsgálatban. A PASI 75 és a tiszta vagy minimális PGA terápiás válaszarány ezeknél a betegeknél 74,7%, illetve 59,0% volt a megadott sorrendben a nyílt elrendezésű kezelés további 108 hetes </w:t>
      </w:r>
      <w:r>
        <w:rPr>
          <w:rFonts w:eastAsia="Times New Roman"/>
          <w:lang w:val="hu-HU"/>
        </w:rPr>
        <w:lastRenderedPageBreak/>
        <w:t>időszakát követően (összesen 160 hét). Egy olyan elemzésben, amelyben non-reszpondernek tekintettek minden olyan beteget, aki nemkívánatos események vagy a hatásosság hiánya miatt idő előtt abbahagyta a vizsgálatot, vagy akinél dózis-eszkalációra került sor, a PASI 75 és a tiszta vagy minimális PGA terápiás válaszarány ezeknél a betegeknél 69,6%, illetve 55,7% volt a megadott sorrendben a nyílt elrendezésű kezelés további 108 hetes időszakát követően (összesen 160 hét).</w:t>
      </w:r>
    </w:p>
    <w:p w14:paraId="33133C22" w14:textId="77777777" w:rsidR="00C770CB" w:rsidRDefault="00C770CB" w:rsidP="00C770CB">
      <w:pPr>
        <w:spacing w:before="13" w:line="240" w:lineRule="exact"/>
        <w:rPr>
          <w:sz w:val="24"/>
          <w:szCs w:val="24"/>
          <w:lang w:val="hu-HU"/>
        </w:rPr>
      </w:pPr>
    </w:p>
    <w:p w14:paraId="03F6B248" w14:textId="77777777" w:rsidR="00C770CB" w:rsidRDefault="00C770CB" w:rsidP="00C770CB">
      <w:pPr>
        <w:pStyle w:val="a3"/>
        <w:rPr>
          <w:lang w:val="hu-HU"/>
        </w:rPr>
      </w:pPr>
      <w:r>
        <w:rPr>
          <w:rFonts w:eastAsia="Times New Roman"/>
          <w:lang w:val="hu-HU"/>
        </w:rPr>
        <w:t>Összesen 347, stabil reszponder vett részt egy, a kezelés abbahagyását majd újrakezdését elemző nyílt elrendezésű kiterjesztéses vizsgálatban. A kezelés abbahagyásának időszakában a psoriasis tünetei a relapsusig („közepesen súlyos” vagy rosszabb PGA-ra csökkenés) eltelő kb. 5 hónapos medián időtartam mellett újultak ki. A megvonásos időszakban ezek közül a betegek közül egynél sem alakult ki rebound hatás. Az összes olyan beteg 76,5%-ánál (218/285), akik újból elkezdték a kezelést, „tiszta” vagy „minimális” PGA terápiás válasz alakult ki 16 héttel a kezelés újrakezdése után, függetlenül attól, hogy volt-e relapsusuk a kezelés abbahagyása során (69,1% [123/178] olyan betegeknél, akiknek volt relapsusuk és 88,8% [95/107] olyanoknál, akiknek nem volt relapsusuk a kezelés abbahagyásának időszakában). Hasonló biztonságossági profilt figyeltek meg a kezelés újrakezdése során, mint abbahagyása előtt.</w:t>
      </w:r>
    </w:p>
    <w:p w14:paraId="2A222409" w14:textId="77777777" w:rsidR="00C770CB" w:rsidRDefault="00C770CB" w:rsidP="00C770CB">
      <w:pPr>
        <w:pStyle w:val="a3"/>
        <w:rPr>
          <w:lang w:val="hu-HU"/>
        </w:rPr>
      </w:pPr>
    </w:p>
    <w:p w14:paraId="7ACD49BA" w14:textId="77777777" w:rsidR="00C770CB" w:rsidRDefault="00C770CB" w:rsidP="00C770CB">
      <w:pPr>
        <w:pStyle w:val="a3"/>
        <w:rPr>
          <w:lang w:val="hu-HU"/>
        </w:rPr>
      </w:pPr>
      <w:r>
        <w:rPr>
          <w:rFonts w:eastAsia="Times New Roman"/>
          <w:lang w:val="hu-HU"/>
        </w:rPr>
        <w:t>A placebóhoz (I és II vizsgálat) és a metotrexáthoz (II vizsgálat) képest a kiindulási értéktől számítva a 16. héten a bőrgyógyászati életminőségi index (DLQI – Dermatology Life Quality Index) jelentős javulását igazolták. Az I. vizsgálatban az SF-36 fizikális és mentális összetevő összesített pontszámaként kifejezett javulás szintén jelentős volt a placebóhoz képest.</w:t>
      </w:r>
    </w:p>
    <w:p w14:paraId="30926A52" w14:textId="77777777" w:rsidR="00C770CB" w:rsidRDefault="00C770CB" w:rsidP="00C770CB">
      <w:pPr>
        <w:spacing w:before="13" w:line="240" w:lineRule="exact"/>
        <w:rPr>
          <w:sz w:val="24"/>
          <w:szCs w:val="24"/>
          <w:lang w:val="hu-HU"/>
        </w:rPr>
      </w:pPr>
    </w:p>
    <w:p w14:paraId="7C05881A" w14:textId="77777777" w:rsidR="00C770CB" w:rsidRDefault="00C770CB" w:rsidP="00C770CB">
      <w:pPr>
        <w:pStyle w:val="a3"/>
        <w:rPr>
          <w:lang w:val="hu-HU"/>
        </w:rPr>
      </w:pPr>
      <w:r>
        <w:rPr>
          <w:rFonts w:eastAsia="Times New Roman"/>
          <w:lang w:val="hu-HU"/>
        </w:rPr>
        <w:t>Egy nyílt elrendezésű vizsgálatban, amelyben a betegek dózisát a kéthetenkénti 40 mg-ról heti 40 mg-ra növelték az 50% alatti PASI-válasz miatt, 26,4% (92/349 beteg) és 37,8% (132/349 beteg) ért el PASI 75 választ a 12., illetve a 24. héten.</w:t>
      </w:r>
    </w:p>
    <w:p w14:paraId="7B43561C" w14:textId="77777777" w:rsidR="00C770CB" w:rsidRDefault="00C770CB" w:rsidP="00C770CB">
      <w:pPr>
        <w:pStyle w:val="a3"/>
        <w:rPr>
          <w:rFonts w:eastAsia="Times New Roman"/>
          <w:lang w:val="hu-HU"/>
        </w:rPr>
      </w:pPr>
    </w:p>
    <w:p w14:paraId="614B7C5C" w14:textId="68A20C0F" w:rsidR="00C770CB" w:rsidRDefault="00C770CB" w:rsidP="00C770CB">
      <w:pPr>
        <w:pStyle w:val="a3"/>
        <w:rPr>
          <w:lang w:val="hu-HU"/>
        </w:rPr>
      </w:pPr>
      <w:r>
        <w:rPr>
          <w:rFonts w:eastAsia="Times New Roman"/>
          <w:lang w:val="hu-HU"/>
        </w:rPr>
        <w:t>A Psoriasis</w:t>
      </w:r>
      <w:r w:rsidRPr="009167C6">
        <w:rPr>
          <w:lang w:val="hu-HU"/>
        </w:rPr>
        <w:t> </w:t>
      </w:r>
      <w:r>
        <w:rPr>
          <w:rFonts w:eastAsia="Times New Roman"/>
          <w:lang w:val="hu-HU"/>
        </w:rPr>
        <w:t xml:space="preserve">III vizsgálat (REACH) a  adalimumab hatásosságát és biztonságosságát hasonlította össze a placebóval </w:t>
      </w:r>
      <w:r>
        <w:rPr>
          <w:rFonts w:eastAsia="Times New Roman"/>
          <w:i/>
          <w:iCs/>
          <w:lang w:val="hu-HU"/>
        </w:rPr>
        <w:t xml:space="preserve">szemben </w:t>
      </w:r>
      <w:r>
        <w:rPr>
          <w:rFonts w:eastAsia="Times New Roman"/>
          <w:lang w:val="hu-HU"/>
        </w:rPr>
        <w:t>72 betegnél, akik közepesen súlyos-súlyos krónikus plakkos psoriasisban és a kézfejet és/vagy a lábfejet érintő psoriasisban szenvedtek. A betegek placebót vagy 80 mg adalimumab kezdő dózist kaptak, amelyet 40 mg adalimumab követett minden második héten (egy héttel a kezdő dózis után kezdve) 16 héten keresztül. A 16. héten az adalimumabot kapó betegek statisztikailag szignifikánsan nagyobb arányban (30,6%) értek el „tiszta” vagy „majdnem tiszta” PGA-pontszámot a kézfejek és/vagy lábfejek vonatkozásában a placebót kapó betegekhez képest (4,3%) [</w:t>
      </w:r>
      <w:r w:rsidR="0041731B">
        <w:rPr>
          <w:rFonts w:eastAsia="Times New Roman"/>
          <w:lang w:val="hu-HU"/>
        </w:rPr>
        <w:t xml:space="preserve">p </w:t>
      </w:r>
      <w:r>
        <w:rPr>
          <w:rFonts w:eastAsia="Times New Roman"/>
          <w:lang w:val="hu-HU"/>
        </w:rPr>
        <w:t>= 0,014].</w:t>
      </w:r>
    </w:p>
    <w:p w14:paraId="27EECFEE" w14:textId="77777777" w:rsidR="00C770CB" w:rsidRDefault="00C770CB" w:rsidP="00C770CB">
      <w:pPr>
        <w:pStyle w:val="a3"/>
        <w:rPr>
          <w:rFonts w:eastAsia="Times New Roman"/>
          <w:lang w:val="hu-HU"/>
        </w:rPr>
      </w:pPr>
    </w:p>
    <w:p w14:paraId="0FABB6A1" w14:textId="2BB57E82" w:rsidR="00C770CB" w:rsidRDefault="00C770CB" w:rsidP="00C770CB">
      <w:pPr>
        <w:pStyle w:val="a3"/>
        <w:rPr>
          <w:lang w:val="hu-HU"/>
        </w:rPr>
      </w:pPr>
      <w:r>
        <w:rPr>
          <w:rFonts w:eastAsia="Times New Roman"/>
          <w:lang w:val="hu-HU"/>
        </w:rPr>
        <w:t xml:space="preserve">A Psoriasis IV vizsgálatban az adalimumab hatásosságát és biztonságosságát placebóval hasonlították össze 217 felnőtt, közepesen súlyos-súlyos köröm-psoriasisban szenvedő felnőtt betegnél. A betegek 80 mg kezdő dózist követően kéthetente 40 mg adalimumabot kaptak (egy héttel a kezdő dózis beadása után kezdve), vagy placebokezelésben részesültek 26 hétig, amelyet nyílt elrendezésű adalimumab-kezelés követett további 26 héten át. A köröm-psoriasis értékelése tartalmazta a módosított köröm-psoriasis súlyossági indexet (mNAPSI, Modified Nail Psoriasis Severity Index), a köröm-psoriasis kezelőorvosok általi globális értékelését (PGA-F, Physician’s Global Assessment of Fingernail Psoriasis) és a köröm-psoriasis súlyossági indexet (NAPSI) (lásd </w:t>
      </w:r>
      <w:r w:rsidR="009454CE">
        <w:rPr>
          <w:rFonts w:eastAsia="Times New Roman"/>
          <w:lang w:val="hu-HU"/>
        </w:rPr>
        <w:t>11</w:t>
      </w:r>
      <w:r>
        <w:rPr>
          <w:rFonts w:eastAsia="Times New Roman"/>
          <w:lang w:val="hu-HU"/>
        </w:rPr>
        <w:t>. táblázat). Az adalimumab köröm-psoriasisban kifejtett kedvező hatását különböző mértékű bőrérintettség mellett (BSA≥10% (a betegek 60%-a) és BSA&lt;10% és ≥5% (a betegek 40%-a)) igazolták.</w:t>
      </w:r>
    </w:p>
    <w:p w14:paraId="136AFC34" w14:textId="77777777" w:rsidR="009569F2" w:rsidRDefault="009569F2" w:rsidP="00C770CB">
      <w:pPr>
        <w:pStyle w:val="a3"/>
        <w:jc w:val="center"/>
        <w:rPr>
          <w:rFonts w:eastAsia="Times New Roman"/>
          <w:b/>
          <w:bCs/>
          <w:lang w:val="hu-HU"/>
        </w:rPr>
      </w:pPr>
    </w:p>
    <w:p w14:paraId="4989F7CF" w14:textId="6CC2F9A5" w:rsidR="00C770CB" w:rsidRDefault="009454CE" w:rsidP="00C770CB">
      <w:pPr>
        <w:pStyle w:val="a3"/>
        <w:jc w:val="center"/>
        <w:rPr>
          <w:b/>
          <w:lang w:val="hu-HU"/>
        </w:rPr>
      </w:pPr>
      <w:r>
        <w:rPr>
          <w:rFonts w:eastAsia="Times New Roman"/>
          <w:b/>
          <w:bCs/>
          <w:lang w:val="hu-HU"/>
        </w:rPr>
        <w:t>11</w:t>
      </w:r>
      <w:r w:rsidR="00C770CB">
        <w:rPr>
          <w:rFonts w:eastAsia="Times New Roman"/>
          <w:b/>
          <w:bCs/>
          <w:lang w:val="hu-HU"/>
        </w:rPr>
        <w:t>. táblázat</w:t>
      </w:r>
    </w:p>
    <w:p w14:paraId="4CF49850" w14:textId="77777777" w:rsidR="00C770CB" w:rsidRDefault="00C770CB" w:rsidP="00C770CB">
      <w:pPr>
        <w:pStyle w:val="a3"/>
        <w:jc w:val="center"/>
        <w:rPr>
          <w:b/>
          <w:lang w:val="hu-HU"/>
        </w:rPr>
      </w:pPr>
      <w:r>
        <w:rPr>
          <w:rFonts w:eastAsia="Times New Roman"/>
          <w:b/>
          <w:bCs/>
          <w:lang w:val="hu-HU"/>
        </w:rPr>
        <w:t>Psoriasis IV vizsgálat hatásossági eredmények a 16., 26. és 52. héten</w:t>
      </w:r>
    </w:p>
    <w:tbl>
      <w:tblPr>
        <w:tblStyle w:val="TableNormal1"/>
        <w:tblW w:w="9576" w:type="dxa"/>
        <w:tblInd w:w="110" w:type="dxa"/>
        <w:tblLayout w:type="fixed"/>
        <w:tblLook w:val="01E0" w:firstRow="1" w:lastRow="1" w:firstColumn="1" w:lastColumn="1" w:noHBand="0" w:noVBand="0"/>
      </w:tblPr>
      <w:tblGrid>
        <w:gridCol w:w="2578"/>
        <w:gridCol w:w="992"/>
        <w:gridCol w:w="1489"/>
        <w:gridCol w:w="989"/>
        <w:gridCol w:w="1491"/>
        <w:gridCol w:w="2037"/>
      </w:tblGrid>
      <w:tr w:rsidR="00C770CB" w:rsidRPr="00F70E6D" w14:paraId="3742B920" w14:textId="77777777" w:rsidTr="007E7849">
        <w:tc>
          <w:tcPr>
            <w:tcW w:w="2578" w:type="dxa"/>
            <w:vMerge w:val="restart"/>
            <w:tcBorders>
              <w:top w:val="single" w:sz="5" w:space="0" w:color="000000"/>
              <w:left w:val="single" w:sz="5" w:space="0" w:color="000000"/>
              <w:right w:val="single" w:sz="5" w:space="0" w:color="000000"/>
            </w:tcBorders>
          </w:tcPr>
          <w:p w14:paraId="5E842647" w14:textId="77777777" w:rsidR="00C770CB" w:rsidRDefault="00C770CB" w:rsidP="007E7849">
            <w:pPr>
              <w:pStyle w:val="TableParagraph"/>
              <w:rPr>
                <w:rFonts w:ascii="Times New Roman" w:eastAsia="Times New Roman" w:hAnsi="Times New Roman" w:cs="Times New Roman"/>
                <w:lang w:val="hu-HU"/>
              </w:rPr>
            </w:pPr>
            <w:r>
              <w:rPr>
                <w:rFonts w:ascii="Times New Roman" w:eastAsia="Times New Roman" w:hAnsi="Times New Roman" w:cs="Times New Roman"/>
                <w:spacing w:val="-1"/>
                <w:lang w:val="hu-HU"/>
              </w:rPr>
              <w:t>Végpont</w:t>
            </w:r>
          </w:p>
        </w:tc>
        <w:tc>
          <w:tcPr>
            <w:tcW w:w="2481" w:type="dxa"/>
            <w:gridSpan w:val="2"/>
            <w:tcBorders>
              <w:top w:val="single" w:sz="5" w:space="0" w:color="000000"/>
              <w:left w:val="single" w:sz="5" w:space="0" w:color="000000"/>
              <w:bottom w:val="single" w:sz="5" w:space="0" w:color="000000"/>
              <w:right w:val="single" w:sz="5" w:space="0" w:color="000000"/>
            </w:tcBorders>
          </w:tcPr>
          <w:p w14:paraId="0EBD5D3E"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16. hét</w:t>
            </w:r>
          </w:p>
          <w:p w14:paraId="11AED923"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Placebokontrollos</w:t>
            </w:r>
          </w:p>
        </w:tc>
        <w:tc>
          <w:tcPr>
            <w:tcW w:w="2480" w:type="dxa"/>
            <w:gridSpan w:val="2"/>
            <w:tcBorders>
              <w:top w:val="single" w:sz="5" w:space="0" w:color="000000"/>
              <w:left w:val="single" w:sz="5" w:space="0" w:color="000000"/>
              <w:bottom w:val="single" w:sz="5" w:space="0" w:color="000000"/>
              <w:right w:val="single" w:sz="5" w:space="0" w:color="000000"/>
            </w:tcBorders>
          </w:tcPr>
          <w:p w14:paraId="7BCCBD5F"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26. hét</w:t>
            </w:r>
          </w:p>
          <w:p w14:paraId="7889E569"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Placebokontrollos</w:t>
            </w:r>
          </w:p>
        </w:tc>
        <w:tc>
          <w:tcPr>
            <w:tcW w:w="2037" w:type="dxa"/>
            <w:tcBorders>
              <w:top w:val="single" w:sz="5" w:space="0" w:color="000000"/>
              <w:left w:val="single" w:sz="5" w:space="0" w:color="000000"/>
              <w:bottom w:val="single" w:sz="5" w:space="0" w:color="000000"/>
              <w:right w:val="single" w:sz="5" w:space="0" w:color="000000"/>
            </w:tcBorders>
          </w:tcPr>
          <w:p w14:paraId="5D32EFBE"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52. hét</w:t>
            </w:r>
          </w:p>
          <w:p w14:paraId="06243CF2"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Nyílt -elrendezés</w:t>
            </w:r>
          </w:p>
        </w:tc>
      </w:tr>
      <w:tr w:rsidR="00C770CB" w:rsidRPr="00F70E6D" w14:paraId="3AE18AC6" w14:textId="77777777" w:rsidTr="007E7849">
        <w:tc>
          <w:tcPr>
            <w:tcW w:w="2578" w:type="dxa"/>
            <w:vMerge/>
            <w:tcBorders>
              <w:left w:val="single" w:sz="5" w:space="0" w:color="000000"/>
              <w:bottom w:val="single" w:sz="5" w:space="0" w:color="000000"/>
              <w:right w:val="single" w:sz="5" w:space="0" w:color="000000"/>
            </w:tcBorders>
          </w:tcPr>
          <w:p w14:paraId="15C4D6B8" w14:textId="77777777" w:rsidR="00C770CB" w:rsidRDefault="00C770CB" w:rsidP="007E7849">
            <w:pPr>
              <w:rPr>
                <w:lang w:val="hu-HU"/>
              </w:rPr>
            </w:pPr>
          </w:p>
        </w:tc>
        <w:tc>
          <w:tcPr>
            <w:tcW w:w="992" w:type="dxa"/>
            <w:tcBorders>
              <w:top w:val="single" w:sz="5" w:space="0" w:color="000000"/>
              <w:left w:val="single" w:sz="5" w:space="0" w:color="000000"/>
              <w:bottom w:val="single" w:sz="5" w:space="0" w:color="000000"/>
              <w:right w:val="single" w:sz="5" w:space="0" w:color="000000"/>
            </w:tcBorders>
          </w:tcPr>
          <w:p w14:paraId="3B6E1F5F"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Placebo</w:t>
            </w:r>
          </w:p>
          <w:p w14:paraId="0AB640C7" w14:textId="0EF02688" w:rsidR="00C770CB" w:rsidRDefault="0041731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n</w:t>
            </w:r>
            <w:r w:rsidR="00C770CB">
              <w:rPr>
                <w:rFonts w:ascii="Times New Roman" w:eastAsia="Times New Roman" w:hAnsi="Times New Roman" w:cs="Times New Roman"/>
                <w:spacing w:val="-1"/>
                <w:lang w:val="hu-HU"/>
              </w:rPr>
              <w:t>=108</w:t>
            </w:r>
          </w:p>
        </w:tc>
        <w:tc>
          <w:tcPr>
            <w:tcW w:w="1489" w:type="dxa"/>
            <w:tcBorders>
              <w:top w:val="single" w:sz="5" w:space="0" w:color="000000"/>
              <w:left w:val="single" w:sz="5" w:space="0" w:color="000000"/>
              <w:bottom w:val="single" w:sz="5" w:space="0" w:color="000000"/>
              <w:right w:val="single" w:sz="5" w:space="0" w:color="000000"/>
            </w:tcBorders>
          </w:tcPr>
          <w:p w14:paraId="0CDFCDCA" w14:textId="77777777" w:rsidR="00C770CB" w:rsidRDefault="00C770CB" w:rsidP="007E7849">
            <w:pPr>
              <w:pStyle w:val="TableParagraph"/>
              <w:jc w:val="center"/>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Adalimumab 40 mg minden második héten </w:t>
            </w:r>
          </w:p>
          <w:p w14:paraId="00E67A68" w14:textId="2E02DEFD" w:rsidR="00C770CB" w:rsidRDefault="0041731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n</w:t>
            </w:r>
            <w:r w:rsidR="00C770CB">
              <w:rPr>
                <w:rFonts w:ascii="Times New Roman" w:eastAsia="Times New Roman" w:hAnsi="Times New Roman" w:cs="Times New Roman"/>
                <w:spacing w:val="-1"/>
                <w:lang w:val="hu-HU"/>
              </w:rPr>
              <w:t>=109</w:t>
            </w:r>
          </w:p>
        </w:tc>
        <w:tc>
          <w:tcPr>
            <w:tcW w:w="989" w:type="dxa"/>
            <w:tcBorders>
              <w:top w:val="single" w:sz="5" w:space="0" w:color="000000"/>
              <w:left w:val="single" w:sz="5" w:space="0" w:color="000000"/>
              <w:bottom w:val="single" w:sz="5" w:space="0" w:color="000000"/>
              <w:right w:val="single" w:sz="5" w:space="0" w:color="000000"/>
            </w:tcBorders>
          </w:tcPr>
          <w:p w14:paraId="24F287DA"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Placebo</w:t>
            </w:r>
          </w:p>
          <w:p w14:paraId="07528626" w14:textId="3F315080" w:rsidR="00C770CB" w:rsidRDefault="0041731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n</w:t>
            </w:r>
            <w:r w:rsidR="00C770CB">
              <w:rPr>
                <w:rFonts w:ascii="Times New Roman" w:eastAsia="Times New Roman" w:hAnsi="Times New Roman" w:cs="Times New Roman"/>
                <w:spacing w:val="-1"/>
                <w:lang w:val="hu-HU"/>
              </w:rPr>
              <w:t>=108</w:t>
            </w:r>
          </w:p>
        </w:tc>
        <w:tc>
          <w:tcPr>
            <w:tcW w:w="1491" w:type="dxa"/>
            <w:tcBorders>
              <w:top w:val="single" w:sz="5" w:space="0" w:color="000000"/>
              <w:left w:val="single" w:sz="5" w:space="0" w:color="000000"/>
              <w:bottom w:val="single" w:sz="5" w:space="0" w:color="000000"/>
              <w:right w:val="single" w:sz="5" w:space="0" w:color="000000"/>
            </w:tcBorders>
          </w:tcPr>
          <w:p w14:paraId="03F11785"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Adalimumab</w:t>
            </w:r>
          </w:p>
          <w:p w14:paraId="531FEB85" w14:textId="77777777" w:rsidR="00C770CB" w:rsidRDefault="00C770CB" w:rsidP="007E7849">
            <w:pPr>
              <w:pStyle w:val="TableParagraph"/>
              <w:spacing w:before="1"/>
              <w:jc w:val="center"/>
              <w:rPr>
                <w:rFonts w:ascii="Times New Roman" w:eastAsia="Times New Roman" w:hAnsi="Times New Roman" w:cs="Times New Roman"/>
                <w:lang w:val="hu-HU"/>
              </w:rPr>
            </w:pPr>
            <w:r>
              <w:rPr>
                <w:rFonts w:ascii="Times New Roman" w:eastAsia="Times New Roman" w:hAnsi="Times New Roman" w:cs="Times New Roman"/>
                <w:lang w:val="hu-HU"/>
              </w:rPr>
              <w:t xml:space="preserve">40 mg minden második héten </w:t>
            </w:r>
          </w:p>
          <w:p w14:paraId="0A9B373B" w14:textId="61EA0801" w:rsidR="00C770CB" w:rsidRDefault="0041731B" w:rsidP="007E7849">
            <w:pPr>
              <w:pStyle w:val="TableParagraph"/>
              <w:spacing w:before="1"/>
              <w:jc w:val="center"/>
              <w:rPr>
                <w:rFonts w:ascii="Times New Roman" w:eastAsia="Times New Roman" w:hAnsi="Times New Roman" w:cs="Times New Roman"/>
                <w:lang w:val="hu-HU"/>
              </w:rPr>
            </w:pPr>
            <w:r>
              <w:rPr>
                <w:rFonts w:ascii="Times New Roman" w:eastAsia="Times New Roman" w:hAnsi="Times New Roman" w:cs="Times New Roman"/>
                <w:lang w:val="hu-HU"/>
              </w:rPr>
              <w:t>n</w:t>
            </w:r>
            <w:r w:rsidR="00C770CB">
              <w:rPr>
                <w:rFonts w:ascii="Times New Roman" w:eastAsia="Times New Roman" w:hAnsi="Times New Roman" w:cs="Times New Roman"/>
                <w:lang w:val="hu-HU"/>
              </w:rPr>
              <w:t>=109</w:t>
            </w:r>
          </w:p>
        </w:tc>
        <w:tc>
          <w:tcPr>
            <w:tcW w:w="2037" w:type="dxa"/>
            <w:tcBorders>
              <w:top w:val="single" w:sz="5" w:space="0" w:color="000000"/>
              <w:left w:val="single" w:sz="5" w:space="0" w:color="000000"/>
              <w:bottom w:val="single" w:sz="5" w:space="0" w:color="000000"/>
              <w:right w:val="single" w:sz="5" w:space="0" w:color="000000"/>
            </w:tcBorders>
          </w:tcPr>
          <w:p w14:paraId="7FA28F6C"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Adalimumab</w:t>
            </w:r>
          </w:p>
          <w:p w14:paraId="1A651CE5" w14:textId="77777777" w:rsidR="00C770CB" w:rsidRDefault="00C770CB" w:rsidP="007E7849">
            <w:pPr>
              <w:pStyle w:val="TableParagraph"/>
              <w:spacing w:before="1"/>
              <w:jc w:val="center"/>
              <w:rPr>
                <w:rFonts w:ascii="Times New Roman" w:eastAsia="Times New Roman" w:hAnsi="Times New Roman" w:cs="Times New Roman"/>
                <w:lang w:val="hu-HU"/>
              </w:rPr>
            </w:pPr>
            <w:r>
              <w:rPr>
                <w:rFonts w:ascii="Times New Roman" w:eastAsia="Times New Roman" w:hAnsi="Times New Roman" w:cs="Times New Roman"/>
                <w:lang w:val="hu-HU"/>
              </w:rPr>
              <w:t xml:space="preserve">40 mg minden második héten </w:t>
            </w:r>
          </w:p>
          <w:p w14:paraId="34123E01" w14:textId="6A41EF78" w:rsidR="00C770CB" w:rsidRDefault="0041731B" w:rsidP="007E7849">
            <w:pPr>
              <w:pStyle w:val="TableParagraph"/>
              <w:spacing w:before="1"/>
              <w:jc w:val="center"/>
              <w:rPr>
                <w:rFonts w:ascii="Times New Roman" w:eastAsia="Times New Roman" w:hAnsi="Times New Roman" w:cs="Times New Roman"/>
                <w:lang w:val="hu-HU"/>
              </w:rPr>
            </w:pPr>
            <w:r>
              <w:rPr>
                <w:rFonts w:ascii="Times New Roman" w:eastAsia="Times New Roman" w:hAnsi="Times New Roman" w:cs="Times New Roman"/>
                <w:lang w:val="hu-HU"/>
              </w:rPr>
              <w:t>n</w:t>
            </w:r>
            <w:r w:rsidR="00C770CB">
              <w:rPr>
                <w:rFonts w:ascii="Times New Roman" w:eastAsia="Times New Roman" w:hAnsi="Times New Roman" w:cs="Times New Roman"/>
                <w:lang w:val="hu-HU"/>
              </w:rPr>
              <w:t>=80</w:t>
            </w:r>
          </w:p>
        </w:tc>
      </w:tr>
      <w:tr w:rsidR="00C770CB" w14:paraId="28246EEC" w14:textId="77777777" w:rsidTr="007E7849">
        <w:tc>
          <w:tcPr>
            <w:tcW w:w="2578" w:type="dxa"/>
            <w:tcBorders>
              <w:top w:val="single" w:sz="5" w:space="0" w:color="000000"/>
              <w:left w:val="single" w:sz="5" w:space="0" w:color="000000"/>
              <w:bottom w:val="single" w:sz="5" w:space="0" w:color="000000"/>
              <w:right w:val="single" w:sz="5" w:space="0" w:color="000000"/>
            </w:tcBorders>
          </w:tcPr>
          <w:p w14:paraId="7995A2AC" w14:textId="77777777" w:rsidR="00C770CB" w:rsidRDefault="00C770CB" w:rsidP="007E7849">
            <w:pPr>
              <w:pStyle w:val="TableParagraph"/>
              <w:rPr>
                <w:rFonts w:ascii="Times New Roman" w:eastAsia="Times New Roman" w:hAnsi="Times New Roman" w:cs="Times New Roman"/>
                <w:lang w:val="hu-HU"/>
              </w:rPr>
            </w:pPr>
            <w:r>
              <w:rPr>
                <w:rFonts w:ascii="Times New Roman" w:eastAsia="Times New Roman" w:hAnsi="Times New Roman" w:cs="Times New Roman"/>
                <w:lang w:val="hu-HU"/>
              </w:rPr>
              <w:t>≥ mNAPSI 75 (%)</w:t>
            </w:r>
          </w:p>
        </w:tc>
        <w:tc>
          <w:tcPr>
            <w:tcW w:w="992" w:type="dxa"/>
            <w:tcBorders>
              <w:top w:val="single" w:sz="5" w:space="0" w:color="000000"/>
              <w:left w:val="single" w:sz="5" w:space="0" w:color="000000"/>
              <w:bottom w:val="single" w:sz="5" w:space="0" w:color="000000"/>
              <w:right w:val="single" w:sz="5" w:space="0" w:color="000000"/>
            </w:tcBorders>
          </w:tcPr>
          <w:p w14:paraId="7C8E8B07" w14:textId="77777777" w:rsidR="00C770CB" w:rsidRPr="007C168B" w:rsidRDefault="00C770CB" w:rsidP="007E7849">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lang w:val="hu-HU"/>
              </w:rPr>
              <w:t>2,9</w:t>
            </w:r>
          </w:p>
        </w:tc>
        <w:tc>
          <w:tcPr>
            <w:tcW w:w="1489" w:type="dxa"/>
            <w:tcBorders>
              <w:top w:val="single" w:sz="5" w:space="0" w:color="000000"/>
              <w:left w:val="single" w:sz="5" w:space="0" w:color="000000"/>
              <w:bottom w:val="single" w:sz="5" w:space="0" w:color="000000"/>
              <w:right w:val="single" w:sz="5" w:space="0" w:color="000000"/>
            </w:tcBorders>
          </w:tcPr>
          <w:p w14:paraId="03789723" w14:textId="77777777" w:rsidR="00C770CB" w:rsidRPr="009167C6" w:rsidRDefault="00C770CB" w:rsidP="007E7849">
            <w:pPr>
              <w:pStyle w:val="TableParagraph"/>
              <w:jc w:val="center"/>
              <w:rPr>
                <w:rFonts w:ascii="Times New Roman" w:eastAsia="Times New Roman" w:hAnsi="Times New Roman" w:cs="Times New Roman"/>
                <w:lang w:val="hu-HU"/>
              </w:rPr>
            </w:pPr>
            <w:r w:rsidRPr="009167C6">
              <w:rPr>
                <w:rFonts w:ascii="Times New Roman" w:eastAsia="Times New Roman" w:hAnsi="Times New Roman" w:cs="Times New Roman"/>
                <w:lang w:val="hu-HU"/>
              </w:rPr>
              <w:t>26,0</w:t>
            </w:r>
            <w:r w:rsidRPr="009167C6">
              <w:rPr>
                <w:rFonts w:ascii="Times New Roman" w:eastAsia="Times New Roman" w:hAnsi="Times New Roman" w:cs="Times New Roman"/>
                <w:vertAlign w:val="superscript"/>
                <w:lang w:val="hu-HU"/>
              </w:rPr>
              <w:t>a</w:t>
            </w:r>
          </w:p>
        </w:tc>
        <w:tc>
          <w:tcPr>
            <w:tcW w:w="989" w:type="dxa"/>
            <w:tcBorders>
              <w:top w:val="single" w:sz="5" w:space="0" w:color="000000"/>
              <w:left w:val="single" w:sz="5" w:space="0" w:color="000000"/>
              <w:bottom w:val="single" w:sz="5" w:space="0" w:color="000000"/>
              <w:right w:val="single" w:sz="5" w:space="0" w:color="000000"/>
            </w:tcBorders>
          </w:tcPr>
          <w:p w14:paraId="444ADC7A" w14:textId="77777777" w:rsidR="00C770CB" w:rsidRPr="007C168B" w:rsidRDefault="00C770CB" w:rsidP="007E7849">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lang w:val="hu-HU"/>
              </w:rPr>
              <w:t>3,4</w:t>
            </w:r>
          </w:p>
        </w:tc>
        <w:tc>
          <w:tcPr>
            <w:tcW w:w="1491" w:type="dxa"/>
            <w:tcBorders>
              <w:top w:val="single" w:sz="5" w:space="0" w:color="000000"/>
              <w:left w:val="single" w:sz="5" w:space="0" w:color="000000"/>
              <w:bottom w:val="single" w:sz="5" w:space="0" w:color="000000"/>
              <w:right w:val="single" w:sz="5" w:space="0" w:color="000000"/>
            </w:tcBorders>
          </w:tcPr>
          <w:p w14:paraId="06F90818" w14:textId="77777777" w:rsidR="00C770CB" w:rsidRPr="009167C6" w:rsidRDefault="00C770CB" w:rsidP="007E7849">
            <w:pPr>
              <w:pStyle w:val="TableParagraph"/>
              <w:jc w:val="center"/>
              <w:rPr>
                <w:rFonts w:ascii="Times New Roman" w:eastAsia="Times New Roman" w:hAnsi="Times New Roman" w:cs="Times New Roman"/>
                <w:lang w:val="hu-HU"/>
              </w:rPr>
            </w:pPr>
            <w:r w:rsidRPr="009167C6">
              <w:rPr>
                <w:rFonts w:ascii="Times New Roman" w:eastAsia="Times New Roman" w:hAnsi="Times New Roman" w:cs="Times New Roman"/>
                <w:lang w:val="hu-HU"/>
              </w:rPr>
              <w:t>46,6</w:t>
            </w:r>
            <w:r w:rsidRPr="009167C6">
              <w:rPr>
                <w:rFonts w:ascii="Times New Roman" w:eastAsia="Times New Roman" w:hAnsi="Times New Roman" w:cs="Times New Roman"/>
                <w:vertAlign w:val="superscript"/>
                <w:lang w:val="hu-HU"/>
              </w:rPr>
              <w:t>a</w:t>
            </w:r>
          </w:p>
        </w:tc>
        <w:tc>
          <w:tcPr>
            <w:tcW w:w="2037" w:type="dxa"/>
            <w:tcBorders>
              <w:top w:val="single" w:sz="5" w:space="0" w:color="000000"/>
              <w:left w:val="single" w:sz="5" w:space="0" w:color="000000"/>
              <w:bottom w:val="single" w:sz="5" w:space="0" w:color="000000"/>
              <w:right w:val="single" w:sz="5" w:space="0" w:color="000000"/>
            </w:tcBorders>
          </w:tcPr>
          <w:p w14:paraId="1AB8370B" w14:textId="77777777" w:rsidR="00C770CB" w:rsidRPr="007C168B" w:rsidRDefault="00C770CB" w:rsidP="007E7849">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lang w:val="hu-HU"/>
              </w:rPr>
              <w:t>65,0</w:t>
            </w:r>
          </w:p>
        </w:tc>
      </w:tr>
      <w:tr w:rsidR="00C770CB" w14:paraId="7153DB27" w14:textId="77777777" w:rsidTr="007E7849">
        <w:tc>
          <w:tcPr>
            <w:tcW w:w="2578" w:type="dxa"/>
            <w:tcBorders>
              <w:top w:val="single" w:sz="5" w:space="0" w:color="000000"/>
              <w:left w:val="single" w:sz="5" w:space="0" w:color="000000"/>
              <w:bottom w:val="single" w:sz="5" w:space="0" w:color="000000"/>
              <w:right w:val="single" w:sz="5" w:space="0" w:color="000000"/>
            </w:tcBorders>
          </w:tcPr>
          <w:p w14:paraId="18C029FB" w14:textId="77777777" w:rsidR="00C770CB" w:rsidRDefault="00C770CB" w:rsidP="007E7849">
            <w:pPr>
              <w:pStyle w:val="TableParagraph"/>
              <w:rPr>
                <w:rFonts w:ascii="Times New Roman" w:eastAsia="Times New Roman" w:hAnsi="Times New Roman" w:cs="Times New Roman"/>
                <w:lang w:val="hu-HU"/>
              </w:rPr>
            </w:pPr>
            <w:r>
              <w:rPr>
                <w:rFonts w:ascii="Times New Roman" w:eastAsia="Times New Roman" w:hAnsi="Times New Roman" w:cs="Times New Roman"/>
                <w:spacing w:val="-1"/>
                <w:lang w:val="hu-HU"/>
              </w:rPr>
              <w:t>PGA-F tiszta/minimális és</w:t>
            </w:r>
          </w:p>
          <w:p w14:paraId="1F173849" w14:textId="77777777" w:rsidR="00C770CB" w:rsidRDefault="00C770CB" w:rsidP="007E7849">
            <w:pPr>
              <w:pStyle w:val="TableParagraph"/>
              <w:rPr>
                <w:rFonts w:ascii="Times New Roman" w:eastAsia="Times New Roman" w:hAnsi="Times New Roman" w:cs="Times New Roman"/>
                <w:lang w:val="hu-HU"/>
              </w:rPr>
            </w:pPr>
            <w:r>
              <w:rPr>
                <w:rFonts w:ascii="Times New Roman" w:eastAsia="Times New Roman" w:hAnsi="Times New Roman" w:cs="Times New Roman"/>
                <w:spacing w:val="1"/>
                <w:lang w:val="hu-HU"/>
              </w:rPr>
              <w:lastRenderedPageBreak/>
              <w:t>≥2-fokozatú javulás (%)</w:t>
            </w:r>
          </w:p>
        </w:tc>
        <w:tc>
          <w:tcPr>
            <w:tcW w:w="992" w:type="dxa"/>
            <w:tcBorders>
              <w:top w:val="single" w:sz="5" w:space="0" w:color="000000"/>
              <w:left w:val="single" w:sz="5" w:space="0" w:color="000000"/>
              <w:bottom w:val="single" w:sz="5" w:space="0" w:color="000000"/>
              <w:right w:val="single" w:sz="5" w:space="0" w:color="000000"/>
            </w:tcBorders>
          </w:tcPr>
          <w:p w14:paraId="58D7018A" w14:textId="77777777" w:rsidR="00C770CB" w:rsidRPr="007C168B" w:rsidRDefault="00C770CB" w:rsidP="007E7849">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lang w:val="hu-HU"/>
              </w:rPr>
              <w:lastRenderedPageBreak/>
              <w:t>2,9</w:t>
            </w:r>
          </w:p>
        </w:tc>
        <w:tc>
          <w:tcPr>
            <w:tcW w:w="1489" w:type="dxa"/>
            <w:tcBorders>
              <w:top w:val="single" w:sz="5" w:space="0" w:color="000000"/>
              <w:left w:val="single" w:sz="5" w:space="0" w:color="000000"/>
              <w:bottom w:val="single" w:sz="5" w:space="0" w:color="000000"/>
              <w:right w:val="single" w:sz="5" w:space="0" w:color="000000"/>
            </w:tcBorders>
          </w:tcPr>
          <w:p w14:paraId="4B62EDBD" w14:textId="77777777" w:rsidR="00C770CB" w:rsidRPr="009167C6" w:rsidRDefault="00C770CB" w:rsidP="007E7849">
            <w:pPr>
              <w:pStyle w:val="TableParagraph"/>
              <w:jc w:val="center"/>
              <w:rPr>
                <w:rFonts w:ascii="Times New Roman" w:eastAsia="Times New Roman" w:hAnsi="Times New Roman" w:cs="Times New Roman"/>
                <w:lang w:val="hu-HU"/>
              </w:rPr>
            </w:pPr>
            <w:r w:rsidRPr="009167C6">
              <w:rPr>
                <w:rFonts w:ascii="Times New Roman" w:eastAsia="Times New Roman" w:hAnsi="Times New Roman" w:cs="Times New Roman"/>
                <w:lang w:val="hu-HU"/>
              </w:rPr>
              <w:t>29,7</w:t>
            </w:r>
            <w:r w:rsidRPr="009167C6">
              <w:rPr>
                <w:rFonts w:ascii="Times New Roman" w:eastAsia="Times New Roman" w:hAnsi="Times New Roman" w:cs="Times New Roman"/>
                <w:vertAlign w:val="superscript"/>
                <w:lang w:val="hu-HU"/>
              </w:rPr>
              <w:t>a</w:t>
            </w:r>
          </w:p>
        </w:tc>
        <w:tc>
          <w:tcPr>
            <w:tcW w:w="989" w:type="dxa"/>
            <w:tcBorders>
              <w:top w:val="single" w:sz="5" w:space="0" w:color="000000"/>
              <w:left w:val="single" w:sz="5" w:space="0" w:color="000000"/>
              <w:bottom w:val="single" w:sz="5" w:space="0" w:color="000000"/>
              <w:right w:val="single" w:sz="5" w:space="0" w:color="000000"/>
            </w:tcBorders>
          </w:tcPr>
          <w:p w14:paraId="2D474700" w14:textId="77777777" w:rsidR="00C770CB" w:rsidRPr="007C168B" w:rsidRDefault="00C770CB" w:rsidP="007E7849">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lang w:val="hu-HU"/>
              </w:rPr>
              <w:t>6,9</w:t>
            </w:r>
          </w:p>
        </w:tc>
        <w:tc>
          <w:tcPr>
            <w:tcW w:w="1491" w:type="dxa"/>
            <w:tcBorders>
              <w:top w:val="single" w:sz="5" w:space="0" w:color="000000"/>
              <w:left w:val="single" w:sz="5" w:space="0" w:color="000000"/>
              <w:bottom w:val="single" w:sz="5" w:space="0" w:color="000000"/>
              <w:right w:val="single" w:sz="5" w:space="0" w:color="000000"/>
            </w:tcBorders>
          </w:tcPr>
          <w:p w14:paraId="227B8E96" w14:textId="77777777" w:rsidR="00C770CB" w:rsidRPr="009167C6" w:rsidRDefault="00C770CB" w:rsidP="007E7849">
            <w:pPr>
              <w:pStyle w:val="TableParagraph"/>
              <w:jc w:val="center"/>
              <w:rPr>
                <w:rFonts w:ascii="Times New Roman" w:eastAsia="Times New Roman" w:hAnsi="Times New Roman" w:cs="Times New Roman"/>
                <w:lang w:val="hu-HU"/>
              </w:rPr>
            </w:pPr>
            <w:r w:rsidRPr="009167C6">
              <w:rPr>
                <w:rFonts w:ascii="Times New Roman" w:eastAsia="Times New Roman" w:hAnsi="Times New Roman" w:cs="Times New Roman"/>
                <w:lang w:val="hu-HU"/>
              </w:rPr>
              <w:t>48,9</w:t>
            </w:r>
            <w:r w:rsidRPr="009167C6">
              <w:rPr>
                <w:rFonts w:ascii="Times New Roman" w:eastAsia="Times New Roman" w:hAnsi="Times New Roman" w:cs="Times New Roman"/>
                <w:vertAlign w:val="superscript"/>
                <w:lang w:val="hu-HU"/>
              </w:rPr>
              <w:t>a</w:t>
            </w:r>
          </w:p>
        </w:tc>
        <w:tc>
          <w:tcPr>
            <w:tcW w:w="2037" w:type="dxa"/>
            <w:tcBorders>
              <w:top w:val="single" w:sz="5" w:space="0" w:color="000000"/>
              <w:left w:val="single" w:sz="5" w:space="0" w:color="000000"/>
              <w:bottom w:val="single" w:sz="5" w:space="0" w:color="000000"/>
              <w:right w:val="single" w:sz="5" w:space="0" w:color="000000"/>
            </w:tcBorders>
          </w:tcPr>
          <w:p w14:paraId="7919E42F" w14:textId="77777777" w:rsidR="00C770CB" w:rsidRPr="007C168B" w:rsidRDefault="00C770CB" w:rsidP="007E7849">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lang w:val="hu-HU"/>
              </w:rPr>
              <w:t>61,3</w:t>
            </w:r>
          </w:p>
        </w:tc>
      </w:tr>
      <w:tr w:rsidR="00C770CB" w14:paraId="3240835E" w14:textId="77777777" w:rsidTr="007E7849">
        <w:tc>
          <w:tcPr>
            <w:tcW w:w="2578" w:type="dxa"/>
            <w:tcBorders>
              <w:top w:val="single" w:sz="5" w:space="0" w:color="000000"/>
              <w:left w:val="single" w:sz="5" w:space="0" w:color="000000"/>
              <w:bottom w:val="single" w:sz="5" w:space="0" w:color="000000"/>
              <w:right w:val="single" w:sz="5" w:space="0" w:color="000000"/>
            </w:tcBorders>
          </w:tcPr>
          <w:p w14:paraId="390B5F94" w14:textId="77777777" w:rsidR="00C770CB" w:rsidRDefault="00C770CB" w:rsidP="007E7849">
            <w:pPr>
              <w:pStyle w:val="TableParagraph"/>
              <w:rPr>
                <w:rFonts w:ascii="Times New Roman" w:eastAsia="Times New Roman" w:hAnsi="Times New Roman" w:cs="Times New Roman"/>
                <w:lang w:val="hu-HU"/>
              </w:rPr>
            </w:pPr>
            <w:r>
              <w:rPr>
                <w:rFonts w:ascii="Times New Roman" w:eastAsia="Times New Roman" w:hAnsi="Times New Roman" w:cs="Times New Roman"/>
                <w:spacing w:val="-1"/>
                <w:lang w:val="hu-HU"/>
              </w:rPr>
              <w:t>Teljes köröm NAPSI százalékos változása (%)</w:t>
            </w:r>
          </w:p>
        </w:tc>
        <w:tc>
          <w:tcPr>
            <w:tcW w:w="992" w:type="dxa"/>
            <w:tcBorders>
              <w:top w:val="single" w:sz="5" w:space="0" w:color="000000"/>
              <w:left w:val="single" w:sz="5" w:space="0" w:color="000000"/>
              <w:bottom w:val="single" w:sz="5" w:space="0" w:color="000000"/>
              <w:right w:val="single" w:sz="5" w:space="0" w:color="000000"/>
            </w:tcBorders>
          </w:tcPr>
          <w:p w14:paraId="045E86B6" w14:textId="77777777" w:rsidR="00C770CB" w:rsidRPr="007C168B" w:rsidRDefault="00C770CB" w:rsidP="007E7849">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spacing w:val="-4"/>
                <w:lang w:val="hu-HU"/>
              </w:rPr>
              <w:t>-7,8</w:t>
            </w:r>
          </w:p>
        </w:tc>
        <w:tc>
          <w:tcPr>
            <w:tcW w:w="1489" w:type="dxa"/>
            <w:tcBorders>
              <w:top w:val="single" w:sz="5" w:space="0" w:color="000000"/>
              <w:left w:val="single" w:sz="5" w:space="0" w:color="000000"/>
              <w:bottom w:val="single" w:sz="5" w:space="0" w:color="000000"/>
              <w:right w:val="single" w:sz="5" w:space="0" w:color="000000"/>
            </w:tcBorders>
          </w:tcPr>
          <w:p w14:paraId="3962B4B5" w14:textId="77777777" w:rsidR="00C770CB" w:rsidRPr="009167C6" w:rsidRDefault="00C770CB" w:rsidP="007E7849">
            <w:pPr>
              <w:pStyle w:val="TableParagraph"/>
              <w:jc w:val="center"/>
              <w:rPr>
                <w:rFonts w:ascii="Times New Roman" w:eastAsia="Times New Roman" w:hAnsi="Times New Roman" w:cs="Times New Roman"/>
                <w:lang w:val="hu-HU"/>
              </w:rPr>
            </w:pPr>
            <w:r w:rsidRPr="009167C6">
              <w:rPr>
                <w:rFonts w:ascii="Times New Roman" w:eastAsia="Times New Roman" w:hAnsi="Times New Roman" w:cs="Times New Roman"/>
                <w:spacing w:val="-4"/>
                <w:lang w:val="hu-HU"/>
              </w:rPr>
              <w:t xml:space="preserve">-44,2 </w:t>
            </w:r>
            <w:r w:rsidRPr="009167C6">
              <w:rPr>
                <w:rFonts w:ascii="Times New Roman" w:eastAsia="Times New Roman" w:hAnsi="Times New Roman" w:cs="Times New Roman"/>
                <w:spacing w:val="-4"/>
                <w:vertAlign w:val="superscript"/>
                <w:lang w:val="hu-HU"/>
              </w:rPr>
              <w:t>a</w:t>
            </w:r>
          </w:p>
        </w:tc>
        <w:tc>
          <w:tcPr>
            <w:tcW w:w="989" w:type="dxa"/>
            <w:tcBorders>
              <w:top w:val="single" w:sz="5" w:space="0" w:color="000000"/>
              <w:left w:val="single" w:sz="5" w:space="0" w:color="000000"/>
              <w:bottom w:val="single" w:sz="5" w:space="0" w:color="000000"/>
              <w:right w:val="single" w:sz="5" w:space="0" w:color="000000"/>
            </w:tcBorders>
          </w:tcPr>
          <w:p w14:paraId="1ABB4D43" w14:textId="77777777" w:rsidR="00C770CB" w:rsidRPr="007C168B" w:rsidRDefault="00C770CB" w:rsidP="007E7849">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spacing w:val="-4"/>
                <w:lang w:val="hu-HU"/>
              </w:rPr>
              <w:t>-11,5</w:t>
            </w:r>
          </w:p>
        </w:tc>
        <w:tc>
          <w:tcPr>
            <w:tcW w:w="1491" w:type="dxa"/>
            <w:tcBorders>
              <w:top w:val="single" w:sz="5" w:space="0" w:color="000000"/>
              <w:left w:val="single" w:sz="5" w:space="0" w:color="000000"/>
              <w:bottom w:val="single" w:sz="5" w:space="0" w:color="000000"/>
              <w:right w:val="single" w:sz="5" w:space="0" w:color="000000"/>
            </w:tcBorders>
          </w:tcPr>
          <w:p w14:paraId="1E8FBE16" w14:textId="77777777" w:rsidR="00C770CB" w:rsidRPr="009167C6" w:rsidRDefault="00C770CB" w:rsidP="007E7849">
            <w:pPr>
              <w:pStyle w:val="TableParagraph"/>
              <w:jc w:val="center"/>
              <w:rPr>
                <w:rFonts w:ascii="Times New Roman" w:eastAsia="Times New Roman" w:hAnsi="Times New Roman" w:cs="Times New Roman"/>
                <w:lang w:val="hu-HU"/>
              </w:rPr>
            </w:pPr>
            <w:r w:rsidRPr="009167C6">
              <w:rPr>
                <w:rFonts w:ascii="Times New Roman" w:eastAsia="Times New Roman" w:hAnsi="Times New Roman" w:cs="Times New Roman"/>
                <w:spacing w:val="-4"/>
                <w:lang w:val="hu-HU"/>
              </w:rPr>
              <w:t>-56,2</w:t>
            </w:r>
            <w:r w:rsidRPr="009167C6">
              <w:rPr>
                <w:rFonts w:ascii="Times New Roman" w:eastAsia="Times New Roman" w:hAnsi="Times New Roman" w:cs="Times New Roman"/>
                <w:spacing w:val="-4"/>
                <w:vertAlign w:val="superscript"/>
                <w:lang w:val="hu-HU"/>
              </w:rPr>
              <w:t>a</w:t>
            </w:r>
          </w:p>
        </w:tc>
        <w:tc>
          <w:tcPr>
            <w:tcW w:w="2037" w:type="dxa"/>
            <w:tcBorders>
              <w:top w:val="single" w:sz="5" w:space="0" w:color="000000"/>
              <w:left w:val="single" w:sz="5" w:space="0" w:color="000000"/>
              <w:bottom w:val="single" w:sz="5" w:space="0" w:color="000000"/>
              <w:right w:val="single" w:sz="5" w:space="0" w:color="000000"/>
            </w:tcBorders>
          </w:tcPr>
          <w:p w14:paraId="0B7C150E" w14:textId="77777777" w:rsidR="00C770CB" w:rsidRPr="007C168B" w:rsidRDefault="00C770CB" w:rsidP="007E7849">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spacing w:val="-4"/>
                <w:lang w:val="hu-HU"/>
              </w:rPr>
              <w:t>-72,2</w:t>
            </w:r>
          </w:p>
        </w:tc>
      </w:tr>
      <w:tr w:rsidR="00C770CB" w14:paraId="43C8411F" w14:textId="77777777" w:rsidTr="007E7849">
        <w:trPr>
          <w:trHeight w:val="61"/>
        </w:trPr>
        <w:tc>
          <w:tcPr>
            <w:tcW w:w="9576" w:type="dxa"/>
            <w:gridSpan w:val="6"/>
            <w:tcBorders>
              <w:top w:val="single" w:sz="5" w:space="0" w:color="000000"/>
              <w:left w:val="single" w:sz="5" w:space="0" w:color="000000"/>
              <w:bottom w:val="single" w:sz="5" w:space="0" w:color="000000"/>
              <w:right w:val="single" w:sz="5" w:space="0" w:color="000000"/>
            </w:tcBorders>
          </w:tcPr>
          <w:p w14:paraId="6FFC7959" w14:textId="77777777" w:rsidR="00C770CB" w:rsidRPr="009167C6" w:rsidRDefault="00C770CB" w:rsidP="007E7849">
            <w:pPr>
              <w:pStyle w:val="TableParagraph"/>
              <w:rPr>
                <w:rFonts w:ascii="Times New Roman" w:eastAsia="Times New Roman" w:hAnsi="Times New Roman" w:cs="Times New Roman"/>
                <w:lang w:val="hu-HU"/>
              </w:rPr>
            </w:pPr>
            <w:r w:rsidRPr="009167C6">
              <w:rPr>
                <w:rFonts w:ascii="Times New Roman" w:eastAsia="Times New Roman" w:hAnsi="Times New Roman" w:cs="Times New Roman"/>
                <w:position w:val="8"/>
                <w:vertAlign w:val="superscript"/>
                <w:lang w:val="hu-HU"/>
              </w:rPr>
              <w:t>a</w:t>
            </w:r>
            <w:r w:rsidRPr="009167C6">
              <w:rPr>
                <w:rFonts w:ascii="Times New Roman" w:eastAsia="Times New Roman" w:hAnsi="Times New Roman" w:cs="Times New Roman"/>
                <w:position w:val="8"/>
                <w:lang w:val="hu-HU"/>
              </w:rPr>
              <w:t xml:space="preserve"> </w:t>
            </w:r>
            <w:r w:rsidRPr="007C168B">
              <w:rPr>
                <w:rFonts w:ascii="Times New Roman" w:eastAsia="Times New Roman" w:hAnsi="Times New Roman" w:cs="Times New Roman"/>
                <w:position w:val="8"/>
                <w:lang w:val="hu-HU"/>
              </w:rPr>
              <w:t xml:space="preserve">p&lt;0,001, adalimumab </w:t>
            </w:r>
            <w:r w:rsidRPr="007C168B">
              <w:rPr>
                <w:rFonts w:ascii="Times New Roman" w:eastAsia="Times New Roman" w:hAnsi="Times New Roman" w:cs="Times New Roman"/>
                <w:i/>
                <w:iCs/>
                <w:position w:val="8"/>
                <w:lang w:val="hu-HU"/>
              </w:rPr>
              <w:t xml:space="preserve">vs. </w:t>
            </w:r>
            <w:r w:rsidRPr="009167C6">
              <w:rPr>
                <w:rFonts w:ascii="Times New Roman" w:eastAsia="Times New Roman" w:hAnsi="Times New Roman" w:cs="Times New Roman"/>
                <w:position w:val="8"/>
                <w:lang w:val="hu-HU"/>
              </w:rPr>
              <w:t>placebo</w:t>
            </w:r>
          </w:p>
        </w:tc>
      </w:tr>
    </w:tbl>
    <w:p w14:paraId="74770A6A" w14:textId="77777777" w:rsidR="00C770CB" w:rsidRDefault="00C770CB" w:rsidP="00C770CB">
      <w:pPr>
        <w:spacing w:before="5" w:line="170" w:lineRule="exact"/>
        <w:rPr>
          <w:sz w:val="17"/>
          <w:szCs w:val="17"/>
          <w:lang w:val="hu-HU"/>
        </w:rPr>
      </w:pPr>
    </w:p>
    <w:p w14:paraId="15D781A4" w14:textId="77777777" w:rsidR="00C770CB" w:rsidRDefault="00C770CB" w:rsidP="00C770CB">
      <w:pPr>
        <w:pStyle w:val="a3"/>
        <w:rPr>
          <w:lang w:val="hu-HU"/>
        </w:rPr>
      </w:pPr>
      <w:r>
        <w:rPr>
          <w:rFonts w:eastAsia="Times New Roman"/>
          <w:lang w:val="hu-HU"/>
        </w:rPr>
        <w:t>Az adalimumabbal kezelt betegeknél a bőrgyógyászati életminőségi index (DLQI) statisztikailag szignifikáns javulást mutatott a 26. héten a placebóhoz képest</w:t>
      </w:r>
    </w:p>
    <w:p w14:paraId="0795313F" w14:textId="77777777" w:rsidR="00C770CB" w:rsidRDefault="00C770CB" w:rsidP="00C770CB">
      <w:pPr>
        <w:pStyle w:val="a3"/>
        <w:rPr>
          <w:sz w:val="24"/>
          <w:szCs w:val="24"/>
          <w:lang w:val="hu-HU"/>
        </w:rPr>
      </w:pPr>
    </w:p>
    <w:p w14:paraId="6266FE9F" w14:textId="77777777" w:rsidR="00C770CB" w:rsidRDefault="00C770CB" w:rsidP="00C770CB">
      <w:pPr>
        <w:pStyle w:val="a3"/>
        <w:rPr>
          <w:rFonts w:eastAsia="Times New Roman"/>
          <w:lang w:val="hu-HU"/>
        </w:rPr>
      </w:pPr>
      <w:r>
        <w:rPr>
          <w:rFonts w:eastAsia="Times New Roman"/>
          <w:i/>
          <w:iCs/>
          <w:spacing w:val="-1"/>
          <w:lang w:val="hu-HU"/>
        </w:rPr>
        <w:t>Hidradenitis suppurativa</w:t>
      </w:r>
    </w:p>
    <w:p w14:paraId="24430390" w14:textId="77777777" w:rsidR="00C770CB" w:rsidRDefault="00C770CB" w:rsidP="00C770CB">
      <w:pPr>
        <w:pStyle w:val="a3"/>
        <w:rPr>
          <w:sz w:val="24"/>
          <w:szCs w:val="24"/>
          <w:lang w:val="hu-HU"/>
        </w:rPr>
      </w:pPr>
    </w:p>
    <w:p w14:paraId="39EC7C89" w14:textId="77777777" w:rsidR="00C770CB" w:rsidRDefault="00C770CB" w:rsidP="00C770CB">
      <w:pPr>
        <w:pStyle w:val="a3"/>
        <w:rPr>
          <w:lang w:val="hu-HU"/>
        </w:rPr>
      </w:pPr>
      <w:r>
        <w:rPr>
          <w:rFonts w:eastAsia="Times New Roman"/>
          <w:lang w:val="hu-HU"/>
        </w:rPr>
        <w:t>Az adalimumab biztonságosságát és hatásosságát olyan közepesen súlyos – súlyos aktivitású hidradenitis suppurativában (HS) szenvedő felnőtt betegeknél értékelték randomizált, kettős vak, placebokontrollos vizsgálatokkal és egy nyílt kiterjesztéses vizsgálattal, akik a 3 hónapos szisztémás antibiotikum-kezelést nem tolerálták, ellenjavallt volt náluk, vagy nem adtak kielégítő választ. A HS-</w:t>
      </w:r>
      <w:r w:rsidRPr="009167C6">
        <w:rPr>
          <w:lang w:val="hu-HU"/>
        </w:rPr>
        <w:t> </w:t>
      </w:r>
      <w:r>
        <w:rPr>
          <w:rFonts w:eastAsia="Times New Roman"/>
          <w:lang w:val="hu-HU"/>
        </w:rPr>
        <w:t xml:space="preserve"> I és HS-</w:t>
      </w:r>
      <w:r w:rsidRPr="009167C6">
        <w:rPr>
          <w:lang w:val="hu-HU"/>
        </w:rPr>
        <w:t> </w:t>
      </w:r>
      <w:r>
        <w:rPr>
          <w:rFonts w:eastAsia="Times New Roman"/>
          <w:lang w:val="hu-HU"/>
        </w:rPr>
        <w:t xml:space="preserve"> II-es betegeknek legalább 3 tályoggal vagy gyulladásos csomóval járó Hurley Stage II vagy Hurley Stage </w:t>
      </w:r>
      <w:r w:rsidRPr="009167C6">
        <w:rPr>
          <w:lang w:val="hu-HU"/>
        </w:rPr>
        <w:t> </w:t>
      </w:r>
      <w:r>
        <w:rPr>
          <w:rFonts w:eastAsia="Times New Roman"/>
          <w:lang w:val="hu-HU"/>
        </w:rPr>
        <w:t xml:space="preserve"> III stádiumú betegségük volt.</w:t>
      </w:r>
    </w:p>
    <w:p w14:paraId="407269B6" w14:textId="77777777" w:rsidR="00C770CB" w:rsidRDefault="00C770CB" w:rsidP="00C770CB">
      <w:pPr>
        <w:pStyle w:val="a3"/>
        <w:rPr>
          <w:sz w:val="24"/>
          <w:szCs w:val="24"/>
          <w:lang w:val="hu-HU"/>
        </w:rPr>
      </w:pPr>
    </w:p>
    <w:p w14:paraId="004E5213" w14:textId="77777777" w:rsidR="00C770CB" w:rsidRDefault="00C770CB" w:rsidP="00C770CB">
      <w:pPr>
        <w:pStyle w:val="a3"/>
        <w:rPr>
          <w:lang w:val="hu-HU"/>
        </w:rPr>
      </w:pPr>
      <w:r>
        <w:rPr>
          <w:rFonts w:eastAsia="Times New Roman"/>
          <w:lang w:val="hu-HU"/>
        </w:rPr>
        <w:t>A HS-I vizsgálat (PIONEER I) 307 beteget értékelt 2 kezelési periódusban. Az A periódusban a betegek 160 mg telítő dózisú placebót vagy adalimumabot kaptak a 0. héten, 80 mg-ot a 2. héten és 40 mg-ot minden héten a 4-11. hétigA vizsgálat alatt nem volt megengedett antibiotikum együttes alkalmazása. A 12 hétig tartó terápia után azokat a betegeket akik az A periódusban adalimumabot kaptak, a B periódusban ismét randomizálták, a 3 kezelési csoport egyikébe (40 mg adalimumab minden héten, 40 mg adalimumab minden második héten, vagy placebo 12-35. hétig). Az A periódusban véletlenszerűen placebót kapó betegek a B periódusban 40 mg  adalimumabot kaptak minden héten.</w:t>
      </w:r>
    </w:p>
    <w:p w14:paraId="57AF460B" w14:textId="77777777" w:rsidR="00C770CB" w:rsidRDefault="00C770CB" w:rsidP="00C770CB">
      <w:pPr>
        <w:pStyle w:val="a3"/>
        <w:rPr>
          <w:sz w:val="24"/>
          <w:szCs w:val="24"/>
          <w:lang w:val="hu-HU"/>
        </w:rPr>
      </w:pPr>
    </w:p>
    <w:p w14:paraId="7A1EF51A" w14:textId="77777777" w:rsidR="00C770CB" w:rsidRDefault="00C770CB" w:rsidP="00C770CB">
      <w:pPr>
        <w:pStyle w:val="a3"/>
        <w:rPr>
          <w:lang w:val="hu-HU"/>
        </w:rPr>
      </w:pPr>
      <w:r>
        <w:rPr>
          <w:rFonts w:eastAsia="Times New Roman"/>
          <w:lang w:val="hu-HU"/>
        </w:rPr>
        <w:t>A HS-II (PIONEER II) vizsgálat 326 beteget értékelt 2 kezelési periódusban. Az A periódusban a betegek 160 mg telítő dózisú placebót vagy adalimumabot kaptak a 0. héten, 80 mg-ot a 2. héten és 40 mg-ot minden héten a 4-11. hétig . A betegek 19,3%-a folytatta a kiindulási orális antibiotikum terápiát a vizsgálat alatt. A 12 hétig tartó terápia után azokat a betegeket, akik az A periódusban  adalimumabot kaptak, a B periódusban ismét randomizálták, a 3 kezelési csoport egyikébe (40 mg adalimumab minden héten, 40 mg adalimumab minden második héten, vagy placebo a 12-35. hétig). Az A periódusban véletlenszerűen placebót kapó betegeknek a B periódusban is placebót adtak.</w:t>
      </w:r>
    </w:p>
    <w:p w14:paraId="10ADDE42" w14:textId="77777777" w:rsidR="00C770CB" w:rsidRDefault="00C770CB" w:rsidP="00C770CB">
      <w:pPr>
        <w:pStyle w:val="a3"/>
        <w:rPr>
          <w:sz w:val="24"/>
          <w:szCs w:val="24"/>
          <w:lang w:val="hu-HU"/>
        </w:rPr>
      </w:pPr>
    </w:p>
    <w:p w14:paraId="79344E88" w14:textId="77777777" w:rsidR="00C770CB" w:rsidRDefault="00C770CB" w:rsidP="00C770CB">
      <w:pPr>
        <w:pStyle w:val="a3"/>
        <w:rPr>
          <w:lang w:val="hu-HU"/>
        </w:rPr>
      </w:pPr>
      <w:r>
        <w:rPr>
          <w:rFonts w:eastAsia="Times New Roman"/>
          <w:lang w:val="hu-HU"/>
        </w:rPr>
        <w:t>A HS-I és HS</w:t>
      </w:r>
      <w:r>
        <w:rPr>
          <w:lang w:val="hu-HU"/>
        </w:rPr>
        <w:t>-</w:t>
      </w:r>
      <w:r>
        <w:rPr>
          <w:rFonts w:eastAsia="Times New Roman"/>
          <w:lang w:val="hu-HU"/>
        </w:rPr>
        <w:t>II vizsgálatban részt vevő betegek jogosultak voltak egy nyílt, kiterjesztéses vizsgálatba bekerülni, melyben 40 mg adalimumabot kaptak minden héten. Az átlagos expozíció a teljes, adalimumabbal kezelt populációban 762 nap volt. A 3 vizsgálat alatt a betegek helyi fertőtlenítő lemosót használtak naponta.</w:t>
      </w:r>
    </w:p>
    <w:p w14:paraId="66B5BF53" w14:textId="77777777" w:rsidR="00C770CB" w:rsidRDefault="00C770CB" w:rsidP="00C770CB">
      <w:pPr>
        <w:pStyle w:val="a3"/>
        <w:rPr>
          <w:sz w:val="24"/>
          <w:szCs w:val="24"/>
          <w:lang w:val="hu-HU"/>
        </w:rPr>
      </w:pPr>
    </w:p>
    <w:p w14:paraId="6579C02C" w14:textId="77777777" w:rsidR="00C770CB" w:rsidRDefault="00C770CB" w:rsidP="00C770CB">
      <w:pPr>
        <w:pStyle w:val="a3"/>
        <w:rPr>
          <w:rFonts w:eastAsia="Times New Roman"/>
          <w:lang w:val="hu-HU"/>
        </w:rPr>
      </w:pPr>
      <w:r>
        <w:rPr>
          <w:rFonts w:eastAsia="Times New Roman"/>
          <w:i/>
          <w:iCs/>
          <w:spacing w:val="-1"/>
          <w:u w:val="single" w:color="000000"/>
          <w:lang w:val="hu-HU"/>
        </w:rPr>
        <w:t>Klinikai válasz</w:t>
      </w:r>
    </w:p>
    <w:p w14:paraId="0ACE3CD7" w14:textId="77777777" w:rsidR="00C770CB" w:rsidRDefault="00C770CB" w:rsidP="00C770CB">
      <w:pPr>
        <w:pStyle w:val="a3"/>
        <w:rPr>
          <w:sz w:val="18"/>
          <w:szCs w:val="18"/>
          <w:lang w:val="hu-HU"/>
        </w:rPr>
      </w:pPr>
    </w:p>
    <w:p w14:paraId="2500CA51" w14:textId="77777777" w:rsidR="00C770CB" w:rsidRDefault="00C770CB" w:rsidP="00C770CB">
      <w:pPr>
        <w:pStyle w:val="a3"/>
        <w:rPr>
          <w:lang w:val="hu-HU"/>
        </w:rPr>
      </w:pPr>
      <w:r>
        <w:rPr>
          <w:rFonts w:eastAsia="Times New Roman"/>
          <w:lang w:val="hu-HU"/>
        </w:rPr>
        <w:t>A gyulladásos léziók csökkenését és a tályogok és váladékozó fistulák romlásának megelőzését a Hidradenitis suppurativa klinikai válasszal értékelték (HiSCR – Hidradenitis Suppurativa Clinical Response; az összes tályog és gyulladásos góc számának legalább 50%-os csökkenése, a tályogok és váladékozó fistulák számának növekedése nélkül, a vizsgálat megkezdéséhez képest). A HS-sel összefüggő bőrfájdalom csökkenését egy numerikus skála segítségével értékelték azoknál a betegeknél, akik a 11 pontos skálán 3 vagy magasabb kiindulási pontszámmal léptek be a vizsgálatba.</w:t>
      </w:r>
    </w:p>
    <w:p w14:paraId="2A5E4079" w14:textId="77777777" w:rsidR="00C770CB" w:rsidRDefault="00C770CB" w:rsidP="00C770CB">
      <w:pPr>
        <w:spacing w:before="13" w:line="240" w:lineRule="exact"/>
        <w:rPr>
          <w:sz w:val="24"/>
          <w:szCs w:val="24"/>
          <w:lang w:val="hu-HU"/>
        </w:rPr>
      </w:pPr>
    </w:p>
    <w:p w14:paraId="7CDC1A86" w14:textId="777C6118" w:rsidR="00C770CB" w:rsidRDefault="00C770CB" w:rsidP="00C770CB">
      <w:pPr>
        <w:pStyle w:val="a3"/>
        <w:rPr>
          <w:lang w:val="hu-HU"/>
        </w:rPr>
      </w:pPr>
      <w:r>
        <w:rPr>
          <w:rFonts w:eastAsia="Times New Roman"/>
          <w:lang w:val="hu-HU"/>
        </w:rPr>
        <w:t xml:space="preserve">A 12. héten jelentősen nagyobb volt az aránya azoknak az adalimumabbal kezelt betegeknek a placebót kapó betegekhez képest, akik elérték a HiSCR-t. A 12. héten a HS-II vizsgálatban résztvevő betegek jelentősen nagyobb arányánál tapasztalták a HS-sel összefüggő bőrfájdalom klinikailag jelentős csökkenését (lásd </w:t>
      </w:r>
      <w:r w:rsidR="009454CE">
        <w:rPr>
          <w:rFonts w:eastAsia="Times New Roman"/>
          <w:lang w:val="hu-HU"/>
        </w:rPr>
        <w:t>12</w:t>
      </w:r>
      <w:r>
        <w:rPr>
          <w:rFonts w:eastAsia="Times New Roman"/>
          <w:lang w:val="hu-HU"/>
        </w:rPr>
        <w:t>. táblázat). Az adalimumabbal kezelt betegeknél a kezelés első 12 hete alatt jelentősen lecsökkent a betegség kiújulásának kockázata.</w:t>
      </w:r>
    </w:p>
    <w:p w14:paraId="22F28C34" w14:textId="77777777" w:rsidR="00C770CB" w:rsidRDefault="00C770CB" w:rsidP="00C770CB">
      <w:pPr>
        <w:spacing w:before="1" w:line="110" w:lineRule="exact"/>
        <w:rPr>
          <w:sz w:val="11"/>
          <w:szCs w:val="11"/>
          <w:lang w:val="hu-HU"/>
        </w:rPr>
      </w:pPr>
    </w:p>
    <w:p w14:paraId="4DF974BE" w14:textId="77777777" w:rsidR="00C770CB" w:rsidRDefault="00C770CB" w:rsidP="00C770CB">
      <w:pPr>
        <w:spacing w:line="200" w:lineRule="exact"/>
        <w:rPr>
          <w:sz w:val="20"/>
          <w:szCs w:val="20"/>
          <w:lang w:val="hu-HU"/>
        </w:rPr>
      </w:pPr>
    </w:p>
    <w:p w14:paraId="76006C4B" w14:textId="680727C2" w:rsidR="00C770CB" w:rsidRDefault="009454CE" w:rsidP="00C770CB">
      <w:pPr>
        <w:pStyle w:val="a3"/>
        <w:jc w:val="center"/>
        <w:rPr>
          <w:b/>
          <w:lang w:val="hu-HU"/>
        </w:rPr>
      </w:pPr>
      <w:r>
        <w:rPr>
          <w:rFonts w:eastAsia="Times New Roman"/>
          <w:b/>
          <w:bCs/>
          <w:lang w:val="hu-HU"/>
        </w:rPr>
        <w:t>12</w:t>
      </w:r>
      <w:r w:rsidR="00C770CB">
        <w:rPr>
          <w:rFonts w:eastAsia="Times New Roman"/>
          <w:b/>
          <w:bCs/>
          <w:lang w:val="hu-HU"/>
        </w:rPr>
        <w:t>. táblázat</w:t>
      </w:r>
    </w:p>
    <w:p w14:paraId="09478032" w14:textId="3A775CCB" w:rsidR="00C770CB" w:rsidRDefault="00C770CB" w:rsidP="00C770CB">
      <w:pPr>
        <w:pStyle w:val="a3"/>
        <w:jc w:val="center"/>
        <w:rPr>
          <w:rFonts w:eastAsia="Times New Roman"/>
          <w:b/>
          <w:bCs/>
          <w:lang w:val="hu-HU"/>
        </w:rPr>
      </w:pPr>
      <w:r>
        <w:rPr>
          <w:rFonts w:eastAsia="Times New Roman"/>
          <w:b/>
          <w:bCs/>
          <w:lang w:val="hu-HU"/>
        </w:rPr>
        <w:lastRenderedPageBreak/>
        <w:t xml:space="preserve">Hatékonysági eredmények a 12. héten, HS-I és II vizsgálat </w:t>
      </w:r>
    </w:p>
    <w:p w14:paraId="102FA2FA" w14:textId="77777777" w:rsidR="00CB3242" w:rsidRDefault="00CB3242" w:rsidP="00C770CB">
      <w:pPr>
        <w:pStyle w:val="a3"/>
        <w:jc w:val="center"/>
        <w:rPr>
          <w:b/>
          <w:lang w:val="hu-HU"/>
        </w:rPr>
      </w:pPr>
    </w:p>
    <w:p w14:paraId="170DB6E3" w14:textId="77777777" w:rsidR="00C770CB" w:rsidRDefault="00C770CB" w:rsidP="00C770CB">
      <w:pPr>
        <w:spacing w:before="4" w:line="10" w:lineRule="exact"/>
        <w:rPr>
          <w:sz w:val="4"/>
          <w:szCs w:val="4"/>
          <w:lang w:val="hu-HU"/>
        </w:rPr>
      </w:pPr>
    </w:p>
    <w:tbl>
      <w:tblPr>
        <w:tblStyle w:val="TableNormal1"/>
        <w:tblW w:w="0" w:type="auto"/>
        <w:tblInd w:w="167" w:type="dxa"/>
        <w:tblLayout w:type="fixed"/>
        <w:tblLook w:val="01E0" w:firstRow="1" w:lastRow="1" w:firstColumn="1" w:lastColumn="1" w:noHBand="0" w:noVBand="0"/>
      </w:tblPr>
      <w:tblGrid>
        <w:gridCol w:w="2846"/>
        <w:gridCol w:w="1611"/>
        <w:gridCol w:w="1612"/>
        <w:gridCol w:w="1612"/>
        <w:gridCol w:w="1612"/>
      </w:tblGrid>
      <w:tr w:rsidR="00C770CB" w:rsidRPr="009167C6" w14:paraId="2B763592" w14:textId="77777777" w:rsidTr="007E7849">
        <w:trPr>
          <w:trHeight w:hRule="exact" w:val="264"/>
        </w:trPr>
        <w:tc>
          <w:tcPr>
            <w:tcW w:w="2846" w:type="dxa"/>
            <w:vMerge w:val="restart"/>
            <w:tcBorders>
              <w:top w:val="single" w:sz="5" w:space="0" w:color="000000"/>
              <w:left w:val="single" w:sz="5" w:space="0" w:color="000000"/>
              <w:right w:val="single" w:sz="5" w:space="0" w:color="000000"/>
            </w:tcBorders>
          </w:tcPr>
          <w:p w14:paraId="042DE933" w14:textId="77777777" w:rsidR="00C770CB" w:rsidRPr="007C168B" w:rsidRDefault="00C770CB" w:rsidP="007E7849">
            <w:pPr>
              <w:rPr>
                <w:lang w:val="hu-HU"/>
              </w:rPr>
            </w:pPr>
          </w:p>
        </w:tc>
        <w:tc>
          <w:tcPr>
            <w:tcW w:w="3223" w:type="dxa"/>
            <w:gridSpan w:val="2"/>
            <w:tcBorders>
              <w:top w:val="single" w:sz="5" w:space="0" w:color="000000"/>
              <w:left w:val="single" w:sz="5" w:space="0" w:color="000000"/>
              <w:bottom w:val="single" w:sz="5" w:space="0" w:color="000000"/>
              <w:right w:val="single" w:sz="5" w:space="0" w:color="000000"/>
            </w:tcBorders>
          </w:tcPr>
          <w:p w14:paraId="70580EFC" w14:textId="77777777" w:rsidR="00C770CB" w:rsidRPr="009167C6" w:rsidRDefault="00C770CB" w:rsidP="007E7849">
            <w:pPr>
              <w:pStyle w:val="TableParagraph"/>
              <w:spacing w:line="251" w:lineRule="exact"/>
              <w:ind w:left="1051" w:right="1052"/>
              <w:jc w:val="center"/>
              <w:rPr>
                <w:rFonts w:ascii="Times New Roman" w:eastAsia="Times New Roman" w:hAnsi="Times New Roman" w:cs="Times New Roman"/>
                <w:lang w:val="hu-HU"/>
              </w:rPr>
            </w:pPr>
            <w:r w:rsidRPr="009167C6">
              <w:rPr>
                <w:rFonts w:ascii="Times New Roman" w:eastAsia="Times New Roman" w:hAnsi="Times New Roman" w:cs="Times New Roman"/>
                <w:b/>
                <w:bCs/>
                <w:spacing w:val="-1"/>
                <w:lang w:val="hu-HU"/>
              </w:rPr>
              <w:t>HS-I vizsgálat</w:t>
            </w:r>
          </w:p>
        </w:tc>
        <w:tc>
          <w:tcPr>
            <w:tcW w:w="3224" w:type="dxa"/>
            <w:gridSpan w:val="2"/>
            <w:tcBorders>
              <w:top w:val="single" w:sz="5" w:space="0" w:color="000000"/>
              <w:left w:val="single" w:sz="5" w:space="0" w:color="000000"/>
              <w:bottom w:val="single" w:sz="5" w:space="0" w:color="000000"/>
              <w:right w:val="single" w:sz="5" w:space="0" w:color="000000"/>
            </w:tcBorders>
          </w:tcPr>
          <w:p w14:paraId="7D43C1FE" w14:textId="77777777" w:rsidR="00C770CB" w:rsidRPr="009167C6" w:rsidRDefault="00C770CB" w:rsidP="007E7849">
            <w:pPr>
              <w:pStyle w:val="TableParagraph"/>
              <w:spacing w:line="251" w:lineRule="exact"/>
              <w:ind w:left="1062"/>
              <w:rPr>
                <w:rFonts w:ascii="Times New Roman" w:eastAsia="Times New Roman" w:hAnsi="Times New Roman" w:cs="Times New Roman"/>
                <w:lang w:val="hu-HU"/>
              </w:rPr>
            </w:pPr>
            <w:r w:rsidRPr="009167C6">
              <w:rPr>
                <w:rFonts w:ascii="Times New Roman" w:eastAsia="Times New Roman" w:hAnsi="Times New Roman" w:cs="Times New Roman"/>
                <w:b/>
                <w:bCs/>
                <w:spacing w:val="-1"/>
                <w:lang w:val="hu-HU"/>
              </w:rPr>
              <w:t>HS-II vizsgálat</w:t>
            </w:r>
          </w:p>
        </w:tc>
      </w:tr>
      <w:tr w:rsidR="00C770CB" w:rsidRPr="009167C6" w14:paraId="03728D28" w14:textId="77777777" w:rsidTr="007E7849">
        <w:trPr>
          <w:trHeight w:hRule="exact" w:val="802"/>
        </w:trPr>
        <w:tc>
          <w:tcPr>
            <w:tcW w:w="2846" w:type="dxa"/>
            <w:vMerge/>
            <w:tcBorders>
              <w:left w:val="single" w:sz="5" w:space="0" w:color="000000"/>
              <w:bottom w:val="single" w:sz="5" w:space="0" w:color="000000"/>
              <w:right w:val="single" w:sz="5" w:space="0" w:color="000000"/>
            </w:tcBorders>
          </w:tcPr>
          <w:p w14:paraId="70F1E519" w14:textId="77777777" w:rsidR="00C770CB" w:rsidRPr="009167C6" w:rsidRDefault="00C770CB" w:rsidP="007E7849">
            <w:pPr>
              <w:rPr>
                <w:lang w:val="hu-HU"/>
              </w:rPr>
            </w:pPr>
          </w:p>
        </w:tc>
        <w:tc>
          <w:tcPr>
            <w:tcW w:w="1611" w:type="dxa"/>
            <w:tcBorders>
              <w:top w:val="single" w:sz="5" w:space="0" w:color="000000"/>
              <w:left w:val="single" w:sz="5" w:space="0" w:color="000000"/>
              <w:bottom w:val="single" w:sz="5" w:space="0" w:color="000000"/>
              <w:right w:val="single" w:sz="5" w:space="0" w:color="000000"/>
            </w:tcBorders>
          </w:tcPr>
          <w:p w14:paraId="0AEEDFBB" w14:textId="77777777" w:rsidR="00C770CB" w:rsidRPr="009167C6" w:rsidRDefault="00C770CB" w:rsidP="007E7849">
            <w:pPr>
              <w:pStyle w:val="TableParagraph"/>
              <w:ind w:left="347"/>
              <w:rPr>
                <w:rFonts w:ascii="Times New Roman" w:eastAsia="Times New Roman" w:hAnsi="Times New Roman" w:cs="Times New Roman"/>
                <w:lang w:val="hu-HU"/>
              </w:rPr>
            </w:pPr>
            <w:r w:rsidRPr="009167C6">
              <w:rPr>
                <w:rFonts w:ascii="Times New Roman" w:eastAsia="Times New Roman" w:hAnsi="Times New Roman" w:cs="Times New Roman"/>
                <w:b/>
                <w:bCs/>
                <w:lang w:val="hu-HU"/>
              </w:rPr>
              <w:t>Placebo</w:t>
            </w:r>
          </w:p>
        </w:tc>
        <w:tc>
          <w:tcPr>
            <w:tcW w:w="1612" w:type="dxa"/>
            <w:tcBorders>
              <w:top w:val="single" w:sz="5" w:space="0" w:color="000000"/>
              <w:left w:val="single" w:sz="5" w:space="0" w:color="000000"/>
              <w:bottom w:val="single" w:sz="5" w:space="0" w:color="000000"/>
              <w:right w:val="single" w:sz="5" w:space="0" w:color="000000"/>
            </w:tcBorders>
          </w:tcPr>
          <w:p w14:paraId="0909AEED" w14:textId="77777777" w:rsidR="00C770CB" w:rsidRPr="009167C6" w:rsidRDefault="00C770CB" w:rsidP="007E7849">
            <w:pPr>
              <w:pStyle w:val="TableParagraph"/>
              <w:spacing w:before="1" w:line="252" w:lineRule="exact"/>
              <w:jc w:val="center"/>
              <w:rPr>
                <w:rFonts w:ascii="Times New Roman" w:eastAsia="Times New Roman" w:hAnsi="Times New Roman" w:cs="Times New Roman"/>
                <w:lang w:val="hu-HU"/>
              </w:rPr>
            </w:pPr>
            <w:r w:rsidRPr="009167C6">
              <w:rPr>
                <w:rFonts w:ascii="Times New Roman" w:eastAsia="Times New Roman" w:hAnsi="Times New Roman" w:cs="Times New Roman"/>
                <w:b/>
                <w:bCs/>
                <w:spacing w:val="-1"/>
                <w:lang w:val="hu-HU"/>
              </w:rPr>
              <w:t>Adalimumab 40 mg hetente</w:t>
            </w:r>
          </w:p>
        </w:tc>
        <w:tc>
          <w:tcPr>
            <w:tcW w:w="1612" w:type="dxa"/>
            <w:tcBorders>
              <w:top w:val="single" w:sz="5" w:space="0" w:color="000000"/>
              <w:left w:val="single" w:sz="5" w:space="0" w:color="000000"/>
              <w:bottom w:val="single" w:sz="5" w:space="0" w:color="000000"/>
              <w:right w:val="single" w:sz="5" w:space="0" w:color="000000"/>
            </w:tcBorders>
          </w:tcPr>
          <w:p w14:paraId="53887118" w14:textId="77777777" w:rsidR="00C770CB" w:rsidRPr="009167C6" w:rsidRDefault="00C770CB" w:rsidP="007E7849">
            <w:pPr>
              <w:pStyle w:val="TableParagraph"/>
              <w:ind w:left="327"/>
              <w:rPr>
                <w:rFonts w:ascii="Times New Roman" w:eastAsia="Times New Roman" w:hAnsi="Times New Roman" w:cs="Times New Roman"/>
                <w:lang w:val="hu-HU"/>
              </w:rPr>
            </w:pPr>
            <w:r w:rsidRPr="009167C6">
              <w:rPr>
                <w:rFonts w:ascii="Times New Roman" w:eastAsia="Times New Roman" w:hAnsi="Times New Roman" w:cs="Times New Roman"/>
                <w:b/>
                <w:bCs/>
                <w:spacing w:val="-1"/>
                <w:lang w:val="hu-HU"/>
              </w:rPr>
              <w:t>Placebo</w:t>
            </w:r>
          </w:p>
        </w:tc>
        <w:tc>
          <w:tcPr>
            <w:tcW w:w="1612" w:type="dxa"/>
            <w:tcBorders>
              <w:top w:val="single" w:sz="5" w:space="0" w:color="000000"/>
              <w:left w:val="single" w:sz="5" w:space="0" w:color="000000"/>
              <w:bottom w:val="single" w:sz="5" w:space="0" w:color="000000"/>
              <w:right w:val="single" w:sz="5" w:space="0" w:color="000000"/>
            </w:tcBorders>
          </w:tcPr>
          <w:p w14:paraId="34678BFF" w14:textId="77777777" w:rsidR="00C770CB" w:rsidRPr="009167C6" w:rsidRDefault="00C770CB" w:rsidP="007E7849">
            <w:pPr>
              <w:pStyle w:val="TableParagraph"/>
              <w:spacing w:before="1" w:line="252" w:lineRule="exact"/>
              <w:jc w:val="center"/>
              <w:rPr>
                <w:rFonts w:ascii="Times New Roman" w:eastAsia="Times New Roman" w:hAnsi="Times New Roman" w:cs="Times New Roman"/>
                <w:lang w:val="hu-HU"/>
              </w:rPr>
            </w:pPr>
            <w:r w:rsidRPr="009167C6">
              <w:rPr>
                <w:rFonts w:ascii="Times New Roman" w:eastAsia="Times New Roman" w:hAnsi="Times New Roman" w:cs="Times New Roman"/>
                <w:b/>
                <w:bCs/>
                <w:spacing w:val="-1"/>
                <w:lang w:val="hu-HU"/>
              </w:rPr>
              <w:t>Adalimumab 40 mg hetente</w:t>
            </w:r>
          </w:p>
        </w:tc>
      </w:tr>
      <w:tr w:rsidR="00C770CB" w:rsidRPr="009167C6" w14:paraId="7A03B56C" w14:textId="77777777" w:rsidTr="007E7849">
        <w:trPr>
          <w:trHeight w:hRule="exact" w:val="768"/>
        </w:trPr>
        <w:tc>
          <w:tcPr>
            <w:tcW w:w="2846" w:type="dxa"/>
            <w:tcBorders>
              <w:top w:val="single" w:sz="5" w:space="0" w:color="000000"/>
              <w:left w:val="single" w:sz="5" w:space="0" w:color="000000"/>
              <w:bottom w:val="single" w:sz="5" w:space="0" w:color="000000"/>
              <w:right w:val="single" w:sz="5" w:space="0" w:color="000000"/>
            </w:tcBorders>
          </w:tcPr>
          <w:p w14:paraId="5C9DF100" w14:textId="77777777" w:rsidR="00C770CB" w:rsidRPr="009167C6" w:rsidRDefault="00C770CB" w:rsidP="007E7849">
            <w:pPr>
              <w:pStyle w:val="TableParagraph"/>
              <w:spacing w:line="246" w:lineRule="exact"/>
              <w:ind w:left="109"/>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Hidradenitis suppurativa</w:t>
            </w:r>
          </w:p>
          <w:p w14:paraId="3233730E" w14:textId="77777777" w:rsidR="00C770CB" w:rsidRPr="009167C6" w:rsidRDefault="00C770CB" w:rsidP="007E7849">
            <w:pPr>
              <w:pStyle w:val="TableParagraph"/>
              <w:spacing w:line="252" w:lineRule="exact"/>
              <w:ind w:left="109"/>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Klinikai válasz (HiSCR)</w:t>
            </w:r>
            <w:r w:rsidRPr="009167C6">
              <w:rPr>
                <w:rFonts w:ascii="Times New Roman" w:eastAsia="Times New Roman" w:hAnsi="Times New Roman" w:cs="Times New Roman"/>
                <w:spacing w:val="-1"/>
                <w:vertAlign w:val="superscript"/>
                <w:lang w:val="hu-HU"/>
              </w:rPr>
              <w:t>a</w:t>
            </w:r>
          </w:p>
        </w:tc>
        <w:tc>
          <w:tcPr>
            <w:tcW w:w="1611" w:type="dxa"/>
            <w:tcBorders>
              <w:top w:val="single" w:sz="5" w:space="0" w:color="000000"/>
              <w:left w:val="single" w:sz="5" w:space="0" w:color="000000"/>
              <w:bottom w:val="single" w:sz="5" w:space="0" w:color="000000"/>
              <w:right w:val="single" w:sz="5" w:space="0" w:color="000000"/>
            </w:tcBorders>
          </w:tcPr>
          <w:p w14:paraId="7AD1A2B2" w14:textId="758D2ACB" w:rsidR="00C770CB" w:rsidRPr="007C168B" w:rsidRDefault="0041731B" w:rsidP="007E7849">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n</w:t>
            </w:r>
            <w:r w:rsidR="00C770CB" w:rsidRPr="007C168B">
              <w:rPr>
                <w:rFonts w:ascii="Times New Roman" w:eastAsia="Times New Roman" w:hAnsi="Times New Roman" w:cs="Times New Roman"/>
                <w:lang w:val="hu-HU"/>
              </w:rPr>
              <w:t>=154</w:t>
            </w:r>
          </w:p>
          <w:p w14:paraId="575B72DC" w14:textId="77777777" w:rsidR="00C770CB" w:rsidRPr="009167C6" w:rsidRDefault="00C770CB" w:rsidP="007E7849">
            <w:pPr>
              <w:pStyle w:val="TableParagraph"/>
              <w:spacing w:line="252" w:lineRule="exact"/>
              <w:jc w:val="center"/>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40 (26,0%)</w:t>
            </w:r>
          </w:p>
        </w:tc>
        <w:tc>
          <w:tcPr>
            <w:tcW w:w="1612" w:type="dxa"/>
            <w:tcBorders>
              <w:top w:val="single" w:sz="5" w:space="0" w:color="000000"/>
              <w:left w:val="single" w:sz="5" w:space="0" w:color="000000"/>
              <w:bottom w:val="single" w:sz="5" w:space="0" w:color="000000"/>
              <w:right w:val="single" w:sz="5" w:space="0" w:color="000000"/>
            </w:tcBorders>
          </w:tcPr>
          <w:p w14:paraId="6A5246D9" w14:textId="43AFAE79" w:rsidR="00C770CB" w:rsidRPr="009167C6" w:rsidRDefault="0041731B" w:rsidP="007E7849">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n</w:t>
            </w:r>
            <w:r w:rsidR="00C770CB" w:rsidRPr="009167C6">
              <w:rPr>
                <w:rFonts w:ascii="Times New Roman" w:eastAsia="Times New Roman" w:hAnsi="Times New Roman" w:cs="Times New Roman"/>
                <w:lang w:val="hu-HU"/>
              </w:rPr>
              <w:t>=153</w:t>
            </w:r>
          </w:p>
          <w:p w14:paraId="7174E65E" w14:textId="77777777" w:rsidR="00C770CB" w:rsidRPr="009167C6" w:rsidRDefault="00C770CB" w:rsidP="007E7849">
            <w:pPr>
              <w:pStyle w:val="TableParagraph"/>
              <w:spacing w:line="252" w:lineRule="exact"/>
              <w:jc w:val="center"/>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64 (41.8%) *</w:t>
            </w:r>
          </w:p>
        </w:tc>
        <w:tc>
          <w:tcPr>
            <w:tcW w:w="1612" w:type="dxa"/>
            <w:tcBorders>
              <w:top w:val="single" w:sz="5" w:space="0" w:color="000000"/>
              <w:left w:val="single" w:sz="5" w:space="0" w:color="000000"/>
              <w:bottom w:val="single" w:sz="5" w:space="0" w:color="000000"/>
              <w:right w:val="single" w:sz="5" w:space="0" w:color="000000"/>
            </w:tcBorders>
          </w:tcPr>
          <w:p w14:paraId="2CB6A7CD" w14:textId="45C53432" w:rsidR="00C770CB" w:rsidRPr="007C168B" w:rsidRDefault="0041731B" w:rsidP="007E7849">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n</w:t>
            </w:r>
            <w:r w:rsidR="00C770CB" w:rsidRPr="007C168B">
              <w:rPr>
                <w:rFonts w:ascii="Times New Roman" w:eastAsia="Times New Roman" w:hAnsi="Times New Roman" w:cs="Times New Roman"/>
                <w:spacing w:val="-1"/>
                <w:lang w:val="hu-HU"/>
              </w:rPr>
              <w:t>=163</w:t>
            </w:r>
          </w:p>
          <w:p w14:paraId="76501C7D" w14:textId="77777777" w:rsidR="00C770CB" w:rsidRPr="009167C6" w:rsidRDefault="00C770CB" w:rsidP="007E7849">
            <w:pPr>
              <w:pStyle w:val="TableParagraph"/>
              <w:spacing w:line="252" w:lineRule="exact"/>
              <w:jc w:val="center"/>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45 (27,6%)</w:t>
            </w:r>
          </w:p>
        </w:tc>
        <w:tc>
          <w:tcPr>
            <w:tcW w:w="1612" w:type="dxa"/>
            <w:tcBorders>
              <w:top w:val="single" w:sz="5" w:space="0" w:color="000000"/>
              <w:left w:val="single" w:sz="5" w:space="0" w:color="000000"/>
              <w:bottom w:val="single" w:sz="5" w:space="0" w:color="000000"/>
              <w:right w:val="single" w:sz="5" w:space="0" w:color="000000"/>
            </w:tcBorders>
          </w:tcPr>
          <w:p w14:paraId="7A61F060" w14:textId="39702CA5" w:rsidR="00C770CB" w:rsidRPr="009167C6" w:rsidRDefault="0041731B" w:rsidP="007E7849">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n</w:t>
            </w:r>
            <w:r w:rsidR="00C770CB" w:rsidRPr="009167C6">
              <w:rPr>
                <w:rFonts w:ascii="Times New Roman" w:eastAsia="Times New Roman" w:hAnsi="Times New Roman" w:cs="Times New Roman"/>
                <w:spacing w:val="-1"/>
                <w:lang w:val="hu-HU"/>
              </w:rPr>
              <w:t>=163</w:t>
            </w:r>
          </w:p>
          <w:p w14:paraId="1A4F9494" w14:textId="77777777" w:rsidR="00C770CB" w:rsidRPr="009167C6" w:rsidRDefault="00C770CB" w:rsidP="007E7849">
            <w:pPr>
              <w:pStyle w:val="TableParagraph"/>
              <w:spacing w:line="252" w:lineRule="exact"/>
              <w:jc w:val="center"/>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96 (58.9%)***</w:t>
            </w:r>
          </w:p>
        </w:tc>
      </w:tr>
      <w:tr w:rsidR="00C770CB" w:rsidRPr="009167C6" w14:paraId="773E0AE5" w14:textId="77777777" w:rsidTr="007E7849">
        <w:trPr>
          <w:trHeight w:hRule="exact" w:val="516"/>
        </w:trPr>
        <w:tc>
          <w:tcPr>
            <w:tcW w:w="2846" w:type="dxa"/>
            <w:tcBorders>
              <w:top w:val="single" w:sz="5" w:space="0" w:color="000000"/>
              <w:left w:val="single" w:sz="5" w:space="0" w:color="000000"/>
              <w:bottom w:val="single" w:sz="5" w:space="0" w:color="000000"/>
              <w:right w:val="single" w:sz="5" w:space="0" w:color="000000"/>
            </w:tcBorders>
          </w:tcPr>
          <w:p w14:paraId="7B53F142" w14:textId="77777777" w:rsidR="00C770CB" w:rsidRPr="009167C6" w:rsidRDefault="00C770CB" w:rsidP="007E7849">
            <w:pPr>
              <w:pStyle w:val="TableParagraph"/>
              <w:spacing w:line="246" w:lineRule="exact"/>
              <w:ind w:left="109"/>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≥30%-os bőrfájdalom</w:t>
            </w:r>
          </w:p>
          <w:p w14:paraId="5E5B6916" w14:textId="77777777" w:rsidR="00C770CB" w:rsidRPr="009167C6" w:rsidRDefault="00C770CB" w:rsidP="007E7849">
            <w:pPr>
              <w:pStyle w:val="TableParagraph"/>
              <w:spacing w:line="254" w:lineRule="exact"/>
              <w:ind w:left="109"/>
              <w:rPr>
                <w:rFonts w:ascii="Times New Roman" w:eastAsia="Times New Roman" w:hAnsi="Times New Roman" w:cs="Times New Roman"/>
                <w:lang w:val="hu-HU"/>
              </w:rPr>
            </w:pPr>
            <w:r w:rsidRPr="009167C6">
              <w:rPr>
                <w:rFonts w:ascii="Times New Roman" w:eastAsia="Times New Roman" w:hAnsi="Times New Roman" w:cs="Times New Roman"/>
                <w:lang w:val="hu-HU"/>
              </w:rPr>
              <w:t>csökkenés</w:t>
            </w:r>
            <w:r w:rsidRPr="009167C6">
              <w:rPr>
                <w:rFonts w:ascii="Times New Roman" w:eastAsia="Times New Roman" w:hAnsi="Times New Roman" w:cs="Times New Roman"/>
                <w:vertAlign w:val="superscript"/>
                <w:lang w:val="hu-HU"/>
              </w:rPr>
              <w:t>b</w:t>
            </w:r>
          </w:p>
        </w:tc>
        <w:tc>
          <w:tcPr>
            <w:tcW w:w="1611" w:type="dxa"/>
            <w:tcBorders>
              <w:top w:val="single" w:sz="5" w:space="0" w:color="000000"/>
              <w:left w:val="single" w:sz="5" w:space="0" w:color="000000"/>
              <w:bottom w:val="single" w:sz="5" w:space="0" w:color="000000"/>
              <w:right w:val="single" w:sz="5" w:space="0" w:color="000000"/>
            </w:tcBorders>
          </w:tcPr>
          <w:p w14:paraId="73DB516C" w14:textId="1F6D7E8D" w:rsidR="00C770CB" w:rsidRPr="007C168B" w:rsidRDefault="0041731B" w:rsidP="007E7849">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n</w:t>
            </w:r>
            <w:r w:rsidR="00C770CB" w:rsidRPr="007C168B">
              <w:rPr>
                <w:rFonts w:ascii="Times New Roman" w:eastAsia="Times New Roman" w:hAnsi="Times New Roman" w:cs="Times New Roman"/>
                <w:lang w:val="hu-HU"/>
              </w:rPr>
              <w:t>=109</w:t>
            </w:r>
          </w:p>
          <w:p w14:paraId="3FCF93AC" w14:textId="77777777" w:rsidR="00C770CB" w:rsidRPr="009167C6" w:rsidRDefault="00C770CB" w:rsidP="007E7849">
            <w:pPr>
              <w:pStyle w:val="TableParagraph"/>
              <w:spacing w:before="1"/>
              <w:jc w:val="center"/>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27 (24,8%)</w:t>
            </w:r>
          </w:p>
        </w:tc>
        <w:tc>
          <w:tcPr>
            <w:tcW w:w="1612" w:type="dxa"/>
            <w:tcBorders>
              <w:top w:val="single" w:sz="5" w:space="0" w:color="000000"/>
              <w:left w:val="single" w:sz="5" w:space="0" w:color="000000"/>
              <w:bottom w:val="single" w:sz="5" w:space="0" w:color="000000"/>
              <w:right w:val="single" w:sz="5" w:space="0" w:color="000000"/>
            </w:tcBorders>
          </w:tcPr>
          <w:p w14:paraId="1960F5A5" w14:textId="469C9B13" w:rsidR="00C770CB" w:rsidRPr="009167C6" w:rsidRDefault="0041731B" w:rsidP="007E7849">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n</w:t>
            </w:r>
            <w:r w:rsidR="00C770CB" w:rsidRPr="009167C6">
              <w:rPr>
                <w:rFonts w:ascii="Times New Roman" w:eastAsia="Times New Roman" w:hAnsi="Times New Roman" w:cs="Times New Roman"/>
                <w:lang w:val="hu-HU"/>
              </w:rPr>
              <w:t>=122</w:t>
            </w:r>
          </w:p>
          <w:p w14:paraId="37BC6B59" w14:textId="77777777" w:rsidR="00C770CB" w:rsidRPr="009167C6" w:rsidRDefault="00C770CB" w:rsidP="007E7849">
            <w:pPr>
              <w:pStyle w:val="TableParagraph"/>
              <w:spacing w:before="1"/>
              <w:jc w:val="center"/>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34 (27,9%)</w:t>
            </w:r>
          </w:p>
        </w:tc>
        <w:tc>
          <w:tcPr>
            <w:tcW w:w="1612" w:type="dxa"/>
            <w:tcBorders>
              <w:top w:val="single" w:sz="5" w:space="0" w:color="000000"/>
              <w:left w:val="single" w:sz="5" w:space="0" w:color="000000"/>
              <w:bottom w:val="single" w:sz="5" w:space="0" w:color="000000"/>
              <w:right w:val="single" w:sz="5" w:space="0" w:color="000000"/>
            </w:tcBorders>
          </w:tcPr>
          <w:p w14:paraId="526EF5D8" w14:textId="00F5F60F" w:rsidR="00C770CB" w:rsidRPr="009167C6" w:rsidRDefault="0041731B" w:rsidP="007E7849">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n</w:t>
            </w:r>
            <w:r w:rsidR="00C770CB" w:rsidRPr="009167C6">
              <w:rPr>
                <w:rFonts w:ascii="Times New Roman" w:eastAsia="Times New Roman" w:hAnsi="Times New Roman" w:cs="Times New Roman"/>
                <w:spacing w:val="-1"/>
                <w:lang w:val="hu-HU"/>
              </w:rPr>
              <w:t>=111</w:t>
            </w:r>
          </w:p>
          <w:p w14:paraId="05DA485F" w14:textId="77777777" w:rsidR="00C770CB" w:rsidRPr="009167C6" w:rsidRDefault="00C770CB" w:rsidP="007E7849">
            <w:pPr>
              <w:pStyle w:val="TableParagraph"/>
              <w:spacing w:before="1"/>
              <w:jc w:val="center"/>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23 (20,7%)</w:t>
            </w:r>
          </w:p>
        </w:tc>
        <w:tc>
          <w:tcPr>
            <w:tcW w:w="1612" w:type="dxa"/>
            <w:tcBorders>
              <w:top w:val="single" w:sz="5" w:space="0" w:color="000000"/>
              <w:left w:val="single" w:sz="5" w:space="0" w:color="000000"/>
              <w:bottom w:val="single" w:sz="5" w:space="0" w:color="000000"/>
              <w:right w:val="single" w:sz="5" w:space="0" w:color="000000"/>
            </w:tcBorders>
          </w:tcPr>
          <w:p w14:paraId="22172361" w14:textId="76ED3BDE" w:rsidR="00C770CB" w:rsidRPr="009167C6" w:rsidRDefault="0041731B" w:rsidP="007E7849">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n</w:t>
            </w:r>
            <w:r w:rsidR="00C770CB" w:rsidRPr="009167C6">
              <w:rPr>
                <w:rFonts w:ascii="Times New Roman" w:eastAsia="Times New Roman" w:hAnsi="Times New Roman" w:cs="Times New Roman"/>
                <w:spacing w:val="-1"/>
                <w:lang w:val="hu-HU"/>
              </w:rPr>
              <w:t>=105</w:t>
            </w:r>
          </w:p>
          <w:p w14:paraId="6CB502EC" w14:textId="77777777" w:rsidR="00C770CB" w:rsidRPr="009167C6" w:rsidRDefault="00C770CB" w:rsidP="007E7849">
            <w:pPr>
              <w:pStyle w:val="TableParagraph"/>
              <w:spacing w:line="254" w:lineRule="exact"/>
              <w:jc w:val="center"/>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48 (45,7%) ***</w:t>
            </w:r>
          </w:p>
        </w:tc>
      </w:tr>
      <w:tr w:rsidR="00C770CB" w:rsidRPr="00BE4D18" w14:paraId="5BE7C186" w14:textId="77777777" w:rsidTr="007E7849">
        <w:trPr>
          <w:trHeight w:hRule="exact" w:val="1063"/>
        </w:trPr>
        <w:tc>
          <w:tcPr>
            <w:tcW w:w="9293" w:type="dxa"/>
            <w:gridSpan w:val="5"/>
            <w:tcBorders>
              <w:top w:val="single" w:sz="5" w:space="0" w:color="000000"/>
              <w:left w:val="single" w:sz="5" w:space="0" w:color="000000"/>
              <w:bottom w:val="single" w:sz="5" w:space="0" w:color="000000"/>
              <w:right w:val="single" w:sz="5" w:space="0" w:color="000000"/>
            </w:tcBorders>
          </w:tcPr>
          <w:p w14:paraId="2234FA70" w14:textId="77777777" w:rsidR="00C770CB" w:rsidRPr="009167C6" w:rsidRDefault="00C770CB" w:rsidP="007E7849">
            <w:pPr>
              <w:pStyle w:val="TableParagraph"/>
              <w:spacing w:line="246" w:lineRule="exact"/>
              <w:ind w:left="469"/>
              <w:rPr>
                <w:rFonts w:ascii="Times New Roman" w:eastAsia="Times New Roman" w:hAnsi="Times New Roman" w:cs="Times New Roman"/>
                <w:lang w:val="hu-HU"/>
              </w:rPr>
            </w:pPr>
            <w:r w:rsidRPr="009167C6">
              <w:rPr>
                <w:rFonts w:ascii="Times New Roman" w:eastAsia="Times New Roman" w:hAnsi="Times New Roman" w:cs="Times New Roman"/>
                <w:lang w:val="hu-HU"/>
              </w:rPr>
              <w:t xml:space="preserve">* </w:t>
            </w:r>
            <w:r w:rsidRPr="009167C6">
              <w:rPr>
                <w:rFonts w:ascii="Times New Roman" w:eastAsia="Times New Roman" w:hAnsi="Times New Roman" w:cs="Times New Roman"/>
                <w:i/>
                <w:iCs/>
                <w:lang w:val="hu-HU"/>
              </w:rPr>
              <w:t xml:space="preserve">P </w:t>
            </w:r>
            <w:r w:rsidRPr="009167C6">
              <w:rPr>
                <w:rFonts w:ascii="Times New Roman" w:eastAsia="Times New Roman" w:hAnsi="Times New Roman" w:cs="Times New Roman"/>
                <w:lang w:val="hu-HU"/>
              </w:rPr>
              <w:t>&lt; 0.05, ***</w:t>
            </w:r>
            <w:r w:rsidRPr="009167C6">
              <w:rPr>
                <w:rFonts w:ascii="Times New Roman" w:eastAsia="Times New Roman" w:hAnsi="Times New Roman" w:cs="Times New Roman"/>
                <w:i/>
                <w:iCs/>
                <w:lang w:val="hu-HU"/>
              </w:rPr>
              <w:t xml:space="preserve">P </w:t>
            </w:r>
            <w:r w:rsidRPr="009167C6">
              <w:rPr>
                <w:rFonts w:ascii="Times New Roman" w:eastAsia="Times New Roman" w:hAnsi="Times New Roman" w:cs="Times New Roman"/>
                <w:lang w:val="hu-HU"/>
              </w:rPr>
              <w:t>&lt; 0.001, adalimumab versus placebo</w:t>
            </w:r>
          </w:p>
          <w:p w14:paraId="65786F48" w14:textId="77777777" w:rsidR="00C770CB" w:rsidRPr="009167C6" w:rsidRDefault="00C770CB" w:rsidP="007E7849">
            <w:pPr>
              <w:pStyle w:val="a4"/>
              <w:numPr>
                <w:ilvl w:val="0"/>
                <w:numId w:val="10"/>
              </w:numPr>
              <w:tabs>
                <w:tab w:val="left" w:pos="469"/>
              </w:tabs>
              <w:spacing w:before="32"/>
              <w:ind w:left="469"/>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Az összes randomizált betegeknél.</w:t>
            </w:r>
          </w:p>
          <w:p w14:paraId="5851F9C4" w14:textId="77777777" w:rsidR="00C770CB" w:rsidRPr="009167C6" w:rsidRDefault="00C770CB" w:rsidP="007E7849">
            <w:pPr>
              <w:pStyle w:val="a4"/>
              <w:numPr>
                <w:ilvl w:val="0"/>
                <w:numId w:val="10"/>
              </w:numPr>
              <w:tabs>
                <w:tab w:val="left" w:pos="469"/>
              </w:tabs>
              <w:spacing w:before="41" w:line="240" w:lineRule="exact"/>
              <w:ind w:left="469" w:right="598"/>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Azoknál a betegeknél, akiknél a vizsgálat megkezdésekor a HS-sel összefüggő bőrfájdalom értéke ≥3 a 0-10-ig terjedő Numerikus skála alapján: 0 = nincs bőrfájdalom, 10 = olyan súlyos bőrfájdalom, amit csak el lehet képzelni.</w:t>
            </w:r>
          </w:p>
        </w:tc>
      </w:tr>
    </w:tbl>
    <w:p w14:paraId="64F80C0B" w14:textId="77777777" w:rsidR="00C770CB" w:rsidRDefault="00C770CB" w:rsidP="00C770CB">
      <w:pPr>
        <w:spacing w:before="5" w:line="170" w:lineRule="exact"/>
        <w:rPr>
          <w:sz w:val="17"/>
          <w:szCs w:val="17"/>
          <w:lang w:val="hu-HU"/>
        </w:rPr>
      </w:pPr>
    </w:p>
    <w:p w14:paraId="1AF2DE16" w14:textId="77777777" w:rsidR="00C770CB" w:rsidRDefault="00C770CB" w:rsidP="00C770CB">
      <w:pPr>
        <w:pStyle w:val="a3"/>
        <w:rPr>
          <w:lang w:val="hu-HU"/>
        </w:rPr>
      </w:pPr>
      <w:r>
        <w:rPr>
          <w:rFonts w:eastAsia="Times New Roman"/>
          <w:lang w:val="hu-HU"/>
        </w:rPr>
        <w:t>A minden héten 40 mg adalimumab adagolásán alapuló kezelés jelentősen lecsökkentette a tályogok és váladékozó fistulák romlásának kockázatát. A HS-</w:t>
      </w:r>
      <w:r w:rsidRPr="009167C6">
        <w:rPr>
          <w:lang w:val="hu-HU"/>
        </w:rPr>
        <w:t> </w:t>
      </w:r>
      <w:r>
        <w:rPr>
          <w:rFonts w:eastAsia="Times New Roman"/>
          <w:lang w:val="hu-HU"/>
        </w:rPr>
        <w:t xml:space="preserve"> I ésHS-</w:t>
      </w:r>
      <w:r w:rsidRPr="009167C6">
        <w:rPr>
          <w:lang w:val="hu-HU"/>
        </w:rPr>
        <w:t> </w:t>
      </w:r>
      <w:r>
        <w:rPr>
          <w:rFonts w:eastAsia="Times New Roman"/>
          <w:lang w:val="hu-HU"/>
        </w:rPr>
        <w:t xml:space="preserve"> II vizsgálat első 12 hetében megközelítőleg kétszer annyi, a placebocsoportba tartozó betegnél tapasztaltak romló tályogokat (23,0% vs 11,4%) és váladékozó fistulák (30,0% vs 13,9%), mint az adalimumab csoport betegeinél.</w:t>
      </w:r>
    </w:p>
    <w:p w14:paraId="723EAE88" w14:textId="77777777" w:rsidR="00C770CB" w:rsidRDefault="00C770CB" w:rsidP="00C770CB">
      <w:pPr>
        <w:spacing w:before="14" w:line="240" w:lineRule="exact"/>
        <w:rPr>
          <w:sz w:val="24"/>
          <w:szCs w:val="24"/>
          <w:lang w:val="hu-HU"/>
        </w:rPr>
      </w:pPr>
    </w:p>
    <w:p w14:paraId="69BA8E9D" w14:textId="77777777" w:rsidR="00C770CB" w:rsidRDefault="00C770CB" w:rsidP="00C770CB">
      <w:pPr>
        <w:pStyle w:val="a3"/>
        <w:rPr>
          <w:lang w:val="hu-HU"/>
        </w:rPr>
      </w:pPr>
      <w:r>
        <w:rPr>
          <w:rFonts w:eastAsia="Times New Roman"/>
          <w:lang w:val="hu-HU"/>
        </w:rPr>
        <w:t>A bőr-specifikus egészséggel kapcsolatos életminőségben bekövetkező számottevő javulást mutattak ki a placebóhoz képest a 12. héten a kiindulási értékéhez képest a Dermatológiai Élet Minőség Index-szel (DLQI; HS-I és HS-II vizsgálat), a beteg gyógyszeres kezeléssel való általános megelégedettségében a Kezelési Elégedettségi Kérdőív – gyógyszerelés részével (TSQM, HS-</w:t>
      </w:r>
      <w:r w:rsidRPr="009167C6">
        <w:rPr>
          <w:lang w:val="hu-HU"/>
        </w:rPr>
        <w:t> </w:t>
      </w:r>
      <w:r>
        <w:rPr>
          <w:rFonts w:eastAsia="Times New Roman"/>
          <w:lang w:val="hu-HU"/>
        </w:rPr>
        <w:t xml:space="preserve"> I és HS-</w:t>
      </w:r>
      <w:r w:rsidRPr="009167C6">
        <w:rPr>
          <w:lang w:val="hu-HU"/>
        </w:rPr>
        <w:t> </w:t>
      </w:r>
      <w:r>
        <w:rPr>
          <w:rFonts w:eastAsia="Times New Roman"/>
          <w:lang w:val="hu-HU"/>
        </w:rPr>
        <w:t xml:space="preserve"> II vizsgálatok) és a fizikai egészségben az SF-36 fizikai komponens összefoglaló pontszám által (HS-I vizsgálat)</w:t>
      </w:r>
    </w:p>
    <w:p w14:paraId="34FE1CF0" w14:textId="77777777" w:rsidR="00C770CB" w:rsidRDefault="00C770CB" w:rsidP="00C770CB">
      <w:pPr>
        <w:spacing w:before="13" w:line="240" w:lineRule="exact"/>
        <w:rPr>
          <w:sz w:val="24"/>
          <w:szCs w:val="24"/>
          <w:lang w:val="hu-HU"/>
        </w:rPr>
      </w:pPr>
    </w:p>
    <w:p w14:paraId="13A8FF5A" w14:textId="6170E04B" w:rsidR="00C770CB" w:rsidRDefault="00C770CB" w:rsidP="00C770CB">
      <w:pPr>
        <w:pStyle w:val="a3"/>
        <w:rPr>
          <w:lang w:val="hu-HU"/>
        </w:rPr>
      </w:pPr>
      <w:r>
        <w:rPr>
          <w:rFonts w:eastAsia="Times New Roman"/>
          <w:lang w:val="hu-HU"/>
        </w:rPr>
        <w:t xml:space="preserve">Azoknál a betegeknél akik a 12. héten legalább részlegesen reagáltak a heti 40 mg adalimumabra, a 36. hétre a HiSCR arány magasabb volt azoknál, akik hetente folytatták az adalimumab alkalmazását, mint azoknál, akiknél az adagolás gyakorisága kéthetenkéntire csökkent, vagy akiknél abbahagyták a kezelést (lásd </w:t>
      </w:r>
      <w:r w:rsidR="009454CE">
        <w:rPr>
          <w:rFonts w:eastAsia="Times New Roman"/>
          <w:lang w:val="hu-HU"/>
        </w:rPr>
        <w:t>13</w:t>
      </w:r>
      <w:r>
        <w:rPr>
          <w:rFonts w:eastAsia="Times New Roman"/>
          <w:lang w:val="hu-HU"/>
        </w:rPr>
        <w:t>. táblázat).</w:t>
      </w:r>
    </w:p>
    <w:p w14:paraId="5558E334" w14:textId="5F02A994" w:rsidR="00C770CB" w:rsidRDefault="00C770CB" w:rsidP="00C770CB">
      <w:pPr>
        <w:rPr>
          <w:sz w:val="26"/>
          <w:szCs w:val="26"/>
          <w:lang w:val="hu-HU"/>
        </w:rPr>
      </w:pPr>
    </w:p>
    <w:p w14:paraId="4E1134FB" w14:textId="7DD8718C" w:rsidR="00C770CB" w:rsidRDefault="009454CE" w:rsidP="00C770CB">
      <w:pPr>
        <w:pStyle w:val="a3"/>
        <w:jc w:val="center"/>
        <w:rPr>
          <w:b/>
          <w:lang w:val="hu-HU"/>
        </w:rPr>
      </w:pPr>
      <w:r>
        <w:rPr>
          <w:rFonts w:eastAsia="Times New Roman"/>
          <w:b/>
          <w:bCs/>
          <w:lang w:val="hu-HU"/>
        </w:rPr>
        <w:t>13</w:t>
      </w:r>
      <w:r w:rsidR="00C770CB">
        <w:rPr>
          <w:rFonts w:eastAsia="Times New Roman"/>
          <w:b/>
          <w:bCs/>
          <w:lang w:val="hu-HU"/>
        </w:rPr>
        <w:t>. táblázat</w:t>
      </w:r>
    </w:p>
    <w:p w14:paraId="052A5B07" w14:textId="16FCF0B8" w:rsidR="00C770CB" w:rsidRDefault="00C770CB" w:rsidP="00C770CB">
      <w:pPr>
        <w:pStyle w:val="a3"/>
        <w:jc w:val="center"/>
        <w:rPr>
          <w:rFonts w:eastAsia="Times New Roman"/>
          <w:b/>
          <w:bCs/>
          <w:lang w:val="hu-HU"/>
        </w:rPr>
      </w:pPr>
      <w:r>
        <w:rPr>
          <w:rFonts w:eastAsia="Times New Roman"/>
          <w:b/>
          <w:bCs/>
          <w:lang w:val="hu-HU"/>
        </w:rPr>
        <w:t>A HiSCR-t</w:t>
      </w:r>
      <w:r>
        <w:rPr>
          <w:rFonts w:eastAsia="Times New Roman"/>
          <w:b/>
          <w:bCs/>
          <w:vertAlign w:val="superscript"/>
          <w:lang w:val="hu-HU"/>
        </w:rPr>
        <w:t>b</w:t>
      </w:r>
      <w:r>
        <w:rPr>
          <w:rFonts w:eastAsia="Times New Roman"/>
          <w:b/>
          <w:bCs/>
          <w:lang w:val="hu-HU"/>
        </w:rPr>
        <w:t xml:space="preserve"> elérő betegek</w:t>
      </w:r>
      <w:r>
        <w:rPr>
          <w:rFonts w:eastAsia="Times New Roman"/>
          <w:b/>
          <w:bCs/>
          <w:vertAlign w:val="superscript"/>
          <w:lang w:val="hu-HU"/>
        </w:rPr>
        <w:t>a</w:t>
      </w:r>
      <w:r>
        <w:rPr>
          <w:rFonts w:eastAsia="Times New Roman"/>
          <w:b/>
          <w:bCs/>
          <w:lang w:val="hu-HU"/>
        </w:rPr>
        <w:t xml:space="preserve"> aránya a 24. és 36. héten a heti adalimumab adagolás megváltoztatása után a 12. héten</w:t>
      </w:r>
    </w:p>
    <w:p w14:paraId="00AB774C" w14:textId="77777777" w:rsidR="00CB3242" w:rsidRDefault="00CB3242" w:rsidP="00C770CB">
      <w:pPr>
        <w:pStyle w:val="a3"/>
        <w:jc w:val="center"/>
        <w:rPr>
          <w:b/>
          <w:lang w:val="hu-HU"/>
        </w:rPr>
      </w:pPr>
    </w:p>
    <w:tbl>
      <w:tblPr>
        <w:tblStyle w:val="TableNormal1"/>
        <w:tblW w:w="8679" w:type="dxa"/>
        <w:jc w:val="center"/>
        <w:tblLayout w:type="fixed"/>
        <w:tblLook w:val="01E0" w:firstRow="1" w:lastRow="1" w:firstColumn="1" w:lastColumn="1" w:noHBand="0" w:noVBand="0"/>
      </w:tblPr>
      <w:tblGrid>
        <w:gridCol w:w="1720"/>
        <w:gridCol w:w="2369"/>
        <w:gridCol w:w="2369"/>
        <w:gridCol w:w="2221"/>
      </w:tblGrid>
      <w:tr w:rsidR="00C770CB" w14:paraId="51807EE6" w14:textId="77777777" w:rsidTr="007E7849">
        <w:trPr>
          <w:jc w:val="center"/>
        </w:trPr>
        <w:tc>
          <w:tcPr>
            <w:tcW w:w="1720" w:type="dxa"/>
            <w:tcBorders>
              <w:top w:val="single" w:sz="5" w:space="0" w:color="000000"/>
              <w:left w:val="single" w:sz="5" w:space="0" w:color="000000"/>
              <w:bottom w:val="single" w:sz="5" w:space="0" w:color="000000"/>
              <w:right w:val="single" w:sz="5" w:space="0" w:color="000000"/>
            </w:tcBorders>
          </w:tcPr>
          <w:p w14:paraId="44F2C6DA" w14:textId="77777777" w:rsidR="00C770CB" w:rsidRDefault="00C770CB" w:rsidP="007E7849">
            <w:pPr>
              <w:rPr>
                <w:lang w:val="hu-HU"/>
              </w:rPr>
            </w:pPr>
          </w:p>
        </w:tc>
        <w:tc>
          <w:tcPr>
            <w:tcW w:w="2369" w:type="dxa"/>
            <w:tcBorders>
              <w:top w:val="single" w:sz="5" w:space="0" w:color="000000"/>
              <w:left w:val="single" w:sz="5" w:space="0" w:color="000000"/>
              <w:bottom w:val="single" w:sz="5" w:space="0" w:color="000000"/>
              <w:right w:val="single" w:sz="5" w:space="0" w:color="000000"/>
            </w:tcBorders>
          </w:tcPr>
          <w:p w14:paraId="30C37296" w14:textId="77777777" w:rsidR="00C770CB" w:rsidRDefault="00C770CB" w:rsidP="007E7849">
            <w:pPr>
              <w:pStyle w:val="TableParagraph"/>
              <w:spacing w:before="37" w:line="240" w:lineRule="exact"/>
              <w:ind w:left="409" w:right="407" w:hanging="2"/>
              <w:jc w:val="center"/>
              <w:rPr>
                <w:rFonts w:ascii="Times New Roman" w:eastAsia="Times New Roman" w:hAnsi="Times New Roman" w:cs="Times New Roman"/>
                <w:b/>
                <w:bCs/>
                <w:lang w:val="hu-HU"/>
              </w:rPr>
            </w:pPr>
            <w:r>
              <w:rPr>
                <w:rFonts w:ascii="Times New Roman" w:eastAsia="Times New Roman" w:hAnsi="Times New Roman" w:cs="Times New Roman"/>
                <w:b/>
                <w:bCs/>
                <w:lang w:val="hu-HU"/>
              </w:rPr>
              <w:t xml:space="preserve">Placebo (kezelés megszakítva) </w:t>
            </w:r>
          </w:p>
          <w:p w14:paraId="550FB2B7" w14:textId="73890B22" w:rsidR="00C770CB" w:rsidRDefault="0041731B" w:rsidP="007E7849">
            <w:pPr>
              <w:pStyle w:val="TableParagraph"/>
              <w:spacing w:before="37" w:line="240" w:lineRule="exact"/>
              <w:ind w:left="409" w:right="407" w:hanging="2"/>
              <w:jc w:val="center"/>
              <w:rPr>
                <w:rFonts w:ascii="Times New Roman" w:eastAsia="Times New Roman" w:hAnsi="Times New Roman" w:cs="Times New Roman"/>
                <w:lang w:val="hu-HU"/>
              </w:rPr>
            </w:pPr>
            <w:r>
              <w:rPr>
                <w:rFonts w:ascii="Times New Roman" w:eastAsia="Times New Roman" w:hAnsi="Times New Roman" w:cs="Times New Roman"/>
                <w:b/>
                <w:bCs/>
                <w:lang w:val="hu-HU"/>
              </w:rPr>
              <w:t xml:space="preserve">n </w:t>
            </w:r>
            <w:r w:rsidR="00C770CB">
              <w:rPr>
                <w:rFonts w:ascii="Times New Roman" w:eastAsia="Times New Roman" w:hAnsi="Times New Roman" w:cs="Times New Roman"/>
                <w:b/>
                <w:bCs/>
                <w:lang w:val="hu-HU"/>
              </w:rPr>
              <w:t>= 73</w:t>
            </w:r>
          </w:p>
        </w:tc>
        <w:tc>
          <w:tcPr>
            <w:tcW w:w="2369" w:type="dxa"/>
            <w:tcBorders>
              <w:top w:val="single" w:sz="5" w:space="0" w:color="000000"/>
              <w:left w:val="single" w:sz="5" w:space="0" w:color="000000"/>
              <w:bottom w:val="single" w:sz="5" w:space="0" w:color="000000"/>
              <w:right w:val="single" w:sz="5" w:space="0" w:color="000000"/>
            </w:tcBorders>
          </w:tcPr>
          <w:p w14:paraId="56480898" w14:textId="6B7CFA2E" w:rsidR="00C770CB" w:rsidRDefault="00C770CB" w:rsidP="0041731B">
            <w:pPr>
              <w:pStyle w:val="TableParagraph"/>
              <w:spacing w:line="240" w:lineRule="exact"/>
              <w:ind w:left="183" w:right="180" w:hanging="4"/>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 xml:space="preserve">Adalimumab 40 mg minden 2. héten </w:t>
            </w:r>
            <w:r>
              <w:rPr>
                <w:rFonts w:ascii="Times New Roman" w:eastAsia="Times New Roman" w:hAnsi="Times New Roman" w:cs="Times New Roman"/>
                <w:b/>
                <w:bCs/>
                <w:spacing w:val="-1"/>
                <w:lang w:val="hu-HU"/>
              </w:rPr>
              <w:br/>
            </w:r>
            <w:r w:rsidR="0041731B">
              <w:rPr>
                <w:rFonts w:ascii="Times New Roman" w:eastAsia="Times New Roman" w:hAnsi="Times New Roman" w:cs="Times New Roman"/>
                <w:b/>
                <w:bCs/>
                <w:spacing w:val="-1"/>
                <w:lang w:val="hu-HU"/>
              </w:rPr>
              <w:t xml:space="preserve">n </w:t>
            </w:r>
            <w:r>
              <w:rPr>
                <w:rFonts w:ascii="Times New Roman" w:eastAsia="Times New Roman" w:hAnsi="Times New Roman" w:cs="Times New Roman"/>
                <w:b/>
                <w:bCs/>
                <w:spacing w:val="-1"/>
                <w:lang w:val="hu-HU"/>
              </w:rPr>
              <w:t>= 70</w:t>
            </w:r>
          </w:p>
        </w:tc>
        <w:tc>
          <w:tcPr>
            <w:tcW w:w="2219" w:type="dxa"/>
            <w:tcBorders>
              <w:top w:val="single" w:sz="5" w:space="0" w:color="000000"/>
              <w:left w:val="single" w:sz="5" w:space="0" w:color="000000"/>
              <w:bottom w:val="single" w:sz="5" w:space="0" w:color="000000"/>
              <w:right w:val="single" w:sz="5" w:space="0" w:color="000000"/>
            </w:tcBorders>
          </w:tcPr>
          <w:p w14:paraId="247EA190" w14:textId="77777777" w:rsidR="00C770CB" w:rsidRDefault="00C770CB" w:rsidP="007E7849">
            <w:pPr>
              <w:pStyle w:val="TableParagraph"/>
              <w:spacing w:line="240" w:lineRule="exact"/>
              <w:ind w:left="236" w:right="236"/>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Adalimumab 40 mg hetente</w:t>
            </w:r>
          </w:p>
          <w:p w14:paraId="2908CBD5" w14:textId="3496A708" w:rsidR="00C770CB" w:rsidRDefault="0041731B" w:rsidP="007E7849">
            <w:pPr>
              <w:pStyle w:val="TableParagraph"/>
              <w:spacing w:line="240" w:lineRule="exact"/>
              <w:ind w:left="595" w:right="598"/>
              <w:jc w:val="center"/>
              <w:rPr>
                <w:rFonts w:ascii="Times New Roman" w:eastAsia="Times New Roman" w:hAnsi="Times New Roman" w:cs="Times New Roman"/>
                <w:lang w:val="hu-HU"/>
              </w:rPr>
            </w:pPr>
            <w:r>
              <w:rPr>
                <w:rFonts w:ascii="Times New Roman" w:eastAsia="Times New Roman" w:hAnsi="Times New Roman" w:cs="Times New Roman"/>
                <w:b/>
                <w:bCs/>
                <w:lang w:val="hu-HU"/>
              </w:rPr>
              <w:t>n</w:t>
            </w:r>
            <w:r w:rsidR="00C770CB">
              <w:rPr>
                <w:rFonts w:ascii="Times New Roman" w:eastAsia="Times New Roman" w:hAnsi="Times New Roman" w:cs="Times New Roman"/>
                <w:b/>
                <w:bCs/>
                <w:lang w:val="hu-HU"/>
              </w:rPr>
              <w:t>= 70</w:t>
            </w:r>
          </w:p>
        </w:tc>
      </w:tr>
      <w:tr w:rsidR="00C770CB" w14:paraId="3422EE7E" w14:textId="77777777" w:rsidTr="007E7849">
        <w:trPr>
          <w:jc w:val="center"/>
        </w:trPr>
        <w:tc>
          <w:tcPr>
            <w:tcW w:w="1720" w:type="dxa"/>
            <w:tcBorders>
              <w:top w:val="single" w:sz="5" w:space="0" w:color="000000"/>
              <w:left w:val="single" w:sz="5" w:space="0" w:color="000000"/>
              <w:bottom w:val="single" w:sz="5" w:space="0" w:color="000000"/>
              <w:right w:val="single" w:sz="5" w:space="0" w:color="000000"/>
            </w:tcBorders>
          </w:tcPr>
          <w:p w14:paraId="49911333" w14:textId="77777777" w:rsidR="00C770CB" w:rsidRDefault="00C770CB" w:rsidP="007E7849">
            <w:pPr>
              <w:pStyle w:val="TableParagraph"/>
              <w:spacing w:before="24"/>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24. hét</w:t>
            </w:r>
          </w:p>
        </w:tc>
        <w:tc>
          <w:tcPr>
            <w:tcW w:w="2369" w:type="dxa"/>
            <w:tcBorders>
              <w:top w:val="single" w:sz="5" w:space="0" w:color="000000"/>
              <w:left w:val="single" w:sz="5" w:space="0" w:color="000000"/>
              <w:bottom w:val="single" w:sz="5" w:space="0" w:color="000000"/>
              <w:right w:val="single" w:sz="5" w:space="0" w:color="000000"/>
            </w:tcBorders>
          </w:tcPr>
          <w:p w14:paraId="5D9A569B" w14:textId="77777777" w:rsidR="00C770CB" w:rsidRDefault="00C770CB" w:rsidP="007E7849">
            <w:pPr>
              <w:pStyle w:val="TableParagraph"/>
              <w:spacing w:before="24"/>
              <w:ind w:left="488"/>
              <w:rPr>
                <w:rFonts w:ascii="Times New Roman" w:eastAsia="Times New Roman" w:hAnsi="Times New Roman" w:cs="Times New Roman"/>
                <w:lang w:val="hu-HU"/>
              </w:rPr>
            </w:pPr>
            <w:r>
              <w:rPr>
                <w:rFonts w:ascii="Times New Roman" w:eastAsia="Times New Roman" w:hAnsi="Times New Roman" w:cs="Times New Roman"/>
                <w:spacing w:val="-1"/>
                <w:lang w:val="hu-HU"/>
              </w:rPr>
              <w:t>24 (32,9%)</w:t>
            </w:r>
          </w:p>
        </w:tc>
        <w:tc>
          <w:tcPr>
            <w:tcW w:w="2369" w:type="dxa"/>
            <w:tcBorders>
              <w:top w:val="single" w:sz="5" w:space="0" w:color="000000"/>
              <w:left w:val="single" w:sz="5" w:space="0" w:color="000000"/>
              <w:bottom w:val="single" w:sz="5" w:space="0" w:color="000000"/>
              <w:right w:val="single" w:sz="5" w:space="0" w:color="000000"/>
            </w:tcBorders>
          </w:tcPr>
          <w:p w14:paraId="04F9524D" w14:textId="77777777" w:rsidR="00C770CB" w:rsidRDefault="00C770CB" w:rsidP="007E7849">
            <w:pPr>
              <w:pStyle w:val="TableParagraph"/>
              <w:spacing w:before="24"/>
              <w:ind w:left="488"/>
              <w:rPr>
                <w:rFonts w:ascii="Times New Roman" w:eastAsia="Times New Roman" w:hAnsi="Times New Roman" w:cs="Times New Roman"/>
                <w:lang w:val="hu-HU"/>
              </w:rPr>
            </w:pPr>
            <w:r>
              <w:rPr>
                <w:rFonts w:ascii="Times New Roman" w:eastAsia="Times New Roman" w:hAnsi="Times New Roman" w:cs="Times New Roman"/>
                <w:spacing w:val="-1"/>
                <w:lang w:val="hu-HU"/>
              </w:rPr>
              <w:t>36 (51,4%)</w:t>
            </w:r>
          </w:p>
        </w:tc>
        <w:tc>
          <w:tcPr>
            <w:tcW w:w="2219" w:type="dxa"/>
            <w:tcBorders>
              <w:top w:val="single" w:sz="5" w:space="0" w:color="000000"/>
              <w:left w:val="single" w:sz="5" w:space="0" w:color="000000"/>
              <w:bottom w:val="single" w:sz="5" w:space="0" w:color="000000"/>
              <w:right w:val="single" w:sz="5" w:space="0" w:color="000000"/>
            </w:tcBorders>
          </w:tcPr>
          <w:p w14:paraId="6BD70D37" w14:textId="77777777" w:rsidR="00C770CB" w:rsidRDefault="00C770CB" w:rsidP="007E7849">
            <w:pPr>
              <w:pStyle w:val="TableParagraph"/>
              <w:spacing w:before="24"/>
              <w:ind w:left="426"/>
              <w:rPr>
                <w:rFonts w:ascii="Times New Roman" w:eastAsia="Times New Roman" w:hAnsi="Times New Roman" w:cs="Times New Roman"/>
                <w:lang w:val="hu-HU"/>
              </w:rPr>
            </w:pPr>
            <w:r>
              <w:rPr>
                <w:rFonts w:ascii="Times New Roman" w:eastAsia="Times New Roman" w:hAnsi="Times New Roman" w:cs="Times New Roman"/>
                <w:spacing w:val="-1"/>
                <w:lang w:val="hu-HU"/>
              </w:rPr>
              <w:t>40 (57,1%)</w:t>
            </w:r>
          </w:p>
        </w:tc>
      </w:tr>
      <w:tr w:rsidR="00C770CB" w14:paraId="7880B59B" w14:textId="77777777" w:rsidTr="007E7849">
        <w:trPr>
          <w:jc w:val="center"/>
        </w:trPr>
        <w:tc>
          <w:tcPr>
            <w:tcW w:w="1720" w:type="dxa"/>
            <w:tcBorders>
              <w:top w:val="single" w:sz="5" w:space="0" w:color="000000"/>
              <w:left w:val="single" w:sz="5" w:space="0" w:color="000000"/>
              <w:bottom w:val="single" w:sz="6" w:space="0" w:color="000000"/>
              <w:right w:val="single" w:sz="5" w:space="0" w:color="000000"/>
            </w:tcBorders>
          </w:tcPr>
          <w:p w14:paraId="3B2426D3" w14:textId="77777777" w:rsidR="00C770CB" w:rsidRDefault="00C770CB" w:rsidP="007E7849">
            <w:pPr>
              <w:pStyle w:val="TableParagraph"/>
              <w:spacing w:before="24"/>
              <w:ind w:left="102"/>
              <w:rPr>
                <w:rFonts w:ascii="Times New Roman" w:eastAsia="Times New Roman" w:hAnsi="Times New Roman" w:cs="Times New Roman"/>
                <w:lang w:val="hu-HU"/>
              </w:rPr>
            </w:pPr>
            <w:r>
              <w:rPr>
                <w:rFonts w:ascii="Times New Roman" w:eastAsia="Times New Roman" w:hAnsi="Times New Roman" w:cs="Times New Roman"/>
                <w:lang w:val="hu-HU"/>
              </w:rPr>
              <w:t>36. hét</w:t>
            </w:r>
          </w:p>
        </w:tc>
        <w:tc>
          <w:tcPr>
            <w:tcW w:w="2369" w:type="dxa"/>
            <w:tcBorders>
              <w:top w:val="single" w:sz="5" w:space="0" w:color="000000"/>
              <w:left w:val="single" w:sz="5" w:space="0" w:color="000000"/>
              <w:bottom w:val="single" w:sz="6" w:space="0" w:color="000000"/>
              <w:right w:val="single" w:sz="5" w:space="0" w:color="000000"/>
            </w:tcBorders>
          </w:tcPr>
          <w:p w14:paraId="74F23854" w14:textId="77777777" w:rsidR="00C770CB" w:rsidRDefault="00C770CB" w:rsidP="007E7849">
            <w:pPr>
              <w:pStyle w:val="TableParagraph"/>
              <w:spacing w:before="24"/>
              <w:ind w:left="488"/>
              <w:rPr>
                <w:rFonts w:ascii="Times New Roman" w:eastAsia="Times New Roman" w:hAnsi="Times New Roman" w:cs="Times New Roman"/>
                <w:lang w:val="hu-HU"/>
              </w:rPr>
            </w:pPr>
            <w:r>
              <w:rPr>
                <w:rFonts w:ascii="Times New Roman" w:eastAsia="Times New Roman" w:hAnsi="Times New Roman" w:cs="Times New Roman"/>
                <w:spacing w:val="-1"/>
                <w:lang w:val="hu-HU"/>
              </w:rPr>
              <w:t>22 (30,1%)</w:t>
            </w:r>
          </w:p>
        </w:tc>
        <w:tc>
          <w:tcPr>
            <w:tcW w:w="2369" w:type="dxa"/>
            <w:tcBorders>
              <w:top w:val="single" w:sz="5" w:space="0" w:color="000000"/>
              <w:left w:val="single" w:sz="5" w:space="0" w:color="000000"/>
              <w:bottom w:val="single" w:sz="6" w:space="0" w:color="000000"/>
              <w:right w:val="single" w:sz="5" w:space="0" w:color="000000"/>
            </w:tcBorders>
          </w:tcPr>
          <w:p w14:paraId="0B67D9E4" w14:textId="77777777" w:rsidR="00C770CB" w:rsidRDefault="00C770CB" w:rsidP="007E7849">
            <w:pPr>
              <w:pStyle w:val="TableParagraph"/>
              <w:spacing w:before="24"/>
              <w:ind w:left="488"/>
              <w:rPr>
                <w:rFonts w:ascii="Times New Roman" w:eastAsia="Times New Roman" w:hAnsi="Times New Roman" w:cs="Times New Roman"/>
                <w:lang w:val="hu-HU"/>
              </w:rPr>
            </w:pPr>
            <w:r>
              <w:rPr>
                <w:rFonts w:ascii="Times New Roman" w:eastAsia="Times New Roman" w:hAnsi="Times New Roman" w:cs="Times New Roman"/>
                <w:spacing w:val="-1"/>
                <w:lang w:val="hu-HU"/>
              </w:rPr>
              <w:t>28 (40,0%)</w:t>
            </w:r>
          </w:p>
        </w:tc>
        <w:tc>
          <w:tcPr>
            <w:tcW w:w="2219" w:type="dxa"/>
            <w:tcBorders>
              <w:top w:val="single" w:sz="5" w:space="0" w:color="000000"/>
              <w:left w:val="single" w:sz="5" w:space="0" w:color="000000"/>
              <w:bottom w:val="single" w:sz="6" w:space="0" w:color="000000"/>
              <w:right w:val="single" w:sz="5" w:space="0" w:color="000000"/>
            </w:tcBorders>
          </w:tcPr>
          <w:p w14:paraId="2A1EBE8B" w14:textId="77777777" w:rsidR="00C770CB" w:rsidRDefault="00C770CB" w:rsidP="007E7849">
            <w:pPr>
              <w:pStyle w:val="TableParagraph"/>
              <w:spacing w:before="24"/>
              <w:ind w:left="426"/>
              <w:rPr>
                <w:rFonts w:ascii="Times New Roman" w:eastAsia="Times New Roman" w:hAnsi="Times New Roman" w:cs="Times New Roman"/>
                <w:lang w:val="hu-HU"/>
              </w:rPr>
            </w:pPr>
            <w:r>
              <w:rPr>
                <w:rFonts w:ascii="Times New Roman" w:eastAsia="Times New Roman" w:hAnsi="Times New Roman" w:cs="Times New Roman"/>
                <w:spacing w:val="-1"/>
                <w:lang w:val="hu-HU"/>
              </w:rPr>
              <w:t>39 (55,7%)</w:t>
            </w:r>
          </w:p>
        </w:tc>
      </w:tr>
      <w:tr w:rsidR="00C770CB" w:rsidRPr="00BE4D18" w14:paraId="208A24AD" w14:textId="77777777" w:rsidTr="007E7849">
        <w:trPr>
          <w:jc w:val="center"/>
        </w:trPr>
        <w:tc>
          <w:tcPr>
            <w:tcW w:w="8679" w:type="dxa"/>
            <w:gridSpan w:val="4"/>
            <w:tcBorders>
              <w:top w:val="single" w:sz="6" w:space="0" w:color="000000"/>
              <w:left w:val="single" w:sz="6" w:space="0" w:color="000000"/>
              <w:bottom w:val="single" w:sz="4" w:space="0" w:color="auto"/>
              <w:right w:val="single" w:sz="6" w:space="0" w:color="000000"/>
            </w:tcBorders>
          </w:tcPr>
          <w:p w14:paraId="7CC3F6B6" w14:textId="77777777" w:rsidR="00C770CB" w:rsidRDefault="00C770CB" w:rsidP="007E7849">
            <w:pPr>
              <w:pStyle w:val="a4"/>
              <w:numPr>
                <w:ilvl w:val="0"/>
                <w:numId w:val="9"/>
              </w:numPr>
              <w:tabs>
                <w:tab w:val="left" w:pos="344"/>
              </w:tabs>
              <w:spacing w:before="39" w:line="240" w:lineRule="exact"/>
              <w:ind w:left="344" w:right="494"/>
              <w:rPr>
                <w:rFonts w:ascii="Times New Roman" w:eastAsia="Times New Roman" w:hAnsi="Times New Roman" w:cs="Times New Roman"/>
                <w:lang w:val="hu-HU"/>
              </w:rPr>
            </w:pPr>
            <w:r>
              <w:rPr>
                <w:rFonts w:ascii="Times New Roman" w:eastAsia="Times New Roman" w:hAnsi="Times New Roman" w:cs="Times New Roman"/>
                <w:spacing w:val="-1"/>
                <w:lang w:val="hu-HU"/>
              </w:rPr>
              <w:t>Betegek, akik legalább részleges választ adtak a heti 40 mg adalimumabra a12. hét után.</w:t>
            </w:r>
          </w:p>
          <w:p w14:paraId="04DCAA9E" w14:textId="77777777" w:rsidR="00C770CB" w:rsidRDefault="00C770CB" w:rsidP="007E7849">
            <w:pPr>
              <w:pStyle w:val="a4"/>
              <w:numPr>
                <w:ilvl w:val="0"/>
                <w:numId w:val="9"/>
              </w:numPr>
              <w:tabs>
                <w:tab w:val="left" w:pos="344"/>
              </w:tabs>
              <w:spacing w:before="41" w:line="240" w:lineRule="exact"/>
              <w:ind w:left="344" w:right="814"/>
              <w:jc w:val="both"/>
              <w:rPr>
                <w:rFonts w:ascii="Times New Roman" w:eastAsia="Times New Roman" w:hAnsi="Times New Roman" w:cs="Times New Roman"/>
                <w:lang w:val="hu-HU"/>
              </w:rPr>
            </w:pPr>
            <w:r>
              <w:rPr>
                <w:rFonts w:ascii="Times New Roman" w:eastAsia="Times New Roman" w:hAnsi="Times New Roman" w:cs="Times New Roman"/>
                <w:spacing w:val="-1"/>
                <w:lang w:val="hu-HU"/>
              </w:rPr>
              <w:t>Azoknál a betegeknél, akik megfeleltek a válaszreakció megszűnésének vagy a javulás hiányának protokollban meghatározott kritériumainak, leállították a kezelést, és nem reagálóknak számítottak.</w:t>
            </w:r>
          </w:p>
        </w:tc>
      </w:tr>
    </w:tbl>
    <w:p w14:paraId="6EADB9F1" w14:textId="77777777" w:rsidR="00C770CB" w:rsidRDefault="00C770CB" w:rsidP="00C770CB">
      <w:pPr>
        <w:pStyle w:val="a3"/>
        <w:rPr>
          <w:spacing w:val="1"/>
          <w:lang w:val="hu-HU"/>
        </w:rPr>
      </w:pPr>
    </w:p>
    <w:p w14:paraId="19C33C21" w14:textId="77777777" w:rsidR="00C770CB" w:rsidRDefault="00C770CB" w:rsidP="00C770CB">
      <w:pPr>
        <w:pStyle w:val="a3"/>
        <w:rPr>
          <w:lang w:val="hu-HU"/>
        </w:rPr>
      </w:pPr>
      <w:r>
        <w:rPr>
          <w:rFonts w:eastAsia="Times New Roman"/>
          <w:spacing w:val="1"/>
          <w:lang w:val="hu-HU"/>
        </w:rPr>
        <w:t>Azoknál a betegeknél, akik legalább részlegesen reagáltak a 12. héten, és akik folyamatos heti adalimumab terápiát kaptak, a HiSCR arány a 48. héten 68,3%, a 96. héten pedig 65,1% volt. A heti 40 mg adalimumabbal történő hosszabb távú kezelés során a 96. hétig nem azonosítottak új, biztonságossági eseményt.</w:t>
      </w:r>
    </w:p>
    <w:p w14:paraId="71E66EEA" w14:textId="77777777" w:rsidR="00C770CB" w:rsidRDefault="00C770CB" w:rsidP="00C770CB">
      <w:pPr>
        <w:pStyle w:val="a3"/>
        <w:rPr>
          <w:sz w:val="24"/>
          <w:szCs w:val="24"/>
          <w:lang w:val="hu-HU"/>
        </w:rPr>
      </w:pPr>
    </w:p>
    <w:p w14:paraId="3039F84D" w14:textId="77777777" w:rsidR="00C770CB" w:rsidRDefault="00C770CB" w:rsidP="00C770CB">
      <w:pPr>
        <w:pStyle w:val="a3"/>
        <w:rPr>
          <w:lang w:val="hu-HU"/>
        </w:rPr>
      </w:pPr>
      <w:r>
        <w:rPr>
          <w:rFonts w:eastAsia="Times New Roman"/>
          <w:spacing w:val="1"/>
          <w:lang w:val="hu-HU"/>
        </w:rPr>
        <w:t>Azoknál a betegeknél, akiknél a 12. héten leállították az adalimumab kezelést a HS-</w:t>
      </w:r>
      <w:r w:rsidRPr="009167C6">
        <w:rPr>
          <w:lang w:val="hu-HU"/>
        </w:rPr>
        <w:t> </w:t>
      </w:r>
      <w:r>
        <w:rPr>
          <w:rFonts w:eastAsia="Times New Roman"/>
          <w:spacing w:val="1"/>
          <w:lang w:val="hu-HU"/>
        </w:rPr>
        <w:t xml:space="preserve"> I és HS-</w:t>
      </w:r>
      <w:r w:rsidRPr="009167C6">
        <w:rPr>
          <w:lang w:val="hu-HU"/>
        </w:rPr>
        <w:t> </w:t>
      </w:r>
      <w:r>
        <w:rPr>
          <w:rFonts w:eastAsia="Times New Roman"/>
          <w:spacing w:val="1"/>
          <w:lang w:val="hu-HU"/>
        </w:rPr>
        <w:t xml:space="preserve"> II vizsgálatban, a HiSCR arány 12 héttel a 40 mg adalimumab heti adagolásának újbóli bevezetése után </w:t>
      </w:r>
      <w:r>
        <w:rPr>
          <w:rFonts w:eastAsia="Times New Roman"/>
          <w:spacing w:val="1"/>
          <w:lang w:val="hu-HU"/>
        </w:rPr>
        <w:lastRenderedPageBreak/>
        <w:t>visszatért hasonló szintre, mint amit a leállítás előtt megfigyeltek (56,0%).</w:t>
      </w:r>
    </w:p>
    <w:p w14:paraId="39546960" w14:textId="77777777" w:rsidR="004365FC" w:rsidRDefault="004365FC" w:rsidP="004365FC">
      <w:pPr>
        <w:pStyle w:val="a3"/>
        <w:rPr>
          <w:sz w:val="24"/>
          <w:szCs w:val="24"/>
          <w:lang w:val="hu-HU"/>
        </w:rPr>
      </w:pPr>
    </w:p>
    <w:p w14:paraId="4144C408" w14:textId="77777777" w:rsidR="00C770CB" w:rsidRDefault="00C770CB" w:rsidP="00C770CB">
      <w:pPr>
        <w:pStyle w:val="a3"/>
        <w:rPr>
          <w:rFonts w:eastAsia="Times New Roman"/>
          <w:lang w:val="hu-HU"/>
        </w:rPr>
      </w:pPr>
      <w:r>
        <w:rPr>
          <w:rFonts w:eastAsia="Times New Roman"/>
          <w:i/>
          <w:iCs/>
          <w:spacing w:val="-1"/>
          <w:lang w:val="hu-HU"/>
        </w:rPr>
        <w:t>Crohn-betegség</w:t>
      </w:r>
    </w:p>
    <w:p w14:paraId="0621374F" w14:textId="77777777" w:rsidR="00C770CB" w:rsidRDefault="00C770CB" w:rsidP="00C770CB">
      <w:pPr>
        <w:pStyle w:val="a3"/>
        <w:rPr>
          <w:sz w:val="24"/>
          <w:szCs w:val="24"/>
          <w:lang w:val="hu-HU"/>
        </w:rPr>
      </w:pPr>
    </w:p>
    <w:p w14:paraId="4353815B" w14:textId="77777777" w:rsidR="00C770CB" w:rsidRDefault="00C770CB" w:rsidP="00C770CB">
      <w:pPr>
        <w:pStyle w:val="a3"/>
        <w:rPr>
          <w:lang w:val="hu-HU"/>
        </w:rPr>
      </w:pPr>
      <w:r>
        <w:rPr>
          <w:rFonts w:eastAsia="Times New Roman"/>
          <w:lang w:val="hu-HU"/>
        </w:rPr>
        <w:t xml:space="preserve">Az adalimumab biztonságosságát és hatásosságát több mint 1500, közepesen súlyos – </w:t>
      </w:r>
      <w:r w:rsidRPr="009167C6">
        <w:rPr>
          <w:lang w:val="hu-HU"/>
        </w:rPr>
        <w:t> </w:t>
      </w:r>
      <w:r>
        <w:rPr>
          <w:rFonts w:eastAsia="Times New Roman"/>
          <w:lang w:val="hu-HU"/>
        </w:rPr>
        <w:t xml:space="preserve"> súlyos aktivitású Crohn-betegségben (CDAI [Crohn’s Disease Activity Index – Crohn-betegség aktivitási index]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 220 – </w:t>
      </w:r>
      <w:r>
        <w:rPr>
          <w:rFonts w:ascii="Symbol" w:eastAsia="Symbol" w:hAnsi="Symbol" w:cs="Symbol"/>
          <w:lang w:val="hu-HU"/>
        </w:rPr>
        <w:sym w:font="Symbol" w:char="F0A3"/>
      </w:r>
      <w:r>
        <w:rPr>
          <w:rFonts w:ascii="Symbol" w:eastAsia="Symbol" w:hAnsi="Symbol" w:cs="Symbol"/>
          <w:lang w:val="hu-HU"/>
        </w:rPr>
        <w:sym w:font="Symbol" w:char="F020"/>
      </w:r>
      <w:r>
        <w:rPr>
          <w:rFonts w:eastAsia="Times New Roman"/>
          <w:lang w:val="hu-HU"/>
        </w:rPr>
        <w:t>450) szenvedő betegen értékelték randomizált, kettős vak, placebokontrollos vizsgálattal. Az aminoszalicilátok, kortikoszteroidok és/vagy immunmodulánsok alkalmazását változatlan dózisban engedélyezték; e szerek legalább egyikét a betegek 80%-a továbbra is kapta.</w:t>
      </w:r>
    </w:p>
    <w:p w14:paraId="7596479D" w14:textId="77777777" w:rsidR="00C770CB" w:rsidRDefault="00C770CB" w:rsidP="00C770CB">
      <w:pPr>
        <w:pStyle w:val="a3"/>
        <w:rPr>
          <w:sz w:val="24"/>
          <w:szCs w:val="24"/>
          <w:lang w:val="hu-HU"/>
        </w:rPr>
      </w:pPr>
    </w:p>
    <w:p w14:paraId="21463DC9" w14:textId="77777777" w:rsidR="00C770CB" w:rsidRDefault="00C770CB" w:rsidP="00C770CB">
      <w:pPr>
        <w:pStyle w:val="a3"/>
        <w:rPr>
          <w:lang w:val="hu-HU"/>
        </w:rPr>
      </w:pPr>
      <w:r>
        <w:rPr>
          <w:rFonts w:eastAsia="Times New Roman"/>
          <w:lang w:val="hu-HU"/>
        </w:rPr>
        <w:t>A klinikai remisszió indukcióját (meghatározás szerint CDAI &lt; 150) két vizsgálat a CD I (CLASSIC I) és a CD II (GAIN) értékelte. A CD I vizsgálatban 299, TNF-antagonistával korábban még nem kezelt beteget soroltak véletlenszerűen a négy terápiás csoport valamelyikébe (placebokezelés a 0. és a 2. héten; 160 mg adalimumab a 0. és 80 mg a 2. héten; 80 mg adalimumab a 0. és 40 mg a 2. héten; 40 mg adalimumab a 0. és 20 mg a 2. héten). A CD II vizsgálatban 325 beteget, akinél hatástalanná vált az infliximab, vagy infliximab-intolerancia állt fenn, véletlenszerű besorolás alapján a 0. héten 160 mg, illetve a 2. héten 80 mg adalimumabbal vagy a 0. és a 2. héten adott placebóval kezeltek. A primer nem reagálókat kizárták a vizsgálatokból, ezért ezeket a betegeket a továbbiakban nem értékelték.</w:t>
      </w:r>
    </w:p>
    <w:p w14:paraId="1EBD034A" w14:textId="77777777" w:rsidR="00C770CB" w:rsidRDefault="00C770CB" w:rsidP="00C770CB">
      <w:pPr>
        <w:pStyle w:val="a3"/>
        <w:rPr>
          <w:sz w:val="24"/>
          <w:szCs w:val="24"/>
          <w:lang w:val="hu-HU"/>
        </w:rPr>
      </w:pPr>
    </w:p>
    <w:p w14:paraId="5433FB5C" w14:textId="77777777" w:rsidR="00C770CB" w:rsidRDefault="00C770CB" w:rsidP="00C770CB">
      <w:pPr>
        <w:pStyle w:val="a3"/>
        <w:rPr>
          <w:lang w:val="hu-HU"/>
        </w:rPr>
      </w:pPr>
      <w:r>
        <w:rPr>
          <w:rFonts w:eastAsia="Times New Roman"/>
          <w:lang w:val="hu-HU"/>
        </w:rPr>
        <w:t>A klinikai remisszió fenntartását a CD III (CHARM) vizsgálat értékelte. A CD III vizsgálatban 854 beteget kezeltek nyílt vizsgálati elrendezésben, a 0. héten 80 mg, a 2. héten 40 mg dózissal. A 4. héten a résztvevőket véletlenszerűen sorolták be minden második héten 40 mg dózissal, hetente 40 mg dózissal vagy placebóval kezelt csoportba, összességében 56 hetes vizsgálati időtartammal. A kezelés 4. hetében a klinikailag reagáló (a CDAI ≥ 70 pontos csökkenése) betegek csoportját rétegezték, és eredményeiket a kezelésre a 4. hétig klinikailag nem reagáló betegekétől különválasztva értékelték. A 8. hét után engedélyezték a kortikoszteroid fokozatos csökkentését.</w:t>
      </w:r>
    </w:p>
    <w:p w14:paraId="693ECB37" w14:textId="77777777" w:rsidR="00C770CB" w:rsidRDefault="00C770CB" w:rsidP="00C770CB">
      <w:pPr>
        <w:spacing w:before="11" w:line="240" w:lineRule="exact"/>
        <w:rPr>
          <w:sz w:val="24"/>
          <w:szCs w:val="24"/>
          <w:lang w:val="hu-HU"/>
        </w:rPr>
      </w:pPr>
    </w:p>
    <w:p w14:paraId="2906F22C" w14:textId="1DF22756" w:rsidR="00C770CB" w:rsidRDefault="00C770CB" w:rsidP="00C770CB">
      <w:pPr>
        <w:pStyle w:val="a3"/>
        <w:rPr>
          <w:rFonts w:eastAsia="Times New Roman"/>
          <w:lang w:val="hu-HU"/>
        </w:rPr>
      </w:pPr>
      <w:r>
        <w:rPr>
          <w:rFonts w:eastAsia="Times New Roman"/>
          <w:lang w:val="hu-HU"/>
        </w:rPr>
        <w:t xml:space="preserve">A </w:t>
      </w:r>
      <w:r w:rsidR="003E1EA9">
        <w:rPr>
          <w:rFonts w:eastAsia="Times New Roman"/>
          <w:lang w:val="hu-HU"/>
        </w:rPr>
        <w:t>14</w:t>
      </w:r>
      <w:r>
        <w:rPr>
          <w:rFonts w:eastAsia="Times New Roman"/>
          <w:lang w:val="hu-HU"/>
        </w:rPr>
        <w:t>. táblázat a CD I és a CD II vizsgálat során kiváltott remisszió gyakoriságát és a kezelésre reagáló betegek részarányát összegezi.</w:t>
      </w:r>
    </w:p>
    <w:p w14:paraId="0A8538C3" w14:textId="77777777" w:rsidR="00C770CB" w:rsidRDefault="00C770CB" w:rsidP="00C770CB">
      <w:pPr>
        <w:pStyle w:val="a3"/>
        <w:rPr>
          <w:rFonts w:eastAsia="Times New Roman"/>
          <w:lang w:val="hu-HU"/>
        </w:rPr>
      </w:pPr>
    </w:p>
    <w:p w14:paraId="33DF3BDA" w14:textId="24EB0744" w:rsidR="00C770CB" w:rsidRDefault="003E1EA9" w:rsidP="00C770CB">
      <w:pPr>
        <w:pStyle w:val="a3"/>
        <w:jc w:val="center"/>
        <w:rPr>
          <w:b/>
          <w:lang w:val="hu-HU"/>
        </w:rPr>
      </w:pPr>
      <w:r>
        <w:rPr>
          <w:rFonts w:eastAsia="Times New Roman"/>
          <w:b/>
          <w:bCs/>
          <w:lang w:val="hu-HU"/>
        </w:rPr>
        <w:t>14</w:t>
      </w:r>
      <w:r w:rsidR="00C770CB">
        <w:rPr>
          <w:rFonts w:eastAsia="Times New Roman"/>
          <w:b/>
          <w:bCs/>
          <w:lang w:val="hu-HU"/>
        </w:rPr>
        <w:t>. táblázat</w:t>
      </w:r>
    </w:p>
    <w:p w14:paraId="1607D7B7" w14:textId="77777777" w:rsidR="00C770CB" w:rsidRDefault="00C770CB" w:rsidP="00C770CB">
      <w:pPr>
        <w:pStyle w:val="a3"/>
        <w:jc w:val="center"/>
        <w:rPr>
          <w:b/>
          <w:lang w:val="hu-HU"/>
        </w:rPr>
      </w:pPr>
      <w:r>
        <w:rPr>
          <w:rFonts w:eastAsia="Times New Roman"/>
          <w:b/>
          <w:bCs/>
          <w:lang w:val="hu-HU"/>
        </w:rPr>
        <w:t xml:space="preserve">Klinikai remisszió és reakció indukció (a betegek százaléka) </w:t>
      </w:r>
    </w:p>
    <w:p w14:paraId="45EB3FD4" w14:textId="77777777" w:rsidR="00C770CB" w:rsidRDefault="00C770CB" w:rsidP="00C770CB">
      <w:pPr>
        <w:spacing w:before="3" w:line="10" w:lineRule="exact"/>
        <w:rPr>
          <w:sz w:val="4"/>
          <w:szCs w:val="4"/>
          <w:lang w:val="hu-HU"/>
        </w:rPr>
      </w:pPr>
    </w:p>
    <w:tbl>
      <w:tblPr>
        <w:tblStyle w:val="TableNormal1"/>
        <w:tblW w:w="9492" w:type="dxa"/>
        <w:tblLayout w:type="fixed"/>
        <w:tblLook w:val="01E0" w:firstRow="1" w:lastRow="1" w:firstColumn="1" w:lastColumn="1" w:noHBand="0" w:noVBand="0"/>
      </w:tblPr>
      <w:tblGrid>
        <w:gridCol w:w="2311"/>
        <w:gridCol w:w="1085"/>
        <w:gridCol w:w="1356"/>
        <w:gridCol w:w="1338"/>
        <w:gridCol w:w="1559"/>
        <w:gridCol w:w="1843"/>
      </w:tblGrid>
      <w:tr w:rsidR="00C770CB" w:rsidRPr="00BE4D18" w14:paraId="5A147271" w14:textId="77777777" w:rsidTr="007E7849">
        <w:trPr>
          <w:trHeight w:hRule="exact" w:val="569"/>
        </w:trPr>
        <w:tc>
          <w:tcPr>
            <w:tcW w:w="2311" w:type="dxa"/>
            <w:tcBorders>
              <w:top w:val="single" w:sz="5" w:space="0" w:color="000000"/>
              <w:left w:val="single" w:sz="5" w:space="0" w:color="000000"/>
              <w:bottom w:val="single" w:sz="5" w:space="0" w:color="000000"/>
              <w:right w:val="single" w:sz="5" w:space="0" w:color="000000"/>
            </w:tcBorders>
          </w:tcPr>
          <w:p w14:paraId="6CFC7244" w14:textId="77777777" w:rsidR="00C770CB" w:rsidRDefault="00C770CB" w:rsidP="007E7849">
            <w:pPr>
              <w:rPr>
                <w:lang w:val="hu-HU"/>
              </w:rPr>
            </w:pPr>
          </w:p>
        </w:tc>
        <w:tc>
          <w:tcPr>
            <w:tcW w:w="3779" w:type="dxa"/>
            <w:gridSpan w:val="3"/>
            <w:tcBorders>
              <w:top w:val="single" w:sz="5" w:space="0" w:color="000000"/>
              <w:left w:val="single" w:sz="5" w:space="0" w:color="000000"/>
              <w:bottom w:val="single" w:sz="5" w:space="0" w:color="000000"/>
              <w:right w:val="single" w:sz="5" w:space="0" w:color="000000"/>
            </w:tcBorders>
          </w:tcPr>
          <w:p w14:paraId="2BB89B22" w14:textId="77777777" w:rsidR="00C770CB" w:rsidRDefault="00C770CB" w:rsidP="007E7849">
            <w:pPr>
              <w:pStyle w:val="TableParagraph"/>
              <w:spacing w:before="39" w:line="240" w:lineRule="exact"/>
              <w:ind w:left="102" w:right="15"/>
              <w:rPr>
                <w:rFonts w:ascii="Times New Roman" w:eastAsia="Times New Roman" w:hAnsi="Times New Roman" w:cs="Times New Roman"/>
                <w:lang w:val="hu-HU"/>
              </w:rPr>
            </w:pPr>
            <w:r>
              <w:rPr>
                <w:rFonts w:ascii="Times New Roman" w:eastAsia="Times New Roman" w:hAnsi="Times New Roman" w:cs="Times New Roman"/>
                <w:b/>
                <w:bCs/>
                <w:spacing w:val="-1"/>
                <w:lang w:val="hu-HU"/>
              </w:rPr>
              <w:t>CD I vizsgálat:Infliximab naiv betegek</w:t>
            </w:r>
          </w:p>
        </w:tc>
        <w:tc>
          <w:tcPr>
            <w:tcW w:w="3402" w:type="dxa"/>
            <w:gridSpan w:val="2"/>
            <w:tcBorders>
              <w:top w:val="single" w:sz="5" w:space="0" w:color="000000"/>
              <w:left w:val="single" w:sz="5" w:space="0" w:color="000000"/>
              <w:bottom w:val="single" w:sz="5" w:space="0" w:color="000000"/>
              <w:right w:val="single" w:sz="5" w:space="0" w:color="000000"/>
            </w:tcBorders>
          </w:tcPr>
          <w:p w14:paraId="642427B7" w14:textId="77777777" w:rsidR="00C770CB" w:rsidRDefault="00C770CB" w:rsidP="007E7849">
            <w:pPr>
              <w:pStyle w:val="TableParagraph"/>
              <w:spacing w:before="39" w:line="240"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CD II vizsgálat:Infliximabbal már kezelt betegek</w:t>
            </w:r>
          </w:p>
        </w:tc>
      </w:tr>
      <w:tr w:rsidR="00C770CB" w14:paraId="7D8BF93B" w14:textId="77777777" w:rsidTr="007E7849">
        <w:trPr>
          <w:trHeight w:hRule="exact" w:val="890"/>
        </w:trPr>
        <w:tc>
          <w:tcPr>
            <w:tcW w:w="2311" w:type="dxa"/>
            <w:tcBorders>
              <w:top w:val="single" w:sz="5" w:space="0" w:color="000000"/>
              <w:left w:val="single" w:sz="5" w:space="0" w:color="000000"/>
              <w:bottom w:val="single" w:sz="5" w:space="0" w:color="000000"/>
              <w:right w:val="single" w:sz="5" w:space="0" w:color="000000"/>
            </w:tcBorders>
          </w:tcPr>
          <w:p w14:paraId="5D774685" w14:textId="77777777" w:rsidR="00C770CB" w:rsidRDefault="00C770CB" w:rsidP="007E7849">
            <w:pPr>
              <w:rPr>
                <w:lang w:val="hu-HU"/>
              </w:rPr>
            </w:pPr>
          </w:p>
        </w:tc>
        <w:tc>
          <w:tcPr>
            <w:tcW w:w="1085" w:type="dxa"/>
            <w:tcBorders>
              <w:top w:val="single" w:sz="5" w:space="0" w:color="000000"/>
              <w:left w:val="single" w:sz="5" w:space="0" w:color="000000"/>
              <w:bottom w:val="single" w:sz="5" w:space="0" w:color="000000"/>
              <w:right w:val="single" w:sz="5" w:space="0" w:color="000000"/>
            </w:tcBorders>
            <w:vAlign w:val="center"/>
          </w:tcPr>
          <w:p w14:paraId="43D9449E" w14:textId="67827638" w:rsidR="00C770CB" w:rsidRDefault="00C770CB" w:rsidP="00161A1A">
            <w:pPr>
              <w:pStyle w:val="TableParagraph"/>
              <w:spacing w:before="24" w:line="268" w:lineRule="auto"/>
              <w:ind w:firstLineChars="50" w:firstLine="110"/>
              <w:jc w:val="center"/>
              <w:rPr>
                <w:rFonts w:ascii="Times New Roman" w:eastAsia="Times New Roman" w:hAnsi="Times New Roman" w:cs="Times New Roman"/>
                <w:lang w:val="hu-HU"/>
              </w:rPr>
            </w:pPr>
            <w:r>
              <w:rPr>
                <w:rFonts w:ascii="Times New Roman" w:eastAsia="Times New Roman" w:hAnsi="Times New Roman" w:cs="Times New Roman"/>
                <w:b/>
                <w:bCs/>
                <w:lang w:val="hu-HU"/>
              </w:rPr>
              <w:t xml:space="preserve">Placebo </w:t>
            </w:r>
            <w:r w:rsidR="00161A1A">
              <w:rPr>
                <w:rFonts w:ascii="Times New Roman" w:eastAsia="Times New Roman" w:hAnsi="Times New Roman" w:cs="Times New Roman"/>
                <w:b/>
                <w:bCs/>
                <w:lang w:val="hu-HU"/>
              </w:rPr>
              <w:t>n</w:t>
            </w:r>
            <w:r>
              <w:rPr>
                <w:rFonts w:ascii="Times New Roman" w:eastAsia="Times New Roman" w:hAnsi="Times New Roman" w:cs="Times New Roman"/>
                <w:b/>
                <w:bCs/>
                <w:lang w:val="hu-HU"/>
              </w:rPr>
              <w:t>=74</w:t>
            </w:r>
          </w:p>
        </w:tc>
        <w:tc>
          <w:tcPr>
            <w:tcW w:w="1356" w:type="dxa"/>
            <w:tcBorders>
              <w:top w:val="single" w:sz="5" w:space="0" w:color="000000"/>
              <w:left w:val="single" w:sz="5" w:space="0" w:color="000000"/>
              <w:bottom w:val="single" w:sz="5" w:space="0" w:color="000000"/>
              <w:right w:val="single" w:sz="5" w:space="0" w:color="000000"/>
            </w:tcBorders>
            <w:vAlign w:val="center"/>
          </w:tcPr>
          <w:p w14:paraId="012A353F" w14:textId="12FE3D3B" w:rsidR="00C770CB" w:rsidRDefault="00C770CB" w:rsidP="00161A1A">
            <w:pPr>
              <w:pStyle w:val="TableParagraph"/>
              <w:spacing w:before="24" w:line="266" w:lineRule="auto"/>
              <w:ind w:hanging="4"/>
              <w:jc w:val="center"/>
              <w:rPr>
                <w:rFonts w:ascii="Times New Roman" w:eastAsia="Times New Roman" w:hAnsi="Times New Roman" w:cs="Times New Roman"/>
                <w:lang w:val="hu-HU"/>
              </w:rPr>
            </w:pPr>
            <w:r>
              <w:rPr>
                <w:rFonts w:ascii="Times New Roman" w:eastAsia="Times New Roman" w:hAnsi="Times New Roman" w:cs="Times New Roman"/>
                <w:b/>
                <w:bCs/>
                <w:lang w:val="hu-HU"/>
              </w:rPr>
              <w:t xml:space="preserve">Adalimumab 80/40 mg </w:t>
            </w:r>
            <w:r>
              <w:rPr>
                <w:rFonts w:ascii="Times New Roman" w:eastAsia="Times New Roman" w:hAnsi="Times New Roman" w:cs="Times New Roman"/>
                <w:b/>
                <w:bCs/>
                <w:lang w:val="hu-HU"/>
              </w:rPr>
              <w:br/>
            </w:r>
            <w:r w:rsidR="00161A1A">
              <w:rPr>
                <w:rFonts w:ascii="Times New Roman" w:eastAsia="Times New Roman" w:hAnsi="Times New Roman" w:cs="Times New Roman"/>
                <w:b/>
                <w:bCs/>
                <w:lang w:val="hu-HU"/>
              </w:rPr>
              <w:t xml:space="preserve">n </w:t>
            </w:r>
            <w:r>
              <w:rPr>
                <w:rFonts w:ascii="Times New Roman" w:eastAsia="Times New Roman" w:hAnsi="Times New Roman" w:cs="Times New Roman"/>
                <w:b/>
                <w:bCs/>
                <w:lang w:val="hu-HU"/>
              </w:rPr>
              <w:t>= 75</w:t>
            </w:r>
          </w:p>
        </w:tc>
        <w:tc>
          <w:tcPr>
            <w:tcW w:w="1338" w:type="dxa"/>
            <w:tcBorders>
              <w:top w:val="single" w:sz="5" w:space="0" w:color="000000"/>
              <w:left w:val="single" w:sz="5" w:space="0" w:color="000000"/>
              <w:bottom w:val="single" w:sz="5" w:space="0" w:color="000000"/>
              <w:right w:val="single" w:sz="5" w:space="0" w:color="000000"/>
            </w:tcBorders>
            <w:vAlign w:val="center"/>
          </w:tcPr>
          <w:p w14:paraId="4B496F2D" w14:textId="77777777" w:rsidR="00C770CB" w:rsidRDefault="00C770CB" w:rsidP="007E7849">
            <w:pPr>
              <w:pStyle w:val="TableParagraph"/>
              <w:spacing w:before="24" w:line="248" w:lineRule="auto"/>
              <w:jc w:val="center"/>
              <w:rPr>
                <w:rFonts w:ascii="Times New Roman" w:eastAsia="Times New Roman" w:hAnsi="Times New Roman" w:cs="Times New Roman"/>
                <w:b/>
                <w:bCs/>
                <w:lang w:val="hu-HU"/>
              </w:rPr>
            </w:pPr>
            <w:r>
              <w:rPr>
                <w:rFonts w:ascii="Times New Roman" w:eastAsia="Times New Roman" w:hAnsi="Times New Roman" w:cs="Times New Roman"/>
                <w:b/>
                <w:bCs/>
                <w:lang w:val="hu-HU"/>
              </w:rPr>
              <w:t xml:space="preserve">Adalimumab 160/80 mg </w:t>
            </w:r>
          </w:p>
          <w:p w14:paraId="5B3B0184" w14:textId="3E7FAFB7" w:rsidR="00C770CB" w:rsidRDefault="00161A1A" w:rsidP="007E7849">
            <w:pPr>
              <w:pStyle w:val="TableParagraph"/>
              <w:spacing w:before="24" w:line="248" w:lineRule="auto"/>
              <w:jc w:val="center"/>
              <w:rPr>
                <w:rFonts w:ascii="Times New Roman" w:eastAsia="Times New Roman" w:hAnsi="Times New Roman" w:cs="Times New Roman"/>
                <w:lang w:val="hu-HU"/>
              </w:rPr>
            </w:pPr>
            <w:r>
              <w:rPr>
                <w:rFonts w:ascii="Times New Roman" w:eastAsia="Times New Roman" w:hAnsi="Times New Roman" w:cs="Times New Roman"/>
                <w:b/>
                <w:bCs/>
                <w:lang w:val="hu-HU"/>
              </w:rPr>
              <w:t xml:space="preserve">n </w:t>
            </w:r>
            <w:r w:rsidR="00C770CB">
              <w:rPr>
                <w:rFonts w:ascii="Times New Roman" w:eastAsia="Times New Roman" w:hAnsi="Times New Roman" w:cs="Times New Roman"/>
                <w:b/>
                <w:bCs/>
                <w:lang w:val="hu-HU"/>
              </w:rPr>
              <w:t>= 76</w:t>
            </w:r>
          </w:p>
        </w:tc>
        <w:tc>
          <w:tcPr>
            <w:tcW w:w="1559" w:type="dxa"/>
            <w:tcBorders>
              <w:top w:val="single" w:sz="5" w:space="0" w:color="000000"/>
              <w:left w:val="single" w:sz="5" w:space="0" w:color="000000"/>
              <w:bottom w:val="single" w:sz="5" w:space="0" w:color="000000"/>
              <w:right w:val="single" w:sz="5" w:space="0" w:color="000000"/>
            </w:tcBorders>
            <w:vAlign w:val="center"/>
          </w:tcPr>
          <w:p w14:paraId="01B6070A" w14:textId="4384CA8F" w:rsidR="00C770CB" w:rsidRDefault="00C770CB" w:rsidP="00161A1A">
            <w:pPr>
              <w:pStyle w:val="TableParagraph"/>
              <w:spacing w:before="24" w:line="268" w:lineRule="auto"/>
              <w:jc w:val="center"/>
              <w:rPr>
                <w:rFonts w:ascii="Times New Roman" w:eastAsia="Times New Roman" w:hAnsi="Times New Roman" w:cs="Times New Roman"/>
                <w:lang w:val="hu-HU"/>
              </w:rPr>
            </w:pPr>
            <w:r>
              <w:rPr>
                <w:rFonts w:ascii="Times New Roman" w:eastAsia="Times New Roman" w:hAnsi="Times New Roman" w:cs="Times New Roman"/>
                <w:b/>
                <w:bCs/>
                <w:lang w:val="hu-HU"/>
              </w:rPr>
              <w:t xml:space="preserve">Placebo </w:t>
            </w:r>
            <w:r w:rsidR="00161A1A">
              <w:rPr>
                <w:rFonts w:ascii="Times New Roman" w:eastAsia="Times New Roman" w:hAnsi="Times New Roman" w:cs="Times New Roman"/>
                <w:b/>
                <w:bCs/>
                <w:lang w:val="hu-HU"/>
              </w:rPr>
              <w:t>n</w:t>
            </w:r>
            <w:r>
              <w:rPr>
                <w:rFonts w:ascii="Times New Roman" w:eastAsia="Times New Roman" w:hAnsi="Times New Roman" w:cs="Times New Roman"/>
                <w:b/>
                <w:bCs/>
                <w:lang w:val="hu-HU"/>
              </w:rPr>
              <w:t>=166</w:t>
            </w:r>
          </w:p>
        </w:tc>
        <w:tc>
          <w:tcPr>
            <w:tcW w:w="1843" w:type="dxa"/>
            <w:tcBorders>
              <w:top w:val="single" w:sz="5" w:space="0" w:color="000000"/>
              <w:left w:val="single" w:sz="5" w:space="0" w:color="000000"/>
              <w:bottom w:val="single" w:sz="5" w:space="0" w:color="000000"/>
              <w:right w:val="single" w:sz="5" w:space="0" w:color="000000"/>
            </w:tcBorders>
            <w:vAlign w:val="center"/>
          </w:tcPr>
          <w:p w14:paraId="3F38B531" w14:textId="585BA9F0" w:rsidR="00C770CB" w:rsidRDefault="00C770CB" w:rsidP="00161A1A">
            <w:pPr>
              <w:pStyle w:val="TableParagraph"/>
              <w:spacing w:before="24" w:line="266" w:lineRule="auto"/>
              <w:ind w:hanging="4"/>
              <w:jc w:val="center"/>
              <w:rPr>
                <w:rFonts w:ascii="Times New Roman" w:eastAsia="Times New Roman" w:hAnsi="Times New Roman" w:cs="Times New Roman"/>
                <w:lang w:val="hu-HU"/>
              </w:rPr>
            </w:pPr>
            <w:r>
              <w:rPr>
                <w:rFonts w:ascii="Times New Roman" w:eastAsia="Times New Roman" w:hAnsi="Times New Roman" w:cs="Times New Roman"/>
                <w:b/>
                <w:bCs/>
                <w:lang w:val="hu-HU"/>
              </w:rPr>
              <w:t xml:space="preserve">Adalimumab 160/80 mg </w:t>
            </w:r>
            <w:r w:rsidR="00161A1A">
              <w:rPr>
                <w:rFonts w:ascii="Times New Roman" w:eastAsia="Times New Roman" w:hAnsi="Times New Roman" w:cs="Times New Roman"/>
                <w:b/>
                <w:bCs/>
                <w:lang w:val="hu-HU"/>
              </w:rPr>
              <w:t xml:space="preserve">n </w:t>
            </w:r>
            <w:r>
              <w:rPr>
                <w:rFonts w:ascii="Times New Roman" w:eastAsia="Times New Roman" w:hAnsi="Times New Roman" w:cs="Times New Roman"/>
                <w:b/>
                <w:bCs/>
                <w:lang w:val="hu-HU"/>
              </w:rPr>
              <w:t>= 159</w:t>
            </w:r>
          </w:p>
        </w:tc>
      </w:tr>
      <w:tr w:rsidR="00C770CB" w14:paraId="2298ABCA" w14:textId="77777777" w:rsidTr="007E7849">
        <w:trPr>
          <w:trHeight w:hRule="exact" w:val="331"/>
        </w:trPr>
        <w:tc>
          <w:tcPr>
            <w:tcW w:w="2311" w:type="dxa"/>
            <w:tcBorders>
              <w:top w:val="single" w:sz="5" w:space="0" w:color="000000"/>
              <w:left w:val="single" w:sz="5" w:space="0" w:color="000000"/>
              <w:bottom w:val="single" w:sz="5" w:space="0" w:color="000000"/>
              <w:right w:val="single" w:sz="5" w:space="0" w:color="000000"/>
            </w:tcBorders>
          </w:tcPr>
          <w:p w14:paraId="7DE55ADE" w14:textId="77777777" w:rsidR="00C770CB" w:rsidRDefault="00C770CB" w:rsidP="007E7849">
            <w:pPr>
              <w:pStyle w:val="TableParagraph"/>
              <w:spacing w:before="24"/>
              <w:ind w:left="102"/>
              <w:rPr>
                <w:rFonts w:ascii="Times New Roman" w:eastAsia="Times New Roman" w:hAnsi="Times New Roman" w:cs="Times New Roman"/>
                <w:lang w:val="hu-HU"/>
              </w:rPr>
            </w:pPr>
            <w:r>
              <w:rPr>
                <w:rFonts w:ascii="Times New Roman" w:eastAsia="Times New Roman" w:hAnsi="Times New Roman" w:cs="Times New Roman"/>
                <w:lang w:val="hu-HU"/>
              </w:rPr>
              <w:t>4. hét</w:t>
            </w:r>
          </w:p>
        </w:tc>
        <w:tc>
          <w:tcPr>
            <w:tcW w:w="1085" w:type="dxa"/>
            <w:tcBorders>
              <w:top w:val="single" w:sz="5" w:space="0" w:color="000000"/>
              <w:left w:val="single" w:sz="5" w:space="0" w:color="000000"/>
              <w:bottom w:val="single" w:sz="5" w:space="0" w:color="000000"/>
              <w:right w:val="single" w:sz="5" w:space="0" w:color="000000"/>
            </w:tcBorders>
          </w:tcPr>
          <w:p w14:paraId="62DC0263" w14:textId="77777777" w:rsidR="00C770CB" w:rsidRDefault="00C770CB" w:rsidP="007E7849">
            <w:pPr>
              <w:rPr>
                <w:lang w:val="hu-HU"/>
              </w:rPr>
            </w:pPr>
          </w:p>
        </w:tc>
        <w:tc>
          <w:tcPr>
            <w:tcW w:w="1356" w:type="dxa"/>
            <w:tcBorders>
              <w:top w:val="single" w:sz="5" w:space="0" w:color="000000"/>
              <w:left w:val="single" w:sz="5" w:space="0" w:color="000000"/>
              <w:bottom w:val="single" w:sz="5" w:space="0" w:color="000000"/>
              <w:right w:val="single" w:sz="5" w:space="0" w:color="000000"/>
            </w:tcBorders>
          </w:tcPr>
          <w:p w14:paraId="2D548707" w14:textId="77777777" w:rsidR="00C770CB" w:rsidRDefault="00C770CB" w:rsidP="007E7849">
            <w:pPr>
              <w:rPr>
                <w:lang w:val="hu-HU"/>
              </w:rPr>
            </w:pPr>
          </w:p>
        </w:tc>
        <w:tc>
          <w:tcPr>
            <w:tcW w:w="1338" w:type="dxa"/>
            <w:tcBorders>
              <w:top w:val="single" w:sz="5" w:space="0" w:color="000000"/>
              <w:left w:val="single" w:sz="5" w:space="0" w:color="000000"/>
              <w:bottom w:val="single" w:sz="5" w:space="0" w:color="000000"/>
              <w:right w:val="single" w:sz="5" w:space="0" w:color="000000"/>
            </w:tcBorders>
          </w:tcPr>
          <w:p w14:paraId="1ECCE313" w14:textId="77777777" w:rsidR="00C770CB" w:rsidRDefault="00C770CB" w:rsidP="007E7849">
            <w:pPr>
              <w:rPr>
                <w:lang w:val="hu-HU"/>
              </w:rPr>
            </w:pPr>
          </w:p>
        </w:tc>
        <w:tc>
          <w:tcPr>
            <w:tcW w:w="1559" w:type="dxa"/>
            <w:tcBorders>
              <w:top w:val="single" w:sz="5" w:space="0" w:color="000000"/>
              <w:left w:val="single" w:sz="5" w:space="0" w:color="000000"/>
              <w:bottom w:val="single" w:sz="5" w:space="0" w:color="000000"/>
              <w:right w:val="single" w:sz="5" w:space="0" w:color="000000"/>
            </w:tcBorders>
          </w:tcPr>
          <w:p w14:paraId="353006FA" w14:textId="77777777" w:rsidR="00C770CB" w:rsidRDefault="00C770CB" w:rsidP="007E7849">
            <w:pPr>
              <w:rPr>
                <w:lang w:val="hu-HU"/>
              </w:rPr>
            </w:pPr>
          </w:p>
        </w:tc>
        <w:tc>
          <w:tcPr>
            <w:tcW w:w="1843" w:type="dxa"/>
            <w:tcBorders>
              <w:top w:val="single" w:sz="5" w:space="0" w:color="000000"/>
              <w:left w:val="single" w:sz="5" w:space="0" w:color="000000"/>
              <w:bottom w:val="single" w:sz="5" w:space="0" w:color="000000"/>
              <w:right w:val="single" w:sz="5" w:space="0" w:color="000000"/>
            </w:tcBorders>
          </w:tcPr>
          <w:p w14:paraId="0E886BB5" w14:textId="77777777" w:rsidR="00C770CB" w:rsidRDefault="00C770CB" w:rsidP="007E7849">
            <w:pPr>
              <w:rPr>
                <w:lang w:val="hu-HU"/>
              </w:rPr>
            </w:pPr>
          </w:p>
        </w:tc>
      </w:tr>
      <w:tr w:rsidR="00C770CB" w14:paraId="28B2F553" w14:textId="77777777" w:rsidTr="007E7849">
        <w:trPr>
          <w:trHeight w:hRule="exact" w:val="329"/>
        </w:trPr>
        <w:tc>
          <w:tcPr>
            <w:tcW w:w="2311" w:type="dxa"/>
            <w:tcBorders>
              <w:top w:val="single" w:sz="5" w:space="0" w:color="000000"/>
              <w:left w:val="single" w:sz="5" w:space="0" w:color="000000"/>
              <w:bottom w:val="single" w:sz="5" w:space="0" w:color="000000"/>
              <w:right w:val="single" w:sz="5" w:space="0" w:color="000000"/>
            </w:tcBorders>
          </w:tcPr>
          <w:p w14:paraId="56031E3A" w14:textId="77777777" w:rsidR="00C770CB" w:rsidRDefault="00C770CB" w:rsidP="007E7849">
            <w:pPr>
              <w:pStyle w:val="TableParagraph"/>
              <w:spacing w:before="24"/>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Klinikai remisszió</w:t>
            </w:r>
          </w:p>
        </w:tc>
        <w:tc>
          <w:tcPr>
            <w:tcW w:w="1085" w:type="dxa"/>
            <w:tcBorders>
              <w:top w:val="single" w:sz="5" w:space="0" w:color="000000"/>
              <w:left w:val="single" w:sz="5" w:space="0" w:color="000000"/>
              <w:bottom w:val="single" w:sz="5" w:space="0" w:color="000000"/>
              <w:right w:val="single" w:sz="5" w:space="0" w:color="000000"/>
            </w:tcBorders>
          </w:tcPr>
          <w:p w14:paraId="50AB799A" w14:textId="77777777" w:rsidR="00C770CB" w:rsidRDefault="00C770CB" w:rsidP="007E7849">
            <w:pPr>
              <w:pStyle w:val="TableParagraph"/>
              <w:spacing w:before="24"/>
              <w:ind w:left="387"/>
              <w:rPr>
                <w:rFonts w:ascii="Times New Roman" w:eastAsia="Times New Roman" w:hAnsi="Times New Roman" w:cs="Times New Roman"/>
                <w:lang w:val="hu-HU"/>
              </w:rPr>
            </w:pPr>
            <w:r>
              <w:rPr>
                <w:rFonts w:ascii="Times New Roman" w:eastAsia="Times New Roman" w:hAnsi="Times New Roman" w:cs="Times New Roman"/>
                <w:lang w:val="hu-HU"/>
              </w:rPr>
              <w:t>12%</w:t>
            </w:r>
          </w:p>
        </w:tc>
        <w:tc>
          <w:tcPr>
            <w:tcW w:w="1356" w:type="dxa"/>
            <w:tcBorders>
              <w:top w:val="single" w:sz="5" w:space="0" w:color="000000"/>
              <w:left w:val="single" w:sz="5" w:space="0" w:color="000000"/>
              <w:bottom w:val="single" w:sz="5" w:space="0" w:color="000000"/>
              <w:right w:val="single" w:sz="5" w:space="0" w:color="000000"/>
            </w:tcBorders>
          </w:tcPr>
          <w:p w14:paraId="5D64DD50" w14:textId="77777777" w:rsidR="00C770CB" w:rsidRDefault="00C770CB" w:rsidP="007E7849">
            <w:pPr>
              <w:pStyle w:val="TableParagraph"/>
              <w:spacing w:before="24"/>
              <w:ind w:left="395" w:right="398"/>
              <w:jc w:val="center"/>
              <w:rPr>
                <w:rFonts w:ascii="Times New Roman" w:eastAsia="Times New Roman" w:hAnsi="Times New Roman" w:cs="Times New Roman"/>
                <w:lang w:val="hu-HU"/>
              </w:rPr>
            </w:pPr>
            <w:r>
              <w:rPr>
                <w:rFonts w:ascii="Times New Roman" w:eastAsia="Times New Roman" w:hAnsi="Times New Roman" w:cs="Times New Roman"/>
                <w:lang w:val="hu-HU"/>
              </w:rPr>
              <w:t>24%</w:t>
            </w:r>
          </w:p>
        </w:tc>
        <w:tc>
          <w:tcPr>
            <w:tcW w:w="1338" w:type="dxa"/>
            <w:tcBorders>
              <w:top w:val="single" w:sz="5" w:space="0" w:color="000000"/>
              <w:left w:val="single" w:sz="5" w:space="0" w:color="000000"/>
              <w:bottom w:val="single" w:sz="5" w:space="0" w:color="000000"/>
              <w:right w:val="single" w:sz="5" w:space="0" w:color="000000"/>
            </w:tcBorders>
          </w:tcPr>
          <w:p w14:paraId="018B3423" w14:textId="77777777" w:rsidR="00C770CB" w:rsidRDefault="00C770CB" w:rsidP="007E7849">
            <w:pPr>
              <w:pStyle w:val="TableParagraph"/>
              <w:spacing w:before="18"/>
              <w:ind w:left="344"/>
              <w:rPr>
                <w:rFonts w:ascii="Times New Roman" w:eastAsia="Times New Roman" w:hAnsi="Times New Roman" w:cs="Times New Roman"/>
                <w:sz w:val="14"/>
                <w:szCs w:val="14"/>
                <w:lang w:val="hu-HU"/>
              </w:rPr>
            </w:pPr>
            <w:r>
              <w:rPr>
                <w:rFonts w:ascii="Times New Roman" w:eastAsia="Times New Roman" w:hAnsi="Times New Roman" w:cs="Times New Roman"/>
                <w:lang w:val="hu-HU"/>
              </w:rPr>
              <w:t>36%</w:t>
            </w:r>
            <w:r>
              <w:rPr>
                <w:rFonts w:ascii="Times New Roman" w:eastAsia="Times New Roman" w:hAnsi="Times New Roman" w:cs="Times New Roman"/>
                <w:sz w:val="14"/>
                <w:szCs w:val="14"/>
                <w:lang w:val="hu-HU"/>
              </w:rPr>
              <w:t>*</w:t>
            </w:r>
          </w:p>
        </w:tc>
        <w:tc>
          <w:tcPr>
            <w:tcW w:w="1559" w:type="dxa"/>
            <w:tcBorders>
              <w:top w:val="single" w:sz="5" w:space="0" w:color="000000"/>
              <w:left w:val="single" w:sz="5" w:space="0" w:color="000000"/>
              <w:bottom w:val="single" w:sz="5" w:space="0" w:color="000000"/>
              <w:right w:val="single" w:sz="5" w:space="0" w:color="000000"/>
            </w:tcBorders>
          </w:tcPr>
          <w:p w14:paraId="545BCFAC" w14:textId="77777777" w:rsidR="00C770CB" w:rsidRDefault="00C770CB" w:rsidP="007E7849">
            <w:pPr>
              <w:pStyle w:val="TableParagraph"/>
              <w:spacing w:before="24"/>
              <w:ind w:left="519" w:right="520"/>
              <w:jc w:val="center"/>
              <w:rPr>
                <w:rFonts w:ascii="Times New Roman" w:eastAsia="Times New Roman" w:hAnsi="Times New Roman" w:cs="Times New Roman"/>
                <w:lang w:val="hu-HU"/>
              </w:rPr>
            </w:pPr>
            <w:r>
              <w:rPr>
                <w:rFonts w:ascii="Times New Roman" w:eastAsia="Times New Roman" w:hAnsi="Times New Roman" w:cs="Times New Roman"/>
                <w:lang w:val="hu-HU"/>
              </w:rPr>
              <w:t>7%</w:t>
            </w:r>
          </w:p>
        </w:tc>
        <w:tc>
          <w:tcPr>
            <w:tcW w:w="1843" w:type="dxa"/>
            <w:tcBorders>
              <w:top w:val="single" w:sz="5" w:space="0" w:color="000000"/>
              <w:left w:val="single" w:sz="5" w:space="0" w:color="000000"/>
              <w:bottom w:val="single" w:sz="5" w:space="0" w:color="000000"/>
              <w:right w:val="single" w:sz="5" w:space="0" w:color="000000"/>
            </w:tcBorders>
          </w:tcPr>
          <w:p w14:paraId="613AD2B9" w14:textId="77777777" w:rsidR="00C770CB" w:rsidRDefault="00C770CB" w:rsidP="007E7849">
            <w:pPr>
              <w:pStyle w:val="TableParagraph"/>
              <w:spacing w:before="18"/>
              <w:ind w:left="644" w:right="644"/>
              <w:jc w:val="center"/>
              <w:rPr>
                <w:rFonts w:ascii="Times New Roman" w:eastAsia="Times New Roman" w:hAnsi="Times New Roman" w:cs="Times New Roman"/>
                <w:sz w:val="14"/>
                <w:szCs w:val="14"/>
                <w:lang w:val="hu-HU"/>
              </w:rPr>
            </w:pPr>
            <w:r>
              <w:rPr>
                <w:rFonts w:ascii="Times New Roman" w:eastAsia="Times New Roman" w:hAnsi="Times New Roman" w:cs="Times New Roman"/>
                <w:lang w:val="hu-HU"/>
              </w:rPr>
              <w:t>21%</w:t>
            </w:r>
            <w:r>
              <w:rPr>
                <w:rFonts w:ascii="Times New Roman" w:eastAsia="Times New Roman" w:hAnsi="Times New Roman" w:cs="Times New Roman"/>
                <w:sz w:val="14"/>
                <w:szCs w:val="14"/>
                <w:lang w:val="hu-HU"/>
              </w:rPr>
              <w:t>*</w:t>
            </w:r>
          </w:p>
        </w:tc>
      </w:tr>
      <w:tr w:rsidR="00C770CB" w14:paraId="5B4D95B7" w14:textId="77777777" w:rsidTr="007E7849">
        <w:trPr>
          <w:trHeight w:hRule="exact" w:val="571"/>
        </w:trPr>
        <w:tc>
          <w:tcPr>
            <w:tcW w:w="2311" w:type="dxa"/>
            <w:tcBorders>
              <w:top w:val="single" w:sz="5" w:space="0" w:color="000000"/>
              <w:left w:val="single" w:sz="5" w:space="0" w:color="000000"/>
              <w:bottom w:val="single" w:sz="5" w:space="0" w:color="000000"/>
              <w:right w:val="single" w:sz="5" w:space="0" w:color="000000"/>
            </w:tcBorders>
          </w:tcPr>
          <w:p w14:paraId="747A3D20" w14:textId="77777777" w:rsidR="00C770CB" w:rsidRDefault="00C770CB" w:rsidP="007E7849">
            <w:pPr>
              <w:pStyle w:val="TableParagraph"/>
              <w:spacing w:before="40" w:line="240"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Klinikai válasz (CR- 100)</w:t>
            </w:r>
          </w:p>
        </w:tc>
        <w:tc>
          <w:tcPr>
            <w:tcW w:w="1085" w:type="dxa"/>
            <w:tcBorders>
              <w:top w:val="single" w:sz="5" w:space="0" w:color="000000"/>
              <w:left w:val="single" w:sz="5" w:space="0" w:color="000000"/>
              <w:bottom w:val="single" w:sz="5" w:space="0" w:color="000000"/>
              <w:right w:val="single" w:sz="5" w:space="0" w:color="000000"/>
            </w:tcBorders>
          </w:tcPr>
          <w:p w14:paraId="1087FBE0" w14:textId="77777777" w:rsidR="00C770CB" w:rsidRDefault="00C770CB" w:rsidP="007E7849">
            <w:pPr>
              <w:pStyle w:val="TableParagraph"/>
              <w:spacing w:before="24"/>
              <w:ind w:left="387"/>
              <w:rPr>
                <w:rFonts w:ascii="Times New Roman" w:eastAsia="Times New Roman" w:hAnsi="Times New Roman" w:cs="Times New Roman"/>
                <w:lang w:val="hu-HU"/>
              </w:rPr>
            </w:pPr>
            <w:r>
              <w:rPr>
                <w:rFonts w:ascii="Times New Roman" w:eastAsia="Times New Roman" w:hAnsi="Times New Roman" w:cs="Times New Roman"/>
                <w:lang w:val="hu-HU"/>
              </w:rPr>
              <w:t>24%</w:t>
            </w:r>
          </w:p>
        </w:tc>
        <w:tc>
          <w:tcPr>
            <w:tcW w:w="1356" w:type="dxa"/>
            <w:tcBorders>
              <w:top w:val="single" w:sz="5" w:space="0" w:color="000000"/>
              <w:left w:val="single" w:sz="5" w:space="0" w:color="000000"/>
              <w:bottom w:val="single" w:sz="5" w:space="0" w:color="000000"/>
              <w:right w:val="single" w:sz="5" w:space="0" w:color="000000"/>
            </w:tcBorders>
          </w:tcPr>
          <w:p w14:paraId="4BD66E9B" w14:textId="77777777" w:rsidR="00C770CB" w:rsidRDefault="00C770CB" w:rsidP="007E7849">
            <w:pPr>
              <w:pStyle w:val="TableParagraph"/>
              <w:spacing w:before="24"/>
              <w:ind w:left="395" w:right="398"/>
              <w:jc w:val="center"/>
              <w:rPr>
                <w:rFonts w:ascii="Times New Roman" w:eastAsia="Times New Roman" w:hAnsi="Times New Roman" w:cs="Times New Roman"/>
                <w:lang w:val="hu-HU"/>
              </w:rPr>
            </w:pPr>
            <w:r>
              <w:rPr>
                <w:rFonts w:ascii="Times New Roman" w:eastAsia="Times New Roman" w:hAnsi="Times New Roman" w:cs="Times New Roman"/>
                <w:lang w:val="hu-HU"/>
              </w:rPr>
              <w:t>37%</w:t>
            </w:r>
          </w:p>
        </w:tc>
        <w:tc>
          <w:tcPr>
            <w:tcW w:w="1338" w:type="dxa"/>
            <w:tcBorders>
              <w:top w:val="single" w:sz="5" w:space="0" w:color="000000"/>
              <w:left w:val="single" w:sz="5" w:space="0" w:color="000000"/>
              <w:bottom w:val="single" w:sz="5" w:space="0" w:color="000000"/>
              <w:right w:val="single" w:sz="5" w:space="0" w:color="000000"/>
            </w:tcBorders>
          </w:tcPr>
          <w:p w14:paraId="7C5E0CEB" w14:textId="77777777" w:rsidR="00C770CB" w:rsidRDefault="00C770CB" w:rsidP="007E7849">
            <w:pPr>
              <w:pStyle w:val="TableParagraph"/>
              <w:spacing w:before="18"/>
              <w:ind w:left="311"/>
              <w:rPr>
                <w:rFonts w:ascii="Times New Roman" w:eastAsia="Times New Roman" w:hAnsi="Times New Roman" w:cs="Times New Roman"/>
                <w:sz w:val="14"/>
                <w:szCs w:val="14"/>
                <w:lang w:val="hu-HU"/>
              </w:rPr>
            </w:pPr>
            <w:r>
              <w:rPr>
                <w:rFonts w:ascii="Times New Roman" w:eastAsia="Times New Roman" w:hAnsi="Times New Roman" w:cs="Times New Roman"/>
                <w:lang w:val="hu-HU"/>
              </w:rPr>
              <w:t>49%</w:t>
            </w:r>
            <w:r>
              <w:rPr>
                <w:rFonts w:ascii="Times New Roman" w:eastAsia="Times New Roman" w:hAnsi="Times New Roman" w:cs="Times New Roman"/>
                <w:sz w:val="14"/>
                <w:szCs w:val="14"/>
                <w:lang w:val="hu-HU"/>
              </w:rPr>
              <w:t>**</w:t>
            </w:r>
          </w:p>
        </w:tc>
        <w:tc>
          <w:tcPr>
            <w:tcW w:w="1559" w:type="dxa"/>
            <w:tcBorders>
              <w:top w:val="single" w:sz="5" w:space="0" w:color="000000"/>
              <w:left w:val="single" w:sz="5" w:space="0" w:color="000000"/>
              <w:bottom w:val="single" w:sz="5" w:space="0" w:color="000000"/>
              <w:right w:val="single" w:sz="5" w:space="0" w:color="000000"/>
            </w:tcBorders>
          </w:tcPr>
          <w:p w14:paraId="3F2280B1" w14:textId="77777777" w:rsidR="00C770CB" w:rsidRDefault="00C770CB" w:rsidP="007E7849">
            <w:pPr>
              <w:pStyle w:val="TableParagraph"/>
              <w:spacing w:before="24"/>
              <w:ind w:left="519" w:right="520"/>
              <w:jc w:val="center"/>
              <w:rPr>
                <w:rFonts w:ascii="Times New Roman" w:eastAsia="Times New Roman" w:hAnsi="Times New Roman" w:cs="Times New Roman"/>
                <w:lang w:val="hu-HU"/>
              </w:rPr>
            </w:pPr>
            <w:r>
              <w:rPr>
                <w:rFonts w:ascii="Times New Roman" w:eastAsia="Times New Roman" w:hAnsi="Times New Roman" w:cs="Times New Roman"/>
                <w:lang w:val="hu-HU"/>
              </w:rPr>
              <w:t>25%</w:t>
            </w:r>
          </w:p>
        </w:tc>
        <w:tc>
          <w:tcPr>
            <w:tcW w:w="1843" w:type="dxa"/>
            <w:tcBorders>
              <w:top w:val="single" w:sz="5" w:space="0" w:color="000000"/>
              <w:left w:val="single" w:sz="5" w:space="0" w:color="000000"/>
              <w:bottom w:val="single" w:sz="5" w:space="0" w:color="000000"/>
              <w:right w:val="single" w:sz="5" w:space="0" w:color="000000"/>
            </w:tcBorders>
          </w:tcPr>
          <w:p w14:paraId="29AFE0BE" w14:textId="77777777" w:rsidR="00C770CB" w:rsidRDefault="00C770CB" w:rsidP="007E7849">
            <w:pPr>
              <w:pStyle w:val="TableParagraph"/>
              <w:spacing w:before="18"/>
              <w:ind w:left="609" w:right="616"/>
              <w:jc w:val="center"/>
              <w:rPr>
                <w:rFonts w:ascii="Times New Roman" w:eastAsia="Times New Roman" w:hAnsi="Times New Roman" w:cs="Times New Roman"/>
                <w:sz w:val="14"/>
                <w:szCs w:val="14"/>
                <w:lang w:val="hu-HU"/>
              </w:rPr>
            </w:pPr>
            <w:r>
              <w:rPr>
                <w:rFonts w:ascii="Times New Roman" w:eastAsia="Times New Roman" w:hAnsi="Times New Roman" w:cs="Times New Roman"/>
                <w:lang w:val="hu-HU"/>
              </w:rPr>
              <w:t>38%</w:t>
            </w:r>
            <w:r>
              <w:rPr>
                <w:rFonts w:ascii="Times New Roman" w:eastAsia="Times New Roman" w:hAnsi="Times New Roman" w:cs="Times New Roman"/>
                <w:sz w:val="14"/>
                <w:szCs w:val="14"/>
                <w:lang w:val="hu-HU"/>
              </w:rPr>
              <w:t>**</w:t>
            </w:r>
          </w:p>
        </w:tc>
      </w:tr>
    </w:tbl>
    <w:p w14:paraId="4A756C44" w14:textId="77777777" w:rsidR="00C770CB" w:rsidRDefault="00C770CB" w:rsidP="00C770CB">
      <w:pPr>
        <w:pStyle w:val="a3"/>
        <w:rPr>
          <w:lang w:val="hu-HU"/>
        </w:rPr>
      </w:pPr>
      <w:r>
        <w:rPr>
          <w:rFonts w:eastAsia="Times New Roman"/>
          <w:lang w:val="hu-HU"/>
        </w:rPr>
        <w:t xml:space="preserve">Az összes p-érték az adalimumab </w:t>
      </w:r>
      <w:r>
        <w:rPr>
          <w:rFonts w:eastAsia="Times New Roman"/>
          <w:i/>
          <w:iCs/>
          <w:lang w:val="hu-HU"/>
        </w:rPr>
        <w:t xml:space="preserve">versus </w:t>
      </w:r>
      <w:r>
        <w:rPr>
          <w:rFonts w:eastAsia="Times New Roman"/>
          <w:lang w:val="hu-HU"/>
        </w:rPr>
        <w:t>placebo kezelés során regisztrált részarányok páronkénti összehasonlításaira vonatkozik.</w:t>
      </w:r>
    </w:p>
    <w:p w14:paraId="15C73DEE" w14:textId="77777777" w:rsidR="00C770CB" w:rsidRDefault="00C770CB" w:rsidP="00C770CB">
      <w:pPr>
        <w:pStyle w:val="a3"/>
        <w:rPr>
          <w:lang w:val="hu-HU"/>
        </w:rPr>
      </w:pPr>
      <w:r>
        <w:rPr>
          <w:rFonts w:eastAsia="Times New Roman"/>
          <w:position w:val="8"/>
          <w:sz w:val="14"/>
          <w:szCs w:val="14"/>
          <w:lang w:val="hu-HU"/>
        </w:rPr>
        <w:t>*</w:t>
      </w:r>
      <w:r>
        <w:rPr>
          <w:rFonts w:eastAsia="Times New Roman"/>
          <w:position w:val="8"/>
          <w:lang w:val="hu-HU"/>
        </w:rPr>
        <w:t>p &lt; 0,001</w:t>
      </w:r>
    </w:p>
    <w:p w14:paraId="179F830B" w14:textId="77777777" w:rsidR="00C770CB" w:rsidRDefault="00C770CB" w:rsidP="00C770CB">
      <w:pPr>
        <w:tabs>
          <w:tab w:val="left" w:pos="506"/>
        </w:tabs>
        <w:spacing w:before="22"/>
        <w:rPr>
          <w:rFonts w:ascii="Times New Roman" w:eastAsia="Times New Roman" w:hAnsi="Times New Roman" w:cs="Times New Roman"/>
          <w:lang w:val="hu-HU"/>
        </w:rPr>
      </w:pPr>
      <w:r>
        <w:rPr>
          <w:rFonts w:ascii="Times New Roman" w:eastAsia="Times New Roman" w:hAnsi="Times New Roman" w:cs="Times New Roman"/>
          <w:position w:val="8"/>
          <w:sz w:val="14"/>
          <w:szCs w:val="14"/>
          <w:lang w:val="hu-HU"/>
        </w:rPr>
        <w:t>**</w:t>
      </w:r>
      <w:r>
        <w:rPr>
          <w:rFonts w:ascii="Times New Roman" w:eastAsia="Times New Roman" w:hAnsi="Times New Roman" w:cs="Times New Roman"/>
          <w:position w:val="8"/>
          <w:lang w:val="hu-HU"/>
        </w:rPr>
        <w:t>p &lt; 0,01</w:t>
      </w:r>
    </w:p>
    <w:p w14:paraId="5D72FD95" w14:textId="77777777" w:rsidR="00C770CB" w:rsidRDefault="00C770CB" w:rsidP="00C770CB">
      <w:pPr>
        <w:spacing w:before="15" w:line="200" w:lineRule="exact"/>
        <w:rPr>
          <w:sz w:val="20"/>
          <w:szCs w:val="20"/>
          <w:lang w:val="hu-HU"/>
        </w:rPr>
      </w:pPr>
    </w:p>
    <w:p w14:paraId="1F772D00" w14:textId="77777777" w:rsidR="00C770CB" w:rsidRDefault="00C770CB" w:rsidP="00C770CB">
      <w:pPr>
        <w:pStyle w:val="a3"/>
        <w:rPr>
          <w:lang w:val="hu-HU"/>
        </w:rPr>
      </w:pPr>
      <w:r>
        <w:rPr>
          <w:rFonts w:eastAsia="Times New Roman"/>
          <w:lang w:val="hu-HU"/>
        </w:rPr>
        <w:t>A 160/ 80 mg, illetve a 80/ 40 mg dózisú indukciós kezelések után a 8. héten hasonló remissziós rátát regisztráltak; a 160/ 80 mg dózisokkal kezelt csoportban gyakrabban észleltek mellékhatásokat.</w:t>
      </w:r>
    </w:p>
    <w:p w14:paraId="3A0613BF" w14:textId="77777777" w:rsidR="00C770CB" w:rsidRDefault="00C770CB" w:rsidP="00C770CB">
      <w:pPr>
        <w:spacing w:before="11" w:line="240" w:lineRule="exact"/>
        <w:rPr>
          <w:sz w:val="24"/>
          <w:szCs w:val="24"/>
          <w:lang w:val="hu-HU"/>
        </w:rPr>
      </w:pPr>
    </w:p>
    <w:p w14:paraId="16304973" w14:textId="5E69D241" w:rsidR="00C770CB" w:rsidRDefault="00C770CB" w:rsidP="00C770CB">
      <w:pPr>
        <w:pStyle w:val="a3"/>
        <w:rPr>
          <w:lang w:val="hu-HU"/>
        </w:rPr>
      </w:pPr>
      <w:r>
        <w:rPr>
          <w:rFonts w:eastAsia="Times New Roman"/>
          <w:lang w:val="hu-HU"/>
        </w:rPr>
        <w:t xml:space="preserve">A CD III vizsgálat 4. hetében a betegek 58% - án (499/ 854 betegen) mutatkozott klinikai hatás; a primer elemzést ezeknek a résztvevőknek az eredményein végezték el. A kezelésre a 4. héten klinikailag reagáló betegek 48%-át korábban már kezelték más TNF- antagonistával. A tartós remissziót elért, illetve a </w:t>
      </w:r>
      <w:r>
        <w:rPr>
          <w:rFonts w:eastAsia="Times New Roman"/>
          <w:lang w:val="hu-HU"/>
        </w:rPr>
        <w:lastRenderedPageBreak/>
        <w:t xml:space="preserve">kezelésre reagáló betegek részarányát a </w:t>
      </w:r>
      <w:r w:rsidR="003E1EA9">
        <w:rPr>
          <w:rFonts w:eastAsia="Times New Roman"/>
          <w:lang w:val="hu-HU"/>
        </w:rPr>
        <w:t>15</w:t>
      </w:r>
      <w:r>
        <w:rPr>
          <w:rFonts w:eastAsia="Times New Roman"/>
          <w:lang w:val="hu-HU"/>
        </w:rPr>
        <w:t>. táblázat mutatja be. A klinikai remisszióban lévő betegek részaránya viszonylag állandó maradt, függetlenül a TNF - antagonista expozíciótól.</w:t>
      </w:r>
    </w:p>
    <w:p w14:paraId="557E8A0E" w14:textId="77777777" w:rsidR="00C770CB" w:rsidRDefault="00C770CB" w:rsidP="00C770CB">
      <w:pPr>
        <w:spacing w:before="13" w:line="240" w:lineRule="exact"/>
        <w:rPr>
          <w:sz w:val="24"/>
          <w:szCs w:val="24"/>
          <w:lang w:val="hu-HU"/>
        </w:rPr>
      </w:pPr>
    </w:p>
    <w:p w14:paraId="72832DA6" w14:textId="77777777" w:rsidR="00C770CB" w:rsidRDefault="00C770CB" w:rsidP="00C770CB">
      <w:pPr>
        <w:pStyle w:val="a3"/>
        <w:rPr>
          <w:rFonts w:eastAsia="Times New Roman"/>
          <w:lang w:val="hu-HU"/>
        </w:rPr>
      </w:pPr>
      <w:r>
        <w:rPr>
          <w:rFonts w:eastAsia="Times New Roman"/>
          <w:lang w:val="hu-HU"/>
        </w:rPr>
        <w:t>Az 56. hétre a placebóhoz képest az adalimumab esetén statisztikailag szignifikánsan csökkent a betegséggel összefüggő hospitalizációk és műtétek száma.</w:t>
      </w:r>
    </w:p>
    <w:p w14:paraId="2D7B2F18" w14:textId="77777777" w:rsidR="00C770CB" w:rsidRDefault="00C770CB" w:rsidP="00C770CB">
      <w:pPr>
        <w:pStyle w:val="a3"/>
        <w:rPr>
          <w:lang w:val="hu-HU"/>
        </w:rPr>
      </w:pPr>
    </w:p>
    <w:p w14:paraId="69CA73DF" w14:textId="3FFBE15A" w:rsidR="00C770CB" w:rsidRDefault="003E1EA9" w:rsidP="00C770CB">
      <w:pPr>
        <w:pStyle w:val="a3"/>
        <w:jc w:val="center"/>
        <w:rPr>
          <w:b/>
          <w:lang w:val="hu-HU"/>
        </w:rPr>
      </w:pPr>
      <w:r>
        <w:rPr>
          <w:rFonts w:eastAsia="Times New Roman"/>
          <w:b/>
          <w:bCs/>
          <w:lang w:val="hu-HU"/>
        </w:rPr>
        <w:t>15</w:t>
      </w:r>
      <w:r w:rsidR="00C770CB">
        <w:rPr>
          <w:rFonts w:eastAsia="Times New Roman"/>
          <w:b/>
          <w:bCs/>
          <w:lang w:val="hu-HU"/>
        </w:rPr>
        <w:t>. táblázat</w:t>
      </w:r>
    </w:p>
    <w:p w14:paraId="16CC2F25" w14:textId="77777777" w:rsidR="00C770CB" w:rsidRDefault="00C770CB" w:rsidP="00C770CB">
      <w:pPr>
        <w:pStyle w:val="a3"/>
        <w:jc w:val="center"/>
        <w:rPr>
          <w:b/>
          <w:lang w:val="hu-HU"/>
        </w:rPr>
      </w:pPr>
      <w:r>
        <w:rPr>
          <w:rFonts w:eastAsia="Times New Roman"/>
          <w:b/>
          <w:bCs/>
          <w:lang w:val="hu-HU"/>
        </w:rPr>
        <w:t xml:space="preserve">Klinikai remisszió és válasz fenntartása (betegek százaléka) </w:t>
      </w:r>
    </w:p>
    <w:p w14:paraId="32395EF5" w14:textId="77777777" w:rsidR="00C770CB" w:rsidRDefault="00C770CB" w:rsidP="00C770CB">
      <w:pPr>
        <w:spacing w:before="6" w:line="10" w:lineRule="exact"/>
        <w:rPr>
          <w:sz w:val="4"/>
          <w:szCs w:val="4"/>
          <w:lang w:val="hu-HU"/>
        </w:rPr>
      </w:pPr>
    </w:p>
    <w:tbl>
      <w:tblPr>
        <w:tblStyle w:val="TableNormal1"/>
        <w:tblW w:w="0" w:type="auto"/>
        <w:tblInd w:w="213" w:type="dxa"/>
        <w:tblLayout w:type="fixed"/>
        <w:tblLook w:val="01E0" w:firstRow="1" w:lastRow="1" w:firstColumn="1" w:lastColumn="1" w:noHBand="0" w:noVBand="0"/>
      </w:tblPr>
      <w:tblGrid>
        <w:gridCol w:w="3467"/>
        <w:gridCol w:w="1417"/>
        <w:gridCol w:w="1985"/>
        <w:gridCol w:w="2150"/>
      </w:tblGrid>
      <w:tr w:rsidR="00C770CB" w14:paraId="02D0D94A" w14:textId="77777777" w:rsidTr="007E7849">
        <w:trPr>
          <w:trHeight w:hRule="exact" w:val="906"/>
        </w:trPr>
        <w:tc>
          <w:tcPr>
            <w:tcW w:w="3467" w:type="dxa"/>
            <w:tcBorders>
              <w:top w:val="single" w:sz="5" w:space="0" w:color="000000"/>
              <w:left w:val="single" w:sz="5" w:space="0" w:color="000000"/>
              <w:bottom w:val="single" w:sz="5" w:space="0" w:color="000000"/>
              <w:right w:val="single" w:sz="5" w:space="0" w:color="000000"/>
            </w:tcBorders>
            <w:vAlign w:val="center"/>
          </w:tcPr>
          <w:p w14:paraId="5DFC9F8A" w14:textId="77777777" w:rsidR="00C770CB" w:rsidRDefault="00C770CB" w:rsidP="007E7849">
            <w:pPr>
              <w:jc w:val="center"/>
              <w:rPr>
                <w:lang w:val="hu-HU"/>
              </w:rPr>
            </w:pPr>
          </w:p>
        </w:tc>
        <w:tc>
          <w:tcPr>
            <w:tcW w:w="1417" w:type="dxa"/>
            <w:tcBorders>
              <w:top w:val="single" w:sz="5" w:space="0" w:color="000000"/>
              <w:left w:val="single" w:sz="5" w:space="0" w:color="000000"/>
              <w:bottom w:val="single" w:sz="5" w:space="0" w:color="000000"/>
              <w:right w:val="single" w:sz="5" w:space="0" w:color="000000"/>
            </w:tcBorders>
            <w:vAlign w:val="center"/>
          </w:tcPr>
          <w:p w14:paraId="3F81565C"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b/>
                <w:bCs/>
                <w:lang w:val="hu-HU"/>
              </w:rPr>
              <w:t>Placebo</w:t>
            </w:r>
          </w:p>
        </w:tc>
        <w:tc>
          <w:tcPr>
            <w:tcW w:w="1985" w:type="dxa"/>
            <w:tcBorders>
              <w:top w:val="single" w:sz="5" w:space="0" w:color="000000"/>
              <w:left w:val="single" w:sz="5" w:space="0" w:color="000000"/>
              <w:bottom w:val="single" w:sz="5" w:space="0" w:color="000000"/>
              <w:right w:val="single" w:sz="5" w:space="0" w:color="000000"/>
            </w:tcBorders>
            <w:vAlign w:val="center"/>
          </w:tcPr>
          <w:p w14:paraId="5FDAF078" w14:textId="77777777" w:rsidR="00C770CB" w:rsidRDefault="00C770CB" w:rsidP="007E7849">
            <w:pPr>
              <w:pStyle w:val="TableParagraph"/>
              <w:spacing w:line="240" w:lineRule="exact"/>
              <w:ind w:firstLine="115"/>
              <w:jc w:val="center"/>
              <w:rPr>
                <w:rFonts w:ascii="Times New Roman" w:eastAsia="Times New Roman" w:hAnsi="Times New Roman" w:cs="Times New Roman"/>
                <w:lang w:val="hu-HU"/>
              </w:rPr>
            </w:pPr>
            <w:r>
              <w:rPr>
                <w:rFonts w:ascii="Times New Roman" w:eastAsia="Times New Roman" w:hAnsi="Times New Roman" w:cs="Times New Roman"/>
                <w:b/>
                <w:bCs/>
                <w:lang w:val="hu-HU"/>
              </w:rPr>
              <w:t>40 mg adalimumab kéthetente</w:t>
            </w:r>
          </w:p>
        </w:tc>
        <w:tc>
          <w:tcPr>
            <w:tcW w:w="2150" w:type="dxa"/>
            <w:tcBorders>
              <w:top w:val="single" w:sz="5" w:space="0" w:color="000000"/>
              <w:left w:val="single" w:sz="5" w:space="0" w:color="000000"/>
              <w:bottom w:val="single" w:sz="5" w:space="0" w:color="000000"/>
              <w:right w:val="single" w:sz="5" w:space="0" w:color="000000"/>
            </w:tcBorders>
            <w:vAlign w:val="center"/>
          </w:tcPr>
          <w:p w14:paraId="6D481EC2" w14:textId="77777777" w:rsidR="00C770CB" w:rsidRDefault="00C770CB" w:rsidP="007E7849">
            <w:pPr>
              <w:pStyle w:val="TableParagraph"/>
              <w:spacing w:line="240" w:lineRule="exact"/>
              <w:ind w:hanging="161"/>
              <w:jc w:val="center"/>
              <w:rPr>
                <w:rFonts w:ascii="Times New Roman" w:eastAsia="Times New Roman" w:hAnsi="Times New Roman" w:cs="Times New Roman"/>
                <w:lang w:val="hu-HU"/>
              </w:rPr>
            </w:pPr>
            <w:r>
              <w:rPr>
                <w:rFonts w:ascii="Times New Roman" w:eastAsia="Times New Roman" w:hAnsi="Times New Roman" w:cs="Times New Roman"/>
                <w:b/>
                <w:bCs/>
                <w:lang w:val="hu-HU"/>
              </w:rPr>
              <w:t>40 mg adalimumab hetente</w:t>
            </w:r>
          </w:p>
        </w:tc>
      </w:tr>
      <w:tr w:rsidR="00C770CB" w14:paraId="62C770B9" w14:textId="77777777" w:rsidTr="007E7849">
        <w:trPr>
          <w:trHeight w:hRule="exact" w:val="329"/>
        </w:trPr>
        <w:tc>
          <w:tcPr>
            <w:tcW w:w="3467" w:type="dxa"/>
            <w:tcBorders>
              <w:top w:val="single" w:sz="5" w:space="0" w:color="000000"/>
              <w:left w:val="single" w:sz="5" w:space="0" w:color="000000"/>
              <w:bottom w:val="single" w:sz="5" w:space="0" w:color="000000"/>
              <w:right w:val="single" w:sz="5" w:space="0" w:color="000000"/>
            </w:tcBorders>
            <w:vAlign w:val="center"/>
          </w:tcPr>
          <w:p w14:paraId="212C9313" w14:textId="77777777" w:rsidR="00C770CB" w:rsidRDefault="00C770CB" w:rsidP="007E7849">
            <w:pPr>
              <w:pStyle w:val="TableParagraph"/>
              <w:spacing w:before="24"/>
              <w:ind w:left="102"/>
              <w:jc w:val="center"/>
              <w:rPr>
                <w:rFonts w:ascii="Times New Roman" w:eastAsia="Times New Roman" w:hAnsi="Times New Roman" w:cs="Times New Roman"/>
                <w:lang w:val="hu-HU"/>
              </w:rPr>
            </w:pPr>
            <w:r>
              <w:rPr>
                <w:rFonts w:ascii="Times New Roman" w:eastAsia="Times New Roman" w:hAnsi="Times New Roman" w:cs="Times New Roman"/>
                <w:b/>
                <w:bCs/>
                <w:lang w:val="hu-HU"/>
              </w:rPr>
              <w:t>26. hét</w:t>
            </w:r>
          </w:p>
        </w:tc>
        <w:tc>
          <w:tcPr>
            <w:tcW w:w="1417" w:type="dxa"/>
            <w:tcBorders>
              <w:top w:val="single" w:sz="5" w:space="0" w:color="000000"/>
              <w:left w:val="single" w:sz="5" w:space="0" w:color="000000"/>
              <w:bottom w:val="single" w:sz="5" w:space="0" w:color="000000"/>
              <w:right w:val="single" w:sz="5" w:space="0" w:color="000000"/>
            </w:tcBorders>
            <w:vAlign w:val="center"/>
          </w:tcPr>
          <w:p w14:paraId="4612F34E" w14:textId="3D0102D3" w:rsidR="00C770CB" w:rsidRDefault="00161A1A"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C770CB">
              <w:rPr>
                <w:rFonts w:ascii="Times New Roman" w:eastAsia="Times New Roman" w:hAnsi="Times New Roman" w:cs="Times New Roman"/>
                <w:b/>
                <w:bCs/>
                <w:spacing w:val="-1"/>
                <w:lang w:val="hu-HU"/>
              </w:rPr>
              <w:t>=170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600CD90A" w14:textId="6AD63D47" w:rsidR="00C770CB" w:rsidRDefault="00161A1A"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C770CB">
              <w:rPr>
                <w:rFonts w:ascii="Times New Roman" w:eastAsia="Times New Roman" w:hAnsi="Times New Roman" w:cs="Times New Roman"/>
                <w:b/>
                <w:bCs/>
                <w:spacing w:val="-1"/>
                <w:lang w:val="hu-HU"/>
              </w:rPr>
              <w:t>=172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67EF4F70" w14:textId="37F9CAD3" w:rsidR="00C770CB" w:rsidRDefault="00161A1A"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C770CB">
              <w:rPr>
                <w:rFonts w:ascii="Times New Roman" w:eastAsia="Times New Roman" w:hAnsi="Times New Roman" w:cs="Times New Roman"/>
                <w:b/>
                <w:bCs/>
                <w:spacing w:val="-1"/>
                <w:lang w:val="hu-HU"/>
              </w:rPr>
              <w:t>=157</w:t>
            </w:r>
          </w:p>
        </w:tc>
      </w:tr>
      <w:tr w:rsidR="00C770CB" w14:paraId="4478262C" w14:textId="77777777" w:rsidTr="007E7849">
        <w:trPr>
          <w:trHeight w:hRule="exact" w:val="331"/>
        </w:trPr>
        <w:tc>
          <w:tcPr>
            <w:tcW w:w="3467" w:type="dxa"/>
            <w:tcBorders>
              <w:top w:val="single" w:sz="5" w:space="0" w:color="000000"/>
              <w:left w:val="single" w:sz="5" w:space="0" w:color="000000"/>
              <w:bottom w:val="single" w:sz="5" w:space="0" w:color="000000"/>
              <w:right w:val="single" w:sz="5" w:space="0" w:color="000000"/>
            </w:tcBorders>
            <w:vAlign w:val="center"/>
          </w:tcPr>
          <w:p w14:paraId="183C5EC6" w14:textId="77777777" w:rsidR="00C770CB" w:rsidRDefault="00C770CB" w:rsidP="007E7849">
            <w:pPr>
              <w:pStyle w:val="TableParagraph"/>
              <w:spacing w:before="24"/>
              <w:ind w:left="102"/>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Klinikai remisszió</w:t>
            </w:r>
          </w:p>
        </w:tc>
        <w:tc>
          <w:tcPr>
            <w:tcW w:w="1417" w:type="dxa"/>
            <w:tcBorders>
              <w:top w:val="single" w:sz="5" w:space="0" w:color="000000"/>
              <w:left w:val="single" w:sz="5" w:space="0" w:color="000000"/>
              <w:bottom w:val="single" w:sz="5" w:space="0" w:color="000000"/>
              <w:right w:val="single" w:sz="5" w:space="0" w:color="000000"/>
            </w:tcBorders>
            <w:vAlign w:val="center"/>
          </w:tcPr>
          <w:p w14:paraId="5F0C852E"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17%</w:t>
            </w:r>
          </w:p>
        </w:tc>
        <w:tc>
          <w:tcPr>
            <w:tcW w:w="1985" w:type="dxa"/>
            <w:tcBorders>
              <w:top w:val="single" w:sz="5" w:space="0" w:color="000000"/>
              <w:left w:val="single" w:sz="5" w:space="0" w:color="000000"/>
              <w:bottom w:val="single" w:sz="5" w:space="0" w:color="000000"/>
              <w:right w:val="single" w:sz="5" w:space="0" w:color="000000"/>
            </w:tcBorders>
            <w:vAlign w:val="center"/>
          </w:tcPr>
          <w:p w14:paraId="7E5E18D6"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40%*</w:t>
            </w:r>
          </w:p>
        </w:tc>
        <w:tc>
          <w:tcPr>
            <w:tcW w:w="2150" w:type="dxa"/>
            <w:tcBorders>
              <w:top w:val="single" w:sz="5" w:space="0" w:color="000000"/>
              <w:left w:val="single" w:sz="5" w:space="0" w:color="000000"/>
              <w:bottom w:val="single" w:sz="5" w:space="0" w:color="000000"/>
              <w:right w:val="single" w:sz="5" w:space="0" w:color="000000"/>
            </w:tcBorders>
            <w:vAlign w:val="center"/>
          </w:tcPr>
          <w:p w14:paraId="7AEBD5DB"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47%*</w:t>
            </w:r>
          </w:p>
        </w:tc>
      </w:tr>
      <w:tr w:rsidR="00C770CB" w14:paraId="0CF9169F" w14:textId="77777777" w:rsidTr="007E7849">
        <w:trPr>
          <w:trHeight w:hRule="exact" w:val="329"/>
        </w:trPr>
        <w:tc>
          <w:tcPr>
            <w:tcW w:w="3467" w:type="dxa"/>
            <w:tcBorders>
              <w:top w:val="single" w:sz="5" w:space="0" w:color="000000"/>
              <w:left w:val="single" w:sz="5" w:space="0" w:color="000000"/>
              <w:bottom w:val="single" w:sz="5" w:space="0" w:color="000000"/>
              <w:right w:val="single" w:sz="5" w:space="0" w:color="000000"/>
            </w:tcBorders>
            <w:vAlign w:val="center"/>
          </w:tcPr>
          <w:p w14:paraId="505D4A50" w14:textId="77777777" w:rsidR="00C770CB" w:rsidRDefault="00C770CB" w:rsidP="007E7849">
            <w:pPr>
              <w:pStyle w:val="TableParagraph"/>
              <w:spacing w:before="24"/>
              <w:ind w:left="102"/>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Klinikai válasz (CR- 100)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25F8C138"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27%</w:t>
            </w:r>
          </w:p>
        </w:tc>
        <w:tc>
          <w:tcPr>
            <w:tcW w:w="1985" w:type="dxa"/>
            <w:tcBorders>
              <w:top w:val="single" w:sz="5" w:space="0" w:color="000000"/>
              <w:left w:val="single" w:sz="5" w:space="0" w:color="000000"/>
              <w:bottom w:val="single" w:sz="5" w:space="0" w:color="000000"/>
              <w:right w:val="single" w:sz="5" w:space="0" w:color="000000"/>
            </w:tcBorders>
            <w:vAlign w:val="center"/>
          </w:tcPr>
          <w:p w14:paraId="5319593C"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52%*</w:t>
            </w:r>
          </w:p>
        </w:tc>
        <w:tc>
          <w:tcPr>
            <w:tcW w:w="2150" w:type="dxa"/>
            <w:tcBorders>
              <w:top w:val="single" w:sz="5" w:space="0" w:color="000000"/>
              <w:left w:val="single" w:sz="5" w:space="0" w:color="000000"/>
              <w:bottom w:val="single" w:sz="5" w:space="0" w:color="000000"/>
              <w:right w:val="single" w:sz="5" w:space="0" w:color="000000"/>
            </w:tcBorders>
            <w:vAlign w:val="center"/>
          </w:tcPr>
          <w:p w14:paraId="0E812F1D"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52%*</w:t>
            </w:r>
          </w:p>
        </w:tc>
      </w:tr>
      <w:tr w:rsidR="00C770CB" w14:paraId="7D109955" w14:textId="77777777" w:rsidTr="007E7849">
        <w:trPr>
          <w:trHeight w:hRule="exact" w:val="571"/>
        </w:trPr>
        <w:tc>
          <w:tcPr>
            <w:tcW w:w="3467" w:type="dxa"/>
            <w:tcBorders>
              <w:top w:val="single" w:sz="5" w:space="0" w:color="000000"/>
              <w:left w:val="single" w:sz="5" w:space="0" w:color="000000"/>
              <w:bottom w:val="single" w:sz="5" w:space="0" w:color="000000"/>
              <w:right w:val="single" w:sz="5" w:space="0" w:color="000000"/>
            </w:tcBorders>
            <w:vAlign w:val="center"/>
          </w:tcPr>
          <w:p w14:paraId="4AE5963F" w14:textId="77777777" w:rsidR="00C770CB" w:rsidRDefault="00C770CB" w:rsidP="007E7849">
            <w:pPr>
              <w:pStyle w:val="TableParagraph"/>
              <w:spacing w:before="40" w:line="240" w:lineRule="exact"/>
              <w:ind w:left="462" w:right="64"/>
              <w:jc w:val="center"/>
              <w:rPr>
                <w:rFonts w:ascii="Times New Roman" w:eastAsia="Times New Roman" w:hAnsi="Times New Roman" w:cs="Times New Roman"/>
                <w:sz w:val="14"/>
                <w:szCs w:val="14"/>
                <w:lang w:val="hu-HU"/>
              </w:rPr>
            </w:pPr>
            <w:r>
              <w:rPr>
                <w:rFonts w:ascii="Times New Roman" w:eastAsia="Times New Roman" w:hAnsi="Times New Roman" w:cs="Times New Roman"/>
                <w:spacing w:val="-1"/>
                <w:lang w:val="hu-HU"/>
              </w:rPr>
              <w:t>Szteroid-kezelés nélkül is ≥90 napja remisszióban lévő betegek</w:t>
            </w:r>
            <w:r w:rsidRPr="009167C6">
              <w:rPr>
                <w:rFonts w:ascii="Times New Roman" w:eastAsia="Times New Roman" w:hAnsi="Times New Roman" w:cs="Times New Roman"/>
                <w:spacing w:val="-1"/>
                <w:vertAlign w:val="superscript"/>
                <w:lang w:val="hu-HU"/>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64C1C979"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3% (2/66)</w:t>
            </w:r>
          </w:p>
        </w:tc>
        <w:tc>
          <w:tcPr>
            <w:tcW w:w="1985" w:type="dxa"/>
            <w:tcBorders>
              <w:top w:val="single" w:sz="5" w:space="0" w:color="000000"/>
              <w:left w:val="single" w:sz="5" w:space="0" w:color="000000"/>
              <w:bottom w:val="single" w:sz="5" w:space="0" w:color="000000"/>
              <w:right w:val="single" w:sz="5" w:space="0" w:color="000000"/>
            </w:tcBorders>
            <w:vAlign w:val="center"/>
          </w:tcPr>
          <w:p w14:paraId="795B17F2"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19% (11/58)**</w:t>
            </w:r>
          </w:p>
        </w:tc>
        <w:tc>
          <w:tcPr>
            <w:tcW w:w="2150" w:type="dxa"/>
            <w:tcBorders>
              <w:top w:val="single" w:sz="5" w:space="0" w:color="000000"/>
              <w:left w:val="single" w:sz="5" w:space="0" w:color="000000"/>
              <w:bottom w:val="single" w:sz="5" w:space="0" w:color="000000"/>
              <w:right w:val="single" w:sz="5" w:space="0" w:color="000000"/>
            </w:tcBorders>
            <w:vAlign w:val="center"/>
          </w:tcPr>
          <w:p w14:paraId="36B29BD2"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15% (11/74)**</w:t>
            </w:r>
          </w:p>
        </w:tc>
      </w:tr>
      <w:tr w:rsidR="00C770CB" w14:paraId="60489AE7" w14:textId="77777777" w:rsidTr="007E7849">
        <w:trPr>
          <w:trHeight w:hRule="exact" w:val="329"/>
        </w:trPr>
        <w:tc>
          <w:tcPr>
            <w:tcW w:w="3467" w:type="dxa"/>
            <w:tcBorders>
              <w:top w:val="single" w:sz="5" w:space="0" w:color="000000"/>
              <w:left w:val="single" w:sz="5" w:space="0" w:color="000000"/>
              <w:bottom w:val="single" w:sz="5" w:space="0" w:color="000000"/>
              <w:right w:val="single" w:sz="5" w:space="0" w:color="000000"/>
            </w:tcBorders>
            <w:vAlign w:val="center"/>
          </w:tcPr>
          <w:p w14:paraId="00D74E1D" w14:textId="77777777" w:rsidR="00C770CB" w:rsidRDefault="00C770CB" w:rsidP="007E7849">
            <w:pPr>
              <w:pStyle w:val="TableParagraph"/>
              <w:spacing w:before="24"/>
              <w:ind w:left="102"/>
              <w:jc w:val="center"/>
              <w:rPr>
                <w:rFonts w:ascii="Times New Roman" w:eastAsia="Times New Roman" w:hAnsi="Times New Roman" w:cs="Times New Roman"/>
                <w:lang w:val="hu-HU"/>
              </w:rPr>
            </w:pPr>
            <w:r>
              <w:rPr>
                <w:rFonts w:ascii="Times New Roman" w:eastAsia="Times New Roman" w:hAnsi="Times New Roman" w:cs="Times New Roman"/>
                <w:b/>
                <w:bCs/>
                <w:lang w:val="hu-HU"/>
              </w:rPr>
              <w:t>56. hét</w:t>
            </w:r>
          </w:p>
        </w:tc>
        <w:tc>
          <w:tcPr>
            <w:tcW w:w="1417" w:type="dxa"/>
            <w:tcBorders>
              <w:top w:val="single" w:sz="5" w:space="0" w:color="000000"/>
              <w:left w:val="single" w:sz="5" w:space="0" w:color="000000"/>
              <w:bottom w:val="single" w:sz="5" w:space="0" w:color="000000"/>
              <w:right w:val="single" w:sz="5" w:space="0" w:color="000000"/>
            </w:tcBorders>
            <w:vAlign w:val="center"/>
          </w:tcPr>
          <w:p w14:paraId="5EDC684E" w14:textId="04E6C836" w:rsidR="00C770CB" w:rsidRDefault="00161A1A"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C770CB">
              <w:rPr>
                <w:rFonts w:ascii="Times New Roman" w:eastAsia="Times New Roman" w:hAnsi="Times New Roman" w:cs="Times New Roman"/>
                <w:b/>
                <w:bCs/>
                <w:spacing w:val="-1"/>
                <w:lang w:val="hu-HU"/>
              </w:rPr>
              <w:t>=170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489A53E6" w14:textId="249B8501" w:rsidR="00C770CB" w:rsidRDefault="00161A1A"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C770CB">
              <w:rPr>
                <w:rFonts w:ascii="Times New Roman" w:eastAsia="Times New Roman" w:hAnsi="Times New Roman" w:cs="Times New Roman"/>
                <w:b/>
                <w:bCs/>
                <w:spacing w:val="-1"/>
                <w:lang w:val="hu-HU"/>
              </w:rPr>
              <w:t>=172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63918282" w14:textId="7D4A327A" w:rsidR="00C770CB" w:rsidRDefault="00161A1A"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C770CB">
              <w:rPr>
                <w:rFonts w:ascii="Times New Roman" w:eastAsia="Times New Roman" w:hAnsi="Times New Roman" w:cs="Times New Roman"/>
                <w:b/>
                <w:bCs/>
                <w:spacing w:val="-1"/>
                <w:lang w:val="hu-HU"/>
              </w:rPr>
              <w:t>=157</w:t>
            </w:r>
          </w:p>
        </w:tc>
      </w:tr>
      <w:tr w:rsidR="00C770CB" w14:paraId="07442EF7" w14:textId="77777777" w:rsidTr="007E7849">
        <w:trPr>
          <w:trHeight w:hRule="exact" w:val="331"/>
        </w:trPr>
        <w:tc>
          <w:tcPr>
            <w:tcW w:w="3467" w:type="dxa"/>
            <w:tcBorders>
              <w:top w:val="single" w:sz="5" w:space="0" w:color="000000"/>
              <w:left w:val="single" w:sz="5" w:space="0" w:color="000000"/>
              <w:bottom w:val="single" w:sz="5" w:space="0" w:color="000000"/>
              <w:right w:val="single" w:sz="5" w:space="0" w:color="000000"/>
            </w:tcBorders>
            <w:vAlign w:val="center"/>
          </w:tcPr>
          <w:p w14:paraId="5C6B7C6A" w14:textId="77777777" w:rsidR="00C770CB" w:rsidRDefault="00C770CB" w:rsidP="007E7849">
            <w:pPr>
              <w:pStyle w:val="TableParagraph"/>
              <w:spacing w:before="24"/>
              <w:ind w:left="102"/>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Klinikai remisszió</w:t>
            </w:r>
          </w:p>
        </w:tc>
        <w:tc>
          <w:tcPr>
            <w:tcW w:w="1417" w:type="dxa"/>
            <w:tcBorders>
              <w:top w:val="single" w:sz="5" w:space="0" w:color="000000"/>
              <w:left w:val="single" w:sz="5" w:space="0" w:color="000000"/>
              <w:bottom w:val="single" w:sz="5" w:space="0" w:color="000000"/>
              <w:right w:val="single" w:sz="5" w:space="0" w:color="000000"/>
            </w:tcBorders>
            <w:vAlign w:val="center"/>
          </w:tcPr>
          <w:p w14:paraId="2290C8F3"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12%</w:t>
            </w:r>
          </w:p>
        </w:tc>
        <w:tc>
          <w:tcPr>
            <w:tcW w:w="1985" w:type="dxa"/>
            <w:tcBorders>
              <w:top w:val="single" w:sz="5" w:space="0" w:color="000000"/>
              <w:left w:val="single" w:sz="5" w:space="0" w:color="000000"/>
              <w:bottom w:val="single" w:sz="5" w:space="0" w:color="000000"/>
              <w:right w:val="single" w:sz="5" w:space="0" w:color="000000"/>
            </w:tcBorders>
            <w:vAlign w:val="center"/>
          </w:tcPr>
          <w:p w14:paraId="2779CEF9"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36%*</w:t>
            </w:r>
          </w:p>
        </w:tc>
        <w:tc>
          <w:tcPr>
            <w:tcW w:w="2150" w:type="dxa"/>
            <w:tcBorders>
              <w:top w:val="single" w:sz="5" w:space="0" w:color="000000"/>
              <w:left w:val="single" w:sz="5" w:space="0" w:color="000000"/>
              <w:bottom w:val="single" w:sz="5" w:space="0" w:color="000000"/>
              <w:right w:val="single" w:sz="5" w:space="0" w:color="000000"/>
            </w:tcBorders>
            <w:vAlign w:val="center"/>
          </w:tcPr>
          <w:p w14:paraId="0705DEE2"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41%*</w:t>
            </w:r>
          </w:p>
        </w:tc>
      </w:tr>
      <w:tr w:rsidR="00C770CB" w14:paraId="04FC0AC9" w14:textId="77777777" w:rsidTr="007E7849">
        <w:trPr>
          <w:trHeight w:hRule="exact" w:val="329"/>
        </w:trPr>
        <w:tc>
          <w:tcPr>
            <w:tcW w:w="3467" w:type="dxa"/>
            <w:tcBorders>
              <w:top w:val="single" w:sz="5" w:space="0" w:color="000000"/>
              <w:left w:val="single" w:sz="5" w:space="0" w:color="000000"/>
              <w:bottom w:val="single" w:sz="5" w:space="0" w:color="000000"/>
              <w:right w:val="single" w:sz="5" w:space="0" w:color="000000"/>
            </w:tcBorders>
            <w:vAlign w:val="center"/>
          </w:tcPr>
          <w:p w14:paraId="5DCA694F" w14:textId="77777777" w:rsidR="00C770CB" w:rsidRDefault="00C770CB" w:rsidP="007E7849">
            <w:pPr>
              <w:pStyle w:val="TableParagraph"/>
              <w:spacing w:before="24"/>
              <w:ind w:left="102"/>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Klinikai válasz (CR- 100)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3936E2A7"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17%</w:t>
            </w:r>
          </w:p>
        </w:tc>
        <w:tc>
          <w:tcPr>
            <w:tcW w:w="1985" w:type="dxa"/>
            <w:tcBorders>
              <w:top w:val="single" w:sz="5" w:space="0" w:color="000000"/>
              <w:left w:val="single" w:sz="5" w:space="0" w:color="000000"/>
              <w:bottom w:val="single" w:sz="5" w:space="0" w:color="000000"/>
              <w:right w:val="single" w:sz="5" w:space="0" w:color="000000"/>
            </w:tcBorders>
            <w:vAlign w:val="center"/>
          </w:tcPr>
          <w:p w14:paraId="09A1EA2D"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41%*</w:t>
            </w:r>
          </w:p>
        </w:tc>
        <w:tc>
          <w:tcPr>
            <w:tcW w:w="2150" w:type="dxa"/>
            <w:tcBorders>
              <w:top w:val="single" w:sz="5" w:space="0" w:color="000000"/>
              <w:left w:val="single" w:sz="5" w:space="0" w:color="000000"/>
              <w:bottom w:val="single" w:sz="5" w:space="0" w:color="000000"/>
              <w:right w:val="single" w:sz="5" w:space="0" w:color="000000"/>
            </w:tcBorders>
            <w:vAlign w:val="center"/>
          </w:tcPr>
          <w:p w14:paraId="23A17B18"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48%*</w:t>
            </w:r>
          </w:p>
        </w:tc>
      </w:tr>
      <w:tr w:rsidR="00C770CB" w14:paraId="482E96D5" w14:textId="77777777" w:rsidTr="007E7849">
        <w:trPr>
          <w:trHeight w:hRule="exact" w:val="571"/>
        </w:trPr>
        <w:tc>
          <w:tcPr>
            <w:tcW w:w="3467" w:type="dxa"/>
            <w:tcBorders>
              <w:top w:val="single" w:sz="5" w:space="0" w:color="000000"/>
              <w:left w:val="single" w:sz="5" w:space="0" w:color="000000"/>
              <w:bottom w:val="single" w:sz="5" w:space="0" w:color="000000"/>
              <w:right w:val="single" w:sz="5" w:space="0" w:color="000000"/>
            </w:tcBorders>
            <w:vAlign w:val="center"/>
          </w:tcPr>
          <w:p w14:paraId="543663EF" w14:textId="77777777" w:rsidR="00C770CB" w:rsidRDefault="00C770CB" w:rsidP="007E7849">
            <w:pPr>
              <w:pStyle w:val="TableParagraph"/>
              <w:spacing w:before="40" w:line="240" w:lineRule="exact"/>
              <w:ind w:left="462" w:right="64"/>
              <w:jc w:val="center"/>
              <w:rPr>
                <w:rFonts w:ascii="Times New Roman" w:eastAsia="Times New Roman" w:hAnsi="Times New Roman" w:cs="Times New Roman"/>
                <w:sz w:val="14"/>
                <w:szCs w:val="14"/>
                <w:lang w:val="hu-HU"/>
              </w:rPr>
            </w:pPr>
            <w:r>
              <w:rPr>
                <w:rFonts w:ascii="Times New Roman" w:eastAsia="Times New Roman" w:hAnsi="Times New Roman" w:cs="Times New Roman"/>
                <w:spacing w:val="-1"/>
                <w:lang w:val="hu-HU"/>
              </w:rPr>
              <w:t>Szteroid-kezelés nélkül is ≥90 napja remisszióban lévő betegek</w:t>
            </w:r>
            <w:r w:rsidRPr="009167C6">
              <w:rPr>
                <w:rFonts w:ascii="Times New Roman" w:eastAsia="Times New Roman" w:hAnsi="Times New Roman" w:cs="Times New Roman"/>
                <w:spacing w:val="-1"/>
                <w:vertAlign w:val="superscript"/>
                <w:lang w:val="hu-HU"/>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45A4BA64"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5% (3/66)</w:t>
            </w:r>
          </w:p>
        </w:tc>
        <w:tc>
          <w:tcPr>
            <w:tcW w:w="1985" w:type="dxa"/>
            <w:tcBorders>
              <w:top w:val="single" w:sz="5" w:space="0" w:color="000000"/>
              <w:left w:val="single" w:sz="5" w:space="0" w:color="000000"/>
              <w:bottom w:val="single" w:sz="5" w:space="0" w:color="000000"/>
              <w:right w:val="single" w:sz="5" w:space="0" w:color="000000"/>
            </w:tcBorders>
            <w:vAlign w:val="center"/>
          </w:tcPr>
          <w:p w14:paraId="5B8F5DC0"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29% (17/58)**</w:t>
            </w:r>
          </w:p>
        </w:tc>
        <w:tc>
          <w:tcPr>
            <w:tcW w:w="2150" w:type="dxa"/>
            <w:tcBorders>
              <w:top w:val="single" w:sz="5" w:space="0" w:color="000000"/>
              <w:left w:val="single" w:sz="5" w:space="0" w:color="000000"/>
              <w:bottom w:val="single" w:sz="5" w:space="0" w:color="000000"/>
              <w:right w:val="single" w:sz="5" w:space="0" w:color="000000"/>
            </w:tcBorders>
            <w:vAlign w:val="center"/>
          </w:tcPr>
          <w:p w14:paraId="260C7D45" w14:textId="77777777" w:rsidR="00C770CB" w:rsidRDefault="00C770CB" w:rsidP="007E7849">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20% (15/74)**</w:t>
            </w:r>
          </w:p>
        </w:tc>
      </w:tr>
    </w:tbl>
    <w:p w14:paraId="3E5D5042" w14:textId="77777777" w:rsidR="00C770CB" w:rsidRDefault="00C770CB" w:rsidP="00C770CB">
      <w:pPr>
        <w:pStyle w:val="a3"/>
        <w:rPr>
          <w:lang w:val="hu-HU"/>
        </w:rPr>
      </w:pPr>
      <w:r>
        <w:rPr>
          <w:rFonts w:eastAsia="Times New Roman"/>
          <w:lang w:val="hu-HU"/>
        </w:rPr>
        <w:t xml:space="preserve">* p &lt;0,001 Adalimumabbal </w:t>
      </w:r>
      <w:r>
        <w:rPr>
          <w:rFonts w:eastAsia="Times New Roman"/>
          <w:i/>
          <w:iCs/>
          <w:lang w:val="hu-HU"/>
        </w:rPr>
        <w:t>versus</w:t>
      </w:r>
      <w:r>
        <w:rPr>
          <w:rFonts w:eastAsia="Times New Roman"/>
          <w:lang w:val="hu-HU"/>
        </w:rPr>
        <w:t xml:space="preserve"> placebóval kezelt csoportokban regisztrált részarányok páronkénti összehasonlítása.</w:t>
      </w:r>
    </w:p>
    <w:p w14:paraId="1CDCB684" w14:textId="77777777" w:rsidR="00C770CB" w:rsidRDefault="00C770CB" w:rsidP="00C770CB">
      <w:pPr>
        <w:pStyle w:val="a3"/>
        <w:rPr>
          <w:lang w:val="hu-HU"/>
        </w:rPr>
      </w:pPr>
      <w:r>
        <w:rPr>
          <w:rFonts w:eastAsia="Times New Roman"/>
          <w:lang w:val="hu-HU"/>
        </w:rPr>
        <w:t xml:space="preserve">** p &lt;0,02 Adalimumabbal </w:t>
      </w:r>
      <w:r>
        <w:rPr>
          <w:rFonts w:eastAsia="Times New Roman"/>
          <w:i/>
          <w:iCs/>
          <w:lang w:val="hu-HU"/>
        </w:rPr>
        <w:t>versus</w:t>
      </w:r>
      <w:r>
        <w:rPr>
          <w:rFonts w:eastAsia="Times New Roman"/>
          <w:lang w:val="hu-HU"/>
        </w:rPr>
        <w:t xml:space="preserve"> placebóval kezelt csoportokban regisztrált részarányok páronkénti összehasonlítása.</w:t>
      </w:r>
    </w:p>
    <w:p w14:paraId="5A52A4D1" w14:textId="77777777" w:rsidR="00C770CB" w:rsidRDefault="00C770CB" w:rsidP="00C770CB">
      <w:pPr>
        <w:pStyle w:val="a3"/>
        <w:rPr>
          <w:lang w:val="hu-HU"/>
        </w:rPr>
      </w:pPr>
      <w:r w:rsidRPr="009167C6">
        <w:rPr>
          <w:rFonts w:eastAsia="Times New Roman"/>
          <w:position w:val="8"/>
          <w:vertAlign w:val="superscript"/>
          <w:lang w:val="hu-HU"/>
        </w:rPr>
        <w:t>a</w:t>
      </w:r>
      <w:r w:rsidRPr="009167C6">
        <w:rPr>
          <w:rFonts w:eastAsia="Times New Roman"/>
          <w:position w:val="8"/>
          <w:lang w:val="hu-HU"/>
        </w:rPr>
        <w:t xml:space="preserve"> </w:t>
      </w:r>
      <w:r>
        <w:rPr>
          <w:rFonts w:eastAsia="Times New Roman"/>
          <w:position w:val="8"/>
          <w:lang w:val="hu-HU"/>
        </w:rPr>
        <w:t>A vizsgálat kezdetekor kortikoszteroidokkal kezelt betegek közül</w:t>
      </w:r>
    </w:p>
    <w:p w14:paraId="2F89CEFA" w14:textId="77777777" w:rsidR="00C770CB" w:rsidRDefault="00C770CB" w:rsidP="00C770CB">
      <w:pPr>
        <w:pStyle w:val="a3"/>
        <w:rPr>
          <w:lang w:val="hu-HU"/>
        </w:rPr>
      </w:pPr>
    </w:p>
    <w:p w14:paraId="54D6199F" w14:textId="77777777" w:rsidR="00C770CB" w:rsidRDefault="00C770CB" w:rsidP="00C770CB">
      <w:pPr>
        <w:pStyle w:val="a3"/>
        <w:rPr>
          <w:lang w:val="hu-HU"/>
        </w:rPr>
      </w:pPr>
      <w:r>
        <w:rPr>
          <w:rFonts w:eastAsia="Times New Roman"/>
          <w:spacing w:val="1"/>
          <w:lang w:val="hu-HU"/>
        </w:rPr>
        <w:t>A kezelésre a 4. hétig nem reagáló betegek közül a fenntartó adalimumab-kezelésben részesülők 43%-án, míg a placebokezelésben részesülők 30%-án jelentkezett terápiás hatás a 12. hétig. Ezek az eredmények amellett szólnak, hogy egyes, a kezelésre a 4. hétig nem reagáló betegek fenntartó kezelését előnyös lehet a 12. hétig folytatni. A kezelést a 12. héten túl is folytatva már nem nőtt számottevően a kezelésre reagálók részaránya (lásd 4.2 pont).</w:t>
      </w:r>
    </w:p>
    <w:p w14:paraId="34A1C992" w14:textId="77777777" w:rsidR="00C770CB" w:rsidRDefault="00C770CB" w:rsidP="00C770CB">
      <w:pPr>
        <w:pStyle w:val="a3"/>
        <w:rPr>
          <w:lang w:val="hu-HU"/>
        </w:rPr>
      </w:pPr>
    </w:p>
    <w:p w14:paraId="3DBEB397" w14:textId="77777777" w:rsidR="00C770CB" w:rsidRDefault="00C770CB" w:rsidP="00C770CB">
      <w:pPr>
        <w:pStyle w:val="a3"/>
        <w:rPr>
          <w:lang w:val="hu-HU"/>
        </w:rPr>
      </w:pPr>
      <w:r>
        <w:rPr>
          <w:rFonts w:eastAsia="Times New Roman"/>
          <w:lang w:val="hu-HU"/>
        </w:rPr>
        <w:t>A CD I vizsgálat 117/276 betegét, míg a CD II és III vizsgálat 272/777 betegét követték nyílt adalimumab-kezelés alatt legalább 3 éven keresztül. Sorrendben 88, illetve 189 betegnél maradt fent a klinikai remisszió. Sorrendben 102 és 233 betegnél maradt fent a klinikai válasz (CR-100).</w:t>
      </w:r>
    </w:p>
    <w:p w14:paraId="57FC819E" w14:textId="77777777" w:rsidR="00C770CB" w:rsidRDefault="00C770CB" w:rsidP="00C770CB">
      <w:pPr>
        <w:pStyle w:val="a3"/>
        <w:rPr>
          <w:lang w:val="hu-HU"/>
        </w:rPr>
      </w:pPr>
    </w:p>
    <w:p w14:paraId="0D057B78" w14:textId="77777777" w:rsidR="00C770CB" w:rsidRDefault="00C770CB" w:rsidP="00C770CB">
      <w:pPr>
        <w:pStyle w:val="a3"/>
        <w:rPr>
          <w:rFonts w:eastAsia="Times New Roman"/>
          <w:lang w:val="hu-HU"/>
        </w:rPr>
      </w:pPr>
      <w:r>
        <w:rPr>
          <w:rFonts w:eastAsia="Times New Roman"/>
          <w:i/>
          <w:iCs/>
          <w:spacing w:val="-1"/>
          <w:u w:val="single" w:color="000000"/>
          <w:lang w:val="hu-HU"/>
        </w:rPr>
        <w:t>Életminőség</w:t>
      </w:r>
    </w:p>
    <w:p w14:paraId="265E61BE" w14:textId="77777777" w:rsidR="00C770CB" w:rsidRDefault="00C770CB" w:rsidP="00C770CB">
      <w:pPr>
        <w:pStyle w:val="a3"/>
        <w:rPr>
          <w:sz w:val="18"/>
          <w:szCs w:val="18"/>
          <w:lang w:val="hu-HU"/>
        </w:rPr>
      </w:pPr>
    </w:p>
    <w:p w14:paraId="0DD883E1" w14:textId="77777777" w:rsidR="00C770CB" w:rsidRDefault="00C770CB" w:rsidP="00C770CB">
      <w:pPr>
        <w:pStyle w:val="a3"/>
        <w:rPr>
          <w:lang w:val="hu-HU"/>
        </w:rPr>
      </w:pPr>
      <w:r>
        <w:rPr>
          <w:rFonts w:eastAsia="Times New Roman"/>
          <w:lang w:val="hu-HU"/>
        </w:rPr>
        <w:t xml:space="preserve">A CD I és a CD II vizsgálatban statisztikailag szignifikáns javulást értek el a betegségspecifikus Gyulladásos bélbetegség kérdőív (IBDQ – Inflammatory Bowel Disease Questionnaire) összpontszámában a kezelés 4. hetében azoknál a betegeknél, akiket véletlenszerűen az adalimumab 80/40 mg, illetve adalimumab 160/80 mg csoportba soroltak be, a placebocsoportba sorolt betegekével összehasonlítva, és ezt észlelték a CD </w:t>
      </w:r>
      <w:r w:rsidRPr="009167C6">
        <w:rPr>
          <w:lang w:val="hu-HU"/>
        </w:rPr>
        <w:t> </w:t>
      </w:r>
      <w:r>
        <w:rPr>
          <w:rFonts w:eastAsia="Times New Roman"/>
          <w:lang w:val="hu-HU"/>
        </w:rPr>
        <w:t xml:space="preserve"> III vizsgálat során is a 26. és az 56. héten az adalimumabbal, illetve placebóval kezelt betegcsoportokban.</w:t>
      </w:r>
    </w:p>
    <w:p w14:paraId="4647F7A6" w14:textId="765B5799" w:rsidR="00C770CB" w:rsidRDefault="00C770CB" w:rsidP="00C770CB">
      <w:pPr>
        <w:spacing w:before="13" w:line="240" w:lineRule="exact"/>
        <w:rPr>
          <w:sz w:val="24"/>
          <w:szCs w:val="24"/>
          <w:lang w:val="hu-HU"/>
        </w:rPr>
      </w:pPr>
    </w:p>
    <w:p w14:paraId="51F47BE3" w14:textId="77777777" w:rsidR="00C770CB" w:rsidRDefault="00C770CB" w:rsidP="00C770CB">
      <w:pPr>
        <w:pStyle w:val="a3"/>
        <w:rPr>
          <w:rFonts w:eastAsia="Times New Roman"/>
          <w:lang w:val="hu-HU"/>
        </w:rPr>
      </w:pPr>
      <w:r>
        <w:rPr>
          <w:rFonts w:eastAsia="Times New Roman"/>
          <w:i/>
          <w:iCs/>
          <w:spacing w:val="-1"/>
          <w:lang w:val="hu-HU"/>
        </w:rPr>
        <w:t>Colitis ulcerosa</w:t>
      </w:r>
    </w:p>
    <w:p w14:paraId="2B41927A" w14:textId="77777777" w:rsidR="00C770CB" w:rsidRDefault="00C770CB" w:rsidP="00C770CB">
      <w:pPr>
        <w:pStyle w:val="a3"/>
        <w:rPr>
          <w:lang w:val="hu-HU"/>
        </w:rPr>
      </w:pPr>
    </w:p>
    <w:p w14:paraId="0D9D1216" w14:textId="77777777" w:rsidR="00C770CB" w:rsidRDefault="00C770CB" w:rsidP="00C770CB">
      <w:pPr>
        <w:pStyle w:val="a3"/>
        <w:rPr>
          <w:lang w:val="hu-HU"/>
        </w:rPr>
      </w:pPr>
      <w:r>
        <w:rPr>
          <w:rFonts w:eastAsia="Times New Roman"/>
          <w:lang w:val="hu-HU"/>
        </w:rPr>
        <w:t xml:space="preserve">Az adalimumab többszörös adagjának biztonságosságát és hatásosságát értékelték közepesen súlyos-súlyos </w:t>
      </w:r>
      <w:r w:rsidRPr="00E72311">
        <w:rPr>
          <w:lang w:val="hu-HU"/>
        </w:rPr>
        <w:t>aktivitású</w:t>
      </w:r>
      <w:r>
        <w:rPr>
          <w:rFonts w:eastAsia="Times New Roman"/>
          <w:lang w:val="hu-HU"/>
        </w:rPr>
        <w:t xml:space="preserve"> colitis ulcerosában szenvedő felnőtt betegeknél (Mayo pontszám 6-12, endoszkópos alpontszám 2-3) randomizált, kettős vak, placebokontrollos vizsgálatokban.</w:t>
      </w:r>
    </w:p>
    <w:p w14:paraId="5DCB9F92" w14:textId="77777777" w:rsidR="00C770CB" w:rsidRDefault="00C770CB" w:rsidP="00C770CB">
      <w:pPr>
        <w:pStyle w:val="a3"/>
        <w:rPr>
          <w:lang w:val="hu-HU"/>
        </w:rPr>
      </w:pPr>
    </w:p>
    <w:p w14:paraId="67B58C1D" w14:textId="77777777" w:rsidR="00C770CB" w:rsidRDefault="00C770CB" w:rsidP="00C770CB">
      <w:pPr>
        <w:pStyle w:val="a3"/>
        <w:rPr>
          <w:lang w:val="hu-HU"/>
        </w:rPr>
      </w:pPr>
      <w:r>
        <w:rPr>
          <w:rFonts w:eastAsia="Times New Roman"/>
          <w:lang w:val="hu-HU"/>
        </w:rPr>
        <w:lastRenderedPageBreak/>
        <w:t>Az UC-I vizsgálatban 390, korábban TNF-antagonista kezelésben nem részesült beteget randomizáltak 3 csoportba: az egyik csoport a 0. és 2. héten placebót kapott, a másik csoport a 0. héten 160 mg, a 2. héten 80 mg adalimumabot, míg a harmadik csoport a 0. héten 80 mg, a 2. héten pedig 40 mg adalimumabot kapott. A 2. hét után a betegek mindkét adalimumab karon kéthetenként 40 mg adalimumabot kaptak. A klinikai remissziót (meghatározás szerint a Mayo pontszám legfeljebb 2 és egyik endoszkópos alpontszám sem nagyobb mint 1) a 8. héten értékelték.</w:t>
      </w:r>
    </w:p>
    <w:p w14:paraId="3ACD19D7" w14:textId="77777777" w:rsidR="00C770CB" w:rsidRDefault="00C770CB" w:rsidP="00C770CB">
      <w:pPr>
        <w:pStyle w:val="a3"/>
        <w:rPr>
          <w:lang w:val="hu-HU"/>
        </w:rPr>
      </w:pPr>
    </w:p>
    <w:p w14:paraId="696516C2" w14:textId="77777777" w:rsidR="00C770CB" w:rsidRDefault="00C770CB" w:rsidP="00C770CB">
      <w:pPr>
        <w:pStyle w:val="a3"/>
        <w:rPr>
          <w:lang w:val="hu-HU"/>
        </w:rPr>
      </w:pPr>
      <w:r>
        <w:rPr>
          <w:rFonts w:eastAsia="Times New Roman"/>
          <w:lang w:val="hu-HU"/>
        </w:rPr>
        <w:t>Az UC-II vizsgálatban 248 beteg kapott 160 mg adalimumabot a 0. héten, 80 mg-ot a 2. héten, majd ezt követően 40 mg-ot minden második héten, míg 246 betegnek placebót adtak. A klinikai eredményeket a 8. héten a remisszió indukciójára vonatkozóan, az 52. héten a remisszió fenntartására vonatkozóan értékelték.</w:t>
      </w:r>
    </w:p>
    <w:p w14:paraId="6626FF85" w14:textId="77777777" w:rsidR="00C770CB" w:rsidRDefault="00C770CB" w:rsidP="00C770CB">
      <w:pPr>
        <w:pStyle w:val="a3"/>
        <w:rPr>
          <w:lang w:val="hu-HU"/>
        </w:rPr>
      </w:pPr>
    </w:p>
    <w:p w14:paraId="01257281" w14:textId="77777777" w:rsidR="00C770CB" w:rsidRDefault="00C770CB" w:rsidP="00C770CB">
      <w:pPr>
        <w:pStyle w:val="a3"/>
        <w:rPr>
          <w:lang w:val="hu-HU"/>
        </w:rPr>
      </w:pPr>
      <w:r>
        <w:rPr>
          <w:rFonts w:eastAsia="Times New Roman"/>
          <w:lang w:val="hu-HU"/>
        </w:rPr>
        <w:t>A 160/80 mg indukciós adalimumab-kezelésben részesülő betegek statisztikailag szignifikánsan nagyobb százalékban mutattak klinikai remissziót a 8. héten a placebóhoz képest az UC-I vizsgálatban (sorrendben 18%, illetve 9%, p = 0,031) és az UC-II vizsgálatban (sorrendben 17%, illetve 9%, p = 0,019). Az UC-II vizsgálatban azok közül az adalimumabbal kezelt betegek közül, akik a 8. héten remisszióban voltak, az 52. héten 21/41 (51%) volt remisszióban</w:t>
      </w:r>
    </w:p>
    <w:p w14:paraId="14A66288" w14:textId="77777777" w:rsidR="00C770CB" w:rsidRDefault="00C770CB" w:rsidP="00C770CB">
      <w:pPr>
        <w:spacing w:before="13" w:line="240" w:lineRule="exact"/>
        <w:rPr>
          <w:sz w:val="24"/>
          <w:szCs w:val="24"/>
          <w:lang w:val="hu-HU"/>
        </w:rPr>
      </w:pPr>
    </w:p>
    <w:p w14:paraId="4E1EC091" w14:textId="43EF3E2A" w:rsidR="00C770CB" w:rsidRDefault="00C770CB" w:rsidP="00C770CB">
      <w:pPr>
        <w:pStyle w:val="a3"/>
        <w:rPr>
          <w:lang w:val="hu-HU"/>
        </w:rPr>
      </w:pPr>
      <w:r>
        <w:rPr>
          <w:rFonts w:eastAsia="Times New Roman"/>
          <w:lang w:val="hu-HU"/>
        </w:rPr>
        <w:t xml:space="preserve">Az UC-II vizsgálatban részt vevő teljes betegpopuláció eredményeit a </w:t>
      </w:r>
      <w:r w:rsidR="003E1EA9">
        <w:rPr>
          <w:rFonts w:eastAsia="Times New Roman"/>
          <w:lang w:val="hu-HU"/>
        </w:rPr>
        <w:t>16</w:t>
      </w:r>
      <w:r>
        <w:rPr>
          <w:rFonts w:eastAsia="Times New Roman"/>
          <w:lang w:val="hu-HU"/>
        </w:rPr>
        <w:t>. táblázat mutatja.</w:t>
      </w:r>
    </w:p>
    <w:p w14:paraId="0CCE52C2" w14:textId="77777777" w:rsidR="00C770CB" w:rsidRDefault="00C770CB" w:rsidP="00C770CB">
      <w:pPr>
        <w:rPr>
          <w:rFonts w:ascii="Times New Roman" w:hAnsi="Times New Roman" w:cs="Times New Roman"/>
          <w:lang w:val="hu-HU"/>
        </w:rPr>
      </w:pPr>
    </w:p>
    <w:p w14:paraId="624990A0" w14:textId="4C30A3D4" w:rsidR="00C770CB" w:rsidRDefault="003E1EA9" w:rsidP="00C770CB">
      <w:pPr>
        <w:pStyle w:val="a3"/>
        <w:jc w:val="center"/>
        <w:rPr>
          <w:b/>
          <w:lang w:val="hu-HU"/>
        </w:rPr>
      </w:pPr>
      <w:r>
        <w:rPr>
          <w:rFonts w:eastAsia="Times New Roman"/>
          <w:b/>
          <w:bCs/>
          <w:lang w:val="hu-HU"/>
        </w:rPr>
        <w:t>16</w:t>
      </w:r>
      <w:r w:rsidR="00C770CB">
        <w:rPr>
          <w:rFonts w:eastAsia="Times New Roman"/>
          <w:b/>
          <w:bCs/>
          <w:lang w:val="hu-HU"/>
        </w:rPr>
        <w:t>. táblázat</w:t>
      </w:r>
    </w:p>
    <w:p w14:paraId="3B3E3426" w14:textId="77777777" w:rsidR="00C770CB" w:rsidRDefault="00C770CB" w:rsidP="00C770CB">
      <w:pPr>
        <w:pStyle w:val="a3"/>
        <w:jc w:val="center"/>
        <w:rPr>
          <w:b/>
          <w:lang w:val="hu-HU"/>
        </w:rPr>
      </w:pPr>
      <w:r>
        <w:rPr>
          <w:rFonts w:eastAsia="Times New Roman"/>
          <w:b/>
          <w:bCs/>
          <w:lang w:val="hu-HU"/>
        </w:rPr>
        <w:t xml:space="preserve">UC-II vizsgálatban </w:t>
      </w:r>
      <w:r w:rsidRPr="001E2F31">
        <w:rPr>
          <w:b/>
          <w:bCs/>
          <w:lang w:val="hu-HU"/>
        </w:rPr>
        <w:t>a klinikai válasz, remisszió és nyálkahártya gyógyulás aránya</w:t>
      </w:r>
    </w:p>
    <w:p w14:paraId="5C637077" w14:textId="5D5FBBB6" w:rsidR="00C770CB" w:rsidRDefault="00C770CB" w:rsidP="00C770CB">
      <w:pPr>
        <w:pStyle w:val="a3"/>
        <w:jc w:val="center"/>
        <w:rPr>
          <w:b/>
          <w:lang w:val="hu-HU"/>
        </w:rPr>
      </w:pPr>
      <w:r>
        <w:rPr>
          <w:rFonts w:eastAsia="Times New Roman"/>
          <w:b/>
          <w:bCs/>
          <w:lang w:val="hu-HU"/>
        </w:rPr>
        <w:t>(betegek százalékában)</w:t>
      </w:r>
    </w:p>
    <w:p w14:paraId="6DDE7D30" w14:textId="77777777" w:rsidR="00C770CB" w:rsidRDefault="00C770CB" w:rsidP="00C770CB">
      <w:pPr>
        <w:pStyle w:val="a3"/>
        <w:jc w:val="center"/>
        <w:rPr>
          <w:b/>
          <w:lang w:val="hu-HU"/>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9"/>
        <w:gridCol w:w="3130"/>
        <w:gridCol w:w="3191"/>
      </w:tblGrid>
      <w:tr w:rsidR="00C770CB" w:rsidRPr="00F70E6D" w14:paraId="4EF25CBB" w14:textId="77777777" w:rsidTr="007E7849">
        <w:trPr>
          <w:trHeight w:val="403"/>
          <w:jc w:val="center"/>
        </w:trPr>
        <w:tc>
          <w:tcPr>
            <w:tcW w:w="2849" w:type="dxa"/>
            <w:tcBorders>
              <w:top w:val="single" w:sz="4" w:space="0" w:color="auto"/>
              <w:bottom w:val="single" w:sz="4" w:space="0" w:color="auto"/>
            </w:tcBorders>
            <w:vAlign w:val="center"/>
          </w:tcPr>
          <w:p w14:paraId="0B75933A" w14:textId="77777777" w:rsidR="00C770CB" w:rsidRDefault="00C770CB" w:rsidP="007E7849">
            <w:pPr>
              <w:pStyle w:val="a3"/>
              <w:jc w:val="center"/>
              <w:rPr>
                <w:b/>
                <w:lang w:val="hu-HU"/>
              </w:rPr>
            </w:pPr>
          </w:p>
        </w:tc>
        <w:tc>
          <w:tcPr>
            <w:tcW w:w="3130" w:type="dxa"/>
            <w:tcBorders>
              <w:top w:val="single" w:sz="4" w:space="0" w:color="auto"/>
              <w:bottom w:val="single" w:sz="4" w:space="0" w:color="auto"/>
            </w:tcBorders>
            <w:vAlign w:val="center"/>
          </w:tcPr>
          <w:p w14:paraId="389DC40E" w14:textId="77777777" w:rsidR="00C770CB" w:rsidRDefault="00C770CB" w:rsidP="007E7849">
            <w:pPr>
              <w:pStyle w:val="a3"/>
              <w:jc w:val="center"/>
              <w:rPr>
                <w:b/>
                <w:lang w:val="hu-HU"/>
              </w:rPr>
            </w:pPr>
            <w:r>
              <w:rPr>
                <w:rFonts w:eastAsia="Times New Roman"/>
                <w:b/>
                <w:bCs/>
                <w:lang w:val="hu-HU"/>
              </w:rPr>
              <w:t>Placebo</w:t>
            </w:r>
          </w:p>
        </w:tc>
        <w:tc>
          <w:tcPr>
            <w:tcW w:w="3191" w:type="dxa"/>
            <w:tcBorders>
              <w:top w:val="single" w:sz="4" w:space="0" w:color="auto"/>
              <w:bottom w:val="single" w:sz="4" w:space="0" w:color="auto"/>
            </w:tcBorders>
            <w:vAlign w:val="center"/>
          </w:tcPr>
          <w:p w14:paraId="17771877" w14:textId="77777777" w:rsidR="00C770CB" w:rsidRDefault="00C770CB" w:rsidP="007E7849">
            <w:pPr>
              <w:pStyle w:val="a3"/>
              <w:jc w:val="center"/>
              <w:rPr>
                <w:b/>
                <w:lang w:val="hu-HU"/>
              </w:rPr>
            </w:pPr>
            <w:r>
              <w:rPr>
                <w:rFonts w:eastAsia="Times New Roman"/>
                <w:b/>
                <w:bCs/>
                <w:spacing w:val="-1"/>
                <w:lang w:val="hu-HU"/>
              </w:rPr>
              <w:t>Adalimumab 40 mg minden második héten</w:t>
            </w:r>
          </w:p>
        </w:tc>
      </w:tr>
      <w:tr w:rsidR="00C770CB" w14:paraId="243E9979" w14:textId="77777777" w:rsidTr="007E7849">
        <w:trPr>
          <w:trHeight w:val="403"/>
          <w:jc w:val="center"/>
        </w:trPr>
        <w:tc>
          <w:tcPr>
            <w:tcW w:w="2849" w:type="dxa"/>
            <w:tcBorders>
              <w:top w:val="single" w:sz="4" w:space="0" w:color="auto"/>
              <w:bottom w:val="single" w:sz="4" w:space="0" w:color="auto"/>
            </w:tcBorders>
            <w:vAlign w:val="center"/>
          </w:tcPr>
          <w:p w14:paraId="42DC410F" w14:textId="77777777" w:rsidR="00C770CB" w:rsidRDefault="00C770CB" w:rsidP="007E7849">
            <w:pPr>
              <w:pStyle w:val="a3"/>
              <w:jc w:val="both"/>
              <w:rPr>
                <w:b/>
                <w:lang w:val="hu-HU"/>
              </w:rPr>
            </w:pPr>
            <w:r>
              <w:rPr>
                <w:rFonts w:eastAsia="Times New Roman"/>
                <w:lang w:val="hu-HU"/>
              </w:rPr>
              <w:t>52. hét</w:t>
            </w:r>
          </w:p>
        </w:tc>
        <w:tc>
          <w:tcPr>
            <w:tcW w:w="3130" w:type="dxa"/>
            <w:tcBorders>
              <w:top w:val="single" w:sz="4" w:space="0" w:color="auto"/>
              <w:bottom w:val="single" w:sz="4" w:space="0" w:color="auto"/>
            </w:tcBorders>
            <w:vAlign w:val="center"/>
          </w:tcPr>
          <w:p w14:paraId="16B8AF19" w14:textId="0109DC4D" w:rsidR="00C770CB" w:rsidRDefault="008129BF" w:rsidP="007E7849">
            <w:pPr>
              <w:pStyle w:val="a3"/>
              <w:jc w:val="center"/>
              <w:rPr>
                <w:b/>
                <w:lang w:val="hu-HU"/>
              </w:rPr>
            </w:pPr>
            <w:r>
              <w:rPr>
                <w:rFonts w:eastAsia="Times New Roman"/>
                <w:b/>
                <w:bCs/>
                <w:spacing w:val="-1"/>
                <w:lang w:val="hu-HU"/>
              </w:rPr>
              <w:t>n</w:t>
            </w:r>
            <w:r w:rsidR="00C770CB">
              <w:rPr>
                <w:rFonts w:eastAsia="Times New Roman"/>
                <w:b/>
                <w:bCs/>
                <w:spacing w:val="-1"/>
                <w:lang w:val="hu-HU"/>
              </w:rPr>
              <w:t>=246</w:t>
            </w:r>
          </w:p>
        </w:tc>
        <w:tc>
          <w:tcPr>
            <w:tcW w:w="3191" w:type="dxa"/>
            <w:tcBorders>
              <w:top w:val="single" w:sz="4" w:space="0" w:color="auto"/>
              <w:bottom w:val="single" w:sz="4" w:space="0" w:color="auto"/>
            </w:tcBorders>
            <w:vAlign w:val="center"/>
          </w:tcPr>
          <w:p w14:paraId="462212F8" w14:textId="7255391B" w:rsidR="00C770CB" w:rsidRDefault="008129BF" w:rsidP="007E7849">
            <w:pPr>
              <w:pStyle w:val="a3"/>
              <w:jc w:val="center"/>
              <w:rPr>
                <w:b/>
                <w:lang w:val="hu-HU"/>
              </w:rPr>
            </w:pPr>
            <w:r>
              <w:rPr>
                <w:rFonts w:eastAsia="Times New Roman"/>
                <w:b/>
                <w:bCs/>
                <w:spacing w:val="-1"/>
                <w:lang w:val="hu-HU"/>
              </w:rPr>
              <w:t>n</w:t>
            </w:r>
            <w:r w:rsidR="00C770CB">
              <w:rPr>
                <w:rFonts w:eastAsia="Times New Roman"/>
                <w:b/>
                <w:bCs/>
                <w:spacing w:val="-1"/>
                <w:lang w:val="hu-HU"/>
              </w:rPr>
              <w:t>=248</w:t>
            </w:r>
          </w:p>
        </w:tc>
      </w:tr>
      <w:tr w:rsidR="00C770CB" w14:paraId="7CA2E6A4" w14:textId="77777777" w:rsidTr="007E7849">
        <w:trPr>
          <w:trHeight w:val="419"/>
          <w:jc w:val="center"/>
        </w:trPr>
        <w:tc>
          <w:tcPr>
            <w:tcW w:w="2849" w:type="dxa"/>
            <w:tcBorders>
              <w:top w:val="single" w:sz="4" w:space="0" w:color="auto"/>
            </w:tcBorders>
            <w:vAlign w:val="center"/>
          </w:tcPr>
          <w:p w14:paraId="10928795" w14:textId="77777777" w:rsidR="00C770CB" w:rsidRDefault="00C770CB" w:rsidP="007E7849">
            <w:pPr>
              <w:pStyle w:val="a3"/>
              <w:jc w:val="both"/>
              <w:rPr>
                <w:lang w:val="hu-HU"/>
              </w:rPr>
            </w:pPr>
            <w:r>
              <w:rPr>
                <w:rFonts w:eastAsia="Times New Roman"/>
                <w:lang w:val="hu-HU"/>
              </w:rPr>
              <w:t>Klinikai válasz</w:t>
            </w:r>
          </w:p>
        </w:tc>
        <w:tc>
          <w:tcPr>
            <w:tcW w:w="3130" w:type="dxa"/>
            <w:tcBorders>
              <w:top w:val="single" w:sz="4" w:space="0" w:color="auto"/>
            </w:tcBorders>
            <w:vAlign w:val="center"/>
          </w:tcPr>
          <w:p w14:paraId="606823B0" w14:textId="77777777" w:rsidR="00C770CB" w:rsidRDefault="00C770CB" w:rsidP="007E7849">
            <w:pPr>
              <w:pStyle w:val="a3"/>
              <w:jc w:val="center"/>
              <w:rPr>
                <w:lang w:val="hu-HU"/>
              </w:rPr>
            </w:pPr>
            <w:r>
              <w:rPr>
                <w:rFonts w:eastAsia="Times New Roman"/>
                <w:lang w:val="hu-HU"/>
              </w:rPr>
              <w:t>18 %</w:t>
            </w:r>
          </w:p>
        </w:tc>
        <w:tc>
          <w:tcPr>
            <w:tcW w:w="3191" w:type="dxa"/>
            <w:tcBorders>
              <w:top w:val="single" w:sz="4" w:space="0" w:color="auto"/>
            </w:tcBorders>
            <w:vAlign w:val="center"/>
          </w:tcPr>
          <w:p w14:paraId="162DF87F" w14:textId="77777777" w:rsidR="00C770CB" w:rsidRDefault="00C770CB" w:rsidP="007E7849">
            <w:pPr>
              <w:pStyle w:val="a3"/>
              <w:jc w:val="center"/>
              <w:rPr>
                <w:lang w:val="hu-HU"/>
              </w:rPr>
            </w:pPr>
            <w:r>
              <w:rPr>
                <w:rFonts w:eastAsia="Times New Roman"/>
                <w:lang w:val="hu-HU"/>
              </w:rPr>
              <w:t>30 %</w:t>
            </w:r>
            <w:r>
              <w:rPr>
                <w:rFonts w:eastAsia="Times New Roman"/>
                <w:sz w:val="20"/>
                <w:szCs w:val="20"/>
                <w:lang w:val="hu-HU"/>
              </w:rPr>
              <w:t>*</w:t>
            </w:r>
          </w:p>
        </w:tc>
      </w:tr>
      <w:tr w:rsidR="00C770CB" w14:paraId="721CEC99" w14:textId="77777777" w:rsidTr="007E7849">
        <w:trPr>
          <w:trHeight w:val="403"/>
          <w:jc w:val="center"/>
        </w:trPr>
        <w:tc>
          <w:tcPr>
            <w:tcW w:w="2849" w:type="dxa"/>
            <w:vAlign w:val="center"/>
          </w:tcPr>
          <w:p w14:paraId="10771EDD" w14:textId="77777777" w:rsidR="00C770CB" w:rsidRDefault="00C770CB" w:rsidP="007E7849">
            <w:pPr>
              <w:pStyle w:val="a3"/>
              <w:jc w:val="both"/>
              <w:rPr>
                <w:lang w:val="hu-HU"/>
              </w:rPr>
            </w:pPr>
            <w:r>
              <w:rPr>
                <w:rFonts w:eastAsia="Times New Roman"/>
                <w:lang w:val="hu-HU"/>
              </w:rPr>
              <w:t>Klinikai remisszió</w:t>
            </w:r>
          </w:p>
        </w:tc>
        <w:tc>
          <w:tcPr>
            <w:tcW w:w="3130" w:type="dxa"/>
            <w:vAlign w:val="center"/>
          </w:tcPr>
          <w:p w14:paraId="44E7AC5F" w14:textId="77777777" w:rsidR="00C770CB" w:rsidRDefault="00C770CB" w:rsidP="007E7849">
            <w:pPr>
              <w:pStyle w:val="a3"/>
              <w:jc w:val="center"/>
              <w:rPr>
                <w:lang w:val="hu-HU"/>
              </w:rPr>
            </w:pPr>
            <w:r>
              <w:rPr>
                <w:rFonts w:eastAsia="Times New Roman"/>
                <w:lang w:val="hu-HU"/>
              </w:rPr>
              <w:t>9 %</w:t>
            </w:r>
          </w:p>
        </w:tc>
        <w:tc>
          <w:tcPr>
            <w:tcW w:w="3191" w:type="dxa"/>
            <w:vAlign w:val="center"/>
          </w:tcPr>
          <w:p w14:paraId="06CC992C" w14:textId="77777777" w:rsidR="00C770CB" w:rsidRDefault="00C770CB" w:rsidP="007E7849">
            <w:pPr>
              <w:pStyle w:val="a3"/>
              <w:jc w:val="center"/>
              <w:rPr>
                <w:lang w:val="hu-HU"/>
              </w:rPr>
            </w:pPr>
            <w:r>
              <w:rPr>
                <w:rFonts w:eastAsia="Times New Roman"/>
                <w:lang w:val="hu-HU"/>
              </w:rPr>
              <w:t>17 %</w:t>
            </w:r>
            <w:r>
              <w:rPr>
                <w:rFonts w:eastAsia="Times New Roman"/>
                <w:sz w:val="20"/>
                <w:szCs w:val="20"/>
                <w:lang w:val="hu-HU"/>
              </w:rPr>
              <w:t>*</w:t>
            </w:r>
          </w:p>
        </w:tc>
      </w:tr>
      <w:tr w:rsidR="00C770CB" w14:paraId="73BF52CF" w14:textId="77777777" w:rsidTr="007E7849">
        <w:trPr>
          <w:trHeight w:val="403"/>
          <w:jc w:val="center"/>
        </w:trPr>
        <w:tc>
          <w:tcPr>
            <w:tcW w:w="2849" w:type="dxa"/>
            <w:vAlign w:val="center"/>
          </w:tcPr>
          <w:p w14:paraId="5AAD8B96" w14:textId="77777777" w:rsidR="00C770CB" w:rsidRDefault="00C770CB" w:rsidP="007E7849">
            <w:pPr>
              <w:pStyle w:val="a3"/>
              <w:jc w:val="both"/>
              <w:rPr>
                <w:lang w:val="hu-HU"/>
              </w:rPr>
            </w:pPr>
            <w:r>
              <w:rPr>
                <w:rFonts w:eastAsia="Times New Roman"/>
                <w:lang w:val="hu-HU"/>
              </w:rPr>
              <w:t>Nyálkahártya-gyógyulás</w:t>
            </w:r>
          </w:p>
        </w:tc>
        <w:tc>
          <w:tcPr>
            <w:tcW w:w="3130" w:type="dxa"/>
            <w:vAlign w:val="center"/>
          </w:tcPr>
          <w:p w14:paraId="4ED0E9CF" w14:textId="77777777" w:rsidR="00C770CB" w:rsidRDefault="00C770CB" w:rsidP="007E7849">
            <w:pPr>
              <w:pStyle w:val="a3"/>
              <w:jc w:val="center"/>
              <w:rPr>
                <w:lang w:val="hu-HU"/>
              </w:rPr>
            </w:pPr>
            <w:r>
              <w:rPr>
                <w:rFonts w:eastAsia="Times New Roman"/>
                <w:lang w:val="hu-HU"/>
              </w:rPr>
              <w:t>15 %</w:t>
            </w:r>
          </w:p>
        </w:tc>
        <w:tc>
          <w:tcPr>
            <w:tcW w:w="3191" w:type="dxa"/>
            <w:vAlign w:val="center"/>
          </w:tcPr>
          <w:p w14:paraId="3FA68EC1" w14:textId="77777777" w:rsidR="00C770CB" w:rsidRDefault="00C770CB" w:rsidP="007E7849">
            <w:pPr>
              <w:pStyle w:val="a3"/>
              <w:jc w:val="center"/>
              <w:rPr>
                <w:lang w:val="hu-HU"/>
              </w:rPr>
            </w:pPr>
            <w:r>
              <w:rPr>
                <w:rFonts w:eastAsia="Times New Roman"/>
                <w:lang w:val="hu-HU"/>
              </w:rPr>
              <w:t>25 %</w:t>
            </w:r>
            <w:r>
              <w:rPr>
                <w:rFonts w:eastAsia="Times New Roman"/>
                <w:sz w:val="20"/>
                <w:szCs w:val="20"/>
                <w:lang w:val="hu-HU"/>
              </w:rPr>
              <w:t>*</w:t>
            </w:r>
          </w:p>
        </w:tc>
      </w:tr>
      <w:tr w:rsidR="00C770CB" w14:paraId="0219B03C" w14:textId="77777777" w:rsidTr="004F731A">
        <w:trPr>
          <w:trHeight w:val="701"/>
          <w:jc w:val="center"/>
        </w:trPr>
        <w:tc>
          <w:tcPr>
            <w:tcW w:w="2849" w:type="dxa"/>
          </w:tcPr>
          <w:p w14:paraId="0DD8C118" w14:textId="77777777" w:rsidR="00C770CB" w:rsidRDefault="00C770CB" w:rsidP="007E7849">
            <w:pPr>
              <w:pStyle w:val="a3"/>
              <w:rPr>
                <w:lang w:val="hu-HU"/>
              </w:rPr>
            </w:pPr>
            <w:r>
              <w:rPr>
                <w:rFonts w:eastAsia="Times New Roman"/>
                <w:lang w:val="hu-HU"/>
              </w:rPr>
              <w:t>Szteroidmentes remisszió legalább 90 napig</w:t>
            </w:r>
            <w:r w:rsidRPr="009167C6">
              <w:rPr>
                <w:rFonts w:eastAsia="Times New Roman"/>
                <w:vertAlign w:val="superscript"/>
                <w:lang w:val="hu-HU"/>
              </w:rPr>
              <w:t xml:space="preserve"> a</w:t>
            </w:r>
          </w:p>
        </w:tc>
        <w:tc>
          <w:tcPr>
            <w:tcW w:w="3130" w:type="dxa"/>
            <w:vAlign w:val="center"/>
          </w:tcPr>
          <w:p w14:paraId="4F746CCA" w14:textId="77777777" w:rsidR="00C770CB" w:rsidRDefault="00C770CB" w:rsidP="007E7849">
            <w:pPr>
              <w:pStyle w:val="a3"/>
              <w:jc w:val="center"/>
              <w:rPr>
                <w:lang w:val="hu-HU"/>
              </w:rPr>
            </w:pPr>
            <w:r>
              <w:rPr>
                <w:rFonts w:eastAsia="Times New Roman"/>
                <w:lang w:val="hu-HU"/>
              </w:rPr>
              <w:t>6 %</w:t>
            </w:r>
          </w:p>
          <w:p w14:paraId="407E6EA1" w14:textId="77777777" w:rsidR="00C770CB" w:rsidRDefault="00C770CB" w:rsidP="007E7849">
            <w:pPr>
              <w:pStyle w:val="a3"/>
              <w:jc w:val="center"/>
              <w:rPr>
                <w:lang w:val="hu-HU"/>
              </w:rPr>
            </w:pPr>
            <w:r>
              <w:rPr>
                <w:rFonts w:eastAsia="Times New Roman"/>
                <w:b/>
                <w:bCs/>
                <w:lang w:val="hu-HU"/>
              </w:rPr>
              <w:t>(N = 140)</w:t>
            </w:r>
          </w:p>
        </w:tc>
        <w:tc>
          <w:tcPr>
            <w:tcW w:w="3191" w:type="dxa"/>
            <w:vAlign w:val="center"/>
          </w:tcPr>
          <w:p w14:paraId="4D66E9E2" w14:textId="77777777" w:rsidR="00C770CB" w:rsidRDefault="00C770CB" w:rsidP="007E7849">
            <w:pPr>
              <w:pStyle w:val="a3"/>
              <w:jc w:val="center"/>
              <w:rPr>
                <w:lang w:val="hu-HU"/>
              </w:rPr>
            </w:pPr>
            <w:r>
              <w:rPr>
                <w:rFonts w:eastAsia="Times New Roman"/>
                <w:lang w:val="hu-HU"/>
              </w:rPr>
              <w:t>13 %</w:t>
            </w:r>
            <w:r>
              <w:rPr>
                <w:rFonts w:eastAsia="Times New Roman"/>
                <w:sz w:val="20"/>
                <w:szCs w:val="20"/>
                <w:lang w:val="hu-HU"/>
              </w:rPr>
              <w:t>*</w:t>
            </w:r>
          </w:p>
          <w:p w14:paraId="00276350" w14:textId="77777777" w:rsidR="00C770CB" w:rsidRDefault="00C770CB" w:rsidP="007E7849">
            <w:pPr>
              <w:pStyle w:val="a3"/>
              <w:jc w:val="center"/>
              <w:rPr>
                <w:lang w:val="hu-HU"/>
              </w:rPr>
            </w:pPr>
            <w:r>
              <w:rPr>
                <w:rFonts w:eastAsia="Times New Roman"/>
                <w:b/>
                <w:bCs/>
                <w:lang w:val="hu-HU"/>
              </w:rPr>
              <w:t>(N = 150)</w:t>
            </w:r>
          </w:p>
        </w:tc>
      </w:tr>
      <w:tr w:rsidR="00C770CB" w14:paraId="168803EB" w14:textId="77777777" w:rsidTr="007E7849">
        <w:trPr>
          <w:trHeight w:val="403"/>
          <w:jc w:val="center"/>
        </w:trPr>
        <w:tc>
          <w:tcPr>
            <w:tcW w:w="9170" w:type="dxa"/>
            <w:gridSpan w:val="3"/>
            <w:vAlign w:val="center"/>
          </w:tcPr>
          <w:p w14:paraId="2E8A9BCE" w14:textId="77777777" w:rsidR="00C770CB" w:rsidRDefault="00C770CB" w:rsidP="007E7849">
            <w:pPr>
              <w:pStyle w:val="a3"/>
              <w:jc w:val="both"/>
              <w:rPr>
                <w:b/>
                <w:bCs/>
                <w:lang w:val="hu-HU"/>
              </w:rPr>
            </w:pPr>
            <w:r>
              <w:rPr>
                <w:rFonts w:eastAsia="Times New Roman"/>
                <w:lang w:val="hu-HU"/>
              </w:rPr>
              <w:t xml:space="preserve">8. és 52. hét </w:t>
            </w:r>
          </w:p>
        </w:tc>
      </w:tr>
      <w:tr w:rsidR="00C770CB" w14:paraId="7444AE38" w14:textId="77777777" w:rsidTr="007E7849">
        <w:trPr>
          <w:trHeight w:val="403"/>
          <w:jc w:val="center"/>
        </w:trPr>
        <w:tc>
          <w:tcPr>
            <w:tcW w:w="2849" w:type="dxa"/>
            <w:vAlign w:val="center"/>
          </w:tcPr>
          <w:p w14:paraId="7B0B1D01" w14:textId="77777777" w:rsidR="00C770CB" w:rsidRDefault="00C770CB" w:rsidP="007E7849">
            <w:pPr>
              <w:pStyle w:val="a3"/>
              <w:jc w:val="both"/>
              <w:rPr>
                <w:lang w:val="hu-HU"/>
              </w:rPr>
            </w:pPr>
            <w:r>
              <w:rPr>
                <w:rFonts w:eastAsia="Times New Roman"/>
                <w:lang w:val="hu-HU"/>
              </w:rPr>
              <w:t>Fenntartott válasz</w:t>
            </w:r>
          </w:p>
        </w:tc>
        <w:tc>
          <w:tcPr>
            <w:tcW w:w="3130" w:type="dxa"/>
            <w:vAlign w:val="center"/>
          </w:tcPr>
          <w:p w14:paraId="7464B49F" w14:textId="77777777" w:rsidR="00C770CB" w:rsidRDefault="00C770CB" w:rsidP="007E7849">
            <w:pPr>
              <w:pStyle w:val="a3"/>
              <w:jc w:val="center"/>
              <w:rPr>
                <w:b/>
                <w:bCs/>
                <w:lang w:val="hu-HU"/>
              </w:rPr>
            </w:pPr>
            <w:r>
              <w:rPr>
                <w:rFonts w:eastAsia="Times New Roman"/>
                <w:lang w:val="hu-HU"/>
              </w:rPr>
              <w:t>12 %</w:t>
            </w:r>
          </w:p>
        </w:tc>
        <w:tc>
          <w:tcPr>
            <w:tcW w:w="3191" w:type="dxa"/>
            <w:vAlign w:val="center"/>
          </w:tcPr>
          <w:p w14:paraId="567226BB" w14:textId="77777777" w:rsidR="00C770CB" w:rsidRDefault="00C770CB" w:rsidP="007E7849">
            <w:pPr>
              <w:pStyle w:val="a3"/>
              <w:jc w:val="center"/>
              <w:rPr>
                <w:b/>
                <w:bCs/>
                <w:lang w:val="hu-HU"/>
              </w:rPr>
            </w:pPr>
            <w:r>
              <w:rPr>
                <w:rFonts w:eastAsia="Times New Roman"/>
                <w:lang w:val="hu-HU"/>
              </w:rPr>
              <w:t>24 %</w:t>
            </w:r>
            <w:r>
              <w:rPr>
                <w:rFonts w:eastAsia="Times New Roman"/>
                <w:sz w:val="20"/>
                <w:szCs w:val="20"/>
                <w:lang w:val="hu-HU"/>
              </w:rPr>
              <w:t>**</w:t>
            </w:r>
          </w:p>
        </w:tc>
      </w:tr>
      <w:tr w:rsidR="00C770CB" w14:paraId="01D5E3B7" w14:textId="77777777" w:rsidTr="007E7849">
        <w:trPr>
          <w:trHeight w:val="403"/>
          <w:jc w:val="center"/>
        </w:trPr>
        <w:tc>
          <w:tcPr>
            <w:tcW w:w="2849" w:type="dxa"/>
            <w:vAlign w:val="center"/>
          </w:tcPr>
          <w:p w14:paraId="09DC95D4" w14:textId="77777777" w:rsidR="00C770CB" w:rsidRDefault="00C770CB" w:rsidP="007E7849">
            <w:pPr>
              <w:pStyle w:val="a3"/>
              <w:jc w:val="both"/>
              <w:rPr>
                <w:lang w:val="hu-HU"/>
              </w:rPr>
            </w:pPr>
            <w:r>
              <w:rPr>
                <w:rFonts w:eastAsia="Times New Roman"/>
                <w:lang w:val="hu-HU"/>
              </w:rPr>
              <w:t>Fenntartott remisszió</w:t>
            </w:r>
          </w:p>
        </w:tc>
        <w:tc>
          <w:tcPr>
            <w:tcW w:w="3130" w:type="dxa"/>
            <w:vAlign w:val="center"/>
          </w:tcPr>
          <w:p w14:paraId="6E6CA6AD" w14:textId="77777777" w:rsidR="00C770CB" w:rsidRDefault="00C770CB" w:rsidP="007E7849">
            <w:pPr>
              <w:pStyle w:val="a3"/>
              <w:jc w:val="center"/>
              <w:rPr>
                <w:b/>
                <w:bCs/>
                <w:lang w:val="hu-HU"/>
              </w:rPr>
            </w:pPr>
            <w:r>
              <w:rPr>
                <w:rFonts w:eastAsia="Times New Roman"/>
                <w:lang w:val="hu-HU"/>
              </w:rPr>
              <w:t>4 %</w:t>
            </w:r>
          </w:p>
        </w:tc>
        <w:tc>
          <w:tcPr>
            <w:tcW w:w="3191" w:type="dxa"/>
            <w:vAlign w:val="center"/>
          </w:tcPr>
          <w:p w14:paraId="594331AF" w14:textId="77777777" w:rsidR="00C770CB" w:rsidRDefault="00C770CB" w:rsidP="007E7849">
            <w:pPr>
              <w:pStyle w:val="a3"/>
              <w:jc w:val="center"/>
              <w:rPr>
                <w:b/>
                <w:bCs/>
                <w:lang w:val="hu-HU"/>
              </w:rPr>
            </w:pPr>
            <w:r>
              <w:rPr>
                <w:rFonts w:eastAsia="Times New Roman"/>
                <w:lang w:val="hu-HU"/>
              </w:rPr>
              <w:t>8 %</w:t>
            </w:r>
            <w:r>
              <w:rPr>
                <w:rFonts w:eastAsia="Times New Roman"/>
                <w:sz w:val="20"/>
                <w:szCs w:val="20"/>
                <w:lang w:val="hu-HU"/>
              </w:rPr>
              <w:t>*</w:t>
            </w:r>
          </w:p>
        </w:tc>
      </w:tr>
      <w:tr w:rsidR="00C770CB" w14:paraId="06924BCD" w14:textId="77777777" w:rsidTr="007E7849">
        <w:trPr>
          <w:trHeight w:val="403"/>
          <w:jc w:val="center"/>
        </w:trPr>
        <w:tc>
          <w:tcPr>
            <w:tcW w:w="2849" w:type="dxa"/>
            <w:tcBorders>
              <w:bottom w:val="single" w:sz="4" w:space="0" w:color="auto"/>
            </w:tcBorders>
            <w:vAlign w:val="center"/>
          </w:tcPr>
          <w:p w14:paraId="058D8E7E" w14:textId="77777777" w:rsidR="00C770CB" w:rsidRDefault="00C770CB" w:rsidP="007E7849">
            <w:pPr>
              <w:pStyle w:val="a3"/>
              <w:jc w:val="both"/>
              <w:rPr>
                <w:lang w:val="hu-HU"/>
              </w:rPr>
            </w:pPr>
            <w:r>
              <w:rPr>
                <w:rFonts w:eastAsia="Times New Roman"/>
                <w:lang w:val="hu-HU"/>
              </w:rPr>
              <w:t>Fenntartott nyálkahártya-gyógyulás</w:t>
            </w:r>
          </w:p>
        </w:tc>
        <w:tc>
          <w:tcPr>
            <w:tcW w:w="3130" w:type="dxa"/>
            <w:tcBorders>
              <w:bottom w:val="single" w:sz="4" w:space="0" w:color="auto"/>
            </w:tcBorders>
            <w:vAlign w:val="center"/>
          </w:tcPr>
          <w:p w14:paraId="22A0354B" w14:textId="77777777" w:rsidR="00C770CB" w:rsidRDefault="00C770CB" w:rsidP="007E7849">
            <w:pPr>
              <w:pStyle w:val="a3"/>
              <w:jc w:val="center"/>
              <w:rPr>
                <w:b/>
                <w:bCs/>
                <w:lang w:val="hu-HU"/>
              </w:rPr>
            </w:pPr>
            <w:r>
              <w:rPr>
                <w:rFonts w:eastAsia="Times New Roman"/>
                <w:lang w:val="hu-HU"/>
              </w:rPr>
              <w:t>11 %</w:t>
            </w:r>
          </w:p>
        </w:tc>
        <w:tc>
          <w:tcPr>
            <w:tcW w:w="3191" w:type="dxa"/>
            <w:tcBorders>
              <w:bottom w:val="single" w:sz="4" w:space="0" w:color="auto"/>
            </w:tcBorders>
            <w:vAlign w:val="center"/>
          </w:tcPr>
          <w:p w14:paraId="77294D95" w14:textId="77777777" w:rsidR="00C770CB" w:rsidRDefault="00C770CB" w:rsidP="007E7849">
            <w:pPr>
              <w:pStyle w:val="a3"/>
              <w:jc w:val="center"/>
              <w:rPr>
                <w:b/>
                <w:bCs/>
                <w:lang w:val="hu-HU"/>
              </w:rPr>
            </w:pPr>
            <w:r>
              <w:rPr>
                <w:rFonts w:eastAsia="Times New Roman"/>
                <w:lang w:val="hu-HU"/>
              </w:rPr>
              <w:t>19 %</w:t>
            </w:r>
            <w:r>
              <w:rPr>
                <w:rFonts w:eastAsia="Times New Roman"/>
                <w:sz w:val="20"/>
                <w:szCs w:val="20"/>
                <w:lang w:val="hu-HU"/>
              </w:rPr>
              <w:t>*</w:t>
            </w:r>
          </w:p>
        </w:tc>
      </w:tr>
    </w:tbl>
    <w:p w14:paraId="35729A51" w14:textId="77777777" w:rsidR="00C770CB" w:rsidRDefault="00C770CB" w:rsidP="00C770CB">
      <w:pPr>
        <w:pStyle w:val="a3"/>
        <w:rPr>
          <w:lang w:val="hu-HU"/>
        </w:rPr>
      </w:pPr>
      <w:r>
        <w:rPr>
          <w:rFonts w:eastAsia="Times New Roman"/>
          <w:lang w:val="hu-HU"/>
        </w:rPr>
        <w:t>Klinikai remisszió: Mayo pontszám ≤ 2 és alpontszám &gt; 1;</w:t>
      </w:r>
    </w:p>
    <w:p w14:paraId="0896DAAA" w14:textId="77777777" w:rsidR="00C770CB" w:rsidRDefault="00C770CB" w:rsidP="00C770CB">
      <w:pPr>
        <w:pStyle w:val="a3"/>
        <w:rPr>
          <w:lang w:val="hu-HU"/>
        </w:rPr>
      </w:pPr>
      <w:r>
        <w:rPr>
          <w:rFonts w:eastAsia="Times New Roman"/>
          <w:lang w:val="hu-HU"/>
        </w:rPr>
        <w:t>Klinikai válasz: a Mayo pontszám kiindulási értékéhez viszonyított  ≥3 pontos és  ≥30%-os csökkenése, és a rectalis vérzés alpontszámának [rectal bleeding subscore; RBS] ≥1 csökkenése vagy az abszolút RBS-érték 0 vagy 1;</w:t>
      </w:r>
    </w:p>
    <w:p w14:paraId="1E4F58F1" w14:textId="77777777" w:rsidR="00C770CB" w:rsidRPr="007C168B" w:rsidRDefault="00C770CB" w:rsidP="00C770CB">
      <w:pPr>
        <w:pStyle w:val="a3"/>
        <w:rPr>
          <w:lang w:val="hu-HU"/>
        </w:rPr>
      </w:pPr>
      <w:r w:rsidRPr="009167C6">
        <w:rPr>
          <w:rFonts w:eastAsia="Times New Roman"/>
          <w:spacing w:val="-2"/>
          <w:position w:val="9"/>
          <w:lang w:val="hu-HU"/>
        </w:rPr>
        <w:t xml:space="preserve">* p &lt;0,05 adalimumabbal </w:t>
      </w:r>
      <w:r w:rsidRPr="009167C6">
        <w:rPr>
          <w:rFonts w:eastAsia="Times New Roman"/>
          <w:i/>
          <w:iCs/>
          <w:spacing w:val="-2"/>
          <w:position w:val="9"/>
          <w:lang w:val="hu-HU"/>
        </w:rPr>
        <w:t>versus</w:t>
      </w:r>
      <w:r w:rsidRPr="009167C6">
        <w:rPr>
          <w:rFonts w:eastAsia="Times New Roman"/>
          <w:spacing w:val="-2"/>
          <w:position w:val="9"/>
          <w:lang w:val="hu-HU"/>
        </w:rPr>
        <w:t xml:space="preserve"> placebóval kezelt csoportokban regisztrált részarányok páronkénti összehasonlítása.</w:t>
      </w:r>
    </w:p>
    <w:p w14:paraId="6513DD55" w14:textId="77777777" w:rsidR="00C770CB" w:rsidRDefault="00C770CB" w:rsidP="00C770CB">
      <w:pPr>
        <w:pStyle w:val="a3"/>
        <w:rPr>
          <w:lang w:val="hu-HU"/>
        </w:rPr>
      </w:pPr>
      <w:r>
        <w:rPr>
          <w:rFonts w:eastAsia="Times New Roman"/>
          <w:spacing w:val="-2"/>
          <w:sz w:val="20"/>
          <w:szCs w:val="20"/>
          <w:lang w:val="hu-HU"/>
        </w:rPr>
        <w:t xml:space="preserve">** p &lt;0,001 adalimumabbal </w:t>
      </w:r>
      <w:r>
        <w:rPr>
          <w:rFonts w:eastAsia="Times New Roman"/>
          <w:i/>
          <w:iCs/>
          <w:spacing w:val="-2"/>
          <w:sz w:val="20"/>
          <w:szCs w:val="20"/>
          <w:lang w:val="hu-HU"/>
        </w:rPr>
        <w:t>versus</w:t>
      </w:r>
      <w:r>
        <w:rPr>
          <w:rFonts w:eastAsia="Times New Roman"/>
          <w:spacing w:val="-2"/>
          <w:sz w:val="20"/>
          <w:szCs w:val="20"/>
          <w:lang w:val="hu-HU"/>
        </w:rPr>
        <w:t xml:space="preserve"> placebóval kezelt csoportokban regisztrált részarányok páronkénti összehasonlítása.</w:t>
      </w:r>
    </w:p>
    <w:p w14:paraId="461EE02B" w14:textId="77777777" w:rsidR="00C770CB" w:rsidRDefault="00C770CB" w:rsidP="00C770CB">
      <w:pPr>
        <w:pStyle w:val="a3"/>
        <w:rPr>
          <w:lang w:val="hu-HU"/>
        </w:rPr>
      </w:pPr>
      <w:r w:rsidRPr="009167C6">
        <w:rPr>
          <w:rFonts w:eastAsia="Times New Roman"/>
          <w:position w:val="8"/>
          <w:vertAlign w:val="superscript"/>
          <w:lang w:val="hu-HU"/>
        </w:rPr>
        <w:t xml:space="preserve">a </w:t>
      </w:r>
      <w:r>
        <w:rPr>
          <w:rFonts w:eastAsia="Times New Roman"/>
          <w:position w:val="8"/>
          <w:lang w:val="hu-HU"/>
        </w:rPr>
        <w:t>Azok közül a betegek közül, akik a vizsgálat megkezdésekor kortikoszteroidot kaptak</w:t>
      </w:r>
    </w:p>
    <w:p w14:paraId="298AA6BE" w14:textId="77777777" w:rsidR="00C770CB" w:rsidRDefault="00C770CB" w:rsidP="00C770CB">
      <w:pPr>
        <w:spacing w:before="6" w:line="190" w:lineRule="exact"/>
        <w:rPr>
          <w:sz w:val="19"/>
          <w:szCs w:val="19"/>
          <w:lang w:val="hu-HU"/>
        </w:rPr>
      </w:pPr>
    </w:p>
    <w:p w14:paraId="472B87B0" w14:textId="77777777" w:rsidR="00C770CB" w:rsidRDefault="00C770CB" w:rsidP="00C770CB">
      <w:pPr>
        <w:pStyle w:val="a3"/>
        <w:rPr>
          <w:lang w:val="hu-HU"/>
        </w:rPr>
      </w:pPr>
      <w:r>
        <w:rPr>
          <w:rFonts w:eastAsia="Times New Roman"/>
          <w:lang w:val="hu-HU"/>
        </w:rPr>
        <w:t>Azok közül a betegek közül, akiknél kialakult a válasz a 8. hétig, az 52. hétig 47%-nál alakult ki válasz, 29% remisszióban volt, 41%-nál tapasztaltak nyálkahártya gyógyulást, és 20% volt legalább 90 napja szteroidmentes remisszióban</w:t>
      </w:r>
    </w:p>
    <w:p w14:paraId="6C013B68" w14:textId="77777777" w:rsidR="00C770CB" w:rsidRDefault="00C770CB" w:rsidP="00C770CB">
      <w:pPr>
        <w:spacing w:before="11" w:line="240" w:lineRule="exact"/>
        <w:rPr>
          <w:sz w:val="24"/>
          <w:szCs w:val="24"/>
          <w:lang w:val="hu-HU"/>
        </w:rPr>
      </w:pPr>
    </w:p>
    <w:p w14:paraId="06510822" w14:textId="77777777" w:rsidR="00C770CB" w:rsidRDefault="00C770CB" w:rsidP="00C770CB">
      <w:pPr>
        <w:pStyle w:val="a3"/>
        <w:rPr>
          <w:lang w:val="hu-HU"/>
        </w:rPr>
      </w:pPr>
      <w:r>
        <w:rPr>
          <w:rFonts w:eastAsia="Times New Roman"/>
          <w:lang w:val="hu-HU"/>
        </w:rPr>
        <w:lastRenderedPageBreak/>
        <w:t>Az UC-II vizsgálatban résztvevő betegek kb. 40%-ánál a korábbi TNF-elleni kezelés (infliximab) eredménytelen volt. Ezen betegeknél az adalimumab-kezelés kevésbé volt hatékony, mint a korábban TNF-elleni kezelésben nem részesült betegek esetében. Azoknál a betegeknél, akiknél a korábbi TNF-elleni kezelés eredménytelen volt, az 52. hétre a placebót kapók 3%-a, az adalimumab-kezelésben részesülők 10%-a ért el remissziót.</w:t>
      </w:r>
    </w:p>
    <w:p w14:paraId="6DB1C3DC" w14:textId="77777777" w:rsidR="00C770CB" w:rsidRDefault="00C770CB" w:rsidP="00C770CB">
      <w:pPr>
        <w:pStyle w:val="a3"/>
        <w:rPr>
          <w:sz w:val="24"/>
          <w:szCs w:val="24"/>
          <w:lang w:val="hu-HU"/>
        </w:rPr>
      </w:pPr>
    </w:p>
    <w:p w14:paraId="57B3C203" w14:textId="77777777" w:rsidR="00C770CB" w:rsidRDefault="00C770CB" w:rsidP="00C770CB">
      <w:pPr>
        <w:pStyle w:val="a3"/>
        <w:rPr>
          <w:lang w:val="hu-HU"/>
        </w:rPr>
      </w:pPr>
      <w:r>
        <w:rPr>
          <w:rFonts w:eastAsia="Times New Roman"/>
          <w:lang w:val="hu-HU"/>
        </w:rPr>
        <w:t>Az UC-I és UC-II vizsgálatban résztvevő betegeknek lehetőségük volt átlépni egy nyílt, hosszú távú, kiterjesztéses vizsgálatba (UC-III). Három év adalimumab-kezelést követően a betegek 75%-a (301/402) maradt klinikai remisszióban a részleges Mayo pontszám alapján.</w:t>
      </w:r>
    </w:p>
    <w:p w14:paraId="2626C6EE" w14:textId="77777777" w:rsidR="00C770CB" w:rsidRDefault="00C770CB" w:rsidP="00C770CB">
      <w:pPr>
        <w:pStyle w:val="a3"/>
        <w:rPr>
          <w:lang w:val="hu-HU"/>
        </w:rPr>
      </w:pPr>
    </w:p>
    <w:p w14:paraId="38AA6A22" w14:textId="77777777" w:rsidR="00C770CB" w:rsidRDefault="00C770CB" w:rsidP="00C770CB">
      <w:pPr>
        <w:pStyle w:val="a3"/>
        <w:rPr>
          <w:i/>
          <w:u w:val="single"/>
          <w:lang w:val="hu-HU"/>
        </w:rPr>
      </w:pPr>
      <w:r>
        <w:rPr>
          <w:rFonts w:eastAsia="Times New Roman"/>
          <w:i/>
          <w:iCs/>
          <w:u w:val="single" w:color="000000"/>
          <w:lang w:val="hu-HU"/>
        </w:rPr>
        <w:t>Hospitalizációs arányok</w:t>
      </w:r>
    </w:p>
    <w:p w14:paraId="7CB673BD" w14:textId="77777777" w:rsidR="00C770CB" w:rsidRDefault="00C770CB" w:rsidP="00C770CB">
      <w:pPr>
        <w:pStyle w:val="a3"/>
        <w:rPr>
          <w:sz w:val="18"/>
          <w:szCs w:val="18"/>
          <w:lang w:val="hu-HU"/>
        </w:rPr>
      </w:pPr>
    </w:p>
    <w:p w14:paraId="7E830E3F" w14:textId="77777777" w:rsidR="00C770CB" w:rsidRDefault="00C770CB" w:rsidP="00C770CB">
      <w:pPr>
        <w:pStyle w:val="a3"/>
        <w:rPr>
          <w:lang w:val="hu-HU"/>
        </w:rPr>
      </w:pPr>
      <w:r>
        <w:rPr>
          <w:rFonts w:eastAsia="Times New Roman"/>
          <w:lang w:val="hu-HU"/>
        </w:rPr>
        <w:t xml:space="preserve">Az UC-I és UC-II vizsgálatok 52 hete alatt alacsonyabb hospitalizációs arányokat (bármely okból bekövetkező hospitalizációt és az UC-vel összefüggő hospitalizációt) figyeltek meg az adalimumab-kezelésben részesülő karon, mint a placebo-karon. Az adalimumab-kezelési csoportban a bármely okból bekövetkező hospitalizáció értéke 0,18/betegév volt, </w:t>
      </w:r>
      <w:r>
        <w:rPr>
          <w:rFonts w:eastAsia="Times New Roman"/>
          <w:i/>
          <w:iCs/>
          <w:lang w:val="hu-HU"/>
        </w:rPr>
        <w:t xml:space="preserve">ezzel szemben </w:t>
      </w:r>
      <w:r>
        <w:rPr>
          <w:rFonts w:eastAsia="Times New Roman"/>
          <w:lang w:val="hu-HU"/>
        </w:rPr>
        <w:t xml:space="preserve">a placebocsoportban 0,26/betegév volt. Az UC-vel összefüggő hospitalizáció 0,12/betegév volt az adalimumab-kezelési csoportban, </w:t>
      </w:r>
      <w:r>
        <w:rPr>
          <w:rFonts w:eastAsia="Times New Roman"/>
          <w:i/>
          <w:iCs/>
          <w:lang w:val="hu-HU"/>
        </w:rPr>
        <w:t>ezzel szemben</w:t>
      </w:r>
      <w:r>
        <w:rPr>
          <w:rFonts w:eastAsia="Times New Roman"/>
          <w:lang w:val="hu-HU"/>
        </w:rPr>
        <w:t xml:space="preserve"> 0,22/betegév volt placebocsoportban.</w:t>
      </w:r>
    </w:p>
    <w:p w14:paraId="04C67902" w14:textId="77777777" w:rsidR="00C770CB" w:rsidRDefault="00C770CB" w:rsidP="00C770CB">
      <w:pPr>
        <w:pStyle w:val="a3"/>
        <w:rPr>
          <w:sz w:val="24"/>
          <w:szCs w:val="24"/>
          <w:lang w:val="hu-HU"/>
        </w:rPr>
      </w:pPr>
    </w:p>
    <w:p w14:paraId="4D1CE76A" w14:textId="77777777" w:rsidR="00C770CB" w:rsidRDefault="00C770CB" w:rsidP="00C770CB">
      <w:pPr>
        <w:pStyle w:val="a3"/>
        <w:rPr>
          <w:rFonts w:eastAsia="Times New Roman"/>
          <w:lang w:val="hu-HU"/>
        </w:rPr>
      </w:pPr>
      <w:r>
        <w:rPr>
          <w:rFonts w:eastAsia="Times New Roman"/>
          <w:i/>
          <w:iCs/>
          <w:spacing w:val="-1"/>
          <w:u w:val="single" w:color="000000"/>
          <w:lang w:val="hu-HU"/>
        </w:rPr>
        <w:t>Életminőség</w:t>
      </w:r>
    </w:p>
    <w:p w14:paraId="68E6B55B" w14:textId="77777777" w:rsidR="00C770CB" w:rsidRDefault="00C770CB" w:rsidP="00C770CB">
      <w:pPr>
        <w:pStyle w:val="a3"/>
        <w:rPr>
          <w:sz w:val="18"/>
          <w:szCs w:val="18"/>
          <w:lang w:val="hu-HU"/>
        </w:rPr>
      </w:pPr>
    </w:p>
    <w:p w14:paraId="75C85AD1" w14:textId="77777777" w:rsidR="00C770CB" w:rsidRDefault="00C770CB" w:rsidP="00C770CB">
      <w:pPr>
        <w:pStyle w:val="a3"/>
        <w:rPr>
          <w:lang w:val="hu-HU"/>
        </w:rPr>
      </w:pPr>
      <w:r>
        <w:rPr>
          <w:rFonts w:eastAsia="Times New Roman"/>
          <w:lang w:val="hu-HU"/>
        </w:rPr>
        <w:t>Az UC-II vizsgálatban az adalimumab-kezelés a Gyulladásos Bélbetegség Kérdőív (Inflammatory Bowel Disease Questionnaire; IBDQ) pontszám javulását eredményezte.</w:t>
      </w:r>
    </w:p>
    <w:p w14:paraId="2251004F" w14:textId="12E4DA46" w:rsidR="00C770CB" w:rsidRDefault="00C770CB" w:rsidP="00C770CB">
      <w:pPr>
        <w:spacing w:before="10" w:line="240" w:lineRule="exact"/>
        <w:rPr>
          <w:sz w:val="24"/>
          <w:szCs w:val="24"/>
          <w:lang w:val="hu-HU"/>
        </w:rPr>
      </w:pPr>
    </w:p>
    <w:p w14:paraId="18859E42" w14:textId="77777777" w:rsidR="00C770CB" w:rsidRDefault="00C770CB" w:rsidP="00C770CB">
      <w:pPr>
        <w:pStyle w:val="a3"/>
        <w:rPr>
          <w:i/>
          <w:lang w:val="hu-HU"/>
        </w:rPr>
      </w:pPr>
      <w:r>
        <w:rPr>
          <w:rFonts w:eastAsia="Times New Roman"/>
          <w:i/>
          <w:iCs/>
          <w:lang w:val="hu-HU"/>
        </w:rPr>
        <w:t>Uveitis</w:t>
      </w:r>
    </w:p>
    <w:p w14:paraId="59150F5C" w14:textId="77777777" w:rsidR="00C770CB" w:rsidRDefault="00C770CB" w:rsidP="00C770CB">
      <w:pPr>
        <w:pStyle w:val="a3"/>
        <w:rPr>
          <w:sz w:val="24"/>
          <w:szCs w:val="24"/>
          <w:lang w:val="hu-HU"/>
        </w:rPr>
      </w:pPr>
    </w:p>
    <w:p w14:paraId="17FB1DE8" w14:textId="77777777" w:rsidR="00C770CB" w:rsidRDefault="00C770CB" w:rsidP="00C770CB">
      <w:pPr>
        <w:pStyle w:val="a3"/>
        <w:rPr>
          <w:lang w:val="hu-HU"/>
        </w:rPr>
      </w:pPr>
      <w:r>
        <w:rPr>
          <w:rFonts w:eastAsia="Times New Roman"/>
          <w:lang w:val="hu-HU"/>
        </w:rPr>
        <w:t>Az adalimumab biztonságosságát és hatásosságát nem fertőzéses eredetű, intermedier, posterior és panuveitisben szenvedő felnőtt betegeknél (az izolált anterior uveitisben szenvedő betegek kizárásra kerültek), két randomizált, kettős vak, placebokontrollos vizsgálatban (UV I és II) értékelték. A betegek vagy placebót vagy 80 mg adalimumabot kaptak kezdő dózisként, melyet a kezdő dózis beadásától számított egy hét múlva minden második héten adott 40 mg adalimumab követett. Egy nem biológiai immunszuppresszív szer állandó dózisban történő együttes alkalmazása megengedett volt.</w:t>
      </w:r>
    </w:p>
    <w:p w14:paraId="17B70CD3" w14:textId="77777777" w:rsidR="00C770CB" w:rsidRDefault="00C770CB" w:rsidP="00C770CB">
      <w:pPr>
        <w:pStyle w:val="a3"/>
        <w:rPr>
          <w:sz w:val="24"/>
          <w:szCs w:val="24"/>
          <w:lang w:val="hu-HU"/>
        </w:rPr>
      </w:pPr>
    </w:p>
    <w:p w14:paraId="6473AF53" w14:textId="77777777" w:rsidR="00C770CB" w:rsidRDefault="00C770CB" w:rsidP="00C770CB">
      <w:pPr>
        <w:pStyle w:val="a3"/>
        <w:rPr>
          <w:lang w:val="hu-HU"/>
        </w:rPr>
      </w:pPr>
      <w:r>
        <w:rPr>
          <w:rFonts w:eastAsia="Times New Roman"/>
          <w:lang w:val="hu-HU"/>
        </w:rPr>
        <w:t>Az UV</w:t>
      </w:r>
      <w:r w:rsidDel="002A3904">
        <w:rPr>
          <w:rFonts w:eastAsia="Times New Roman"/>
          <w:b/>
          <w:bCs/>
          <w:lang w:val="hu-HU"/>
        </w:rPr>
        <w:t xml:space="preserve"> </w:t>
      </w:r>
      <w:r>
        <w:rPr>
          <w:rFonts w:eastAsia="Times New Roman"/>
          <w:lang w:val="hu-HU"/>
        </w:rPr>
        <w:t>I vizsgálatban 217, kortikoszteroid-kezelés (napi 10-60 mg prednizon per os) ellenére aktív uveitisben szenvedő beteget értékeltek. Minden beteg két hétig napi 60 mg prednizont kapott a vizsgálat kezdetekor, melyet kötelező fokozatos dóziscsökkentés követett, ami a 15. hétig a kortikoszteroid teljes elhagyásával fejeződött be.</w:t>
      </w:r>
    </w:p>
    <w:p w14:paraId="4519F797" w14:textId="77777777" w:rsidR="00C770CB" w:rsidRDefault="00C770CB" w:rsidP="00C770CB">
      <w:pPr>
        <w:pStyle w:val="a3"/>
        <w:rPr>
          <w:sz w:val="24"/>
          <w:szCs w:val="24"/>
          <w:lang w:val="hu-HU"/>
        </w:rPr>
      </w:pPr>
    </w:p>
    <w:p w14:paraId="103C400A" w14:textId="77777777" w:rsidR="00C770CB" w:rsidRDefault="00C770CB" w:rsidP="00C770CB">
      <w:pPr>
        <w:pStyle w:val="a3"/>
        <w:rPr>
          <w:lang w:val="hu-HU"/>
        </w:rPr>
      </w:pPr>
      <w:r>
        <w:rPr>
          <w:rFonts w:eastAsia="Times New Roman"/>
          <w:lang w:val="hu-HU"/>
        </w:rPr>
        <w:t>Az UV II</w:t>
      </w:r>
      <w:r w:rsidDel="002A3904">
        <w:rPr>
          <w:rFonts w:eastAsia="Times New Roman"/>
          <w:b/>
          <w:bCs/>
          <w:lang w:val="hu-HU"/>
        </w:rPr>
        <w:t xml:space="preserve"> </w:t>
      </w:r>
      <w:r>
        <w:rPr>
          <w:rFonts w:eastAsia="Times New Roman"/>
          <w:lang w:val="hu-HU"/>
        </w:rPr>
        <w:t>vizsgálatban 226, inaktív uveitisben szenvedő olyan beteget értékeltek, akik hosszú távú kortikoszteroid-kezelést (napi 10-35 mg prednizon per os) igényeltek a vizsgálat megkezdésekor betegségük egyensúlyban tartásához. A betegek később kötelező, fokozatos dózicsökkentésen estek át, ami a 19. hétig a kortikoszteroid teljes elhagyásával fejeződött be.</w:t>
      </w:r>
    </w:p>
    <w:p w14:paraId="72716D7C" w14:textId="77777777" w:rsidR="00C770CB" w:rsidRDefault="00C770CB" w:rsidP="00C770CB">
      <w:pPr>
        <w:pStyle w:val="a3"/>
        <w:rPr>
          <w:sz w:val="24"/>
          <w:szCs w:val="24"/>
          <w:lang w:val="hu-HU"/>
        </w:rPr>
      </w:pPr>
    </w:p>
    <w:p w14:paraId="0482348C" w14:textId="77777777" w:rsidR="00C770CB" w:rsidRDefault="00C770CB" w:rsidP="00C770CB">
      <w:pPr>
        <w:pStyle w:val="a3"/>
        <w:rPr>
          <w:lang w:val="hu-HU"/>
        </w:rPr>
      </w:pPr>
      <w:r>
        <w:rPr>
          <w:rFonts w:eastAsia="Times New Roman"/>
          <w:lang w:val="hu-HU"/>
        </w:rPr>
        <w:t>Az elsődleges hatásossági végpont mindkét vizsgálatban a „kezelés sikertelenségéig eltelt idő” volt. A sikertelen kezelést a többkomponensű kimenetel határozza meg a gyulladásos chorioretinális és/vagy gyulladásos retina-vaszkuláris léziók, az elülső kamrai (AC) sejtosztály, az üvegtesti homályos (VH) osztály és a legjobb korrigált látásélesség (BCVA) alapján.</w:t>
      </w:r>
    </w:p>
    <w:p w14:paraId="12269423" w14:textId="77777777" w:rsidR="00C770CB" w:rsidRDefault="00C770CB" w:rsidP="00C770CB">
      <w:pPr>
        <w:pStyle w:val="a3"/>
        <w:rPr>
          <w:sz w:val="24"/>
          <w:szCs w:val="24"/>
          <w:lang w:val="hu-HU"/>
        </w:rPr>
      </w:pPr>
    </w:p>
    <w:p w14:paraId="6D0DBBCF" w14:textId="77777777" w:rsidR="00C770CB" w:rsidRDefault="00C770CB" w:rsidP="00C770CB">
      <w:pPr>
        <w:pStyle w:val="a3"/>
        <w:rPr>
          <w:lang w:val="hu-HU"/>
        </w:rPr>
      </w:pPr>
      <w:r>
        <w:rPr>
          <w:rFonts w:eastAsia="Times New Roman"/>
          <w:lang w:val="hu-HU"/>
        </w:rPr>
        <w:t>Azok a betegek, akik befejezték az UV</w:t>
      </w:r>
      <w:r w:rsidDel="002A3904">
        <w:rPr>
          <w:rFonts w:eastAsia="Times New Roman"/>
          <w:b/>
          <w:bCs/>
          <w:lang w:val="hu-HU"/>
        </w:rPr>
        <w:t xml:space="preserve"> </w:t>
      </w:r>
      <w:r>
        <w:rPr>
          <w:rFonts w:eastAsia="Times New Roman"/>
          <w:lang w:val="hu-HU"/>
        </w:rPr>
        <w:t>I és UV</w:t>
      </w:r>
      <w:r w:rsidRPr="009167C6">
        <w:rPr>
          <w:lang w:val="hu-HU"/>
        </w:rPr>
        <w:t> </w:t>
      </w:r>
      <w:r>
        <w:rPr>
          <w:rFonts w:eastAsia="Times New Roman"/>
          <w:lang w:val="hu-HU"/>
        </w:rPr>
        <w:t>II vizsgálatot, alkalmasak voltak egy kontrollálatlan hosszú távú kiterjesztett vizsgálatba való bevonásra, amelynek eredetileg tervezett 78 hetes időtartama volt. A betegek tovább kaphatták a vizsgálati készítményt a 78. hét után, amíg nem kaptak adalimumabot.</w:t>
      </w:r>
    </w:p>
    <w:p w14:paraId="42EADDC6" w14:textId="77777777" w:rsidR="00C770CB" w:rsidRDefault="00C770CB" w:rsidP="00C770CB">
      <w:pPr>
        <w:pStyle w:val="a3"/>
        <w:rPr>
          <w:sz w:val="24"/>
          <w:szCs w:val="24"/>
          <w:lang w:val="hu-HU"/>
        </w:rPr>
      </w:pPr>
    </w:p>
    <w:p w14:paraId="474ACC39" w14:textId="77777777" w:rsidR="00C770CB" w:rsidRDefault="00C770CB" w:rsidP="00C770CB">
      <w:pPr>
        <w:pStyle w:val="a3"/>
        <w:rPr>
          <w:rFonts w:eastAsia="Times New Roman"/>
          <w:lang w:val="hu-HU"/>
        </w:rPr>
      </w:pPr>
      <w:r>
        <w:rPr>
          <w:rFonts w:eastAsia="Times New Roman"/>
          <w:i/>
          <w:iCs/>
          <w:spacing w:val="-1"/>
          <w:u w:val="single" w:color="000000"/>
          <w:lang w:val="hu-HU"/>
        </w:rPr>
        <w:t>Klinikai válasz</w:t>
      </w:r>
    </w:p>
    <w:p w14:paraId="1B8971A3" w14:textId="77777777" w:rsidR="00C770CB" w:rsidRDefault="00C770CB" w:rsidP="00C770CB">
      <w:pPr>
        <w:pStyle w:val="a3"/>
        <w:rPr>
          <w:sz w:val="18"/>
          <w:szCs w:val="18"/>
          <w:lang w:val="hu-HU"/>
        </w:rPr>
      </w:pPr>
    </w:p>
    <w:p w14:paraId="02D94645" w14:textId="395489D4" w:rsidR="00C770CB" w:rsidRDefault="00C770CB" w:rsidP="00C770CB">
      <w:pPr>
        <w:pStyle w:val="a3"/>
        <w:rPr>
          <w:lang w:val="hu-HU"/>
        </w:rPr>
      </w:pPr>
      <w:r>
        <w:rPr>
          <w:rFonts w:eastAsia="Times New Roman"/>
          <w:lang w:val="hu-HU"/>
        </w:rPr>
        <w:lastRenderedPageBreak/>
        <w:t xml:space="preserve">Mindkét vizsgálat eredményei a kezelés eredménytelensége kockázatának a statisztikailag szignifikáns csökkenését igazolták az adalimumabbal kezelt betegeknél, a placebóval kezelt betegekhez képest (lásd </w:t>
      </w:r>
      <w:r w:rsidR="00773429">
        <w:rPr>
          <w:rFonts w:eastAsia="Times New Roman"/>
          <w:lang w:val="hu-HU"/>
        </w:rPr>
        <w:t>17</w:t>
      </w:r>
      <w:r>
        <w:rPr>
          <w:rFonts w:eastAsia="Times New Roman"/>
          <w:lang w:val="hu-HU"/>
        </w:rPr>
        <w:t xml:space="preserve">. táblázat). A kezelés eredménytelenségének arányát tekintve mindkét vizsgálat kimutatta a  adalimumab korai és fenntartott hatását a placebóval szemben (lásd </w:t>
      </w:r>
      <w:r w:rsidR="00AC50BB">
        <w:rPr>
          <w:rFonts w:eastAsia="Times New Roman"/>
          <w:lang w:val="hu-HU"/>
        </w:rPr>
        <w:t>1</w:t>
      </w:r>
      <w:r>
        <w:rPr>
          <w:rFonts w:eastAsia="Times New Roman"/>
          <w:lang w:val="hu-HU"/>
        </w:rPr>
        <w:t>. ábra).</w:t>
      </w:r>
    </w:p>
    <w:p w14:paraId="3F5BC5FD" w14:textId="77777777" w:rsidR="00C770CB" w:rsidRDefault="00C770CB" w:rsidP="00C770CB">
      <w:pPr>
        <w:rPr>
          <w:rFonts w:ascii="Times New Roman" w:hAnsi="Times New Roman" w:cs="Times New Roman"/>
          <w:b/>
          <w:lang w:val="hu-HU"/>
        </w:rPr>
      </w:pPr>
    </w:p>
    <w:p w14:paraId="3EC74191" w14:textId="3E24D12E" w:rsidR="00C770CB" w:rsidRDefault="00773429" w:rsidP="00C770CB">
      <w:pPr>
        <w:pStyle w:val="a3"/>
        <w:jc w:val="center"/>
        <w:rPr>
          <w:b/>
          <w:lang w:val="hu-HU"/>
        </w:rPr>
      </w:pPr>
      <w:r>
        <w:rPr>
          <w:rFonts w:eastAsia="Times New Roman"/>
          <w:b/>
          <w:bCs/>
          <w:lang w:val="hu-HU"/>
        </w:rPr>
        <w:t>17</w:t>
      </w:r>
      <w:r w:rsidR="00C770CB">
        <w:rPr>
          <w:rFonts w:eastAsia="Times New Roman"/>
          <w:b/>
          <w:bCs/>
          <w:lang w:val="hu-HU"/>
        </w:rPr>
        <w:t>. táblázat</w:t>
      </w:r>
    </w:p>
    <w:p w14:paraId="7D2B3C87" w14:textId="77777777" w:rsidR="00C770CB" w:rsidRDefault="00C770CB" w:rsidP="00C770CB">
      <w:pPr>
        <w:pStyle w:val="a3"/>
        <w:jc w:val="center"/>
        <w:rPr>
          <w:b/>
          <w:lang w:val="hu-HU"/>
        </w:rPr>
      </w:pPr>
      <w:r>
        <w:rPr>
          <w:rFonts w:eastAsia="Times New Roman"/>
          <w:b/>
          <w:bCs/>
          <w:lang w:val="hu-HU"/>
        </w:rPr>
        <w:t>A kezelés eredménytelenségéig eltelt idő az UV I és UV II vizsgálatban</w:t>
      </w:r>
    </w:p>
    <w:p w14:paraId="7EBDF39C" w14:textId="77777777" w:rsidR="00C770CB" w:rsidRDefault="00C770CB" w:rsidP="00C770CB">
      <w:pPr>
        <w:pStyle w:val="a3"/>
        <w:jc w:val="center"/>
        <w:rPr>
          <w:b/>
          <w:lang w:val="hu-HU"/>
        </w:rPr>
      </w:pPr>
    </w:p>
    <w:tbl>
      <w:tblPr>
        <w:tblStyle w:val="ac"/>
        <w:tblW w:w="972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1"/>
        <w:gridCol w:w="1181"/>
        <w:gridCol w:w="2006"/>
        <w:gridCol w:w="2093"/>
        <w:gridCol w:w="946"/>
        <w:gridCol w:w="986"/>
        <w:gridCol w:w="1006"/>
      </w:tblGrid>
      <w:tr w:rsidR="00C770CB" w:rsidRPr="009167C6" w14:paraId="5BA39499" w14:textId="77777777" w:rsidTr="007E7849">
        <w:trPr>
          <w:trHeight w:val="378"/>
          <w:jc w:val="center"/>
        </w:trPr>
        <w:tc>
          <w:tcPr>
            <w:tcW w:w="1624" w:type="dxa"/>
            <w:tcBorders>
              <w:top w:val="single" w:sz="4" w:space="0" w:color="auto"/>
              <w:bottom w:val="single" w:sz="4" w:space="0" w:color="auto"/>
            </w:tcBorders>
            <w:vAlign w:val="center"/>
          </w:tcPr>
          <w:p w14:paraId="5837AF84" w14:textId="77777777" w:rsidR="00C770CB" w:rsidRPr="007C168B" w:rsidRDefault="00C770CB" w:rsidP="007E7849">
            <w:pPr>
              <w:pStyle w:val="a3"/>
              <w:jc w:val="center"/>
              <w:rPr>
                <w:b/>
                <w:lang w:val="hu-HU" w:eastAsia="ko-KR"/>
              </w:rPr>
            </w:pPr>
            <w:r w:rsidRPr="007C168B">
              <w:rPr>
                <w:rFonts w:eastAsia="Times New Roman"/>
                <w:b/>
                <w:bCs/>
                <w:lang w:val="hu-HU" w:eastAsia="ko-KR"/>
              </w:rPr>
              <w:t>Elemzés kezelés</w:t>
            </w:r>
          </w:p>
        </w:tc>
        <w:tc>
          <w:tcPr>
            <w:tcW w:w="1530" w:type="dxa"/>
            <w:tcBorders>
              <w:top w:val="single" w:sz="4" w:space="0" w:color="auto"/>
              <w:bottom w:val="single" w:sz="4" w:space="0" w:color="auto"/>
            </w:tcBorders>
            <w:vAlign w:val="center"/>
          </w:tcPr>
          <w:p w14:paraId="6B5540EE" w14:textId="77777777" w:rsidR="00C770CB" w:rsidRPr="009167C6" w:rsidRDefault="00C770CB" w:rsidP="007E7849">
            <w:pPr>
              <w:pStyle w:val="a3"/>
              <w:jc w:val="center"/>
              <w:rPr>
                <w:b/>
                <w:lang w:val="hu-HU"/>
              </w:rPr>
            </w:pPr>
            <w:r w:rsidRPr="009167C6">
              <w:rPr>
                <w:rFonts w:eastAsia="Times New Roman"/>
                <w:b/>
                <w:bCs/>
                <w:lang w:val="hu-HU"/>
              </w:rPr>
              <w:t>N</w:t>
            </w:r>
          </w:p>
        </w:tc>
        <w:tc>
          <w:tcPr>
            <w:tcW w:w="2052" w:type="dxa"/>
            <w:tcBorders>
              <w:top w:val="single" w:sz="4" w:space="0" w:color="auto"/>
              <w:bottom w:val="single" w:sz="4" w:space="0" w:color="auto"/>
            </w:tcBorders>
            <w:vAlign w:val="center"/>
          </w:tcPr>
          <w:p w14:paraId="40A8CC78" w14:textId="2579972C" w:rsidR="00C770CB" w:rsidRPr="009167C6" w:rsidRDefault="00C770CB" w:rsidP="008129BF">
            <w:pPr>
              <w:pStyle w:val="a3"/>
              <w:jc w:val="center"/>
              <w:rPr>
                <w:b/>
                <w:lang w:val="hu-HU"/>
              </w:rPr>
            </w:pPr>
            <w:r w:rsidRPr="009167C6">
              <w:rPr>
                <w:rFonts w:eastAsia="Times New Roman"/>
                <w:b/>
                <w:bCs/>
                <w:spacing w:val="-1"/>
                <w:lang w:val="hu-HU"/>
              </w:rPr>
              <w:t xml:space="preserve">Eredménytelenség </w:t>
            </w:r>
            <w:r w:rsidR="008129BF">
              <w:rPr>
                <w:rFonts w:eastAsia="Times New Roman"/>
                <w:b/>
                <w:bCs/>
                <w:spacing w:val="-1"/>
                <w:lang w:val="hu-HU"/>
              </w:rPr>
              <w:t>n</w:t>
            </w:r>
            <w:r w:rsidR="008129BF" w:rsidRPr="009167C6">
              <w:rPr>
                <w:rFonts w:eastAsia="Times New Roman"/>
                <w:b/>
                <w:bCs/>
                <w:spacing w:val="-1"/>
                <w:lang w:val="hu-HU"/>
              </w:rPr>
              <w:t xml:space="preserve"> </w:t>
            </w:r>
            <w:r w:rsidRPr="009167C6">
              <w:rPr>
                <w:rFonts w:eastAsia="Times New Roman"/>
                <w:b/>
                <w:bCs/>
                <w:spacing w:val="-1"/>
                <w:lang w:val="hu-HU"/>
              </w:rPr>
              <w:t>(%)</w:t>
            </w:r>
          </w:p>
        </w:tc>
        <w:tc>
          <w:tcPr>
            <w:tcW w:w="1130" w:type="dxa"/>
            <w:tcBorders>
              <w:top w:val="single" w:sz="4" w:space="0" w:color="auto"/>
              <w:bottom w:val="single" w:sz="4" w:space="0" w:color="auto"/>
            </w:tcBorders>
          </w:tcPr>
          <w:p w14:paraId="26B8E18D" w14:textId="77777777" w:rsidR="00C770CB" w:rsidRPr="009167C6" w:rsidRDefault="00C770CB" w:rsidP="007E7849">
            <w:pPr>
              <w:pStyle w:val="a3"/>
              <w:jc w:val="center"/>
              <w:rPr>
                <w:b/>
                <w:bCs/>
                <w:spacing w:val="-1"/>
                <w:lang w:val="hu-HU" w:eastAsia="ko-KR"/>
              </w:rPr>
            </w:pPr>
            <w:r w:rsidRPr="009167C6">
              <w:rPr>
                <w:rFonts w:eastAsia="Times New Roman"/>
                <w:b/>
                <w:bCs/>
                <w:spacing w:val="-1"/>
                <w:lang w:val="hu-HU" w:eastAsia="ko-KR"/>
              </w:rPr>
              <w:t>Eredménytelenségig eltelt átlagos idő (hónap)</w:t>
            </w:r>
          </w:p>
        </w:tc>
        <w:tc>
          <w:tcPr>
            <w:tcW w:w="1130" w:type="dxa"/>
            <w:tcBorders>
              <w:top w:val="single" w:sz="4" w:space="0" w:color="auto"/>
              <w:bottom w:val="single" w:sz="4" w:space="0" w:color="auto"/>
            </w:tcBorders>
            <w:vAlign w:val="center"/>
          </w:tcPr>
          <w:p w14:paraId="1DB19C6A" w14:textId="77777777" w:rsidR="00C770CB" w:rsidRPr="007C168B" w:rsidRDefault="00C770CB" w:rsidP="007E7849">
            <w:pPr>
              <w:pStyle w:val="a3"/>
              <w:jc w:val="center"/>
              <w:rPr>
                <w:b/>
                <w:bCs/>
                <w:spacing w:val="-1"/>
                <w:lang w:val="hu-HU" w:eastAsia="ko-KR"/>
              </w:rPr>
            </w:pPr>
            <w:r w:rsidRPr="009167C6">
              <w:rPr>
                <w:rFonts w:eastAsia="Times New Roman"/>
                <w:b/>
                <w:bCs/>
                <w:spacing w:val="-1"/>
                <w:lang w:val="hu-HU" w:eastAsia="ko-KR"/>
              </w:rPr>
              <w:t>HR</w:t>
            </w:r>
            <w:r w:rsidRPr="009167C6">
              <w:rPr>
                <w:rFonts w:eastAsia="Times New Roman"/>
                <w:b/>
                <w:bCs/>
                <w:spacing w:val="-1"/>
                <w:vertAlign w:val="superscript"/>
                <w:lang w:val="hu-HU" w:eastAsia="ko-KR"/>
              </w:rPr>
              <w:t>a</w:t>
            </w:r>
          </w:p>
        </w:tc>
        <w:tc>
          <w:tcPr>
            <w:tcW w:w="1130" w:type="dxa"/>
            <w:tcBorders>
              <w:top w:val="single" w:sz="4" w:space="0" w:color="auto"/>
              <w:bottom w:val="single" w:sz="4" w:space="0" w:color="auto"/>
            </w:tcBorders>
            <w:vAlign w:val="center"/>
          </w:tcPr>
          <w:p w14:paraId="41CA5F35" w14:textId="77777777" w:rsidR="00C770CB" w:rsidRPr="007C168B" w:rsidRDefault="00C770CB" w:rsidP="007E7849">
            <w:pPr>
              <w:pStyle w:val="a3"/>
              <w:jc w:val="center"/>
              <w:rPr>
                <w:b/>
                <w:bCs/>
                <w:spacing w:val="-1"/>
                <w:lang w:val="hu-HU" w:eastAsia="ko-KR"/>
              </w:rPr>
            </w:pPr>
            <w:r w:rsidRPr="009167C6">
              <w:rPr>
                <w:rFonts w:eastAsia="Times New Roman"/>
                <w:b/>
                <w:bCs/>
                <w:spacing w:val="-1"/>
                <w:lang w:val="hu-HU" w:eastAsia="ko-KR"/>
              </w:rPr>
              <w:t>CI 95%-os HR</w:t>
            </w:r>
            <w:r w:rsidRPr="009167C6">
              <w:rPr>
                <w:rFonts w:eastAsia="Times New Roman"/>
                <w:b/>
                <w:bCs/>
                <w:spacing w:val="-1"/>
                <w:vertAlign w:val="superscript"/>
                <w:lang w:val="hu-HU" w:eastAsia="ko-KR"/>
              </w:rPr>
              <w:t>a</w:t>
            </w:r>
          </w:p>
        </w:tc>
        <w:tc>
          <w:tcPr>
            <w:tcW w:w="1130" w:type="dxa"/>
            <w:tcBorders>
              <w:top w:val="single" w:sz="4" w:space="0" w:color="auto"/>
              <w:bottom w:val="single" w:sz="4" w:space="0" w:color="auto"/>
            </w:tcBorders>
            <w:vAlign w:val="center"/>
          </w:tcPr>
          <w:p w14:paraId="0BB33FC9" w14:textId="77777777" w:rsidR="00C770CB" w:rsidRPr="007C168B" w:rsidRDefault="00C770CB" w:rsidP="007E7849">
            <w:pPr>
              <w:pStyle w:val="a3"/>
              <w:jc w:val="center"/>
              <w:rPr>
                <w:b/>
                <w:lang w:val="hu-HU"/>
              </w:rPr>
            </w:pPr>
            <w:r w:rsidRPr="007C168B">
              <w:rPr>
                <w:rFonts w:eastAsia="Times New Roman"/>
                <w:b/>
                <w:bCs/>
                <w:i/>
                <w:iCs/>
                <w:spacing w:val="-1"/>
                <w:lang w:val="hu-HU" w:eastAsia="ko-KR"/>
              </w:rPr>
              <w:t>p</w:t>
            </w:r>
            <w:r w:rsidRPr="009167C6">
              <w:rPr>
                <w:rFonts w:eastAsia="Times New Roman"/>
                <w:b/>
                <w:bCs/>
                <w:spacing w:val="-1"/>
                <w:lang w:val="hu-HU" w:eastAsia="ko-KR"/>
              </w:rPr>
              <w:t xml:space="preserve"> érték</w:t>
            </w:r>
            <w:r w:rsidRPr="009167C6">
              <w:rPr>
                <w:rFonts w:eastAsia="Times New Roman"/>
                <w:b/>
                <w:bCs/>
                <w:spacing w:val="-1"/>
                <w:vertAlign w:val="superscript"/>
                <w:lang w:val="hu-HU" w:eastAsia="ko-KR"/>
              </w:rPr>
              <w:t>b</w:t>
            </w:r>
          </w:p>
          <w:p w14:paraId="76A2B917" w14:textId="77777777" w:rsidR="00C770CB" w:rsidRPr="009167C6" w:rsidRDefault="00C770CB" w:rsidP="007E7849">
            <w:pPr>
              <w:pStyle w:val="a3"/>
              <w:jc w:val="center"/>
              <w:rPr>
                <w:rFonts w:eastAsia="Times New Roman"/>
                <w:b/>
                <w:bCs/>
                <w:spacing w:val="-1"/>
                <w:lang w:val="hu-HU"/>
              </w:rPr>
            </w:pPr>
          </w:p>
        </w:tc>
      </w:tr>
      <w:tr w:rsidR="00C770CB" w:rsidRPr="009167C6" w14:paraId="6445C9DF" w14:textId="77777777" w:rsidTr="007E7849">
        <w:trPr>
          <w:trHeight w:val="378"/>
          <w:jc w:val="center"/>
        </w:trPr>
        <w:tc>
          <w:tcPr>
            <w:tcW w:w="9729" w:type="dxa"/>
            <w:gridSpan w:val="7"/>
            <w:tcBorders>
              <w:top w:val="single" w:sz="4" w:space="0" w:color="auto"/>
              <w:bottom w:val="single" w:sz="4" w:space="0" w:color="auto"/>
            </w:tcBorders>
            <w:vAlign w:val="center"/>
          </w:tcPr>
          <w:p w14:paraId="2D88AB7E" w14:textId="77777777" w:rsidR="00C770CB" w:rsidRPr="009167C6" w:rsidRDefault="00C770CB" w:rsidP="007E7849">
            <w:pPr>
              <w:pStyle w:val="a3"/>
              <w:rPr>
                <w:b/>
                <w:lang w:val="hu-HU"/>
              </w:rPr>
            </w:pPr>
            <w:r w:rsidRPr="009167C6">
              <w:rPr>
                <w:rFonts w:eastAsia="Times New Roman"/>
                <w:b/>
                <w:bCs/>
                <w:lang w:val="hu-HU"/>
              </w:rPr>
              <w:t>A kezelés eredménytelenségéig eltelt idő a 6. héten vagy azt követően az UV I vizsgálatban</w:t>
            </w:r>
          </w:p>
          <w:p w14:paraId="6F27C88D" w14:textId="77777777" w:rsidR="00C770CB" w:rsidRPr="009167C6" w:rsidRDefault="00C770CB" w:rsidP="007E7849">
            <w:pPr>
              <w:pStyle w:val="a3"/>
              <w:jc w:val="both"/>
              <w:rPr>
                <w:lang w:val="hu-HU"/>
              </w:rPr>
            </w:pPr>
            <w:r w:rsidRPr="009167C6">
              <w:rPr>
                <w:rFonts w:eastAsia="Times New Roman"/>
                <w:b/>
                <w:bCs/>
                <w:lang w:val="hu-HU"/>
              </w:rPr>
              <w:t>Elsődleges elemzés (ITT)</w:t>
            </w:r>
          </w:p>
        </w:tc>
      </w:tr>
      <w:tr w:rsidR="00C770CB" w:rsidRPr="009167C6" w14:paraId="7D9D1A16" w14:textId="77777777" w:rsidTr="007E7849">
        <w:trPr>
          <w:trHeight w:val="393"/>
          <w:jc w:val="center"/>
        </w:trPr>
        <w:tc>
          <w:tcPr>
            <w:tcW w:w="1624" w:type="dxa"/>
            <w:tcBorders>
              <w:top w:val="single" w:sz="4" w:space="0" w:color="auto"/>
            </w:tcBorders>
            <w:vAlign w:val="center"/>
          </w:tcPr>
          <w:p w14:paraId="645E6B91" w14:textId="77777777" w:rsidR="00C770CB" w:rsidRPr="009167C6" w:rsidRDefault="00C770CB" w:rsidP="007E7849">
            <w:pPr>
              <w:pStyle w:val="a3"/>
              <w:jc w:val="center"/>
              <w:rPr>
                <w:lang w:val="hu-HU"/>
              </w:rPr>
            </w:pPr>
            <w:r w:rsidRPr="009167C6">
              <w:rPr>
                <w:rFonts w:eastAsia="Times New Roman"/>
                <w:lang w:val="hu-HU"/>
              </w:rPr>
              <w:t>placebo</w:t>
            </w:r>
          </w:p>
        </w:tc>
        <w:tc>
          <w:tcPr>
            <w:tcW w:w="1530" w:type="dxa"/>
            <w:tcBorders>
              <w:top w:val="single" w:sz="4" w:space="0" w:color="auto"/>
            </w:tcBorders>
          </w:tcPr>
          <w:p w14:paraId="155187AC" w14:textId="77777777" w:rsidR="00C770CB" w:rsidRPr="009167C6" w:rsidRDefault="00C770CB" w:rsidP="007E7849">
            <w:pPr>
              <w:pStyle w:val="a3"/>
              <w:jc w:val="center"/>
              <w:rPr>
                <w:lang w:val="hu-HU"/>
              </w:rPr>
            </w:pPr>
            <w:r w:rsidRPr="009167C6">
              <w:rPr>
                <w:rFonts w:eastAsia="Times New Roman"/>
                <w:lang w:val="hu-HU"/>
              </w:rPr>
              <w:t>107</w:t>
            </w:r>
          </w:p>
        </w:tc>
        <w:tc>
          <w:tcPr>
            <w:tcW w:w="2052" w:type="dxa"/>
            <w:tcBorders>
              <w:top w:val="single" w:sz="4" w:space="0" w:color="auto"/>
            </w:tcBorders>
          </w:tcPr>
          <w:p w14:paraId="73CE9DD5" w14:textId="77777777" w:rsidR="00C770CB" w:rsidRPr="009167C6" w:rsidRDefault="00C770CB" w:rsidP="007E7849">
            <w:pPr>
              <w:pStyle w:val="a3"/>
              <w:jc w:val="center"/>
              <w:rPr>
                <w:lang w:val="hu-HU"/>
              </w:rPr>
            </w:pPr>
            <w:r w:rsidRPr="009167C6">
              <w:rPr>
                <w:rFonts w:eastAsia="Times New Roman"/>
                <w:lang w:val="hu-HU"/>
              </w:rPr>
              <w:t>84 (78,5)</w:t>
            </w:r>
          </w:p>
        </w:tc>
        <w:tc>
          <w:tcPr>
            <w:tcW w:w="1130" w:type="dxa"/>
            <w:tcBorders>
              <w:top w:val="single" w:sz="4" w:space="0" w:color="auto"/>
            </w:tcBorders>
          </w:tcPr>
          <w:p w14:paraId="5889F81A" w14:textId="77777777" w:rsidR="00C770CB" w:rsidRPr="009167C6" w:rsidRDefault="00C770CB" w:rsidP="007E7849">
            <w:pPr>
              <w:pStyle w:val="a3"/>
              <w:jc w:val="center"/>
              <w:rPr>
                <w:lang w:val="hu-HU"/>
              </w:rPr>
            </w:pPr>
            <w:r w:rsidRPr="009167C6">
              <w:rPr>
                <w:rFonts w:eastAsia="Times New Roman"/>
                <w:lang w:val="hu-HU"/>
              </w:rPr>
              <w:t>3,0</w:t>
            </w:r>
          </w:p>
        </w:tc>
        <w:tc>
          <w:tcPr>
            <w:tcW w:w="1130" w:type="dxa"/>
            <w:tcBorders>
              <w:top w:val="single" w:sz="4" w:space="0" w:color="auto"/>
            </w:tcBorders>
          </w:tcPr>
          <w:p w14:paraId="3FFFE3DF" w14:textId="77777777" w:rsidR="00C770CB" w:rsidRPr="009167C6" w:rsidRDefault="00C770CB" w:rsidP="007E7849">
            <w:pPr>
              <w:pStyle w:val="a3"/>
              <w:jc w:val="center"/>
              <w:rPr>
                <w:lang w:val="hu-HU"/>
              </w:rPr>
            </w:pPr>
            <w:r w:rsidRPr="009167C6">
              <w:rPr>
                <w:lang w:val="hu-HU"/>
              </w:rPr>
              <w:t xml:space="preserve">-- </w:t>
            </w:r>
          </w:p>
        </w:tc>
        <w:tc>
          <w:tcPr>
            <w:tcW w:w="1130" w:type="dxa"/>
            <w:tcBorders>
              <w:top w:val="single" w:sz="4" w:space="0" w:color="auto"/>
            </w:tcBorders>
          </w:tcPr>
          <w:p w14:paraId="56D5C777" w14:textId="77777777" w:rsidR="00C770CB" w:rsidRPr="009167C6" w:rsidRDefault="00C770CB" w:rsidP="007E7849">
            <w:pPr>
              <w:pStyle w:val="a3"/>
              <w:jc w:val="center"/>
              <w:rPr>
                <w:lang w:val="hu-HU"/>
              </w:rPr>
            </w:pPr>
            <w:r w:rsidRPr="009167C6">
              <w:rPr>
                <w:lang w:val="hu-HU"/>
              </w:rPr>
              <w:t xml:space="preserve">-- </w:t>
            </w:r>
          </w:p>
        </w:tc>
        <w:tc>
          <w:tcPr>
            <w:tcW w:w="1130" w:type="dxa"/>
            <w:tcBorders>
              <w:top w:val="single" w:sz="4" w:space="0" w:color="auto"/>
            </w:tcBorders>
          </w:tcPr>
          <w:p w14:paraId="6251F7D2" w14:textId="77777777" w:rsidR="00C770CB" w:rsidRPr="009167C6" w:rsidRDefault="00C770CB" w:rsidP="007E7849">
            <w:pPr>
              <w:pStyle w:val="a3"/>
              <w:jc w:val="center"/>
              <w:rPr>
                <w:lang w:val="hu-HU"/>
              </w:rPr>
            </w:pPr>
            <w:r w:rsidRPr="009167C6">
              <w:rPr>
                <w:lang w:val="hu-HU"/>
              </w:rPr>
              <w:t xml:space="preserve">-- </w:t>
            </w:r>
          </w:p>
        </w:tc>
      </w:tr>
      <w:tr w:rsidR="00C770CB" w:rsidRPr="009167C6" w14:paraId="7238E95B" w14:textId="77777777" w:rsidTr="007E7849">
        <w:trPr>
          <w:trHeight w:val="378"/>
          <w:jc w:val="center"/>
        </w:trPr>
        <w:tc>
          <w:tcPr>
            <w:tcW w:w="1624" w:type="dxa"/>
            <w:tcBorders>
              <w:bottom w:val="single" w:sz="4" w:space="0" w:color="auto"/>
            </w:tcBorders>
            <w:vAlign w:val="center"/>
          </w:tcPr>
          <w:p w14:paraId="0EFEC64A" w14:textId="77777777" w:rsidR="00C770CB" w:rsidRPr="009167C6" w:rsidRDefault="00C770CB" w:rsidP="007E7849">
            <w:pPr>
              <w:pStyle w:val="a3"/>
              <w:jc w:val="center"/>
              <w:rPr>
                <w:lang w:val="hu-HU"/>
              </w:rPr>
            </w:pPr>
            <w:r w:rsidRPr="009167C6">
              <w:rPr>
                <w:rFonts w:eastAsia="Times New Roman"/>
                <w:lang w:val="hu-HU"/>
              </w:rPr>
              <w:t>adalimumab</w:t>
            </w:r>
          </w:p>
        </w:tc>
        <w:tc>
          <w:tcPr>
            <w:tcW w:w="1530" w:type="dxa"/>
            <w:tcBorders>
              <w:bottom w:val="single" w:sz="4" w:space="0" w:color="auto"/>
            </w:tcBorders>
          </w:tcPr>
          <w:p w14:paraId="5F09C7F1" w14:textId="77777777" w:rsidR="00C770CB" w:rsidRPr="009167C6" w:rsidRDefault="00C770CB" w:rsidP="007E7849">
            <w:pPr>
              <w:pStyle w:val="a3"/>
              <w:jc w:val="center"/>
              <w:rPr>
                <w:lang w:val="hu-HU"/>
              </w:rPr>
            </w:pPr>
            <w:r w:rsidRPr="009167C6">
              <w:rPr>
                <w:rFonts w:eastAsia="Times New Roman"/>
                <w:lang w:val="hu-HU"/>
              </w:rPr>
              <w:t>110</w:t>
            </w:r>
          </w:p>
        </w:tc>
        <w:tc>
          <w:tcPr>
            <w:tcW w:w="2052" w:type="dxa"/>
            <w:tcBorders>
              <w:bottom w:val="single" w:sz="4" w:space="0" w:color="auto"/>
            </w:tcBorders>
          </w:tcPr>
          <w:p w14:paraId="15485832" w14:textId="77777777" w:rsidR="00C770CB" w:rsidRPr="009167C6" w:rsidRDefault="00C770CB" w:rsidP="007E7849">
            <w:pPr>
              <w:pStyle w:val="a3"/>
              <w:jc w:val="center"/>
              <w:rPr>
                <w:lang w:val="hu-HU"/>
              </w:rPr>
            </w:pPr>
            <w:r w:rsidRPr="009167C6">
              <w:rPr>
                <w:rFonts w:eastAsia="Times New Roman"/>
                <w:lang w:val="hu-HU"/>
              </w:rPr>
              <w:t>60 (54,5)</w:t>
            </w:r>
          </w:p>
        </w:tc>
        <w:tc>
          <w:tcPr>
            <w:tcW w:w="1130" w:type="dxa"/>
            <w:tcBorders>
              <w:bottom w:val="single" w:sz="4" w:space="0" w:color="auto"/>
            </w:tcBorders>
          </w:tcPr>
          <w:p w14:paraId="136C425F" w14:textId="77777777" w:rsidR="00C770CB" w:rsidRPr="009167C6" w:rsidRDefault="00C770CB" w:rsidP="007E7849">
            <w:pPr>
              <w:pStyle w:val="a3"/>
              <w:jc w:val="center"/>
              <w:rPr>
                <w:lang w:val="hu-HU"/>
              </w:rPr>
            </w:pPr>
            <w:r w:rsidRPr="009167C6">
              <w:rPr>
                <w:rFonts w:eastAsia="Times New Roman"/>
                <w:lang w:val="hu-HU"/>
              </w:rPr>
              <w:t>5,6</w:t>
            </w:r>
          </w:p>
        </w:tc>
        <w:tc>
          <w:tcPr>
            <w:tcW w:w="1130" w:type="dxa"/>
            <w:tcBorders>
              <w:bottom w:val="single" w:sz="4" w:space="0" w:color="auto"/>
            </w:tcBorders>
          </w:tcPr>
          <w:p w14:paraId="3B3ADF93" w14:textId="77777777" w:rsidR="00C770CB" w:rsidRPr="009167C6" w:rsidRDefault="00C770CB" w:rsidP="007E7849">
            <w:pPr>
              <w:pStyle w:val="a3"/>
              <w:jc w:val="center"/>
              <w:rPr>
                <w:lang w:val="hu-HU"/>
              </w:rPr>
            </w:pPr>
            <w:r w:rsidRPr="009167C6">
              <w:rPr>
                <w:rFonts w:eastAsia="Times New Roman"/>
                <w:lang w:val="hu-HU"/>
              </w:rPr>
              <w:t>0,50</w:t>
            </w:r>
          </w:p>
        </w:tc>
        <w:tc>
          <w:tcPr>
            <w:tcW w:w="1130" w:type="dxa"/>
            <w:tcBorders>
              <w:bottom w:val="single" w:sz="4" w:space="0" w:color="auto"/>
            </w:tcBorders>
          </w:tcPr>
          <w:p w14:paraId="5C9FD28F" w14:textId="77777777" w:rsidR="00C770CB" w:rsidRPr="009167C6" w:rsidRDefault="00C770CB" w:rsidP="007E7849">
            <w:pPr>
              <w:pStyle w:val="a3"/>
              <w:jc w:val="center"/>
              <w:rPr>
                <w:lang w:val="hu-HU"/>
              </w:rPr>
            </w:pPr>
            <w:r w:rsidRPr="009167C6">
              <w:rPr>
                <w:rFonts w:eastAsia="Times New Roman"/>
                <w:lang w:val="hu-HU"/>
              </w:rPr>
              <w:t>0,36, 0,70</w:t>
            </w:r>
          </w:p>
        </w:tc>
        <w:tc>
          <w:tcPr>
            <w:tcW w:w="1130" w:type="dxa"/>
            <w:tcBorders>
              <w:bottom w:val="single" w:sz="4" w:space="0" w:color="auto"/>
            </w:tcBorders>
          </w:tcPr>
          <w:p w14:paraId="7A5D8EB7" w14:textId="77777777" w:rsidR="00C770CB" w:rsidRPr="009167C6" w:rsidRDefault="00C770CB" w:rsidP="007E7849">
            <w:pPr>
              <w:pStyle w:val="a3"/>
              <w:jc w:val="center"/>
              <w:rPr>
                <w:lang w:val="hu-HU"/>
              </w:rPr>
            </w:pPr>
            <w:r w:rsidRPr="009167C6">
              <w:rPr>
                <w:rFonts w:eastAsia="Times New Roman"/>
                <w:lang w:val="hu-HU"/>
              </w:rPr>
              <w:t>&lt; 0,001</w:t>
            </w:r>
          </w:p>
        </w:tc>
      </w:tr>
      <w:tr w:rsidR="00C770CB" w:rsidRPr="009167C6" w14:paraId="1927663F" w14:textId="77777777" w:rsidTr="007E7849">
        <w:trPr>
          <w:trHeight w:val="378"/>
          <w:jc w:val="center"/>
        </w:trPr>
        <w:tc>
          <w:tcPr>
            <w:tcW w:w="9729" w:type="dxa"/>
            <w:gridSpan w:val="7"/>
            <w:tcBorders>
              <w:top w:val="single" w:sz="4" w:space="0" w:color="auto"/>
              <w:bottom w:val="single" w:sz="4" w:space="0" w:color="auto"/>
            </w:tcBorders>
            <w:vAlign w:val="center"/>
          </w:tcPr>
          <w:p w14:paraId="0C5D3109" w14:textId="77777777" w:rsidR="00C770CB" w:rsidRPr="009167C6" w:rsidRDefault="00C770CB" w:rsidP="007E7849">
            <w:pPr>
              <w:pStyle w:val="a3"/>
              <w:jc w:val="both"/>
              <w:rPr>
                <w:b/>
                <w:lang w:val="hu-HU"/>
              </w:rPr>
            </w:pPr>
            <w:r w:rsidRPr="009167C6">
              <w:rPr>
                <w:rFonts w:eastAsia="Times New Roman"/>
                <w:b/>
                <w:bCs/>
                <w:lang w:val="hu-HU"/>
              </w:rPr>
              <w:t>A kezelés eredménytelenségéig eltelt idő a 2. héten vagy azt követően az UV II vizsgálatban</w:t>
            </w:r>
          </w:p>
          <w:p w14:paraId="6E2EEC2D" w14:textId="77777777" w:rsidR="00C770CB" w:rsidRPr="009167C6" w:rsidRDefault="00C770CB" w:rsidP="007E7849">
            <w:pPr>
              <w:pStyle w:val="a3"/>
              <w:jc w:val="both"/>
              <w:rPr>
                <w:lang w:val="hu-HU"/>
              </w:rPr>
            </w:pPr>
            <w:r w:rsidRPr="009167C6">
              <w:rPr>
                <w:rFonts w:eastAsia="Times New Roman"/>
                <w:b/>
                <w:bCs/>
                <w:lang w:val="hu-HU"/>
              </w:rPr>
              <w:t>Elsődleges elemzés (ITT)</w:t>
            </w:r>
          </w:p>
        </w:tc>
      </w:tr>
      <w:tr w:rsidR="00C770CB" w:rsidRPr="009167C6" w14:paraId="72F38BF6" w14:textId="77777777" w:rsidTr="007E7849">
        <w:trPr>
          <w:trHeight w:val="369"/>
          <w:jc w:val="center"/>
        </w:trPr>
        <w:tc>
          <w:tcPr>
            <w:tcW w:w="1624" w:type="dxa"/>
            <w:tcBorders>
              <w:top w:val="single" w:sz="4" w:space="0" w:color="auto"/>
            </w:tcBorders>
          </w:tcPr>
          <w:p w14:paraId="178A47F2" w14:textId="77777777" w:rsidR="00C770CB" w:rsidRPr="009167C6" w:rsidRDefault="00C770CB" w:rsidP="007E7849">
            <w:pPr>
              <w:pStyle w:val="a3"/>
              <w:jc w:val="center"/>
              <w:rPr>
                <w:lang w:val="hu-HU"/>
              </w:rPr>
            </w:pPr>
            <w:r w:rsidRPr="009167C6">
              <w:rPr>
                <w:rFonts w:eastAsia="Times New Roman"/>
                <w:lang w:val="hu-HU"/>
              </w:rPr>
              <w:t>placebo</w:t>
            </w:r>
          </w:p>
        </w:tc>
        <w:tc>
          <w:tcPr>
            <w:tcW w:w="1530" w:type="dxa"/>
            <w:tcBorders>
              <w:top w:val="single" w:sz="4" w:space="0" w:color="auto"/>
            </w:tcBorders>
          </w:tcPr>
          <w:p w14:paraId="2EF6C636" w14:textId="77777777" w:rsidR="00C770CB" w:rsidRPr="009167C6" w:rsidRDefault="00C770CB" w:rsidP="007E7849">
            <w:pPr>
              <w:pStyle w:val="a3"/>
              <w:jc w:val="center"/>
              <w:rPr>
                <w:lang w:val="hu-HU"/>
              </w:rPr>
            </w:pPr>
            <w:r w:rsidRPr="009167C6">
              <w:rPr>
                <w:rFonts w:eastAsia="Times New Roman"/>
                <w:lang w:val="hu-HU"/>
              </w:rPr>
              <w:t>111</w:t>
            </w:r>
          </w:p>
        </w:tc>
        <w:tc>
          <w:tcPr>
            <w:tcW w:w="2052" w:type="dxa"/>
            <w:tcBorders>
              <w:top w:val="single" w:sz="4" w:space="0" w:color="auto"/>
            </w:tcBorders>
          </w:tcPr>
          <w:p w14:paraId="4C1EE167" w14:textId="77777777" w:rsidR="00C770CB" w:rsidRPr="009167C6" w:rsidRDefault="00C770CB" w:rsidP="007E7849">
            <w:pPr>
              <w:pStyle w:val="a3"/>
              <w:jc w:val="center"/>
              <w:rPr>
                <w:lang w:val="hu-HU"/>
              </w:rPr>
            </w:pPr>
            <w:r w:rsidRPr="009167C6">
              <w:rPr>
                <w:rFonts w:eastAsia="Times New Roman"/>
                <w:lang w:val="hu-HU"/>
              </w:rPr>
              <w:t>61 (55,0)</w:t>
            </w:r>
          </w:p>
        </w:tc>
        <w:tc>
          <w:tcPr>
            <w:tcW w:w="1130" w:type="dxa"/>
            <w:tcBorders>
              <w:top w:val="single" w:sz="4" w:space="0" w:color="auto"/>
            </w:tcBorders>
          </w:tcPr>
          <w:p w14:paraId="57BA19D0" w14:textId="77777777" w:rsidR="00C770CB" w:rsidRPr="009167C6" w:rsidRDefault="00C770CB" w:rsidP="007E7849">
            <w:pPr>
              <w:pStyle w:val="a3"/>
              <w:jc w:val="center"/>
              <w:rPr>
                <w:lang w:val="hu-HU"/>
              </w:rPr>
            </w:pPr>
            <w:r w:rsidRPr="009167C6">
              <w:rPr>
                <w:rFonts w:eastAsia="Times New Roman"/>
                <w:lang w:val="hu-HU"/>
              </w:rPr>
              <w:t>8,3</w:t>
            </w:r>
          </w:p>
        </w:tc>
        <w:tc>
          <w:tcPr>
            <w:tcW w:w="1130" w:type="dxa"/>
            <w:tcBorders>
              <w:top w:val="single" w:sz="4" w:space="0" w:color="auto"/>
            </w:tcBorders>
          </w:tcPr>
          <w:p w14:paraId="197D21E6" w14:textId="77777777" w:rsidR="00C770CB" w:rsidRPr="009167C6" w:rsidRDefault="00C770CB" w:rsidP="007E7849">
            <w:pPr>
              <w:pStyle w:val="a3"/>
              <w:jc w:val="center"/>
              <w:rPr>
                <w:lang w:val="hu-HU"/>
              </w:rPr>
            </w:pPr>
            <w:r w:rsidRPr="009167C6">
              <w:rPr>
                <w:lang w:val="hu-HU"/>
              </w:rPr>
              <w:t xml:space="preserve">-- </w:t>
            </w:r>
          </w:p>
        </w:tc>
        <w:tc>
          <w:tcPr>
            <w:tcW w:w="1130" w:type="dxa"/>
            <w:tcBorders>
              <w:top w:val="single" w:sz="4" w:space="0" w:color="auto"/>
            </w:tcBorders>
          </w:tcPr>
          <w:p w14:paraId="708A2628" w14:textId="77777777" w:rsidR="00C770CB" w:rsidRPr="009167C6" w:rsidRDefault="00C770CB" w:rsidP="007E7849">
            <w:pPr>
              <w:pStyle w:val="a3"/>
              <w:jc w:val="center"/>
              <w:rPr>
                <w:lang w:val="hu-HU"/>
              </w:rPr>
            </w:pPr>
            <w:r w:rsidRPr="009167C6">
              <w:rPr>
                <w:lang w:val="hu-HU"/>
              </w:rPr>
              <w:t xml:space="preserve">-- </w:t>
            </w:r>
          </w:p>
        </w:tc>
        <w:tc>
          <w:tcPr>
            <w:tcW w:w="1130" w:type="dxa"/>
            <w:tcBorders>
              <w:top w:val="single" w:sz="4" w:space="0" w:color="auto"/>
            </w:tcBorders>
          </w:tcPr>
          <w:p w14:paraId="7EE6AFCF" w14:textId="77777777" w:rsidR="00C770CB" w:rsidRPr="009167C6" w:rsidRDefault="00C770CB" w:rsidP="007E7849">
            <w:pPr>
              <w:pStyle w:val="a3"/>
              <w:jc w:val="center"/>
              <w:rPr>
                <w:lang w:val="hu-HU"/>
              </w:rPr>
            </w:pPr>
            <w:r w:rsidRPr="009167C6">
              <w:rPr>
                <w:lang w:val="hu-HU"/>
              </w:rPr>
              <w:t xml:space="preserve">-- </w:t>
            </w:r>
          </w:p>
        </w:tc>
      </w:tr>
      <w:tr w:rsidR="00C770CB" w:rsidRPr="009167C6" w14:paraId="308AFB58" w14:textId="77777777" w:rsidTr="007E7849">
        <w:trPr>
          <w:trHeight w:val="227"/>
          <w:jc w:val="center"/>
        </w:trPr>
        <w:tc>
          <w:tcPr>
            <w:tcW w:w="1624" w:type="dxa"/>
            <w:tcBorders>
              <w:bottom w:val="single" w:sz="4" w:space="0" w:color="auto"/>
            </w:tcBorders>
          </w:tcPr>
          <w:p w14:paraId="044D4EA3" w14:textId="77777777" w:rsidR="00C770CB" w:rsidRPr="009167C6" w:rsidRDefault="00C770CB" w:rsidP="007E7849">
            <w:pPr>
              <w:pStyle w:val="a3"/>
              <w:jc w:val="center"/>
              <w:rPr>
                <w:lang w:val="hu-HU"/>
              </w:rPr>
            </w:pPr>
            <w:r w:rsidRPr="009167C6">
              <w:rPr>
                <w:rFonts w:eastAsia="Times New Roman"/>
                <w:lang w:val="hu-HU"/>
              </w:rPr>
              <w:t>adalimumab</w:t>
            </w:r>
          </w:p>
        </w:tc>
        <w:tc>
          <w:tcPr>
            <w:tcW w:w="1530" w:type="dxa"/>
            <w:tcBorders>
              <w:bottom w:val="single" w:sz="4" w:space="0" w:color="auto"/>
            </w:tcBorders>
          </w:tcPr>
          <w:p w14:paraId="24CE76D8" w14:textId="77777777" w:rsidR="00C770CB" w:rsidRPr="009167C6" w:rsidRDefault="00C770CB" w:rsidP="007E7849">
            <w:pPr>
              <w:pStyle w:val="a3"/>
              <w:jc w:val="center"/>
              <w:rPr>
                <w:lang w:val="hu-HU"/>
              </w:rPr>
            </w:pPr>
            <w:r w:rsidRPr="009167C6">
              <w:rPr>
                <w:rFonts w:eastAsia="Times New Roman"/>
                <w:lang w:val="hu-HU"/>
              </w:rPr>
              <w:t>115</w:t>
            </w:r>
          </w:p>
        </w:tc>
        <w:tc>
          <w:tcPr>
            <w:tcW w:w="2052" w:type="dxa"/>
            <w:tcBorders>
              <w:bottom w:val="single" w:sz="4" w:space="0" w:color="auto"/>
            </w:tcBorders>
          </w:tcPr>
          <w:p w14:paraId="1FB1F5B7" w14:textId="77777777" w:rsidR="00C770CB" w:rsidRPr="009167C6" w:rsidRDefault="00C770CB" w:rsidP="007E7849">
            <w:pPr>
              <w:pStyle w:val="a3"/>
              <w:jc w:val="center"/>
              <w:rPr>
                <w:lang w:val="hu-HU"/>
              </w:rPr>
            </w:pPr>
            <w:r w:rsidRPr="009167C6">
              <w:rPr>
                <w:rFonts w:eastAsia="Times New Roman"/>
                <w:lang w:val="hu-HU"/>
              </w:rPr>
              <w:t>45 (39,1)</w:t>
            </w:r>
          </w:p>
        </w:tc>
        <w:tc>
          <w:tcPr>
            <w:tcW w:w="1130" w:type="dxa"/>
            <w:tcBorders>
              <w:bottom w:val="single" w:sz="4" w:space="0" w:color="auto"/>
            </w:tcBorders>
          </w:tcPr>
          <w:p w14:paraId="092C3EA2" w14:textId="77777777" w:rsidR="00C770CB" w:rsidRPr="007C168B" w:rsidRDefault="00C770CB" w:rsidP="007E7849">
            <w:pPr>
              <w:pStyle w:val="a3"/>
              <w:jc w:val="center"/>
              <w:rPr>
                <w:lang w:val="hu-HU"/>
              </w:rPr>
            </w:pPr>
            <w:r w:rsidRPr="009167C6">
              <w:rPr>
                <w:rFonts w:eastAsia="Times New Roman"/>
                <w:lang w:val="hu-HU"/>
              </w:rPr>
              <w:t>NE</w:t>
            </w:r>
            <w:r w:rsidRPr="009167C6">
              <w:rPr>
                <w:rFonts w:eastAsia="Times New Roman"/>
                <w:vertAlign w:val="superscript"/>
                <w:lang w:val="hu-HU"/>
              </w:rPr>
              <w:t>c</w:t>
            </w:r>
          </w:p>
        </w:tc>
        <w:tc>
          <w:tcPr>
            <w:tcW w:w="1130" w:type="dxa"/>
            <w:tcBorders>
              <w:bottom w:val="single" w:sz="4" w:space="0" w:color="auto"/>
            </w:tcBorders>
          </w:tcPr>
          <w:p w14:paraId="016B7578" w14:textId="77777777" w:rsidR="00C770CB" w:rsidRPr="009167C6" w:rsidRDefault="00C770CB" w:rsidP="007E7849">
            <w:pPr>
              <w:pStyle w:val="a3"/>
              <w:jc w:val="center"/>
              <w:rPr>
                <w:lang w:val="hu-HU"/>
              </w:rPr>
            </w:pPr>
            <w:r w:rsidRPr="009167C6">
              <w:rPr>
                <w:rFonts w:eastAsia="Times New Roman"/>
                <w:lang w:val="hu-HU"/>
              </w:rPr>
              <w:t>0,57</w:t>
            </w:r>
          </w:p>
        </w:tc>
        <w:tc>
          <w:tcPr>
            <w:tcW w:w="1130" w:type="dxa"/>
            <w:tcBorders>
              <w:bottom w:val="single" w:sz="4" w:space="0" w:color="auto"/>
            </w:tcBorders>
          </w:tcPr>
          <w:p w14:paraId="12861AF1" w14:textId="77777777" w:rsidR="00C770CB" w:rsidRPr="009167C6" w:rsidRDefault="00C770CB" w:rsidP="007E7849">
            <w:pPr>
              <w:pStyle w:val="a3"/>
              <w:jc w:val="center"/>
              <w:rPr>
                <w:lang w:val="hu-HU"/>
              </w:rPr>
            </w:pPr>
            <w:r w:rsidRPr="009167C6">
              <w:rPr>
                <w:rFonts w:eastAsia="Times New Roman"/>
                <w:lang w:val="hu-HU"/>
              </w:rPr>
              <w:t>0,39, 0,84</w:t>
            </w:r>
          </w:p>
        </w:tc>
        <w:tc>
          <w:tcPr>
            <w:tcW w:w="1130" w:type="dxa"/>
            <w:tcBorders>
              <w:bottom w:val="single" w:sz="4" w:space="0" w:color="auto"/>
            </w:tcBorders>
          </w:tcPr>
          <w:p w14:paraId="3DC458AF" w14:textId="77777777" w:rsidR="00C770CB" w:rsidRPr="009167C6" w:rsidRDefault="00C770CB" w:rsidP="007E7849">
            <w:pPr>
              <w:pStyle w:val="a3"/>
              <w:jc w:val="center"/>
              <w:rPr>
                <w:lang w:val="hu-HU"/>
              </w:rPr>
            </w:pPr>
            <w:r w:rsidRPr="009167C6">
              <w:rPr>
                <w:rFonts w:eastAsia="Times New Roman"/>
                <w:lang w:val="hu-HU"/>
              </w:rPr>
              <w:t>0,004</w:t>
            </w:r>
          </w:p>
        </w:tc>
      </w:tr>
    </w:tbl>
    <w:p w14:paraId="5ED91EF5" w14:textId="77777777" w:rsidR="00C770CB" w:rsidRDefault="00C770CB" w:rsidP="00C770CB">
      <w:pPr>
        <w:pStyle w:val="a3"/>
        <w:rPr>
          <w:lang w:val="hu-HU"/>
        </w:rPr>
      </w:pPr>
      <w:r>
        <w:rPr>
          <w:rFonts w:eastAsia="Times New Roman"/>
          <w:lang w:val="hu-HU"/>
        </w:rPr>
        <w:t>Megjegyzés: Eseménynek értékelték a kezelés eredménytelenségét a 6. héten vagy azt követően (UV I vizsgálat) vagy a 2. héten vagy azt követően (UV II vizsgálat). Azoknak a betegeknek az adatait cenzorálták a vizsgálat abbahagyásakor, akik nem a kezelés eredménytelensége miatt hagyták abba a vizsgálatot.</w:t>
      </w:r>
    </w:p>
    <w:p w14:paraId="4A857B7D" w14:textId="77777777" w:rsidR="00C770CB" w:rsidRDefault="00C770CB" w:rsidP="00C770CB">
      <w:pPr>
        <w:pStyle w:val="a3"/>
        <w:numPr>
          <w:ilvl w:val="0"/>
          <w:numId w:val="8"/>
        </w:numPr>
        <w:ind w:left="357" w:hanging="357"/>
        <w:rPr>
          <w:lang w:val="hu-HU"/>
        </w:rPr>
      </w:pPr>
      <w:r>
        <w:rPr>
          <w:rFonts w:eastAsia="Times New Roman"/>
          <w:lang w:val="hu-HU"/>
        </w:rPr>
        <w:t>Az adalimumab placebóval szembeni relatív hazárd értéke (arányos hazárd regresszióból, a kezelést faktorként figyelembe véve).</w:t>
      </w:r>
    </w:p>
    <w:p w14:paraId="7DDF461E" w14:textId="77777777" w:rsidR="00C770CB" w:rsidRDefault="00C770CB" w:rsidP="00C770CB">
      <w:pPr>
        <w:pStyle w:val="a3"/>
        <w:numPr>
          <w:ilvl w:val="0"/>
          <w:numId w:val="8"/>
        </w:numPr>
        <w:ind w:left="357" w:hanging="357"/>
        <w:rPr>
          <w:lang w:val="hu-HU"/>
        </w:rPr>
      </w:pPr>
      <w:r>
        <w:rPr>
          <w:rFonts w:eastAsia="Times New Roman"/>
          <w:lang w:val="hu-HU"/>
        </w:rPr>
        <w:t xml:space="preserve">Lograng-próbából meghatározott 2-oldalas </w:t>
      </w:r>
      <w:r>
        <w:rPr>
          <w:rFonts w:eastAsia="Times New Roman"/>
          <w:i/>
          <w:iCs/>
          <w:lang w:val="hu-HU"/>
        </w:rPr>
        <w:t>P</w:t>
      </w:r>
      <w:r>
        <w:rPr>
          <w:rFonts w:eastAsia="Times New Roman"/>
          <w:lang w:val="hu-HU"/>
        </w:rPr>
        <w:t>-érték.</w:t>
      </w:r>
    </w:p>
    <w:p w14:paraId="7991F9AF" w14:textId="77777777" w:rsidR="00C770CB" w:rsidRDefault="00C770CB" w:rsidP="00C770CB">
      <w:pPr>
        <w:pStyle w:val="a3"/>
        <w:numPr>
          <w:ilvl w:val="0"/>
          <w:numId w:val="8"/>
        </w:numPr>
        <w:ind w:left="357" w:hanging="357"/>
        <w:rPr>
          <w:lang w:val="hu-HU"/>
        </w:rPr>
      </w:pPr>
      <w:r>
        <w:rPr>
          <w:rFonts w:eastAsia="Times New Roman"/>
          <w:lang w:val="hu-HU"/>
        </w:rPr>
        <w:t>NE = nem becsülhető. A veszélyeztetett betegek kevesebb mint felénél történt esemény.</w:t>
      </w:r>
    </w:p>
    <w:p w14:paraId="7024BA76" w14:textId="0A7F18E2" w:rsidR="00C770CB" w:rsidRDefault="00C770CB" w:rsidP="00C770CB">
      <w:pPr>
        <w:rPr>
          <w:rFonts w:ascii="Times New Roman" w:hAnsi="Times New Roman" w:cs="Times New Roman"/>
          <w:lang w:val="hu-HU"/>
        </w:rPr>
      </w:pPr>
    </w:p>
    <w:p w14:paraId="4C1245DD" w14:textId="076EE300" w:rsidR="00C770CB" w:rsidRDefault="00AC50BB" w:rsidP="00C770CB">
      <w:pPr>
        <w:pStyle w:val="a3"/>
        <w:jc w:val="center"/>
        <w:rPr>
          <w:b/>
          <w:lang w:val="hu-HU"/>
        </w:rPr>
      </w:pPr>
      <w:r>
        <w:rPr>
          <w:rFonts w:eastAsia="Times New Roman"/>
          <w:b/>
          <w:bCs/>
          <w:lang w:val="hu-HU"/>
        </w:rPr>
        <w:t>1</w:t>
      </w:r>
      <w:r w:rsidR="00C770CB">
        <w:rPr>
          <w:rFonts w:eastAsia="Times New Roman"/>
          <w:b/>
          <w:bCs/>
          <w:lang w:val="hu-HU"/>
        </w:rPr>
        <w:t>. ábra:A kezelés eredménytelenségéig eltelt időt a 6. héten vagy azt követően (UV I vizsgálat) illetve a 2. héten vagy azt követően (UV II vizsgálat) bemutató Kaplan-Meier görbék</w:t>
      </w:r>
    </w:p>
    <w:tbl>
      <w:tblPr>
        <w:tblW w:w="9481" w:type="dxa"/>
        <w:tblLayout w:type="fixed"/>
        <w:tblLook w:val="04A0" w:firstRow="1" w:lastRow="0" w:firstColumn="1" w:lastColumn="0" w:noHBand="0" w:noVBand="1"/>
      </w:tblPr>
      <w:tblGrid>
        <w:gridCol w:w="675"/>
        <w:gridCol w:w="3496"/>
        <w:gridCol w:w="1170"/>
        <w:gridCol w:w="1350"/>
        <w:gridCol w:w="900"/>
        <w:gridCol w:w="1890"/>
      </w:tblGrid>
      <w:tr w:rsidR="00C770CB" w14:paraId="508F07F8" w14:textId="77777777" w:rsidTr="007E7849">
        <w:trPr>
          <w:cantSplit/>
          <w:trHeight w:val="3806"/>
        </w:trPr>
        <w:tc>
          <w:tcPr>
            <w:tcW w:w="675" w:type="dxa"/>
            <w:textDirection w:val="btLr"/>
            <w:vAlign w:val="bottom"/>
          </w:tcPr>
          <w:p w14:paraId="740F1902" w14:textId="77777777" w:rsidR="00C770CB" w:rsidRPr="000F4DB4" w:rsidRDefault="00C770CB" w:rsidP="007E7849">
            <w:pPr>
              <w:pStyle w:val="EMEANormal"/>
              <w:keepNext/>
              <w:ind w:left="113" w:right="113"/>
              <w:jc w:val="center"/>
              <w:rPr>
                <w:b/>
                <w:szCs w:val="22"/>
                <w:lang w:val="hu-HU"/>
              </w:rPr>
            </w:pPr>
            <w:r w:rsidRPr="000F4DB4">
              <w:rPr>
                <w:b/>
                <w:szCs w:val="22"/>
                <w:lang w:val="hu-HU"/>
              </w:rPr>
              <w:t>Kezelés eredménytelenségémek aránya (%)</w:t>
            </w:r>
          </w:p>
        </w:tc>
        <w:tc>
          <w:tcPr>
            <w:tcW w:w="8806" w:type="dxa"/>
            <w:gridSpan w:val="5"/>
            <w:vAlign w:val="bottom"/>
          </w:tcPr>
          <w:p w14:paraId="023F46E2" w14:textId="77777777" w:rsidR="00C770CB" w:rsidRPr="000F4DB4" w:rsidRDefault="00C770CB" w:rsidP="007E7849">
            <w:pPr>
              <w:pStyle w:val="EMEANormal"/>
              <w:keepNext/>
              <w:rPr>
                <w:szCs w:val="22"/>
                <w:lang w:val="hu-HU"/>
              </w:rPr>
            </w:pPr>
            <w:r w:rsidRPr="000F4DB4">
              <w:rPr>
                <w:noProof/>
                <w:lang w:eastAsia="ko-KR"/>
              </w:rPr>
              <w:drawing>
                <wp:inline distT="0" distB="0" distL="0" distR="0" wp14:anchorId="79B56CAC" wp14:editId="4016EE15">
                  <wp:extent cx="5486400" cy="2209800"/>
                  <wp:effectExtent l="0" t="0" r="0" b="0"/>
                  <wp:docPr id="7" name="Picture 90" descr="Humira Uveitis Figure 5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51528" name="Picture 1" descr="Humira Uveitis Figure 5_6"/>
                          <pic:cNvPicPr>
                            <a:picLocks noChangeAspect="1" noChangeArrowheads="1"/>
                          </pic:cNvPicPr>
                        </pic:nvPicPr>
                        <pic:blipFill>
                          <a:blip r:embed="rId21" r:link="rId15" cstate="print">
                            <a:extLst>
                              <a:ext uri="{28A0092B-C50C-407E-A947-70E740481C1C}">
                                <a14:useLocalDpi xmlns:a14="http://schemas.microsoft.com/office/drawing/2010/main" val="0"/>
                              </a:ext>
                            </a:extLst>
                          </a:blip>
                          <a:stretch>
                            <a:fillRect/>
                          </a:stretch>
                        </pic:blipFill>
                        <pic:spPr bwMode="auto">
                          <a:xfrm>
                            <a:off x="0" y="0"/>
                            <a:ext cx="5486400" cy="2209800"/>
                          </a:xfrm>
                          <a:prstGeom prst="rect">
                            <a:avLst/>
                          </a:prstGeom>
                          <a:noFill/>
                          <a:ln>
                            <a:noFill/>
                          </a:ln>
                        </pic:spPr>
                      </pic:pic>
                    </a:graphicData>
                  </a:graphic>
                </wp:inline>
              </w:drawing>
            </w:r>
          </w:p>
        </w:tc>
      </w:tr>
      <w:tr w:rsidR="00C770CB" w14:paraId="2C756880" w14:textId="77777777" w:rsidTr="007E7849">
        <w:tc>
          <w:tcPr>
            <w:tcW w:w="675" w:type="dxa"/>
          </w:tcPr>
          <w:p w14:paraId="1A3193F5" w14:textId="77777777" w:rsidR="00C770CB" w:rsidRPr="000F4DB4" w:rsidRDefault="00C770CB" w:rsidP="007E7849">
            <w:pPr>
              <w:pStyle w:val="EMEANormal"/>
              <w:rPr>
                <w:szCs w:val="22"/>
                <w:lang w:val="hu-HU"/>
              </w:rPr>
            </w:pPr>
          </w:p>
        </w:tc>
        <w:tc>
          <w:tcPr>
            <w:tcW w:w="8806" w:type="dxa"/>
            <w:gridSpan w:val="5"/>
          </w:tcPr>
          <w:p w14:paraId="7B05E6D5" w14:textId="77777777" w:rsidR="00C770CB" w:rsidRPr="000F4DB4" w:rsidRDefault="00C770CB" w:rsidP="007E7849">
            <w:pPr>
              <w:pStyle w:val="EMEANormal"/>
              <w:jc w:val="center"/>
              <w:rPr>
                <w:b/>
                <w:szCs w:val="22"/>
                <w:lang w:val="hu-HU"/>
              </w:rPr>
            </w:pPr>
            <w:r w:rsidRPr="000F4DB4">
              <w:rPr>
                <w:b/>
                <w:szCs w:val="22"/>
                <w:lang w:val="hu-HU"/>
              </w:rPr>
              <w:t>Idő (hónap)</w:t>
            </w:r>
          </w:p>
        </w:tc>
      </w:tr>
      <w:tr w:rsidR="00C770CB" w14:paraId="08B6DF52" w14:textId="77777777" w:rsidTr="007E7849">
        <w:tc>
          <w:tcPr>
            <w:tcW w:w="675" w:type="dxa"/>
          </w:tcPr>
          <w:p w14:paraId="2F36B85D" w14:textId="77777777" w:rsidR="00C770CB" w:rsidRPr="000F4DB4" w:rsidRDefault="00C770CB" w:rsidP="007E7849">
            <w:pPr>
              <w:pStyle w:val="EMEANormal"/>
              <w:rPr>
                <w:szCs w:val="22"/>
                <w:lang w:val="hu-HU"/>
              </w:rPr>
            </w:pPr>
          </w:p>
        </w:tc>
        <w:tc>
          <w:tcPr>
            <w:tcW w:w="3496" w:type="dxa"/>
          </w:tcPr>
          <w:p w14:paraId="614B94A9" w14:textId="77777777" w:rsidR="00C770CB" w:rsidRPr="000F4DB4" w:rsidRDefault="00C770CB" w:rsidP="007E7849">
            <w:pPr>
              <w:pStyle w:val="EMEANormal"/>
              <w:rPr>
                <w:szCs w:val="22"/>
                <w:lang w:val="hu-HU"/>
              </w:rPr>
            </w:pPr>
            <w:r w:rsidRPr="000F4DB4">
              <w:rPr>
                <w:szCs w:val="22"/>
                <w:lang w:val="hu-HU"/>
              </w:rPr>
              <w:t>UV I vizsgálat                  Kezelés</w:t>
            </w:r>
          </w:p>
        </w:tc>
        <w:tc>
          <w:tcPr>
            <w:tcW w:w="1170" w:type="dxa"/>
          </w:tcPr>
          <w:p w14:paraId="2B92FF2C" w14:textId="77777777" w:rsidR="00C770CB" w:rsidRPr="000F4DB4" w:rsidRDefault="00C770CB" w:rsidP="007E7849">
            <w:pPr>
              <w:pStyle w:val="EMEANormal"/>
              <w:jc w:val="right"/>
              <w:rPr>
                <w:szCs w:val="22"/>
                <w:lang w:val="hu-HU"/>
              </w:rPr>
            </w:pPr>
            <w:r w:rsidRPr="000F4DB4">
              <w:rPr>
                <w:noProof/>
                <w:szCs w:val="22"/>
                <w:lang w:eastAsia="ko-KR"/>
              </w:rPr>
              <w:drawing>
                <wp:inline distT="0" distB="0" distL="0" distR="0" wp14:anchorId="4AB86F2C" wp14:editId="208DD922">
                  <wp:extent cx="396875" cy="180975"/>
                  <wp:effectExtent l="0" t="0" r="3175" b="9525"/>
                  <wp:docPr id="8" name="Picture 26"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245444" name="Picture 26" descr="Humira Uveitis Figure 5_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6875" cy="180975"/>
                          </a:xfrm>
                          <a:prstGeom prst="rect">
                            <a:avLst/>
                          </a:prstGeom>
                          <a:noFill/>
                          <a:ln>
                            <a:noFill/>
                          </a:ln>
                        </pic:spPr>
                      </pic:pic>
                    </a:graphicData>
                  </a:graphic>
                </wp:inline>
              </w:drawing>
            </w:r>
          </w:p>
        </w:tc>
        <w:tc>
          <w:tcPr>
            <w:tcW w:w="1350" w:type="dxa"/>
          </w:tcPr>
          <w:p w14:paraId="4154046A" w14:textId="77777777" w:rsidR="00C770CB" w:rsidRPr="000F4DB4" w:rsidRDefault="00C770CB" w:rsidP="007E7849">
            <w:pPr>
              <w:pStyle w:val="EMEANormal"/>
              <w:rPr>
                <w:szCs w:val="22"/>
                <w:lang w:val="hu-HU"/>
              </w:rPr>
            </w:pPr>
            <w:r w:rsidRPr="000F4DB4">
              <w:rPr>
                <w:szCs w:val="22"/>
                <w:lang w:val="hu-HU"/>
              </w:rPr>
              <w:t>Placebo</w:t>
            </w:r>
          </w:p>
        </w:tc>
        <w:tc>
          <w:tcPr>
            <w:tcW w:w="900" w:type="dxa"/>
          </w:tcPr>
          <w:p w14:paraId="4F3A30A5" w14:textId="77777777" w:rsidR="00C770CB" w:rsidRPr="000F4DB4" w:rsidRDefault="00C770CB" w:rsidP="007E7849">
            <w:pPr>
              <w:pStyle w:val="EMEANormal"/>
              <w:jc w:val="right"/>
              <w:rPr>
                <w:szCs w:val="22"/>
                <w:lang w:val="hu-HU"/>
              </w:rPr>
            </w:pPr>
            <w:r w:rsidRPr="000F4DB4">
              <w:rPr>
                <w:noProof/>
                <w:szCs w:val="22"/>
                <w:lang w:eastAsia="ko-KR"/>
              </w:rPr>
              <w:drawing>
                <wp:inline distT="0" distB="0" distL="0" distR="0" wp14:anchorId="7CCFA146" wp14:editId="446AF5E9">
                  <wp:extent cx="560705" cy="180975"/>
                  <wp:effectExtent l="0" t="0" r="0" b="9525"/>
                  <wp:docPr id="9" name="Picture 27"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774461" name="Picture 27" descr="Humira Uveitis Figure 5_2"/>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60705" cy="180975"/>
                          </a:xfrm>
                          <a:prstGeom prst="rect">
                            <a:avLst/>
                          </a:prstGeom>
                          <a:noFill/>
                          <a:ln>
                            <a:noFill/>
                          </a:ln>
                        </pic:spPr>
                      </pic:pic>
                    </a:graphicData>
                  </a:graphic>
                </wp:inline>
              </w:drawing>
            </w:r>
          </w:p>
        </w:tc>
        <w:tc>
          <w:tcPr>
            <w:tcW w:w="1890" w:type="dxa"/>
          </w:tcPr>
          <w:p w14:paraId="0669177E" w14:textId="77777777" w:rsidR="00C770CB" w:rsidRPr="000F4DB4" w:rsidRDefault="00C770CB" w:rsidP="007E7849">
            <w:pPr>
              <w:pStyle w:val="EMEANormal"/>
              <w:rPr>
                <w:szCs w:val="22"/>
                <w:lang w:val="hu-HU"/>
              </w:rPr>
            </w:pPr>
            <w:r w:rsidRPr="000F4DB4">
              <w:rPr>
                <w:szCs w:val="22"/>
                <w:lang w:val="hu-HU"/>
              </w:rPr>
              <w:t>Adalimumab</w:t>
            </w:r>
          </w:p>
        </w:tc>
      </w:tr>
      <w:tr w:rsidR="00C770CB" w14:paraId="08D31F07" w14:textId="77777777" w:rsidTr="007E7849">
        <w:trPr>
          <w:trHeight w:val="3869"/>
        </w:trPr>
        <w:tc>
          <w:tcPr>
            <w:tcW w:w="675" w:type="dxa"/>
            <w:textDirection w:val="btLr"/>
            <w:vAlign w:val="bottom"/>
          </w:tcPr>
          <w:p w14:paraId="6AA1F626" w14:textId="77777777" w:rsidR="00C770CB" w:rsidRPr="000F4DB4" w:rsidRDefault="00C770CB" w:rsidP="007E7849">
            <w:pPr>
              <w:pStyle w:val="EMEANormal"/>
              <w:jc w:val="center"/>
              <w:rPr>
                <w:szCs w:val="22"/>
                <w:lang w:val="hu-HU"/>
              </w:rPr>
            </w:pPr>
            <w:r w:rsidRPr="000F4DB4">
              <w:rPr>
                <w:b/>
                <w:szCs w:val="22"/>
                <w:lang w:val="hu-HU"/>
              </w:rPr>
              <w:lastRenderedPageBreak/>
              <w:t>Kezelés eredménytelenségének aránya (%)</w:t>
            </w:r>
          </w:p>
        </w:tc>
        <w:tc>
          <w:tcPr>
            <w:tcW w:w="8806" w:type="dxa"/>
            <w:gridSpan w:val="5"/>
            <w:vAlign w:val="bottom"/>
          </w:tcPr>
          <w:p w14:paraId="626CF3D5" w14:textId="77777777" w:rsidR="00C770CB" w:rsidRPr="000F4DB4" w:rsidRDefault="00C770CB" w:rsidP="007E7849">
            <w:pPr>
              <w:pStyle w:val="EMEANormal"/>
              <w:rPr>
                <w:szCs w:val="22"/>
                <w:lang w:val="hu-HU"/>
              </w:rPr>
            </w:pPr>
            <w:r w:rsidRPr="000F4DB4">
              <w:rPr>
                <w:noProof/>
                <w:szCs w:val="22"/>
                <w:lang w:eastAsia="ko-KR"/>
              </w:rPr>
              <w:drawing>
                <wp:inline distT="0" distB="0" distL="0" distR="0" wp14:anchorId="5668D2AB" wp14:editId="0E66E0F6">
                  <wp:extent cx="5495290" cy="2190750"/>
                  <wp:effectExtent l="0" t="0" r="0" b="0"/>
                  <wp:docPr id="10"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883582" name="Picture 9"/>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495290" cy="2190750"/>
                          </a:xfrm>
                          <a:prstGeom prst="rect">
                            <a:avLst/>
                          </a:prstGeom>
                          <a:noFill/>
                        </pic:spPr>
                      </pic:pic>
                    </a:graphicData>
                  </a:graphic>
                </wp:inline>
              </w:drawing>
            </w:r>
          </w:p>
        </w:tc>
      </w:tr>
      <w:tr w:rsidR="00C770CB" w14:paraId="51D2DB96" w14:textId="77777777" w:rsidTr="007E7849">
        <w:tc>
          <w:tcPr>
            <w:tcW w:w="675" w:type="dxa"/>
          </w:tcPr>
          <w:p w14:paraId="265A118F" w14:textId="77777777" w:rsidR="00C770CB" w:rsidRPr="000F4DB4" w:rsidRDefault="00C770CB" w:rsidP="007E7849">
            <w:pPr>
              <w:pStyle w:val="EMEANormal"/>
              <w:rPr>
                <w:szCs w:val="22"/>
                <w:lang w:val="hu-HU"/>
              </w:rPr>
            </w:pPr>
          </w:p>
        </w:tc>
        <w:tc>
          <w:tcPr>
            <w:tcW w:w="8806" w:type="dxa"/>
            <w:gridSpan w:val="5"/>
          </w:tcPr>
          <w:p w14:paraId="68604F66" w14:textId="77777777" w:rsidR="00C770CB" w:rsidRPr="000F4DB4" w:rsidRDefault="00C770CB" w:rsidP="007E7849">
            <w:pPr>
              <w:pStyle w:val="EMEANormal"/>
              <w:jc w:val="center"/>
              <w:rPr>
                <w:b/>
                <w:szCs w:val="22"/>
                <w:lang w:val="hu-HU"/>
              </w:rPr>
            </w:pPr>
            <w:r w:rsidRPr="000F4DB4">
              <w:rPr>
                <w:b/>
                <w:szCs w:val="22"/>
                <w:lang w:val="hu-HU"/>
              </w:rPr>
              <w:t>Idő (hónap)</w:t>
            </w:r>
          </w:p>
        </w:tc>
      </w:tr>
      <w:tr w:rsidR="00C770CB" w14:paraId="0864BA6D" w14:textId="77777777" w:rsidTr="007E7849">
        <w:trPr>
          <w:trHeight w:val="369"/>
        </w:trPr>
        <w:tc>
          <w:tcPr>
            <w:tcW w:w="675" w:type="dxa"/>
          </w:tcPr>
          <w:p w14:paraId="213EFA09" w14:textId="77777777" w:rsidR="00C770CB" w:rsidRPr="000F4DB4" w:rsidRDefault="00C770CB" w:rsidP="007E7849">
            <w:pPr>
              <w:pStyle w:val="EMEANormal"/>
              <w:rPr>
                <w:szCs w:val="22"/>
                <w:lang w:val="hu-HU"/>
              </w:rPr>
            </w:pPr>
          </w:p>
        </w:tc>
        <w:tc>
          <w:tcPr>
            <w:tcW w:w="3496" w:type="dxa"/>
          </w:tcPr>
          <w:p w14:paraId="080AFE5E" w14:textId="77777777" w:rsidR="00C770CB" w:rsidRPr="000F4DB4" w:rsidRDefault="00C770CB" w:rsidP="007E7849">
            <w:pPr>
              <w:pStyle w:val="EMEANormal"/>
              <w:rPr>
                <w:szCs w:val="22"/>
                <w:lang w:val="hu-HU"/>
              </w:rPr>
            </w:pPr>
            <w:r w:rsidRPr="000F4DB4">
              <w:rPr>
                <w:szCs w:val="22"/>
                <w:lang w:val="hu-HU"/>
              </w:rPr>
              <w:t>UV II vizsgálat                  Kezelés</w:t>
            </w:r>
          </w:p>
        </w:tc>
        <w:tc>
          <w:tcPr>
            <w:tcW w:w="1170" w:type="dxa"/>
          </w:tcPr>
          <w:p w14:paraId="28CD207C" w14:textId="77777777" w:rsidR="00C770CB" w:rsidRPr="000F4DB4" w:rsidRDefault="00C770CB" w:rsidP="007E7849">
            <w:pPr>
              <w:pStyle w:val="EMEANormal"/>
              <w:jc w:val="right"/>
              <w:rPr>
                <w:szCs w:val="22"/>
                <w:lang w:val="hu-HU"/>
              </w:rPr>
            </w:pPr>
            <w:r w:rsidRPr="000F4DB4">
              <w:rPr>
                <w:noProof/>
                <w:szCs w:val="22"/>
                <w:lang w:eastAsia="ko-KR"/>
              </w:rPr>
              <w:drawing>
                <wp:inline distT="0" distB="0" distL="0" distR="0" wp14:anchorId="1BD0F3FE" wp14:editId="3A2D1AB6">
                  <wp:extent cx="396875" cy="180975"/>
                  <wp:effectExtent l="0" t="0" r="3175" b="9525"/>
                  <wp:docPr id="12" name="Picture 29"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444654" name="Picture 29" descr="Humira Uveitis Figure 5_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6875" cy="180975"/>
                          </a:xfrm>
                          <a:prstGeom prst="rect">
                            <a:avLst/>
                          </a:prstGeom>
                          <a:noFill/>
                          <a:ln>
                            <a:noFill/>
                          </a:ln>
                        </pic:spPr>
                      </pic:pic>
                    </a:graphicData>
                  </a:graphic>
                </wp:inline>
              </w:drawing>
            </w:r>
          </w:p>
        </w:tc>
        <w:tc>
          <w:tcPr>
            <w:tcW w:w="1350" w:type="dxa"/>
          </w:tcPr>
          <w:p w14:paraId="606401B2" w14:textId="77777777" w:rsidR="00C770CB" w:rsidRPr="000F4DB4" w:rsidRDefault="00C770CB" w:rsidP="007E7849">
            <w:pPr>
              <w:pStyle w:val="EMEANormal"/>
              <w:rPr>
                <w:szCs w:val="22"/>
                <w:lang w:val="hu-HU"/>
              </w:rPr>
            </w:pPr>
            <w:r w:rsidRPr="000F4DB4">
              <w:rPr>
                <w:szCs w:val="22"/>
                <w:lang w:val="hu-HU"/>
              </w:rPr>
              <w:t>Placebo</w:t>
            </w:r>
          </w:p>
        </w:tc>
        <w:tc>
          <w:tcPr>
            <w:tcW w:w="900" w:type="dxa"/>
          </w:tcPr>
          <w:p w14:paraId="77A202E5" w14:textId="77777777" w:rsidR="00C770CB" w:rsidRPr="000F4DB4" w:rsidRDefault="00C770CB" w:rsidP="007E7849">
            <w:pPr>
              <w:pStyle w:val="EMEANormal"/>
              <w:jc w:val="right"/>
              <w:rPr>
                <w:szCs w:val="22"/>
                <w:lang w:val="hu-HU"/>
              </w:rPr>
            </w:pPr>
            <w:r w:rsidRPr="000F4DB4">
              <w:rPr>
                <w:noProof/>
                <w:szCs w:val="22"/>
                <w:lang w:eastAsia="ko-KR"/>
              </w:rPr>
              <w:drawing>
                <wp:inline distT="0" distB="0" distL="0" distR="0" wp14:anchorId="6F667DDF" wp14:editId="49F7D856">
                  <wp:extent cx="560705" cy="180975"/>
                  <wp:effectExtent l="0" t="0" r="0" b="9525"/>
                  <wp:docPr id="13" name="Picture 30"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993072" name="Picture 30" descr="Humira Uveitis Figure 5_2"/>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60705" cy="180975"/>
                          </a:xfrm>
                          <a:prstGeom prst="rect">
                            <a:avLst/>
                          </a:prstGeom>
                          <a:noFill/>
                          <a:ln>
                            <a:noFill/>
                          </a:ln>
                        </pic:spPr>
                      </pic:pic>
                    </a:graphicData>
                  </a:graphic>
                </wp:inline>
              </w:drawing>
            </w:r>
          </w:p>
        </w:tc>
        <w:tc>
          <w:tcPr>
            <w:tcW w:w="1890" w:type="dxa"/>
          </w:tcPr>
          <w:p w14:paraId="1D56075A" w14:textId="77777777" w:rsidR="00C770CB" w:rsidRPr="000F4DB4" w:rsidRDefault="00C770CB" w:rsidP="007E7849">
            <w:pPr>
              <w:pStyle w:val="EMEANormal"/>
              <w:rPr>
                <w:szCs w:val="22"/>
                <w:lang w:val="hu-HU"/>
              </w:rPr>
            </w:pPr>
            <w:r w:rsidRPr="000F4DB4">
              <w:rPr>
                <w:szCs w:val="22"/>
                <w:lang w:val="hu-HU"/>
              </w:rPr>
              <w:t>Adalimumab</w:t>
            </w:r>
          </w:p>
        </w:tc>
      </w:tr>
    </w:tbl>
    <w:p w14:paraId="1B5099F4" w14:textId="77777777" w:rsidR="00C770CB" w:rsidRDefault="00C770CB" w:rsidP="00C770CB">
      <w:pPr>
        <w:pStyle w:val="a3"/>
        <w:rPr>
          <w:lang w:val="hu-HU"/>
        </w:rPr>
      </w:pPr>
      <w:r>
        <w:rPr>
          <w:rFonts w:eastAsia="Times New Roman"/>
          <w:lang w:val="hu-HU"/>
        </w:rPr>
        <w:t>Megjegyzés: P# = Placebo (Esemény száma/Veszélyeztetett betegek száma); A# = Adalimumab (Esemény száma/Veszélyeztetett betegek száma).</w:t>
      </w:r>
    </w:p>
    <w:p w14:paraId="7E2EDB83" w14:textId="77777777" w:rsidR="00C770CB" w:rsidRDefault="00C770CB" w:rsidP="00C770CB">
      <w:pPr>
        <w:spacing w:before="3" w:line="110" w:lineRule="exact"/>
        <w:rPr>
          <w:sz w:val="11"/>
          <w:szCs w:val="11"/>
          <w:lang w:val="hu-HU"/>
        </w:rPr>
      </w:pPr>
    </w:p>
    <w:p w14:paraId="66A8216E" w14:textId="77777777" w:rsidR="00C770CB" w:rsidRDefault="00C770CB" w:rsidP="00C770CB">
      <w:pPr>
        <w:spacing w:line="200" w:lineRule="exact"/>
        <w:rPr>
          <w:sz w:val="20"/>
          <w:szCs w:val="20"/>
          <w:lang w:val="hu-HU"/>
        </w:rPr>
      </w:pPr>
    </w:p>
    <w:p w14:paraId="5B176814" w14:textId="77777777" w:rsidR="00C770CB" w:rsidRDefault="00C770CB" w:rsidP="00C770CB">
      <w:pPr>
        <w:pStyle w:val="a3"/>
        <w:rPr>
          <w:lang w:val="hu-HU"/>
        </w:rPr>
      </w:pPr>
      <w:r>
        <w:rPr>
          <w:rFonts w:eastAsia="Times New Roman"/>
          <w:lang w:val="hu-HU"/>
        </w:rPr>
        <w:t>Az UV I vizsgálatban statisztikailag szignifikáns különbségeket figyeltek meg az adalimumab javára a placebóhoz képest a kezelés eredménytelenségének valamennyi komponensét tekintve. Az UV II vizsgálatban csak a látásélesség esetén figyeltek meg statisztikailag szignifikáns különbséget, de a többi komponens esetében is az adalimumab-kezelés számszerű előnye igazolódott.</w:t>
      </w:r>
    </w:p>
    <w:p w14:paraId="2C00AF6B" w14:textId="77777777" w:rsidR="00C770CB" w:rsidRDefault="00C770CB" w:rsidP="00C770CB">
      <w:pPr>
        <w:spacing w:before="13" w:line="240" w:lineRule="exact"/>
        <w:rPr>
          <w:sz w:val="24"/>
          <w:szCs w:val="24"/>
          <w:lang w:val="hu-HU"/>
        </w:rPr>
      </w:pPr>
    </w:p>
    <w:p w14:paraId="315661C8" w14:textId="77777777" w:rsidR="00C770CB" w:rsidRDefault="00C770CB" w:rsidP="00C770CB">
      <w:pPr>
        <w:pStyle w:val="a3"/>
        <w:rPr>
          <w:lang w:val="hu-HU"/>
        </w:rPr>
      </w:pPr>
      <w:r>
        <w:rPr>
          <w:rFonts w:eastAsia="Times New Roman"/>
          <w:lang w:val="hu-HU"/>
        </w:rPr>
        <w:t>Az UV I és UV II vizsgálat nem kontrollos, hosszú távú kiterjesztésében résztvevő 424 beteg közül 60 bizonyult vizsgálatra alkalmatlannak (például adminisztratív eltérések miatt, vagy mert a diabéteszes retinopathia másodlagos komplikációi alakultak ki náluk, szürkehályog-műtét vagy vitrektómia következtében), és került kizárásra a hatásosság elsődleges elemzéséből. A 364 vizsgálatban maradó beteg közül 269 értékelésre alkalmas beteg (74%) érte el a 78 hetet a nyílt elrendezésű adalimumab-kezelés során. A megfigyelt adatok elemzése alapján 216 beteg (80,3%) volt nyugalmi állapotban (aktív gyulladásos elváltozás nélkül, elülső csarnoki sejtszint ≤ 0,5+, üvegtesti homály mértéke ≤ 0,5+), napi folyamatos ≤ 7,5 mg szteroid dózis mellett, és 178 beteg (66,2%) szteroidkezelés nélküli nyugalmi állapotban volt. A legjobb korrigált látásélesség javult vagy változatlan maradt (kevesebb mint 5 értéket romlott) a szemek 88,6%-a esetében a 78. héten. A 78. hetet követően az adatok általában konzisztensek voltak ezekkel az eredményekkel, de a bevont betegek száma ez után az idő után csökkent. Összességében a vizsgálatot abbahagyó betegek 18%-a mellékhatások, 8%-a az adalimumab-kezelésre adott elégtelen válasz miatt hagyta abba a kezelést.</w:t>
      </w:r>
    </w:p>
    <w:p w14:paraId="59F1FB30" w14:textId="77777777" w:rsidR="00C770CB" w:rsidRDefault="00C770CB" w:rsidP="00C770CB">
      <w:pPr>
        <w:pStyle w:val="a3"/>
        <w:rPr>
          <w:sz w:val="24"/>
          <w:szCs w:val="24"/>
          <w:lang w:val="hu-HU"/>
        </w:rPr>
      </w:pPr>
    </w:p>
    <w:p w14:paraId="333E4FDB" w14:textId="77777777" w:rsidR="00C770CB" w:rsidRDefault="00C770CB" w:rsidP="00C770CB">
      <w:pPr>
        <w:pStyle w:val="a3"/>
        <w:rPr>
          <w:rFonts w:eastAsia="Times New Roman"/>
          <w:lang w:val="hu-HU"/>
        </w:rPr>
      </w:pPr>
      <w:r>
        <w:rPr>
          <w:rFonts w:eastAsia="Times New Roman"/>
          <w:i/>
          <w:iCs/>
          <w:spacing w:val="-1"/>
          <w:u w:val="single" w:color="000000"/>
          <w:lang w:val="hu-HU"/>
        </w:rPr>
        <w:t>Életminőség</w:t>
      </w:r>
    </w:p>
    <w:p w14:paraId="788A6237" w14:textId="77777777" w:rsidR="00C770CB" w:rsidRDefault="00C770CB" w:rsidP="00C770CB">
      <w:pPr>
        <w:pStyle w:val="a3"/>
        <w:rPr>
          <w:sz w:val="18"/>
          <w:szCs w:val="18"/>
          <w:lang w:val="hu-HU"/>
        </w:rPr>
      </w:pPr>
    </w:p>
    <w:p w14:paraId="6FE6DA21" w14:textId="77777777" w:rsidR="00C770CB" w:rsidRDefault="00C770CB" w:rsidP="00C770CB">
      <w:pPr>
        <w:pStyle w:val="a3"/>
        <w:rPr>
          <w:lang w:val="hu-HU"/>
        </w:rPr>
      </w:pPr>
      <w:r>
        <w:rPr>
          <w:rFonts w:eastAsia="Times New Roman"/>
          <w:lang w:val="hu-HU"/>
        </w:rPr>
        <w:t xml:space="preserve">A betegek által jelentett, látásfunkcióval összefüggő kimenetelt mindkét vizsgálatban a NEI VFQ-25 (National Eye Institute Vizuális Funkciós Kérdőíve) felhasználásával mérték fel. Az adalimumab számszerű előnyt mutatott az alpontok többségében, és statisztikailag szignifikáns átlagos különbség mutatkozott a megszokott látás, szemfájdalom, közellátás, mentális egészség és az összpontszámok átlaga tekintetében az UV </w:t>
      </w:r>
      <w:r w:rsidRPr="009167C6">
        <w:rPr>
          <w:lang w:val="hu-HU"/>
        </w:rPr>
        <w:t> </w:t>
      </w:r>
      <w:r w:rsidDel="002A3904">
        <w:rPr>
          <w:rFonts w:eastAsia="Times New Roman"/>
          <w:b/>
          <w:bCs/>
          <w:lang w:val="hu-HU"/>
        </w:rPr>
        <w:t xml:space="preserve"> </w:t>
      </w:r>
      <w:r>
        <w:rPr>
          <w:rFonts w:eastAsia="Times New Roman"/>
          <w:lang w:val="hu-HU"/>
        </w:rPr>
        <w:t xml:space="preserve">I vizsgálatban, és a megszokott látás és mentális egészség vonatkozásában az UV </w:t>
      </w:r>
      <w:r w:rsidRPr="009167C6">
        <w:rPr>
          <w:lang w:val="hu-HU"/>
        </w:rPr>
        <w:t> </w:t>
      </w:r>
      <w:r w:rsidDel="002A3904">
        <w:rPr>
          <w:rFonts w:eastAsia="Times New Roman"/>
          <w:b/>
          <w:bCs/>
          <w:lang w:val="hu-HU"/>
        </w:rPr>
        <w:t xml:space="preserve"> </w:t>
      </w:r>
      <w:r>
        <w:rPr>
          <w:rFonts w:eastAsia="Times New Roman"/>
          <w:lang w:val="hu-HU"/>
        </w:rPr>
        <w:t xml:space="preserve">II vizsgálatban. A látással összefüggő hatások közül nem mutatott számszerű előnyt az adalimumab a színlátás vonatkozásában az UV </w:t>
      </w:r>
      <w:r w:rsidRPr="009167C6">
        <w:rPr>
          <w:lang w:val="hu-HU"/>
        </w:rPr>
        <w:t> </w:t>
      </w:r>
      <w:r w:rsidDel="002A3904">
        <w:rPr>
          <w:rFonts w:eastAsia="Times New Roman"/>
          <w:b/>
          <w:bCs/>
          <w:lang w:val="hu-HU"/>
        </w:rPr>
        <w:t xml:space="preserve"> </w:t>
      </w:r>
      <w:r>
        <w:rPr>
          <w:rFonts w:eastAsia="Times New Roman"/>
          <w:lang w:val="hu-HU"/>
        </w:rPr>
        <w:t>I vizsgálatban és a színlátás, a perifériás látás és a közellátás vonatkozásában az UV II vizsgálatban.</w:t>
      </w:r>
    </w:p>
    <w:p w14:paraId="064B1176" w14:textId="7B27D27B" w:rsidR="00C770CB" w:rsidRDefault="00C770CB" w:rsidP="00C770CB">
      <w:pPr>
        <w:pStyle w:val="a3"/>
        <w:rPr>
          <w:sz w:val="24"/>
          <w:szCs w:val="24"/>
          <w:lang w:val="hu-HU"/>
        </w:rPr>
      </w:pPr>
    </w:p>
    <w:p w14:paraId="08E99DE2" w14:textId="77777777" w:rsidR="00C770CB" w:rsidRDefault="00C770CB" w:rsidP="00C770CB">
      <w:pPr>
        <w:pStyle w:val="a3"/>
        <w:rPr>
          <w:u w:val="single" w:color="000000"/>
          <w:lang w:val="hu-HU"/>
        </w:rPr>
      </w:pPr>
      <w:r>
        <w:rPr>
          <w:rFonts w:eastAsia="Times New Roman"/>
          <w:u w:val="single" w:color="000000"/>
          <w:lang w:val="hu-HU"/>
        </w:rPr>
        <w:t>Immunogenitás</w:t>
      </w:r>
    </w:p>
    <w:p w14:paraId="055A9B8E" w14:textId="77777777" w:rsidR="00C770CB" w:rsidRDefault="00C770CB" w:rsidP="00C770CB">
      <w:pPr>
        <w:spacing w:before="1" w:line="180" w:lineRule="exact"/>
        <w:rPr>
          <w:sz w:val="18"/>
          <w:szCs w:val="18"/>
          <w:lang w:val="hu-HU" w:eastAsia="ko-KR"/>
        </w:rPr>
      </w:pPr>
    </w:p>
    <w:p w14:paraId="04FFEC79" w14:textId="77777777" w:rsidR="0054165B" w:rsidRPr="0054165B" w:rsidRDefault="0054165B" w:rsidP="0054165B">
      <w:pPr>
        <w:widowControl/>
        <w:suppressAutoHyphens/>
        <w:rPr>
          <w:rFonts w:ascii="Times New Roman" w:eastAsia="바탕" w:hAnsi="Times New Roman" w:cs="Times New Roman"/>
          <w:lang w:val="hu-HU" w:eastAsia="hu-HU"/>
        </w:rPr>
      </w:pPr>
      <w:r w:rsidRPr="0054165B">
        <w:rPr>
          <w:rFonts w:ascii="Times New Roman" w:eastAsia="바탕" w:hAnsi="Times New Roman" w:cs="Times New Roman"/>
          <w:lang w:val="hu-HU" w:eastAsia="hu-HU"/>
        </w:rPr>
        <w:t>Adalimumab</w:t>
      </w:r>
      <w:r w:rsidRPr="0054165B">
        <w:rPr>
          <w:rFonts w:ascii="Times New Roman" w:eastAsia="바탕" w:hAnsi="Times New Roman" w:cs="Times New Roman"/>
          <w:lang w:val="hu-HU" w:eastAsia="hu-HU"/>
        </w:rPr>
        <w:noBreakHyphen/>
        <w:t>ellenes antiestek képződése az adalimumab clearance</w:t>
      </w:r>
      <w:r w:rsidRPr="0054165B">
        <w:rPr>
          <w:rFonts w:ascii="Times New Roman" w:eastAsia="바탕" w:hAnsi="Times New Roman" w:cs="Times New Roman"/>
          <w:lang w:val="hu-HU" w:eastAsia="hu-HU"/>
        </w:rPr>
        <w:noBreakHyphen/>
        <w:t>ének növekedésével és a hatásosságának csökkenésével jár. Az adalimumab</w:t>
      </w:r>
      <w:r w:rsidRPr="0054165B">
        <w:rPr>
          <w:rFonts w:ascii="Times New Roman" w:eastAsia="바탕" w:hAnsi="Times New Roman" w:cs="Times New Roman"/>
          <w:lang w:val="hu-HU" w:eastAsia="hu-HU"/>
        </w:rPr>
        <w:noBreakHyphen/>
        <w:t>ellenes antitestek jelenléte és a mellékhatások előfordulása között nincs nyilvánvaló összefüggés.</w:t>
      </w:r>
    </w:p>
    <w:p w14:paraId="691F9FBE" w14:textId="77777777" w:rsidR="0054165B" w:rsidRPr="0054165B" w:rsidRDefault="0054165B" w:rsidP="0054165B">
      <w:pPr>
        <w:widowControl/>
        <w:suppressAutoHyphens/>
        <w:rPr>
          <w:rFonts w:ascii="Times New Roman" w:eastAsia="바탕" w:hAnsi="Times New Roman" w:cs="Times New Roman"/>
          <w:lang w:val="hu-HU" w:eastAsia="hu-HU"/>
        </w:rPr>
      </w:pPr>
    </w:p>
    <w:p w14:paraId="7D40284B" w14:textId="77777777" w:rsidR="0054165B" w:rsidRPr="0054165B" w:rsidRDefault="0054165B" w:rsidP="0054165B">
      <w:pPr>
        <w:widowControl/>
        <w:suppressAutoHyphens/>
        <w:rPr>
          <w:rFonts w:ascii="Times New Roman" w:eastAsia="바탕" w:hAnsi="Times New Roman" w:cs="Times New Roman"/>
          <w:lang w:val="hu-HU" w:eastAsia="hu-HU"/>
        </w:rPr>
      </w:pPr>
      <w:r w:rsidRPr="0054165B">
        <w:rPr>
          <w:rFonts w:ascii="Times New Roman" w:eastAsia="바탕" w:hAnsi="Times New Roman" w:cs="Times New Roman"/>
          <w:lang w:val="hu-HU" w:eastAsia="hu-HU"/>
        </w:rPr>
        <w:t>A reumatoid arthritis I, II és III vizsgálatban a betegeknél több időpontban vizsgálták az adalimumab</w:t>
      </w:r>
      <w:r w:rsidRPr="0054165B">
        <w:rPr>
          <w:rFonts w:ascii="Times New Roman" w:eastAsia="바탕" w:hAnsi="Times New Roman" w:cs="Times New Roman"/>
          <w:lang w:val="hu-HU" w:eastAsia="hu-HU"/>
        </w:rPr>
        <w:noBreakHyphen/>
        <w:t>ellenes antitestek jelenlétét a 6 – 12 hónapos időszak folyamán. A pivotális vizsgálatokban adalimumab</w:t>
      </w:r>
      <w:r w:rsidRPr="0054165B">
        <w:rPr>
          <w:rFonts w:ascii="Times New Roman" w:eastAsia="바탕" w:hAnsi="Times New Roman" w:cs="Times New Roman"/>
          <w:lang w:val="hu-HU" w:eastAsia="hu-HU"/>
        </w:rPr>
        <w:noBreakHyphen/>
        <w:t>ellenes antitesteket az adalimumabbal kezelt betegek 5,5%</w:t>
      </w:r>
      <w:r w:rsidRPr="0054165B">
        <w:rPr>
          <w:rFonts w:ascii="Times New Roman" w:eastAsia="바탕" w:hAnsi="Times New Roman" w:cs="Times New Roman"/>
          <w:lang w:val="hu-HU" w:eastAsia="hu-HU"/>
        </w:rPr>
        <w:noBreakHyphen/>
        <w:t>ánál (58/1053) észleltek, szemben a placebocsoportban észlelt 0,5%</w:t>
      </w:r>
      <w:r w:rsidRPr="0054165B">
        <w:rPr>
          <w:rFonts w:ascii="Times New Roman" w:eastAsia="바탕" w:hAnsi="Times New Roman" w:cs="Times New Roman"/>
          <w:lang w:val="hu-HU" w:eastAsia="hu-HU"/>
        </w:rPr>
        <w:noBreakHyphen/>
        <w:t>kal (2/370). Az egyidejűleg metotrexát</w:t>
      </w:r>
      <w:r w:rsidRPr="0054165B">
        <w:rPr>
          <w:rFonts w:ascii="Times New Roman" w:eastAsia="바탕" w:hAnsi="Times New Roman" w:cs="Times New Roman"/>
          <w:lang w:val="hu-HU" w:eastAsia="hu-HU"/>
        </w:rPr>
        <w:noBreakHyphen/>
        <w:t>kezelésben nem részesült betegeknél az incidencia 12,4% volt, szemben a 0,6%</w:t>
      </w:r>
      <w:r w:rsidRPr="0054165B">
        <w:rPr>
          <w:rFonts w:ascii="Times New Roman" w:eastAsia="바탕" w:hAnsi="Times New Roman" w:cs="Times New Roman"/>
          <w:lang w:val="hu-HU" w:eastAsia="hu-HU"/>
        </w:rPr>
        <w:noBreakHyphen/>
        <w:t>os incidenciával azoknál, akiknél az adalimumabot a metotrexát</w:t>
      </w:r>
      <w:r w:rsidRPr="0054165B">
        <w:rPr>
          <w:rFonts w:ascii="Times New Roman" w:eastAsia="바탕" w:hAnsi="Times New Roman" w:cs="Times New Roman"/>
          <w:lang w:val="hu-HU" w:eastAsia="hu-HU"/>
        </w:rPr>
        <w:noBreakHyphen/>
        <w:t>kezeléssel kombinációban alkalmazták.</w:t>
      </w:r>
    </w:p>
    <w:p w14:paraId="2156B125" w14:textId="77777777" w:rsidR="0054165B" w:rsidRPr="0054165B" w:rsidRDefault="0054165B" w:rsidP="0054165B">
      <w:pPr>
        <w:widowControl/>
        <w:suppressAutoHyphens/>
        <w:rPr>
          <w:rFonts w:ascii="Times New Roman" w:eastAsia="바탕" w:hAnsi="Times New Roman" w:cs="Times New Roman"/>
          <w:lang w:val="hu-HU" w:eastAsia="hu-HU"/>
        </w:rPr>
      </w:pPr>
    </w:p>
    <w:p w14:paraId="15D6A180" w14:textId="77777777" w:rsidR="0054165B" w:rsidRPr="0054165B" w:rsidRDefault="0054165B" w:rsidP="0054165B">
      <w:pPr>
        <w:widowControl/>
        <w:suppressAutoHyphens/>
        <w:rPr>
          <w:rFonts w:ascii="Times New Roman" w:eastAsia="바탕" w:hAnsi="Times New Roman" w:cs="Times New Roman"/>
          <w:lang w:val="hu-HU" w:eastAsia="hu-HU"/>
        </w:rPr>
      </w:pPr>
      <w:r w:rsidRPr="0054165B">
        <w:rPr>
          <w:rFonts w:ascii="Times New Roman" w:eastAsia="바탕" w:hAnsi="Times New Roman" w:cs="Times New Roman"/>
          <w:lang w:val="hu-HU" w:eastAsia="hu-HU"/>
        </w:rPr>
        <w:t>A 269, Crohn</w:t>
      </w:r>
      <w:r w:rsidRPr="0054165B">
        <w:rPr>
          <w:rFonts w:ascii="Times New Roman" w:eastAsia="바탕" w:hAnsi="Times New Roman" w:cs="Times New Roman"/>
          <w:lang w:val="hu-HU" w:eastAsia="hu-HU"/>
        </w:rPr>
        <w:noBreakHyphen/>
        <w:t xml:space="preserve">betegségben szenvedő beteg közül 7 (2,6%) és 487, colitis ulcerosában szenvedő beteg közül 19 (3,9%) szérumában mutattak ki adalimumab-ellenes antitesteket. </w:t>
      </w:r>
    </w:p>
    <w:p w14:paraId="65FE62CC" w14:textId="77777777" w:rsidR="0054165B" w:rsidRPr="0054165B" w:rsidRDefault="0054165B" w:rsidP="0054165B">
      <w:pPr>
        <w:widowControl/>
        <w:suppressAutoHyphens/>
        <w:rPr>
          <w:rFonts w:ascii="Times New Roman" w:eastAsia="바탕" w:hAnsi="Times New Roman" w:cs="Times New Roman"/>
          <w:lang w:val="hu-HU" w:eastAsia="hu-HU"/>
        </w:rPr>
      </w:pPr>
    </w:p>
    <w:p w14:paraId="6B2107E5" w14:textId="77777777" w:rsidR="0054165B" w:rsidRPr="0054165B" w:rsidRDefault="0054165B" w:rsidP="0054165B">
      <w:pPr>
        <w:widowControl/>
        <w:suppressAutoHyphens/>
        <w:rPr>
          <w:rFonts w:ascii="Times New Roman" w:eastAsia="바탕" w:hAnsi="Times New Roman" w:cs="Times New Roman"/>
          <w:lang w:val="hu-HU" w:eastAsia="hu-HU"/>
        </w:rPr>
      </w:pPr>
      <w:r w:rsidRPr="0054165B">
        <w:rPr>
          <w:rFonts w:ascii="Times New Roman" w:eastAsia="바탕" w:hAnsi="Times New Roman" w:cs="Times New Roman"/>
          <w:lang w:val="hu-HU" w:eastAsia="hu-HU"/>
        </w:rPr>
        <w:t>Psoriasisos felnőtt betegek körében 77/920 adalimumab-monoterápiával kezelt beteg esetében (8,4%) mutattak ki adalimumab-ellenes antitesteket.</w:t>
      </w:r>
    </w:p>
    <w:p w14:paraId="6D38C996" w14:textId="77777777" w:rsidR="0054165B" w:rsidRPr="0054165B" w:rsidRDefault="0054165B" w:rsidP="0054165B">
      <w:pPr>
        <w:widowControl/>
        <w:suppressAutoHyphens/>
        <w:rPr>
          <w:rFonts w:ascii="Times New Roman" w:eastAsia="바탕" w:hAnsi="Times New Roman" w:cs="Times New Roman"/>
          <w:lang w:val="hu-HU" w:eastAsia="hu-HU"/>
        </w:rPr>
      </w:pPr>
    </w:p>
    <w:p w14:paraId="369A60D3" w14:textId="77777777" w:rsidR="0054165B" w:rsidRPr="0054165B" w:rsidRDefault="0054165B" w:rsidP="0054165B">
      <w:pPr>
        <w:widowControl/>
        <w:suppressAutoHyphens/>
        <w:rPr>
          <w:rFonts w:ascii="Times New Roman" w:eastAsia="바탕" w:hAnsi="Times New Roman" w:cs="Times New Roman"/>
          <w:lang w:val="hu-HU" w:eastAsia="hu-HU"/>
        </w:rPr>
      </w:pPr>
      <w:r w:rsidRPr="0054165B">
        <w:rPr>
          <w:rFonts w:ascii="Times New Roman" w:eastAsia="바탕" w:hAnsi="Times New Roman" w:cs="Times New Roman"/>
          <w:lang w:val="hu-HU" w:eastAsia="hu-HU"/>
        </w:rPr>
        <w:t>Azoknál a hosszú időn át adalimumab-monoterápiát kapó, plakkos psoriasisos felnőtt betegeknél, akik részt vettek a kezelés abbahagyását, majd újrakezdését értékelő vizsgálatban, az újrakezdést követően az adalimumab</w:t>
      </w:r>
      <w:r w:rsidRPr="0054165B">
        <w:rPr>
          <w:rFonts w:ascii="Times New Roman" w:eastAsia="바탕" w:hAnsi="Times New Roman" w:cs="Times New Roman"/>
          <w:lang w:val="hu-HU" w:eastAsia="hu-HU"/>
        </w:rPr>
        <w:noBreakHyphen/>
        <w:t>ellenes antitestek aránya (482 beteg közüll 11; 2,3%) hasonló volt a kezelés abbahagyása előtti arányhoz (590 beteg közül 11; 1,9%).</w:t>
      </w:r>
    </w:p>
    <w:p w14:paraId="5B8156B1" w14:textId="77777777" w:rsidR="0054165B" w:rsidRPr="0054165B" w:rsidRDefault="0054165B" w:rsidP="0054165B">
      <w:pPr>
        <w:widowControl/>
        <w:suppressAutoHyphens/>
        <w:rPr>
          <w:rFonts w:ascii="Times New Roman" w:eastAsia="바탕" w:hAnsi="Times New Roman" w:cs="Times New Roman"/>
          <w:lang w:val="hu-HU" w:eastAsia="hu-HU"/>
        </w:rPr>
      </w:pPr>
    </w:p>
    <w:p w14:paraId="0BE7AE8D" w14:textId="77777777" w:rsidR="0054165B" w:rsidRPr="0054165B" w:rsidRDefault="0054165B" w:rsidP="0054165B">
      <w:pPr>
        <w:widowControl/>
        <w:suppressAutoHyphens/>
        <w:rPr>
          <w:rFonts w:ascii="Times New Roman" w:eastAsia="바탕" w:hAnsi="Times New Roman" w:cs="Times New Roman"/>
          <w:lang w:val="hu-HU" w:eastAsia="hu-HU"/>
        </w:rPr>
      </w:pPr>
      <w:r w:rsidRPr="0054165B">
        <w:rPr>
          <w:rFonts w:ascii="Times New Roman" w:eastAsia="바탕" w:hAnsi="Times New Roman" w:cs="Times New Roman"/>
          <w:lang w:val="hu-HU" w:eastAsia="hu-HU"/>
        </w:rPr>
        <w:t>A közepesen súlyos, súlyos hidradenitis suppurativában szenvedő, adalimumabbal kezelt betegek 10,1%</w:t>
      </w:r>
      <w:r w:rsidRPr="0054165B">
        <w:rPr>
          <w:rFonts w:ascii="Times New Roman" w:eastAsia="바탕" w:hAnsi="Times New Roman" w:cs="Times New Roman"/>
          <w:lang w:val="hu-HU" w:eastAsia="hu-HU"/>
        </w:rPr>
        <w:noBreakHyphen/>
        <w:t>ánál (10/99 betegnél) azonosítottak adalimumab</w:t>
      </w:r>
      <w:r w:rsidRPr="0054165B">
        <w:rPr>
          <w:rFonts w:ascii="Times New Roman" w:eastAsia="바탕" w:hAnsi="Times New Roman" w:cs="Times New Roman"/>
          <w:lang w:val="hu-HU" w:eastAsia="hu-HU"/>
        </w:rPr>
        <w:noBreakHyphen/>
        <w:t>ellenes antitesteket.</w:t>
      </w:r>
    </w:p>
    <w:p w14:paraId="5220206D" w14:textId="77777777" w:rsidR="0054165B" w:rsidRPr="0054165B" w:rsidRDefault="0054165B" w:rsidP="002C78FA">
      <w:pPr>
        <w:rPr>
          <w:rFonts w:ascii="Times New Roman" w:eastAsia="바탕" w:hAnsi="Times New Roman" w:cs="Times New Roman"/>
          <w:noProof/>
          <w:szCs w:val="24"/>
          <w:lang w:val="hu-HU" w:eastAsia="hu-HU"/>
        </w:rPr>
      </w:pPr>
    </w:p>
    <w:p w14:paraId="3588E132" w14:textId="77777777" w:rsidR="0054165B" w:rsidRPr="0054165B" w:rsidRDefault="0054165B" w:rsidP="0054165B">
      <w:pPr>
        <w:widowControl/>
        <w:suppressAutoHyphens/>
        <w:rPr>
          <w:rFonts w:ascii="Times New Roman" w:eastAsia="바탕" w:hAnsi="Times New Roman" w:cs="Times New Roman"/>
          <w:lang w:val="hu-HU" w:eastAsia="hu-HU"/>
        </w:rPr>
      </w:pPr>
      <w:r w:rsidRPr="0054165B">
        <w:rPr>
          <w:rFonts w:ascii="Times New Roman" w:eastAsia="바탕" w:hAnsi="Times New Roman" w:cs="Times New Roman"/>
          <w:lang w:val="hu-HU" w:eastAsia="hu-HU"/>
        </w:rPr>
        <w:t>Közepesen súlyos - súlyos aktivitású Crohn</w:t>
      </w:r>
      <w:r w:rsidRPr="0054165B">
        <w:rPr>
          <w:rFonts w:ascii="Times New Roman" w:eastAsia="바탕" w:hAnsi="Times New Roman" w:cs="Times New Roman"/>
          <w:lang w:val="hu-HU" w:eastAsia="hu-HU"/>
        </w:rPr>
        <w:noBreakHyphen/>
        <w:t>betegségben szenvedő gyermekeknél az adalimumab-ellenes antitest kialakulásának aránya adalimumabot kapó betegeknél 3,3% volt.</w:t>
      </w:r>
    </w:p>
    <w:p w14:paraId="5F340EB5" w14:textId="77777777" w:rsidR="0054165B" w:rsidRPr="0054165B" w:rsidRDefault="0054165B" w:rsidP="0054165B">
      <w:pPr>
        <w:widowControl/>
        <w:suppressAutoHyphens/>
        <w:rPr>
          <w:rFonts w:ascii="Times New Roman" w:eastAsia="바탕" w:hAnsi="Times New Roman" w:cs="Times New Roman"/>
          <w:lang w:val="hu-HU" w:eastAsia="hu-HU"/>
        </w:rPr>
      </w:pPr>
    </w:p>
    <w:p w14:paraId="6B2523E5" w14:textId="77777777" w:rsidR="0054165B" w:rsidRPr="0054165B" w:rsidRDefault="0054165B" w:rsidP="0054165B">
      <w:pPr>
        <w:widowControl/>
        <w:suppressAutoHyphens/>
        <w:rPr>
          <w:rFonts w:ascii="Times New Roman" w:eastAsia="바탕" w:hAnsi="Times New Roman" w:cs="Times New Roman"/>
          <w:lang w:val="hu-HU" w:eastAsia="hu-HU"/>
        </w:rPr>
      </w:pPr>
      <w:r w:rsidRPr="0054165B">
        <w:rPr>
          <w:rFonts w:ascii="Times New Roman" w:eastAsia="바탕" w:hAnsi="Times New Roman" w:cs="Times New Roman"/>
          <w:lang w:val="hu-HU" w:eastAsia="hu-HU"/>
        </w:rPr>
        <w:t>A nem fertőzéses eredetű uveitisben szenvedő, adalimumabbal kezelt felnőtt betegek 4,8%</w:t>
      </w:r>
      <w:r w:rsidRPr="0054165B">
        <w:rPr>
          <w:rFonts w:ascii="Times New Roman" w:eastAsia="바탕" w:hAnsi="Times New Roman" w:cs="Times New Roman"/>
          <w:lang w:val="hu-HU" w:eastAsia="hu-HU"/>
        </w:rPr>
        <w:noBreakHyphen/>
        <w:t>ánál (12/249) azonosítottak adalimumab</w:t>
      </w:r>
      <w:r w:rsidRPr="0054165B">
        <w:rPr>
          <w:rFonts w:ascii="Times New Roman" w:eastAsia="바탕" w:hAnsi="Times New Roman" w:cs="Times New Roman"/>
          <w:lang w:val="hu-HU" w:eastAsia="hu-HU"/>
        </w:rPr>
        <w:noBreakHyphen/>
        <w:t>ellenes antitesteket.</w:t>
      </w:r>
    </w:p>
    <w:p w14:paraId="0ADF08D9" w14:textId="77777777" w:rsidR="0054165B" w:rsidRPr="0054165B" w:rsidRDefault="0054165B" w:rsidP="0054165B">
      <w:pPr>
        <w:widowControl/>
        <w:suppressAutoHyphens/>
        <w:rPr>
          <w:rFonts w:ascii="Times New Roman" w:eastAsia="바탕" w:hAnsi="Times New Roman" w:cs="Times New Roman"/>
          <w:lang w:val="hu-HU" w:eastAsia="hu-HU"/>
        </w:rPr>
      </w:pPr>
    </w:p>
    <w:p w14:paraId="29631BAA" w14:textId="77777777" w:rsidR="0054165B" w:rsidRPr="0054165B" w:rsidRDefault="0054165B" w:rsidP="0054165B">
      <w:pPr>
        <w:widowControl/>
        <w:suppressAutoHyphens/>
        <w:rPr>
          <w:rFonts w:ascii="Times New Roman" w:eastAsia="바탕" w:hAnsi="Times New Roman" w:cs="Times New Roman"/>
          <w:szCs w:val="20"/>
          <w:lang w:val="hu-HU" w:eastAsia="hu-HU"/>
        </w:rPr>
      </w:pPr>
      <w:r w:rsidRPr="0054165B">
        <w:rPr>
          <w:rFonts w:ascii="Times New Roman" w:eastAsia="바탕" w:hAnsi="Times New Roman" w:cs="Times New Roman"/>
          <w:szCs w:val="20"/>
          <w:lang w:val="hu-HU" w:eastAsia="hu-HU"/>
        </w:rPr>
        <w:t>Közepesen súlyos – súlyos aktivitású gyermek- es serdülőkori colitis ulcerosában szenvedő betegeknél az adalimumab elleni antitestek kialakulásának aránya az adalimumabbal kezelt betegeknél 3% volt.</w:t>
      </w:r>
    </w:p>
    <w:p w14:paraId="5A291063" w14:textId="77777777" w:rsidR="0054165B" w:rsidRPr="0054165B" w:rsidRDefault="0054165B" w:rsidP="0054165B">
      <w:pPr>
        <w:widowControl/>
        <w:suppressAutoHyphens/>
        <w:rPr>
          <w:rFonts w:ascii="Times New Roman" w:eastAsia="바탕" w:hAnsi="Times New Roman" w:cs="Times New Roman"/>
          <w:lang w:val="hu-HU" w:eastAsia="hu-HU"/>
        </w:rPr>
      </w:pPr>
    </w:p>
    <w:p w14:paraId="4D2189C7" w14:textId="617B15DD" w:rsidR="00C770CB" w:rsidRDefault="0054165B" w:rsidP="00CE42DC">
      <w:pPr>
        <w:pStyle w:val="a3"/>
        <w:rPr>
          <w:rFonts w:eastAsia="Times New Roman"/>
          <w:lang w:val="hu-HU"/>
        </w:rPr>
      </w:pPr>
      <w:r w:rsidRPr="0054165B">
        <w:rPr>
          <w:rFonts w:eastAsia="바탕"/>
          <w:lang w:val="hu-HU" w:eastAsia="hu-HU"/>
        </w:rPr>
        <w:t>Az immunogenitási vizsgálatok termékspecifikusak, így az antitestráták összehasonlítása más termékekével nem helyes</w:t>
      </w:r>
      <w:r w:rsidR="00C770CB">
        <w:rPr>
          <w:rFonts w:eastAsia="Times New Roman"/>
          <w:lang w:val="hu-HU"/>
        </w:rPr>
        <w:t>.</w:t>
      </w:r>
    </w:p>
    <w:p w14:paraId="0DCC0579" w14:textId="77777777" w:rsidR="00773429" w:rsidRDefault="00773429" w:rsidP="00CE42DC">
      <w:pPr>
        <w:pStyle w:val="a3"/>
        <w:rPr>
          <w:rFonts w:eastAsia="Times New Roman"/>
          <w:lang w:val="hu-HU"/>
        </w:rPr>
      </w:pPr>
    </w:p>
    <w:p w14:paraId="5CC84012" w14:textId="77777777" w:rsidR="00773429" w:rsidRPr="00167BF3" w:rsidRDefault="00773429" w:rsidP="00773429">
      <w:pPr>
        <w:pStyle w:val="a3"/>
        <w:rPr>
          <w:u w:val="single"/>
          <w:lang w:val="hu-HU"/>
        </w:rPr>
      </w:pPr>
      <w:r w:rsidRPr="00167BF3">
        <w:rPr>
          <w:u w:val="single"/>
          <w:lang w:val="hu-HU"/>
        </w:rPr>
        <w:t>Gyermekek és serdülők</w:t>
      </w:r>
    </w:p>
    <w:p w14:paraId="4525FBF2" w14:textId="77777777" w:rsidR="00773429" w:rsidRPr="00167BF3" w:rsidRDefault="00773429" w:rsidP="00773429">
      <w:pPr>
        <w:pStyle w:val="a3"/>
        <w:rPr>
          <w:lang w:val="hu-HU"/>
        </w:rPr>
      </w:pPr>
    </w:p>
    <w:p w14:paraId="2BD2119B" w14:textId="23851FE9" w:rsidR="00773429" w:rsidRDefault="00773429" w:rsidP="00773429">
      <w:pPr>
        <w:pStyle w:val="a3"/>
        <w:rPr>
          <w:rFonts w:eastAsia="Times New Roman"/>
          <w:lang w:val="hu-HU"/>
        </w:rPr>
      </w:pPr>
      <w:r>
        <w:rPr>
          <w:rFonts w:eastAsia="Times New Roman"/>
          <w:i/>
          <w:iCs/>
          <w:spacing w:val="-1"/>
          <w:lang w:val="hu-HU"/>
        </w:rPr>
        <w:t>Serdülőkori hidradenitis suppurativa</w:t>
      </w:r>
    </w:p>
    <w:p w14:paraId="34FA226E" w14:textId="77777777" w:rsidR="00773429" w:rsidRDefault="00773429" w:rsidP="00773429">
      <w:pPr>
        <w:pStyle w:val="a3"/>
        <w:rPr>
          <w:sz w:val="24"/>
          <w:szCs w:val="24"/>
          <w:lang w:val="hu-HU"/>
        </w:rPr>
      </w:pPr>
    </w:p>
    <w:p w14:paraId="7B07957F" w14:textId="77777777" w:rsidR="00773429" w:rsidRDefault="00773429" w:rsidP="00773429">
      <w:pPr>
        <w:pStyle w:val="a3"/>
        <w:rPr>
          <w:rFonts w:eastAsia="Times New Roman"/>
          <w:lang w:val="hu-HU"/>
        </w:rPr>
      </w:pPr>
      <w:r>
        <w:rPr>
          <w:rFonts w:eastAsia="Times New Roman"/>
          <w:lang w:val="hu-HU"/>
        </w:rPr>
        <w:t>Nem végeztek klinikai vizsgálatokat adalimumabbal HS-ben szenvedő serdülőknél. Az adalimumab hatásossága a HS-ben szenvedő serdülőkorú betegeknél a felnőtt HS betegeknél mutatott hatásosság és expozíciós válasz alapján előre látható, valamint annak a valószínűsége alapján, hogy betegség lefolyása, a kórélettan és a gyógyszer hatása lényegében megegyezik a felnőtteknél észlelttel az azonos expozíciós szinteken. A serdülőkori HS-ben ajánlott adalimumab adag biztonságosságának alapja az adalimumab keresztindikációs biztonságossági profilja mind a felnőtt, mind gyermekgyógyászati betegeknél, azonos vagy gyakoribb adagolás mellett (lásd 5.2 pont.)</w:t>
      </w:r>
    </w:p>
    <w:p w14:paraId="6CFF2A89" w14:textId="77777777" w:rsidR="00773429" w:rsidRDefault="00773429" w:rsidP="00773429">
      <w:pPr>
        <w:pStyle w:val="a3"/>
        <w:rPr>
          <w:rFonts w:eastAsia="Times New Roman"/>
          <w:i/>
          <w:iCs/>
          <w:lang w:val="hu-HU"/>
        </w:rPr>
      </w:pPr>
    </w:p>
    <w:p w14:paraId="140FBE49" w14:textId="77777777" w:rsidR="00773429" w:rsidRDefault="00773429" w:rsidP="00773429">
      <w:pPr>
        <w:pStyle w:val="a3"/>
        <w:rPr>
          <w:i/>
          <w:lang w:val="hu-HU"/>
        </w:rPr>
      </w:pPr>
      <w:r>
        <w:rPr>
          <w:rFonts w:eastAsia="Times New Roman"/>
          <w:i/>
          <w:iCs/>
          <w:lang w:val="hu-HU"/>
        </w:rPr>
        <w:t>Gyermekkori Crohn-betegség</w:t>
      </w:r>
    </w:p>
    <w:p w14:paraId="3B03BB61" w14:textId="77777777" w:rsidR="00773429" w:rsidRDefault="00773429" w:rsidP="00773429">
      <w:pPr>
        <w:pStyle w:val="a3"/>
        <w:rPr>
          <w:sz w:val="18"/>
          <w:szCs w:val="18"/>
          <w:lang w:val="hu-HU"/>
        </w:rPr>
      </w:pPr>
    </w:p>
    <w:p w14:paraId="19384F4F" w14:textId="77777777" w:rsidR="00773429" w:rsidRDefault="00773429" w:rsidP="00773429">
      <w:pPr>
        <w:pStyle w:val="a3"/>
        <w:rPr>
          <w:lang w:val="hu-HU"/>
        </w:rPr>
      </w:pPr>
      <w:r>
        <w:rPr>
          <w:rFonts w:eastAsia="Times New Roman"/>
          <w:lang w:val="hu-HU"/>
        </w:rPr>
        <w:t xml:space="preserve">Egy multicentrikus, randomizált, kettős vak klinikai vizsgálatban tanulmányozták az indukciós és fenntartó adalimumab-kezelés hatásosságát és biztonságosságát testtömegre illesztett dózisokkal (&lt; 40 kg vagy ≥ 40 kg) 192, 6-17 éves korú (bezárólag), közepesen súlyos-súlyos aktivitású Crohn-betegségben (CD) szenvedő gyermekeknél, amely a definíció szerint PCDAI (Gyermekkori Crohn-betegség Aktivitási Index)-pontszám &gt; 30 esetén állt fenn. Beválasztási kritérium volt, hogy a betegek nem reagáltak a CD hagyományos kezelésére (beleértve egy kortikoszteroidot és/vagy egy immunmodulátort). Az infliximab hatásának </w:t>
      </w:r>
      <w:r>
        <w:rPr>
          <w:rFonts w:eastAsia="Times New Roman"/>
          <w:lang w:val="hu-HU"/>
        </w:rPr>
        <w:lastRenderedPageBreak/>
        <w:t>megszűnése vagy az arra kialakuló intolerancia a kórtörténetben megengedett volt.</w:t>
      </w:r>
    </w:p>
    <w:p w14:paraId="20473FBA" w14:textId="77777777" w:rsidR="00773429" w:rsidRDefault="00773429" w:rsidP="00773429">
      <w:pPr>
        <w:pStyle w:val="a3"/>
        <w:rPr>
          <w:sz w:val="24"/>
          <w:szCs w:val="24"/>
          <w:lang w:val="hu-HU"/>
        </w:rPr>
      </w:pPr>
    </w:p>
    <w:p w14:paraId="6864749F" w14:textId="77777777" w:rsidR="00773429" w:rsidRDefault="00773429" w:rsidP="00773429">
      <w:pPr>
        <w:pStyle w:val="a3"/>
        <w:rPr>
          <w:lang w:val="hu-HU"/>
        </w:rPr>
      </w:pPr>
      <w:r>
        <w:rPr>
          <w:rFonts w:eastAsia="Times New Roman"/>
          <w:lang w:val="hu-HU"/>
        </w:rPr>
        <w:t>Minden beteg nyílt indukciós kezelést kapott a kiindulási testtömegnek megfelelő dózisban: a 0. héten 160 mg és a 2. héten 80 mg a legalább 40 kg testtömegű betegeknél, valamint 80 és 40 mg a&lt; 40 kg testtömegű betegeknél.</w:t>
      </w:r>
    </w:p>
    <w:p w14:paraId="70DADE7C" w14:textId="77777777" w:rsidR="00773429" w:rsidRDefault="00773429" w:rsidP="00773429">
      <w:pPr>
        <w:pStyle w:val="a3"/>
        <w:rPr>
          <w:sz w:val="24"/>
          <w:szCs w:val="24"/>
          <w:lang w:val="hu-HU"/>
        </w:rPr>
      </w:pPr>
    </w:p>
    <w:p w14:paraId="17963C60" w14:textId="4391893F" w:rsidR="00773429" w:rsidRDefault="00773429" w:rsidP="00773429">
      <w:pPr>
        <w:pStyle w:val="a3"/>
        <w:rPr>
          <w:lang w:val="hu-HU"/>
        </w:rPr>
      </w:pPr>
      <w:r>
        <w:rPr>
          <w:rFonts w:eastAsia="Times New Roman"/>
          <w:lang w:val="hu-HU"/>
        </w:rPr>
        <w:t>A 4. héten a betegeket az aktuális testtömegük alapján Alacsony dózisú vagy Standard dózisú fenntartó kezelési sémákra randomizálták 1:1 arányban (1</w:t>
      </w:r>
      <w:r w:rsidR="007F3966">
        <w:rPr>
          <w:rFonts w:eastAsia="Times New Roman"/>
          <w:lang w:val="hu-HU"/>
        </w:rPr>
        <w:t>8</w:t>
      </w:r>
      <w:r>
        <w:rPr>
          <w:rFonts w:eastAsia="Times New Roman"/>
          <w:lang w:val="hu-HU"/>
        </w:rPr>
        <w:t>. táblázat).</w:t>
      </w:r>
    </w:p>
    <w:p w14:paraId="7996F621" w14:textId="77777777" w:rsidR="00773429" w:rsidRDefault="00773429" w:rsidP="00773429">
      <w:pPr>
        <w:pStyle w:val="a3"/>
        <w:rPr>
          <w:sz w:val="24"/>
          <w:szCs w:val="24"/>
          <w:lang w:val="hu-HU"/>
        </w:rPr>
      </w:pPr>
    </w:p>
    <w:p w14:paraId="0E2BEAD4" w14:textId="790C3800" w:rsidR="00773429" w:rsidRDefault="00773429" w:rsidP="00773429">
      <w:pPr>
        <w:pStyle w:val="a3"/>
        <w:jc w:val="center"/>
        <w:rPr>
          <w:rFonts w:eastAsia="Times New Roman"/>
          <w:b/>
          <w:bCs/>
          <w:lang w:val="hu-HU"/>
        </w:rPr>
      </w:pPr>
      <w:r>
        <w:rPr>
          <w:rFonts w:eastAsia="Times New Roman"/>
          <w:b/>
          <w:bCs/>
          <w:lang w:val="hu-HU"/>
        </w:rPr>
        <w:t>1</w:t>
      </w:r>
      <w:r w:rsidR="007F3966">
        <w:rPr>
          <w:rFonts w:eastAsia="Times New Roman"/>
          <w:b/>
          <w:bCs/>
          <w:lang w:val="hu-HU"/>
        </w:rPr>
        <w:t>8</w:t>
      </w:r>
      <w:r>
        <w:rPr>
          <w:rFonts w:eastAsia="Times New Roman"/>
          <w:b/>
          <w:bCs/>
          <w:lang w:val="hu-HU"/>
        </w:rPr>
        <w:t>. táblázat Fenntartó kezelési séma</w:t>
      </w:r>
    </w:p>
    <w:p w14:paraId="3D21A686" w14:textId="77777777" w:rsidR="00AF1AD1" w:rsidRDefault="00AF1AD1" w:rsidP="00773429">
      <w:pPr>
        <w:pStyle w:val="a3"/>
        <w:jc w:val="center"/>
        <w:rPr>
          <w:b/>
          <w:lang w:val="hu-HU"/>
        </w:rPr>
      </w:pPr>
    </w:p>
    <w:tbl>
      <w:tblPr>
        <w:tblStyle w:val="TableNormal1"/>
        <w:tblW w:w="0" w:type="auto"/>
        <w:jc w:val="center"/>
        <w:tblLayout w:type="fixed"/>
        <w:tblLook w:val="01E0" w:firstRow="1" w:lastRow="1" w:firstColumn="1" w:lastColumn="1" w:noHBand="0" w:noVBand="0"/>
      </w:tblPr>
      <w:tblGrid>
        <w:gridCol w:w="2581"/>
        <w:gridCol w:w="2284"/>
        <w:gridCol w:w="2284"/>
      </w:tblGrid>
      <w:tr w:rsidR="00773429" w14:paraId="73215E4C" w14:textId="77777777" w:rsidTr="00AF1AD1">
        <w:trPr>
          <w:trHeight w:val="397"/>
          <w:jc w:val="center"/>
        </w:trPr>
        <w:tc>
          <w:tcPr>
            <w:tcW w:w="2581" w:type="dxa"/>
            <w:tcBorders>
              <w:top w:val="single" w:sz="5" w:space="0" w:color="000000"/>
              <w:left w:val="single" w:sz="5" w:space="0" w:color="000000"/>
              <w:bottom w:val="single" w:sz="5" w:space="0" w:color="000000"/>
              <w:right w:val="single" w:sz="5" w:space="0" w:color="000000"/>
            </w:tcBorders>
          </w:tcPr>
          <w:p w14:paraId="34403D5F" w14:textId="77777777" w:rsidR="00773429" w:rsidRDefault="00773429" w:rsidP="00604DFB">
            <w:pPr>
              <w:pStyle w:val="TableParagraph"/>
              <w:spacing w:before="1" w:line="252" w:lineRule="exact"/>
              <w:ind w:left="102"/>
              <w:rPr>
                <w:rFonts w:ascii="Times New Roman" w:eastAsia="Times New Roman" w:hAnsi="Times New Roman" w:cs="Times New Roman"/>
                <w:lang w:val="hu-HU"/>
              </w:rPr>
            </w:pPr>
            <w:r>
              <w:rPr>
                <w:rFonts w:ascii="Times New Roman" w:eastAsia="Times New Roman" w:hAnsi="Times New Roman" w:cs="Times New Roman"/>
                <w:b/>
                <w:bCs/>
                <w:lang w:val="hu-HU"/>
              </w:rPr>
              <w:t xml:space="preserve">Beteg </w:t>
            </w:r>
            <w:r>
              <w:rPr>
                <w:rFonts w:ascii="Times New Roman" w:eastAsia="Times New Roman" w:hAnsi="Times New Roman" w:cs="Times New Roman"/>
                <w:b/>
                <w:bCs/>
                <w:spacing w:val="-1"/>
                <w:lang w:val="hu-HU"/>
              </w:rPr>
              <w:t>testtömege</w:t>
            </w:r>
          </w:p>
        </w:tc>
        <w:tc>
          <w:tcPr>
            <w:tcW w:w="2284" w:type="dxa"/>
            <w:tcBorders>
              <w:top w:val="single" w:sz="5" w:space="0" w:color="000000"/>
              <w:left w:val="single" w:sz="5" w:space="0" w:color="000000"/>
              <w:bottom w:val="single" w:sz="5" w:space="0" w:color="000000"/>
              <w:right w:val="single" w:sz="5" w:space="0" w:color="000000"/>
            </w:tcBorders>
          </w:tcPr>
          <w:p w14:paraId="1F7F3A08" w14:textId="77777777" w:rsidR="00773429" w:rsidRDefault="00773429" w:rsidP="00604DFB">
            <w:pPr>
              <w:pStyle w:val="TableParagraph"/>
              <w:spacing w:line="249"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2"/>
                <w:lang w:val="hu-HU"/>
              </w:rPr>
              <w:t>Alacsony dózis</w:t>
            </w:r>
          </w:p>
        </w:tc>
        <w:tc>
          <w:tcPr>
            <w:tcW w:w="2284" w:type="dxa"/>
            <w:tcBorders>
              <w:top w:val="single" w:sz="5" w:space="0" w:color="000000"/>
              <w:left w:val="single" w:sz="5" w:space="0" w:color="000000"/>
              <w:bottom w:val="single" w:sz="5" w:space="0" w:color="000000"/>
              <w:right w:val="single" w:sz="5" w:space="0" w:color="000000"/>
            </w:tcBorders>
          </w:tcPr>
          <w:p w14:paraId="6EE21A8C" w14:textId="77777777" w:rsidR="00773429" w:rsidRDefault="00773429" w:rsidP="00604DFB">
            <w:pPr>
              <w:pStyle w:val="TableParagraph"/>
              <w:spacing w:before="1" w:line="252"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 xml:space="preserve">Standard </w:t>
            </w:r>
            <w:r>
              <w:rPr>
                <w:rFonts w:ascii="Times New Roman" w:eastAsia="Times New Roman" w:hAnsi="Times New Roman" w:cs="Times New Roman"/>
                <w:b/>
                <w:bCs/>
                <w:lang w:val="hu-HU"/>
              </w:rPr>
              <w:t>dózis</w:t>
            </w:r>
          </w:p>
        </w:tc>
      </w:tr>
      <w:tr w:rsidR="00773429" w14:paraId="1699175E" w14:textId="77777777" w:rsidTr="00AF1AD1">
        <w:trPr>
          <w:trHeight w:val="397"/>
          <w:jc w:val="center"/>
        </w:trPr>
        <w:tc>
          <w:tcPr>
            <w:tcW w:w="2581" w:type="dxa"/>
            <w:tcBorders>
              <w:top w:val="single" w:sz="5" w:space="0" w:color="000000"/>
              <w:left w:val="single" w:sz="5" w:space="0" w:color="000000"/>
              <w:bottom w:val="single" w:sz="5" w:space="0" w:color="000000"/>
              <w:right w:val="single" w:sz="5" w:space="0" w:color="000000"/>
            </w:tcBorders>
          </w:tcPr>
          <w:p w14:paraId="622B8A1C" w14:textId="77777777" w:rsidR="00773429" w:rsidRDefault="00773429" w:rsidP="00604DFB">
            <w:pPr>
              <w:pStyle w:val="TableParagraph"/>
              <w:spacing w:line="244" w:lineRule="exact"/>
              <w:ind w:left="102"/>
              <w:rPr>
                <w:rFonts w:ascii="Times New Roman" w:eastAsia="Times New Roman" w:hAnsi="Times New Roman" w:cs="Times New Roman"/>
                <w:lang w:val="hu-HU"/>
              </w:rPr>
            </w:pPr>
            <w:r>
              <w:rPr>
                <w:rFonts w:ascii="Times New Roman" w:eastAsia="Times New Roman" w:hAnsi="Times New Roman" w:cs="Times New Roman"/>
                <w:lang w:val="hu-HU"/>
              </w:rPr>
              <w:t>&lt; 40 kg</w:t>
            </w:r>
          </w:p>
        </w:tc>
        <w:tc>
          <w:tcPr>
            <w:tcW w:w="2284" w:type="dxa"/>
            <w:tcBorders>
              <w:top w:val="single" w:sz="5" w:space="0" w:color="000000"/>
              <w:left w:val="single" w:sz="5" w:space="0" w:color="000000"/>
              <w:bottom w:val="single" w:sz="5" w:space="0" w:color="000000"/>
              <w:right w:val="single" w:sz="5" w:space="0" w:color="000000"/>
            </w:tcBorders>
          </w:tcPr>
          <w:p w14:paraId="3B5E41CB" w14:textId="77777777" w:rsidR="00773429" w:rsidRDefault="00773429" w:rsidP="00604DFB">
            <w:pPr>
              <w:pStyle w:val="TableParagraph"/>
              <w:spacing w:line="244" w:lineRule="exact"/>
              <w:ind w:left="102"/>
              <w:rPr>
                <w:rFonts w:ascii="Times New Roman" w:eastAsia="Times New Roman" w:hAnsi="Times New Roman" w:cs="Times New Roman"/>
                <w:lang w:val="hu-HU"/>
              </w:rPr>
            </w:pPr>
            <w:r>
              <w:rPr>
                <w:rFonts w:ascii="Times New Roman" w:eastAsia="Times New Roman" w:hAnsi="Times New Roman" w:cs="Times New Roman"/>
                <w:lang w:val="hu-HU"/>
              </w:rPr>
              <w:t>10 mg kéthetente</w:t>
            </w:r>
          </w:p>
        </w:tc>
        <w:tc>
          <w:tcPr>
            <w:tcW w:w="2284" w:type="dxa"/>
            <w:tcBorders>
              <w:top w:val="single" w:sz="5" w:space="0" w:color="000000"/>
              <w:left w:val="single" w:sz="5" w:space="0" w:color="000000"/>
              <w:bottom w:val="single" w:sz="5" w:space="0" w:color="000000"/>
              <w:right w:val="single" w:sz="5" w:space="0" w:color="000000"/>
            </w:tcBorders>
          </w:tcPr>
          <w:p w14:paraId="2A0ED89F" w14:textId="77777777" w:rsidR="00773429" w:rsidRDefault="00773429" w:rsidP="00604DFB">
            <w:pPr>
              <w:pStyle w:val="TableParagraph"/>
              <w:spacing w:line="244" w:lineRule="exact"/>
              <w:ind w:left="102"/>
              <w:rPr>
                <w:rFonts w:ascii="Times New Roman" w:eastAsia="Times New Roman" w:hAnsi="Times New Roman" w:cs="Times New Roman"/>
                <w:lang w:val="hu-HU"/>
              </w:rPr>
            </w:pPr>
            <w:r>
              <w:rPr>
                <w:rFonts w:ascii="Times New Roman" w:eastAsia="Times New Roman" w:hAnsi="Times New Roman" w:cs="Times New Roman"/>
                <w:lang w:val="hu-HU"/>
              </w:rPr>
              <w:t>20 mg kéthetente</w:t>
            </w:r>
          </w:p>
        </w:tc>
      </w:tr>
      <w:tr w:rsidR="00773429" w14:paraId="365D1F51" w14:textId="77777777" w:rsidTr="00AF1AD1">
        <w:trPr>
          <w:trHeight w:val="397"/>
          <w:jc w:val="center"/>
        </w:trPr>
        <w:tc>
          <w:tcPr>
            <w:tcW w:w="2581" w:type="dxa"/>
            <w:tcBorders>
              <w:top w:val="single" w:sz="5" w:space="0" w:color="000000"/>
              <w:left w:val="single" w:sz="5" w:space="0" w:color="000000"/>
              <w:bottom w:val="single" w:sz="5" w:space="0" w:color="000000"/>
              <w:right w:val="single" w:sz="5" w:space="0" w:color="000000"/>
            </w:tcBorders>
          </w:tcPr>
          <w:p w14:paraId="0A222F31" w14:textId="77777777" w:rsidR="00773429" w:rsidRDefault="00773429" w:rsidP="00604DFB">
            <w:pPr>
              <w:pStyle w:val="TableParagraph"/>
              <w:spacing w:line="244" w:lineRule="exact"/>
              <w:ind w:left="102"/>
              <w:rPr>
                <w:rFonts w:ascii="Times New Roman" w:eastAsia="Times New Roman" w:hAnsi="Times New Roman" w:cs="Times New Roman"/>
                <w:lang w:val="hu-HU"/>
              </w:rPr>
            </w:pPr>
            <w:r>
              <w:rPr>
                <w:rFonts w:ascii="Times New Roman" w:eastAsia="Times New Roman" w:hAnsi="Times New Roman" w:cs="Times New Roman"/>
                <w:lang w:val="hu-HU"/>
              </w:rPr>
              <w:t>≥ 40 kg</w:t>
            </w:r>
          </w:p>
        </w:tc>
        <w:tc>
          <w:tcPr>
            <w:tcW w:w="2284" w:type="dxa"/>
            <w:tcBorders>
              <w:top w:val="single" w:sz="5" w:space="0" w:color="000000"/>
              <w:left w:val="single" w:sz="5" w:space="0" w:color="000000"/>
              <w:bottom w:val="single" w:sz="5" w:space="0" w:color="000000"/>
              <w:right w:val="single" w:sz="5" w:space="0" w:color="000000"/>
            </w:tcBorders>
          </w:tcPr>
          <w:p w14:paraId="5C792D8F" w14:textId="77777777" w:rsidR="00773429" w:rsidRDefault="00773429" w:rsidP="00604DFB">
            <w:pPr>
              <w:pStyle w:val="TableParagraph"/>
              <w:spacing w:line="244" w:lineRule="exact"/>
              <w:ind w:left="102"/>
              <w:rPr>
                <w:rFonts w:ascii="Times New Roman" w:eastAsia="Times New Roman" w:hAnsi="Times New Roman" w:cs="Times New Roman"/>
                <w:lang w:val="hu-HU"/>
              </w:rPr>
            </w:pPr>
            <w:r>
              <w:rPr>
                <w:rFonts w:ascii="Times New Roman" w:eastAsia="Times New Roman" w:hAnsi="Times New Roman" w:cs="Times New Roman"/>
                <w:lang w:val="hu-HU"/>
              </w:rPr>
              <w:t>20 mg kéthetente</w:t>
            </w:r>
          </w:p>
        </w:tc>
        <w:tc>
          <w:tcPr>
            <w:tcW w:w="2284" w:type="dxa"/>
            <w:tcBorders>
              <w:top w:val="single" w:sz="5" w:space="0" w:color="000000"/>
              <w:left w:val="single" w:sz="5" w:space="0" w:color="000000"/>
              <w:bottom w:val="single" w:sz="5" w:space="0" w:color="000000"/>
              <w:right w:val="single" w:sz="5" w:space="0" w:color="000000"/>
            </w:tcBorders>
          </w:tcPr>
          <w:p w14:paraId="2FD5C115" w14:textId="77777777" w:rsidR="00773429" w:rsidRDefault="00773429" w:rsidP="00604DFB">
            <w:pPr>
              <w:pStyle w:val="TableParagraph"/>
              <w:spacing w:line="244" w:lineRule="exact"/>
              <w:ind w:left="102"/>
              <w:rPr>
                <w:rFonts w:ascii="Times New Roman" w:eastAsia="Times New Roman" w:hAnsi="Times New Roman" w:cs="Times New Roman"/>
                <w:lang w:val="hu-HU"/>
              </w:rPr>
            </w:pPr>
            <w:r>
              <w:rPr>
                <w:rFonts w:ascii="Times New Roman" w:eastAsia="Times New Roman" w:hAnsi="Times New Roman" w:cs="Times New Roman"/>
                <w:lang w:val="hu-HU"/>
              </w:rPr>
              <w:t>40 mg kéthetente</w:t>
            </w:r>
          </w:p>
        </w:tc>
      </w:tr>
    </w:tbl>
    <w:p w14:paraId="2D87345A" w14:textId="77777777" w:rsidR="00773429" w:rsidRDefault="00773429" w:rsidP="00773429">
      <w:pPr>
        <w:pStyle w:val="a3"/>
        <w:rPr>
          <w:lang w:val="hu-HU"/>
        </w:rPr>
      </w:pPr>
    </w:p>
    <w:p w14:paraId="36F036F0" w14:textId="77777777" w:rsidR="00773429" w:rsidRDefault="00773429" w:rsidP="00773429">
      <w:pPr>
        <w:pStyle w:val="a3"/>
        <w:rPr>
          <w:rFonts w:eastAsia="Times New Roman"/>
          <w:lang w:val="hu-HU"/>
        </w:rPr>
      </w:pPr>
      <w:r>
        <w:rPr>
          <w:rFonts w:eastAsia="Times New Roman"/>
          <w:i/>
          <w:iCs/>
          <w:spacing w:val="-1"/>
          <w:u w:val="single" w:color="000000"/>
          <w:lang w:val="hu-HU"/>
        </w:rPr>
        <w:t>Hatásossági eredmények</w:t>
      </w:r>
    </w:p>
    <w:p w14:paraId="387871A6" w14:textId="77777777" w:rsidR="00773429" w:rsidRDefault="00773429" w:rsidP="00773429">
      <w:pPr>
        <w:pStyle w:val="a3"/>
        <w:rPr>
          <w:sz w:val="19"/>
          <w:szCs w:val="19"/>
          <w:lang w:val="hu-HU"/>
        </w:rPr>
      </w:pPr>
    </w:p>
    <w:p w14:paraId="7FACCCAF" w14:textId="77777777" w:rsidR="00773429" w:rsidRDefault="00773429" w:rsidP="00773429">
      <w:pPr>
        <w:pStyle w:val="a3"/>
        <w:rPr>
          <w:lang w:val="hu-HU"/>
        </w:rPr>
      </w:pPr>
      <w:r>
        <w:rPr>
          <w:rFonts w:eastAsia="Times New Roman"/>
          <w:lang w:val="hu-HU"/>
        </w:rPr>
        <w:t>A vizsgálat elsődleges végpontja a 26. hétre elért remisszió volt, amely a definíció szerint a PCDAI-pontszám ≤ 10.</w:t>
      </w:r>
    </w:p>
    <w:p w14:paraId="23355E8C" w14:textId="77777777" w:rsidR="00773429" w:rsidRDefault="00773429" w:rsidP="00773429">
      <w:pPr>
        <w:pStyle w:val="a3"/>
        <w:rPr>
          <w:sz w:val="24"/>
          <w:szCs w:val="24"/>
          <w:lang w:val="hu-HU"/>
        </w:rPr>
      </w:pPr>
    </w:p>
    <w:p w14:paraId="5178D5D5" w14:textId="04592D08" w:rsidR="00773429" w:rsidRDefault="00773429" w:rsidP="00773429">
      <w:pPr>
        <w:pStyle w:val="a3"/>
        <w:rPr>
          <w:lang w:val="hu-HU"/>
        </w:rPr>
      </w:pPr>
      <w:r>
        <w:rPr>
          <w:rFonts w:eastAsia="Times New Roman"/>
          <w:lang w:val="hu-HU"/>
        </w:rPr>
        <w:t>A klinikai remisszió és a klinikai válasz (meghatározás szerint a PCDAI-pontszám a kiindulási értéktől számított, legalább 15 pontos csökkenése) mértéke a 1</w:t>
      </w:r>
      <w:r w:rsidR="007F3966">
        <w:rPr>
          <w:rFonts w:eastAsia="Times New Roman"/>
          <w:lang w:val="hu-HU"/>
        </w:rPr>
        <w:t>9</w:t>
      </w:r>
      <w:r>
        <w:rPr>
          <w:rFonts w:eastAsia="Times New Roman"/>
          <w:lang w:val="hu-HU"/>
        </w:rPr>
        <w:t xml:space="preserve">. táblázatban van feltüntetve. A kortikoszteroidok vagy az immunmodulátorok elhagyásának arányait a </w:t>
      </w:r>
      <w:r w:rsidR="007F3966">
        <w:rPr>
          <w:rFonts w:eastAsia="Times New Roman"/>
          <w:lang w:val="hu-HU"/>
        </w:rPr>
        <w:t>20</w:t>
      </w:r>
      <w:r>
        <w:rPr>
          <w:rFonts w:eastAsia="Times New Roman"/>
          <w:lang w:val="hu-HU"/>
        </w:rPr>
        <w:t>. táblázat tartalmazza.</w:t>
      </w:r>
    </w:p>
    <w:p w14:paraId="23B03654" w14:textId="77777777" w:rsidR="00773429" w:rsidRDefault="00773429" w:rsidP="00773429">
      <w:pPr>
        <w:rPr>
          <w:rFonts w:ascii="Times New Roman" w:hAnsi="Times New Roman" w:cs="Times New Roman"/>
          <w:lang w:val="hu-HU"/>
        </w:rPr>
      </w:pPr>
    </w:p>
    <w:p w14:paraId="3A210836" w14:textId="77777777" w:rsidR="00773429" w:rsidRDefault="00773429" w:rsidP="00773429">
      <w:pPr>
        <w:spacing w:before="7" w:line="90" w:lineRule="exact"/>
        <w:rPr>
          <w:sz w:val="9"/>
          <w:szCs w:val="9"/>
          <w:lang w:val="hu-HU"/>
        </w:rPr>
      </w:pPr>
    </w:p>
    <w:tbl>
      <w:tblPr>
        <w:tblStyle w:val="TableNormal1"/>
        <w:tblW w:w="0" w:type="auto"/>
        <w:tblInd w:w="842" w:type="dxa"/>
        <w:tblLayout w:type="fixed"/>
        <w:tblLook w:val="01E0" w:firstRow="1" w:lastRow="1" w:firstColumn="1" w:lastColumn="1" w:noHBand="0" w:noVBand="0"/>
      </w:tblPr>
      <w:tblGrid>
        <w:gridCol w:w="2126"/>
        <w:gridCol w:w="1985"/>
        <w:gridCol w:w="2049"/>
        <w:gridCol w:w="1147"/>
      </w:tblGrid>
      <w:tr w:rsidR="00773429" w:rsidRPr="00BE4D18" w14:paraId="4372A7BC" w14:textId="77777777" w:rsidTr="00AF1AD1">
        <w:tc>
          <w:tcPr>
            <w:tcW w:w="7307" w:type="dxa"/>
            <w:gridSpan w:val="4"/>
            <w:tcBorders>
              <w:top w:val="single" w:sz="7" w:space="0" w:color="000000"/>
              <w:left w:val="single" w:sz="7" w:space="0" w:color="000000"/>
              <w:bottom w:val="single" w:sz="7" w:space="0" w:color="000000"/>
              <w:right w:val="single" w:sz="7" w:space="0" w:color="000000"/>
            </w:tcBorders>
          </w:tcPr>
          <w:p w14:paraId="2044D556" w14:textId="0DD744C2" w:rsidR="00773429" w:rsidRPr="007C168B" w:rsidRDefault="00773429" w:rsidP="00604DFB">
            <w:pPr>
              <w:pStyle w:val="a3"/>
              <w:jc w:val="center"/>
              <w:rPr>
                <w:b/>
                <w:lang w:val="hu-HU"/>
              </w:rPr>
            </w:pPr>
            <w:r>
              <w:rPr>
                <w:rFonts w:eastAsia="Times New Roman"/>
                <w:b/>
                <w:bCs/>
                <w:lang w:val="hu-HU"/>
              </w:rPr>
              <w:t>1</w:t>
            </w:r>
            <w:r w:rsidR="007F3966">
              <w:rPr>
                <w:rFonts w:eastAsia="Times New Roman"/>
                <w:b/>
                <w:bCs/>
                <w:lang w:val="hu-HU"/>
              </w:rPr>
              <w:t>9</w:t>
            </w:r>
            <w:r w:rsidRPr="007C168B">
              <w:rPr>
                <w:rFonts w:eastAsia="Times New Roman"/>
                <w:b/>
                <w:bCs/>
                <w:lang w:val="hu-HU"/>
              </w:rPr>
              <w:t>. táblázat</w:t>
            </w:r>
          </w:p>
          <w:p w14:paraId="0BB9164B" w14:textId="77777777" w:rsidR="00773429" w:rsidRPr="009167C6" w:rsidRDefault="00773429" w:rsidP="00604DFB">
            <w:pPr>
              <w:pStyle w:val="a3"/>
              <w:jc w:val="center"/>
              <w:rPr>
                <w:b/>
                <w:lang w:val="hu-HU"/>
              </w:rPr>
            </w:pPr>
            <w:r w:rsidRPr="009167C6">
              <w:rPr>
                <w:rFonts w:eastAsia="Times New Roman"/>
                <w:b/>
                <w:bCs/>
                <w:lang w:val="hu-HU"/>
              </w:rPr>
              <w:t>Gyermekkori CD Vizsgálat</w:t>
            </w:r>
          </w:p>
          <w:p w14:paraId="5698EAC0" w14:textId="77777777" w:rsidR="00773429" w:rsidRPr="009167C6" w:rsidRDefault="00773429" w:rsidP="00604DFB">
            <w:pPr>
              <w:pStyle w:val="a3"/>
              <w:jc w:val="center"/>
              <w:rPr>
                <w:rFonts w:eastAsia="Times New Roman"/>
                <w:lang w:val="hu-HU"/>
              </w:rPr>
            </w:pPr>
            <w:r w:rsidRPr="009167C6">
              <w:rPr>
                <w:rFonts w:eastAsia="Times New Roman"/>
                <w:b/>
                <w:bCs/>
                <w:lang w:val="hu-HU"/>
              </w:rPr>
              <w:t>PCDAI klinikai remisszió és válasz</w:t>
            </w:r>
          </w:p>
        </w:tc>
      </w:tr>
      <w:tr w:rsidR="00773429" w:rsidRPr="009167C6" w14:paraId="47BA6B7D" w14:textId="77777777" w:rsidTr="00AF1AD1">
        <w:tc>
          <w:tcPr>
            <w:tcW w:w="2126" w:type="dxa"/>
            <w:tcBorders>
              <w:top w:val="single" w:sz="7" w:space="0" w:color="000000"/>
              <w:left w:val="single" w:sz="7" w:space="0" w:color="000000"/>
              <w:bottom w:val="single" w:sz="7" w:space="0" w:color="000000"/>
              <w:right w:val="single" w:sz="7" w:space="0" w:color="000000"/>
            </w:tcBorders>
          </w:tcPr>
          <w:p w14:paraId="2099A4ED" w14:textId="77777777" w:rsidR="00773429" w:rsidRPr="009167C6" w:rsidRDefault="00773429" w:rsidP="00604DFB">
            <w:pPr>
              <w:rPr>
                <w:rFonts w:ascii="Times New Roman" w:hAnsi="Times New Roman" w:cs="Times New Roman"/>
                <w:lang w:val="hu-HU"/>
              </w:rPr>
            </w:pPr>
          </w:p>
        </w:tc>
        <w:tc>
          <w:tcPr>
            <w:tcW w:w="1985" w:type="dxa"/>
            <w:tcBorders>
              <w:top w:val="single" w:sz="7" w:space="0" w:color="000000"/>
              <w:left w:val="single" w:sz="7" w:space="0" w:color="000000"/>
              <w:bottom w:val="single" w:sz="7" w:space="0" w:color="000000"/>
              <w:right w:val="single" w:sz="7" w:space="0" w:color="000000"/>
            </w:tcBorders>
          </w:tcPr>
          <w:p w14:paraId="4158D278" w14:textId="77777777" w:rsidR="00773429" w:rsidRPr="007C168B" w:rsidRDefault="00773429" w:rsidP="00604DFB">
            <w:pPr>
              <w:pStyle w:val="TableParagraph"/>
              <w:spacing w:before="1"/>
              <w:ind w:left="111" w:right="98"/>
              <w:jc w:val="center"/>
              <w:rPr>
                <w:rFonts w:ascii="Times New Roman" w:eastAsia="Times New Roman" w:hAnsi="Times New Roman" w:cs="Times New Roman"/>
                <w:b/>
                <w:bCs/>
                <w:spacing w:val="-1"/>
                <w:lang w:val="hu-HU"/>
              </w:rPr>
            </w:pPr>
            <w:r w:rsidRPr="007C168B">
              <w:rPr>
                <w:rFonts w:ascii="Times New Roman" w:eastAsia="Times New Roman" w:hAnsi="Times New Roman" w:cs="Times New Roman"/>
                <w:b/>
                <w:bCs/>
                <w:spacing w:val="-1"/>
                <w:lang w:val="hu-HU"/>
              </w:rPr>
              <w:t>Standard dózis 40/20 mg kéthetente</w:t>
            </w:r>
            <w:r>
              <w:rPr>
                <w:rFonts w:asciiTheme="minorEastAsia" w:hAnsiTheme="minorEastAsia" w:cs="Times New Roman" w:hint="eastAsia"/>
                <w:b/>
                <w:bCs/>
                <w:spacing w:val="-1"/>
                <w:lang w:val="hu-HU" w:eastAsia="ko-KR"/>
              </w:rPr>
              <w:t xml:space="preserve"> </w:t>
            </w:r>
          </w:p>
          <w:p w14:paraId="078F0C2E" w14:textId="5C7EB2D0" w:rsidR="00773429" w:rsidRPr="009167C6" w:rsidRDefault="006134AF" w:rsidP="00604DFB">
            <w:pPr>
              <w:pStyle w:val="TableParagraph"/>
              <w:ind w:left="480" w:right="468"/>
              <w:jc w:val="center"/>
              <w:rPr>
                <w:rFonts w:ascii="Times New Roman" w:eastAsia="Times New Roman" w:hAnsi="Times New Roman" w:cs="Times New Roman"/>
                <w:lang w:val="hu-HU"/>
              </w:rPr>
            </w:pPr>
            <w:r>
              <w:rPr>
                <w:rFonts w:ascii="Times New Roman" w:eastAsia="Times New Roman" w:hAnsi="Times New Roman" w:cs="Times New Roman"/>
                <w:b/>
                <w:bCs/>
                <w:lang w:val="hu-HU"/>
              </w:rPr>
              <w:t>n</w:t>
            </w:r>
            <w:r w:rsidR="00773429" w:rsidRPr="009167C6">
              <w:rPr>
                <w:rFonts w:ascii="Times New Roman" w:eastAsia="Times New Roman" w:hAnsi="Times New Roman" w:cs="Times New Roman"/>
                <w:b/>
                <w:bCs/>
                <w:lang w:val="hu-HU"/>
              </w:rPr>
              <w:t>= 93</w:t>
            </w:r>
          </w:p>
        </w:tc>
        <w:tc>
          <w:tcPr>
            <w:tcW w:w="2049" w:type="dxa"/>
            <w:tcBorders>
              <w:top w:val="single" w:sz="7" w:space="0" w:color="000000"/>
              <w:left w:val="single" w:sz="7" w:space="0" w:color="000000"/>
              <w:bottom w:val="single" w:sz="7" w:space="0" w:color="000000"/>
              <w:right w:val="single" w:sz="7" w:space="0" w:color="000000"/>
            </w:tcBorders>
          </w:tcPr>
          <w:p w14:paraId="15D2F83C" w14:textId="77777777" w:rsidR="00773429" w:rsidRPr="009167C6" w:rsidRDefault="00773429" w:rsidP="00604DFB">
            <w:pPr>
              <w:pStyle w:val="TableParagraph"/>
              <w:spacing w:before="1"/>
              <w:ind w:left="157" w:right="142" w:firstLine="1"/>
              <w:jc w:val="center"/>
              <w:rPr>
                <w:rFonts w:ascii="Times New Roman" w:eastAsia="Times New Roman" w:hAnsi="Times New Roman" w:cs="Times New Roman"/>
                <w:lang w:val="hu-HU"/>
              </w:rPr>
            </w:pPr>
            <w:r w:rsidRPr="009167C6">
              <w:rPr>
                <w:rFonts w:ascii="Times New Roman" w:eastAsia="Times New Roman" w:hAnsi="Times New Roman" w:cs="Times New Roman"/>
                <w:b/>
                <w:bCs/>
                <w:spacing w:val="-2"/>
                <w:lang w:val="hu-HU"/>
              </w:rPr>
              <w:t>Alacsony dózis 20/10 mg kéthetente</w:t>
            </w:r>
          </w:p>
          <w:p w14:paraId="5989E020" w14:textId="039EC74F" w:rsidR="00773429" w:rsidRPr="009167C6" w:rsidRDefault="006134AF" w:rsidP="00604DFB">
            <w:pPr>
              <w:pStyle w:val="TableParagraph"/>
              <w:ind w:left="468" w:right="456"/>
              <w:jc w:val="center"/>
              <w:rPr>
                <w:rFonts w:ascii="Times New Roman" w:eastAsia="Times New Roman" w:hAnsi="Times New Roman" w:cs="Times New Roman"/>
                <w:lang w:val="hu-HU"/>
              </w:rPr>
            </w:pPr>
            <w:r>
              <w:rPr>
                <w:rFonts w:ascii="Times New Roman" w:eastAsia="Times New Roman" w:hAnsi="Times New Roman" w:cs="Times New Roman"/>
                <w:b/>
                <w:bCs/>
                <w:lang w:val="hu-HU"/>
              </w:rPr>
              <w:t>n</w:t>
            </w:r>
            <w:r w:rsidR="00773429" w:rsidRPr="009167C6">
              <w:rPr>
                <w:rFonts w:ascii="Times New Roman" w:eastAsia="Times New Roman" w:hAnsi="Times New Roman" w:cs="Times New Roman"/>
                <w:b/>
                <w:bCs/>
                <w:lang w:val="hu-HU"/>
              </w:rPr>
              <w:t xml:space="preserve"> = 95</w:t>
            </w:r>
          </w:p>
        </w:tc>
        <w:tc>
          <w:tcPr>
            <w:tcW w:w="1147" w:type="dxa"/>
            <w:tcBorders>
              <w:top w:val="single" w:sz="7" w:space="0" w:color="000000"/>
              <w:left w:val="single" w:sz="7" w:space="0" w:color="000000"/>
              <w:bottom w:val="single" w:sz="7" w:space="0" w:color="000000"/>
              <w:right w:val="single" w:sz="7" w:space="0" w:color="000000"/>
            </w:tcBorders>
          </w:tcPr>
          <w:p w14:paraId="19680CA9" w14:textId="77777777" w:rsidR="00773429" w:rsidRPr="009167C6" w:rsidRDefault="00773429" w:rsidP="00604DFB">
            <w:pPr>
              <w:pStyle w:val="TableParagraph"/>
              <w:ind w:left="169"/>
              <w:rPr>
                <w:rFonts w:ascii="Times New Roman" w:eastAsia="Times New Roman" w:hAnsi="Times New Roman" w:cs="Times New Roman"/>
                <w:lang w:val="hu-HU"/>
              </w:rPr>
            </w:pPr>
            <w:r w:rsidRPr="009167C6">
              <w:rPr>
                <w:rFonts w:ascii="Times New Roman" w:eastAsia="Times New Roman" w:hAnsi="Times New Roman" w:cs="Times New Roman"/>
                <w:b/>
                <w:bCs/>
                <w:lang w:val="hu-HU"/>
              </w:rPr>
              <w:t>P érték</w:t>
            </w:r>
            <w:r w:rsidRPr="009167C6">
              <w:rPr>
                <w:rFonts w:ascii="Times New Roman" w:eastAsia="Times New Roman" w:hAnsi="Times New Roman" w:cs="Times New Roman"/>
                <w:lang w:val="hu-HU"/>
              </w:rPr>
              <w:t>*</w:t>
            </w:r>
          </w:p>
        </w:tc>
      </w:tr>
      <w:tr w:rsidR="00773429" w:rsidRPr="009167C6" w14:paraId="7E0A2F90" w14:textId="77777777" w:rsidTr="00AF1AD1">
        <w:tc>
          <w:tcPr>
            <w:tcW w:w="2126" w:type="dxa"/>
            <w:tcBorders>
              <w:top w:val="single" w:sz="7" w:space="0" w:color="000000"/>
              <w:left w:val="single" w:sz="7" w:space="0" w:color="000000"/>
              <w:bottom w:val="single" w:sz="7" w:space="0" w:color="000000"/>
              <w:right w:val="single" w:sz="7" w:space="0" w:color="000000"/>
            </w:tcBorders>
          </w:tcPr>
          <w:p w14:paraId="55BA67CF" w14:textId="77777777" w:rsidR="00773429" w:rsidRPr="007C168B" w:rsidRDefault="00773429" w:rsidP="00604DFB">
            <w:pPr>
              <w:pStyle w:val="TableParagraph"/>
              <w:ind w:left="13"/>
              <w:rPr>
                <w:rFonts w:ascii="Times New Roman" w:eastAsia="Times New Roman" w:hAnsi="Times New Roman" w:cs="Times New Roman"/>
                <w:lang w:val="hu-HU"/>
              </w:rPr>
            </w:pPr>
            <w:r w:rsidRPr="007C168B">
              <w:rPr>
                <w:rFonts w:ascii="Times New Roman" w:eastAsia="Times New Roman" w:hAnsi="Times New Roman" w:cs="Times New Roman"/>
                <w:b/>
                <w:bCs/>
                <w:lang w:val="hu-HU"/>
              </w:rPr>
              <w:t>26. hét</w:t>
            </w:r>
          </w:p>
        </w:tc>
        <w:tc>
          <w:tcPr>
            <w:tcW w:w="1985" w:type="dxa"/>
            <w:tcBorders>
              <w:top w:val="single" w:sz="7" w:space="0" w:color="000000"/>
              <w:left w:val="single" w:sz="7" w:space="0" w:color="000000"/>
              <w:bottom w:val="single" w:sz="7" w:space="0" w:color="000000"/>
              <w:right w:val="single" w:sz="7" w:space="0" w:color="000000"/>
            </w:tcBorders>
          </w:tcPr>
          <w:p w14:paraId="6B2D6263" w14:textId="77777777" w:rsidR="00773429" w:rsidRPr="009167C6" w:rsidRDefault="00773429" w:rsidP="00604DFB">
            <w:pPr>
              <w:rPr>
                <w:rFonts w:ascii="Times New Roman" w:hAnsi="Times New Roman" w:cs="Times New Roman"/>
                <w:lang w:val="hu-HU"/>
              </w:rPr>
            </w:pPr>
          </w:p>
        </w:tc>
        <w:tc>
          <w:tcPr>
            <w:tcW w:w="2049" w:type="dxa"/>
            <w:tcBorders>
              <w:top w:val="single" w:sz="7" w:space="0" w:color="000000"/>
              <w:left w:val="single" w:sz="7" w:space="0" w:color="000000"/>
              <w:bottom w:val="single" w:sz="7" w:space="0" w:color="000000"/>
              <w:right w:val="single" w:sz="7" w:space="0" w:color="000000"/>
            </w:tcBorders>
          </w:tcPr>
          <w:p w14:paraId="47246946" w14:textId="77777777" w:rsidR="00773429" w:rsidRPr="009167C6" w:rsidRDefault="00773429" w:rsidP="00604DFB">
            <w:pPr>
              <w:rPr>
                <w:rFonts w:ascii="Times New Roman" w:hAnsi="Times New Roman" w:cs="Times New Roman"/>
                <w:lang w:val="hu-HU"/>
              </w:rPr>
            </w:pPr>
          </w:p>
        </w:tc>
        <w:tc>
          <w:tcPr>
            <w:tcW w:w="1147" w:type="dxa"/>
            <w:tcBorders>
              <w:top w:val="single" w:sz="7" w:space="0" w:color="000000"/>
              <w:left w:val="single" w:sz="7" w:space="0" w:color="000000"/>
              <w:bottom w:val="single" w:sz="7" w:space="0" w:color="000000"/>
              <w:right w:val="single" w:sz="7" w:space="0" w:color="000000"/>
            </w:tcBorders>
          </w:tcPr>
          <w:p w14:paraId="5AE77F44" w14:textId="77777777" w:rsidR="00773429" w:rsidRPr="009167C6" w:rsidRDefault="00773429" w:rsidP="00604DFB">
            <w:pPr>
              <w:rPr>
                <w:rFonts w:ascii="Times New Roman" w:hAnsi="Times New Roman" w:cs="Times New Roman"/>
                <w:lang w:val="hu-HU"/>
              </w:rPr>
            </w:pPr>
          </w:p>
        </w:tc>
      </w:tr>
      <w:tr w:rsidR="00773429" w:rsidRPr="009167C6" w14:paraId="6BC9915D" w14:textId="77777777" w:rsidTr="00AF1AD1">
        <w:tc>
          <w:tcPr>
            <w:tcW w:w="2126" w:type="dxa"/>
            <w:tcBorders>
              <w:top w:val="single" w:sz="7" w:space="0" w:color="000000"/>
              <w:left w:val="single" w:sz="7" w:space="0" w:color="000000"/>
              <w:bottom w:val="single" w:sz="7" w:space="0" w:color="000000"/>
              <w:right w:val="single" w:sz="7" w:space="0" w:color="000000"/>
            </w:tcBorders>
          </w:tcPr>
          <w:p w14:paraId="67CF9BAD" w14:textId="77777777" w:rsidR="00773429" w:rsidRPr="009167C6" w:rsidRDefault="00773429" w:rsidP="00604DFB">
            <w:pPr>
              <w:pStyle w:val="TableParagraph"/>
              <w:ind w:left="179"/>
              <w:rPr>
                <w:rFonts w:ascii="Times New Roman" w:eastAsia="Times New Roman" w:hAnsi="Times New Roman" w:cs="Times New Roman"/>
                <w:lang w:val="hu-HU"/>
              </w:rPr>
            </w:pPr>
            <w:r w:rsidRPr="007C168B">
              <w:rPr>
                <w:rFonts w:ascii="Times New Roman" w:eastAsia="Times New Roman" w:hAnsi="Times New Roman" w:cs="Times New Roman"/>
                <w:spacing w:val="-1"/>
                <w:lang w:val="hu-HU"/>
              </w:rPr>
              <w:t>Klinikai remisszió</w:t>
            </w:r>
          </w:p>
        </w:tc>
        <w:tc>
          <w:tcPr>
            <w:tcW w:w="1985" w:type="dxa"/>
            <w:tcBorders>
              <w:top w:val="single" w:sz="7" w:space="0" w:color="000000"/>
              <w:left w:val="single" w:sz="7" w:space="0" w:color="000000"/>
              <w:bottom w:val="single" w:sz="7" w:space="0" w:color="000000"/>
              <w:right w:val="single" w:sz="7" w:space="0" w:color="000000"/>
            </w:tcBorders>
          </w:tcPr>
          <w:p w14:paraId="22941923" w14:textId="77777777" w:rsidR="00773429" w:rsidRPr="009167C6" w:rsidRDefault="00773429" w:rsidP="00604DFB">
            <w:pPr>
              <w:pStyle w:val="TableParagraph"/>
              <w:ind w:left="519"/>
              <w:rPr>
                <w:rFonts w:ascii="Times New Roman" w:eastAsia="Times New Roman" w:hAnsi="Times New Roman" w:cs="Times New Roman"/>
                <w:lang w:val="hu-HU"/>
              </w:rPr>
            </w:pPr>
            <w:r w:rsidRPr="009167C6">
              <w:rPr>
                <w:rFonts w:ascii="Times New Roman" w:eastAsia="Times New Roman" w:hAnsi="Times New Roman" w:cs="Times New Roman"/>
                <w:lang w:val="hu-HU"/>
              </w:rPr>
              <w:t>38,7%</w:t>
            </w:r>
          </w:p>
        </w:tc>
        <w:tc>
          <w:tcPr>
            <w:tcW w:w="2049" w:type="dxa"/>
            <w:tcBorders>
              <w:top w:val="single" w:sz="7" w:space="0" w:color="000000"/>
              <w:left w:val="single" w:sz="7" w:space="0" w:color="000000"/>
              <w:bottom w:val="single" w:sz="7" w:space="0" w:color="000000"/>
              <w:right w:val="single" w:sz="7" w:space="0" w:color="000000"/>
            </w:tcBorders>
          </w:tcPr>
          <w:p w14:paraId="26950CAA" w14:textId="77777777" w:rsidR="00773429" w:rsidRPr="009167C6" w:rsidRDefault="00773429" w:rsidP="00604DFB">
            <w:pPr>
              <w:pStyle w:val="TableParagraph"/>
              <w:ind w:left="510"/>
              <w:rPr>
                <w:rFonts w:ascii="Times New Roman" w:eastAsia="Times New Roman" w:hAnsi="Times New Roman" w:cs="Times New Roman"/>
                <w:lang w:val="hu-HU"/>
              </w:rPr>
            </w:pPr>
            <w:r w:rsidRPr="009167C6">
              <w:rPr>
                <w:rFonts w:ascii="Times New Roman" w:eastAsia="Times New Roman" w:hAnsi="Times New Roman" w:cs="Times New Roman"/>
                <w:lang w:val="hu-HU"/>
              </w:rPr>
              <w:t>28,4%</w:t>
            </w:r>
          </w:p>
        </w:tc>
        <w:tc>
          <w:tcPr>
            <w:tcW w:w="1147" w:type="dxa"/>
            <w:tcBorders>
              <w:top w:val="single" w:sz="7" w:space="0" w:color="000000"/>
              <w:left w:val="single" w:sz="7" w:space="0" w:color="000000"/>
              <w:bottom w:val="single" w:sz="7" w:space="0" w:color="000000"/>
              <w:right w:val="single" w:sz="7" w:space="0" w:color="000000"/>
            </w:tcBorders>
          </w:tcPr>
          <w:p w14:paraId="3F138B08" w14:textId="77777777" w:rsidR="00773429" w:rsidRPr="009167C6" w:rsidRDefault="00773429" w:rsidP="00604DFB">
            <w:pPr>
              <w:pStyle w:val="TableParagraph"/>
              <w:ind w:left="323"/>
              <w:rPr>
                <w:rFonts w:ascii="Times New Roman" w:eastAsia="Times New Roman" w:hAnsi="Times New Roman" w:cs="Times New Roman"/>
                <w:lang w:val="hu-HU"/>
              </w:rPr>
            </w:pPr>
            <w:r w:rsidRPr="009167C6">
              <w:rPr>
                <w:rFonts w:ascii="Times New Roman" w:eastAsia="Times New Roman" w:hAnsi="Times New Roman" w:cs="Times New Roman"/>
                <w:lang w:val="hu-HU"/>
              </w:rPr>
              <w:t>0,075</w:t>
            </w:r>
          </w:p>
        </w:tc>
      </w:tr>
      <w:tr w:rsidR="00773429" w:rsidRPr="009167C6" w14:paraId="5DA68304" w14:textId="77777777" w:rsidTr="00AF1AD1">
        <w:tc>
          <w:tcPr>
            <w:tcW w:w="2126" w:type="dxa"/>
            <w:tcBorders>
              <w:top w:val="single" w:sz="7" w:space="0" w:color="000000"/>
              <w:left w:val="single" w:sz="7" w:space="0" w:color="000000"/>
              <w:bottom w:val="single" w:sz="7" w:space="0" w:color="000000"/>
              <w:right w:val="single" w:sz="7" w:space="0" w:color="000000"/>
            </w:tcBorders>
          </w:tcPr>
          <w:p w14:paraId="2EDA865C" w14:textId="77777777" w:rsidR="00773429" w:rsidRPr="007C168B" w:rsidRDefault="00773429" w:rsidP="00604DFB">
            <w:pPr>
              <w:pStyle w:val="TableParagraph"/>
              <w:ind w:left="179"/>
              <w:rPr>
                <w:rFonts w:ascii="Times New Roman" w:eastAsia="Times New Roman" w:hAnsi="Times New Roman" w:cs="Times New Roman"/>
                <w:lang w:val="hu-HU"/>
              </w:rPr>
            </w:pPr>
            <w:r w:rsidRPr="007C168B">
              <w:rPr>
                <w:rFonts w:ascii="Times New Roman" w:eastAsia="Times New Roman" w:hAnsi="Times New Roman" w:cs="Times New Roman"/>
                <w:spacing w:val="-1"/>
                <w:lang w:val="hu-HU"/>
              </w:rPr>
              <w:t>Klinikai válasz</w:t>
            </w:r>
          </w:p>
        </w:tc>
        <w:tc>
          <w:tcPr>
            <w:tcW w:w="1985" w:type="dxa"/>
            <w:tcBorders>
              <w:top w:val="single" w:sz="7" w:space="0" w:color="000000"/>
              <w:left w:val="single" w:sz="7" w:space="0" w:color="000000"/>
              <w:bottom w:val="single" w:sz="7" w:space="0" w:color="000000"/>
              <w:right w:val="single" w:sz="7" w:space="0" w:color="000000"/>
            </w:tcBorders>
          </w:tcPr>
          <w:p w14:paraId="10614EB7" w14:textId="77777777" w:rsidR="00773429" w:rsidRPr="009167C6" w:rsidRDefault="00773429" w:rsidP="00604DFB">
            <w:pPr>
              <w:pStyle w:val="TableParagraph"/>
              <w:ind w:left="519"/>
              <w:rPr>
                <w:rFonts w:ascii="Times New Roman" w:eastAsia="Times New Roman" w:hAnsi="Times New Roman" w:cs="Times New Roman"/>
                <w:lang w:val="hu-HU"/>
              </w:rPr>
            </w:pPr>
            <w:r w:rsidRPr="009167C6">
              <w:rPr>
                <w:rFonts w:ascii="Times New Roman" w:eastAsia="Times New Roman" w:hAnsi="Times New Roman" w:cs="Times New Roman"/>
                <w:lang w:val="hu-HU"/>
              </w:rPr>
              <w:t>59,1%</w:t>
            </w:r>
          </w:p>
        </w:tc>
        <w:tc>
          <w:tcPr>
            <w:tcW w:w="2049" w:type="dxa"/>
            <w:tcBorders>
              <w:top w:val="single" w:sz="7" w:space="0" w:color="000000"/>
              <w:left w:val="single" w:sz="7" w:space="0" w:color="000000"/>
              <w:bottom w:val="single" w:sz="7" w:space="0" w:color="000000"/>
              <w:right w:val="single" w:sz="7" w:space="0" w:color="000000"/>
            </w:tcBorders>
          </w:tcPr>
          <w:p w14:paraId="00158D6A" w14:textId="77777777" w:rsidR="00773429" w:rsidRPr="009167C6" w:rsidRDefault="00773429" w:rsidP="00604DFB">
            <w:pPr>
              <w:pStyle w:val="TableParagraph"/>
              <w:ind w:left="510"/>
              <w:rPr>
                <w:rFonts w:ascii="Times New Roman" w:eastAsia="Times New Roman" w:hAnsi="Times New Roman" w:cs="Times New Roman"/>
                <w:lang w:val="hu-HU"/>
              </w:rPr>
            </w:pPr>
            <w:r w:rsidRPr="009167C6">
              <w:rPr>
                <w:rFonts w:ascii="Times New Roman" w:eastAsia="Times New Roman" w:hAnsi="Times New Roman" w:cs="Times New Roman"/>
                <w:lang w:val="hu-HU"/>
              </w:rPr>
              <w:t>48,4%</w:t>
            </w:r>
          </w:p>
        </w:tc>
        <w:tc>
          <w:tcPr>
            <w:tcW w:w="1147" w:type="dxa"/>
            <w:tcBorders>
              <w:top w:val="single" w:sz="7" w:space="0" w:color="000000"/>
              <w:left w:val="single" w:sz="7" w:space="0" w:color="000000"/>
              <w:bottom w:val="single" w:sz="7" w:space="0" w:color="000000"/>
              <w:right w:val="single" w:sz="7" w:space="0" w:color="000000"/>
            </w:tcBorders>
          </w:tcPr>
          <w:p w14:paraId="55DEC132" w14:textId="77777777" w:rsidR="00773429" w:rsidRPr="009167C6" w:rsidRDefault="00773429" w:rsidP="00604DFB">
            <w:pPr>
              <w:pStyle w:val="TableParagraph"/>
              <w:ind w:left="323"/>
              <w:rPr>
                <w:rFonts w:ascii="Times New Roman" w:eastAsia="Times New Roman" w:hAnsi="Times New Roman" w:cs="Times New Roman"/>
                <w:lang w:val="hu-HU"/>
              </w:rPr>
            </w:pPr>
            <w:r w:rsidRPr="009167C6">
              <w:rPr>
                <w:rFonts w:ascii="Times New Roman" w:eastAsia="Times New Roman" w:hAnsi="Times New Roman" w:cs="Times New Roman"/>
                <w:lang w:val="hu-HU"/>
              </w:rPr>
              <w:t>0,073</w:t>
            </w:r>
          </w:p>
        </w:tc>
      </w:tr>
      <w:tr w:rsidR="00773429" w:rsidRPr="009167C6" w14:paraId="2F1CFF98" w14:textId="77777777" w:rsidTr="00AF1AD1">
        <w:tc>
          <w:tcPr>
            <w:tcW w:w="2126" w:type="dxa"/>
            <w:tcBorders>
              <w:top w:val="single" w:sz="7" w:space="0" w:color="000000"/>
              <w:left w:val="single" w:sz="7" w:space="0" w:color="000000"/>
              <w:bottom w:val="single" w:sz="7" w:space="0" w:color="000000"/>
              <w:right w:val="single" w:sz="7" w:space="0" w:color="000000"/>
            </w:tcBorders>
          </w:tcPr>
          <w:p w14:paraId="57FD0E7D" w14:textId="77777777" w:rsidR="00773429" w:rsidRPr="007C168B" w:rsidRDefault="00773429" w:rsidP="00604DFB">
            <w:pPr>
              <w:pStyle w:val="TableParagraph"/>
              <w:ind w:left="13"/>
              <w:rPr>
                <w:rFonts w:ascii="Times New Roman" w:eastAsia="Times New Roman" w:hAnsi="Times New Roman" w:cs="Times New Roman"/>
                <w:lang w:val="hu-HU"/>
              </w:rPr>
            </w:pPr>
            <w:r w:rsidRPr="007C168B">
              <w:rPr>
                <w:rFonts w:ascii="Times New Roman" w:eastAsia="Times New Roman" w:hAnsi="Times New Roman" w:cs="Times New Roman"/>
                <w:b/>
                <w:bCs/>
                <w:lang w:val="hu-HU"/>
              </w:rPr>
              <w:t>52. hét</w:t>
            </w:r>
          </w:p>
        </w:tc>
        <w:tc>
          <w:tcPr>
            <w:tcW w:w="1985" w:type="dxa"/>
            <w:tcBorders>
              <w:top w:val="single" w:sz="7" w:space="0" w:color="000000"/>
              <w:left w:val="single" w:sz="7" w:space="0" w:color="000000"/>
              <w:bottom w:val="single" w:sz="7" w:space="0" w:color="000000"/>
              <w:right w:val="single" w:sz="7" w:space="0" w:color="000000"/>
            </w:tcBorders>
          </w:tcPr>
          <w:p w14:paraId="2221A9AE" w14:textId="77777777" w:rsidR="00773429" w:rsidRPr="009167C6" w:rsidRDefault="00773429" w:rsidP="00604DFB">
            <w:pPr>
              <w:rPr>
                <w:rFonts w:ascii="Times New Roman" w:hAnsi="Times New Roman" w:cs="Times New Roman"/>
                <w:lang w:val="hu-HU"/>
              </w:rPr>
            </w:pPr>
          </w:p>
        </w:tc>
        <w:tc>
          <w:tcPr>
            <w:tcW w:w="2049" w:type="dxa"/>
            <w:tcBorders>
              <w:top w:val="single" w:sz="7" w:space="0" w:color="000000"/>
              <w:left w:val="single" w:sz="7" w:space="0" w:color="000000"/>
              <w:bottom w:val="single" w:sz="7" w:space="0" w:color="000000"/>
              <w:right w:val="single" w:sz="7" w:space="0" w:color="000000"/>
            </w:tcBorders>
          </w:tcPr>
          <w:p w14:paraId="00772AA4" w14:textId="77777777" w:rsidR="00773429" w:rsidRPr="009167C6" w:rsidRDefault="00773429" w:rsidP="00604DFB">
            <w:pPr>
              <w:rPr>
                <w:rFonts w:ascii="Times New Roman" w:hAnsi="Times New Roman" w:cs="Times New Roman"/>
                <w:lang w:val="hu-HU"/>
              </w:rPr>
            </w:pPr>
          </w:p>
        </w:tc>
        <w:tc>
          <w:tcPr>
            <w:tcW w:w="1147" w:type="dxa"/>
            <w:tcBorders>
              <w:top w:val="single" w:sz="7" w:space="0" w:color="000000"/>
              <w:left w:val="single" w:sz="7" w:space="0" w:color="000000"/>
              <w:bottom w:val="single" w:sz="7" w:space="0" w:color="000000"/>
              <w:right w:val="single" w:sz="7" w:space="0" w:color="000000"/>
            </w:tcBorders>
          </w:tcPr>
          <w:p w14:paraId="76AB926B" w14:textId="77777777" w:rsidR="00773429" w:rsidRPr="009167C6" w:rsidRDefault="00773429" w:rsidP="00604DFB">
            <w:pPr>
              <w:rPr>
                <w:rFonts w:ascii="Times New Roman" w:hAnsi="Times New Roman" w:cs="Times New Roman"/>
                <w:lang w:val="hu-HU"/>
              </w:rPr>
            </w:pPr>
          </w:p>
        </w:tc>
      </w:tr>
      <w:tr w:rsidR="00773429" w:rsidRPr="009167C6" w14:paraId="1AB9041E" w14:textId="77777777" w:rsidTr="00AF1AD1">
        <w:tc>
          <w:tcPr>
            <w:tcW w:w="2126" w:type="dxa"/>
            <w:tcBorders>
              <w:top w:val="single" w:sz="7" w:space="0" w:color="000000"/>
              <w:left w:val="single" w:sz="7" w:space="0" w:color="000000"/>
              <w:bottom w:val="single" w:sz="7" w:space="0" w:color="000000"/>
              <w:right w:val="single" w:sz="7" w:space="0" w:color="000000"/>
            </w:tcBorders>
          </w:tcPr>
          <w:p w14:paraId="06863ED1" w14:textId="77777777" w:rsidR="00773429" w:rsidRPr="007C168B" w:rsidRDefault="00773429" w:rsidP="00604DFB">
            <w:pPr>
              <w:pStyle w:val="TableParagraph"/>
              <w:ind w:left="179"/>
              <w:rPr>
                <w:rFonts w:ascii="Times New Roman" w:eastAsia="Times New Roman" w:hAnsi="Times New Roman" w:cs="Times New Roman"/>
                <w:lang w:val="hu-HU"/>
              </w:rPr>
            </w:pPr>
            <w:r w:rsidRPr="007C168B">
              <w:rPr>
                <w:rFonts w:ascii="Times New Roman" w:eastAsia="Times New Roman" w:hAnsi="Times New Roman" w:cs="Times New Roman"/>
                <w:spacing w:val="-1"/>
                <w:lang w:val="hu-HU"/>
              </w:rPr>
              <w:t>Klinikai remisszió</w:t>
            </w:r>
          </w:p>
        </w:tc>
        <w:tc>
          <w:tcPr>
            <w:tcW w:w="1985" w:type="dxa"/>
            <w:tcBorders>
              <w:top w:val="single" w:sz="7" w:space="0" w:color="000000"/>
              <w:left w:val="single" w:sz="7" w:space="0" w:color="000000"/>
              <w:bottom w:val="single" w:sz="7" w:space="0" w:color="000000"/>
              <w:right w:val="single" w:sz="7" w:space="0" w:color="000000"/>
            </w:tcBorders>
          </w:tcPr>
          <w:p w14:paraId="67248E2C" w14:textId="77777777" w:rsidR="00773429" w:rsidRPr="009167C6" w:rsidRDefault="00773429" w:rsidP="00604DFB">
            <w:pPr>
              <w:pStyle w:val="TableParagraph"/>
              <w:ind w:left="519"/>
              <w:rPr>
                <w:rFonts w:ascii="Times New Roman" w:eastAsia="Times New Roman" w:hAnsi="Times New Roman" w:cs="Times New Roman"/>
                <w:lang w:val="hu-HU"/>
              </w:rPr>
            </w:pPr>
            <w:r w:rsidRPr="009167C6">
              <w:rPr>
                <w:rFonts w:ascii="Times New Roman" w:eastAsia="Times New Roman" w:hAnsi="Times New Roman" w:cs="Times New Roman"/>
                <w:lang w:val="hu-HU"/>
              </w:rPr>
              <w:t>33,3%</w:t>
            </w:r>
          </w:p>
        </w:tc>
        <w:tc>
          <w:tcPr>
            <w:tcW w:w="2049" w:type="dxa"/>
            <w:tcBorders>
              <w:top w:val="single" w:sz="7" w:space="0" w:color="000000"/>
              <w:left w:val="single" w:sz="7" w:space="0" w:color="000000"/>
              <w:bottom w:val="single" w:sz="7" w:space="0" w:color="000000"/>
              <w:right w:val="single" w:sz="7" w:space="0" w:color="000000"/>
            </w:tcBorders>
          </w:tcPr>
          <w:p w14:paraId="006F1B4F" w14:textId="77777777" w:rsidR="00773429" w:rsidRPr="009167C6" w:rsidRDefault="00773429" w:rsidP="00604DFB">
            <w:pPr>
              <w:pStyle w:val="TableParagraph"/>
              <w:ind w:left="510"/>
              <w:rPr>
                <w:rFonts w:ascii="Times New Roman" w:eastAsia="Times New Roman" w:hAnsi="Times New Roman" w:cs="Times New Roman"/>
                <w:lang w:val="hu-HU"/>
              </w:rPr>
            </w:pPr>
            <w:r w:rsidRPr="009167C6">
              <w:rPr>
                <w:rFonts w:ascii="Times New Roman" w:eastAsia="Times New Roman" w:hAnsi="Times New Roman" w:cs="Times New Roman"/>
                <w:lang w:val="hu-HU"/>
              </w:rPr>
              <w:t>23,2%</w:t>
            </w:r>
          </w:p>
        </w:tc>
        <w:tc>
          <w:tcPr>
            <w:tcW w:w="1147" w:type="dxa"/>
            <w:tcBorders>
              <w:top w:val="single" w:sz="7" w:space="0" w:color="000000"/>
              <w:left w:val="single" w:sz="7" w:space="0" w:color="000000"/>
              <w:bottom w:val="single" w:sz="7" w:space="0" w:color="000000"/>
              <w:right w:val="single" w:sz="7" w:space="0" w:color="000000"/>
            </w:tcBorders>
          </w:tcPr>
          <w:p w14:paraId="417759B3" w14:textId="77777777" w:rsidR="00773429" w:rsidRPr="009167C6" w:rsidRDefault="00773429" w:rsidP="00604DFB">
            <w:pPr>
              <w:pStyle w:val="TableParagraph"/>
              <w:ind w:left="323"/>
              <w:rPr>
                <w:rFonts w:ascii="Times New Roman" w:eastAsia="Times New Roman" w:hAnsi="Times New Roman" w:cs="Times New Roman"/>
                <w:lang w:val="hu-HU"/>
              </w:rPr>
            </w:pPr>
            <w:r w:rsidRPr="009167C6">
              <w:rPr>
                <w:rFonts w:ascii="Times New Roman" w:eastAsia="Times New Roman" w:hAnsi="Times New Roman" w:cs="Times New Roman"/>
                <w:lang w:val="hu-HU"/>
              </w:rPr>
              <w:t>0,100</w:t>
            </w:r>
          </w:p>
        </w:tc>
      </w:tr>
      <w:tr w:rsidR="00773429" w:rsidRPr="009167C6" w14:paraId="0D02462E" w14:textId="77777777" w:rsidTr="00AF1AD1">
        <w:tc>
          <w:tcPr>
            <w:tcW w:w="2126" w:type="dxa"/>
            <w:tcBorders>
              <w:top w:val="single" w:sz="7" w:space="0" w:color="000000"/>
              <w:left w:val="single" w:sz="7" w:space="0" w:color="000000"/>
              <w:bottom w:val="single" w:sz="7" w:space="0" w:color="000000"/>
              <w:right w:val="single" w:sz="7" w:space="0" w:color="000000"/>
            </w:tcBorders>
          </w:tcPr>
          <w:p w14:paraId="46DFBAE8" w14:textId="77777777" w:rsidR="00773429" w:rsidRPr="007C168B" w:rsidRDefault="00773429" w:rsidP="00604DFB">
            <w:pPr>
              <w:pStyle w:val="TableParagraph"/>
              <w:ind w:left="179"/>
              <w:rPr>
                <w:rFonts w:ascii="Times New Roman" w:eastAsia="Times New Roman" w:hAnsi="Times New Roman" w:cs="Times New Roman"/>
                <w:lang w:val="hu-HU"/>
              </w:rPr>
            </w:pPr>
            <w:r w:rsidRPr="007C168B">
              <w:rPr>
                <w:rFonts w:ascii="Times New Roman" w:eastAsia="Times New Roman" w:hAnsi="Times New Roman" w:cs="Times New Roman"/>
                <w:spacing w:val="-1"/>
                <w:lang w:val="hu-HU"/>
              </w:rPr>
              <w:t>Klinikai válasz</w:t>
            </w:r>
          </w:p>
        </w:tc>
        <w:tc>
          <w:tcPr>
            <w:tcW w:w="1985" w:type="dxa"/>
            <w:tcBorders>
              <w:top w:val="single" w:sz="7" w:space="0" w:color="000000"/>
              <w:left w:val="single" w:sz="7" w:space="0" w:color="000000"/>
              <w:bottom w:val="single" w:sz="7" w:space="0" w:color="000000"/>
              <w:right w:val="single" w:sz="7" w:space="0" w:color="000000"/>
            </w:tcBorders>
          </w:tcPr>
          <w:p w14:paraId="10121F1D" w14:textId="77777777" w:rsidR="00773429" w:rsidRPr="009167C6" w:rsidRDefault="00773429" w:rsidP="00604DFB">
            <w:pPr>
              <w:pStyle w:val="TableParagraph"/>
              <w:ind w:left="519"/>
              <w:rPr>
                <w:rFonts w:ascii="Times New Roman" w:eastAsia="Times New Roman" w:hAnsi="Times New Roman" w:cs="Times New Roman"/>
                <w:lang w:val="hu-HU"/>
              </w:rPr>
            </w:pPr>
            <w:r w:rsidRPr="009167C6">
              <w:rPr>
                <w:rFonts w:ascii="Times New Roman" w:eastAsia="Times New Roman" w:hAnsi="Times New Roman" w:cs="Times New Roman"/>
                <w:lang w:val="hu-HU"/>
              </w:rPr>
              <w:t>41,9%</w:t>
            </w:r>
          </w:p>
        </w:tc>
        <w:tc>
          <w:tcPr>
            <w:tcW w:w="2049" w:type="dxa"/>
            <w:tcBorders>
              <w:top w:val="single" w:sz="7" w:space="0" w:color="000000"/>
              <w:left w:val="single" w:sz="7" w:space="0" w:color="000000"/>
              <w:bottom w:val="single" w:sz="7" w:space="0" w:color="000000"/>
              <w:right w:val="single" w:sz="7" w:space="0" w:color="000000"/>
            </w:tcBorders>
          </w:tcPr>
          <w:p w14:paraId="2240644B" w14:textId="77777777" w:rsidR="00773429" w:rsidRPr="009167C6" w:rsidRDefault="00773429" w:rsidP="00604DFB">
            <w:pPr>
              <w:pStyle w:val="TableParagraph"/>
              <w:ind w:left="510"/>
              <w:rPr>
                <w:rFonts w:ascii="Times New Roman" w:eastAsia="Times New Roman" w:hAnsi="Times New Roman" w:cs="Times New Roman"/>
                <w:lang w:val="hu-HU"/>
              </w:rPr>
            </w:pPr>
            <w:r w:rsidRPr="009167C6">
              <w:rPr>
                <w:rFonts w:ascii="Times New Roman" w:eastAsia="Times New Roman" w:hAnsi="Times New Roman" w:cs="Times New Roman"/>
                <w:lang w:val="hu-HU"/>
              </w:rPr>
              <w:t>28,4%</w:t>
            </w:r>
          </w:p>
        </w:tc>
        <w:tc>
          <w:tcPr>
            <w:tcW w:w="1147" w:type="dxa"/>
            <w:tcBorders>
              <w:top w:val="single" w:sz="7" w:space="0" w:color="000000"/>
              <w:left w:val="single" w:sz="7" w:space="0" w:color="000000"/>
              <w:bottom w:val="single" w:sz="7" w:space="0" w:color="000000"/>
              <w:right w:val="single" w:sz="7" w:space="0" w:color="000000"/>
            </w:tcBorders>
          </w:tcPr>
          <w:p w14:paraId="1B545309" w14:textId="77777777" w:rsidR="00773429" w:rsidRPr="009167C6" w:rsidRDefault="00773429" w:rsidP="00604DFB">
            <w:pPr>
              <w:pStyle w:val="TableParagraph"/>
              <w:ind w:left="323"/>
              <w:rPr>
                <w:rFonts w:ascii="Times New Roman" w:eastAsia="Times New Roman" w:hAnsi="Times New Roman" w:cs="Times New Roman"/>
                <w:lang w:val="hu-HU"/>
              </w:rPr>
            </w:pPr>
            <w:r w:rsidRPr="009167C6">
              <w:rPr>
                <w:rFonts w:ascii="Times New Roman" w:eastAsia="Times New Roman" w:hAnsi="Times New Roman" w:cs="Times New Roman"/>
                <w:lang w:val="hu-HU"/>
              </w:rPr>
              <w:t>0,038</w:t>
            </w:r>
          </w:p>
        </w:tc>
      </w:tr>
      <w:tr w:rsidR="00773429" w:rsidRPr="009167C6" w14:paraId="7AEDF1F0" w14:textId="77777777" w:rsidTr="00AF1AD1">
        <w:tc>
          <w:tcPr>
            <w:tcW w:w="7307" w:type="dxa"/>
            <w:gridSpan w:val="4"/>
            <w:tcBorders>
              <w:top w:val="single" w:sz="7" w:space="0" w:color="000000"/>
              <w:left w:val="single" w:sz="7" w:space="0" w:color="000000"/>
              <w:bottom w:val="single" w:sz="7" w:space="0" w:color="000000"/>
              <w:right w:val="single" w:sz="7" w:space="0" w:color="000000"/>
            </w:tcBorders>
          </w:tcPr>
          <w:p w14:paraId="2B4B183F" w14:textId="77777777" w:rsidR="00773429" w:rsidRPr="009167C6" w:rsidRDefault="00773429" w:rsidP="00604DFB">
            <w:pPr>
              <w:pStyle w:val="TableParagraph"/>
              <w:ind w:left="13"/>
              <w:rPr>
                <w:rFonts w:ascii="Times New Roman" w:eastAsia="Times New Roman" w:hAnsi="Times New Roman" w:cs="Times New Roman"/>
                <w:lang w:val="hu-HU"/>
              </w:rPr>
            </w:pPr>
            <w:r w:rsidRPr="007C168B">
              <w:rPr>
                <w:rFonts w:ascii="Times New Roman" w:eastAsia="Times New Roman" w:hAnsi="Times New Roman" w:cs="Times New Roman"/>
                <w:lang w:val="hu-HU"/>
              </w:rPr>
              <w:t xml:space="preserve">* p érték Standard dózis </w:t>
            </w:r>
            <w:r w:rsidRPr="007C168B">
              <w:rPr>
                <w:rFonts w:ascii="Times New Roman" w:eastAsia="Times New Roman" w:hAnsi="Times New Roman" w:cs="Times New Roman"/>
                <w:i/>
                <w:iCs/>
                <w:lang w:val="hu-HU"/>
              </w:rPr>
              <w:t xml:space="preserve">versus </w:t>
            </w:r>
            <w:r w:rsidRPr="009167C6">
              <w:rPr>
                <w:rFonts w:ascii="Times New Roman" w:eastAsia="Times New Roman" w:hAnsi="Times New Roman" w:cs="Times New Roman"/>
                <w:lang w:val="hu-HU"/>
              </w:rPr>
              <w:t xml:space="preserve"> alacsony dózis összehasonlítása esetén.</w:t>
            </w:r>
          </w:p>
        </w:tc>
      </w:tr>
    </w:tbl>
    <w:p w14:paraId="15678837" w14:textId="77777777" w:rsidR="00773429" w:rsidRDefault="00773429" w:rsidP="00773429">
      <w:pPr>
        <w:spacing w:before="10" w:line="240" w:lineRule="exact"/>
        <w:rPr>
          <w:sz w:val="24"/>
          <w:szCs w:val="24"/>
          <w:lang w:val="hu-HU"/>
        </w:rPr>
      </w:pPr>
    </w:p>
    <w:p w14:paraId="3FE15B8E" w14:textId="77777777" w:rsidR="00773429" w:rsidRDefault="00773429" w:rsidP="00773429">
      <w:pPr>
        <w:rPr>
          <w:sz w:val="24"/>
          <w:szCs w:val="24"/>
          <w:lang w:val="hu-HU"/>
        </w:rPr>
      </w:pPr>
    </w:p>
    <w:tbl>
      <w:tblPr>
        <w:tblStyle w:val="TableNormal1"/>
        <w:tblW w:w="0" w:type="auto"/>
        <w:tblInd w:w="592" w:type="dxa"/>
        <w:tblLayout w:type="fixed"/>
        <w:tblLook w:val="01E0" w:firstRow="1" w:lastRow="1" w:firstColumn="1" w:lastColumn="1" w:noHBand="0" w:noVBand="0"/>
      </w:tblPr>
      <w:tblGrid>
        <w:gridCol w:w="3510"/>
        <w:gridCol w:w="1984"/>
        <w:gridCol w:w="1985"/>
        <w:gridCol w:w="962"/>
      </w:tblGrid>
      <w:tr w:rsidR="00773429" w:rsidRPr="00BE4D18" w14:paraId="0D03F88D" w14:textId="77777777" w:rsidTr="00604DFB">
        <w:tc>
          <w:tcPr>
            <w:tcW w:w="8441" w:type="dxa"/>
            <w:gridSpan w:val="4"/>
            <w:tcBorders>
              <w:top w:val="single" w:sz="7" w:space="0" w:color="000000"/>
              <w:left w:val="single" w:sz="7" w:space="0" w:color="000000"/>
              <w:bottom w:val="single" w:sz="7" w:space="0" w:color="000000"/>
              <w:right w:val="single" w:sz="7" w:space="0" w:color="000000"/>
            </w:tcBorders>
          </w:tcPr>
          <w:p w14:paraId="43822B8E" w14:textId="6E8CB4C6" w:rsidR="00773429" w:rsidRDefault="007F3966" w:rsidP="00604DFB">
            <w:pPr>
              <w:pStyle w:val="TableParagraph"/>
              <w:spacing w:before="3" w:line="252" w:lineRule="exact"/>
              <w:jc w:val="center"/>
              <w:rPr>
                <w:rFonts w:ascii="Times New Roman" w:eastAsia="Times New Roman" w:hAnsi="Times New Roman" w:cs="Times New Roman"/>
                <w:b/>
                <w:bCs/>
                <w:lang w:val="hu-HU"/>
              </w:rPr>
            </w:pPr>
            <w:r>
              <w:rPr>
                <w:rFonts w:ascii="Times New Roman" w:eastAsia="Times New Roman" w:hAnsi="Times New Roman" w:cs="Times New Roman"/>
                <w:b/>
                <w:bCs/>
                <w:lang w:val="hu-HU"/>
              </w:rPr>
              <w:t>20</w:t>
            </w:r>
            <w:r w:rsidR="00773429">
              <w:rPr>
                <w:rFonts w:ascii="Times New Roman" w:eastAsia="Times New Roman" w:hAnsi="Times New Roman" w:cs="Times New Roman"/>
                <w:b/>
                <w:bCs/>
                <w:lang w:val="hu-HU"/>
              </w:rPr>
              <w:t>. táblázat</w:t>
            </w:r>
          </w:p>
          <w:p w14:paraId="73CDBFAC" w14:textId="77777777" w:rsidR="00773429" w:rsidRDefault="00773429" w:rsidP="00604DFB">
            <w:pPr>
              <w:pStyle w:val="TableParagraph"/>
              <w:spacing w:before="3" w:line="252" w:lineRule="exact"/>
              <w:jc w:val="center"/>
              <w:rPr>
                <w:rFonts w:ascii="Times New Roman" w:eastAsia="Times New Roman" w:hAnsi="Times New Roman" w:cs="Times New Roman"/>
                <w:lang w:val="hu-HU"/>
              </w:rPr>
            </w:pPr>
            <w:r>
              <w:rPr>
                <w:rFonts w:ascii="Times New Roman" w:eastAsia="Times New Roman" w:hAnsi="Times New Roman" w:cs="Times New Roman"/>
                <w:b/>
                <w:bCs/>
                <w:lang w:val="hu-HU"/>
              </w:rPr>
              <w:t>Gyermekkori CD Vizsgálat</w:t>
            </w:r>
          </w:p>
          <w:p w14:paraId="373F2890" w14:textId="77777777" w:rsidR="00773429" w:rsidRDefault="00773429" w:rsidP="00604DFB">
            <w:pPr>
              <w:pStyle w:val="TableParagraph"/>
              <w:spacing w:line="249"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Kortikoszteroidok vagy immunmodulátorok felfüggesztése és fistula-remisszió</w:t>
            </w:r>
          </w:p>
        </w:tc>
      </w:tr>
      <w:tr w:rsidR="00773429" w14:paraId="5F4FDC83" w14:textId="77777777" w:rsidTr="00604DFB">
        <w:tc>
          <w:tcPr>
            <w:tcW w:w="3510" w:type="dxa"/>
            <w:tcBorders>
              <w:top w:val="single" w:sz="7" w:space="0" w:color="000000"/>
              <w:left w:val="single" w:sz="7" w:space="0" w:color="000000"/>
              <w:bottom w:val="single" w:sz="7" w:space="0" w:color="000000"/>
              <w:right w:val="single" w:sz="7" w:space="0" w:color="000000"/>
            </w:tcBorders>
          </w:tcPr>
          <w:p w14:paraId="6C6303B3" w14:textId="77777777" w:rsidR="00773429" w:rsidRDefault="00773429" w:rsidP="00604DFB">
            <w:pPr>
              <w:rPr>
                <w:lang w:val="hu-HU"/>
              </w:rPr>
            </w:pPr>
          </w:p>
        </w:tc>
        <w:tc>
          <w:tcPr>
            <w:tcW w:w="1984" w:type="dxa"/>
            <w:tcBorders>
              <w:top w:val="single" w:sz="7" w:space="0" w:color="000000"/>
              <w:left w:val="single" w:sz="7" w:space="0" w:color="000000"/>
              <w:bottom w:val="single" w:sz="7" w:space="0" w:color="000000"/>
              <w:right w:val="single" w:sz="7" w:space="0" w:color="000000"/>
            </w:tcBorders>
          </w:tcPr>
          <w:p w14:paraId="2D91D8FF" w14:textId="77777777" w:rsidR="00773429" w:rsidRDefault="00773429" w:rsidP="00604DFB">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Standard dózis</w:t>
            </w:r>
          </w:p>
          <w:p w14:paraId="4F3E88ED" w14:textId="77777777" w:rsidR="00773429" w:rsidRDefault="00773429" w:rsidP="00604DFB">
            <w:pPr>
              <w:pStyle w:val="TableParagraph"/>
              <w:spacing w:before="1" w:line="252" w:lineRule="exact"/>
              <w:jc w:val="center"/>
              <w:rPr>
                <w:rFonts w:ascii="Times New Roman" w:eastAsia="Times New Roman" w:hAnsi="Times New Roman" w:cs="Times New Roman"/>
                <w:lang w:val="hu-HU"/>
              </w:rPr>
            </w:pPr>
            <w:r>
              <w:rPr>
                <w:rFonts w:ascii="Times New Roman" w:eastAsia="Times New Roman" w:hAnsi="Times New Roman" w:cs="Times New Roman"/>
                <w:b/>
                <w:bCs/>
                <w:lang w:val="hu-HU"/>
              </w:rPr>
              <w:t>40/20 mg kéthetente</w:t>
            </w:r>
          </w:p>
        </w:tc>
        <w:tc>
          <w:tcPr>
            <w:tcW w:w="1985" w:type="dxa"/>
            <w:tcBorders>
              <w:top w:val="single" w:sz="7" w:space="0" w:color="000000"/>
              <w:left w:val="single" w:sz="7" w:space="0" w:color="000000"/>
              <w:bottom w:val="single" w:sz="7" w:space="0" w:color="000000"/>
              <w:right w:val="single" w:sz="7" w:space="0" w:color="000000"/>
            </w:tcBorders>
          </w:tcPr>
          <w:p w14:paraId="2D17C138" w14:textId="77777777" w:rsidR="00773429" w:rsidRDefault="00773429" w:rsidP="00604DFB">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2"/>
                <w:lang w:val="hu-HU"/>
              </w:rPr>
              <w:t>Alacsony dózis</w:t>
            </w:r>
          </w:p>
          <w:p w14:paraId="035C4203" w14:textId="77777777" w:rsidR="00773429" w:rsidRDefault="00773429" w:rsidP="00604DFB">
            <w:pPr>
              <w:pStyle w:val="TableParagraph"/>
              <w:spacing w:before="1" w:line="252" w:lineRule="exact"/>
              <w:jc w:val="center"/>
              <w:rPr>
                <w:rFonts w:ascii="Times New Roman" w:eastAsia="Times New Roman" w:hAnsi="Times New Roman" w:cs="Times New Roman"/>
                <w:lang w:val="hu-HU"/>
              </w:rPr>
            </w:pPr>
            <w:r>
              <w:rPr>
                <w:rFonts w:ascii="Times New Roman" w:eastAsia="Times New Roman" w:hAnsi="Times New Roman" w:cs="Times New Roman"/>
                <w:b/>
                <w:bCs/>
                <w:lang w:val="hu-HU"/>
              </w:rPr>
              <w:t>20/10 mg kéthetente</w:t>
            </w:r>
          </w:p>
        </w:tc>
        <w:tc>
          <w:tcPr>
            <w:tcW w:w="962" w:type="dxa"/>
            <w:tcBorders>
              <w:top w:val="single" w:sz="7" w:space="0" w:color="000000"/>
              <w:left w:val="single" w:sz="7" w:space="0" w:color="000000"/>
              <w:bottom w:val="single" w:sz="7" w:space="0" w:color="000000"/>
              <w:right w:val="single" w:sz="7" w:space="0" w:color="000000"/>
            </w:tcBorders>
          </w:tcPr>
          <w:p w14:paraId="055D1734" w14:textId="77777777" w:rsidR="00773429" w:rsidRDefault="00773429" w:rsidP="00604DFB">
            <w:pPr>
              <w:pStyle w:val="TableParagraph"/>
              <w:spacing w:line="251" w:lineRule="exact"/>
              <w:jc w:val="center"/>
              <w:rPr>
                <w:rFonts w:ascii="Times New Roman" w:eastAsia="Times New Roman" w:hAnsi="Times New Roman" w:cs="Times New Roman"/>
                <w:sz w:val="14"/>
                <w:szCs w:val="14"/>
                <w:lang w:val="hu-HU"/>
              </w:rPr>
            </w:pPr>
            <w:r>
              <w:rPr>
                <w:rFonts w:ascii="Times New Roman" w:eastAsia="Times New Roman" w:hAnsi="Times New Roman" w:cs="Times New Roman"/>
                <w:b/>
                <w:bCs/>
                <w:lang w:val="hu-HU"/>
              </w:rPr>
              <w:t>P érték</w:t>
            </w:r>
            <w:r w:rsidRPr="009167C6">
              <w:rPr>
                <w:rFonts w:ascii="Times New Roman" w:eastAsia="Times New Roman" w:hAnsi="Times New Roman" w:cs="Times New Roman"/>
                <w:b/>
                <w:bCs/>
                <w:vertAlign w:val="superscript"/>
                <w:lang w:val="hu-HU"/>
              </w:rPr>
              <w:t>1</w:t>
            </w:r>
          </w:p>
        </w:tc>
      </w:tr>
      <w:tr w:rsidR="00773429" w14:paraId="3A943319" w14:textId="77777777" w:rsidTr="00604DFB">
        <w:tc>
          <w:tcPr>
            <w:tcW w:w="3510" w:type="dxa"/>
            <w:tcBorders>
              <w:top w:val="single" w:sz="7" w:space="0" w:color="000000"/>
              <w:left w:val="single" w:sz="7" w:space="0" w:color="000000"/>
              <w:bottom w:val="single" w:sz="7" w:space="0" w:color="000000"/>
              <w:right w:val="single" w:sz="7" w:space="0" w:color="000000"/>
            </w:tcBorders>
          </w:tcPr>
          <w:p w14:paraId="15CB7764" w14:textId="77777777" w:rsidR="00773429" w:rsidRDefault="00773429" w:rsidP="00604DFB">
            <w:pPr>
              <w:pStyle w:val="TableParagraph"/>
              <w:spacing w:line="251" w:lineRule="exact"/>
              <w:ind w:left="-1"/>
              <w:rPr>
                <w:rFonts w:ascii="Times New Roman" w:eastAsia="Times New Roman" w:hAnsi="Times New Roman" w:cs="Times New Roman"/>
                <w:lang w:val="hu-HU"/>
              </w:rPr>
            </w:pPr>
            <w:r>
              <w:rPr>
                <w:rFonts w:ascii="Times New Roman" w:eastAsia="Times New Roman" w:hAnsi="Times New Roman" w:cs="Times New Roman"/>
                <w:b/>
                <w:bCs/>
                <w:spacing w:val="-1"/>
                <w:lang w:val="hu-HU"/>
              </w:rPr>
              <w:t>Kortikoszteroidok felfüggesztése</w:t>
            </w:r>
          </w:p>
        </w:tc>
        <w:tc>
          <w:tcPr>
            <w:tcW w:w="1984" w:type="dxa"/>
            <w:tcBorders>
              <w:top w:val="single" w:sz="7" w:space="0" w:color="000000"/>
              <w:left w:val="single" w:sz="7" w:space="0" w:color="000000"/>
              <w:bottom w:val="single" w:sz="7" w:space="0" w:color="000000"/>
              <w:right w:val="single" w:sz="7" w:space="0" w:color="000000"/>
            </w:tcBorders>
          </w:tcPr>
          <w:p w14:paraId="39AFFD16" w14:textId="7D50CAD5" w:rsidR="00773429" w:rsidRDefault="006134AF" w:rsidP="00604DFB">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773429">
              <w:rPr>
                <w:rFonts w:ascii="Times New Roman" w:eastAsia="Times New Roman" w:hAnsi="Times New Roman" w:cs="Times New Roman"/>
                <w:b/>
                <w:bCs/>
                <w:spacing w:val="-1"/>
                <w:lang w:val="hu-HU"/>
              </w:rPr>
              <w:t>= 33</w:t>
            </w:r>
          </w:p>
        </w:tc>
        <w:tc>
          <w:tcPr>
            <w:tcW w:w="1985" w:type="dxa"/>
            <w:tcBorders>
              <w:top w:val="single" w:sz="7" w:space="0" w:color="000000"/>
              <w:left w:val="single" w:sz="7" w:space="0" w:color="000000"/>
              <w:bottom w:val="single" w:sz="7" w:space="0" w:color="000000"/>
              <w:right w:val="single" w:sz="7" w:space="0" w:color="000000"/>
            </w:tcBorders>
          </w:tcPr>
          <w:p w14:paraId="2F8D12F4" w14:textId="1F8242DE" w:rsidR="00773429" w:rsidRDefault="006134AF" w:rsidP="00604DFB">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773429">
              <w:rPr>
                <w:rFonts w:ascii="Times New Roman" w:eastAsia="Times New Roman" w:hAnsi="Times New Roman" w:cs="Times New Roman"/>
                <w:b/>
                <w:bCs/>
                <w:spacing w:val="-1"/>
                <w:lang w:val="hu-HU"/>
              </w:rPr>
              <w:t>=38</w:t>
            </w:r>
          </w:p>
        </w:tc>
        <w:tc>
          <w:tcPr>
            <w:tcW w:w="962" w:type="dxa"/>
            <w:tcBorders>
              <w:top w:val="single" w:sz="7" w:space="0" w:color="000000"/>
              <w:left w:val="single" w:sz="7" w:space="0" w:color="000000"/>
              <w:bottom w:val="single" w:sz="7" w:space="0" w:color="000000"/>
              <w:right w:val="single" w:sz="7" w:space="0" w:color="000000"/>
            </w:tcBorders>
          </w:tcPr>
          <w:p w14:paraId="521CEBF0" w14:textId="77777777" w:rsidR="00773429" w:rsidRDefault="00773429" w:rsidP="00604DFB">
            <w:pPr>
              <w:jc w:val="center"/>
              <w:rPr>
                <w:lang w:val="hu-HU"/>
              </w:rPr>
            </w:pPr>
          </w:p>
        </w:tc>
      </w:tr>
      <w:tr w:rsidR="00773429" w14:paraId="6FF446A6" w14:textId="77777777" w:rsidTr="00604DFB">
        <w:tc>
          <w:tcPr>
            <w:tcW w:w="3510" w:type="dxa"/>
            <w:tcBorders>
              <w:top w:val="single" w:sz="7" w:space="0" w:color="000000"/>
              <w:left w:val="single" w:sz="7" w:space="0" w:color="000000"/>
              <w:bottom w:val="single" w:sz="7" w:space="0" w:color="000000"/>
              <w:right w:val="single" w:sz="7" w:space="0" w:color="000000"/>
            </w:tcBorders>
          </w:tcPr>
          <w:p w14:paraId="627928E9" w14:textId="77777777" w:rsidR="00773429" w:rsidRDefault="00773429" w:rsidP="00604DFB">
            <w:pPr>
              <w:pStyle w:val="TableParagraph"/>
              <w:spacing w:line="246" w:lineRule="exact"/>
              <w:ind w:left="-1"/>
              <w:rPr>
                <w:rFonts w:ascii="Times New Roman" w:eastAsia="Times New Roman" w:hAnsi="Times New Roman" w:cs="Times New Roman"/>
                <w:lang w:val="hu-HU"/>
              </w:rPr>
            </w:pPr>
            <w:r>
              <w:rPr>
                <w:rFonts w:ascii="Times New Roman" w:eastAsia="Times New Roman" w:hAnsi="Times New Roman" w:cs="Times New Roman"/>
                <w:lang w:val="hu-HU"/>
              </w:rPr>
              <w:t>26. hét</w:t>
            </w:r>
          </w:p>
        </w:tc>
        <w:tc>
          <w:tcPr>
            <w:tcW w:w="1984" w:type="dxa"/>
            <w:tcBorders>
              <w:top w:val="single" w:sz="7" w:space="0" w:color="000000"/>
              <w:left w:val="single" w:sz="7" w:space="0" w:color="000000"/>
              <w:bottom w:val="single" w:sz="7" w:space="0" w:color="000000"/>
              <w:right w:val="single" w:sz="7" w:space="0" w:color="000000"/>
            </w:tcBorders>
          </w:tcPr>
          <w:p w14:paraId="5D2362E3" w14:textId="77777777" w:rsidR="00773429" w:rsidRDefault="00773429" w:rsidP="00604DFB">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84,8%</w:t>
            </w:r>
          </w:p>
        </w:tc>
        <w:tc>
          <w:tcPr>
            <w:tcW w:w="1985" w:type="dxa"/>
            <w:tcBorders>
              <w:top w:val="single" w:sz="7" w:space="0" w:color="000000"/>
              <w:left w:val="single" w:sz="7" w:space="0" w:color="000000"/>
              <w:bottom w:val="single" w:sz="7" w:space="0" w:color="000000"/>
              <w:right w:val="single" w:sz="7" w:space="0" w:color="000000"/>
            </w:tcBorders>
          </w:tcPr>
          <w:p w14:paraId="31957C0D" w14:textId="77777777" w:rsidR="00773429" w:rsidRDefault="00773429" w:rsidP="00604DFB">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65,8%</w:t>
            </w:r>
          </w:p>
        </w:tc>
        <w:tc>
          <w:tcPr>
            <w:tcW w:w="962" w:type="dxa"/>
            <w:tcBorders>
              <w:top w:val="single" w:sz="7" w:space="0" w:color="000000"/>
              <w:left w:val="single" w:sz="7" w:space="0" w:color="000000"/>
              <w:bottom w:val="single" w:sz="7" w:space="0" w:color="000000"/>
              <w:right w:val="single" w:sz="7" w:space="0" w:color="000000"/>
            </w:tcBorders>
          </w:tcPr>
          <w:p w14:paraId="4EC4D38A" w14:textId="77777777" w:rsidR="00773429" w:rsidRDefault="00773429" w:rsidP="00604DFB">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0,066</w:t>
            </w:r>
          </w:p>
        </w:tc>
      </w:tr>
      <w:tr w:rsidR="00773429" w14:paraId="5FFB845D" w14:textId="77777777" w:rsidTr="00604DFB">
        <w:tc>
          <w:tcPr>
            <w:tcW w:w="3510" w:type="dxa"/>
            <w:tcBorders>
              <w:top w:val="single" w:sz="7" w:space="0" w:color="000000"/>
              <w:left w:val="single" w:sz="7" w:space="0" w:color="000000"/>
              <w:bottom w:val="single" w:sz="7" w:space="0" w:color="000000"/>
              <w:right w:val="single" w:sz="7" w:space="0" w:color="000000"/>
            </w:tcBorders>
          </w:tcPr>
          <w:p w14:paraId="09472F44" w14:textId="77777777" w:rsidR="00773429" w:rsidRDefault="00773429" w:rsidP="00604DFB">
            <w:pPr>
              <w:pStyle w:val="TableParagraph"/>
              <w:spacing w:line="246" w:lineRule="exact"/>
              <w:ind w:left="-1"/>
              <w:rPr>
                <w:rFonts w:ascii="Times New Roman" w:eastAsia="Times New Roman" w:hAnsi="Times New Roman" w:cs="Times New Roman"/>
                <w:lang w:val="hu-HU"/>
              </w:rPr>
            </w:pPr>
            <w:r>
              <w:rPr>
                <w:rFonts w:ascii="Times New Roman" w:eastAsia="Times New Roman" w:hAnsi="Times New Roman" w:cs="Times New Roman"/>
                <w:lang w:val="hu-HU"/>
              </w:rPr>
              <w:t>52. hét</w:t>
            </w:r>
          </w:p>
        </w:tc>
        <w:tc>
          <w:tcPr>
            <w:tcW w:w="1984" w:type="dxa"/>
            <w:tcBorders>
              <w:top w:val="single" w:sz="7" w:space="0" w:color="000000"/>
              <w:left w:val="single" w:sz="7" w:space="0" w:color="000000"/>
              <w:bottom w:val="single" w:sz="7" w:space="0" w:color="000000"/>
              <w:right w:val="single" w:sz="7" w:space="0" w:color="000000"/>
            </w:tcBorders>
          </w:tcPr>
          <w:p w14:paraId="0AECF8FB" w14:textId="77777777" w:rsidR="00773429" w:rsidRDefault="00773429" w:rsidP="00604DFB">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69,7%</w:t>
            </w:r>
          </w:p>
        </w:tc>
        <w:tc>
          <w:tcPr>
            <w:tcW w:w="1985" w:type="dxa"/>
            <w:tcBorders>
              <w:top w:val="single" w:sz="7" w:space="0" w:color="000000"/>
              <w:left w:val="single" w:sz="7" w:space="0" w:color="000000"/>
              <w:bottom w:val="single" w:sz="7" w:space="0" w:color="000000"/>
              <w:right w:val="single" w:sz="7" w:space="0" w:color="000000"/>
            </w:tcBorders>
          </w:tcPr>
          <w:p w14:paraId="40186E47" w14:textId="77777777" w:rsidR="00773429" w:rsidRDefault="00773429" w:rsidP="00604DFB">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60,5%</w:t>
            </w:r>
          </w:p>
        </w:tc>
        <w:tc>
          <w:tcPr>
            <w:tcW w:w="962" w:type="dxa"/>
            <w:tcBorders>
              <w:top w:val="single" w:sz="7" w:space="0" w:color="000000"/>
              <w:left w:val="single" w:sz="7" w:space="0" w:color="000000"/>
              <w:bottom w:val="single" w:sz="7" w:space="0" w:color="000000"/>
              <w:right w:val="single" w:sz="7" w:space="0" w:color="000000"/>
            </w:tcBorders>
          </w:tcPr>
          <w:p w14:paraId="044B835F" w14:textId="77777777" w:rsidR="00773429" w:rsidRDefault="00773429" w:rsidP="00604DFB">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0,420</w:t>
            </w:r>
          </w:p>
        </w:tc>
      </w:tr>
      <w:tr w:rsidR="00773429" w14:paraId="07577360" w14:textId="77777777" w:rsidTr="00604DFB">
        <w:tc>
          <w:tcPr>
            <w:tcW w:w="3510" w:type="dxa"/>
            <w:tcBorders>
              <w:top w:val="single" w:sz="7" w:space="0" w:color="000000"/>
              <w:left w:val="single" w:sz="7" w:space="0" w:color="000000"/>
              <w:bottom w:val="single" w:sz="7" w:space="0" w:color="000000"/>
              <w:right w:val="single" w:sz="7" w:space="0" w:color="000000"/>
            </w:tcBorders>
          </w:tcPr>
          <w:p w14:paraId="4F11CE1C" w14:textId="77777777" w:rsidR="00773429" w:rsidRDefault="00773429" w:rsidP="00604DFB">
            <w:pPr>
              <w:pStyle w:val="TableParagraph"/>
              <w:spacing w:line="251" w:lineRule="exact"/>
              <w:ind w:left="-1"/>
              <w:rPr>
                <w:rFonts w:ascii="Times New Roman" w:eastAsia="Times New Roman" w:hAnsi="Times New Roman" w:cs="Times New Roman"/>
                <w:sz w:val="14"/>
                <w:szCs w:val="14"/>
                <w:lang w:val="hu-HU"/>
              </w:rPr>
            </w:pPr>
            <w:r>
              <w:rPr>
                <w:rFonts w:ascii="Times New Roman" w:eastAsia="Times New Roman" w:hAnsi="Times New Roman" w:cs="Times New Roman"/>
                <w:b/>
                <w:bCs/>
                <w:spacing w:val="-1"/>
                <w:lang w:val="hu-HU"/>
              </w:rPr>
              <w:t>Immunomodulátorok felfüggesztése</w:t>
            </w:r>
            <w:r w:rsidRPr="009167C6">
              <w:rPr>
                <w:rFonts w:ascii="Times New Roman" w:eastAsia="Times New Roman" w:hAnsi="Times New Roman" w:cs="Times New Roman"/>
                <w:b/>
                <w:bCs/>
                <w:spacing w:val="-1"/>
                <w:vertAlign w:val="superscript"/>
                <w:lang w:val="hu-HU"/>
              </w:rPr>
              <w:t>2</w:t>
            </w:r>
          </w:p>
        </w:tc>
        <w:tc>
          <w:tcPr>
            <w:tcW w:w="1984" w:type="dxa"/>
            <w:tcBorders>
              <w:top w:val="single" w:sz="7" w:space="0" w:color="000000"/>
              <w:left w:val="single" w:sz="7" w:space="0" w:color="000000"/>
              <w:bottom w:val="single" w:sz="7" w:space="0" w:color="000000"/>
              <w:right w:val="single" w:sz="7" w:space="0" w:color="000000"/>
            </w:tcBorders>
          </w:tcPr>
          <w:p w14:paraId="791CD858" w14:textId="634C114B" w:rsidR="00773429" w:rsidRDefault="002B55BF" w:rsidP="00604DFB">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773429">
              <w:rPr>
                <w:rFonts w:ascii="Times New Roman" w:eastAsia="Times New Roman" w:hAnsi="Times New Roman" w:cs="Times New Roman"/>
                <w:b/>
                <w:bCs/>
                <w:spacing w:val="-1"/>
                <w:lang w:val="hu-HU"/>
              </w:rPr>
              <w:t>=60</w:t>
            </w:r>
          </w:p>
        </w:tc>
        <w:tc>
          <w:tcPr>
            <w:tcW w:w="1985" w:type="dxa"/>
            <w:tcBorders>
              <w:top w:val="single" w:sz="7" w:space="0" w:color="000000"/>
              <w:left w:val="single" w:sz="7" w:space="0" w:color="000000"/>
              <w:bottom w:val="single" w:sz="7" w:space="0" w:color="000000"/>
              <w:right w:val="single" w:sz="7" w:space="0" w:color="000000"/>
            </w:tcBorders>
          </w:tcPr>
          <w:p w14:paraId="62A48F71" w14:textId="7840517F" w:rsidR="00773429" w:rsidRDefault="002B55BF" w:rsidP="00604DFB">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773429">
              <w:rPr>
                <w:rFonts w:ascii="Times New Roman" w:eastAsia="Times New Roman" w:hAnsi="Times New Roman" w:cs="Times New Roman"/>
                <w:b/>
                <w:bCs/>
                <w:spacing w:val="-1"/>
                <w:lang w:val="hu-HU"/>
              </w:rPr>
              <w:t>=57</w:t>
            </w:r>
          </w:p>
        </w:tc>
        <w:tc>
          <w:tcPr>
            <w:tcW w:w="962" w:type="dxa"/>
            <w:tcBorders>
              <w:top w:val="single" w:sz="7" w:space="0" w:color="000000"/>
              <w:left w:val="single" w:sz="7" w:space="0" w:color="000000"/>
              <w:bottom w:val="single" w:sz="7" w:space="0" w:color="000000"/>
              <w:right w:val="single" w:sz="7" w:space="0" w:color="000000"/>
            </w:tcBorders>
          </w:tcPr>
          <w:p w14:paraId="5E1FDC68" w14:textId="77777777" w:rsidR="00773429" w:rsidRDefault="00773429" w:rsidP="00604DFB">
            <w:pPr>
              <w:jc w:val="center"/>
              <w:rPr>
                <w:lang w:val="hu-HU"/>
              </w:rPr>
            </w:pPr>
          </w:p>
        </w:tc>
      </w:tr>
      <w:tr w:rsidR="00773429" w14:paraId="1C37648C" w14:textId="77777777" w:rsidTr="00604DFB">
        <w:tc>
          <w:tcPr>
            <w:tcW w:w="3510" w:type="dxa"/>
            <w:tcBorders>
              <w:top w:val="single" w:sz="7" w:space="0" w:color="000000"/>
              <w:left w:val="single" w:sz="7" w:space="0" w:color="000000"/>
              <w:bottom w:val="single" w:sz="7" w:space="0" w:color="000000"/>
              <w:right w:val="single" w:sz="7" w:space="0" w:color="000000"/>
            </w:tcBorders>
          </w:tcPr>
          <w:p w14:paraId="40F1EB70" w14:textId="77777777" w:rsidR="00773429" w:rsidRDefault="00773429" w:rsidP="00604DFB">
            <w:pPr>
              <w:pStyle w:val="TableParagraph"/>
              <w:spacing w:line="246" w:lineRule="exact"/>
              <w:ind w:left="-1"/>
              <w:rPr>
                <w:rFonts w:ascii="Times New Roman" w:eastAsia="Times New Roman" w:hAnsi="Times New Roman" w:cs="Times New Roman"/>
                <w:lang w:val="hu-HU"/>
              </w:rPr>
            </w:pPr>
            <w:r>
              <w:rPr>
                <w:rFonts w:ascii="Times New Roman" w:eastAsia="Times New Roman" w:hAnsi="Times New Roman" w:cs="Times New Roman"/>
                <w:lang w:val="hu-HU"/>
              </w:rPr>
              <w:t>52. hét</w:t>
            </w:r>
          </w:p>
        </w:tc>
        <w:tc>
          <w:tcPr>
            <w:tcW w:w="1984" w:type="dxa"/>
            <w:tcBorders>
              <w:top w:val="single" w:sz="7" w:space="0" w:color="000000"/>
              <w:left w:val="single" w:sz="7" w:space="0" w:color="000000"/>
              <w:bottom w:val="single" w:sz="7" w:space="0" w:color="000000"/>
              <w:right w:val="single" w:sz="7" w:space="0" w:color="000000"/>
            </w:tcBorders>
          </w:tcPr>
          <w:p w14:paraId="1BE1FF0E" w14:textId="77777777" w:rsidR="00773429" w:rsidRDefault="00773429" w:rsidP="00604DFB">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30,0%</w:t>
            </w:r>
          </w:p>
        </w:tc>
        <w:tc>
          <w:tcPr>
            <w:tcW w:w="1985" w:type="dxa"/>
            <w:tcBorders>
              <w:top w:val="single" w:sz="7" w:space="0" w:color="000000"/>
              <w:left w:val="single" w:sz="7" w:space="0" w:color="000000"/>
              <w:bottom w:val="single" w:sz="7" w:space="0" w:color="000000"/>
              <w:right w:val="single" w:sz="7" w:space="0" w:color="000000"/>
            </w:tcBorders>
          </w:tcPr>
          <w:p w14:paraId="48028DFB" w14:textId="77777777" w:rsidR="00773429" w:rsidRDefault="00773429" w:rsidP="00604DFB">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29,8%</w:t>
            </w:r>
          </w:p>
        </w:tc>
        <w:tc>
          <w:tcPr>
            <w:tcW w:w="962" w:type="dxa"/>
            <w:tcBorders>
              <w:top w:val="single" w:sz="7" w:space="0" w:color="000000"/>
              <w:left w:val="single" w:sz="7" w:space="0" w:color="000000"/>
              <w:bottom w:val="single" w:sz="7" w:space="0" w:color="000000"/>
              <w:right w:val="single" w:sz="7" w:space="0" w:color="000000"/>
            </w:tcBorders>
          </w:tcPr>
          <w:p w14:paraId="250DC47B" w14:textId="77777777" w:rsidR="00773429" w:rsidRDefault="00773429" w:rsidP="00604DFB">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0,983</w:t>
            </w:r>
          </w:p>
        </w:tc>
      </w:tr>
      <w:tr w:rsidR="00773429" w14:paraId="656D02FF" w14:textId="77777777" w:rsidTr="00604DFB">
        <w:tc>
          <w:tcPr>
            <w:tcW w:w="3510" w:type="dxa"/>
            <w:tcBorders>
              <w:top w:val="single" w:sz="7" w:space="0" w:color="000000"/>
              <w:left w:val="single" w:sz="7" w:space="0" w:color="000000"/>
              <w:bottom w:val="single" w:sz="7" w:space="0" w:color="000000"/>
              <w:right w:val="single" w:sz="7" w:space="0" w:color="000000"/>
            </w:tcBorders>
          </w:tcPr>
          <w:p w14:paraId="14191BBD" w14:textId="77777777" w:rsidR="00773429" w:rsidRDefault="00773429" w:rsidP="00604DFB">
            <w:pPr>
              <w:pStyle w:val="TableParagraph"/>
              <w:spacing w:line="251" w:lineRule="exact"/>
              <w:ind w:left="-1"/>
              <w:rPr>
                <w:rFonts w:ascii="Times New Roman" w:eastAsia="Times New Roman" w:hAnsi="Times New Roman" w:cs="Times New Roman"/>
                <w:sz w:val="14"/>
                <w:szCs w:val="14"/>
                <w:lang w:val="hu-HU"/>
              </w:rPr>
            </w:pPr>
            <w:r>
              <w:rPr>
                <w:rFonts w:ascii="Times New Roman" w:eastAsia="Times New Roman" w:hAnsi="Times New Roman" w:cs="Times New Roman"/>
                <w:b/>
                <w:bCs/>
                <w:spacing w:val="-1"/>
                <w:lang w:val="hu-HU"/>
              </w:rPr>
              <w:lastRenderedPageBreak/>
              <w:t>Fistula-remisszió</w:t>
            </w:r>
            <w:r w:rsidRPr="009167C6">
              <w:rPr>
                <w:rFonts w:ascii="Times New Roman" w:eastAsia="Times New Roman" w:hAnsi="Times New Roman" w:cs="Times New Roman"/>
                <w:b/>
                <w:bCs/>
                <w:spacing w:val="-1"/>
                <w:vertAlign w:val="superscript"/>
                <w:lang w:val="hu-HU"/>
              </w:rPr>
              <w:t>3</w:t>
            </w:r>
          </w:p>
        </w:tc>
        <w:tc>
          <w:tcPr>
            <w:tcW w:w="1984" w:type="dxa"/>
            <w:tcBorders>
              <w:top w:val="single" w:sz="7" w:space="0" w:color="000000"/>
              <w:left w:val="single" w:sz="7" w:space="0" w:color="000000"/>
              <w:bottom w:val="single" w:sz="7" w:space="0" w:color="000000"/>
              <w:right w:val="single" w:sz="7" w:space="0" w:color="000000"/>
            </w:tcBorders>
          </w:tcPr>
          <w:p w14:paraId="2249E313" w14:textId="56835A83" w:rsidR="00773429" w:rsidRDefault="002B55BF" w:rsidP="00604DFB">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773429">
              <w:rPr>
                <w:rFonts w:ascii="Times New Roman" w:eastAsia="Times New Roman" w:hAnsi="Times New Roman" w:cs="Times New Roman"/>
                <w:b/>
                <w:bCs/>
                <w:spacing w:val="-1"/>
                <w:lang w:val="hu-HU"/>
              </w:rPr>
              <w:t>=15</w:t>
            </w:r>
          </w:p>
        </w:tc>
        <w:tc>
          <w:tcPr>
            <w:tcW w:w="1985" w:type="dxa"/>
            <w:tcBorders>
              <w:top w:val="single" w:sz="7" w:space="0" w:color="000000"/>
              <w:left w:val="single" w:sz="7" w:space="0" w:color="000000"/>
              <w:bottom w:val="single" w:sz="7" w:space="0" w:color="000000"/>
              <w:right w:val="single" w:sz="7" w:space="0" w:color="000000"/>
            </w:tcBorders>
          </w:tcPr>
          <w:p w14:paraId="07991956" w14:textId="08344AA8" w:rsidR="00773429" w:rsidRDefault="002B55BF" w:rsidP="00604DFB">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773429">
              <w:rPr>
                <w:rFonts w:ascii="Times New Roman" w:eastAsia="Times New Roman" w:hAnsi="Times New Roman" w:cs="Times New Roman"/>
                <w:b/>
                <w:bCs/>
                <w:spacing w:val="-1"/>
                <w:lang w:val="hu-HU"/>
              </w:rPr>
              <w:t>=21</w:t>
            </w:r>
          </w:p>
        </w:tc>
        <w:tc>
          <w:tcPr>
            <w:tcW w:w="962" w:type="dxa"/>
            <w:tcBorders>
              <w:top w:val="single" w:sz="7" w:space="0" w:color="000000"/>
              <w:left w:val="single" w:sz="7" w:space="0" w:color="000000"/>
              <w:bottom w:val="single" w:sz="7" w:space="0" w:color="000000"/>
              <w:right w:val="single" w:sz="7" w:space="0" w:color="000000"/>
            </w:tcBorders>
          </w:tcPr>
          <w:p w14:paraId="176DAC05" w14:textId="77777777" w:rsidR="00773429" w:rsidRDefault="00773429" w:rsidP="00604DFB">
            <w:pPr>
              <w:jc w:val="center"/>
              <w:rPr>
                <w:lang w:val="hu-HU"/>
              </w:rPr>
            </w:pPr>
          </w:p>
        </w:tc>
      </w:tr>
      <w:tr w:rsidR="00773429" w14:paraId="53F94DD5" w14:textId="77777777" w:rsidTr="00604DFB">
        <w:tc>
          <w:tcPr>
            <w:tcW w:w="3510" w:type="dxa"/>
            <w:tcBorders>
              <w:top w:val="single" w:sz="7" w:space="0" w:color="000000"/>
              <w:left w:val="single" w:sz="7" w:space="0" w:color="000000"/>
              <w:bottom w:val="single" w:sz="7" w:space="0" w:color="000000"/>
              <w:right w:val="single" w:sz="7" w:space="0" w:color="000000"/>
            </w:tcBorders>
          </w:tcPr>
          <w:p w14:paraId="2218DFE8" w14:textId="77777777" w:rsidR="00773429" w:rsidRDefault="00773429" w:rsidP="00604DFB">
            <w:pPr>
              <w:pStyle w:val="TableParagraph"/>
              <w:spacing w:line="246" w:lineRule="exact"/>
              <w:ind w:left="-1"/>
              <w:rPr>
                <w:rFonts w:ascii="Times New Roman" w:eastAsia="Times New Roman" w:hAnsi="Times New Roman" w:cs="Times New Roman"/>
                <w:lang w:val="hu-HU"/>
              </w:rPr>
            </w:pPr>
            <w:r>
              <w:rPr>
                <w:rFonts w:ascii="Times New Roman" w:eastAsia="Times New Roman" w:hAnsi="Times New Roman" w:cs="Times New Roman"/>
                <w:lang w:val="hu-HU"/>
              </w:rPr>
              <w:t>26. hét</w:t>
            </w:r>
          </w:p>
        </w:tc>
        <w:tc>
          <w:tcPr>
            <w:tcW w:w="1984" w:type="dxa"/>
            <w:tcBorders>
              <w:top w:val="single" w:sz="7" w:space="0" w:color="000000"/>
              <w:left w:val="single" w:sz="7" w:space="0" w:color="000000"/>
              <w:bottom w:val="single" w:sz="7" w:space="0" w:color="000000"/>
              <w:right w:val="single" w:sz="7" w:space="0" w:color="000000"/>
            </w:tcBorders>
          </w:tcPr>
          <w:p w14:paraId="2F529702" w14:textId="77777777" w:rsidR="00773429" w:rsidRDefault="00773429" w:rsidP="00604DFB">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46,7%</w:t>
            </w:r>
          </w:p>
        </w:tc>
        <w:tc>
          <w:tcPr>
            <w:tcW w:w="1985" w:type="dxa"/>
            <w:tcBorders>
              <w:top w:val="single" w:sz="7" w:space="0" w:color="000000"/>
              <w:left w:val="single" w:sz="7" w:space="0" w:color="000000"/>
              <w:bottom w:val="single" w:sz="7" w:space="0" w:color="000000"/>
              <w:right w:val="single" w:sz="7" w:space="0" w:color="000000"/>
            </w:tcBorders>
          </w:tcPr>
          <w:p w14:paraId="0E77E565" w14:textId="77777777" w:rsidR="00773429" w:rsidRDefault="00773429" w:rsidP="00604DFB">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38,1%</w:t>
            </w:r>
          </w:p>
        </w:tc>
        <w:tc>
          <w:tcPr>
            <w:tcW w:w="962" w:type="dxa"/>
            <w:tcBorders>
              <w:top w:val="single" w:sz="7" w:space="0" w:color="000000"/>
              <w:left w:val="single" w:sz="7" w:space="0" w:color="000000"/>
              <w:bottom w:val="single" w:sz="7" w:space="0" w:color="000000"/>
              <w:right w:val="single" w:sz="7" w:space="0" w:color="000000"/>
            </w:tcBorders>
          </w:tcPr>
          <w:p w14:paraId="28A819FA" w14:textId="77777777" w:rsidR="00773429" w:rsidRDefault="00773429" w:rsidP="00604DFB">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0,608</w:t>
            </w:r>
          </w:p>
        </w:tc>
      </w:tr>
      <w:tr w:rsidR="00773429" w14:paraId="54BE124A" w14:textId="77777777" w:rsidTr="00604DFB">
        <w:tc>
          <w:tcPr>
            <w:tcW w:w="3510" w:type="dxa"/>
            <w:tcBorders>
              <w:top w:val="single" w:sz="7" w:space="0" w:color="000000"/>
              <w:left w:val="single" w:sz="7" w:space="0" w:color="000000"/>
              <w:bottom w:val="single" w:sz="5" w:space="0" w:color="000000"/>
              <w:right w:val="single" w:sz="7" w:space="0" w:color="000000"/>
            </w:tcBorders>
          </w:tcPr>
          <w:p w14:paraId="1E2BBF32" w14:textId="77777777" w:rsidR="00773429" w:rsidRDefault="00773429" w:rsidP="00604DFB">
            <w:pPr>
              <w:pStyle w:val="TableParagraph"/>
              <w:spacing w:line="246" w:lineRule="exact"/>
              <w:ind w:left="-1"/>
              <w:rPr>
                <w:rFonts w:ascii="Times New Roman" w:eastAsia="Times New Roman" w:hAnsi="Times New Roman" w:cs="Times New Roman"/>
                <w:lang w:val="hu-HU"/>
              </w:rPr>
            </w:pPr>
            <w:r>
              <w:rPr>
                <w:rFonts w:ascii="Times New Roman" w:eastAsia="Times New Roman" w:hAnsi="Times New Roman" w:cs="Times New Roman"/>
                <w:lang w:val="hu-HU"/>
              </w:rPr>
              <w:t>52. hét</w:t>
            </w:r>
          </w:p>
        </w:tc>
        <w:tc>
          <w:tcPr>
            <w:tcW w:w="1984" w:type="dxa"/>
            <w:tcBorders>
              <w:top w:val="single" w:sz="7" w:space="0" w:color="000000"/>
              <w:left w:val="single" w:sz="7" w:space="0" w:color="000000"/>
              <w:bottom w:val="single" w:sz="5" w:space="0" w:color="000000"/>
              <w:right w:val="single" w:sz="7" w:space="0" w:color="000000"/>
            </w:tcBorders>
          </w:tcPr>
          <w:p w14:paraId="0F529A56" w14:textId="77777777" w:rsidR="00773429" w:rsidRDefault="00773429" w:rsidP="00604DFB">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40,0%</w:t>
            </w:r>
          </w:p>
        </w:tc>
        <w:tc>
          <w:tcPr>
            <w:tcW w:w="1985" w:type="dxa"/>
            <w:tcBorders>
              <w:top w:val="single" w:sz="7" w:space="0" w:color="000000"/>
              <w:left w:val="single" w:sz="7" w:space="0" w:color="000000"/>
              <w:bottom w:val="single" w:sz="5" w:space="0" w:color="000000"/>
              <w:right w:val="single" w:sz="7" w:space="0" w:color="000000"/>
            </w:tcBorders>
          </w:tcPr>
          <w:p w14:paraId="6EF79F6B" w14:textId="77777777" w:rsidR="00773429" w:rsidRDefault="00773429" w:rsidP="00604DFB">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23,8%</w:t>
            </w:r>
          </w:p>
        </w:tc>
        <w:tc>
          <w:tcPr>
            <w:tcW w:w="962" w:type="dxa"/>
            <w:tcBorders>
              <w:top w:val="single" w:sz="7" w:space="0" w:color="000000"/>
              <w:left w:val="single" w:sz="7" w:space="0" w:color="000000"/>
              <w:bottom w:val="single" w:sz="5" w:space="0" w:color="000000"/>
              <w:right w:val="single" w:sz="7" w:space="0" w:color="000000"/>
            </w:tcBorders>
          </w:tcPr>
          <w:p w14:paraId="2CABC555" w14:textId="77777777" w:rsidR="00773429" w:rsidRDefault="00773429" w:rsidP="00604DFB">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0,303</w:t>
            </w:r>
          </w:p>
        </w:tc>
      </w:tr>
    </w:tbl>
    <w:p w14:paraId="1AD07481" w14:textId="77777777" w:rsidR="00773429" w:rsidRDefault="00773429" w:rsidP="00773429">
      <w:pPr>
        <w:pStyle w:val="a3"/>
        <w:numPr>
          <w:ilvl w:val="0"/>
          <w:numId w:val="56"/>
        </w:numPr>
        <w:ind w:left="181"/>
        <w:rPr>
          <w:lang w:val="hu-HU"/>
        </w:rPr>
      </w:pPr>
      <w:r>
        <w:rPr>
          <w:rFonts w:eastAsia="Times New Roman"/>
          <w:lang w:val="hu-HU"/>
        </w:rPr>
        <w:t xml:space="preserve">p érték Standard dózis </w:t>
      </w:r>
      <w:r>
        <w:rPr>
          <w:rFonts w:eastAsia="Times New Roman"/>
          <w:i/>
          <w:iCs/>
          <w:lang w:val="hu-HU"/>
        </w:rPr>
        <w:t xml:space="preserve">versus </w:t>
      </w:r>
      <w:r>
        <w:rPr>
          <w:rFonts w:eastAsia="Times New Roman"/>
          <w:lang w:val="hu-HU"/>
        </w:rPr>
        <w:t>alacsony dózis összehasonlítása esetén.</w:t>
      </w:r>
    </w:p>
    <w:p w14:paraId="4A12479D" w14:textId="77777777" w:rsidR="00773429" w:rsidRDefault="00773429" w:rsidP="00773429">
      <w:pPr>
        <w:pStyle w:val="a3"/>
        <w:numPr>
          <w:ilvl w:val="0"/>
          <w:numId w:val="56"/>
        </w:numPr>
        <w:ind w:left="181" w:hanging="181"/>
        <w:rPr>
          <w:lang w:val="hu-HU"/>
        </w:rPr>
      </w:pPr>
      <w:r>
        <w:rPr>
          <w:rFonts w:eastAsia="Times New Roman"/>
          <w:lang w:val="hu-HU"/>
        </w:rPr>
        <w:t>Az immunszuppresszív kezelést csak a 26. héten vagy azt követően lehetett felfüggeszteni a vizsgáló orvos megítélése alapján, ha a beteg teljesítette a klinikai válasz kritériumait</w:t>
      </w:r>
    </w:p>
    <w:p w14:paraId="3A522834" w14:textId="77777777" w:rsidR="00773429" w:rsidRDefault="00773429" w:rsidP="00773429">
      <w:pPr>
        <w:pStyle w:val="a3"/>
        <w:numPr>
          <w:ilvl w:val="0"/>
          <w:numId w:val="56"/>
        </w:numPr>
        <w:ind w:left="181" w:hanging="181"/>
        <w:rPr>
          <w:lang w:val="hu-HU"/>
        </w:rPr>
      </w:pPr>
      <w:r>
        <w:rPr>
          <w:rFonts w:eastAsia="Times New Roman"/>
          <w:lang w:val="hu-HU"/>
        </w:rPr>
        <w:t>Meghatározás szerint valamennyi, a vizsgálat megkezdésekor váladékozó fistula záródása legalább 2 egymást követő kontrollvizsgálat alkalmával</w:t>
      </w:r>
    </w:p>
    <w:p w14:paraId="7CDD2861" w14:textId="77777777" w:rsidR="00773429" w:rsidRDefault="00773429" w:rsidP="00773429">
      <w:pPr>
        <w:spacing w:before="8" w:line="170" w:lineRule="exact"/>
        <w:rPr>
          <w:sz w:val="17"/>
          <w:szCs w:val="17"/>
          <w:lang w:val="hu-HU"/>
        </w:rPr>
      </w:pPr>
    </w:p>
    <w:p w14:paraId="4B631B1B" w14:textId="77777777" w:rsidR="00773429" w:rsidRDefault="00773429" w:rsidP="00773429">
      <w:pPr>
        <w:pStyle w:val="a3"/>
        <w:rPr>
          <w:lang w:val="hu-HU"/>
        </w:rPr>
      </w:pPr>
      <w:r>
        <w:rPr>
          <w:rFonts w:eastAsia="Times New Roman"/>
          <w:lang w:val="hu-HU"/>
        </w:rPr>
        <w:t>Mindkét kezelési csoportban a testtömegindex és a növekedési sebesség kiindulási értékhez viszonyított, statisztikailag szignifikáns emelkedését (javulását) észlelték a 26. és az 52. héten.</w:t>
      </w:r>
    </w:p>
    <w:p w14:paraId="3413BD0A" w14:textId="77777777" w:rsidR="00773429" w:rsidRDefault="00773429" w:rsidP="00773429">
      <w:pPr>
        <w:spacing w:before="14" w:line="240" w:lineRule="exact"/>
        <w:rPr>
          <w:sz w:val="24"/>
          <w:szCs w:val="24"/>
          <w:lang w:val="hu-HU"/>
        </w:rPr>
      </w:pPr>
    </w:p>
    <w:p w14:paraId="7448077D" w14:textId="77777777" w:rsidR="00773429" w:rsidRDefault="00773429" w:rsidP="00773429">
      <w:pPr>
        <w:pStyle w:val="a3"/>
        <w:rPr>
          <w:lang w:val="hu-HU"/>
        </w:rPr>
      </w:pPr>
      <w:r>
        <w:rPr>
          <w:rFonts w:eastAsia="Times New Roman"/>
          <w:lang w:val="hu-HU"/>
        </w:rPr>
        <w:t xml:space="preserve">Mindkét kezelési csoportban az életminőségi paraméterek (köztük az IMPACT </w:t>
      </w:r>
      <w:r w:rsidRPr="009167C6">
        <w:rPr>
          <w:lang w:val="hu-HU"/>
        </w:rPr>
        <w:t> </w:t>
      </w:r>
      <w:r>
        <w:rPr>
          <w:rFonts w:eastAsia="Times New Roman"/>
          <w:lang w:val="hu-HU"/>
        </w:rPr>
        <w:t xml:space="preserve"> III-t) kiindulási értékhez viszonyított, statisztikailag szignifikáns és klinikailag jelentős javulását is megfigyelték.</w:t>
      </w:r>
    </w:p>
    <w:p w14:paraId="0A5444F8" w14:textId="77777777" w:rsidR="00773429" w:rsidRDefault="00773429" w:rsidP="00773429">
      <w:pPr>
        <w:pStyle w:val="a3"/>
        <w:rPr>
          <w:lang w:val="hu-HU"/>
        </w:rPr>
      </w:pPr>
    </w:p>
    <w:p w14:paraId="5DE689A0" w14:textId="77777777" w:rsidR="00773429" w:rsidRDefault="00773429" w:rsidP="00773429">
      <w:pPr>
        <w:pStyle w:val="a3"/>
        <w:rPr>
          <w:lang w:val="hu-HU"/>
        </w:rPr>
      </w:pPr>
      <w:r>
        <w:rPr>
          <w:rFonts w:eastAsia="Times New Roman"/>
          <w:lang w:val="hu-HU"/>
        </w:rPr>
        <w:t>A gyermekkori CD vizsgálatból 100 beteg (n = 100) egy további, nyílt elrendezésű, hosszú távú vizsgálatban vett részt. Az 5 évig tartó adalimumab-kezelés után, a vizsgálatban továbbra is részt vevő 50 beteg 74,0%-ánál (37/50) fennmaradt a klinikai remisszió, és 92%-uk (46/50) adott PCDAI szerinti klinikai választ.</w:t>
      </w:r>
    </w:p>
    <w:p w14:paraId="703AAD6B" w14:textId="77777777" w:rsidR="00773429" w:rsidRPr="00AC50BB" w:rsidRDefault="00773429" w:rsidP="00773429">
      <w:pPr>
        <w:spacing w:before="13" w:line="240" w:lineRule="exact"/>
        <w:rPr>
          <w:sz w:val="24"/>
          <w:szCs w:val="24"/>
          <w:lang w:val="hu-HU"/>
        </w:rPr>
      </w:pPr>
    </w:p>
    <w:p w14:paraId="161BCA19" w14:textId="77777777" w:rsidR="00773429" w:rsidRPr="00E72311" w:rsidRDefault="00773429" w:rsidP="00773429">
      <w:pPr>
        <w:keepNext/>
        <w:widowControl/>
        <w:suppressAutoHyphens/>
        <w:spacing w:line="260" w:lineRule="exact"/>
        <w:rPr>
          <w:rFonts w:ascii="Times New Roman" w:eastAsia="바탕" w:hAnsi="Times New Roman" w:cs="Times New Roman"/>
          <w:bCs/>
          <w:i/>
          <w:szCs w:val="20"/>
          <w:lang w:val="hu-HU" w:eastAsia="hu-HU"/>
        </w:rPr>
      </w:pPr>
      <w:r w:rsidRPr="00E72311">
        <w:rPr>
          <w:rFonts w:ascii="Times New Roman" w:eastAsia="바탕" w:hAnsi="Times New Roman" w:cs="Times New Roman"/>
          <w:i/>
          <w:szCs w:val="20"/>
          <w:lang w:val="hu-HU" w:eastAsia="hu-HU"/>
        </w:rPr>
        <w:t>Gyermek- és serdülőkori colitis ulcerosa</w:t>
      </w:r>
    </w:p>
    <w:p w14:paraId="4324EE09" w14:textId="77777777" w:rsidR="00773429" w:rsidRPr="00E72311" w:rsidRDefault="00773429" w:rsidP="00773429">
      <w:pPr>
        <w:keepNext/>
        <w:widowControl/>
        <w:suppressAutoHyphens/>
        <w:spacing w:line="260" w:lineRule="exact"/>
        <w:rPr>
          <w:rFonts w:ascii="Times New Roman" w:eastAsia="바탕" w:hAnsi="Times New Roman" w:cs="Times New Roman"/>
          <w:bCs/>
          <w:i/>
          <w:szCs w:val="20"/>
          <w:lang w:val="hu-HU" w:eastAsia="hu-HU"/>
        </w:rPr>
      </w:pPr>
    </w:p>
    <w:p w14:paraId="7ACC97A6" w14:textId="77777777" w:rsidR="00773429" w:rsidRPr="00E72311" w:rsidRDefault="00773429" w:rsidP="00773429">
      <w:pPr>
        <w:widowControl/>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A</w:t>
      </w:r>
      <w:r>
        <w:rPr>
          <w:rFonts w:ascii="Times New Roman" w:eastAsia="바탕" w:hAnsi="Times New Roman" w:cs="Times New Roman"/>
          <w:szCs w:val="20"/>
          <w:lang w:val="hu-HU" w:eastAsia="hu-HU"/>
        </w:rPr>
        <w:t>z</w:t>
      </w:r>
      <w:r w:rsidRPr="00E72311">
        <w:rPr>
          <w:rFonts w:ascii="Times New Roman" w:eastAsia="바탕" w:hAnsi="Times New Roman" w:cs="Times New Roman"/>
          <w:szCs w:val="20"/>
          <w:lang w:val="hu-HU" w:eastAsia="hu-HU"/>
        </w:rPr>
        <w:t xml:space="preserve"> </w:t>
      </w:r>
      <w:r>
        <w:rPr>
          <w:rFonts w:ascii="Times New Roman" w:eastAsia="바탕" w:hAnsi="Times New Roman" w:cs="Times New Roman"/>
          <w:szCs w:val="20"/>
          <w:lang w:val="hu-HU" w:eastAsia="hu-HU"/>
        </w:rPr>
        <w:t>adalimumab</w:t>
      </w:r>
      <w:r w:rsidRPr="00E72311">
        <w:rPr>
          <w:rFonts w:ascii="Times New Roman" w:eastAsia="바탕" w:hAnsi="Times New Roman" w:cs="Times New Roman"/>
          <w:szCs w:val="20"/>
          <w:lang w:val="hu-HU" w:eastAsia="hu-HU"/>
        </w:rPr>
        <w:t xml:space="preserve"> biztonságosságát és hatásosságát egy multicentrikus, randomizált, kettős vak vizsgálatban értékelték, 93, közepesen súlyos – súlyos aktivitású colitis ulcerosában szenvedő (Mayo</w:t>
      </w:r>
      <w:r w:rsidRPr="00E72311">
        <w:rPr>
          <w:rFonts w:ascii="Times New Roman" w:eastAsia="바탕" w:hAnsi="Times New Roman" w:cs="Times New Roman"/>
          <w:szCs w:val="20"/>
          <w:lang w:val="hu-HU" w:eastAsia="hu-HU"/>
        </w:rPr>
        <w:noBreakHyphen/>
        <w:t>pontszám 6–12, endoszkópiás alpontszám 2–3, amelyet központilag értékelt endoszkópiával igazoltak), 5–17 éves gyermeknél és serdülőnél, akik nem adtak megfelelő terápiás választ a hagyományos terápiára vagy intolerancia lépett fel azokkal szemben. A vizsgálatban részt vevő betegek körülbelül 16%-ánál sikertelen volt a korábbi anti</w:t>
      </w:r>
      <w:r w:rsidRPr="00E72311">
        <w:rPr>
          <w:rFonts w:ascii="Times New Roman" w:eastAsia="바탕" w:hAnsi="Times New Roman" w:cs="Times New Roman"/>
          <w:szCs w:val="20"/>
          <w:lang w:val="hu-HU" w:eastAsia="hu-HU"/>
        </w:rPr>
        <w:noBreakHyphen/>
        <w:t>TNF</w:t>
      </w:r>
      <w:r w:rsidRPr="00E72311">
        <w:rPr>
          <w:rFonts w:ascii="Times New Roman" w:eastAsia="바탕" w:hAnsi="Times New Roman" w:cs="Times New Roman"/>
          <w:szCs w:val="20"/>
          <w:lang w:val="hu-HU" w:eastAsia="hu-HU"/>
        </w:rPr>
        <w:noBreakHyphen/>
        <w:t>kezelés. Azok a betegek, akik a bevonáskor kortikoszteroidot kaptak, a 4. hét után fokozatosan csökkenthették a kortikoszteroid-kezelést.</w:t>
      </w:r>
    </w:p>
    <w:p w14:paraId="15E2A6FB" w14:textId="77777777" w:rsidR="00773429" w:rsidRPr="00E72311" w:rsidRDefault="00773429" w:rsidP="00773429">
      <w:pPr>
        <w:widowControl/>
        <w:suppressAutoHyphens/>
        <w:spacing w:line="260" w:lineRule="exact"/>
        <w:rPr>
          <w:rFonts w:ascii="Times New Roman" w:eastAsia="바탕" w:hAnsi="Times New Roman" w:cs="Times New Roman"/>
          <w:szCs w:val="20"/>
          <w:lang w:val="hu-HU" w:eastAsia="hu-HU"/>
        </w:rPr>
      </w:pPr>
    </w:p>
    <w:p w14:paraId="332C9F69" w14:textId="77777777" w:rsidR="00773429" w:rsidRPr="00E72311" w:rsidRDefault="00773429" w:rsidP="00773429">
      <w:pPr>
        <w:widowControl/>
        <w:suppressAutoHyphens/>
        <w:spacing w:line="260" w:lineRule="exact"/>
        <w:rPr>
          <w:rFonts w:ascii="Times New Roman" w:eastAsia="바탕" w:hAnsi="Times New Roman" w:cs="Times New Roman"/>
          <w:szCs w:val="20"/>
          <w:shd w:val="clear" w:color="auto" w:fill="FFFFFF"/>
          <w:lang w:val="hu-HU" w:eastAsia="hu-HU"/>
        </w:rPr>
      </w:pPr>
      <w:r w:rsidRPr="00E72311">
        <w:rPr>
          <w:rFonts w:ascii="Times New Roman" w:eastAsia="바탕" w:hAnsi="Times New Roman" w:cs="Times New Roman"/>
          <w:szCs w:val="20"/>
          <w:shd w:val="clear" w:color="auto" w:fill="FFFFFF"/>
          <w:lang w:val="hu-HU" w:eastAsia="hu-HU"/>
        </w:rPr>
        <w:t xml:space="preserve">A vizsgálat indukciós periódusában 77 beteget randomizáltak kettős vak </w:t>
      </w:r>
      <w:r>
        <w:rPr>
          <w:rFonts w:ascii="Times New Roman" w:eastAsia="바탕" w:hAnsi="Times New Roman" w:cs="Times New Roman"/>
          <w:szCs w:val="20"/>
          <w:shd w:val="clear" w:color="auto" w:fill="FFFFFF"/>
          <w:lang w:val="hu-HU" w:eastAsia="hu-HU"/>
        </w:rPr>
        <w:t>adalimumab</w:t>
      </w:r>
      <w:r w:rsidRPr="00E72311">
        <w:rPr>
          <w:rFonts w:ascii="Times New Roman" w:eastAsia="바탕" w:hAnsi="Times New Roman" w:cs="Times New Roman"/>
          <w:szCs w:val="20"/>
          <w:shd w:val="clear" w:color="auto" w:fill="FFFFFF"/>
          <w:lang w:val="hu-HU" w:eastAsia="hu-HU"/>
        </w:rPr>
        <w:t>-kezelésre 3:2 arányban a következő kezelési karokra: így indukciós dózisként a 0. és az 1. héten 2,4 mg/ttkg-os (legfeljebb 160 mg) és a 2. héten 1,2 mg/ttkg-os (legfeljebb 80 mg) adagot; vagy a 0. héten 2,4 mg/ttkg</w:t>
      </w:r>
      <w:r w:rsidRPr="00E72311">
        <w:rPr>
          <w:rFonts w:ascii="Times New Roman" w:eastAsia="바탕" w:hAnsi="Times New Roman" w:cs="Times New Roman"/>
          <w:szCs w:val="20"/>
          <w:shd w:val="clear" w:color="auto" w:fill="FFFFFF"/>
          <w:lang w:val="hu-HU" w:eastAsia="hu-HU"/>
        </w:rPr>
        <w:noBreakHyphen/>
        <w:t>os (legfeljebb 160 mg), az 1. héten placebót és a 2. héten 1,2 mg/ttkg</w:t>
      </w:r>
      <w:r w:rsidRPr="00E72311">
        <w:rPr>
          <w:rFonts w:ascii="Times New Roman" w:eastAsia="바탕" w:hAnsi="Times New Roman" w:cs="Times New Roman"/>
          <w:szCs w:val="20"/>
          <w:shd w:val="clear" w:color="auto" w:fill="FFFFFF"/>
          <w:lang w:val="hu-HU" w:eastAsia="hu-HU"/>
        </w:rPr>
        <w:noBreakHyphen/>
        <w:t xml:space="preserve">os (legfeljebb 80 mg) dózist kaptak. Mindkét csoport 0,6 mg/ttkg-os (legfeljebb 40 mg) dózist kapott a 4. és a 6. héten. A vizsgálati elrendezés módosítását követően az indukciós periódusba bevont további 16 beteg nyílt elrendezésben kapta a </w:t>
      </w:r>
      <w:r>
        <w:rPr>
          <w:rFonts w:ascii="Times New Roman" w:eastAsia="바탕" w:hAnsi="Times New Roman" w:cs="Times New Roman"/>
          <w:szCs w:val="20"/>
          <w:shd w:val="clear" w:color="auto" w:fill="FFFFFF"/>
          <w:lang w:val="hu-HU" w:eastAsia="hu-HU"/>
        </w:rPr>
        <w:t>adalimumab</w:t>
      </w:r>
      <w:r w:rsidRPr="00E72311">
        <w:rPr>
          <w:rFonts w:ascii="Times New Roman" w:eastAsia="바탕" w:hAnsi="Times New Roman" w:cs="Times New Roman"/>
          <w:szCs w:val="20"/>
          <w:shd w:val="clear" w:color="auto" w:fill="FFFFFF"/>
          <w:lang w:val="hu-HU" w:eastAsia="hu-HU"/>
        </w:rPr>
        <w:noBreakHyphen/>
        <w:t>kezelést: a 0. héten és az 1. héten 2,4 mg/ttkg-os (legfeljebb 160 mg), a 2. héten 1,2 mg/ttkg</w:t>
      </w:r>
      <w:r w:rsidRPr="00E72311">
        <w:rPr>
          <w:rFonts w:ascii="Times New Roman" w:eastAsia="바탕" w:hAnsi="Times New Roman" w:cs="Times New Roman"/>
          <w:szCs w:val="20"/>
          <w:shd w:val="clear" w:color="auto" w:fill="FFFFFF"/>
          <w:lang w:val="hu-HU" w:eastAsia="hu-HU"/>
        </w:rPr>
        <w:noBreakHyphen/>
        <w:t>os (legfeljebb 80 mg) indukciós dózissal kezdve.</w:t>
      </w:r>
    </w:p>
    <w:p w14:paraId="51EC49C6" w14:textId="77777777" w:rsidR="00773429" w:rsidRPr="00E72311" w:rsidRDefault="00773429" w:rsidP="00773429">
      <w:pPr>
        <w:widowControl/>
        <w:suppressAutoHyphens/>
        <w:spacing w:line="260" w:lineRule="exact"/>
        <w:rPr>
          <w:rFonts w:ascii="Times New Roman" w:eastAsia="바탕" w:hAnsi="Times New Roman" w:cs="Times New Roman"/>
          <w:szCs w:val="20"/>
          <w:lang w:val="hu-HU" w:eastAsia="hu-HU"/>
        </w:rPr>
      </w:pPr>
    </w:p>
    <w:p w14:paraId="70D70778" w14:textId="77777777" w:rsidR="00773429" w:rsidRPr="00E72311" w:rsidRDefault="00773429" w:rsidP="00773429">
      <w:pPr>
        <w:widowControl/>
        <w:suppressAutoHyphens/>
        <w:spacing w:line="260" w:lineRule="exact"/>
        <w:rPr>
          <w:rFonts w:ascii="Times New Roman" w:eastAsia="바탕" w:hAnsi="Times New Roman" w:cs="Times New Roman"/>
          <w:szCs w:val="20"/>
          <w:shd w:val="clear" w:color="auto" w:fill="FFFFFF"/>
          <w:lang w:val="hu-HU" w:eastAsia="hu-HU"/>
        </w:rPr>
      </w:pPr>
      <w:r w:rsidRPr="00E72311">
        <w:rPr>
          <w:rFonts w:ascii="Times New Roman" w:eastAsia="바탕" w:hAnsi="Times New Roman" w:cs="Times New Roman"/>
          <w:szCs w:val="20"/>
          <w:shd w:val="clear" w:color="auto" w:fill="FFFFFF"/>
          <w:lang w:val="hu-HU" w:eastAsia="hu-HU"/>
        </w:rPr>
        <w:t xml:space="preserve">A 8. héten 62, a részleges Mayo-pontszám (PMS) szerint klinikai választ mutató (a kiinduláshoz képest a PMS ≥ 2 pontos és ≥ 30%-os csökkenése) beteget randomizáltak egyenlő arányban kettős vak </w:t>
      </w:r>
      <w:r>
        <w:rPr>
          <w:rFonts w:ascii="Times New Roman" w:eastAsia="바탕" w:hAnsi="Times New Roman" w:cs="Times New Roman"/>
          <w:szCs w:val="20"/>
          <w:shd w:val="clear" w:color="auto" w:fill="FFFFFF"/>
          <w:lang w:val="hu-HU" w:eastAsia="hu-HU"/>
        </w:rPr>
        <w:t>adalimumab</w:t>
      </w:r>
      <w:r w:rsidRPr="00E72311">
        <w:rPr>
          <w:rFonts w:ascii="Times New Roman" w:eastAsia="바탕" w:hAnsi="Times New Roman" w:cs="Times New Roman"/>
          <w:szCs w:val="20"/>
          <w:shd w:val="clear" w:color="auto" w:fill="FFFFFF"/>
          <w:lang w:val="hu-HU" w:eastAsia="hu-HU"/>
        </w:rPr>
        <w:t xml:space="preserve"> fenntartó kezelésre: hetente adott 0,6 mg/ttkg</w:t>
      </w:r>
      <w:r w:rsidRPr="00E72311">
        <w:rPr>
          <w:rFonts w:ascii="Times New Roman" w:eastAsia="바탕" w:hAnsi="Times New Roman" w:cs="Times New Roman"/>
          <w:szCs w:val="20"/>
          <w:shd w:val="clear" w:color="auto" w:fill="FFFFFF"/>
          <w:lang w:val="hu-HU" w:eastAsia="hu-HU"/>
        </w:rPr>
        <w:noBreakHyphen/>
        <w:t>os (maximum 40 mg) dózisra, vagy minden második héten adott 0,6 mg/ttkg-os (maximum 40 mg) dózisra. A vizsgálati elrendezés módosítását megelőzően további 12, PMS szerint klinikai választ mutató beteget placebóra randomizáltak, de őket nem vették be a hatásosságot megerősítő elemzésbe.</w:t>
      </w:r>
    </w:p>
    <w:p w14:paraId="04467EEF" w14:textId="77777777" w:rsidR="00773429" w:rsidRPr="00E72311" w:rsidRDefault="00773429" w:rsidP="00773429">
      <w:pPr>
        <w:widowControl/>
        <w:suppressAutoHyphens/>
        <w:spacing w:line="260" w:lineRule="exact"/>
        <w:rPr>
          <w:rFonts w:ascii="Times New Roman" w:eastAsia="바탕" w:hAnsi="Times New Roman" w:cs="Times New Roman"/>
          <w:szCs w:val="20"/>
          <w:shd w:val="clear" w:color="auto" w:fill="FFFFFF"/>
          <w:lang w:val="hu-HU" w:eastAsia="hu-HU"/>
        </w:rPr>
      </w:pPr>
    </w:p>
    <w:p w14:paraId="1F803F83" w14:textId="77777777" w:rsidR="00773429" w:rsidRPr="00E72311" w:rsidRDefault="00773429" w:rsidP="00773429">
      <w:pPr>
        <w:widowControl/>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A betegség fellángolását a PMS legalább 3 pontos (a 8. héten 0–2-es PMS pontszámú betegeknél), legalább 2 pontos (a 8. héten 3–4-es PMS pontszámú betegeknél) vagy legalább 1 pontos (a 8. héten 5–6</w:t>
      </w:r>
      <w:r w:rsidRPr="00E72311">
        <w:rPr>
          <w:rFonts w:ascii="Times New Roman" w:eastAsia="바탕" w:hAnsi="Times New Roman" w:cs="Times New Roman"/>
          <w:szCs w:val="20"/>
          <w:lang w:val="hu-HU" w:eastAsia="hu-HU"/>
        </w:rPr>
        <w:noBreakHyphen/>
        <w:t>os pontszámú betegeknél) növekedésével határozták meg.</w:t>
      </w:r>
    </w:p>
    <w:p w14:paraId="16115045" w14:textId="77777777" w:rsidR="00773429" w:rsidRPr="00E72311" w:rsidRDefault="00773429" w:rsidP="00773429">
      <w:pPr>
        <w:widowControl/>
        <w:suppressAutoHyphens/>
        <w:spacing w:line="260" w:lineRule="exact"/>
        <w:rPr>
          <w:rFonts w:ascii="Times New Roman" w:eastAsia="바탕" w:hAnsi="Times New Roman" w:cs="Times New Roman"/>
          <w:szCs w:val="20"/>
          <w:lang w:val="hu-HU" w:eastAsia="hu-HU"/>
        </w:rPr>
      </w:pPr>
    </w:p>
    <w:p w14:paraId="31412C14" w14:textId="77777777" w:rsidR="00773429" w:rsidRPr="00E72311" w:rsidRDefault="00773429" w:rsidP="00773429">
      <w:pPr>
        <w:widowControl/>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Azokat a betegeket, akiknél a 12. héten vagy azt követően teljesült a betegség fellángolásának kritériuma, 2,4 mg/ttkg (maximum 160 mg) ismételt indukciós dózisra vagy 0,6 mg/ttkg (legfeljebb 40 mg) dózisra randomizálták, majd a továbbiakban őket a számukra meghatározott fenntartó adagolási sémával kezelték.</w:t>
      </w:r>
    </w:p>
    <w:p w14:paraId="2C44B9E8" w14:textId="77777777" w:rsidR="00773429" w:rsidRPr="00E72311" w:rsidRDefault="00773429" w:rsidP="00773429">
      <w:pPr>
        <w:widowControl/>
        <w:suppressAutoHyphens/>
        <w:spacing w:before="240" w:line="260" w:lineRule="exact"/>
        <w:rPr>
          <w:rFonts w:ascii="Times New Roman" w:eastAsia="바탕" w:hAnsi="Times New Roman" w:cs="Times New Roman"/>
          <w:i/>
          <w:szCs w:val="20"/>
          <w:lang w:val="hu-HU" w:eastAsia="hu-HU"/>
        </w:rPr>
      </w:pPr>
      <w:r w:rsidRPr="00E72311">
        <w:rPr>
          <w:rFonts w:ascii="Times New Roman" w:eastAsia="바탕" w:hAnsi="Times New Roman" w:cs="Times New Roman"/>
          <w:i/>
          <w:szCs w:val="24"/>
          <w:lang w:val="hu-HU" w:eastAsia="hu-HU"/>
        </w:rPr>
        <w:lastRenderedPageBreak/>
        <w:t>Hatásossági eredmények</w:t>
      </w:r>
    </w:p>
    <w:p w14:paraId="639CCD6D" w14:textId="77777777" w:rsidR="00773429" w:rsidRPr="00E72311" w:rsidRDefault="00773429" w:rsidP="00773429">
      <w:pPr>
        <w:suppressAutoHyphens/>
        <w:spacing w:line="260" w:lineRule="exact"/>
        <w:rPr>
          <w:rFonts w:ascii="Times New Roman" w:eastAsia="바탕" w:hAnsi="Times New Roman" w:cs="Times New Roman"/>
          <w:i/>
          <w:szCs w:val="20"/>
          <w:lang w:val="hu-HU" w:eastAsia="hu-HU"/>
        </w:rPr>
      </w:pPr>
    </w:p>
    <w:p w14:paraId="1181A7C4" w14:textId="77777777" w:rsidR="00773429" w:rsidRPr="00E72311" w:rsidRDefault="00773429" w:rsidP="00773429">
      <w:pPr>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A vizsgálat elsődleges kompozit végpontjai a következők voltak: a PMS szerinti klinikai remisszió (PMS ≤ 2, és nincs olyan egyedi alpontszám, ami &gt; 1) a 8. héten, és az FMS szerinti (Full Mayo Score) (meghatározva: Mayo-pontszám ≤ 2, és nincs olyan egyedi alpontszám, ami &gt; 1) klinikai remisszió az 52. héten azoknál a betegeknél, akik a 8. héten PMS szerinti klinikai választ értek el.</w:t>
      </w:r>
    </w:p>
    <w:p w14:paraId="360DC386" w14:textId="77777777" w:rsidR="00773429" w:rsidRPr="00E72311" w:rsidRDefault="00773429" w:rsidP="00773429">
      <w:pPr>
        <w:suppressAutoHyphens/>
        <w:spacing w:line="260" w:lineRule="exact"/>
        <w:textAlignment w:val="baseline"/>
        <w:rPr>
          <w:rFonts w:ascii="Times New Roman" w:eastAsia="바탕" w:hAnsi="Times New Roman" w:cs="Times New Roman"/>
          <w:szCs w:val="20"/>
          <w:lang w:val="hu-HU" w:eastAsia="hu-HU"/>
        </w:rPr>
      </w:pPr>
    </w:p>
    <w:p w14:paraId="4912C3CC" w14:textId="77777777" w:rsidR="00773429" w:rsidRPr="00E72311" w:rsidRDefault="00773429" w:rsidP="00773429">
      <w:pPr>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 xml:space="preserve">A PMS szerinti klinikai remisszió arányát a 8. héten a </w:t>
      </w:r>
      <w:r>
        <w:rPr>
          <w:rFonts w:ascii="Times New Roman" w:eastAsia="바탕" w:hAnsi="Times New Roman" w:cs="Times New Roman"/>
          <w:szCs w:val="20"/>
          <w:shd w:val="clear" w:color="auto" w:fill="FFFFFF"/>
          <w:lang w:val="hu-HU" w:eastAsia="hu-HU"/>
        </w:rPr>
        <w:t>adalimumab</w:t>
      </w:r>
      <w:r w:rsidRPr="00E72311">
        <w:rPr>
          <w:rFonts w:ascii="Times New Roman" w:eastAsia="바탕" w:hAnsi="Times New Roman" w:cs="Times New Roman"/>
          <w:szCs w:val="20"/>
          <w:shd w:val="clear" w:color="auto" w:fill="FFFFFF"/>
          <w:lang w:val="hu-HU" w:eastAsia="hu-HU"/>
        </w:rPr>
        <w:t xml:space="preserve"> </w:t>
      </w:r>
      <w:r w:rsidRPr="00E72311">
        <w:rPr>
          <w:rFonts w:ascii="Times New Roman" w:eastAsia="바탕" w:hAnsi="Times New Roman" w:cs="Times New Roman"/>
          <w:szCs w:val="20"/>
          <w:lang w:val="hu-HU" w:eastAsia="hu-HU"/>
        </w:rPr>
        <w:t xml:space="preserve">kettős vak indukciós csoport mindegyikében lévő betegeknél a </w:t>
      </w:r>
      <w:r>
        <w:rPr>
          <w:rFonts w:ascii="Times New Roman" w:eastAsia="바탕" w:hAnsi="Times New Roman" w:cs="Times New Roman"/>
          <w:szCs w:val="20"/>
          <w:lang w:val="hu-HU" w:eastAsia="hu-HU"/>
        </w:rPr>
        <w:t>21</w:t>
      </w:r>
      <w:r w:rsidRPr="00E72311">
        <w:rPr>
          <w:rFonts w:ascii="Times New Roman" w:eastAsia="바탕" w:hAnsi="Times New Roman" w:cs="Times New Roman"/>
          <w:szCs w:val="20"/>
          <w:lang w:val="hu-HU" w:eastAsia="hu-HU"/>
        </w:rPr>
        <w:t>. táblázat mutatja be.</w:t>
      </w:r>
    </w:p>
    <w:p w14:paraId="6FEE33F6" w14:textId="77777777" w:rsidR="00773429" w:rsidRDefault="00773429" w:rsidP="00773429">
      <w:pPr>
        <w:suppressAutoHyphens/>
        <w:spacing w:before="240" w:line="260" w:lineRule="exact"/>
        <w:jc w:val="center"/>
        <w:rPr>
          <w:rFonts w:ascii="Times New Roman" w:eastAsia="바탕" w:hAnsi="Times New Roman" w:cs="Times New Roman"/>
          <w:b/>
          <w:szCs w:val="24"/>
          <w:lang w:val="hu-HU" w:eastAsia="hu-HU"/>
        </w:rPr>
      </w:pPr>
      <w:r>
        <w:rPr>
          <w:rFonts w:ascii="Times New Roman" w:eastAsia="바탕" w:hAnsi="Times New Roman" w:cs="Times New Roman"/>
          <w:b/>
          <w:szCs w:val="24"/>
          <w:lang w:val="hu-HU" w:eastAsia="hu-HU"/>
        </w:rPr>
        <w:t>21</w:t>
      </w:r>
      <w:r w:rsidRPr="00E72311">
        <w:rPr>
          <w:rFonts w:ascii="Times New Roman" w:eastAsia="바탕" w:hAnsi="Times New Roman" w:cs="Times New Roman"/>
          <w:b/>
          <w:szCs w:val="24"/>
          <w:lang w:val="hu-HU" w:eastAsia="hu-HU"/>
        </w:rPr>
        <w:t xml:space="preserve">. táblázat: A PMS szerint klinikai remisszió 8 hét alatt </w:t>
      </w:r>
    </w:p>
    <w:p w14:paraId="51A16A26" w14:textId="77777777" w:rsidR="00AF1AD1" w:rsidRPr="00E72311" w:rsidRDefault="00AF1AD1" w:rsidP="00AF1AD1">
      <w:pPr>
        <w:suppressAutoHyphens/>
        <w:spacing w:line="260" w:lineRule="exact"/>
        <w:jc w:val="center"/>
        <w:rPr>
          <w:rFonts w:ascii="Times New Roman" w:eastAsia="바탕" w:hAnsi="Times New Roman" w:cs="Times New Roman"/>
          <w:b/>
          <w:szCs w:val="24"/>
          <w:lang w:val="hu-HU" w:eastAsia="hu-HU"/>
        </w:rPr>
      </w:pPr>
    </w:p>
    <w:tbl>
      <w:tblPr>
        <w:tblW w:w="4920" w:type="pct"/>
        <w:jc w:val="center"/>
        <w:tblLook w:val="04A0" w:firstRow="1" w:lastRow="0" w:firstColumn="1" w:lastColumn="0" w:noHBand="0" w:noVBand="1"/>
      </w:tblPr>
      <w:tblGrid>
        <w:gridCol w:w="3308"/>
        <w:gridCol w:w="3035"/>
        <w:gridCol w:w="3088"/>
      </w:tblGrid>
      <w:tr w:rsidR="00773429" w:rsidRPr="00E72311" w14:paraId="7C70DFFE" w14:textId="77777777" w:rsidTr="00604DFB">
        <w:trPr>
          <w:jc w:val="center"/>
        </w:trPr>
        <w:tc>
          <w:tcPr>
            <w:tcW w:w="1754"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04C4FD1" w14:textId="77777777" w:rsidR="00773429" w:rsidRPr="00E72311" w:rsidRDefault="00773429" w:rsidP="00604DFB">
            <w:pPr>
              <w:suppressAutoHyphens/>
              <w:spacing w:line="260" w:lineRule="exact"/>
              <w:rPr>
                <w:rFonts w:ascii="Times New Roman" w:eastAsia="바탕" w:hAnsi="Times New Roman" w:cs="Times New Roman"/>
                <w:szCs w:val="20"/>
                <w:lang w:val="hu-HU" w:eastAsia="hu-HU"/>
              </w:rPr>
            </w:pPr>
          </w:p>
        </w:tc>
        <w:tc>
          <w:tcPr>
            <w:tcW w:w="1609"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A9ECAB0" w14:textId="77777777" w:rsidR="00773429" w:rsidRPr="00E72311" w:rsidRDefault="00773429" w:rsidP="00604DFB">
            <w:pPr>
              <w:suppressAutoHyphens/>
              <w:spacing w:line="260" w:lineRule="exact"/>
              <w:jc w:val="center"/>
              <w:textAlignment w:val="baseline"/>
              <w:rPr>
                <w:rFonts w:ascii="Times New Roman" w:eastAsia="바탕" w:hAnsi="Times New Roman" w:cs="Times New Roman"/>
                <w:b/>
                <w:bCs/>
                <w:szCs w:val="20"/>
                <w:lang w:val="hu-HU" w:eastAsia="hu-HU"/>
              </w:rPr>
            </w:pPr>
            <w:r>
              <w:rPr>
                <w:rFonts w:ascii="Times New Roman" w:eastAsia="바탕" w:hAnsi="Times New Roman" w:cs="Times New Roman"/>
                <w:b/>
                <w:bCs/>
                <w:szCs w:val="24"/>
                <w:lang w:val="hu-HU" w:eastAsia="hu-HU"/>
              </w:rPr>
              <w:t>Adalimumab</w:t>
            </w:r>
            <w:r w:rsidRPr="00E72311">
              <w:rPr>
                <w:rFonts w:ascii="Times New Roman" w:eastAsia="바탕" w:hAnsi="Times New Roman" w:cs="Times New Roman"/>
                <w:b/>
                <w:bCs/>
                <w:szCs w:val="24"/>
                <w:vertAlign w:val="superscript"/>
                <w:lang w:val="hu-HU" w:eastAsia="hu-HU"/>
              </w:rPr>
              <w:t>a</w:t>
            </w:r>
            <w:r w:rsidRPr="00E72311">
              <w:rPr>
                <w:rFonts w:ascii="Times New Roman" w:eastAsia="바탕" w:hAnsi="Times New Roman" w:cs="Times New Roman"/>
                <w:b/>
                <w:bCs/>
                <w:sz w:val="24"/>
                <w:szCs w:val="24"/>
                <w:lang w:val="hu-HU" w:eastAsia="hu-HU"/>
              </w:rPr>
              <w:t> </w:t>
            </w:r>
          </w:p>
          <w:p w14:paraId="28D27989" w14:textId="77777777" w:rsidR="00773429" w:rsidRPr="00E72311" w:rsidRDefault="00773429" w:rsidP="00604DFB">
            <w:pPr>
              <w:suppressAutoHyphens/>
              <w:spacing w:line="260" w:lineRule="exact"/>
              <w:jc w:val="center"/>
              <w:rPr>
                <w:rFonts w:ascii="Times New Roman" w:eastAsia="바탕" w:hAnsi="Times New Roman" w:cs="Times New Roman"/>
                <w:b/>
                <w:bCs/>
                <w:szCs w:val="20"/>
                <w:lang w:val="hu-HU" w:eastAsia="hu-HU"/>
              </w:rPr>
            </w:pPr>
            <w:r w:rsidRPr="00E72311">
              <w:rPr>
                <w:rFonts w:ascii="Times New Roman" w:eastAsia="바탕" w:hAnsi="Times New Roman" w:cs="Times New Roman"/>
                <w:b/>
                <w:bCs/>
                <w:szCs w:val="20"/>
                <w:lang w:val="hu-HU" w:eastAsia="hu-HU"/>
              </w:rPr>
              <w:t>Legfeljebb 160 mg a 0. héten / placebo az 1. héten </w:t>
            </w:r>
          </w:p>
          <w:p w14:paraId="2D8D4E11" w14:textId="40815405" w:rsidR="00773429" w:rsidRPr="00E72311" w:rsidRDefault="00B02C21" w:rsidP="00604DFB">
            <w:pPr>
              <w:suppressAutoHyphens/>
              <w:spacing w:line="260" w:lineRule="exact"/>
              <w:jc w:val="center"/>
              <w:rPr>
                <w:rFonts w:ascii="Times New Roman" w:eastAsia="바탕" w:hAnsi="Times New Roman" w:cs="Times New Roman"/>
                <w:szCs w:val="20"/>
                <w:lang w:val="hu-HU" w:eastAsia="hu-HU"/>
              </w:rPr>
            </w:pPr>
            <w:r>
              <w:rPr>
                <w:rFonts w:ascii="Times New Roman" w:eastAsia="바탕" w:hAnsi="Times New Roman" w:cs="Times New Roman"/>
                <w:szCs w:val="20"/>
                <w:lang w:val="hu-HU" w:eastAsia="hu-HU"/>
              </w:rPr>
              <w:t>n</w:t>
            </w:r>
            <w:r w:rsidR="00773429" w:rsidRPr="00E72311">
              <w:rPr>
                <w:rFonts w:ascii="Times New Roman" w:eastAsia="바탕" w:hAnsi="Times New Roman" w:cs="Times New Roman"/>
                <w:szCs w:val="20"/>
                <w:lang w:val="hu-HU" w:eastAsia="hu-HU"/>
              </w:rPr>
              <w:t>=30</w:t>
            </w:r>
          </w:p>
        </w:tc>
        <w:tc>
          <w:tcPr>
            <w:tcW w:w="1638"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0F8BF17" w14:textId="77777777" w:rsidR="00773429" w:rsidRPr="00E72311" w:rsidRDefault="00773429" w:rsidP="00604DFB">
            <w:pPr>
              <w:suppressAutoHyphens/>
              <w:spacing w:line="260" w:lineRule="exact"/>
              <w:jc w:val="center"/>
              <w:textAlignment w:val="baseline"/>
              <w:rPr>
                <w:rFonts w:ascii="Times New Roman" w:eastAsia="바탕" w:hAnsi="Times New Roman" w:cs="Times New Roman"/>
                <w:b/>
                <w:bCs/>
                <w:szCs w:val="20"/>
                <w:lang w:val="hu-HU" w:eastAsia="hu-HU"/>
              </w:rPr>
            </w:pPr>
            <w:r>
              <w:rPr>
                <w:rFonts w:ascii="Times New Roman" w:eastAsia="바탕" w:hAnsi="Times New Roman" w:cs="Times New Roman"/>
                <w:b/>
                <w:bCs/>
                <w:szCs w:val="24"/>
                <w:lang w:val="hu-HU" w:eastAsia="hu-HU"/>
              </w:rPr>
              <w:t>Adalimumab</w:t>
            </w:r>
            <w:r w:rsidRPr="00E72311">
              <w:rPr>
                <w:rFonts w:ascii="Times New Roman" w:eastAsia="바탕" w:hAnsi="Times New Roman" w:cs="Times New Roman"/>
                <w:b/>
                <w:bCs/>
                <w:szCs w:val="24"/>
                <w:vertAlign w:val="superscript"/>
                <w:lang w:val="hu-HU" w:eastAsia="hu-HU"/>
              </w:rPr>
              <w:t>b, c</w:t>
            </w:r>
            <w:r w:rsidRPr="00E72311">
              <w:rPr>
                <w:rFonts w:ascii="Times New Roman" w:eastAsia="바탕" w:hAnsi="Times New Roman" w:cs="Times New Roman"/>
                <w:b/>
                <w:bCs/>
                <w:sz w:val="24"/>
                <w:szCs w:val="24"/>
                <w:lang w:val="hu-HU" w:eastAsia="hu-HU"/>
              </w:rPr>
              <w:t> </w:t>
            </w:r>
          </w:p>
          <w:p w14:paraId="01C791D4" w14:textId="77777777" w:rsidR="00773429" w:rsidRPr="00E72311" w:rsidRDefault="00773429" w:rsidP="00604DFB">
            <w:pPr>
              <w:suppressAutoHyphens/>
              <w:spacing w:line="260" w:lineRule="exact"/>
              <w:jc w:val="center"/>
              <w:rPr>
                <w:rFonts w:ascii="Times New Roman" w:eastAsia="바탕" w:hAnsi="Times New Roman" w:cs="Times New Roman"/>
                <w:b/>
                <w:bCs/>
                <w:szCs w:val="20"/>
                <w:lang w:val="hu-HU" w:eastAsia="hu-HU"/>
              </w:rPr>
            </w:pPr>
            <w:r w:rsidRPr="00E72311">
              <w:rPr>
                <w:rFonts w:ascii="Times New Roman" w:eastAsia="바탕" w:hAnsi="Times New Roman" w:cs="Times New Roman"/>
                <w:b/>
                <w:bCs/>
                <w:szCs w:val="20"/>
                <w:lang w:val="hu-HU" w:eastAsia="hu-HU"/>
              </w:rPr>
              <w:t>Legfeljebb 160 mg a 0. és az 1. héten </w:t>
            </w:r>
          </w:p>
          <w:p w14:paraId="60321588" w14:textId="2EE72E44" w:rsidR="00773429" w:rsidRPr="00E72311" w:rsidRDefault="00B02C21" w:rsidP="00604DFB">
            <w:pPr>
              <w:suppressAutoHyphens/>
              <w:spacing w:line="260" w:lineRule="exact"/>
              <w:jc w:val="center"/>
              <w:rPr>
                <w:rFonts w:ascii="Times New Roman" w:eastAsia="바탕" w:hAnsi="Times New Roman" w:cs="Times New Roman"/>
                <w:szCs w:val="20"/>
                <w:lang w:val="hu-HU" w:eastAsia="hu-HU"/>
              </w:rPr>
            </w:pPr>
            <w:r>
              <w:rPr>
                <w:rFonts w:ascii="Times New Roman" w:eastAsia="바탕" w:hAnsi="Times New Roman" w:cs="Times New Roman"/>
                <w:szCs w:val="20"/>
                <w:lang w:val="hu-HU" w:eastAsia="hu-HU"/>
              </w:rPr>
              <w:t>n</w:t>
            </w:r>
            <w:r w:rsidR="00773429" w:rsidRPr="00E72311">
              <w:rPr>
                <w:rFonts w:ascii="Times New Roman" w:eastAsia="바탕" w:hAnsi="Times New Roman" w:cs="Times New Roman"/>
                <w:szCs w:val="20"/>
                <w:lang w:val="hu-HU" w:eastAsia="hu-HU"/>
              </w:rPr>
              <w:t>=47</w:t>
            </w:r>
          </w:p>
        </w:tc>
      </w:tr>
      <w:tr w:rsidR="00773429" w:rsidRPr="00E72311" w14:paraId="5EAA1FDF" w14:textId="77777777" w:rsidTr="00604DFB">
        <w:trPr>
          <w:jc w:val="center"/>
        </w:trPr>
        <w:tc>
          <w:tcPr>
            <w:tcW w:w="1754"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14DFF19" w14:textId="77777777" w:rsidR="00773429" w:rsidRPr="00E72311" w:rsidRDefault="00773429" w:rsidP="00604DFB">
            <w:pPr>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Klinikai remisszió</w:t>
            </w:r>
          </w:p>
        </w:tc>
        <w:tc>
          <w:tcPr>
            <w:tcW w:w="1609"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7840243E" w14:textId="77777777" w:rsidR="00773429" w:rsidRPr="00E72311" w:rsidRDefault="00773429" w:rsidP="00604DFB">
            <w:pPr>
              <w:suppressAutoHyphens/>
              <w:spacing w:line="260" w:lineRule="exact"/>
              <w:jc w:val="center"/>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13/30 (43,3%)</w:t>
            </w:r>
          </w:p>
        </w:tc>
        <w:tc>
          <w:tcPr>
            <w:tcW w:w="1638"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FBB4746" w14:textId="77777777" w:rsidR="00773429" w:rsidRPr="00E72311" w:rsidRDefault="00773429" w:rsidP="00604DFB">
            <w:pPr>
              <w:suppressAutoHyphens/>
              <w:spacing w:line="260" w:lineRule="exact"/>
              <w:jc w:val="center"/>
              <w:rPr>
                <w:rFonts w:ascii="Times New Roman" w:eastAsia="바탕" w:hAnsi="Times New Roman" w:cs="Times New Roman"/>
                <w:szCs w:val="20"/>
                <w:vertAlign w:val="superscript"/>
                <w:lang w:val="hu-HU" w:eastAsia="hu-HU"/>
              </w:rPr>
            </w:pPr>
            <w:r w:rsidRPr="00E72311">
              <w:rPr>
                <w:rFonts w:ascii="Times New Roman" w:eastAsia="바탕" w:hAnsi="Times New Roman" w:cs="Times New Roman"/>
                <w:szCs w:val="20"/>
                <w:lang w:val="hu-HU" w:eastAsia="hu-HU"/>
              </w:rPr>
              <w:t>28/47 (59,6%)</w:t>
            </w:r>
          </w:p>
        </w:tc>
      </w:tr>
      <w:tr w:rsidR="00773429" w:rsidRPr="00BE4D18" w14:paraId="0D896C32" w14:textId="77777777" w:rsidTr="00604DFB">
        <w:trPr>
          <w:trHeight w:val="2438"/>
          <w:jc w:val="center"/>
        </w:trPr>
        <w:tc>
          <w:tcPr>
            <w:tcW w:w="5000" w:type="pct"/>
            <w:gridSpan w:val="3"/>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3F9586E1" w14:textId="77777777" w:rsidR="00773429" w:rsidRPr="00E72311" w:rsidRDefault="00773429" w:rsidP="00604DFB">
            <w:pPr>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4"/>
                <w:vertAlign w:val="superscript"/>
                <w:lang w:val="hu-HU" w:eastAsia="hu-HU"/>
              </w:rPr>
              <w:t>a </w:t>
            </w:r>
            <w:r>
              <w:rPr>
                <w:rFonts w:ascii="Times New Roman" w:eastAsia="바탕" w:hAnsi="Times New Roman" w:cs="Times New Roman"/>
                <w:szCs w:val="24"/>
                <w:lang w:val="hu-HU" w:eastAsia="hu-HU"/>
              </w:rPr>
              <w:t>Adalimumab</w:t>
            </w:r>
            <w:r w:rsidRPr="00E72311">
              <w:rPr>
                <w:rFonts w:ascii="Times New Roman" w:eastAsia="바탕" w:hAnsi="Times New Roman" w:cs="Times New Roman"/>
                <w:szCs w:val="24"/>
                <w:lang w:val="hu-HU" w:eastAsia="hu-HU"/>
              </w:rPr>
              <w:t xml:space="preserve"> 2,4 mg/ttkg (legfeljebb 160 mg) a 0. héten, placebo az 1. héten és 1,2 mg/ttkg (legfeljebb 80 mg) a 2. héten</w:t>
            </w:r>
            <w:r w:rsidRPr="00E72311">
              <w:rPr>
                <w:rFonts w:ascii="Times New Roman" w:eastAsia="바탕" w:hAnsi="Times New Roman" w:cs="Times New Roman"/>
                <w:sz w:val="24"/>
                <w:szCs w:val="24"/>
                <w:lang w:val="hu-HU" w:eastAsia="hu-HU"/>
              </w:rPr>
              <w:t> </w:t>
            </w:r>
          </w:p>
          <w:p w14:paraId="6664298C" w14:textId="77777777" w:rsidR="00773429" w:rsidRPr="00E72311" w:rsidRDefault="00773429" w:rsidP="00604DFB">
            <w:pPr>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4"/>
                <w:vertAlign w:val="superscript"/>
                <w:lang w:val="hu-HU" w:eastAsia="hu-HU"/>
              </w:rPr>
              <w:t>b </w:t>
            </w:r>
            <w:r>
              <w:rPr>
                <w:rFonts w:ascii="Times New Roman" w:eastAsia="바탕" w:hAnsi="Times New Roman" w:cs="Times New Roman"/>
                <w:szCs w:val="24"/>
                <w:lang w:val="hu-HU" w:eastAsia="hu-HU"/>
              </w:rPr>
              <w:t>Adalimumab</w:t>
            </w:r>
            <w:r w:rsidRPr="00E72311">
              <w:rPr>
                <w:rFonts w:ascii="Times New Roman" w:eastAsia="바탕" w:hAnsi="Times New Roman" w:cs="Times New Roman"/>
                <w:szCs w:val="24"/>
                <w:lang w:val="hu-HU" w:eastAsia="hu-HU"/>
              </w:rPr>
              <w:t xml:space="preserve"> 2,4 mg/ttkg (legfeljebb 160 mg) a 0. és az 1. héten és 1,2 mg/ttkg (legfeljebb 80 mg) a 2. héten</w:t>
            </w:r>
            <w:r w:rsidRPr="00E72311">
              <w:rPr>
                <w:rFonts w:ascii="Times New Roman" w:eastAsia="바탕" w:hAnsi="Times New Roman" w:cs="Times New Roman"/>
                <w:sz w:val="24"/>
                <w:szCs w:val="24"/>
                <w:lang w:val="hu-HU" w:eastAsia="hu-HU"/>
              </w:rPr>
              <w:t> </w:t>
            </w:r>
          </w:p>
          <w:p w14:paraId="2B9AC876" w14:textId="77777777" w:rsidR="00773429" w:rsidRPr="00E72311" w:rsidRDefault="00773429" w:rsidP="00604DFB">
            <w:pPr>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4"/>
                <w:vertAlign w:val="superscript"/>
                <w:lang w:val="hu-HU" w:eastAsia="hu-HU"/>
              </w:rPr>
              <w:t>c </w:t>
            </w:r>
            <w:r w:rsidRPr="00E72311">
              <w:rPr>
                <w:rFonts w:ascii="Times New Roman" w:eastAsia="바탕" w:hAnsi="Times New Roman" w:cs="Times New Roman"/>
                <w:szCs w:val="24"/>
                <w:lang w:val="hu-HU" w:eastAsia="hu-HU"/>
              </w:rPr>
              <w:t xml:space="preserve">Nem tartalmazza a nyílt elrendezésű </w:t>
            </w:r>
            <w:r>
              <w:rPr>
                <w:rFonts w:ascii="Times New Roman" w:eastAsia="바탕" w:hAnsi="Times New Roman" w:cs="Times New Roman"/>
                <w:szCs w:val="24"/>
                <w:lang w:val="hu-HU" w:eastAsia="hu-HU"/>
              </w:rPr>
              <w:t>adalimumab</w:t>
            </w:r>
            <w:r w:rsidRPr="00E72311">
              <w:rPr>
                <w:rFonts w:ascii="Times New Roman" w:eastAsia="바탕" w:hAnsi="Times New Roman" w:cs="Times New Roman"/>
                <w:szCs w:val="24"/>
                <w:lang w:val="hu-HU" w:eastAsia="hu-HU"/>
              </w:rPr>
              <w:t xml:space="preserve"> indukciós dózist: 2,4 mg/ttkg (legfeljebb 160 mg) a 0. héten, placebo az 1. héten és 1,2 mg/ttkg (legfeljebb 80 mg) a 2. héten</w:t>
            </w:r>
          </w:p>
          <w:p w14:paraId="6C092038" w14:textId="77777777" w:rsidR="00773429" w:rsidRPr="00E72311" w:rsidRDefault="00773429" w:rsidP="00604DFB">
            <w:pPr>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4"/>
                <w:lang w:val="hu-HU" w:eastAsia="hu-HU"/>
              </w:rPr>
              <w:t>1. megjegyzés: Mindkét indukciós csoport 0,6 mg/ttkg-ot (legfeljebb 40 mg) kapott a 4. és a 6. héten</w:t>
            </w:r>
            <w:r w:rsidRPr="00E72311">
              <w:rPr>
                <w:rFonts w:ascii="Times New Roman" w:eastAsia="바탕" w:hAnsi="Times New Roman" w:cs="Times New Roman"/>
                <w:sz w:val="24"/>
                <w:szCs w:val="24"/>
                <w:lang w:val="hu-HU" w:eastAsia="hu-HU"/>
              </w:rPr>
              <w:t> </w:t>
            </w:r>
          </w:p>
          <w:p w14:paraId="3525FDE1" w14:textId="77777777" w:rsidR="00773429" w:rsidRPr="00E72311" w:rsidRDefault="00773429" w:rsidP="00604DFB">
            <w:pPr>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4"/>
                <w:lang w:val="hu-HU" w:eastAsia="hu-HU"/>
              </w:rPr>
              <w:t>2. megjegyzés: A 8. héten hiányzó értékek esetén úgy tekintették, hogy a betegek nem teljesítették a végpontot</w:t>
            </w:r>
            <w:r w:rsidRPr="00E72311">
              <w:rPr>
                <w:rFonts w:ascii="Times New Roman" w:eastAsia="바탕" w:hAnsi="Times New Roman" w:cs="Times New Roman"/>
                <w:sz w:val="24"/>
                <w:szCs w:val="24"/>
                <w:lang w:val="hu-HU" w:eastAsia="hu-HU"/>
              </w:rPr>
              <w:t> </w:t>
            </w:r>
          </w:p>
        </w:tc>
      </w:tr>
    </w:tbl>
    <w:p w14:paraId="6C086A44" w14:textId="77777777" w:rsidR="00773429" w:rsidRPr="00E72311" w:rsidRDefault="00773429" w:rsidP="00773429">
      <w:pPr>
        <w:suppressAutoHyphens/>
        <w:spacing w:line="260" w:lineRule="exact"/>
        <w:rPr>
          <w:rFonts w:ascii="Times New Roman" w:eastAsia="바탕" w:hAnsi="Times New Roman" w:cs="Times New Roman"/>
          <w:szCs w:val="20"/>
          <w:shd w:val="clear" w:color="auto" w:fill="FFFFFF"/>
          <w:lang w:val="hu-HU" w:eastAsia="hu-HU"/>
        </w:rPr>
      </w:pPr>
    </w:p>
    <w:p w14:paraId="19E1A413" w14:textId="77777777" w:rsidR="00773429" w:rsidRPr="00E72311" w:rsidRDefault="00773429" w:rsidP="00773429">
      <w:pPr>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shd w:val="clear" w:color="auto" w:fill="FFFFFF"/>
          <w:lang w:val="hu-HU" w:eastAsia="hu-HU"/>
        </w:rPr>
        <w:t xml:space="preserve">Az 52. héten értékelték az FMS szerinti klinikai remissziót a 8. héten választ mutatóknál, az FMS szerinti klinikai választ (a Mayo Score ≥ 3 pontos és ≥ 30%-os csökkenése a kiindulási értékhez képest) a 8. héten választ mutatóknál, az FMS szerinti nyálkahártya gyógyulást (Mayo endoszkópiás pontszám ≤ 1) a 8. héten választ mutatóknál, az FMS szerinti klinikai remissziót a 8. héten remisszióban lévő betegeknél, valamint az FMS szerinti kortikoszteroidmentes remisszióban lévők arányát a 8. héten választ mutatóknál azoknak a betegeknek körében, akik kettős vak elrendezésben kéthetente legfeljebb 40 mg/hét (0,6 mg/ttkg) és hetente legfeljebb 40 mg (0,6 mg/ttkg) fenntartó dózis </w:t>
      </w:r>
      <w:r>
        <w:rPr>
          <w:rFonts w:ascii="Times New Roman" w:eastAsia="바탕" w:hAnsi="Times New Roman" w:cs="Times New Roman"/>
          <w:szCs w:val="20"/>
          <w:shd w:val="clear" w:color="auto" w:fill="FFFFFF"/>
          <w:lang w:val="hu-HU" w:eastAsia="hu-HU"/>
        </w:rPr>
        <w:t>adalimumab</w:t>
      </w:r>
      <w:r w:rsidRPr="00E72311">
        <w:rPr>
          <w:rFonts w:ascii="Times New Roman" w:eastAsia="바탕" w:hAnsi="Times New Roman" w:cs="Times New Roman"/>
          <w:szCs w:val="20"/>
          <w:shd w:val="clear" w:color="auto" w:fill="FFFFFF"/>
          <w:lang w:val="hu-HU" w:eastAsia="hu-HU"/>
        </w:rPr>
        <w:t>-t kaptak (</w:t>
      </w:r>
      <w:r>
        <w:rPr>
          <w:rFonts w:ascii="Times New Roman" w:eastAsia="바탕" w:hAnsi="Times New Roman" w:cs="Times New Roman"/>
          <w:szCs w:val="20"/>
          <w:shd w:val="clear" w:color="auto" w:fill="FFFFFF"/>
          <w:lang w:val="hu-HU" w:eastAsia="hu-HU"/>
        </w:rPr>
        <w:t>22</w:t>
      </w:r>
      <w:r w:rsidRPr="00E72311">
        <w:rPr>
          <w:rFonts w:ascii="Times New Roman" w:eastAsia="바탕" w:hAnsi="Times New Roman" w:cs="Times New Roman"/>
          <w:szCs w:val="20"/>
          <w:shd w:val="clear" w:color="auto" w:fill="FFFFFF"/>
          <w:lang w:val="hu-HU" w:eastAsia="hu-HU"/>
        </w:rPr>
        <w:t>. táblázat). </w:t>
      </w:r>
    </w:p>
    <w:p w14:paraId="006019A4" w14:textId="77777777" w:rsidR="00773429" w:rsidRPr="00E72311" w:rsidRDefault="00773429" w:rsidP="00773429">
      <w:pPr>
        <w:widowControl/>
        <w:suppressAutoHyphens/>
        <w:spacing w:line="260" w:lineRule="exact"/>
        <w:rPr>
          <w:rFonts w:ascii="Times New Roman" w:eastAsia="바탕" w:hAnsi="Times New Roman" w:cs="Times New Roman"/>
          <w:szCs w:val="20"/>
          <w:lang w:val="hu-HU" w:eastAsia="hu-HU"/>
        </w:rPr>
      </w:pPr>
    </w:p>
    <w:p w14:paraId="01C4468E" w14:textId="77777777" w:rsidR="00773429" w:rsidRPr="00E72311" w:rsidRDefault="00773429" w:rsidP="00773429">
      <w:pPr>
        <w:keepNext/>
        <w:widowControl/>
        <w:suppressAutoHyphens/>
        <w:spacing w:line="260" w:lineRule="exact"/>
        <w:jc w:val="center"/>
        <w:textAlignment w:val="baseline"/>
        <w:rPr>
          <w:rFonts w:ascii="Times New Roman" w:eastAsia="바탕" w:hAnsi="Times New Roman" w:cs="Times New Roman"/>
          <w:szCs w:val="20"/>
          <w:lang w:val="hu-HU" w:eastAsia="hu-HU"/>
        </w:rPr>
      </w:pPr>
      <w:r>
        <w:rPr>
          <w:rFonts w:ascii="Times New Roman" w:eastAsia="바탕" w:hAnsi="Times New Roman" w:cs="Times New Roman"/>
          <w:b/>
          <w:szCs w:val="20"/>
          <w:lang w:val="hu-HU" w:eastAsia="hu-HU"/>
        </w:rPr>
        <w:t>22</w:t>
      </w:r>
      <w:r w:rsidRPr="00E72311">
        <w:rPr>
          <w:rFonts w:ascii="Times New Roman" w:eastAsia="바탕" w:hAnsi="Times New Roman" w:cs="Times New Roman"/>
          <w:b/>
          <w:szCs w:val="20"/>
          <w:lang w:val="hu-HU" w:eastAsia="hu-HU"/>
        </w:rPr>
        <w:t>. táblázat: Hatásossági eredmények az 52. héten</w:t>
      </w:r>
      <w:r w:rsidRPr="00E72311">
        <w:rPr>
          <w:rFonts w:ascii="Times New Roman" w:eastAsia="바탕" w:hAnsi="Times New Roman" w:cs="Times New Roman"/>
          <w:szCs w:val="20"/>
          <w:lang w:val="hu-HU" w:eastAsia="hu-HU"/>
        </w:rPr>
        <w:t> </w:t>
      </w:r>
    </w:p>
    <w:p w14:paraId="61D35BE0" w14:textId="77777777" w:rsidR="00773429" w:rsidRPr="00E72311" w:rsidRDefault="00773429" w:rsidP="00773429">
      <w:pPr>
        <w:keepNext/>
        <w:widowControl/>
        <w:suppressAutoHyphens/>
        <w:spacing w:line="260" w:lineRule="exact"/>
        <w:jc w:val="center"/>
        <w:textAlignment w:val="baseline"/>
        <w:rPr>
          <w:rFonts w:ascii="Times New Roman" w:eastAsia="바탕" w:hAnsi="Times New Roman" w:cs="Times New Roman"/>
          <w:szCs w:val="20"/>
          <w:lang w:val="hu-HU" w:eastAsia="en-GB"/>
        </w:rPr>
      </w:pPr>
    </w:p>
    <w:tbl>
      <w:tblPr>
        <w:tblW w:w="9144"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873"/>
        <w:gridCol w:w="2728"/>
        <w:gridCol w:w="2543"/>
      </w:tblGrid>
      <w:tr w:rsidR="00773429" w:rsidRPr="00F70E6D" w14:paraId="55ACDF36" w14:textId="77777777" w:rsidTr="00604DFB">
        <w:trPr>
          <w:trHeight w:val="912"/>
          <w:jc w:val="center"/>
        </w:trPr>
        <w:tc>
          <w:tcPr>
            <w:tcW w:w="3873" w:type="dxa"/>
            <w:tcBorders>
              <w:top w:val="single" w:sz="6" w:space="0" w:color="auto"/>
              <w:left w:val="single" w:sz="6" w:space="0" w:color="auto"/>
              <w:bottom w:val="single" w:sz="6" w:space="0" w:color="auto"/>
              <w:right w:val="single" w:sz="6" w:space="0" w:color="auto"/>
            </w:tcBorders>
            <w:hideMark/>
          </w:tcPr>
          <w:p w14:paraId="047881A0" w14:textId="77777777" w:rsidR="00773429" w:rsidRPr="00E72311" w:rsidRDefault="00773429" w:rsidP="00604DFB">
            <w:pPr>
              <w:keepNext/>
              <w:widowControl/>
              <w:suppressAutoHyphens/>
              <w:spacing w:line="260" w:lineRule="exact"/>
              <w:jc w:val="center"/>
              <w:textAlignment w:val="baseline"/>
              <w:rPr>
                <w:rFonts w:ascii="Times New Roman" w:eastAsia="바탕" w:hAnsi="Times New Roman" w:cs="Times New Roman"/>
                <w:szCs w:val="20"/>
                <w:lang w:val="hu-HU" w:eastAsia="en-GB"/>
              </w:rPr>
            </w:pPr>
          </w:p>
        </w:tc>
        <w:tc>
          <w:tcPr>
            <w:tcW w:w="2728" w:type="dxa"/>
            <w:tcBorders>
              <w:top w:val="single" w:sz="6" w:space="0" w:color="auto"/>
              <w:left w:val="nil"/>
              <w:bottom w:val="single" w:sz="6" w:space="0" w:color="auto"/>
              <w:right w:val="single" w:sz="6" w:space="0" w:color="auto"/>
            </w:tcBorders>
            <w:vAlign w:val="center"/>
            <w:hideMark/>
          </w:tcPr>
          <w:p w14:paraId="1E1181D6" w14:textId="77777777" w:rsidR="00773429" w:rsidRPr="00E72311" w:rsidRDefault="00773429" w:rsidP="00604DFB">
            <w:pPr>
              <w:keepNext/>
              <w:widowControl/>
              <w:suppressAutoHyphens/>
              <w:spacing w:line="260" w:lineRule="exact"/>
              <w:jc w:val="center"/>
              <w:textAlignment w:val="baseline"/>
              <w:rPr>
                <w:rFonts w:ascii="Times New Roman" w:eastAsia="바탕" w:hAnsi="Times New Roman" w:cs="Times New Roman"/>
                <w:szCs w:val="20"/>
                <w:lang w:val="hu-HU" w:eastAsia="hu-HU"/>
              </w:rPr>
            </w:pPr>
            <w:r>
              <w:rPr>
                <w:rFonts w:ascii="Times New Roman" w:eastAsia="바탕" w:hAnsi="Times New Roman" w:cs="Times New Roman"/>
                <w:b/>
                <w:szCs w:val="20"/>
                <w:lang w:val="hu-HU" w:eastAsia="hu-HU"/>
              </w:rPr>
              <w:t>Adalimumab</w:t>
            </w:r>
            <w:r w:rsidRPr="00E72311">
              <w:rPr>
                <w:rFonts w:ascii="Times New Roman" w:eastAsia="바탕" w:hAnsi="Times New Roman" w:cs="Times New Roman"/>
                <w:b/>
                <w:szCs w:val="20"/>
                <w:vertAlign w:val="superscript"/>
                <w:lang w:val="hu-HU" w:eastAsia="hu-HU"/>
              </w:rPr>
              <w:t>a</w:t>
            </w:r>
            <w:r w:rsidRPr="00E72311">
              <w:rPr>
                <w:rFonts w:ascii="Times New Roman" w:eastAsia="바탕" w:hAnsi="Times New Roman" w:cs="Times New Roman"/>
                <w:b/>
                <w:szCs w:val="20"/>
                <w:lang w:val="hu-HU" w:eastAsia="hu-HU"/>
              </w:rPr>
              <w:t> </w:t>
            </w:r>
            <w:r w:rsidRPr="00E72311">
              <w:rPr>
                <w:rFonts w:ascii="Times New Roman" w:eastAsia="바탕" w:hAnsi="Times New Roman" w:cs="Times New Roman"/>
                <w:szCs w:val="20"/>
                <w:lang w:val="hu-HU" w:eastAsia="hu-HU"/>
              </w:rPr>
              <w:t> </w:t>
            </w:r>
          </w:p>
          <w:p w14:paraId="20AEB6C0" w14:textId="77777777" w:rsidR="00773429" w:rsidRPr="00E72311" w:rsidRDefault="00773429" w:rsidP="00604DFB">
            <w:pPr>
              <w:keepNext/>
              <w:widowControl/>
              <w:suppressAutoHyphens/>
              <w:spacing w:line="260" w:lineRule="exact"/>
              <w:jc w:val="center"/>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b/>
                <w:bCs/>
                <w:szCs w:val="20"/>
                <w:lang w:val="hu-HU" w:eastAsia="hu-HU"/>
              </w:rPr>
              <w:t>Legfeljebb 40 mg kéthetente </w:t>
            </w:r>
          </w:p>
          <w:p w14:paraId="69A5AC94" w14:textId="5920B432" w:rsidR="00773429" w:rsidRPr="00E72311" w:rsidRDefault="00033425" w:rsidP="00604DFB">
            <w:pPr>
              <w:keepNext/>
              <w:widowControl/>
              <w:suppressAutoHyphens/>
              <w:spacing w:line="260" w:lineRule="exact"/>
              <w:jc w:val="center"/>
              <w:textAlignment w:val="baseline"/>
              <w:rPr>
                <w:rFonts w:ascii="Times New Roman" w:eastAsia="바탕" w:hAnsi="Times New Roman" w:cs="Times New Roman"/>
                <w:szCs w:val="20"/>
                <w:lang w:val="hu-HU" w:eastAsia="hu-HU"/>
              </w:rPr>
            </w:pPr>
            <w:r>
              <w:rPr>
                <w:rFonts w:ascii="Times New Roman" w:eastAsia="바탕" w:hAnsi="Times New Roman" w:cs="Times New Roman"/>
                <w:szCs w:val="20"/>
                <w:lang w:val="hu-HU" w:eastAsia="hu-HU"/>
              </w:rPr>
              <w:t>n</w:t>
            </w:r>
            <w:r w:rsidR="00773429" w:rsidRPr="00E72311">
              <w:rPr>
                <w:rFonts w:ascii="Times New Roman" w:eastAsia="바탕" w:hAnsi="Times New Roman" w:cs="Times New Roman"/>
                <w:szCs w:val="20"/>
                <w:lang w:val="hu-HU" w:eastAsia="hu-HU"/>
              </w:rPr>
              <w:t>=31</w:t>
            </w:r>
          </w:p>
        </w:tc>
        <w:tc>
          <w:tcPr>
            <w:tcW w:w="2543" w:type="dxa"/>
            <w:tcBorders>
              <w:top w:val="single" w:sz="6" w:space="0" w:color="auto"/>
              <w:left w:val="nil"/>
              <w:bottom w:val="single" w:sz="6" w:space="0" w:color="auto"/>
              <w:right w:val="single" w:sz="6" w:space="0" w:color="auto"/>
            </w:tcBorders>
            <w:vAlign w:val="center"/>
            <w:hideMark/>
          </w:tcPr>
          <w:p w14:paraId="13DA98E3" w14:textId="77777777" w:rsidR="00773429" w:rsidRPr="00E72311" w:rsidRDefault="00773429" w:rsidP="00604DFB">
            <w:pPr>
              <w:keepNext/>
              <w:widowControl/>
              <w:suppressAutoHyphens/>
              <w:spacing w:line="260" w:lineRule="exact"/>
              <w:jc w:val="center"/>
              <w:textAlignment w:val="baseline"/>
              <w:rPr>
                <w:rFonts w:ascii="Times New Roman" w:eastAsia="바탕" w:hAnsi="Times New Roman" w:cs="Times New Roman"/>
                <w:szCs w:val="20"/>
                <w:lang w:val="hu-HU" w:eastAsia="hu-HU"/>
              </w:rPr>
            </w:pPr>
            <w:r>
              <w:rPr>
                <w:rFonts w:ascii="Times New Roman" w:eastAsia="바탕" w:hAnsi="Times New Roman" w:cs="Times New Roman"/>
                <w:b/>
                <w:szCs w:val="20"/>
                <w:lang w:val="hu-HU" w:eastAsia="hu-HU"/>
              </w:rPr>
              <w:t>Adalimumab</w:t>
            </w:r>
            <w:r w:rsidRPr="00E72311">
              <w:rPr>
                <w:rFonts w:ascii="Times New Roman" w:eastAsia="바탕" w:hAnsi="Times New Roman" w:cs="Times New Roman"/>
                <w:b/>
                <w:szCs w:val="20"/>
                <w:vertAlign w:val="superscript"/>
                <w:lang w:val="hu-HU" w:eastAsia="hu-HU"/>
              </w:rPr>
              <w:t>b</w:t>
            </w:r>
            <w:r w:rsidRPr="00E72311">
              <w:rPr>
                <w:rFonts w:ascii="Times New Roman" w:eastAsia="바탕" w:hAnsi="Times New Roman" w:cs="Times New Roman"/>
                <w:b/>
                <w:szCs w:val="20"/>
                <w:lang w:val="hu-HU" w:eastAsia="hu-HU"/>
              </w:rPr>
              <w:t> </w:t>
            </w:r>
            <w:r w:rsidRPr="00E72311">
              <w:rPr>
                <w:rFonts w:ascii="Times New Roman" w:eastAsia="바탕" w:hAnsi="Times New Roman" w:cs="Times New Roman"/>
                <w:szCs w:val="20"/>
                <w:lang w:val="hu-HU" w:eastAsia="hu-HU"/>
              </w:rPr>
              <w:t> </w:t>
            </w:r>
          </w:p>
          <w:p w14:paraId="4427FE41" w14:textId="77777777" w:rsidR="00773429" w:rsidRPr="00E72311" w:rsidRDefault="00773429" w:rsidP="00604DFB">
            <w:pPr>
              <w:keepNext/>
              <w:widowControl/>
              <w:suppressAutoHyphens/>
              <w:spacing w:line="260" w:lineRule="exact"/>
              <w:jc w:val="center"/>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b/>
                <w:bCs/>
                <w:szCs w:val="20"/>
                <w:lang w:val="hu-HU" w:eastAsia="hu-HU"/>
              </w:rPr>
              <w:t>Legfeljebb 40 mg hetente</w:t>
            </w:r>
            <w:r w:rsidRPr="00E72311">
              <w:rPr>
                <w:rFonts w:ascii="Times New Roman" w:eastAsia="바탕" w:hAnsi="Times New Roman" w:cs="Times New Roman"/>
                <w:szCs w:val="20"/>
                <w:lang w:val="hu-HU" w:eastAsia="hu-HU"/>
              </w:rPr>
              <w:t> </w:t>
            </w:r>
          </w:p>
          <w:p w14:paraId="4D51C985" w14:textId="56ADBF99" w:rsidR="00773429" w:rsidRPr="00E72311" w:rsidRDefault="00033425" w:rsidP="00604DFB">
            <w:pPr>
              <w:keepNext/>
              <w:widowControl/>
              <w:suppressAutoHyphens/>
              <w:spacing w:line="260" w:lineRule="exact"/>
              <w:jc w:val="center"/>
              <w:textAlignment w:val="baseline"/>
              <w:rPr>
                <w:rFonts w:ascii="Times New Roman" w:eastAsia="바탕" w:hAnsi="Times New Roman" w:cs="Times New Roman"/>
                <w:szCs w:val="20"/>
                <w:lang w:val="hu-HU" w:eastAsia="hu-HU"/>
              </w:rPr>
            </w:pPr>
            <w:r>
              <w:rPr>
                <w:rFonts w:ascii="Times New Roman" w:eastAsia="바탕" w:hAnsi="Times New Roman" w:cs="Times New Roman"/>
                <w:szCs w:val="20"/>
                <w:lang w:val="hu-HU" w:eastAsia="hu-HU"/>
              </w:rPr>
              <w:t>n</w:t>
            </w:r>
            <w:r w:rsidR="00773429" w:rsidRPr="00E72311">
              <w:rPr>
                <w:rFonts w:ascii="Times New Roman" w:eastAsia="바탕" w:hAnsi="Times New Roman" w:cs="Times New Roman"/>
                <w:szCs w:val="20"/>
                <w:lang w:val="hu-HU" w:eastAsia="hu-HU"/>
              </w:rPr>
              <w:t>=31</w:t>
            </w:r>
          </w:p>
        </w:tc>
      </w:tr>
      <w:tr w:rsidR="00773429" w:rsidRPr="00E72311" w14:paraId="4F5DA448" w14:textId="77777777" w:rsidTr="00604DFB">
        <w:trPr>
          <w:trHeight w:val="570"/>
          <w:jc w:val="center"/>
        </w:trPr>
        <w:tc>
          <w:tcPr>
            <w:tcW w:w="3873" w:type="dxa"/>
            <w:tcBorders>
              <w:top w:val="nil"/>
              <w:left w:val="single" w:sz="6" w:space="0" w:color="auto"/>
              <w:bottom w:val="single" w:sz="6" w:space="0" w:color="auto"/>
              <w:right w:val="single" w:sz="6" w:space="0" w:color="auto"/>
            </w:tcBorders>
            <w:vAlign w:val="center"/>
            <w:hideMark/>
          </w:tcPr>
          <w:p w14:paraId="63FC0A09" w14:textId="77777777" w:rsidR="00773429" w:rsidRPr="00E72311" w:rsidRDefault="00773429" w:rsidP="00604DFB">
            <w:pPr>
              <w:keepNext/>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 xml:space="preserve">Klinikai remisszió a 8. héten PMS szerint </w:t>
            </w:r>
            <w:r w:rsidRPr="00E72311">
              <w:rPr>
                <w:rFonts w:ascii="Times New Roman" w:eastAsia="바탕" w:hAnsi="Times New Roman" w:cs="Times New Roman"/>
                <w:szCs w:val="20"/>
                <w:shd w:val="clear" w:color="auto" w:fill="FFFFFF"/>
                <w:lang w:val="hu-HU" w:eastAsia="hu-HU"/>
              </w:rPr>
              <w:t>választ mutatóknál</w:t>
            </w:r>
          </w:p>
        </w:tc>
        <w:tc>
          <w:tcPr>
            <w:tcW w:w="2728" w:type="dxa"/>
            <w:tcBorders>
              <w:top w:val="nil"/>
              <w:left w:val="nil"/>
              <w:bottom w:val="single" w:sz="4" w:space="0" w:color="auto"/>
              <w:right w:val="single" w:sz="6" w:space="0" w:color="auto"/>
            </w:tcBorders>
            <w:vAlign w:val="center"/>
            <w:hideMark/>
          </w:tcPr>
          <w:p w14:paraId="5719D8EE" w14:textId="77777777" w:rsidR="00773429" w:rsidRPr="00E72311" w:rsidRDefault="00773429" w:rsidP="00604DFB">
            <w:pPr>
              <w:keepNext/>
              <w:widowControl/>
              <w:suppressAutoHyphens/>
              <w:spacing w:line="260" w:lineRule="exact"/>
              <w:jc w:val="center"/>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9/31 (29,0%) </w:t>
            </w:r>
          </w:p>
        </w:tc>
        <w:tc>
          <w:tcPr>
            <w:tcW w:w="2543" w:type="dxa"/>
            <w:tcBorders>
              <w:top w:val="nil"/>
              <w:left w:val="nil"/>
              <w:bottom w:val="single" w:sz="4" w:space="0" w:color="auto"/>
              <w:right w:val="single" w:sz="6" w:space="0" w:color="auto"/>
            </w:tcBorders>
            <w:vAlign w:val="center"/>
            <w:hideMark/>
          </w:tcPr>
          <w:p w14:paraId="15A3FE40" w14:textId="77777777" w:rsidR="00773429" w:rsidRPr="00E72311" w:rsidRDefault="00773429" w:rsidP="00604DFB">
            <w:pPr>
              <w:keepNext/>
              <w:widowControl/>
              <w:suppressAutoHyphens/>
              <w:spacing w:line="260" w:lineRule="exact"/>
              <w:jc w:val="center"/>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14/31 (45,2%)</w:t>
            </w:r>
          </w:p>
        </w:tc>
      </w:tr>
      <w:tr w:rsidR="00773429" w:rsidRPr="00E72311" w14:paraId="372DDFDC" w14:textId="77777777" w:rsidTr="00604DFB">
        <w:trPr>
          <w:trHeight w:val="555"/>
          <w:jc w:val="center"/>
        </w:trPr>
        <w:tc>
          <w:tcPr>
            <w:tcW w:w="3873" w:type="dxa"/>
            <w:tcBorders>
              <w:top w:val="nil"/>
              <w:left w:val="single" w:sz="6" w:space="0" w:color="auto"/>
              <w:bottom w:val="single" w:sz="6" w:space="0" w:color="auto"/>
              <w:right w:val="single" w:sz="4" w:space="0" w:color="auto"/>
            </w:tcBorders>
            <w:vAlign w:val="center"/>
            <w:hideMark/>
          </w:tcPr>
          <w:p w14:paraId="56743F7D" w14:textId="77777777" w:rsidR="00773429" w:rsidRPr="00E72311" w:rsidRDefault="00773429" w:rsidP="00604DFB">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 xml:space="preserve">Klinikai válasz a 8. héten  PMS szerint </w:t>
            </w:r>
            <w:r w:rsidRPr="00E72311">
              <w:rPr>
                <w:rFonts w:ascii="Times New Roman" w:eastAsia="바탕" w:hAnsi="Times New Roman" w:cs="Times New Roman"/>
                <w:szCs w:val="20"/>
                <w:shd w:val="clear" w:color="auto" w:fill="FFFFFF"/>
                <w:lang w:val="hu-HU" w:eastAsia="hu-HU"/>
              </w:rPr>
              <w:t>választ mutatóknál</w:t>
            </w:r>
            <w:r w:rsidRPr="00E72311">
              <w:rPr>
                <w:rFonts w:ascii="Times New Roman" w:eastAsia="바탕" w:hAnsi="Times New Roman" w:cs="Times New Roman"/>
                <w:szCs w:val="20"/>
                <w:lang w:val="hu-HU" w:eastAsia="hu-HU"/>
              </w:rPr>
              <w:t> </w:t>
            </w:r>
          </w:p>
        </w:tc>
        <w:tc>
          <w:tcPr>
            <w:tcW w:w="2728" w:type="dxa"/>
            <w:tcBorders>
              <w:top w:val="single" w:sz="4" w:space="0" w:color="auto"/>
              <w:left w:val="single" w:sz="4" w:space="0" w:color="auto"/>
              <w:bottom w:val="single" w:sz="4" w:space="0" w:color="auto"/>
              <w:right w:val="single" w:sz="4" w:space="0" w:color="auto"/>
            </w:tcBorders>
            <w:vAlign w:val="center"/>
            <w:hideMark/>
          </w:tcPr>
          <w:p w14:paraId="44B47660" w14:textId="77777777" w:rsidR="00773429" w:rsidRPr="00E72311" w:rsidRDefault="00773429" w:rsidP="00604DFB">
            <w:pPr>
              <w:widowControl/>
              <w:suppressAutoHyphens/>
              <w:spacing w:line="260" w:lineRule="exact"/>
              <w:jc w:val="center"/>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19/31 (61,3%) </w:t>
            </w:r>
          </w:p>
        </w:tc>
        <w:tc>
          <w:tcPr>
            <w:tcW w:w="2543" w:type="dxa"/>
            <w:tcBorders>
              <w:top w:val="single" w:sz="4" w:space="0" w:color="auto"/>
              <w:left w:val="single" w:sz="4" w:space="0" w:color="auto"/>
              <w:bottom w:val="single" w:sz="4" w:space="0" w:color="auto"/>
              <w:right w:val="single" w:sz="4" w:space="0" w:color="auto"/>
            </w:tcBorders>
            <w:vAlign w:val="center"/>
            <w:hideMark/>
          </w:tcPr>
          <w:p w14:paraId="5A2E2427" w14:textId="77777777" w:rsidR="00773429" w:rsidRPr="00E72311" w:rsidRDefault="00773429" w:rsidP="00604DFB">
            <w:pPr>
              <w:widowControl/>
              <w:suppressAutoHyphens/>
              <w:spacing w:line="260" w:lineRule="exact"/>
              <w:jc w:val="center"/>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21/31 (67,7%) </w:t>
            </w:r>
          </w:p>
        </w:tc>
      </w:tr>
      <w:tr w:rsidR="00773429" w:rsidRPr="00E72311" w14:paraId="7765C25F" w14:textId="77777777" w:rsidTr="00604DFB">
        <w:trPr>
          <w:jc w:val="center"/>
        </w:trPr>
        <w:tc>
          <w:tcPr>
            <w:tcW w:w="3873" w:type="dxa"/>
            <w:tcBorders>
              <w:top w:val="nil"/>
              <w:left w:val="single" w:sz="6" w:space="0" w:color="auto"/>
              <w:bottom w:val="single" w:sz="6" w:space="0" w:color="auto"/>
              <w:right w:val="single" w:sz="6" w:space="0" w:color="auto"/>
            </w:tcBorders>
            <w:vAlign w:val="center"/>
            <w:hideMark/>
          </w:tcPr>
          <w:p w14:paraId="75F1BFC7" w14:textId="77777777" w:rsidR="00773429" w:rsidRPr="00E72311" w:rsidRDefault="00773429" w:rsidP="00604DFB">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 xml:space="preserve">Nyálkahártya-gyógyulás a 8. héten PMS szerint </w:t>
            </w:r>
            <w:r w:rsidRPr="00E72311">
              <w:rPr>
                <w:rFonts w:ascii="Times New Roman" w:eastAsia="바탕" w:hAnsi="Times New Roman" w:cs="Times New Roman"/>
                <w:szCs w:val="20"/>
                <w:shd w:val="clear" w:color="auto" w:fill="FFFFFF"/>
                <w:lang w:val="hu-HU" w:eastAsia="hu-HU"/>
              </w:rPr>
              <w:t>választ mutatóknál</w:t>
            </w:r>
          </w:p>
        </w:tc>
        <w:tc>
          <w:tcPr>
            <w:tcW w:w="2728" w:type="dxa"/>
            <w:tcBorders>
              <w:top w:val="single" w:sz="4" w:space="0" w:color="auto"/>
              <w:left w:val="nil"/>
              <w:bottom w:val="single" w:sz="6" w:space="0" w:color="auto"/>
              <w:right w:val="single" w:sz="6" w:space="0" w:color="auto"/>
            </w:tcBorders>
            <w:vAlign w:val="center"/>
            <w:hideMark/>
          </w:tcPr>
          <w:p w14:paraId="565732B9" w14:textId="77777777" w:rsidR="00773429" w:rsidRPr="00E72311" w:rsidRDefault="00773429" w:rsidP="00604DFB">
            <w:pPr>
              <w:widowControl/>
              <w:suppressAutoHyphens/>
              <w:spacing w:line="260" w:lineRule="exact"/>
              <w:jc w:val="center"/>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12/31 (38,7%) </w:t>
            </w:r>
          </w:p>
        </w:tc>
        <w:tc>
          <w:tcPr>
            <w:tcW w:w="2543" w:type="dxa"/>
            <w:tcBorders>
              <w:top w:val="single" w:sz="4" w:space="0" w:color="auto"/>
              <w:left w:val="nil"/>
              <w:bottom w:val="single" w:sz="6" w:space="0" w:color="auto"/>
              <w:right w:val="single" w:sz="6" w:space="0" w:color="auto"/>
            </w:tcBorders>
            <w:vAlign w:val="center"/>
            <w:hideMark/>
          </w:tcPr>
          <w:p w14:paraId="6A41BFBE" w14:textId="77777777" w:rsidR="00773429" w:rsidRPr="00E72311" w:rsidRDefault="00773429" w:rsidP="00604DFB">
            <w:pPr>
              <w:widowControl/>
              <w:suppressAutoHyphens/>
              <w:spacing w:line="260" w:lineRule="exact"/>
              <w:jc w:val="center"/>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16/31 (51,6%) </w:t>
            </w:r>
          </w:p>
        </w:tc>
      </w:tr>
      <w:tr w:rsidR="00773429" w:rsidRPr="00E72311" w14:paraId="29DC9BA3" w14:textId="77777777" w:rsidTr="00604DFB">
        <w:trPr>
          <w:jc w:val="center"/>
        </w:trPr>
        <w:tc>
          <w:tcPr>
            <w:tcW w:w="3873" w:type="dxa"/>
            <w:tcBorders>
              <w:top w:val="nil"/>
              <w:left w:val="single" w:sz="6" w:space="0" w:color="auto"/>
              <w:bottom w:val="single" w:sz="6" w:space="0" w:color="auto"/>
              <w:right w:val="single" w:sz="6" w:space="0" w:color="auto"/>
            </w:tcBorders>
            <w:vAlign w:val="center"/>
            <w:hideMark/>
          </w:tcPr>
          <w:p w14:paraId="15DEBB5D" w14:textId="77777777" w:rsidR="00773429" w:rsidRPr="00E72311" w:rsidRDefault="00773429" w:rsidP="00604DFB">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Klinikai remisszió a 8. héten PMS szerint remisszióban lévőknél </w:t>
            </w:r>
          </w:p>
        </w:tc>
        <w:tc>
          <w:tcPr>
            <w:tcW w:w="2728" w:type="dxa"/>
            <w:tcBorders>
              <w:top w:val="nil"/>
              <w:left w:val="nil"/>
              <w:bottom w:val="single" w:sz="6" w:space="0" w:color="auto"/>
              <w:right w:val="single" w:sz="6" w:space="0" w:color="auto"/>
            </w:tcBorders>
            <w:vAlign w:val="center"/>
            <w:hideMark/>
          </w:tcPr>
          <w:p w14:paraId="1CC69436" w14:textId="77777777" w:rsidR="00773429" w:rsidRPr="00E72311" w:rsidRDefault="00773429" w:rsidP="00604DFB">
            <w:pPr>
              <w:widowControl/>
              <w:suppressAutoHyphens/>
              <w:spacing w:line="260" w:lineRule="exact"/>
              <w:jc w:val="center"/>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9/21 (42,9%) </w:t>
            </w:r>
          </w:p>
        </w:tc>
        <w:tc>
          <w:tcPr>
            <w:tcW w:w="2543" w:type="dxa"/>
            <w:tcBorders>
              <w:top w:val="nil"/>
              <w:left w:val="nil"/>
              <w:bottom w:val="single" w:sz="6" w:space="0" w:color="auto"/>
              <w:right w:val="single" w:sz="6" w:space="0" w:color="auto"/>
            </w:tcBorders>
            <w:vAlign w:val="center"/>
            <w:hideMark/>
          </w:tcPr>
          <w:p w14:paraId="0930A2A7" w14:textId="77777777" w:rsidR="00773429" w:rsidRPr="00E72311" w:rsidRDefault="00773429" w:rsidP="00604DFB">
            <w:pPr>
              <w:widowControl/>
              <w:suppressAutoHyphens/>
              <w:spacing w:line="260" w:lineRule="exact"/>
              <w:jc w:val="center"/>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10/22 (45,5%) </w:t>
            </w:r>
          </w:p>
        </w:tc>
      </w:tr>
      <w:tr w:rsidR="00773429" w:rsidRPr="00E72311" w14:paraId="32F844CE" w14:textId="77777777" w:rsidTr="00604DFB">
        <w:trPr>
          <w:jc w:val="center"/>
        </w:trPr>
        <w:tc>
          <w:tcPr>
            <w:tcW w:w="3873" w:type="dxa"/>
            <w:tcBorders>
              <w:top w:val="nil"/>
              <w:left w:val="single" w:sz="6" w:space="0" w:color="auto"/>
              <w:bottom w:val="single" w:sz="6" w:space="0" w:color="auto"/>
              <w:right w:val="single" w:sz="6" w:space="0" w:color="auto"/>
            </w:tcBorders>
            <w:vAlign w:val="center"/>
            <w:hideMark/>
          </w:tcPr>
          <w:p w14:paraId="0F4B942F" w14:textId="77777777" w:rsidR="00773429" w:rsidRPr="00E72311" w:rsidRDefault="00773429" w:rsidP="00604DFB">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 xml:space="preserve">Kortikoszteroidmentes remisszió a 8. héten PMS szerint </w:t>
            </w:r>
            <w:r w:rsidRPr="00E72311">
              <w:rPr>
                <w:rFonts w:ascii="Times New Roman" w:eastAsia="바탕" w:hAnsi="Times New Roman" w:cs="Times New Roman"/>
                <w:szCs w:val="20"/>
                <w:shd w:val="clear" w:color="auto" w:fill="FFFFFF"/>
                <w:lang w:val="hu-HU" w:eastAsia="hu-HU"/>
              </w:rPr>
              <w:t>választ mutatóknál</w:t>
            </w:r>
            <w:r w:rsidRPr="00E72311">
              <w:rPr>
                <w:rFonts w:ascii="Times New Roman" w:eastAsia="바탕" w:hAnsi="Times New Roman" w:cs="Times New Roman"/>
                <w:szCs w:val="20"/>
                <w:lang w:val="hu-HU" w:eastAsia="hu-HU"/>
              </w:rPr>
              <w:t> </w:t>
            </w:r>
          </w:p>
        </w:tc>
        <w:tc>
          <w:tcPr>
            <w:tcW w:w="2728" w:type="dxa"/>
            <w:tcBorders>
              <w:top w:val="nil"/>
              <w:left w:val="nil"/>
              <w:bottom w:val="single" w:sz="6" w:space="0" w:color="auto"/>
              <w:right w:val="single" w:sz="6" w:space="0" w:color="auto"/>
            </w:tcBorders>
            <w:vAlign w:val="center"/>
            <w:hideMark/>
          </w:tcPr>
          <w:p w14:paraId="61808BFD" w14:textId="77777777" w:rsidR="00773429" w:rsidRPr="00E72311" w:rsidRDefault="00773429" w:rsidP="00604DFB">
            <w:pPr>
              <w:widowControl/>
              <w:suppressAutoHyphens/>
              <w:spacing w:line="260" w:lineRule="exact"/>
              <w:jc w:val="center"/>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4/13 (30,8%) </w:t>
            </w:r>
          </w:p>
        </w:tc>
        <w:tc>
          <w:tcPr>
            <w:tcW w:w="2543" w:type="dxa"/>
            <w:tcBorders>
              <w:top w:val="nil"/>
              <w:left w:val="nil"/>
              <w:bottom w:val="single" w:sz="6" w:space="0" w:color="auto"/>
              <w:right w:val="single" w:sz="6" w:space="0" w:color="auto"/>
            </w:tcBorders>
            <w:vAlign w:val="center"/>
            <w:hideMark/>
          </w:tcPr>
          <w:p w14:paraId="1B875C9A" w14:textId="77777777" w:rsidR="00773429" w:rsidRPr="00E72311" w:rsidRDefault="00773429" w:rsidP="00604DFB">
            <w:pPr>
              <w:widowControl/>
              <w:suppressAutoHyphens/>
              <w:spacing w:line="260" w:lineRule="exact"/>
              <w:jc w:val="center"/>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5/16 (31,3%) </w:t>
            </w:r>
          </w:p>
        </w:tc>
      </w:tr>
      <w:tr w:rsidR="00773429" w:rsidRPr="00BE4D18" w14:paraId="3D42032D" w14:textId="77777777" w:rsidTr="00604DFB">
        <w:trPr>
          <w:jc w:val="center"/>
        </w:trPr>
        <w:tc>
          <w:tcPr>
            <w:tcW w:w="9144" w:type="dxa"/>
            <w:gridSpan w:val="3"/>
            <w:tcBorders>
              <w:top w:val="nil"/>
              <w:left w:val="single" w:sz="6" w:space="0" w:color="auto"/>
              <w:bottom w:val="single" w:sz="6" w:space="0" w:color="auto"/>
              <w:right w:val="single" w:sz="6" w:space="0" w:color="auto"/>
            </w:tcBorders>
            <w:hideMark/>
          </w:tcPr>
          <w:p w14:paraId="797469E6" w14:textId="77777777" w:rsidR="00773429" w:rsidRPr="00E72311" w:rsidRDefault="00773429" w:rsidP="00604DFB">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vertAlign w:val="superscript"/>
                <w:lang w:val="hu-HU" w:eastAsia="hu-HU"/>
              </w:rPr>
              <w:t>a </w:t>
            </w:r>
            <w:r>
              <w:rPr>
                <w:rFonts w:ascii="Times New Roman" w:eastAsia="바탕" w:hAnsi="Times New Roman" w:cs="Times New Roman"/>
                <w:szCs w:val="20"/>
                <w:lang w:val="hu-HU" w:eastAsia="hu-HU"/>
              </w:rPr>
              <w:t>Adalimumab</w:t>
            </w:r>
            <w:r w:rsidRPr="00E72311">
              <w:rPr>
                <w:rFonts w:ascii="Times New Roman" w:eastAsia="바탕" w:hAnsi="Times New Roman" w:cs="Times New Roman"/>
                <w:szCs w:val="20"/>
                <w:lang w:val="hu-HU" w:eastAsia="hu-HU"/>
              </w:rPr>
              <w:t xml:space="preserve"> 0,6 mg/ttkg (legfeljebb 40 mg) kéthetente </w:t>
            </w:r>
          </w:p>
          <w:p w14:paraId="020F9F4F" w14:textId="77777777" w:rsidR="00773429" w:rsidRPr="00E72311" w:rsidRDefault="00773429" w:rsidP="00604DFB">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vertAlign w:val="superscript"/>
                <w:lang w:val="hu-HU" w:eastAsia="hu-HU"/>
              </w:rPr>
              <w:lastRenderedPageBreak/>
              <w:t>b </w:t>
            </w:r>
            <w:r>
              <w:rPr>
                <w:rFonts w:ascii="Times New Roman" w:eastAsia="바탕" w:hAnsi="Times New Roman" w:cs="Times New Roman"/>
                <w:szCs w:val="20"/>
                <w:lang w:val="hu-HU" w:eastAsia="hu-HU"/>
              </w:rPr>
              <w:t>Adalimumab</w:t>
            </w:r>
            <w:r w:rsidRPr="00E72311">
              <w:rPr>
                <w:rFonts w:ascii="Times New Roman" w:eastAsia="바탕" w:hAnsi="Times New Roman" w:cs="Times New Roman"/>
                <w:szCs w:val="20"/>
                <w:lang w:val="hu-HU" w:eastAsia="hu-HU"/>
              </w:rPr>
              <w:t xml:space="preserve"> 0,6 mg/ttkg (legfeljebb 40 mg) hetente </w:t>
            </w:r>
          </w:p>
          <w:p w14:paraId="2C5F4BD4" w14:textId="77777777" w:rsidR="00773429" w:rsidRPr="00E72311" w:rsidRDefault="00773429" w:rsidP="00604DFB">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Kiindulásnál egyidejűleg kortikoszteroidokat kapó betegeknél </w:t>
            </w:r>
          </w:p>
          <w:p w14:paraId="5EECCB59" w14:textId="77777777" w:rsidR="00773429" w:rsidRPr="00E72311" w:rsidRDefault="00773429" w:rsidP="00604DFB">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Megjegyzés: Azokat a betegeket, akiknek az 52. héten hiányoztak az értékei, vagy akiket ismételt indukcióra vagy fenntartó kezelésre randomizáltak, az 52. hét végpontjain választ nem mutatóknak tekintették </w:t>
            </w:r>
          </w:p>
        </w:tc>
      </w:tr>
    </w:tbl>
    <w:p w14:paraId="2880BA21" w14:textId="77777777" w:rsidR="00773429" w:rsidRPr="00E72311" w:rsidRDefault="00773429" w:rsidP="00773429">
      <w:pPr>
        <w:widowControl/>
        <w:suppressAutoHyphens/>
        <w:spacing w:line="260" w:lineRule="exact"/>
        <w:rPr>
          <w:rFonts w:ascii="Times New Roman" w:eastAsia="바탕" w:hAnsi="Times New Roman" w:cs="Times New Roman"/>
          <w:szCs w:val="20"/>
          <w:lang w:val="hu-HU" w:eastAsia="hu-HU"/>
        </w:rPr>
      </w:pPr>
    </w:p>
    <w:p w14:paraId="6D71433A" w14:textId="77777777" w:rsidR="00773429" w:rsidRDefault="00773429" w:rsidP="00773429">
      <w:pPr>
        <w:widowControl/>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A további feltáró hatásossági végpontok között szerepelt a klinikai válasz a gyermek- és serdülőkori colitis ulcerosa aktivitási indexe (PUCAI) (a PUCAI ≥ 20 pontos csökkenése a kiindulási értékhez viszonyítva) és a klinikai remisszió a PUCAI periódusonként (PUCAI &lt; 10 pontos csökkenéseként definiálva) a 8. és az 52. héten (</w:t>
      </w:r>
      <w:r>
        <w:rPr>
          <w:rFonts w:ascii="Times New Roman" w:eastAsia="바탕" w:hAnsi="Times New Roman" w:cs="Times New Roman"/>
          <w:szCs w:val="20"/>
          <w:lang w:val="hu-HU" w:eastAsia="hu-HU"/>
        </w:rPr>
        <w:t>23</w:t>
      </w:r>
      <w:r w:rsidRPr="00E72311">
        <w:rPr>
          <w:rFonts w:ascii="Times New Roman" w:eastAsia="바탕" w:hAnsi="Times New Roman" w:cs="Times New Roman"/>
          <w:szCs w:val="20"/>
          <w:lang w:val="hu-HU" w:eastAsia="hu-HU"/>
        </w:rPr>
        <w:t>. táblázat).</w:t>
      </w:r>
    </w:p>
    <w:p w14:paraId="5FDAC300" w14:textId="77777777" w:rsidR="00773429" w:rsidRPr="00E72311" w:rsidRDefault="00773429" w:rsidP="00773429">
      <w:pPr>
        <w:widowControl/>
        <w:suppressAutoHyphens/>
        <w:spacing w:line="260" w:lineRule="exact"/>
        <w:rPr>
          <w:rFonts w:ascii="Times New Roman" w:eastAsia="바탕" w:hAnsi="Times New Roman" w:cs="Times New Roman"/>
          <w:szCs w:val="20"/>
          <w:lang w:val="hu-HU" w:eastAsia="hu-HU"/>
        </w:rPr>
      </w:pPr>
    </w:p>
    <w:tbl>
      <w:tblPr>
        <w:tblW w:w="9113" w:type="dxa"/>
        <w:jc w:val="center"/>
        <w:tblCellMar>
          <w:left w:w="0" w:type="dxa"/>
          <w:right w:w="0" w:type="dxa"/>
        </w:tblCellMar>
        <w:tblLook w:val="04A0" w:firstRow="1" w:lastRow="0" w:firstColumn="1" w:lastColumn="0" w:noHBand="0" w:noVBand="1"/>
      </w:tblPr>
      <w:tblGrid>
        <w:gridCol w:w="3636"/>
        <w:gridCol w:w="2896"/>
        <w:gridCol w:w="2581"/>
      </w:tblGrid>
      <w:tr w:rsidR="00773429" w:rsidRPr="00BE4D18" w14:paraId="1A8E33BC" w14:textId="77777777" w:rsidTr="00604DFB">
        <w:trPr>
          <w:trHeight w:val="60"/>
          <w:jc w:val="center"/>
        </w:trPr>
        <w:tc>
          <w:tcPr>
            <w:tcW w:w="9113" w:type="dxa"/>
            <w:gridSpan w:val="3"/>
            <w:tcMar>
              <w:top w:w="0" w:type="dxa"/>
              <w:left w:w="108" w:type="dxa"/>
              <w:bottom w:w="0" w:type="dxa"/>
              <w:right w:w="108" w:type="dxa"/>
            </w:tcMar>
            <w:hideMark/>
          </w:tcPr>
          <w:p w14:paraId="04DA27A8" w14:textId="77777777" w:rsidR="00773429" w:rsidRDefault="00773429" w:rsidP="00604DFB">
            <w:pPr>
              <w:widowControl/>
              <w:suppressAutoHyphens/>
              <w:spacing w:line="260" w:lineRule="exact"/>
              <w:jc w:val="center"/>
              <w:rPr>
                <w:rFonts w:ascii="Times New Roman" w:eastAsia="바탕" w:hAnsi="Times New Roman" w:cs="Times New Roman"/>
                <w:b/>
                <w:szCs w:val="20"/>
                <w:lang w:val="hu-HU" w:eastAsia="hu-HU"/>
              </w:rPr>
            </w:pPr>
            <w:r>
              <w:rPr>
                <w:rFonts w:ascii="Times New Roman" w:eastAsia="바탕" w:hAnsi="Times New Roman" w:cs="Times New Roman"/>
                <w:b/>
                <w:szCs w:val="20"/>
                <w:lang w:val="hu-HU" w:eastAsia="hu-HU"/>
              </w:rPr>
              <w:t>23</w:t>
            </w:r>
            <w:r w:rsidRPr="00E72311">
              <w:rPr>
                <w:rFonts w:ascii="Times New Roman" w:eastAsia="바탕" w:hAnsi="Times New Roman" w:cs="Times New Roman"/>
                <w:b/>
                <w:szCs w:val="20"/>
                <w:lang w:val="hu-HU" w:eastAsia="hu-HU"/>
              </w:rPr>
              <w:t>. táblázat: Feltáró végpontok eredményei PUCAI szerint</w:t>
            </w:r>
          </w:p>
          <w:p w14:paraId="02DB40A2" w14:textId="77777777" w:rsidR="00AF1AD1" w:rsidRDefault="00AF1AD1" w:rsidP="00604DFB">
            <w:pPr>
              <w:widowControl/>
              <w:suppressAutoHyphens/>
              <w:spacing w:line="260" w:lineRule="exact"/>
              <w:jc w:val="center"/>
              <w:rPr>
                <w:rFonts w:ascii="Times New Roman" w:eastAsia="바탕" w:hAnsi="Times New Roman" w:cs="Times New Roman"/>
                <w:b/>
                <w:szCs w:val="20"/>
                <w:lang w:val="hu-HU" w:eastAsia="hu-HU"/>
              </w:rPr>
            </w:pPr>
          </w:p>
          <w:p w14:paraId="6677BCAD" w14:textId="77777777" w:rsidR="00AF1AD1" w:rsidRPr="00E72311" w:rsidRDefault="00AF1AD1" w:rsidP="00604DFB">
            <w:pPr>
              <w:widowControl/>
              <w:suppressAutoHyphens/>
              <w:spacing w:line="260" w:lineRule="exact"/>
              <w:jc w:val="center"/>
              <w:rPr>
                <w:rFonts w:ascii="Times New Roman" w:eastAsia="바탕" w:hAnsi="Times New Roman" w:cs="Times New Roman"/>
                <w:b/>
                <w:bCs/>
                <w:szCs w:val="20"/>
                <w:lang w:val="hu-HU" w:eastAsia="hu-HU"/>
              </w:rPr>
            </w:pPr>
          </w:p>
        </w:tc>
      </w:tr>
      <w:tr w:rsidR="00773429" w:rsidRPr="00E72311" w14:paraId="2F134276" w14:textId="77777777" w:rsidTr="00604DFB">
        <w:trPr>
          <w:trHeight w:val="265"/>
          <w:jc w:val="center"/>
        </w:trPr>
        <w:tc>
          <w:tcPr>
            <w:tcW w:w="3636" w:type="dxa"/>
            <w:vMerge w:val="restart"/>
            <w:tcBorders>
              <w:top w:val="single" w:sz="4" w:space="0" w:color="auto"/>
              <w:left w:val="single" w:sz="8" w:space="0" w:color="auto"/>
              <w:bottom w:val="single" w:sz="8" w:space="0" w:color="auto"/>
              <w:right w:val="single" w:sz="4" w:space="0" w:color="auto"/>
            </w:tcBorders>
            <w:tcMar>
              <w:top w:w="0" w:type="dxa"/>
              <w:left w:w="108" w:type="dxa"/>
              <w:bottom w:w="0" w:type="dxa"/>
              <w:right w:w="108" w:type="dxa"/>
            </w:tcMar>
          </w:tcPr>
          <w:p w14:paraId="5C636293" w14:textId="77777777" w:rsidR="00773429" w:rsidRPr="00E72311" w:rsidRDefault="00773429" w:rsidP="00604DFB">
            <w:pPr>
              <w:widowControl/>
              <w:suppressAutoHyphens/>
              <w:spacing w:line="260" w:lineRule="exact"/>
              <w:rPr>
                <w:rFonts w:ascii="Times New Roman" w:eastAsia="바탕" w:hAnsi="Times New Roman" w:cs="Times New Roman"/>
                <w:szCs w:val="20"/>
                <w:lang w:val="hu-HU" w:eastAsia="hu-HU"/>
              </w:rPr>
            </w:pPr>
          </w:p>
        </w:tc>
        <w:tc>
          <w:tcPr>
            <w:tcW w:w="5477"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BC992D7" w14:textId="77777777" w:rsidR="00773429" w:rsidRPr="00E72311" w:rsidRDefault="00773429" w:rsidP="00604DFB">
            <w:pPr>
              <w:widowControl/>
              <w:suppressAutoHyphens/>
              <w:spacing w:line="260" w:lineRule="exact"/>
              <w:jc w:val="center"/>
              <w:rPr>
                <w:rFonts w:ascii="Times New Roman" w:eastAsia="바탕" w:hAnsi="Times New Roman" w:cs="Times New Roman"/>
                <w:b/>
                <w:bCs/>
                <w:szCs w:val="20"/>
                <w:lang w:val="hu-HU" w:eastAsia="hu-HU"/>
              </w:rPr>
            </w:pPr>
            <w:r w:rsidRPr="00E72311">
              <w:rPr>
                <w:rFonts w:ascii="Times New Roman" w:eastAsia="바탕" w:hAnsi="Times New Roman" w:cs="Times New Roman"/>
                <w:b/>
                <w:szCs w:val="20"/>
                <w:lang w:val="hu-HU" w:eastAsia="hu-HU"/>
              </w:rPr>
              <w:t>8. hét</w:t>
            </w:r>
          </w:p>
        </w:tc>
      </w:tr>
      <w:tr w:rsidR="00773429" w:rsidRPr="00E72311" w14:paraId="635A98A0" w14:textId="77777777" w:rsidTr="00604DFB">
        <w:trPr>
          <w:trHeight w:val="1042"/>
          <w:jc w:val="center"/>
        </w:trPr>
        <w:tc>
          <w:tcPr>
            <w:tcW w:w="3636" w:type="dxa"/>
            <w:vMerge/>
            <w:tcBorders>
              <w:top w:val="single" w:sz="4" w:space="0" w:color="auto"/>
              <w:left w:val="single" w:sz="8" w:space="0" w:color="auto"/>
              <w:bottom w:val="single" w:sz="4" w:space="0" w:color="auto"/>
              <w:right w:val="single" w:sz="4" w:space="0" w:color="auto"/>
            </w:tcBorders>
            <w:vAlign w:val="center"/>
            <w:hideMark/>
          </w:tcPr>
          <w:p w14:paraId="10E96231" w14:textId="77777777" w:rsidR="00773429" w:rsidRPr="00E72311" w:rsidRDefault="00773429" w:rsidP="00604DFB">
            <w:pPr>
              <w:widowControl/>
              <w:suppressAutoHyphens/>
              <w:spacing w:line="260" w:lineRule="exact"/>
              <w:rPr>
                <w:rFonts w:ascii="Times New Roman" w:eastAsia="바탕" w:hAnsi="Times New Roman" w:cs="Times New Roman"/>
                <w:szCs w:val="20"/>
                <w:lang w:val="hu-HU" w:eastAsia="hu-HU"/>
              </w:rPr>
            </w:pPr>
          </w:p>
        </w:tc>
        <w:tc>
          <w:tcPr>
            <w:tcW w:w="2896"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14:paraId="6468A38D" w14:textId="77777777" w:rsidR="00773429" w:rsidRPr="00E72311" w:rsidRDefault="00773429" w:rsidP="00604DFB">
            <w:pPr>
              <w:widowControl/>
              <w:suppressAutoHyphens/>
              <w:spacing w:line="260" w:lineRule="exact"/>
              <w:jc w:val="center"/>
              <w:rPr>
                <w:rFonts w:ascii="Times New Roman" w:eastAsia="바탕" w:hAnsi="Times New Roman" w:cs="Times New Roman"/>
                <w:b/>
                <w:bCs/>
                <w:szCs w:val="20"/>
                <w:vertAlign w:val="superscript"/>
                <w:lang w:val="hu-HU" w:eastAsia="hu-HU"/>
              </w:rPr>
            </w:pPr>
            <w:r>
              <w:rPr>
                <w:rFonts w:ascii="Times New Roman" w:eastAsia="바탕" w:hAnsi="Times New Roman" w:cs="Times New Roman"/>
                <w:b/>
                <w:szCs w:val="20"/>
                <w:lang w:val="hu-HU" w:eastAsia="hu-HU"/>
              </w:rPr>
              <w:t>Adalimumab</w:t>
            </w:r>
            <w:r w:rsidRPr="00E72311">
              <w:rPr>
                <w:rFonts w:ascii="Times New Roman" w:eastAsia="바탕" w:hAnsi="Times New Roman" w:cs="Times New Roman"/>
                <w:b/>
                <w:szCs w:val="20"/>
                <w:vertAlign w:val="superscript"/>
                <w:lang w:val="hu-HU" w:eastAsia="hu-HU"/>
              </w:rPr>
              <w:t>a</w:t>
            </w:r>
          </w:p>
          <w:p w14:paraId="1D574971" w14:textId="77777777" w:rsidR="00773429" w:rsidRPr="00E72311" w:rsidRDefault="00773429" w:rsidP="00604DFB">
            <w:pPr>
              <w:widowControl/>
              <w:suppressAutoHyphens/>
              <w:spacing w:line="260" w:lineRule="exact"/>
              <w:jc w:val="center"/>
              <w:rPr>
                <w:rFonts w:ascii="Times New Roman" w:eastAsia="바탕" w:hAnsi="Times New Roman" w:cs="Times New Roman"/>
                <w:b/>
                <w:bCs/>
                <w:szCs w:val="20"/>
                <w:lang w:val="hu-HU" w:eastAsia="hu-HU"/>
              </w:rPr>
            </w:pPr>
            <w:r w:rsidRPr="00E72311">
              <w:rPr>
                <w:rFonts w:ascii="Times New Roman" w:eastAsia="바탕" w:hAnsi="Times New Roman" w:cs="Times New Roman"/>
                <w:b/>
                <w:szCs w:val="20"/>
                <w:lang w:val="hu-HU" w:eastAsia="hu-HU"/>
              </w:rPr>
              <w:t>Legfeljebb 160 mg a 0. héten / placebo az 1. héten</w:t>
            </w:r>
          </w:p>
          <w:p w14:paraId="38A93923" w14:textId="629C3DD3" w:rsidR="00773429" w:rsidRPr="00E72311" w:rsidRDefault="00033425" w:rsidP="00604DFB">
            <w:pPr>
              <w:widowControl/>
              <w:suppressAutoHyphens/>
              <w:spacing w:line="260" w:lineRule="exact"/>
              <w:jc w:val="center"/>
              <w:rPr>
                <w:rFonts w:ascii="Times New Roman" w:eastAsia="바탕" w:hAnsi="Times New Roman" w:cs="Times New Roman"/>
                <w:szCs w:val="20"/>
                <w:lang w:val="hu-HU" w:eastAsia="hu-HU"/>
              </w:rPr>
            </w:pPr>
            <w:r>
              <w:rPr>
                <w:rFonts w:ascii="Times New Roman" w:eastAsia="바탕" w:hAnsi="Times New Roman" w:cs="Times New Roman"/>
                <w:szCs w:val="20"/>
                <w:lang w:val="hu-HU" w:eastAsia="hu-HU"/>
              </w:rPr>
              <w:t>n</w:t>
            </w:r>
            <w:r w:rsidR="00773429" w:rsidRPr="00E72311">
              <w:rPr>
                <w:rFonts w:ascii="Times New Roman" w:eastAsia="바탕" w:hAnsi="Times New Roman" w:cs="Times New Roman"/>
                <w:szCs w:val="20"/>
                <w:lang w:val="hu-HU" w:eastAsia="hu-HU"/>
              </w:rPr>
              <w:t>=30</w:t>
            </w:r>
          </w:p>
        </w:tc>
        <w:tc>
          <w:tcPr>
            <w:tcW w:w="2581"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14:paraId="4F01B953" w14:textId="77777777" w:rsidR="00773429" w:rsidRPr="00E72311" w:rsidRDefault="00773429" w:rsidP="00604DFB">
            <w:pPr>
              <w:widowControl/>
              <w:suppressAutoHyphens/>
              <w:spacing w:line="260" w:lineRule="exact"/>
              <w:jc w:val="center"/>
              <w:rPr>
                <w:rFonts w:ascii="Times New Roman" w:eastAsia="바탕" w:hAnsi="Times New Roman" w:cs="Times New Roman"/>
                <w:b/>
                <w:bCs/>
                <w:szCs w:val="20"/>
                <w:vertAlign w:val="superscript"/>
                <w:lang w:val="hu-HU" w:eastAsia="hu-HU"/>
              </w:rPr>
            </w:pPr>
            <w:r>
              <w:rPr>
                <w:rFonts w:ascii="Times New Roman" w:eastAsia="바탕" w:hAnsi="Times New Roman" w:cs="Times New Roman"/>
                <w:b/>
                <w:szCs w:val="20"/>
                <w:lang w:val="hu-HU" w:eastAsia="hu-HU"/>
              </w:rPr>
              <w:t>Adalimumab</w:t>
            </w:r>
            <w:r w:rsidRPr="00E72311">
              <w:rPr>
                <w:rFonts w:ascii="Times New Roman" w:eastAsia="바탕" w:hAnsi="Times New Roman" w:cs="Times New Roman"/>
                <w:b/>
                <w:szCs w:val="20"/>
                <w:vertAlign w:val="superscript"/>
                <w:lang w:val="hu-HU" w:eastAsia="hu-HU"/>
              </w:rPr>
              <w:t>b,c</w:t>
            </w:r>
          </w:p>
          <w:p w14:paraId="102F752E" w14:textId="77777777" w:rsidR="00773429" w:rsidRPr="00E72311" w:rsidRDefault="00773429" w:rsidP="00604DFB">
            <w:pPr>
              <w:widowControl/>
              <w:suppressAutoHyphens/>
              <w:spacing w:line="260" w:lineRule="exact"/>
              <w:jc w:val="center"/>
              <w:rPr>
                <w:rFonts w:ascii="Times New Roman" w:eastAsia="바탕" w:hAnsi="Times New Roman" w:cs="Times New Roman"/>
                <w:b/>
                <w:bCs/>
                <w:szCs w:val="20"/>
                <w:lang w:val="hu-HU" w:eastAsia="hu-HU"/>
              </w:rPr>
            </w:pPr>
            <w:r w:rsidRPr="00E72311">
              <w:rPr>
                <w:rFonts w:ascii="Times New Roman" w:eastAsia="바탕" w:hAnsi="Times New Roman" w:cs="Times New Roman"/>
                <w:b/>
                <w:szCs w:val="20"/>
                <w:lang w:val="hu-HU" w:eastAsia="hu-HU"/>
              </w:rPr>
              <w:t>Legfeljebb 160 mg a 0. és az 1. héten</w:t>
            </w:r>
          </w:p>
          <w:p w14:paraId="07AF18E4" w14:textId="1EFCC16A" w:rsidR="00773429" w:rsidRPr="00E72311" w:rsidRDefault="00033425" w:rsidP="00604DFB">
            <w:pPr>
              <w:widowControl/>
              <w:suppressAutoHyphens/>
              <w:spacing w:line="260" w:lineRule="exact"/>
              <w:jc w:val="center"/>
              <w:rPr>
                <w:rFonts w:ascii="Times New Roman" w:eastAsia="바탕" w:hAnsi="Times New Roman" w:cs="Times New Roman"/>
                <w:szCs w:val="20"/>
                <w:lang w:val="hu-HU" w:eastAsia="hu-HU"/>
              </w:rPr>
            </w:pPr>
            <w:r>
              <w:rPr>
                <w:rFonts w:ascii="Times New Roman" w:eastAsia="바탕" w:hAnsi="Times New Roman" w:cs="Times New Roman"/>
                <w:szCs w:val="20"/>
                <w:lang w:val="hu-HU" w:eastAsia="hu-HU"/>
              </w:rPr>
              <w:t>n</w:t>
            </w:r>
            <w:r w:rsidR="00773429" w:rsidRPr="00E72311">
              <w:rPr>
                <w:rFonts w:ascii="Times New Roman" w:eastAsia="바탕" w:hAnsi="Times New Roman" w:cs="Times New Roman"/>
                <w:szCs w:val="20"/>
                <w:lang w:val="hu-HU" w:eastAsia="hu-HU"/>
              </w:rPr>
              <w:t>=47</w:t>
            </w:r>
          </w:p>
        </w:tc>
      </w:tr>
      <w:tr w:rsidR="00773429" w:rsidRPr="00E72311" w14:paraId="3DFC7AD1" w14:textId="77777777" w:rsidTr="00604DFB">
        <w:trPr>
          <w:trHeight w:val="202"/>
          <w:jc w:val="center"/>
        </w:trPr>
        <w:tc>
          <w:tcPr>
            <w:tcW w:w="363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59E1C00" w14:textId="77777777" w:rsidR="00773429" w:rsidRPr="00E72311" w:rsidRDefault="00773429" w:rsidP="00604DFB">
            <w:pPr>
              <w:widowControl/>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Klinikai remisszió PUCAI szerint</w:t>
            </w:r>
          </w:p>
        </w:tc>
        <w:tc>
          <w:tcPr>
            <w:tcW w:w="28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A4F8BA" w14:textId="77777777" w:rsidR="00773429" w:rsidRPr="00E72311" w:rsidRDefault="00773429" w:rsidP="00604DFB">
            <w:pPr>
              <w:widowControl/>
              <w:suppressAutoHyphens/>
              <w:spacing w:line="260" w:lineRule="exact"/>
              <w:jc w:val="center"/>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10/30 (33,3%)</w:t>
            </w:r>
          </w:p>
        </w:tc>
        <w:tc>
          <w:tcPr>
            <w:tcW w:w="258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CE6D168" w14:textId="77777777" w:rsidR="00773429" w:rsidRPr="00E72311" w:rsidRDefault="00773429" w:rsidP="00604DFB">
            <w:pPr>
              <w:widowControl/>
              <w:suppressAutoHyphens/>
              <w:spacing w:line="260" w:lineRule="exact"/>
              <w:jc w:val="center"/>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22/47 (46,8%)</w:t>
            </w:r>
          </w:p>
        </w:tc>
      </w:tr>
      <w:tr w:rsidR="00773429" w:rsidRPr="00E72311" w14:paraId="05CB8F9F" w14:textId="77777777" w:rsidTr="00604DFB">
        <w:trPr>
          <w:trHeight w:val="238"/>
          <w:jc w:val="center"/>
        </w:trPr>
        <w:tc>
          <w:tcPr>
            <w:tcW w:w="363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A007D78" w14:textId="77777777" w:rsidR="00773429" w:rsidRPr="00E72311" w:rsidRDefault="00773429" w:rsidP="00604DFB">
            <w:pPr>
              <w:widowControl/>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Klinikai remisszió PUCAI szerint</w:t>
            </w:r>
          </w:p>
        </w:tc>
        <w:tc>
          <w:tcPr>
            <w:tcW w:w="28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DA1A65" w14:textId="77777777" w:rsidR="00773429" w:rsidRPr="00E72311" w:rsidRDefault="00773429" w:rsidP="00604DFB">
            <w:pPr>
              <w:widowControl/>
              <w:suppressAutoHyphens/>
              <w:spacing w:line="260" w:lineRule="exact"/>
              <w:jc w:val="center"/>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15/30 (50,0%)</w:t>
            </w:r>
          </w:p>
        </w:tc>
        <w:tc>
          <w:tcPr>
            <w:tcW w:w="258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D335835" w14:textId="77777777" w:rsidR="00773429" w:rsidRPr="00E72311" w:rsidRDefault="00773429" w:rsidP="00604DFB">
            <w:pPr>
              <w:widowControl/>
              <w:suppressAutoHyphens/>
              <w:spacing w:line="260" w:lineRule="exact"/>
              <w:jc w:val="center"/>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32/47 (68,1%)</w:t>
            </w:r>
          </w:p>
        </w:tc>
      </w:tr>
      <w:tr w:rsidR="00773429" w:rsidRPr="00E72311" w14:paraId="368F8FEB" w14:textId="77777777" w:rsidTr="00604DFB">
        <w:trPr>
          <w:trHeight w:val="238"/>
          <w:jc w:val="center"/>
        </w:trPr>
        <w:tc>
          <w:tcPr>
            <w:tcW w:w="3636" w:type="dxa"/>
            <w:vMerge w:val="restart"/>
            <w:tcBorders>
              <w:top w:val="nil"/>
              <w:left w:val="single" w:sz="8" w:space="0" w:color="auto"/>
              <w:bottom w:val="single" w:sz="4" w:space="0" w:color="auto"/>
              <w:right w:val="single" w:sz="8" w:space="0" w:color="auto"/>
            </w:tcBorders>
            <w:tcMar>
              <w:top w:w="0" w:type="dxa"/>
              <w:left w:w="108" w:type="dxa"/>
              <w:bottom w:w="0" w:type="dxa"/>
              <w:right w:w="108" w:type="dxa"/>
            </w:tcMar>
          </w:tcPr>
          <w:p w14:paraId="6D517A3C" w14:textId="77777777" w:rsidR="00773429" w:rsidRPr="00E72311" w:rsidRDefault="00773429" w:rsidP="00604DFB">
            <w:pPr>
              <w:widowControl/>
              <w:suppressAutoHyphens/>
              <w:spacing w:line="260" w:lineRule="exact"/>
              <w:rPr>
                <w:rFonts w:ascii="Times New Roman" w:eastAsia="바탕" w:hAnsi="Times New Roman" w:cs="Times New Roman"/>
                <w:szCs w:val="20"/>
                <w:lang w:val="hu-HU" w:eastAsia="hu-HU"/>
              </w:rPr>
            </w:pPr>
          </w:p>
        </w:tc>
        <w:tc>
          <w:tcPr>
            <w:tcW w:w="5477" w:type="dxa"/>
            <w:gridSpan w:val="2"/>
            <w:tcBorders>
              <w:top w:val="nil"/>
              <w:left w:val="nil"/>
              <w:bottom w:val="single" w:sz="4" w:space="0" w:color="auto"/>
              <w:right w:val="single" w:sz="8" w:space="0" w:color="auto"/>
            </w:tcBorders>
            <w:tcMar>
              <w:top w:w="0" w:type="dxa"/>
              <w:left w:w="108" w:type="dxa"/>
              <w:bottom w:w="0" w:type="dxa"/>
              <w:right w:w="108" w:type="dxa"/>
            </w:tcMar>
            <w:hideMark/>
          </w:tcPr>
          <w:p w14:paraId="69CB47D4" w14:textId="77777777" w:rsidR="00773429" w:rsidRPr="00E72311" w:rsidRDefault="00773429" w:rsidP="00604DFB">
            <w:pPr>
              <w:widowControl/>
              <w:suppressAutoHyphens/>
              <w:spacing w:line="260" w:lineRule="exact"/>
              <w:jc w:val="center"/>
              <w:rPr>
                <w:rFonts w:ascii="Times New Roman" w:eastAsia="바탕" w:hAnsi="Times New Roman" w:cs="Times New Roman"/>
                <w:b/>
                <w:bCs/>
                <w:szCs w:val="20"/>
                <w:lang w:val="hu-HU" w:eastAsia="hu-HU"/>
              </w:rPr>
            </w:pPr>
            <w:r w:rsidRPr="00E72311">
              <w:rPr>
                <w:rFonts w:ascii="Times New Roman" w:eastAsia="바탕" w:hAnsi="Times New Roman" w:cs="Times New Roman"/>
                <w:b/>
                <w:szCs w:val="20"/>
                <w:lang w:val="hu-HU" w:eastAsia="hu-HU"/>
              </w:rPr>
              <w:t>52. hét</w:t>
            </w:r>
          </w:p>
        </w:tc>
      </w:tr>
      <w:tr w:rsidR="00773429" w:rsidRPr="00F70E6D" w14:paraId="521D69B9" w14:textId="77777777" w:rsidTr="00604DFB">
        <w:trPr>
          <w:trHeight w:val="238"/>
          <w:jc w:val="center"/>
        </w:trPr>
        <w:tc>
          <w:tcPr>
            <w:tcW w:w="3636" w:type="dxa"/>
            <w:vMerge/>
            <w:tcBorders>
              <w:top w:val="nil"/>
              <w:left w:val="single" w:sz="8" w:space="0" w:color="auto"/>
              <w:bottom w:val="single" w:sz="4" w:space="0" w:color="auto"/>
              <w:right w:val="single" w:sz="8" w:space="0" w:color="auto"/>
            </w:tcBorders>
            <w:vAlign w:val="center"/>
            <w:hideMark/>
          </w:tcPr>
          <w:p w14:paraId="3C910689" w14:textId="77777777" w:rsidR="00773429" w:rsidRPr="00E72311" w:rsidRDefault="00773429" w:rsidP="00604DFB">
            <w:pPr>
              <w:widowControl/>
              <w:suppressAutoHyphens/>
              <w:spacing w:line="260" w:lineRule="exact"/>
              <w:rPr>
                <w:rFonts w:ascii="Times New Roman" w:eastAsia="바탕" w:hAnsi="Times New Roman" w:cs="Times New Roman"/>
                <w:szCs w:val="20"/>
                <w:lang w:val="hu-HU" w:eastAsia="hu-HU"/>
              </w:rPr>
            </w:pPr>
          </w:p>
        </w:tc>
        <w:tc>
          <w:tcPr>
            <w:tcW w:w="2896" w:type="dxa"/>
            <w:tcBorders>
              <w:top w:val="nil"/>
              <w:left w:val="nil"/>
              <w:bottom w:val="single" w:sz="4" w:space="0" w:color="auto"/>
              <w:right w:val="single" w:sz="8" w:space="0" w:color="auto"/>
            </w:tcBorders>
            <w:tcMar>
              <w:top w:w="0" w:type="dxa"/>
              <w:left w:w="108" w:type="dxa"/>
              <w:bottom w:w="0" w:type="dxa"/>
              <w:right w:w="108" w:type="dxa"/>
            </w:tcMar>
            <w:hideMark/>
          </w:tcPr>
          <w:p w14:paraId="22B47948" w14:textId="77777777" w:rsidR="00773429" w:rsidRPr="00E72311" w:rsidRDefault="00773429" w:rsidP="00604DFB">
            <w:pPr>
              <w:widowControl/>
              <w:suppressAutoHyphens/>
              <w:spacing w:line="260" w:lineRule="exact"/>
              <w:jc w:val="center"/>
              <w:rPr>
                <w:rFonts w:ascii="Times New Roman" w:eastAsia="바탕" w:hAnsi="Times New Roman" w:cs="Times New Roman"/>
                <w:b/>
                <w:bCs/>
                <w:szCs w:val="20"/>
                <w:vertAlign w:val="superscript"/>
                <w:lang w:val="hu-HU" w:eastAsia="hu-HU"/>
              </w:rPr>
            </w:pPr>
            <w:r>
              <w:rPr>
                <w:rFonts w:ascii="Times New Roman" w:eastAsia="바탕" w:hAnsi="Times New Roman" w:cs="Times New Roman"/>
                <w:b/>
                <w:szCs w:val="20"/>
                <w:lang w:val="hu-HU" w:eastAsia="hu-HU"/>
              </w:rPr>
              <w:t>Adalimumab</w:t>
            </w:r>
            <w:r w:rsidRPr="00E72311">
              <w:rPr>
                <w:rFonts w:ascii="Times New Roman" w:eastAsia="바탕" w:hAnsi="Times New Roman" w:cs="Times New Roman"/>
                <w:b/>
                <w:szCs w:val="20"/>
                <w:vertAlign w:val="superscript"/>
                <w:lang w:val="hu-HU" w:eastAsia="hu-HU"/>
              </w:rPr>
              <w:t>d</w:t>
            </w:r>
          </w:p>
          <w:p w14:paraId="009D8BE3" w14:textId="77777777" w:rsidR="00773429" w:rsidRPr="00E72311" w:rsidRDefault="00773429" w:rsidP="00604DFB">
            <w:pPr>
              <w:widowControl/>
              <w:suppressAutoHyphens/>
              <w:spacing w:line="260" w:lineRule="exact"/>
              <w:jc w:val="center"/>
              <w:rPr>
                <w:rFonts w:ascii="Times New Roman" w:eastAsia="바탕" w:hAnsi="Times New Roman" w:cs="Times New Roman"/>
                <w:b/>
                <w:bCs/>
                <w:szCs w:val="20"/>
                <w:lang w:val="hu-HU" w:eastAsia="hu-HU"/>
              </w:rPr>
            </w:pPr>
            <w:r w:rsidRPr="00E72311">
              <w:rPr>
                <w:rFonts w:ascii="Times New Roman" w:eastAsia="바탕" w:hAnsi="Times New Roman" w:cs="Times New Roman"/>
                <w:b/>
                <w:bCs/>
                <w:szCs w:val="20"/>
                <w:lang w:val="hu-HU" w:eastAsia="hu-HU"/>
              </w:rPr>
              <w:t>Legfeljebb 40 mg kéthetente</w:t>
            </w:r>
          </w:p>
          <w:p w14:paraId="370C36F1" w14:textId="6194B95A" w:rsidR="00773429" w:rsidRPr="00E72311" w:rsidRDefault="00033425" w:rsidP="00604DFB">
            <w:pPr>
              <w:widowControl/>
              <w:suppressAutoHyphens/>
              <w:spacing w:line="260" w:lineRule="exact"/>
              <w:jc w:val="center"/>
              <w:rPr>
                <w:rFonts w:ascii="Times New Roman" w:eastAsia="바탕" w:hAnsi="Times New Roman" w:cs="Times New Roman"/>
                <w:szCs w:val="20"/>
                <w:lang w:val="hu-HU" w:eastAsia="hu-HU"/>
              </w:rPr>
            </w:pPr>
            <w:r>
              <w:rPr>
                <w:rFonts w:ascii="Times New Roman" w:eastAsia="바탕" w:hAnsi="Times New Roman" w:cs="Times New Roman"/>
                <w:szCs w:val="20"/>
                <w:lang w:val="hu-HU" w:eastAsia="hu-HU"/>
              </w:rPr>
              <w:t>n</w:t>
            </w:r>
            <w:r w:rsidR="00773429" w:rsidRPr="00E72311">
              <w:rPr>
                <w:rFonts w:ascii="Times New Roman" w:eastAsia="바탕" w:hAnsi="Times New Roman" w:cs="Times New Roman"/>
                <w:szCs w:val="20"/>
                <w:lang w:val="hu-HU" w:eastAsia="hu-HU"/>
              </w:rPr>
              <w:t>=31</w:t>
            </w:r>
          </w:p>
        </w:tc>
        <w:tc>
          <w:tcPr>
            <w:tcW w:w="2581" w:type="dxa"/>
            <w:tcBorders>
              <w:top w:val="nil"/>
              <w:left w:val="nil"/>
              <w:bottom w:val="single" w:sz="4" w:space="0" w:color="auto"/>
              <w:right w:val="single" w:sz="8" w:space="0" w:color="auto"/>
            </w:tcBorders>
            <w:tcMar>
              <w:top w:w="0" w:type="dxa"/>
              <w:left w:w="108" w:type="dxa"/>
              <w:bottom w:w="0" w:type="dxa"/>
              <w:right w:w="108" w:type="dxa"/>
            </w:tcMar>
            <w:hideMark/>
          </w:tcPr>
          <w:p w14:paraId="6AA48D39" w14:textId="77777777" w:rsidR="00773429" w:rsidRPr="00E72311" w:rsidRDefault="00773429" w:rsidP="00604DFB">
            <w:pPr>
              <w:widowControl/>
              <w:suppressAutoHyphens/>
              <w:spacing w:line="260" w:lineRule="exact"/>
              <w:jc w:val="center"/>
              <w:rPr>
                <w:rFonts w:ascii="Times New Roman" w:eastAsia="바탕" w:hAnsi="Times New Roman" w:cs="Times New Roman"/>
                <w:b/>
                <w:bCs/>
                <w:szCs w:val="20"/>
                <w:vertAlign w:val="superscript"/>
                <w:lang w:val="hu-HU" w:eastAsia="hu-HU"/>
              </w:rPr>
            </w:pPr>
            <w:r>
              <w:rPr>
                <w:rFonts w:ascii="Times New Roman" w:eastAsia="바탕" w:hAnsi="Times New Roman" w:cs="Times New Roman"/>
                <w:b/>
                <w:szCs w:val="20"/>
                <w:lang w:val="hu-HU" w:eastAsia="hu-HU"/>
              </w:rPr>
              <w:t>Adalimumab</w:t>
            </w:r>
            <w:r w:rsidRPr="00E72311">
              <w:rPr>
                <w:rFonts w:ascii="Times New Roman" w:eastAsia="바탕" w:hAnsi="Times New Roman" w:cs="Times New Roman"/>
                <w:b/>
                <w:szCs w:val="20"/>
                <w:vertAlign w:val="superscript"/>
                <w:lang w:val="hu-HU" w:eastAsia="hu-HU"/>
              </w:rPr>
              <w:t>e</w:t>
            </w:r>
          </w:p>
          <w:p w14:paraId="45CAA88F" w14:textId="77777777" w:rsidR="00773429" w:rsidRPr="00E72311" w:rsidRDefault="00773429" w:rsidP="00604DFB">
            <w:pPr>
              <w:widowControl/>
              <w:suppressAutoHyphens/>
              <w:spacing w:line="260" w:lineRule="exact"/>
              <w:jc w:val="center"/>
              <w:rPr>
                <w:rFonts w:ascii="Times New Roman" w:eastAsia="바탕" w:hAnsi="Times New Roman" w:cs="Times New Roman"/>
                <w:b/>
                <w:bCs/>
                <w:szCs w:val="20"/>
                <w:lang w:val="hu-HU" w:eastAsia="hu-HU"/>
              </w:rPr>
            </w:pPr>
            <w:r w:rsidRPr="00E72311">
              <w:rPr>
                <w:rFonts w:ascii="Times New Roman" w:eastAsia="바탕" w:hAnsi="Times New Roman" w:cs="Times New Roman"/>
                <w:b/>
                <w:bCs/>
                <w:szCs w:val="20"/>
                <w:lang w:val="hu-HU" w:eastAsia="hu-HU"/>
              </w:rPr>
              <w:t>Legfeljebb 40 mg hetente</w:t>
            </w:r>
          </w:p>
          <w:p w14:paraId="0AB16286" w14:textId="2197943A" w:rsidR="00773429" w:rsidRPr="00E72311" w:rsidRDefault="00033425" w:rsidP="00604DFB">
            <w:pPr>
              <w:widowControl/>
              <w:suppressAutoHyphens/>
              <w:spacing w:line="260" w:lineRule="exact"/>
              <w:jc w:val="center"/>
              <w:rPr>
                <w:rFonts w:ascii="Times New Roman" w:eastAsia="바탕" w:hAnsi="Times New Roman" w:cs="Times New Roman"/>
                <w:szCs w:val="20"/>
                <w:lang w:val="hu-HU" w:eastAsia="hu-HU"/>
              </w:rPr>
            </w:pPr>
            <w:r>
              <w:rPr>
                <w:rFonts w:ascii="Times New Roman" w:eastAsia="바탕" w:hAnsi="Times New Roman" w:cs="Times New Roman"/>
                <w:szCs w:val="20"/>
                <w:lang w:val="hu-HU" w:eastAsia="hu-HU"/>
              </w:rPr>
              <w:t>n</w:t>
            </w:r>
            <w:r w:rsidR="00773429" w:rsidRPr="00E72311">
              <w:rPr>
                <w:rFonts w:ascii="Times New Roman" w:eastAsia="바탕" w:hAnsi="Times New Roman" w:cs="Times New Roman"/>
                <w:szCs w:val="20"/>
                <w:lang w:val="hu-HU" w:eastAsia="hu-HU"/>
              </w:rPr>
              <w:t>=31</w:t>
            </w:r>
          </w:p>
        </w:tc>
      </w:tr>
      <w:tr w:rsidR="00773429" w:rsidRPr="00E72311" w14:paraId="334481A0" w14:textId="77777777" w:rsidTr="00604DFB">
        <w:trPr>
          <w:trHeight w:val="238"/>
          <w:jc w:val="center"/>
        </w:trPr>
        <w:tc>
          <w:tcPr>
            <w:tcW w:w="3636"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4D6DBD24" w14:textId="77777777" w:rsidR="00773429" w:rsidRPr="00E72311" w:rsidRDefault="00773429" w:rsidP="00604DFB">
            <w:pPr>
              <w:widowControl/>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 xml:space="preserve">Klinikai remisszió PUCAI szerint a 8. héten PMS szerint </w:t>
            </w:r>
            <w:r w:rsidRPr="00E72311">
              <w:rPr>
                <w:rFonts w:ascii="Times New Roman" w:eastAsia="바탕" w:hAnsi="Times New Roman" w:cs="Times New Roman"/>
                <w:szCs w:val="20"/>
                <w:shd w:val="clear" w:color="auto" w:fill="FFFFFF"/>
                <w:lang w:val="hu-HU" w:eastAsia="hu-HU"/>
              </w:rPr>
              <w:t>választ mutatóknál</w:t>
            </w:r>
          </w:p>
        </w:tc>
        <w:tc>
          <w:tcPr>
            <w:tcW w:w="2896" w:type="dxa"/>
            <w:tcBorders>
              <w:top w:val="nil"/>
              <w:left w:val="nil"/>
              <w:bottom w:val="single" w:sz="4" w:space="0" w:color="auto"/>
              <w:right w:val="single" w:sz="8" w:space="0" w:color="auto"/>
            </w:tcBorders>
            <w:tcMar>
              <w:top w:w="0" w:type="dxa"/>
              <w:left w:w="108" w:type="dxa"/>
              <w:bottom w:w="0" w:type="dxa"/>
              <w:right w:w="108" w:type="dxa"/>
            </w:tcMar>
            <w:hideMark/>
          </w:tcPr>
          <w:p w14:paraId="05FDED3E" w14:textId="77777777" w:rsidR="00773429" w:rsidRPr="00E72311" w:rsidRDefault="00773429" w:rsidP="00604DFB">
            <w:pPr>
              <w:widowControl/>
              <w:suppressAutoHyphens/>
              <w:spacing w:line="260" w:lineRule="exact"/>
              <w:jc w:val="center"/>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14/31 (45,2%)</w:t>
            </w:r>
          </w:p>
        </w:tc>
        <w:tc>
          <w:tcPr>
            <w:tcW w:w="2581" w:type="dxa"/>
            <w:tcBorders>
              <w:top w:val="nil"/>
              <w:left w:val="nil"/>
              <w:bottom w:val="single" w:sz="4" w:space="0" w:color="auto"/>
              <w:right w:val="single" w:sz="8" w:space="0" w:color="auto"/>
            </w:tcBorders>
            <w:tcMar>
              <w:top w:w="0" w:type="dxa"/>
              <w:left w:w="108" w:type="dxa"/>
              <w:bottom w:w="0" w:type="dxa"/>
              <w:right w:w="108" w:type="dxa"/>
            </w:tcMar>
            <w:hideMark/>
          </w:tcPr>
          <w:p w14:paraId="79830ADC" w14:textId="77777777" w:rsidR="00773429" w:rsidRPr="00E72311" w:rsidRDefault="00773429" w:rsidP="00604DFB">
            <w:pPr>
              <w:widowControl/>
              <w:suppressAutoHyphens/>
              <w:spacing w:line="260" w:lineRule="exact"/>
              <w:jc w:val="center"/>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18/31 (58,1%)</w:t>
            </w:r>
          </w:p>
        </w:tc>
      </w:tr>
      <w:tr w:rsidR="00773429" w:rsidRPr="00E72311" w14:paraId="71E5E93C" w14:textId="77777777" w:rsidTr="00604DFB">
        <w:trPr>
          <w:trHeight w:val="238"/>
          <w:jc w:val="center"/>
        </w:trPr>
        <w:tc>
          <w:tcPr>
            <w:tcW w:w="3636"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662D9996" w14:textId="77777777" w:rsidR="00773429" w:rsidRPr="00E72311" w:rsidRDefault="00773429" w:rsidP="00604DFB">
            <w:pPr>
              <w:widowControl/>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 xml:space="preserve">Klinikai válasz PUCAI szerint a 8. héten PMS szerint </w:t>
            </w:r>
            <w:r w:rsidRPr="00E72311">
              <w:rPr>
                <w:rFonts w:ascii="Times New Roman" w:eastAsia="바탕" w:hAnsi="Times New Roman" w:cs="Times New Roman"/>
                <w:szCs w:val="20"/>
                <w:shd w:val="clear" w:color="auto" w:fill="FFFFFF"/>
                <w:lang w:val="hu-HU" w:eastAsia="hu-HU"/>
              </w:rPr>
              <w:t>választ mutatóknál</w:t>
            </w:r>
          </w:p>
        </w:tc>
        <w:tc>
          <w:tcPr>
            <w:tcW w:w="2896" w:type="dxa"/>
            <w:tcBorders>
              <w:top w:val="nil"/>
              <w:left w:val="nil"/>
              <w:bottom w:val="single" w:sz="4" w:space="0" w:color="auto"/>
              <w:right w:val="single" w:sz="8" w:space="0" w:color="auto"/>
            </w:tcBorders>
            <w:tcMar>
              <w:top w:w="0" w:type="dxa"/>
              <w:left w:w="108" w:type="dxa"/>
              <w:bottom w:w="0" w:type="dxa"/>
              <w:right w:w="108" w:type="dxa"/>
            </w:tcMar>
            <w:hideMark/>
          </w:tcPr>
          <w:p w14:paraId="7E69EDC0" w14:textId="77777777" w:rsidR="00773429" w:rsidRPr="00E72311" w:rsidRDefault="00773429" w:rsidP="00604DFB">
            <w:pPr>
              <w:widowControl/>
              <w:suppressAutoHyphens/>
              <w:spacing w:line="260" w:lineRule="exact"/>
              <w:jc w:val="center"/>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18/31 (58,1%)</w:t>
            </w:r>
          </w:p>
        </w:tc>
        <w:tc>
          <w:tcPr>
            <w:tcW w:w="2581" w:type="dxa"/>
            <w:tcBorders>
              <w:top w:val="nil"/>
              <w:left w:val="nil"/>
              <w:bottom w:val="single" w:sz="4" w:space="0" w:color="auto"/>
              <w:right w:val="single" w:sz="8" w:space="0" w:color="auto"/>
            </w:tcBorders>
            <w:tcMar>
              <w:top w:w="0" w:type="dxa"/>
              <w:left w:w="108" w:type="dxa"/>
              <w:bottom w:w="0" w:type="dxa"/>
              <w:right w:w="108" w:type="dxa"/>
            </w:tcMar>
            <w:hideMark/>
          </w:tcPr>
          <w:p w14:paraId="40D2CBEC" w14:textId="77777777" w:rsidR="00773429" w:rsidRPr="00E72311" w:rsidRDefault="00773429" w:rsidP="00604DFB">
            <w:pPr>
              <w:widowControl/>
              <w:suppressAutoHyphens/>
              <w:spacing w:line="260" w:lineRule="exact"/>
              <w:jc w:val="center"/>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16/31 (51,6%)</w:t>
            </w:r>
          </w:p>
        </w:tc>
      </w:tr>
      <w:tr w:rsidR="00773429" w:rsidRPr="00BE4D18" w14:paraId="288BD5D5" w14:textId="77777777" w:rsidTr="00604DFB">
        <w:trPr>
          <w:trHeight w:val="533"/>
          <w:jc w:val="center"/>
        </w:trPr>
        <w:tc>
          <w:tcPr>
            <w:tcW w:w="9113" w:type="dxa"/>
            <w:gridSpan w:val="3"/>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1C318E19" w14:textId="77777777" w:rsidR="00773429" w:rsidRPr="00E72311" w:rsidRDefault="00773429" w:rsidP="00604DFB">
            <w:pPr>
              <w:widowControl/>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vertAlign w:val="superscript"/>
                <w:lang w:val="hu-HU" w:eastAsia="hu-HU"/>
              </w:rPr>
              <w:t>a </w:t>
            </w:r>
            <w:r>
              <w:rPr>
                <w:rFonts w:ascii="Times New Roman" w:eastAsia="바탕" w:hAnsi="Times New Roman" w:cs="Times New Roman"/>
                <w:szCs w:val="20"/>
                <w:lang w:val="hu-HU" w:eastAsia="hu-HU"/>
              </w:rPr>
              <w:t>Adalimumab</w:t>
            </w:r>
            <w:r w:rsidRPr="00E72311">
              <w:rPr>
                <w:rFonts w:ascii="Times New Roman" w:eastAsia="바탕" w:hAnsi="Times New Roman" w:cs="Times New Roman"/>
                <w:szCs w:val="20"/>
                <w:lang w:val="hu-HU" w:eastAsia="hu-HU"/>
              </w:rPr>
              <w:t xml:space="preserve"> 2,4 mg/ttkg (maximum 160 mg) a 0. héten, placebo az 1. héten és 1,2 mg/ttkg (maximum 80 mg) a 2. héten </w:t>
            </w:r>
          </w:p>
          <w:p w14:paraId="34250CC1" w14:textId="77777777" w:rsidR="00773429" w:rsidRPr="00E72311" w:rsidRDefault="00773429" w:rsidP="00604DFB">
            <w:pPr>
              <w:widowControl/>
              <w:suppressAutoHyphens/>
              <w:spacing w:line="260" w:lineRule="exact"/>
              <w:textAlignment w:val="baseline"/>
              <w:rPr>
                <w:rFonts w:ascii="Times New Roman" w:eastAsia="바탕" w:hAnsi="Times New Roman" w:cs="Times New Roman"/>
                <w:sz w:val="24"/>
                <w:szCs w:val="24"/>
                <w:lang w:val="hu-HU" w:eastAsia="hu-HU"/>
              </w:rPr>
            </w:pPr>
            <w:r w:rsidRPr="00E72311">
              <w:rPr>
                <w:rFonts w:ascii="Times New Roman" w:eastAsia="바탕" w:hAnsi="Times New Roman" w:cs="Times New Roman"/>
                <w:szCs w:val="24"/>
                <w:vertAlign w:val="superscript"/>
                <w:lang w:val="hu-HU" w:eastAsia="hu-HU"/>
              </w:rPr>
              <w:t>b </w:t>
            </w:r>
            <w:r>
              <w:rPr>
                <w:rFonts w:ascii="Times New Roman" w:eastAsia="바탕" w:hAnsi="Times New Roman" w:cs="Times New Roman"/>
                <w:szCs w:val="24"/>
                <w:lang w:val="hu-HU" w:eastAsia="hu-HU"/>
              </w:rPr>
              <w:t>Adalimumab</w:t>
            </w:r>
            <w:r w:rsidRPr="00E72311">
              <w:rPr>
                <w:rFonts w:ascii="Times New Roman" w:eastAsia="바탕" w:hAnsi="Times New Roman" w:cs="Times New Roman"/>
                <w:szCs w:val="24"/>
                <w:lang w:val="hu-HU" w:eastAsia="hu-HU"/>
              </w:rPr>
              <w:t xml:space="preserve"> 2,4 mg/ttkg (maximum 160 mg) a 0. és az 1. héten és 1,2 mg/ttkg (maximum 80 mg) a 2. héten</w:t>
            </w:r>
            <w:r w:rsidRPr="00E72311">
              <w:rPr>
                <w:rFonts w:ascii="Times New Roman" w:eastAsia="바탕" w:hAnsi="Times New Roman" w:cs="Times New Roman"/>
                <w:sz w:val="24"/>
                <w:szCs w:val="24"/>
                <w:lang w:val="hu-HU" w:eastAsia="hu-HU"/>
              </w:rPr>
              <w:t> </w:t>
            </w:r>
          </w:p>
          <w:p w14:paraId="0C672062" w14:textId="77777777" w:rsidR="00773429" w:rsidRPr="00E72311" w:rsidRDefault="00773429" w:rsidP="00604DFB">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4"/>
                <w:vertAlign w:val="superscript"/>
                <w:lang w:val="hu-HU" w:eastAsia="hu-HU"/>
              </w:rPr>
              <w:t>c </w:t>
            </w:r>
            <w:r w:rsidRPr="00E72311">
              <w:rPr>
                <w:rFonts w:ascii="Times New Roman" w:eastAsia="바탕" w:hAnsi="Times New Roman" w:cs="Times New Roman"/>
                <w:szCs w:val="24"/>
                <w:lang w:val="hu-HU" w:eastAsia="hu-HU"/>
              </w:rPr>
              <w:t xml:space="preserve">Nem tartalmazza a </w:t>
            </w:r>
            <w:r>
              <w:rPr>
                <w:rFonts w:ascii="Times New Roman" w:eastAsia="바탕" w:hAnsi="Times New Roman" w:cs="Times New Roman"/>
                <w:szCs w:val="24"/>
                <w:lang w:val="hu-HU" w:eastAsia="hu-HU"/>
              </w:rPr>
              <w:t>adalimumab</w:t>
            </w:r>
            <w:r w:rsidRPr="00E72311">
              <w:rPr>
                <w:rFonts w:ascii="Times New Roman" w:eastAsia="바탕" w:hAnsi="Times New Roman" w:cs="Times New Roman"/>
                <w:szCs w:val="24"/>
                <w:lang w:val="hu-HU" w:eastAsia="hu-HU"/>
              </w:rPr>
              <w:t xml:space="preserve"> nyílt indukciós dózist: 2,4 mg/ttkg (maximum 160 mg) a 0. héten, placebo az 1. héten és 1,2 mg/ttkg (maximum 80 mg) a 2. héten</w:t>
            </w:r>
          </w:p>
          <w:p w14:paraId="6B520207" w14:textId="77777777" w:rsidR="00773429" w:rsidRPr="00E72311" w:rsidRDefault="00773429" w:rsidP="00604DFB">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4"/>
                <w:vertAlign w:val="superscript"/>
                <w:lang w:val="hu-HU" w:eastAsia="hu-HU"/>
              </w:rPr>
              <w:t>d </w:t>
            </w:r>
            <w:r>
              <w:rPr>
                <w:rFonts w:ascii="Times New Roman" w:eastAsia="바탕" w:hAnsi="Times New Roman" w:cs="Times New Roman"/>
                <w:szCs w:val="24"/>
                <w:lang w:val="hu-HU" w:eastAsia="hu-HU"/>
              </w:rPr>
              <w:t>Adalimumab</w:t>
            </w:r>
            <w:r w:rsidRPr="00E72311">
              <w:rPr>
                <w:rFonts w:ascii="Times New Roman" w:eastAsia="바탕" w:hAnsi="Times New Roman" w:cs="Times New Roman"/>
                <w:szCs w:val="24"/>
                <w:lang w:val="hu-HU" w:eastAsia="hu-HU"/>
              </w:rPr>
              <w:t xml:space="preserve"> 0,6 mg/ttkg (maximum 40 mg) kéthetente</w:t>
            </w:r>
          </w:p>
          <w:p w14:paraId="4424A9C0" w14:textId="77777777" w:rsidR="00773429" w:rsidRPr="00E72311" w:rsidRDefault="00773429" w:rsidP="00604DFB">
            <w:pPr>
              <w:widowControl/>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vertAlign w:val="superscript"/>
                <w:lang w:val="hu-HU" w:eastAsia="hu-HU"/>
              </w:rPr>
              <w:t>e </w:t>
            </w:r>
            <w:r>
              <w:rPr>
                <w:rFonts w:ascii="Times New Roman" w:eastAsia="바탕" w:hAnsi="Times New Roman" w:cs="Times New Roman"/>
                <w:szCs w:val="20"/>
                <w:lang w:val="hu-HU" w:eastAsia="hu-HU"/>
              </w:rPr>
              <w:t>Adalimumab</w:t>
            </w:r>
            <w:r w:rsidRPr="00E72311">
              <w:rPr>
                <w:rFonts w:ascii="Times New Roman" w:eastAsia="바탕" w:hAnsi="Times New Roman" w:cs="Times New Roman"/>
                <w:szCs w:val="20"/>
                <w:lang w:val="hu-HU" w:eastAsia="hu-HU"/>
              </w:rPr>
              <w:t xml:space="preserve"> 0,6 mg/ttkg (maximum 40 mg) hetente</w:t>
            </w:r>
          </w:p>
          <w:p w14:paraId="4D90F11B" w14:textId="77777777" w:rsidR="00773429" w:rsidRPr="00E72311" w:rsidRDefault="00773429" w:rsidP="00604DFB">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4"/>
                <w:lang w:val="hu-HU" w:eastAsia="hu-HU"/>
              </w:rPr>
              <w:t>1. megjegyzés: Mindkét indukciós csoport 0,6 mg/ttkg-ot (maximum 40 mg) kapott a 4. és a 6. héten</w:t>
            </w:r>
            <w:r w:rsidRPr="00E72311">
              <w:rPr>
                <w:rFonts w:ascii="Times New Roman" w:eastAsia="바탕" w:hAnsi="Times New Roman" w:cs="Times New Roman"/>
                <w:sz w:val="24"/>
                <w:szCs w:val="24"/>
                <w:lang w:val="hu-HU" w:eastAsia="hu-HU"/>
              </w:rPr>
              <w:t> </w:t>
            </w:r>
          </w:p>
          <w:p w14:paraId="4C7E8827" w14:textId="77777777" w:rsidR="00773429" w:rsidRPr="00E72311" w:rsidRDefault="00773429" w:rsidP="00604DFB">
            <w:pPr>
              <w:widowControl/>
              <w:suppressAutoHyphens/>
              <w:spacing w:line="260" w:lineRule="exact"/>
              <w:textAlignment w:val="baseline"/>
              <w:rPr>
                <w:rFonts w:ascii="Times New Roman" w:eastAsia="바탕" w:hAnsi="Times New Roman" w:cs="Times New Roman"/>
                <w:sz w:val="24"/>
                <w:szCs w:val="24"/>
                <w:lang w:val="hu-HU" w:eastAsia="hu-HU"/>
              </w:rPr>
            </w:pPr>
            <w:r w:rsidRPr="00E72311">
              <w:rPr>
                <w:rFonts w:ascii="Times New Roman" w:eastAsia="바탕" w:hAnsi="Times New Roman" w:cs="Times New Roman"/>
                <w:szCs w:val="24"/>
                <w:lang w:val="hu-HU" w:eastAsia="hu-HU"/>
              </w:rPr>
              <w:t>2. megjegyzés: Úgy ítélték meg, hogy a 8. héten hiányzó adatok esetén a betegek nem teljesítették a végpontokat</w:t>
            </w:r>
            <w:r w:rsidRPr="00E72311">
              <w:rPr>
                <w:rFonts w:ascii="Times New Roman" w:eastAsia="바탕" w:hAnsi="Times New Roman" w:cs="Times New Roman"/>
                <w:sz w:val="24"/>
                <w:szCs w:val="24"/>
                <w:lang w:val="hu-HU" w:eastAsia="hu-HU"/>
              </w:rPr>
              <w:t> </w:t>
            </w:r>
          </w:p>
          <w:p w14:paraId="2D3A16DD" w14:textId="77777777" w:rsidR="00773429" w:rsidRPr="00E72311" w:rsidRDefault="00773429" w:rsidP="00604DFB">
            <w:pPr>
              <w:widowControl/>
              <w:suppressAutoHyphens/>
              <w:spacing w:line="260" w:lineRule="exact"/>
              <w:textAlignment w:val="baseline"/>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3. megjegyzés: Azokat a betegeket, akiknek az 52. héten hiányoztak az értékei, vagy akiket randomizáltak ismételt indukcióra vagy fenntartó kezelésre, az 52. hét végpontjain választ nem mutatóknak tekintették</w:t>
            </w:r>
          </w:p>
        </w:tc>
      </w:tr>
    </w:tbl>
    <w:p w14:paraId="1797130A" w14:textId="77777777" w:rsidR="00773429" w:rsidRPr="00E72311" w:rsidRDefault="00773429" w:rsidP="00773429">
      <w:pPr>
        <w:widowControl/>
        <w:suppressAutoHyphens/>
        <w:spacing w:line="260" w:lineRule="exact"/>
        <w:rPr>
          <w:rFonts w:ascii="Times New Roman" w:eastAsia="바탕" w:hAnsi="Times New Roman" w:cs="Times New Roman"/>
          <w:szCs w:val="20"/>
          <w:lang w:val="hu-HU" w:eastAsia="hu-HU"/>
        </w:rPr>
      </w:pPr>
    </w:p>
    <w:p w14:paraId="19C22520" w14:textId="77777777" w:rsidR="00773429" w:rsidRPr="00E72311" w:rsidRDefault="00773429" w:rsidP="00773429">
      <w:pPr>
        <w:widowControl/>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 xml:space="preserve">A fenntartó periódus alatt ismételt indukciós kezelést kapott, </w:t>
      </w:r>
      <w:r>
        <w:rPr>
          <w:rFonts w:ascii="Times New Roman" w:eastAsia="바탕" w:hAnsi="Times New Roman" w:cs="Times New Roman"/>
          <w:szCs w:val="20"/>
          <w:lang w:val="hu-HU" w:eastAsia="hu-HU"/>
        </w:rPr>
        <w:t>adalimumab</w:t>
      </w:r>
      <w:r w:rsidRPr="00E72311">
        <w:rPr>
          <w:rFonts w:ascii="Times New Roman" w:eastAsia="바탕" w:hAnsi="Times New Roman" w:cs="Times New Roman"/>
          <w:szCs w:val="20"/>
          <w:lang w:val="hu-HU" w:eastAsia="hu-HU"/>
        </w:rPr>
        <w:t>-val kezelt betegek közül 2/6 (33%) ért el klinikai választ FMS szerint az 52. héten.</w:t>
      </w:r>
    </w:p>
    <w:p w14:paraId="481702D5" w14:textId="77777777" w:rsidR="00773429" w:rsidRPr="00E72311" w:rsidRDefault="00773429" w:rsidP="00773429">
      <w:pPr>
        <w:widowControl/>
        <w:suppressAutoHyphens/>
        <w:spacing w:line="260" w:lineRule="exact"/>
        <w:rPr>
          <w:rFonts w:ascii="Times New Roman" w:eastAsia="바탕" w:hAnsi="Times New Roman" w:cs="Times New Roman"/>
          <w:szCs w:val="20"/>
          <w:lang w:val="hu-HU" w:eastAsia="hu-HU"/>
        </w:rPr>
      </w:pPr>
    </w:p>
    <w:p w14:paraId="35D486C9" w14:textId="77777777" w:rsidR="00773429" w:rsidRPr="00E72311" w:rsidRDefault="00773429" w:rsidP="00773429">
      <w:pPr>
        <w:keepNext/>
        <w:widowControl/>
        <w:suppressAutoHyphens/>
        <w:spacing w:line="260" w:lineRule="exact"/>
        <w:rPr>
          <w:rFonts w:ascii="Times New Roman" w:eastAsia="바탕" w:hAnsi="Times New Roman" w:cs="Times New Roman"/>
          <w:bCs/>
          <w:i/>
          <w:szCs w:val="20"/>
          <w:u w:val="single"/>
          <w:lang w:val="hu-HU" w:eastAsia="hu-HU"/>
        </w:rPr>
      </w:pPr>
      <w:r w:rsidRPr="00E72311">
        <w:rPr>
          <w:rFonts w:ascii="Times New Roman" w:eastAsia="바탕" w:hAnsi="Times New Roman" w:cs="Times New Roman"/>
          <w:i/>
          <w:szCs w:val="20"/>
          <w:u w:val="single"/>
          <w:lang w:val="hu-HU" w:eastAsia="hu-HU"/>
        </w:rPr>
        <w:lastRenderedPageBreak/>
        <w:t>Életminőség</w:t>
      </w:r>
    </w:p>
    <w:p w14:paraId="3543ABF4" w14:textId="77777777" w:rsidR="00773429" w:rsidRPr="00E72311" w:rsidRDefault="00773429" w:rsidP="00773429">
      <w:pPr>
        <w:keepNext/>
        <w:widowControl/>
        <w:suppressAutoHyphens/>
        <w:spacing w:line="260" w:lineRule="exact"/>
        <w:rPr>
          <w:rFonts w:ascii="Times New Roman" w:eastAsia="바탕" w:hAnsi="Times New Roman" w:cs="Times New Roman"/>
          <w:bCs/>
          <w:i/>
          <w:szCs w:val="20"/>
          <w:u w:val="single"/>
          <w:lang w:val="hu-HU" w:eastAsia="hu-HU"/>
        </w:rPr>
      </w:pPr>
    </w:p>
    <w:p w14:paraId="00288ECE" w14:textId="77777777" w:rsidR="00773429" w:rsidRPr="00E72311" w:rsidRDefault="00773429" w:rsidP="00773429">
      <w:pPr>
        <w:keepNext/>
        <w:widowControl/>
        <w:suppressAutoHyphens/>
        <w:spacing w:line="260" w:lineRule="exact"/>
        <w:rPr>
          <w:rFonts w:ascii="Times New Roman" w:eastAsia="바탕" w:hAnsi="Times New Roman" w:cs="Times New Roman"/>
          <w:szCs w:val="20"/>
          <w:lang w:val="hu-HU" w:eastAsia="hu-HU"/>
        </w:rPr>
      </w:pPr>
      <w:r w:rsidRPr="00E72311">
        <w:rPr>
          <w:rFonts w:ascii="Times New Roman" w:eastAsia="바탕" w:hAnsi="Times New Roman" w:cs="Times New Roman"/>
          <w:szCs w:val="20"/>
          <w:lang w:val="hu-HU" w:eastAsia="hu-HU"/>
        </w:rPr>
        <w:t xml:space="preserve">A kiindulási értékhez képest klinikailag jelentős javulást figyeltek meg az IMPACT III és a WPAI (gondozói munka produktivitás és aktivitásromlás) pontszámokban a </w:t>
      </w:r>
      <w:r>
        <w:rPr>
          <w:rFonts w:ascii="Times New Roman" w:eastAsia="바탕" w:hAnsi="Times New Roman" w:cs="Times New Roman"/>
          <w:szCs w:val="20"/>
          <w:lang w:val="hu-HU" w:eastAsia="hu-HU"/>
        </w:rPr>
        <w:t>adalimumab</w:t>
      </w:r>
      <w:r w:rsidRPr="00E72311">
        <w:rPr>
          <w:rFonts w:ascii="Times New Roman" w:eastAsia="바탕" w:hAnsi="Times New Roman" w:cs="Times New Roman"/>
          <w:szCs w:val="20"/>
          <w:lang w:val="hu-HU" w:eastAsia="hu-HU"/>
        </w:rPr>
        <w:t>-val kezelt csoportoknál.</w:t>
      </w:r>
    </w:p>
    <w:p w14:paraId="2EFB1C2D" w14:textId="77777777" w:rsidR="00773429" w:rsidRPr="00E72311" w:rsidRDefault="00773429" w:rsidP="00773429">
      <w:pPr>
        <w:keepNext/>
        <w:widowControl/>
        <w:suppressAutoHyphens/>
        <w:spacing w:line="260" w:lineRule="exact"/>
        <w:rPr>
          <w:rFonts w:ascii="Times New Roman" w:eastAsia="바탕" w:hAnsi="Times New Roman" w:cs="Times New Roman"/>
          <w:szCs w:val="20"/>
          <w:lang w:val="hu-HU" w:eastAsia="hu-HU"/>
        </w:rPr>
      </w:pPr>
    </w:p>
    <w:p w14:paraId="7274ABAF" w14:textId="77777777" w:rsidR="00773429" w:rsidRPr="00E72311" w:rsidRDefault="00773429" w:rsidP="00773429">
      <w:pPr>
        <w:widowControl/>
        <w:suppressAutoHyphens/>
        <w:spacing w:line="260" w:lineRule="exact"/>
        <w:rPr>
          <w:rFonts w:ascii="Times New Roman" w:eastAsia="바탕" w:hAnsi="Times New Roman" w:cs="Times New Roman"/>
          <w:szCs w:val="20"/>
          <w:lang w:val="hu-HU"/>
        </w:rPr>
      </w:pPr>
      <w:r w:rsidRPr="00E72311">
        <w:rPr>
          <w:rFonts w:ascii="Times New Roman" w:eastAsia="바탕" w:hAnsi="Times New Roman" w:cs="Times New Roman"/>
          <w:szCs w:val="20"/>
          <w:lang w:val="hu-HU" w:eastAsia="hu-HU"/>
        </w:rPr>
        <w:t>Az adalimumabbal kezelt csoportoknál a növekedési sebesség klinikailag jelentős mértékű növekedését (javulását) figyelték meg a kiindulási értékhez képest és a testtömeg-index klinikailag jelentős növekedését (javulását) a kiindulási értékhez képest azoknál az alanyoknál, akik a nagy, hetente adott legfeljebb 40 mg (0,6 mg/ttkg) fenntartó dózist kapták.</w:t>
      </w:r>
    </w:p>
    <w:p w14:paraId="00EB4FCA" w14:textId="77777777" w:rsidR="00773429" w:rsidRPr="00AC50BB" w:rsidRDefault="00773429" w:rsidP="00773429">
      <w:pPr>
        <w:spacing w:before="10" w:line="240" w:lineRule="exact"/>
        <w:rPr>
          <w:sz w:val="24"/>
          <w:szCs w:val="24"/>
          <w:lang w:val="hu-HU"/>
        </w:rPr>
      </w:pPr>
    </w:p>
    <w:p w14:paraId="5E60AB8F" w14:textId="77777777" w:rsidR="00773429" w:rsidRDefault="00773429" w:rsidP="00773429">
      <w:pPr>
        <w:pStyle w:val="a3"/>
        <w:rPr>
          <w:rFonts w:eastAsia="Times New Roman"/>
          <w:lang w:val="hu-HU"/>
        </w:rPr>
      </w:pPr>
      <w:r>
        <w:rPr>
          <w:rFonts w:eastAsia="Times New Roman"/>
          <w:i/>
          <w:iCs/>
          <w:spacing w:val="-1"/>
          <w:lang w:val="hu-HU"/>
        </w:rPr>
        <w:t>Gyermekkori uveitis</w:t>
      </w:r>
    </w:p>
    <w:p w14:paraId="3DA2691D" w14:textId="77777777" w:rsidR="00773429" w:rsidRDefault="00773429" w:rsidP="00773429">
      <w:pPr>
        <w:pStyle w:val="a3"/>
        <w:rPr>
          <w:sz w:val="24"/>
          <w:szCs w:val="24"/>
          <w:lang w:val="hu-HU"/>
        </w:rPr>
      </w:pPr>
    </w:p>
    <w:p w14:paraId="1AA74C83" w14:textId="77777777" w:rsidR="00773429" w:rsidRDefault="00773429" w:rsidP="00773429">
      <w:pPr>
        <w:pStyle w:val="a3"/>
        <w:rPr>
          <w:lang w:val="hu-HU"/>
        </w:rPr>
      </w:pPr>
      <w:r>
        <w:rPr>
          <w:rFonts w:eastAsia="Times New Roman"/>
          <w:lang w:val="hu-HU"/>
        </w:rPr>
        <w:t>Az adalimumab biztonságosságát és hatásosságát 90, 2 – &lt;18 éves kor közötti, aktív, JIA-asszociált, nem fertőzéses eredetű anterior uvitisben szenvedő, legalább 12 hetes metotrexát-kezelésre refrakter gyermeknél egy randomizált, kettős vak, kontrollos vizsgálatban értékelték. A betegek vagy placebót, vagy 20 mg adalimumabot (30 kg testtömeg alatt), illetve 40 mg adalimumabot (legalább 30 kg-os testtömeg esetén) kaptak minden második héten a kezelés kezdetén alkalmazott metotrexát dózissal kombinálva.</w:t>
      </w:r>
    </w:p>
    <w:p w14:paraId="1F2F024D" w14:textId="77777777" w:rsidR="00773429" w:rsidRDefault="00773429" w:rsidP="00773429">
      <w:pPr>
        <w:pStyle w:val="a3"/>
        <w:rPr>
          <w:lang w:val="hu-HU"/>
        </w:rPr>
      </w:pPr>
      <w:r>
        <w:rPr>
          <w:rFonts w:eastAsia="Times New Roman"/>
          <w:lang w:val="hu-HU"/>
        </w:rPr>
        <w:t>Az elsődleges végpont a „kezelés eredménytelenségéig eltelt idő” volt. A kezelés eredménytelenségének kritériumai a szemgyulladás romlása, vagy tartós nem javulása, részleges javulás tartós szemészeti társbetegségek kialakulása mellett, vagy a szemészeti társbetegségek romlása, nem engedélyezett egyidejű gyógyszeralkalmazás, vagy a kezelés hosszabb ideig tartó felfüggesztése voltak.</w:t>
      </w:r>
    </w:p>
    <w:p w14:paraId="69780D1A" w14:textId="77777777" w:rsidR="00773429" w:rsidRDefault="00773429" w:rsidP="00773429">
      <w:pPr>
        <w:pStyle w:val="a3"/>
        <w:rPr>
          <w:sz w:val="24"/>
          <w:szCs w:val="24"/>
          <w:lang w:val="hu-HU"/>
        </w:rPr>
      </w:pPr>
    </w:p>
    <w:p w14:paraId="3D9B8313" w14:textId="77777777" w:rsidR="00773429" w:rsidRDefault="00773429" w:rsidP="00773429">
      <w:pPr>
        <w:pStyle w:val="a3"/>
        <w:rPr>
          <w:rFonts w:eastAsia="Times New Roman"/>
          <w:lang w:val="hu-HU"/>
        </w:rPr>
      </w:pPr>
      <w:r>
        <w:rPr>
          <w:rFonts w:eastAsia="Times New Roman"/>
          <w:i/>
          <w:iCs/>
          <w:spacing w:val="-1"/>
          <w:u w:val="single" w:color="000000"/>
          <w:lang w:val="hu-HU"/>
        </w:rPr>
        <w:t>Klinikai válasz</w:t>
      </w:r>
    </w:p>
    <w:p w14:paraId="12004792" w14:textId="77777777" w:rsidR="00773429" w:rsidRDefault="00773429" w:rsidP="00773429">
      <w:pPr>
        <w:pStyle w:val="a3"/>
        <w:rPr>
          <w:sz w:val="20"/>
          <w:szCs w:val="20"/>
          <w:lang w:val="hu-HU"/>
        </w:rPr>
      </w:pPr>
    </w:p>
    <w:p w14:paraId="2FC67372" w14:textId="77777777" w:rsidR="00773429" w:rsidRDefault="00773429" w:rsidP="00773429">
      <w:pPr>
        <w:pStyle w:val="a3"/>
        <w:rPr>
          <w:lang w:val="hu-HU"/>
        </w:rPr>
      </w:pPr>
      <w:r>
        <w:rPr>
          <w:rFonts w:eastAsia="Times New Roman"/>
          <w:lang w:val="hu-HU"/>
        </w:rPr>
        <w:t>Az adalimumab szignifikánsan késleltette a kezelés eredménytelenségéig eltelt időt a placebóhoz képest (lásd 2. ábra, p &lt; 0,0001, lograng-próba). A kezelés eredménytelenségéig eltelt medián időtartam 24,1 hét volt placebóval kezelt betegek esetén, míg az adalimumabbal kezelt betegek esetén a kezelés eredménytelenségéig eltelt medián időtartam nem volt becsülhető, mivel kevesebb mint a betegek felénél tapasztaltak kezelési eredménytelenséget. Az adalimumab szignifikánsan, 75%-kal csökkentette a kezelési eredménytelenség kockázatát a placebóhoz képest, ahogy ezt a relatív hazárd érték mutatja (HR = 0,25 [95%-os CI: 0,12; 0,49]).</w:t>
      </w:r>
    </w:p>
    <w:p w14:paraId="6B47BA39" w14:textId="77777777" w:rsidR="00773429" w:rsidRDefault="00773429" w:rsidP="00773429">
      <w:pPr>
        <w:spacing w:before="3" w:line="120" w:lineRule="exact"/>
        <w:rPr>
          <w:sz w:val="12"/>
          <w:szCs w:val="12"/>
          <w:lang w:val="hu-HU"/>
        </w:rPr>
      </w:pPr>
    </w:p>
    <w:p w14:paraId="688E2EF6" w14:textId="77777777" w:rsidR="00AF1AD1" w:rsidRDefault="00AF1AD1" w:rsidP="00773429">
      <w:pPr>
        <w:rPr>
          <w:rFonts w:ascii="Times New Roman" w:eastAsia="Times New Roman" w:hAnsi="Times New Roman" w:cs="Times New Roman"/>
          <w:b/>
          <w:bCs/>
          <w:lang w:val="hu-HU"/>
        </w:rPr>
      </w:pPr>
    </w:p>
    <w:p w14:paraId="41FFCD63" w14:textId="77777777" w:rsidR="00AF1AD1" w:rsidRDefault="00AF1AD1" w:rsidP="00773429">
      <w:pPr>
        <w:rPr>
          <w:rFonts w:ascii="Times New Roman" w:eastAsia="Times New Roman" w:hAnsi="Times New Roman" w:cs="Times New Roman"/>
          <w:b/>
          <w:bCs/>
          <w:lang w:val="hu-HU"/>
        </w:rPr>
      </w:pPr>
    </w:p>
    <w:p w14:paraId="6D1C82B6" w14:textId="77777777" w:rsidR="00AF1AD1" w:rsidRDefault="00AF1AD1" w:rsidP="00773429">
      <w:pPr>
        <w:rPr>
          <w:rFonts w:ascii="Times New Roman" w:eastAsia="Times New Roman" w:hAnsi="Times New Roman" w:cs="Times New Roman"/>
          <w:b/>
          <w:bCs/>
          <w:lang w:val="hu-HU"/>
        </w:rPr>
      </w:pPr>
    </w:p>
    <w:p w14:paraId="51262924" w14:textId="77777777" w:rsidR="00AF1AD1" w:rsidRDefault="00AF1AD1" w:rsidP="00773429">
      <w:pPr>
        <w:rPr>
          <w:rFonts w:ascii="Times New Roman" w:eastAsia="Times New Roman" w:hAnsi="Times New Roman" w:cs="Times New Roman"/>
          <w:b/>
          <w:bCs/>
          <w:lang w:val="hu-HU"/>
        </w:rPr>
      </w:pPr>
    </w:p>
    <w:p w14:paraId="1B459673" w14:textId="77777777" w:rsidR="00AF1AD1" w:rsidRDefault="00AF1AD1" w:rsidP="00773429">
      <w:pPr>
        <w:rPr>
          <w:rFonts w:ascii="Times New Roman" w:eastAsia="Times New Roman" w:hAnsi="Times New Roman" w:cs="Times New Roman"/>
          <w:b/>
          <w:bCs/>
          <w:lang w:val="hu-HU"/>
        </w:rPr>
      </w:pPr>
    </w:p>
    <w:p w14:paraId="16C38F31" w14:textId="77777777" w:rsidR="00773429" w:rsidRDefault="00773429" w:rsidP="00773429">
      <w:pPr>
        <w:pStyle w:val="a3"/>
        <w:jc w:val="center"/>
        <w:rPr>
          <w:b/>
          <w:lang w:val="hu-HU"/>
        </w:rPr>
      </w:pPr>
      <w:r>
        <w:rPr>
          <w:rFonts w:eastAsia="Times New Roman"/>
          <w:b/>
          <w:bCs/>
          <w:lang w:val="hu-HU"/>
        </w:rPr>
        <w:t>2. ábra:A kezelés eredménytelenségéig eltelt időt összegző Kaplan-Meier görbék a gyermekkori uveitis vizsgálatban</w:t>
      </w:r>
    </w:p>
    <w:p w14:paraId="67590D7C" w14:textId="77777777" w:rsidR="00773429" w:rsidRDefault="00773429" w:rsidP="00773429">
      <w:pPr>
        <w:pStyle w:val="a3"/>
        <w:rPr>
          <w:rFonts w:eastAsia="Times New Roman"/>
          <w:lang w:val="hu-HU"/>
        </w:rPr>
      </w:pPr>
      <w:r w:rsidRPr="00E91FF7">
        <w:rPr>
          <w:rFonts w:eastAsia="Times New Roman"/>
          <w:noProof/>
          <w:lang w:eastAsia="ko-KR"/>
        </w:rPr>
        <w:lastRenderedPageBreak/>
        <w:drawing>
          <wp:inline distT="0" distB="0" distL="0" distR="0" wp14:anchorId="679A4425" wp14:editId="10DE65E6">
            <wp:extent cx="6000750" cy="3998490"/>
            <wp:effectExtent l="0" t="0" r="0" b="2540"/>
            <wp:docPr id="942449409" name="그림 942449409" descr="텍스트, 스크린샷, 소프트웨어,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그림 15" descr="텍스트, 스크린샷, 소프트웨어, 번호이(가) 표시된 사진&#10;&#10;자동 생성된 설명"/>
                    <pic:cNvPicPr>
                      <a:picLocks noChangeAspect="1"/>
                    </pic:cNvPicPr>
                  </pic:nvPicPr>
                  <pic:blipFill rotWithShape="1">
                    <a:blip r:embed="rId19"/>
                    <a:srcRect l="6096" t="25106" r="57448" b="21223"/>
                    <a:stretch/>
                  </pic:blipFill>
                  <pic:spPr>
                    <a:xfrm>
                      <a:off x="0" y="0"/>
                      <a:ext cx="6029183" cy="4017436"/>
                    </a:xfrm>
                    <a:prstGeom prst="rect">
                      <a:avLst/>
                    </a:prstGeom>
                  </pic:spPr>
                </pic:pic>
              </a:graphicData>
            </a:graphic>
          </wp:inline>
        </w:drawing>
      </w:r>
    </w:p>
    <w:p w14:paraId="5E674136" w14:textId="77777777" w:rsidR="00773429" w:rsidRDefault="00773429" w:rsidP="00773429">
      <w:pPr>
        <w:pStyle w:val="a3"/>
        <w:rPr>
          <w:lang w:val="hu-HU"/>
        </w:rPr>
      </w:pPr>
      <w:r>
        <w:rPr>
          <w:rFonts w:eastAsia="Times New Roman"/>
          <w:lang w:val="hu-HU"/>
        </w:rPr>
        <w:t>Megjegyzés: P = Placebo (Veszélyeztetett betegek száma); A = Adalimumab (Veszélyeztetett betegek száma).</w:t>
      </w:r>
    </w:p>
    <w:p w14:paraId="1AAF673E" w14:textId="77777777" w:rsidR="00C770CB" w:rsidRDefault="00C770CB" w:rsidP="00C770CB">
      <w:pPr>
        <w:spacing w:before="16" w:line="240" w:lineRule="exact"/>
        <w:rPr>
          <w:sz w:val="24"/>
          <w:szCs w:val="24"/>
          <w:lang w:val="hu-HU"/>
        </w:rPr>
      </w:pPr>
    </w:p>
    <w:p w14:paraId="56188818" w14:textId="77777777" w:rsidR="00C770CB" w:rsidRDefault="00C770CB" w:rsidP="00FD05AA">
      <w:pPr>
        <w:widowControl/>
        <w:numPr>
          <w:ilvl w:val="1"/>
          <w:numId w:val="54"/>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Farmakokinetikai tulajdonságok</w:t>
      </w:r>
    </w:p>
    <w:p w14:paraId="0629E101" w14:textId="77777777" w:rsidR="00C770CB" w:rsidRDefault="00C770CB" w:rsidP="00C770CB">
      <w:pPr>
        <w:spacing w:before="9" w:line="240" w:lineRule="exact"/>
        <w:rPr>
          <w:sz w:val="24"/>
          <w:szCs w:val="24"/>
          <w:lang w:val="hu-HU"/>
        </w:rPr>
      </w:pPr>
    </w:p>
    <w:p w14:paraId="0FA9A681" w14:textId="77777777" w:rsidR="00C770CB" w:rsidRDefault="00C770CB" w:rsidP="00C770CB">
      <w:pPr>
        <w:pStyle w:val="a3"/>
        <w:rPr>
          <w:u w:val="single"/>
          <w:lang w:val="hu-HU"/>
        </w:rPr>
      </w:pPr>
      <w:r>
        <w:rPr>
          <w:rFonts w:eastAsia="Times New Roman"/>
          <w:u w:val="single" w:color="000000"/>
          <w:lang w:val="hu-HU"/>
        </w:rPr>
        <w:t>Felszívódás és eloszlás</w:t>
      </w:r>
    </w:p>
    <w:p w14:paraId="7A654CBF" w14:textId="77777777" w:rsidR="00C770CB" w:rsidRDefault="00C770CB" w:rsidP="00C770CB">
      <w:pPr>
        <w:spacing w:before="1" w:line="180" w:lineRule="exact"/>
        <w:rPr>
          <w:sz w:val="18"/>
          <w:szCs w:val="18"/>
          <w:lang w:val="hu-HU"/>
        </w:rPr>
      </w:pPr>
    </w:p>
    <w:p w14:paraId="1B3E29D5" w14:textId="77777777" w:rsidR="00C770CB" w:rsidRDefault="00C770CB" w:rsidP="00C770CB">
      <w:pPr>
        <w:pStyle w:val="a3"/>
        <w:rPr>
          <w:lang w:val="hu-HU"/>
        </w:rPr>
      </w:pPr>
      <w:r>
        <w:rPr>
          <w:rFonts w:eastAsia="Times New Roman"/>
          <w:lang w:val="hu-HU"/>
        </w:rPr>
        <w:t>40 mg adag egyszeri subcutan beadását követően az adalimumab felszívódása és eloszlása lassú volt, a szérumban a csúcskoncentrációt csak a beadást követő 5. napon érte el. Az adalimumab átlagos abszolút biohasznosulása, 40 mg adalimumab subcutan beadását követően, három vizsgálat eredményei alapján 64% volt.0,25 mg/ttkg-tól 10 mg/ttkg-ig terjedő adag egyszeri intravénás beadását követően a szérumkoncentráció az adaggal részarányos volt.0,5 mg/ttkg-os adag (~40 mg) beadását követően, a clearence 11 és 15 ml/óra között, az eloszlási térfogat (Vss) 5-6 liter között változott, és az átlagos terminális felezési idő megközelítőleg két hét volt. Az adalimumab synovialis folyadékban mérhető koncentrációja néhány rheumatoid arthritises beteg vizsgálata alapján, a szérumkoncentráció 31-96%-a volt.</w:t>
      </w:r>
    </w:p>
    <w:p w14:paraId="3AD7A054" w14:textId="77777777" w:rsidR="00C770CB" w:rsidRDefault="00C770CB" w:rsidP="00C770CB">
      <w:pPr>
        <w:spacing w:before="14" w:line="240" w:lineRule="exact"/>
        <w:rPr>
          <w:sz w:val="24"/>
          <w:szCs w:val="24"/>
          <w:lang w:val="hu-HU"/>
        </w:rPr>
      </w:pPr>
    </w:p>
    <w:p w14:paraId="7D2E8915" w14:textId="77777777" w:rsidR="00C770CB" w:rsidRDefault="00C770CB" w:rsidP="00C770CB">
      <w:pPr>
        <w:pStyle w:val="a3"/>
        <w:rPr>
          <w:lang w:val="hu-HU"/>
        </w:rPr>
      </w:pPr>
      <w:r>
        <w:rPr>
          <w:rFonts w:eastAsia="Times New Roman"/>
          <w:lang w:val="hu-HU"/>
        </w:rPr>
        <w:t xml:space="preserve">Felnőtt rheumatoid arthritises (RA), metotrexáttal nem kezelt betegeknek minden második héten subcutan beadott 40 mg adalimumab után az átlagos legalacsonyabb dinamikus egyensúlyi állapotban mért koncentráció 5 </w:t>
      </w:r>
      <w:r>
        <w:rPr>
          <w:rFonts w:ascii="Symbol" w:eastAsia="Symbol" w:hAnsi="Symbol" w:cs="Symbol"/>
          <w:lang w:val="hu-HU"/>
        </w:rPr>
        <w:sym w:font="Symbol" w:char="F06D"/>
      </w:r>
      <w:r>
        <w:rPr>
          <w:rFonts w:eastAsia="Times New Roman"/>
          <w:lang w:val="hu-HU"/>
        </w:rPr>
        <w:t xml:space="preserve">mikrogramm/ml volt, míg metotrexáttal együtt alkalmazva ez az érték 8-9 </w:t>
      </w:r>
      <w:r>
        <w:rPr>
          <w:rFonts w:ascii="Symbol" w:eastAsia="Symbol" w:hAnsi="Symbol" w:cs="Symbol"/>
          <w:lang w:val="hu-HU"/>
        </w:rPr>
        <w:sym w:font="Symbol" w:char="F06D"/>
      </w:r>
      <w:r>
        <w:rPr>
          <w:rFonts w:eastAsia="Times New Roman"/>
          <w:lang w:val="hu-HU"/>
        </w:rPr>
        <w:t>mikrogramm/ml volt. Az adalimumab dinamikus egyensúlyi állapotban mért minimális szérumkoncentrációja csaknem részarányosan nőtt kéthetenként, illetve hetenként subcutan adott 20, 40 illetve 80 mg dózis adagolásával.</w:t>
      </w:r>
    </w:p>
    <w:p w14:paraId="5E95CC12" w14:textId="77777777" w:rsidR="00C770CB" w:rsidRDefault="00C770CB" w:rsidP="00C770CB">
      <w:pPr>
        <w:pStyle w:val="a3"/>
        <w:rPr>
          <w:rFonts w:eastAsia="Times New Roman"/>
          <w:lang w:val="hu-HU"/>
        </w:rPr>
      </w:pPr>
    </w:p>
    <w:p w14:paraId="33C2BA49" w14:textId="77777777" w:rsidR="00C770CB" w:rsidRDefault="00C770CB" w:rsidP="00C770CB">
      <w:pPr>
        <w:pStyle w:val="a3"/>
        <w:rPr>
          <w:lang w:val="hu-HU"/>
        </w:rPr>
      </w:pPr>
      <w:r>
        <w:rPr>
          <w:rFonts w:eastAsia="Times New Roman"/>
          <w:lang w:val="hu-HU"/>
        </w:rPr>
        <w:t xml:space="preserve">Psoriasisos felnőtt betegek esetében a legalacsonyabb egyensúlyi plazmakoncentráció átlagértéke 5 </w:t>
      </w:r>
      <w:r>
        <w:rPr>
          <w:rFonts w:ascii="Symbol" w:eastAsia="Symbol" w:hAnsi="Symbol" w:cs="Symbol"/>
          <w:lang w:val="hu-HU"/>
        </w:rPr>
        <w:sym w:font="Symbol" w:char="F06D"/>
      </w:r>
      <w:r>
        <w:rPr>
          <w:rFonts w:eastAsia="Times New Roman"/>
          <w:lang w:val="hu-HU"/>
        </w:rPr>
        <w:t>mikrogramm/ml volt a kéthetente 40 mg adalimumabbal végzett monoterápiás kezelés esetén.</w:t>
      </w:r>
    </w:p>
    <w:p w14:paraId="54B82DF4" w14:textId="77777777" w:rsidR="00C770CB" w:rsidRDefault="00C770CB" w:rsidP="00C770CB">
      <w:pPr>
        <w:spacing w:before="13" w:line="240" w:lineRule="exact"/>
        <w:rPr>
          <w:sz w:val="24"/>
          <w:szCs w:val="24"/>
          <w:lang w:val="hu-HU"/>
        </w:rPr>
      </w:pPr>
    </w:p>
    <w:p w14:paraId="38C7DE14" w14:textId="77777777" w:rsidR="00C770CB" w:rsidRDefault="00C770CB" w:rsidP="00C770CB">
      <w:pPr>
        <w:pStyle w:val="a3"/>
        <w:rPr>
          <w:lang w:val="hu-HU"/>
        </w:rPr>
      </w:pPr>
      <w:r>
        <w:rPr>
          <w:rFonts w:eastAsia="Times New Roman"/>
          <w:lang w:val="hu-HU"/>
        </w:rPr>
        <w:t xml:space="preserve">A hidradenitis suppurativában szenvedő felnőtt betegeknél az adalimumab 160 mg-os adagja a 0. héten, majd 80 mg a 2. héten kb. 7-8 mikrogramm/ml-es minimális adalimumab-szérumszintet eredményezett a 2. és 4 héten. Megközelítőleg 8-10 mikrogramm/ml-es átlagos dinamikus egyensúlyi állapotú minimális </w:t>
      </w:r>
      <w:r>
        <w:rPr>
          <w:rFonts w:eastAsia="Times New Roman"/>
          <w:lang w:val="hu-HU"/>
        </w:rPr>
        <w:lastRenderedPageBreak/>
        <w:t>szérumszintet mértek a 12. héttől a 36. hétig, a hetente 40 mg adalimumab-kezelés alatt.</w:t>
      </w:r>
    </w:p>
    <w:p w14:paraId="669F8971" w14:textId="77777777" w:rsidR="00C770CB" w:rsidRDefault="00C770CB" w:rsidP="00C770CB">
      <w:pPr>
        <w:spacing w:before="13" w:line="240" w:lineRule="exact"/>
        <w:rPr>
          <w:sz w:val="24"/>
          <w:szCs w:val="24"/>
          <w:lang w:val="hu-HU"/>
        </w:rPr>
      </w:pPr>
    </w:p>
    <w:p w14:paraId="1168AEA3" w14:textId="77777777" w:rsidR="00C770CB" w:rsidRDefault="00C770CB" w:rsidP="00C770CB">
      <w:pPr>
        <w:pStyle w:val="a3"/>
        <w:rPr>
          <w:lang w:val="hu-HU"/>
        </w:rPr>
      </w:pPr>
      <w:r>
        <w:rPr>
          <w:rFonts w:eastAsia="Times New Roman"/>
          <w:lang w:val="hu-HU"/>
        </w:rPr>
        <w:t>Az adalimumab expozícióját HS-ben szenvedő serdülőknél populációs farmakokinetikai modellezéssel és szimulációval határozták meg, egyéb keresztindikációs gyermekgyógyászati betegek (gyermekkori psoriasis, juvenilis idiopathiás arthritis, gyermekkori Crohn-betegség és enthesitis-asszociált arthritis) farmakokinetikája alapján. HS-ben szenvedő serdülőknél az ajánlott adag 40 mg minden második héten. Mivel az adalimumab expozícióját a testméret befolyásolhatja, a nagyobb testtömegű serdülőknél, vagy azoknál, akik nem megfelelően reagáltak a kezelésre, előnyös lehet, a dózis heti 40 mg-os, felnőtt adagra való növelése.</w:t>
      </w:r>
    </w:p>
    <w:p w14:paraId="78005CFB" w14:textId="77777777" w:rsidR="00C770CB" w:rsidRDefault="00C770CB" w:rsidP="00C770CB">
      <w:pPr>
        <w:spacing w:before="13" w:line="240" w:lineRule="exact"/>
        <w:rPr>
          <w:sz w:val="24"/>
          <w:szCs w:val="24"/>
          <w:lang w:val="hu-HU"/>
        </w:rPr>
      </w:pPr>
    </w:p>
    <w:p w14:paraId="40FC0B1C" w14:textId="77777777" w:rsidR="00C770CB" w:rsidRDefault="00C770CB" w:rsidP="00C770CB">
      <w:pPr>
        <w:pStyle w:val="a3"/>
        <w:rPr>
          <w:lang w:val="hu-HU"/>
        </w:rPr>
      </w:pPr>
      <w:r>
        <w:rPr>
          <w:rFonts w:eastAsia="Times New Roman"/>
          <w:lang w:val="hu-HU"/>
        </w:rPr>
        <w:t xml:space="preserve">Crohn-betegségben szenvedő betegeknél az adalimumab 80 mg-os telítő adagja a 0. héten, majd 40 mg a 2. héten kb. 5,5 </w:t>
      </w:r>
      <w:r>
        <w:rPr>
          <w:rFonts w:ascii="Symbol" w:eastAsia="Symbol" w:hAnsi="Symbol" w:cs="Symbol"/>
          <w:lang w:val="hu-HU"/>
        </w:rPr>
        <w:sym w:font="Symbol" w:char="F06D"/>
      </w:r>
      <w:r>
        <w:rPr>
          <w:rFonts w:eastAsia="Times New Roman"/>
          <w:lang w:val="hu-HU"/>
        </w:rPr>
        <w:t xml:space="preserve">mikrogramm/ml-es minimális adalimumab-szérumszintet eredményez az indukció időszakában. A 0. héten 160 mg-os telítő dózist, majd a 2. héten 80 mg adalimumab-t adva az adalimumab minimális szérumszintje kb. 12 </w:t>
      </w:r>
      <w:r>
        <w:rPr>
          <w:rFonts w:ascii="Symbol" w:eastAsia="Symbol" w:hAnsi="Symbol" w:cs="Symbol"/>
          <w:lang w:val="hu-HU"/>
        </w:rPr>
        <w:sym w:font="Symbol" w:char="F06D"/>
      </w:r>
      <w:r>
        <w:rPr>
          <w:rFonts w:eastAsia="Times New Roman"/>
          <w:lang w:val="hu-HU"/>
        </w:rPr>
        <w:t xml:space="preserve">gramm/ml-ot ér el az indukció időszakában. Megközelítőleg 7 </w:t>
      </w:r>
      <w:r>
        <w:rPr>
          <w:rFonts w:ascii="Symbol" w:eastAsia="Symbol" w:hAnsi="Symbol" w:cs="Symbol"/>
          <w:lang w:val="hu-HU"/>
        </w:rPr>
        <w:sym w:font="Symbol" w:char="F06D"/>
      </w:r>
      <w:r>
        <w:rPr>
          <w:rFonts w:eastAsia="Times New Roman"/>
          <w:lang w:val="hu-HU"/>
        </w:rPr>
        <w:t>mikrogramm/ml egyensúlyi minimális szérumszintet mértek olyan Crohn-betegségben szenvedő betegeknél, akik minden második héten 40 mg adalimumab-t kaptak fenntartó adagként.</w:t>
      </w:r>
    </w:p>
    <w:p w14:paraId="204309D0" w14:textId="77777777" w:rsidR="00C770CB" w:rsidRDefault="00C770CB" w:rsidP="00C770CB">
      <w:pPr>
        <w:spacing w:before="11" w:line="240" w:lineRule="exact"/>
        <w:rPr>
          <w:sz w:val="24"/>
          <w:szCs w:val="24"/>
          <w:lang w:val="hu-HU"/>
        </w:rPr>
      </w:pPr>
    </w:p>
    <w:p w14:paraId="46DC45D5" w14:textId="77777777" w:rsidR="00C770CB" w:rsidRDefault="00C770CB" w:rsidP="00C770CB">
      <w:pPr>
        <w:pStyle w:val="a3"/>
        <w:rPr>
          <w:lang w:val="hu-HU"/>
        </w:rPr>
      </w:pPr>
      <w:r>
        <w:rPr>
          <w:rFonts w:eastAsia="Times New Roman"/>
          <w:lang w:val="hu-HU"/>
        </w:rPr>
        <w:t>Közepesen súlyos-</w:t>
      </w:r>
      <w:r w:rsidRPr="009167C6">
        <w:rPr>
          <w:lang w:val="hu-HU"/>
        </w:rPr>
        <w:t> </w:t>
      </w:r>
      <w:r>
        <w:rPr>
          <w:rFonts w:eastAsia="Times New Roman"/>
          <w:lang w:val="hu-HU"/>
        </w:rPr>
        <w:t xml:space="preserve"> súlyos aktivitású Crohn-betegségben szenvedő gyermekeknél és serdülőknél az adalimumab nyílt elrendezésben alkalmazott indukciós dózisa 160/80 mg, illetve 80/40 mg volt a 0. és a 2. héten, figyelembe véve a testtömegre meghatározott 40 kg-os határértéket. A 4. héten a betegeket 1:1 arányban Standard dózisú (40/20 mg minden második héten) vagy Alacsony dózisú (20/10 mg minden második héten) fenntartó kezelési csoportba randomizálták a testtömegük alapján. A 4. hétre elért átlag (±SD) maradék szérum-adalimumab-koncentráció 15,7±6,6 </w:t>
      </w:r>
      <w:r>
        <w:rPr>
          <w:rFonts w:ascii="Symbol" w:eastAsia="Symbol" w:hAnsi="Symbol" w:cs="Symbol"/>
          <w:lang w:val="hu-HU"/>
        </w:rPr>
        <w:sym w:font="Symbol" w:char="F06D"/>
      </w:r>
      <w:r>
        <w:rPr>
          <w:rFonts w:eastAsia="Times New Roman"/>
          <w:lang w:val="hu-HU"/>
        </w:rPr>
        <w:t xml:space="preserve">gramm/ml volt a 40 kg-os, vagy annál nagyobb testtömegű betegeknél (160/80 mg), míg a 40 kg-nál alacsonyabb testtömegű betegeknél (80/40 mg) ez az érték 10,6±6,1 </w:t>
      </w:r>
      <w:r>
        <w:rPr>
          <w:rFonts w:ascii="Symbol" w:eastAsia="Symbol" w:hAnsi="Symbol" w:cs="Symbol"/>
          <w:lang w:val="hu-HU"/>
        </w:rPr>
        <w:sym w:font="Symbol" w:char="F06D"/>
      </w:r>
      <w:r>
        <w:rPr>
          <w:rFonts w:eastAsia="Times New Roman"/>
          <w:lang w:val="hu-HU"/>
        </w:rPr>
        <w:t>gramm/ml volt.</w:t>
      </w:r>
    </w:p>
    <w:p w14:paraId="0B6FCAFB" w14:textId="77777777" w:rsidR="00C770CB" w:rsidRDefault="00C770CB" w:rsidP="00C770CB">
      <w:pPr>
        <w:spacing w:before="7" w:line="240" w:lineRule="exact"/>
        <w:rPr>
          <w:sz w:val="24"/>
          <w:szCs w:val="24"/>
          <w:lang w:val="hu-HU"/>
        </w:rPr>
      </w:pPr>
    </w:p>
    <w:p w14:paraId="5ACAC76A" w14:textId="77777777" w:rsidR="00C770CB" w:rsidRDefault="00C770CB" w:rsidP="00C770CB">
      <w:pPr>
        <w:pStyle w:val="a3"/>
        <w:rPr>
          <w:lang w:val="hu-HU"/>
        </w:rPr>
      </w:pPr>
      <w:r>
        <w:rPr>
          <w:rFonts w:eastAsia="Times New Roman"/>
          <w:lang w:val="hu-HU"/>
        </w:rPr>
        <w:t xml:space="preserve">Azoknál a betegeknél, akik a randomizált kezelésen maradtak, az 52. héten az átlagos (±SD) maradék szérum-adalimumab-koncentráció a Standard dózissal kezeltek csoportjában 9,5±5,6 </w:t>
      </w:r>
      <w:r>
        <w:rPr>
          <w:rFonts w:ascii="Symbol" w:eastAsia="Symbol" w:hAnsi="Symbol" w:cs="Symbol"/>
          <w:lang w:val="hu-HU"/>
        </w:rPr>
        <w:sym w:font="Symbol" w:char="F06D"/>
      </w:r>
      <w:r>
        <w:rPr>
          <w:rFonts w:eastAsia="Times New Roman"/>
          <w:lang w:val="hu-HU"/>
        </w:rPr>
        <w:t>gramm/ml, míg az Alacsony dózissal kezelteknél 3,5±2,2</w:t>
      </w:r>
      <w:r>
        <w:rPr>
          <w:rFonts w:ascii="Symbol" w:eastAsia="Symbol" w:hAnsi="Symbol" w:cs="Symbol"/>
          <w:lang w:val="hu-HU"/>
        </w:rPr>
        <w:sym w:font="Symbol" w:char="F06D"/>
      </w:r>
      <w:r>
        <w:rPr>
          <w:rFonts w:eastAsia="Times New Roman"/>
          <w:lang w:val="hu-HU"/>
        </w:rPr>
        <w:t>gramm/ml volt. Az átlagos maradék koncentráció fennmaradt azoknál a betegeknél, akik kéthetenkénti adalimumab-kezelést kaptak az 52. hétig. Azoknál a betegeknél, akiknél a kezelés gyakoriságát kéthetenkéntiről heti egyszerire emelték, az átlagos (±SD) szérum-adalimumab-koncentráció az 52. héten 15,3±11,4 mikrogramm/ml (40/20 mg hetente), illetve 6,7±3,5 mikrogramm/ml (20/10 mg hetente) volt.</w:t>
      </w:r>
    </w:p>
    <w:p w14:paraId="30510B3F" w14:textId="77777777" w:rsidR="00C770CB" w:rsidRDefault="00C770CB" w:rsidP="00C770CB">
      <w:pPr>
        <w:spacing w:before="11" w:line="240" w:lineRule="exact"/>
        <w:rPr>
          <w:sz w:val="24"/>
          <w:szCs w:val="24"/>
          <w:lang w:val="hu-HU"/>
        </w:rPr>
      </w:pPr>
    </w:p>
    <w:p w14:paraId="30292C48" w14:textId="77777777" w:rsidR="00C770CB" w:rsidRDefault="00C770CB" w:rsidP="00C770CB">
      <w:pPr>
        <w:pStyle w:val="a3"/>
        <w:rPr>
          <w:lang w:val="hu-HU"/>
        </w:rPr>
      </w:pPr>
      <w:r>
        <w:rPr>
          <w:rFonts w:eastAsia="Times New Roman"/>
          <w:lang w:val="hu-HU"/>
        </w:rPr>
        <w:t xml:space="preserve">A colitis ulcerosában szenvedő betegeknél az adalimumab 160 mg-os telítő adagja a 0. héten, majd 80 mg a 2. héten kb. 12 </w:t>
      </w:r>
      <w:r>
        <w:rPr>
          <w:rFonts w:ascii="Symbol" w:eastAsia="Symbol" w:hAnsi="Symbol" w:cs="Symbol"/>
          <w:lang w:val="hu-HU"/>
        </w:rPr>
        <w:sym w:font="Symbol" w:char="F06D"/>
      </w:r>
      <w:r>
        <w:rPr>
          <w:rFonts w:eastAsia="Times New Roman"/>
          <w:lang w:val="hu-HU"/>
        </w:rPr>
        <w:t xml:space="preserve">gramm/ml-es minimális adalimumab-szérumszintet eredményez az indukció időszakában. Megközelítőleg 8 </w:t>
      </w:r>
      <w:r>
        <w:rPr>
          <w:rFonts w:ascii="Symbol" w:eastAsia="Symbol" w:hAnsi="Symbol" w:cs="Symbol"/>
          <w:lang w:val="hu-HU"/>
        </w:rPr>
        <w:sym w:font="Symbol" w:char="F06D"/>
      </w:r>
      <w:r>
        <w:rPr>
          <w:rFonts w:eastAsia="Times New Roman"/>
          <w:lang w:val="hu-HU"/>
        </w:rPr>
        <w:t>gramm/ml minimális egyensúlyi szérumszintet mértek olyan colitis ulcerosaban szenvedő betegeknél, akik minden második héten 40 mg adalimumabot kaptak fenntartó adagként.</w:t>
      </w:r>
    </w:p>
    <w:p w14:paraId="36948911" w14:textId="77777777" w:rsidR="00C770CB" w:rsidRPr="00113FF2" w:rsidRDefault="00C770CB" w:rsidP="00C770CB">
      <w:pPr>
        <w:widowControl/>
        <w:suppressAutoHyphens/>
        <w:rPr>
          <w:rFonts w:ascii="Times New Roman" w:eastAsia="바탕" w:hAnsi="Times New Roman" w:cs="Times New Roman"/>
          <w:lang w:val="hu-HU" w:eastAsia="hu-HU"/>
        </w:rPr>
      </w:pPr>
    </w:p>
    <w:p w14:paraId="7B5B32E1" w14:textId="77777777" w:rsidR="00C770CB" w:rsidRPr="00113FF2" w:rsidRDefault="00C770CB" w:rsidP="00C770CB">
      <w:pPr>
        <w:widowControl/>
        <w:suppressAutoHyphens/>
        <w:spacing w:line="260" w:lineRule="exact"/>
        <w:rPr>
          <w:rFonts w:ascii="Times New Roman" w:eastAsia="바탕" w:hAnsi="Times New Roman" w:cs="Times New Roman"/>
          <w:szCs w:val="20"/>
          <w:lang w:val="hu-HU" w:eastAsia="hu-HU"/>
        </w:rPr>
      </w:pPr>
      <w:r w:rsidRPr="00113FF2">
        <w:rPr>
          <w:rFonts w:ascii="Times New Roman" w:eastAsia="바탕" w:hAnsi="Times New Roman" w:cs="Times New Roman"/>
          <w:szCs w:val="20"/>
          <w:lang w:val="hu-HU" w:eastAsia="hu-HU"/>
        </w:rPr>
        <w:t>A colitis ulcerosában szenvedő gyermekeknél és serdülőknél subcutan adott, testtömeg-alapú, kéthetente 0,6 mg/ttkg</w:t>
      </w:r>
      <w:r w:rsidRPr="00113FF2">
        <w:rPr>
          <w:rFonts w:ascii="Times New Roman" w:eastAsia="바탕" w:hAnsi="Times New Roman" w:cs="Times New Roman"/>
          <w:szCs w:val="20"/>
          <w:lang w:val="hu-HU" w:eastAsia="hu-HU"/>
        </w:rPr>
        <w:noBreakHyphen/>
        <w:t>os (legfeljebb 40 mg) adagolás esetén az átlagos minimális egyensúlyi állapotú szérum adalimumab-koncentráció 5,01±3,28 mikrogramm/ml volt az 52. héten. Azoknál a betegeknél, akik hetente 0,6 mg/ttkg-ot (legfeljebb 40 mg) kaptak, az átlagos (± SD) minimális egyensúlyi állapotú szérum adalimumab-koncentráció 15,7±5,60 mikrogramm/ml volt az 52. héten.</w:t>
      </w:r>
    </w:p>
    <w:p w14:paraId="74BBDC8B" w14:textId="77777777" w:rsidR="00C770CB" w:rsidRDefault="00C770CB" w:rsidP="00C770CB">
      <w:pPr>
        <w:spacing w:before="14" w:line="240" w:lineRule="exact"/>
        <w:rPr>
          <w:sz w:val="24"/>
          <w:szCs w:val="24"/>
          <w:lang w:val="hu-HU"/>
        </w:rPr>
      </w:pPr>
    </w:p>
    <w:p w14:paraId="6608B59B" w14:textId="77777777" w:rsidR="00C770CB" w:rsidRDefault="00C770CB" w:rsidP="00C770CB">
      <w:pPr>
        <w:pStyle w:val="a3"/>
        <w:rPr>
          <w:lang w:val="hu-HU"/>
        </w:rPr>
      </w:pPr>
      <w:r>
        <w:rPr>
          <w:rFonts w:eastAsia="Times New Roman"/>
          <w:spacing w:val="-2"/>
          <w:lang w:val="hu-HU"/>
        </w:rPr>
        <w:t>Uveitisben szenvedő felnőtt betegeknél a 80 mg-os telítő adag a 0. héten, melyet minden második héten beadott 40 mg követ az 1. héttől kezdve, hozzávetőlegesen 8-10</w:t>
      </w:r>
      <w:r>
        <w:rPr>
          <w:rFonts w:ascii="Symbol" w:eastAsia="Symbol" w:hAnsi="Symbol" w:cs="Symbol"/>
          <w:spacing w:val="-2"/>
          <w:lang w:val="hu-HU"/>
        </w:rPr>
        <w:sym w:font="Symbol" w:char="F06D"/>
      </w:r>
      <w:r>
        <w:rPr>
          <w:rFonts w:eastAsia="Times New Roman"/>
          <w:spacing w:val="-2"/>
          <w:lang w:val="hu-HU"/>
        </w:rPr>
        <w:t>gramm/ml átlagos egyensúlyi koncentrációt eredményezett.</w:t>
      </w:r>
    </w:p>
    <w:p w14:paraId="772BF7E9" w14:textId="77777777" w:rsidR="00C770CB" w:rsidRDefault="00C770CB" w:rsidP="00C770CB">
      <w:pPr>
        <w:spacing w:before="13" w:line="240" w:lineRule="exact"/>
        <w:rPr>
          <w:sz w:val="24"/>
          <w:szCs w:val="24"/>
          <w:lang w:val="hu-HU"/>
        </w:rPr>
      </w:pPr>
    </w:p>
    <w:p w14:paraId="6CD2A878" w14:textId="77777777" w:rsidR="00C770CB" w:rsidRDefault="00C770CB" w:rsidP="00C770CB">
      <w:pPr>
        <w:pStyle w:val="a3"/>
        <w:rPr>
          <w:lang w:val="hu-HU"/>
        </w:rPr>
      </w:pPr>
      <w:r>
        <w:rPr>
          <w:rFonts w:eastAsia="Times New Roman"/>
          <w:lang w:val="hu-HU"/>
        </w:rPr>
        <w:t xml:space="preserve">Az adalimumab expozícióját gyermekeknél populációs farmakokinetikai modellezéssel és szimulációval határozták meg egyéb keresztindikációs gyermekgyógyászati betegek (gyermekkori psoriasis, juvenilis idiopathiás arthritis, gyermekkori Crohn-betegség és enthesitis-asszociált arthritis) farmakokinetikája alapján. Nem állnak rendelkezésre klinikai expozíciós adatok a telítő dózis 6 évnél fiatalabb gyermekeknél </w:t>
      </w:r>
      <w:r>
        <w:rPr>
          <w:rFonts w:eastAsia="Times New Roman"/>
          <w:lang w:val="hu-HU"/>
        </w:rPr>
        <w:lastRenderedPageBreak/>
        <w:t>történő alkalmazásáról. A várható expozíció alapján metotrexát hiányában a telítő dózis a szisztémás expozíció kezdeti növekedéséhez vezethet.</w:t>
      </w:r>
    </w:p>
    <w:p w14:paraId="6895E320" w14:textId="77777777" w:rsidR="00C770CB" w:rsidRDefault="00C770CB" w:rsidP="00C770CB">
      <w:pPr>
        <w:spacing w:before="13" w:line="240" w:lineRule="exact"/>
        <w:rPr>
          <w:sz w:val="24"/>
          <w:szCs w:val="24"/>
          <w:lang w:val="hu-HU"/>
        </w:rPr>
      </w:pPr>
    </w:p>
    <w:p w14:paraId="5937333E" w14:textId="77777777" w:rsidR="00C770CB" w:rsidRDefault="00C770CB" w:rsidP="00C770CB">
      <w:pPr>
        <w:pStyle w:val="a3"/>
        <w:rPr>
          <w:lang w:val="hu-HU"/>
        </w:rPr>
      </w:pPr>
      <w:r>
        <w:rPr>
          <w:rFonts w:eastAsia="Times New Roman"/>
          <w:lang w:val="hu-HU"/>
        </w:rPr>
        <w:t xml:space="preserve">A populációs farmakokinetikai és farmakokinetikai/farmakodinámás modellezés és szimuláció hasonló adalimumab-expozíciót és hatásosságot prognosztizált azoknál a betegeknél, akiket minden második héten 80 mg-mal kezeltek, és azoknál, akiket hetente 40 mg-mal kezeltek (ideértve a rheumatoid arthritisben, hidradenitis suppurativában, colitis ulcerosában, Crohn-betegségben vagy psoriasisban szenvedő felnőtt betegeket, serdülőkori HS-ben szenvedő betegeket és legalább 40 kg testtömegű, Crohn-betegségben </w:t>
      </w:r>
      <w:r w:rsidRPr="004E2591">
        <w:rPr>
          <w:lang w:val="hu-HU"/>
        </w:rPr>
        <w:t xml:space="preserve">és colitis ulcerosában </w:t>
      </w:r>
      <w:r>
        <w:rPr>
          <w:rFonts w:eastAsia="Times New Roman"/>
          <w:lang w:val="hu-HU"/>
        </w:rPr>
        <w:t>szenvedő gyermekeket is).</w:t>
      </w:r>
    </w:p>
    <w:p w14:paraId="35B5AB97" w14:textId="77777777" w:rsidR="00C770CB" w:rsidRDefault="00C770CB" w:rsidP="00C770CB">
      <w:pPr>
        <w:spacing w:before="13" w:line="240" w:lineRule="exact"/>
        <w:rPr>
          <w:sz w:val="24"/>
          <w:szCs w:val="24"/>
          <w:lang w:val="hu-HU"/>
        </w:rPr>
      </w:pPr>
    </w:p>
    <w:p w14:paraId="15848012" w14:textId="77777777" w:rsidR="00C770CB" w:rsidRDefault="00C770CB" w:rsidP="00C770CB">
      <w:pPr>
        <w:pStyle w:val="a3"/>
        <w:rPr>
          <w:u w:val="single"/>
          <w:lang w:val="hu-HU"/>
        </w:rPr>
      </w:pPr>
      <w:r>
        <w:rPr>
          <w:rFonts w:eastAsia="Times New Roman"/>
          <w:u w:val="single" w:color="000000"/>
          <w:lang w:val="hu-HU"/>
        </w:rPr>
        <w:t>Dózis-hatás összefüggés gyermekeknél és serdülőknél</w:t>
      </w:r>
    </w:p>
    <w:p w14:paraId="1731FF91" w14:textId="77777777" w:rsidR="00C770CB" w:rsidRDefault="00C770CB" w:rsidP="00C770CB">
      <w:pPr>
        <w:pStyle w:val="a3"/>
        <w:rPr>
          <w:lang w:val="hu-HU"/>
        </w:rPr>
      </w:pPr>
    </w:p>
    <w:p w14:paraId="74262D06" w14:textId="77777777" w:rsidR="00C770CB" w:rsidRDefault="00C770CB" w:rsidP="00C770CB">
      <w:pPr>
        <w:pStyle w:val="a3"/>
        <w:rPr>
          <w:lang w:val="hu-HU"/>
        </w:rPr>
      </w:pPr>
      <w:r>
        <w:rPr>
          <w:rFonts w:eastAsia="Times New Roman"/>
          <w:lang w:val="hu-HU"/>
        </w:rPr>
        <w:t>JIA-ban (pJIA és ERA) szenvedő betegeknél végzett klinikai vizsgálati adatok alapján állapították meg a dózis-hatás összefüggést a plazmakoncentrációk és a Pediátriai ACR 50 válasz között. Az adalimumab látszólagos plazmakoncentrációja, ami a Pediátriai ACR 50 válasz maximális valószínűsége felének eléréséhez szükséges (EC50), 3 mikrogramm/ml (95%-os CI:1-6 mikrogramm/ml) volt.</w:t>
      </w:r>
    </w:p>
    <w:p w14:paraId="779A26BA" w14:textId="77777777" w:rsidR="00C770CB" w:rsidRDefault="00C770CB" w:rsidP="00C770CB">
      <w:pPr>
        <w:spacing w:before="13" w:line="240" w:lineRule="exact"/>
        <w:rPr>
          <w:sz w:val="24"/>
          <w:szCs w:val="24"/>
          <w:lang w:val="hu-HU"/>
        </w:rPr>
      </w:pPr>
    </w:p>
    <w:p w14:paraId="6FCCAEF8" w14:textId="77777777" w:rsidR="00C770CB" w:rsidRDefault="00C770CB" w:rsidP="00C770CB">
      <w:pPr>
        <w:pStyle w:val="a3"/>
        <w:rPr>
          <w:lang w:val="hu-HU"/>
        </w:rPr>
      </w:pPr>
      <w:r>
        <w:rPr>
          <w:rFonts w:eastAsia="Times New Roman"/>
          <w:lang w:val="hu-HU"/>
        </w:rPr>
        <w:t>Az adalimumab koncentrációja és hatásossága közötti dózis-hatás összefüggést a súlyos, krónikus plakkos psoriasisban szenvedő gyermekeknél a PASI 75 és PGA szerinti tiszta vagy minimális értékre vonatkozóan állapították meg.</w:t>
      </w:r>
    </w:p>
    <w:p w14:paraId="1A61549C" w14:textId="77777777" w:rsidR="00C770CB" w:rsidRDefault="00C770CB" w:rsidP="00C770CB">
      <w:pPr>
        <w:pStyle w:val="a3"/>
        <w:rPr>
          <w:rFonts w:eastAsia="Times New Roman"/>
          <w:lang w:val="hu-HU"/>
        </w:rPr>
      </w:pPr>
      <w:r>
        <w:rPr>
          <w:rFonts w:eastAsia="Times New Roman"/>
          <w:lang w:val="hu-HU"/>
        </w:rPr>
        <w:t>A PASI 75 és PGA szerinti tiszta vagy minimális értéke emelkedett a növekvő adalimumab-koncentrációkkal, mindkettő hasonló látszólagos EC50 értékkel, ami hozzávetőlegesen 4,5 mikrogramm/ml (95%-os CI 0,4-47,6 illetve 1,9-10,5) volt</w:t>
      </w:r>
    </w:p>
    <w:p w14:paraId="22F7A988" w14:textId="77777777" w:rsidR="00C770CB" w:rsidRDefault="00C770CB" w:rsidP="00C770CB">
      <w:pPr>
        <w:spacing w:before="13" w:line="240" w:lineRule="exact"/>
        <w:rPr>
          <w:sz w:val="24"/>
          <w:szCs w:val="24"/>
          <w:lang w:val="hu-HU"/>
        </w:rPr>
      </w:pPr>
    </w:p>
    <w:p w14:paraId="122F9D7A" w14:textId="77777777" w:rsidR="00C770CB" w:rsidRDefault="00C770CB" w:rsidP="00C770CB">
      <w:pPr>
        <w:pStyle w:val="a3"/>
        <w:rPr>
          <w:u w:val="single"/>
          <w:lang w:val="hu-HU"/>
        </w:rPr>
      </w:pPr>
      <w:r>
        <w:rPr>
          <w:rFonts w:eastAsia="Times New Roman"/>
          <w:u w:val="single" w:color="000000"/>
          <w:lang w:val="hu-HU"/>
        </w:rPr>
        <w:t>Elimináció</w:t>
      </w:r>
    </w:p>
    <w:p w14:paraId="47B90758" w14:textId="77777777" w:rsidR="00C770CB" w:rsidRDefault="00C770CB" w:rsidP="00C770CB">
      <w:pPr>
        <w:spacing w:before="1" w:line="180" w:lineRule="exact"/>
        <w:rPr>
          <w:sz w:val="18"/>
          <w:szCs w:val="18"/>
          <w:lang w:val="hu-HU"/>
        </w:rPr>
      </w:pPr>
    </w:p>
    <w:p w14:paraId="205B9363" w14:textId="77777777" w:rsidR="00C770CB" w:rsidRDefault="00C770CB" w:rsidP="00C770CB">
      <w:pPr>
        <w:pStyle w:val="a3"/>
        <w:rPr>
          <w:lang w:val="hu-HU"/>
        </w:rPr>
      </w:pPr>
      <w:r>
        <w:rPr>
          <w:rFonts w:eastAsia="Times New Roman"/>
          <w:lang w:val="hu-HU"/>
        </w:rPr>
        <w:t>Több mint 1300 RA betegen végzett populációs farmakokinetikai vizsgálatokból származó adatok alapján derült ki, hogy a testsúly növekedésével nő az adalimumab-clearence. A testsúlykülönbség korrekciója után úgy látszik, a nemnek és az életkornak minimális hatása van az adalimumab clearence- ére. A szérumban mérhető, adalimumab-ellenes antitestekhez (AAA) nem kötődő szabad adalimumab koncentrációja alacsonyabbnak bizonyult olyan betegek esetében, akiknél mérhető volt az AAA szintje.</w:t>
      </w:r>
    </w:p>
    <w:p w14:paraId="7431FD53" w14:textId="77777777" w:rsidR="00C770CB" w:rsidRDefault="00C770CB" w:rsidP="00C770CB">
      <w:pPr>
        <w:spacing w:before="13" w:line="240" w:lineRule="exact"/>
        <w:rPr>
          <w:sz w:val="24"/>
          <w:szCs w:val="24"/>
          <w:lang w:val="hu-HU"/>
        </w:rPr>
      </w:pPr>
    </w:p>
    <w:p w14:paraId="3CD05A7B" w14:textId="77777777" w:rsidR="00C770CB" w:rsidRDefault="00C770CB" w:rsidP="00C770CB">
      <w:pPr>
        <w:pStyle w:val="a3"/>
        <w:rPr>
          <w:u w:val="single"/>
          <w:lang w:val="hu-HU"/>
        </w:rPr>
      </w:pPr>
      <w:r>
        <w:rPr>
          <w:rFonts w:eastAsia="Times New Roman"/>
          <w:u w:val="single" w:color="000000"/>
          <w:lang w:val="hu-HU"/>
        </w:rPr>
        <w:t>Máj- vagy vesekárosodás</w:t>
      </w:r>
    </w:p>
    <w:p w14:paraId="202BE7F1" w14:textId="77777777" w:rsidR="00C770CB" w:rsidRDefault="00C770CB" w:rsidP="00C770CB">
      <w:pPr>
        <w:spacing w:before="1" w:line="180" w:lineRule="exact"/>
        <w:rPr>
          <w:sz w:val="18"/>
          <w:szCs w:val="18"/>
          <w:lang w:val="hu-HU"/>
        </w:rPr>
      </w:pPr>
    </w:p>
    <w:p w14:paraId="4F6DD86C" w14:textId="77777777" w:rsidR="00C770CB" w:rsidRDefault="00C770CB" w:rsidP="00C770CB">
      <w:pPr>
        <w:pStyle w:val="a3"/>
        <w:rPr>
          <w:lang w:val="hu-HU"/>
        </w:rPr>
      </w:pPr>
      <w:r>
        <w:rPr>
          <w:rFonts w:eastAsia="Times New Roman"/>
          <w:lang w:val="hu-HU"/>
        </w:rPr>
        <w:t>Az adalimumabot nem vizsgálták máj -, illetve vesekárosodásban szenvedő betegeken.</w:t>
      </w:r>
    </w:p>
    <w:p w14:paraId="44149933" w14:textId="77777777" w:rsidR="00C770CB" w:rsidRDefault="00C770CB" w:rsidP="00C770CB">
      <w:pPr>
        <w:spacing w:before="18" w:line="240" w:lineRule="exact"/>
        <w:rPr>
          <w:sz w:val="24"/>
          <w:szCs w:val="24"/>
          <w:lang w:val="hu-HU"/>
        </w:rPr>
      </w:pPr>
    </w:p>
    <w:p w14:paraId="65461DEE" w14:textId="77777777" w:rsidR="00C770CB" w:rsidRDefault="00C770CB" w:rsidP="00FD05AA">
      <w:pPr>
        <w:widowControl/>
        <w:numPr>
          <w:ilvl w:val="1"/>
          <w:numId w:val="54"/>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A preklinikai biztonságossági vizsgálatok eredményei</w:t>
      </w:r>
    </w:p>
    <w:p w14:paraId="4DF71C96" w14:textId="77777777" w:rsidR="00C770CB" w:rsidRDefault="00C770CB" w:rsidP="00C770CB">
      <w:pPr>
        <w:spacing w:before="6" w:line="240" w:lineRule="exact"/>
        <w:rPr>
          <w:sz w:val="24"/>
          <w:szCs w:val="24"/>
          <w:lang w:val="hu-HU"/>
        </w:rPr>
      </w:pPr>
    </w:p>
    <w:p w14:paraId="1C107A44" w14:textId="77777777" w:rsidR="00C770CB" w:rsidRDefault="00C770CB" w:rsidP="00C770CB">
      <w:pPr>
        <w:pStyle w:val="a3"/>
        <w:rPr>
          <w:lang w:val="hu-HU"/>
        </w:rPr>
      </w:pPr>
      <w:r>
        <w:rPr>
          <w:rFonts w:eastAsia="Times New Roman"/>
          <w:lang w:val="hu-HU"/>
        </w:rPr>
        <w:t>Egyszeri és ismételt adagolású dózistoxicitási, valamint genotoxicitási vizsgálatokból származó nem klinikai jellegű adatok azt igazolták, hogy a készítmény alkalmazásakor humán vonatkozásban különleges kockázat nem várható.</w:t>
      </w:r>
    </w:p>
    <w:p w14:paraId="3F2F3907" w14:textId="77777777" w:rsidR="00C770CB" w:rsidRDefault="00C770CB" w:rsidP="00C770CB">
      <w:pPr>
        <w:spacing w:before="12" w:line="240" w:lineRule="exact"/>
        <w:rPr>
          <w:sz w:val="24"/>
          <w:szCs w:val="24"/>
          <w:lang w:val="hu-HU"/>
        </w:rPr>
      </w:pPr>
    </w:p>
    <w:p w14:paraId="11AB8F79" w14:textId="77777777" w:rsidR="00C770CB" w:rsidRDefault="00C770CB" w:rsidP="00C770CB">
      <w:pPr>
        <w:pStyle w:val="a3"/>
        <w:rPr>
          <w:lang w:val="hu-HU"/>
        </w:rPr>
      </w:pPr>
      <w:r>
        <w:rPr>
          <w:rFonts w:eastAsia="Times New Roman"/>
          <w:lang w:val="hu-HU"/>
        </w:rPr>
        <w:t>Majmoknál folytattak vizsgálatot a gyógyszernek az embrionális - magzati fejlődésre, illetve a perinatalis fejlődésre gyakorolt hatásának felmérésére, aminek során 0, 30 mg/ kg illetve 100 mg/ kg dózisú adalimumabot adtak majmoknak (csoportonként 9- 17 majom volt), a magzati károsodás minden jele nélkül. Sem karcinogenitási vizsgálatok, sem standard termékenységi vagy postnatalis toxicitási vizsgálatok nem történtek megfelelő antitestmodell hiányában, mivel az adalimumab a rágcsáló TNF-fel alacsony keresztreakciót mutat, és ellene a rágcsálókban neutralizáló antitestek képződnek.</w:t>
      </w:r>
    </w:p>
    <w:p w14:paraId="7DABC4D5" w14:textId="77777777" w:rsidR="00C770CB" w:rsidRDefault="00C770CB" w:rsidP="00C770CB">
      <w:pPr>
        <w:rPr>
          <w:rFonts w:ascii="Times New Roman" w:eastAsia="Times New Roman" w:hAnsi="Times New Roman"/>
          <w:lang w:val="hu-HU"/>
        </w:rPr>
      </w:pPr>
    </w:p>
    <w:p w14:paraId="41AB2234" w14:textId="77777777" w:rsidR="00C770CB" w:rsidRDefault="00C770CB" w:rsidP="00C770CB">
      <w:pPr>
        <w:rPr>
          <w:rFonts w:ascii="Times New Roman" w:eastAsia="Times New Roman" w:hAnsi="Times New Roman"/>
          <w:lang w:val="hu-HU"/>
        </w:rPr>
      </w:pPr>
    </w:p>
    <w:p w14:paraId="5D4C046C" w14:textId="77777777" w:rsidR="00C770CB" w:rsidRDefault="00C770CB" w:rsidP="00FD05AA">
      <w:pPr>
        <w:widowControl/>
        <w:numPr>
          <w:ilvl w:val="0"/>
          <w:numId w:val="52"/>
        </w:numPr>
        <w:tabs>
          <w:tab w:val="left" w:pos="567"/>
        </w:tabs>
        <w:spacing w:line="260" w:lineRule="exact"/>
        <w:ind w:left="0"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GYÓGYSZERÉSZETI JELLEMZŐK</w:t>
      </w:r>
    </w:p>
    <w:p w14:paraId="485293C7" w14:textId="77777777" w:rsidR="00C770CB" w:rsidRDefault="00C770CB" w:rsidP="00C770CB">
      <w:pPr>
        <w:spacing w:before="13" w:line="240" w:lineRule="exact"/>
        <w:rPr>
          <w:sz w:val="24"/>
          <w:szCs w:val="24"/>
          <w:lang w:val="hu-HU"/>
        </w:rPr>
      </w:pPr>
    </w:p>
    <w:p w14:paraId="22FC0C64" w14:textId="77777777" w:rsidR="00C770CB" w:rsidRDefault="00C770CB" w:rsidP="00FD05AA">
      <w:pPr>
        <w:widowControl/>
        <w:numPr>
          <w:ilvl w:val="1"/>
          <w:numId w:val="55"/>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Segédanyagok felsorolása</w:t>
      </w:r>
    </w:p>
    <w:p w14:paraId="3A741CAA" w14:textId="77777777" w:rsidR="00C770CB" w:rsidRDefault="00C770CB" w:rsidP="00C770CB">
      <w:pPr>
        <w:spacing w:line="240" w:lineRule="exact"/>
        <w:rPr>
          <w:sz w:val="24"/>
          <w:szCs w:val="24"/>
          <w:lang w:val="hu-HU"/>
        </w:rPr>
      </w:pPr>
    </w:p>
    <w:p w14:paraId="137C726A" w14:textId="77777777" w:rsidR="00C770CB" w:rsidRDefault="00C770CB" w:rsidP="00C770CB">
      <w:pPr>
        <w:pStyle w:val="a3"/>
        <w:rPr>
          <w:lang w:val="hu-HU"/>
        </w:rPr>
      </w:pPr>
      <w:r>
        <w:rPr>
          <w:rFonts w:eastAsia="Times New Roman"/>
          <w:lang w:val="hu-HU"/>
        </w:rPr>
        <w:t>ecetsav</w:t>
      </w:r>
    </w:p>
    <w:p w14:paraId="283DF904" w14:textId="77777777" w:rsidR="00C770CB" w:rsidRDefault="00C770CB" w:rsidP="00C770CB">
      <w:pPr>
        <w:pStyle w:val="a3"/>
        <w:rPr>
          <w:lang w:val="hu-HU"/>
        </w:rPr>
      </w:pPr>
      <w:r>
        <w:rPr>
          <w:rFonts w:eastAsia="Times New Roman"/>
          <w:lang w:val="hu-HU"/>
        </w:rPr>
        <w:lastRenderedPageBreak/>
        <w:t>nátrium-acetáttrihidrát</w:t>
      </w:r>
    </w:p>
    <w:p w14:paraId="6C86E43E" w14:textId="77777777" w:rsidR="00C770CB" w:rsidRDefault="00C770CB" w:rsidP="00C770CB">
      <w:pPr>
        <w:pStyle w:val="a3"/>
        <w:rPr>
          <w:lang w:val="hu-HU"/>
        </w:rPr>
      </w:pPr>
      <w:r>
        <w:rPr>
          <w:rFonts w:eastAsia="Times New Roman"/>
          <w:lang w:val="hu-HU"/>
        </w:rPr>
        <w:t>glicin</w:t>
      </w:r>
    </w:p>
    <w:p w14:paraId="0DEF1DE8" w14:textId="77777777" w:rsidR="00C770CB" w:rsidRDefault="00C770CB" w:rsidP="00C770CB">
      <w:pPr>
        <w:pStyle w:val="a3"/>
        <w:rPr>
          <w:lang w:val="hu-HU"/>
        </w:rPr>
      </w:pPr>
      <w:r>
        <w:rPr>
          <w:rFonts w:eastAsia="Times New Roman"/>
          <w:lang w:val="hu-HU"/>
        </w:rPr>
        <w:t>poliszorbát 80</w:t>
      </w:r>
    </w:p>
    <w:p w14:paraId="295AF8AB" w14:textId="77777777" w:rsidR="00C770CB" w:rsidRDefault="00C770CB" w:rsidP="00C770CB">
      <w:pPr>
        <w:pStyle w:val="a3"/>
        <w:rPr>
          <w:lang w:val="hu-HU"/>
        </w:rPr>
      </w:pPr>
      <w:r>
        <w:rPr>
          <w:rFonts w:eastAsia="Times New Roman"/>
          <w:lang w:val="hu-HU"/>
        </w:rPr>
        <w:t>injekcióhoz való víz</w:t>
      </w:r>
    </w:p>
    <w:p w14:paraId="2202721E" w14:textId="77777777" w:rsidR="00C770CB" w:rsidRDefault="00C770CB" w:rsidP="00C770CB">
      <w:pPr>
        <w:spacing w:line="240" w:lineRule="exact"/>
        <w:rPr>
          <w:sz w:val="24"/>
          <w:szCs w:val="24"/>
          <w:lang w:val="hu-HU"/>
        </w:rPr>
      </w:pPr>
    </w:p>
    <w:p w14:paraId="52E0B300" w14:textId="77777777" w:rsidR="00C770CB" w:rsidRDefault="00C770CB" w:rsidP="00FD05AA">
      <w:pPr>
        <w:widowControl/>
        <w:numPr>
          <w:ilvl w:val="1"/>
          <w:numId w:val="55"/>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Inkompatibilitások</w:t>
      </w:r>
    </w:p>
    <w:p w14:paraId="113FF97E" w14:textId="77777777" w:rsidR="00C770CB" w:rsidRDefault="00C770CB" w:rsidP="00C770CB">
      <w:pPr>
        <w:spacing w:line="240" w:lineRule="exact"/>
        <w:rPr>
          <w:sz w:val="24"/>
          <w:szCs w:val="24"/>
          <w:lang w:val="hu-HU"/>
        </w:rPr>
      </w:pPr>
    </w:p>
    <w:p w14:paraId="5E531F3A" w14:textId="77777777" w:rsidR="00C770CB" w:rsidRDefault="00C770CB" w:rsidP="00C770CB">
      <w:pPr>
        <w:pStyle w:val="a3"/>
        <w:rPr>
          <w:lang w:val="hu-HU"/>
        </w:rPr>
      </w:pPr>
      <w:r>
        <w:rPr>
          <w:rFonts w:eastAsia="Times New Roman"/>
          <w:lang w:val="hu-HU"/>
        </w:rPr>
        <w:t>Kompatibilitási vizsgálatok hiányában ez a gyógyszer nem keverhető más gyógyszerrel.</w:t>
      </w:r>
    </w:p>
    <w:p w14:paraId="35E1E6B6" w14:textId="77777777" w:rsidR="00C770CB" w:rsidRDefault="00C770CB" w:rsidP="00C770CB">
      <w:pPr>
        <w:spacing w:line="240" w:lineRule="exact"/>
        <w:rPr>
          <w:sz w:val="24"/>
          <w:szCs w:val="24"/>
          <w:lang w:val="hu-HU"/>
        </w:rPr>
      </w:pPr>
    </w:p>
    <w:p w14:paraId="365CAA83" w14:textId="77777777" w:rsidR="00C770CB" w:rsidRDefault="00C770CB" w:rsidP="00FD05AA">
      <w:pPr>
        <w:widowControl/>
        <w:numPr>
          <w:ilvl w:val="1"/>
          <w:numId w:val="55"/>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Felhasználhatósági időtartam</w:t>
      </w:r>
    </w:p>
    <w:p w14:paraId="1C0627A1" w14:textId="77777777" w:rsidR="00C770CB" w:rsidRDefault="00C770CB" w:rsidP="00C770CB">
      <w:pPr>
        <w:spacing w:line="240" w:lineRule="exact"/>
        <w:rPr>
          <w:sz w:val="24"/>
          <w:szCs w:val="24"/>
          <w:lang w:val="hu-HU"/>
        </w:rPr>
      </w:pPr>
    </w:p>
    <w:p w14:paraId="2C5C05D1" w14:textId="77777777" w:rsidR="005F473D" w:rsidRDefault="005F473D" w:rsidP="005F473D">
      <w:pPr>
        <w:pStyle w:val="a3"/>
        <w:rPr>
          <w:lang w:val="hu-HU"/>
        </w:rPr>
      </w:pPr>
      <w:r>
        <w:rPr>
          <w:rFonts w:eastAsia="Times New Roman"/>
          <w:lang w:val="hu-HU"/>
        </w:rPr>
        <w:t>3 év</w:t>
      </w:r>
    </w:p>
    <w:p w14:paraId="131CA010" w14:textId="77777777" w:rsidR="00C770CB" w:rsidRDefault="00C770CB" w:rsidP="00B12BDF">
      <w:pPr>
        <w:pStyle w:val="a3"/>
        <w:rPr>
          <w:sz w:val="24"/>
          <w:szCs w:val="24"/>
          <w:lang w:val="hu-HU"/>
        </w:rPr>
      </w:pPr>
    </w:p>
    <w:p w14:paraId="4C3533BE" w14:textId="77777777" w:rsidR="00C770CB" w:rsidRDefault="00C770CB" w:rsidP="00FD05AA">
      <w:pPr>
        <w:widowControl/>
        <w:numPr>
          <w:ilvl w:val="1"/>
          <w:numId w:val="55"/>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Különleges tárolási előírások</w:t>
      </w:r>
    </w:p>
    <w:p w14:paraId="300EE720" w14:textId="77777777" w:rsidR="00C770CB" w:rsidRDefault="00C770CB" w:rsidP="00C770CB">
      <w:pPr>
        <w:spacing w:line="260" w:lineRule="exact"/>
        <w:rPr>
          <w:sz w:val="26"/>
          <w:szCs w:val="26"/>
          <w:lang w:val="hu-HU"/>
        </w:rPr>
      </w:pPr>
    </w:p>
    <w:p w14:paraId="46C58E11" w14:textId="77777777" w:rsidR="00C770CB" w:rsidRDefault="00C770CB" w:rsidP="00C770CB">
      <w:pPr>
        <w:pStyle w:val="a3"/>
        <w:rPr>
          <w:lang w:val="hu-HU"/>
        </w:rPr>
      </w:pPr>
      <w:r>
        <w:rPr>
          <w:rFonts w:eastAsia="Times New Roman"/>
          <w:lang w:val="hu-HU"/>
        </w:rPr>
        <w:t>Hűtőszekrényben (2</w:t>
      </w:r>
      <w:r>
        <w:rPr>
          <w:rFonts w:ascii="Symbol" w:eastAsia="Symbol" w:hAnsi="Symbol" w:cs="Symbol"/>
          <w:lang w:val="hu-HU"/>
        </w:rPr>
        <w:sym w:font="Symbol" w:char="F0B0"/>
      </w:r>
      <w:r>
        <w:rPr>
          <w:rFonts w:eastAsia="Times New Roman"/>
          <w:lang w:val="hu-HU"/>
        </w:rPr>
        <w:t>C – 8</w:t>
      </w:r>
      <w:r>
        <w:rPr>
          <w:rFonts w:ascii="Symbol" w:eastAsia="Symbol" w:hAnsi="Symbol" w:cs="Symbol"/>
          <w:lang w:val="hu-HU"/>
        </w:rPr>
        <w:sym w:font="Symbol" w:char="F0B0"/>
      </w:r>
      <w:r>
        <w:rPr>
          <w:rFonts w:eastAsia="Times New Roman"/>
          <w:lang w:val="hu-HU"/>
        </w:rPr>
        <w:t>C) tárolandó. Nem fagyasztható.</w:t>
      </w:r>
    </w:p>
    <w:p w14:paraId="23E7FB0B" w14:textId="77777777" w:rsidR="00C770CB" w:rsidRDefault="00C770CB" w:rsidP="00C770CB">
      <w:pPr>
        <w:pStyle w:val="a3"/>
        <w:rPr>
          <w:lang w:val="hu-HU"/>
        </w:rPr>
      </w:pPr>
      <w:r>
        <w:rPr>
          <w:rFonts w:eastAsia="Times New Roman"/>
          <w:lang w:val="hu-HU"/>
        </w:rPr>
        <w:t>A fénytől való védelem érdekében az előretöltött fecskendő vagy az előretöltött injekciós toll az eredeti dobozban tárolandó.</w:t>
      </w:r>
    </w:p>
    <w:p w14:paraId="159698CF" w14:textId="77777777" w:rsidR="00C770CB" w:rsidRDefault="00C770CB" w:rsidP="00C770CB">
      <w:pPr>
        <w:spacing w:line="240" w:lineRule="exact"/>
        <w:rPr>
          <w:sz w:val="24"/>
          <w:szCs w:val="24"/>
          <w:lang w:val="hu-HU"/>
        </w:rPr>
      </w:pPr>
    </w:p>
    <w:p w14:paraId="4D70FF6F" w14:textId="150ECC44" w:rsidR="00C770CB" w:rsidRDefault="00C770CB" w:rsidP="00C770CB">
      <w:pPr>
        <w:pStyle w:val="a3"/>
        <w:rPr>
          <w:lang w:val="hu-HU"/>
        </w:rPr>
      </w:pPr>
      <w:r>
        <w:rPr>
          <w:rFonts w:eastAsia="Times New Roman"/>
          <w:lang w:val="hu-HU"/>
        </w:rPr>
        <w:t xml:space="preserve">Önmagában a Yuflyma előretöltött fecskendő vagy előretöltött injekciós toll legfeljebb 25°C-on, maximum </w:t>
      </w:r>
      <w:r w:rsidR="005F473D">
        <w:rPr>
          <w:rFonts w:eastAsia="Times New Roman"/>
          <w:lang w:val="hu-HU"/>
        </w:rPr>
        <w:t xml:space="preserve">31 </w:t>
      </w:r>
      <w:r>
        <w:rPr>
          <w:rFonts w:eastAsia="Times New Roman"/>
          <w:lang w:val="hu-HU"/>
        </w:rPr>
        <w:t xml:space="preserve">napig tárolható. Az előretöltött fecskendőt vagy az előretöltött injekciós tollat fénytől védeni kell, és meg kell semmisíteni, amennyiben a </w:t>
      </w:r>
      <w:r w:rsidR="005F473D">
        <w:rPr>
          <w:rFonts w:eastAsia="Times New Roman"/>
          <w:lang w:val="hu-HU"/>
        </w:rPr>
        <w:t xml:space="preserve">31 </w:t>
      </w:r>
      <w:r>
        <w:rPr>
          <w:rFonts w:eastAsia="Times New Roman"/>
          <w:lang w:val="hu-HU"/>
        </w:rPr>
        <w:t>napos időtartam alatt nem használták fel</w:t>
      </w:r>
    </w:p>
    <w:p w14:paraId="0304350C" w14:textId="77777777" w:rsidR="00C770CB" w:rsidRDefault="00C770CB" w:rsidP="00C770CB">
      <w:pPr>
        <w:spacing w:line="240" w:lineRule="exact"/>
        <w:rPr>
          <w:sz w:val="24"/>
          <w:szCs w:val="24"/>
          <w:lang w:val="hu-HU"/>
        </w:rPr>
      </w:pPr>
    </w:p>
    <w:p w14:paraId="5373BA2A" w14:textId="77777777" w:rsidR="00C770CB" w:rsidRDefault="00C770CB" w:rsidP="00FD05AA">
      <w:pPr>
        <w:widowControl/>
        <w:numPr>
          <w:ilvl w:val="1"/>
          <w:numId w:val="55"/>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Csomagolás típusa és kiszerelése</w:t>
      </w:r>
    </w:p>
    <w:p w14:paraId="19B9CEEE" w14:textId="77777777" w:rsidR="00C770CB" w:rsidRDefault="00C770CB" w:rsidP="00C770CB">
      <w:pPr>
        <w:pStyle w:val="a4"/>
        <w:spacing w:line="240" w:lineRule="exact"/>
        <w:rPr>
          <w:sz w:val="24"/>
          <w:szCs w:val="24"/>
          <w:lang w:val="hu-HU"/>
        </w:rPr>
      </w:pPr>
    </w:p>
    <w:p w14:paraId="084439A3" w14:textId="3E31A988" w:rsidR="00C770CB" w:rsidRDefault="00C770CB" w:rsidP="00C770CB">
      <w:pPr>
        <w:pStyle w:val="a3"/>
        <w:rPr>
          <w:u w:val="single"/>
          <w:lang w:val="hu-HU"/>
        </w:rPr>
      </w:pPr>
      <w:r>
        <w:rPr>
          <w:rFonts w:eastAsia="Times New Roman"/>
          <w:u w:val="single"/>
          <w:lang w:val="hu-HU"/>
        </w:rPr>
        <w:t xml:space="preserve">Yuflyma </w:t>
      </w:r>
      <w:r w:rsidR="00AC50BB">
        <w:rPr>
          <w:rFonts w:eastAsia="Times New Roman"/>
          <w:u w:val="single"/>
          <w:lang w:val="hu-HU"/>
        </w:rPr>
        <w:t>8</w:t>
      </w:r>
      <w:r>
        <w:rPr>
          <w:rFonts w:eastAsia="Times New Roman"/>
          <w:u w:val="single"/>
          <w:lang w:val="hu-HU"/>
        </w:rPr>
        <w:t>0 mg oldatos injekció előretöltött fecskendőben</w:t>
      </w:r>
    </w:p>
    <w:p w14:paraId="3C63C608" w14:textId="77777777" w:rsidR="00C770CB" w:rsidRDefault="00C770CB" w:rsidP="00C770CB">
      <w:pPr>
        <w:pStyle w:val="a3"/>
        <w:rPr>
          <w:u w:val="single"/>
          <w:lang w:val="hu-HU"/>
        </w:rPr>
      </w:pPr>
    </w:p>
    <w:p w14:paraId="5AB0F400" w14:textId="77777777" w:rsidR="00C770CB" w:rsidRDefault="00C770CB" w:rsidP="00C770CB">
      <w:pPr>
        <w:pStyle w:val="a3"/>
        <w:rPr>
          <w:lang w:val="hu-HU"/>
        </w:rPr>
      </w:pPr>
      <w:r>
        <w:rPr>
          <w:rFonts w:eastAsia="Times New Roman"/>
          <w:lang w:val="hu-HU"/>
        </w:rPr>
        <w:t>Oldatos injekció előretöltött fecskendőben (I. típusú üveg)</w:t>
      </w:r>
    </w:p>
    <w:p w14:paraId="518D8EB2" w14:textId="77777777" w:rsidR="00C770CB" w:rsidRDefault="00C770CB" w:rsidP="00C770CB">
      <w:pPr>
        <w:pStyle w:val="a3"/>
        <w:rPr>
          <w:rFonts w:eastAsia="Times New Roman"/>
          <w:lang w:val="hu-HU"/>
        </w:rPr>
      </w:pPr>
      <w:r>
        <w:rPr>
          <w:rFonts w:eastAsia="Times New Roman"/>
          <w:lang w:val="hu-HU"/>
        </w:rPr>
        <w:t>brómbutil gumitömítéses dugattyúval és tűvédővel ellátott tűvel (termoplasztikus elasztomer).</w:t>
      </w:r>
    </w:p>
    <w:p w14:paraId="3EA835AE" w14:textId="77777777" w:rsidR="00C770CB" w:rsidRDefault="00C770CB" w:rsidP="00C770CB">
      <w:pPr>
        <w:spacing w:line="240" w:lineRule="exact"/>
        <w:rPr>
          <w:sz w:val="24"/>
          <w:szCs w:val="24"/>
          <w:lang w:val="hu-HU"/>
        </w:rPr>
      </w:pPr>
    </w:p>
    <w:p w14:paraId="56202715" w14:textId="77777777" w:rsidR="00C770CB" w:rsidRDefault="00C770CB" w:rsidP="00C770CB">
      <w:pPr>
        <w:pStyle w:val="a3"/>
        <w:rPr>
          <w:lang w:val="hu-HU"/>
        </w:rPr>
      </w:pPr>
      <w:r>
        <w:rPr>
          <w:rFonts w:eastAsia="Times New Roman"/>
          <w:lang w:val="hu-HU"/>
        </w:rPr>
        <w:t>Csomagolási egység:</w:t>
      </w:r>
    </w:p>
    <w:p w14:paraId="7AD2E4FE" w14:textId="3B13E3B8" w:rsidR="00C770CB" w:rsidRPr="00AC50BB" w:rsidRDefault="00C770CB" w:rsidP="00CE42DC">
      <w:pPr>
        <w:pStyle w:val="a3"/>
        <w:numPr>
          <w:ilvl w:val="0"/>
          <w:numId w:val="15"/>
        </w:numPr>
        <w:ind w:left="660" w:hanging="660"/>
        <w:rPr>
          <w:lang w:val="hu-HU"/>
        </w:rPr>
      </w:pPr>
      <w:r>
        <w:rPr>
          <w:rFonts w:eastAsia="Times New Roman"/>
          <w:lang w:val="hu-HU"/>
        </w:rPr>
        <w:t>1 előretöltött fecskendő (0,</w:t>
      </w:r>
      <w:r w:rsidR="00AC50BB">
        <w:rPr>
          <w:rFonts w:eastAsia="Times New Roman"/>
          <w:lang w:val="hu-HU"/>
        </w:rPr>
        <w:t>8</w:t>
      </w:r>
      <w:r>
        <w:rPr>
          <w:rFonts w:eastAsia="Times New Roman"/>
          <w:lang w:val="hu-HU"/>
        </w:rPr>
        <w:t xml:space="preserve"> ml steriloldat) 2 alkoholos törlőkendővel.</w:t>
      </w:r>
    </w:p>
    <w:p w14:paraId="07A7D4BF" w14:textId="77777777" w:rsidR="00C770CB" w:rsidRDefault="00C770CB" w:rsidP="00C770CB">
      <w:pPr>
        <w:spacing w:before="13" w:line="240" w:lineRule="exact"/>
        <w:rPr>
          <w:sz w:val="24"/>
          <w:szCs w:val="24"/>
          <w:lang w:val="hu-HU"/>
        </w:rPr>
      </w:pPr>
    </w:p>
    <w:p w14:paraId="4C99493A" w14:textId="1AEDA0CF" w:rsidR="00C770CB" w:rsidRDefault="00C770CB" w:rsidP="00C770CB">
      <w:pPr>
        <w:pStyle w:val="a3"/>
        <w:rPr>
          <w:u w:val="single"/>
          <w:lang w:val="hu-HU"/>
        </w:rPr>
      </w:pPr>
      <w:r>
        <w:rPr>
          <w:rFonts w:eastAsia="Times New Roman"/>
          <w:u w:val="single"/>
          <w:lang w:val="hu-HU"/>
        </w:rPr>
        <w:t xml:space="preserve">Yuflyma </w:t>
      </w:r>
      <w:r w:rsidR="00AC50BB">
        <w:rPr>
          <w:rFonts w:eastAsia="Times New Roman"/>
          <w:u w:val="single"/>
          <w:lang w:val="hu-HU"/>
        </w:rPr>
        <w:t>8</w:t>
      </w:r>
      <w:r>
        <w:rPr>
          <w:rFonts w:eastAsia="Times New Roman"/>
          <w:u w:val="single"/>
          <w:lang w:val="hu-HU"/>
        </w:rPr>
        <w:t>0 mg</w:t>
      </w:r>
      <w:r w:rsidR="00AC50BB">
        <w:rPr>
          <w:rFonts w:eastAsia="Times New Roman"/>
          <w:u w:val="single"/>
          <w:lang w:val="hu-HU"/>
        </w:rPr>
        <w:t xml:space="preserve"> </w:t>
      </w:r>
      <w:r>
        <w:rPr>
          <w:rFonts w:eastAsia="Times New Roman"/>
          <w:u w:val="single"/>
          <w:lang w:val="hu-HU"/>
        </w:rPr>
        <w:t>oldatos injekció előretöltött fecskendőben tűvédővel</w:t>
      </w:r>
    </w:p>
    <w:p w14:paraId="2F9B057F" w14:textId="77777777" w:rsidR="00C770CB" w:rsidRDefault="00C770CB" w:rsidP="00C770CB">
      <w:pPr>
        <w:pStyle w:val="a3"/>
        <w:rPr>
          <w:u w:val="single"/>
          <w:lang w:val="hu-HU"/>
        </w:rPr>
      </w:pPr>
    </w:p>
    <w:p w14:paraId="692EA14A" w14:textId="77777777" w:rsidR="00C770CB" w:rsidRDefault="00C770CB" w:rsidP="00C770CB">
      <w:pPr>
        <w:pStyle w:val="a3"/>
        <w:rPr>
          <w:lang w:val="hu-HU"/>
        </w:rPr>
      </w:pPr>
      <w:r>
        <w:rPr>
          <w:rFonts w:eastAsia="Times New Roman"/>
          <w:lang w:val="hu-HU"/>
        </w:rPr>
        <w:t>Afecskendő I. típusú üvegből készült dugattyúval (brómbutil gumi), és egy tű, tűvédővel (termoplasztikus elasztomer).</w:t>
      </w:r>
    </w:p>
    <w:p w14:paraId="3CEE9103" w14:textId="77777777" w:rsidR="00C770CB" w:rsidRDefault="00C770CB" w:rsidP="00C770CB">
      <w:pPr>
        <w:spacing w:line="240" w:lineRule="exact"/>
        <w:rPr>
          <w:sz w:val="24"/>
          <w:szCs w:val="24"/>
          <w:lang w:val="hu-HU"/>
        </w:rPr>
      </w:pPr>
    </w:p>
    <w:p w14:paraId="273E06F8" w14:textId="77777777" w:rsidR="00C770CB" w:rsidRDefault="00C770CB" w:rsidP="00C770CB">
      <w:pPr>
        <w:pStyle w:val="a3"/>
        <w:rPr>
          <w:lang w:val="hu-HU"/>
        </w:rPr>
      </w:pPr>
      <w:r>
        <w:rPr>
          <w:rFonts w:eastAsia="Times New Roman"/>
          <w:lang w:val="hu-HU"/>
        </w:rPr>
        <w:t>Csomagolási egység:</w:t>
      </w:r>
    </w:p>
    <w:p w14:paraId="1F8E7E5C" w14:textId="7BEF834E" w:rsidR="00C770CB" w:rsidRPr="00AC50BB" w:rsidRDefault="00C770CB" w:rsidP="00CE42DC">
      <w:pPr>
        <w:pStyle w:val="a3"/>
        <w:numPr>
          <w:ilvl w:val="0"/>
          <w:numId w:val="15"/>
        </w:numPr>
        <w:ind w:left="660" w:hanging="660"/>
        <w:rPr>
          <w:lang w:val="hu-HU"/>
        </w:rPr>
      </w:pPr>
      <w:r>
        <w:rPr>
          <w:rFonts w:eastAsia="Times New Roman"/>
          <w:lang w:val="hu-HU"/>
        </w:rPr>
        <w:t>1 előretöltött fecskendő tűvédővel (0,</w:t>
      </w:r>
      <w:r w:rsidR="00AC50BB">
        <w:rPr>
          <w:rFonts w:eastAsia="Times New Roman"/>
          <w:lang w:val="hu-HU"/>
        </w:rPr>
        <w:t>8</w:t>
      </w:r>
      <w:r>
        <w:rPr>
          <w:rFonts w:eastAsia="Times New Roman"/>
          <w:lang w:val="hu-HU"/>
        </w:rPr>
        <w:t xml:space="preserve"> ml steriloldat) 2 alkoholos törlőkendővel.</w:t>
      </w:r>
    </w:p>
    <w:p w14:paraId="389257CE" w14:textId="77777777" w:rsidR="00C770CB" w:rsidRDefault="00C770CB" w:rsidP="00C770CB">
      <w:pPr>
        <w:pStyle w:val="a3"/>
        <w:rPr>
          <w:rFonts w:eastAsia="Times New Roman"/>
          <w:u w:val="single"/>
          <w:lang w:val="hu-HU"/>
        </w:rPr>
      </w:pPr>
    </w:p>
    <w:p w14:paraId="613F3F25" w14:textId="7AD0A3F7" w:rsidR="00C770CB" w:rsidRDefault="00C770CB" w:rsidP="00C770CB">
      <w:pPr>
        <w:pStyle w:val="a3"/>
        <w:rPr>
          <w:u w:val="single"/>
          <w:lang w:val="hu-HU"/>
        </w:rPr>
      </w:pPr>
      <w:r>
        <w:rPr>
          <w:rFonts w:eastAsia="Times New Roman"/>
          <w:u w:val="single"/>
          <w:lang w:val="hu-HU"/>
        </w:rPr>
        <w:t xml:space="preserve">Yuflyma </w:t>
      </w:r>
      <w:r w:rsidR="00AC50BB">
        <w:rPr>
          <w:rFonts w:eastAsia="Times New Roman"/>
          <w:u w:val="single"/>
          <w:lang w:val="hu-HU"/>
        </w:rPr>
        <w:t>8</w:t>
      </w:r>
      <w:r>
        <w:rPr>
          <w:rFonts w:eastAsia="Times New Roman"/>
          <w:u w:val="single"/>
          <w:lang w:val="hu-HU"/>
        </w:rPr>
        <w:t>0 mg oldatos injekció előretöltött injekciós tollban</w:t>
      </w:r>
    </w:p>
    <w:p w14:paraId="526648F4" w14:textId="77777777" w:rsidR="00C770CB" w:rsidRDefault="00C770CB" w:rsidP="00C770CB">
      <w:pPr>
        <w:pStyle w:val="a3"/>
        <w:rPr>
          <w:u w:val="single"/>
          <w:lang w:val="hu-HU"/>
        </w:rPr>
      </w:pPr>
    </w:p>
    <w:p w14:paraId="3909A2AA" w14:textId="77777777" w:rsidR="00C770CB" w:rsidRDefault="00C770CB" w:rsidP="00C770CB">
      <w:pPr>
        <w:pStyle w:val="a3"/>
        <w:rPr>
          <w:lang w:val="hu-HU"/>
        </w:rPr>
      </w:pPr>
      <w:r>
        <w:rPr>
          <w:rFonts w:eastAsia="Times New Roman"/>
          <w:lang w:val="hu-HU"/>
        </w:rPr>
        <w:t>Oldatos injekció előretöltött injekciós tollbanbeteg általi alkalmazásra egy előretöltött fecskendőt tartalmaz. Az  injekciós tollban lévő fecskendőfecskendő I. típusú üvegből készült, dugattyúval(brómbutil gumi), és egy tű, tűvédővel (termoplasztikus elasztomer).</w:t>
      </w:r>
    </w:p>
    <w:p w14:paraId="41B22E6C" w14:textId="77777777" w:rsidR="00C770CB" w:rsidRDefault="00C770CB" w:rsidP="00C770CB">
      <w:pPr>
        <w:spacing w:line="240" w:lineRule="exact"/>
        <w:rPr>
          <w:sz w:val="24"/>
          <w:szCs w:val="24"/>
          <w:lang w:val="hu-HU"/>
        </w:rPr>
      </w:pPr>
    </w:p>
    <w:p w14:paraId="6BABB6D4" w14:textId="77777777" w:rsidR="00C770CB" w:rsidRDefault="00C770CB" w:rsidP="00C770CB">
      <w:pPr>
        <w:pStyle w:val="a3"/>
        <w:rPr>
          <w:lang w:val="hu-HU"/>
        </w:rPr>
      </w:pPr>
      <w:r>
        <w:rPr>
          <w:rFonts w:eastAsia="Times New Roman"/>
          <w:lang w:val="hu-HU"/>
        </w:rPr>
        <w:t>Csomagolási egység:</w:t>
      </w:r>
    </w:p>
    <w:p w14:paraId="3591DBCD" w14:textId="61A2122B" w:rsidR="00C770CB" w:rsidRDefault="00C770CB" w:rsidP="00C770CB">
      <w:pPr>
        <w:pStyle w:val="a3"/>
        <w:numPr>
          <w:ilvl w:val="1"/>
          <w:numId w:val="15"/>
        </w:numPr>
        <w:ind w:left="660" w:hanging="660"/>
        <w:rPr>
          <w:lang w:val="hu-HU"/>
        </w:rPr>
      </w:pPr>
      <w:r>
        <w:rPr>
          <w:rFonts w:eastAsia="Times New Roman"/>
          <w:lang w:val="hu-HU"/>
        </w:rPr>
        <w:t>1 előretöltött injekciós toll (0,</w:t>
      </w:r>
      <w:r w:rsidR="00AC50BB">
        <w:rPr>
          <w:rFonts w:eastAsia="Times New Roman"/>
          <w:lang w:val="hu-HU"/>
        </w:rPr>
        <w:t>8</w:t>
      </w:r>
      <w:r>
        <w:rPr>
          <w:rFonts w:eastAsia="Times New Roman"/>
          <w:lang w:val="hu-HU"/>
        </w:rPr>
        <w:t xml:space="preserve"> ml steriloldat) 2 alkoholos törlőkendővel.</w:t>
      </w:r>
    </w:p>
    <w:p w14:paraId="37AA19D2" w14:textId="5BFE0BD8" w:rsidR="00C770CB" w:rsidRDefault="00AC50BB" w:rsidP="00CE42DC">
      <w:pPr>
        <w:pStyle w:val="a3"/>
        <w:numPr>
          <w:ilvl w:val="1"/>
          <w:numId w:val="15"/>
        </w:numPr>
        <w:ind w:left="660" w:hanging="660"/>
        <w:rPr>
          <w:lang w:val="hu-HU"/>
        </w:rPr>
      </w:pPr>
      <w:r>
        <w:rPr>
          <w:rFonts w:eastAsia="Times New Roman"/>
          <w:lang w:val="hu-HU"/>
        </w:rPr>
        <w:t>3</w:t>
      </w:r>
      <w:r w:rsidR="00C770CB">
        <w:rPr>
          <w:rFonts w:eastAsia="Times New Roman"/>
          <w:lang w:val="hu-HU"/>
        </w:rPr>
        <w:t xml:space="preserve"> előretöltött injekciós toll (0,</w:t>
      </w:r>
      <w:r>
        <w:rPr>
          <w:rFonts w:eastAsia="Times New Roman"/>
          <w:lang w:val="hu-HU"/>
        </w:rPr>
        <w:t>8</w:t>
      </w:r>
      <w:r w:rsidR="00C770CB">
        <w:rPr>
          <w:rFonts w:eastAsia="Times New Roman"/>
          <w:lang w:val="hu-HU"/>
        </w:rPr>
        <w:t xml:space="preserve"> ml steriloldat) </w:t>
      </w:r>
      <w:r w:rsidR="006A2F72">
        <w:rPr>
          <w:rFonts w:eastAsia="Times New Roman"/>
          <w:lang w:val="hu-HU"/>
        </w:rPr>
        <w:t>4</w:t>
      </w:r>
      <w:r w:rsidR="00C770CB">
        <w:rPr>
          <w:rFonts w:eastAsia="Times New Roman"/>
          <w:lang w:val="hu-HU"/>
        </w:rPr>
        <w:t xml:space="preserve"> alkoholos törlőkendővel.</w:t>
      </w:r>
    </w:p>
    <w:p w14:paraId="41A70DE3" w14:textId="77777777" w:rsidR="00C770CB" w:rsidRDefault="00C770CB" w:rsidP="00C770CB">
      <w:pPr>
        <w:spacing w:before="10" w:line="240" w:lineRule="exact"/>
        <w:rPr>
          <w:sz w:val="24"/>
          <w:szCs w:val="24"/>
          <w:lang w:val="hu-HU"/>
        </w:rPr>
      </w:pPr>
    </w:p>
    <w:p w14:paraId="40CC901C" w14:textId="77777777" w:rsidR="00C770CB" w:rsidRDefault="00C770CB" w:rsidP="00C770CB">
      <w:pPr>
        <w:pStyle w:val="a3"/>
        <w:rPr>
          <w:lang w:val="hu-HU"/>
        </w:rPr>
      </w:pPr>
      <w:r>
        <w:rPr>
          <w:rFonts w:eastAsia="Times New Roman"/>
          <w:lang w:val="hu-HU"/>
        </w:rPr>
        <w:t>Nem feltétlenül mindegyik kiszerelés kerül kereskedelmi forgalomba.</w:t>
      </w:r>
    </w:p>
    <w:p w14:paraId="02C1696D" w14:textId="77777777" w:rsidR="00C770CB" w:rsidRDefault="00C770CB" w:rsidP="00C770CB">
      <w:pPr>
        <w:widowControl/>
        <w:tabs>
          <w:tab w:val="left" w:pos="567"/>
        </w:tabs>
        <w:spacing w:line="260" w:lineRule="exact"/>
        <w:rPr>
          <w:rFonts w:ascii="Times New Roman" w:eastAsia="Times New Roman" w:hAnsi="Times New Roman" w:cs="Times New Roman"/>
          <w:b/>
          <w:noProof/>
          <w:lang w:val="hu-HU"/>
        </w:rPr>
      </w:pPr>
    </w:p>
    <w:p w14:paraId="50F6399D" w14:textId="77777777" w:rsidR="00C770CB" w:rsidRDefault="00C770CB" w:rsidP="00FD05AA">
      <w:pPr>
        <w:widowControl/>
        <w:numPr>
          <w:ilvl w:val="1"/>
          <w:numId w:val="55"/>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lastRenderedPageBreak/>
        <w:t>A megsemmisítésre vonatkozó különleges óvintézkedések és egyéb, a készítmény kezelésével kapcsolatos információk</w:t>
      </w:r>
    </w:p>
    <w:p w14:paraId="110D0CAA" w14:textId="77777777" w:rsidR="00C770CB" w:rsidRDefault="00C770CB" w:rsidP="00C770CB">
      <w:pPr>
        <w:spacing w:before="12" w:line="240" w:lineRule="exact"/>
        <w:rPr>
          <w:sz w:val="24"/>
          <w:szCs w:val="24"/>
          <w:lang w:val="hu-HU"/>
        </w:rPr>
      </w:pPr>
    </w:p>
    <w:p w14:paraId="3CAB8AF5" w14:textId="77777777" w:rsidR="00C770CB" w:rsidRDefault="00C770CB" w:rsidP="00C770CB">
      <w:pPr>
        <w:pStyle w:val="a3"/>
        <w:rPr>
          <w:lang w:val="hu-HU"/>
        </w:rPr>
      </w:pPr>
      <w:r>
        <w:rPr>
          <w:rFonts w:eastAsia="Times New Roman"/>
          <w:lang w:val="hu-HU"/>
        </w:rPr>
        <w:t>Bármilyen fel nem használt gyógyszer, illetve hulladékanyag megsemmisítését a gyógyszerekre vonatkozó előírások szerint kell végrehajtani.</w:t>
      </w:r>
    </w:p>
    <w:p w14:paraId="1BFEB17F" w14:textId="77777777" w:rsidR="00C770CB" w:rsidRDefault="00C770CB" w:rsidP="00C770CB">
      <w:pPr>
        <w:spacing w:line="200" w:lineRule="exact"/>
        <w:rPr>
          <w:sz w:val="20"/>
          <w:szCs w:val="20"/>
          <w:lang w:val="hu-HU"/>
        </w:rPr>
      </w:pPr>
    </w:p>
    <w:p w14:paraId="14EC1C79" w14:textId="77777777" w:rsidR="00C770CB" w:rsidRDefault="00C770CB" w:rsidP="00C770CB">
      <w:pPr>
        <w:widowControl/>
        <w:tabs>
          <w:tab w:val="left" w:pos="567"/>
        </w:tabs>
        <w:spacing w:line="260" w:lineRule="exact"/>
        <w:rPr>
          <w:rFonts w:ascii="Times New Roman" w:eastAsia="Times New Roman" w:hAnsi="Times New Roman" w:cs="Times New Roman"/>
          <w:b/>
          <w:noProof/>
          <w:lang w:val="hu-HU"/>
        </w:rPr>
      </w:pPr>
    </w:p>
    <w:p w14:paraId="410CFE70" w14:textId="77777777" w:rsidR="00C770CB" w:rsidRDefault="00C770CB" w:rsidP="00FD05AA">
      <w:pPr>
        <w:widowControl/>
        <w:numPr>
          <w:ilvl w:val="0"/>
          <w:numId w:val="52"/>
        </w:numPr>
        <w:tabs>
          <w:tab w:val="left" w:pos="567"/>
        </w:tabs>
        <w:spacing w:line="260" w:lineRule="exact"/>
        <w:ind w:left="0"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A FORGALOMBA HOZATALI ENGEDÉLY JOGOSULTJA</w:t>
      </w:r>
    </w:p>
    <w:p w14:paraId="2A89D62C" w14:textId="77777777" w:rsidR="00C770CB" w:rsidRDefault="00C770CB" w:rsidP="00C770CB">
      <w:pPr>
        <w:spacing w:before="12" w:line="240" w:lineRule="exact"/>
        <w:rPr>
          <w:sz w:val="24"/>
          <w:szCs w:val="24"/>
          <w:lang w:val="hu-HU"/>
        </w:rPr>
      </w:pPr>
    </w:p>
    <w:p w14:paraId="04EA1467" w14:textId="77777777" w:rsidR="00C770CB" w:rsidRDefault="00C770CB" w:rsidP="00C770CB">
      <w:pPr>
        <w:pStyle w:val="a3"/>
        <w:rPr>
          <w:lang w:val="hu-HU"/>
        </w:rPr>
      </w:pPr>
      <w:r>
        <w:rPr>
          <w:lang w:val="hu-HU"/>
        </w:rPr>
        <w:t xml:space="preserve">Celltrion Healthcare Hungary Kft. </w:t>
      </w:r>
    </w:p>
    <w:p w14:paraId="231D72A9" w14:textId="77777777" w:rsidR="00C770CB" w:rsidRDefault="00C770CB" w:rsidP="00C770CB">
      <w:pPr>
        <w:pStyle w:val="a3"/>
        <w:rPr>
          <w:lang w:val="hu-HU"/>
        </w:rPr>
      </w:pPr>
      <w:r>
        <w:rPr>
          <w:lang w:val="hu-HU"/>
        </w:rPr>
        <w:t>1062 Budapest</w:t>
      </w:r>
    </w:p>
    <w:p w14:paraId="3BC47C8F" w14:textId="77777777" w:rsidR="00C770CB" w:rsidRDefault="00C770CB" w:rsidP="00C770CB">
      <w:pPr>
        <w:pStyle w:val="a3"/>
        <w:rPr>
          <w:lang w:val="hu-HU"/>
        </w:rPr>
      </w:pPr>
      <w:r>
        <w:rPr>
          <w:lang w:val="hu-HU"/>
        </w:rPr>
        <w:t>Váci út 1-3. WestEnd Office Building B torony</w:t>
      </w:r>
    </w:p>
    <w:p w14:paraId="7BEB5881" w14:textId="77777777" w:rsidR="00C770CB" w:rsidRDefault="00C770CB" w:rsidP="00C770CB">
      <w:pPr>
        <w:pStyle w:val="a3"/>
        <w:rPr>
          <w:lang w:val="hu-HU"/>
        </w:rPr>
      </w:pPr>
      <w:r>
        <w:rPr>
          <w:rFonts w:eastAsia="Times New Roman"/>
          <w:lang w:val="hu-HU"/>
        </w:rPr>
        <w:t>Magyarország</w:t>
      </w:r>
    </w:p>
    <w:p w14:paraId="0EAF55E9" w14:textId="77777777" w:rsidR="00C770CB" w:rsidRDefault="00C770CB" w:rsidP="00C770CB">
      <w:pPr>
        <w:spacing w:line="200" w:lineRule="exact"/>
        <w:rPr>
          <w:sz w:val="20"/>
          <w:szCs w:val="20"/>
          <w:lang w:val="hu-HU"/>
        </w:rPr>
      </w:pPr>
    </w:p>
    <w:p w14:paraId="777F87A9" w14:textId="77777777" w:rsidR="00C770CB" w:rsidRDefault="00C770CB" w:rsidP="00C770CB">
      <w:pPr>
        <w:spacing w:line="200" w:lineRule="exact"/>
        <w:rPr>
          <w:sz w:val="20"/>
          <w:szCs w:val="20"/>
          <w:lang w:val="hu-HU"/>
        </w:rPr>
      </w:pPr>
    </w:p>
    <w:p w14:paraId="72844B30" w14:textId="77777777" w:rsidR="00C770CB" w:rsidRDefault="00C770CB" w:rsidP="00FD05AA">
      <w:pPr>
        <w:widowControl/>
        <w:numPr>
          <w:ilvl w:val="0"/>
          <w:numId w:val="52"/>
        </w:numPr>
        <w:tabs>
          <w:tab w:val="left" w:pos="567"/>
        </w:tabs>
        <w:spacing w:line="260" w:lineRule="exact"/>
        <w:ind w:left="0"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A FORGALOMBA HOZATALI ENGEDÉLY SZÁMAI</w:t>
      </w:r>
    </w:p>
    <w:p w14:paraId="584566C0" w14:textId="77777777" w:rsidR="00C770CB" w:rsidRDefault="00C770CB" w:rsidP="00C770CB">
      <w:pPr>
        <w:spacing w:before="9" w:line="240" w:lineRule="exact"/>
        <w:rPr>
          <w:sz w:val="24"/>
          <w:szCs w:val="24"/>
          <w:lang w:val="hu-HU"/>
        </w:rPr>
      </w:pPr>
    </w:p>
    <w:p w14:paraId="7983A665" w14:textId="0874EA91" w:rsidR="00C770CB" w:rsidRDefault="00C770CB" w:rsidP="00C770CB">
      <w:pPr>
        <w:pStyle w:val="a3"/>
        <w:rPr>
          <w:u w:val="single"/>
          <w:lang w:val="hu-HU"/>
        </w:rPr>
      </w:pPr>
      <w:r>
        <w:rPr>
          <w:rFonts w:eastAsia="Times New Roman"/>
          <w:u w:val="single" w:color="000000"/>
          <w:lang w:val="hu-HU"/>
        </w:rPr>
        <w:t xml:space="preserve">Yuflyma </w:t>
      </w:r>
      <w:r w:rsidR="00F156CE">
        <w:rPr>
          <w:rFonts w:eastAsia="Times New Roman"/>
          <w:u w:val="single" w:color="000000"/>
          <w:lang w:val="hu-HU"/>
        </w:rPr>
        <w:t>8</w:t>
      </w:r>
      <w:r>
        <w:rPr>
          <w:rFonts w:eastAsia="Times New Roman"/>
          <w:u w:val="single" w:color="000000"/>
          <w:lang w:val="hu-HU"/>
        </w:rPr>
        <w:t>0 mg</w:t>
      </w:r>
      <w:r w:rsidR="00F156CE">
        <w:rPr>
          <w:rFonts w:eastAsia="Times New Roman"/>
          <w:u w:val="single" w:color="000000"/>
          <w:lang w:val="hu-HU"/>
        </w:rPr>
        <w:t xml:space="preserve"> </w:t>
      </w:r>
      <w:r>
        <w:rPr>
          <w:rFonts w:eastAsia="Times New Roman"/>
          <w:u w:val="single" w:color="000000"/>
          <w:lang w:val="hu-HU"/>
        </w:rPr>
        <w:t>oldatos injekció előretöltött fecskendőben</w:t>
      </w:r>
    </w:p>
    <w:p w14:paraId="4A9357F1" w14:textId="77777777" w:rsidR="00C770CB" w:rsidRDefault="00C770CB" w:rsidP="00C770CB">
      <w:pPr>
        <w:pStyle w:val="a3"/>
        <w:rPr>
          <w:lang w:val="hu-HU"/>
        </w:rPr>
      </w:pPr>
    </w:p>
    <w:p w14:paraId="43A01730" w14:textId="74AA1140" w:rsidR="00C770CB" w:rsidRDefault="00C770CB" w:rsidP="00C770CB">
      <w:pPr>
        <w:pStyle w:val="a3"/>
        <w:rPr>
          <w:lang w:val="hu-HU"/>
        </w:rPr>
      </w:pPr>
      <w:r>
        <w:rPr>
          <w:rFonts w:eastAsia="Times New Roman"/>
          <w:lang w:val="hu-HU"/>
        </w:rPr>
        <w:t>EU/</w:t>
      </w:r>
      <w:r>
        <w:rPr>
          <w:rFonts w:eastAsia="Times New Roman" w:cs="Verdana"/>
          <w:color w:val="000000"/>
          <w:lang w:val="hu-HU"/>
        </w:rPr>
        <w:t>1/20/1513/0</w:t>
      </w:r>
      <w:r w:rsidR="00F156CE">
        <w:rPr>
          <w:rFonts w:eastAsia="Times New Roman" w:cs="Verdana"/>
          <w:color w:val="000000"/>
          <w:lang w:val="hu-HU"/>
        </w:rPr>
        <w:t>13</w:t>
      </w:r>
    </w:p>
    <w:p w14:paraId="6FA65A49" w14:textId="77777777" w:rsidR="00C770CB" w:rsidRDefault="00C770CB" w:rsidP="00C770CB">
      <w:pPr>
        <w:spacing w:before="14" w:line="240" w:lineRule="exact"/>
        <w:rPr>
          <w:sz w:val="24"/>
          <w:szCs w:val="24"/>
          <w:lang w:val="hu-HU"/>
        </w:rPr>
      </w:pPr>
    </w:p>
    <w:p w14:paraId="5BE29828" w14:textId="3E96E420" w:rsidR="00C770CB" w:rsidRDefault="00C770CB" w:rsidP="00C770CB">
      <w:pPr>
        <w:pStyle w:val="a3"/>
        <w:rPr>
          <w:u w:val="single" w:color="000000"/>
          <w:lang w:val="hu-HU"/>
        </w:rPr>
      </w:pPr>
      <w:r>
        <w:rPr>
          <w:rFonts w:eastAsia="Times New Roman"/>
          <w:u w:val="single" w:color="000000"/>
          <w:lang w:val="hu-HU"/>
        </w:rPr>
        <w:t xml:space="preserve">Yuflyma </w:t>
      </w:r>
      <w:r w:rsidR="00F156CE">
        <w:rPr>
          <w:rFonts w:eastAsia="Times New Roman"/>
          <w:u w:val="single" w:color="000000"/>
          <w:lang w:val="hu-HU"/>
        </w:rPr>
        <w:t>8</w:t>
      </w:r>
      <w:r>
        <w:rPr>
          <w:rFonts w:eastAsia="Times New Roman"/>
          <w:u w:val="single" w:color="000000"/>
          <w:lang w:val="hu-HU"/>
        </w:rPr>
        <w:t>0 mg</w:t>
      </w:r>
      <w:r w:rsidR="00F156CE">
        <w:rPr>
          <w:rFonts w:eastAsia="Times New Roman"/>
          <w:u w:val="single" w:color="000000"/>
          <w:lang w:val="hu-HU"/>
        </w:rPr>
        <w:t xml:space="preserve"> </w:t>
      </w:r>
      <w:r>
        <w:rPr>
          <w:rFonts w:eastAsia="Times New Roman"/>
          <w:u w:val="single" w:color="000000"/>
          <w:lang w:val="hu-HU"/>
        </w:rPr>
        <w:t>oldatos injekció előretöltött fecskendőben tűvédővel</w:t>
      </w:r>
    </w:p>
    <w:p w14:paraId="1EF41744" w14:textId="77777777" w:rsidR="00C770CB" w:rsidRDefault="00C770CB" w:rsidP="00C770CB">
      <w:pPr>
        <w:pStyle w:val="a3"/>
        <w:rPr>
          <w:lang w:val="hu-HU"/>
        </w:rPr>
      </w:pPr>
    </w:p>
    <w:p w14:paraId="1D594B35" w14:textId="70BE844E" w:rsidR="00C770CB" w:rsidRDefault="00C770CB" w:rsidP="00F156CE">
      <w:pPr>
        <w:pStyle w:val="a3"/>
        <w:rPr>
          <w:lang w:val="hu-HU"/>
        </w:rPr>
      </w:pPr>
      <w:r>
        <w:rPr>
          <w:rFonts w:eastAsia="Times New Roman" w:cs="Verdana"/>
          <w:color w:val="000000"/>
          <w:lang w:val="hu-HU"/>
        </w:rPr>
        <w:t>EU/1/20/1513</w:t>
      </w:r>
      <w:r>
        <w:rPr>
          <w:rFonts w:eastAsia="Times New Roman"/>
          <w:lang w:val="hu-HU"/>
        </w:rPr>
        <w:t>/</w:t>
      </w:r>
      <w:r w:rsidR="00F156CE">
        <w:rPr>
          <w:rFonts w:eastAsia="Times New Roman"/>
          <w:lang w:val="hu-HU"/>
        </w:rPr>
        <w:t>014</w:t>
      </w:r>
    </w:p>
    <w:p w14:paraId="05A6EC5A" w14:textId="77777777" w:rsidR="00C770CB" w:rsidRDefault="00C770CB" w:rsidP="00C770CB">
      <w:pPr>
        <w:spacing w:before="14" w:line="240" w:lineRule="exact"/>
        <w:rPr>
          <w:sz w:val="24"/>
          <w:szCs w:val="24"/>
          <w:lang w:val="hu-HU"/>
        </w:rPr>
      </w:pPr>
    </w:p>
    <w:p w14:paraId="6FC5DFBB" w14:textId="37C3E588" w:rsidR="00C770CB" w:rsidRDefault="00C770CB" w:rsidP="00C770CB">
      <w:pPr>
        <w:pStyle w:val="a3"/>
        <w:rPr>
          <w:u w:val="single"/>
          <w:lang w:val="hu-HU"/>
        </w:rPr>
      </w:pPr>
      <w:r>
        <w:rPr>
          <w:rFonts w:eastAsia="Times New Roman"/>
          <w:u w:val="single" w:color="000000"/>
          <w:lang w:val="hu-HU"/>
        </w:rPr>
        <w:t xml:space="preserve">Yuflyma </w:t>
      </w:r>
      <w:r w:rsidR="00F156CE">
        <w:rPr>
          <w:rFonts w:eastAsia="Times New Roman"/>
          <w:u w:val="single" w:color="000000"/>
          <w:lang w:val="hu-HU"/>
        </w:rPr>
        <w:t>8</w:t>
      </w:r>
      <w:r>
        <w:rPr>
          <w:rFonts w:eastAsia="Times New Roman"/>
          <w:u w:val="single" w:color="000000"/>
          <w:lang w:val="hu-HU"/>
        </w:rPr>
        <w:t>0 mg oldatos injekció előretöltött injekciós tollban</w:t>
      </w:r>
    </w:p>
    <w:p w14:paraId="1524FB21" w14:textId="77777777" w:rsidR="00C770CB" w:rsidRDefault="00C770CB" w:rsidP="00C770CB">
      <w:pPr>
        <w:pStyle w:val="a3"/>
        <w:rPr>
          <w:lang w:val="hu-HU"/>
        </w:rPr>
      </w:pPr>
    </w:p>
    <w:p w14:paraId="46C2CD92" w14:textId="491B828D" w:rsidR="00C770CB" w:rsidRDefault="00C770CB" w:rsidP="00C770CB">
      <w:pPr>
        <w:pStyle w:val="a3"/>
        <w:rPr>
          <w:lang w:val="hu-HU"/>
        </w:rPr>
      </w:pPr>
      <w:r>
        <w:rPr>
          <w:rFonts w:eastAsia="Times New Roman" w:cs="Verdana"/>
          <w:color w:val="000000"/>
          <w:lang w:val="hu-HU"/>
        </w:rPr>
        <w:t>EU/1/20/1513</w:t>
      </w:r>
      <w:r>
        <w:rPr>
          <w:rFonts w:eastAsia="Times New Roman"/>
          <w:lang w:val="hu-HU"/>
        </w:rPr>
        <w:t>/0</w:t>
      </w:r>
      <w:r w:rsidR="00F156CE">
        <w:rPr>
          <w:rFonts w:eastAsia="Times New Roman"/>
          <w:lang w:val="hu-HU"/>
        </w:rPr>
        <w:t>15</w:t>
      </w:r>
    </w:p>
    <w:p w14:paraId="70A08744" w14:textId="3536B8BE" w:rsidR="00C770CB" w:rsidRDefault="00C770CB" w:rsidP="00F156CE">
      <w:pPr>
        <w:pStyle w:val="a3"/>
        <w:rPr>
          <w:lang w:val="hu-HU"/>
        </w:rPr>
      </w:pPr>
      <w:r>
        <w:rPr>
          <w:rFonts w:eastAsia="Times New Roman" w:cs="Verdana"/>
          <w:color w:val="000000"/>
          <w:lang w:val="hu-HU"/>
        </w:rPr>
        <w:t>EU/1/20/1513/</w:t>
      </w:r>
      <w:r>
        <w:rPr>
          <w:rFonts w:eastAsia="Times New Roman"/>
          <w:lang w:val="hu-HU"/>
        </w:rPr>
        <w:t>01</w:t>
      </w:r>
      <w:r w:rsidR="00F156CE">
        <w:rPr>
          <w:rFonts w:eastAsia="Times New Roman"/>
          <w:lang w:val="hu-HU"/>
        </w:rPr>
        <w:t>6</w:t>
      </w:r>
    </w:p>
    <w:p w14:paraId="59723EE7" w14:textId="77777777" w:rsidR="00C770CB" w:rsidRDefault="00C770CB" w:rsidP="00C770CB">
      <w:pPr>
        <w:pStyle w:val="a3"/>
        <w:rPr>
          <w:lang w:val="hu-HU"/>
        </w:rPr>
      </w:pPr>
    </w:p>
    <w:p w14:paraId="0EE3FFDC" w14:textId="77777777" w:rsidR="00C770CB" w:rsidRDefault="00C770CB" w:rsidP="00C770CB">
      <w:pPr>
        <w:spacing w:line="200" w:lineRule="exact"/>
        <w:rPr>
          <w:sz w:val="20"/>
          <w:szCs w:val="20"/>
          <w:lang w:val="hu-HU"/>
        </w:rPr>
      </w:pPr>
    </w:p>
    <w:p w14:paraId="5BDB4987" w14:textId="77777777" w:rsidR="00C770CB" w:rsidRDefault="00C770CB" w:rsidP="00FD05AA">
      <w:pPr>
        <w:widowControl/>
        <w:numPr>
          <w:ilvl w:val="0"/>
          <w:numId w:val="52"/>
        </w:numPr>
        <w:tabs>
          <w:tab w:val="left" w:pos="567"/>
        </w:tabs>
        <w:spacing w:line="260" w:lineRule="exact"/>
        <w:ind w:left="0"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A FORGALOMBA HOZATALI ENGEDÉLY ELSŐ KIADÁSÁNAK/MEGÚJÍTÁSÁNAK DÁTUMA</w:t>
      </w:r>
    </w:p>
    <w:p w14:paraId="06A09923" w14:textId="77777777" w:rsidR="00C770CB" w:rsidRDefault="00C770CB" w:rsidP="00C770CB">
      <w:pPr>
        <w:widowControl/>
        <w:tabs>
          <w:tab w:val="left" w:pos="567"/>
        </w:tabs>
        <w:spacing w:line="260" w:lineRule="exact"/>
        <w:rPr>
          <w:rFonts w:ascii="Times New Roman" w:eastAsia="Times New Roman" w:hAnsi="Times New Roman" w:cs="Times New Roman"/>
          <w:b/>
          <w:noProof/>
          <w:lang w:val="hu-HU"/>
        </w:rPr>
      </w:pPr>
    </w:p>
    <w:p w14:paraId="5A1F8611" w14:textId="77777777" w:rsidR="00C770CB" w:rsidRDefault="00C770CB" w:rsidP="00C770CB">
      <w:pPr>
        <w:widowControl/>
        <w:tabs>
          <w:tab w:val="left" w:pos="567"/>
        </w:tabs>
        <w:spacing w:line="260" w:lineRule="exact"/>
        <w:rPr>
          <w:rFonts w:ascii="Times New Roman" w:eastAsia="Times New Roman" w:hAnsi="Times New Roman" w:cs="Times New Roman"/>
          <w:bCs/>
          <w:noProof/>
          <w:lang w:val="hu-HU"/>
        </w:rPr>
      </w:pPr>
      <w:r>
        <w:rPr>
          <w:rFonts w:ascii="Times New Roman" w:eastAsia="Times New Roman" w:hAnsi="Times New Roman" w:cs="Times New Roman"/>
          <w:bCs/>
          <w:noProof/>
          <w:lang w:val="hu-HU"/>
        </w:rPr>
        <w:t xml:space="preserve">Az első kiadásának dátuma: </w:t>
      </w:r>
      <w:r w:rsidRPr="00673FDD">
        <w:rPr>
          <w:rFonts w:ascii="Times New Roman" w:eastAsia="Times New Roman" w:hAnsi="Times New Roman" w:cs="Times New Roman"/>
          <w:bCs/>
          <w:noProof/>
          <w:lang w:val="hu-HU"/>
        </w:rPr>
        <w:t>2021. február 11.</w:t>
      </w:r>
    </w:p>
    <w:p w14:paraId="0667166B" w14:textId="77777777" w:rsidR="00C770CB" w:rsidRDefault="00C770CB" w:rsidP="00C770CB">
      <w:pPr>
        <w:widowControl/>
        <w:tabs>
          <w:tab w:val="left" w:pos="567"/>
        </w:tabs>
        <w:spacing w:line="260" w:lineRule="exact"/>
        <w:rPr>
          <w:rFonts w:ascii="Times New Roman" w:eastAsia="Times New Roman" w:hAnsi="Times New Roman" w:cs="Times New Roman"/>
          <w:b/>
          <w:noProof/>
          <w:lang w:val="hu-HU"/>
        </w:rPr>
      </w:pPr>
    </w:p>
    <w:p w14:paraId="3BD3AAFD" w14:textId="77777777" w:rsidR="00C770CB" w:rsidRDefault="00C770CB" w:rsidP="00C770CB">
      <w:pPr>
        <w:widowControl/>
        <w:tabs>
          <w:tab w:val="left" w:pos="567"/>
        </w:tabs>
        <w:spacing w:line="260" w:lineRule="exact"/>
        <w:rPr>
          <w:rFonts w:ascii="Times New Roman" w:eastAsia="Times New Roman" w:hAnsi="Times New Roman" w:cs="Times New Roman"/>
          <w:b/>
          <w:noProof/>
          <w:lang w:val="hu-HU"/>
        </w:rPr>
      </w:pPr>
    </w:p>
    <w:p w14:paraId="42537484" w14:textId="77777777" w:rsidR="00C770CB" w:rsidRDefault="00C770CB" w:rsidP="00FD05AA">
      <w:pPr>
        <w:widowControl/>
        <w:numPr>
          <w:ilvl w:val="0"/>
          <w:numId w:val="52"/>
        </w:numPr>
        <w:tabs>
          <w:tab w:val="left" w:pos="567"/>
        </w:tabs>
        <w:spacing w:line="260" w:lineRule="exact"/>
        <w:ind w:left="0"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A SZÖVEG ELLENŐRZÉSÉNEK DÁTUMA</w:t>
      </w:r>
    </w:p>
    <w:p w14:paraId="16A9C62B" w14:textId="77777777" w:rsidR="00C770CB" w:rsidRDefault="00C770CB" w:rsidP="00C770CB">
      <w:pPr>
        <w:spacing w:before="12" w:line="240" w:lineRule="exact"/>
        <w:rPr>
          <w:sz w:val="24"/>
          <w:szCs w:val="24"/>
          <w:lang w:val="hu-HU"/>
        </w:rPr>
      </w:pPr>
    </w:p>
    <w:p w14:paraId="0A242DC6" w14:textId="77777777" w:rsidR="00C770CB" w:rsidRPr="009167C6" w:rsidRDefault="00C770CB" w:rsidP="00C770CB">
      <w:pPr>
        <w:pStyle w:val="a3"/>
        <w:rPr>
          <w:lang w:val="hu-HU"/>
        </w:rPr>
      </w:pPr>
      <w:r>
        <w:rPr>
          <w:rFonts w:eastAsia="Times New Roman"/>
          <w:lang w:val="hu-HU"/>
        </w:rPr>
        <w:t>A gyógyszerről részletes információ az Európai Gyógyszerügynökség internetes honlapján (</w:t>
      </w:r>
      <w:r>
        <w:fldChar w:fldCharType="begin"/>
      </w:r>
      <w:r w:rsidRPr="00BE4D18">
        <w:rPr>
          <w:lang w:val="hu-HU"/>
        </w:rPr>
        <w:instrText>HYPERLINK "http://www.ema.europa.eu"</w:instrText>
      </w:r>
      <w:r>
        <w:fldChar w:fldCharType="separate"/>
      </w:r>
      <w:r w:rsidRPr="009167C6">
        <w:rPr>
          <w:rStyle w:val="ad"/>
          <w:lang w:val="hu-HU"/>
        </w:rPr>
        <w:t>http://www.ema.europa.eu</w:t>
      </w:r>
      <w:r>
        <w:fldChar w:fldCharType="end"/>
      </w:r>
      <w:r w:rsidRPr="000405CC">
        <w:rPr>
          <w:rFonts w:eastAsia="Times New Roman"/>
          <w:lang w:val="hu-HU"/>
        </w:rPr>
        <w:t>) található.</w:t>
      </w:r>
    </w:p>
    <w:p w14:paraId="02998AAF" w14:textId="77777777" w:rsidR="00130E8B" w:rsidRDefault="000405CC">
      <w:pPr>
        <w:rPr>
          <w:lang w:val="hu-HU"/>
        </w:rPr>
      </w:pPr>
      <w:r>
        <w:rPr>
          <w:lang w:val="hu-HU"/>
        </w:rPr>
        <w:br w:type="page"/>
      </w:r>
    </w:p>
    <w:p w14:paraId="4CA58325" w14:textId="77777777" w:rsidR="007F2986" w:rsidRDefault="007F2986" w:rsidP="007F2986">
      <w:pPr>
        <w:rPr>
          <w:rFonts w:ascii="Times New Roman" w:eastAsia="맑은 고딕" w:hAnsi="Times New Roman" w:cs="Times New Roman"/>
          <w:lang w:val="hu-HU" w:eastAsia="ko-KR"/>
        </w:rPr>
      </w:pPr>
      <w:r>
        <w:rPr>
          <w:rFonts w:ascii="Times New Roman" w:hAnsi="Times New Roman" w:cs="Times New Roman"/>
          <w:noProof/>
          <w:lang w:eastAsia="ko-KR"/>
        </w:rPr>
        <w:lastRenderedPageBreak/>
        <w:drawing>
          <wp:inline distT="0" distB="0" distL="0" distR="0" wp14:anchorId="7E269A8C" wp14:editId="2A03F3CF">
            <wp:extent cx="203200" cy="169545"/>
            <wp:effectExtent l="0" t="0" r="6350" b="1905"/>
            <wp:docPr id="102" name="그림 102"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41359"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Pr>
          <w:rFonts w:ascii="Times New Roman" w:eastAsia="Times New Roman" w:hAnsi="Times New Roman" w:cs="Times New Roman"/>
          <w:lang w:val="hu-HU"/>
        </w:rPr>
        <w:t>Ez a gyógyszer fokozott felügyelet alatt áll, mely lehetővé teszi az új gyógyszerbiztonsági információk gyors azonosítását. Az egészségügyi szakembereket arra kérjük, hogy jelentsenek bármilyen feltételezett mellékhatást. A mellékhatások jelentésének módjairól a 4.8 pontban kaphatnak további tájékoztatást.</w:t>
      </w:r>
    </w:p>
    <w:p w14:paraId="04A508AF" w14:textId="77777777" w:rsidR="007F2986" w:rsidRDefault="007F2986" w:rsidP="007F2986">
      <w:pPr>
        <w:widowControl/>
        <w:tabs>
          <w:tab w:val="left" w:pos="567"/>
        </w:tabs>
        <w:rPr>
          <w:rFonts w:ascii="Times New Roman" w:eastAsia="Times New Roman" w:hAnsi="Times New Roman" w:cs="Times New Roman"/>
          <w:lang w:val="hu-HU"/>
        </w:rPr>
      </w:pPr>
    </w:p>
    <w:p w14:paraId="4A4AE276" w14:textId="77777777" w:rsidR="007F2986" w:rsidRDefault="007F2986" w:rsidP="007F2986">
      <w:pPr>
        <w:widowControl/>
        <w:tabs>
          <w:tab w:val="left" w:pos="567"/>
        </w:tabs>
        <w:rPr>
          <w:rFonts w:ascii="Times New Roman" w:eastAsia="Times New Roman" w:hAnsi="Times New Roman" w:cs="Times New Roman"/>
          <w:lang w:val="hu-HU"/>
        </w:rPr>
      </w:pPr>
    </w:p>
    <w:p w14:paraId="35DEAE3F" w14:textId="77777777" w:rsidR="007F2986" w:rsidRPr="005A05DE" w:rsidRDefault="007F2986" w:rsidP="00FD05AA">
      <w:pPr>
        <w:widowControl/>
        <w:numPr>
          <w:ilvl w:val="0"/>
          <w:numId w:val="75"/>
        </w:numPr>
        <w:tabs>
          <w:tab w:val="left" w:pos="567"/>
        </w:tabs>
        <w:spacing w:line="260" w:lineRule="exact"/>
        <w:ind w:left="0" w:firstLine="0"/>
        <w:rPr>
          <w:rFonts w:ascii="Times New Roman" w:eastAsia="Times New Roman" w:hAnsi="Times New Roman" w:cs="Times New Roman"/>
          <w:b/>
          <w:bCs/>
          <w:noProof/>
          <w:lang w:val="hu-HU"/>
        </w:rPr>
      </w:pPr>
      <w:r>
        <w:rPr>
          <w:rFonts w:ascii="Times New Roman" w:eastAsia="Times New Roman" w:hAnsi="Times New Roman" w:cs="Times New Roman"/>
          <w:b/>
          <w:bCs/>
          <w:noProof/>
          <w:lang w:val="hu-HU"/>
        </w:rPr>
        <w:t>A GYÓGYSZER NEVE</w:t>
      </w:r>
    </w:p>
    <w:p w14:paraId="3ACF7783" w14:textId="77777777" w:rsidR="007F2986" w:rsidRDefault="007F2986" w:rsidP="007F2986">
      <w:pPr>
        <w:spacing w:line="240" w:lineRule="exact"/>
        <w:rPr>
          <w:rFonts w:ascii="Times New Roman" w:hAnsi="Times New Roman" w:cs="Times New Roman"/>
          <w:lang w:val="hu-HU"/>
        </w:rPr>
      </w:pPr>
    </w:p>
    <w:p w14:paraId="4428A126" w14:textId="2D86E791" w:rsidR="007F2986" w:rsidRDefault="007F2986" w:rsidP="007F2986">
      <w:pPr>
        <w:widowControl/>
        <w:tabs>
          <w:tab w:val="left" w:pos="567"/>
        </w:tabs>
        <w:rPr>
          <w:rFonts w:ascii="Times New Roman" w:eastAsia="Times New Roman" w:hAnsi="Times New Roman" w:cs="Times New Roman"/>
          <w:lang w:val="hu-HU"/>
        </w:rPr>
      </w:pPr>
      <w:r>
        <w:rPr>
          <w:rFonts w:ascii="Times New Roman" w:eastAsia="Times New Roman" w:hAnsi="Times New Roman" w:cs="Times New Roman"/>
          <w:lang w:val="hu-HU"/>
        </w:rPr>
        <w:t xml:space="preserve">Yuflyma </w:t>
      </w:r>
      <w:r w:rsidR="00CC2E43">
        <w:rPr>
          <w:rFonts w:ascii="Times New Roman" w:eastAsia="Times New Roman" w:hAnsi="Times New Roman" w:cs="Times New Roman"/>
          <w:lang w:val="hu-HU"/>
        </w:rPr>
        <w:t>20</w:t>
      </w:r>
      <w:r>
        <w:rPr>
          <w:rFonts w:ascii="Times New Roman" w:eastAsia="Times New Roman" w:hAnsi="Times New Roman" w:cs="Times New Roman"/>
          <w:lang w:val="hu-HU"/>
        </w:rPr>
        <w:t> mg oldatos injekció előretöltött fecskendőben</w:t>
      </w:r>
    </w:p>
    <w:p w14:paraId="65BB105C" w14:textId="77777777" w:rsidR="007F2986" w:rsidRDefault="007F2986" w:rsidP="007F2986">
      <w:pPr>
        <w:widowControl/>
        <w:tabs>
          <w:tab w:val="left" w:pos="567"/>
        </w:tabs>
        <w:rPr>
          <w:rFonts w:ascii="Times New Roman" w:eastAsia="Times New Roman" w:hAnsi="Times New Roman" w:cs="Times New Roman"/>
          <w:lang w:val="hu-HU"/>
        </w:rPr>
      </w:pPr>
    </w:p>
    <w:p w14:paraId="214893B6" w14:textId="77777777" w:rsidR="007F2986" w:rsidRDefault="007F2986" w:rsidP="007F2986">
      <w:pPr>
        <w:widowControl/>
        <w:tabs>
          <w:tab w:val="left" w:pos="567"/>
        </w:tabs>
        <w:spacing w:line="260" w:lineRule="exact"/>
        <w:rPr>
          <w:rFonts w:ascii="Times New Roman" w:eastAsia="Times New Roman" w:hAnsi="Times New Roman" w:cs="Times New Roman"/>
          <w:b/>
          <w:noProof/>
          <w:lang w:val="hu-HU"/>
        </w:rPr>
      </w:pPr>
    </w:p>
    <w:p w14:paraId="78576769" w14:textId="77777777" w:rsidR="007F2986" w:rsidRDefault="007F2986" w:rsidP="00FD05AA">
      <w:pPr>
        <w:widowControl/>
        <w:numPr>
          <w:ilvl w:val="0"/>
          <w:numId w:val="75"/>
        </w:numPr>
        <w:tabs>
          <w:tab w:val="left" w:pos="567"/>
        </w:tabs>
        <w:spacing w:line="260" w:lineRule="exact"/>
        <w:ind w:left="0" w:firstLine="0"/>
        <w:rPr>
          <w:rFonts w:ascii="Times New Roman" w:hAnsi="Times New Roman" w:cs="Times New Roman"/>
          <w:b/>
          <w:bCs/>
          <w:spacing w:val="-1"/>
          <w:lang w:val="hu-HU"/>
        </w:rPr>
      </w:pPr>
      <w:r>
        <w:rPr>
          <w:rFonts w:ascii="Times New Roman" w:eastAsia="Times New Roman" w:hAnsi="Times New Roman" w:cs="Times New Roman"/>
          <w:b/>
          <w:bCs/>
          <w:noProof/>
          <w:lang w:val="hu-HU"/>
        </w:rPr>
        <w:t>MINŐSÉGI ÉS MENNYISÉGI ÖSSZETÉTEL</w:t>
      </w:r>
    </w:p>
    <w:p w14:paraId="4C270D1F" w14:textId="77777777" w:rsidR="007F2986" w:rsidRDefault="007F2986" w:rsidP="007F2986">
      <w:pPr>
        <w:widowControl/>
        <w:tabs>
          <w:tab w:val="left" w:pos="567"/>
        </w:tabs>
        <w:rPr>
          <w:rFonts w:ascii="Times New Roman" w:eastAsia="Times New Roman" w:hAnsi="Times New Roman" w:cs="Times New Roman"/>
          <w:u w:val="single"/>
          <w:lang w:val="hu-HU"/>
        </w:rPr>
      </w:pPr>
    </w:p>
    <w:p w14:paraId="112F4059" w14:textId="2260EDBC" w:rsidR="007F2986" w:rsidRDefault="007F2986" w:rsidP="007F2986">
      <w:pPr>
        <w:widowControl/>
        <w:tabs>
          <w:tab w:val="left" w:pos="567"/>
        </w:tabs>
        <w:rPr>
          <w:rFonts w:ascii="Times New Roman" w:eastAsia="Times New Roman" w:hAnsi="Times New Roman" w:cs="Times New Roman"/>
          <w:u w:val="single"/>
          <w:lang w:val="hu-HU"/>
        </w:rPr>
      </w:pPr>
      <w:r>
        <w:rPr>
          <w:rFonts w:ascii="Times New Roman" w:eastAsia="Times New Roman" w:hAnsi="Times New Roman" w:cs="Times New Roman"/>
          <w:u w:val="single"/>
          <w:lang w:val="hu-HU"/>
        </w:rPr>
        <w:t xml:space="preserve">Yuflyma </w:t>
      </w:r>
      <w:r w:rsidR="00CC2E43">
        <w:rPr>
          <w:rFonts w:ascii="Times New Roman" w:eastAsia="Times New Roman" w:hAnsi="Times New Roman" w:cs="Times New Roman"/>
          <w:u w:val="single"/>
          <w:lang w:val="hu-HU"/>
        </w:rPr>
        <w:t>20</w:t>
      </w:r>
      <w:r>
        <w:rPr>
          <w:rFonts w:ascii="Times New Roman" w:eastAsia="Times New Roman" w:hAnsi="Times New Roman" w:cs="Times New Roman"/>
          <w:u w:val="single"/>
          <w:lang w:val="hu-HU"/>
        </w:rPr>
        <w:t> mg oldatos injekció előretöltött fecskendőben</w:t>
      </w:r>
    </w:p>
    <w:p w14:paraId="5CC440E4" w14:textId="77777777" w:rsidR="007F2986" w:rsidRDefault="007F2986" w:rsidP="007F2986">
      <w:pPr>
        <w:widowControl/>
        <w:tabs>
          <w:tab w:val="left" w:pos="567"/>
        </w:tabs>
        <w:adjustRightInd w:val="0"/>
        <w:rPr>
          <w:rFonts w:ascii="Times New Roman" w:eastAsia="Times New Roman" w:hAnsi="Times New Roman" w:cs="Times New Roman"/>
          <w:lang w:val="hu-HU"/>
        </w:rPr>
      </w:pPr>
    </w:p>
    <w:p w14:paraId="6FFA4B42" w14:textId="2880CD9F" w:rsidR="007F2986" w:rsidRDefault="00CC2E43" w:rsidP="007F2986">
      <w:pPr>
        <w:widowControl/>
        <w:tabs>
          <w:tab w:val="left" w:pos="567"/>
        </w:tabs>
        <w:adjustRightInd w:val="0"/>
        <w:rPr>
          <w:rFonts w:ascii="Times New Roman" w:hAnsi="Times New Roman" w:cs="Times New Roman"/>
          <w:lang w:val="hu-HU"/>
        </w:rPr>
      </w:pPr>
      <w:r>
        <w:rPr>
          <w:rFonts w:ascii="Times New Roman" w:eastAsia="Times New Roman" w:hAnsi="Times New Roman" w:cs="Times New Roman"/>
          <w:lang w:val="hu-HU"/>
        </w:rPr>
        <w:t>20 mg adalimumabot tartalmaz 0,2</w:t>
      </w:r>
      <w:r w:rsidR="007F2986">
        <w:rPr>
          <w:rFonts w:ascii="Times New Roman" w:eastAsia="Times New Roman" w:hAnsi="Times New Roman" w:cs="Times New Roman"/>
          <w:lang w:val="hu-HU"/>
        </w:rPr>
        <w:t xml:space="preserve"> ml-es, egyadagos, előretöltött fecskendőben.</w:t>
      </w:r>
    </w:p>
    <w:p w14:paraId="41BB30D7" w14:textId="77777777" w:rsidR="007F2986" w:rsidRDefault="007F2986" w:rsidP="007F2986">
      <w:pPr>
        <w:spacing w:line="240" w:lineRule="exact"/>
        <w:rPr>
          <w:rFonts w:ascii="Times New Roman" w:hAnsi="Times New Roman" w:cs="Times New Roman"/>
          <w:lang w:val="hu-HU"/>
        </w:rPr>
      </w:pPr>
    </w:p>
    <w:p w14:paraId="454D85B1" w14:textId="77777777" w:rsidR="007F2986" w:rsidRDefault="007F2986" w:rsidP="007F2986">
      <w:pPr>
        <w:widowControl/>
        <w:tabs>
          <w:tab w:val="left" w:pos="567"/>
        </w:tabs>
        <w:adjustRightInd w:val="0"/>
        <w:rPr>
          <w:rFonts w:ascii="Times New Roman" w:eastAsia="Times New Roman" w:hAnsi="Times New Roman" w:cs="Times New Roman"/>
          <w:lang w:val="hu-HU"/>
        </w:rPr>
      </w:pPr>
      <w:r>
        <w:rPr>
          <w:rFonts w:ascii="Times New Roman" w:eastAsia="Times New Roman" w:hAnsi="Times New Roman" w:cs="Times New Roman"/>
          <w:lang w:val="hu-HU"/>
        </w:rPr>
        <w:t>Az adalimumab egy rekombináns humán monoklonális antitest, melyet kínai hörcsög petefészek sejtekben állítanak elő.</w:t>
      </w:r>
    </w:p>
    <w:p w14:paraId="4A0EAC1F" w14:textId="77777777" w:rsidR="007F2986" w:rsidRDefault="007F2986" w:rsidP="007F2986">
      <w:pPr>
        <w:widowControl/>
        <w:tabs>
          <w:tab w:val="left" w:pos="567"/>
        </w:tabs>
        <w:adjustRightInd w:val="0"/>
        <w:rPr>
          <w:rFonts w:ascii="Times New Roman" w:eastAsia="Times New Roman" w:hAnsi="Times New Roman" w:cs="Times New Roman"/>
          <w:lang w:val="hu-HU"/>
        </w:rPr>
      </w:pPr>
    </w:p>
    <w:p w14:paraId="2FEDEC6B" w14:textId="77777777" w:rsidR="007F2986" w:rsidRDefault="007F2986" w:rsidP="007F2986">
      <w:pPr>
        <w:widowControl/>
        <w:tabs>
          <w:tab w:val="left" w:pos="567"/>
        </w:tabs>
        <w:adjustRightInd w:val="0"/>
        <w:rPr>
          <w:rFonts w:ascii="Times New Roman" w:eastAsia="Times New Roman" w:hAnsi="Times New Roman" w:cs="Times New Roman"/>
          <w:lang w:val="hu-HU"/>
        </w:rPr>
      </w:pPr>
      <w:r>
        <w:rPr>
          <w:rFonts w:ascii="Times New Roman" w:eastAsia="Times New Roman" w:hAnsi="Times New Roman" w:cs="Times New Roman"/>
          <w:lang w:val="hu-HU"/>
        </w:rPr>
        <w:t>A segédanyagok teljes listáját lásd a 6.1. pontban.</w:t>
      </w:r>
    </w:p>
    <w:p w14:paraId="55937F77" w14:textId="77777777" w:rsidR="007F2986" w:rsidRDefault="007F2986" w:rsidP="007F2986">
      <w:pPr>
        <w:spacing w:line="260" w:lineRule="exact"/>
        <w:rPr>
          <w:rFonts w:ascii="Times New Roman" w:hAnsi="Times New Roman" w:cs="Times New Roman"/>
          <w:lang w:val="hu-HU"/>
        </w:rPr>
      </w:pPr>
    </w:p>
    <w:p w14:paraId="168DD3B9" w14:textId="77777777" w:rsidR="007F2986" w:rsidRDefault="007F2986" w:rsidP="007F2986">
      <w:pPr>
        <w:spacing w:line="260" w:lineRule="exact"/>
        <w:rPr>
          <w:rFonts w:ascii="Times New Roman" w:hAnsi="Times New Roman" w:cs="Times New Roman"/>
          <w:lang w:val="hu-HU"/>
        </w:rPr>
      </w:pPr>
    </w:p>
    <w:p w14:paraId="5A000B5D" w14:textId="77777777" w:rsidR="007F2986" w:rsidRDefault="007F2986" w:rsidP="00FD05AA">
      <w:pPr>
        <w:widowControl/>
        <w:numPr>
          <w:ilvl w:val="0"/>
          <w:numId w:val="75"/>
        </w:numPr>
        <w:tabs>
          <w:tab w:val="left" w:pos="567"/>
        </w:tabs>
        <w:spacing w:line="260" w:lineRule="exact"/>
        <w:ind w:left="0" w:firstLine="0"/>
        <w:rPr>
          <w:rFonts w:ascii="Times New Roman" w:hAnsi="Times New Roman" w:cs="Times New Roman"/>
          <w:b/>
          <w:spacing w:val="-1"/>
          <w:lang w:val="hu-HU"/>
        </w:rPr>
      </w:pPr>
      <w:r>
        <w:rPr>
          <w:rFonts w:ascii="Times New Roman" w:eastAsia="Times New Roman" w:hAnsi="Times New Roman" w:cs="Times New Roman"/>
          <w:b/>
          <w:bCs/>
          <w:noProof/>
          <w:lang w:val="hu-HU"/>
        </w:rPr>
        <w:t>GYÓGYSZERFORMA</w:t>
      </w:r>
    </w:p>
    <w:p w14:paraId="4EC0E09A" w14:textId="77777777" w:rsidR="007F2986" w:rsidRDefault="007F2986" w:rsidP="007F2986">
      <w:pPr>
        <w:spacing w:line="240" w:lineRule="exact"/>
        <w:rPr>
          <w:rFonts w:ascii="Times New Roman" w:hAnsi="Times New Roman" w:cs="Times New Roman"/>
          <w:lang w:val="hu-HU"/>
        </w:rPr>
      </w:pPr>
    </w:p>
    <w:p w14:paraId="58754A69" w14:textId="77777777" w:rsidR="007F2986" w:rsidRDefault="007F2986" w:rsidP="007F2986">
      <w:pPr>
        <w:widowControl/>
        <w:tabs>
          <w:tab w:val="left" w:pos="567"/>
        </w:tabs>
        <w:adjustRightInd w:val="0"/>
        <w:rPr>
          <w:rFonts w:ascii="Times New Roman" w:eastAsia="Times New Roman" w:hAnsi="Times New Roman" w:cs="Times New Roman"/>
          <w:lang w:val="hu-HU"/>
        </w:rPr>
      </w:pPr>
      <w:r>
        <w:rPr>
          <w:rFonts w:ascii="Times New Roman" w:eastAsia="Times New Roman" w:hAnsi="Times New Roman" w:cs="Times New Roman"/>
          <w:lang w:val="hu-HU"/>
        </w:rPr>
        <w:t xml:space="preserve">Oldatos injekció (injekció) </w:t>
      </w:r>
    </w:p>
    <w:p w14:paraId="26B48F83" w14:textId="77777777" w:rsidR="007F2986" w:rsidRDefault="007F2986" w:rsidP="007F2986">
      <w:pPr>
        <w:widowControl/>
        <w:tabs>
          <w:tab w:val="left" w:pos="567"/>
        </w:tabs>
        <w:adjustRightInd w:val="0"/>
        <w:rPr>
          <w:rFonts w:ascii="Times New Roman" w:eastAsia="Times New Roman" w:hAnsi="Times New Roman" w:cs="Times New Roman"/>
          <w:lang w:val="hu-HU"/>
        </w:rPr>
      </w:pPr>
    </w:p>
    <w:p w14:paraId="77F2679B" w14:textId="77777777" w:rsidR="007F2986" w:rsidRDefault="007F2986" w:rsidP="007F2986">
      <w:pPr>
        <w:widowControl/>
        <w:tabs>
          <w:tab w:val="left" w:pos="567"/>
        </w:tabs>
        <w:adjustRightInd w:val="0"/>
        <w:rPr>
          <w:rFonts w:ascii="Times New Roman" w:eastAsia="Times New Roman" w:hAnsi="Times New Roman" w:cs="Times New Roman"/>
          <w:lang w:val="hu-HU"/>
        </w:rPr>
      </w:pPr>
      <w:r>
        <w:rPr>
          <w:rFonts w:ascii="Times New Roman" w:eastAsia="Times New Roman" w:hAnsi="Times New Roman" w:cs="Times New Roman"/>
          <w:lang w:val="hu-HU"/>
        </w:rPr>
        <w:t>Tiszta vagy enyhén opálos, színtelen vagy halvány barna oldat.</w:t>
      </w:r>
    </w:p>
    <w:p w14:paraId="297DAF67" w14:textId="77777777" w:rsidR="007F2986" w:rsidRDefault="007F2986" w:rsidP="007F2986">
      <w:pPr>
        <w:spacing w:line="260" w:lineRule="exact"/>
        <w:rPr>
          <w:rFonts w:ascii="Times New Roman" w:hAnsi="Times New Roman" w:cs="Times New Roman"/>
          <w:lang w:val="hu-HU"/>
        </w:rPr>
      </w:pPr>
    </w:p>
    <w:p w14:paraId="55BED344" w14:textId="77777777" w:rsidR="007F2986" w:rsidRDefault="007F2986" w:rsidP="007F2986">
      <w:pPr>
        <w:spacing w:line="260" w:lineRule="exact"/>
        <w:rPr>
          <w:rFonts w:ascii="Times New Roman" w:hAnsi="Times New Roman" w:cs="Times New Roman"/>
          <w:lang w:val="hu-HU"/>
        </w:rPr>
      </w:pPr>
    </w:p>
    <w:p w14:paraId="14BBB12C" w14:textId="77777777" w:rsidR="007F2986" w:rsidRDefault="007F2986" w:rsidP="00FD05AA">
      <w:pPr>
        <w:widowControl/>
        <w:numPr>
          <w:ilvl w:val="0"/>
          <w:numId w:val="75"/>
        </w:numPr>
        <w:tabs>
          <w:tab w:val="left" w:pos="567"/>
        </w:tabs>
        <w:spacing w:line="260" w:lineRule="exact"/>
        <w:ind w:left="0" w:firstLine="0"/>
        <w:rPr>
          <w:rFonts w:ascii="Times New Roman" w:hAnsi="Times New Roman" w:cs="Times New Roman"/>
          <w:b/>
          <w:spacing w:val="-1"/>
          <w:lang w:val="hu-HU"/>
        </w:rPr>
      </w:pPr>
      <w:r>
        <w:rPr>
          <w:rFonts w:ascii="Times New Roman" w:eastAsia="Times New Roman" w:hAnsi="Times New Roman" w:cs="Times New Roman"/>
          <w:b/>
          <w:bCs/>
          <w:noProof/>
          <w:lang w:val="hu-HU"/>
        </w:rPr>
        <w:t>KLINIKAI JELLEMZŐK</w:t>
      </w:r>
    </w:p>
    <w:p w14:paraId="7F8893D0" w14:textId="77777777" w:rsidR="007F2986" w:rsidRDefault="007F2986" w:rsidP="007F2986">
      <w:pPr>
        <w:pStyle w:val="a4"/>
        <w:tabs>
          <w:tab w:val="left" w:pos="672"/>
        </w:tabs>
        <w:rPr>
          <w:rFonts w:ascii="Times New Roman" w:eastAsia="Times New Roman" w:hAnsi="Times New Roman" w:cs="Times New Roman"/>
          <w:b/>
          <w:noProof/>
          <w:lang w:val="hu-HU"/>
        </w:rPr>
      </w:pPr>
    </w:p>
    <w:p w14:paraId="359B808F" w14:textId="77777777" w:rsidR="007F2986" w:rsidRDefault="007F2986" w:rsidP="00FD05AA">
      <w:pPr>
        <w:widowControl/>
        <w:numPr>
          <w:ilvl w:val="1"/>
          <w:numId w:val="76"/>
        </w:numPr>
        <w:tabs>
          <w:tab w:val="left" w:pos="567"/>
        </w:tabs>
        <w:spacing w:line="260" w:lineRule="exact"/>
        <w:ind w:firstLine="0"/>
        <w:rPr>
          <w:rFonts w:ascii="Times New Roman" w:eastAsia="Times New Roman" w:hAnsi="Times New Roman" w:cs="Times New Roman"/>
          <w:lang w:val="hu-HU"/>
        </w:rPr>
      </w:pPr>
      <w:r>
        <w:rPr>
          <w:rFonts w:ascii="Times New Roman" w:eastAsia="Times New Roman" w:hAnsi="Times New Roman" w:cs="Times New Roman"/>
          <w:b/>
          <w:bCs/>
          <w:noProof/>
          <w:lang w:val="hu-HU"/>
        </w:rPr>
        <w:t>Terápiás javallatok</w:t>
      </w:r>
    </w:p>
    <w:p w14:paraId="299FBA4E" w14:textId="77777777" w:rsidR="007F2986" w:rsidRDefault="007F2986" w:rsidP="007F2986">
      <w:pPr>
        <w:spacing w:line="240" w:lineRule="exact"/>
        <w:rPr>
          <w:rFonts w:ascii="Times New Roman" w:hAnsi="Times New Roman" w:cs="Times New Roman"/>
          <w:lang w:val="hu-HU"/>
        </w:rPr>
      </w:pPr>
    </w:p>
    <w:p w14:paraId="69E82A99" w14:textId="77777777" w:rsidR="007F2986" w:rsidRDefault="007F2986" w:rsidP="007F2986">
      <w:pPr>
        <w:pStyle w:val="a3"/>
        <w:rPr>
          <w:u w:val="single" w:color="000000"/>
          <w:lang w:val="hu-HU"/>
        </w:rPr>
      </w:pPr>
      <w:r>
        <w:rPr>
          <w:rFonts w:eastAsia="Times New Roman"/>
          <w:u w:val="single" w:color="000000"/>
          <w:lang w:val="hu-HU"/>
        </w:rPr>
        <w:t>Juvenilis idiopathiás arthritis</w:t>
      </w:r>
    </w:p>
    <w:p w14:paraId="0AB70D19" w14:textId="77777777" w:rsidR="007F2986" w:rsidRDefault="007F2986" w:rsidP="007F2986">
      <w:pPr>
        <w:spacing w:line="180" w:lineRule="exact"/>
        <w:rPr>
          <w:rFonts w:ascii="Times New Roman" w:hAnsi="Times New Roman" w:cs="Times New Roman"/>
          <w:lang w:val="hu-HU"/>
        </w:rPr>
      </w:pPr>
    </w:p>
    <w:p w14:paraId="2B7E1F92" w14:textId="77777777" w:rsidR="007F2986" w:rsidRDefault="007F2986" w:rsidP="007F2986">
      <w:pPr>
        <w:rPr>
          <w:rFonts w:ascii="Times New Roman" w:eastAsia="Times New Roman" w:hAnsi="Times New Roman" w:cs="Times New Roman"/>
          <w:lang w:val="hu-HU"/>
        </w:rPr>
      </w:pPr>
      <w:r>
        <w:rPr>
          <w:rFonts w:ascii="Times New Roman" w:eastAsia="Times New Roman" w:hAnsi="Times New Roman" w:cs="Times New Roman"/>
          <w:i/>
          <w:iCs/>
          <w:spacing w:val="-1"/>
          <w:lang w:val="hu-HU"/>
        </w:rPr>
        <w:t xml:space="preserve">Polyarticularis juvenilis idiopathiás arthritis </w:t>
      </w:r>
    </w:p>
    <w:p w14:paraId="208DF351" w14:textId="77777777" w:rsidR="007F2986" w:rsidRDefault="007F2986" w:rsidP="007F2986">
      <w:pPr>
        <w:spacing w:line="240" w:lineRule="exact"/>
        <w:rPr>
          <w:rFonts w:ascii="Times New Roman" w:hAnsi="Times New Roman" w:cs="Times New Roman"/>
          <w:lang w:val="hu-HU"/>
        </w:rPr>
      </w:pPr>
    </w:p>
    <w:p w14:paraId="00BC24A6" w14:textId="77777777" w:rsidR="007F2986" w:rsidRDefault="007F2986" w:rsidP="007F2986">
      <w:pPr>
        <w:pStyle w:val="a3"/>
        <w:rPr>
          <w:lang w:val="hu-HU"/>
        </w:rPr>
      </w:pPr>
      <w:r>
        <w:rPr>
          <w:rFonts w:eastAsia="Times New Roman"/>
          <w:lang w:val="hu-HU"/>
        </w:rPr>
        <w:t>A Yuflyma metotrexáttal kombinálva a polyarticularis juvenilis idiopathiás arthritis kezelésére javallott 2 éves kortól olyan betegeknél, akik nem reagáltak megfelelően egy vagy több, betegséget befolyásoló reumaellenes szerre (disease-modifying antirheumatic drug, DMARDS). A Yuflyma metotrexát-intolerancia esetén, vagy ha a folyamatos metotrexát-kezelés nem megfelelő, monoterápiaként is alkalmazható (lásd 5. 1 pont). Az adalimumabot 2 évesnél fiatalabb betegeknél nem vizsgálták.</w:t>
      </w:r>
    </w:p>
    <w:p w14:paraId="4CD6ACF3" w14:textId="77777777" w:rsidR="007F2986" w:rsidRDefault="007F2986" w:rsidP="007F2986">
      <w:pPr>
        <w:spacing w:line="240" w:lineRule="exact"/>
        <w:rPr>
          <w:rFonts w:ascii="Times New Roman" w:hAnsi="Times New Roman" w:cs="Times New Roman"/>
          <w:lang w:val="hu-HU"/>
        </w:rPr>
      </w:pPr>
    </w:p>
    <w:p w14:paraId="62B5CC67" w14:textId="77777777" w:rsidR="007F2986" w:rsidRDefault="007F2986" w:rsidP="007F2986">
      <w:pPr>
        <w:rPr>
          <w:rFonts w:ascii="Times New Roman" w:eastAsia="Times New Roman" w:hAnsi="Times New Roman" w:cs="Times New Roman"/>
          <w:lang w:val="hu-HU"/>
        </w:rPr>
      </w:pPr>
      <w:r>
        <w:rPr>
          <w:rFonts w:ascii="Times New Roman" w:eastAsia="Times New Roman" w:hAnsi="Times New Roman" w:cs="Times New Roman"/>
          <w:i/>
          <w:iCs/>
          <w:lang w:val="hu-HU"/>
        </w:rPr>
        <w:t>Enthesitis-asszociált arthritis</w:t>
      </w:r>
    </w:p>
    <w:p w14:paraId="736F86D2" w14:textId="77777777" w:rsidR="007F2986" w:rsidRDefault="007F2986" w:rsidP="007F2986">
      <w:pPr>
        <w:spacing w:line="240" w:lineRule="exact"/>
        <w:rPr>
          <w:rFonts w:ascii="Times New Roman" w:hAnsi="Times New Roman" w:cs="Times New Roman"/>
          <w:lang w:val="hu-HU"/>
        </w:rPr>
      </w:pPr>
    </w:p>
    <w:p w14:paraId="18942CB7" w14:textId="77777777" w:rsidR="007F2986" w:rsidRDefault="007F2986" w:rsidP="007F2986">
      <w:pPr>
        <w:pStyle w:val="a3"/>
        <w:rPr>
          <w:lang w:val="hu-HU"/>
        </w:rPr>
      </w:pPr>
      <w:r>
        <w:rPr>
          <w:rFonts w:eastAsia="Times New Roman"/>
          <w:lang w:val="hu-HU"/>
        </w:rPr>
        <w:t>A Yuflyma az aktív, enthesitis-asszociált arthritis kezelésére javallott 6 éves kortól olyan betegeknél, akik a hagyományos kezelésre nem reagáltak megfelelően vagy azt nem tolerálták (lásd 5.1 pont).</w:t>
      </w:r>
    </w:p>
    <w:p w14:paraId="78F6426C" w14:textId="2BD097D8" w:rsidR="007F2986" w:rsidRDefault="007F2986" w:rsidP="007F2986">
      <w:pPr>
        <w:spacing w:line="240" w:lineRule="exact"/>
        <w:rPr>
          <w:rFonts w:ascii="Times New Roman" w:hAnsi="Times New Roman" w:cs="Times New Roman"/>
          <w:lang w:val="hu-HU"/>
        </w:rPr>
      </w:pPr>
    </w:p>
    <w:p w14:paraId="1A5F332E" w14:textId="77777777" w:rsidR="007F2986" w:rsidRDefault="007F2986" w:rsidP="007F2986">
      <w:pPr>
        <w:pStyle w:val="a3"/>
        <w:rPr>
          <w:rFonts w:eastAsia="Times New Roman"/>
          <w:u w:val="single" w:color="000000"/>
          <w:lang w:val="hu-HU"/>
        </w:rPr>
      </w:pPr>
      <w:r w:rsidRPr="009167C6">
        <w:rPr>
          <w:u w:val="single"/>
          <w:lang w:val="hu-HU"/>
        </w:rPr>
        <w:t xml:space="preserve">Gyermekkori </w:t>
      </w:r>
      <w:r>
        <w:rPr>
          <w:rFonts w:eastAsia="Times New Roman"/>
          <w:u w:val="single" w:color="000000"/>
          <w:lang w:val="hu-HU"/>
        </w:rPr>
        <w:t xml:space="preserve">plakkos psoriasis </w:t>
      </w:r>
    </w:p>
    <w:p w14:paraId="513B2E9F" w14:textId="77777777" w:rsidR="007F2986" w:rsidRDefault="007F2986" w:rsidP="007F2986">
      <w:pPr>
        <w:spacing w:line="180" w:lineRule="exact"/>
        <w:rPr>
          <w:rFonts w:ascii="Times New Roman" w:hAnsi="Times New Roman" w:cs="Times New Roman"/>
          <w:lang w:val="hu-HU"/>
        </w:rPr>
      </w:pPr>
    </w:p>
    <w:p w14:paraId="66786B77" w14:textId="77777777" w:rsidR="007F2986" w:rsidRDefault="007F2986" w:rsidP="007F2986">
      <w:pPr>
        <w:pStyle w:val="a3"/>
        <w:rPr>
          <w:lang w:val="hu-HU"/>
        </w:rPr>
      </w:pPr>
      <w:r>
        <w:rPr>
          <w:rFonts w:eastAsia="Times New Roman"/>
          <w:lang w:val="hu-HU"/>
        </w:rPr>
        <w:t xml:space="preserve">A Yuflyma súlyos, krónikus plakkos psoriasis kezelésére javallott olyan 4 év feletti gyermekeknél és serdülőknél, akik nem megfelelően reagáltak vagy </w:t>
      </w:r>
      <w:r w:rsidRPr="0079791D">
        <w:rPr>
          <w:rFonts w:eastAsia="Times New Roman"/>
          <w:lang w:val="hu-HU"/>
        </w:rPr>
        <w:t>alkalmatlannak bizonyultak</w:t>
      </w:r>
      <w:r>
        <w:rPr>
          <w:rFonts w:eastAsia="Times New Roman"/>
          <w:lang w:val="hu-HU"/>
        </w:rPr>
        <w:t xml:space="preserve"> a helyi kezelésre és fényterápiákra.</w:t>
      </w:r>
    </w:p>
    <w:p w14:paraId="34BFAF0A" w14:textId="77777777" w:rsidR="007F2986" w:rsidRDefault="007F2986" w:rsidP="007F2986">
      <w:pPr>
        <w:spacing w:line="240" w:lineRule="exact"/>
        <w:rPr>
          <w:rFonts w:ascii="Times New Roman" w:hAnsi="Times New Roman" w:cs="Times New Roman"/>
          <w:lang w:val="hu-HU"/>
        </w:rPr>
      </w:pPr>
    </w:p>
    <w:p w14:paraId="66553E89" w14:textId="77777777" w:rsidR="007F2986" w:rsidRDefault="007F2986" w:rsidP="007F2986">
      <w:pPr>
        <w:pStyle w:val="a3"/>
        <w:rPr>
          <w:u w:val="single"/>
          <w:lang w:val="hu-HU"/>
        </w:rPr>
      </w:pPr>
      <w:r w:rsidRPr="009167C6">
        <w:rPr>
          <w:u w:val="single"/>
          <w:lang w:val="hu-HU"/>
        </w:rPr>
        <w:t>Gyermekkori</w:t>
      </w:r>
      <w:r w:rsidDel="0079791D">
        <w:rPr>
          <w:rFonts w:eastAsia="Times New Roman"/>
          <w:u w:val="single" w:color="000000"/>
          <w:lang w:val="hu-HU"/>
        </w:rPr>
        <w:t xml:space="preserve"> </w:t>
      </w:r>
      <w:r>
        <w:rPr>
          <w:rFonts w:eastAsia="Times New Roman"/>
          <w:u w:val="single" w:color="000000"/>
          <w:lang w:val="hu-HU"/>
        </w:rPr>
        <w:t>Crohn-betegség</w:t>
      </w:r>
      <w:r w:rsidRPr="0079791D">
        <w:rPr>
          <w:rFonts w:eastAsia="Times New Roman"/>
          <w:u w:val="single" w:color="000000"/>
          <w:lang w:val="hu-HU"/>
        </w:rPr>
        <w:t xml:space="preserve"> </w:t>
      </w:r>
    </w:p>
    <w:p w14:paraId="6F4CF11F" w14:textId="77777777" w:rsidR="007F2986" w:rsidRDefault="007F2986" w:rsidP="007F2986">
      <w:pPr>
        <w:spacing w:line="170" w:lineRule="exact"/>
        <w:rPr>
          <w:rFonts w:ascii="Times New Roman" w:hAnsi="Times New Roman" w:cs="Times New Roman"/>
          <w:lang w:val="hu-HU"/>
        </w:rPr>
      </w:pPr>
    </w:p>
    <w:p w14:paraId="75CB2CEB" w14:textId="77777777" w:rsidR="007F2986" w:rsidRDefault="007F2986" w:rsidP="007F2986">
      <w:pPr>
        <w:pStyle w:val="a3"/>
        <w:rPr>
          <w:lang w:val="hu-HU"/>
        </w:rPr>
      </w:pPr>
      <w:r>
        <w:rPr>
          <w:rFonts w:eastAsia="Times New Roman"/>
          <w:lang w:val="hu-HU"/>
        </w:rPr>
        <w:t>Az közepesen súlyos-</w:t>
      </w:r>
      <w:r w:rsidRPr="009167C6">
        <w:rPr>
          <w:lang w:val="hu-HU"/>
        </w:rPr>
        <w:t> </w:t>
      </w:r>
      <w:r>
        <w:rPr>
          <w:rFonts w:eastAsia="Times New Roman"/>
          <w:lang w:val="hu-HU"/>
        </w:rPr>
        <w:t>súlyos aktivitású Crohn-betegség kezelésére javallott olyan gyermekeknél (6 éves kortól), akik nem reagáltak megfelelően a hagyományos kezelésekre, beleértve a primer étrendi kezelést és egy kortikoszteroidot és/vagy egy immunmodulánst, vagy akik nem tolerálták ezeket a gyógyszereket, illetve akiknél ezek a kezelések kontraindikáltak.</w:t>
      </w:r>
    </w:p>
    <w:p w14:paraId="0E871A8D" w14:textId="77777777" w:rsidR="007F2986" w:rsidRDefault="007F2986" w:rsidP="007F2986">
      <w:pPr>
        <w:spacing w:line="240" w:lineRule="exact"/>
        <w:rPr>
          <w:rFonts w:ascii="Times New Roman" w:hAnsi="Times New Roman" w:cs="Times New Roman"/>
          <w:lang w:val="hu-HU"/>
        </w:rPr>
      </w:pPr>
    </w:p>
    <w:p w14:paraId="1775F734" w14:textId="77777777" w:rsidR="007F2986" w:rsidRDefault="007F2986" w:rsidP="007F2986">
      <w:pPr>
        <w:pStyle w:val="a3"/>
        <w:rPr>
          <w:u w:val="single"/>
          <w:lang w:val="hu-HU"/>
        </w:rPr>
      </w:pPr>
      <w:r w:rsidRPr="009167C6">
        <w:rPr>
          <w:u w:val="single"/>
          <w:lang w:val="hu-HU"/>
        </w:rPr>
        <w:t>Gyermekkori</w:t>
      </w:r>
      <w:r w:rsidDel="00414C73">
        <w:rPr>
          <w:rFonts w:eastAsia="Times New Roman"/>
          <w:u w:val="single" w:color="000000"/>
          <w:lang w:val="hu-HU"/>
        </w:rPr>
        <w:t xml:space="preserve"> </w:t>
      </w:r>
      <w:r>
        <w:rPr>
          <w:rFonts w:eastAsia="Times New Roman"/>
          <w:u w:val="single" w:color="000000"/>
          <w:lang w:val="hu-HU"/>
        </w:rPr>
        <w:t>uveitis</w:t>
      </w:r>
    </w:p>
    <w:p w14:paraId="23994488" w14:textId="77777777" w:rsidR="007F2986" w:rsidRDefault="007F2986" w:rsidP="007F2986">
      <w:pPr>
        <w:spacing w:line="180" w:lineRule="exact"/>
        <w:rPr>
          <w:rFonts w:ascii="Times New Roman" w:hAnsi="Times New Roman" w:cs="Times New Roman"/>
          <w:lang w:val="hu-HU"/>
        </w:rPr>
      </w:pPr>
    </w:p>
    <w:p w14:paraId="49E6E98D" w14:textId="77777777" w:rsidR="007F2986" w:rsidRDefault="007F2986" w:rsidP="007F2986">
      <w:pPr>
        <w:pStyle w:val="a3"/>
        <w:rPr>
          <w:lang w:val="hu-HU"/>
        </w:rPr>
      </w:pPr>
      <w:r>
        <w:rPr>
          <w:rFonts w:eastAsia="Times New Roman"/>
          <w:lang w:val="hu-HU"/>
        </w:rPr>
        <w:t>A Yuflyma a krónikus, nem fertőzéses eredetű anterior uveitis kezelésére javallott olyan 2 évnél idősebb gyermekeknél, akik nem megfelelően reagáltak a hagyományos kezelésre vagy nem tolerálták azt, illetve akiknél a hagyományos kezelés nem alkalmazható.</w:t>
      </w:r>
    </w:p>
    <w:p w14:paraId="3A9A9F63" w14:textId="77777777" w:rsidR="007F2986" w:rsidRDefault="007F2986" w:rsidP="007F2986">
      <w:pPr>
        <w:spacing w:before="15" w:line="240" w:lineRule="exact"/>
        <w:rPr>
          <w:rFonts w:ascii="Times New Roman" w:hAnsi="Times New Roman" w:cs="Times New Roman"/>
          <w:lang w:val="hu-HU"/>
        </w:rPr>
      </w:pPr>
    </w:p>
    <w:p w14:paraId="58E178A6" w14:textId="77777777" w:rsidR="007F2986" w:rsidRDefault="007F2986" w:rsidP="00FD05AA">
      <w:pPr>
        <w:widowControl/>
        <w:numPr>
          <w:ilvl w:val="1"/>
          <w:numId w:val="76"/>
        </w:numPr>
        <w:tabs>
          <w:tab w:val="left" w:pos="567"/>
        </w:tabs>
        <w:spacing w:line="260" w:lineRule="exact"/>
        <w:ind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Adagolás és alkalmazás</w:t>
      </w:r>
    </w:p>
    <w:p w14:paraId="5CDE506B" w14:textId="77777777" w:rsidR="007F2986" w:rsidRDefault="007F2986" w:rsidP="007F2986">
      <w:pPr>
        <w:spacing w:before="9" w:line="240" w:lineRule="exact"/>
        <w:rPr>
          <w:rFonts w:ascii="Times New Roman" w:hAnsi="Times New Roman" w:cs="Times New Roman"/>
          <w:lang w:val="hu-HU"/>
        </w:rPr>
      </w:pPr>
    </w:p>
    <w:p w14:paraId="57C00A16" w14:textId="08DAE5BE" w:rsidR="007F2986" w:rsidRDefault="007F2986" w:rsidP="007F2986">
      <w:pPr>
        <w:pStyle w:val="a3"/>
        <w:rPr>
          <w:lang w:val="hu-HU"/>
        </w:rPr>
      </w:pPr>
      <w:r>
        <w:rPr>
          <w:rFonts w:eastAsia="Times New Roman"/>
          <w:lang w:val="hu-HU"/>
        </w:rPr>
        <w:t xml:space="preserve">Yuflyma-kezelést csak olyan szakorvos kezdhet el, illetve folytathat, aki jártas azoknak a betegségeknek a diagnosztikájában és kezelésében, amikre a Yuflyma javallott. Javasolt, hogy a szemészek a Yuflyma -kezelés megkezdése előtt konzultáljanak a megfelelő szakorvossal (lásd 4.4 pont). A Yuflyma-val kezelt betegeknek egy </w:t>
      </w:r>
      <w:proofErr w:type="spellStart"/>
      <w:r>
        <w:t>Beteg</w:t>
      </w:r>
      <w:r w:rsidR="00CD208F">
        <w:t>k</w:t>
      </w:r>
      <w:r w:rsidRPr="000F4DB4">
        <w:t>ártyát</w:t>
      </w:r>
      <w:proofErr w:type="spellEnd"/>
      <w:r w:rsidRPr="000F4DB4">
        <w:t xml:space="preserve"> </w:t>
      </w:r>
      <w:r>
        <w:t>is</w:t>
      </w:r>
      <w:r>
        <w:rPr>
          <w:rFonts w:eastAsia="Times New Roman"/>
          <w:lang w:val="hu-HU"/>
        </w:rPr>
        <w:t xml:space="preserve"> kell kapniuk.</w:t>
      </w:r>
    </w:p>
    <w:p w14:paraId="7D4FD970" w14:textId="77777777" w:rsidR="007F2986" w:rsidRDefault="007F2986" w:rsidP="007F2986">
      <w:pPr>
        <w:spacing w:line="240" w:lineRule="exact"/>
        <w:rPr>
          <w:rFonts w:ascii="Times New Roman" w:hAnsi="Times New Roman" w:cs="Times New Roman"/>
          <w:lang w:val="hu-HU"/>
        </w:rPr>
      </w:pPr>
    </w:p>
    <w:p w14:paraId="7B5589A8" w14:textId="77777777" w:rsidR="007F2986" w:rsidRDefault="007F2986" w:rsidP="007F2986">
      <w:pPr>
        <w:pStyle w:val="a3"/>
        <w:rPr>
          <w:lang w:val="hu-HU"/>
        </w:rPr>
      </w:pPr>
      <w:r>
        <w:rPr>
          <w:rFonts w:eastAsia="Times New Roman"/>
          <w:lang w:val="hu-HU"/>
        </w:rPr>
        <w:t>A helyes injekciós technika elsajátítása után a betegek, ha az orvos úgy ítéli meg, akár önmaguknak is beadhatják a Yuflyma-t szükség szerinti orvosi ellenőrzés mellett.</w:t>
      </w:r>
    </w:p>
    <w:p w14:paraId="1B8EE87F" w14:textId="77777777" w:rsidR="007F2986" w:rsidRDefault="007F2986" w:rsidP="007F2986">
      <w:pPr>
        <w:spacing w:line="240" w:lineRule="exact"/>
        <w:rPr>
          <w:rFonts w:ascii="Times New Roman" w:hAnsi="Times New Roman" w:cs="Times New Roman"/>
          <w:lang w:val="hu-HU"/>
        </w:rPr>
      </w:pPr>
    </w:p>
    <w:p w14:paraId="547A0A5B" w14:textId="77777777" w:rsidR="007F2986" w:rsidRDefault="007F2986" w:rsidP="007F2986">
      <w:pPr>
        <w:pStyle w:val="a3"/>
        <w:rPr>
          <w:lang w:val="hu-HU"/>
        </w:rPr>
      </w:pPr>
      <w:r>
        <w:rPr>
          <w:rFonts w:eastAsia="Times New Roman"/>
          <w:lang w:val="hu-HU"/>
        </w:rPr>
        <w:t>A Yuflyma-kezelés ideje alatt optimalizálni kell a más gyógyszerek (például kortikoszteroidok és/ vagy immunmodulánsok) alkalmazásával végzett egyidejű terápiát.</w:t>
      </w:r>
    </w:p>
    <w:p w14:paraId="4E9D27EA" w14:textId="78C7FFFE" w:rsidR="007F2986" w:rsidRDefault="007F2986" w:rsidP="007F2986">
      <w:pPr>
        <w:spacing w:line="240" w:lineRule="exact"/>
        <w:rPr>
          <w:rFonts w:ascii="Times New Roman" w:hAnsi="Times New Roman" w:cs="Times New Roman"/>
          <w:lang w:val="hu-HU"/>
        </w:rPr>
      </w:pPr>
    </w:p>
    <w:p w14:paraId="7E112414" w14:textId="77777777" w:rsidR="007F2986" w:rsidRDefault="007F2986" w:rsidP="007F2986">
      <w:pPr>
        <w:pStyle w:val="a3"/>
        <w:rPr>
          <w:u w:val="single"/>
          <w:lang w:val="hu-HU"/>
        </w:rPr>
      </w:pPr>
      <w:r>
        <w:rPr>
          <w:rFonts w:eastAsia="Times New Roman"/>
          <w:u w:val="single" w:color="000000"/>
          <w:lang w:val="hu-HU"/>
        </w:rPr>
        <w:t>Adagolás</w:t>
      </w:r>
    </w:p>
    <w:p w14:paraId="32890478" w14:textId="5710FDCD" w:rsidR="007F2986" w:rsidRDefault="007F2986" w:rsidP="007F2986">
      <w:pPr>
        <w:pStyle w:val="a3"/>
        <w:rPr>
          <w:lang w:val="hu-HU"/>
        </w:rPr>
      </w:pPr>
    </w:p>
    <w:p w14:paraId="4D7D4516" w14:textId="77777777" w:rsidR="007F2986" w:rsidRDefault="007F2986" w:rsidP="007F2986">
      <w:pPr>
        <w:pStyle w:val="a3"/>
        <w:rPr>
          <w:i/>
          <w:lang w:val="hu-HU"/>
        </w:rPr>
      </w:pPr>
      <w:r>
        <w:rPr>
          <w:rFonts w:eastAsia="Times New Roman"/>
          <w:i/>
          <w:iCs/>
          <w:lang w:val="hu-HU"/>
        </w:rPr>
        <w:t>Gyermekek és serdülők</w:t>
      </w:r>
    </w:p>
    <w:p w14:paraId="36313702" w14:textId="77777777" w:rsidR="007F2986" w:rsidRDefault="007F2986" w:rsidP="007F2986">
      <w:pPr>
        <w:pStyle w:val="a3"/>
        <w:rPr>
          <w:lang w:val="hu-HU"/>
        </w:rPr>
      </w:pPr>
    </w:p>
    <w:p w14:paraId="19181FEB" w14:textId="77777777" w:rsidR="007F2986" w:rsidRDefault="007F2986" w:rsidP="007F2986">
      <w:pPr>
        <w:spacing w:line="480" w:lineRule="auto"/>
        <w:rPr>
          <w:rFonts w:ascii="Times New Roman" w:eastAsia="Times New Roman" w:hAnsi="Times New Roman" w:cs="Times New Roman"/>
          <w:i/>
          <w:spacing w:val="-1"/>
          <w:lang w:val="hu-HU"/>
        </w:rPr>
      </w:pPr>
      <w:r>
        <w:rPr>
          <w:rFonts w:ascii="Times New Roman" w:eastAsia="Times New Roman" w:hAnsi="Times New Roman" w:cs="Times New Roman"/>
          <w:i/>
          <w:iCs/>
          <w:spacing w:val="-1"/>
          <w:lang w:val="hu-HU"/>
        </w:rPr>
        <w:t>Juvenilis idiopathiás arthritis</w:t>
      </w:r>
    </w:p>
    <w:p w14:paraId="4D8D4C31" w14:textId="77777777" w:rsidR="007F2986" w:rsidRPr="009167C6" w:rsidRDefault="007F2986" w:rsidP="007F2986">
      <w:pPr>
        <w:spacing w:line="480" w:lineRule="auto"/>
        <w:rPr>
          <w:rFonts w:ascii="Times New Roman" w:eastAsia="Times New Roman" w:hAnsi="Times New Roman" w:cs="Times New Roman"/>
          <w:i/>
          <w:u w:val="single"/>
          <w:lang w:val="hu-HU"/>
        </w:rPr>
      </w:pPr>
      <w:r w:rsidRPr="00DA48CC">
        <w:rPr>
          <w:rFonts w:ascii="Times New Roman" w:hAnsi="Times New Roman" w:cs="Times New Roman"/>
          <w:i/>
          <w:u w:val="single"/>
          <w:lang w:val="hu-HU"/>
        </w:rPr>
        <w:t>Polyarticularis</w:t>
      </w:r>
      <w:r>
        <w:rPr>
          <w:rFonts w:ascii="Times New Roman" w:eastAsia="Times New Roman" w:hAnsi="Times New Roman" w:cs="Times New Roman"/>
          <w:i/>
          <w:iCs/>
          <w:spacing w:val="-1"/>
          <w:u w:val="single" w:color="000000"/>
          <w:lang w:val="hu-HU"/>
        </w:rPr>
        <w:t xml:space="preserve"> juvenilis idiopathiás arthritis 2 éves </w:t>
      </w:r>
      <w:r w:rsidRPr="009167C6">
        <w:rPr>
          <w:rFonts w:ascii="Times New Roman" w:eastAsia="Times New Roman" w:hAnsi="Times New Roman" w:cs="Times New Roman"/>
          <w:i/>
          <w:spacing w:val="-1"/>
          <w:u w:val="single"/>
          <w:lang w:val="hu-HU"/>
        </w:rPr>
        <w:t>kortól</w:t>
      </w:r>
    </w:p>
    <w:p w14:paraId="40B0DB21" w14:textId="11C22789" w:rsidR="007F2986" w:rsidRDefault="007F2986" w:rsidP="007F2986">
      <w:pPr>
        <w:pStyle w:val="a3"/>
        <w:rPr>
          <w:lang w:val="hu-HU"/>
        </w:rPr>
      </w:pPr>
      <w:r>
        <w:rPr>
          <w:rFonts w:eastAsia="Times New Roman"/>
          <w:lang w:val="hu-HU"/>
        </w:rPr>
        <w:t xml:space="preserve">A Yuflyma ajánlott adagja </w:t>
      </w:r>
      <w:r w:rsidRPr="009167C6">
        <w:rPr>
          <w:u w:val="single"/>
          <w:lang w:val="hu-HU"/>
        </w:rPr>
        <w:t>polyarticularis</w:t>
      </w:r>
      <w:r>
        <w:rPr>
          <w:rFonts w:eastAsia="Times New Roman"/>
          <w:lang w:val="hu-HU"/>
        </w:rPr>
        <w:t xml:space="preserve"> juvenilis idiopathiás arthritisben szenvedő 2 évesnél idősebb betegek esetében a testtömegtől függ (1. táblázat). Az Yuflymát kéthetente kell beadni subcutan</w:t>
      </w:r>
      <w:r w:rsidR="00CF5631">
        <w:rPr>
          <w:rFonts w:eastAsia="Times New Roman"/>
          <w:lang w:val="hu-HU"/>
        </w:rPr>
        <w:t xml:space="preserve"> </w:t>
      </w:r>
      <w:r>
        <w:rPr>
          <w:rFonts w:eastAsia="Times New Roman"/>
          <w:lang w:val="hu-HU"/>
        </w:rPr>
        <w:t>injekció formájában.</w:t>
      </w:r>
    </w:p>
    <w:p w14:paraId="5BD346F8" w14:textId="77777777" w:rsidR="007F2986" w:rsidRDefault="007F2986" w:rsidP="007F2986">
      <w:pPr>
        <w:pStyle w:val="a3"/>
        <w:rPr>
          <w:lang w:val="hu-HU"/>
        </w:rPr>
      </w:pPr>
    </w:p>
    <w:p w14:paraId="53568AF5" w14:textId="77777777" w:rsidR="007F2986" w:rsidRDefault="007F2986" w:rsidP="007F2986">
      <w:pPr>
        <w:pStyle w:val="a3"/>
        <w:jc w:val="center"/>
        <w:rPr>
          <w:b/>
          <w:lang w:val="hu-HU"/>
        </w:rPr>
      </w:pPr>
      <w:r>
        <w:rPr>
          <w:rFonts w:eastAsia="Times New Roman"/>
          <w:b/>
          <w:bCs/>
          <w:lang w:val="hu-HU"/>
        </w:rPr>
        <w:t>1. táblázat. A Yuflyma dózisa polyarticularis juvenilis idiopathiás arthritisben szenvedő</w:t>
      </w:r>
    </w:p>
    <w:p w14:paraId="3A1DC44D" w14:textId="77777777" w:rsidR="007F2986" w:rsidRDefault="007F2986" w:rsidP="007F2986">
      <w:pPr>
        <w:pStyle w:val="a3"/>
        <w:jc w:val="center"/>
        <w:rPr>
          <w:rFonts w:eastAsia="Times New Roman"/>
          <w:b/>
          <w:bCs/>
          <w:lang w:val="hu-HU"/>
        </w:rPr>
      </w:pPr>
      <w:r>
        <w:rPr>
          <w:rFonts w:eastAsia="Times New Roman"/>
          <w:b/>
          <w:bCs/>
          <w:lang w:val="hu-HU"/>
        </w:rPr>
        <w:t>betegeknél</w:t>
      </w:r>
    </w:p>
    <w:p w14:paraId="23009C02" w14:textId="77777777" w:rsidR="007F2986" w:rsidRDefault="007F2986" w:rsidP="007F2986">
      <w:pPr>
        <w:pStyle w:val="a3"/>
        <w:rPr>
          <w:lang w:val="hu-HU"/>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1"/>
        <w:gridCol w:w="3271"/>
      </w:tblGrid>
      <w:tr w:rsidR="007F2986" w:rsidRPr="001918FA" w14:paraId="14EC3E05" w14:textId="77777777" w:rsidTr="00CC2E43">
        <w:trPr>
          <w:trHeight w:val="388"/>
          <w:jc w:val="center"/>
        </w:trPr>
        <w:tc>
          <w:tcPr>
            <w:tcW w:w="3271" w:type="dxa"/>
            <w:tcBorders>
              <w:top w:val="single" w:sz="4" w:space="0" w:color="auto"/>
              <w:bottom w:val="single" w:sz="4" w:space="0" w:color="auto"/>
            </w:tcBorders>
            <w:vAlign w:val="center"/>
          </w:tcPr>
          <w:p w14:paraId="696DD0FD" w14:textId="77777777" w:rsidR="007F2986" w:rsidRDefault="007F2986" w:rsidP="00CC2E43">
            <w:pPr>
              <w:pStyle w:val="a3"/>
              <w:jc w:val="center"/>
              <w:rPr>
                <w:b/>
                <w:lang w:val="hu-HU"/>
              </w:rPr>
            </w:pPr>
            <w:r>
              <w:rPr>
                <w:rFonts w:eastAsia="Times New Roman"/>
                <w:b/>
                <w:bCs/>
                <w:lang w:val="hu-HU"/>
              </w:rPr>
              <w:t>A beteg testtömege</w:t>
            </w:r>
          </w:p>
        </w:tc>
        <w:tc>
          <w:tcPr>
            <w:tcW w:w="3271" w:type="dxa"/>
            <w:tcBorders>
              <w:top w:val="single" w:sz="4" w:space="0" w:color="auto"/>
              <w:bottom w:val="single" w:sz="4" w:space="0" w:color="auto"/>
            </w:tcBorders>
            <w:vAlign w:val="center"/>
          </w:tcPr>
          <w:p w14:paraId="34F77911" w14:textId="77777777" w:rsidR="007F2986" w:rsidRDefault="007F2986" w:rsidP="00CC2E43">
            <w:pPr>
              <w:pStyle w:val="a3"/>
              <w:jc w:val="center"/>
              <w:rPr>
                <w:b/>
                <w:lang w:val="hu-HU"/>
              </w:rPr>
            </w:pPr>
            <w:r>
              <w:rPr>
                <w:rFonts w:eastAsia="Times New Roman"/>
                <w:b/>
                <w:bCs/>
                <w:lang w:val="hu-HU"/>
              </w:rPr>
              <w:t>Adagolási rend</w:t>
            </w:r>
          </w:p>
        </w:tc>
      </w:tr>
      <w:tr w:rsidR="00CC2E43" w:rsidRPr="001918FA" w14:paraId="1DD4E436" w14:textId="77777777" w:rsidTr="00CC2E43">
        <w:trPr>
          <w:trHeight w:val="403"/>
          <w:jc w:val="center"/>
        </w:trPr>
        <w:tc>
          <w:tcPr>
            <w:tcW w:w="3271" w:type="dxa"/>
            <w:tcBorders>
              <w:top w:val="single" w:sz="4" w:space="0" w:color="auto"/>
              <w:bottom w:val="single" w:sz="4" w:space="0" w:color="auto"/>
            </w:tcBorders>
            <w:vAlign w:val="center"/>
          </w:tcPr>
          <w:p w14:paraId="46140C2D" w14:textId="77777777" w:rsidR="00CC2E43" w:rsidRDefault="00CC2E43" w:rsidP="00CC2E43">
            <w:pPr>
              <w:pStyle w:val="a3"/>
              <w:jc w:val="center"/>
              <w:rPr>
                <w:lang w:val="hu-HU"/>
              </w:rPr>
            </w:pPr>
            <w:r>
              <w:rPr>
                <w:rFonts w:eastAsia="Times New Roman"/>
                <w:lang w:val="hu-HU"/>
              </w:rPr>
              <w:t>10 kg - &lt; 30 kg</w:t>
            </w:r>
          </w:p>
        </w:tc>
        <w:tc>
          <w:tcPr>
            <w:tcW w:w="3271" w:type="dxa"/>
            <w:tcBorders>
              <w:top w:val="single" w:sz="4" w:space="0" w:color="auto"/>
              <w:bottom w:val="single" w:sz="4" w:space="0" w:color="auto"/>
            </w:tcBorders>
            <w:vAlign w:val="center"/>
          </w:tcPr>
          <w:p w14:paraId="0A23E355" w14:textId="1C93920A" w:rsidR="00CC2E43" w:rsidRDefault="00CC2E43" w:rsidP="00CC2E43">
            <w:pPr>
              <w:pStyle w:val="a3"/>
              <w:jc w:val="center"/>
              <w:rPr>
                <w:lang w:val="hu-HU"/>
              </w:rPr>
            </w:pPr>
            <w:r>
              <w:rPr>
                <w:rFonts w:eastAsia="Times New Roman"/>
                <w:lang w:val="hu-HU"/>
              </w:rPr>
              <w:t>20 mg kéthetente</w:t>
            </w:r>
          </w:p>
        </w:tc>
      </w:tr>
      <w:tr w:rsidR="00CC2E43" w:rsidRPr="001918FA" w14:paraId="2990AFDD" w14:textId="77777777" w:rsidTr="00CC2E43">
        <w:trPr>
          <w:trHeight w:val="388"/>
          <w:jc w:val="center"/>
        </w:trPr>
        <w:tc>
          <w:tcPr>
            <w:tcW w:w="3271" w:type="dxa"/>
            <w:tcBorders>
              <w:top w:val="single" w:sz="4" w:space="0" w:color="auto"/>
              <w:bottom w:val="single" w:sz="4" w:space="0" w:color="auto"/>
            </w:tcBorders>
            <w:vAlign w:val="center"/>
          </w:tcPr>
          <w:p w14:paraId="0B43A52A" w14:textId="77777777" w:rsidR="00CC2E43" w:rsidRDefault="00CC2E43" w:rsidP="00CC2E43">
            <w:pPr>
              <w:pStyle w:val="a3"/>
              <w:jc w:val="center"/>
              <w:rPr>
                <w:lang w:val="hu-HU"/>
              </w:rPr>
            </w:pPr>
            <w:r>
              <w:rPr>
                <w:rFonts w:eastAsia="Times New Roman"/>
                <w:lang w:val="hu-HU"/>
              </w:rPr>
              <w:t>≥ 30 kg</w:t>
            </w:r>
          </w:p>
        </w:tc>
        <w:tc>
          <w:tcPr>
            <w:tcW w:w="3271" w:type="dxa"/>
            <w:tcBorders>
              <w:top w:val="single" w:sz="4" w:space="0" w:color="auto"/>
              <w:bottom w:val="single" w:sz="4" w:space="0" w:color="auto"/>
            </w:tcBorders>
            <w:vAlign w:val="center"/>
          </w:tcPr>
          <w:p w14:paraId="3D2402EA" w14:textId="77777777" w:rsidR="00CC2E43" w:rsidRDefault="00CC2E43" w:rsidP="00CC2E43">
            <w:pPr>
              <w:pStyle w:val="a3"/>
              <w:jc w:val="center"/>
              <w:rPr>
                <w:lang w:val="hu-HU"/>
              </w:rPr>
            </w:pPr>
            <w:r>
              <w:rPr>
                <w:rFonts w:eastAsia="Times New Roman"/>
                <w:lang w:val="hu-HU"/>
              </w:rPr>
              <w:t>40 mg kéthetente</w:t>
            </w:r>
          </w:p>
        </w:tc>
      </w:tr>
    </w:tbl>
    <w:p w14:paraId="4F6FFE2E" w14:textId="77777777" w:rsidR="007F2986" w:rsidRDefault="007F2986" w:rsidP="007F2986">
      <w:pPr>
        <w:pStyle w:val="a3"/>
        <w:rPr>
          <w:lang w:val="hu-HU"/>
        </w:rPr>
      </w:pPr>
    </w:p>
    <w:p w14:paraId="167709A6" w14:textId="77777777" w:rsidR="007F2986" w:rsidRDefault="007F2986" w:rsidP="007F2986">
      <w:pPr>
        <w:pStyle w:val="a3"/>
        <w:rPr>
          <w:lang w:val="hu-HU"/>
        </w:rPr>
      </w:pPr>
      <w:r>
        <w:rPr>
          <w:rFonts w:eastAsia="Times New Roman"/>
          <w:lang w:val="hu-HU"/>
        </w:rPr>
        <w:t>A rendelkezésre álló adatok arra utalnak, hogy a klinikai választ rendszerint 12 hetes kezelési időn belül érik el. A kezelés folytatását alaposan meg kell fontolni, ha a beteg ezen időszak alatt nem reagál a kezelésre.</w:t>
      </w:r>
    </w:p>
    <w:p w14:paraId="6FB9DE19" w14:textId="77777777" w:rsidR="007F2986" w:rsidRDefault="007F2986" w:rsidP="007F2986">
      <w:pPr>
        <w:pStyle w:val="a3"/>
        <w:rPr>
          <w:lang w:val="hu-HU"/>
        </w:rPr>
      </w:pPr>
    </w:p>
    <w:p w14:paraId="488A5925" w14:textId="77777777" w:rsidR="007F2986" w:rsidRDefault="007F2986" w:rsidP="007F2986">
      <w:pPr>
        <w:pStyle w:val="a3"/>
        <w:rPr>
          <w:lang w:val="hu-HU"/>
        </w:rPr>
      </w:pPr>
      <w:r>
        <w:rPr>
          <w:rFonts w:eastAsia="Times New Roman"/>
          <w:lang w:val="hu-HU"/>
        </w:rPr>
        <w:t>2 évesnél fiatalabb betegek esetében az adalimumabnak ebben a javallatban nincs releváns alkalmazása.</w:t>
      </w:r>
    </w:p>
    <w:p w14:paraId="7E8AC837" w14:textId="6B06E2D1" w:rsidR="007F2986" w:rsidRDefault="007F2986" w:rsidP="007F2986">
      <w:pPr>
        <w:pStyle w:val="a3"/>
        <w:ind w:right="203"/>
        <w:rPr>
          <w:lang w:val="hu-HU"/>
        </w:rPr>
      </w:pPr>
    </w:p>
    <w:p w14:paraId="02386CBB" w14:textId="46A2360E" w:rsidR="00CC2E43" w:rsidRPr="00CC2E43" w:rsidRDefault="00CC2E43" w:rsidP="007F2986">
      <w:pPr>
        <w:pStyle w:val="a3"/>
        <w:ind w:right="203"/>
        <w:rPr>
          <w:lang w:val="hu-HU"/>
        </w:rPr>
      </w:pPr>
      <w:r w:rsidRPr="005A05DE">
        <w:rPr>
          <w:lang w:val="hu-HU"/>
        </w:rPr>
        <w:t xml:space="preserve">A </w:t>
      </w:r>
      <w:r w:rsidR="00D92752">
        <w:rPr>
          <w:lang w:val="hu-HU"/>
        </w:rPr>
        <w:t>Yuflyma</w:t>
      </w:r>
      <w:r w:rsidRPr="005A05DE">
        <w:rPr>
          <w:lang w:val="hu-HU"/>
        </w:rPr>
        <w:t xml:space="preserve"> más hatáserősségben és/vagy kiszerelésben is elérhető az egyéni terápiás igényeknek megfelelően</w:t>
      </w:r>
      <w:r>
        <w:rPr>
          <w:lang w:val="hu-HU"/>
        </w:rPr>
        <w:t>.</w:t>
      </w:r>
    </w:p>
    <w:p w14:paraId="0009E85C" w14:textId="77777777" w:rsidR="00CC2E43" w:rsidRDefault="00CC2E43" w:rsidP="007F2986">
      <w:pPr>
        <w:pStyle w:val="a3"/>
        <w:ind w:right="203"/>
        <w:rPr>
          <w:lang w:val="hu-HU"/>
        </w:rPr>
      </w:pPr>
    </w:p>
    <w:p w14:paraId="2D2FD5C6" w14:textId="77777777" w:rsidR="007F2986" w:rsidRDefault="007F2986" w:rsidP="007F2986">
      <w:pPr>
        <w:rPr>
          <w:rFonts w:ascii="Times New Roman" w:eastAsia="Times New Roman" w:hAnsi="Times New Roman" w:cs="Times New Roman"/>
          <w:lang w:val="hu-HU"/>
        </w:rPr>
      </w:pPr>
      <w:r>
        <w:rPr>
          <w:rFonts w:ascii="Times New Roman" w:eastAsia="Times New Roman" w:hAnsi="Times New Roman" w:cs="Times New Roman"/>
          <w:i/>
          <w:iCs/>
          <w:u w:val="single" w:color="000000"/>
          <w:lang w:val="hu-HU"/>
        </w:rPr>
        <w:t>Enthesitis-asszociált arthritis</w:t>
      </w:r>
    </w:p>
    <w:p w14:paraId="1F28E712" w14:textId="77777777" w:rsidR="007F2986" w:rsidRDefault="007F2986" w:rsidP="007F2986">
      <w:pPr>
        <w:spacing w:before="9" w:line="170" w:lineRule="exact"/>
        <w:rPr>
          <w:sz w:val="17"/>
          <w:szCs w:val="17"/>
          <w:lang w:val="hu-HU"/>
        </w:rPr>
      </w:pPr>
    </w:p>
    <w:p w14:paraId="7F3564B8" w14:textId="77777777" w:rsidR="007F2986" w:rsidRDefault="007F2986" w:rsidP="007F2986">
      <w:pPr>
        <w:pStyle w:val="a3"/>
        <w:rPr>
          <w:rFonts w:eastAsia="Times New Roman"/>
          <w:lang w:val="hu-HU"/>
        </w:rPr>
      </w:pPr>
      <w:r>
        <w:rPr>
          <w:rFonts w:eastAsia="Times New Roman"/>
          <w:lang w:val="hu-HU"/>
        </w:rPr>
        <w:t>A Yuflyma ajánlott adagja enthesitis-asszociált arthritisben szenvedő 6 évesnél idősebb betegek esetében a testtömegtől függ (2. táblázat). Az Yuflymát kéthetente kell beadni subcutaninjekció formájában.</w:t>
      </w:r>
    </w:p>
    <w:p w14:paraId="3E65D61D" w14:textId="77777777" w:rsidR="007F2986" w:rsidRDefault="007F2986" w:rsidP="007F2986">
      <w:pPr>
        <w:pStyle w:val="a3"/>
        <w:rPr>
          <w:lang w:val="hu-HU"/>
        </w:rPr>
      </w:pPr>
    </w:p>
    <w:p w14:paraId="63D3E655" w14:textId="77777777" w:rsidR="007F2986" w:rsidRDefault="007F2986" w:rsidP="007F2986">
      <w:pPr>
        <w:pStyle w:val="a3"/>
        <w:jc w:val="center"/>
        <w:rPr>
          <w:b/>
          <w:lang w:val="hu-HU"/>
        </w:rPr>
      </w:pPr>
      <w:r>
        <w:rPr>
          <w:rFonts w:eastAsia="Times New Roman"/>
          <w:b/>
          <w:bCs/>
          <w:lang w:val="hu-HU"/>
        </w:rPr>
        <w:t>2. táblázat. A Yuflyma dózisa enthesitis-asszociált arthritisben szenvedő betegeknél</w:t>
      </w:r>
    </w:p>
    <w:p w14:paraId="533835E0" w14:textId="77777777" w:rsidR="007F2986" w:rsidRDefault="007F2986" w:rsidP="007F2986">
      <w:pPr>
        <w:spacing w:before="7" w:line="220" w:lineRule="exact"/>
        <w:rPr>
          <w:lang w:val="hu-HU"/>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7F2986" w14:paraId="29E171A1" w14:textId="77777777" w:rsidTr="00CC2E43">
        <w:trPr>
          <w:trHeight w:val="374"/>
          <w:jc w:val="center"/>
        </w:trPr>
        <w:tc>
          <w:tcPr>
            <w:tcW w:w="3572" w:type="dxa"/>
            <w:tcBorders>
              <w:top w:val="single" w:sz="4" w:space="0" w:color="auto"/>
              <w:bottom w:val="single" w:sz="4" w:space="0" w:color="auto"/>
            </w:tcBorders>
            <w:vAlign w:val="center"/>
          </w:tcPr>
          <w:p w14:paraId="2E77BAE7" w14:textId="77777777" w:rsidR="007F2986" w:rsidRDefault="007F2986" w:rsidP="00CC2E43">
            <w:pPr>
              <w:pStyle w:val="a3"/>
              <w:jc w:val="center"/>
              <w:rPr>
                <w:b/>
                <w:lang w:val="hu-HU"/>
              </w:rPr>
            </w:pPr>
            <w:r>
              <w:rPr>
                <w:rFonts w:eastAsia="Times New Roman"/>
                <w:b/>
                <w:bCs/>
                <w:lang w:val="hu-HU"/>
              </w:rPr>
              <w:t>A beteg testtömege</w:t>
            </w:r>
          </w:p>
        </w:tc>
        <w:tc>
          <w:tcPr>
            <w:tcW w:w="3572" w:type="dxa"/>
            <w:tcBorders>
              <w:top w:val="single" w:sz="4" w:space="0" w:color="auto"/>
              <w:bottom w:val="single" w:sz="4" w:space="0" w:color="auto"/>
            </w:tcBorders>
            <w:vAlign w:val="center"/>
          </w:tcPr>
          <w:p w14:paraId="4249F24E" w14:textId="77777777" w:rsidR="007F2986" w:rsidRDefault="007F2986" w:rsidP="00CC2E43">
            <w:pPr>
              <w:pStyle w:val="a3"/>
              <w:jc w:val="center"/>
              <w:rPr>
                <w:b/>
                <w:lang w:val="hu-HU"/>
              </w:rPr>
            </w:pPr>
            <w:r>
              <w:rPr>
                <w:rFonts w:eastAsia="Times New Roman"/>
                <w:b/>
                <w:bCs/>
                <w:lang w:val="hu-HU"/>
              </w:rPr>
              <w:t>Adagolási rend</w:t>
            </w:r>
          </w:p>
        </w:tc>
      </w:tr>
      <w:tr w:rsidR="00CC2E43" w14:paraId="374C0196" w14:textId="77777777" w:rsidTr="00CC2E43">
        <w:trPr>
          <w:trHeight w:val="388"/>
          <w:jc w:val="center"/>
        </w:trPr>
        <w:tc>
          <w:tcPr>
            <w:tcW w:w="3572" w:type="dxa"/>
            <w:tcBorders>
              <w:top w:val="single" w:sz="4" w:space="0" w:color="auto"/>
              <w:bottom w:val="single" w:sz="4" w:space="0" w:color="auto"/>
            </w:tcBorders>
            <w:vAlign w:val="center"/>
          </w:tcPr>
          <w:p w14:paraId="48D0F86B" w14:textId="77777777" w:rsidR="00CC2E43" w:rsidRDefault="00CC2E43" w:rsidP="00CC2E43">
            <w:pPr>
              <w:pStyle w:val="a3"/>
              <w:jc w:val="center"/>
              <w:rPr>
                <w:lang w:val="hu-HU"/>
              </w:rPr>
            </w:pPr>
            <w:r>
              <w:rPr>
                <w:rFonts w:eastAsia="Times New Roman"/>
                <w:lang w:val="hu-HU"/>
              </w:rPr>
              <w:t>15 kg - &lt; 30 kg</w:t>
            </w:r>
          </w:p>
        </w:tc>
        <w:tc>
          <w:tcPr>
            <w:tcW w:w="3572" w:type="dxa"/>
            <w:tcBorders>
              <w:top w:val="single" w:sz="4" w:space="0" w:color="auto"/>
              <w:bottom w:val="single" w:sz="4" w:space="0" w:color="auto"/>
            </w:tcBorders>
            <w:vAlign w:val="center"/>
          </w:tcPr>
          <w:p w14:paraId="13D6ECED" w14:textId="50AC7207" w:rsidR="00CC2E43" w:rsidRDefault="00CC2E43" w:rsidP="00CC2E43">
            <w:pPr>
              <w:pStyle w:val="a3"/>
              <w:jc w:val="center"/>
              <w:rPr>
                <w:lang w:val="hu-HU"/>
              </w:rPr>
            </w:pPr>
            <w:r>
              <w:rPr>
                <w:rFonts w:eastAsia="Times New Roman"/>
                <w:lang w:val="hu-HU"/>
              </w:rPr>
              <w:t xml:space="preserve">20 mg </w:t>
            </w:r>
            <w:r w:rsidR="00CF5631">
              <w:rPr>
                <w:rFonts w:eastAsia="Times New Roman"/>
                <w:lang w:val="hu-HU"/>
              </w:rPr>
              <w:t>kéthetente</w:t>
            </w:r>
          </w:p>
        </w:tc>
      </w:tr>
      <w:tr w:rsidR="00CC2E43" w14:paraId="4FDB6B63" w14:textId="77777777" w:rsidTr="00CC2E43">
        <w:trPr>
          <w:trHeight w:val="374"/>
          <w:jc w:val="center"/>
        </w:trPr>
        <w:tc>
          <w:tcPr>
            <w:tcW w:w="3572" w:type="dxa"/>
            <w:tcBorders>
              <w:top w:val="single" w:sz="4" w:space="0" w:color="auto"/>
              <w:bottom w:val="single" w:sz="4" w:space="0" w:color="auto"/>
            </w:tcBorders>
            <w:vAlign w:val="center"/>
          </w:tcPr>
          <w:p w14:paraId="79E5A7E3" w14:textId="77777777" w:rsidR="00CC2E43" w:rsidRDefault="00CC2E43" w:rsidP="00CC2E43">
            <w:pPr>
              <w:pStyle w:val="a3"/>
              <w:jc w:val="center"/>
              <w:rPr>
                <w:lang w:val="hu-HU"/>
              </w:rPr>
            </w:pPr>
            <w:r>
              <w:rPr>
                <w:rFonts w:eastAsia="Times New Roman"/>
                <w:lang w:val="hu-HU"/>
              </w:rPr>
              <w:t>≥ 30 kg</w:t>
            </w:r>
          </w:p>
        </w:tc>
        <w:tc>
          <w:tcPr>
            <w:tcW w:w="3572" w:type="dxa"/>
            <w:tcBorders>
              <w:top w:val="single" w:sz="4" w:space="0" w:color="auto"/>
              <w:bottom w:val="single" w:sz="4" w:space="0" w:color="auto"/>
            </w:tcBorders>
            <w:vAlign w:val="center"/>
          </w:tcPr>
          <w:p w14:paraId="7A66ABD8" w14:textId="029F65BE" w:rsidR="00CC2E43" w:rsidRDefault="00CC2E43" w:rsidP="00CC2E43">
            <w:pPr>
              <w:pStyle w:val="a3"/>
              <w:jc w:val="center"/>
              <w:rPr>
                <w:lang w:val="hu-HU"/>
              </w:rPr>
            </w:pPr>
            <w:r>
              <w:rPr>
                <w:rFonts w:eastAsia="Times New Roman"/>
                <w:lang w:val="hu-HU"/>
              </w:rPr>
              <w:t xml:space="preserve">40 mg </w:t>
            </w:r>
            <w:r w:rsidR="00CF5631">
              <w:rPr>
                <w:rFonts w:eastAsia="Times New Roman"/>
                <w:lang w:val="hu-HU"/>
              </w:rPr>
              <w:t>kéthetente</w:t>
            </w:r>
          </w:p>
        </w:tc>
      </w:tr>
    </w:tbl>
    <w:p w14:paraId="192C2779" w14:textId="77777777" w:rsidR="007F2986" w:rsidRDefault="007F2986" w:rsidP="007F2986">
      <w:pPr>
        <w:pStyle w:val="a3"/>
        <w:rPr>
          <w:lang w:val="hu-HU"/>
        </w:rPr>
      </w:pPr>
    </w:p>
    <w:p w14:paraId="4DF30860" w14:textId="4A210C32" w:rsidR="007F2986" w:rsidRDefault="007F2986" w:rsidP="007F2986">
      <w:pPr>
        <w:pStyle w:val="a3"/>
        <w:rPr>
          <w:rFonts w:eastAsia="Times New Roman"/>
          <w:lang w:val="hu-HU"/>
        </w:rPr>
      </w:pPr>
      <w:r>
        <w:rPr>
          <w:rFonts w:eastAsia="Times New Roman"/>
          <w:lang w:val="hu-HU"/>
        </w:rPr>
        <w:t>Az adalimumabot 6 évesnél fiatalabb enthesitis-asszociált arthritisben szenvedő betegeknél nem vizsgálták.</w:t>
      </w:r>
    </w:p>
    <w:p w14:paraId="70DDAD55" w14:textId="3478A81E" w:rsidR="00CC2E43" w:rsidRDefault="00CC2E43" w:rsidP="007F2986">
      <w:pPr>
        <w:pStyle w:val="a3"/>
        <w:rPr>
          <w:rFonts w:eastAsia="Times New Roman"/>
          <w:lang w:val="hu-HU"/>
        </w:rPr>
      </w:pPr>
    </w:p>
    <w:p w14:paraId="13D64A69" w14:textId="29AA9B6D" w:rsidR="00CC2E43" w:rsidRPr="00CC2E43" w:rsidRDefault="00CC2E43" w:rsidP="007F2986">
      <w:pPr>
        <w:pStyle w:val="a3"/>
        <w:rPr>
          <w:lang w:val="hu-HU"/>
        </w:rPr>
      </w:pPr>
      <w:r w:rsidRPr="005A05DE">
        <w:rPr>
          <w:lang w:val="hu-HU"/>
        </w:rPr>
        <w:t xml:space="preserve">A </w:t>
      </w:r>
      <w:r w:rsidR="00D92752">
        <w:rPr>
          <w:lang w:val="hu-HU"/>
        </w:rPr>
        <w:t>Yuflyma</w:t>
      </w:r>
      <w:r w:rsidRPr="005A05DE">
        <w:rPr>
          <w:lang w:val="hu-HU"/>
        </w:rPr>
        <w:t xml:space="preserve"> más hatáserősségben és/vagy kiszerelésben is elérhető az egyéni terápiás igényeknek megfelelően.</w:t>
      </w:r>
    </w:p>
    <w:p w14:paraId="7F952649" w14:textId="77777777" w:rsidR="007F2986" w:rsidRDefault="007F2986" w:rsidP="007F2986">
      <w:pPr>
        <w:rPr>
          <w:rFonts w:ascii="Times New Roman" w:eastAsia="Times New Roman" w:hAnsi="Times New Roman" w:cs="Times New Roman"/>
          <w:i/>
          <w:spacing w:val="-1"/>
          <w:u w:val="single"/>
          <w:lang w:val="hu-HU"/>
        </w:rPr>
      </w:pPr>
    </w:p>
    <w:p w14:paraId="607723BC" w14:textId="77777777" w:rsidR="007F2986" w:rsidRDefault="007F2986" w:rsidP="007F2986">
      <w:pPr>
        <w:rPr>
          <w:rFonts w:ascii="Times New Roman" w:eastAsia="Times New Roman" w:hAnsi="Times New Roman" w:cs="Times New Roman"/>
          <w:u w:val="single"/>
          <w:lang w:val="hu-HU"/>
        </w:rPr>
      </w:pPr>
      <w:r w:rsidRPr="008A5B79">
        <w:rPr>
          <w:rFonts w:ascii="Times New Roman" w:eastAsia="Times New Roman" w:hAnsi="Times New Roman" w:cs="Times New Roman"/>
          <w:i/>
          <w:iCs/>
          <w:spacing w:val="-1"/>
          <w:u w:val="single"/>
          <w:lang w:val="hu-HU"/>
        </w:rPr>
        <w:t>Gyermekkori</w:t>
      </w:r>
      <w:r>
        <w:rPr>
          <w:rFonts w:ascii="Times New Roman" w:eastAsia="Times New Roman" w:hAnsi="Times New Roman" w:cs="Times New Roman"/>
          <w:i/>
          <w:iCs/>
          <w:spacing w:val="-1"/>
          <w:u w:val="single"/>
          <w:lang w:val="hu-HU"/>
        </w:rPr>
        <w:t xml:space="preserve"> plakkos psoriasis</w:t>
      </w:r>
    </w:p>
    <w:p w14:paraId="55A2C899" w14:textId="77777777" w:rsidR="007F2986" w:rsidRDefault="007F2986" w:rsidP="007F2986">
      <w:pPr>
        <w:spacing w:line="240" w:lineRule="exact"/>
        <w:rPr>
          <w:rFonts w:ascii="Times New Roman" w:hAnsi="Times New Roman" w:cs="Times New Roman"/>
          <w:sz w:val="24"/>
          <w:szCs w:val="24"/>
          <w:lang w:val="hu-HU"/>
        </w:rPr>
      </w:pPr>
    </w:p>
    <w:p w14:paraId="60F68599" w14:textId="77777777" w:rsidR="007F2986" w:rsidRDefault="007F2986" w:rsidP="007F2986">
      <w:pPr>
        <w:pStyle w:val="a3"/>
        <w:rPr>
          <w:lang w:val="hu-HU"/>
        </w:rPr>
      </w:pPr>
      <w:r>
        <w:rPr>
          <w:rFonts w:eastAsia="Times New Roman"/>
          <w:lang w:val="hu-HU"/>
        </w:rPr>
        <w:t xml:space="preserve">A Yuflyma ajánlott adagja gyermekkori plakkos psoriasisban </w:t>
      </w:r>
      <w:r w:rsidRPr="007730BA">
        <w:rPr>
          <w:rFonts w:eastAsia="Times New Roman"/>
          <w:lang w:val="hu-HU"/>
        </w:rPr>
        <w:t xml:space="preserve">szenvedő </w:t>
      </w:r>
      <w:r>
        <w:rPr>
          <w:rFonts w:eastAsia="Times New Roman"/>
          <w:lang w:val="hu-HU"/>
        </w:rPr>
        <w:t xml:space="preserve">betegeknek </w:t>
      </w:r>
      <w:r w:rsidRPr="009167C6">
        <w:rPr>
          <w:lang w:val="hu-HU"/>
        </w:rPr>
        <w:t xml:space="preserve">4-től betöltött 18 éves korig </w:t>
      </w:r>
      <w:r>
        <w:rPr>
          <w:rFonts w:eastAsia="Times New Roman"/>
          <w:lang w:val="hu-HU"/>
        </w:rPr>
        <w:t>a testtömegtől függ (3. táblázat). A Yuflymát subcutan injekció formájában kell alkalmazni.</w:t>
      </w:r>
    </w:p>
    <w:p w14:paraId="6C702DA0" w14:textId="77777777" w:rsidR="007F2986" w:rsidRDefault="007F2986" w:rsidP="007F2986">
      <w:pPr>
        <w:pStyle w:val="a3"/>
        <w:rPr>
          <w:lang w:val="hu-HU"/>
        </w:rPr>
      </w:pPr>
    </w:p>
    <w:p w14:paraId="2693344F" w14:textId="77777777" w:rsidR="007F2986" w:rsidRDefault="007F2986" w:rsidP="007F2986">
      <w:pPr>
        <w:pStyle w:val="a3"/>
        <w:jc w:val="center"/>
        <w:rPr>
          <w:b/>
          <w:lang w:val="hu-HU"/>
        </w:rPr>
      </w:pPr>
      <w:r>
        <w:rPr>
          <w:rFonts w:eastAsia="Times New Roman"/>
          <w:b/>
          <w:bCs/>
          <w:lang w:val="hu-HU"/>
        </w:rPr>
        <w:t>3. táblázat. A Yuflyma dózisa plakkos psoriasisban szenvedő gyermekeknél</w:t>
      </w:r>
    </w:p>
    <w:p w14:paraId="784A84CD" w14:textId="77777777" w:rsidR="007F2986" w:rsidRDefault="007F2986" w:rsidP="007F2986">
      <w:pPr>
        <w:spacing w:before="7" w:line="220" w:lineRule="exact"/>
        <w:jc w:val="center"/>
        <w:rPr>
          <w:rFonts w:ascii="Times New Roman" w:hAnsi="Times New Roman" w:cs="Times New Roman"/>
          <w:b/>
          <w:lang w:val="hu-HU"/>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7F2986" w14:paraId="24D227B7" w14:textId="77777777" w:rsidTr="00CC2E43">
        <w:trPr>
          <w:trHeight w:val="374"/>
          <w:jc w:val="center"/>
        </w:trPr>
        <w:tc>
          <w:tcPr>
            <w:tcW w:w="3572" w:type="dxa"/>
            <w:tcBorders>
              <w:top w:val="single" w:sz="4" w:space="0" w:color="auto"/>
              <w:bottom w:val="single" w:sz="4" w:space="0" w:color="auto"/>
            </w:tcBorders>
            <w:vAlign w:val="center"/>
          </w:tcPr>
          <w:p w14:paraId="5DD59EF6" w14:textId="77777777" w:rsidR="007F2986" w:rsidRDefault="007F2986" w:rsidP="00CC2E43">
            <w:pPr>
              <w:pStyle w:val="a3"/>
              <w:jc w:val="center"/>
              <w:rPr>
                <w:b/>
                <w:lang w:val="hu-HU"/>
              </w:rPr>
            </w:pPr>
            <w:r>
              <w:rPr>
                <w:rFonts w:eastAsia="Times New Roman"/>
                <w:b/>
                <w:bCs/>
                <w:lang w:val="hu-HU"/>
              </w:rPr>
              <w:t>A beteg testtömege</w:t>
            </w:r>
          </w:p>
        </w:tc>
        <w:tc>
          <w:tcPr>
            <w:tcW w:w="3572" w:type="dxa"/>
            <w:tcBorders>
              <w:top w:val="single" w:sz="4" w:space="0" w:color="auto"/>
              <w:bottom w:val="single" w:sz="4" w:space="0" w:color="auto"/>
            </w:tcBorders>
            <w:vAlign w:val="center"/>
          </w:tcPr>
          <w:p w14:paraId="6740322F" w14:textId="77777777" w:rsidR="007F2986" w:rsidRDefault="007F2986" w:rsidP="00CC2E43">
            <w:pPr>
              <w:pStyle w:val="a3"/>
              <w:jc w:val="center"/>
              <w:rPr>
                <w:b/>
                <w:lang w:val="hu-HU"/>
              </w:rPr>
            </w:pPr>
            <w:r>
              <w:rPr>
                <w:rFonts w:eastAsia="Times New Roman"/>
                <w:b/>
                <w:bCs/>
                <w:lang w:val="hu-HU"/>
              </w:rPr>
              <w:t>Adagolási rend</w:t>
            </w:r>
          </w:p>
        </w:tc>
      </w:tr>
      <w:tr w:rsidR="00B02ED1" w:rsidRPr="00BE4D18" w14:paraId="3078094A" w14:textId="77777777" w:rsidTr="00AF1AD1">
        <w:trPr>
          <w:trHeight w:val="907"/>
          <w:jc w:val="center"/>
        </w:trPr>
        <w:tc>
          <w:tcPr>
            <w:tcW w:w="3572" w:type="dxa"/>
            <w:tcBorders>
              <w:top w:val="single" w:sz="4" w:space="0" w:color="auto"/>
              <w:bottom w:val="single" w:sz="4" w:space="0" w:color="auto"/>
            </w:tcBorders>
            <w:vAlign w:val="center"/>
          </w:tcPr>
          <w:p w14:paraId="2D4A6DE0" w14:textId="77777777" w:rsidR="00B02ED1" w:rsidRDefault="00B02ED1" w:rsidP="00B02ED1">
            <w:pPr>
              <w:pStyle w:val="a3"/>
              <w:jc w:val="center"/>
              <w:rPr>
                <w:lang w:val="hu-HU"/>
              </w:rPr>
            </w:pPr>
            <w:r>
              <w:rPr>
                <w:rFonts w:eastAsia="Times New Roman"/>
                <w:lang w:val="hu-HU"/>
              </w:rPr>
              <w:t>15 kg - &lt; 30 kg</w:t>
            </w:r>
          </w:p>
        </w:tc>
        <w:tc>
          <w:tcPr>
            <w:tcW w:w="3572" w:type="dxa"/>
            <w:tcBorders>
              <w:top w:val="single" w:sz="4" w:space="0" w:color="auto"/>
              <w:bottom w:val="single" w:sz="4" w:space="0" w:color="auto"/>
            </w:tcBorders>
            <w:vAlign w:val="center"/>
          </w:tcPr>
          <w:p w14:paraId="1B65EE6A" w14:textId="380ECC6B" w:rsidR="00B02ED1" w:rsidRDefault="00B02ED1">
            <w:pPr>
              <w:pStyle w:val="a3"/>
              <w:jc w:val="center"/>
              <w:rPr>
                <w:lang w:val="hu-HU"/>
              </w:rPr>
            </w:pPr>
            <w:r>
              <w:rPr>
                <w:rFonts w:eastAsia="Times New Roman"/>
                <w:lang w:val="hu-HU"/>
              </w:rPr>
              <w:t xml:space="preserve">A kezdő adag 20 mg, amelyet minden </w:t>
            </w:r>
            <w:r w:rsidR="00CF5631">
              <w:rPr>
                <w:rFonts w:eastAsia="Times New Roman"/>
                <w:lang w:val="hu-HU"/>
              </w:rPr>
              <w:t>kéthetente</w:t>
            </w:r>
            <w:r w:rsidR="00CF5631" w:rsidDel="00CF5631">
              <w:rPr>
                <w:rFonts w:eastAsia="Times New Roman"/>
                <w:lang w:val="hu-HU"/>
              </w:rPr>
              <w:t xml:space="preserve"> </w:t>
            </w:r>
            <w:r>
              <w:rPr>
                <w:rFonts w:eastAsia="Times New Roman"/>
                <w:lang w:val="hu-HU"/>
              </w:rPr>
              <w:t>adott 20 mg követ a kezdő dózis utáni első héttől kezdve</w:t>
            </w:r>
          </w:p>
        </w:tc>
      </w:tr>
      <w:tr w:rsidR="00B02ED1" w:rsidRPr="00BE4D18" w14:paraId="4BDB1039" w14:textId="77777777" w:rsidTr="00AF1AD1">
        <w:trPr>
          <w:trHeight w:val="907"/>
          <w:jc w:val="center"/>
        </w:trPr>
        <w:tc>
          <w:tcPr>
            <w:tcW w:w="3572" w:type="dxa"/>
            <w:tcBorders>
              <w:top w:val="single" w:sz="4" w:space="0" w:color="auto"/>
              <w:bottom w:val="single" w:sz="4" w:space="0" w:color="auto"/>
            </w:tcBorders>
            <w:vAlign w:val="center"/>
          </w:tcPr>
          <w:p w14:paraId="080918E1" w14:textId="77777777" w:rsidR="00B02ED1" w:rsidRDefault="00B02ED1" w:rsidP="00B02ED1">
            <w:pPr>
              <w:pStyle w:val="a3"/>
              <w:jc w:val="center"/>
              <w:rPr>
                <w:lang w:val="hu-HU"/>
              </w:rPr>
            </w:pPr>
            <w:r>
              <w:rPr>
                <w:rFonts w:eastAsia="Times New Roman"/>
                <w:lang w:val="hu-HU"/>
              </w:rPr>
              <w:t>≥ 30 kg</w:t>
            </w:r>
          </w:p>
        </w:tc>
        <w:tc>
          <w:tcPr>
            <w:tcW w:w="3572" w:type="dxa"/>
            <w:tcBorders>
              <w:top w:val="single" w:sz="4" w:space="0" w:color="auto"/>
              <w:bottom w:val="single" w:sz="4" w:space="0" w:color="auto"/>
            </w:tcBorders>
            <w:vAlign w:val="center"/>
          </w:tcPr>
          <w:p w14:paraId="600C1DAB" w14:textId="2AC4E6A9" w:rsidR="00B02ED1" w:rsidRDefault="00B02ED1" w:rsidP="00B02ED1">
            <w:pPr>
              <w:pStyle w:val="a3"/>
              <w:jc w:val="center"/>
              <w:rPr>
                <w:lang w:val="hu-HU"/>
              </w:rPr>
            </w:pPr>
            <w:r>
              <w:rPr>
                <w:rFonts w:eastAsia="Times New Roman"/>
                <w:lang w:val="hu-HU"/>
              </w:rPr>
              <w:t xml:space="preserve">A kezdő adag 40 mg, amelyet minden </w:t>
            </w:r>
            <w:r w:rsidR="00CF5631">
              <w:rPr>
                <w:rFonts w:eastAsia="Times New Roman"/>
                <w:lang w:val="hu-HU"/>
              </w:rPr>
              <w:t>kéthetente</w:t>
            </w:r>
            <w:r w:rsidR="00CF5631" w:rsidDel="00CF5631">
              <w:rPr>
                <w:rFonts w:eastAsia="Times New Roman"/>
                <w:lang w:val="hu-HU"/>
              </w:rPr>
              <w:t xml:space="preserve"> </w:t>
            </w:r>
            <w:r>
              <w:rPr>
                <w:rFonts w:eastAsia="Times New Roman"/>
                <w:lang w:val="hu-HU"/>
              </w:rPr>
              <w:t>adott 40 mg követ a kezdő dózis utáni első héttől kezdve</w:t>
            </w:r>
          </w:p>
        </w:tc>
      </w:tr>
    </w:tbl>
    <w:p w14:paraId="5832B4AB" w14:textId="77777777" w:rsidR="007F2986" w:rsidRDefault="007F2986" w:rsidP="007F2986">
      <w:pPr>
        <w:pStyle w:val="a3"/>
        <w:rPr>
          <w:lang w:val="hu-HU"/>
        </w:rPr>
      </w:pPr>
    </w:p>
    <w:p w14:paraId="2C49EE4C" w14:textId="77777777" w:rsidR="007F2986" w:rsidRPr="009167C6" w:rsidRDefault="007F2986" w:rsidP="007F2986">
      <w:pPr>
        <w:widowControl/>
        <w:autoSpaceDE w:val="0"/>
        <w:autoSpaceDN w:val="0"/>
        <w:adjustRightInd w:val="0"/>
        <w:rPr>
          <w:rFonts w:ascii="Times New Roman" w:hAnsi="Times New Roman" w:cs="Times New Roman"/>
          <w:lang w:val="hu-HU"/>
        </w:rPr>
      </w:pPr>
      <w:r w:rsidRPr="009167C6">
        <w:rPr>
          <w:rFonts w:ascii="Times New Roman" w:eastAsia="Times New Roman" w:hAnsi="Times New Roman" w:cs="Times New Roman"/>
          <w:lang w:val="hu-HU"/>
        </w:rPr>
        <w:t xml:space="preserve">A </w:t>
      </w:r>
      <w:r w:rsidRPr="00A45720">
        <w:rPr>
          <w:rFonts w:ascii="Times New Roman" w:eastAsia="TimesNewRomanPSMT" w:hAnsi="Times New Roman" w:cs="Times New Roman"/>
          <w:lang w:val="hu-HU"/>
        </w:rPr>
        <w:t>kezelés folytatását a 16. hét után gondosan mérlegelni kell, ha a beteg nem reagál ennyi idő</w:t>
      </w:r>
      <w:r>
        <w:rPr>
          <w:rFonts w:ascii="Times New Roman" w:eastAsia="TimesNewRomanPSMT" w:hAnsi="Times New Roman" w:cs="Times New Roman"/>
          <w:lang w:val="hu-HU"/>
        </w:rPr>
        <w:t xml:space="preserve"> </w:t>
      </w:r>
      <w:r w:rsidRPr="00A45720">
        <w:rPr>
          <w:rFonts w:ascii="Times New Roman" w:eastAsia="TimesNewRomanPSMT" w:hAnsi="Times New Roman" w:cs="Times New Roman"/>
          <w:lang w:val="hu-HU"/>
        </w:rPr>
        <w:t>alatt.</w:t>
      </w:r>
    </w:p>
    <w:p w14:paraId="2B479BD9" w14:textId="77777777" w:rsidR="007F2986" w:rsidRPr="00DC7496" w:rsidRDefault="007F2986" w:rsidP="007F2986">
      <w:pPr>
        <w:widowControl/>
        <w:autoSpaceDE w:val="0"/>
        <w:autoSpaceDN w:val="0"/>
        <w:adjustRightInd w:val="0"/>
        <w:rPr>
          <w:lang w:val="hu-HU"/>
        </w:rPr>
      </w:pPr>
      <w:r w:rsidRPr="00A45720">
        <w:rPr>
          <w:rFonts w:ascii="Times New Roman" w:eastAsia="Times New Roman" w:hAnsi="Times New Roman" w:cs="Times New Roman"/>
          <w:lang w:val="hu-HU"/>
        </w:rPr>
        <w:t>Amennyiben az  adalimumab</w:t>
      </w:r>
      <w:r w:rsidRPr="00A45720">
        <w:rPr>
          <w:rFonts w:ascii="Times New Roman" w:hAnsi="Times New Roman" w:cs="Times New Roman"/>
          <w:lang w:val="hu-HU"/>
        </w:rPr>
        <w:t>-kezelés újrakezdése javasolt, a fenti útmutatást kell követni a dózisra és</w:t>
      </w:r>
      <w:r>
        <w:rPr>
          <w:rFonts w:ascii="Times New Roman" w:hAnsi="Times New Roman" w:cs="Times New Roman"/>
          <w:lang w:val="hu-HU"/>
        </w:rPr>
        <w:t xml:space="preserve"> </w:t>
      </w:r>
      <w:r w:rsidRPr="00DC7496">
        <w:rPr>
          <w:rFonts w:ascii="Times New Roman" w:eastAsia="TimesNewRomanPSMT" w:hAnsi="Times New Roman" w:cs="Times New Roman"/>
          <w:lang w:val="hu-HU"/>
        </w:rPr>
        <w:t>az adagolás időtartamára vonatkozóan.</w:t>
      </w:r>
      <w:r w:rsidRPr="00DC7496">
        <w:rPr>
          <w:rFonts w:ascii="Times New Roman" w:eastAsia="Times New Roman" w:hAnsi="Times New Roman" w:cs="Times New Roman"/>
          <w:lang w:val="hu-HU"/>
        </w:rPr>
        <w:t>.</w:t>
      </w:r>
    </w:p>
    <w:p w14:paraId="75329D2F" w14:textId="77777777" w:rsidR="007F2986" w:rsidRDefault="007F2986" w:rsidP="007F2986">
      <w:pPr>
        <w:spacing w:line="240" w:lineRule="exact"/>
        <w:rPr>
          <w:rFonts w:ascii="Times New Roman" w:hAnsi="Times New Roman" w:cs="Times New Roman"/>
          <w:sz w:val="24"/>
          <w:szCs w:val="24"/>
          <w:lang w:val="hu-HU"/>
        </w:rPr>
      </w:pPr>
    </w:p>
    <w:p w14:paraId="31C50D9C" w14:textId="77777777" w:rsidR="007F2986" w:rsidRDefault="007F2986" w:rsidP="007F2986">
      <w:pPr>
        <w:pStyle w:val="a3"/>
        <w:rPr>
          <w:lang w:val="hu-HU"/>
        </w:rPr>
      </w:pPr>
      <w:r>
        <w:rPr>
          <w:rFonts w:eastAsia="Times New Roman"/>
          <w:lang w:val="hu-HU"/>
        </w:rPr>
        <w:t>Ha újabb adag adalimumab-kezelés javasolt, az alábbi adagolási útmutatót és kezelési időtartamot kell követni.</w:t>
      </w:r>
    </w:p>
    <w:p w14:paraId="6FA7E51F" w14:textId="77777777" w:rsidR="007F2986" w:rsidRDefault="007F2986" w:rsidP="007F2986">
      <w:pPr>
        <w:spacing w:line="240" w:lineRule="exact"/>
        <w:rPr>
          <w:rFonts w:ascii="Times New Roman" w:hAnsi="Times New Roman" w:cs="Times New Roman"/>
          <w:sz w:val="24"/>
          <w:szCs w:val="24"/>
          <w:lang w:val="hu-HU"/>
        </w:rPr>
      </w:pPr>
    </w:p>
    <w:p w14:paraId="170DD318" w14:textId="77777777" w:rsidR="007F2986" w:rsidRDefault="007F2986" w:rsidP="007F2986">
      <w:pPr>
        <w:pStyle w:val="a3"/>
        <w:rPr>
          <w:lang w:val="hu-HU"/>
        </w:rPr>
      </w:pPr>
      <w:r>
        <w:rPr>
          <w:rFonts w:eastAsia="Times New Roman"/>
          <w:lang w:val="hu-HU"/>
        </w:rPr>
        <w:t>Az adalimumab biztonságosságát plakkos psoriasisban szenvedő gyermekeknél átlagosan 13 hónapig vizsgálták.</w:t>
      </w:r>
    </w:p>
    <w:p w14:paraId="08680AE0" w14:textId="77777777" w:rsidR="007F2986" w:rsidRDefault="007F2986" w:rsidP="007F2986">
      <w:pPr>
        <w:spacing w:line="240" w:lineRule="exact"/>
        <w:rPr>
          <w:rFonts w:ascii="Times New Roman" w:hAnsi="Times New Roman" w:cs="Times New Roman"/>
          <w:sz w:val="24"/>
          <w:szCs w:val="24"/>
          <w:lang w:val="hu-HU"/>
        </w:rPr>
      </w:pPr>
    </w:p>
    <w:p w14:paraId="1A75EDF9" w14:textId="099C5DDA" w:rsidR="007F2986" w:rsidRDefault="007F2986" w:rsidP="007F2986">
      <w:pPr>
        <w:pStyle w:val="a3"/>
        <w:rPr>
          <w:rFonts w:eastAsia="Times New Roman"/>
          <w:lang w:val="hu-HU"/>
        </w:rPr>
      </w:pPr>
      <w:r>
        <w:rPr>
          <w:rFonts w:eastAsia="Times New Roman"/>
          <w:lang w:val="hu-HU"/>
        </w:rPr>
        <w:t>4 évesnél fiatalabb gyermekek esetében az adalimumabnak ebben a javallatban nincs releváns alkalmazása.</w:t>
      </w:r>
    </w:p>
    <w:p w14:paraId="4EC92785" w14:textId="00A1D914" w:rsidR="00B02ED1" w:rsidRDefault="00B02ED1" w:rsidP="007F2986">
      <w:pPr>
        <w:pStyle w:val="a3"/>
        <w:rPr>
          <w:lang w:val="hu-HU"/>
        </w:rPr>
      </w:pPr>
    </w:p>
    <w:p w14:paraId="5C1194B4" w14:textId="16994874" w:rsidR="00B02ED1" w:rsidRPr="00B02ED1" w:rsidRDefault="00B02ED1" w:rsidP="007F2986">
      <w:pPr>
        <w:pStyle w:val="a3"/>
        <w:rPr>
          <w:lang w:val="hu-HU"/>
        </w:rPr>
      </w:pPr>
      <w:r w:rsidRPr="005A05DE">
        <w:rPr>
          <w:lang w:val="hu-HU"/>
        </w:rPr>
        <w:t xml:space="preserve">A </w:t>
      </w:r>
      <w:r w:rsidR="00D92752">
        <w:rPr>
          <w:lang w:val="hu-HU"/>
        </w:rPr>
        <w:t>Yuflyma</w:t>
      </w:r>
      <w:r w:rsidRPr="005A05DE">
        <w:rPr>
          <w:lang w:val="hu-HU"/>
        </w:rPr>
        <w:t xml:space="preserve"> más hatáserősségben és/vagy kiszerelésben is elérhető az egyéni terápiás igényeknek megfelelően</w:t>
      </w:r>
      <w:r>
        <w:rPr>
          <w:lang w:val="hu-HU"/>
        </w:rPr>
        <w:t>.</w:t>
      </w:r>
    </w:p>
    <w:p w14:paraId="2A51F108" w14:textId="5848F795" w:rsidR="007F2986" w:rsidRDefault="007F2986" w:rsidP="007F2986">
      <w:pPr>
        <w:spacing w:line="240" w:lineRule="exact"/>
        <w:rPr>
          <w:rFonts w:ascii="Times New Roman" w:hAnsi="Times New Roman" w:cs="Times New Roman"/>
          <w:sz w:val="24"/>
          <w:szCs w:val="24"/>
          <w:lang w:val="hu-HU"/>
        </w:rPr>
      </w:pPr>
    </w:p>
    <w:p w14:paraId="24989C5F" w14:textId="77777777" w:rsidR="007F2986" w:rsidRPr="009167C6" w:rsidRDefault="007F2986" w:rsidP="007F2986">
      <w:pPr>
        <w:jc w:val="both"/>
        <w:rPr>
          <w:rFonts w:ascii="Times New Roman" w:eastAsia="Times New Roman" w:hAnsi="Times New Roman" w:cs="Times New Roman"/>
          <w:i/>
          <w:u w:val="single"/>
          <w:lang w:val="hu-HU"/>
        </w:rPr>
      </w:pPr>
      <w:r>
        <w:rPr>
          <w:rFonts w:ascii="Times New Roman" w:eastAsia="Times New Roman" w:hAnsi="Times New Roman" w:cs="Times New Roman"/>
          <w:i/>
          <w:iCs/>
          <w:spacing w:val="-1"/>
          <w:u w:val="single"/>
          <w:lang w:val="hu-HU"/>
        </w:rPr>
        <w:t>Gyermekkori</w:t>
      </w:r>
      <w:r w:rsidRPr="008A5B79">
        <w:rPr>
          <w:rFonts w:ascii="Times New Roman" w:eastAsia="Times New Roman" w:hAnsi="Times New Roman" w:cs="Times New Roman"/>
          <w:i/>
          <w:iCs/>
          <w:spacing w:val="-1"/>
          <w:u w:val="single"/>
          <w:lang w:val="hu-HU"/>
        </w:rPr>
        <w:t xml:space="preserve"> Crohn-betegség</w:t>
      </w:r>
    </w:p>
    <w:p w14:paraId="0DB3A189" w14:textId="77777777" w:rsidR="007F2986" w:rsidRDefault="007F2986" w:rsidP="007F2986">
      <w:pPr>
        <w:spacing w:line="240" w:lineRule="exact"/>
        <w:rPr>
          <w:rFonts w:ascii="Times New Roman" w:hAnsi="Times New Roman" w:cs="Times New Roman"/>
          <w:sz w:val="24"/>
          <w:szCs w:val="24"/>
          <w:lang w:val="hu-HU"/>
        </w:rPr>
      </w:pPr>
    </w:p>
    <w:p w14:paraId="3F48C103" w14:textId="77777777" w:rsidR="007F2986" w:rsidRDefault="007F2986" w:rsidP="007F2986">
      <w:pPr>
        <w:pStyle w:val="a3"/>
        <w:rPr>
          <w:lang w:val="hu-HU"/>
        </w:rPr>
      </w:pPr>
      <w:r>
        <w:rPr>
          <w:rFonts w:eastAsia="Times New Roman"/>
          <w:lang w:val="hu-HU"/>
        </w:rPr>
        <w:t xml:space="preserve">A Yuflyma ajánlott adagja Crohn-betegségben szenvedő betegeknek </w:t>
      </w:r>
      <w:r w:rsidRPr="009167C6">
        <w:rPr>
          <w:lang w:val="hu-HU"/>
        </w:rPr>
        <w:t xml:space="preserve">6-tólt betöltött 18 éves korig </w:t>
      </w:r>
      <w:r>
        <w:rPr>
          <w:rFonts w:eastAsia="Times New Roman"/>
          <w:lang w:val="hu-HU"/>
        </w:rPr>
        <w:t>a testtömegtől függ (4. táblázat). A Yuflymát subcutan injekció formájában kell alkalmazni.</w:t>
      </w:r>
    </w:p>
    <w:p w14:paraId="65216B6D" w14:textId="77777777" w:rsidR="007F2986" w:rsidRDefault="007F2986" w:rsidP="007F2986">
      <w:pPr>
        <w:pStyle w:val="a3"/>
        <w:rPr>
          <w:lang w:val="hu-HU"/>
        </w:rPr>
      </w:pPr>
    </w:p>
    <w:p w14:paraId="408C5DB6" w14:textId="77777777" w:rsidR="00AF1AD1" w:rsidRDefault="00AF1AD1" w:rsidP="007F2986">
      <w:pPr>
        <w:pStyle w:val="a3"/>
        <w:rPr>
          <w:lang w:val="hu-HU"/>
        </w:rPr>
      </w:pPr>
    </w:p>
    <w:p w14:paraId="1FFD6803" w14:textId="77777777" w:rsidR="00AF1AD1" w:rsidRDefault="00AF1AD1" w:rsidP="007F2986">
      <w:pPr>
        <w:pStyle w:val="a3"/>
        <w:rPr>
          <w:lang w:val="hu-HU"/>
        </w:rPr>
      </w:pPr>
    </w:p>
    <w:p w14:paraId="4E231E8C" w14:textId="77777777" w:rsidR="007F2986" w:rsidRDefault="007F2986" w:rsidP="007F2986">
      <w:pPr>
        <w:pStyle w:val="a3"/>
        <w:jc w:val="center"/>
        <w:rPr>
          <w:b/>
          <w:lang w:val="hu-HU"/>
        </w:rPr>
      </w:pPr>
      <w:r>
        <w:rPr>
          <w:rFonts w:eastAsia="Times New Roman"/>
          <w:b/>
          <w:bCs/>
          <w:lang w:val="hu-HU"/>
        </w:rPr>
        <w:lastRenderedPageBreak/>
        <w:t>4. táblázat. Adalimumab dózis Crohn-betegségben szenvedő gyermekeknél</w:t>
      </w:r>
    </w:p>
    <w:p w14:paraId="3457B48E" w14:textId="77777777" w:rsidR="007F2986" w:rsidRDefault="007F2986" w:rsidP="007F2986">
      <w:pPr>
        <w:spacing w:before="14" w:line="240" w:lineRule="exact"/>
        <w:rPr>
          <w:rFonts w:ascii="Times New Roman" w:hAnsi="Times New Roman" w:cs="Times New Roman"/>
          <w:sz w:val="24"/>
          <w:szCs w:val="24"/>
          <w:lang w:val="hu-HU"/>
        </w:rPr>
      </w:pPr>
    </w:p>
    <w:tbl>
      <w:tblPr>
        <w:tblStyle w:val="TableNormal1"/>
        <w:tblW w:w="0" w:type="auto"/>
        <w:tblInd w:w="110" w:type="dxa"/>
        <w:tblLayout w:type="fixed"/>
        <w:tblLook w:val="01E0" w:firstRow="1" w:lastRow="1" w:firstColumn="1" w:lastColumn="1" w:noHBand="0" w:noVBand="0"/>
      </w:tblPr>
      <w:tblGrid>
        <w:gridCol w:w="1870"/>
        <w:gridCol w:w="5808"/>
        <w:gridCol w:w="1725"/>
      </w:tblGrid>
      <w:tr w:rsidR="007F2986" w14:paraId="006CC395" w14:textId="77777777" w:rsidTr="00AF1AD1">
        <w:tc>
          <w:tcPr>
            <w:tcW w:w="1870" w:type="dxa"/>
            <w:tcBorders>
              <w:top w:val="single" w:sz="4" w:space="0" w:color="auto"/>
              <w:left w:val="single" w:sz="4" w:space="0" w:color="auto"/>
              <w:bottom w:val="single" w:sz="4" w:space="0" w:color="auto"/>
              <w:right w:val="single" w:sz="4" w:space="0" w:color="auto"/>
            </w:tcBorders>
            <w:vAlign w:val="center"/>
          </w:tcPr>
          <w:p w14:paraId="23B6814E" w14:textId="77777777" w:rsidR="007F2986" w:rsidRDefault="007F2986" w:rsidP="00CC2E43">
            <w:pPr>
              <w:pStyle w:val="TableParagraph"/>
              <w:spacing w:line="252" w:lineRule="exact"/>
              <w:ind w:firstLine="4"/>
              <w:jc w:val="center"/>
              <w:rPr>
                <w:rFonts w:ascii="Times New Roman" w:eastAsia="Times New Roman" w:hAnsi="Times New Roman" w:cs="Times New Roman"/>
                <w:lang w:val="hu-HU"/>
              </w:rPr>
            </w:pPr>
            <w:r>
              <w:rPr>
                <w:rFonts w:ascii="Times New Roman" w:eastAsia="Times New Roman" w:hAnsi="Times New Roman" w:cs="Times New Roman"/>
                <w:b/>
                <w:bCs/>
                <w:lang w:val="hu-HU"/>
              </w:rPr>
              <w:t>A beteg testtömege</w:t>
            </w:r>
          </w:p>
        </w:tc>
        <w:tc>
          <w:tcPr>
            <w:tcW w:w="5808" w:type="dxa"/>
            <w:tcBorders>
              <w:top w:val="single" w:sz="4" w:space="0" w:color="auto"/>
              <w:left w:val="single" w:sz="4" w:space="0" w:color="auto"/>
              <w:bottom w:val="single" w:sz="4" w:space="0" w:color="auto"/>
              <w:right w:val="single" w:sz="4" w:space="0" w:color="auto"/>
            </w:tcBorders>
            <w:vAlign w:val="center"/>
          </w:tcPr>
          <w:p w14:paraId="2B8B5F62" w14:textId="77777777" w:rsidR="007F2986" w:rsidRDefault="007F2986" w:rsidP="00CC2E43">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Indukciós dózis</w:t>
            </w:r>
          </w:p>
        </w:tc>
        <w:tc>
          <w:tcPr>
            <w:tcW w:w="1725" w:type="dxa"/>
            <w:tcBorders>
              <w:top w:val="single" w:sz="4" w:space="0" w:color="auto"/>
              <w:left w:val="single" w:sz="4" w:space="0" w:color="auto"/>
              <w:bottom w:val="single" w:sz="4" w:space="0" w:color="auto"/>
              <w:right w:val="single" w:sz="4" w:space="0" w:color="auto"/>
            </w:tcBorders>
            <w:vAlign w:val="center"/>
          </w:tcPr>
          <w:p w14:paraId="1CD70879" w14:textId="77777777" w:rsidR="007F2986" w:rsidRDefault="007F2986" w:rsidP="00CC2E43">
            <w:pPr>
              <w:pStyle w:val="TableParagraph"/>
              <w:spacing w:line="239" w:lineRule="auto"/>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A fenntartó dózis a 4. héttől kezdve</w:t>
            </w:r>
          </w:p>
        </w:tc>
      </w:tr>
      <w:tr w:rsidR="00B02ED1" w14:paraId="70F713A9" w14:textId="77777777" w:rsidTr="00AF1AD1">
        <w:tc>
          <w:tcPr>
            <w:tcW w:w="1870" w:type="dxa"/>
            <w:tcBorders>
              <w:top w:val="single" w:sz="4" w:space="0" w:color="auto"/>
              <w:left w:val="single" w:sz="7" w:space="0" w:color="000000"/>
              <w:bottom w:val="single" w:sz="7" w:space="0" w:color="000000"/>
              <w:right w:val="single" w:sz="7" w:space="0" w:color="000000"/>
            </w:tcBorders>
          </w:tcPr>
          <w:p w14:paraId="6797D264" w14:textId="77777777" w:rsidR="00B02ED1" w:rsidRDefault="00B02ED1" w:rsidP="00B02ED1">
            <w:pPr>
              <w:pStyle w:val="TableParagraph"/>
              <w:spacing w:before="9"/>
              <w:ind w:left="140"/>
              <w:rPr>
                <w:rFonts w:ascii="Times New Roman" w:eastAsia="Times New Roman" w:hAnsi="Times New Roman" w:cs="Times New Roman"/>
                <w:lang w:val="hu-HU"/>
              </w:rPr>
            </w:pPr>
            <w:r>
              <w:rPr>
                <w:rFonts w:ascii="Times New Roman" w:eastAsia="Times New Roman" w:hAnsi="Times New Roman" w:cs="Times New Roman"/>
                <w:lang w:val="hu-HU"/>
              </w:rPr>
              <w:t>&lt; 40 kg</w:t>
            </w:r>
          </w:p>
        </w:tc>
        <w:tc>
          <w:tcPr>
            <w:tcW w:w="5808" w:type="dxa"/>
            <w:tcBorders>
              <w:top w:val="single" w:sz="4" w:space="0" w:color="auto"/>
              <w:left w:val="single" w:sz="7" w:space="0" w:color="000000"/>
              <w:bottom w:val="single" w:sz="7" w:space="0" w:color="000000"/>
              <w:right w:val="single" w:sz="7" w:space="0" w:color="000000"/>
            </w:tcBorders>
          </w:tcPr>
          <w:p w14:paraId="466F2710" w14:textId="47762F87" w:rsidR="00B02ED1" w:rsidRDefault="00B02ED1" w:rsidP="00B02ED1">
            <w:pPr>
              <w:pStyle w:val="a4"/>
              <w:numPr>
                <w:ilvl w:val="0"/>
                <w:numId w:val="12"/>
              </w:numPr>
              <w:tabs>
                <w:tab w:val="left" w:pos="315"/>
              </w:tabs>
              <w:spacing w:before="10"/>
              <w:ind w:left="315"/>
              <w:rPr>
                <w:rFonts w:ascii="Times New Roman" w:eastAsia="Times New Roman" w:hAnsi="Times New Roman" w:cs="Times New Roman"/>
                <w:lang w:val="hu-HU"/>
              </w:rPr>
            </w:pPr>
            <w:r>
              <w:rPr>
                <w:rFonts w:ascii="Times New Roman" w:eastAsia="Times New Roman" w:hAnsi="Times New Roman" w:cs="Times New Roman"/>
                <w:spacing w:val="-1"/>
                <w:lang w:val="hu-HU"/>
              </w:rPr>
              <w:t>40 mg a 0. héten és 20 mg a 2. héten</w:t>
            </w:r>
          </w:p>
          <w:p w14:paraId="313A62DC" w14:textId="77777777" w:rsidR="00B02ED1" w:rsidRDefault="00B02ED1" w:rsidP="00B02ED1">
            <w:pPr>
              <w:pStyle w:val="TableParagraph"/>
              <w:spacing w:before="10" w:line="240" w:lineRule="exact"/>
              <w:rPr>
                <w:rFonts w:ascii="Times New Roman" w:hAnsi="Times New Roman" w:cs="Times New Roman"/>
                <w:sz w:val="24"/>
                <w:szCs w:val="24"/>
                <w:lang w:val="hu-HU"/>
              </w:rPr>
            </w:pPr>
          </w:p>
          <w:p w14:paraId="27EF67CB" w14:textId="77777777" w:rsidR="00B02ED1" w:rsidRDefault="00B02ED1" w:rsidP="00B02ED1">
            <w:pPr>
              <w:pStyle w:val="TableParagraph"/>
              <w:ind w:left="159"/>
              <w:rPr>
                <w:rFonts w:ascii="Times New Roman" w:eastAsia="Times New Roman" w:hAnsi="Times New Roman" w:cs="Times New Roman"/>
                <w:lang w:val="hu-HU"/>
              </w:rPr>
            </w:pPr>
            <w:r>
              <w:rPr>
                <w:rFonts w:ascii="Times New Roman" w:eastAsia="Times New Roman" w:hAnsi="Times New Roman" w:cs="Times New Roman"/>
                <w:spacing w:val="-1"/>
                <w:lang w:val="hu-HU"/>
              </w:rPr>
              <w:t>Amennyiben gyorsabb terápiás válaszra van szükség, figyelembe véve, hogy a nagyobb indukciós dózis adásakor a nemkívánatos események kockázata is nagyobb, úgy a következő adagolás alkalmazható:</w:t>
            </w:r>
          </w:p>
          <w:p w14:paraId="266D905E" w14:textId="2CA12D57" w:rsidR="00B02ED1" w:rsidRDefault="00B02ED1" w:rsidP="00B02ED1">
            <w:pPr>
              <w:pStyle w:val="a4"/>
              <w:numPr>
                <w:ilvl w:val="0"/>
                <w:numId w:val="12"/>
              </w:numPr>
              <w:tabs>
                <w:tab w:val="left" w:pos="315"/>
              </w:tabs>
              <w:spacing w:before="2"/>
              <w:ind w:left="315"/>
              <w:rPr>
                <w:rFonts w:ascii="Times New Roman" w:eastAsia="Times New Roman" w:hAnsi="Times New Roman" w:cs="Times New Roman"/>
                <w:lang w:val="hu-HU"/>
              </w:rPr>
            </w:pPr>
            <w:r>
              <w:rPr>
                <w:rFonts w:ascii="Times New Roman" w:eastAsia="Times New Roman" w:hAnsi="Times New Roman" w:cs="Times New Roman"/>
                <w:spacing w:val="-1"/>
                <w:lang w:val="hu-HU"/>
              </w:rPr>
              <w:t>80 mg a 0. héten és 40 mg a 2. héten</w:t>
            </w:r>
          </w:p>
        </w:tc>
        <w:tc>
          <w:tcPr>
            <w:tcW w:w="1725" w:type="dxa"/>
            <w:tcBorders>
              <w:top w:val="single" w:sz="4" w:space="0" w:color="auto"/>
              <w:left w:val="single" w:sz="7" w:space="0" w:color="000000"/>
              <w:bottom w:val="single" w:sz="7" w:space="0" w:color="000000"/>
              <w:right w:val="single" w:sz="7" w:space="0" w:color="000000"/>
            </w:tcBorders>
          </w:tcPr>
          <w:p w14:paraId="544833C6" w14:textId="492E66D1" w:rsidR="00B02ED1" w:rsidRDefault="00B02ED1" w:rsidP="00B02ED1">
            <w:pPr>
              <w:pStyle w:val="TableParagraph"/>
              <w:spacing w:before="100" w:beforeAutospacing="1" w:line="252" w:lineRule="exact"/>
              <w:ind w:left="63" w:hanging="63"/>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20 mg kéthetente</w:t>
            </w:r>
          </w:p>
        </w:tc>
      </w:tr>
      <w:tr w:rsidR="00B02ED1" w:rsidRPr="00B02ED1" w14:paraId="49F59979" w14:textId="77777777" w:rsidTr="00AF1AD1">
        <w:tc>
          <w:tcPr>
            <w:tcW w:w="1870" w:type="dxa"/>
            <w:tcBorders>
              <w:top w:val="single" w:sz="7" w:space="0" w:color="000000"/>
              <w:left w:val="single" w:sz="7" w:space="0" w:color="000000"/>
              <w:bottom w:val="single" w:sz="7" w:space="0" w:color="000000"/>
              <w:right w:val="single" w:sz="7" w:space="0" w:color="000000"/>
            </w:tcBorders>
          </w:tcPr>
          <w:p w14:paraId="51BA2757" w14:textId="77777777" w:rsidR="00B02ED1" w:rsidRDefault="00B02ED1" w:rsidP="005A05DE">
            <w:pPr>
              <w:pStyle w:val="TableParagraph"/>
              <w:spacing w:before="9"/>
              <w:ind w:left="140"/>
              <w:rPr>
                <w:rFonts w:ascii="Times New Roman" w:eastAsia="Times New Roman" w:hAnsi="Times New Roman" w:cs="Times New Roman"/>
                <w:lang w:val="hu-HU"/>
              </w:rPr>
            </w:pPr>
            <w:r>
              <w:rPr>
                <w:rFonts w:ascii="Times New Roman" w:eastAsia="Times New Roman" w:hAnsi="Times New Roman" w:cs="Times New Roman"/>
                <w:lang w:val="hu-HU"/>
              </w:rPr>
              <w:t>≥ 40 kg</w:t>
            </w:r>
          </w:p>
        </w:tc>
        <w:tc>
          <w:tcPr>
            <w:tcW w:w="5808" w:type="dxa"/>
            <w:tcBorders>
              <w:top w:val="single" w:sz="7" w:space="0" w:color="000000"/>
              <w:left w:val="single" w:sz="7" w:space="0" w:color="000000"/>
              <w:bottom w:val="single" w:sz="7" w:space="0" w:color="000000"/>
              <w:right w:val="single" w:sz="7" w:space="0" w:color="000000"/>
            </w:tcBorders>
          </w:tcPr>
          <w:p w14:paraId="6D8412A3" w14:textId="3BFB362C" w:rsidR="00B02ED1" w:rsidRDefault="00B02ED1" w:rsidP="005A05DE">
            <w:pPr>
              <w:pStyle w:val="TableParagraph"/>
              <w:spacing w:before="9"/>
              <w:ind w:left="140"/>
              <w:rPr>
                <w:rFonts w:ascii="Times New Roman" w:eastAsia="Times New Roman" w:hAnsi="Times New Roman" w:cs="Times New Roman"/>
                <w:lang w:val="hu-HU"/>
              </w:rPr>
            </w:pPr>
            <w:r w:rsidRPr="005A05DE">
              <w:rPr>
                <w:rFonts w:ascii="Times New Roman" w:eastAsia="Times New Roman" w:hAnsi="Times New Roman" w:cs="Times New Roman"/>
                <w:lang w:val="hu-HU"/>
              </w:rPr>
              <w:t>80 mg a 0. héten és 40 mg a 2. héten</w:t>
            </w:r>
          </w:p>
          <w:p w14:paraId="7ECBF5D7" w14:textId="77777777" w:rsidR="00B02ED1" w:rsidRDefault="00B02ED1" w:rsidP="005A05DE">
            <w:pPr>
              <w:pStyle w:val="TableParagraph"/>
              <w:spacing w:before="9"/>
              <w:ind w:left="140"/>
              <w:rPr>
                <w:rFonts w:ascii="Times New Roman" w:eastAsia="Times New Roman" w:hAnsi="Times New Roman" w:cs="Times New Roman"/>
                <w:lang w:val="hu-HU"/>
              </w:rPr>
            </w:pPr>
          </w:p>
          <w:p w14:paraId="71A33868" w14:textId="77777777" w:rsidR="00B02ED1" w:rsidRDefault="00B02ED1" w:rsidP="005A05DE">
            <w:pPr>
              <w:pStyle w:val="TableParagraph"/>
              <w:spacing w:before="9"/>
              <w:ind w:left="140"/>
              <w:rPr>
                <w:rFonts w:ascii="Times New Roman" w:eastAsia="Times New Roman" w:hAnsi="Times New Roman" w:cs="Times New Roman"/>
                <w:lang w:val="hu-HU"/>
              </w:rPr>
            </w:pPr>
            <w:r w:rsidRPr="005A05DE">
              <w:rPr>
                <w:rFonts w:ascii="Times New Roman" w:eastAsia="Times New Roman" w:hAnsi="Times New Roman" w:cs="Times New Roman"/>
                <w:lang w:val="hu-HU"/>
              </w:rPr>
              <w:t>Amennyiben gyorsabb terápiás válaszra van szükség, figyelembe véve, hogy a nagyobb indukciós dózis adásakor a nemkívánatos események kockázata is nagyobb, úgy a következő adagolás alkalmazható:</w:t>
            </w:r>
          </w:p>
          <w:p w14:paraId="1DB7DF00" w14:textId="3203A1DC" w:rsidR="00B02ED1" w:rsidRDefault="00B02ED1" w:rsidP="005A05DE">
            <w:pPr>
              <w:pStyle w:val="TableParagraph"/>
              <w:spacing w:before="9"/>
              <w:ind w:left="140"/>
              <w:rPr>
                <w:rFonts w:ascii="Times New Roman" w:eastAsia="Times New Roman" w:hAnsi="Times New Roman" w:cs="Times New Roman"/>
                <w:lang w:val="hu-HU"/>
              </w:rPr>
            </w:pPr>
            <w:r w:rsidRPr="005A05DE">
              <w:rPr>
                <w:rFonts w:ascii="Times New Roman" w:eastAsia="Times New Roman" w:hAnsi="Times New Roman" w:cs="Times New Roman"/>
                <w:lang w:val="hu-HU"/>
              </w:rPr>
              <w:t>160 mg a 0. héten és 80 mg a 2. héten</w:t>
            </w:r>
          </w:p>
        </w:tc>
        <w:tc>
          <w:tcPr>
            <w:tcW w:w="1725" w:type="dxa"/>
            <w:tcBorders>
              <w:top w:val="single" w:sz="7" w:space="0" w:color="000000"/>
              <w:left w:val="single" w:sz="7" w:space="0" w:color="000000"/>
              <w:bottom w:val="single" w:sz="7" w:space="0" w:color="000000"/>
              <w:right w:val="single" w:sz="7" w:space="0" w:color="000000"/>
            </w:tcBorders>
          </w:tcPr>
          <w:p w14:paraId="31F2C829" w14:textId="77777777" w:rsidR="00B02ED1" w:rsidRDefault="00B02ED1" w:rsidP="005A05DE">
            <w:pPr>
              <w:pStyle w:val="TableParagraph"/>
              <w:spacing w:before="9"/>
              <w:ind w:left="140"/>
              <w:rPr>
                <w:rFonts w:ascii="Times New Roman" w:eastAsia="Times New Roman" w:hAnsi="Times New Roman" w:cs="Times New Roman"/>
                <w:lang w:val="hu-HU"/>
              </w:rPr>
            </w:pPr>
            <w:r w:rsidRPr="005A05DE">
              <w:rPr>
                <w:rFonts w:ascii="Times New Roman" w:eastAsia="Times New Roman" w:hAnsi="Times New Roman" w:cs="Times New Roman"/>
                <w:lang w:val="hu-HU"/>
              </w:rPr>
              <w:t>40 mg kéthetente</w:t>
            </w:r>
          </w:p>
        </w:tc>
      </w:tr>
    </w:tbl>
    <w:tbl>
      <w:tblPr>
        <w:tblW w:w="0" w:type="auto"/>
        <w:tblInd w:w="-108" w:type="dxa"/>
        <w:tblBorders>
          <w:top w:val="nil"/>
          <w:left w:val="nil"/>
          <w:bottom w:val="nil"/>
          <w:right w:val="nil"/>
        </w:tblBorders>
        <w:tblLayout w:type="fixed"/>
        <w:tblLook w:val="0000" w:firstRow="0" w:lastRow="0" w:firstColumn="0" w:lastColumn="0" w:noHBand="0" w:noVBand="0"/>
      </w:tblPr>
      <w:tblGrid>
        <w:gridCol w:w="9635"/>
      </w:tblGrid>
      <w:tr w:rsidR="007F2986" w:rsidRPr="00CC2E43" w14:paraId="17620BD7" w14:textId="77777777" w:rsidTr="00CC2E43">
        <w:trPr>
          <w:trHeight w:val="147"/>
        </w:trPr>
        <w:tc>
          <w:tcPr>
            <w:tcW w:w="9635" w:type="dxa"/>
          </w:tcPr>
          <w:p w14:paraId="6E0D82DB" w14:textId="41ED6711" w:rsidR="007F2986" w:rsidRDefault="007F2986" w:rsidP="00CC2E43">
            <w:pPr>
              <w:pStyle w:val="a3"/>
              <w:rPr>
                <w:color w:val="000000"/>
                <w:lang w:val="hu-HU"/>
              </w:rPr>
            </w:pPr>
          </w:p>
        </w:tc>
      </w:tr>
    </w:tbl>
    <w:p w14:paraId="3D4D1E9D" w14:textId="79679825" w:rsidR="007F2986" w:rsidRPr="005A05DE" w:rsidRDefault="007F2986" w:rsidP="005A05DE">
      <w:pPr>
        <w:pStyle w:val="a3"/>
        <w:rPr>
          <w:lang w:val="hu-HU"/>
        </w:rPr>
      </w:pPr>
      <w:r>
        <w:rPr>
          <w:rFonts w:eastAsia="Times New Roman"/>
          <w:lang w:val="hu-HU"/>
        </w:rPr>
        <w:t>A nem megfelelően reagáló betegeknél előnyös lehet az adag növelése:</w:t>
      </w:r>
    </w:p>
    <w:p w14:paraId="3AD78938" w14:textId="613EED71" w:rsidR="00B02ED1" w:rsidRPr="00167BF3" w:rsidRDefault="00B02ED1" w:rsidP="00167BF3">
      <w:pPr>
        <w:pStyle w:val="a3"/>
        <w:numPr>
          <w:ilvl w:val="0"/>
          <w:numId w:val="11"/>
        </w:numPr>
        <w:ind w:left="660" w:hanging="660"/>
      </w:pPr>
      <w:r w:rsidRPr="00167BF3">
        <w:t xml:space="preserve">&lt; 40 kg: 20 mg </w:t>
      </w:r>
      <w:proofErr w:type="spellStart"/>
      <w:r w:rsidRPr="00167BF3">
        <w:t>minden</w:t>
      </w:r>
      <w:proofErr w:type="spellEnd"/>
      <w:r w:rsidRPr="00167BF3">
        <w:t xml:space="preserve"> </w:t>
      </w:r>
      <w:proofErr w:type="spellStart"/>
      <w:r w:rsidRPr="00167BF3">
        <w:t>héten</w:t>
      </w:r>
      <w:proofErr w:type="spellEnd"/>
    </w:p>
    <w:p w14:paraId="529C3544" w14:textId="5ED1BE4E" w:rsidR="007F2986" w:rsidRPr="00167BF3" w:rsidRDefault="007F2986" w:rsidP="00167BF3">
      <w:pPr>
        <w:pStyle w:val="a3"/>
        <w:numPr>
          <w:ilvl w:val="0"/>
          <w:numId w:val="11"/>
        </w:numPr>
        <w:ind w:left="660" w:hanging="660"/>
      </w:pPr>
      <w:r w:rsidRPr="00167BF3">
        <w:rPr>
          <w:rFonts w:hint="eastAsia"/>
        </w:rPr>
        <w:t>≥</w:t>
      </w:r>
      <w:r w:rsidRPr="00167BF3">
        <w:t xml:space="preserve"> 40 kg: 40 mg </w:t>
      </w:r>
      <w:proofErr w:type="spellStart"/>
      <w:r w:rsidRPr="00167BF3">
        <w:t>minden</w:t>
      </w:r>
      <w:proofErr w:type="spellEnd"/>
      <w:r w:rsidRPr="00167BF3">
        <w:t xml:space="preserve"> </w:t>
      </w:r>
      <w:proofErr w:type="spellStart"/>
      <w:r w:rsidRPr="00167BF3">
        <w:t>héten</w:t>
      </w:r>
      <w:proofErr w:type="spellEnd"/>
      <w:r w:rsidRPr="00167BF3">
        <w:t xml:space="preserve"> </w:t>
      </w:r>
      <w:proofErr w:type="spellStart"/>
      <w:r w:rsidRPr="00167BF3">
        <w:t>vagy</w:t>
      </w:r>
      <w:proofErr w:type="spellEnd"/>
      <w:r w:rsidRPr="00167BF3">
        <w:t xml:space="preserve"> 80 mg </w:t>
      </w:r>
      <w:r w:rsidR="00CF5631">
        <w:rPr>
          <w:rFonts w:eastAsia="Times New Roman"/>
          <w:lang w:val="hu-HU"/>
        </w:rPr>
        <w:t>kéthetente</w:t>
      </w:r>
    </w:p>
    <w:p w14:paraId="4DB44F70" w14:textId="77777777" w:rsidR="007F2986" w:rsidRDefault="007F2986" w:rsidP="007F2986">
      <w:pPr>
        <w:spacing w:line="240" w:lineRule="exact"/>
        <w:rPr>
          <w:rFonts w:ascii="Times New Roman" w:hAnsi="Times New Roman" w:cs="Times New Roman"/>
          <w:sz w:val="24"/>
          <w:szCs w:val="24"/>
          <w:lang w:val="hu-HU"/>
        </w:rPr>
      </w:pPr>
    </w:p>
    <w:p w14:paraId="19585E72" w14:textId="77777777" w:rsidR="007F2986" w:rsidRDefault="007F2986" w:rsidP="007F2986">
      <w:pPr>
        <w:pStyle w:val="a3"/>
        <w:rPr>
          <w:lang w:val="hu-HU"/>
        </w:rPr>
      </w:pPr>
      <w:r>
        <w:rPr>
          <w:rFonts w:eastAsia="Times New Roman"/>
          <w:lang w:val="hu-HU"/>
        </w:rPr>
        <w:t>A kezelés folytatását alaposan meg kell fontolni azoknál a betegeknél, akik a 12. hétig nem reagálnak a kezelésre.</w:t>
      </w:r>
    </w:p>
    <w:p w14:paraId="6E2BFE53" w14:textId="77777777" w:rsidR="007F2986" w:rsidRDefault="007F2986" w:rsidP="007F2986">
      <w:pPr>
        <w:pStyle w:val="a3"/>
        <w:rPr>
          <w:lang w:val="hu-HU"/>
        </w:rPr>
      </w:pPr>
    </w:p>
    <w:p w14:paraId="28C897DC" w14:textId="5443CB9F" w:rsidR="007F2986" w:rsidRDefault="007F2986" w:rsidP="007F2986">
      <w:pPr>
        <w:pStyle w:val="a3"/>
        <w:rPr>
          <w:rFonts w:eastAsia="Times New Roman"/>
          <w:lang w:val="hu-HU"/>
        </w:rPr>
      </w:pPr>
      <w:r>
        <w:rPr>
          <w:rFonts w:eastAsia="Times New Roman"/>
          <w:lang w:val="hu-HU"/>
        </w:rPr>
        <w:t>6 évesnél fiatalabb gyermekek esetében az adalimumabnak ebben a javallatban nincs releváns alkalmazása.</w:t>
      </w:r>
    </w:p>
    <w:p w14:paraId="47E7778A" w14:textId="7CF50DA6" w:rsidR="00B02ED1" w:rsidRDefault="00B02ED1" w:rsidP="007F2986">
      <w:pPr>
        <w:pStyle w:val="a3"/>
        <w:rPr>
          <w:rFonts w:eastAsia="Times New Roman"/>
          <w:lang w:val="hu-HU"/>
        </w:rPr>
      </w:pPr>
    </w:p>
    <w:p w14:paraId="18FFCEF9" w14:textId="0E5B14EF" w:rsidR="007F2986" w:rsidRDefault="00B02ED1" w:rsidP="005A05DE">
      <w:pPr>
        <w:pStyle w:val="a3"/>
        <w:rPr>
          <w:lang w:val="hu-HU"/>
        </w:rPr>
      </w:pPr>
      <w:r w:rsidRPr="005A05DE">
        <w:rPr>
          <w:lang w:val="hu-HU"/>
        </w:rPr>
        <w:t xml:space="preserve">A </w:t>
      </w:r>
      <w:r w:rsidR="00D92752">
        <w:rPr>
          <w:lang w:val="hu-HU"/>
        </w:rPr>
        <w:t>Yuflyma</w:t>
      </w:r>
      <w:r w:rsidRPr="005A05DE">
        <w:rPr>
          <w:lang w:val="hu-HU"/>
        </w:rPr>
        <w:t xml:space="preserve"> más hatáserősségben és/vagy kiszerelésben is elérhető az egyéni terápiás igényeknek megfelelően</w:t>
      </w:r>
      <w:r>
        <w:rPr>
          <w:lang w:val="hu-HU"/>
        </w:rPr>
        <w:t>.</w:t>
      </w:r>
    </w:p>
    <w:p w14:paraId="62AD7356" w14:textId="77777777" w:rsidR="00B02ED1" w:rsidRPr="005A05DE" w:rsidRDefault="00B02ED1" w:rsidP="005A05DE">
      <w:pPr>
        <w:pStyle w:val="a3"/>
        <w:rPr>
          <w:lang w:val="hu-HU"/>
        </w:rPr>
      </w:pPr>
    </w:p>
    <w:p w14:paraId="28B3F44F" w14:textId="77777777" w:rsidR="007F2986" w:rsidRDefault="007F2986" w:rsidP="007F2986">
      <w:pPr>
        <w:rPr>
          <w:rFonts w:ascii="Times New Roman" w:eastAsia="Times New Roman" w:hAnsi="Times New Roman" w:cs="Times New Roman"/>
          <w:i/>
          <w:spacing w:val="-1"/>
          <w:u w:val="single" w:color="000000"/>
          <w:lang w:val="hu-HU"/>
        </w:rPr>
      </w:pPr>
      <w:r>
        <w:rPr>
          <w:rFonts w:ascii="Times New Roman" w:eastAsia="Times New Roman" w:hAnsi="Times New Roman" w:cs="Times New Roman"/>
          <w:i/>
          <w:iCs/>
          <w:spacing w:val="-1"/>
          <w:u w:val="single" w:color="000000"/>
          <w:lang w:val="hu-HU"/>
        </w:rPr>
        <w:t>Gyermekkori uveitis</w:t>
      </w:r>
    </w:p>
    <w:p w14:paraId="1AB049FA" w14:textId="77777777" w:rsidR="007F2986" w:rsidRDefault="007F2986" w:rsidP="007F2986">
      <w:pPr>
        <w:rPr>
          <w:rFonts w:ascii="Times New Roman" w:eastAsia="Times New Roman" w:hAnsi="Times New Roman" w:cs="Times New Roman"/>
          <w:lang w:val="hu-HU"/>
        </w:rPr>
      </w:pPr>
    </w:p>
    <w:p w14:paraId="7812B609" w14:textId="09D87F21" w:rsidR="007F2986" w:rsidRDefault="007F2986" w:rsidP="007F2986">
      <w:pPr>
        <w:pStyle w:val="a3"/>
        <w:rPr>
          <w:lang w:val="hu-HU"/>
        </w:rPr>
      </w:pPr>
      <w:r>
        <w:rPr>
          <w:rFonts w:eastAsia="Times New Roman"/>
          <w:lang w:val="hu-HU"/>
        </w:rPr>
        <w:t>A Yuflyma ajánlott adagja uveitisben szenvedő, 2 évesnél idősebb gye</w:t>
      </w:r>
      <w:r w:rsidR="00B02ED1">
        <w:rPr>
          <w:rFonts w:eastAsia="Times New Roman"/>
          <w:lang w:val="hu-HU"/>
        </w:rPr>
        <w:t>rmekeknél a testtömegtől függ (5</w:t>
      </w:r>
      <w:r>
        <w:rPr>
          <w:rFonts w:eastAsia="Times New Roman"/>
          <w:lang w:val="hu-HU"/>
        </w:rPr>
        <w:t>. táblázat). A Yuflyma-t subcutan injekció formájában kell alkalmazni.</w:t>
      </w:r>
    </w:p>
    <w:p w14:paraId="00DE7CA5" w14:textId="77777777" w:rsidR="007F2986" w:rsidRDefault="007F2986" w:rsidP="007F2986">
      <w:pPr>
        <w:rPr>
          <w:rFonts w:ascii="Times New Roman" w:hAnsi="Times New Roman" w:cs="Times New Roman"/>
          <w:sz w:val="24"/>
          <w:szCs w:val="24"/>
          <w:lang w:val="hu-HU"/>
        </w:rPr>
      </w:pPr>
    </w:p>
    <w:p w14:paraId="726085B4" w14:textId="77777777" w:rsidR="007F2986" w:rsidRDefault="007F2986" w:rsidP="007F2986">
      <w:pPr>
        <w:pStyle w:val="a3"/>
        <w:rPr>
          <w:lang w:val="hu-HU"/>
        </w:rPr>
      </w:pPr>
      <w:r>
        <w:rPr>
          <w:rFonts w:eastAsia="Times New Roman"/>
          <w:lang w:val="hu-HU"/>
        </w:rPr>
        <w:t>Gyermekkori uveitisben nincs tapasztalat az egyidejű metotrexát-kezelés nélküli adalimumab-kezeléssel.</w:t>
      </w:r>
    </w:p>
    <w:p w14:paraId="7BF63A55" w14:textId="77777777" w:rsidR="007F2986" w:rsidRDefault="007F2986" w:rsidP="007F2986">
      <w:pPr>
        <w:pStyle w:val="a3"/>
        <w:rPr>
          <w:lang w:val="hu-HU"/>
        </w:rPr>
      </w:pPr>
    </w:p>
    <w:p w14:paraId="3028C27F" w14:textId="55A4287A" w:rsidR="007F2986" w:rsidRDefault="00B02ED1" w:rsidP="007F2986">
      <w:pPr>
        <w:pStyle w:val="a3"/>
        <w:jc w:val="center"/>
        <w:rPr>
          <w:b/>
          <w:lang w:val="hu-HU"/>
        </w:rPr>
      </w:pPr>
      <w:r>
        <w:rPr>
          <w:rFonts w:eastAsia="Times New Roman"/>
          <w:b/>
          <w:bCs/>
          <w:lang w:val="hu-HU"/>
        </w:rPr>
        <w:t>5</w:t>
      </w:r>
      <w:r w:rsidR="007F2986">
        <w:rPr>
          <w:rFonts w:eastAsia="Times New Roman"/>
          <w:b/>
          <w:bCs/>
          <w:lang w:val="hu-HU"/>
        </w:rPr>
        <w:t>. táblázat. A Yuflyma dózisa uveitisben szenvedő gyermekeknél</w:t>
      </w:r>
    </w:p>
    <w:p w14:paraId="26BA401B" w14:textId="77777777" w:rsidR="007F2986" w:rsidRDefault="007F2986" w:rsidP="007F2986">
      <w:pPr>
        <w:spacing w:before="4" w:line="220" w:lineRule="exact"/>
        <w:rPr>
          <w:rFonts w:ascii="Times New Roman" w:hAnsi="Times New Roman" w:cs="Times New Roman"/>
          <w:lang w:val="hu-HU"/>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7F2986" w14:paraId="6BD5CC0D" w14:textId="77777777" w:rsidTr="00CC2E43">
        <w:trPr>
          <w:trHeight w:val="374"/>
          <w:jc w:val="center"/>
        </w:trPr>
        <w:tc>
          <w:tcPr>
            <w:tcW w:w="3572" w:type="dxa"/>
            <w:tcBorders>
              <w:top w:val="single" w:sz="4" w:space="0" w:color="auto"/>
              <w:bottom w:val="single" w:sz="4" w:space="0" w:color="auto"/>
            </w:tcBorders>
            <w:vAlign w:val="center"/>
          </w:tcPr>
          <w:p w14:paraId="523A079A" w14:textId="77777777" w:rsidR="007F2986" w:rsidRDefault="007F2986" w:rsidP="00CC2E43">
            <w:pPr>
              <w:pStyle w:val="a3"/>
              <w:jc w:val="center"/>
              <w:rPr>
                <w:b/>
                <w:lang w:val="hu-HU"/>
              </w:rPr>
            </w:pPr>
            <w:r>
              <w:rPr>
                <w:rFonts w:eastAsia="Times New Roman"/>
                <w:b/>
                <w:bCs/>
                <w:lang w:val="hu-HU"/>
              </w:rPr>
              <w:t>A beteg testtömege</w:t>
            </w:r>
          </w:p>
        </w:tc>
        <w:tc>
          <w:tcPr>
            <w:tcW w:w="3572" w:type="dxa"/>
            <w:tcBorders>
              <w:top w:val="single" w:sz="4" w:space="0" w:color="auto"/>
              <w:bottom w:val="single" w:sz="4" w:space="0" w:color="auto"/>
            </w:tcBorders>
            <w:vAlign w:val="center"/>
          </w:tcPr>
          <w:p w14:paraId="174276D7" w14:textId="77777777" w:rsidR="007F2986" w:rsidRDefault="007F2986" w:rsidP="00CC2E43">
            <w:pPr>
              <w:pStyle w:val="a3"/>
              <w:jc w:val="center"/>
              <w:rPr>
                <w:b/>
                <w:lang w:val="hu-HU"/>
              </w:rPr>
            </w:pPr>
            <w:r>
              <w:rPr>
                <w:rFonts w:eastAsia="Times New Roman"/>
                <w:b/>
                <w:bCs/>
                <w:lang w:val="hu-HU"/>
              </w:rPr>
              <w:t>Adagolási rend</w:t>
            </w:r>
          </w:p>
        </w:tc>
      </w:tr>
      <w:tr w:rsidR="00B02ED1" w14:paraId="057ECA13" w14:textId="77777777" w:rsidTr="00AF1AD1">
        <w:trPr>
          <w:trHeight w:val="680"/>
          <w:jc w:val="center"/>
        </w:trPr>
        <w:tc>
          <w:tcPr>
            <w:tcW w:w="3572" w:type="dxa"/>
            <w:tcBorders>
              <w:top w:val="single" w:sz="4" w:space="0" w:color="auto"/>
              <w:bottom w:val="single" w:sz="4" w:space="0" w:color="auto"/>
            </w:tcBorders>
            <w:vAlign w:val="center"/>
          </w:tcPr>
          <w:p w14:paraId="04020689" w14:textId="77777777" w:rsidR="00B02ED1" w:rsidRDefault="00B02ED1" w:rsidP="00B02ED1">
            <w:pPr>
              <w:pStyle w:val="a3"/>
              <w:jc w:val="center"/>
              <w:rPr>
                <w:lang w:val="hu-HU"/>
              </w:rPr>
            </w:pPr>
            <w:r>
              <w:rPr>
                <w:rFonts w:eastAsia="Times New Roman"/>
                <w:lang w:val="hu-HU"/>
              </w:rPr>
              <w:t>&lt; 30 kg</w:t>
            </w:r>
          </w:p>
        </w:tc>
        <w:tc>
          <w:tcPr>
            <w:tcW w:w="3572" w:type="dxa"/>
            <w:tcBorders>
              <w:top w:val="single" w:sz="4" w:space="0" w:color="auto"/>
              <w:bottom w:val="single" w:sz="4" w:space="0" w:color="auto"/>
            </w:tcBorders>
            <w:vAlign w:val="center"/>
          </w:tcPr>
          <w:p w14:paraId="5CC17A54" w14:textId="2F7E992B" w:rsidR="00B02ED1" w:rsidRDefault="00B02ED1" w:rsidP="00B02ED1">
            <w:pPr>
              <w:pStyle w:val="a3"/>
              <w:jc w:val="center"/>
              <w:rPr>
                <w:lang w:val="hu-HU"/>
              </w:rPr>
            </w:pPr>
            <w:r>
              <w:rPr>
                <w:rFonts w:eastAsia="Times New Roman"/>
                <w:lang w:val="hu-HU"/>
              </w:rPr>
              <w:t xml:space="preserve">20 mg </w:t>
            </w:r>
            <w:r w:rsidR="00522F52">
              <w:rPr>
                <w:rFonts w:eastAsia="Times New Roman"/>
                <w:lang w:val="hu-HU"/>
              </w:rPr>
              <w:t>kéthetente</w:t>
            </w:r>
            <w:r w:rsidR="00522F52" w:rsidDel="00522F52">
              <w:rPr>
                <w:rFonts w:eastAsia="Times New Roman"/>
                <w:lang w:val="hu-HU"/>
              </w:rPr>
              <w:t xml:space="preserve"> </w:t>
            </w:r>
            <w:r>
              <w:rPr>
                <w:rFonts w:eastAsia="Times New Roman"/>
                <w:lang w:val="hu-HU"/>
              </w:rPr>
              <w:t>metotrexáttal kombinálva</w:t>
            </w:r>
          </w:p>
        </w:tc>
      </w:tr>
      <w:tr w:rsidR="00B02ED1" w14:paraId="42336443" w14:textId="77777777" w:rsidTr="00AF1AD1">
        <w:trPr>
          <w:trHeight w:val="680"/>
          <w:jc w:val="center"/>
        </w:trPr>
        <w:tc>
          <w:tcPr>
            <w:tcW w:w="3572" w:type="dxa"/>
            <w:tcBorders>
              <w:top w:val="single" w:sz="4" w:space="0" w:color="auto"/>
              <w:bottom w:val="single" w:sz="4" w:space="0" w:color="auto"/>
            </w:tcBorders>
            <w:vAlign w:val="center"/>
          </w:tcPr>
          <w:p w14:paraId="6C1B0168" w14:textId="77777777" w:rsidR="00B02ED1" w:rsidRDefault="00B02ED1" w:rsidP="00B02ED1">
            <w:pPr>
              <w:pStyle w:val="a3"/>
              <w:jc w:val="center"/>
              <w:rPr>
                <w:lang w:val="hu-HU"/>
              </w:rPr>
            </w:pPr>
            <w:r>
              <w:rPr>
                <w:rFonts w:eastAsia="Times New Roman"/>
                <w:lang w:val="hu-HU"/>
              </w:rPr>
              <w:t>≥ 30 kg</w:t>
            </w:r>
          </w:p>
        </w:tc>
        <w:tc>
          <w:tcPr>
            <w:tcW w:w="3572" w:type="dxa"/>
            <w:tcBorders>
              <w:top w:val="single" w:sz="4" w:space="0" w:color="auto"/>
              <w:bottom w:val="single" w:sz="4" w:space="0" w:color="auto"/>
            </w:tcBorders>
            <w:vAlign w:val="center"/>
          </w:tcPr>
          <w:p w14:paraId="6311F00F" w14:textId="26C6D081" w:rsidR="00B02ED1" w:rsidRDefault="00B02ED1" w:rsidP="00B02ED1">
            <w:pPr>
              <w:pStyle w:val="a3"/>
              <w:jc w:val="center"/>
              <w:rPr>
                <w:lang w:val="hu-HU"/>
              </w:rPr>
            </w:pPr>
            <w:r>
              <w:rPr>
                <w:rFonts w:eastAsia="Times New Roman"/>
                <w:lang w:val="hu-HU"/>
              </w:rPr>
              <w:t xml:space="preserve">40 mg </w:t>
            </w:r>
            <w:r w:rsidR="00522F52">
              <w:rPr>
                <w:rFonts w:eastAsia="Times New Roman"/>
                <w:lang w:val="hu-HU"/>
              </w:rPr>
              <w:t>kéthetente</w:t>
            </w:r>
            <w:r w:rsidR="00522F52" w:rsidDel="00522F52">
              <w:rPr>
                <w:rFonts w:eastAsia="Times New Roman"/>
                <w:lang w:val="hu-HU"/>
              </w:rPr>
              <w:t xml:space="preserve"> </w:t>
            </w:r>
            <w:r>
              <w:rPr>
                <w:rFonts w:eastAsia="Times New Roman"/>
                <w:lang w:val="hu-HU"/>
              </w:rPr>
              <w:t>metotrexáttal kombinálva</w:t>
            </w:r>
          </w:p>
        </w:tc>
      </w:tr>
    </w:tbl>
    <w:p w14:paraId="606FA29D" w14:textId="77777777" w:rsidR="007F2986" w:rsidRDefault="007F2986" w:rsidP="007F2986">
      <w:pPr>
        <w:pStyle w:val="a3"/>
        <w:rPr>
          <w:lang w:val="hu-HU"/>
        </w:rPr>
      </w:pPr>
    </w:p>
    <w:p w14:paraId="35BE430B" w14:textId="77777777" w:rsidR="007F2986" w:rsidRDefault="007F2986" w:rsidP="007F2986">
      <w:pPr>
        <w:pStyle w:val="a3"/>
        <w:rPr>
          <w:lang w:val="hu-HU"/>
        </w:rPr>
      </w:pPr>
      <w:r>
        <w:rPr>
          <w:rFonts w:eastAsia="Times New Roman"/>
          <w:lang w:val="hu-HU"/>
        </w:rPr>
        <w:t>A Yuflyma-kezelés megkezdésekor egy 40 mg-os telítő dózis adható a 30 kg alatti betegeknek, vagy egy 80 mg-os telítő dózis adható a legalább 30 kg-os betegeknek egy héttel a fenntartó kezelés megkezdése előtt. Nem állnak rendelkezésre klinikai adatok az adalimumab telítő dózis 6 évesnél fiatalabb gyermekeknél történő alkalmazásáról (lásd 5.2 pont).</w:t>
      </w:r>
    </w:p>
    <w:p w14:paraId="5F1EC6F3" w14:textId="77777777" w:rsidR="007F2986" w:rsidRDefault="007F2986" w:rsidP="007F2986">
      <w:pPr>
        <w:spacing w:before="10" w:line="240" w:lineRule="exact"/>
        <w:rPr>
          <w:rFonts w:ascii="Times New Roman" w:hAnsi="Times New Roman" w:cs="Times New Roman"/>
          <w:sz w:val="24"/>
          <w:szCs w:val="24"/>
          <w:lang w:val="hu-HU"/>
        </w:rPr>
      </w:pPr>
    </w:p>
    <w:p w14:paraId="3AC33CD5" w14:textId="77777777" w:rsidR="007F2986" w:rsidRDefault="007F2986" w:rsidP="007F2986">
      <w:pPr>
        <w:pStyle w:val="a3"/>
        <w:rPr>
          <w:lang w:val="hu-HU"/>
        </w:rPr>
      </w:pPr>
      <w:r>
        <w:rPr>
          <w:rFonts w:eastAsia="Times New Roman"/>
          <w:lang w:val="hu-HU"/>
        </w:rPr>
        <w:lastRenderedPageBreak/>
        <w:t>2 évesnél fiatalabb gyermekek esetében ebben az adalimumabnak a javallatban nincs releváns alkalmazása.</w:t>
      </w:r>
    </w:p>
    <w:p w14:paraId="6F018813" w14:textId="77777777" w:rsidR="007F2986" w:rsidRDefault="007F2986" w:rsidP="007F2986">
      <w:pPr>
        <w:spacing w:before="11" w:line="240" w:lineRule="exact"/>
        <w:rPr>
          <w:rFonts w:ascii="Times New Roman" w:hAnsi="Times New Roman" w:cs="Times New Roman"/>
          <w:sz w:val="24"/>
          <w:szCs w:val="24"/>
          <w:lang w:val="hu-HU"/>
        </w:rPr>
      </w:pPr>
    </w:p>
    <w:p w14:paraId="28CE32CC" w14:textId="031FB6B3" w:rsidR="007F2986" w:rsidRDefault="007F2986" w:rsidP="007F2986">
      <w:pPr>
        <w:pStyle w:val="a3"/>
        <w:rPr>
          <w:rFonts w:eastAsia="Times New Roman"/>
          <w:spacing w:val="-4"/>
          <w:lang w:val="hu-HU"/>
        </w:rPr>
      </w:pPr>
      <w:r>
        <w:rPr>
          <w:rFonts w:eastAsia="Times New Roman"/>
          <w:spacing w:val="-4"/>
          <w:lang w:val="hu-HU"/>
        </w:rPr>
        <w:t>Javasolt a hosszú távú kezelés előnyének és kockázatának évente történő értékelése (lásd 5.1 pont).</w:t>
      </w:r>
    </w:p>
    <w:p w14:paraId="72B09ECE" w14:textId="0C05995E" w:rsidR="00B02ED1" w:rsidRDefault="00B02ED1" w:rsidP="007F2986">
      <w:pPr>
        <w:pStyle w:val="a3"/>
        <w:rPr>
          <w:rFonts w:eastAsia="Times New Roman"/>
          <w:spacing w:val="-4"/>
          <w:lang w:val="hu-HU"/>
        </w:rPr>
      </w:pPr>
    </w:p>
    <w:p w14:paraId="4DD96571" w14:textId="1F1B3DB3" w:rsidR="00B02ED1" w:rsidRDefault="00B02ED1" w:rsidP="007F2986">
      <w:pPr>
        <w:pStyle w:val="a3"/>
        <w:rPr>
          <w:lang w:val="hu-HU"/>
        </w:rPr>
      </w:pPr>
      <w:r w:rsidRPr="005A05DE">
        <w:rPr>
          <w:lang w:val="hu-HU"/>
        </w:rPr>
        <w:t xml:space="preserve">A </w:t>
      </w:r>
      <w:r w:rsidR="00D92752">
        <w:rPr>
          <w:lang w:val="hu-HU"/>
        </w:rPr>
        <w:t>Yuflyma</w:t>
      </w:r>
      <w:r w:rsidRPr="005A05DE">
        <w:rPr>
          <w:lang w:val="hu-HU"/>
        </w:rPr>
        <w:t xml:space="preserve"> más hatáserősségben és/vagy kiszerelésben is elérhető az egyéni terápiás igényeknek megfelelően</w:t>
      </w:r>
      <w:r>
        <w:rPr>
          <w:lang w:val="hu-HU"/>
        </w:rPr>
        <w:t>.</w:t>
      </w:r>
    </w:p>
    <w:p w14:paraId="3DC2CB7E" w14:textId="0AA7E2D5" w:rsidR="00B02ED1" w:rsidRDefault="00B02ED1" w:rsidP="007F2986">
      <w:pPr>
        <w:pStyle w:val="a3"/>
        <w:rPr>
          <w:lang w:val="hu-HU"/>
        </w:rPr>
      </w:pPr>
    </w:p>
    <w:p w14:paraId="01D0DF0D" w14:textId="77777777" w:rsidR="00B02ED1" w:rsidRPr="005A05DE" w:rsidRDefault="00B02ED1" w:rsidP="007F2986">
      <w:pPr>
        <w:pStyle w:val="a3"/>
        <w:rPr>
          <w:rFonts w:eastAsia="Times New Roman"/>
          <w:u w:val="single" w:color="000000"/>
          <w:lang w:val="hu-HU"/>
        </w:rPr>
      </w:pPr>
      <w:r w:rsidRPr="005A05DE">
        <w:rPr>
          <w:rFonts w:eastAsia="Times New Roman"/>
          <w:u w:val="single" w:color="000000"/>
          <w:lang w:val="hu-HU"/>
        </w:rPr>
        <w:t>Vese- és/vagy májkárosodás</w:t>
      </w:r>
    </w:p>
    <w:p w14:paraId="31286F61" w14:textId="77777777" w:rsidR="00B02ED1" w:rsidRDefault="00B02ED1" w:rsidP="007F2986">
      <w:pPr>
        <w:pStyle w:val="a3"/>
        <w:rPr>
          <w:lang w:val="hu-HU"/>
        </w:rPr>
      </w:pPr>
    </w:p>
    <w:p w14:paraId="65B5ABF7" w14:textId="439B2006" w:rsidR="00B02ED1" w:rsidRPr="00B02ED1" w:rsidRDefault="00B02ED1" w:rsidP="007F2986">
      <w:pPr>
        <w:pStyle w:val="a3"/>
        <w:rPr>
          <w:lang w:val="hu-HU"/>
        </w:rPr>
      </w:pPr>
      <w:r w:rsidRPr="005A05DE">
        <w:rPr>
          <w:lang w:val="hu-HU"/>
        </w:rPr>
        <w:t>Ezeknél a betegpopulációknál nem állnak rendelkezésre adatok. Nincs az adagolásra vonatkozó javaslat.</w:t>
      </w:r>
    </w:p>
    <w:p w14:paraId="097F732F" w14:textId="77777777" w:rsidR="007F2986" w:rsidRDefault="007F2986" w:rsidP="007F2986">
      <w:pPr>
        <w:spacing w:before="12" w:line="240" w:lineRule="exact"/>
        <w:rPr>
          <w:rFonts w:ascii="Times New Roman" w:hAnsi="Times New Roman" w:cs="Times New Roman"/>
          <w:lang w:val="hu-HU"/>
        </w:rPr>
      </w:pPr>
    </w:p>
    <w:p w14:paraId="797298F4" w14:textId="77777777" w:rsidR="007F2986" w:rsidRDefault="007F2986" w:rsidP="007F2986">
      <w:pPr>
        <w:pStyle w:val="a3"/>
        <w:rPr>
          <w:u w:val="single"/>
          <w:lang w:val="hu-HU"/>
        </w:rPr>
      </w:pPr>
      <w:r>
        <w:rPr>
          <w:rFonts w:eastAsia="Times New Roman"/>
          <w:u w:val="single" w:color="000000"/>
          <w:lang w:val="hu-HU"/>
        </w:rPr>
        <w:t>Az alkalmazás módja</w:t>
      </w:r>
    </w:p>
    <w:p w14:paraId="3C62C266" w14:textId="77777777" w:rsidR="007F2986" w:rsidRDefault="007F2986" w:rsidP="007F2986">
      <w:pPr>
        <w:spacing w:before="9" w:line="170" w:lineRule="exact"/>
        <w:rPr>
          <w:rFonts w:ascii="Times New Roman" w:hAnsi="Times New Roman" w:cs="Times New Roman"/>
          <w:lang w:val="hu-HU"/>
        </w:rPr>
      </w:pPr>
    </w:p>
    <w:p w14:paraId="2DAF6046" w14:textId="66971B83" w:rsidR="007F2986" w:rsidRDefault="007F2986" w:rsidP="007F2986">
      <w:pPr>
        <w:pStyle w:val="a3"/>
        <w:rPr>
          <w:lang w:val="hu-HU"/>
        </w:rPr>
      </w:pPr>
      <w:r>
        <w:rPr>
          <w:rFonts w:eastAsia="Times New Roman"/>
          <w:lang w:val="hu-HU"/>
        </w:rPr>
        <w:t>A Yuflyma-t subcutan injekció formájában kell alkalmazni.</w:t>
      </w:r>
      <w:r w:rsidR="00B02ED1">
        <w:rPr>
          <w:rFonts w:hint="eastAsia"/>
          <w:lang w:val="hu-HU" w:eastAsia="ko-KR"/>
        </w:rPr>
        <w:t xml:space="preserve"> </w:t>
      </w:r>
      <w:r>
        <w:rPr>
          <w:rFonts w:eastAsia="Times New Roman"/>
          <w:lang w:val="hu-HU"/>
        </w:rPr>
        <w:t>A használatra vonatkozó teljes utasításokat a betegtájékoztató tartalmazza.</w:t>
      </w:r>
    </w:p>
    <w:p w14:paraId="3C0D2583" w14:textId="77777777" w:rsidR="007F2986" w:rsidRDefault="007F2986" w:rsidP="007F2986">
      <w:pPr>
        <w:spacing w:before="12" w:line="240" w:lineRule="exact"/>
        <w:rPr>
          <w:rFonts w:ascii="Times New Roman" w:hAnsi="Times New Roman" w:cs="Times New Roman"/>
          <w:lang w:val="hu-HU"/>
        </w:rPr>
      </w:pPr>
    </w:p>
    <w:p w14:paraId="5F64E263" w14:textId="6210B66E" w:rsidR="007F2986" w:rsidRDefault="00B02ED1" w:rsidP="007F2986">
      <w:pPr>
        <w:pStyle w:val="a3"/>
        <w:rPr>
          <w:lang w:val="hu-HU"/>
        </w:rPr>
      </w:pPr>
      <w:r w:rsidRPr="00D92752">
        <w:rPr>
          <w:lang w:val="hu-HU"/>
        </w:rPr>
        <w:t xml:space="preserve">A </w:t>
      </w:r>
      <w:r w:rsidR="00D92752" w:rsidRPr="00D92752">
        <w:rPr>
          <w:lang w:val="hu-HU"/>
        </w:rPr>
        <w:t>Yuflyma</w:t>
      </w:r>
      <w:r w:rsidRPr="00D92752">
        <w:rPr>
          <w:lang w:val="hu-HU"/>
        </w:rPr>
        <w:t xml:space="preserve"> más hatáserősségekben és kiszerelésekben is rendelkezésre áll.</w:t>
      </w:r>
    </w:p>
    <w:p w14:paraId="3C4DDAF7" w14:textId="77777777" w:rsidR="007F2986" w:rsidRDefault="007F2986" w:rsidP="007F2986">
      <w:pPr>
        <w:spacing w:before="16" w:line="240" w:lineRule="exact"/>
        <w:rPr>
          <w:rFonts w:ascii="Times New Roman" w:hAnsi="Times New Roman" w:cs="Times New Roman"/>
          <w:lang w:val="hu-HU"/>
        </w:rPr>
      </w:pPr>
    </w:p>
    <w:p w14:paraId="11D5F7E5" w14:textId="77777777" w:rsidR="007F2986" w:rsidRDefault="007F2986" w:rsidP="00FD05AA">
      <w:pPr>
        <w:widowControl/>
        <w:numPr>
          <w:ilvl w:val="1"/>
          <w:numId w:val="76"/>
        </w:numPr>
        <w:tabs>
          <w:tab w:val="left" w:pos="567"/>
        </w:tabs>
        <w:spacing w:line="260" w:lineRule="exact"/>
        <w:ind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Ellenjavallatok</w:t>
      </w:r>
    </w:p>
    <w:p w14:paraId="5893CE94" w14:textId="77777777" w:rsidR="007F2986" w:rsidRDefault="007F2986" w:rsidP="007F2986">
      <w:pPr>
        <w:spacing w:before="9" w:line="240" w:lineRule="exact"/>
        <w:rPr>
          <w:rFonts w:ascii="Times New Roman" w:hAnsi="Times New Roman" w:cs="Times New Roman"/>
          <w:lang w:val="hu-HU"/>
        </w:rPr>
      </w:pPr>
    </w:p>
    <w:p w14:paraId="3968DB0F" w14:textId="77777777" w:rsidR="007F2986" w:rsidRDefault="007F2986" w:rsidP="007F2986">
      <w:pPr>
        <w:pStyle w:val="a3"/>
        <w:rPr>
          <w:lang w:val="hu-HU"/>
        </w:rPr>
      </w:pPr>
      <w:r>
        <w:rPr>
          <w:rFonts w:eastAsia="Times New Roman"/>
          <w:lang w:val="hu-HU"/>
        </w:rPr>
        <w:t>A készítmény hatóanyagával vagy a 6.1 pontban felsorolt bármely segédanyagával szembeni túlérzékenység.</w:t>
      </w:r>
    </w:p>
    <w:p w14:paraId="06A89962" w14:textId="77777777" w:rsidR="007F2986" w:rsidRDefault="007F2986" w:rsidP="007F2986">
      <w:pPr>
        <w:spacing w:before="13" w:line="240" w:lineRule="exact"/>
        <w:rPr>
          <w:rFonts w:ascii="Times New Roman" w:hAnsi="Times New Roman" w:cs="Times New Roman"/>
          <w:lang w:val="hu-HU"/>
        </w:rPr>
      </w:pPr>
    </w:p>
    <w:p w14:paraId="0D10EA4B" w14:textId="77777777" w:rsidR="007F2986" w:rsidRDefault="007F2986" w:rsidP="007F2986">
      <w:pPr>
        <w:pStyle w:val="a3"/>
        <w:rPr>
          <w:lang w:val="hu-HU"/>
        </w:rPr>
      </w:pPr>
      <w:r>
        <w:rPr>
          <w:rFonts w:eastAsia="Times New Roman"/>
          <w:lang w:val="hu-HU"/>
        </w:rPr>
        <w:t>Aktív tuberkulózis vagy más súlyos fertőzés, mint szepszis vagy opportunista fertőzések (lásd 4. 4 pont).</w:t>
      </w:r>
    </w:p>
    <w:p w14:paraId="5CF900BB" w14:textId="77777777" w:rsidR="007F2986" w:rsidRDefault="007F2986" w:rsidP="007F2986">
      <w:pPr>
        <w:pStyle w:val="a3"/>
        <w:rPr>
          <w:lang w:val="hu-HU"/>
        </w:rPr>
      </w:pPr>
    </w:p>
    <w:p w14:paraId="579DFCB2" w14:textId="77777777" w:rsidR="007F2986" w:rsidRDefault="007F2986" w:rsidP="007F2986">
      <w:pPr>
        <w:pStyle w:val="a3"/>
        <w:rPr>
          <w:lang w:val="hu-HU"/>
        </w:rPr>
      </w:pPr>
      <w:r>
        <w:rPr>
          <w:rFonts w:eastAsia="Times New Roman"/>
          <w:lang w:val="hu-HU"/>
        </w:rPr>
        <w:t>Közepesen súlyos-</w:t>
      </w:r>
      <w:r w:rsidRPr="009167C6">
        <w:rPr>
          <w:lang w:val="hu-HU"/>
        </w:rPr>
        <w:t> </w:t>
      </w:r>
      <w:r>
        <w:rPr>
          <w:rFonts w:eastAsia="Times New Roman"/>
          <w:lang w:val="hu-HU"/>
        </w:rPr>
        <w:t xml:space="preserve"> súlyos</w:t>
      </w:r>
      <w:r w:rsidDel="00011824">
        <w:rPr>
          <w:rFonts w:eastAsia="Times New Roman"/>
          <w:lang w:val="hu-HU"/>
        </w:rPr>
        <w:t xml:space="preserve"> </w:t>
      </w:r>
      <w:r>
        <w:rPr>
          <w:rFonts w:eastAsia="Times New Roman"/>
          <w:lang w:val="hu-HU"/>
        </w:rPr>
        <w:t>szívelégtelenség (NYHA III/ IV) (lásd 4. 4 pont).</w:t>
      </w:r>
    </w:p>
    <w:p w14:paraId="62F40EAE" w14:textId="77777777" w:rsidR="007F2986" w:rsidRDefault="007F2986" w:rsidP="007F2986">
      <w:pPr>
        <w:pStyle w:val="a3"/>
        <w:rPr>
          <w:lang w:val="hu-HU"/>
        </w:rPr>
      </w:pPr>
    </w:p>
    <w:p w14:paraId="47E41721" w14:textId="77777777" w:rsidR="007F2986" w:rsidRDefault="007F2986" w:rsidP="00FD05AA">
      <w:pPr>
        <w:widowControl/>
        <w:numPr>
          <w:ilvl w:val="1"/>
          <w:numId w:val="76"/>
        </w:numPr>
        <w:tabs>
          <w:tab w:val="left" w:pos="567"/>
        </w:tabs>
        <w:spacing w:line="260" w:lineRule="exact"/>
        <w:ind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Különleges figyelmeztetések és az alkalmazással kapcsolatos óvintézkedések</w:t>
      </w:r>
    </w:p>
    <w:p w14:paraId="145838BD" w14:textId="77777777" w:rsidR="007F2986" w:rsidRDefault="007F2986" w:rsidP="007F2986">
      <w:pPr>
        <w:spacing w:before="9" w:line="240" w:lineRule="exact"/>
        <w:rPr>
          <w:rFonts w:ascii="Times New Roman" w:hAnsi="Times New Roman" w:cs="Times New Roman"/>
          <w:lang w:val="hu-HU"/>
        </w:rPr>
      </w:pPr>
    </w:p>
    <w:p w14:paraId="178565C8" w14:textId="34399C16" w:rsidR="007F2986" w:rsidRDefault="007F2986" w:rsidP="007F2986">
      <w:pPr>
        <w:pStyle w:val="a3"/>
        <w:rPr>
          <w:u w:val="single"/>
          <w:lang w:val="hu-HU"/>
        </w:rPr>
      </w:pPr>
      <w:r>
        <w:rPr>
          <w:rFonts w:eastAsia="Times New Roman"/>
          <w:spacing w:val="1"/>
          <w:u w:val="single" w:color="000000"/>
          <w:lang w:val="hu-HU"/>
        </w:rPr>
        <w:t>Nyomonkövethetőség</w:t>
      </w:r>
    </w:p>
    <w:p w14:paraId="739E6931" w14:textId="77777777" w:rsidR="007F2986" w:rsidRDefault="007F2986" w:rsidP="007F2986">
      <w:pPr>
        <w:spacing w:before="1" w:line="180" w:lineRule="exact"/>
        <w:rPr>
          <w:rFonts w:ascii="Times New Roman" w:hAnsi="Times New Roman" w:cs="Times New Roman"/>
          <w:lang w:val="hu-HU"/>
        </w:rPr>
      </w:pPr>
    </w:p>
    <w:p w14:paraId="1F367E34" w14:textId="77777777" w:rsidR="007F2986" w:rsidRDefault="007F2986" w:rsidP="007F2986">
      <w:pPr>
        <w:pStyle w:val="a3"/>
        <w:rPr>
          <w:lang w:val="hu-HU"/>
        </w:rPr>
      </w:pPr>
      <w:r>
        <w:rPr>
          <w:rFonts w:eastAsia="Times New Roman"/>
          <w:lang w:val="hu-HU"/>
        </w:rPr>
        <w:t>A biológiai gyógyszerek nyomonkövethetőségének javítása érdekében a gyógyszer nevét és gyártási számát egyértelműen fel kell jegyezni.</w:t>
      </w:r>
    </w:p>
    <w:p w14:paraId="08945F0B" w14:textId="77777777" w:rsidR="007F2986" w:rsidRDefault="007F2986" w:rsidP="007F2986">
      <w:pPr>
        <w:spacing w:before="11" w:line="240" w:lineRule="exact"/>
        <w:rPr>
          <w:rFonts w:ascii="Times New Roman" w:hAnsi="Times New Roman" w:cs="Times New Roman"/>
          <w:lang w:val="hu-HU"/>
        </w:rPr>
      </w:pPr>
    </w:p>
    <w:p w14:paraId="3F0EEDC8" w14:textId="77777777" w:rsidR="007F2986" w:rsidRDefault="007F2986" w:rsidP="007F2986">
      <w:pPr>
        <w:pStyle w:val="a3"/>
        <w:rPr>
          <w:u w:val="single"/>
          <w:lang w:val="hu-HU"/>
        </w:rPr>
      </w:pPr>
      <w:r>
        <w:rPr>
          <w:rFonts w:eastAsia="Times New Roman"/>
          <w:u w:val="single" w:color="000000"/>
          <w:lang w:val="hu-HU"/>
        </w:rPr>
        <w:t>Fertőzések</w:t>
      </w:r>
    </w:p>
    <w:p w14:paraId="3AC4E1C1" w14:textId="77777777" w:rsidR="007F2986" w:rsidRDefault="007F2986" w:rsidP="007F2986">
      <w:pPr>
        <w:spacing w:before="1" w:line="180" w:lineRule="exact"/>
        <w:rPr>
          <w:rFonts w:ascii="Times New Roman" w:hAnsi="Times New Roman" w:cs="Times New Roman"/>
          <w:lang w:val="hu-HU"/>
        </w:rPr>
      </w:pPr>
    </w:p>
    <w:p w14:paraId="2E15899F" w14:textId="77777777" w:rsidR="007F2986" w:rsidRDefault="007F2986" w:rsidP="007F2986">
      <w:pPr>
        <w:pStyle w:val="a3"/>
        <w:rPr>
          <w:lang w:val="hu-HU"/>
        </w:rPr>
      </w:pPr>
      <w:r>
        <w:rPr>
          <w:rFonts w:eastAsia="Times New Roman"/>
          <w:lang w:val="hu-HU"/>
        </w:rPr>
        <w:t>A TNF-antagonistákat kapó betegek fogékonyabbak a súlyos fertőzésekre. A károsodott légzésfunkció növelheti a fertőzések kialakulásának kockázatát. Ezért a Yuflyma-val való kezelés előtt, alatt és után a betegeknél gondosan figyelni kell a fertőzéseket, beleértve a tuberculosist is. Tekintettel arra, hogy az adalimumab teljes eliminációja akár négy hónapot vehet igénybe, a megfigyelés ezen idő alatt is szükséges.</w:t>
      </w:r>
    </w:p>
    <w:p w14:paraId="0B4D70CE" w14:textId="77777777" w:rsidR="007F2986" w:rsidRDefault="007F2986" w:rsidP="007F2986">
      <w:pPr>
        <w:spacing w:before="14" w:line="240" w:lineRule="exact"/>
        <w:rPr>
          <w:rFonts w:ascii="Times New Roman" w:hAnsi="Times New Roman" w:cs="Times New Roman"/>
          <w:lang w:val="hu-HU"/>
        </w:rPr>
      </w:pPr>
    </w:p>
    <w:p w14:paraId="34ED52B9" w14:textId="77777777" w:rsidR="007F2986" w:rsidRDefault="007F2986" w:rsidP="007F2986">
      <w:pPr>
        <w:pStyle w:val="a3"/>
        <w:rPr>
          <w:lang w:val="hu-HU"/>
        </w:rPr>
      </w:pPr>
      <w:r>
        <w:rPr>
          <w:rFonts w:eastAsia="Times New Roman"/>
          <w:lang w:val="hu-HU"/>
        </w:rPr>
        <w:t xml:space="preserve">Yuflyma-val való kezelés nem kezdhető aktív fertőzésben szenvedő betegek esetében, beleértve a krónikus és lokális fertőzéseket is, amíg a fertőzés nem gyógyul meg. A tuberculosis által veszélyeztetett betegeknél és azoknál a betegeknél, akik olyan területekre utaztak, ahol nagy a tuberculosis vagy az endemiás mycosisok, mint például a histoplasmosis, coccidioidomycosis vagy blastomycosis kockázata, a Yuflyma-kezelés kockázatát és előnyét a kezelés megkezdése előtt mérlegelni kell (lásd </w:t>
      </w:r>
      <w:r>
        <w:rPr>
          <w:rFonts w:eastAsia="Times New Roman"/>
          <w:i/>
          <w:iCs/>
          <w:lang w:val="hu-HU"/>
        </w:rPr>
        <w:t>Egyéb opportunista fertőzések</w:t>
      </w:r>
      <w:r>
        <w:rPr>
          <w:rFonts w:eastAsia="Times New Roman"/>
          <w:lang w:val="hu-HU"/>
        </w:rPr>
        <w:t>).</w:t>
      </w:r>
    </w:p>
    <w:p w14:paraId="0F8B4C6A" w14:textId="77777777" w:rsidR="007F2986" w:rsidRDefault="007F2986" w:rsidP="007F2986">
      <w:pPr>
        <w:spacing w:before="13" w:line="240" w:lineRule="exact"/>
        <w:rPr>
          <w:rFonts w:ascii="Times New Roman" w:hAnsi="Times New Roman" w:cs="Times New Roman"/>
          <w:lang w:val="hu-HU"/>
        </w:rPr>
      </w:pPr>
    </w:p>
    <w:p w14:paraId="6DFF43BD" w14:textId="77777777" w:rsidR="007F2986" w:rsidRDefault="007F2986" w:rsidP="007F2986">
      <w:pPr>
        <w:pStyle w:val="a3"/>
        <w:rPr>
          <w:lang w:val="hu-HU"/>
        </w:rPr>
      </w:pPr>
      <w:r>
        <w:rPr>
          <w:rFonts w:eastAsia="Times New Roman"/>
          <w:lang w:val="hu-HU"/>
        </w:rPr>
        <w:t>Szoros megfigyelés alatt kell tartani azokat a betegeket, akiknél a Yuflyma-val való kezelés során alakul ki új fertőzés, és teljes diagnosztikus kivizsgáláson kell átesniük. Olyan esetekben, amikor új, súlyos fertőzés vagy sepsis alakul ki a Yuflyma- val való kezelést mindaddig abba kell hagyni, és megfelelő antimikrobiális és gombaellenes kezelést kell kezdeni, amíg a fertőzés meg nem gyógyul. Az orvos különös gonddal döntsön a Yuflyma adása mellett olyan betegek esetében, akiknek az anamnézisében visszatérő, gyakori fertőzések illetve fertőzésekre való hajlamosító tényező szerepel az immunoszuppresszív szerek egyidejű alkalmazását is beleértve.</w:t>
      </w:r>
    </w:p>
    <w:p w14:paraId="74D6A391" w14:textId="77777777" w:rsidR="007F2986" w:rsidRDefault="007F2986" w:rsidP="007F2986">
      <w:pPr>
        <w:pStyle w:val="a3"/>
        <w:rPr>
          <w:lang w:val="hu-HU"/>
        </w:rPr>
      </w:pPr>
    </w:p>
    <w:p w14:paraId="694DDFE5" w14:textId="77777777" w:rsidR="007F2986" w:rsidRDefault="007F2986" w:rsidP="007F2986">
      <w:pPr>
        <w:rPr>
          <w:rFonts w:ascii="Times New Roman" w:eastAsia="Times New Roman" w:hAnsi="Times New Roman" w:cs="Times New Roman"/>
          <w:lang w:val="hu-HU"/>
        </w:rPr>
      </w:pPr>
      <w:r>
        <w:rPr>
          <w:rFonts w:ascii="Times New Roman" w:eastAsia="Times New Roman" w:hAnsi="Times New Roman" w:cs="Times New Roman"/>
          <w:i/>
          <w:iCs/>
          <w:spacing w:val="-1"/>
          <w:lang w:val="hu-HU"/>
        </w:rPr>
        <w:lastRenderedPageBreak/>
        <w:t>Súlyos fertőzések</w:t>
      </w:r>
    </w:p>
    <w:p w14:paraId="6B933585" w14:textId="77777777" w:rsidR="007F2986" w:rsidRDefault="007F2986" w:rsidP="007F2986">
      <w:pPr>
        <w:spacing w:line="240" w:lineRule="exact"/>
        <w:rPr>
          <w:rFonts w:ascii="Times New Roman" w:hAnsi="Times New Roman" w:cs="Times New Roman"/>
          <w:lang w:val="hu-HU"/>
        </w:rPr>
      </w:pPr>
    </w:p>
    <w:p w14:paraId="09792DA6" w14:textId="77777777" w:rsidR="007F2986" w:rsidRDefault="007F2986" w:rsidP="007F2986">
      <w:pPr>
        <w:pStyle w:val="a3"/>
        <w:rPr>
          <w:lang w:val="hu-HU"/>
        </w:rPr>
      </w:pPr>
      <w:r>
        <w:rPr>
          <w:rFonts w:eastAsia="Times New Roman"/>
          <w:lang w:val="hu-HU"/>
        </w:rPr>
        <w:t>Súlyos fertőzéseket, köztük bakteriális, mycobacterialis, invazív gomba - és vírusfertőzés okozta sepsist és egyéb opportunista fertőzéseket, például listeriosist és pneumocystis fertőzést is leírtak az adalimumabot kapó betegeknél.</w:t>
      </w:r>
    </w:p>
    <w:p w14:paraId="08D8F660" w14:textId="77777777" w:rsidR="007F2986" w:rsidRDefault="007F2986" w:rsidP="007F2986">
      <w:pPr>
        <w:spacing w:line="240" w:lineRule="exact"/>
        <w:rPr>
          <w:rFonts w:ascii="Times New Roman" w:hAnsi="Times New Roman" w:cs="Times New Roman"/>
          <w:lang w:val="hu-HU"/>
        </w:rPr>
      </w:pPr>
    </w:p>
    <w:p w14:paraId="067075C7" w14:textId="77777777" w:rsidR="007F2986" w:rsidRDefault="007F2986" w:rsidP="007F2986">
      <w:pPr>
        <w:pStyle w:val="a3"/>
        <w:rPr>
          <w:lang w:val="hu-HU"/>
        </w:rPr>
      </w:pPr>
      <w:r>
        <w:rPr>
          <w:rFonts w:eastAsia="Times New Roman"/>
          <w:lang w:val="hu-HU"/>
        </w:rPr>
        <w:t>A klinikai vizsgálatokban további súlyos fertőzéseket köztük pneumoniát, pyelonephritist, septicus arthritist, valamint septicaemiát észleltek. A fertőzésekkel kapcsolatban hospitalizációról vagy fatális kimenetelről számoltak be.</w:t>
      </w:r>
    </w:p>
    <w:p w14:paraId="23630FE9" w14:textId="77777777" w:rsidR="007F2986" w:rsidRDefault="007F2986" w:rsidP="007F2986">
      <w:pPr>
        <w:spacing w:line="240" w:lineRule="exact"/>
        <w:rPr>
          <w:rFonts w:ascii="Times New Roman" w:hAnsi="Times New Roman" w:cs="Times New Roman"/>
          <w:lang w:val="hu-HU"/>
        </w:rPr>
      </w:pPr>
    </w:p>
    <w:p w14:paraId="2A663576" w14:textId="77777777" w:rsidR="007F2986" w:rsidRDefault="007F2986" w:rsidP="007F2986">
      <w:pPr>
        <w:rPr>
          <w:rFonts w:ascii="Times New Roman" w:eastAsia="Times New Roman" w:hAnsi="Times New Roman" w:cs="Times New Roman"/>
          <w:lang w:val="hu-HU"/>
        </w:rPr>
      </w:pPr>
      <w:r>
        <w:rPr>
          <w:rFonts w:ascii="Times New Roman" w:eastAsia="Times New Roman" w:hAnsi="Times New Roman" w:cs="Times New Roman"/>
          <w:i/>
          <w:iCs/>
          <w:spacing w:val="-1"/>
          <w:lang w:val="hu-HU"/>
        </w:rPr>
        <w:t>Tuberculosis</w:t>
      </w:r>
    </w:p>
    <w:p w14:paraId="2E1DC536" w14:textId="77777777" w:rsidR="007F2986" w:rsidRDefault="007F2986" w:rsidP="007F2986">
      <w:pPr>
        <w:spacing w:line="240" w:lineRule="exact"/>
        <w:rPr>
          <w:rFonts w:ascii="Times New Roman" w:hAnsi="Times New Roman" w:cs="Times New Roman"/>
          <w:lang w:val="hu-HU"/>
        </w:rPr>
      </w:pPr>
    </w:p>
    <w:p w14:paraId="47237E2F" w14:textId="77777777" w:rsidR="007F2986" w:rsidRDefault="007F2986" w:rsidP="007F2986">
      <w:pPr>
        <w:pStyle w:val="a3"/>
        <w:rPr>
          <w:lang w:val="hu-HU"/>
        </w:rPr>
      </w:pPr>
      <w:r>
        <w:rPr>
          <w:rFonts w:eastAsia="Times New Roman"/>
          <w:lang w:val="hu-HU"/>
        </w:rPr>
        <w:t>Az kezelt betegeknél tuberculosisról számoltak be, beleértve a reaktivációt és új tuberculosis kialakulását. A bejelentések pulmonalis és extrapulmonalis (azaz disszeminált) eseteket tartalmaztak.</w:t>
      </w:r>
    </w:p>
    <w:p w14:paraId="37ACBB8C" w14:textId="77777777" w:rsidR="007F2986" w:rsidRDefault="007F2986" w:rsidP="007F2986">
      <w:pPr>
        <w:spacing w:line="240" w:lineRule="exact"/>
        <w:rPr>
          <w:rFonts w:ascii="Times New Roman" w:hAnsi="Times New Roman" w:cs="Times New Roman"/>
          <w:lang w:val="hu-HU"/>
        </w:rPr>
      </w:pPr>
    </w:p>
    <w:p w14:paraId="78A3C7F7" w14:textId="77777777" w:rsidR="007F2986" w:rsidRDefault="007F2986" w:rsidP="007F2986">
      <w:pPr>
        <w:pStyle w:val="a3"/>
        <w:rPr>
          <w:lang w:val="hu-HU"/>
        </w:rPr>
      </w:pPr>
      <w:r>
        <w:rPr>
          <w:rFonts w:eastAsia="Times New Roman"/>
          <w:lang w:val="hu-HU"/>
        </w:rPr>
        <w:t>A Yuflyma-val való kezelés megkezdése előtt minden beteget meg kell vizsgálni aktív és inaktív („látens”) tuberculosis irányábanA felmérés során részletesen értékelni kell a beteg tuberculosissal kapcsolatos kórtörténetét, hogy a beteg kapcsolatba került-e aktív tuberculosisban szenvedő beteggel, valamint a múltban vagy jelenleg immunszuppresszív kezelés alatt áll-e. Minden beteg esetében a megfelelő szűrő vizsgálatok például tuberkulin bőrteszt és mellkasröntgen elvégzése szükséges (helyi irányelvek követendők). A szűrővizsgálatok elvégzésének tényét és azok eredményét javasolt feltüntetni a Betegemlékeztető Kártyán. A kezelés indikáló orvosnak számolnia kell az álnegatív tuberculin bőrteszt lehetőségével is, különösen a súlyos állapotú, illetve az immundeficiens betegek esetében.</w:t>
      </w:r>
    </w:p>
    <w:p w14:paraId="3E3B5454" w14:textId="77777777" w:rsidR="007F2986" w:rsidRDefault="007F2986" w:rsidP="007F2986">
      <w:pPr>
        <w:spacing w:before="13" w:line="240" w:lineRule="exact"/>
        <w:rPr>
          <w:rFonts w:ascii="Times New Roman" w:hAnsi="Times New Roman" w:cs="Times New Roman"/>
          <w:lang w:val="hu-HU"/>
        </w:rPr>
      </w:pPr>
    </w:p>
    <w:p w14:paraId="051EEF43" w14:textId="77777777" w:rsidR="007F2986" w:rsidRDefault="007F2986" w:rsidP="007F2986">
      <w:pPr>
        <w:pStyle w:val="a3"/>
        <w:rPr>
          <w:lang w:val="hu-HU"/>
        </w:rPr>
      </w:pPr>
      <w:r>
        <w:rPr>
          <w:rFonts w:eastAsia="Times New Roman"/>
          <w:lang w:val="hu-HU"/>
        </w:rPr>
        <w:t>Ha a diagnózis aktív tuberkulózis, a Yuflyma - kezelést nem szabad elkezdeni (lásd 4. 3 pont).</w:t>
      </w:r>
    </w:p>
    <w:p w14:paraId="0ECDA187" w14:textId="77777777" w:rsidR="007F2986" w:rsidRDefault="007F2986" w:rsidP="007F2986">
      <w:pPr>
        <w:pStyle w:val="a3"/>
        <w:rPr>
          <w:lang w:val="hu-HU"/>
        </w:rPr>
      </w:pPr>
    </w:p>
    <w:p w14:paraId="01BA76C3" w14:textId="77777777" w:rsidR="007F2986" w:rsidRDefault="007F2986" w:rsidP="007F2986">
      <w:pPr>
        <w:pStyle w:val="a3"/>
        <w:rPr>
          <w:lang w:val="hu-HU"/>
        </w:rPr>
      </w:pPr>
      <w:r>
        <w:rPr>
          <w:rFonts w:eastAsia="Times New Roman"/>
          <w:lang w:val="hu-HU"/>
        </w:rPr>
        <w:t>Minden, az alábbiakban megadott helyzetben nagyon gondosan kell mérlegelni a Yuflyma-kezelés előny/kockázat arányát.</w:t>
      </w:r>
    </w:p>
    <w:p w14:paraId="696ACB96" w14:textId="77777777" w:rsidR="007F2986" w:rsidRPr="007D275C" w:rsidRDefault="007F2986" w:rsidP="007F2986">
      <w:pPr>
        <w:pStyle w:val="a3"/>
        <w:rPr>
          <w:lang w:val="hu-HU"/>
        </w:rPr>
      </w:pPr>
    </w:p>
    <w:p w14:paraId="411134E7" w14:textId="77777777" w:rsidR="007F2986" w:rsidRDefault="007F2986" w:rsidP="007F2986">
      <w:pPr>
        <w:pStyle w:val="a3"/>
        <w:rPr>
          <w:lang w:val="hu-HU"/>
        </w:rPr>
      </w:pPr>
      <w:r>
        <w:rPr>
          <w:rFonts w:eastAsia="Times New Roman"/>
          <w:lang w:val="hu-HU"/>
        </w:rPr>
        <w:t>Ha inaktív (latens) tuberkulózist diagnosztizáltak, el kell kezdeni a latens tuberkulózis antituberkulotikus terápiáját a Remicade-kezelés megkezdése előtt a helyi ajánlásoknak megfelelen.</w:t>
      </w:r>
    </w:p>
    <w:p w14:paraId="4C27529E" w14:textId="77777777" w:rsidR="007F2986" w:rsidRDefault="007F2986" w:rsidP="007F2986">
      <w:pPr>
        <w:spacing w:before="11" w:line="240" w:lineRule="exact"/>
        <w:rPr>
          <w:rFonts w:ascii="Times New Roman" w:hAnsi="Times New Roman" w:cs="Times New Roman"/>
          <w:lang w:val="hu-HU"/>
        </w:rPr>
      </w:pPr>
    </w:p>
    <w:p w14:paraId="1B9942EE" w14:textId="77777777" w:rsidR="007F2986" w:rsidRDefault="007F2986" w:rsidP="007F2986">
      <w:pPr>
        <w:pStyle w:val="a3"/>
        <w:rPr>
          <w:lang w:val="hu-HU"/>
        </w:rPr>
      </w:pPr>
      <w:r>
        <w:rPr>
          <w:rFonts w:eastAsia="Times New Roman"/>
          <w:lang w:val="hu-HU"/>
        </w:rPr>
        <w:t>Ha látens tuberculosist diagnosztizálnak, a látens tuberculosis helyi ajánlásokkal összhangban lévő, antituberculotikus profilaktikus kezelésének a Yuflyma alkalmazásának megkezdése előtt el kell kezdődnie.</w:t>
      </w:r>
    </w:p>
    <w:p w14:paraId="61A95B88" w14:textId="77777777" w:rsidR="007F2986" w:rsidRDefault="007F2986" w:rsidP="007F2986">
      <w:pPr>
        <w:spacing w:before="12" w:line="240" w:lineRule="exact"/>
        <w:rPr>
          <w:rFonts w:ascii="Times New Roman" w:hAnsi="Times New Roman" w:cs="Times New Roman"/>
          <w:lang w:val="hu-HU"/>
        </w:rPr>
      </w:pPr>
    </w:p>
    <w:p w14:paraId="39295DA7" w14:textId="77777777" w:rsidR="007F2986" w:rsidRDefault="007F2986" w:rsidP="007F2986">
      <w:pPr>
        <w:pStyle w:val="a3"/>
        <w:rPr>
          <w:lang w:val="hu-HU"/>
        </w:rPr>
      </w:pPr>
      <w:r>
        <w:rPr>
          <w:rFonts w:eastAsia="Times New Roman"/>
          <w:lang w:val="hu-HU"/>
        </w:rPr>
        <w:t>Yuflyma -kezelés indítása előtt az antituberkulotikus profilaktikus kezelést azoknál a betegeknél is fontolóra kell venni, akik a tuberculosis több vagy jelentős kockázati tényezőjével rendelkeznek, bár a tuberculosis-tesztjük negatív, valamint akiknek az anamnézisében látens vagy aktív tuberculosis szerepel, de annak megfelelő kezelése nem igazolható.</w:t>
      </w:r>
    </w:p>
    <w:p w14:paraId="02FAA311" w14:textId="77777777" w:rsidR="007F2986" w:rsidRDefault="007F2986" w:rsidP="007F2986">
      <w:pPr>
        <w:spacing w:before="17" w:line="240" w:lineRule="exact"/>
        <w:rPr>
          <w:rFonts w:ascii="Times New Roman" w:hAnsi="Times New Roman" w:cs="Times New Roman"/>
          <w:lang w:val="hu-HU"/>
        </w:rPr>
      </w:pPr>
    </w:p>
    <w:p w14:paraId="644E7D05" w14:textId="77777777" w:rsidR="007F2986" w:rsidRDefault="007F2986" w:rsidP="007F2986">
      <w:pPr>
        <w:pStyle w:val="a3"/>
        <w:rPr>
          <w:lang w:val="hu-HU"/>
        </w:rPr>
      </w:pPr>
      <w:r>
        <w:rPr>
          <w:rFonts w:eastAsia="Times New Roman"/>
          <w:lang w:val="hu-HU"/>
        </w:rPr>
        <w:t>A profilaktikus antituberkulotikus kezelés ellenére előfordultak tuberculosis reaktiválódásának esetei Yuflyma-val kezelt betegeknél. Egyes betegeknél, akiket korábban sikeresen kezeltek aktív tuberculosis ellen, a Yuflyma-kezelés alatt ismét tuberculosis alakult ki</w:t>
      </w:r>
    </w:p>
    <w:p w14:paraId="321F0B5A" w14:textId="77777777" w:rsidR="007F2986" w:rsidRDefault="007F2986" w:rsidP="007F2986">
      <w:pPr>
        <w:spacing w:before="11" w:line="240" w:lineRule="exact"/>
        <w:rPr>
          <w:rFonts w:ascii="Times New Roman" w:hAnsi="Times New Roman" w:cs="Times New Roman"/>
          <w:lang w:val="hu-HU"/>
        </w:rPr>
      </w:pPr>
    </w:p>
    <w:p w14:paraId="6C0340B4" w14:textId="77777777" w:rsidR="007F2986" w:rsidRDefault="007F2986" w:rsidP="007F2986">
      <w:pPr>
        <w:pStyle w:val="a3"/>
        <w:rPr>
          <w:lang w:val="hu-HU"/>
        </w:rPr>
      </w:pPr>
      <w:r>
        <w:rPr>
          <w:rFonts w:eastAsia="Times New Roman"/>
          <w:lang w:val="hu-HU"/>
        </w:rPr>
        <w:t>A betegeket tájékoztatni kell, hogy – Yuflyma -kezelés alatt vagy után – tuberculosisra jellemző tünetek (például tartós köhögés, fogyás, kisebb fokú láz, fáradékonyság) fellépése esetén forduljanak orvoshoz.</w:t>
      </w:r>
    </w:p>
    <w:p w14:paraId="53D61E65" w14:textId="77777777" w:rsidR="007F2986" w:rsidRDefault="007F2986" w:rsidP="007F2986">
      <w:pPr>
        <w:ind w:left="111"/>
        <w:rPr>
          <w:rFonts w:ascii="Times New Roman" w:hAnsi="Times New Roman" w:cs="Times New Roman"/>
          <w:lang w:val="hu-HU"/>
        </w:rPr>
      </w:pPr>
    </w:p>
    <w:p w14:paraId="5858DCD6" w14:textId="77777777" w:rsidR="007F2986" w:rsidRDefault="007F2986" w:rsidP="007F2986">
      <w:pPr>
        <w:rPr>
          <w:rFonts w:ascii="Times New Roman" w:eastAsia="Times New Roman" w:hAnsi="Times New Roman" w:cs="Times New Roman"/>
          <w:lang w:val="hu-HU"/>
        </w:rPr>
      </w:pPr>
      <w:r w:rsidRPr="00926C92">
        <w:rPr>
          <w:rFonts w:ascii="Times New Roman" w:eastAsia="Times New Roman" w:hAnsi="Times New Roman" w:cs="Times New Roman"/>
          <w:i/>
          <w:iCs/>
          <w:spacing w:val="-1"/>
          <w:lang w:val="hu-HU"/>
        </w:rPr>
        <w:t>Egyéb opportunista fertőzések</w:t>
      </w:r>
    </w:p>
    <w:p w14:paraId="641CD6E8" w14:textId="77777777" w:rsidR="007F2986" w:rsidRDefault="007F2986" w:rsidP="007F2986">
      <w:pPr>
        <w:spacing w:before="13" w:line="240" w:lineRule="exact"/>
        <w:rPr>
          <w:rFonts w:ascii="Times New Roman" w:hAnsi="Times New Roman" w:cs="Times New Roman"/>
          <w:lang w:val="hu-HU"/>
        </w:rPr>
      </w:pPr>
    </w:p>
    <w:p w14:paraId="416D61F7" w14:textId="77777777" w:rsidR="007F2986" w:rsidRDefault="007F2986" w:rsidP="007F2986">
      <w:pPr>
        <w:pStyle w:val="a3"/>
        <w:rPr>
          <w:lang w:val="hu-HU"/>
        </w:rPr>
      </w:pPr>
      <w:r>
        <w:rPr>
          <w:rFonts w:eastAsia="Times New Roman"/>
          <w:lang w:val="hu-HU"/>
        </w:rPr>
        <w:t>A Yuflyma-kezelést kapó betegeknél opportunista fertőzéseket köztük invazív gombafertőzéseket észleltek. Ezek a fertőzések a TNF-gátlókat kapó betegeknél nem kerültek következetesen felismerésre, és ez a megfelelő kezelés késlekedését eredményezte, ami néha halálos kimenetelhez vezetett.</w:t>
      </w:r>
    </w:p>
    <w:p w14:paraId="1C5418D9" w14:textId="77777777" w:rsidR="007F2986" w:rsidRDefault="007F2986" w:rsidP="007F2986">
      <w:pPr>
        <w:pStyle w:val="a3"/>
        <w:rPr>
          <w:lang w:val="hu-HU"/>
        </w:rPr>
      </w:pPr>
    </w:p>
    <w:p w14:paraId="614A07AF" w14:textId="77777777" w:rsidR="007F2986" w:rsidRDefault="007F2986" w:rsidP="007F2986">
      <w:pPr>
        <w:pStyle w:val="a3"/>
        <w:rPr>
          <w:lang w:val="hu-HU"/>
        </w:rPr>
      </w:pPr>
      <w:r>
        <w:rPr>
          <w:rFonts w:eastAsia="Times New Roman"/>
          <w:lang w:val="hu-HU"/>
        </w:rPr>
        <w:t xml:space="preserve">Azoknál a betegeknél, akiknél olyan panaszok és tünetek alakulnak ki, mint például a láz, rossz közérzet, </w:t>
      </w:r>
      <w:r>
        <w:rPr>
          <w:rFonts w:eastAsia="Times New Roman"/>
          <w:lang w:val="hu-HU"/>
        </w:rPr>
        <w:lastRenderedPageBreak/>
        <w:t>fogyás, verejtékezés, köhögés, dyspnoe és vagy pulmonalis infiltrátumok vagy sokkal vagy anélkül jelentkező egyéb súlyos, szisztémás betegségek, invazív gombafertőzésre kell gyanakodni, és a Yuflyma adását azonnal abba kell hagyni, és el kell kezdeni a megfelelő gombaellenes kezelést. Ezeknél a betegeknél a diagnózis megállapítását és az empirikus gombaellenes kezelés megkezdését olyan szakemberrel történő konzultációt követően kell elvégezni, aki jártas az invazív gombafertőzések kezelésében.</w:t>
      </w:r>
    </w:p>
    <w:p w14:paraId="7015B005" w14:textId="77777777" w:rsidR="007F2986" w:rsidRDefault="007F2986" w:rsidP="007F2986">
      <w:pPr>
        <w:spacing w:before="13" w:line="240" w:lineRule="exact"/>
        <w:rPr>
          <w:rFonts w:ascii="Times New Roman" w:hAnsi="Times New Roman" w:cs="Times New Roman"/>
          <w:lang w:val="hu-HU"/>
        </w:rPr>
      </w:pPr>
    </w:p>
    <w:p w14:paraId="0B0E9BCB" w14:textId="77777777" w:rsidR="007F2986" w:rsidRDefault="007F2986" w:rsidP="007F2986">
      <w:pPr>
        <w:pStyle w:val="a3"/>
        <w:rPr>
          <w:u w:val="single"/>
          <w:lang w:val="hu-HU"/>
        </w:rPr>
      </w:pPr>
      <w:r>
        <w:rPr>
          <w:rFonts w:eastAsia="Times New Roman"/>
          <w:u w:val="single" w:color="000000"/>
          <w:lang w:val="hu-HU"/>
        </w:rPr>
        <w:t>Hepatitis B reaktiválódása</w:t>
      </w:r>
    </w:p>
    <w:p w14:paraId="4A7B647B" w14:textId="77777777" w:rsidR="007F2986" w:rsidRDefault="007F2986" w:rsidP="007F2986">
      <w:pPr>
        <w:spacing w:before="9" w:line="170" w:lineRule="exact"/>
        <w:rPr>
          <w:rFonts w:ascii="Times New Roman" w:hAnsi="Times New Roman" w:cs="Times New Roman"/>
          <w:lang w:val="hu-HU"/>
        </w:rPr>
      </w:pPr>
    </w:p>
    <w:p w14:paraId="7ACAA330" w14:textId="77777777" w:rsidR="007F2986" w:rsidRDefault="007F2986" w:rsidP="007F2986">
      <w:pPr>
        <w:pStyle w:val="a3"/>
        <w:rPr>
          <w:lang w:val="hu-HU"/>
        </w:rPr>
      </w:pPr>
      <w:r>
        <w:rPr>
          <w:rFonts w:eastAsia="Times New Roman"/>
          <w:lang w:val="hu-HU"/>
        </w:rPr>
        <w:t>Krónikus hepatitis B-vírus-hordozó betegeknél (azaz a felszíni antigén pozitív) a hepatitis B reaktiválódása fordult elő, amennyiben TNF-antagonista (köztük adalimumab) kezelésben részesültek. Néhány esetben ez halálhoz vezetett. A Yuflyma-kezelés elkezdése előtt a betegeket HBV-fertőzés irányában vizsgálni kell. Azoknál a betegeknél, akiknél a hepatitis B infekció vizsgálatának eredménye pozitív, konzultáció javasolt egy, a hepatitis B kezelésében jártas orvossal.</w:t>
      </w:r>
    </w:p>
    <w:p w14:paraId="4AE366D7" w14:textId="77777777" w:rsidR="007F2986" w:rsidRDefault="007F2986" w:rsidP="007F2986">
      <w:pPr>
        <w:spacing w:before="13" w:line="240" w:lineRule="exact"/>
        <w:rPr>
          <w:rFonts w:ascii="Times New Roman" w:hAnsi="Times New Roman" w:cs="Times New Roman"/>
          <w:lang w:val="hu-HU"/>
        </w:rPr>
      </w:pPr>
    </w:p>
    <w:p w14:paraId="10ED306F" w14:textId="77777777" w:rsidR="007F2986" w:rsidRDefault="007F2986" w:rsidP="007F2986">
      <w:pPr>
        <w:pStyle w:val="a3"/>
        <w:rPr>
          <w:lang w:val="hu-HU"/>
        </w:rPr>
      </w:pPr>
      <w:r>
        <w:rPr>
          <w:rFonts w:eastAsia="Times New Roman"/>
          <w:lang w:val="hu-HU"/>
        </w:rPr>
        <w:t xml:space="preserve">A Yuflyma terápiára szoruló HBV hordozókat a kezelés ideje alatt, illetve a befejezését követő néhány hónapon keresztül gondosan meg kell figyelni, hogy jelentkeznek- e rajtuk aktív HBV fertőzésre utaló panaszok és tünetek. A HBV-hordozóknak a HBV reaktiválódásának megelőzése céljából végzett TNF-antagonista és antiretrovirális szer kombinációjával végzett kezeléséről nem állnak rendelkezésre megfelelő adatok. Azoknál a betegeknél, akiknél a HBV reaktiválódása alakul ki, abba kell hagyni a Yuflyma adását, és hatékony antiretrovirális szer adását, valamint megfelelő szupportív kezelést kell kezdeni. </w:t>
      </w:r>
    </w:p>
    <w:p w14:paraId="7667BC22" w14:textId="77777777" w:rsidR="007F2986" w:rsidRDefault="007F2986" w:rsidP="007F2986">
      <w:pPr>
        <w:spacing w:before="13" w:line="240" w:lineRule="exact"/>
        <w:rPr>
          <w:rFonts w:ascii="Times New Roman" w:hAnsi="Times New Roman" w:cs="Times New Roman"/>
          <w:lang w:val="hu-HU"/>
        </w:rPr>
      </w:pPr>
    </w:p>
    <w:p w14:paraId="04A94BD5" w14:textId="77777777" w:rsidR="007F2986" w:rsidRDefault="007F2986" w:rsidP="007F2986">
      <w:pPr>
        <w:pStyle w:val="a3"/>
        <w:rPr>
          <w:u w:val="single"/>
          <w:lang w:val="hu-HU"/>
        </w:rPr>
      </w:pPr>
      <w:r>
        <w:rPr>
          <w:rFonts w:eastAsia="Times New Roman"/>
          <w:u w:val="single" w:color="000000"/>
          <w:lang w:val="hu-HU"/>
        </w:rPr>
        <w:t>Neurológiai vonatkozások</w:t>
      </w:r>
    </w:p>
    <w:p w14:paraId="6DCED802" w14:textId="77777777" w:rsidR="007F2986" w:rsidRDefault="007F2986" w:rsidP="007F2986">
      <w:pPr>
        <w:spacing w:before="1" w:line="180" w:lineRule="exact"/>
        <w:rPr>
          <w:rFonts w:ascii="Times New Roman" w:hAnsi="Times New Roman" w:cs="Times New Roman"/>
          <w:lang w:val="hu-HU"/>
        </w:rPr>
      </w:pPr>
    </w:p>
    <w:p w14:paraId="3341B652" w14:textId="77777777" w:rsidR="007F2986" w:rsidRDefault="007F2986" w:rsidP="007F2986">
      <w:pPr>
        <w:pStyle w:val="a3"/>
        <w:rPr>
          <w:lang w:val="hu-HU"/>
        </w:rPr>
      </w:pPr>
      <w:r>
        <w:rPr>
          <w:rFonts w:eastAsia="Times New Roman"/>
          <w:lang w:val="hu-HU"/>
        </w:rPr>
        <w:t>A TNF-antagonisták, beleértve az adalimumabot, ritkán a központi idegrendszeri demyelinisatiós betegség (közte a sclerosis multiplex és az opticus neuritis) és a perifériás demyelinisatiós betegség (közte a Guillan-Barré szindróma) klinikai tüneteinek és/vagy radiológiai bizonyítékának új megjelenésével vagy súlyosbodásával társultak. A gyógyszert felíró orvosnak különös gonddal kell eljárnia olyan esetekben, amikor Yuflyma-kezelés lehetősége felmerül régi vagy friss központi idegrendszeri vagy perifériás demyelinisatiós betegségben szenvedő betegeknél; ezen betegségek bármelyikének kialakulása esetén fontolóra kell venni a Yuflyma adásának felfüggesztését. Ismert az összefüggés az intermedier uveitis és a központi idegrendszeri demyelinisatiós betegség között. A nem fertőzéses eredetű, intermedier uveitisben szenvedő betegeknél neurológiai vizsgálatot kell végezni a Yuflyma-kezelés megkezdése előtt és a kezelés ideje alatt rendszeresen, a már meglévő vagy kialakuló központi idegrendszeri demyelinisatiós betegség értékelésére</w:t>
      </w:r>
    </w:p>
    <w:p w14:paraId="7AFC2959" w14:textId="77777777" w:rsidR="007F2986" w:rsidRDefault="007F2986" w:rsidP="007F2986">
      <w:pPr>
        <w:spacing w:before="13" w:line="240" w:lineRule="exact"/>
        <w:rPr>
          <w:rFonts w:ascii="Times New Roman" w:hAnsi="Times New Roman" w:cs="Times New Roman"/>
          <w:lang w:val="hu-HU"/>
        </w:rPr>
      </w:pPr>
    </w:p>
    <w:p w14:paraId="36CB3910" w14:textId="77777777" w:rsidR="007F2986" w:rsidRDefault="007F2986" w:rsidP="007F2986">
      <w:pPr>
        <w:pStyle w:val="a3"/>
        <w:rPr>
          <w:u w:val="single"/>
          <w:lang w:val="hu-HU"/>
        </w:rPr>
      </w:pPr>
      <w:r>
        <w:rPr>
          <w:rFonts w:eastAsia="Times New Roman"/>
          <w:u w:val="single" w:color="000000"/>
          <w:lang w:val="hu-HU"/>
        </w:rPr>
        <w:t>Allergiás reakciók</w:t>
      </w:r>
    </w:p>
    <w:p w14:paraId="2D58ECDC" w14:textId="77777777" w:rsidR="007F2986" w:rsidRDefault="007F2986" w:rsidP="007F2986">
      <w:pPr>
        <w:spacing w:before="9" w:line="170" w:lineRule="exact"/>
        <w:rPr>
          <w:rFonts w:ascii="Times New Roman" w:hAnsi="Times New Roman" w:cs="Times New Roman"/>
          <w:lang w:val="hu-HU"/>
        </w:rPr>
      </w:pPr>
    </w:p>
    <w:p w14:paraId="478389CA" w14:textId="77777777" w:rsidR="007F2986" w:rsidRDefault="007F2986" w:rsidP="007F2986">
      <w:pPr>
        <w:pStyle w:val="a3"/>
        <w:rPr>
          <w:lang w:val="hu-HU"/>
        </w:rPr>
      </w:pPr>
      <w:r>
        <w:rPr>
          <w:rFonts w:eastAsia="Times New Roman"/>
          <w:lang w:val="hu-HU"/>
        </w:rPr>
        <w:t>A klinikai vizsgálatok során az adalimumab alkalmazásával összefüggő súlyos allergiás reakciók ritkán fordultak elő. Nem súlyos allergiás reakciók nem gyakran fordultak elő az adalimumabbal végzett klinikai vizsgálatok során. Az adalimumab alkalmazását követően jelentettek súlyos allergiás reakciót, beleértve az anafilaxiát. Ha anafilaxiás vagy más súlyos allergiás reakció fordul elő a Yuflyma adását azonnal abba kell hagyni, és a megfelelő kezelést kell elkezdeni.</w:t>
      </w:r>
    </w:p>
    <w:p w14:paraId="1C49EA5E" w14:textId="77777777" w:rsidR="007F2986" w:rsidRDefault="007F2986" w:rsidP="007F2986">
      <w:pPr>
        <w:spacing w:before="13" w:line="240" w:lineRule="exact"/>
        <w:rPr>
          <w:rFonts w:ascii="Times New Roman" w:hAnsi="Times New Roman" w:cs="Times New Roman"/>
          <w:lang w:val="hu-HU"/>
        </w:rPr>
      </w:pPr>
    </w:p>
    <w:p w14:paraId="5AB0E5C6" w14:textId="77777777" w:rsidR="007F2986" w:rsidRDefault="007F2986" w:rsidP="007F2986">
      <w:pPr>
        <w:pStyle w:val="a3"/>
        <w:rPr>
          <w:u w:val="single"/>
          <w:lang w:val="hu-HU"/>
        </w:rPr>
      </w:pPr>
      <w:r>
        <w:rPr>
          <w:rFonts w:eastAsia="Times New Roman"/>
          <w:u w:val="single" w:color="000000"/>
          <w:lang w:val="hu-HU"/>
        </w:rPr>
        <w:t>Immunszuppresszió</w:t>
      </w:r>
    </w:p>
    <w:p w14:paraId="4F6BBDA9" w14:textId="77777777" w:rsidR="007F2986" w:rsidRDefault="007F2986" w:rsidP="007F2986">
      <w:pPr>
        <w:spacing w:before="1" w:line="180" w:lineRule="exact"/>
        <w:rPr>
          <w:rFonts w:ascii="Times New Roman" w:hAnsi="Times New Roman" w:cs="Times New Roman"/>
          <w:lang w:val="hu-HU"/>
        </w:rPr>
      </w:pPr>
    </w:p>
    <w:p w14:paraId="7357E956" w14:textId="77777777" w:rsidR="007F2986" w:rsidRDefault="007F2986" w:rsidP="007F2986">
      <w:pPr>
        <w:pStyle w:val="a3"/>
        <w:rPr>
          <w:lang w:val="hu-HU"/>
        </w:rPr>
      </w:pPr>
      <w:r>
        <w:rPr>
          <w:rFonts w:eastAsia="Times New Roman"/>
          <w:lang w:val="hu-HU"/>
        </w:rPr>
        <w:t>Rheumatoid arthritisben szenvedő, Yuflyma-val kezelt 64 beteg vizsgálata során nem tapasztaltak csökkent késői típusú hyperszenzitivitási reakciót, alacsonyabb immunglobulin szinteket, illetve nem észleltek változást az effektor- T -, B - és NK- sejtek, monocyták/ macrophagok és neutrophilek számában.</w:t>
      </w:r>
    </w:p>
    <w:p w14:paraId="0E9F8C7E" w14:textId="77777777" w:rsidR="007F2986" w:rsidRDefault="007F2986" w:rsidP="007F2986">
      <w:pPr>
        <w:spacing w:before="11" w:line="240" w:lineRule="exact"/>
        <w:rPr>
          <w:rFonts w:ascii="Times New Roman" w:hAnsi="Times New Roman" w:cs="Times New Roman"/>
          <w:lang w:val="hu-HU"/>
        </w:rPr>
      </w:pPr>
    </w:p>
    <w:p w14:paraId="19DD882E" w14:textId="77777777" w:rsidR="007F2986" w:rsidRDefault="007F2986" w:rsidP="007F2986">
      <w:pPr>
        <w:pStyle w:val="a3"/>
        <w:rPr>
          <w:u w:val="single"/>
          <w:lang w:val="hu-HU"/>
        </w:rPr>
      </w:pPr>
      <w:r>
        <w:rPr>
          <w:rFonts w:eastAsia="Times New Roman"/>
          <w:u w:val="single" w:color="000000"/>
          <w:lang w:val="hu-HU"/>
        </w:rPr>
        <w:t>Malignus és lymphoproliferatív betegségek</w:t>
      </w:r>
    </w:p>
    <w:p w14:paraId="62BE0E59" w14:textId="77777777" w:rsidR="007F2986" w:rsidRDefault="007F2986" w:rsidP="007F2986">
      <w:pPr>
        <w:spacing w:before="1" w:line="180" w:lineRule="exact"/>
        <w:rPr>
          <w:rFonts w:ascii="Times New Roman" w:hAnsi="Times New Roman" w:cs="Times New Roman"/>
          <w:lang w:val="hu-HU"/>
        </w:rPr>
      </w:pPr>
    </w:p>
    <w:p w14:paraId="30394AAB" w14:textId="77777777" w:rsidR="007F2986" w:rsidRDefault="007F2986" w:rsidP="007F2986">
      <w:pPr>
        <w:pStyle w:val="a3"/>
        <w:rPr>
          <w:lang w:val="hu-HU"/>
        </w:rPr>
      </w:pPr>
      <w:r>
        <w:rPr>
          <w:rFonts w:eastAsia="Times New Roman"/>
          <w:lang w:val="hu-HU"/>
        </w:rPr>
        <w:t xml:space="preserve">A TNF-gátlókkal végzett klinikai vizsgálatok során a TNF- gátlót kapott betegek körében nagyobb számban észleltek malignomákat, beleértve a lymphomát, mint a kontrollcsoport betegeinél. Ez azonban ritkán fordult elő. Posztmarketing alkalmazás körülményei között TNF-antagonistával kezelt betegek körében leukémiás eseteket jelentettek. A kockázat megítélését nehezíti, hogy a lymphoma és a leukémia háttérkockázata nagyobb olyan rheumatoid arthritisben szenvedő betegeknél, akiknek régóta fennálló, fokozott aktivitású </w:t>
      </w:r>
      <w:r>
        <w:rPr>
          <w:rFonts w:eastAsia="Times New Roman"/>
          <w:lang w:val="hu-HU"/>
        </w:rPr>
        <w:lastRenderedPageBreak/>
        <w:t>gyulladásos betegségük vanJelenlegi ismereteink szerint a TNF-antagonistákkal kezelt betegeknél a lymphoma, leukaemia vagy más malignus betegségek kialakulásának lehetséges rizikója nem zárható ki</w:t>
      </w:r>
    </w:p>
    <w:p w14:paraId="20F24FE6" w14:textId="77777777" w:rsidR="007F2986" w:rsidRDefault="007F2986" w:rsidP="007F2986">
      <w:pPr>
        <w:spacing w:before="13" w:line="240" w:lineRule="exact"/>
        <w:rPr>
          <w:rFonts w:ascii="Times New Roman" w:hAnsi="Times New Roman" w:cs="Times New Roman"/>
          <w:lang w:val="hu-HU"/>
        </w:rPr>
      </w:pPr>
    </w:p>
    <w:p w14:paraId="0AEFF2DD" w14:textId="77777777" w:rsidR="007F2986" w:rsidRDefault="007F2986" w:rsidP="007F2986">
      <w:pPr>
        <w:pStyle w:val="a3"/>
        <w:rPr>
          <w:lang w:val="hu-HU"/>
        </w:rPr>
      </w:pPr>
      <w:r>
        <w:rPr>
          <w:rFonts w:eastAsia="Times New Roman"/>
          <w:lang w:val="hu-HU"/>
        </w:rPr>
        <w:t>A forgalomba hozatalt követő megfigyelés során a TNF-blokkoló szerekkel, köztük az adalimumabbal kezelt (a kezelés megkezdése ≤ 18 éves életkor) gyermekeknél, serdülőknél és fiatal felnőtteknél (22 éves korig) malignitásokról számoltak be, melyek némelyike végzetes kimenetelű volt. Az esetek mintegy fele lymphoma volt. A többi eset sokféle különböző malignitás volt, köztük ritka malignitások is, amelyek rendszerint immunszuppresszióhoz társultak. A TNF-blokkolókkal kezelt gyermekeknél és serdülőknél a malignitások kialakulásának kockázata nem zárható ki.</w:t>
      </w:r>
    </w:p>
    <w:p w14:paraId="3244C6A0" w14:textId="77777777" w:rsidR="007F2986" w:rsidRDefault="007F2986" w:rsidP="007F2986">
      <w:pPr>
        <w:spacing w:before="11" w:line="240" w:lineRule="exact"/>
        <w:rPr>
          <w:rFonts w:ascii="Times New Roman" w:hAnsi="Times New Roman" w:cs="Times New Roman"/>
          <w:lang w:val="hu-HU"/>
        </w:rPr>
      </w:pPr>
    </w:p>
    <w:p w14:paraId="1384C6C3" w14:textId="77777777" w:rsidR="007F2986" w:rsidRDefault="007F2986" w:rsidP="007F2986">
      <w:pPr>
        <w:pStyle w:val="a3"/>
        <w:rPr>
          <w:lang w:val="hu-HU"/>
        </w:rPr>
      </w:pPr>
      <w:r>
        <w:rPr>
          <w:rFonts w:eastAsia="Times New Roman"/>
          <w:lang w:val="hu-HU"/>
        </w:rPr>
        <w:t>Adalimumabbal kezelt betegeknél a forgalomba hozatalt követően ritkán hepatosplenikus T- sejtes lymphoma eseteket észleltek. A T- sejtes lymphoma e ritkán előforduló típusa nagyon agresszív lefolyású és rendszerint halálos kimenetelű. A kezelés során észlelt hepatosplenikus T- sejtes lymphoma esetek némelyike olyan fiatal felnőtt betegeknél fordult elő, akiket Crohn- betegség ellen egyidejűleg azatioprinnel, illetve 6- merkaptopurinnal kezeltek. Az azatioprin vagy a 6-merkaptopurin Yuflyma-val történő egyidejű adásának lehetséges kockázatát alaposan mérlegelni kell. A hepatosplenicus T-sejtes lymphoma kialakulása nem zárható ki a Yuflyma-val kezelt betegeknél (lásd 4.8 pont).</w:t>
      </w:r>
    </w:p>
    <w:p w14:paraId="67C9EA20" w14:textId="77777777" w:rsidR="007F2986" w:rsidRDefault="007F2986" w:rsidP="007F2986">
      <w:pPr>
        <w:spacing w:before="11" w:line="240" w:lineRule="exact"/>
        <w:rPr>
          <w:rFonts w:ascii="Times New Roman" w:hAnsi="Times New Roman" w:cs="Times New Roman"/>
          <w:lang w:val="hu-HU"/>
        </w:rPr>
      </w:pPr>
    </w:p>
    <w:p w14:paraId="4827ABCF" w14:textId="77777777" w:rsidR="007F2986" w:rsidRDefault="007F2986" w:rsidP="007F2986">
      <w:pPr>
        <w:pStyle w:val="a3"/>
        <w:rPr>
          <w:lang w:val="hu-HU"/>
        </w:rPr>
      </w:pPr>
      <w:r>
        <w:rPr>
          <w:rFonts w:eastAsia="Times New Roman"/>
          <w:lang w:val="hu-HU"/>
        </w:rPr>
        <w:t>Ezidáig nem végeztek vizsgálatokat olyan betegek bevonásával, akik kórtörténetében malignitás szerepelt, vagy akiknél az adalimumab kezelést malignitás kialakulását követően is folytatták. Ezért ezen betegek Yuflyma -kezelésbe való bevonásának mérlegelésekor fokozott elővigyázatosság szükséges (lásd 4. 8 pont).</w:t>
      </w:r>
    </w:p>
    <w:p w14:paraId="34F70A67" w14:textId="77777777" w:rsidR="007F2986" w:rsidRDefault="007F2986" w:rsidP="007F2986">
      <w:pPr>
        <w:spacing w:before="13" w:line="240" w:lineRule="exact"/>
        <w:rPr>
          <w:rFonts w:ascii="Times New Roman" w:hAnsi="Times New Roman" w:cs="Times New Roman"/>
          <w:lang w:val="hu-HU"/>
        </w:rPr>
      </w:pPr>
    </w:p>
    <w:p w14:paraId="0456E1F8" w14:textId="77777777" w:rsidR="007F2986" w:rsidRDefault="007F2986" w:rsidP="007F2986">
      <w:pPr>
        <w:pStyle w:val="a3"/>
        <w:rPr>
          <w:lang w:val="hu-HU"/>
        </w:rPr>
      </w:pPr>
      <w:r>
        <w:rPr>
          <w:rFonts w:eastAsia="Times New Roman"/>
          <w:lang w:val="hu-HU"/>
        </w:rPr>
        <w:t>Minden betegnél, de főként azoknál, akiknek az anamnézisében extenzív immunszuppresszív kezelés szerepel, illetve olyan psoriasisos betegeknél, akik PUFA- kezelést kaptak, a Yuflyma- kezelés kezdete előtt és az alatt vizsgálni kell a nem melanomás bőrrák előfordulását. Melanoma és Merkel-sejtes carcinoma előfordulásáról is beszámoltak TNF-antagonistával kezelt betegeknél, beleértve az adalimumabot (lásd 4.8 pont).</w:t>
      </w:r>
    </w:p>
    <w:p w14:paraId="1427A4B0" w14:textId="77777777" w:rsidR="007F2986" w:rsidRDefault="007F2986" w:rsidP="007F2986">
      <w:pPr>
        <w:spacing w:before="13" w:line="240" w:lineRule="exact"/>
        <w:rPr>
          <w:rFonts w:ascii="Times New Roman" w:hAnsi="Times New Roman" w:cs="Times New Roman"/>
          <w:lang w:val="hu-HU"/>
        </w:rPr>
      </w:pPr>
    </w:p>
    <w:p w14:paraId="4FE5B340" w14:textId="77777777" w:rsidR="007F2986" w:rsidRDefault="007F2986" w:rsidP="007F2986">
      <w:pPr>
        <w:pStyle w:val="a3"/>
        <w:rPr>
          <w:lang w:val="hu-HU"/>
        </w:rPr>
      </w:pPr>
      <w:r>
        <w:rPr>
          <w:rFonts w:eastAsia="Times New Roman"/>
          <w:lang w:val="hu-HU"/>
        </w:rPr>
        <w:t>Egy másik TNF-antagonista, az infliximab hatásait közepesen súlyos-</w:t>
      </w:r>
      <w:r w:rsidRPr="009167C6">
        <w:rPr>
          <w:lang w:val="hu-HU"/>
        </w:rPr>
        <w:t> </w:t>
      </w:r>
      <w:r>
        <w:rPr>
          <w:rFonts w:eastAsia="Times New Roman"/>
          <w:lang w:val="hu-HU"/>
        </w:rPr>
        <w:t xml:space="preserve"> súlyos idült obstruktív tüdőbetegségben (COPD) értékelték egy feltáró klinikai vizsgálattal. Az infliximabbal kezelt betegeken több rosszindulatú (javarészt tüdő-, fej-, vagy nyaki) daganatot észleltek, mint a kontrollcsoportban. A kórelőzmény alapján mindegyik beteg erős dohányos volt. Ennélfogva, COPD- ban 7 szenvedő, valamint az erős dohányzás miatt rosszindulatú daganat kialakulása szempontjából fokozottan veszélyeztetett betegeken körültekintően kell alkalmazni a TNF- antagonistákat.</w:t>
      </w:r>
    </w:p>
    <w:p w14:paraId="3A1A8ABF" w14:textId="77777777" w:rsidR="007F2986" w:rsidRDefault="007F2986" w:rsidP="007F2986">
      <w:pPr>
        <w:spacing w:before="11" w:line="240" w:lineRule="exact"/>
        <w:rPr>
          <w:rFonts w:ascii="Times New Roman" w:hAnsi="Times New Roman" w:cs="Times New Roman"/>
          <w:lang w:val="hu-HU"/>
        </w:rPr>
      </w:pPr>
    </w:p>
    <w:p w14:paraId="27499BD4" w14:textId="77777777" w:rsidR="007F2986" w:rsidRDefault="007F2986" w:rsidP="007F2986">
      <w:pPr>
        <w:pStyle w:val="a3"/>
        <w:rPr>
          <w:lang w:val="hu-HU"/>
        </w:rPr>
      </w:pPr>
      <w:r>
        <w:rPr>
          <w:rFonts w:eastAsia="Times New Roman"/>
          <w:lang w:val="hu-HU"/>
        </w:rPr>
        <w:t>A jelenleg rendelkezésre álló adatok alapján nem ismert, hogy az adalimumab-kezelés befolyásolja-e a dysplasia vagy a vastagbélrák kialakulásának veszélyét (lásd 4. 8 pont) . A kezelés megkezdése előtt és a betegség teljes lefolyása alatt azokat a colitis ulcerosában szenvedő betegeket, akiknél dysplasia vagy vastagbélrák kialakulásának fokozott kockázata áll fenn (például hosszan fennálló colitis ulcerosában vagy primer cholangitis sclerotisansban szenvedő betegeknél) vagy akiknek az anamnézisében dysplasia vagy vastagbélrák szerepel, rendszeresen szűrni kell dysplasia irányában. A szűrővizsgálat során kolonoszkópiát és szövettani mintavételt is kell végezni a helyi ajánlásoknak megfelelően.</w:t>
      </w:r>
    </w:p>
    <w:p w14:paraId="4DEBD0B5" w14:textId="77777777" w:rsidR="007F2986" w:rsidRDefault="007F2986" w:rsidP="007F2986">
      <w:pPr>
        <w:spacing w:before="13" w:line="240" w:lineRule="exact"/>
        <w:rPr>
          <w:rFonts w:ascii="Times New Roman" w:hAnsi="Times New Roman" w:cs="Times New Roman"/>
          <w:lang w:val="hu-HU"/>
        </w:rPr>
      </w:pPr>
    </w:p>
    <w:p w14:paraId="6AB28E89" w14:textId="77777777" w:rsidR="007F2986" w:rsidRDefault="007F2986" w:rsidP="007F2986">
      <w:pPr>
        <w:pStyle w:val="a3"/>
        <w:rPr>
          <w:u w:val="single"/>
          <w:lang w:val="hu-HU"/>
        </w:rPr>
      </w:pPr>
      <w:r>
        <w:rPr>
          <w:rFonts w:eastAsia="Times New Roman"/>
          <w:u w:val="single" w:color="000000"/>
          <w:lang w:val="hu-HU"/>
        </w:rPr>
        <w:t>Hematológiai reakciók</w:t>
      </w:r>
    </w:p>
    <w:p w14:paraId="5F13155A" w14:textId="77777777" w:rsidR="007F2986" w:rsidRDefault="007F2986" w:rsidP="007F2986">
      <w:pPr>
        <w:spacing w:before="1" w:line="180" w:lineRule="exact"/>
        <w:rPr>
          <w:rFonts w:ascii="Times New Roman" w:hAnsi="Times New Roman" w:cs="Times New Roman"/>
          <w:lang w:val="hu-HU"/>
        </w:rPr>
      </w:pPr>
    </w:p>
    <w:p w14:paraId="7A271A00" w14:textId="77777777" w:rsidR="007F2986" w:rsidRDefault="007F2986" w:rsidP="007F2986">
      <w:pPr>
        <w:pStyle w:val="a3"/>
        <w:rPr>
          <w:lang w:val="hu-HU"/>
        </w:rPr>
      </w:pPr>
      <w:r>
        <w:rPr>
          <w:rFonts w:eastAsia="Times New Roman"/>
          <w:lang w:val="hu-HU"/>
        </w:rPr>
        <w:t>TNF-antagonista szerek használata kapcsán ritkán pancytopeniáról számoltak be, beleértve az aplasticus anaemiát is. Az adalimumab kapcsán hematológiai mellékhatásokról, köztük klinikailag jelentős cytopeniáról (például thrombocytopenia, leukopenia) számoltak be. Minden betegnél javasolt az azonnali orvosi felügyelet, amennyiben Yuflyma- kezelés alatt a vérképváltozásra utaló jelek és tünetek jelentkeznek (például állandósult láz, véraláfutások, vérzés, sápadtság). A Yuflyma-kezelés megszakítását fontolóra kell venni, ha a betegnél igazolt, jelentős hematológiai eltérések vannak.</w:t>
      </w:r>
    </w:p>
    <w:p w14:paraId="491D58F4" w14:textId="77777777" w:rsidR="007F2986" w:rsidRDefault="007F2986" w:rsidP="007F2986">
      <w:pPr>
        <w:pStyle w:val="a3"/>
        <w:rPr>
          <w:lang w:val="hu-HU"/>
        </w:rPr>
      </w:pPr>
    </w:p>
    <w:p w14:paraId="05EA524D" w14:textId="77777777" w:rsidR="007F2986" w:rsidRDefault="007F2986" w:rsidP="007F2986">
      <w:pPr>
        <w:pStyle w:val="a3"/>
        <w:rPr>
          <w:u w:val="single"/>
          <w:lang w:val="hu-HU"/>
        </w:rPr>
      </w:pPr>
      <w:r>
        <w:rPr>
          <w:rFonts w:eastAsia="Times New Roman"/>
          <w:u w:val="single" w:color="000000"/>
          <w:lang w:val="hu-HU"/>
        </w:rPr>
        <w:t>Védőoltások</w:t>
      </w:r>
    </w:p>
    <w:p w14:paraId="0963F64B" w14:textId="77777777" w:rsidR="007F2986" w:rsidRDefault="007F2986" w:rsidP="007F2986">
      <w:pPr>
        <w:spacing w:before="1" w:line="180" w:lineRule="exact"/>
        <w:rPr>
          <w:rFonts w:ascii="Times New Roman" w:hAnsi="Times New Roman" w:cs="Times New Roman"/>
          <w:lang w:val="hu-HU"/>
        </w:rPr>
      </w:pPr>
    </w:p>
    <w:p w14:paraId="5AEC5610" w14:textId="77777777" w:rsidR="007F2986" w:rsidRDefault="007F2986" w:rsidP="007F2986">
      <w:pPr>
        <w:pStyle w:val="a3"/>
        <w:rPr>
          <w:lang w:val="hu-HU"/>
        </w:rPr>
      </w:pPr>
      <w:r>
        <w:rPr>
          <w:rFonts w:eastAsia="Times New Roman"/>
          <w:lang w:val="hu-HU"/>
        </w:rPr>
        <w:t xml:space="preserve">Egy vizsgálat 226 rheumatoid arthritises, adalimumabbal vagy placebóval kezelt résztvevőjén hasonló </w:t>
      </w:r>
      <w:r>
        <w:rPr>
          <w:rFonts w:eastAsia="Times New Roman"/>
          <w:lang w:val="hu-HU"/>
        </w:rPr>
        <w:lastRenderedPageBreak/>
        <w:t>antitest- választ figyeltek meg a Pneumococcus 23 szerotípusát tartalmazó standard oltóanyaggal, valamint a trivalens influenza vírus vakcinával szemben. Nincs adat arról, hogy az adalimumabbal kezelt betegek élő kórokozót tartalmazó vakcinával végzett védőoltása esetén bekövetkezhet- e a fertőzés másodlagos transzmissziója.</w:t>
      </w:r>
    </w:p>
    <w:p w14:paraId="37AE9435" w14:textId="77777777" w:rsidR="007F2986" w:rsidRDefault="007F2986" w:rsidP="007F2986">
      <w:pPr>
        <w:spacing w:before="17" w:line="240" w:lineRule="exact"/>
        <w:rPr>
          <w:rFonts w:ascii="Times New Roman" w:hAnsi="Times New Roman" w:cs="Times New Roman"/>
          <w:lang w:val="hu-HU"/>
        </w:rPr>
      </w:pPr>
    </w:p>
    <w:p w14:paraId="3F787A6A" w14:textId="77777777" w:rsidR="007F2986" w:rsidRDefault="007F2986" w:rsidP="007F2986">
      <w:pPr>
        <w:pStyle w:val="a3"/>
        <w:rPr>
          <w:lang w:val="hu-HU"/>
        </w:rPr>
      </w:pPr>
      <w:r>
        <w:rPr>
          <w:rFonts w:eastAsia="Times New Roman"/>
          <w:spacing w:val="-4"/>
          <w:lang w:val="hu-HU"/>
        </w:rPr>
        <w:t>Ajánlott, hogy – ha lehetséges – a gyermekeknél és serdülőknél a Yuflyma-kezelés megkezdése előtt adjanak be minden védőoltást a hatályos védőoltási irányelvek alapján</w:t>
      </w:r>
    </w:p>
    <w:p w14:paraId="0BFD0117" w14:textId="77777777" w:rsidR="007F2986" w:rsidRDefault="007F2986" w:rsidP="007F2986">
      <w:pPr>
        <w:spacing w:before="11" w:line="240" w:lineRule="exact"/>
        <w:rPr>
          <w:rFonts w:ascii="Times New Roman" w:hAnsi="Times New Roman" w:cs="Times New Roman"/>
          <w:lang w:val="hu-HU"/>
        </w:rPr>
      </w:pPr>
    </w:p>
    <w:p w14:paraId="041F74E6" w14:textId="77777777" w:rsidR="007F2986" w:rsidRDefault="007F2986" w:rsidP="007F2986">
      <w:pPr>
        <w:pStyle w:val="a3"/>
        <w:rPr>
          <w:lang w:val="hu-HU"/>
        </w:rPr>
      </w:pPr>
      <w:r>
        <w:rPr>
          <w:rFonts w:eastAsia="Times New Roman"/>
          <w:lang w:val="hu-HU"/>
        </w:rPr>
        <w:t>A Yuflyma-val kezelt betegeknek – élő kórokozót tartalmazó vakcinák kivételével – adható egyidejűleg védőoltás. Az anya terhesség alatti utolsó adalimumab-injekciójától számított 5 hónapig nem javasolt az olyan csecsemők élő kórokozót tartalmazó vakcinával (például BCG-vakcinával) való oltása, akik in utero adalimumab hatásának voltak kitéve.</w:t>
      </w:r>
    </w:p>
    <w:p w14:paraId="45D44F1B" w14:textId="77777777" w:rsidR="007F2986" w:rsidRDefault="007F2986" w:rsidP="007F2986">
      <w:pPr>
        <w:spacing w:before="13" w:line="240" w:lineRule="exact"/>
        <w:rPr>
          <w:rFonts w:ascii="Times New Roman" w:hAnsi="Times New Roman" w:cs="Times New Roman"/>
          <w:lang w:val="hu-HU"/>
        </w:rPr>
      </w:pPr>
    </w:p>
    <w:p w14:paraId="7CEB9772" w14:textId="77777777" w:rsidR="007F2986" w:rsidRDefault="007F2986" w:rsidP="007F2986">
      <w:pPr>
        <w:pStyle w:val="a3"/>
        <w:rPr>
          <w:u w:val="single"/>
          <w:lang w:val="hu-HU"/>
        </w:rPr>
      </w:pPr>
      <w:r>
        <w:rPr>
          <w:rFonts w:eastAsia="Times New Roman"/>
          <w:u w:val="single" w:color="000000"/>
          <w:lang w:val="hu-HU"/>
        </w:rPr>
        <w:t>Pangásos szívelégtelenség</w:t>
      </w:r>
    </w:p>
    <w:p w14:paraId="751DEC0B" w14:textId="77777777" w:rsidR="007F2986" w:rsidRDefault="007F2986" w:rsidP="007F2986">
      <w:pPr>
        <w:spacing w:before="1" w:line="180" w:lineRule="exact"/>
        <w:rPr>
          <w:rFonts w:ascii="Times New Roman" w:hAnsi="Times New Roman" w:cs="Times New Roman"/>
          <w:lang w:val="hu-HU"/>
        </w:rPr>
      </w:pPr>
    </w:p>
    <w:p w14:paraId="17F5571D" w14:textId="77777777" w:rsidR="007F2986" w:rsidRDefault="007F2986" w:rsidP="007F2986">
      <w:pPr>
        <w:pStyle w:val="a3"/>
        <w:rPr>
          <w:lang w:val="hu-HU"/>
        </w:rPr>
      </w:pPr>
      <w:r>
        <w:rPr>
          <w:rFonts w:eastAsia="Times New Roman"/>
          <w:lang w:val="hu-HU"/>
        </w:rPr>
        <w:t>Egy másik TNF - antagonistával végzett klinikai vizsgálat során a pangásos szívelégtelenség súlyosbodását illetve a pangásos szívelégtelenséggel összefüggésben levő halálesetek számának növekedését tapasztalták. A pangásos szívelégtelenség súlyosbodásáról szintén beszámoltak az adalimumabbal kezelt betegeknél. A Yuflyma-t csak fokozott óvatossággal szabad használni enyhe szívelégtelenségben (NYHA I/ II) szenvedők kezelésére. A Yuflyma kontraindikált a közepesen súlyos-</w:t>
      </w:r>
      <w:r w:rsidRPr="009167C6">
        <w:rPr>
          <w:lang w:val="hu-HU"/>
        </w:rPr>
        <w:t> </w:t>
      </w:r>
      <w:r>
        <w:rPr>
          <w:rFonts w:eastAsia="Times New Roman"/>
          <w:lang w:val="hu-HU"/>
        </w:rPr>
        <w:t xml:space="preserve"> súlyos</w:t>
      </w:r>
      <w:r w:rsidDel="00E50727">
        <w:rPr>
          <w:rFonts w:eastAsia="Times New Roman"/>
          <w:lang w:val="hu-HU"/>
        </w:rPr>
        <w:t xml:space="preserve"> </w:t>
      </w:r>
      <w:r>
        <w:rPr>
          <w:rFonts w:eastAsia="Times New Roman"/>
          <w:lang w:val="hu-HU"/>
        </w:rPr>
        <w:t>szívelégtelenség eseteiben (lásd 4. 3 pont). A Yuflyma- kezelést fel kell függeszteni minden olyan beteg esetében, akinél a pangásos szívelégtelenség rosszabbodása, illetve új tünet megjelenése tapasztalható.</w:t>
      </w:r>
    </w:p>
    <w:p w14:paraId="3A1BA36A" w14:textId="77777777" w:rsidR="007F2986" w:rsidRDefault="007F2986" w:rsidP="007F2986">
      <w:pPr>
        <w:spacing w:before="13" w:line="240" w:lineRule="exact"/>
        <w:rPr>
          <w:rFonts w:ascii="Times New Roman" w:hAnsi="Times New Roman" w:cs="Times New Roman"/>
          <w:lang w:val="hu-HU"/>
        </w:rPr>
      </w:pPr>
    </w:p>
    <w:p w14:paraId="5158F5F8" w14:textId="77777777" w:rsidR="007F2986" w:rsidRDefault="007F2986" w:rsidP="007F2986">
      <w:pPr>
        <w:pStyle w:val="a3"/>
        <w:rPr>
          <w:u w:val="single"/>
          <w:lang w:val="hu-HU"/>
        </w:rPr>
      </w:pPr>
      <w:r>
        <w:rPr>
          <w:rFonts w:eastAsia="Times New Roman"/>
          <w:u w:val="single" w:color="000000"/>
          <w:lang w:val="hu-HU"/>
        </w:rPr>
        <w:t>Autoimmun folyamatok</w:t>
      </w:r>
    </w:p>
    <w:p w14:paraId="5CE10A7A" w14:textId="77777777" w:rsidR="007F2986" w:rsidRDefault="007F2986" w:rsidP="007F2986">
      <w:pPr>
        <w:spacing w:before="9" w:line="170" w:lineRule="exact"/>
        <w:rPr>
          <w:rFonts w:ascii="Times New Roman" w:hAnsi="Times New Roman" w:cs="Times New Roman"/>
          <w:lang w:val="hu-HU"/>
        </w:rPr>
      </w:pPr>
    </w:p>
    <w:p w14:paraId="405BCCED" w14:textId="77777777" w:rsidR="007F2986" w:rsidRDefault="007F2986" w:rsidP="007F2986">
      <w:pPr>
        <w:pStyle w:val="a3"/>
        <w:rPr>
          <w:lang w:val="hu-HU"/>
        </w:rPr>
      </w:pPr>
      <w:r>
        <w:rPr>
          <w:rFonts w:eastAsia="Times New Roman"/>
          <w:lang w:val="hu-HU"/>
        </w:rPr>
        <w:t>A Yuflyma- val való kezelés során autoantitestek képződése előfordulhat. Az adalimumab hosszútávú hatása az autoimmun betegségek kialakulására nem ismert. Ha a Yuflyma alkalmazása után lupus-szerű szindrómára utaló tünetek jelentkeznek, továbbá kettős szálú DNS elleni antitestek jelennek meg, akkor nem szabad folytatni a Yuflyma adását (lásd 4. 8 pont).</w:t>
      </w:r>
    </w:p>
    <w:p w14:paraId="1CD17B70" w14:textId="77777777" w:rsidR="007F2986" w:rsidRDefault="007F2986" w:rsidP="007F2986">
      <w:pPr>
        <w:spacing w:before="13" w:line="240" w:lineRule="exact"/>
        <w:rPr>
          <w:rFonts w:ascii="Times New Roman" w:hAnsi="Times New Roman" w:cs="Times New Roman"/>
          <w:u w:val="single"/>
          <w:lang w:val="hu-HU"/>
        </w:rPr>
      </w:pPr>
    </w:p>
    <w:p w14:paraId="2B793B46" w14:textId="77777777" w:rsidR="007F2986" w:rsidRDefault="007F2986" w:rsidP="007F2986">
      <w:pPr>
        <w:pStyle w:val="a3"/>
        <w:rPr>
          <w:u w:val="single"/>
          <w:lang w:val="hu-HU"/>
        </w:rPr>
      </w:pPr>
      <w:r>
        <w:rPr>
          <w:rFonts w:eastAsia="Times New Roman"/>
          <w:u w:val="single" w:color="000000"/>
          <w:lang w:val="hu-HU"/>
        </w:rPr>
        <w:t>Biológiai reumaellenes betegségmódosító gyógyszerek (DMARD-ok) vagy TNF-antagonisták együttadása</w:t>
      </w:r>
    </w:p>
    <w:p w14:paraId="64E3C01F" w14:textId="77777777" w:rsidR="007F2986" w:rsidRDefault="007F2986" w:rsidP="007F2986">
      <w:pPr>
        <w:spacing w:before="1" w:line="180" w:lineRule="exact"/>
        <w:rPr>
          <w:rFonts w:ascii="Times New Roman" w:hAnsi="Times New Roman" w:cs="Times New Roman"/>
          <w:lang w:val="hu-HU"/>
        </w:rPr>
      </w:pPr>
    </w:p>
    <w:p w14:paraId="104E6159" w14:textId="77777777" w:rsidR="007F2986" w:rsidRDefault="007F2986" w:rsidP="007F2986">
      <w:pPr>
        <w:pStyle w:val="a3"/>
        <w:rPr>
          <w:lang w:val="hu-HU"/>
        </w:rPr>
      </w:pPr>
      <w:r>
        <w:rPr>
          <w:rFonts w:eastAsia="Times New Roman"/>
          <w:lang w:val="hu-HU"/>
        </w:rPr>
        <w:t>Klinikai vizsgálatokban súlyos fertőzéseket tapasztaltak előnyösebb klinikai hatás nélkül anakinra és egy másik</w:t>
      </w:r>
    </w:p>
    <w:p w14:paraId="29F93F04" w14:textId="77777777" w:rsidR="007F2986" w:rsidRDefault="007F2986" w:rsidP="007F2986">
      <w:pPr>
        <w:pStyle w:val="a3"/>
        <w:rPr>
          <w:lang w:val="hu-HU"/>
        </w:rPr>
      </w:pPr>
      <w:r>
        <w:rPr>
          <w:rFonts w:eastAsia="Times New Roman"/>
          <w:lang w:val="hu-HU"/>
        </w:rPr>
        <w:t>TNF-antagonista, az etanercept együttes adásakor, amennyiben a kombinált kezelés hatását az önmagában adagolt etanercept hatásával hasonlították össze. Az etanercept és anakinra kombinációs kezelésnél észlelt mellékhatások természete miatt hasonló toxicitás várható az anakinra és más TNF- antagonista kombinációnál is. Ezért az adalimumab és anakinra kombinációjának alkalmazása nem javasolt (lásd 4.5 pont).</w:t>
      </w:r>
    </w:p>
    <w:p w14:paraId="59F35252" w14:textId="77777777" w:rsidR="007F2986" w:rsidRDefault="007F2986" w:rsidP="007F2986">
      <w:pPr>
        <w:spacing w:before="14" w:line="240" w:lineRule="exact"/>
        <w:rPr>
          <w:rFonts w:ascii="Times New Roman" w:hAnsi="Times New Roman" w:cs="Times New Roman"/>
          <w:lang w:val="hu-HU"/>
        </w:rPr>
      </w:pPr>
    </w:p>
    <w:p w14:paraId="66A9F3C5" w14:textId="77777777" w:rsidR="007F2986" w:rsidRDefault="007F2986" w:rsidP="007F2986">
      <w:pPr>
        <w:pStyle w:val="a3"/>
        <w:rPr>
          <w:lang w:val="hu-HU"/>
        </w:rPr>
      </w:pPr>
      <w:r>
        <w:rPr>
          <w:rFonts w:eastAsia="Times New Roman"/>
          <w:lang w:val="hu-HU"/>
        </w:rPr>
        <w:t>Az adalimumab és egyéb biológiai betegségmódosító reumaellenes gyógyszerek (például anakinra és abatacept) vagy egyéb TNF-antagonisták egyidejű alkalmazása nem javasolt a fertőzések – köztük súlyos fertőzések – lehetséges fokozott kockázata és egyéb potenciális gyógyszerkölcsönhatások miatt. (lásd 4.5 pont).</w:t>
      </w:r>
    </w:p>
    <w:p w14:paraId="20F9C08F" w14:textId="77777777" w:rsidR="007F2986" w:rsidRDefault="007F2986" w:rsidP="007F2986">
      <w:pPr>
        <w:spacing w:before="13" w:line="240" w:lineRule="exact"/>
        <w:rPr>
          <w:rFonts w:ascii="Times New Roman" w:hAnsi="Times New Roman" w:cs="Times New Roman"/>
          <w:lang w:val="hu-HU"/>
        </w:rPr>
      </w:pPr>
    </w:p>
    <w:p w14:paraId="285CE852" w14:textId="77777777" w:rsidR="007F2986" w:rsidRDefault="007F2986" w:rsidP="007F2986">
      <w:pPr>
        <w:pStyle w:val="a3"/>
        <w:rPr>
          <w:u w:val="single"/>
          <w:lang w:val="hu-HU"/>
        </w:rPr>
      </w:pPr>
      <w:r>
        <w:rPr>
          <w:rFonts w:eastAsia="Times New Roman"/>
          <w:u w:val="single" w:color="000000"/>
          <w:lang w:val="hu-HU"/>
        </w:rPr>
        <w:t>Sebészet</w:t>
      </w:r>
    </w:p>
    <w:p w14:paraId="0F495860" w14:textId="77777777" w:rsidR="007F2986" w:rsidRDefault="007F2986" w:rsidP="007F2986">
      <w:pPr>
        <w:spacing w:before="1" w:line="180" w:lineRule="exact"/>
        <w:rPr>
          <w:rFonts w:ascii="Times New Roman" w:hAnsi="Times New Roman" w:cs="Times New Roman"/>
          <w:lang w:val="hu-HU"/>
        </w:rPr>
      </w:pPr>
    </w:p>
    <w:p w14:paraId="0BD01266" w14:textId="77777777" w:rsidR="007F2986" w:rsidRDefault="007F2986" w:rsidP="007F2986">
      <w:pPr>
        <w:pStyle w:val="a3"/>
        <w:rPr>
          <w:lang w:val="hu-HU"/>
        </w:rPr>
      </w:pPr>
      <w:r>
        <w:rPr>
          <w:rFonts w:eastAsia="Times New Roman"/>
          <w:lang w:val="hu-HU"/>
        </w:rPr>
        <w:t>Sebészeti beavatkozások során Yuflyma- val kezelt betegek körében biztonságossági tapasztalatok korlátozottan állnak rendelkezésre. Az adalimumab hosszú felezési idejét a tervezett műtéti beavatkozás során figyelembe kell venni. Yuflyma-kezelés alatt műtéti beavatkozást igénylő beteget infekció tekintetében szorosan monitorozni kell és megfelelő módon kell ellátni. A Yuflyma-val kezelt arthroplasztikán áteső betegekkel szerzett biztonságossági tapasztalatok korlátozottak</w:t>
      </w:r>
    </w:p>
    <w:p w14:paraId="485E9D62" w14:textId="77777777" w:rsidR="007F2986" w:rsidRDefault="007F2986" w:rsidP="007F2986">
      <w:pPr>
        <w:pStyle w:val="a3"/>
        <w:rPr>
          <w:u w:color="000000"/>
          <w:lang w:val="hu-HU"/>
        </w:rPr>
      </w:pPr>
    </w:p>
    <w:p w14:paraId="70C899A2" w14:textId="77777777" w:rsidR="007F2986" w:rsidRDefault="007F2986" w:rsidP="007F2986">
      <w:pPr>
        <w:pStyle w:val="a3"/>
        <w:rPr>
          <w:u w:val="single"/>
          <w:lang w:val="hu-HU"/>
        </w:rPr>
      </w:pPr>
      <w:r>
        <w:rPr>
          <w:rFonts w:eastAsia="Times New Roman"/>
          <w:u w:val="single" w:color="000000"/>
          <w:lang w:val="hu-HU"/>
        </w:rPr>
        <w:t>Vékonybél-elzáródás</w:t>
      </w:r>
    </w:p>
    <w:p w14:paraId="5ABABE4E" w14:textId="77777777" w:rsidR="007F2986" w:rsidRDefault="007F2986" w:rsidP="007F2986">
      <w:pPr>
        <w:pStyle w:val="a3"/>
        <w:rPr>
          <w:lang w:val="hu-HU"/>
        </w:rPr>
      </w:pPr>
    </w:p>
    <w:p w14:paraId="4923AA40" w14:textId="77777777" w:rsidR="007F2986" w:rsidRDefault="007F2986" w:rsidP="007F2986">
      <w:pPr>
        <w:pStyle w:val="a3"/>
        <w:rPr>
          <w:lang w:val="hu-HU"/>
        </w:rPr>
      </w:pPr>
      <w:r>
        <w:rPr>
          <w:rFonts w:eastAsia="Times New Roman"/>
          <w:lang w:val="hu-HU"/>
        </w:rPr>
        <w:lastRenderedPageBreak/>
        <w:t>A Crohn- betegség miatt végzett kezelés hatástalansága műtéti kezelést igénylő, heges szűkület jelenlétére utalhat. A rendelkezésre álló adatok alapján az adalimumab nem idéz elő bélszűkületet, és nem is súlyosbítja a már kialakult stricturát.</w:t>
      </w:r>
    </w:p>
    <w:p w14:paraId="78473303" w14:textId="77777777" w:rsidR="007F2986" w:rsidRDefault="007F2986" w:rsidP="007F2986">
      <w:pPr>
        <w:spacing w:before="13" w:line="240" w:lineRule="exact"/>
        <w:rPr>
          <w:rFonts w:ascii="Times New Roman" w:hAnsi="Times New Roman" w:cs="Times New Roman"/>
          <w:lang w:val="hu-HU"/>
        </w:rPr>
      </w:pPr>
    </w:p>
    <w:p w14:paraId="5E7CEB28" w14:textId="77777777" w:rsidR="007F2986" w:rsidRDefault="007F2986" w:rsidP="007F2986">
      <w:pPr>
        <w:pStyle w:val="a3"/>
        <w:rPr>
          <w:u w:val="single"/>
          <w:lang w:val="hu-HU"/>
        </w:rPr>
      </w:pPr>
      <w:r>
        <w:rPr>
          <w:rFonts w:eastAsia="Times New Roman"/>
          <w:u w:val="single" w:color="000000"/>
          <w:lang w:val="hu-HU"/>
        </w:rPr>
        <w:t>Idősek</w:t>
      </w:r>
    </w:p>
    <w:p w14:paraId="79563B1D" w14:textId="77777777" w:rsidR="007F2986" w:rsidRDefault="007F2986" w:rsidP="007F2986">
      <w:pPr>
        <w:spacing w:before="9" w:line="170" w:lineRule="exact"/>
        <w:rPr>
          <w:rFonts w:ascii="Times New Roman" w:hAnsi="Times New Roman" w:cs="Times New Roman"/>
          <w:lang w:val="hu-HU"/>
        </w:rPr>
      </w:pPr>
    </w:p>
    <w:p w14:paraId="7C26C2B7" w14:textId="77777777" w:rsidR="007F2986" w:rsidRDefault="007F2986" w:rsidP="007F2986">
      <w:pPr>
        <w:pStyle w:val="a3"/>
        <w:rPr>
          <w:lang w:val="hu-HU"/>
        </w:rPr>
      </w:pPr>
      <w:r>
        <w:rPr>
          <w:rFonts w:eastAsia="Times New Roman"/>
          <w:lang w:val="hu-HU"/>
        </w:rPr>
        <w:t>Az adalimumabbal kezelt, 65 éves kor feletti betegeknél a súlyos fertőzések gyakorisága magasabb volt (3,7%), mint a 65 évnél fiatalabbaknál (1,5%). Némelyiküknél ez végzetes volt. Idősek kezelésekor különös figyelmet kell fordítani a fertőzés veszélyére.</w:t>
      </w:r>
    </w:p>
    <w:p w14:paraId="7608D7FE" w14:textId="77777777" w:rsidR="007F2986" w:rsidRDefault="007F2986" w:rsidP="007F2986">
      <w:pPr>
        <w:spacing w:before="11" w:line="240" w:lineRule="exact"/>
        <w:rPr>
          <w:rFonts w:ascii="Times New Roman" w:hAnsi="Times New Roman" w:cs="Times New Roman"/>
          <w:lang w:val="hu-HU"/>
        </w:rPr>
      </w:pPr>
    </w:p>
    <w:p w14:paraId="4C5332AB" w14:textId="77777777" w:rsidR="007F2986" w:rsidRDefault="007F2986" w:rsidP="007F2986">
      <w:pPr>
        <w:pStyle w:val="a3"/>
        <w:rPr>
          <w:u w:val="single"/>
          <w:lang w:val="hu-HU"/>
        </w:rPr>
      </w:pPr>
      <w:r>
        <w:rPr>
          <w:rFonts w:eastAsia="Times New Roman"/>
          <w:u w:val="single" w:color="000000"/>
          <w:lang w:val="hu-HU"/>
        </w:rPr>
        <w:t>Gyermekek és serdülők</w:t>
      </w:r>
    </w:p>
    <w:p w14:paraId="2ECBACA7" w14:textId="77777777" w:rsidR="007F2986" w:rsidRDefault="007F2986" w:rsidP="007F2986">
      <w:pPr>
        <w:spacing w:before="1" w:line="180" w:lineRule="exact"/>
        <w:rPr>
          <w:rFonts w:ascii="Times New Roman" w:hAnsi="Times New Roman" w:cs="Times New Roman"/>
          <w:lang w:val="hu-HU"/>
        </w:rPr>
      </w:pPr>
    </w:p>
    <w:p w14:paraId="56AB5709" w14:textId="77777777" w:rsidR="007F2986" w:rsidRDefault="007F2986" w:rsidP="007F2986">
      <w:pPr>
        <w:pStyle w:val="a3"/>
        <w:rPr>
          <w:lang w:val="hu-HU"/>
        </w:rPr>
      </w:pPr>
      <w:r>
        <w:rPr>
          <w:rFonts w:eastAsia="Times New Roman"/>
          <w:lang w:val="hu-HU"/>
        </w:rPr>
        <w:t>Lásd feljebb a Védőoltások részben.</w:t>
      </w:r>
    </w:p>
    <w:p w14:paraId="0636E258" w14:textId="77777777" w:rsidR="007F2986" w:rsidRDefault="007F2986" w:rsidP="007F2986">
      <w:pPr>
        <w:pStyle w:val="a3"/>
        <w:rPr>
          <w:lang w:val="hu-HU"/>
        </w:rPr>
      </w:pPr>
    </w:p>
    <w:p w14:paraId="0295F6EE" w14:textId="77777777" w:rsidR="007F2986" w:rsidRDefault="007F2986" w:rsidP="007F2986">
      <w:pPr>
        <w:pStyle w:val="a3"/>
        <w:rPr>
          <w:u w:val="single"/>
          <w:lang w:val="hu-HU"/>
        </w:rPr>
      </w:pPr>
      <w:r>
        <w:rPr>
          <w:rFonts w:eastAsia="Times New Roman"/>
          <w:u w:val="single" w:color="000000"/>
          <w:lang w:val="hu-HU"/>
        </w:rPr>
        <w:t>Nátriumtartalom</w:t>
      </w:r>
    </w:p>
    <w:p w14:paraId="4E2EBB56" w14:textId="77777777" w:rsidR="007F2986" w:rsidRDefault="007F2986" w:rsidP="007F2986">
      <w:pPr>
        <w:pStyle w:val="a3"/>
        <w:rPr>
          <w:lang w:val="hu-HU"/>
        </w:rPr>
      </w:pPr>
    </w:p>
    <w:p w14:paraId="71D5B8E5" w14:textId="578BBA97" w:rsidR="007F2986" w:rsidRDefault="007F2986" w:rsidP="007F2986">
      <w:pPr>
        <w:pStyle w:val="a3"/>
        <w:rPr>
          <w:lang w:val="hu-HU"/>
        </w:rPr>
      </w:pPr>
      <w:r>
        <w:rPr>
          <w:rFonts w:eastAsia="Times New Roman"/>
          <w:lang w:val="hu-HU"/>
        </w:rPr>
        <w:t>A készítmény keves</w:t>
      </w:r>
      <w:r w:rsidR="00B02ED1">
        <w:rPr>
          <w:rFonts w:eastAsia="Times New Roman"/>
          <w:lang w:val="hu-HU"/>
        </w:rPr>
        <w:t>ebb, mint 1 mmol (23 mg) per 0,2</w:t>
      </w:r>
      <w:r>
        <w:rPr>
          <w:rFonts w:eastAsia="Times New Roman"/>
          <w:lang w:val="hu-HU"/>
        </w:rPr>
        <w:t xml:space="preserve"> ml adag nátriumot tartalmaz, azaz gyakorlatilag „nátriummentes”.</w:t>
      </w:r>
    </w:p>
    <w:p w14:paraId="2F231431" w14:textId="77777777" w:rsidR="007F2986" w:rsidRDefault="007F2986" w:rsidP="007F2986">
      <w:pPr>
        <w:spacing w:before="18" w:line="240" w:lineRule="exact"/>
        <w:rPr>
          <w:sz w:val="24"/>
          <w:szCs w:val="24"/>
          <w:lang w:val="hu-HU"/>
        </w:rPr>
      </w:pPr>
    </w:p>
    <w:p w14:paraId="6FCA5DF6" w14:textId="77777777" w:rsidR="007F2986" w:rsidRDefault="007F2986" w:rsidP="00FD05AA">
      <w:pPr>
        <w:widowControl/>
        <w:numPr>
          <w:ilvl w:val="1"/>
          <w:numId w:val="76"/>
        </w:numPr>
        <w:tabs>
          <w:tab w:val="left" w:pos="567"/>
        </w:tabs>
        <w:spacing w:line="260" w:lineRule="exact"/>
        <w:ind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Gyógyszerkölcsönhatások és egyéb interakciók</w:t>
      </w:r>
    </w:p>
    <w:p w14:paraId="41838F1E" w14:textId="77777777" w:rsidR="007F2986" w:rsidRDefault="007F2986" w:rsidP="007F2986">
      <w:pPr>
        <w:spacing w:before="9" w:line="240" w:lineRule="exact"/>
        <w:rPr>
          <w:sz w:val="24"/>
          <w:szCs w:val="24"/>
          <w:lang w:val="hu-HU"/>
        </w:rPr>
      </w:pPr>
    </w:p>
    <w:p w14:paraId="6F164956" w14:textId="77777777" w:rsidR="007F2986" w:rsidRDefault="007F2986" w:rsidP="007F2986">
      <w:pPr>
        <w:pStyle w:val="a3"/>
        <w:rPr>
          <w:lang w:val="hu-HU"/>
        </w:rPr>
      </w:pPr>
      <w:r>
        <w:rPr>
          <w:rFonts w:eastAsia="Times New Roman"/>
          <w:lang w:val="hu-HU"/>
        </w:rPr>
        <w:t>Az adalimumabot vizsgálták monoterápiában, illetve metotrexát kombinációban szedő rheumatoid arthritises, polyarticularis juvenilis idiopathiás arthritises, valamint arthritis psoriaticában szenvedő betegek köreiben is. Ha az adalimumabot kombinációban adták metotrexáttal, az antitestképződés alacsonyabb volt, mint monoterápiában. Az adalimumab metotrexát nélküli alkalmazása fokozott antitestképződést, továbbá az adalimumab-clearance fokozódását és a hatásosság csökkenését eredményezte (lásd 5. 1 pont).</w:t>
      </w:r>
    </w:p>
    <w:p w14:paraId="45086778" w14:textId="77777777" w:rsidR="007F2986" w:rsidRDefault="007F2986" w:rsidP="007F2986">
      <w:pPr>
        <w:spacing w:before="17" w:line="240" w:lineRule="exact"/>
        <w:rPr>
          <w:sz w:val="24"/>
          <w:szCs w:val="24"/>
          <w:lang w:val="hu-HU"/>
        </w:rPr>
      </w:pPr>
    </w:p>
    <w:p w14:paraId="6E7650EA" w14:textId="77777777" w:rsidR="007F2986" w:rsidRDefault="007F2986" w:rsidP="007F2986">
      <w:pPr>
        <w:pStyle w:val="a3"/>
        <w:rPr>
          <w:lang w:val="hu-HU"/>
        </w:rPr>
      </w:pPr>
      <w:r>
        <w:rPr>
          <w:rFonts w:eastAsia="Times New Roman"/>
          <w:lang w:val="hu-HU"/>
        </w:rPr>
        <w:t>Az adalimumab és az anakinra kombinált alkalmazása nem ajánlott (lásd a 4.4 pont „Biológiai reumaellenes betegségmódosító gyógyszerek (DMARD-ok) vagy TNF-antagonisták együttadása” c. fejezetét).</w:t>
      </w:r>
    </w:p>
    <w:p w14:paraId="4C0B178B" w14:textId="77777777" w:rsidR="007F2986" w:rsidRDefault="007F2986" w:rsidP="007F2986">
      <w:pPr>
        <w:spacing w:before="11" w:line="240" w:lineRule="exact"/>
        <w:rPr>
          <w:sz w:val="24"/>
          <w:szCs w:val="24"/>
          <w:lang w:val="hu-HU"/>
        </w:rPr>
      </w:pPr>
    </w:p>
    <w:p w14:paraId="6093171F" w14:textId="77777777" w:rsidR="007F2986" w:rsidRDefault="007F2986" w:rsidP="007F2986">
      <w:pPr>
        <w:pStyle w:val="a3"/>
        <w:rPr>
          <w:lang w:val="hu-HU"/>
        </w:rPr>
      </w:pPr>
      <w:r>
        <w:rPr>
          <w:rFonts w:eastAsia="Times New Roman"/>
          <w:lang w:val="hu-HU"/>
        </w:rPr>
        <w:t>Az adalimumab és az abatacept kombinált alkalmazása nem ajánlott (lásd a 4.4 pont „Biológiai reumaellenes betegségmódosító gyógyszerek (DMARD-ok) vagy TNF-antagonisták együttadása” c. fejezetét).</w:t>
      </w:r>
    </w:p>
    <w:p w14:paraId="05EAE21F" w14:textId="77777777" w:rsidR="007F2986" w:rsidRDefault="007F2986" w:rsidP="007F2986">
      <w:pPr>
        <w:spacing w:before="14" w:line="240" w:lineRule="exact"/>
        <w:rPr>
          <w:sz w:val="24"/>
          <w:szCs w:val="24"/>
          <w:lang w:val="hu-HU"/>
        </w:rPr>
      </w:pPr>
    </w:p>
    <w:p w14:paraId="1EF17B48" w14:textId="77777777" w:rsidR="007F2986" w:rsidRDefault="007F2986" w:rsidP="00FD05AA">
      <w:pPr>
        <w:widowControl/>
        <w:numPr>
          <w:ilvl w:val="1"/>
          <w:numId w:val="76"/>
        </w:numPr>
        <w:tabs>
          <w:tab w:val="left" w:pos="567"/>
        </w:tabs>
        <w:spacing w:line="260" w:lineRule="exact"/>
        <w:ind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Termékenység, terhesség és szoptatás</w:t>
      </w:r>
    </w:p>
    <w:p w14:paraId="31133F97" w14:textId="77777777" w:rsidR="007F2986" w:rsidRDefault="007F2986" w:rsidP="007F2986">
      <w:pPr>
        <w:spacing w:before="9" w:line="240" w:lineRule="exact"/>
        <w:rPr>
          <w:rFonts w:ascii="Times New Roman" w:hAnsi="Times New Roman" w:cs="Times New Roman"/>
          <w:lang w:val="hu-HU"/>
        </w:rPr>
      </w:pPr>
    </w:p>
    <w:p w14:paraId="4A7B53CE" w14:textId="77777777" w:rsidR="007F2986" w:rsidRDefault="007F2986" w:rsidP="007F2986">
      <w:pPr>
        <w:pStyle w:val="a3"/>
        <w:rPr>
          <w:u w:val="single"/>
          <w:lang w:val="hu-HU"/>
        </w:rPr>
      </w:pPr>
      <w:r>
        <w:rPr>
          <w:rFonts w:eastAsia="Times New Roman"/>
          <w:u w:val="single" w:color="000000"/>
          <w:lang w:val="hu-HU"/>
        </w:rPr>
        <w:t>Fogamzóképes korban lévő nők</w:t>
      </w:r>
    </w:p>
    <w:p w14:paraId="784AD867" w14:textId="77777777" w:rsidR="007F2986" w:rsidRDefault="007F2986" w:rsidP="007F2986">
      <w:pPr>
        <w:spacing w:before="1" w:line="180" w:lineRule="exact"/>
        <w:rPr>
          <w:rFonts w:ascii="Times New Roman" w:hAnsi="Times New Roman" w:cs="Times New Roman"/>
          <w:lang w:val="hu-HU"/>
        </w:rPr>
      </w:pPr>
    </w:p>
    <w:p w14:paraId="6A5CEE10" w14:textId="77777777" w:rsidR="007F2986" w:rsidRDefault="007F2986" w:rsidP="007F2986">
      <w:pPr>
        <w:pStyle w:val="a3"/>
        <w:rPr>
          <w:lang w:val="hu-HU"/>
        </w:rPr>
      </w:pPr>
      <w:r>
        <w:rPr>
          <w:rFonts w:eastAsia="Times New Roman"/>
          <w:lang w:val="hu-HU"/>
        </w:rPr>
        <w:t>Fogamzóképes korú nőknek fontolóra kell venniük egy megfelelő fogamzásgátlás alkalmazását, és az alkalmazás folytatását az utolsó Yuflyma-kezelés után legalább öt hónapon keresztül</w:t>
      </w:r>
    </w:p>
    <w:p w14:paraId="0A25C564" w14:textId="77777777" w:rsidR="007F2986" w:rsidRDefault="007F2986" w:rsidP="007F2986">
      <w:pPr>
        <w:spacing w:before="11" w:line="240" w:lineRule="exact"/>
        <w:rPr>
          <w:rFonts w:ascii="Times New Roman" w:hAnsi="Times New Roman" w:cs="Times New Roman"/>
          <w:lang w:val="hu-HU"/>
        </w:rPr>
      </w:pPr>
    </w:p>
    <w:p w14:paraId="66123E2E" w14:textId="77777777" w:rsidR="007F2986" w:rsidRDefault="007F2986" w:rsidP="007F2986">
      <w:pPr>
        <w:pStyle w:val="a3"/>
        <w:rPr>
          <w:u w:val="single"/>
          <w:lang w:val="hu-HU"/>
        </w:rPr>
      </w:pPr>
      <w:r>
        <w:rPr>
          <w:rFonts w:eastAsia="Times New Roman"/>
          <w:u w:val="single" w:color="000000"/>
          <w:lang w:val="hu-HU"/>
        </w:rPr>
        <w:t>Terhesség</w:t>
      </w:r>
    </w:p>
    <w:p w14:paraId="64E85508" w14:textId="77777777" w:rsidR="007F2986" w:rsidRDefault="007F2986" w:rsidP="007F2986">
      <w:pPr>
        <w:spacing w:before="1" w:line="180" w:lineRule="exact"/>
        <w:rPr>
          <w:rFonts w:ascii="Times New Roman" w:hAnsi="Times New Roman" w:cs="Times New Roman"/>
          <w:lang w:val="hu-HU"/>
        </w:rPr>
      </w:pPr>
    </w:p>
    <w:p w14:paraId="40130A71" w14:textId="77777777" w:rsidR="007F2986" w:rsidRDefault="007F2986" w:rsidP="007F2986">
      <w:pPr>
        <w:pStyle w:val="a3"/>
        <w:rPr>
          <w:lang w:val="hu-HU"/>
        </w:rPr>
      </w:pPr>
      <w:r>
        <w:rPr>
          <w:rFonts w:eastAsia="Times New Roman"/>
          <w:lang w:val="hu-HU"/>
        </w:rPr>
        <w:t>Nagy számú (körülbelül 2100), adalimumab-expozíciónak kitett, ismert kimenetelű, élve születéssel végződő terhesség prospektív módon gyűjtött adatai – beleértve több mint 1500 esetet, mikor az első trimeszterben alkalmazták az adalimumabot – nem igazolták a rendellenességek arányának növekedését az újszülötteknél.</w:t>
      </w:r>
    </w:p>
    <w:p w14:paraId="35847887" w14:textId="77777777" w:rsidR="007F2986" w:rsidRDefault="007F2986" w:rsidP="007F2986">
      <w:pPr>
        <w:spacing w:before="13" w:line="240" w:lineRule="exact"/>
        <w:rPr>
          <w:rFonts w:ascii="Times New Roman" w:hAnsi="Times New Roman" w:cs="Times New Roman"/>
          <w:lang w:val="hu-HU"/>
        </w:rPr>
      </w:pPr>
    </w:p>
    <w:p w14:paraId="3610A6F7" w14:textId="77777777" w:rsidR="007F2986" w:rsidRDefault="007F2986" w:rsidP="007F2986">
      <w:pPr>
        <w:pStyle w:val="a3"/>
        <w:rPr>
          <w:lang w:val="hu-HU"/>
        </w:rPr>
      </w:pPr>
      <w:r>
        <w:rPr>
          <w:rFonts w:eastAsia="Times New Roman"/>
          <w:lang w:val="hu-HU"/>
        </w:rPr>
        <w:t xml:space="preserve">Egy prospektív kohorsz regiszterben 257, rheumatoid arthritisben (RA) vagy Crohn-betegségben (CD) szenvedő, a terhességük legalább első trimeszterében adalimumabbal kezelt nőt és 120, RA-ban vagy Crohn-betegségben szenvedő, adalimumabbal nem kezelt nőt vizsgáltak. Az elsődleges végpont a major születési rendellenesség születéskori prevalenciája volt. Azoknak a terhességeknek az aránya, amelyek kimenetele legalább egy, major fejlődési rendellenességgel élve született csecsemő volt, 6/69 (8,7%) volt az adalimumab-kezelésben részesült RA-s nőknél, és 5/74 (6,8%) volt a nem kezelt RA-s nőknél (nem korrigált OR: 1,31; 95%-os konfidencia intervallum [CI]: 0,38-4,52), továbbá 16/152 (10,5%) volt az adalimumab-kezelésben részesült Crohn-beteg nőknél, és 3/32 (9,4%) volt a nem kezelt Crohn-beteg nőknél (nem </w:t>
      </w:r>
      <w:r>
        <w:rPr>
          <w:rFonts w:eastAsia="Times New Roman"/>
          <w:lang w:val="hu-HU"/>
        </w:rPr>
        <w:lastRenderedPageBreak/>
        <w:t>korrigált OR: 1,14; 95%-os CI: 0,31-4,16). A korrigált OR (a kiindulási különbségeket tekintetbe véve) 1,10 volt (95%-os CI: 0,45-2,73) együttesen RA-ban és Crohn-betegségben. Nem volt határozott különbség az adalimumabbal kezelt és nem kezelt nők esetében a másodlagos végpontokban, amelyek a spontán abortusz, a minor születési rendellenességek, a koraszülés, a kis születési súly és a súlyos vagy opportunista fertőzések voltak, és nem jelentettek halvaszületést vagy rosszindulatú daganat kialakulást sem. Az adatok értelmezésére hatással lehetnek a regiszter módszertani korlátai, beleértve a kis mintaszámot és a nem randomizált elrendezést.</w:t>
      </w:r>
    </w:p>
    <w:p w14:paraId="37E215FE" w14:textId="77777777" w:rsidR="007F2986" w:rsidRDefault="007F2986" w:rsidP="007F2986">
      <w:pPr>
        <w:spacing w:before="10" w:line="240" w:lineRule="exact"/>
        <w:rPr>
          <w:rFonts w:ascii="Times New Roman" w:hAnsi="Times New Roman" w:cs="Times New Roman"/>
          <w:lang w:val="hu-HU"/>
        </w:rPr>
      </w:pPr>
    </w:p>
    <w:p w14:paraId="777276F4" w14:textId="2125CCD0" w:rsidR="007F2986" w:rsidRDefault="007F2986" w:rsidP="007F2986">
      <w:pPr>
        <w:pStyle w:val="a3"/>
        <w:rPr>
          <w:lang w:val="hu-HU"/>
        </w:rPr>
      </w:pPr>
      <w:r>
        <w:rPr>
          <w:rFonts w:eastAsia="Times New Roman"/>
          <w:spacing w:val="-2"/>
          <w:lang w:val="hu-HU"/>
        </w:rPr>
        <w:t>Majmok</w:t>
      </w:r>
      <w:r w:rsidR="00772DF5">
        <w:rPr>
          <w:rFonts w:eastAsia="Times New Roman"/>
          <w:spacing w:val="-2"/>
          <w:lang w:val="hu-HU"/>
        </w:rPr>
        <w:t>kal</w:t>
      </w:r>
      <w:r>
        <w:rPr>
          <w:rFonts w:eastAsia="Times New Roman"/>
          <w:spacing w:val="-2"/>
          <w:lang w:val="hu-HU"/>
        </w:rPr>
        <w:t xml:space="preserve"> végzett fejlődés toxicitási vizsgálat során anyai, illetve embriótoxicitásra vagy teratogenitásra utaló eltérést nem észleltek. Az adalimumab postnatalis toxicitást okozó hatására vonatkozó preklinikai adatok nem állnak rendelkezésre (lásd 5. 3 pont).</w:t>
      </w:r>
    </w:p>
    <w:p w14:paraId="7D4A6BFE" w14:textId="77777777" w:rsidR="007F2986" w:rsidRDefault="007F2986" w:rsidP="007F2986">
      <w:pPr>
        <w:spacing w:before="14" w:line="260" w:lineRule="exact"/>
        <w:rPr>
          <w:rFonts w:ascii="Times New Roman" w:hAnsi="Times New Roman" w:cs="Times New Roman"/>
          <w:lang w:val="hu-HU"/>
        </w:rPr>
      </w:pPr>
    </w:p>
    <w:p w14:paraId="2B1DEB22" w14:textId="77777777" w:rsidR="007F2986" w:rsidRDefault="007F2986" w:rsidP="007F2986">
      <w:pPr>
        <w:pStyle w:val="a3"/>
        <w:rPr>
          <w:lang w:val="hu-HU"/>
        </w:rPr>
      </w:pPr>
      <w:r>
        <w:rPr>
          <w:rFonts w:eastAsia="Times New Roman"/>
          <w:lang w:val="hu-HU"/>
        </w:rPr>
        <w:t>A TNF-</w:t>
      </w:r>
      <w:r>
        <w:rPr>
          <w:rFonts w:ascii="Symbol" w:eastAsia="Symbol" w:hAnsi="Symbol" w:cs="Symbol"/>
          <w:lang w:val="hu-HU"/>
        </w:rPr>
        <w:sym w:font="Symbol" w:char="F061"/>
      </w:r>
      <w:r>
        <w:rPr>
          <w:rFonts w:eastAsia="Times New Roman"/>
          <w:lang w:val="hu-HU"/>
        </w:rPr>
        <w:t>gátlást okozó hatása miatt, a terhesség alatt adott adalimumab befolyásolhatja az újszülött normális immunreakcióit. Az adalimumab csak akkor alkalmazható terhesség alatt, ha egyértelműen szükséges.</w:t>
      </w:r>
    </w:p>
    <w:p w14:paraId="35D23492" w14:textId="77777777" w:rsidR="007F2986" w:rsidRDefault="007F2986" w:rsidP="007F2986">
      <w:pPr>
        <w:spacing w:before="11" w:line="240" w:lineRule="exact"/>
        <w:rPr>
          <w:rFonts w:ascii="Times New Roman" w:hAnsi="Times New Roman" w:cs="Times New Roman"/>
          <w:lang w:val="hu-HU"/>
        </w:rPr>
      </w:pPr>
    </w:p>
    <w:p w14:paraId="5C3787E0" w14:textId="77777777" w:rsidR="007F2986" w:rsidRDefault="007F2986" w:rsidP="007F2986">
      <w:pPr>
        <w:pStyle w:val="a3"/>
        <w:rPr>
          <w:lang w:val="hu-HU"/>
        </w:rPr>
      </w:pPr>
      <w:r>
        <w:rPr>
          <w:rFonts w:eastAsia="Times New Roman"/>
          <w:lang w:val="hu-HU"/>
        </w:rPr>
        <w:t>Az adalimumab átjuthat a méhlepényen az adalimumabbal a terhesség alatt kezelt nőknek született csecsemők szérumába. Következésképpen ezek a csecsemők nagyobb fertőzési kockázatnak lehetnek kitéve. Az anya terhesség alatti utolsó adalimumab-injekciójától számított 5 hónapig nem javasolt az olyan csecsemők élő kórokozót tartalmazó vakcinával (például BCG-vakcinával) való oltása, akik in utero adalimumab hatásának voltak kitéve.</w:t>
      </w:r>
    </w:p>
    <w:p w14:paraId="5964771D" w14:textId="77777777" w:rsidR="007F2986" w:rsidRDefault="007F2986" w:rsidP="007F2986">
      <w:pPr>
        <w:spacing w:before="13" w:line="240" w:lineRule="exact"/>
        <w:rPr>
          <w:rFonts w:ascii="Times New Roman" w:hAnsi="Times New Roman" w:cs="Times New Roman"/>
          <w:lang w:val="hu-HU"/>
        </w:rPr>
      </w:pPr>
    </w:p>
    <w:p w14:paraId="7E3A6C19" w14:textId="77777777" w:rsidR="007F2986" w:rsidRDefault="007F2986" w:rsidP="007F2986">
      <w:pPr>
        <w:pStyle w:val="a3"/>
        <w:rPr>
          <w:u w:val="single"/>
          <w:lang w:val="hu-HU"/>
        </w:rPr>
      </w:pPr>
      <w:r>
        <w:rPr>
          <w:rFonts w:eastAsia="Times New Roman"/>
          <w:spacing w:val="-1"/>
          <w:u w:val="single" w:color="000000"/>
          <w:lang w:val="hu-HU"/>
        </w:rPr>
        <w:t>Szoptatás</w:t>
      </w:r>
    </w:p>
    <w:p w14:paraId="2251EFBF" w14:textId="77777777" w:rsidR="007F2986" w:rsidRDefault="007F2986" w:rsidP="007F2986">
      <w:pPr>
        <w:spacing w:before="1" w:line="180" w:lineRule="exact"/>
        <w:rPr>
          <w:rFonts w:ascii="Times New Roman" w:hAnsi="Times New Roman" w:cs="Times New Roman"/>
          <w:lang w:val="hu-HU"/>
        </w:rPr>
      </w:pPr>
    </w:p>
    <w:p w14:paraId="3C67452F" w14:textId="77777777" w:rsidR="007F2986" w:rsidRDefault="007F2986" w:rsidP="007F2986">
      <w:pPr>
        <w:pStyle w:val="a3"/>
        <w:rPr>
          <w:lang w:val="hu-HU"/>
        </w:rPr>
      </w:pPr>
      <w:r>
        <w:rPr>
          <w:rFonts w:eastAsia="Times New Roman"/>
          <w:lang w:val="hu-HU"/>
        </w:rPr>
        <w:t>A szakirodalomban közzétett korlátozott mennyiségű információ alapján az adalimumab nagyon kis koncentrációban kiválasztódik az anyatejbe, az anyai szérumszint 0,1-1%-ában van jelen. Szájon át adva, az immunglobulin G-fehérjék intestinalis proteolízist szenvednek, és a biohasznosulásuk csekély. Nem várhatóak a szoptatott újszülöttekre/csecsemőkre gyakorolt hatások. Következésképpen a Yuflyma alkalmazható szoptatás alatt.</w:t>
      </w:r>
    </w:p>
    <w:p w14:paraId="60D5EAE6" w14:textId="77777777" w:rsidR="007F2986" w:rsidRDefault="007F2986" w:rsidP="007F2986">
      <w:pPr>
        <w:spacing w:before="11" w:line="240" w:lineRule="exact"/>
        <w:rPr>
          <w:rFonts w:ascii="Times New Roman" w:hAnsi="Times New Roman" w:cs="Times New Roman"/>
          <w:lang w:val="hu-HU"/>
        </w:rPr>
      </w:pPr>
    </w:p>
    <w:p w14:paraId="09A156B2" w14:textId="77777777" w:rsidR="007F2986" w:rsidRDefault="007F2986" w:rsidP="007F2986">
      <w:pPr>
        <w:pStyle w:val="a3"/>
        <w:rPr>
          <w:u w:val="single"/>
          <w:lang w:val="hu-HU"/>
        </w:rPr>
      </w:pPr>
      <w:r>
        <w:rPr>
          <w:rFonts w:eastAsia="Times New Roman"/>
          <w:u w:val="single" w:color="000000"/>
          <w:lang w:val="hu-HU"/>
        </w:rPr>
        <w:t>Termékenység</w:t>
      </w:r>
    </w:p>
    <w:p w14:paraId="0D8795AD" w14:textId="77777777" w:rsidR="007F2986" w:rsidRDefault="007F2986" w:rsidP="007F2986">
      <w:pPr>
        <w:spacing w:before="1" w:line="180" w:lineRule="exact"/>
        <w:rPr>
          <w:rFonts w:ascii="Times New Roman" w:hAnsi="Times New Roman" w:cs="Times New Roman"/>
          <w:lang w:val="hu-HU"/>
        </w:rPr>
      </w:pPr>
    </w:p>
    <w:p w14:paraId="2585CB5E" w14:textId="77777777" w:rsidR="007F2986" w:rsidRDefault="007F2986" w:rsidP="007F2986">
      <w:pPr>
        <w:pStyle w:val="a3"/>
        <w:rPr>
          <w:lang w:val="hu-HU"/>
        </w:rPr>
      </w:pPr>
      <w:r>
        <w:rPr>
          <w:rFonts w:eastAsia="Times New Roman"/>
          <w:lang w:val="hu-HU"/>
        </w:rPr>
        <w:t>Nem áll rendelkezésre preklinikai adat az adalimumab termékenységre gyakorolt hatásával kapcsolatban.</w:t>
      </w:r>
    </w:p>
    <w:p w14:paraId="18D78D7F" w14:textId="77777777" w:rsidR="007F2986" w:rsidRDefault="007F2986" w:rsidP="007F2986">
      <w:pPr>
        <w:spacing w:before="18" w:line="240" w:lineRule="exact"/>
        <w:rPr>
          <w:sz w:val="24"/>
          <w:szCs w:val="24"/>
          <w:lang w:val="hu-HU"/>
        </w:rPr>
      </w:pPr>
    </w:p>
    <w:p w14:paraId="205C0B65" w14:textId="77777777" w:rsidR="007F2986" w:rsidRDefault="007F2986" w:rsidP="00FD05AA">
      <w:pPr>
        <w:widowControl/>
        <w:numPr>
          <w:ilvl w:val="1"/>
          <w:numId w:val="76"/>
        </w:numPr>
        <w:tabs>
          <w:tab w:val="left" w:pos="567"/>
        </w:tabs>
        <w:spacing w:line="260" w:lineRule="exact"/>
        <w:ind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A készítmény hatásai a gépjárművezetéshez és a gépek kezeléséhez szükséges képességekre</w:t>
      </w:r>
    </w:p>
    <w:p w14:paraId="062DD565" w14:textId="77777777" w:rsidR="007F2986" w:rsidRDefault="007F2986" w:rsidP="007F2986">
      <w:pPr>
        <w:spacing w:before="12" w:line="240" w:lineRule="exact"/>
        <w:rPr>
          <w:sz w:val="24"/>
          <w:szCs w:val="24"/>
          <w:lang w:val="hu-HU"/>
        </w:rPr>
      </w:pPr>
    </w:p>
    <w:p w14:paraId="276043E8" w14:textId="77777777" w:rsidR="007F2986" w:rsidRDefault="007F2986" w:rsidP="007F2986">
      <w:pPr>
        <w:pStyle w:val="a3"/>
        <w:rPr>
          <w:lang w:val="hu-HU"/>
        </w:rPr>
      </w:pPr>
      <w:r>
        <w:rPr>
          <w:rFonts w:eastAsia="Times New Roman"/>
          <w:lang w:val="hu-HU"/>
        </w:rPr>
        <w:t>A Yuflyma csekély mértékben befolyásolhatja a gépjárművezetéshez és a gépek kezeléséhez szükséges képességeket. A Yuflyma alkalmazását követően vertigo és látásromlás fordulhat elő(lásd 4.8 pont).</w:t>
      </w:r>
    </w:p>
    <w:p w14:paraId="3319E84F" w14:textId="77777777" w:rsidR="007F2986" w:rsidRDefault="007F2986" w:rsidP="007F2986">
      <w:pPr>
        <w:spacing w:before="15" w:line="240" w:lineRule="exact"/>
        <w:rPr>
          <w:sz w:val="24"/>
          <w:szCs w:val="24"/>
          <w:lang w:val="hu-HU"/>
        </w:rPr>
      </w:pPr>
    </w:p>
    <w:p w14:paraId="03F1EE0D" w14:textId="77777777" w:rsidR="007F2986" w:rsidRDefault="007F2986" w:rsidP="00FD05AA">
      <w:pPr>
        <w:widowControl/>
        <w:numPr>
          <w:ilvl w:val="1"/>
          <w:numId w:val="76"/>
        </w:numPr>
        <w:tabs>
          <w:tab w:val="left" w:pos="567"/>
        </w:tabs>
        <w:spacing w:line="260" w:lineRule="exact"/>
        <w:ind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Nemkívánatos hatások, mellékhatások</w:t>
      </w:r>
    </w:p>
    <w:p w14:paraId="734629E8" w14:textId="77777777" w:rsidR="007F2986" w:rsidRDefault="007F2986" w:rsidP="007F2986">
      <w:pPr>
        <w:spacing w:before="9" w:line="240" w:lineRule="exact"/>
        <w:rPr>
          <w:sz w:val="24"/>
          <w:szCs w:val="24"/>
          <w:lang w:val="hu-HU"/>
        </w:rPr>
      </w:pPr>
    </w:p>
    <w:p w14:paraId="65C2AA88" w14:textId="77777777" w:rsidR="007F2986" w:rsidRDefault="007F2986" w:rsidP="007F2986">
      <w:pPr>
        <w:pStyle w:val="a3"/>
        <w:rPr>
          <w:u w:val="single"/>
          <w:lang w:val="hu-HU"/>
        </w:rPr>
      </w:pPr>
      <w:r>
        <w:rPr>
          <w:rFonts w:eastAsia="Times New Roman"/>
          <w:u w:val="single" w:color="000000"/>
          <w:lang w:val="hu-HU"/>
        </w:rPr>
        <w:t>A biztonságossági profil összefoglalása</w:t>
      </w:r>
    </w:p>
    <w:p w14:paraId="781509FB" w14:textId="77777777" w:rsidR="007F2986" w:rsidRDefault="007F2986" w:rsidP="007F2986">
      <w:pPr>
        <w:spacing w:before="1" w:line="180" w:lineRule="exact"/>
        <w:rPr>
          <w:sz w:val="18"/>
          <w:szCs w:val="18"/>
          <w:lang w:val="hu-HU"/>
        </w:rPr>
      </w:pPr>
    </w:p>
    <w:p w14:paraId="5A2CD592" w14:textId="77777777" w:rsidR="007F2986" w:rsidRDefault="007F2986" w:rsidP="007F2986">
      <w:pPr>
        <w:pStyle w:val="a3"/>
        <w:rPr>
          <w:lang w:val="hu-HU"/>
        </w:rPr>
      </w:pPr>
      <w:r>
        <w:rPr>
          <w:rFonts w:eastAsia="Times New Roman"/>
          <w:lang w:val="hu-HU"/>
        </w:rPr>
        <w:t>Az adalimumabot 9506 beteg bevonásával tanulmányozták pivotális, kontrollos és nyílt vizsgálatokban, 60 hónapig vagy még tovább. Ezekbe a vizsgálatokba rövidebb vagy hosszabb ideje rheumatoid arthritisben, juvenilis idiopathiás arthritisben (polyarticularis juvenilis idiopathiás arthritisben és enthesitis-asszociált arthritisben), valamint axialis spondyloarthritisben (spondylitis ankylopoeticában és a spondylitis ankylopoeticának (SPA) megfelelő röntgeneltéréssel nem járó axiális spondyloarthritisben), arthritis psoriaticában, Crohn-betegségben, colitis ulcerosában, psoriasisban, hidradenitis suppurativában és uveitisben szenvedő betegeket választottak be. A pivotális, kontrollos vizsgálatok, amelyek során 6089 beteg részesült adalimumab kezelésben és 3801 beteg kapott placebót vagy aktív összehasonlító gyógyszert a kontrollos periódusban és a spontán jelentés során</w:t>
      </w:r>
    </w:p>
    <w:p w14:paraId="050A37C1" w14:textId="77777777" w:rsidR="007F2986" w:rsidRDefault="007F2986" w:rsidP="007F2986">
      <w:pPr>
        <w:spacing w:before="13" w:line="240" w:lineRule="exact"/>
        <w:rPr>
          <w:sz w:val="24"/>
          <w:szCs w:val="24"/>
          <w:lang w:val="hu-HU"/>
        </w:rPr>
      </w:pPr>
    </w:p>
    <w:p w14:paraId="7409A84C" w14:textId="77777777" w:rsidR="007F2986" w:rsidRDefault="007F2986" w:rsidP="007F2986">
      <w:pPr>
        <w:pStyle w:val="a3"/>
        <w:rPr>
          <w:lang w:val="hu-HU"/>
        </w:rPr>
      </w:pPr>
      <w:r>
        <w:rPr>
          <w:rFonts w:eastAsia="Times New Roman"/>
          <w:lang w:val="hu-HU"/>
        </w:rPr>
        <w:t>Azon betegek aránya, akik a pivotális vizsgálatok kettős vak, kontrollos részében mellékhatások miatt abbahagyták a kezelést, az adalimumabbal kezelt betegcsoportban 5,9%, míg a kontroll kezelt betegeknél 5,4% volt</w:t>
      </w:r>
    </w:p>
    <w:p w14:paraId="318A6CDD" w14:textId="77777777" w:rsidR="007F2986" w:rsidRDefault="007F2986" w:rsidP="007F2986">
      <w:pPr>
        <w:spacing w:before="17" w:line="240" w:lineRule="exact"/>
        <w:rPr>
          <w:sz w:val="24"/>
          <w:szCs w:val="24"/>
          <w:lang w:val="hu-HU"/>
        </w:rPr>
      </w:pPr>
    </w:p>
    <w:p w14:paraId="267F1A80" w14:textId="77777777" w:rsidR="007F2986" w:rsidRDefault="007F2986" w:rsidP="007F2986">
      <w:pPr>
        <w:pStyle w:val="a3"/>
        <w:rPr>
          <w:lang w:val="hu-HU"/>
        </w:rPr>
      </w:pPr>
      <w:r>
        <w:rPr>
          <w:rFonts w:eastAsia="Times New Roman"/>
          <w:lang w:val="hu-HU"/>
        </w:rPr>
        <w:t>A leggyakoribb mellékhatások a fertőzések (mint például nasopharyngitis, felső légúti fertőzés és sinusitis), az injekció beadási helyén jelentkező reakciók (erythema, pruritus, suffusio, fájdalom vagy duzzanat), a fejfájás és a mozgásszervi eredetű fájdalom.</w:t>
      </w:r>
    </w:p>
    <w:p w14:paraId="75286D86" w14:textId="77777777" w:rsidR="007F2986" w:rsidRDefault="007F2986" w:rsidP="007F2986">
      <w:pPr>
        <w:pStyle w:val="a3"/>
        <w:rPr>
          <w:lang w:val="hu-HU"/>
        </w:rPr>
      </w:pPr>
    </w:p>
    <w:p w14:paraId="2AFEA365" w14:textId="77777777" w:rsidR="007F2986" w:rsidRDefault="007F2986" w:rsidP="007F2986">
      <w:pPr>
        <w:pStyle w:val="a3"/>
        <w:rPr>
          <w:lang w:val="hu-HU"/>
        </w:rPr>
      </w:pPr>
      <w:r>
        <w:rPr>
          <w:rFonts w:eastAsia="Times New Roman"/>
          <w:lang w:val="hu-HU"/>
        </w:rPr>
        <w:t>Súlyos mellékhatásokról is beszámoltak az adalimumab alkalmazása soránA TNF-antagonisták, így az adalimumab is befolyásolják az immunrendszert, és alkalmazásuk megváltoztathatja a szervezet fertőzésekkel és daganatokkal szembeni védekező képességét.</w:t>
      </w:r>
    </w:p>
    <w:p w14:paraId="05CF1AF5" w14:textId="77777777" w:rsidR="007F2986" w:rsidRDefault="007F2986" w:rsidP="007F2986">
      <w:pPr>
        <w:pStyle w:val="a3"/>
        <w:rPr>
          <w:lang w:val="hu-HU"/>
        </w:rPr>
      </w:pPr>
      <w:r>
        <w:rPr>
          <w:rFonts w:eastAsia="Times New Roman"/>
          <w:lang w:val="hu-HU"/>
        </w:rPr>
        <w:t>Az adalimumab alkalmazása során beszámoltak fatális és életveszélyes fertőzésekről (beleértve a szepszist, az oppurtunista fertőzést és a TBC-t), HBV-reaktiválódásról és különböző malignus betegségekről is (beleértve a leukaemiát, a lymphomát és hepatosplenicus T-sejtes lymphomát).</w:t>
      </w:r>
    </w:p>
    <w:p w14:paraId="7549E47E" w14:textId="77777777" w:rsidR="007F2986" w:rsidRDefault="007F2986" w:rsidP="007F2986">
      <w:pPr>
        <w:spacing w:before="17" w:line="240" w:lineRule="exact"/>
        <w:rPr>
          <w:sz w:val="24"/>
          <w:szCs w:val="24"/>
          <w:lang w:val="hu-HU"/>
        </w:rPr>
      </w:pPr>
    </w:p>
    <w:p w14:paraId="2ECFBE85" w14:textId="77777777" w:rsidR="007F2986" w:rsidRDefault="007F2986" w:rsidP="007F2986">
      <w:pPr>
        <w:pStyle w:val="a3"/>
        <w:rPr>
          <w:lang w:val="hu-HU"/>
        </w:rPr>
      </w:pPr>
      <w:r>
        <w:rPr>
          <w:rFonts w:eastAsia="Times New Roman"/>
          <w:lang w:val="hu-HU"/>
        </w:rPr>
        <w:t>Súlyos hematológiai, neurológiai és autoimmun reakciókat is jelentettek. Mint például pancytopenia, aplasticus anaemia, központi és perifériás demyelinisatiós betegségek néhány esete, lupus erythematosus, lupus-szal összefüggő betegségek és Stevens–Johnson-szindróma.</w:t>
      </w:r>
    </w:p>
    <w:p w14:paraId="72CCBAD2" w14:textId="77777777" w:rsidR="007F2986" w:rsidRDefault="007F2986" w:rsidP="007F2986">
      <w:pPr>
        <w:spacing w:before="11" w:line="240" w:lineRule="exact"/>
        <w:rPr>
          <w:sz w:val="24"/>
          <w:szCs w:val="24"/>
          <w:lang w:val="hu-HU"/>
        </w:rPr>
      </w:pPr>
    </w:p>
    <w:p w14:paraId="33280792" w14:textId="77777777" w:rsidR="007F2986" w:rsidRPr="009167C6" w:rsidRDefault="007F2986" w:rsidP="007F2986">
      <w:pPr>
        <w:keepNext/>
        <w:rPr>
          <w:rFonts w:ascii="Times New Roman" w:hAnsi="Times New Roman" w:cs="Times New Roman"/>
          <w:iCs/>
          <w:u w:val="single"/>
          <w:lang w:val="hu-HU"/>
        </w:rPr>
      </w:pPr>
      <w:r w:rsidRPr="009167C6">
        <w:rPr>
          <w:rFonts w:ascii="Times New Roman" w:hAnsi="Times New Roman" w:cs="Times New Roman"/>
          <w:iCs/>
          <w:u w:val="single"/>
          <w:lang w:val="hu-HU"/>
        </w:rPr>
        <w:t>Gyermekek és serdülők</w:t>
      </w:r>
    </w:p>
    <w:p w14:paraId="21B73A7E" w14:textId="77777777" w:rsidR="007F2986" w:rsidRDefault="007F2986" w:rsidP="007F2986">
      <w:pPr>
        <w:pStyle w:val="a3"/>
        <w:rPr>
          <w:rFonts w:eastAsia="Times New Roman"/>
          <w:lang w:val="hu-HU"/>
        </w:rPr>
      </w:pPr>
    </w:p>
    <w:p w14:paraId="0D4BAE12" w14:textId="77777777" w:rsidR="007F2986" w:rsidRDefault="007F2986" w:rsidP="007F2986">
      <w:pPr>
        <w:pStyle w:val="a3"/>
        <w:rPr>
          <w:lang w:val="hu-HU"/>
        </w:rPr>
      </w:pPr>
      <w:r>
        <w:rPr>
          <w:rFonts w:eastAsia="Times New Roman"/>
          <w:lang w:val="hu-HU"/>
        </w:rPr>
        <w:t>Általában véve a gyermek és serdülőkorú betegeknél megfigyelt nemkívánatos események gyakorisága és típusa hasonló volt azokhoz, mint amiket a felnőtt betegeknél észleltek.</w:t>
      </w:r>
    </w:p>
    <w:p w14:paraId="2B61A828" w14:textId="77777777" w:rsidR="007F2986" w:rsidRDefault="007F2986" w:rsidP="007F2986">
      <w:pPr>
        <w:spacing w:before="11" w:line="240" w:lineRule="exact"/>
        <w:rPr>
          <w:sz w:val="24"/>
          <w:szCs w:val="24"/>
          <w:lang w:val="hu-HU"/>
        </w:rPr>
      </w:pPr>
    </w:p>
    <w:p w14:paraId="5C7CC22C" w14:textId="77777777" w:rsidR="007F2986" w:rsidRDefault="007F2986" w:rsidP="007F2986">
      <w:pPr>
        <w:pStyle w:val="a3"/>
        <w:rPr>
          <w:u w:val="single"/>
          <w:lang w:val="hu-HU"/>
        </w:rPr>
      </w:pPr>
      <w:r>
        <w:rPr>
          <w:rFonts w:eastAsia="Times New Roman"/>
          <w:u w:val="single" w:color="000000"/>
          <w:lang w:val="hu-HU"/>
        </w:rPr>
        <w:t>A mellékhatások táblázatos felsorolása</w:t>
      </w:r>
    </w:p>
    <w:p w14:paraId="3932024D" w14:textId="77777777" w:rsidR="007F2986" w:rsidRDefault="007F2986" w:rsidP="007F2986">
      <w:pPr>
        <w:spacing w:before="1" w:line="180" w:lineRule="exact"/>
        <w:rPr>
          <w:sz w:val="18"/>
          <w:szCs w:val="18"/>
          <w:lang w:val="hu-HU"/>
        </w:rPr>
      </w:pPr>
    </w:p>
    <w:p w14:paraId="651293BD" w14:textId="5896F429" w:rsidR="007F2986" w:rsidRPr="005A05DE" w:rsidRDefault="007F2986" w:rsidP="007F2986">
      <w:pPr>
        <w:pStyle w:val="a3"/>
        <w:rPr>
          <w:lang w:val="hu-HU"/>
        </w:rPr>
      </w:pPr>
      <w:r>
        <w:rPr>
          <w:rFonts w:eastAsia="Times New Roman"/>
          <w:lang w:val="hu-HU"/>
        </w:rPr>
        <w:t xml:space="preserve">A </w:t>
      </w:r>
      <w:r w:rsidR="00B02ED1">
        <w:rPr>
          <w:rFonts w:eastAsia="Times New Roman"/>
          <w:lang w:val="hu-HU"/>
        </w:rPr>
        <w:t>6</w:t>
      </w:r>
      <w:r>
        <w:rPr>
          <w:rFonts w:eastAsia="Times New Roman"/>
          <w:lang w:val="hu-HU"/>
        </w:rPr>
        <w:t>. táblázatban a klinikai vizsgálatok során és a forgalomba hozatalt követően észlelt mellékhatások szervrendszer és gyakoriság szerint vannak felsorolva: nagyon gyakori</w:t>
      </w:r>
      <w:r w:rsidR="00B02ED1">
        <w:rPr>
          <w:rFonts w:hint="eastAsia"/>
          <w:lang w:val="hu-HU" w:eastAsia="ko-KR"/>
        </w:rPr>
        <w:t xml:space="preserve"> </w:t>
      </w:r>
      <w:r>
        <w:rPr>
          <w:rFonts w:eastAsia="Times New Roman"/>
          <w:lang w:val="hu-HU"/>
        </w:rPr>
        <w:t>(</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 1/10); gyakori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 1/100 &lt;1/10); nem gyakori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 1/1000, &lt;1/100); ritka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 1 / 10,000 &lt;1 / 1,000); és nem ismert (a gyakoriság a rendelkezésre álló adatokból nem állapítható meg). Az egyes gyakorisági kategóriákon belül a mellékhatások csökkenő súlyosság szerint kerülnek megadásra.. A különböző indikációk esetén előforduló legnagyobb előfordulási gyakoriság került feltüntetésre. A szervrendszeri kategóriák oszlopában csillag (*) jelzi, ha további információ található a 4.3, 4.4 és 4.8 pontban.</w:t>
      </w:r>
    </w:p>
    <w:p w14:paraId="14BAAB8E" w14:textId="77777777" w:rsidR="007F2986" w:rsidRDefault="007F2986" w:rsidP="007F2986">
      <w:pPr>
        <w:pStyle w:val="a3"/>
        <w:rPr>
          <w:rFonts w:eastAsia="Times New Roman"/>
          <w:lang w:val="hu-HU"/>
        </w:rPr>
      </w:pPr>
    </w:p>
    <w:p w14:paraId="58541DA8" w14:textId="6ECF7F3B" w:rsidR="007F2986" w:rsidRDefault="00B02ED1" w:rsidP="007F2986">
      <w:pPr>
        <w:pStyle w:val="a3"/>
        <w:jc w:val="center"/>
        <w:rPr>
          <w:b/>
          <w:lang w:val="hu-HU"/>
        </w:rPr>
      </w:pPr>
      <w:r>
        <w:rPr>
          <w:rFonts w:eastAsia="Times New Roman"/>
          <w:b/>
          <w:bCs/>
          <w:lang w:val="hu-HU"/>
        </w:rPr>
        <w:t>6</w:t>
      </w:r>
      <w:r w:rsidR="007F2986">
        <w:rPr>
          <w:rFonts w:eastAsia="Times New Roman"/>
          <w:b/>
          <w:bCs/>
          <w:lang w:val="hu-HU"/>
        </w:rPr>
        <w:t>. táblázat. Nemkívánatos hatások</w:t>
      </w:r>
    </w:p>
    <w:p w14:paraId="2E02A347" w14:textId="77777777" w:rsidR="007F2986" w:rsidRDefault="007F2986" w:rsidP="007F2986">
      <w:pPr>
        <w:spacing w:before="10" w:line="240" w:lineRule="exact"/>
        <w:rPr>
          <w:sz w:val="24"/>
          <w:szCs w:val="24"/>
          <w:lang w:val="hu-HU"/>
        </w:rPr>
      </w:pPr>
    </w:p>
    <w:tbl>
      <w:tblPr>
        <w:tblStyle w:val="TableNormal1"/>
        <w:tblW w:w="0" w:type="auto"/>
        <w:tblInd w:w="110" w:type="dxa"/>
        <w:tblLayout w:type="fixed"/>
        <w:tblLook w:val="01E0" w:firstRow="1" w:lastRow="1" w:firstColumn="1" w:lastColumn="1" w:noHBand="0" w:noVBand="0"/>
      </w:tblPr>
      <w:tblGrid>
        <w:gridCol w:w="2599"/>
        <w:gridCol w:w="2076"/>
        <w:gridCol w:w="4574"/>
      </w:tblGrid>
      <w:tr w:rsidR="007F2986" w14:paraId="40686154" w14:textId="77777777" w:rsidTr="00AF1AD1">
        <w:tc>
          <w:tcPr>
            <w:tcW w:w="2599" w:type="dxa"/>
            <w:tcBorders>
              <w:top w:val="single" w:sz="5" w:space="0" w:color="000000"/>
              <w:left w:val="single" w:sz="5" w:space="0" w:color="000000"/>
              <w:bottom w:val="single" w:sz="5" w:space="0" w:color="000000"/>
              <w:right w:val="single" w:sz="5" w:space="0" w:color="000000"/>
            </w:tcBorders>
            <w:tcMar>
              <w:top w:w="57" w:type="dxa"/>
              <w:bottom w:w="57" w:type="dxa"/>
            </w:tcMar>
            <w:vAlign w:val="center"/>
          </w:tcPr>
          <w:p w14:paraId="363EAE30" w14:textId="77777777" w:rsidR="007F2986" w:rsidRDefault="007F2986" w:rsidP="00CC2E43">
            <w:pPr>
              <w:pStyle w:val="TableParagraph"/>
              <w:jc w:val="both"/>
              <w:rPr>
                <w:rFonts w:ascii="Times New Roman" w:eastAsia="Times New Roman" w:hAnsi="Times New Roman" w:cs="Times New Roman"/>
                <w:lang w:val="hu-HU"/>
              </w:rPr>
            </w:pPr>
            <w:r>
              <w:rPr>
                <w:rFonts w:ascii="Times New Roman" w:eastAsia="Times New Roman" w:hAnsi="Times New Roman" w:cs="Times New Roman"/>
                <w:b/>
                <w:bCs/>
                <w:spacing w:val="-1"/>
                <w:lang w:val="hu-HU"/>
              </w:rPr>
              <w:t>Szervrendszerenkénti csoportosítás</w:t>
            </w: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vAlign w:val="center"/>
          </w:tcPr>
          <w:p w14:paraId="1DAD47A6" w14:textId="77777777" w:rsidR="007F2986" w:rsidRDefault="007F2986" w:rsidP="00CC2E43">
            <w:pPr>
              <w:pStyle w:val="TableParagraph"/>
              <w:jc w:val="both"/>
              <w:rPr>
                <w:rFonts w:ascii="Times New Roman" w:eastAsia="Times New Roman" w:hAnsi="Times New Roman" w:cs="Times New Roman"/>
                <w:lang w:val="hu-HU"/>
              </w:rPr>
            </w:pPr>
            <w:r>
              <w:rPr>
                <w:rFonts w:ascii="Times New Roman" w:eastAsia="Times New Roman" w:hAnsi="Times New Roman" w:cs="Times New Roman"/>
                <w:b/>
                <w:bCs/>
                <w:lang w:val="hu-HU"/>
              </w:rPr>
              <w:t>Gyakoriság</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vAlign w:val="center"/>
          </w:tcPr>
          <w:p w14:paraId="1BA2677A" w14:textId="77777777" w:rsidR="007F2986" w:rsidRDefault="007F2986" w:rsidP="00CC2E43">
            <w:pPr>
              <w:pStyle w:val="TableParagraph"/>
              <w:jc w:val="both"/>
              <w:rPr>
                <w:rFonts w:ascii="Times New Roman" w:eastAsia="Times New Roman" w:hAnsi="Times New Roman" w:cs="Times New Roman"/>
                <w:lang w:val="hu-HU"/>
              </w:rPr>
            </w:pPr>
            <w:r>
              <w:rPr>
                <w:rFonts w:ascii="Times New Roman" w:eastAsia="Times New Roman" w:hAnsi="Times New Roman" w:cs="Times New Roman"/>
                <w:b/>
                <w:bCs/>
                <w:spacing w:val="-1"/>
                <w:lang w:val="hu-HU"/>
              </w:rPr>
              <w:t>Mellékhatás</w:t>
            </w:r>
          </w:p>
        </w:tc>
      </w:tr>
      <w:tr w:rsidR="007F2986" w:rsidRPr="00BE4D18" w14:paraId="328EE54F" w14:textId="77777777" w:rsidTr="00AF1AD1">
        <w:tc>
          <w:tcPr>
            <w:tcW w:w="2599" w:type="dxa"/>
            <w:vMerge w:val="restart"/>
            <w:tcBorders>
              <w:top w:val="single" w:sz="5" w:space="0" w:color="000000"/>
              <w:left w:val="single" w:sz="5" w:space="0" w:color="000000"/>
              <w:right w:val="single" w:sz="5" w:space="0" w:color="000000"/>
            </w:tcBorders>
            <w:tcMar>
              <w:top w:w="57" w:type="dxa"/>
              <w:bottom w:w="57" w:type="dxa"/>
            </w:tcMar>
          </w:tcPr>
          <w:p w14:paraId="7F6A9B38" w14:textId="77777777" w:rsidR="007F2986" w:rsidRDefault="007F2986" w:rsidP="00CC2E43">
            <w:pPr>
              <w:pStyle w:val="TableParagraph"/>
              <w:ind w:left="102" w:right="155"/>
              <w:rPr>
                <w:rFonts w:ascii="Times New Roman" w:eastAsia="Times New Roman" w:hAnsi="Times New Roman" w:cs="Times New Roman"/>
                <w:lang w:val="hu-HU"/>
              </w:rPr>
            </w:pPr>
            <w:r>
              <w:rPr>
                <w:rFonts w:ascii="Times New Roman" w:eastAsia="Times New Roman" w:hAnsi="Times New Roman" w:cs="Times New Roman"/>
                <w:spacing w:val="-1"/>
                <w:lang w:val="hu-HU"/>
              </w:rPr>
              <w:t>Fertőző betegségek és parazitafertőzések*</w:t>
            </w: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37D1AD07"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Nagyon 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01E7BEC9"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Légúti fertőzések (beleértve az alsó- és a felső légúti fertőzéseket, pneumoniát, sinusitist, pharyngitist, nasopharyngitist és a herpes vírus okozta pneumoniát is)</w:t>
            </w:r>
          </w:p>
        </w:tc>
      </w:tr>
      <w:tr w:rsidR="007F2986" w:rsidRPr="00BE4D18" w14:paraId="4F208095" w14:textId="77777777" w:rsidTr="00AF1AD1">
        <w:tc>
          <w:tcPr>
            <w:tcW w:w="2599" w:type="dxa"/>
            <w:vMerge/>
            <w:tcBorders>
              <w:left w:val="single" w:sz="5" w:space="0" w:color="000000"/>
              <w:right w:val="single" w:sz="5" w:space="0" w:color="000000"/>
            </w:tcBorders>
            <w:tcMar>
              <w:top w:w="57" w:type="dxa"/>
              <w:bottom w:w="57" w:type="dxa"/>
            </w:tcMar>
          </w:tcPr>
          <w:p w14:paraId="2EFFDBB3"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89C1DE6"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0833B90E"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Szisztémás fertőzések (beleértve a sepsist, candidiasist és az influenzát is),</w:t>
            </w:r>
          </w:p>
          <w:p w14:paraId="434EFFEA"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bélfertőzések (beleértve a a vírusos gastroenteritist is),</w:t>
            </w:r>
          </w:p>
          <w:p w14:paraId="48BC85D4"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bőr- és lágyrészfertőzések (beleértve a paronychiát, cellulitist, impetigót, necrotisáló fasciitist és a herpes zostert is),</w:t>
            </w:r>
          </w:p>
          <w:p w14:paraId="0366FD59"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fülfertőzések,</w:t>
            </w:r>
          </w:p>
          <w:p w14:paraId="2111DEF4"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oralis fertőzések (beleértve a herpes simplexet, oralis herpest és a fogfertőzéseket is),</w:t>
            </w:r>
          </w:p>
          <w:p w14:paraId="45A30324" w14:textId="77777777" w:rsidR="007F2986" w:rsidRDefault="007F2986" w:rsidP="00CC2E43">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nemi szervek fertőzései (beleértve a vulvovaginalis mycoticus fertőzéseket is), </w:t>
            </w:r>
          </w:p>
          <w:p w14:paraId="19BC6761"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húgyúti fertőzések (beleértve a pyelonephritist is),</w:t>
            </w:r>
          </w:p>
          <w:p w14:paraId="6BD6ABE8"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 xml:space="preserve">gombás fertőzések, </w:t>
            </w:r>
          </w:p>
          <w:p w14:paraId="258DE1E9"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lastRenderedPageBreak/>
              <w:t>ízületi fertőzések</w:t>
            </w:r>
          </w:p>
        </w:tc>
      </w:tr>
      <w:tr w:rsidR="007F2986" w14:paraId="74D3F57F" w14:textId="77777777" w:rsidTr="00AF1AD1">
        <w:tc>
          <w:tcPr>
            <w:tcW w:w="2599" w:type="dxa"/>
            <w:vMerge/>
            <w:tcBorders>
              <w:left w:val="single" w:sz="5" w:space="0" w:color="000000"/>
              <w:bottom w:val="single" w:sz="5" w:space="0" w:color="000000"/>
              <w:right w:val="single" w:sz="5" w:space="0" w:color="000000"/>
            </w:tcBorders>
            <w:tcMar>
              <w:top w:w="57" w:type="dxa"/>
              <w:bottom w:w="57" w:type="dxa"/>
            </w:tcMar>
          </w:tcPr>
          <w:p w14:paraId="2CF1C546"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229CC8B"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898E097"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Neurológiai fertőzések (beleértve a vírusos </w:t>
            </w:r>
            <w:r>
              <w:rPr>
                <w:rFonts w:ascii="Times New Roman" w:eastAsia="Times New Roman" w:hAnsi="Times New Roman" w:cs="Times New Roman"/>
                <w:lang w:val="hu-HU"/>
              </w:rPr>
              <w:t>vírusos meningitist is),</w:t>
            </w:r>
          </w:p>
          <w:p w14:paraId="0BECD082"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opportunista fertőzések és tuberculosis (beleértve a coccidioidomycosist, histoplasmosist és a mycobacterium avium complex fertőzést is), bakteriális fertőzések,</w:t>
            </w:r>
          </w:p>
          <w:p w14:paraId="1707C1ED" w14:textId="77777777" w:rsidR="007F2986" w:rsidRDefault="007F2986" w:rsidP="00CC2E43">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szemfertőzések, </w:t>
            </w:r>
          </w:p>
          <w:p w14:paraId="1FA76B81"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diverticulitis</w:t>
            </w:r>
            <w:r>
              <w:rPr>
                <w:rFonts w:ascii="Times New Roman" w:eastAsia="Times New Roman" w:hAnsi="Times New Roman" w:cs="Times New Roman"/>
                <w:spacing w:val="-1"/>
                <w:vertAlign w:val="superscript"/>
                <w:lang w:val="hu-HU"/>
              </w:rPr>
              <w:t xml:space="preserve"> 1)</w:t>
            </w:r>
          </w:p>
        </w:tc>
      </w:tr>
      <w:tr w:rsidR="007F2986" w:rsidRPr="00BE4D18" w14:paraId="681200BC" w14:textId="77777777" w:rsidTr="00AF1AD1">
        <w:tc>
          <w:tcPr>
            <w:tcW w:w="2599" w:type="dxa"/>
            <w:vMerge w:val="restart"/>
            <w:tcBorders>
              <w:top w:val="single" w:sz="5" w:space="0" w:color="000000"/>
              <w:left w:val="single" w:sz="5" w:space="0" w:color="000000"/>
              <w:right w:val="single" w:sz="5" w:space="0" w:color="000000"/>
            </w:tcBorders>
            <w:tcMar>
              <w:top w:w="57" w:type="dxa"/>
              <w:bottom w:w="57" w:type="dxa"/>
            </w:tcMar>
          </w:tcPr>
          <w:p w14:paraId="027E0DD7" w14:textId="77777777" w:rsidR="007F2986" w:rsidRDefault="007F2986" w:rsidP="00CC2E43">
            <w:pPr>
              <w:pStyle w:val="TableParagraph"/>
              <w:ind w:left="102" w:right="11"/>
              <w:rPr>
                <w:rFonts w:ascii="Times New Roman" w:eastAsia="Times New Roman" w:hAnsi="Times New Roman" w:cs="Times New Roman"/>
                <w:lang w:val="hu-HU"/>
              </w:rPr>
            </w:pPr>
            <w:r>
              <w:rPr>
                <w:rFonts w:ascii="Times New Roman" w:eastAsia="Times New Roman" w:hAnsi="Times New Roman" w:cs="Times New Roman"/>
                <w:spacing w:val="-1"/>
                <w:lang w:val="hu-HU"/>
              </w:rPr>
              <w:t>Jó -, rosszindulatú és nem meghatározott daganatok (beleértve a cisztákat és polipokat is)*</w:t>
            </w: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38E59898"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B1BCE7E" w14:textId="77777777" w:rsidR="007F2986" w:rsidRDefault="007F2986" w:rsidP="00CC2E43">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Bőrrák, </w:t>
            </w:r>
          </w:p>
          <w:p w14:paraId="54CDAF5C"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kivéve a melanomát (beleértve a basalsejtes carcinomát és a planocellularis carcinomát is),</w:t>
            </w:r>
          </w:p>
          <w:p w14:paraId="71CD325D"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jóindulatú neoplasia</w:t>
            </w:r>
          </w:p>
        </w:tc>
      </w:tr>
      <w:tr w:rsidR="007F2986" w14:paraId="31A1B3B7" w14:textId="77777777" w:rsidTr="00AF1AD1">
        <w:tc>
          <w:tcPr>
            <w:tcW w:w="2599" w:type="dxa"/>
            <w:vMerge/>
            <w:tcBorders>
              <w:left w:val="single" w:sz="5" w:space="0" w:color="000000"/>
              <w:right w:val="single" w:sz="5" w:space="0" w:color="000000"/>
            </w:tcBorders>
            <w:tcMar>
              <w:top w:w="57" w:type="dxa"/>
              <w:bottom w:w="57" w:type="dxa"/>
            </w:tcMar>
          </w:tcPr>
          <w:p w14:paraId="15B31C51"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1352181C"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F73A4FD"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Lymphoma**,</w:t>
            </w:r>
          </w:p>
          <w:p w14:paraId="228D6E4E"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solid szervek daganatai (beleértve az emlőrákot, a tüdődaganatot és a pajzsmirigy-daganatot is), </w:t>
            </w:r>
          </w:p>
          <w:p w14:paraId="26CD6B7F"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melanoma**</w:t>
            </w:r>
          </w:p>
        </w:tc>
      </w:tr>
      <w:tr w:rsidR="007F2986" w14:paraId="3112887D" w14:textId="77777777" w:rsidTr="00AF1AD1">
        <w:tc>
          <w:tcPr>
            <w:tcW w:w="2599" w:type="dxa"/>
            <w:vMerge/>
            <w:tcBorders>
              <w:left w:val="single" w:sz="5" w:space="0" w:color="000000"/>
              <w:right w:val="single" w:sz="5" w:space="0" w:color="000000"/>
            </w:tcBorders>
            <w:tcMar>
              <w:top w:w="57" w:type="dxa"/>
              <w:bottom w:w="57" w:type="dxa"/>
            </w:tcMar>
          </w:tcPr>
          <w:p w14:paraId="23783F63"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7246C84"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B63DC98"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Leukaemia</w:t>
            </w:r>
            <w:r>
              <w:rPr>
                <w:rFonts w:ascii="Times New Roman" w:eastAsia="Times New Roman" w:hAnsi="Times New Roman" w:cs="Times New Roman"/>
                <w:spacing w:val="-1"/>
                <w:vertAlign w:val="superscript"/>
                <w:lang w:val="hu-HU"/>
              </w:rPr>
              <w:t>1)</w:t>
            </w:r>
          </w:p>
        </w:tc>
      </w:tr>
      <w:tr w:rsidR="007F2986" w14:paraId="721DF507" w14:textId="77777777" w:rsidTr="00AF1AD1">
        <w:tc>
          <w:tcPr>
            <w:tcW w:w="2599" w:type="dxa"/>
            <w:vMerge/>
            <w:tcBorders>
              <w:left w:val="single" w:sz="5" w:space="0" w:color="000000"/>
              <w:bottom w:val="single" w:sz="5" w:space="0" w:color="000000"/>
              <w:right w:val="single" w:sz="5" w:space="0" w:color="000000"/>
            </w:tcBorders>
            <w:tcMar>
              <w:top w:w="57" w:type="dxa"/>
              <w:bottom w:w="57" w:type="dxa"/>
            </w:tcMar>
          </w:tcPr>
          <w:p w14:paraId="2F0AF203"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1F32552"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ismert</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77EB9885" w14:textId="77777777" w:rsidR="007F2986" w:rsidRDefault="007F2986" w:rsidP="00CC2E43">
            <w:pPr>
              <w:pStyle w:val="TableParagraph"/>
              <w:ind w:left="96"/>
              <w:rPr>
                <w:rFonts w:ascii="Times New Roman" w:eastAsia="Times New Roman" w:hAnsi="Times New Roman" w:cs="Times New Roman"/>
                <w:w w:val="99"/>
                <w:position w:val="8"/>
                <w:lang w:val="hu-HU"/>
              </w:rPr>
            </w:pPr>
            <w:r>
              <w:rPr>
                <w:rFonts w:ascii="Times New Roman" w:eastAsia="Times New Roman" w:hAnsi="Times New Roman" w:cs="Times New Roman"/>
                <w:spacing w:val="-1"/>
                <w:lang w:val="hu-HU"/>
              </w:rPr>
              <w:t>Hepatosplenicus T-sejtes lymphoma</w:t>
            </w:r>
            <w:r>
              <w:rPr>
                <w:rFonts w:ascii="Times New Roman" w:eastAsia="Times New Roman" w:hAnsi="Times New Roman" w:cs="Times New Roman"/>
                <w:spacing w:val="-1"/>
                <w:vertAlign w:val="superscript"/>
                <w:lang w:val="hu-HU"/>
              </w:rPr>
              <w:t>1)</w:t>
            </w:r>
            <w:r>
              <w:rPr>
                <w:rFonts w:ascii="Times New Roman" w:eastAsia="Times New Roman" w:hAnsi="Times New Roman" w:cs="Times New Roman"/>
                <w:spacing w:val="-1"/>
                <w:lang w:val="hu-HU"/>
              </w:rPr>
              <w:t>,</w:t>
            </w:r>
          </w:p>
          <w:p w14:paraId="24472F70" w14:textId="77777777" w:rsidR="007F2986" w:rsidRDefault="007F2986" w:rsidP="00CC2E43">
            <w:pPr>
              <w:pStyle w:val="TableParagraph"/>
              <w:ind w:left="96"/>
              <w:rPr>
                <w:rFonts w:ascii="Times New Roman" w:eastAsia="Times New Roman" w:hAnsi="Times New Roman" w:cs="Times New Roman"/>
                <w:w w:val="99"/>
                <w:position w:val="8"/>
                <w:lang w:val="hu-HU"/>
              </w:rPr>
            </w:pPr>
            <w:r>
              <w:rPr>
                <w:rFonts w:ascii="Times New Roman" w:eastAsia="Times New Roman" w:hAnsi="Times New Roman" w:cs="Times New Roman"/>
                <w:spacing w:val="-1"/>
                <w:lang w:val="hu-HU"/>
              </w:rPr>
              <w:t>Merkel-sejtes karcinóma (a bőr neuroendokrin daganata)</w:t>
            </w:r>
            <w:r>
              <w:rPr>
                <w:rFonts w:ascii="Times New Roman" w:eastAsia="Times New Roman" w:hAnsi="Times New Roman" w:cs="Times New Roman"/>
                <w:spacing w:val="-1"/>
                <w:vertAlign w:val="superscript"/>
                <w:lang w:val="hu-HU"/>
              </w:rPr>
              <w:t xml:space="preserve"> 1)</w:t>
            </w:r>
            <w:r>
              <w:rPr>
                <w:rFonts w:ascii="Times New Roman" w:eastAsia="Times New Roman" w:hAnsi="Times New Roman" w:cs="Times New Roman"/>
                <w:spacing w:val="-1"/>
                <w:lang w:val="hu-HU"/>
              </w:rPr>
              <w:t>,</w:t>
            </w:r>
          </w:p>
          <w:p w14:paraId="59F39EBF" w14:textId="77777777" w:rsidR="007F2986" w:rsidRDefault="007F2986" w:rsidP="00CC2E43">
            <w:pPr>
              <w:pStyle w:val="TableParagraph"/>
              <w:ind w:left="96"/>
              <w:rPr>
                <w:rFonts w:ascii="Times New Roman" w:eastAsia="Times New Roman" w:hAnsi="Times New Roman" w:cs="Times New Roman"/>
                <w:lang w:val="hu-HU"/>
              </w:rPr>
            </w:pPr>
            <w:r>
              <w:rPr>
                <w:rFonts w:ascii="Times New Roman" w:eastAsia="Times New Roman" w:hAnsi="Times New Roman" w:cs="Times New Roman"/>
                <w:spacing w:val="-1"/>
                <w:lang w:val="hu-HU"/>
              </w:rPr>
              <w:t>Kaposi-sarcoma</w:t>
            </w:r>
          </w:p>
        </w:tc>
      </w:tr>
      <w:tr w:rsidR="007F2986" w14:paraId="395AAFF6" w14:textId="77777777" w:rsidTr="00AF1AD1">
        <w:tc>
          <w:tcPr>
            <w:tcW w:w="2599" w:type="dxa"/>
            <w:vMerge w:val="restart"/>
            <w:tcBorders>
              <w:top w:val="single" w:sz="5" w:space="0" w:color="000000"/>
              <w:left w:val="single" w:sz="5" w:space="0" w:color="000000"/>
              <w:right w:val="single" w:sz="5" w:space="0" w:color="000000"/>
            </w:tcBorders>
            <w:tcMar>
              <w:top w:w="57" w:type="dxa"/>
              <w:bottom w:w="57" w:type="dxa"/>
            </w:tcMar>
          </w:tcPr>
          <w:p w14:paraId="024E001D"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Vérképzőszervi és nyirokrendszeri betegségek és tünetek*</w:t>
            </w: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056701AD"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Nagyon 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BB7F29C"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Leukopénia (beleértve a neutropéniát és az agranulocitózist is),</w:t>
            </w:r>
          </w:p>
          <w:p w14:paraId="3AE33450"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anaemia</w:t>
            </w:r>
          </w:p>
        </w:tc>
      </w:tr>
      <w:tr w:rsidR="007F2986" w:rsidRPr="004E2591" w14:paraId="7D523842" w14:textId="77777777" w:rsidTr="00AF1AD1">
        <w:tc>
          <w:tcPr>
            <w:tcW w:w="2599" w:type="dxa"/>
            <w:vMerge/>
            <w:tcBorders>
              <w:left w:val="single" w:sz="5" w:space="0" w:color="000000"/>
              <w:right w:val="single" w:sz="5" w:space="0" w:color="000000"/>
            </w:tcBorders>
            <w:tcMar>
              <w:top w:w="57" w:type="dxa"/>
              <w:bottom w:w="57" w:type="dxa"/>
            </w:tcMar>
          </w:tcPr>
          <w:p w14:paraId="671D5478"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B3E7335"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5D69C82"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Leucocytosis,</w:t>
            </w:r>
          </w:p>
          <w:p w14:paraId="253F0291"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thrombocytopenia</w:t>
            </w:r>
          </w:p>
        </w:tc>
      </w:tr>
      <w:tr w:rsidR="007F2986" w:rsidRPr="004E2591" w14:paraId="3E4A11C3" w14:textId="77777777" w:rsidTr="00AF1AD1">
        <w:tc>
          <w:tcPr>
            <w:tcW w:w="2599" w:type="dxa"/>
            <w:vMerge/>
            <w:tcBorders>
              <w:left w:val="single" w:sz="5" w:space="0" w:color="000000"/>
              <w:right w:val="single" w:sz="5" w:space="0" w:color="000000"/>
            </w:tcBorders>
            <w:tcMar>
              <w:top w:w="57" w:type="dxa"/>
              <w:bottom w:w="57" w:type="dxa"/>
            </w:tcMar>
          </w:tcPr>
          <w:p w14:paraId="56453609"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3836CD10"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965B7D4"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4"/>
                <w:lang w:val="hu-HU"/>
              </w:rPr>
              <w:t>Idiopathás thrombocytopeniás purpura</w:t>
            </w:r>
          </w:p>
        </w:tc>
      </w:tr>
      <w:tr w:rsidR="007F2986" w:rsidRPr="004E2591" w14:paraId="303FABA4" w14:textId="77777777" w:rsidTr="00AF1AD1">
        <w:tc>
          <w:tcPr>
            <w:tcW w:w="2599" w:type="dxa"/>
            <w:vMerge/>
            <w:tcBorders>
              <w:left w:val="single" w:sz="5" w:space="0" w:color="000000"/>
              <w:bottom w:val="single" w:sz="5" w:space="0" w:color="000000"/>
              <w:right w:val="single" w:sz="5" w:space="0" w:color="000000"/>
            </w:tcBorders>
            <w:tcMar>
              <w:top w:w="57" w:type="dxa"/>
              <w:bottom w:w="57" w:type="dxa"/>
            </w:tcMar>
          </w:tcPr>
          <w:p w14:paraId="3A984633"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7EC9DCA1"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121FEFB"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Pancytopenia</w:t>
            </w:r>
          </w:p>
        </w:tc>
      </w:tr>
      <w:tr w:rsidR="007F2986" w14:paraId="3A95B944" w14:textId="77777777" w:rsidTr="00AF1AD1">
        <w:tc>
          <w:tcPr>
            <w:tcW w:w="2599" w:type="dxa"/>
            <w:vMerge w:val="restart"/>
            <w:tcBorders>
              <w:top w:val="single" w:sz="5" w:space="0" w:color="000000"/>
              <w:left w:val="single" w:sz="5" w:space="0" w:color="000000"/>
              <w:right w:val="single" w:sz="5" w:space="0" w:color="000000"/>
            </w:tcBorders>
            <w:tcMar>
              <w:top w:w="57" w:type="dxa"/>
              <w:bottom w:w="57" w:type="dxa"/>
            </w:tcMar>
          </w:tcPr>
          <w:p w14:paraId="15A87EDC"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Immunrendszeri betegségek és tünetek*</w:t>
            </w: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7C176DF3"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9E1EDAD"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Hypersensitivitás,</w:t>
            </w:r>
          </w:p>
          <w:p w14:paraId="5B67DCFD"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allergiák (beleértve a szezonális allergiát is)</w:t>
            </w:r>
          </w:p>
        </w:tc>
      </w:tr>
      <w:tr w:rsidR="007F2986" w14:paraId="263EBABF" w14:textId="77777777" w:rsidTr="00AF1AD1">
        <w:tc>
          <w:tcPr>
            <w:tcW w:w="2599" w:type="dxa"/>
            <w:vMerge/>
            <w:tcBorders>
              <w:left w:val="single" w:sz="5" w:space="0" w:color="000000"/>
              <w:right w:val="single" w:sz="5" w:space="0" w:color="000000"/>
            </w:tcBorders>
            <w:tcMar>
              <w:top w:w="57" w:type="dxa"/>
              <w:bottom w:w="57" w:type="dxa"/>
            </w:tcMar>
          </w:tcPr>
          <w:p w14:paraId="1CF13A00"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D4AD2BC"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A837419" w14:textId="77777777" w:rsidR="007F2986" w:rsidRDefault="007F2986" w:rsidP="00CC2E43">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Sarcoidosis</w:t>
            </w:r>
            <w:r>
              <w:rPr>
                <w:rFonts w:ascii="Times New Roman" w:eastAsia="Times New Roman" w:hAnsi="Times New Roman" w:cs="Times New Roman"/>
                <w:spacing w:val="-1"/>
                <w:vertAlign w:val="superscript"/>
                <w:lang w:val="hu-HU"/>
              </w:rPr>
              <w:t>1)</w:t>
            </w:r>
            <w:r>
              <w:rPr>
                <w:rFonts w:ascii="Times New Roman" w:eastAsia="Times New Roman" w:hAnsi="Times New Roman" w:cs="Times New Roman"/>
                <w:spacing w:val="-1"/>
                <w:lang w:val="hu-HU"/>
              </w:rPr>
              <w:t xml:space="preserve">, </w:t>
            </w:r>
          </w:p>
          <w:p w14:paraId="5009E262"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vasculitis</w:t>
            </w:r>
          </w:p>
        </w:tc>
      </w:tr>
      <w:tr w:rsidR="007F2986" w14:paraId="593FD8B5" w14:textId="77777777" w:rsidTr="00AF1AD1">
        <w:tc>
          <w:tcPr>
            <w:tcW w:w="2599" w:type="dxa"/>
            <w:vMerge/>
            <w:tcBorders>
              <w:left w:val="single" w:sz="5" w:space="0" w:color="000000"/>
              <w:bottom w:val="single" w:sz="5" w:space="0" w:color="000000"/>
              <w:right w:val="single" w:sz="5" w:space="0" w:color="000000"/>
            </w:tcBorders>
            <w:tcMar>
              <w:top w:w="57" w:type="dxa"/>
              <w:bottom w:w="57" w:type="dxa"/>
            </w:tcMar>
          </w:tcPr>
          <w:p w14:paraId="4F8EEF80"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3986F198"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08EF23DF"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Anaphylaxia</w:t>
            </w:r>
            <w:r>
              <w:rPr>
                <w:rFonts w:ascii="Times New Roman" w:eastAsia="Times New Roman" w:hAnsi="Times New Roman" w:cs="Times New Roman"/>
                <w:spacing w:val="-1"/>
                <w:vertAlign w:val="superscript"/>
                <w:lang w:val="hu-HU"/>
              </w:rPr>
              <w:t>1)</w:t>
            </w:r>
          </w:p>
        </w:tc>
      </w:tr>
      <w:tr w:rsidR="007F2986" w14:paraId="6F7B1D14" w14:textId="77777777" w:rsidTr="00AF1AD1">
        <w:tc>
          <w:tcPr>
            <w:tcW w:w="2599" w:type="dxa"/>
            <w:vMerge w:val="restart"/>
            <w:tcBorders>
              <w:top w:val="single" w:sz="5" w:space="0" w:color="000000"/>
              <w:left w:val="single" w:sz="5" w:space="0" w:color="000000"/>
              <w:right w:val="single" w:sz="5" w:space="0" w:color="000000"/>
            </w:tcBorders>
            <w:tcMar>
              <w:top w:w="57" w:type="dxa"/>
              <w:bottom w:w="57" w:type="dxa"/>
            </w:tcMar>
          </w:tcPr>
          <w:p w14:paraId="01698886"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Anyagcsere és táplálkozási betegségek és tünetek:</w:t>
            </w: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8A73E51"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Nagyon 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30E87C3"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Emelkedett lipidszint</w:t>
            </w:r>
          </w:p>
        </w:tc>
      </w:tr>
      <w:tr w:rsidR="007F2986" w:rsidRPr="00BE4D18" w14:paraId="6BBDA4C0" w14:textId="77777777" w:rsidTr="00AF1AD1">
        <w:tc>
          <w:tcPr>
            <w:tcW w:w="2599" w:type="dxa"/>
            <w:vMerge/>
            <w:tcBorders>
              <w:left w:val="single" w:sz="5" w:space="0" w:color="000000"/>
              <w:bottom w:val="single" w:sz="5" w:space="0" w:color="000000"/>
              <w:right w:val="single" w:sz="5" w:space="0" w:color="000000"/>
            </w:tcBorders>
            <w:tcMar>
              <w:top w:w="57" w:type="dxa"/>
              <w:bottom w:w="57" w:type="dxa"/>
            </w:tcMar>
          </w:tcPr>
          <w:p w14:paraId="61176EEA"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B070184"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36D1FE1E"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Hypokalaemia,</w:t>
            </w:r>
          </w:p>
          <w:p w14:paraId="310EA495" w14:textId="77777777" w:rsidR="007F2986" w:rsidRDefault="007F2986" w:rsidP="00CC2E43">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emelkedett húgysavszint, </w:t>
            </w:r>
          </w:p>
          <w:p w14:paraId="19CCC03F" w14:textId="77777777" w:rsidR="007F2986" w:rsidRDefault="007F2986" w:rsidP="00CC2E43">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kóros nátriumszint a vérben, </w:t>
            </w:r>
          </w:p>
          <w:p w14:paraId="5EF7FBBD" w14:textId="77777777" w:rsidR="007F2986" w:rsidRDefault="007F2986" w:rsidP="00CC2E43">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hypocalcaemia, </w:t>
            </w:r>
          </w:p>
          <w:p w14:paraId="6A816D1B" w14:textId="77777777" w:rsidR="007F2986" w:rsidRDefault="007F2986" w:rsidP="00CC2E43">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hyperglykaemia, </w:t>
            </w:r>
          </w:p>
          <w:p w14:paraId="024390C9" w14:textId="77777777" w:rsidR="007F2986" w:rsidRDefault="007F2986" w:rsidP="00CC2E43">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hypophosphataemia, </w:t>
            </w:r>
          </w:p>
          <w:p w14:paraId="751618AD"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dehydratio</w:t>
            </w:r>
          </w:p>
        </w:tc>
      </w:tr>
      <w:tr w:rsidR="007F2986" w14:paraId="318ED8F9" w14:textId="77777777" w:rsidTr="00AF1AD1">
        <w:tc>
          <w:tcPr>
            <w:tcW w:w="259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5664CEA"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Pszichiátriai kórképek</w:t>
            </w: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0A18DE4"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70CD3858"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Hangulatváltozás (beleértve a depressziót is), szorongás,</w:t>
            </w:r>
          </w:p>
          <w:p w14:paraId="0BF783FB"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insomnia</w:t>
            </w:r>
          </w:p>
        </w:tc>
      </w:tr>
      <w:tr w:rsidR="007F2986" w14:paraId="23AF8A59" w14:textId="77777777" w:rsidTr="00AF1AD1">
        <w:tc>
          <w:tcPr>
            <w:tcW w:w="2599" w:type="dxa"/>
            <w:vMerge w:val="restart"/>
            <w:tcBorders>
              <w:top w:val="single" w:sz="5" w:space="0" w:color="000000"/>
              <w:left w:val="single" w:sz="5" w:space="0" w:color="000000"/>
              <w:right w:val="single" w:sz="5" w:space="0" w:color="000000"/>
            </w:tcBorders>
            <w:tcMar>
              <w:top w:w="57" w:type="dxa"/>
              <w:bottom w:w="57" w:type="dxa"/>
            </w:tcMar>
          </w:tcPr>
          <w:p w14:paraId="5026A96A"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Idegrendszeri betegségek és </w:t>
            </w:r>
            <w:r>
              <w:rPr>
                <w:rFonts w:ascii="Times New Roman" w:eastAsia="Times New Roman" w:hAnsi="Times New Roman" w:cs="Times New Roman"/>
                <w:spacing w:val="-1"/>
                <w:lang w:val="hu-HU"/>
              </w:rPr>
              <w:lastRenderedPageBreak/>
              <w:t>tünetek</w:t>
            </w: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763E22FE"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lastRenderedPageBreak/>
              <w:t>Nagyon 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8D16229"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Fejfájás</w:t>
            </w:r>
          </w:p>
        </w:tc>
      </w:tr>
      <w:tr w:rsidR="007F2986" w14:paraId="1A2C3D18" w14:textId="77777777" w:rsidTr="00AF1AD1">
        <w:tc>
          <w:tcPr>
            <w:tcW w:w="2599" w:type="dxa"/>
            <w:vMerge/>
            <w:tcBorders>
              <w:left w:val="single" w:sz="5" w:space="0" w:color="000000"/>
              <w:right w:val="single" w:sz="5" w:space="0" w:color="000000"/>
            </w:tcBorders>
            <w:tcMar>
              <w:top w:w="57" w:type="dxa"/>
              <w:bottom w:w="57" w:type="dxa"/>
            </w:tcMar>
          </w:tcPr>
          <w:p w14:paraId="205B4ECD"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9EAD979"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71A5F057"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Paraesthesiák (beleértve a hypaesthesiát is), migrén,</w:t>
            </w:r>
          </w:p>
          <w:p w14:paraId="06021D57"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ideggyök-kompresszió</w:t>
            </w:r>
          </w:p>
        </w:tc>
      </w:tr>
      <w:tr w:rsidR="007F2986" w14:paraId="2326E5AD" w14:textId="77777777" w:rsidTr="00AF1AD1">
        <w:tc>
          <w:tcPr>
            <w:tcW w:w="2599" w:type="dxa"/>
            <w:vMerge/>
            <w:tcBorders>
              <w:left w:val="single" w:sz="5" w:space="0" w:color="000000"/>
              <w:right w:val="single" w:sz="5" w:space="0" w:color="000000"/>
            </w:tcBorders>
            <w:tcMar>
              <w:top w:w="57" w:type="dxa"/>
              <w:bottom w:w="57" w:type="dxa"/>
            </w:tcMar>
          </w:tcPr>
          <w:p w14:paraId="2E3074D2"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13FE717C"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35469AE"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Cerebrovascularis történés</w:t>
            </w:r>
            <w:r>
              <w:rPr>
                <w:rFonts w:ascii="Times New Roman" w:eastAsia="Times New Roman" w:hAnsi="Times New Roman" w:cs="Times New Roman"/>
                <w:spacing w:val="-1"/>
                <w:vertAlign w:val="superscript"/>
                <w:lang w:val="hu-HU"/>
              </w:rPr>
              <w:t>1)</w:t>
            </w:r>
            <w:r>
              <w:rPr>
                <w:rFonts w:ascii="Times New Roman" w:eastAsia="Times New Roman" w:hAnsi="Times New Roman" w:cs="Times New Roman"/>
                <w:spacing w:val="-1"/>
                <w:lang w:val="hu-HU"/>
              </w:rPr>
              <w:t>,</w:t>
            </w:r>
          </w:p>
          <w:p w14:paraId="7867048F"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remegés, neuropathia</w:t>
            </w:r>
          </w:p>
        </w:tc>
      </w:tr>
      <w:tr w:rsidR="007F2986" w:rsidRPr="00BE4D18" w14:paraId="6BF9EE73" w14:textId="77777777" w:rsidTr="00AF1AD1">
        <w:tc>
          <w:tcPr>
            <w:tcW w:w="2599" w:type="dxa"/>
            <w:vMerge/>
            <w:tcBorders>
              <w:left w:val="single" w:sz="5" w:space="0" w:color="000000"/>
              <w:bottom w:val="single" w:sz="5" w:space="0" w:color="000000"/>
              <w:right w:val="single" w:sz="5" w:space="0" w:color="000000"/>
            </w:tcBorders>
            <w:tcMar>
              <w:top w:w="57" w:type="dxa"/>
              <w:bottom w:w="57" w:type="dxa"/>
            </w:tcMar>
          </w:tcPr>
          <w:p w14:paraId="2645DDEA"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15F1919"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1852ABAD"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Sclerosis multiplex</w:t>
            </w:r>
          </w:p>
          <w:p w14:paraId="3690CC49"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demyelinisatiós betegségek (például neuritis nervi optici, Guillain–Barré-szindróma</w:t>
            </w:r>
            <w:r>
              <w:rPr>
                <w:rFonts w:ascii="Times New Roman" w:eastAsia="Times New Roman" w:hAnsi="Times New Roman" w:cs="Times New Roman"/>
                <w:spacing w:val="-1"/>
                <w:vertAlign w:val="superscript"/>
                <w:lang w:val="hu-HU"/>
              </w:rPr>
              <w:t xml:space="preserve"> 1)</w:t>
            </w:r>
          </w:p>
        </w:tc>
      </w:tr>
      <w:tr w:rsidR="007F2986" w:rsidRPr="00F70E6D" w14:paraId="7F90C7D4" w14:textId="77777777" w:rsidTr="00AF1AD1">
        <w:tc>
          <w:tcPr>
            <w:tcW w:w="2599" w:type="dxa"/>
            <w:vMerge w:val="restart"/>
            <w:tcBorders>
              <w:top w:val="single" w:sz="5" w:space="0" w:color="000000"/>
              <w:left w:val="single" w:sz="5" w:space="0" w:color="000000"/>
              <w:right w:val="single" w:sz="5" w:space="0" w:color="000000"/>
            </w:tcBorders>
            <w:tcMar>
              <w:top w:w="57" w:type="dxa"/>
              <w:bottom w:w="57" w:type="dxa"/>
            </w:tcMar>
          </w:tcPr>
          <w:p w14:paraId="6E3D9B20"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Szembetegségek és szemészeti tünetek</w:t>
            </w: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C750373"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012311D" w14:textId="77777777" w:rsidR="007F2986" w:rsidRDefault="007F2986" w:rsidP="00CC2E43">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Látásromlás, </w:t>
            </w:r>
          </w:p>
          <w:p w14:paraId="14F2F350" w14:textId="77777777" w:rsidR="007F2986" w:rsidRDefault="007F2986" w:rsidP="00CC2E43">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conjunctivitis, </w:t>
            </w:r>
          </w:p>
          <w:p w14:paraId="476D0C5E"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blepharitis, </w:t>
            </w:r>
          </w:p>
          <w:p w14:paraId="3D8056DA"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szemkörnyéki duzzanat</w:t>
            </w:r>
          </w:p>
        </w:tc>
      </w:tr>
      <w:tr w:rsidR="007F2986" w14:paraId="4661B350" w14:textId="77777777" w:rsidTr="00AF1AD1">
        <w:tc>
          <w:tcPr>
            <w:tcW w:w="2599" w:type="dxa"/>
            <w:vMerge/>
            <w:tcBorders>
              <w:left w:val="single" w:sz="5" w:space="0" w:color="000000"/>
              <w:bottom w:val="single" w:sz="5" w:space="0" w:color="000000"/>
              <w:right w:val="single" w:sz="5" w:space="0" w:color="000000"/>
            </w:tcBorders>
            <w:tcMar>
              <w:top w:w="57" w:type="dxa"/>
              <w:bottom w:w="57" w:type="dxa"/>
            </w:tcMar>
          </w:tcPr>
          <w:p w14:paraId="704EF9A9"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0CCCD18"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BE4DF91"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Diplopia</w:t>
            </w:r>
          </w:p>
        </w:tc>
      </w:tr>
      <w:tr w:rsidR="007F2986" w14:paraId="0E27DBC5" w14:textId="77777777" w:rsidTr="00AF1AD1">
        <w:tc>
          <w:tcPr>
            <w:tcW w:w="2599" w:type="dxa"/>
            <w:vMerge w:val="restart"/>
            <w:tcBorders>
              <w:top w:val="single" w:sz="5" w:space="0" w:color="000000"/>
              <w:left w:val="single" w:sz="5" w:space="0" w:color="000000"/>
              <w:right w:val="single" w:sz="5" w:space="0" w:color="000000"/>
            </w:tcBorders>
            <w:tcMar>
              <w:top w:w="57" w:type="dxa"/>
              <w:bottom w:w="57" w:type="dxa"/>
            </w:tcMar>
          </w:tcPr>
          <w:p w14:paraId="2D28E4CC" w14:textId="77777777" w:rsidR="007F2986" w:rsidRDefault="007F2986" w:rsidP="00CC2E43">
            <w:pPr>
              <w:pStyle w:val="TableParagraph"/>
              <w:ind w:left="102" w:right="196"/>
              <w:rPr>
                <w:rFonts w:ascii="Times New Roman" w:eastAsia="Times New Roman" w:hAnsi="Times New Roman" w:cs="Times New Roman"/>
                <w:lang w:val="hu-HU"/>
              </w:rPr>
            </w:pPr>
            <w:r>
              <w:rPr>
                <w:rFonts w:ascii="Times New Roman" w:eastAsia="Times New Roman" w:hAnsi="Times New Roman" w:cs="Times New Roman"/>
                <w:spacing w:val="-1"/>
                <w:lang w:val="hu-HU"/>
              </w:rPr>
              <w:t>A fül és az egyensúly- érzékelő szerv betegségei és tünetei</w:t>
            </w: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14DE2CB2"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A656030"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Vertigo</w:t>
            </w:r>
          </w:p>
        </w:tc>
      </w:tr>
      <w:tr w:rsidR="007F2986" w14:paraId="2FAAD01A" w14:textId="77777777" w:rsidTr="00AF1AD1">
        <w:tc>
          <w:tcPr>
            <w:tcW w:w="2599" w:type="dxa"/>
            <w:vMerge/>
            <w:tcBorders>
              <w:left w:val="single" w:sz="5" w:space="0" w:color="000000"/>
              <w:bottom w:val="single" w:sz="5" w:space="0" w:color="000000"/>
              <w:right w:val="single" w:sz="5" w:space="0" w:color="000000"/>
            </w:tcBorders>
            <w:tcMar>
              <w:top w:w="57" w:type="dxa"/>
              <w:bottom w:w="57" w:type="dxa"/>
            </w:tcMar>
          </w:tcPr>
          <w:p w14:paraId="2A26CF3D"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DE91341"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1947203"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Süketség,</w:t>
            </w:r>
          </w:p>
          <w:p w14:paraId="16E6CF49"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tinnitus</w:t>
            </w:r>
          </w:p>
        </w:tc>
      </w:tr>
      <w:tr w:rsidR="007F2986" w14:paraId="2CE107EF" w14:textId="77777777" w:rsidTr="00AF1AD1">
        <w:tc>
          <w:tcPr>
            <w:tcW w:w="2599" w:type="dxa"/>
            <w:vMerge w:val="restart"/>
            <w:tcBorders>
              <w:top w:val="single" w:sz="5" w:space="0" w:color="000000"/>
              <w:left w:val="single" w:sz="5" w:space="0" w:color="000000"/>
              <w:right w:val="single" w:sz="5" w:space="0" w:color="000000"/>
            </w:tcBorders>
            <w:tcMar>
              <w:top w:w="57" w:type="dxa"/>
              <w:bottom w:w="57" w:type="dxa"/>
            </w:tcMar>
          </w:tcPr>
          <w:p w14:paraId="46FE5235"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Szívbetegségek és a szívvel kapcsolatos tünetek*</w:t>
            </w: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5A49026"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353AD3ED"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Tachycardia</w:t>
            </w:r>
          </w:p>
        </w:tc>
      </w:tr>
      <w:tr w:rsidR="007F2986" w:rsidRPr="00BE4D18" w14:paraId="44683B73" w14:textId="77777777" w:rsidTr="00AF1AD1">
        <w:tc>
          <w:tcPr>
            <w:tcW w:w="2599" w:type="dxa"/>
            <w:vMerge/>
            <w:tcBorders>
              <w:left w:val="single" w:sz="5" w:space="0" w:color="000000"/>
              <w:right w:val="single" w:sz="5" w:space="0" w:color="000000"/>
            </w:tcBorders>
            <w:tcMar>
              <w:top w:w="57" w:type="dxa"/>
              <w:bottom w:w="57" w:type="dxa"/>
            </w:tcMar>
          </w:tcPr>
          <w:p w14:paraId="4FFA37B0"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right w:val="single" w:sz="5" w:space="0" w:color="000000"/>
            </w:tcBorders>
            <w:tcMar>
              <w:top w:w="57" w:type="dxa"/>
              <w:bottom w:w="57" w:type="dxa"/>
            </w:tcMar>
          </w:tcPr>
          <w:p w14:paraId="4D3728F0"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right w:val="single" w:sz="5" w:space="0" w:color="000000"/>
            </w:tcBorders>
            <w:tcMar>
              <w:top w:w="57" w:type="dxa"/>
              <w:bottom w:w="57" w:type="dxa"/>
            </w:tcMar>
          </w:tcPr>
          <w:p w14:paraId="582A5C66" w14:textId="77777777" w:rsidR="007F2986" w:rsidRDefault="007F2986" w:rsidP="00CC2E43">
            <w:pPr>
              <w:pStyle w:val="TableParagraph"/>
              <w:ind w:left="99" w:right="1400"/>
              <w:rPr>
                <w:rFonts w:ascii="Times New Roman" w:eastAsia="Times New Roman" w:hAnsi="Times New Roman" w:cs="Times New Roman"/>
                <w:lang w:val="hu-HU"/>
              </w:rPr>
            </w:pPr>
            <w:r>
              <w:rPr>
                <w:rFonts w:ascii="Times New Roman" w:eastAsia="Times New Roman" w:hAnsi="Times New Roman" w:cs="Times New Roman"/>
                <w:lang w:val="hu-HU"/>
              </w:rPr>
              <w:t>Myocardialis infarktus</w:t>
            </w:r>
            <w:r>
              <w:rPr>
                <w:rFonts w:ascii="Times New Roman" w:eastAsia="Times New Roman" w:hAnsi="Times New Roman" w:cs="Times New Roman"/>
                <w:vertAlign w:val="superscript"/>
                <w:lang w:val="hu-HU"/>
              </w:rPr>
              <w:t>1)</w:t>
            </w:r>
            <w:r>
              <w:rPr>
                <w:rFonts w:ascii="Times New Roman" w:eastAsia="Times New Roman" w:hAnsi="Times New Roman" w:cs="Times New Roman"/>
                <w:lang w:val="hu-HU"/>
              </w:rPr>
              <w:t>, arrhythmia,</w:t>
            </w:r>
          </w:p>
          <w:p w14:paraId="6C278D65"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pangásos szívelégtelenség</w:t>
            </w:r>
          </w:p>
        </w:tc>
      </w:tr>
      <w:tr w:rsidR="007F2986" w:rsidRPr="00BE4D18" w14:paraId="2E329107" w14:textId="77777777" w:rsidTr="00AF1AD1">
        <w:tc>
          <w:tcPr>
            <w:tcW w:w="2599" w:type="dxa"/>
            <w:vMerge/>
            <w:tcBorders>
              <w:left w:val="single" w:sz="5" w:space="0" w:color="000000"/>
              <w:bottom w:val="single" w:sz="5" w:space="0" w:color="000000"/>
              <w:right w:val="single" w:sz="5" w:space="0" w:color="000000"/>
            </w:tcBorders>
            <w:tcMar>
              <w:top w:w="57" w:type="dxa"/>
              <w:bottom w:w="57" w:type="dxa"/>
            </w:tcMar>
          </w:tcPr>
          <w:p w14:paraId="6DBD8A02"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1B6469C3"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763A1B34"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Szívleállás</w:t>
            </w:r>
          </w:p>
        </w:tc>
      </w:tr>
      <w:tr w:rsidR="007F2986" w14:paraId="2736990D" w14:textId="77777777" w:rsidTr="00AF1AD1">
        <w:tc>
          <w:tcPr>
            <w:tcW w:w="2599" w:type="dxa"/>
            <w:vMerge w:val="restart"/>
            <w:tcBorders>
              <w:top w:val="single" w:sz="5" w:space="0" w:color="000000"/>
              <w:left w:val="single" w:sz="5" w:space="0" w:color="000000"/>
              <w:right w:val="single" w:sz="5" w:space="0" w:color="000000"/>
            </w:tcBorders>
            <w:tcMar>
              <w:top w:w="57" w:type="dxa"/>
              <w:bottom w:w="57" w:type="dxa"/>
            </w:tcMar>
          </w:tcPr>
          <w:p w14:paraId="64F28C30"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Érbetegségek és tünetek:</w:t>
            </w: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7F8F4B0"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34CFE951" w14:textId="77777777" w:rsidR="007F2986" w:rsidRDefault="007F2986" w:rsidP="00CC2E43">
            <w:pPr>
              <w:pStyle w:val="TableParagraph"/>
              <w:ind w:left="99" w:right="2870"/>
              <w:rPr>
                <w:rFonts w:ascii="Times New Roman" w:eastAsia="Times New Roman" w:hAnsi="Times New Roman" w:cs="Times New Roman"/>
                <w:lang w:val="hu-HU"/>
              </w:rPr>
            </w:pPr>
            <w:r>
              <w:rPr>
                <w:rFonts w:ascii="Times New Roman" w:eastAsia="Times New Roman" w:hAnsi="Times New Roman" w:cs="Times New Roman"/>
                <w:spacing w:val="-1"/>
                <w:lang w:val="hu-HU"/>
              </w:rPr>
              <w:t>Hypertensio, kipirulás, haematoma</w:t>
            </w:r>
          </w:p>
        </w:tc>
      </w:tr>
      <w:tr w:rsidR="007F2986" w14:paraId="44F46E4B" w14:textId="77777777" w:rsidTr="00AF1AD1">
        <w:tc>
          <w:tcPr>
            <w:tcW w:w="2599" w:type="dxa"/>
            <w:vMerge/>
            <w:tcBorders>
              <w:left w:val="single" w:sz="5" w:space="0" w:color="000000"/>
              <w:bottom w:val="single" w:sz="5" w:space="0" w:color="000000"/>
              <w:right w:val="single" w:sz="5" w:space="0" w:color="000000"/>
            </w:tcBorders>
            <w:tcMar>
              <w:top w:w="57" w:type="dxa"/>
              <w:bottom w:w="57" w:type="dxa"/>
            </w:tcMar>
          </w:tcPr>
          <w:p w14:paraId="749A4C47"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E6D47B6"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164FE24"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Aorta aneurysma,</w:t>
            </w:r>
          </w:p>
          <w:p w14:paraId="3A766992" w14:textId="77777777" w:rsidR="007F2986" w:rsidRDefault="007F2986" w:rsidP="00CC2E43">
            <w:pPr>
              <w:pStyle w:val="TableParagraph"/>
              <w:ind w:left="99" w:right="658"/>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artériás occlusio, </w:t>
            </w:r>
          </w:p>
          <w:p w14:paraId="6BBCCC3F" w14:textId="77777777" w:rsidR="007F2986" w:rsidRDefault="007F2986" w:rsidP="00CC2E43">
            <w:pPr>
              <w:pStyle w:val="TableParagraph"/>
              <w:ind w:left="99" w:right="658"/>
              <w:rPr>
                <w:rFonts w:ascii="Times New Roman" w:eastAsia="Times New Roman" w:hAnsi="Times New Roman" w:cs="Times New Roman"/>
                <w:lang w:val="hu-HU"/>
              </w:rPr>
            </w:pPr>
            <w:r>
              <w:rPr>
                <w:rFonts w:ascii="Times New Roman" w:eastAsia="Times New Roman" w:hAnsi="Times New Roman" w:cs="Times New Roman"/>
                <w:spacing w:val="-1"/>
                <w:lang w:val="hu-HU"/>
              </w:rPr>
              <w:t>thrombophlebitis</w:t>
            </w:r>
          </w:p>
        </w:tc>
      </w:tr>
      <w:tr w:rsidR="007F2986" w:rsidRPr="00BE4D18" w14:paraId="02EBBA90" w14:textId="77777777" w:rsidTr="00AF1AD1">
        <w:tc>
          <w:tcPr>
            <w:tcW w:w="2599" w:type="dxa"/>
            <w:vMerge w:val="restart"/>
            <w:tcBorders>
              <w:top w:val="single" w:sz="5" w:space="0" w:color="000000"/>
              <w:left w:val="single" w:sz="5" w:space="0" w:color="000000"/>
              <w:right w:val="single" w:sz="5" w:space="0" w:color="000000"/>
            </w:tcBorders>
            <w:tcMar>
              <w:top w:w="57" w:type="dxa"/>
              <w:bottom w:w="57" w:type="dxa"/>
            </w:tcMar>
          </w:tcPr>
          <w:p w14:paraId="7038122D"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Légzőrendszeri, mellkasi és mediastinalis betegségek és tünetek*</w:t>
            </w: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321E4DDF"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F9E31DD" w14:textId="77777777" w:rsidR="007F2986" w:rsidRDefault="007F2986" w:rsidP="00CC2E43">
            <w:pPr>
              <w:pStyle w:val="TableParagraph"/>
              <w:ind w:left="99" w:right="3074"/>
              <w:rPr>
                <w:rFonts w:ascii="Times New Roman" w:eastAsia="Times New Roman" w:hAnsi="Times New Roman" w:cs="Times New Roman"/>
                <w:lang w:val="hu-HU"/>
              </w:rPr>
            </w:pPr>
            <w:r>
              <w:rPr>
                <w:rFonts w:ascii="Times New Roman" w:eastAsia="Times New Roman" w:hAnsi="Times New Roman" w:cs="Times New Roman"/>
                <w:spacing w:val="-1"/>
                <w:lang w:val="hu-HU"/>
              </w:rPr>
              <w:t>Asthma, dyspnoea, köhögés</w:t>
            </w:r>
          </w:p>
        </w:tc>
      </w:tr>
      <w:tr w:rsidR="007F2986" w14:paraId="023C6856" w14:textId="77777777" w:rsidTr="00AF1AD1">
        <w:tc>
          <w:tcPr>
            <w:tcW w:w="2599" w:type="dxa"/>
            <w:vMerge/>
            <w:tcBorders>
              <w:left w:val="single" w:sz="5" w:space="0" w:color="000000"/>
              <w:right w:val="single" w:sz="5" w:space="0" w:color="000000"/>
            </w:tcBorders>
            <w:tcMar>
              <w:top w:w="57" w:type="dxa"/>
              <w:bottom w:w="57" w:type="dxa"/>
            </w:tcMar>
          </w:tcPr>
          <w:p w14:paraId="2860E089"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792A06B"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3F20FFA3"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Tüdőembólia</w:t>
            </w:r>
            <w:r>
              <w:rPr>
                <w:rFonts w:ascii="Times New Roman" w:eastAsia="Times New Roman" w:hAnsi="Times New Roman" w:cs="Times New Roman"/>
                <w:spacing w:val="-1"/>
                <w:vertAlign w:val="superscript"/>
                <w:lang w:val="hu-HU"/>
              </w:rPr>
              <w:t>1)</w:t>
            </w:r>
            <w:r>
              <w:rPr>
                <w:rFonts w:ascii="Times New Roman" w:eastAsia="Times New Roman" w:hAnsi="Times New Roman" w:cs="Times New Roman"/>
                <w:spacing w:val="-1"/>
                <w:lang w:val="hu-HU"/>
              </w:rPr>
              <w:t>,</w:t>
            </w:r>
          </w:p>
          <w:p w14:paraId="6FFBF717"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interstitialis tüdőbetegség,</w:t>
            </w:r>
          </w:p>
          <w:p w14:paraId="30431642" w14:textId="77777777" w:rsidR="007F2986" w:rsidRDefault="007F2986" w:rsidP="00CC2E43">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krónikus obstruktív tüdőbetegség, </w:t>
            </w:r>
          </w:p>
          <w:p w14:paraId="18B9A0D8"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pneumonitis,</w:t>
            </w:r>
          </w:p>
          <w:p w14:paraId="245C4128"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pleuralis folyadékgyülem</w:t>
            </w:r>
            <w:r>
              <w:rPr>
                <w:rFonts w:ascii="Times New Roman" w:eastAsia="Times New Roman" w:hAnsi="Times New Roman" w:cs="Times New Roman"/>
                <w:spacing w:val="-1"/>
                <w:vertAlign w:val="superscript"/>
                <w:lang w:val="hu-HU"/>
              </w:rPr>
              <w:t>1)</w:t>
            </w:r>
          </w:p>
        </w:tc>
      </w:tr>
      <w:tr w:rsidR="007F2986" w14:paraId="0C69705A" w14:textId="77777777" w:rsidTr="00AF1AD1">
        <w:tc>
          <w:tcPr>
            <w:tcW w:w="2599" w:type="dxa"/>
            <w:vMerge/>
            <w:tcBorders>
              <w:left w:val="single" w:sz="5" w:space="0" w:color="000000"/>
              <w:bottom w:val="single" w:sz="5" w:space="0" w:color="000000"/>
              <w:right w:val="single" w:sz="5" w:space="0" w:color="000000"/>
            </w:tcBorders>
            <w:tcMar>
              <w:top w:w="57" w:type="dxa"/>
              <w:bottom w:w="57" w:type="dxa"/>
            </w:tcMar>
          </w:tcPr>
          <w:p w14:paraId="627B65AF"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32F8DE7E"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107C522E"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Tüdőfibrosis</w:t>
            </w:r>
            <w:r>
              <w:rPr>
                <w:rFonts w:ascii="Times New Roman" w:eastAsia="Times New Roman" w:hAnsi="Times New Roman" w:cs="Times New Roman"/>
                <w:spacing w:val="-1"/>
                <w:vertAlign w:val="superscript"/>
                <w:lang w:val="hu-HU"/>
              </w:rPr>
              <w:t>1)</w:t>
            </w:r>
          </w:p>
        </w:tc>
      </w:tr>
      <w:tr w:rsidR="007F2986" w14:paraId="1F2960A2" w14:textId="77777777" w:rsidTr="00AF1AD1">
        <w:tc>
          <w:tcPr>
            <w:tcW w:w="2599" w:type="dxa"/>
            <w:vMerge w:val="restart"/>
            <w:tcBorders>
              <w:top w:val="single" w:sz="5" w:space="0" w:color="000000"/>
              <w:left w:val="single" w:sz="5" w:space="0" w:color="000000"/>
              <w:right w:val="single" w:sz="5" w:space="0" w:color="000000"/>
            </w:tcBorders>
            <w:tcMar>
              <w:top w:w="57" w:type="dxa"/>
              <w:bottom w:w="57" w:type="dxa"/>
            </w:tcMar>
          </w:tcPr>
          <w:p w14:paraId="4407E4AB"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Emésztőrendszeri betegségek és tünetek</w:t>
            </w: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7DDC41E5"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Nagyon 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05D8DCDD" w14:textId="77777777" w:rsidR="007F2986" w:rsidRDefault="007F2986" w:rsidP="00CC2E43">
            <w:pPr>
              <w:pStyle w:val="TableParagraph"/>
              <w:ind w:left="99" w:right="2425"/>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Hasi fájdalom, hányinger, </w:t>
            </w:r>
          </w:p>
          <w:p w14:paraId="6B9DC8B3" w14:textId="77777777" w:rsidR="007F2986" w:rsidRDefault="007F2986" w:rsidP="00CC2E43">
            <w:pPr>
              <w:pStyle w:val="TableParagraph"/>
              <w:ind w:left="99" w:right="2425"/>
              <w:rPr>
                <w:rFonts w:ascii="Times New Roman" w:eastAsia="Times New Roman" w:hAnsi="Times New Roman" w:cs="Times New Roman"/>
                <w:lang w:val="hu-HU"/>
              </w:rPr>
            </w:pPr>
            <w:r>
              <w:rPr>
                <w:rFonts w:ascii="Times New Roman" w:eastAsia="Times New Roman" w:hAnsi="Times New Roman" w:cs="Times New Roman"/>
                <w:spacing w:val="-1"/>
                <w:lang w:val="hu-HU"/>
              </w:rPr>
              <w:t>hányás</w:t>
            </w:r>
          </w:p>
        </w:tc>
      </w:tr>
      <w:tr w:rsidR="007F2986" w:rsidRPr="00BE4D18" w14:paraId="46E08A2D" w14:textId="77777777" w:rsidTr="00AF1AD1">
        <w:tc>
          <w:tcPr>
            <w:tcW w:w="2599" w:type="dxa"/>
            <w:vMerge/>
            <w:tcBorders>
              <w:left w:val="single" w:sz="5" w:space="0" w:color="000000"/>
              <w:right w:val="single" w:sz="5" w:space="0" w:color="000000"/>
            </w:tcBorders>
            <w:tcMar>
              <w:top w:w="57" w:type="dxa"/>
              <w:bottom w:w="57" w:type="dxa"/>
            </w:tcMar>
          </w:tcPr>
          <w:p w14:paraId="116CE605"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19C10604"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1D1083C6"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Gastrointestinalis vérzés,</w:t>
            </w:r>
          </w:p>
          <w:p w14:paraId="1D9BFEE0"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Dyspepsia</w:t>
            </w:r>
          </w:p>
          <w:p w14:paraId="048D96D8"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Gastrooesophagealis refluxbetegség</w:t>
            </w:r>
          </w:p>
        </w:tc>
      </w:tr>
      <w:tr w:rsidR="007F2986" w14:paraId="2831EAFD" w14:textId="77777777" w:rsidTr="00AF1AD1">
        <w:tc>
          <w:tcPr>
            <w:tcW w:w="2599" w:type="dxa"/>
            <w:vMerge/>
            <w:tcBorders>
              <w:left w:val="single" w:sz="5" w:space="0" w:color="000000"/>
              <w:right w:val="single" w:sz="5" w:space="0" w:color="000000"/>
            </w:tcBorders>
            <w:tcMar>
              <w:top w:w="57" w:type="dxa"/>
              <w:bottom w:w="57" w:type="dxa"/>
            </w:tcMar>
          </w:tcPr>
          <w:p w14:paraId="2F21B28C"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3ACB624D"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786FBB7"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Pancreatitis,</w:t>
            </w:r>
          </w:p>
          <w:p w14:paraId="007369DC" w14:textId="77777777" w:rsidR="007F2986" w:rsidRDefault="007F2986" w:rsidP="00CC2E43">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dysphagia, </w:t>
            </w:r>
          </w:p>
          <w:p w14:paraId="66B0D03F"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arc-oedema</w:t>
            </w:r>
          </w:p>
        </w:tc>
      </w:tr>
      <w:tr w:rsidR="007F2986" w14:paraId="3B3B34A6" w14:textId="77777777" w:rsidTr="00AF1AD1">
        <w:tc>
          <w:tcPr>
            <w:tcW w:w="2599" w:type="dxa"/>
            <w:vMerge/>
            <w:tcBorders>
              <w:left w:val="single" w:sz="5" w:space="0" w:color="000000"/>
              <w:bottom w:val="single" w:sz="5" w:space="0" w:color="000000"/>
              <w:right w:val="single" w:sz="5" w:space="0" w:color="000000"/>
            </w:tcBorders>
            <w:tcMar>
              <w:top w:w="57" w:type="dxa"/>
              <w:bottom w:w="57" w:type="dxa"/>
            </w:tcMar>
          </w:tcPr>
          <w:p w14:paraId="1E10B2A5"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01A22967"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51B1681"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4"/>
                <w:lang w:val="hu-HU"/>
              </w:rPr>
              <w:t>bélperforáció</w:t>
            </w:r>
            <w:r>
              <w:rPr>
                <w:rFonts w:ascii="Times New Roman" w:eastAsia="Times New Roman" w:hAnsi="Times New Roman" w:cs="Times New Roman"/>
                <w:spacing w:val="-4"/>
                <w:vertAlign w:val="superscript"/>
                <w:lang w:val="hu-HU"/>
              </w:rPr>
              <w:t>1)</w:t>
            </w:r>
          </w:p>
        </w:tc>
      </w:tr>
      <w:tr w:rsidR="007F2986" w14:paraId="525555C9" w14:textId="77777777" w:rsidTr="00AF1AD1">
        <w:tc>
          <w:tcPr>
            <w:tcW w:w="2599" w:type="dxa"/>
            <w:vMerge w:val="restart"/>
            <w:tcBorders>
              <w:top w:val="single" w:sz="5" w:space="0" w:color="000000"/>
              <w:left w:val="single" w:sz="5" w:space="0" w:color="000000"/>
              <w:right w:val="single" w:sz="5" w:space="0" w:color="000000"/>
            </w:tcBorders>
            <w:tcMar>
              <w:top w:w="57" w:type="dxa"/>
              <w:bottom w:w="57" w:type="dxa"/>
            </w:tcMar>
          </w:tcPr>
          <w:p w14:paraId="695F84D1"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Máj- és epebetegségek, illetve tünetek*</w:t>
            </w: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10772ED4"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Nagyon 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74C39E1"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Emelkedett májenzimszintek</w:t>
            </w:r>
          </w:p>
        </w:tc>
      </w:tr>
      <w:tr w:rsidR="007F2986" w14:paraId="221DF5F2" w14:textId="77777777" w:rsidTr="00AF1AD1">
        <w:tc>
          <w:tcPr>
            <w:tcW w:w="2599" w:type="dxa"/>
            <w:vMerge/>
            <w:tcBorders>
              <w:left w:val="single" w:sz="5" w:space="0" w:color="000000"/>
              <w:right w:val="single" w:sz="5" w:space="0" w:color="000000"/>
            </w:tcBorders>
            <w:tcMar>
              <w:top w:w="57" w:type="dxa"/>
              <w:bottom w:w="57" w:type="dxa"/>
            </w:tcMar>
          </w:tcPr>
          <w:p w14:paraId="2EC8F330"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E2632E1"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A7AD5A7"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Cholecystitis és cholelithiasis</w:t>
            </w:r>
          </w:p>
          <w:p w14:paraId="65634181"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 xml:space="preserve">steatosis hepatis, </w:t>
            </w:r>
          </w:p>
          <w:p w14:paraId="2BD4E9E6"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emelkedett bilirubinszint</w:t>
            </w:r>
          </w:p>
        </w:tc>
      </w:tr>
      <w:tr w:rsidR="007F2986" w:rsidRPr="00BE4D18" w14:paraId="66816146" w14:textId="77777777" w:rsidTr="00AF1AD1">
        <w:tc>
          <w:tcPr>
            <w:tcW w:w="2599" w:type="dxa"/>
            <w:vMerge/>
            <w:tcBorders>
              <w:left w:val="single" w:sz="5" w:space="0" w:color="000000"/>
              <w:right w:val="single" w:sz="5" w:space="0" w:color="000000"/>
            </w:tcBorders>
            <w:tcMar>
              <w:top w:w="57" w:type="dxa"/>
              <w:bottom w:w="57" w:type="dxa"/>
            </w:tcMar>
          </w:tcPr>
          <w:p w14:paraId="72711323"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right w:val="single" w:sz="5" w:space="0" w:color="000000"/>
            </w:tcBorders>
            <w:tcMar>
              <w:top w:w="57" w:type="dxa"/>
              <w:bottom w:w="57" w:type="dxa"/>
            </w:tcMar>
          </w:tcPr>
          <w:p w14:paraId="76F817D4"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right w:val="single" w:sz="5" w:space="0" w:color="000000"/>
            </w:tcBorders>
            <w:tcMar>
              <w:top w:w="57" w:type="dxa"/>
              <w:bottom w:w="57" w:type="dxa"/>
            </w:tcMar>
          </w:tcPr>
          <w:p w14:paraId="26B7126F"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Hepatitis,</w:t>
            </w:r>
          </w:p>
          <w:p w14:paraId="584AEDE3"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hepatitis B reaktiválódása</w:t>
            </w:r>
            <w:r>
              <w:rPr>
                <w:rFonts w:ascii="Times New Roman" w:eastAsia="Times New Roman" w:hAnsi="Times New Roman" w:cs="Times New Roman"/>
                <w:spacing w:val="-1"/>
                <w:vertAlign w:val="superscript"/>
                <w:lang w:val="hu-HU"/>
              </w:rPr>
              <w:t>1)</w:t>
            </w:r>
            <w:r>
              <w:rPr>
                <w:rFonts w:ascii="Times New Roman" w:eastAsia="Times New Roman" w:hAnsi="Times New Roman" w:cs="Times New Roman"/>
                <w:spacing w:val="-1"/>
                <w:lang w:val="hu-HU"/>
              </w:rPr>
              <w:t>,</w:t>
            </w:r>
          </w:p>
          <w:p w14:paraId="4D94F4D5"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autoimmun hepatitis</w:t>
            </w:r>
            <w:r>
              <w:rPr>
                <w:rFonts w:ascii="Times New Roman" w:eastAsia="Times New Roman" w:hAnsi="Times New Roman" w:cs="Times New Roman"/>
                <w:spacing w:val="-1"/>
                <w:vertAlign w:val="superscript"/>
                <w:lang w:val="hu-HU"/>
              </w:rPr>
              <w:t>1)</w:t>
            </w:r>
          </w:p>
        </w:tc>
      </w:tr>
      <w:tr w:rsidR="007F2986" w14:paraId="25B7904E" w14:textId="77777777" w:rsidTr="00AF1AD1">
        <w:tc>
          <w:tcPr>
            <w:tcW w:w="2599" w:type="dxa"/>
            <w:vMerge/>
            <w:tcBorders>
              <w:left w:val="single" w:sz="5" w:space="0" w:color="000000"/>
              <w:bottom w:val="single" w:sz="5" w:space="0" w:color="000000"/>
              <w:right w:val="single" w:sz="5" w:space="0" w:color="000000"/>
            </w:tcBorders>
            <w:tcMar>
              <w:top w:w="57" w:type="dxa"/>
              <w:bottom w:w="57" w:type="dxa"/>
            </w:tcMar>
          </w:tcPr>
          <w:p w14:paraId="0C7DA8BA"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BBEA96F"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ismert</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C76D433"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Májelégtelenség</w:t>
            </w:r>
            <w:r>
              <w:rPr>
                <w:rFonts w:ascii="Times New Roman" w:eastAsia="Times New Roman" w:hAnsi="Times New Roman" w:cs="Times New Roman"/>
                <w:spacing w:val="-1"/>
                <w:vertAlign w:val="superscript"/>
                <w:lang w:val="hu-HU"/>
              </w:rPr>
              <w:t xml:space="preserve"> 1)</w:t>
            </w:r>
          </w:p>
        </w:tc>
      </w:tr>
      <w:tr w:rsidR="007F2986" w:rsidRPr="00BE4D18" w14:paraId="5F825A46" w14:textId="77777777" w:rsidTr="00AF1AD1">
        <w:tc>
          <w:tcPr>
            <w:tcW w:w="2599" w:type="dxa"/>
            <w:vMerge w:val="restart"/>
            <w:tcBorders>
              <w:top w:val="single" w:sz="5" w:space="0" w:color="000000"/>
              <w:left w:val="single" w:sz="5" w:space="0" w:color="000000"/>
              <w:right w:val="single" w:sz="5" w:space="0" w:color="000000"/>
            </w:tcBorders>
            <w:tcMar>
              <w:top w:w="57" w:type="dxa"/>
              <w:bottom w:w="57" w:type="dxa"/>
            </w:tcMar>
          </w:tcPr>
          <w:p w14:paraId="0E27C9D8" w14:textId="77777777" w:rsidR="007F2986" w:rsidRDefault="007F2986" w:rsidP="00CC2E43">
            <w:pPr>
              <w:pStyle w:val="TableParagraph"/>
              <w:ind w:left="102" w:right="11"/>
              <w:rPr>
                <w:rFonts w:ascii="Times New Roman" w:eastAsia="Times New Roman" w:hAnsi="Times New Roman" w:cs="Times New Roman"/>
                <w:lang w:val="hu-HU"/>
              </w:rPr>
            </w:pPr>
            <w:r>
              <w:rPr>
                <w:rFonts w:ascii="Times New Roman" w:eastAsia="Times New Roman" w:hAnsi="Times New Roman" w:cs="Times New Roman"/>
                <w:spacing w:val="-1"/>
                <w:lang w:val="hu-HU"/>
              </w:rPr>
              <w:t>A bőr és a bőr alatti szövet betegségei és tünetei:</w:t>
            </w: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7771E37"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Nagyon 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1FCEE70B"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Bőrkiütés (beleértve az exfoliatív bőrkiütést is)</w:t>
            </w:r>
          </w:p>
        </w:tc>
      </w:tr>
      <w:tr w:rsidR="007F2986" w14:paraId="1DD7924E" w14:textId="77777777" w:rsidTr="00AF1AD1">
        <w:tc>
          <w:tcPr>
            <w:tcW w:w="2599" w:type="dxa"/>
            <w:vMerge/>
            <w:tcBorders>
              <w:left w:val="single" w:sz="5" w:space="0" w:color="000000"/>
              <w:right w:val="single" w:sz="5" w:space="0" w:color="000000"/>
            </w:tcBorders>
            <w:tcMar>
              <w:top w:w="57" w:type="dxa"/>
              <w:bottom w:w="57" w:type="dxa"/>
            </w:tcMar>
          </w:tcPr>
          <w:p w14:paraId="26CE21FF"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CFB030F"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4B144F8"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 xml:space="preserve">Psoriasis rosszabbodása, </w:t>
            </w:r>
          </w:p>
          <w:p w14:paraId="2FAFB4DD" w14:textId="77777777" w:rsidR="007F2986" w:rsidRDefault="007F2986" w:rsidP="00CC2E43">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lang w:val="hu-HU"/>
              </w:rPr>
              <w:t xml:space="preserve">illetve újonnan kialakulása (beleértve a </w:t>
            </w:r>
            <w:r>
              <w:rPr>
                <w:rFonts w:ascii="Times New Roman" w:eastAsia="Times New Roman" w:hAnsi="Times New Roman" w:cs="Times New Roman"/>
                <w:spacing w:val="-1"/>
                <w:lang w:val="hu-HU"/>
              </w:rPr>
              <w:t>palmoplantaris pustulosus psoriasist)</w:t>
            </w:r>
            <w:r>
              <w:rPr>
                <w:rFonts w:ascii="Times New Roman" w:eastAsia="Times New Roman" w:hAnsi="Times New Roman" w:cs="Times New Roman"/>
                <w:spacing w:val="-1"/>
                <w:vertAlign w:val="superscript"/>
                <w:lang w:val="hu-HU"/>
              </w:rPr>
              <w:t>1)</w:t>
            </w:r>
            <w:r>
              <w:rPr>
                <w:rFonts w:ascii="Times New Roman" w:eastAsia="Times New Roman" w:hAnsi="Times New Roman" w:cs="Times New Roman"/>
                <w:spacing w:val="-1"/>
                <w:lang w:val="hu-HU"/>
              </w:rPr>
              <w:t xml:space="preserve">, </w:t>
            </w:r>
          </w:p>
          <w:p w14:paraId="02BA42CD"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urticaria,</w:t>
            </w:r>
          </w:p>
          <w:p w14:paraId="3EA17502"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suffusio (beleértve a purpurát is),</w:t>
            </w:r>
          </w:p>
          <w:p w14:paraId="5312B2F5" w14:textId="77777777" w:rsidR="007F2986" w:rsidRDefault="007F2986" w:rsidP="00CC2E43">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dermatitis (beleértve az ekzémát is), </w:t>
            </w:r>
          </w:p>
          <w:p w14:paraId="0F683AB2"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onychoclasia,</w:t>
            </w:r>
          </w:p>
          <w:p w14:paraId="2CA08267"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hyperhidrosis,</w:t>
            </w:r>
          </w:p>
          <w:p w14:paraId="24B764B0" w14:textId="77777777" w:rsidR="007F2986" w:rsidRDefault="007F2986" w:rsidP="00CC2E43">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alopecia</w:t>
            </w:r>
            <w:r>
              <w:rPr>
                <w:rFonts w:ascii="Times New Roman" w:eastAsia="Times New Roman" w:hAnsi="Times New Roman" w:cs="Times New Roman"/>
                <w:spacing w:val="-1"/>
                <w:vertAlign w:val="superscript"/>
                <w:lang w:val="hu-HU"/>
              </w:rPr>
              <w:t>1)</w:t>
            </w:r>
            <w:r>
              <w:rPr>
                <w:rFonts w:ascii="Times New Roman" w:eastAsia="Times New Roman" w:hAnsi="Times New Roman" w:cs="Times New Roman"/>
                <w:spacing w:val="-1"/>
                <w:lang w:val="hu-HU"/>
              </w:rPr>
              <w:t xml:space="preserve">, </w:t>
            </w:r>
          </w:p>
          <w:p w14:paraId="2A9E816A"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pruritus</w:t>
            </w:r>
          </w:p>
        </w:tc>
      </w:tr>
      <w:tr w:rsidR="007F2986" w:rsidRPr="00BE4D18" w14:paraId="7ECA2115" w14:textId="77777777" w:rsidTr="00AF1AD1">
        <w:tc>
          <w:tcPr>
            <w:tcW w:w="2599" w:type="dxa"/>
            <w:vMerge/>
            <w:tcBorders>
              <w:left w:val="single" w:sz="5" w:space="0" w:color="000000"/>
              <w:right w:val="single" w:sz="5" w:space="0" w:color="000000"/>
            </w:tcBorders>
            <w:tcMar>
              <w:top w:w="57" w:type="dxa"/>
              <w:bottom w:w="57" w:type="dxa"/>
            </w:tcMar>
          </w:tcPr>
          <w:p w14:paraId="72148928"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18DEC708"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35864F5B"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Éjszakai verítékezés,</w:t>
            </w:r>
          </w:p>
          <w:p w14:paraId="7C9F1A8A"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hegesedés</w:t>
            </w:r>
          </w:p>
        </w:tc>
      </w:tr>
      <w:tr w:rsidR="007F2986" w:rsidRPr="00F70E6D" w14:paraId="09AFCBAA" w14:textId="77777777" w:rsidTr="00AF1AD1">
        <w:tc>
          <w:tcPr>
            <w:tcW w:w="2599" w:type="dxa"/>
            <w:vMerge/>
            <w:tcBorders>
              <w:left w:val="single" w:sz="5" w:space="0" w:color="000000"/>
              <w:right w:val="single" w:sz="5" w:space="0" w:color="000000"/>
            </w:tcBorders>
            <w:tcMar>
              <w:top w:w="57" w:type="dxa"/>
              <w:bottom w:w="57" w:type="dxa"/>
            </w:tcMar>
          </w:tcPr>
          <w:p w14:paraId="2B6413B3"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39547140"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77897911" w14:textId="77777777" w:rsidR="007F2986" w:rsidRDefault="007F2986" w:rsidP="00CC2E43">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erythema multiforme</w:t>
            </w:r>
            <w:r>
              <w:rPr>
                <w:rFonts w:ascii="Times New Roman" w:eastAsia="Times New Roman" w:hAnsi="Times New Roman" w:cs="Times New Roman"/>
                <w:spacing w:val="-1"/>
                <w:vertAlign w:val="superscript"/>
                <w:lang w:val="hu-HU"/>
              </w:rPr>
              <w:t>1)</w:t>
            </w:r>
            <w:r>
              <w:rPr>
                <w:rFonts w:ascii="Times New Roman" w:eastAsia="Times New Roman" w:hAnsi="Times New Roman" w:cs="Times New Roman"/>
                <w:spacing w:val="-1"/>
                <w:lang w:val="hu-HU"/>
              </w:rPr>
              <w:t xml:space="preserve">, </w:t>
            </w:r>
          </w:p>
          <w:p w14:paraId="6FF672B1" w14:textId="77777777" w:rsidR="007F2986" w:rsidRDefault="007F2986" w:rsidP="00CC2E43">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Stevens-Johnson-szindróma</w:t>
            </w:r>
            <w:r>
              <w:rPr>
                <w:rFonts w:ascii="Times New Roman" w:eastAsia="Times New Roman" w:hAnsi="Times New Roman" w:cs="Times New Roman"/>
                <w:spacing w:val="-1"/>
                <w:vertAlign w:val="superscript"/>
                <w:lang w:val="hu-HU"/>
              </w:rPr>
              <w:t>1)</w:t>
            </w:r>
            <w:r>
              <w:rPr>
                <w:rFonts w:ascii="Times New Roman" w:eastAsia="Times New Roman" w:hAnsi="Times New Roman" w:cs="Times New Roman"/>
                <w:spacing w:val="-1"/>
                <w:lang w:val="hu-HU"/>
              </w:rPr>
              <w:t xml:space="preserve"> , </w:t>
            </w:r>
          </w:p>
          <w:p w14:paraId="5C9AD155"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angioodema</w:t>
            </w:r>
            <w:r>
              <w:rPr>
                <w:rFonts w:ascii="Times New Roman" w:eastAsia="Times New Roman" w:hAnsi="Times New Roman" w:cs="Times New Roman"/>
                <w:spacing w:val="-1"/>
                <w:vertAlign w:val="superscript"/>
                <w:lang w:val="hu-HU"/>
              </w:rPr>
              <w:t xml:space="preserve"> 1)</w:t>
            </w:r>
            <w:r>
              <w:rPr>
                <w:rFonts w:ascii="Times New Roman" w:eastAsia="Times New Roman" w:hAnsi="Times New Roman" w:cs="Times New Roman"/>
                <w:spacing w:val="-1"/>
                <w:lang w:val="hu-HU"/>
              </w:rPr>
              <w:t xml:space="preserve"> ,</w:t>
            </w:r>
          </w:p>
          <w:p w14:paraId="3A5D8C69" w14:textId="77777777" w:rsidR="007F2986" w:rsidRDefault="007F2986" w:rsidP="00CC2E43">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cutan vasculitis</w:t>
            </w:r>
            <w:r>
              <w:rPr>
                <w:rFonts w:ascii="Times New Roman" w:eastAsia="Times New Roman" w:hAnsi="Times New Roman" w:cs="Times New Roman"/>
                <w:spacing w:val="-1"/>
                <w:vertAlign w:val="superscript"/>
                <w:lang w:val="hu-HU"/>
              </w:rPr>
              <w:t>1)</w:t>
            </w:r>
            <w:r>
              <w:rPr>
                <w:rFonts w:ascii="Times New Roman" w:eastAsia="Times New Roman" w:hAnsi="Times New Roman" w:cs="Times New Roman"/>
                <w:spacing w:val="-1"/>
                <w:lang w:val="hu-HU"/>
              </w:rPr>
              <w:t xml:space="preserve">, </w:t>
            </w:r>
          </w:p>
          <w:p w14:paraId="31E06C84"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lichenoid bőrreakció</w:t>
            </w:r>
            <w:r>
              <w:rPr>
                <w:rFonts w:ascii="Times New Roman" w:eastAsia="Times New Roman" w:hAnsi="Times New Roman" w:cs="Times New Roman"/>
                <w:spacing w:val="-1"/>
                <w:vertAlign w:val="superscript"/>
                <w:lang w:val="hu-HU"/>
              </w:rPr>
              <w:t xml:space="preserve"> 1)</w:t>
            </w:r>
          </w:p>
        </w:tc>
      </w:tr>
      <w:tr w:rsidR="007F2986" w14:paraId="2DF97748" w14:textId="77777777" w:rsidTr="00AF1AD1">
        <w:tc>
          <w:tcPr>
            <w:tcW w:w="2599" w:type="dxa"/>
            <w:vMerge/>
            <w:tcBorders>
              <w:left w:val="single" w:sz="5" w:space="0" w:color="000000"/>
              <w:bottom w:val="single" w:sz="5" w:space="0" w:color="000000"/>
              <w:right w:val="single" w:sz="5" w:space="0" w:color="000000"/>
            </w:tcBorders>
            <w:tcMar>
              <w:top w:w="57" w:type="dxa"/>
              <w:bottom w:w="57" w:type="dxa"/>
            </w:tcMar>
          </w:tcPr>
          <w:p w14:paraId="3824E5B7"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7A8D76B8"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ismert</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010577F"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A dermatomyositis tüneteinek súlyosbodása</w:t>
            </w:r>
            <w:r>
              <w:rPr>
                <w:rFonts w:ascii="Times New Roman" w:eastAsia="Times New Roman" w:hAnsi="Times New Roman" w:cs="Times New Roman"/>
                <w:vertAlign w:val="superscript"/>
                <w:lang w:val="hu-HU"/>
              </w:rPr>
              <w:t>1)</w:t>
            </w:r>
          </w:p>
        </w:tc>
      </w:tr>
      <w:tr w:rsidR="007F2986" w:rsidRPr="00F70E6D" w14:paraId="1ECBFCC2" w14:textId="77777777" w:rsidTr="00AF1AD1">
        <w:tc>
          <w:tcPr>
            <w:tcW w:w="2599" w:type="dxa"/>
            <w:vMerge w:val="restart"/>
            <w:tcBorders>
              <w:top w:val="single" w:sz="5" w:space="0" w:color="000000"/>
              <w:left w:val="single" w:sz="5" w:space="0" w:color="000000"/>
              <w:right w:val="single" w:sz="5" w:space="0" w:color="000000"/>
            </w:tcBorders>
            <w:tcMar>
              <w:top w:w="57" w:type="dxa"/>
              <w:bottom w:w="57" w:type="dxa"/>
            </w:tcMar>
          </w:tcPr>
          <w:p w14:paraId="5661DE52"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Vázizom és kötőszöveti betegségek</w:t>
            </w: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039ACF7A"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Nagyon 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5162D12"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Csont- izomrendszeri fájdalom</w:t>
            </w:r>
          </w:p>
        </w:tc>
      </w:tr>
      <w:tr w:rsidR="007F2986" w14:paraId="56BB1504" w14:textId="77777777" w:rsidTr="00AF1AD1">
        <w:tc>
          <w:tcPr>
            <w:tcW w:w="2599" w:type="dxa"/>
            <w:vMerge/>
            <w:tcBorders>
              <w:left w:val="single" w:sz="5" w:space="0" w:color="000000"/>
              <w:right w:val="single" w:sz="5" w:space="0" w:color="000000"/>
            </w:tcBorders>
            <w:tcMar>
              <w:top w:w="57" w:type="dxa"/>
              <w:bottom w:w="57" w:type="dxa"/>
            </w:tcMar>
          </w:tcPr>
          <w:p w14:paraId="12AC6390"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7A7450EB"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B513DC2"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lang w:val="hu-HU"/>
              </w:rPr>
              <w:t>Izomspasmus (beleértve a kreatin-foszfokináz-szint emelkedését is a vérben)</w:t>
            </w:r>
          </w:p>
        </w:tc>
      </w:tr>
      <w:tr w:rsidR="007F2986" w:rsidRPr="00BE4D18" w14:paraId="78AB215D" w14:textId="77777777" w:rsidTr="00AF1AD1">
        <w:tc>
          <w:tcPr>
            <w:tcW w:w="2599" w:type="dxa"/>
            <w:vMerge/>
            <w:tcBorders>
              <w:left w:val="single" w:sz="5" w:space="0" w:color="000000"/>
              <w:right w:val="single" w:sz="5" w:space="0" w:color="000000"/>
            </w:tcBorders>
            <w:tcMar>
              <w:top w:w="57" w:type="dxa"/>
              <w:bottom w:w="57" w:type="dxa"/>
            </w:tcMar>
          </w:tcPr>
          <w:p w14:paraId="6222169D"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0CA6EE8"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010DAD60"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Rhabdomyolysis,</w:t>
            </w:r>
          </w:p>
          <w:p w14:paraId="04C0EF5B"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szisztémás lupus erythematosus</w:t>
            </w:r>
          </w:p>
        </w:tc>
      </w:tr>
      <w:tr w:rsidR="007F2986" w:rsidRPr="00BE4D18" w14:paraId="5FB5606B" w14:textId="77777777" w:rsidTr="00AF1AD1">
        <w:tc>
          <w:tcPr>
            <w:tcW w:w="2599" w:type="dxa"/>
            <w:vMerge/>
            <w:tcBorders>
              <w:left w:val="single" w:sz="5" w:space="0" w:color="000000"/>
              <w:bottom w:val="single" w:sz="5" w:space="0" w:color="000000"/>
              <w:right w:val="single" w:sz="5" w:space="0" w:color="000000"/>
            </w:tcBorders>
            <w:tcMar>
              <w:top w:w="57" w:type="dxa"/>
              <w:bottom w:w="57" w:type="dxa"/>
            </w:tcMar>
          </w:tcPr>
          <w:p w14:paraId="582BF809"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9D7469D"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lang w:val="hu-HU"/>
              </w:rPr>
              <w:t>Ritka</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2BCCA9A"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Lupus-szerű szindróma</w:t>
            </w:r>
            <w:r>
              <w:rPr>
                <w:rFonts w:ascii="Times New Roman" w:eastAsia="Times New Roman" w:hAnsi="Times New Roman" w:cs="Times New Roman"/>
                <w:spacing w:val="-1"/>
                <w:vertAlign w:val="superscript"/>
                <w:lang w:val="hu-HU"/>
              </w:rPr>
              <w:t>1)</w:t>
            </w:r>
          </w:p>
        </w:tc>
      </w:tr>
      <w:tr w:rsidR="007F2986" w14:paraId="2B8F14DD" w14:textId="77777777" w:rsidTr="00AF1AD1">
        <w:tc>
          <w:tcPr>
            <w:tcW w:w="2599" w:type="dxa"/>
            <w:vMerge w:val="restart"/>
            <w:tcBorders>
              <w:top w:val="single" w:sz="5" w:space="0" w:color="000000"/>
              <w:left w:val="single" w:sz="5" w:space="0" w:color="000000"/>
              <w:right w:val="single" w:sz="5" w:space="0" w:color="000000"/>
            </w:tcBorders>
            <w:tcMar>
              <w:top w:w="57" w:type="dxa"/>
              <w:bottom w:w="57" w:type="dxa"/>
            </w:tcMar>
          </w:tcPr>
          <w:p w14:paraId="4C40C6FB" w14:textId="77777777" w:rsidR="007F2986" w:rsidRDefault="007F2986" w:rsidP="00CC2E43">
            <w:pPr>
              <w:pStyle w:val="TableParagraph"/>
              <w:ind w:left="102" w:right="196"/>
              <w:rPr>
                <w:rFonts w:ascii="Times New Roman" w:eastAsia="Times New Roman" w:hAnsi="Times New Roman" w:cs="Times New Roman"/>
                <w:lang w:val="hu-HU"/>
              </w:rPr>
            </w:pPr>
            <w:r>
              <w:rPr>
                <w:rFonts w:ascii="Times New Roman" w:eastAsia="Times New Roman" w:hAnsi="Times New Roman" w:cs="Times New Roman"/>
                <w:spacing w:val="-1"/>
                <w:lang w:val="hu-HU"/>
              </w:rPr>
              <w:t>Vese - és húgyúti betegségek és tünetek:</w:t>
            </w: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C1E6A6A"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5E55F8A"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Vesekárosodás haematuria</w:t>
            </w:r>
          </w:p>
        </w:tc>
      </w:tr>
      <w:tr w:rsidR="007F2986" w14:paraId="5C157FB0" w14:textId="77777777" w:rsidTr="00AF1AD1">
        <w:tc>
          <w:tcPr>
            <w:tcW w:w="2599" w:type="dxa"/>
            <w:vMerge/>
            <w:tcBorders>
              <w:left w:val="single" w:sz="5" w:space="0" w:color="000000"/>
              <w:bottom w:val="single" w:sz="5" w:space="0" w:color="000000"/>
              <w:right w:val="single" w:sz="5" w:space="0" w:color="000000"/>
            </w:tcBorders>
            <w:tcMar>
              <w:top w:w="57" w:type="dxa"/>
              <w:bottom w:w="57" w:type="dxa"/>
            </w:tcMar>
          </w:tcPr>
          <w:p w14:paraId="2B20330F"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0D5398F3"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B1F553A"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Nocturia</w:t>
            </w:r>
          </w:p>
        </w:tc>
      </w:tr>
      <w:tr w:rsidR="007F2986" w14:paraId="0BBA4057" w14:textId="77777777" w:rsidTr="00AF1AD1">
        <w:tc>
          <w:tcPr>
            <w:tcW w:w="259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3FD0792D"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A nemi szervekkel és az emlőkkel kapcsolatos betegségek és tünetek</w:t>
            </w: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3BC57EF3"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2A414AF"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Erectilis dysfunctio</w:t>
            </w:r>
          </w:p>
        </w:tc>
      </w:tr>
      <w:tr w:rsidR="007F2986" w14:paraId="25DB3109" w14:textId="77777777" w:rsidTr="00AF1AD1">
        <w:tc>
          <w:tcPr>
            <w:tcW w:w="2599" w:type="dxa"/>
            <w:vMerge w:val="restart"/>
            <w:tcBorders>
              <w:top w:val="single" w:sz="5" w:space="0" w:color="000000"/>
              <w:left w:val="single" w:sz="5" w:space="0" w:color="000000"/>
              <w:right w:val="single" w:sz="5" w:space="0" w:color="000000"/>
            </w:tcBorders>
            <w:tcMar>
              <w:top w:w="57" w:type="dxa"/>
              <w:bottom w:w="57" w:type="dxa"/>
            </w:tcMar>
          </w:tcPr>
          <w:p w14:paraId="0342F704"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Általános tünetek, az</w:t>
            </w:r>
          </w:p>
          <w:p w14:paraId="3B0B0AC7"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alkalmazás helyén fellépő</w:t>
            </w:r>
          </w:p>
          <w:p w14:paraId="31A94239"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reakciók*</w:t>
            </w:r>
          </w:p>
        </w:tc>
        <w:tc>
          <w:tcPr>
            <w:tcW w:w="2076" w:type="dxa"/>
            <w:tcBorders>
              <w:top w:val="single" w:sz="5" w:space="0" w:color="000000"/>
              <w:left w:val="single" w:sz="5" w:space="0" w:color="000000"/>
              <w:right w:val="single" w:sz="5" w:space="0" w:color="000000"/>
            </w:tcBorders>
            <w:tcMar>
              <w:top w:w="57" w:type="dxa"/>
              <w:bottom w:w="57" w:type="dxa"/>
            </w:tcMar>
          </w:tcPr>
          <w:p w14:paraId="455E4B97"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Nagyon gyakori</w:t>
            </w:r>
          </w:p>
        </w:tc>
        <w:tc>
          <w:tcPr>
            <w:tcW w:w="4574" w:type="dxa"/>
            <w:tcBorders>
              <w:top w:val="single" w:sz="5" w:space="0" w:color="000000"/>
              <w:left w:val="single" w:sz="5" w:space="0" w:color="000000"/>
              <w:right w:val="single" w:sz="5" w:space="0" w:color="000000"/>
            </w:tcBorders>
            <w:tcMar>
              <w:top w:w="57" w:type="dxa"/>
              <w:bottom w:w="57" w:type="dxa"/>
            </w:tcMar>
          </w:tcPr>
          <w:p w14:paraId="4D86B340"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4"/>
                <w:lang w:val="hu-HU"/>
              </w:rPr>
              <w:t>Az injekció beadásának helyén fellépő reakció (beleértve az injekció beadási helyén jelentkező</w:t>
            </w:r>
          </w:p>
          <w:p w14:paraId="43977E75"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erythemát is)</w:t>
            </w:r>
          </w:p>
        </w:tc>
      </w:tr>
      <w:tr w:rsidR="007F2986" w:rsidRPr="00BE4D18" w14:paraId="4A208AC2" w14:textId="77777777" w:rsidTr="00AF1AD1">
        <w:tc>
          <w:tcPr>
            <w:tcW w:w="2599" w:type="dxa"/>
            <w:vMerge/>
            <w:tcBorders>
              <w:left w:val="single" w:sz="5" w:space="0" w:color="000000"/>
              <w:right w:val="single" w:sz="5" w:space="0" w:color="000000"/>
            </w:tcBorders>
            <w:tcMar>
              <w:top w:w="57" w:type="dxa"/>
              <w:bottom w:w="57" w:type="dxa"/>
            </w:tcMar>
          </w:tcPr>
          <w:p w14:paraId="64F4FAA3"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5402D49"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A161CD7"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Mellkasi fájdalom</w:t>
            </w:r>
          </w:p>
          <w:p w14:paraId="2D5D3D59" w14:textId="77777777" w:rsidR="007F2986" w:rsidRDefault="007F2986" w:rsidP="00CC2E43">
            <w:pPr>
              <w:pStyle w:val="TableParagraph"/>
              <w:ind w:left="99"/>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oedema, </w:t>
            </w:r>
          </w:p>
          <w:p w14:paraId="6D073F9E"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láz</w:t>
            </w:r>
            <w:r>
              <w:rPr>
                <w:rFonts w:ascii="Times New Roman" w:eastAsia="Times New Roman" w:hAnsi="Times New Roman" w:cs="Times New Roman"/>
                <w:spacing w:val="-1"/>
                <w:vertAlign w:val="superscript"/>
                <w:lang w:val="hu-HU"/>
              </w:rPr>
              <w:t>1)</w:t>
            </w:r>
          </w:p>
        </w:tc>
      </w:tr>
      <w:tr w:rsidR="007F2986" w14:paraId="0DA303D9" w14:textId="77777777" w:rsidTr="00AF1AD1">
        <w:tc>
          <w:tcPr>
            <w:tcW w:w="2599" w:type="dxa"/>
            <w:vMerge/>
            <w:tcBorders>
              <w:left w:val="single" w:sz="5" w:space="0" w:color="000000"/>
              <w:bottom w:val="single" w:sz="5" w:space="0" w:color="000000"/>
              <w:right w:val="single" w:sz="5" w:space="0" w:color="000000"/>
            </w:tcBorders>
            <w:tcMar>
              <w:top w:w="57" w:type="dxa"/>
              <w:bottom w:w="57" w:type="dxa"/>
            </w:tcMar>
          </w:tcPr>
          <w:p w14:paraId="5D77FFC7" w14:textId="77777777" w:rsidR="007F2986" w:rsidRDefault="007F2986" w:rsidP="00CC2E43">
            <w:pPr>
              <w:rPr>
                <w:rFonts w:ascii="Times New Roman" w:hAnsi="Times New Roman" w:cs="Times New Roman"/>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F9C642F"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Nem 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0DBC58B0"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4"/>
                <w:lang w:val="hu-HU"/>
              </w:rPr>
              <w:t>Gyulladás</w:t>
            </w:r>
          </w:p>
        </w:tc>
      </w:tr>
      <w:tr w:rsidR="007F2986" w:rsidRPr="00BE4D18" w14:paraId="3F2DDFE3" w14:textId="77777777" w:rsidTr="00AF1AD1">
        <w:tc>
          <w:tcPr>
            <w:tcW w:w="2599" w:type="dxa"/>
            <w:vMerge w:val="restart"/>
            <w:tcBorders>
              <w:top w:val="single" w:sz="5" w:space="0" w:color="000000"/>
              <w:left w:val="single" w:sz="5" w:space="0" w:color="000000"/>
              <w:right w:val="single" w:sz="5" w:space="0" w:color="000000"/>
            </w:tcBorders>
            <w:tcMar>
              <w:top w:w="57" w:type="dxa"/>
              <w:bottom w:w="57" w:type="dxa"/>
            </w:tcMar>
          </w:tcPr>
          <w:p w14:paraId="41D7603E"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4"/>
                <w:lang w:val="hu-HU"/>
              </w:rPr>
              <w:t>Laboratóriumi és egyéb vizsgálatok eredményei*</w:t>
            </w: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7E93FE24"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0E89A032"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Véralvadási zavar vagy vérzékenység (beleértve az aktivált parciális thromboplastin-idő megnyúlását is),</w:t>
            </w:r>
          </w:p>
          <w:p w14:paraId="50D34E0B"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az autoantitest-vizsgálat pozitívvá válása (beleértve a kettős szálú DNS-ellenes antitestet is),</w:t>
            </w:r>
          </w:p>
          <w:p w14:paraId="5565D875"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1"/>
                <w:lang w:val="hu-HU"/>
              </w:rPr>
              <w:t>a vér laktát-dehidrogenáz-szintjének emelkedése</w:t>
            </w:r>
          </w:p>
        </w:tc>
      </w:tr>
      <w:tr w:rsidR="007F2986" w:rsidRPr="00ED0DD9" w14:paraId="491B39D9" w14:textId="77777777" w:rsidTr="00AF1AD1">
        <w:tc>
          <w:tcPr>
            <w:tcW w:w="2599" w:type="dxa"/>
            <w:vMerge/>
            <w:tcBorders>
              <w:left w:val="single" w:sz="5" w:space="0" w:color="000000"/>
              <w:bottom w:val="single" w:sz="5" w:space="0" w:color="000000"/>
              <w:right w:val="single" w:sz="5" w:space="0" w:color="000000"/>
            </w:tcBorders>
            <w:tcMar>
              <w:top w:w="57" w:type="dxa"/>
              <w:bottom w:w="57" w:type="dxa"/>
            </w:tcMar>
          </w:tcPr>
          <w:p w14:paraId="5DF2EA12" w14:textId="77777777" w:rsidR="007F2986" w:rsidRDefault="007F2986" w:rsidP="00CC2E43">
            <w:pPr>
              <w:pStyle w:val="TableParagraph"/>
              <w:ind w:left="102"/>
              <w:rPr>
                <w:rFonts w:ascii="Times New Roman" w:eastAsia="Times New Roman" w:hAnsi="Times New Roman" w:cs="Times New Roman"/>
                <w:spacing w:val="-4"/>
                <w:lang w:val="hu-HU"/>
              </w:rPr>
            </w:pP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B0A8FE0" w14:textId="77777777" w:rsidR="007F2986" w:rsidRDefault="007F2986" w:rsidP="00CC2E43">
            <w:pPr>
              <w:pStyle w:val="TableParagraph"/>
              <w:ind w:left="102"/>
              <w:rPr>
                <w:rFonts w:ascii="Times New Roman" w:eastAsia="Times New Roman" w:hAnsi="Times New Roman" w:cs="Times New Roman"/>
                <w:spacing w:val="-2"/>
                <w:lang w:val="hu-HU"/>
              </w:rPr>
            </w:pPr>
            <w:r w:rsidRPr="00ED0DD9">
              <w:rPr>
                <w:rFonts w:ascii="Times New Roman" w:eastAsia="Times New Roman" w:hAnsi="Times New Roman" w:cs="Times New Roman"/>
                <w:spacing w:val="-2"/>
                <w:lang w:val="hu-HU"/>
              </w:rPr>
              <w:t>Nem ismert</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F3E6E52" w14:textId="77777777" w:rsidR="007F2986" w:rsidRDefault="007F2986" w:rsidP="00CC2E43">
            <w:pPr>
              <w:pStyle w:val="TableParagraph"/>
              <w:ind w:left="99"/>
              <w:rPr>
                <w:rFonts w:ascii="Times New Roman" w:eastAsia="Times New Roman" w:hAnsi="Times New Roman" w:cs="Times New Roman"/>
                <w:spacing w:val="-1"/>
                <w:lang w:val="hu-HU"/>
              </w:rPr>
            </w:pPr>
            <w:r w:rsidRPr="00ED0DD9">
              <w:rPr>
                <w:rFonts w:ascii="Times New Roman" w:eastAsia="Times New Roman" w:hAnsi="Times New Roman" w:cs="Times New Roman"/>
                <w:spacing w:val="-1"/>
                <w:lang w:val="hu-HU"/>
              </w:rPr>
              <w:t>Testtömeg növekedése</w:t>
            </w:r>
            <w:r w:rsidRPr="00526958">
              <w:rPr>
                <w:rFonts w:ascii="Times New Roman" w:eastAsia="Times New Roman" w:hAnsi="Times New Roman" w:cs="Times New Roman"/>
                <w:spacing w:val="-1"/>
                <w:vertAlign w:val="superscript"/>
                <w:lang w:val="hu-HU"/>
              </w:rPr>
              <w:t>2)</w:t>
            </w:r>
          </w:p>
        </w:tc>
      </w:tr>
      <w:tr w:rsidR="007F2986" w:rsidRPr="00BE4D18" w14:paraId="78DA1302" w14:textId="77777777" w:rsidTr="00AF1AD1">
        <w:tc>
          <w:tcPr>
            <w:tcW w:w="259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34870FA0"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Sérülés, mérgezés és a beavatkozással kapcsolatos szövődmények</w:t>
            </w:r>
          </w:p>
        </w:tc>
        <w:tc>
          <w:tcPr>
            <w:tcW w:w="2076" w:type="dxa"/>
            <w:tcBorders>
              <w:top w:val="single" w:sz="5" w:space="0" w:color="000000"/>
              <w:left w:val="single" w:sz="5" w:space="0" w:color="000000"/>
              <w:bottom w:val="single" w:sz="5" w:space="0" w:color="000000"/>
              <w:right w:val="single" w:sz="5" w:space="0" w:color="000000"/>
            </w:tcBorders>
            <w:tcMar>
              <w:top w:w="57" w:type="dxa"/>
              <w:bottom w:w="57" w:type="dxa"/>
            </w:tcMar>
          </w:tcPr>
          <w:p w14:paraId="3C6F4624" w14:textId="77777777" w:rsidR="007F2986" w:rsidRDefault="007F2986" w:rsidP="00CC2E43">
            <w:pPr>
              <w:pStyle w:val="TableParagraph"/>
              <w:ind w:left="102"/>
              <w:rPr>
                <w:rFonts w:ascii="Times New Roman" w:eastAsia="Times New Roman" w:hAnsi="Times New Roman" w:cs="Times New Roman"/>
                <w:lang w:val="hu-HU"/>
              </w:rPr>
            </w:pPr>
            <w:r>
              <w:rPr>
                <w:rFonts w:ascii="Times New Roman" w:eastAsia="Times New Roman" w:hAnsi="Times New Roman" w:cs="Times New Roman"/>
                <w:spacing w:val="-2"/>
                <w:lang w:val="hu-HU"/>
              </w:rPr>
              <w:t>Gyakori</w:t>
            </w:r>
          </w:p>
        </w:tc>
        <w:tc>
          <w:tcPr>
            <w:tcW w:w="4574" w:type="dxa"/>
            <w:tcBorders>
              <w:top w:val="single" w:sz="5" w:space="0" w:color="000000"/>
              <w:left w:val="single" w:sz="5" w:space="0" w:color="000000"/>
              <w:bottom w:val="single" w:sz="5" w:space="0" w:color="000000"/>
              <w:right w:val="single" w:sz="5" w:space="0" w:color="000000"/>
            </w:tcBorders>
            <w:tcMar>
              <w:top w:w="57" w:type="dxa"/>
              <w:bottom w:w="57" w:type="dxa"/>
            </w:tcMar>
          </w:tcPr>
          <w:p w14:paraId="13E2A4D4" w14:textId="77777777" w:rsidR="007F2986" w:rsidRDefault="007F2986" w:rsidP="00CC2E43">
            <w:pPr>
              <w:pStyle w:val="TableParagraph"/>
              <w:ind w:left="99"/>
              <w:rPr>
                <w:rFonts w:ascii="Times New Roman" w:eastAsia="Times New Roman" w:hAnsi="Times New Roman" w:cs="Times New Roman"/>
                <w:lang w:val="hu-HU"/>
              </w:rPr>
            </w:pPr>
            <w:r>
              <w:rPr>
                <w:rFonts w:ascii="Times New Roman" w:eastAsia="Times New Roman" w:hAnsi="Times New Roman" w:cs="Times New Roman"/>
                <w:spacing w:val="-2"/>
                <w:lang w:val="hu-HU"/>
              </w:rPr>
              <w:t>Sebgyógyulási zavar</w:t>
            </w:r>
          </w:p>
        </w:tc>
      </w:tr>
    </w:tbl>
    <w:p w14:paraId="61182431" w14:textId="77777777" w:rsidR="007F2986" w:rsidRDefault="007F2986" w:rsidP="007F2986">
      <w:pPr>
        <w:spacing w:before="1" w:line="150" w:lineRule="exact"/>
        <w:rPr>
          <w:sz w:val="15"/>
          <w:szCs w:val="15"/>
          <w:lang w:val="hu-HU"/>
        </w:rPr>
      </w:pPr>
    </w:p>
    <w:p w14:paraId="76315E5D" w14:textId="77777777" w:rsidR="007F2986" w:rsidRDefault="007F2986" w:rsidP="005A05DE">
      <w:pPr>
        <w:pStyle w:val="a3"/>
        <w:numPr>
          <w:ilvl w:val="0"/>
          <w:numId w:val="0"/>
        </w:numPr>
        <w:ind w:leftChars="100" w:left="220"/>
        <w:rPr>
          <w:lang w:val="hu-HU"/>
        </w:rPr>
      </w:pPr>
      <w:r>
        <w:rPr>
          <w:rFonts w:eastAsia="Times New Roman"/>
          <w:lang w:val="hu-HU"/>
        </w:rPr>
        <w:t>* a 4.3., 4.4. és 4.8. pontban további információ található</w:t>
      </w:r>
    </w:p>
    <w:p w14:paraId="5EFE0B92" w14:textId="77777777" w:rsidR="007F2986" w:rsidRDefault="007F2986" w:rsidP="005A05DE">
      <w:pPr>
        <w:pStyle w:val="a3"/>
        <w:ind w:leftChars="100" w:left="220"/>
        <w:rPr>
          <w:lang w:val="hu-HU"/>
        </w:rPr>
      </w:pPr>
      <w:r>
        <w:rPr>
          <w:rFonts w:eastAsia="Times New Roman"/>
          <w:lang w:val="hu-HU"/>
        </w:rPr>
        <w:t>**  a nyílt, kiterjesztett vizsgálatokat is beleértve</w:t>
      </w:r>
    </w:p>
    <w:p w14:paraId="530ECE8F" w14:textId="77777777" w:rsidR="007F2986" w:rsidRDefault="007F2986" w:rsidP="005A05DE">
      <w:pPr>
        <w:pStyle w:val="a3"/>
        <w:ind w:leftChars="100" w:left="220"/>
        <w:rPr>
          <w:rFonts w:eastAsia="Times New Roman"/>
          <w:position w:val="8"/>
          <w:lang w:val="hu-HU"/>
        </w:rPr>
      </w:pPr>
      <w:r w:rsidRPr="009167C6">
        <w:rPr>
          <w:rFonts w:eastAsia="Times New Roman"/>
          <w:position w:val="8"/>
          <w:vertAlign w:val="superscript"/>
          <w:lang w:val="hu-HU"/>
        </w:rPr>
        <w:t>1)</w:t>
      </w:r>
      <w:r w:rsidRPr="009167C6">
        <w:rPr>
          <w:rFonts w:eastAsia="Times New Roman"/>
          <w:position w:val="8"/>
          <w:lang w:val="hu-HU"/>
        </w:rPr>
        <w:t xml:space="preserve"> </w:t>
      </w:r>
      <w:r w:rsidRPr="00CF5D7A">
        <w:rPr>
          <w:rFonts w:eastAsia="Times New Roman"/>
          <w:position w:val="8"/>
          <w:lang w:val="hu-HU"/>
        </w:rPr>
        <w:t>a spontán jelentéseket is beleértve</w:t>
      </w:r>
    </w:p>
    <w:p w14:paraId="7A171AB7" w14:textId="77777777" w:rsidR="007F2986" w:rsidRPr="00CF5D7A" w:rsidRDefault="007F2986" w:rsidP="005A05DE">
      <w:pPr>
        <w:pStyle w:val="a3"/>
        <w:ind w:leftChars="100" w:left="396" w:hangingChars="80" w:hanging="176"/>
        <w:rPr>
          <w:lang w:val="hu-HU"/>
        </w:rPr>
      </w:pPr>
      <w:r w:rsidRPr="00526958">
        <w:rPr>
          <w:vertAlign w:val="superscript"/>
          <w:lang w:val="hu-HU"/>
        </w:rPr>
        <w:t>2)</w:t>
      </w:r>
      <w:r w:rsidRPr="00ED0DD9">
        <w:rPr>
          <w:lang w:val="hu-HU"/>
        </w:rPr>
        <w:t xml:space="preserve"> 4–6 hónapos kezelési időszak alatt a kiindulási értékhez képest a testtömeg átlagos változása az adalimumab esetében +0,3 kg és +1,0 kg között volt a felnőtt indikációkban, míg a placebo esetében ugyanez –0,4 kg és +0,4 kg között volt. Vizsgálatok hosszú távú kiterjesztési szakaszában 5-6 kg-os testtömegnövekedést is megfigyeltek átlagosan kb. 1-2 év expozíció során, kontrollcsoport nélkül, különösen a Crohn-betegségben és a colitis ulcerosában szenvedő betegek esetében. Ennek a hatásnak a mechanizmusa nem tisztázott, de összefügghet az adalimumab gyulladáscsökkentő hatásával.</w:t>
      </w:r>
    </w:p>
    <w:p w14:paraId="6368C55B" w14:textId="77777777" w:rsidR="007F2986" w:rsidRDefault="007F2986" w:rsidP="007F2986">
      <w:pPr>
        <w:spacing w:before="13" w:line="240" w:lineRule="exact"/>
        <w:rPr>
          <w:sz w:val="24"/>
          <w:szCs w:val="24"/>
          <w:lang w:val="hu-HU"/>
        </w:rPr>
      </w:pPr>
    </w:p>
    <w:p w14:paraId="22892203" w14:textId="77777777" w:rsidR="007F2986" w:rsidRDefault="007F2986" w:rsidP="007F2986">
      <w:pPr>
        <w:pStyle w:val="a3"/>
        <w:rPr>
          <w:u w:val="single"/>
          <w:lang w:val="hu-HU"/>
        </w:rPr>
      </w:pPr>
      <w:r>
        <w:rPr>
          <w:rFonts w:eastAsia="Times New Roman"/>
          <w:u w:val="single" w:color="000000"/>
          <w:lang w:val="hu-HU"/>
        </w:rPr>
        <w:t>Uveitis</w:t>
      </w:r>
    </w:p>
    <w:p w14:paraId="01EA860A" w14:textId="77777777" w:rsidR="007F2986" w:rsidRDefault="007F2986" w:rsidP="007F2986">
      <w:pPr>
        <w:spacing w:before="1" w:line="180" w:lineRule="exact"/>
        <w:rPr>
          <w:sz w:val="18"/>
          <w:szCs w:val="18"/>
          <w:lang w:val="hu-HU"/>
        </w:rPr>
      </w:pPr>
    </w:p>
    <w:p w14:paraId="1D24E2E9" w14:textId="77777777" w:rsidR="007F2986" w:rsidRDefault="007F2986" w:rsidP="007F2986">
      <w:pPr>
        <w:pStyle w:val="a3"/>
        <w:rPr>
          <w:lang w:val="hu-HU"/>
        </w:rPr>
      </w:pPr>
      <w:r>
        <w:rPr>
          <w:rFonts w:eastAsia="Times New Roman"/>
          <w:lang w:val="hu-HU"/>
        </w:rPr>
        <w:t>A biztonságossági profil a minden második héten adalimumabbal kezelt, uveitisben szenvedő betegek esetén megegyezett az adalimumab ismert biztonságossági profiljával.</w:t>
      </w:r>
    </w:p>
    <w:p w14:paraId="2B21BDBE" w14:textId="77777777" w:rsidR="007F2986" w:rsidRDefault="007F2986" w:rsidP="007F2986">
      <w:pPr>
        <w:spacing w:before="11" w:line="240" w:lineRule="exact"/>
        <w:rPr>
          <w:sz w:val="24"/>
          <w:szCs w:val="24"/>
          <w:lang w:val="hu-HU"/>
        </w:rPr>
      </w:pPr>
    </w:p>
    <w:p w14:paraId="4878FC3D" w14:textId="77777777" w:rsidR="007F2986" w:rsidRPr="00CE42DC" w:rsidRDefault="007F2986" w:rsidP="007F2986">
      <w:pPr>
        <w:pStyle w:val="a3"/>
        <w:rPr>
          <w:u w:val="single"/>
          <w:lang w:val="hu-HU"/>
        </w:rPr>
      </w:pPr>
      <w:r w:rsidRPr="00CE42DC">
        <w:rPr>
          <w:rFonts w:eastAsia="Times New Roman"/>
          <w:u w:val="single" w:color="000000"/>
          <w:lang w:val="hu-HU"/>
        </w:rPr>
        <w:t>Kiválasztott mellékhatások leírása</w:t>
      </w:r>
    </w:p>
    <w:p w14:paraId="64717E4F" w14:textId="77777777" w:rsidR="007F2986" w:rsidRDefault="007F2986" w:rsidP="007F2986">
      <w:pPr>
        <w:pStyle w:val="a3"/>
        <w:rPr>
          <w:sz w:val="18"/>
          <w:szCs w:val="18"/>
          <w:lang w:val="hu-HU"/>
        </w:rPr>
      </w:pPr>
    </w:p>
    <w:p w14:paraId="710787D8" w14:textId="77777777" w:rsidR="007F2986" w:rsidRDefault="007F2986" w:rsidP="007F2986">
      <w:pPr>
        <w:pStyle w:val="a3"/>
        <w:rPr>
          <w:rFonts w:eastAsia="Times New Roman"/>
          <w:lang w:val="hu-HU"/>
        </w:rPr>
      </w:pPr>
      <w:r>
        <w:rPr>
          <w:rFonts w:eastAsia="Times New Roman"/>
          <w:i/>
          <w:iCs/>
          <w:spacing w:val="-1"/>
          <w:lang w:val="hu-HU"/>
        </w:rPr>
        <w:t>Az injekció helyén fellépő reakciók</w:t>
      </w:r>
    </w:p>
    <w:p w14:paraId="48F35FEE" w14:textId="77777777" w:rsidR="007F2986" w:rsidRDefault="007F2986" w:rsidP="007F2986">
      <w:pPr>
        <w:pStyle w:val="a3"/>
        <w:rPr>
          <w:sz w:val="24"/>
          <w:szCs w:val="24"/>
          <w:lang w:val="hu-HU"/>
        </w:rPr>
      </w:pPr>
    </w:p>
    <w:p w14:paraId="3BB40E0B" w14:textId="77777777" w:rsidR="007F2986" w:rsidRDefault="007F2986" w:rsidP="007F2986">
      <w:pPr>
        <w:pStyle w:val="a3"/>
        <w:rPr>
          <w:lang w:val="hu-HU"/>
        </w:rPr>
      </w:pPr>
      <w:r>
        <w:rPr>
          <w:rFonts w:eastAsia="Times New Roman"/>
          <w:lang w:val="hu-HU"/>
        </w:rPr>
        <w:t>A felnőttek és gyermekek bevonásával végzett pivotális, kontrollos vizsgálatokban, adalimumabbal kezelt betegek 12,9%-ánál alakult ki lokális reakció az injekció helyén (bőrpír és/vagy viszketés, vérzés, fájdalom vagy duzzadás), míg a placebo- vagy aktív kontroll-csoportban a betegek 7,2%-ánál. A helyi reakciók általában nem tették szükségessé a kezelés felfüggesztésétAz injekció helyén fellépő reakciók általában nem tették szükségessé a kezelés felfüggesztését.</w:t>
      </w:r>
    </w:p>
    <w:p w14:paraId="058B9B02" w14:textId="77777777" w:rsidR="007F2986" w:rsidRDefault="007F2986" w:rsidP="007F2986">
      <w:pPr>
        <w:pStyle w:val="a3"/>
        <w:rPr>
          <w:lang w:val="hu-HU"/>
        </w:rPr>
      </w:pPr>
    </w:p>
    <w:p w14:paraId="57C65B7D" w14:textId="77777777" w:rsidR="007F2986" w:rsidRDefault="007F2986" w:rsidP="007F2986">
      <w:pPr>
        <w:pStyle w:val="a3"/>
        <w:rPr>
          <w:rFonts w:eastAsia="Times New Roman"/>
          <w:lang w:val="hu-HU"/>
        </w:rPr>
      </w:pPr>
      <w:r>
        <w:rPr>
          <w:rFonts w:eastAsia="Times New Roman"/>
          <w:i/>
          <w:iCs/>
          <w:spacing w:val="-1"/>
          <w:lang w:val="hu-HU"/>
        </w:rPr>
        <w:t>Fertőzések</w:t>
      </w:r>
    </w:p>
    <w:p w14:paraId="6FB0BA5A" w14:textId="77777777" w:rsidR="007F2986" w:rsidRDefault="007F2986" w:rsidP="007F2986">
      <w:pPr>
        <w:pStyle w:val="a3"/>
        <w:rPr>
          <w:lang w:val="hu-HU"/>
        </w:rPr>
      </w:pPr>
    </w:p>
    <w:p w14:paraId="69E9F6C5" w14:textId="77777777" w:rsidR="007F2986" w:rsidRDefault="007F2986" w:rsidP="007F2986">
      <w:pPr>
        <w:pStyle w:val="a3"/>
        <w:rPr>
          <w:lang w:val="hu-HU"/>
        </w:rPr>
      </w:pPr>
      <w:r>
        <w:rPr>
          <w:rFonts w:eastAsia="Times New Roman"/>
          <w:lang w:val="hu-HU"/>
        </w:rPr>
        <w:t>A felnőttek és gyermekek bevonásával végzett pivotális, kontrollos vizsgálatokban a fertőzések arányszáma az adalimumabbal kezelt csoportban betegévenként 1,51 volt, míg betegévenként 1,46 volt a placebóval és az aktív kontroll-készítménnyel kezelt betegek csoportjában. A fertőzések döntő többsége nasopharyngitis, felső légúti fertőzés és sinusitis volt. Az adalimumab-kezelést a fertőzés megszűnését követően a betegek nagy részénél folytatni lehetett.</w:t>
      </w:r>
    </w:p>
    <w:p w14:paraId="4FACC8F2" w14:textId="77777777" w:rsidR="007F2986" w:rsidRDefault="007F2986" w:rsidP="007F2986">
      <w:pPr>
        <w:pStyle w:val="a3"/>
        <w:rPr>
          <w:lang w:val="hu-HU"/>
        </w:rPr>
      </w:pPr>
    </w:p>
    <w:p w14:paraId="32A5BC8A" w14:textId="77777777" w:rsidR="007F2986" w:rsidRDefault="007F2986" w:rsidP="007F2986">
      <w:pPr>
        <w:pStyle w:val="a3"/>
        <w:rPr>
          <w:lang w:val="hu-HU"/>
        </w:rPr>
      </w:pPr>
      <w:r>
        <w:rPr>
          <w:rFonts w:eastAsia="Times New Roman"/>
          <w:lang w:val="hu-HU"/>
        </w:rPr>
        <w:t>A súlyos fertőzések incidenciája 0,04 volt betegévenként az adalimumabbal kezeltek csoportjában, míg 0,03 volt betegévenként a placebóval és az aktív kontrollal kezelt betegek csoportjában</w:t>
      </w:r>
    </w:p>
    <w:p w14:paraId="1B3EBEB2" w14:textId="77777777" w:rsidR="007F2986" w:rsidRDefault="007F2986" w:rsidP="007F2986">
      <w:pPr>
        <w:pStyle w:val="a3"/>
        <w:rPr>
          <w:lang w:val="hu-HU"/>
        </w:rPr>
      </w:pPr>
    </w:p>
    <w:p w14:paraId="51266DDB" w14:textId="77777777" w:rsidR="007F2986" w:rsidRDefault="007F2986" w:rsidP="007F2986">
      <w:pPr>
        <w:pStyle w:val="a3"/>
        <w:rPr>
          <w:lang w:val="hu-HU"/>
        </w:rPr>
      </w:pPr>
      <w:r>
        <w:rPr>
          <w:rFonts w:eastAsia="Times New Roman"/>
          <w:lang w:val="hu-HU"/>
        </w:rPr>
        <w:t xml:space="preserve">Az adalimumabbal végzett kontrollált és a nyílt vizsgálatokban súlyos fertőzésekről (beleértve halálos kimenetelű fertőzést, amely csak ritkán fordult elő) számoltak be többek között tuberkulózisról (miliaris és extrapulmonális előfordulással) és invazív opportunista fertőzésekről (például disszeminált vagy extrapulmonalis histoplasmosis, blastomycosis, coccidioidomycosis, pneumocystis, candidiasis, aspergillosis és listeriosis). A tuberkulózisos megbetegedések többsége a adalimumab – kezelés első 8 hónapjában </w:t>
      </w:r>
      <w:r>
        <w:rPr>
          <w:rFonts w:eastAsia="Times New Roman"/>
          <w:lang w:val="hu-HU"/>
        </w:rPr>
        <w:lastRenderedPageBreak/>
        <w:t>következett be és korábbi betegség kiújulásaként manifesztálódhatott.</w:t>
      </w:r>
    </w:p>
    <w:p w14:paraId="4A51576E" w14:textId="77777777" w:rsidR="007F2986" w:rsidRDefault="007F2986" w:rsidP="007F2986">
      <w:pPr>
        <w:pStyle w:val="a3"/>
        <w:rPr>
          <w:lang w:val="hu-HU"/>
        </w:rPr>
      </w:pPr>
    </w:p>
    <w:p w14:paraId="2D93EDE1" w14:textId="77777777" w:rsidR="007F2986" w:rsidRDefault="007F2986" w:rsidP="007F2986">
      <w:pPr>
        <w:pStyle w:val="a3"/>
        <w:rPr>
          <w:rFonts w:eastAsia="Times New Roman"/>
          <w:lang w:val="hu-HU"/>
        </w:rPr>
      </w:pPr>
      <w:r>
        <w:rPr>
          <w:rFonts w:eastAsia="Times New Roman"/>
          <w:i/>
          <w:iCs/>
          <w:spacing w:val="-1"/>
          <w:lang w:val="hu-HU"/>
        </w:rPr>
        <w:t>Rosszindulatú és lymphoproliferatív betegségek</w:t>
      </w:r>
    </w:p>
    <w:p w14:paraId="1F199F31" w14:textId="77777777" w:rsidR="007F2986" w:rsidRDefault="007F2986" w:rsidP="007F2986">
      <w:pPr>
        <w:pStyle w:val="a3"/>
        <w:rPr>
          <w:lang w:val="hu-HU"/>
        </w:rPr>
      </w:pPr>
    </w:p>
    <w:p w14:paraId="34FCD519" w14:textId="322C4754" w:rsidR="007F2986" w:rsidRDefault="007F2986" w:rsidP="007F2986">
      <w:pPr>
        <w:pStyle w:val="a3"/>
        <w:rPr>
          <w:lang w:val="hu-HU"/>
        </w:rPr>
      </w:pPr>
      <w:r>
        <w:rPr>
          <w:rFonts w:eastAsia="Times New Roman"/>
          <w:lang w:val="hu-HU"/>
        </w:rPr>
        <w:t>A juvenilis idiopathiás arthritisben (polyarticularis juvenilis idiopathiás arthritisben és enthesitis-asszociált arthritisben) szenvedő betegek körében adalimumabbal végzett vizsgálatokban 655,6 betegévnyi expozíciónak kitett, 249 pediátriai betegnél nem figyeltek meg malignitást. Ezen kívül Crohn-betegségben szenvedő betegek körében adalimumabbal végzett vizsgálatokban 498,1 betegévnyi expozíciónak kitett, 192 pediátriai betegnél nem figyeltek meg malignitást. Krónikus plakkos psoriasisban szenvedő gyermekeknél adalimumabbal végzett vizsgálatban 80 betegévnyi expozíciónak kitett, 77 pediátriai betegnél nem figyeltek meg malignitást.</w:t>
      </w:r>
      <w:r w:rsidRPr="004E2591">
        <w:rPr>
          <w:shd w:val="clear" w:color="auto" w:fill="FFFFFF"/>
          <w:lang w:val="hu-HU"/>
        </w:rPr>
        <w:t xml:space="preserve"> </w:t>
      </w:r>
      <w:r>
        <w:rPr>
          <w:rFonts w:eastAsia="Times New Roman"/>
          <w:lang w:val="hu-HU"/>
        </w:rPr>
        <w:t>Uveitisben szenvedő gyermekeknél adalimumabbal végzett vizsgálatban 58,4 betegévnyi expozíciónak kitett, 60 pediátriai betegnél nem figyeltek meg malignitást.</w:t>
      </w:r>
    </w:p>
    <w:p w14:paraId="6287DFB2" w14:textId="77777777" w:rsidR="007F2986" w:rsidRDefault="007F2986" w:rsidP="007F2986">
      <w:pPr>
        <w:spacing w:before="13" w:line="240" w:lineRule="exact"/>
        <w:rPr>
          <w:sz w:val="24"/>
          <w:szCs w:val="24"/>
          <w:lang w:val="hu-HU"/>
        </w:rPr>
      </w:pPr>
    </w:p>
    <w:p w14:paraId="119D91AC" w14:textId="77777777" w:rsidR="007F2986" w:rsidRDefault="007F2986" w:rsidP="007F2986">
      <w:pPr>
        <w:pStyle w:val="a3"/>
        <w:rPr>
          <w:lang w:val="hu-HU"/>
        </w:rPr>
      </w:pPr>
      <w:r>
        <w:rPr>
          <w:rFonts w:eastAsia="Times New Roman"/>
          <w:lang w:val="hu-HU"/>
        </w:rPr>
        <w:t xml:space="preserve">Az adalimumab hatásait közepesen súlyos vagy súlyos aktivitású rheumatoid arthritisben, spondylitis ankylopoeticában, spondylitis ankylopoeticának megfelelő röntgeneltéréssel nem járó axiális spondyloarthritisben, arthritis psoriaticában, psoriasisban, hidradenitis suppurativában, Crohn-betegségben, colitis ulcerosában és uveitisben szenvedő betegeken értékelő legalább 12 hét időtartamú, felnőttek körében végzett pivotális vizsgálatok kontrollos szakaszaiban a következőképpen alakult a rosszindulatú daganatok gyakorisága (a lymphoma és a nem melanomás bőrrák kivételével): az 1000 betegévre számított gyakoriság (95%-os konfidencia intervallum) a 5291 adalimumabbal kezelt beteg esetében 6,8 (4,4; 10,5) </w:t>
      </w:r>
      <w:r>
        <w:rPr>
          <w:rFonts w:eastAsia="Times New Roman"/>
          <w:i/>
          <w:iCs/>
          <w:lang w:val="hu-HU"/>
        </w:rPr>
        <w:t xml:space="preserve">míg </w:t>
      </w:r>
      <w:r>
        <w:rPr>
          <w:rFonts w:eastAsia="Times New Roman"/>
          <w:lang w:val="hu-HU"/>
        </w:rPr>
        <w:t>az 3444 fős kontrollcsoportban 6,3 (3,4; 11,8) volt). (A kezelés medián időtartama az adalimumab-csoportban 4,0 hónap, a kontrollcsoportban 3,8 hónap volt.) A nem melanomás bőrrák 1000 betegévre számított gyakorisága (95%-os konfidencia intervallum) az adalimumabbal kezelt betegek esetében 8,8 (6,0; 13,0), míg a kontrollcsoportban 3,2 (1,3; 7,6) volt. E bőrrákok közül a laphám-carcinoma 1000 betegévre számított gyakorisága (95%-os konfidencia intervallum) az adalimumabbal kezelt betegeknél 2,7 (1,4; 5,4), a kontrollcsoportban 0,6 (0,1, 4,5) volt. A lymphomák 1000 betegévre számított gyakorisága (95%-os konfidencia intervallum) az adalimumabbal kezelt betegek esetében 0,7 (0,2; 2,7), míg a kontrollcsoportban 0,6 (0,1; 4,5) volt.</w:t>
      </w:r>
    </w:p>
    <w:p w14:paraId="64EA3D70" w14:textId="77777777" w:rsidR="007F2986" w:rsidRDefault="007F2986" w:rsidP="007F2986">
      <w:pPr>
        <w:spacing w:before="13" w:line="240" w:lineRule="exact"/>
        <w:rPr>
          <w:sz w:val="24"/>
          <w:szCs w:val="24"/>
          <w:lang w:val="hu-HU"/>
        </w:rPr>
      </w:pPr>
    </w:p>
    <w:p w14:paraId="0943D63F" w14:textId="77777777" w:rsidR="007F2986" w:rsidRDefault="007F2986" w:rsidP="007F2986">
      <w:pPr>
        <w:pStyle w:val="a3"/>
        <w:rPr>
          <w:lang w:val="hu-HU"/>
        </w:rPr>
      </w:pPr>
      <w:r>
        <w:rPr>
          <w:rFonts w:eastAsia="Times New Roman"/>
          <w:lang w:val="hu-HU"/>
        </w:rPr>
        <w:t>E vizsgálatok kontrollos szakaszai és a folyamatban lévő, valamint befejezett nyílt kiterjesztéses vizsgálatok összevont értékelése során, melyben összesen 6427 beteget kb. 3,3 év medián időtartamig követtek (több mint 26 439 betegév), a rosszindulatú daganatok (a lymphoma és a nem melanomás bőrrák kivételével) 1000 betegévre számított gyakorisága 8,5 volt. A nem melanomás bőrrák 1000 betegévre vetített, megfigyelt aránya kb. 9,6, míg a lymphomáké kb. 1,3 volt.</w:t>
      </w:r>
    </w:p>
    <w:p w14:paraId="0A7ED93A" w14:textId="77777777" w:rsidR="007F2986" w:rsidRDefault="007F2986" w:rsidP="007F2986">
      <w:pPr>
        <w:spacing w:before="14" w:line="240" w:lineRule="exact"/>
        <w:rPr>
          <w:sz w:val="24"/>
          <w:szCs w:val="24"/>
          <w:lang w:val="hu-HU"/>
        </w:rPr>
      </w:pPr>
    </w:p>
    <w:p w14:paraId="0010CF08" w14:textId="79598169" w:rsidR="00F16701" w:rsidRDefault="00F16701" w:rsidP="00F16701">
      <w:pPr>
        <w:pStyle w:val="a3"/>
        <w:rPr>
          <w:lang w:val="hu-HU"/>
        </w:rPr>
      </w:pPr>
      <w:r>
        <w:rPr>
          <w:rFonts w:eastAsia="Times New Roman"/>
          <w:lang w:val="hu-HU"/>
        </w:rPr>
        <w:t xml:space="preserve">Az adalimumab forgalomba hozatala után (2003. január és 2010. december között), javarészt rheumatoid arthritises betegeken szerzett tapasztalatok alapján, a </w:t>
      </w:r>
      <w:r w:rsidRPr="00632EF2">
        <w:rPr>
          <w:lang w:val="hu-HU"/>
        </w:rPr>
        <w:t xml:space="preserve">spontán jelentésekből származó, </w:t>
      </w:r>
      <w:r>
        <w:rPr>
          <w:rFonts w:eastAsia="Times New Roman"/>
          <w:lang w:val="hu-HU"/>
        </w:rPr>
        <w:t>rosszindulatú daganatok</w:t>
      </w:r>
      <w:r w:rsidRPr="00F16701">
        <w:rPr>
          <w:lang w:val="hu-HU"/>
        </w:rPr>
        <w:t>ra vonatkozó</w:t>
      </w:r>
      <w:r>
        <w:rPr>
          <w:rFonts w:eastAsia="Times New Roman"/>
          <w:lang w:val="hu-HU"/>
        </w:rPr>
        <w:t xml:space="preserve"> bejelent</w:t>
      </w:r>
      <w:r w:rsidRPr="00F16701">
        <w:rPr>
          <w:lang w:val="hu-HU"/>
        </w:rPr>
        <w:t>ések</w:t>
      </w:r>
      <w:r>
        <w:rPr>
          <w:rFonts w:eastAsia="Times New Roman"/>
          <w:lang w:val="hu-HU"/>
        </w:rPr>
        <w:t xml:space="preserve"> gyakorisága kb. 2,7/1000 beteg-kezelési év. A</w:t>
      </w:r>
      <w:r>
        <w:rPr>
          <w:rFonts w:hint="eastAsia"/>
          <w:lang w:val="hu-HU" w:eastAsia="ko-KR"/>
        </w:rPr>
        <w:t xml:space="preserve"> </w:t>
      </w:r>
      <w:r w:rsidRPr="00F16701">
        <w:rPr>
          <w:lang w:val="hu-HU"/>
        </w:rPr>
        <w:t>spontán jelentésekből származó,</w:t>
      </w:r>
      <w:r>
        <w:rPr>
          <w:rFonts w:eastAsia="Times New Roman"/>
          <w:lang w:val="hu-HU"/>
        </w:rPr>
        <w:t xml:space="preserve"> nem melanomás bőrrák</w:t>
      </w:r>
      <w:r>
        <w:rPr>
          <w:rFonts w:hint="eastAsia"/>
          <w:lang w:val="hu-HU" w:eastAsia="ko-KR"/>
        </w:rPr>
        <w:t>ra</w:t>
      </w:r>
      <w:r>
        <w:rPr>
          <w:rFonts w:eastAsia="Times New Roman"/>
          <w:lang w:val="hu-HU"/>
        </w:rPr>
        <w:t xml:space="preserve"> </w:t>
      </w:r>
      <w:r w:rsidRPr="00F16701">
        <w:rPr>
          <w:lang w:val="hu-HU"/>
        </w:rPr>
        <w:t xml:space="preserve">és lymphomákra vonatkozó bejelentések gyakorisága </w:t>
      </w:r>
      <w:r>
        <w:rPr>
          <w:rFonts w:eastAsia="Times New Roman"/>
          <w:lang w:val="hu-HU"/>
        </w:rPr>
        <w:t>1000 beteg-kezelési évre számít</w:t>
      </w:r>
      <w:r>
        <w:rPr>
          <w:rFonts w:hint="eastAsia"/>
          <w:lang w:val="hu-HU" w:eastAsia="ko-KR"/>
        </w:rPr>
        <w:t>va</w:t>
      </w:r>
      <w:r>
        <w:rPr>
          <w:rFonts w:eastAsia="Times New Roman"/>
          <w:lang w:val="hu-HU"/>
        </w:rPr>
        <w:t xml:space="preserve"> 0,2, </w:t>
      </w:r>
      <w:r>
        <w:rPr>
          <w:rFonts w:hint="eastAsia"/>
          <w:lang w:val="hu-HU" w:eastAsia="ko-KR"/>
        </w:rPr>
        <w:t xml:space="preserve">illetve </w:t>
      </w:r>
      <w:r>
        <w:rPr>
          <w:rFonts w:eastAsia="Times New Roman"/>
          <w:lang w:val="hu-HU"/>
        </w:rPr>
        <w:t>0,3 volt (lásd 4.4 pont).</w:t>
      </w:r>
    </w:p>
    <w:p w14:paraId="67677A3B" w14:textId="77777777" w:rsidR="007F2986" w:rsidRPr="00F16701" w:rsidRDefault="007F2986" w:rsidP="007F2986">
      <w:pPr>
        <w:spacing w:before="17" w:line="240" w:lineRule="exact"/>
        <w:rPr>
          <w:sz w:val="24"/>
          <w:szCs w:val="24"/>
          <w:lang w:val="hu-HU"/>
        </w:rPr>
      </w:pPr>
    </w:p>
    <w:p w14:paraId="07C916AF" w14:textId="77777777" w:rsidR="007F2986" w:rsidRDefault="007F2986" w:rsidP="007F2986">
      <w:pPr>
        <w:pStyle w:val="a3"/>
        <w:rPr>
          <w:lang w:val="hu-HU"/>
        </w:rPr>
      </w:pPr>
      <w:r>
        <w:rPr>
          <w:rFonts w:eastAsia="Times New Roman"/>
          <w:lang w:val="hu-HU"/>
        </w:rPr>
        <w:t>Adalimumabbal kezelt betegeknél a forgalomba hozatalt követően ritkán hepatosplenikus T- sejtes lymphomát jelentettek (lásd 4. 4 pont).</w:t>
      </w:r>
    </w:p>
    <w:p w14:paraId="4877E49B" w14:textId="77777777" w:rsidR="007F2986" w:rsidRDefault="007F2986" w:rsidP="007F2986">
      <w:pPr>
        <w:pStyle w:val="a3"/>
        <w:rPr>
          <w:sz w:val="24"/>
          <w:szCs w:val="24"/>
          <w:lang w:val="hu-HU"/>
        </w:rPr>
      </w:pPr>
    </w:p>
    <w:p w14:paraId="3A89EE84" w14:textId="77777777" w:rsidR="007F2986" w:rsidRDefault="007F2986" w:rsidP="007F2986">
      <w:pPr>
        <w:pStyle w:val="a3"/>
        <w:rPr>
          <w:rFonts w:eastAsia="Times New Roman"/>
          <w:lang w:val="hu-HU"/>
        </w:rPr>
      </w:pPr>
      <w:r>
        <w:rPr>
          <w:rFonts w:eastAsia="Times New Roman"/>
          <w:i/>
          <w:iCs/>
          <w:spacing w:val="-1"/>
          <w:lang w:val="hu-HU"/>
        </w:rPr>
        <w:t>Autoantitestek</w:t>
      </w:r>
    </w:p>
    <w:p w14:paraId="5890207C" w14:textId="77777777" w:rsidR="007F2986" w:rsidRDefault="007F2986" w:rsidP="007F2986">
      <w:pPr>
        <w:pStyle w:val="a3"/>
        <w:rPr>
          <w:sz w:val="24"/>
          <w:szCs w:val="24"/>
          <w:lang w:val="hu-HU"/>
        </w:rPr>
      </w:pPr>
    </w:p>
    <w:p w14:paraId="2C3B096B" w14:textId="77777777" w:rsidR="007F2986" w:rsidRDefault="007F2986" w:rsidP="007F2986">
      <w:pPr>
        <w:pStyle w:val="a3"/>
        <w:rPr>
          <w:lang w:val="hu-HU"/>
        </w:rPr>
      </w:pPr>
      <w:r>
        <w:rPr>
          <w:rFonts w:eastAsia="Times New Roman"/>
          <w:lang w:val="hu-HU"/>
        </w:rPr>
        <w:t>A betegektől vett vérsavómintákban különböző időpontokban vizsgálták az autoantitesteket az I-V. rheumatoid arthritis (RA)-vizsgálatokban. Ezekben a vizsgálatokban, a negatív kiindulási antinukleáris antitest titerrel rendelkező betegek közül az adalimumabbal kezeltek 11,9%-ánál, míg a placebóval vagy aktív kontrollal kezelt betegek 8,1%-ánál fejlődött ki antinukleáris antitest titer pozitivitás a 24. hétre. Az összes rheumatoid arthritis és arthritis psoriatica vizsgálatban a 3441 adalimumabbal kezelt beteg közül kettőnél alakultak ki újonnan fellépő lupus-szerű szindróma klinikai jelei. A beteg állapota javult, amint a kezelést abbahagyták. Egy beteg esetében sem alakult ki lupus- nephritis vagy központi idegrendszeri tünet.</w:t>
      </w:r>
    </w:p>
    <w:p w14:paraId="6FE51593" w14:textId="77777777" w:rsidR="007F2986" w:rsidRDefault="007F2986" w:rsidP="007F2986">
      <w:pPr>
        <w:pStyle w:val="a3"/>
        <w:rPr>
          <w:sz w:val="24"/>
          <w:szCs w:val="24"/>
          <w:lang w:val="hu-HU"/>
        </w:rPr>
      </w:pPr>
    </w:p>
    <w:p w14:paraId="4279A216" w14:textId="77777777" w:rsidR="007F2986" w:rsidRDefault="007F2986" w:rsidP="007F2986">
      <w:pPr>
        <w:pStyle w:val="a3"/>
        <w:rPr>
          <w:rFonts w:eastAsia="Times New Roman"/>
          <w:lang w:val="hu-HU"/>
        </w:rPr>
      </w:pPr>
      <w:r>
        <w:rPr>
          <w:rFonts w:eastAsia="Times New Roman"/>
          <w:i/>
          <w:iCs/>
          <w:lang w:val="hu-HU"/>
        </w:rPr>
        <w:lastRenderedPageBreak/>
        <w:t>Hepatobiliáris események</w:t>
      </w:r>
    </w:p>
    <w:p w14:paraId="4F4BFF3B" w14:textId="77777777" w:rsidR="007F2986" w:rsidRDefault="007F2986" w:rsidP="007F2986">
      <w:pPr>
        <w:pStyle w:val="a3"/>
        <w:rPr>
          <w:sz w:val="24"/>
          <w:szCs w:val="24"/>
          <w:lang w:val="hu-HU"/>
        </w:rPr>
      </w:pPr>
    </w:p>
    <w:p w14:paraId="318B6116" w14:textId="422F12B7" w:rsidR="007F2986" w:rsidRDefault="007F2986" w:rsidP="007F2986">
      <w:pPr>
        <w:pStyle w:val="a3"/>
        <w:rPr>
          <w:lang w:val="hu-HU"/>
        </w:rPr>
      </w:pPr>
      <w:r>
        <w:rPr>
          <w:rFonts w:eastAsia="Times New Roman"/>
          <w:lang w:val="hu-HU"/>
        </w:rPr>
        <w:t>Rheumatoid arthritisben és arthritis psoriaticában szenvedő betegeknél végzett, III.</w:t>
      </w:r>
      <w:r w:rsidRPr="009167C6">
        <w:rPr>
          <w:lang w:val="hu-HU"/>
        </w:rPr>
        <w:t> </w:t>
      </w:r>
      <w:r w:rsidDel="00961E14">
        <w:rPr>
          <w:rFonts w:eastAsia="Times New Roman"/>
          <w:lang w:val="hu-HU"/>
        </w:rPr>
        <w:t xml:space="preserve"> </w:t>
      </w:r>
      <w:r>
        <w:rPr>
          <w:rFonts w:eastAsia="Times New Roman"/>
          <w:lang w:val="hu-HU"/>
        </w:rPr>
        <w:t xml:space="preserve">fázisú klinikai vizsgálatokban a 4-104 hetes ellenőrzött periódusban a </w:t>
      </w:r>
      <w:r w:rsidRPr="009167C6">
        <w:rPr>
          <w:lang w:val="hu-HU"/>
        </w:rPr>
        <w:t>GPT (ALAT)</w:t>
      </w:r>
      <w:r>
        <w:rPr>
          <w:rFonts w:eastAsia="Times New Roman"/>
          <w:lang w:val="hu-HU"/>
        </w:rPr>
        <w:t>-szint a normálérték felső határának ≥ háromszorosára történő emelkedése az adalimumabbal kezeltek 3,7%-ánál, míg a kontrollkezelést kapó betegek 1,6%-nál fordult elő.</w:t>
      </w:r>
    </w:p>
    <w:p w14:paraId="4B185CFD" w14:textId="77777777" w:rsidR="007F2986" w:rsidRDefault="007F2986" w:rsidP="007F2986">
      <w:pPr>
        <w:pStyle w:val="a3"/>
        <w:rPr>
          <w:sz w:val="24"/>
          <w:szCs w:val="24"/>
          <w:lang w:val="hu-HU"/>
        </w:rPr>
      </w:pPr>
    </w:p>
    <w:p w14:paraId="00B42124" w14:textId="196EBF2D" w:rsidR="007F2986" w:rsidRDefault="007F2986" w:rsidP="007F2986">
      <w:pPr>
        <w:pStyle w:val="a3"/>
        <w:rPr>
          <w:lang w:val="hu-HU"/>
        </w:rPr>
      </w:pPr>
      <w:r>
        <w:rPr>
          <w:rFonts w:eastAsia="Times New Roman"/>
          <w:lang w:val="hu-HU"/>
        </w:rPr>
        <w:t>Polyarticularis juvenilis idiopathiás arthritisben szenvedő, 4-17 éves és enthesitis-asszociált arthritisben szenvedő 6-17 éves betegeknél adalimumabbal végzett kontrollos III.</w:t>
      </w:r>
      <w:r w:rsidRPr="009167C6">
        <w:rPr>
          <w:lang w:val="hu-HU"/>
        </w:rPr>
        <w:t> </w:t>
      </w:r>
      <w:r w:rsidDel="00961E14">
        <w:rPr>
          <w:rFonts w:eastAsia="Times New Roman"/>
          <w:lang w:val="hu-HU"/>
        </w:rPr>
        <w:t xml:space="preserve"> </w:t>
      </w:r>
      <w:r>
        <w:rPr>
          <w:rFonts w:eastAsia="Times New Roman"/>
          <w:lang w:val="hu-HU"/>
        </w:rPr>
        <w:t xml:space="preserve">fázisú. vizsgálatok során az adalimumabbal kezelt betegek 6,1%-nál és a kontrollkezelésben részesülő betegek 1,3%-ánál a </w:t>
      </w:r>
      <w:r w:rsidRPr="007F6442">
        <w:rPr>
          <w:lang w:val="hu-HU"/>
        </w:rPr>
        <w:t>GPT (ALAT)</w:t>
      </w:r>
      <w:r>
        <w:rPr>
          <w:rFonts w:eastAsia="Times New Roman"/>
          <w:lang w:val="hu-HU"/>
        </w:rPr>
        <w:t xml:space="preserve">-szint a normálérték felső határának ≥háromszorosára emelkedett. A legtöbb </w:t>
      </w:r>
      <w:r w:rsidRPr="00522548">
        <w:rPr>
          <w:lang w:val="hu-HU"/>
        </w:rPr>
        <w:t>GPT (ALAT)</w:t>
      </w:r>
      <w:r>
        <w:rPr>
          <w:rFonts w:eastAsia="Times New Roman"/>
          <w:lang w:val="hu-HU"/>
        </w:rPr>
        <w:t>-szint emelkedés együttadott metotrexát-kezelés mellett fordult elő. Polyarticularis juvenilis idiopathiás arthritisben szenvedő, 2 - &lt;4 éves betegeknél adalimumabbal végzett kontrollos III</w:t>
      </w:r>
      <w:r w:rsidRPr="009167C6">
        <w:rPr>
          <w:lang w:val="hu-HU"/>
        </w:rPr>
        <w:t> </w:t>
      </w:r>
      <w:r>
        <w:rPr>
          <w:rFonts w:eastAsia="Times New Roman"/>
          <w:lang w:val="hu-HU"/>
        </w:rPr>
        <w:t xml:space="preserve">fázisú vizsgálatok során nem fordult elő, hogy a </w:t>
      </w:r>
      <w:r w:rsidRPr="007F6442">
        <w:rPr>
          <w:lang w:val="hu-HU"/>
        </w:rPr>
        <w:t xml:space="preserve">GPT (ALAT) </w:t>
      </w:r>
      <w:r>
        <w:rPr>
          <w:rFonts w:eastAsia="Times New Roman"/>
          <w:lang w:val="hu-HU"/>
        </w:rPr>
        <w:t xml:space="preserve"> a normálérték felső határának ≥háromszorosára emelkedett.</w:t>
      </w:r>
    </w:p>
    <w:p w14:paraId="196823A5" w14:textId="77777777" w:rsidR="007F2986" w:rsidRDefault="007F2986" w:rsidP="007F2986">
      <w:pPr>
        <w:pStyle w:val="a3"/>
        <w:rPr>
          <w:sz w:val="24"/>
          <w:szCs w:val="24"/>
          <w:lang w:val="hu-HU"/>
        </w:rPr>
      </w:pPr>
    </w:p>
    <w:p w14:paraId="4B2C21F2" w14:textId="77777777" w:rsidR="007F2986" w:rsidRDefault="007F2986" w:rsidP="007F2986">
      <w:pPr>
        <w:pStyle w:val="a3"/>
        <w:rPr>
          <w:lang w:val="hu-HU"/>
        </w:rPr>
      </w:pPr>
      <w:r>
        <w:rPr>
          <w:rFonts w:eastAsia="Times New Roman"/>
          <w:lang w:val="hu-HU"/>
        </w:rPr>
        <w:t>Crohn-betegségben és colitis ulcerosában szenvedő betegeknél adalimumabbal végzett, 4-52 hetes III.</w:t>
      </w:r>
      <w:r w:rsidRPr="009167C6">
        <w:rPr>
          <w:lang w:val="hu-HU"/>
        </w:rPr>
        <w:t xml:space="preserve">  </w:t>
      </w:r>
      <w:r w:rsidDel="00961E14">
        <w:rPr>
          <w:rFonts w:eastAsia="Times New Roman"/>
          <w:lang w:val="hu-HU"/>
        </w:rPr>
        <w:t xml:space="preserve"> </w:t>
      </w:r>
      <w:r>
        <w:rPr>
          <w:rFonts w:eastAsia="Times New Roman"/>
          <w:lang w:val="hu-HU"/>
        </w:rPr>
        <w:t>fázisú kontrollos vizsgálatokbanaz GPT(ALAT)-szint a normálérték felső határának háromszorosára történő emelkedése az adalimumabbal kezelt betegek 0,9%-ánál, valamint a kontrollal kezelt betegek 0,9%-nál fordult elő.</w:t>
      </w:r>
    </w:p>
    <w:p w14:paraId="771F1E4F" w14:textId="77777777" w:rsidR="007F2986" w:rsidRDefault="007F2986" w:rsidP="007F2986">
      <w:pPr>
        <w:spacing w:before="11" w:line="240" w:lineRule="exact"/>
        <w:rPr>
          <w:sz w:val="24"/>
          <w:szCs w:val="24"/>
          <w:lang w:val="hu-HU"/>
        </w:rPr>
      </w:pPr>
    </w:p>
    <w:p w14:paraId="7FDAB9AD" w14:textId="48A8F2DF" w:rsidR="007F2986" w:rsidRDefault="007F2986" w:rsidP="007F2986">
      <w:pPr>
        <w:pStyle w:val="a3"/>
        <w:rPr>
          <w:lang w:val="hu-HU"/>
        </w:rPr>
      </w:pPr>
      <w:r>
        <w:rPr>
          <w:rFonts w:eastAsia="Times New Roman"/>
          <w:lang w:val="hu-HU"/>
        </w:rPr>
        <w:t>A gyermekkori Crohn-betegségben szenvedő betegeknél adalimumabbal végzett III.</w:t>
      </w:r>
      <w:r w:rsidRPr="009167C6">
        <w:rPr>
          <w:lang w:val="hu-HU"/>
        </w:rPr>
        <w:t xml:space="preserve"> </w:t>
      </w:r>
      <w:r w:rsidDel="00961E14">
        <w:rPr>
          <w:rFonts w:eastAsia="Times New Roman"/>
          <w:lang w:val="hu-HU"/>
        </w:rPr>
        <w:t xml:space="preserve"> </w:t>
      </w:r>
      <w:r>
        <w:rPr>
          <w:rFonts w:eastAsia="Times New Roman"/>
          <w:lang w:val="hu-HU"/>
        </w:rPr>
        <w:t xml:space="preserve">fázisú vizsgálatban két, testsúlyra korrigált fenntartó adagolási rend hatásosságát és biztonságosságát vizsgálták 52 kezelési hétig, testsúlyra korrigált indukciós kezelést követően. A vizsgálatok során a betegek 2,6%-ánál (5/192), akik közül 4 egyidejűleg immunszuppresszánst is kapott, a </w:t>
      </w:r>
      <w:r w:rsidRPr="009167C6">
        <w:rPr>
          <w:lang w:val="hu-HU"/>
        </w:rPr>
        <w:t>GPT (ALAT)</w:t>
      </w:r>
      <w:r>
        <w:rPr>
          <w:rFonts w:eastAsia="Times New Roman"/>
          <w:lang w:val="hu-HU"/>
        </w:rPr>
        <w:t>-szint a normálérték felső határának ≥háromszorosára emelkedett</w:t>
      </w:r>
    </w:p>
    <w:p w14:paraId="05122128" w14:textId="77777777" w:rsidR="007F2986" w:rsidRDefault="007F2986" w:rsidP="007F2986">
      <w:pPr>
        <w:spacing w:before="13" w:line="240" w:lineRule="exact"/>
        <w:rPr>
          <w:sz w:val="24"/>
          <w:szCs w:val="24"/>
          <w:lang w:val="hu-HU"/>
        </w:rPr>
      </w:pPr>
    </w:p>
    <w:p w14:paraId="238EA006" w14:textId="77777777" w:rsidR="007F2986" w:rsidRDefault="007F2986" w:rsidP="007F2986">
      <w:pPr>
        <w:pStyle w:val="a3"/>
        <w:rPr>
          <w:lang w:val="hu-HU"/>
        </w:rPr>
      </w:pPr>
      <w:r>
        <w:rPr>
          <w:rFonts w:eastAsia="Times New Roman"/>
          <w:lang w:val="hu-HU"/>
        </w:rPr>
        <w:t>Plakkos psoriasisban szenvedő betegeknél adalimumabbal végzett, 12-24 hetes, III.</w:t>
      </w:r>
      <w:r w:rsidRPr="009167C6">
        <w:rPr>
          <w:lang w:val="hu-HU"/>
        </w:rPr>
        <w:t xml:space="preserve">  </w:t>
      </w:r>
      <w:r w:rsidDel="00961E14">
        <w:rPr>
          <w:rFonts w:eastAsia="Times New Roman"/>
          <w:lang w:val="hu-HU"/>
        </w:rPr>
        <w:t xml:space="preserve"> </w:t>
      </w:r>
      <w:r>
        <w:rPr>
          <w:rFonts w:eastAsia="Times New Roman"/>
          <w:lang w:val="hu-HU"/>
        </w:rPr>
        <w:t xml:space="preserve">fázisú vizsgálatokban a </w:t>
      </w:r>
      <w:r w:rsidRPr="009167C6">
        <w:rPr>
          <w:lang w:val="hu-HU"/>
        </w:rPr>
        <w:t>GPT (ALAT)</w:t>
      </w:r>
      <w:r>
        <w:rPr>
          <w:rFonts w:eastAsia="Times New Roman"/>
          <w:lang w:val="hu-HU"/>
        </w:rPr>
        <w:t>-szint a normálérték felső határának  ≥háromszorosára történő emelkedése az dalimumabbal kezelt betegek 1,8%-ánál, a kontroll-kezelés mellett a betegek 1,8%-ánál fordult elő,</w:t>
      </w:r>
    </w:p>
    <w:p w14:paraId="319DCB44" w14:textId="77777777" w:rsidR="007F2986" w:rsidRDefault="007F2986" w:rsidP="007F2986">
      <w:pPr>
        <w:spacing w:before="17" w:line="240" w:lineRule="exact"/>
        <w:rPr>
          <w:sz w:val="24"/>
          <w:szCs w:val="24"/>
          <w:lang w:val="hu-HU"/>
        </w:rPr>
      </w:pPr>
    </w:p>
    <w:p w14:paraId="0D8BB551" w14:textId="77777777" w:rsidR="007F2986" w:rsidRDefault="007F2986" w:rsidP="007F2986">
      <w:pPr>
        <w:pStyle w:val="a3"/>
        <w:rPr>
          <w:lang w:val="hu-HU"/>
        </w:rPr>
      </w:pPr>
      <w:r>
        <w:rPr>
          <w:rFonts w:eastAsia="Times New Roman"/>
          <w:lang w:val="hu-HU"/>
        </w:rPr>
        <w:t>Plakkos psoriasisban szenvedő pediátriai betegeknél adalimumabbal végzett III.</w:t>
      </w:r>
      <w:r w:rsidRPr="009167C6">
        <w:rPr>
          <w:lang w:val="hu-HU"/>
        </w:rPr>
        <w:t xml:space="preserve">  </w:t>
      </w:r>
      <w:r w:rsidDel="00961E14">
        <w:rPr>
          <w:rFonts w:eastAsia="Times New Roman"/>
          <w:lang w:val="hu-HU"/>
        </w:rPr>
        <w:t xml:space="preserve"> </w:t>
      </w:r>
      <w:r>
        <w:rPr>
          <w:rFonts w:eastAsia="Times New Roman"/>
          <w:lang w:val="hu-HU"/>
        </w:rPr>
        <w:t xml:space="preserve">fázisú vizsgálatok során nem fordult elő a </w:t>
      </w:r>
      <w:r w:rsidRPr="009167C6">
        <w:rPr>
          <w:lang w:val="hu-HU"/>
        </w:rPr>
        <w:t>GPT (ALAT)</w:t>
      </w:r>
      <w:r>
        <w:rPr>
          <w:rFonts w:eastAsia="Times New Roman"/>
          <w:lang w:val="hu-HU"/>
        </w:rPr>
        <w:t>-szintnek a normálérték felső határának  ≥háromszorosára való emelkedése.</w:t>
      </w:r>
    </w:p>
    <w:p w14:paraId="43B78E16" w14:textId="77777777" w:rsidR="007F2986" w:rsidRDefault="007F2986" w:rsidP="007F2986">
      <w:pPr>
        <w:spacing w:before="11" w:line="240" w:lineRule="exact"/>
        <w:rPr>
          <w:sz w:val="24"/>
          <w:szCs w:val="24"/>
          <w:lang w:val="hu-HU"/>
        </w:rPr>
      </w:pPr>
    </w:p>
    <w:p w14:paraId="6EC7A0B2" w14:textId="77777777" w:rsidR="007F2986" w:rsidRDefault="007F2986" w:rsidP="007F2986">
      <w:pPr>
        <w:pStyle w:val="a3"/>
        <w:rPr>
          <w:lang w:val="hu-HU"/>
        </w:rPr>
      </w:pPr>
      <w:r>
        <w:rPr>
          <w:rFonts w:eastAsia="Times New Roman"/>
          <w:lang w:val="hu-HU"/>
        </w:rPr>
        <w:t xml:space="preserve">Uveitisben szenvedő felnőtt betegeknél az adalimumabbal (kezdő dózis a 0. héten 80 mg, melyet az 1. héttől kezdve minden második héten adott 40 mg követett) végzett, 80 hétig tartó kontrollos vizsgálatokban, az adalimumabbal kezelt betegeknél 166,5 nap, a kontrollcsoportnál 105 nap medián expozíciós idő esetén, a </w:t>
      </w:r>
      <w:r w:rsidRPr="009167C6">
        <w:rPr>
          <w:lang w:val="hu-HU"/>
        </w:rPr>
        <w:t>GPT (ALAT)</w:t>
      </w:r>
      <w:r>
        <w:rPr>
          <w:rFonts w:eastAsia="Times New Roman"/>
          <w:lang w:val="hu-HU"/>
        </w:rPr>
        <w:t>-szint normálérték felső határának ≥háromszorosára való emelkedése az adalimumabbal kezelt betegek 2,4%-ánál, a kontrollkezelés mellett a betegek 2,4%-ánál fordult elő.</w:t>
      </w:r>
    </w:p>
    <w:p w14:paraId="7B6CCDC3" w14:textId="77777777" w:rsidR="007F2986" w:rsidRDefault="007F2986" w:rsidP="007F2986">
      <w:pPr>
        <w:spacing w:before="11" w:line="240" w:lineRule="exact"/>
        <w:rPr>
          <w:sz w:val="24"/>
          <w:szCs w:val="24"/>
          <w:lang w:val="hu-HU"/>
        </w:rPr>
      </w:pPr>
    </w:p>
    <w:p w14:paraId="1831B822" w14:textId="77777777" w:rsidR="007F2986" w:rsidRDefault="007F2986" w:rsidP="007F2986">
      <w:pPr>
        <w:pStyle w:val="a3"/>
        <w:rPr>
          <w:lang w:val="hu-HU"/>
        </w:rPr>
      </w:pPr>
      <w:r>
        <w:rPr>
          <w:rFonts w:eastAsia="Times New Roman"/>
          <w:lang w:val="hu-HU"/>
        </w:rPr>
        <w:t xml:space="preserve">A klinikai vizsgálatokban a magasabb </w:t>
      </w:r>
      <w:r w:rsidRPr="009167C6">
        <w:rPr>
          <w:lang w:val="hu-HU"/>
        </w:rPr>
        <w:t>GPT (ALAT)</w:t>
      </w:r>
      <w:r>
        <w:rPr>
          <w:rFonts w:eastAsia="Times New Roman"/>
          <w:lang w:val="hu-HU"/>
        </w:rPr>
        <w:t>-szintű betegek tünetmentesek voltak valamennyi indikációban. Az esetek többségében az emelkedés átmeneti volt és a kezelés folytatása mellett megszűnt. A forgalomba hozatalt követően is beszámoltak májelégtelenségről és kevésbé súlyos olyan májbetegségekről is, amelyek megelőzhetik a májelégtelenséget, mint például a hepatitis, beleértve az autoimmun hepatitist az adalimumabbal kezelt betegeknél.</w:t>
      </w:r>
    </w:p>
    <w:p w14:paraId="4671B49C" w14:textId="77777777" w:rsidR="007F2986" w:rsidRDefault="007F2986" w:rsidP="007F2986">
      <w:pPr>
        <w:pStyle w:val="a3"/>
        <w:rPr>
          <w:u w:color="000000"/>
          <w:lang w:val="hu-HU"/>
        </w:rPr>
      </w:pPr>
    </w:p>
    <w:p w14:paraId="132AB0B9" w14:textId="77777777" w:rsidR="007F2986" w:rsidRDefault="007F2986" w:rsidP="007F2986">
      <w:pPr>
        <w:pStyle w:val="a3"/>
        <w:rPr>
          <w:u w:val="single"/>
          <w:lang w:val="hu-HU"/>
        </w:rPr>
      </w:pPr>
      <w:r>
        <w:rPr>
          <w:rFonts w:eastAsia="Times New Roman"/>
          <w:u w:val="single" w:color="000000"/>
          <w:lang w:val="hu-HU"/>
        </w:rPr>
        <w:t xml:space="preserve">Egyidejű azatioprin/6-merkaptopurin kezelés </w:t>
      </w:r>
    </w:p>
    <w:p w14:paraId="67CA59D5" w14:textId="77777777" w:rsidR="007F2986" w:rsidRDefault="007F2986" w:rsidP="007F2986">
      <w:pPr>
        <w:spacing w:before="1" w:line="180" w:lineRule="exact"/>
        <w:rPr>
          <w:sz w:val="18"/>
          <w:szCs w:val="18"/>
          <w:lang w:val="hu-HU"/>
        </w:rPr>
      </w:pPr>
    </w:p>
    <w:p w14:paraId="58E53C29" w14:textId="77777777" w:rsidR="007F2986" w:rsidRDefault="007F2986" w:rsidP="007F2986">
      <w:pPr>
        <w:pStyle w:val="a3"/>
        <w:rPr>
          <w:lang w:val="hu-HU"/>
        </w:rPr>
      </w:pPr>
      <w:r>
        <w:rPr>
          <w:rFonts w:eastAsia="Times New Roman"/>
          <w:lang w:val="hu-HU"/>
        </w:rPr>
        <w:t>Felnőttkori Crohn-betegségben végzett vizsgálatok során a rosszindulatú daganatokkal és súlyos fertőzésekkel kapcsolatos nemkívánatos események nagyobb gyakoriságát észlelték adalimumab és azatioprin/6-merkaptopurin kombinációs kezelés során, mint az önmagában adott adalimumab esetén.</w:t>
      </w:r>
    </w:p>
    <w:p w14:paraId="6D41CD6E" w14:textId="77777777" w:rsidR="007F2986" w:rsidRDefault="007F2986" w:rsidP="007F2986">
      <w:pPr>
        <w:spacing w:before="13" w:line="240" w:lineRule="exact"/>
        <w:rPr>
          <w:sz w:val="24"/>
          <w:szCs w:val="24"/>
          <w:lang w:val="hu-HU"/>
        </w:rPr>
      </w:pPr>
    </w:p>
    <w:p w14:paraId="1072DB51" w14:textId="77777777" w:rsidR="007F2986" w:rsidRDefault="007F2986" w:rsidP="007F2986">
      <w:pPr>
        <w:pStyle w:val="a3"/>
        <w:rPr>
          <w:u w:val="single"/>
          <w:lang w:val="hu-HU"/>
        </w:rPr>
      </w:pPr>
      <w:r>
        <w:rPr>
          <w:rFonts w:eastAsia="Times New Roman"/>
          <w:u w:val="single" w:color="000000"/>
          <w:lang w:val="hu-HU"/>
        </w:rPr>
        <w:t>Feltételezett mellékhatások bejelentése</w:t>
      </w:r>
    </w:p>
    <w:p w14:paraId="21546AB3" w14:textId="77777777" w:rsidR="007F2986" w:rsidRDefault="007F2986" w:rsidP="007F2986">
      <w:pPr>
        <w:spacing w:before="9" w:line="170" w:lineRule="exact"/>
        <w:rPr>
          <w:sz w:val="17"/>
          <w:szCs w:val="17"/>
          <w:lang w:val="hu-HU"/>
        </w:rPr>
      </w:pPr>
    </w:p>
    <w:p w14:paraId="3E8E1850" w14:textId="77777777" w:rsidR="007F2986" w:rsidRDefault="007F2986" w:rsidP="007F2986">
      <w:pPr>
        <w:pStyle w:val="a3"/>
        <w:rPr>
          <w:lang w:val="hu-HU"/>
        </w:rPr>
      </w:pPr>
      <w:r>
        <w:rPr>
          <w:rFonts w:eastAsia="Times New Roman"/>
          <w:lang w:val="hu-HU"/>
        </w:rPr>
        <w:t xml:space="preserve">A gyógyszer engedélyezését követően lényeges a feltételezett mellékhatások bejelentése, mert ez fontos eszköze annak, hogy a gyógyszer előny/kockázat profilját folyamatosan figyelemmel lehessen kísérni. Az </w:t>
      </w:r>
      <w:r>
        <w:rPr>
          <w:rFonts w:eastAsia="Times New Roman"/>
          <w:lang w:val="hu-HU"/>
        </w:rPr>
        <w:lastRenderedPageBreak/>
        <w:t xml:space="preserve">egészségügyi szakembereket kérjük, hogy jelentsék be a feltételezett mellékhatásokat a hatóság részére </w:t>
      </w:r>
      <w:r w:rsidRPr="000405CC">
        <w:rPr>
          <w:rFonts w:eastAsia="Times New Roman"/>
          <w:highlight w:val="lightGray"/>
          <w:lang w:val="hu-HU"/>
        </w:rPr>
        <w:t xml:space="preserve">az </w:t>
      </w:r>
      <w:hyperlink r:id="rId22" w:history="1">
        <w:r w:rsidRPr="000405CC">
          <w:rPr>
            <w:rFonts w:eastAsia="Times New Roman"/>
            <w:color w:val="0000FF"/>
            <w:highlight w:val="lightGray"/>
            <w:u w:val="single"/>
            <w:lang w:val="hu-HU"/>
          </w:rPr>
          <w:t>V. függelékben</w:t>
        </w:r>
        <w:r w:rsidRPr="000405CC">
          <w:rPr>
            <w:rFonts w:eastAsia="Times New Roman"/>
            <w:color w:val="000000"/>
            <w:highlight w:val="lightGray"/>
            <w:lang w:val="hu-HU"/>
          </w:rPr>
          <w:t xml:space="preserve"> található elérhetőségek valamelyikén keresztül.</w:t>
        </w:r>
      </w:hyperlink>
    </w:p>
    <w:p w14:paraId="6C47933F" w14:textId="77777777" w:rsidR="007F2986" w:rsidRDefault="007F2986" w:rsidP="007F2986">
      <w:pPr>
        <w:spacing w:before="6" w:line="180" w:lineRule="exact"/>
        <w:rPr>
          <w:sz w:val="18"/>
          <w:szCs w:val="18"/>
          <w:lang w:val="hu-HU"/>
        </w:rPr>
      </w:pPr>
    </w:p>
    <w:p w14:paraId="10E8BE18" w14:textId="77777777" w:rsidR="007F2986" w:rsidRDefault="007F2986" w:rsidP="00FD05AA">
      <w:pPr>
        <w:widowControl/>
        <w:numPr>
          <w:ilvl w:val="1"/>
          <w:numId w:val="76"/>
        </w:numPr>
        <w:tabs>
          <w:tab w:val="left" w:pos="567"/>
        </w:tabs>
        <w:spacing w:line="260" w:lineRule="exact"/>
        <w:ind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Túladagolás</w:t>
      </w:r>
    </w:p>
    <w:p w14:paraId="4BD148E7" w14:textId="77777777" w:rsidR="007F2986" w:rsidRDefault="007F2986" w:rsidP="007F2986">
      <w:pPr>
        <w:spacing w:before="12" w:line="240" w:lineRule="exact"/>
        <w:rPr>
          <w:sz w:val="24"/>
          <w:szCs w:val="24"/>
          <w:lang w:val="hu-HU"/>
        </w:rPr>
      </w:pPr>
    </w:p>
    <w:p w14:paraId="36E6A9E0" w14:textId="77777777" w:rsidR="007F2986" w:rsidRDefault="007F2986" w:rsidP="007F2986">
      <w:pPr>
        <w:pStyle w:val="a3"/>
        <w:rPr>
          <w:lang w:val="hu-HU"/>
        </w:rPr>
      </w:pPr>
      <w:r>
        <w:rPr>
          <w:rFonts w:eastAsia="Times New Roman"/>
          <w:lang w:val="hu-HU"/>
        </w:rPr>
        <w:t>A klinikai vizsgálatok során nem észlelték dóziskorlátozó toxicitás jeleit. A legmagasabb vizsgált dózis az intravénásan beadott 10 mg/ttkg-os dózis többszöröse volt, amely az ajánlott dózis kb. 15-szörösét teszi ki.</w:t>
      </w:r>
    </w:p>
    <w:p w14:paraId="4A0FB5B0" w14:textId="77777777" w:rsidR="007F2986" w:rsidRDefault="007F2986" w:rsidP="007F2986">
      <w:pPr>
        <w:spacing w:line="200" w:lineRule="exact"/>
        <w:rPr>
          <w:sz w:val="20"/>
          <w:szCs w:val="20"/>
          <w:lang w:val="hu-HU"/>
        </w:rPr>
      </w:pPr>
    </w:p>
    <w:p w14:paraId="57BA0D6F" w14:textId="77777777" w:rsidR="007F2986" w:rsidRDefault="007F2986" w:rsidP="007F2986">
      <w:pPr>
        <w:widowControl/>
        <w:tabs>
          <w:tab w:val="left" w:pos="567"/>
        </w:tabs>
        <w:spacing w:line="260" w:lineRule="exact"/>
        <w:rPr>
          <w:rFonts w:ascii="Times New Roman" w:eastAsia="Times New Roman" w:hAnsi="Times New Roman" w:cs="Times New Roman"/>
          <w:b/>
          <w:noProof/>
          <w:lang w:val="hu-HU"/>
        </w:rPr>
      </w:pPr>
    </w:p>
    <w:p w14:paraId="17A235C4" w14:textId="77777777" w:rsidR="007F2986" w:rsidRDefault="007F2986" w:rsidP="00FD05AA">
      <w:pPr>
        <w:keepNext/>
        <w:numPr>
          <w:ilvl w:val="0"/>
          <w:numId w:val="75"/>
        </w:numPr>
        <w:tabs>
          <w:tab w:val="left" w:pos="567"/>
        </w:tabs>
        <w:spacing w:line="260" w:lineRule="exact"/>
        <w:ind w:left="0"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FARMAKOLÓGIAI TULAJDONSÁGOK</w:t>
      </w:r>
    </w:p>
    <w:p w14:paraId="44F55CE5" w14:textId="77777777" w:rsidR="007F2986" w:rsidRDefault="007F2986" w:rsidP="007F2986">
      <w:pPr>
        <w:keepNext/>
        <w:spacing w:before="11" w:line="240" w:lineRule="exact"/>
        <w:rPr>
          <w:sz w:val="24"/>
          <w:szCs w:val="24"/>
          <w:lang w:val="hu-HU"/>
        </w:rPr>
      </w:pPr>
    </w:p>
    <w:p w14:paraId="13F99BFB" w14:textId="77777777" w:rsidR="007F2986" w:rsidRDefault="007F2986" w:rsidP="00FD05AA">
      <w:pPr>
        <w:keepNext/>
        <w:numPr>
          <w:ilvl w:val="1"/>
          <w:numId w:val="77"/>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Farmakodinámiás tulajdonságok</w:t>
      </w:r>
    </w:p>
    <w:p w14:paraId="69E1970A" w14:textId="77777777" w:rsidR="007F2986" w:rsidRDefault="007F2986" w:rsidP="007F2986">
      <w:pPr>
        <w:spacing w:before="9" w:line="240" w:lineRule="exact"/>
        <w:rPr>
          <w:sz w:val="24"/>
          <w:szCs w:val="24"/>
          <w:lang w:val="hu-HU"/>
        </w:rPr>
      </w:pPr>
    </w:p>
    <w:p w14:paraId="0E6C56F1" w14:textId="77777777" w:rsidR="007F2986" w:rsidRDefault="007F2986" w:rsidP="007F2986">
      <w:pPr>
        <w:pStyle w:val="a3"/>
        <w:rPr>
          <w:lang w:val="hu-HU"/>
        </w:rPr>
      </w:pPr>
      <w:r>
        <w:rPr>
          <w:rFonts w:eastAsia="Times New Roman"/>
          <w:lang w:val="hu-HU"/>
        </w:rPr>
        <w:t>Farmakoterápiás csoport:Immunszuppresszánsok, tumor nekrózis faktor alfa (TNF-α) gátlók. ATC-kód:L04AB04</w:t>
      </w:r>
    </w:p>
    <w:p w14:paraId="6D501C23" w14:textId="77777777" w:rsidR="007F2986" w:rsidRDefault="007F2986" w:rsidP="007F2986">
      <w:pPr>
        <w:pStyle w:val="a3"/>
        <w:rPr>
          <w:lang w:val="hu-HU"/>
        </w:rPr>
      </w:pPr>
    </w:p>
    <w:p w14:paraId="35545A95" w14:textId="77777777" w:rsidR="007F2986" w:rsidRDefault="007F2986" w:rsidP="007F2986">
      <w:pPr>
        <w:pStyle w:val="a3"/>
        <w:rPr>
          <w:lang w:val="hu-HU"/>
        </w:rPr>
      </w:pPr>
      <w:r>
        <w:rPr>
          <w:rFonts w:eastAsia="Times New Roman"/>
          <w:lang w:val="hu-HU"/>
        </w:rPr>
        <w:t xml:space="preserve">A Yuflyma egy biohasonló gyógyszerkészítmény. A gyógyszerről részletes információ az Európai Gyógyszerügynökség internetes honlapján </w:t>
      </w:r>
      <w:r>
        <w:fldChar w:fldCharType="begin"/>
      </w:r>
      <w:r w:rsidRPr="00BE4D18">
        <w:rPr>
          <w:lang w:val="hu-HU"/>
        </w:rPr>
        <w:instrText>HYPERLINK "http://www.ema.europa.eu"</w:instrText>
      </w:r>
      <w:r>
        <w:fldChar w:fldCharType="separate"/>
      </w:r>
      <w:r w:rsidRPr="009167C6">
        <w:rPr>
          <w:rStyle w:val="ad"/>
          <w:lang w:val="hu-HU"/>
        </w:rPr>
        <w:t>http://www.ema.europa.eu</w:t>
      </w:r>
      <w:r>
        <w:fldChar w:fldCharType="end"/>
      </w:r>
      <w:r w:rsidRPr="009167C6">
        <w:rPr>
          <w:color w:val="0000FF"/>
          <w:u w:val="single"/>
          <w:lang w:val="hu-HU"/>
        </w:rPr>
        <w:t xml:space="preserve">. </w:t>
      </w:r>
      <w:r>
        <w:rPr>
          <w:rFonts w:eastAsia="Times New Roman"/>
          <w:lang w:val="hu-HU"/>
        </w:rPr>
        <w:t>található.</w:t>
      </w:r>
    </w:p>
    <w:p w14:paraId="0023E751" w14:textId="77777777" w:rsidR="007F2986" w:rsidRDefault="007F2986" w:rsidP="007F2986">
      <w:pPr>
        <w:spacing w:before="10" w:line="240" w:lineRule="exact"/>
        <w:rPr>
          <w:sz w:val="24"/>
          <w:szCs w:val="24"/>
          <w:lang w:val="hu-HU"/>
        </w:rPr>
      </w:pPr>
    </w:p>
    <w:p w14:paraId="7C6DB217" w14:textId="77777777" w:rsidR="007F2986" w:rsidRDefault="007F2986" w:rsidP="007F2986">
      <w:pPr>
        <w:pStyle w:val="a3"/>
        <w:rPr>
          <w:u w:val="single"/>
          <w:lang w:val="hu-HU"/>
        </w:rPr>
      </w:pPr>
      <w:r>
        <w:rPr>
          <w:rFonts w:eastAsia="Times New Roman"/>
          <w:u w:val="single" w:color="000000"/>
          <w:lang w:val="hu-HU"/>
        </w:rPr>
        <w:t>Hatásmechanizmus</w:t>
      </w:r>
    </w:p>
    <w:p w14:paraId="175607E2" w14:textId="77777777" w:rsidR="007F2986" w:rsidRDefault="007F2986" w:rsidP="007F2986">
      <w:pPr>
        <w:spacing w:before="1" w:line="180" w:lineRule="exact"/>
        <w:rPr>
          <w:sz w:val="18"/>
          <w:szCs w:val="18"/>
          <w:lang w:val="hu-HU"/>
        </w:rPr>
      </w:pPr>
    </w:p>
    <w:p w14:paraId="5A791DC6" w14:textId="77777777" w:rsidR="007F2986" w:rsidRDefault="007F2986" w:rsidP="007F2986">
      <w:pPr>
        <w:pStyle w:val="a3"/>
        <w:rPr>
          <w:lang w:val="hu-HU"/>
        </w:rPr>
      </w:pPr>
      <w:r>
        <w:rPr>
          <w:rFonts w:eastAsia="Times New Roman"/>
          <w:lang w:val="hu-HU"/>
        </w:rPr>
        <w:t>Az adalimumab specifikusan kötődik a TNF- hez és semlegesíti a TNF biológiai hatását, megakadályozva a TNF interakcióját a p55 és p75 sejtfelszíni TNF receptorokkal.</w:t>
      </w:r>
    </w:p>
    <w:p w14:paraId="7378295E" w14:textId="77777777" w:rsidR="007F2986" w:rsidRDefault="007F2986" w:rsidP="007F2986">
      <w:pPr>
        <w:spacing w:before="10" w:line="240" w:lineRule="exact"/>
        <w:rPr>
          <w:sz w:val="24"/>
          <w:szCs w:val="24"/>
          <w:lang w:val="hu-HU"/>
        </w:rPr>
      </w:pPr>
    </w:p>
    <w:p w14:paraId="63D7DF53" w14:textId="77777777" w:rsidR="007F2986" w:rsidRDefault="007F2986" w:rsidP="007F2986">
      <w:pPr>
        <w:pStyle w:val="a3"/>
        <w:rPr>
          <w:lang w:val="hu-HU"/>
        </w:rPr>
      </w:pPr>
      <w:r>
        <w:rPr>
          <w:rFonts w:eastAsia="Times New Roman"/>
          <w:lang w:val="hu-HU"/>
        </w:rPr>
        <w:t>Továbbá az adalimumab módosítja a biológiai válaszokat, melyeket a TNF indukál, illetve szabályoz, beleértve a leukocyták vándorlásáért felelős adhéziós molekulák szintjeinek változtatását (ELAM- 1, VCAM- 1 és ICAM- 1, melyek IC</w:t>
      </w:r>
      <w:r>
        <w:rPr>
          <w:rFonts w:eastAsia="Times New Roman"/>
          <w:sz w:val="14"/>
          <w:szCs w:val="14"/>
          <w:lang w:val="hu-HU"/>
        </w:rPr>
        <w:t>50</w:t>
      </w:r>
      <w:r>
        <w:rPr>
          <w:rFonts w:eastAsia="Times New Roman"/>
          <w:lang w:val="hu-HU"/>
        </w:rPr>
        <w:t xml:space="preserve"> értékei 0, 1 - 0, 2 nM).</w:t>
      </w:r>
    </w:p>
    <w:p w14:paraId="6B9F6DCF" w14:textId="77777777" w:rsidR="007F2986" w:rsidRDefault="007F2986" w:rsidP="007F2986">
      <w:pPr>
        <w:spacing w:before="12" w:line="240" w:lineRule="exact"/>
        <w:rPr>
          <w:sz w:val="24"/>
          <w:szCs w:val="24"/>
          <w:lang w:val="hu-HU"/>
        </w:rPr>
      </w:pPr>
    </w:p>
    <w:p w14:paraId="5E44854D" w14:textId="77777777" w:rsidR="007F2986" w:rsidRDefault="007F2986" w:rsidP="007F2986">
      <w:pPr>
        <w:pStyle w:val="a3"/>
        <w:rPr>
          <w:u w:val="single"/>
          <w:lang w:val="hu-HU"/>
        </w:rPr>
      </w:pPr>
      <w:r>
        <w:rPr>
          <w:rFonts w:eastAsia="Times New Roman"/>
          <w:u w:val="single" w:color="000000"/>
          <w:lang w:val="hu-HU"/>
        </w:rPr>
        <w:t>Farmakodinámiás hatások</w:t>
      </w:r>
    </w:p>
    <w:p w14:paraId="05BAB26B" w14:textId="77777777" w:rsidR="007F2986" w:rsidRDefault="007F2986" w:rsidP="007F2986">
      <w:pPr>
        <w:spacing w:before="1" w:line="180" w:lineRule="exact"/>
        <w:rPr>
          <w:sz w:val="18"/>
          <w:szCs w:val="18"/>
          <w:lang w:val="hu-HU"/>
        </w:rPr>
      </w:pPr>
    </w:p>
    <w:p w14:paraId="665B655F" w14:textId="77777777" w:rsidR="007F2986" w:rsidRDefault="007F2986" w:rsidP="007F2986">
      <w:pPr>
        <w:pStyle w:val="a3"/>
        <w:rPr>
          <w:lang w:val="hu-HU"/>
        </w:rPr>
      </w:pPr>
      <w:r>
        <w:rPr>
          <w:rFonts w:eastAsia="Times New Roman"/>
          <w:lang w:val="hu-HU"/>
        </w:rPr>
        <w:t xml:space="preserve">A rheumatoid arthritisben szenvedő betegek adalimumabbal való kezelését követően gyors csökkenés tapasztalható az akutfázis-fehérjék </w:t>
      </w:r>
    </w:p>
    <w:p w14:paraId="5B4CD7AF" w14:textId="77777777" w:rsidR="007F2986" w:rsidRDefault="007F2986" w:rsidP="007F2986">
      <w:pPr>
        <w:pStyle w:val="a3"/>
        <w:rPr>
          <w:lang w:val="hu-HU"/>
        </w:rPr>
      </w:pPr>
      <w:r>
        <w:rPr>
          <w:rFonts w:eastAsia="Times New Roman"/>
          <w:lang w:val="hu-HU"/>
        </w:rPr>
        <w:t>(C-reaktív protein - CRP), a süllyedés (ESR), illetve a citokinek (IL-6) szintjeiben, összehasonlítva a kezelés előtti kiindulási értékekkel. A porcszövet pusztulását eredményező szöveti remodelingért felelős matrix metalloproteinázok (MMP- 1 és MMP- 3) szérum szintjeiben is csökkenés tapasztalható az adalimumab alkalmazása után. Az adalimumabbal kezelt betegeknél rendszerint a krónikus gyulladás hematológiai leleteiben is javulás tapasztalható.</w:t>
      </w:r>
    </w:p>
    <w:p w14:paraId="2DFB3D2D" w14:textId="77777777" w:rsidR="007F2986" w:rsidRDefault="007F2986" w:rsidP="007F2986">
      <w:pPr>
        <w:spacing w:before="10" w:line="240" w:lineRule="exact"/>
        <w:rPr>
          <w:sz w:val="24"/>
          <w:szCs w:val="24"/>
          <w:lang w:val="hu-HU"/>
        </w:rPr>
      </w:pPr>
    </w:p>
    <w:p w14:paraId="1A66B0B4" w14:textId="77777777" w:rsidR="007F2986" w:rsidRDefault="007F2986" w:rsidP="007F2986">
      <w:pPr>
        <w:pStyle w:val="a3"/>
        <w:rPr>
          <w:lang w:val="hu-HU"/>
        </w:rPr>
      </w:pPr>
      <w:r>
        <w:rPr>
          <w:rFonts w:eastAsia="Times New Roman"/>
          <w:lang w:val="hu-HU"/>
        </w:rPr>
        <w:t>Polyarticularis juvenilis idiopathiás arthritisben, Crohn-betegségben, colitis ulcerosában és hidradenitis suppurativában is a CRP-szint gyors csökkenését figyelték meg az adalimumab-kezelést követően. Crohn-betegségben szenvedő betegeknél a gyulladásos markereket expresszáló sejtek számának csökkenését figyelték meg a vastagbélben, beleértve a TNFα csökkent expresszióját is. A bélnyálkahártya endoszkópos vizsgálatai az adalimumabbal kezelt betegeknél a nyálkahártya gyógyulására utaló bizonyítékot mutattak.</w:t>
      </w:r>
    </w:p>
    <w:p w14:paraId="7095BC8F" w14:textId="77777777" w:rsidR="007F2986" w:rsidRDefault="007F2986" w:rsidP="007F2986">
      <w:pPr>
        <w:pStyle w:val="a3"/>
        <w:rPr>
          <w:u w:val="single" w:color="000000"/>
          <w:lang w:val="hu-HU"/>
        </w:rPr>
      </w:pPr>
    </w:p>
    <w:p w14:paraId="3B6FAB9E" w14:textId="77777777" w:rsidR="007F2986" w:rsidRDefault="007F2986" w:rsidP="007F2986">
      <w:pPr>
        <w:pStyle w:val="a3"/>
        <w:rPr>
          <w:u w:val="single"/>
          <w:lang w:val="hu-HU"/>
        </w:rPr>
      </w:pPr>
      <w:r>
        <w:rPr>
          <w:rFonts w:eastAsia="Times New Roman"/>
          <w:u w:val="single" w:color="000000"/>
          <w:lang w:val="hu-HU"/>
        </w:rPr>
        <w:t>Klinikai hatásosság és biztonságosság</w:t>
      </w:r>
    </w:p>
    <w:p w14:paraId="46179501" w14:textId="77777777" w:rsidR="007F2986" w:rsidRDefault="007F2986" w:rsidP="007F2986">
      <w:pPr>
        <w:spacing w:line="180" w:lineRule="exact"/>
        <w:rPr>
          <w:sz w:val="18"/>
          <w:szCs w:val="18"/>
          <w:lang w:val="hu-HU"/>
        </w:rPr>
      </w:pPr>
    </w:p>
    <w:p w14:paraId="11BC2195" w14:textId="52D9C76C" w:rsidR="007F2986" w:rsidRPr="005A05DE" w:rsidRDefault="00EF2F83" w:rsidP="007F2986">
      <w:pPr>
        <w:pStyle w:val="a3"/>
        <w:rPr>
          <w:rFonts w:eastAsia="Times New Roman"/>
          <w:i/>
          <w:iCs/>
          <w:lang w:val="hu-HU"/>
        </w:rPr>
      </w:pPr>
      <w:r w:rsidRPr="005A05DE">
        <w:rPr>
          <w:rFonts w:eastAsia="Times New Roman"/>
          <w:i/>
          <w:iCs/>
          <w:lang w:val="hu-HU"/>
        </w:rPr>
        <w:t>Rheumatoid arthritisben szenvedő felnőttek</w:t>
      </w:r>
    </w:p>
    <w:p w14:paraId="7960F8EA" w14:textId="77777777" w:rsidR="007F2986" w:rsidRDefault="007F2986" w:rsidP="007F2986">
      <w:pPr>
        <w:pStyle w:val="a3"/>
        <w:rPr>
          <w:sz w:val="24"/>
          <w:szCs w:val="24"/>
          <w:lang w:val="hu-HU"/>
        </w:rPr>
      </w:pPr>
    </w:p>
    <w:p w14:paraId="183A1428" w14:textId="7DB96DEB" w:rsidR="007F2986" w:rsidRDefault="007F2986" w:rsidP="007F2986">
      <w:pPr>
        <w:pStyle w:val="a3"/>
        <w:rPr>
          <w:lang w:val="hu-HU"/>
        </w:rPr>
      </w:pPr>
      <w:r>
        <w:rPr>
          <w:rFonts w:eastAsia="Times New Roman"/>
          <w:lang w:val="hu-HU"/>
        </w:rPr>
        <w:t>Az adalimumabot több mint 3000 betegen vizsgálták az összes rheumatoid arthritises klinikai vizsgálat során. Az adalimumab hatásosságát és biztonságosságát öt randomizált, kettős vak és megfelelő kontrollt alkalmazó vizsgálat során vizsgálták. Néhány beteg akár 120</w:t>
      </w:r>
      <w:r w:rsidR="00EF2F83">
        <w:rPr>
          <w:rFonts w:eastAsia="Times New Roman"/>
          <w:lang w:val="hu-HU"/>
        </w:rPr>
        <w:t xml:space="preserve"> hónapig tartó kezelést kapott.</w:t>
      </w:r>
    </w:p>
    <w:p w14:paraId="072412C9" w14:textId="77777777" w:rsidR="007F2986" w:rsidRDefault="007F2986" w:rsidP="007F2986">
      <w:pPr>
        <w:spacing w:before="13" w:line="240" w:lineRule="exact"/>
        <w:rPr>
          <w:sz w:val="24"/>
          <w:szCs w:val="24"/>
          <w:lang w:val="hu-HU"/>
        </w:rPr>
      </w:pPr>
    </w:p>
    <w:p w14:paraId="79D16649" w14:textId="0A59CBE4" w:rsidR="004666B7" w:rsidRDefault="004666B7" w:rsidP="004666B7">
      <w:pPr>
        <w:pStyle w:val="a3"/>
        <w:rPr>
          <w:lang w:val="hu-HU"/>
        </w:rPr>
      </w:pPr>
      <w:r>
        <w:rPr>
          <w:rFonts w:eastAsia="Times New Roman"/>
          <w:lang w:val="hu-HU"/>
        </w:rPr>
        <w:t>Az RA</w:t>
      </w:r>
      <w:r w:rsidRPr="000F4DB4">
        <w:t> </w:t>
      </w:r>
      <w:r w:rsidDel="00D36156">
        <w:rPr>
          <w:rFonts w:eastAsia="Times New Roman"/>
          <w:lang w:val="hu-HU"/>
        </w:rPr>
        <w:t xml:space="preserve"> </w:t>
      </w:r>
      <w:r>
        <w:rPr>
          <w:rFonts w:eastAsia="Times New Roman"/>
          <w:lang w:val="hu-HU"/>
        </w:rPr>
        <w:t>I vizsgálatban 271 beteget értékeltek. A résztvevők mind középsúlyos-súlyos</w:t>
      </w:r>
      <w:r>
        <w:rPr>
          <w:rFonts w:hint="eastAsia"/>
          <w:lang w:val="hu-HU" w:eastAsia="ko-KR"/>
        </w:rPr>
        <w:t xml:space="preserve"> </w:t>
      </w:r>
      <w:r w:rsidRPr="001B6310">
        <w:rPr>
          <w:lang w:val="hu-HU" w:eastAsia="ko-KR"/>
        </w:rPr>
        <w:t>aktív rheumatoid arthritisben szenvedő 18 éves vagy annál idősebb betegek voltak,</w:t>
      </w:r>
      <w:r>
        <w:rPr>
          <w:rFonts w:eastAsia="Times New Roman"/>
          <w:lang w:val="hu-HU"/>
        </w:rPr>
        <w:t xml:space="preserve"> akiknél legalább egy betegséget befolyásoló reumaellenes gyógyszer nem járt eredménnyel, és korábban a metotrexát heti 12,5-25 mg-os </w:t>
      </w:r>
      <w:r>
        <w:rPr>
          <w:rFonts w:eastAsia="Times New Roman"/>
          <w:lang w:val="hu-HU"/>
        </w:rPr>
        <w:lastRenderedPageBreak/>
        <w:t>(10 mg metotrexát intolerancia esetén) dózisaival sem lehetett kielégítő hatást elérni, és akiknél a metotrexát dózisa a vizsgálatot megelőzően stabilan heti 10-25 mg volt. A vizsgálat során 20, 40 vagy</w:t>
      </w:r>
    </w:p>
    <w:p w14:paraId="714E095C" w14:textId="77777777" w:rsidR="004666B7" w:rsidRDefault="004666B7" w:rsidP="004666B7">
      <w:pPr>
        <w:pStyle w:val="a3"/>
        <w:rPr>
          <w:lang w:val="hu-HU"/>
        </w:rPr>
      </w:pPr>
      <w:r>
        <w:rPr>
          <w:rFonts w:eastAsia="Times New Roman"/>
          <w:lang w:val="hu-HU"/>
        </w:rPr>
        <w:t>80 mg adalimumabot vagy placebót kaptak minden második héten, 24 héten át.</w:t>
      </w:r>
    </w:p>
    <w:p w14:paraId="59C9FE97" w14:textId="77777777" w:rsidR="004666B7" w:rsidRDefault="004666B7" w:rsidP="004666B7">
      <w:pPr>
        <w:spacing w:before="13" w:line="240" w:lineRule="exact"/>
        <w:rPr>
          <w:sz w:val="24"/>
          <w:szCs w:val="24"/>
          <w:lang w:val="hu-HU"/>
        </w:rPr>
      </w:pPr>
    </w:p>
    <w:p w14:paraId="5CCC83C4" w14:textId="033305B2" w:rsidR="004666B7" w:rsidRDefault="004666B7" w:rsidP="004666B7">
      <w:pPr>
        <w:pStyle w:val="a3"/>
        <w:rPr>
          <w:lang w:val="hu-HU"/>
        </w:rPr>
      </w:pPr>
      <w:r>
        <w:rPr>
          <w:rFonts w:eastAsia="Times New Roman"/>
          <w:lang w:val="hu-HU"/>
        </w:rPr>
        <w:t>Az RA</w:t>
      </w:r>
      <w:r w:rsidRPr="00522548">
        <w:rPr>
          <w:lang w:val="es-ES"/>
        </w:rPr>
        <w:t> </w:t>
      </w:r>
      <w:r w:rsidDel="00D36156">
        <w:rPr>
          <w:rFonts w:eastAsia="Times New Roman"/>
          <w:lang w:val="hu-HU"/>
        </w:rPr>
        <w:t xml:space="preserve"> </w:t>
      </w:r>
      <w:r>
        <w:rPr>
          <w:rFonts w:eastAsia="Times New Roman"/>
          <w:lang w:val="hu-HU"/>
        </w:rPr>
        <w:t>II vizsgálatban 544 beteget értékeltek. A résztvevők</w:t>
      </w:r>
      <w:r>
        <w:rPr>
          <w:rFonts w:hint="eastAsia"/>
          <w:lang w:val="hu-HU" w:eastAsia="ko-KR"/>
        </w:rPr>
        <w:t xml:space="preserve"> </w:t>
      </w:r>
      <w:r w:rsidRPr="001B6310">
        <w:rPr>
          <w:lang w:val="hu-HU" w:eastAsia="ko-KR"/>
        </w:rPr>
        <w:t>mind középsúlyos-súlyos aktív rheumatoid arthritisben szenvedő</w:t>
      </w:r>
      <w:r>
        <w:rPr>
          <w:rFonts w:hint="eastAsia"/>
          <w:lang w:val="hu-HU" w:eastAsia="ko-KR"/>
        </w:rPr>
        <w:t xml:space="preserve"> 1</w:t>
      </w:r>
      <w:r w:rsidRPr="001B6310">
        <w:rPr>
          <w:lang w:val="hu-HU" w:eastAsia="ko-KR"/>
        </w:rPr>
        <w:t>8 éves vagy annál idősebb betegek voltak,</w:t>
      </w:r>
      <w:r>
        <w:rPr>
          <w:rFonts w:eastAsia="Times New Roman"/>
          <w:lang w:val="hu-HU"/>
        </w:rPr>
        <w:t xml:space="preserve"> akiknél legalább egy betegséget befolyásoló reumaellenes gyógyszer nem járt eredménnyel.20, illetve 40 mg adalimumabot kaptak subcutan injekció  formájában minden második héten, placebóval az alternáló heteken vagy minden héten 26 héten át; illetve placebót kaptak minden héten azonos időtartamban. Egyéb betegséget befolyásoló reumaellenes gyógyszert nem kaphattak.</w:t>
      </w:r>
    </w:p>
    <w:p w14:paraId="2CE7E33A" w14:textId="77777777" w:rsidR="004666B7" w:rsidRDefault="004666B7" w:rsidP="004666B7">
      <w:pPr>
        <w:spacing w:before="13" w:line="240" w:lineRule="exact"/>
        <w:rPr>
          <w:sz w:val="24"/>
          <w:szCs w:val="24"/>
          <w:lang w:val="hu-HU"/>
        </w:rPr>
      </w:pPr>
    </w:p>
    <w:p w14:paraId="720DE885" w14:textId="0193720B" w:rsidR="004666B7" w:rsidRDefault="004666B7" w:rsidP="004666B7">
      <w:pPr>
        <w:pStyle w:val="a3"/>
        <w:rPr>
          <w:lang w:val="hu-HU"/>
        </w:rPr>
      </w:pPr>
      <w:r>
        <w:rPr>
          <w:rFonts w:eastAsia="Times New Roman"/>
          <w:lang w:val="hu-HU"/>
        </w:rPr>
        <w:t>Az RA</w:t>
      </w:r>
      <w:r w:rsidRPr="009167C6">
        <w:rPr>
          <w:lang w:val="hu-HU"/>
        </w:rPr>
        <w:t> </w:t>
      </w:r>
      <w:r w:rsidDel="00D36156">
        <w:rPr>
          <w:rFonts w:eastAsia="Times New Roman"/>
          <w:lang w:val="hu-HU"/>
        </w:rPr>
        <w:t xml:space="preserve"> </w:t>
      </w:r>
      <w:r>
        <w:rPr>
          <w:rFonts w:eastAsia="Times New Roman"/>
          <w:lang w:val="hu-HU"/>
        </w:rPr>
        <w:t xml:space="preserve">III vizsgálatban 619 közepesen súlyos-súlyos </w:t>
      </w:r>
      <w:r w:rsidRPr="00F86C66">
        <w:rPr>
          <w:rFonts w:eastAsia="Times New Roman"/>
          <w:lang w:val="hu-HU"/>
        </w:rPr>
        <w:t>aktív rheumatoid arthritisben szenvedő 18 éves vagy annál idősebb beteget értékeltek</w:t>
      </w:r>
      <w:r>
        <w:rPr>
          <w:rFonts w:eastAsia="Times New Roman"/>
          <w:lang w:val="hu-HU"/>
        </w:rPr>
        <w:t>, akik nem megfelelően reagáltak a 1</w:t>
      </w:r>
      <w:r>
        <w:rPr>
          <w:rFonts w:hint="eastAsia"/>
          <w:lang w:val="hu-HU" w:eastAsia="ko-KR"/>
        </w:rPr>
        <w:t>2</w:t>
      </w:r>
      <w:r>
        <w:rPr>
          <w:rFonts w:eastAsia="Times New Roman"/>
          <w:lang w:val="hu-HU"/>
        </w:rPr>
        <w:t>, 5 – 25 mg közötti metotrexát dózisokra, vagy nem tolerálták a hetenkénti 10 mg metotrexátot. Ebben a vizsgálatban a betegeket három csoportra osztották. Az első csoportba tartozók placebo injekciót kaptak minden héten 52 héten át. A második csoport tagjai 20 mg adalimumabot kaptak hetente 52 héten át. A harmadik csoport 40 mg adalimumabot kapott minden második héten és placebo injekciót az alternáló heteken. Az első 52 hetes kezelést követően 457 beteget egy nyílt, kiterjesztett fázisba választották be, melynek során kéthetente 40 mg adalimumabot/metotrexátot kaptak, legfeljebb 10 évig.</w:t>
      </w:r>
    </w:p>
    <w:p w14:paraId="391F79E3" w14:textId="77777777" w:rsidR="007F2986" w:rsidRPr="004666B7" w:rsidRDefault="007F2986" w:rsidP="007F2986">
      <w:pPr>
        <w:spacing w:before="13" w:line="240" w:lineRule="exact"/>
        <w:rPr>
          <w:sz w:val="24"/>
          <w:szCs w:val="24"/>
          <w:lang w:val="hu-HU"/>
        </w:rPr>
      </w:pPr>
    </w:p>
    <w:p w14:paraId="0793CB5E" w14:textId="33C229EE" w:rsidR="007F2986" w:rsidRDefault="007F2986" w:rsidP="007F2986">
      <w:pPr>
        <w:pStyle w:val="a3"/>
        <w:rPr>
          <w:lang w:val="hu-HU"/>
        </w:rPr>
      </w:pPr>
      <w:r>
        <w:rPr>
          <w:rFonts w:eastAsia="Times New Roman"/>
          <w:lang w:val="hu-HU"/>
        </w:rPr>
        <w:t>Az RA</w:t>
      </w:r>
      <w:r w:rsidRPr="00522548">
        <w:rPr>
          <w:lang w:val="hu-HU"/>
        </w:rPr>
        <w:t> </w:t>
      </w:r>
      <w:r w:rsidDel="00D36156">
        <w:rPr>
          <w:rFonts w:eastAsia="Times New Roman"/>
          <w:lang w:val="hu-HU"/>
        </w:rPr>
        <w:t xml:space="preserve"> </w:t>
      </w:r>
      <w:r>
        <w:rPr>
          <w:rFonts w:eastAsia="Times New Roman"/>
          <w:lang w:val="hu-HU"/>
        </w:rPr>
        <w:t>IV vizsgálat elsősorban a kezelés biztonságosságát volt hivatott felmérni. Az RA</w:t>
      </w:r>
      <w:r w:rsidRPr="009167C6">
        <w:rPr>
          <w:lang w:val="hu-HU"/>
        </w:rPr>
        <w:t> </w:t>
      </w:r>
      <w:r w:rsidDel="00961E14">
        <w:rPr>
          <w:rFonts w:eastAsia="Times New Roman"/>
          <w:lang w:val="hu-HU"/>
        </w:rPr>
        <w:t xml:space="preserve"> </w:t>
      </w:r>
      <w:r>
        <w:rPr>
          <w:rFonts w:eastAsia="Times New Roman"/>
          <w:lang w:val="hu-HU"/>
        </w:rPr>
        <w:t>IV vizsgálatba 636 középsúlyos-</w:t>
      </w:r>
      <w:r w:rsidRPr="009167C6">
        <w:rPr>
          <w:lang w:val="hu-HU"/>
        </w:rPr>
        <w:t> </w:t>
      </w:r>
      <w:r w:rsidDel="00961E14">
        <w:rPr>
          <w:rFonts w:eastAsia="Times New Roman"/>
          <w:lang w:val="hu-HU"/>
        </w:rPr>
        <w:t xml:space="preserve"> </w:t>
      </w:r>
      <w:r>
        <w:rPr>
          <w:rFonts w:eastAsia="Times New Roman"/>
          <w:lang w:val="hu-HU"/>
        </w:rPr>
        <w:t>súlyos rheumatoid arthritisben szenvedő, 18 éves és 18 évesnél idősebb beteget vontak be. A vizsgálatban részt vevő betegek vagy soha nem szedtek betegséget befolyásoló reumaellenes szereket, vagy a korábban alkalmazott anti- rheumás kezelésüket folytatták, ha a kezelés legalább 28 napig változatlan volt. A kezelések metotrexát, leflunomid, hidroxiklorokin, szulfaszalazin és/vagy arany sók alkalmazását foglalták magukba. A betegeket 40 mg adalimumab vagy placebo adására randomizálták, a kezelést minden második héten 24 héten át kapták.</w:t>
      </w:r>
    </w:p>
    <w:p w14:paraId="4BED76B7" w14:textId="77777777" w:rsidR="007F2986" w:rsidRDefault="007F2986" w:rsidP="007F2986">
      <w:pPr>
        <w:spacing w:before="11" w:line="240" w:lineRule="exact"/>
        <w:rPr>
          <w:sz w:val="24"/>
          <w:szCs w:val="24"/>
          <w:lang w:val="hu-HU"/>
        </w:rPr>
      </w:pPr>
    </w:p>
    <w:p w14:paraId="6FF032B4" w14:textId="77777777" w:rsidR="007F2986" w:rsidRDefault="007F2986" w:rsidP="007F2986">
      <w:pPr>
        <w:pStyle w:val="a3"/>
        <w:rPr>
          <w:lang w:val="hu-HU"/>
        </w:rPr>
      </w:pPr>
      <w:r>
        <w:rPr>
          <w:rFonts w:eastAsia="Times New Roman"/>
          <w:lang w:val="hu-HU"/>
        </w:rPr>
        <w:t>Az RA</w:t>
      </w:r>
      <w:r w:rsidRPr="009167C6">
        <w:rPr>
          <w:lang w:val="hu-HU"/>
        </w:rPr>
        <w:t> </w:t>
      </w:r>
      <w:r w:rsidDel="00961E14">
        <w:rPr>
          <w:rFonts w:eastAsia="Times New Roman"/>
          <w:lang w:val="hu-HU"/>
        </w:rPr>
        <w:t xml:space="preserve"> </w:t>
      </w:r>
      <w:r>
        <w:rPr>
          <w:rFonts w:eastAsia="Times New Roman"/>
          <w:lang w:val="hu-HU"/>
        </w:rPr>
        <w:t>V vizsgálatban 799 felnőtt, közepesen súlyos -</w:t>
      </w:r>
      <w:r w:rsidRPr="009167C6">
        <w:rPr>
          <w:lang w:val="hu-HU"/>
        </w:rPr>
        <w:t> </w:t>
      </w:r>
      <w:r w:rsidDel="00961E14">
        <w:rPr>
          <w:rFonts w:eastAsia="Times New Roman"/>
          <w:lang w:val="hu-HU"/>
        </w:rPr>
        <w:t xml:space="preserve"> </w:t>
      </w:r>
      <w:r>
        <w:rPr>
          <w:rFonts w:eastAsia="Times New Roman"/>
          <w:lang w:val="hu-HU"/>
        </w:rPr>
        <w:t>súlyos, aktív korai (betegség kezdete &lt; 9 hónap) rheumatoid arthritisben szenvedő, metotrexáttal még nem kezelt beteget vizsgáltak. A vizsgálat 104 hétig tartó időszaka alatt a kéthetente egyszer metotrexát kombinációban adott 40 mg adalimumab, 40 mg adalimumab monoterápia, illetve metotrexát monoterápia hatását vizsgálták arra vonatkozóan, hogy a betegség jelei, megjelenése, illetve reumatoid arthritisben az ízületi károsodás előrehaladásának folyamata csökken- e. Az első 104 hetes kezelést követően 497 beteget egy nyílt, kiterjesztett fázisba választották be, melynek során kéthetente 40 mg adalimumabot kaptak, legfeljebb 10 évig.</w:t>
      </w:r>
    </w:p>
    <w:p w14:paraId="6315E7F3" w14:textId="77777777" w:rsidR="007F2986" w:rsidRDefault="007F2986" w:rsidP="007F2986">
      <w:pPr>
        <w:spacing w:before="14" w:line="240" w:lineRule="exact"/>
        <w:rPr>
          <w:sz w:val="24"/>
          <w:szCs w:val="24"/>
          <w:lang w:val="hu-HU"/>
        </w:rPr>
      </w:pPr>
    </w:p>
    <w:p w14:paraId="5A702E37" w14:textId="62E190B1" w:rsidR="007F2986" w:rsidRDefault="007F2986" w:rsidP="007F2986">
      <w:pPr>
        <w:pStyle w:val="a3"/>
        <w:rPr>
          <w:lang w:val="hu-HU"/>
        </w:rPr>
      </w:pPr>
      <w:r>
        <w:rPr>
          <w:rFonts w:eastAsia="Times New Roman"/>
          <w:lang w:val="hu-HU"/>
        </w:rPr>
        <w:t>Az RA</w:t>
      </w:r>
      <w:r w:rsidRPr="009167C6">
        <w:rPr>
          <w:lang w:val="hu-HU"/>
        </w:rPr>
        <w:t> </w:t>
      </w:r>
      <w:r w:rsidDel="00D36156">
        <w:rPr>
          <w:rFonts w:eastAsia="Times New Roman"/>
          <w:lang w:val="hu-HU"/>
        </w:rPr>
        <w:t xml:space="preserve"> </w:t>
      </w:r>
      <w:r>
        <w:rPr>
          <w:rFonts w:eastAsia="Times New Roman"/>
          <w:lang w:val="hu-HU"/>
        </w:rPr>
        <w:t>I,</w:t>
      </w:r>
      <w:r w:rsidRPr="009167C6">
        <w:rPr>
          <w:lang w:val="hu-HU"/>
        </w:rPr>
        <w:t xml:space="preserve">  </w:t>
      </w:r>
      <w:r w:rsidDel="00D36156">
        <w:rPr>
          <w:rFonts w:eastAsia="Times New Roman"/>
          <w:lang w:val="hu-HU"/>
        </w:rPr>
        <w:t xml:space="preserve"> </w:t>
      </w:r>
      <w:r>
        <w:rPr>
          <w:rFonts w:eastAsia="Times New Roman"/>
          <w:lang w:val="hu-HU"/>
        </w:rPr>
        <w:t>II, és</w:t>
      </w:r>
      <w:r w:rsidRPr="009167C6">
        <w:rPr>
          <w:lang w:val="hu-HU"/>
        </w:rPr>
        <w:t> </w:t>
      </w:r>
      <w:r w:rsidDel="00D36156">
        <w:rPr>
          <w:rFonts w:eastAsia="Times New Roman"/>
          <w:lang w:val="hu-HU"/>
        </w:rPr>
        <w:t xml:space="preserve"> </w:t>
      </w:r>
      <w:r>
        <w:rPr>
          <w:rFonts w:eastAsia="Times New Roman"/>
          <w:lang w:val="hu-HU"/>
        </w:rPr>
        <w:t>III vizsgálatokban az elsődleges végpont, míg a RA</w:t>
      </w:r>
      <w:r w:rsidRPr="009167C6">
        <w:rPr>
          <w:lang w:val="hu-HU"/>
        </w:rPr>
        <w:t> </w:t>
      </w:r>
      <w:r w:rsidDel="00D36156">
        <w:rPr>
          <w:rFonts w:eastAsia="Times New Roman"/>
          <w:lang w:val="hu-HU"/>
        </w:rPr>
        <w:t xml:space="preserve"> </w:t>
      </w:r>
      <w:r>
        <w:rPr>
          <w:rFonts w:eastAsia="Times New Roman"/>
          <w:lang w:val="hu-HU"/>
        </w:rPr>
        <w:t>IV vizsgálatban a másodlagos végpont azon betegek százalékos aránya volt, akiknél a 24, illetve 26 hét leteltével kialakult az ACR 20 válasz. Az V</w:t>
      </w:r>
      <w:r w:rsidRPr="009167C6">
        <w:rPr>
          <w:lang w:val="hu-HU"/>
        </w:rPr>
        <w:t> </w:t>
      </w:r>
      <w:r w:rsidDel="00961E14">
        <w:rPr>
          <w:rFonts w:eastAsia="Times New Roman"/>
          <w:lang w:val="hu-HU"/>
        </w:rPr>
        <w:t xml:space="preserve"> </w:t>
      </w:r>
      <w:r>
        <w:rPr>
          <w:rFonts w:eastAsia="Times New Roman"/>
          <w:lang w:val="hu-HU"/>
        </w:rPr>
        <w:t>vizsgálatban az elsődleges végpont az ACR 50 válasz adó betegek százalékos aránya volt a vizsgálat 52. hetében. Az RA</w:t>
      </w:r>
      <w:r w:rsidRPr="009167C6">
        <w:rPr>
          <w:lang w:val="hu-HU"/>
        </w:rPr>
        <w:t> </w:t>
      </w:r>
      <w:r w:rsidDel="00D36156">
        <w:rPr>
          <w:rFonts w:eastAsia="Times New Roman"/>
          <w:lang w:val="hu-HU"/>
        </w:rPr>
        <w:t xml:space="preserve"> </w:t>
      </w:r>
      <w:r>
        <w:rPr>
          <w:rFonts w:eastAsia="Times New Roman"/>
          <w:lang w:val="hu-HU"/>
        </w:rPr>
        <w:t>III és RA</w:t>
      </w:r>
      <w:r w:rsidRPr="009167C6">
        <w:rPr>
          <w:lang w:val="hu-HU"/>
        </w:rPr>
        <w:t> </w:t>
      </w:r>
      <w:r w:rsidDel="00D36156">
        <w:rPr>
          <w:rFonts w:eastAsia="Times New Roman"/>
          <w:lang w:val="hu-HU"/>
        </w:rPr>
        <w:t xml:space="preserve"> </w:t>
      </w:r>
      <w:r>
        <w:rPr>
          <w:rFonts w:eastAsia="Times New Roman"/>
          <w:lang w:val="hu-HU"/>
        </w:rPr>
        <w:t>V vizsgálatban másik elsődleges végpontot jelentett 52 hét után a betegség progressziójának lassulása (röntgeNfelvételek alapján). Az RA</w:t>
      </w:r>
      <w:r w:rsidRPr="009167C6">
        <w:rPr>
          <w:lang w:val="hu-HU"/>
        </w:rPr>
        <w:t> </w:t>
      </w:r>
      <w:r w:rsidDel="00D36156">
        <w:rPr>
          <w:rFonts w:eastAsia="Times New Roman"/>
          <w:lang w:val="hu-HU"/>
        </w:rPr>
        <w:t xml:space="preserve"> </w:t>
      </w:r>
      <w:r>
        <w:rPr>
          <w:rFonts w:eastAsia="Times New Roman"/>
          <w:lang w:val="hu-HU"/>
        </w:rPr>
        <w:t>III vizsgálatban elsődleges végpont volt m</w:t>
      </w:r>
      <w:r w:rsidR="00EF2F83">
        <w:rPr>
          <w:rFonts w:eastAsia="Times New Roman"/>
          <w:lang w:val="hu-HU"/>
        </w:rPr>
        <w:t>ég az életminőség megváltozása.</w:t>
      </w:r>
    </w:p>
    <w:p w14:paraId="1CA9E520" w14:textId="77777777" w:rsidR="007F2986" w:rsidRDefault="007F2986" w:rsidP="007F2986">
      <w:pPr>
        <w:spacing w:before="13" w:line="240" w:lineRule="exact"/>
        <w:rPr>
          <w:sz w:val="24"/>
          <w:szCs w:val="24"/>
          <w:lang w:val="hu-HU"/>
        </w:rPr>
      </w:pPr>
    </w:p>
    <w:p w14:paraId="3CC7BABE" w14:textId="77777777" w:rsidR="007F2986" w:rsidRDefault="007F2986" w:rsidP="007F2986">
      <w:pPr>
        <w:rPr>
          <w:rFonts w:ascii="Times New Roman" w:eastAsia="Times New Roman" w:hAnsi="Times New Roman" w:cs="Times New Roman"/>
          <w:lang w:val="hu-HU"/>
        </w:rPr>
      </w:pPr>
      <w:r>
        <w:rPr>
          <w:rFonts w:ascii="Times New Roman" w:eastAsia="Times New Roman" w:hAnsi="Times New Roman" w:cs="Times New Roman"/>
          <w:i/>
          <w:iCs/>
          <w:spacing w:val="-1"/>
          <w:u w:val="single" w:color="000000"/>
          <w:lang w:val="hu-HU"/>
        </w:rPr>
        <w:t>ACR válasz</w:t>
      </w:r>
    </w:p>
    <w:p w14:paraId="5553D4C0" w14:textId="77777777" w:rsidR="007F2986" w:rsidRDefault="007F2986" w:rsidP="007F2986">
      <w:pPr>
        <w:spacing w:before="1" w:line="180" w:lineRule="exact"/>
        <w:rPr>
          <w:sz w:val="18"/>
          <w:szCs w:val="18"/>
          <w:lang w:val="hu-HU"/>
        </w:rPr>
      </w:pPr>
    </w:p>
    <w:p w14:paraId="0C15BFC4" w14:textId="04811540" w:rsidR="007F2986" w:rsidRDefault="007F2986" w:rsidP="007F2986">
      <w:pPr>
        <w:pStyle w:val="a3"/>
        <w:rPr>
          <w:rFonts w:eastAsia="Times New Roman"/>
          <w:b/>
          <w:bCs/>
          <w:lang w:val="hu-HU"/>
        </w:rPr>
      </w:pPr>
      <w:r>
        <w:rPr>
          <w:rFonts w:eastAsia="Times New Roman"/>
          <w:lang w:val="hu-HU"/>
        </w:rPr>
        <w:t>Az ACR 20,</w:t>
      </w:r>
      <w:r w:rsidRPr="009167C6">
        <w:rPr>
          <w:lang w:val="hu-HU"/>
        </w:rPr>
        <w:t xml:space="preserve"> </w:t>
      </w:r>
      <w:r>
        <w:rPr>
          <w:rFonts w:eastAsia="Times New Roman"/>
          <w:lang w:val="hu-HU"/>
        </w:rPr>
        <w:t>50 vagy</w:t>
      </w:r>
      <w:r w:rsidRPr="009167C6">
        <w:rPr>
          <w:lang w:val="hu-HU"/>
        </w:rPr>
        <w:t> </w:t>
      </w:r>
      <w:r>
        <w:rPr>
          <w:rFonts w:eastAsia="Times New Roman"/>
          <w:lang w:val="hu-HU"/>
        </w:rPr>
        <w:t>70- es választ elérő adalimumab-kezelt betegek százalékos aránya állandó volt az RA I,</w:t>
      </w:r>
      <w:r w:rsidRPr="009167C6">
        <w:rPr>
          <w:lang w:val="hu-HU"/>
        </w:rPr>
        <w:t xml:space="preserve"> </w:t>
      </w:r>
      <w:r>
        <w:rPr>
          <w:rFonts w:eastAsia="Times New Roman"/>
          <w:lang w:val="hu-HU"/>
        </w:rPr>
        <w:t>II, és</w:t>
      </w:r>
      <w:r w:rsidRPr="009167C6">
        <w:rPr>
          <w:lang w:val="hu-HU"/>
        </w:rPr>
        <w:t> </w:t>
      </w:r>
      <w:r>
        <w:rPr>
          <w:rFonts w:eastAsia="Times New Roman"/>
          <w:lang w:val="hu-HU"/>
        </w:rPr>
        <w:t xml:space="preserve">III vizsgálatokban. Minden második héten adott 40 mg- os dózissal elért eredmények összefoglalása a </w:t>
      </w:r>
      <w:r w:rsidR="00EF2F83">
        <w:rPr>
          <w:rFonts w:eastAsia="Times New Roman"/>
          <w:lang w:val="hu-HU"/>
        </w:rPr>
        <w:t>7</w:t>
      </w:r>
      <w:r>
        <w:rPr>
          <w:rFonts w:eastAsia="Times New Roman"/>
          <w:lang w:val="hu-HU"/>
        </w:rPr>
        <w:t>. táblázatban található.</w:t>
      </w:r>
    </w:p>
    <w:p w14:paraId="396A78E7" w14:textId="77777777" w:rsidR="007F2986" w:rsidRPr="00417A10" w:rsidRDefault="007F2986" w:rsidP="007F2986">
      <w:pPr>
        <w:pStyle w:val="a3"/>
        <w:rPr>
          <w:rFonts w:eastAsia="Times New Roman"/>
          <w:b/>
          <w:bCs/>
          <w:lang w:val="hu-HU"/>
        </w:rPr>
      </w:pPr>
    </w:p>
    <w:p w14:paraId="44AD0052" w14:textId="77777777" w:rsidR="007F2986" w:rsidRDefault="007F2986" w:rsidP="007F2986">
      <w:pPr>
        <w:pStyle w:val="a3"/>
        <w:jc w:val="center"/>
        <w:rPr>
          <w:rFonts w:eastAsia="Times New Roman"/>
          <w:b/>
          <w:bCs/>
          <w:lang w:val="hu-HU"/>
        </w:rPr>
      </w:pPr>
    </w:p>
    <w:p w14:paraId="5CA9EA2B" w14:textId="77777777" w:rsidR="00AF1AD1" w:rsidRDefault="00AF1AD1" w:rsidP="007F2986">
      <w:pPr>
        <w:pStyle w:val="a3"/>
        <w:jc w:val="center"/>
        <w:rPr>
          <w:rFonts w:eastAsia="Times New Roman"/>
          <w:b/>
          <w:bCs/>
          <w:lang w:val="hu-HU"/>
        </w:rPr>
      </w:pPr>
    </w:p>
    <w:p w14:paraId="2A7FE373" w14:textId="77777777" w:rsidR="00AF1AD1" w:rsidRDefault="00AF1AD1" w:rsidP="007F2986">
      <w:pPr>
        <w:pStyle w:val="a3"/>
        <w:jc w:val="center"/>
        <w:rPr>
          <w:rFonts w:eastAsia="Times New Roman"/>
          <w:b/>
          <w:bCs/>
          <w:lang w:val="hu-HU"/>
        </w:rPr>
      </w:pPr>
    </w:p>
    <w:p w14:paraId="3E910378" w14:textId="77777777" w:rsidR="00AF1AD1" w:rsidRDefault="00AF1AD1" w:rsidP="007F2986">
      <w:pPr>
        <w:pStyle w:val="a3"/>
        <w:jc w:val="center"/>
        <w:rPr>
          <w:rFonts w:eastAsia="Times New Roman"/>
          <w:b/>
          <w:bCs/>
          <w:lang w:val="hu-HU"/>
        </w:rPr>
      </w:pPr>
    </w:p>
    <w:p w14:paraId="3BF231CA" w14:textId="68989F21" w:rsidR="007F2986" w:rsidRDefault="00EF2F83" w:rsidP="007F2986">
      <w:pPr>
        <w:pStyle w:val="a3"/>
        <w:jc w:val="center"/>
        <w:rPr>
          <w:b/>
          <w:lang w:val="hu-HU"/>
        </w:rPr>
      </w:pPr>
      <w:r>
        <w:rPr>
          <w:rFonts w:eastAsia="Times New Roman"/>
          <w:b/>
          <w:bCs/>
          <w:lang w:val="hu-HU"/>
        </w:rPr>
        <w:t>7</w:t>
      </w:r>
      <w:r w:rsidR="007F2986">
        <w:rPr>
          <w:rFonts w:eastAsia="Times New Roman"/>
          <w:b/>
          <w:bCs/>
          <w:lang w:val="hu-HU"/>
        </w:rPr>
        <w:t>. táblázat</w:t>
      </w:r>
    </w:p>
    <w:p w14:paraId="556CF0B7" w14:textId="77777777" w:rsidR="007F2986" w:rsidRDefault="007F2986" w:rsidP="007F2986">
      <w:pPr>
        <w:pStyle w:val="a3"/>
        <w:jc w:val="center"/>
        <w:rPr>
          <w:b/>
          <w:lang w:val="hu-HU"/>
        </w:rPr>
      </w:pPr>
      <w:r>
        <w:rPr>
          <w:rFonts w:eastAsia="Times New Roman"/>
          <w:b/>
          <w:bCs/>
          <w:lang w:val="hu-HU"/>
        </w:rPr>
        <w:t xml:space="preserve">ACR válasz placebo-kontrollos vizsgálatokban </w:t>
      </w:r>
      <w:r>
        <w:rPr>
          <w:rFonts w:eastAsia="Times New Roman"/>
          <w:b/>
          <w:bCs/>
          <w:lang w:val="hu-HU"/>
        </w:rPr>
        <w:br/>
      </w:r>
      <w:r>
        <w:rPr>
          <w:rFonts w:eastAsia="Times New Roman"/>
          <w:b/>
          <w:bCs/>
          <w:lang w:val="hu-HU"/>
        </w:rPr>
        <w:lastRenderedPageBreak/>
        <w:t>(Betegek százaléka)</w:t>
      </w:r>
    </w:p>
    <w:p w14:paraId="4F5B909E" w14:textId="77777777" w:rsidR="007F2986" w:rsidRDefault="007F2986" w:rsidP="007F2986">
      <w:pPr>
        <w:spacing w:before="11" w:line="240" w:lineRule="exact"/>
        <w:rPr>
          <w:sz w:val="24"/>
          <w:szCs w:val="24"/>
          <w:lang w:val="hu-HU"/>
        </w:rPr>
      </w:pPr>
    </w:p>
    <w:tbl>
      <w:tblPr>
        <w:tblStyle w:val="TableNormal1"/>
        <w:tblW w:w="0" w:type="auto"/>
        <w:tblInd w:w="201" w:type="dxa"/>
        <w:tblLayout w:type="fixed"/>
        <w:tblLook w:val="01E0" w:firstRow="1" w:lastRow="1" w:firstColumn="1" w:lastColumn="1" w:noHBand="0" w:noVBand="0"/>
      </w:tblPr>
      <w:tblGrid>
        <w:gridCol w:w="1186"/>
        <w:gridCol w:w="1075"/>
        <w:gridCol w:w="1608"/>
        <w:gridCol w:w="1273"/>
        <w:gridCol w:w="1288"/>
        <w:gridCol w:w="1151"/>
        <w:gridCol w:w="1544"/>
      </w:tblGrid>
      <w:tr w:rsidR="007F2986" w:rsidRPr="00CF5D7A" w14:paraId="01DE7315" w14:textId="77777777" w:rsidTr="00CC2E43">
        <w:tc>
          <w:tcPr>
            <w:tcW w:w="1186" w:type="dxa"/>
            <w:vMerge w:val="restart"/>
            <w:tcBorders>
              <w:top w:val="single" w:sz="4" w:space="0" w:color="auto"/>
              <w:left w:val="single" w:sz="4" w:space="0" w:color="auto"/>
              <w:right w:val="single" w:sz="4" w:space="0" w:color="auto"/>
            </w:tcBorders>
          </w:tcPr>
          <w:p w14:paraId="06C7EC12" w14:textId="77777777" w:rsidR="007F2986" w:rsidRPr="00CF5D7A" w:rsidRDefault="007F2986" w:rsidP="00CC2E43">
            <w:pPr>
              <w:rPr>
                <w:rFonts w:ascii="Times New Roman" w:eastAsia="Times New Roman" w:hAnsi="Times New Roman" w:cs="Times New Roman"/>
                <w:lang w:val="hu-HU"/>
              </w:rPr>
            </w:pPr>
            <w:r w:rsidRPr="00CF5D7A">
              <w:rPr>
                <w:rFonts w:ascii="Times New Roman" w:eastAsia="Times New Roman" w:hAnsi="Times New Roman" w:cs="Times New Roman"/>
                <w:lang w:val="hu-HU"/>
              </w:rPr>
              <w:t>Válaszadás</w:t>
            </w:r>
          </w:p>
        </w:tc>
        <w:tc>
          <w:tcPr>
            <w:tcW w:w="2683" w:type="dxa"/>
            <w:gridSpan w:val="2"/>
            <w:tcBorders>
              <w:top w:val="single" w:sz="4" w:space="0" w:color="auto"/>
              <w:left w:val="single" w:sz="4" w:space="0" w:color="auto"/>
              <w:bottom w:val="single" w:sz="4" w:space="0" w:color="auto"/>
              <w:right w:val="single" w:sz="4" w:space="0" w:color="auto"/>
            </w:tcBorders>
          </w:tcPr>
          <w:p w14:paraId="3EB82CE1" w14:textId="77777777" w:rsidR="007F2986" w:rsidRPr="00CF5D7A" w:rsidRDefault="007F2986" w:rsidP="00CC2E43">
            <w:pPr>
              <w:pStyle w:val="TableParagraph"/>
              <w:spacing w:line="246" w:lineRule="exact"/>
              <w:ind w:left="690"/>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RA I vizsgálat</w:t>
            </w:r>
            <w:r w:rsidRPr="009167C6">
              <w:rPr>
                <w:rFonts w:ascii="Times New Roman" w:eastAsia="Times New Roman" w:hAnsi="Times New Roman" w:cs="Times New Roman"/>
                <w:spacing w:val="-1"/>
                <w:vertAlign w:val="superscript"/>
                <w:lang w:val="hu-HU"/>
              </w:rPr>
              <w:t>a</w:t>
            </w:r>
            <w:r w:rsidRPr="00CF5D7A">
              <w:rPr>
                <w:rFonts w:ascii="Times New Roman" w:eastAsia="Times New Roman" w:hAnsi="Times New Roman" w:cs="Times New Roman"/>
                <w:spacing w:val="-1"/>
                <w:lang w:val="hu-HU"/>
              </w:rPr>
              <w:t>**</w:t>
            </w:r>
          </w:p>
        </w:tc>
        <w:tc>
          <w:tcPr>
            <w:tcW w:w="2561" w:type="dxa"/>
            <w:gridSpan w:val="2"/>
            <w:tcBorders>
              <w:top w:val="single" w:sz="4" w:space="0" w:color="auto"/>
              <w:left w:val="single" w:sz="4" w:space="0" w:color="auto"/>
              <w:bottom w:val="single" w:sz="4" w:space="0" w:color="auto"/>
              <w:right w:val="single" w:sz="4" w:space="0" w:color="auto"/>
            </w:tcBorders>
          </w:tcPr>
          <w:p w14:paraId="3A9E9260" w14:textId="77777777" w:rsidR="007F2986" w:rsidRPr="00CF5D7A" w:rsidRDefault="007F2986" w:rsidP="00CC2E43">
            <w:pPr>
              <w:pStyle w:val="TableParagraph"/>
              <w:spacing w:line="246" w:lineRule="exact"/>
              <w:ind w:left="591"/>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RA II vizsgálat</w:t>
            </w:r>
            <w:r w:rsidRPr="009167C6">
              <w:rPr>
                <w:rFonts w:ascii="Times New Roman" w:eastAsia="Times New Roman" w:hAnsi="Times New Roman" w:cs="Times New Roman"/>
                <w:spacing w:val="-1"/>
                <w:vertAlign w:val="superscript"/>
                <w:lang w:val="hu-HU"/>
              </w:rPr>
              <w:t>a</w:t>
            </w:r>
            <w:r w:rsidRPr="00CF5D7A">
              <w:rPr>
                <w:rFonts w:ascii="Times New Roman" w:eastAsia="Times New Roman" w:hAnsi="Times New Roman" w:cs="Times New Roman"/>
                <w:spacing w:val="-1"/>
                <w:lang w:val="hu-HU"/>
              </w:rPr>
              <w:t>**</w:t>
            </w:r>
          </w:p>
        </w:tc>
        <w:tc>
          <w:tcPr>
            <w:tcW w:w="2695" w:type="dxa"/>
            <w:gridSpan w:val="2"/>
            <w:tcBorders>
              <w:top w:val="single" w:sz="4" w:space="0" w:color="auto"/>
              <w:left w:val="single" w:sz="4" w:space="0" w:color="auto"/>
              <w:bottom w:val="single" w:sz="4" w:space="0" w:color="auto"/>
              <w:right w:val="single" w:sz="4" w:space="0" w:color="auto"/>
            </w:tcBorders>
          </w:tcPr>
          <w:p w14:paraId="70623028" w14:textId="77777777" w:rsidR="007F2986" w:rsidRPr="00CF5D7A" w:rsidRDefault="007F2986" w:rsidP="00CC2E43">
            <w:pPr>
              <w:pStyle w:val="TableParagraph"/>
              <w:spacing w:line="246" w:lineRule="exact"/>
              <w:ind w:left="625"/>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RA III vizsgálat</w:t>
            </w:r>
            <w:r w:rsidRPr="009167C6">
              <w:rPr>
                <w:rFonts w:ascii="Times New Roman" w:eastAsia="Times New Roman" w:hAnsi="Times New Roman" w:cs="Times New Roman"/>
                <w:spacing w:val="-1"/>
                <w:vertAlign w:val="superscript"/>
                <w:lang w:val="hu-HU"/>
              </w:rPr>
              <w:t>a</w:t>
            </w:r>
            <w:r w:rsidRPr="00CF5D7A">
              <w:rPr>
                <w:rFonts w:ascii="Times New Roman" w:eastAsia="Times New Roman" w:hAnsi="Times New Roman" w:cs="Times New Roman"/>
                <w:spacing w:val="-1"/>
                <w:lang w:val="hu-HU"/>
              </w:rPr>
              <w:t>**</w:t>
            </w:r>
          </w:p>
        </w:tc>
      </w:tr>
      <w:tr w:rsidR="007F2986" w:rsidRPr="00CF5D7A" w14:paraId="0A8F70EE" w14:textId="77777777" w:rsidTr="00CC2E43">
        <w:tc>
          <w:tcPr>
            <w:tcW w:w="1186" w:type="dxa"/>
            <w:vMerge/>
            <w:tcBorders>
              <w:left w:val="single" w:sz="4" w:space="0" w:color="auto"/>
              <w:bottom w:val="single" w:sz="4" w:space="0" w:color="auto"/>
              <w:right w:val="single" w:sz="4" w:space="0" w:color="auto"/>
            </w:tcBorders>
          </w:tcPr>
          <w:p w14:paraId="4DF1AC8B" w14:textId="77777777" w:rsidR="007F2986" w:rsidRPr="00CF5D7A" w:rsidRDefault="007F2986" w:rsidP="00CC2E43">
            <w:pPr>
              <w:rPr>
                <w:lang w:val="hu-HU"/>
              </w:rPr>
            </w:pPr>
          </w:p>
        </w:tc>
        <w:tc>
          <w:tcPr>
            <w:tcW w:w="1075" w:type="dxa"/>
            <w:tcBorders>
              <w:top w:val="single" w:sz="4" w:space="0" w:color="auto"/>
              <w:left w:val="single" w:sz="4" w:space="0" w:color="auto"/>
              <w:bottom w:val="single" w:sz="4" w:space="0" w:color="auto"/>
            </w:tcBorders>
          </w:tcPr>
          <w:p w14:paraId="4B752804"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Placebo /</w:t>
            </w:r>
          </w:p>
          <w:p w14:paraId="688CF1ED" w14:textId="77777777" w:rsidR="007F2986" w:rsidRPr="00CF5D7A" w:rsidRDefault="007F2986" w:rsidP="00CC2E43">
            <w:pPr>
              <w:pStyle w:val="TableParagraph"/>
              <w:spacing w:before="5" w:line="252" w:lineRule="exact"/>
              <w:ind w:right="226"/>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MTX</w:t>
            </w:r>
            <w:r w:rsidRPr="009167C6">
              <w:rPr>
                <w:rFonts w:ascii="Times New Roman" w:eastAsia="Times New Roman" w:hAnsi="Times New Roman" w:cs="Times New Roman"/>
                <w:vertAlign w:val="superscript"/>
                <w:lang w:val="hu-HU"/>
              </w:rPr>
              <w:t>c</w:t>
            </w:r>
            <w:r w:rsidRPr="009167C6">
              <w:rPr>
                <w:rFonts w:ascii="Times New Roman" w:eastAsia="Times New Roman" w:hAnsi="Times New Roman" w:cs="Times New Roman"/>
                <w:lang w:val="hu-HU"/>
              </w:rPr>
              <w:t xml:space="preserve"> </w:t>
            </w:r>
            <w:r w:rsidRPr="00CF5D7A">
              <w:rPr>
                <w:rFonts w:ascii="Times New Roman" w:eastAsia="Times New Roman" w:hAnsi="Times New Roman" w:cs="Times New Roman"/>
                <w:lang w:val="hu-HU"/>
              </w:rPr>
              <w:t>n=60</w:t>
            </w:r>
          </w:p>
        </w:tc>
        <w:tc>
          <w:tcPr>
            <w:tcW w:w="1608" w:type="dxa"/>
            <w:tcBorders>
              <w:top w:val="single" w:sz="4" w:space="0" w:color="auto"/>
              <w:bottom w:val="single" w:sz="4" w:space="0" w:color="auto"/>
              <w:right w:val="single" w:sz="4" w:space="0" w:color="auto"/>
            </w:tcBorders>
          </w:tcPr>
          <w:p w14:paraId="0229EE16" w14:textId="77777777" w:rsidR="007F2986" w:rsidRPr="009167C6" w:rsidRDefault="007F2986" w:rsidP="00CC2E43">
            <w:pPr>
              <w:pStyle w:val="TableParagraph"/>
              <w:spacing w:line="246" w:lineRule="exact"/>
              <w:ind w:right="50"/>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Adalimumab</w:t>
            </w:r>
            <w:r w:rsidRPr="009167C6">
              <w:rPr>
                <w:rFonts w:ascii="Times New Roman" w:eastAsia="Times New Roman" w:hAnsi="Times New Roman" w:cs="Times New Roman"/>
                <w:spacing w:val="-1"/>
                <w:lang w:val="hu-HU"/>
              </w:rPr>
              <w:t>b</w:t>
            </w:r>
            <w:r w:rsidRPr="00CF5D7A">
              <w:rPr>
                <w:rFonts w:ascii="Times New Roman" w:eastAsia="Times New Roman" w:hAnsi="Times New Roman" w:cs="Times New Roman"/>
                <w:spacing w:val="-1"/>
                <w:lang w:val="hu-HU"/>
              </w:rPr>
              <w:t>/ MTX</w:t>
            </w:r>
            <w:r w:rsidRPr="009167C6">
              <w:rPr>
                <w:rFonts w:ascii="Times New Roman" w:eastAsia="Times New Roman" w:hAnsi="Times New Roman" w:cs="Times New Roman"/>
                <w:spacing w:val="-1"/>
                <w:vertAlign w:val="superscript"/>
                <w:lang w:val="hu-HU"/>
              </w:rPr>
              <w:t>c</w:t>
            </w:r>
          </w:p>
          <w:p w14:paraId="1D9F856E" w14:textId="77777777" w:rsidR="007F2986" w:rsidRPr="00CF5D7A" w:rsidRDefault="007F2986" w:rsidP="00CC2E43">
            <w:pPr>
              <w:pStyle w:val="TableParagraph"/>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n=63</w:t>
            </w:r>
          </w:p>
        </w:tc>
        <w:tc>
          <w:tcPr>
            <w:tcW w:w="1273" w:type="dxa"/>
            <w:tcBorders>
              <w:top w:val="single" w:sz="4" w:space="0" w:color="auto"/>
              <w:left w:val="single" w:sz="4" w:space="0" w:color="auto"/>
              <w:bottom w:val="single" w:sz="4" w:space="0" w:color="auto"/>
            </w:tcBorders>
          </w:tcPr>
          <w:p w14:paraId="0BCE92BA"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Placebo</w:t>
            </w:r>
          </w:p>
          <w:p w14:paraId="0EDF91CF" w14:textId="77777777" w:rsidR="007F2986" w:rsidRPr="00CF5D7A" w:rsidRDefault="007F2986" w:rsidP="00CC2E43">
            <w:pPr>
              <w:pStyle w:val="TableParagraph"/>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n=110</w:t>
            </w:r>
          </w:p>
        </w:tc>
        <w:tc>
          <w:tcPr>
            <w:tcW w:w="1288" w:type="dxa"/>
            <w:tcBorders>
              <w:top w:val="single" w:sz="4" w:space="0" w:color="auto"/>
              <w:bottom w:val="single" w:sz="4" w:space="0" w:color="auto"/>
              <w:right w:val="single" w:sz="4" w:space="0" w:color="auto"/>
            </w:tcBorders>
          </w:tcPr>
          <w:p w14:paraId="31E97A6E" w14:textId="77777777" w:rsidR="007F2986" w:rsidRPr="009167C6"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Adalimumab</w:t>
            </w:r>
            <w:r w:rsidRPr="009167C6">
              <w:rPr>
                <w:rFonts w:ascii="Times New Roman" w:eastAsia="Times New Roman" w:hAnsi="Times New Roman" w:cs="Times New Roman"/>
                <w:spacing w:val="-1"/>
                <w:vertAlign w:val="superscript"/>
                <w:lang w:val="hu-HU"/>
              </w:rPr>
              <w:t>b</w:t>
            </w:r>
          </w:p>
          <w:p w14:paraId="650AABB2" w14:textId="77777777" w:rsidR="007F2986" w:rsidRPr="00CF5D7A" w:rsidRDefault="007F2986" w:rsidP="00CC2E43">
            <w:pPr>
              <w:pStyle w:val="TableParagraph"/>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n=113</w:t>
            </w:r>
          </w:p>
        </w:tc>
        <w:tc>
          <w:tcPr>
            <w:tcW w:w="1151" w:type="dxa"/>
            <w:tcBorders>
              <w:top w:val="single" w:sz="4" w:space="0" w:color="auto"/>
              <w:left w:val="single" w:sz="4" w:space="0" w:color="auto"/>
              <w:bottom w:val="single" w:sz="4" w:space="0" w:color="auto"/>
            </w:tcBorders>
          </w:tcPr>
          <w:p w14:paraId="6569AE6B"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Placebo/</w:t>
            </w:r>
          </w:p>
          <w:p w14:paraId="22552826" w14:textId="77777777" w:rsidR="007F2986" w:rsidRPr="00CF5D7A" w:rsidRDefault="007F2986" w:rsidP="00CC2E43">
            <w:pPr>
              <w:pStyle w:val="TableParagraph"/>
              <w:spacing w:line="252" w:lineRule="exact"/>
              <w:ind w:hanging="4"/>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MTX</w:t>
            </w:r>
            <w:r w:rsidRPr="009167C6">
              <w:rPr>
                <w:rFonts w:ascii="Times New Roman" w:eastAsia="Times New Roman" w:hAnsi="Times New Roman" w:cs="Times New Roman"/>
                <w:vertAlign w:val="superscript"/>
                <w:lang w:val="hu-HU"/>
              </w:rPr>
              <w:t>c</w:t>
            </w:r>
            <w:r w:rsidRPr="009167C6">
              <w:rPr>
                <w:rFonts w:ascii="Times New Roman" w:eastAsia="Times New Roman" w:hAnsi="Times New Roman" w:cs="Times New Roman"/>
                <w:lang w:val="hu-HU"/>
              </w:rPr>
              <w:t xml:space="preserve"> </w:t>
            </w:r>
            <w:r w:rsidRPr="00CF5D7A">
              <w:rPr>
                <w:rFonts w:ascii="Times New Roman" w:eastAsia="Times New Roman" w:hAnsi="Times New Roman" w:cs="Times New Roman"/>
                <w:lang w:val="hu-HU"/>
              </w:rPr>
              <w:t>n=200</w:t>
            </w:r>
          </w:p>
        </w:tc>
        <w:tc>
          <w:tcPr>
            <w:tcW w:w="1544" w:type="dxa"/>
            <w:tcBorders>
              <w:top w:val="single" w:sz="4" w:space="0" w:color="auto"/>
              <w:bottom w:val="single" w:sz="4" w:space="0" w:color="auto"/>
              <w:right w:val="single" w:sz="4" w:space="0" w:color="auto"/>
            </w:tcBorders>
          </w:tcPr>
          <w:p w14:paraId="37F1F526" w14:textId="77777777" w:rsidR="007F2986" w:rsidRPr="009167C6"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Adalimumab</w:t>
            </w:r>
            <w:r w:rsidRPr="009167C6">
              <w:rPr>
                <w:rFonts w:ascii="Times New Roman" w:eastAsia="Times New Roman" w:hAnsi="Times New Roman" w:cs="Times New Roman"/>
                <w:spacing w:val="-1"/>
                <w:vertAlign w:val="superscript"/>
                <w:lang w:val="hu-HU"/>
              </w:rPr>
              <w:t>b</w:t>
            </w:r>
            <w:r w:rsidRPr="00CF5D7A">
              <w:rPr>
                <w:rFonts w:ascii="Times New Roman" w:eastAsia="Times New Roman" w:hAnsi="Times New Roman" w:cs="Times New Roman"/>
                <w:spacing w:val="-1"/>
                <w:lang w:val="hu-HU"/>
              </w:rPr>
              <w:t>/ MTX</w:t>
            </w:r>
            <w:r w:rsidRPr="009167C6">
              <w:rPr>
                <w:rFonts w:ascii="Times New Roman" w:eastAsia="Times New Roman" w:hAnsi="Times New Roman" w:cs="Times New Roman"/>
                <w:spacing w:val="-1"/>
                <w:vertAlign w:val="superscript"/>
                <w:lang w:val="hu-HU"/>
              </w:rPr>
              <w:t>c</w:t>
            </w:r>
          </w:p>
          <w:p w14:paraId="5856873F" w14:textId="77777777" w:rsidR="007F2986" w:rsidRPr="00CF5D7A" w:rsidRDefault="007F2986" w:rsidP="00CC2E43">
            <w:pPr>
              <w:pStyle w:val="TableParagraph"/>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n=207</w:t>
            </w:r>
          </w:p>
        </w:tc>
      </w:tr>
      <w:tr w:rsidR="007F2986" w:rsidRPr="00CF5D7A" w14:paraId="24233715" w14:textId="77777777" w:rsidTr="00CC2E43">
        <w:tc>
          <w:tcPr>
            <w:tcW w:w="1186" w:type="dxa"/>
            <w:tcBorders>
              <w:top w:val="single" w:sz="4" w:space="0" w:color="auto"/>
              <w:left w:val="single" w:sz="4" w:space="0" w:color="auto"/>
              <w:bottom w:val="nil"/>
              <w:right w:val="single" w:sz="4" w:space="0" w:color="auto"/>
            </w:tcBorders>
          </w:tcPr>
          <w:p w14:paraId="3BEC034C" w14:textId="77777777" w:rsidR="007F2986" w:rsidRPr="00CF5D7A" w:rsidRDefault="007F2986" w:rsidP="00CC2E43">
            <w:pPr>
              <w:pStyle w:val="TableParagraph"/>
              <w:spacing w:line="248"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ACR 20</w:t>
            </w:r>
          </w:p>
        </w:tc>
        <w:tc>
          <w:tcPr>
            <w:tcW w:w="1075" w:type="dxa"/>
            <w:vMerge w:val="restart"/>
            <w:tcBorders>
              <w:top w:val="single" w:sz="4" w:space="0" w:color="auto"/>
              <w:left w:val="single" w:sz="4" w:space="0" w:color="auto"/>
            </w:tcBorders>
          </w:tcPr>
          <w:p w14:paraId="68475439" w14:textId="77777777" w:rsidR="007F2986" w:rsidRPr="009167C6" w:rsidRDefault="007F2986" w:rsidP="00CC2E43">
            <w:pPr>
              <w:pStyle w:val="TableParagraph"/>
              <w:spacing w:before="7" w:line="240" w:lineRule="exact"/>
              <w:rPr>
                <w:lang w:val="hu-HU"/>
              </w:rPr>
            </w:pPr>
          </w:p>
          <w:p w14:paraId="1376F1D7" w14:textId="77777777" w:rsidR="007F2986" w:rsidRPr="00CF5D7A" w:rsidRDefault="007F2986" w:rsidP="00CC2E43">
            <w:pPr>
              <w:pStyle w:val="TableParagraph"/>
              <w:ind w:left="277"/>
              <w:rPr>
                <w:rFonts w:ascii="Times New Roman" w:eastAsia="Times New Roman" w:hAnsi="Times New Roman" w:cs="Times New Roman"/>
                <w:lang w:val="hu-HU"/>
              </w:rPr>
            </w:pPr>
            <w:r w:rsidRPr="00CF5D7A">
              <w:rPr>
                <w:rFonts w:ascii="Times New Roman" w:eastAsia="Times New Roman" w:hAnsi="Times New Roman" w:cs="Times New Roman"/>
                <w:lang w:val="hu-HU"/>
              </w:rPr>
              <w:t>13,3%</w:t>
            </w:r>
          </w:p>
        </w:tc>
        <w:tc>
          <w:tcPr>
            <w:tcW w:w="1608" w:type="dxa"/>
            <w:vMerge w:val="restart"/>
            <w:tcBorders>
              <w:top w:val="single" w:sz="4" w:space="0" w:color="auto"/>
              <w:left w:val="nil"/>
              <w:bottom w:val="single" w:sz="4" w:space="0" w:color="auto"/>
              <w:right w:val="single" w:sz="4" w:space="0" w:color="auto"/>
            </w:tcBorders>
          </w:tcPr>
          <w:p w14:paraId="5528847E" w14:textId="77777777" w:rsidR="007F2986" w:rsidRPr="009167C6" w:rsidRDefault="007F2986" w:rsidP="00CC2E43">
            <w:pPr>
              <w:pStyle w:val="TableParagraph"/>
              <w:spacing w:before="7" w:line="240" w:lineRule="exact"/>
              <w:rPr>
                <w:lang w:val="hu-HU"/>
              </w:rPr>
            </w:pPr>
          </w:p>
          <w:p w14:paraId="0E6FC93E" w14:textId="77777777" w:rsidR="007F2986" w:rsidRPr="00CF5D7A" w:rsidRDefault="007F2986" w:rsidP="00CC2E43">
            <w:pPr>
              <w:pStyle w:val="TableParagraph"/>
              <w:ind w:left="544"/>
              <w:rPr>
                <w:rFonts w:ascii="Times New Roman" w:eastAsia="Times New Roman" w:hAnsi="Times New Roman" w:cs="Times New Roman"/>
                <w:lang w:val="hu-HU"/>
              </w:rPr>
            </w:pPr>
            <w:r w:rsidRPr="00CF5D7A">
              <w:rPr>
                <w:rFonts w:ascii="Times New Roman" w:eastAsia="Times New Roman" w:hAnsi="Times New Roman" w:cs="Times New Roman"/>
                <w:lang w:val="hu-HU"/>
              </w:rPr>
              <w:t>65,1%</w:t>
            </w:r>
          </w:p>
        </w:tc>
        <w:tc>
          <w:tcPr>
            <w:tcW w:w="1273" w:type="dxa"/>
            <w:vMerge w:val="restart"/>
            <w:tcBorders>
              <w:top w:val="single" w:sz="4" w:space="0" w:color="auto"/>
              <w:left w:val="single" w:sz="4" w:space="0" w:color="auto"/>
              <w:right w:val="nil"/>
            </w:tcBorders>
          </w:tcPr>
          <w:p w14:paraId="7187FF7A" w14:textId="77777777" w:rsidR="007F2986" w:rsidRPr="009167C6" w:rsidRDefault="007F2986" w:rsidP="00CC2E43">
            <w:pPr>
              <w:pStyle w:val="TableParagraph"/>
              <w:spacing w:before="7" w:line="240" w:lineRule="exact"/>
              <w:rPr>
                <w:lang w:val="hu-HU"/>
              </w:rPr>
            </w:pPr>
          </w:p>
          <w:p w14:paraId="0960CEC1" w14:textId="77777777" w:rsidR="007F2986" w:rsidRPr="00CF5D7A" w:rsidRDefault="007F2986" w:rsidP="00CC2E43">
            <w:pPr>
              <w:pStyle w:val="TableParagraph"/>
              <w:ind w:left="351"/>
              <w:rPr>
                <w:rFonts w:ascii="Times New Roman" w:eastAsia="Times New Roman" w:hAnsi="Times New Roman" w:cs="Times New Roman"/>
                <w:lang w:val="hu-HU"/>
              </w:rPr>
            </w:pPr>
            <w:r w:rsidRPr="00CF5D7A">
              <w:rPr>
                <w:rFonts w:ascii="Times New Roman" w:eastAsia="Times New Roman" w:hAnsi="Times New Roman" w:cs="Times New Roman"/>
                <w:lang w:val="hu-HU"/>
              </w:rPr>
              <w:t>19,1%</w:t>
            </w:r>
          </w:p>
        </w:tc>
        <w:tc>
          <w:tcPr>
            <w:tcW w:w="1288" w:type="dxa"/>
            <w:vMerge w:val="restart"/>
            <w:tcBorders>
              <w:top w:val="single" w:sz="4" w:space="0" w:color="auto"/>
              <w:left w:val="nil"/>
              <w:right w:val="single" w:sz="7" w:space="0" w:color="000000"/>
            </w:tcBorders>
          </w:tcPr>
          <w:p w14:paraId="61E87716" w14:textId="77777777" w:rsidR="007F2986" w:rsidRPr="009167C6" w:rsidRDefault="007F2986" w:rsidP="00CC2E43">
            <w:pPr>
              <w:pStyle w:val="TableParagraph"/>
              <w:spacing w:before="7" w:line="240" w:lineRule="exact"/>
              <w:rPr>
                <w:lang w:val="hu-HU"/>
              </w:rPr>
            </w:pPr>
          </w:p>
          <w:p w14:paraId="2E2D70F1" w14:textId="77777777" w:rsidR="007F2986" w:rsidRPr="00CF5D7A" w:rsidRDefault="007F2986" w:rsidP="00CC2E43">
            <w:pPr>
              <w:pStyle w:val="TableParagraph"/>
              <w:ind w:left="363"/>
              <w:rPr>
                <w:rFonts w:ascii="Times New Roman" w:eastAsia="Times New Roman" w:hAnsi="Times New Roman" w:cs="Times New Roman"/>
                <w:lang w:val="hu-HU"/>
              </w:rPr>
            </w:pPr>
            <w:r w:rsidRPr="00CF5D7A">
              <w:rPr>
                <w:rFonts w:ascii="Times New Roman" w:eastAsia="Times New Roman" w:hAnsi="Times New Roman" w:cs="Times New Roman"/>
                <w:lang w:val="hu-HU"/>
              </w:rPr>
              <w:t>46,0%</w:t>
            </w:r>
          </w:p>
        </w:tc>
        <w:tc>
          <w:tcPr>
            <w:tcW w:w="1151" w:type="dxa"/>
            <w:vMerge w:val="restart"/>
            <w:tcBorders>
              <w:top w:val="single" w:sz="4" w:space="0" w:color="auto"/>
              <w:left w:val="single" w:sz="7" w:space="0" w:color="000000"/>
              <w:right w:val="nil"/>
            </w:tcBorders>
          </w:tcPr>
          <w:p w14:paraId="2052A13F" w14:textId="77777777" w:rsidR="007F2986" w:rsidRPr="009167C6" w:rsidRDefault="007F2986" w:rsidP="00CC2E43">
            <w:pPr>
              <w:pStyle w:val="TableParagraph"/>
              <w:spacing w:before="7" w:line="240" w:lineRule="exact"/>
              <w:rPr>
                <w:lang w:val="hu-HU"/>
              </w:rPr>
            </w:pPr>
          </w:p>
          <w:p w14:paraId="1D00C39B" w14:textId="77777777" w:rsidR="007F2986" w:rsidRPr="00CF5D7A" w:rsidRDefault="007F2986" w:rsidP="00CC2E43">
            <w:pPr>
              <w:pStyle w:val="TableParagraph"/>
              <w:ind w:left="344"/>
              <w:rPr>
                <w:rFonts w:ascii="Times New Roman" w:eastAsia="Times New Roman" w:hAnsi="Times New Roman" w:cs="Times New Roman"/>
                <w:lang w:val="hu-HU"/>
              </w:rPr>
            </w:pPr>
            <w:r w:rsidRPr="00CF5D7A">
              <w:rPr>
                <w:rFonts w:ascii="Times New Roman" w:eastAsia="Times New Roman" w:hAnsi="Times New Roman" w:cs="Times New Roman"/>
                <w:lang w:val="hu-HU"/>
              </w:rPr>
              <w:t>29,5%</w:t>
            </w:r>
          </w:p>
        </w:tc>
        <w:tc>
          <w:tcPr>
            <w:tcW w:w="1544" w:type="dxa"/>
            <w:vMerge w:val="restart"/>
            <w:tcBorders>
              <w:top w:val="single" w:sz="4" w:space="0" w:color="auto"/>
              <w:left w:val="nil"/>
              <w:right w:val="single" w:sz="4" w:space="0" w:color="auto"/>
            </w:tcBorders>
          </w:tcPr>
          <w:p w14:paraId="415CE35B" w14:textId="77777777" w:rsidR="007F2986" w:rsidRPr="009167C6" w:rsidRDefault="007F2986" w:rsidP="00CC2E43">
            <w:pPr>
              <w:pStyle w:val="TableParagraph"/>
              <w:spacing w:before="7" w:line="240" w:lineRule="exact"/>
              <w:rPr>
                <w:lang w:val="hu-HU"/>
              </w:rPr>
            </w:pPr>
          </w:p>
          <w:p w14:paraId="238AEFEE" w14:textId="77777777" w:rsidR="007F2986" w:rsidRPr="00CF5D7A" w:rsidRDefault="007F2986" w:rsidP="00CC2E43">
            <w:pPr>
              <w:pStyle w:val="TableParagraph"/>
              <w:ind w:left="567"/>
              <w:rPr>
                <w:rFonts w:ascii="Times New Roman" w:eastAsia="Times New Roman" w:hAnsi="Times New Roman" w:cs="Times New Roman"/>
                <w:lang w:val="hu-HU"/>
              </w:rPr>
            </w:pPr>
            <w:r w:rsidRPr="00CF5D7A">
              <w:rPr>
                <w:rFonts w:ascii="Times New Roman" w:eastAsia="Times New Roman" w:hAnsi="Times New Roman" w:cs="Times New Roman"/>
                <w:lang w:val="hu-HU"/>
              </w:rPr>
              <w:t>63,3%</w:t>
            </w:r>
          </w:p>
        </w:tc>
      </w:tr>
      <w:tr w:rsidR="007F2986" w:rsidRPr="00CF5D7A" w14:paraId="71583373" w14:textId="77777777" w:rsidTr="00CC2E43">
        <w:tc>
          <w:tcPr>
            <w:tcW w:w="1186" w:type="dxa"/>
            <w:tcBorders>
              <w:top w:val="nil"/>
              <w:left w:val="single" w:sz="4" w:space="0" w:color="auto"/>
              <w:right w:val="single" w:sz="4" w:space="0" w:color="auto"/>
            </w:tcBorders>
          </w:tcPr>
          <w:p w14:paraId="7604EE40" w14:textId="77777777" w:rsidR="007F2986" w:rsidRPr="00CF5D7A" w:rsidRDefault="007F2986" w:rsidP="00CC2E43">
            <w:pPr>
              <w:pStyle w:val="TableParagraph"/>
              <w:spacing w:line="241" w:lineRule="exact"/>
              <w:ind w:left="144"/>
              <w:rPr>
                <w:rFonts w:ascii="Times New Roman" w:eastAsia="Times New Roman" w:hAnsi="Times New Roman" w:cs="Times New Roman"/>
                <w:lang w:val="hu-HU"/>
              </w:rPr>
            </w:pPr>
            <w:r w:rsidRPr="00CF5D7A">
              <w:rPr>
                <w:rFonts w:ascii="Times New Roman" w:eastAsia="Times New Roman" w:hAnsi="Times New Roman" w:cs="Times New Roman"/>
                <w:lang w:val="hu-HU"/>
              </w:rPr>
              <w:t>6 hónap</w:t>
            </w:r>
          </w:p>
        </w:tc>
        <w:tc>
          <w:tcPr>
            <w:tcW w:w="1075" w:type="dxa"/>
            <w:vMerge/>
            <w:tcBorders>
              <w:top w:val="single" w:sz="4" w:space="0" w:color="auto"/>
              <w:left w:val="single" w:sz="4" w:space="0" w:color="auto"/>
            </w:tcBorders>
          </w:tcPr>
          <w:p w14:paraId="36351459" w14:textId="77777777" w:rsidR="007F2986" w:rsidRPr="00CF5D7A" w:rsidRDefault="007F2986" w:rsidP="00CC2E43">
            <w:pPr>
              <w:rPr>
                <w:lang w:val="hu-HU"/>
              </w:rPr>
            </w:pPr>
          </w:p>
        </w:tc>
        <w:tc>
          <w:tcPr>
            <w:tcW w:w="1608" w:type="dxa"/>
            <w:vMerge/>
            <w:tcBorders>
              <w:top w:val="single" w:sz="4" w:space="0" w:color="auto"/>
              <w:left w:val="nil"/>
              <w:right w:val="single" w:sz="4" w:space="0" w:color="auto"/>
            </w:tcBorders>
          </w:tcPr>
          <w:p w14:paraId="2D5A60FE" w14:textId="77777777" w:rsidR="007F2986" w:rsidRPr="00CF5D7A" w:rsidRDefault="007F2986" w:rsidP="00CC2E43">
            <w:pPr>
              <w:rPr>
                <w:lang w:val="hu-HU"/>
              </w:rPr>
            </w:pPr>
          </w:p>
        </w:tc>
        <w:tc>
          <w:tcPr>
            <w:tcW w:w="1273" w:type="dxa"/>
            <w:vMerge/>
            <w:tcBorders>
              <w:left w:val="single" w:sz="4" w:space="0" w:color="auto"/>
              <w:right w:val="nil"/>
            </w:tcBorders>
          </w:tcPr>
          <w:p w14:paraId="7F47AEC3" w14:textId="77777777" w:rsidR="007F2986" w:rsidRPr="00CF5D7A" w:rsidRDefault="007F2986" w:rsidP="00CC2E43">
            <w:pPr>
              <w:rPr>
                <w:lang w:val="hu-HU"/>
              </w:rPr>
            </w:pPr>
          </w:p>
        </w:tc>
        <w:tc>
          <w:tcPr>
            <w:tcW w:w="1288" w:type="dxa"/>
            <w:vMerge/>
            <w:tcBorders>
              <w:left w:val="nil"/>
              <w:right w:val="single" w:sz="7" w:space="0" w:color="000000"/>
            </w:tcBorders>
          </w:tcPr>
          <w:p w14:paraId="7C085B68" w14:textId="77777777" w:rsidR="007F2986" w:rsidRPr="00CF5D7A" w:rsidRDefault="007F2986" w:rsidP="00CC2E43">
            <w:pPr>
              <w:rPr>
                <w:lang w:val="hu-HU"/>
              </w:rPr>
            </w:pPr>
          </w:p>
        </w:tc>
        <w:tc>
          <w:tcPr>
            <w:tcW w:w="1151" w:type="dxa"/>
            <w:vMerge/>
            <w:tcBorders>
              <w:left w:val="single" w:sz="7" w:space="0" w:color="000000"/>
              <w:right w:val="nil"/>
            </w:tcBorders>
          </w:tcPr>
          <w:p w14:paraId="67A7ACA0" w14:textId="77777777" w:rsidR="007F2986" w:rsidRPr="00CF5D7A" w:rsidRDefault="007F2986" w:rsidP="00CC2E43">
            <w:pPr>
              <w:rPr>
                <w:lang w:val="hu-HU"/>
              </w:rPr>
            </w:pPr>
          </w:p>
        </w:tc>
        <w:tc>
          <w:tcPr>
            <w:tcW w:w="1544" w:type="dxa"/>
            <w:vMerge/>
            <w:tcBorders>
              <w:left w:val="nil"/>
              <w:right w:val="single" w:sz="4" w:space="0" w:color="auto"/>
            </w:tcBorders>
          </w:tcPr>
          <w:p w14:paraId="26965C1B" w14:textId="77777777" w:rsidR="007F2986" w:rsidRPr="00CF5D7A" w:rsidRDefault="007F2986" w:rsidP="00CC2E43">
            <w:pPr>
              <w:rPr>
                <w:lang w:val="hu-HU"/>
              </w:rPr>
            </w:pPr>
          </w:p>
        </w:tc>
      </w:tr>
      <w:tr w:rsidR="007F2986" w:rsidRPr="00CF5D7A" w14:paraId="5C537DBB" w14:textId="77777777" w:rsidTr="00CC2E43">
        <w:tc>
          <w:tcPr>
            <w:tcW w:w="1186" w:type="dxa"/>
            <w:tcBorders>
              <w:top w:val="nil"/>
              <w:left w:val="single" w:sz="4" w:space="0" w:color="auto"/>
              <w:bottom w:val="single" w:sz="4" w:space="0" w:color="auto"/>
              <w:right w:val="single" w:sz="4" w:space="0" w:color="auto"/>
            </w:tcBorders>
          </w:tcPr>
          <w:p w14:paraId="5FBAB318" w14:textId="77777777" w:rsidR="007F2986" w:rsidRPr="00CF5D7A" w:rsidRDefault="007F2986" w:rsidP="00CC2E43">
            <w:pPr>
              <w:pStyle w:val="TableParagraph"/>
              <w:spacing w:line="241" w:lineRule="exact"/>
              <w:ind w:left="144"/>
              <w:rPr>
                <w:rFonts w:ascii="Times New Roman" w:eastAsia="Times New Roman" w:hAnsi="Times New Roman" w:cs="Times New Roman"/>
                <w:lang w:val="hu-HU"/>
              </w:rPr>
            </w:pPr>
            <w:r w:rsidRPr="00CF5D7A">
              <w:rPr>
                <w:rFonts w:ascii="Times New Roman" w:eastAsia="Times New Roman" w:hAnsi="Times New Roman" w:cs="Times New Roman"/>
                <w:lang w:val="hu-HU"/>
              </w:rPr>
              <w:t>12 hónap</w:t>
            </w:r>
          </w:p>
        </w:tc>
        <w:tc>
          <w:tcPr>
            <w:tcW w:w="1075" w:type="dxa"/>
            <w:tcBorders>
              <w:left w:val="single" w:sz="4" w:space="0" w:color="auto"/>
              <w:bottom w:val="single" w:sz="4" w:space="0" w:color="auto"/>
            </w:tcBorders>
          </w:tcPr>
          <w:p w14:paraId="1875845A" w14:textId="77777777" w:rsidR="007F2986" w:rsidRPr="00CF5D7A" w:rsidRDefault="007F2986" w:rsidP="00CC2E43">
            <w:pPr>
              <w:pStyle w:val="TableParagraph"/>
              <w:spacing w:line="241"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608" w:type="dxa"/>
            <w:tcBorders>
              <w:left w:val="nil"/>
              <w:bottom w:val="single" w:sz="4" w:space="0" w:color="auto"/>
              <w:right w:val="single" w:sz="4" w:space="0" w:color="auto"/>
            </w:tcBorders>
          </w:tcPr>
          <w:p w14:paraId="6F6321FF" w14:textId="77777777" w:rsidR="007F2986" w:rsidRPr="00CF5D7A" w:rsidRDefault="007F2986" w:rsidP="00CC2E43">
            <w:pPr>
              <w:pStyle w:val="TableParagraph"/>
              <w:spacing w:line="241"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273" w:type="dxa"/>
            <w:tcBorders>
              <w:top w:val="nil"/>
              <w:left w:val="single" w:sz="4" w:space="0" w:color="auto"/>
              <w:bottom w:val="single" w:sz="4" w:space="0" w:color="auto"/>
              <w:right w:val="nil"/>
            </w:tcBorders>
          </w:tcPr>
          <w:p w14:paraId="491C2168" w14:textId="77777777" w:rsidR="007F2986" w:rsidRPr="00CF5D7A" w:rsidRDefault="007F2986" w:rsidP="00CC2E43">
            <w:pPr>
              <w:pStyle w:val="TableParagraph"/>
              <w:spacing w:line="241"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288" w:type="dxa"/>
            <w:tcBorders>
              <w:top w:val="nil"/>
              <w:left w:val="nil"/>
              <w:bottom w:val="single" w:sz="4" w:space="0" w:color="auto"/>
              <w:right w:val="single" w:sz="7" w:space="0" w:color="000000"/>
            </w:tcBorders>
          </w:tcPr>
          <w:p w14:paraId="573A70AA" w14:textId="77777777" w:rsidR="007F2986" w:rsidRPr="00CF5D7A" w:rsidRDefault="007F2986" w:rsidP="00CC2E43">
            <w:pPr>
              <w:pStyle w:val="TableParagraph"/>
              <w:spacing w:line="241"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151" w:type="dxa"/>
            <w:tcBorders>
              <w:top w:val="nil"/>
              <w:left w:val="single" w:sz="7" w:space="0" w:color="000000"/>
              <w:bottom w:val="single" w:sz="4" w:space="0" w:color="auto"/>
              <w:right w:val="nil"/>
            </w:tcBorders>
          </w:tcPr>
          <w:p w14:paraId="78011A72" w14:textId="77777777" w:rsidR="007F2986" w:rsidRPr="00CF5D7A" w:rsidRDefault="007F2986" w:rsidP="00CC2E43">
            <w:pPr>
              <w:pStyle w:val="TableParagraph"/>
              <w:spacing w:line="241" w:lineRule="exact"/>
              <w:ind w:left="344"/>
              <w:rPr>
                <w:rFonts w:ascii="Times New Roman" w:eastAsia="Times New Roman" w:hAnsi="Times New Roman" w:cs="Times New Roman"/>
                <w:lang w:val="hu-HU"/>
              </w:rPr>
            </w:pPr>
            <w:r w:rsidRPr="00CF5D7A">
              <w:rPr>
                <w:rFonts w:ascii="Times New Roman" w:eastAsia="Times New Roman" w:hAnsi="Times New Roman" w:cs="Times New Roman"/>
                <w:lang w:val="hu-HU"/>
              </w:rPr>
              <w:t>24,0%</w:t>
            </w:r>
          </w:p>
        </w:tc>
        <w:tc>
          <w:tcPr>
            <w:tcW w:w="1544" w:type="dxa"/>
            <w:tcBorders>
              <w:top w:val="nil"/>
              <w:left w:val="nil"/>
              <w:bottom w:val="single" w:sz="4" w:space="0" w:color="auto"/>
              <w:right w:val="single" w:sz="4" w:space="0" w:color="auto"/>
            </w:tcBorders>
          </w:tcPr>
          <w:p w14:paraId="5D608ECF" w14:textId="77777777" w:rsidR="007F2986" w:rsidRPr="00CF5D7A" w:rsidRDefault="007F2986" w:rsidP="00CC2E43">
            <w:pPr>
              <w:pStyle w:val="TableParagraph"/>
              <w:spacing w:line="241" w:lineRule="exact"/>
              <w:ind w:left="567"/>
              <w:rPr>
                <w:rFonts w:ascii="Times New Roman" w:eastAsia="Times New Roman" w:hAnsi="Times New Roman" w:cs="Times New Roman"/>
                <w:lang w:val="hu-HU"/>
              </w:rPr>
            </w:pPr>
            <w:r w:rsidRPr="00CF5D7A">
              <w:rPr>
                <w:rFonts w:ascii="Times New Roman" w:eastAsia="Times New Roman" w:hAnsi="Times New Roman" w:cs="Times New Roman"/>
                <w:lang w:val="hu-HU"/>
              </w:rPr>
              <w:t>58,9%</w:t>
            </w:r>
          </w:p>
        </w:tc>
      </w:tr>
      <w:tr w:rsidR="007F2986" w:rsidRPr="00CF5D7A" w14:paraId="59D9F043" w14:textId="77777777" w:rsidTr="00CC2E43">
        <w:tc>
          <w:tcPr>
            <w:tcW w:w="1186" w:type="dxa"/>
            <w:tcBorders>
              <w:top w:val="single" w:sz="4" w:space="0" w:color="auto"/>
              <w:left w:val="single" w:sz="4" w:space="0" w:color="auto"/>
              <w:bottom w:val="nil"/>
              <w:right w:val="single" w:sz="4" w:space="0" w:color="auto"/>
            </w:tcBorders>
          </w:tcPr>
          <w:p w14:paraId="0A0B434E" w14:textId="77777777" w:rsidR="007F2986" w:rsidRPr="00CF5D7A" w:rsidRDefault="007F2986" w:rsidP="00CC2E43">
            <w:pPr>
              <w:pStyle w:val="TableParagraph"/>
              <w:spacing w:line="242"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ACR 50</w:t>
            </w:r>
          </w:p>
        </w:tc>
        <w:tc>
          <w:tcPr>
            <w:tcW w:w="1075" w:type="dxa"/>
            <w:tcBorders>
              <w:top w:val="single" w:sz="4" w:space="0" w:color="auto"/>
              <w:left w:val="single" w:sz="4" w:space="0" w:color="auto"/>
              <w:bottom w:val="nil"/>
              <w:right w:val="nil"/>
            </w:tcBorders>
          </w:tcPr>
          <w:p w14:paraId="6D21CF0A" w14:textId="77777777" w:rsidR="007F2986" w:rsidRPr="00CF5D7A" w:rsidRDefault="007F2986" w:rsidP="00CC2E43">
            <w:pPr>
              <w:rPr>
                <w:lang w:val="hu-HU"/>
              </w:rPr>
            </w:pPr>
          </w:p>
        </w:tc>
        <w:tc>
          <w:tcPr>
            <w:tcW w:w="1608" w:type="dxa"/>
            <w:tcBorders>
              <w:top w:val="single" w:sz="4" w:space="0" w:color="auto"/>
              <w:left w:val="nil"/>
              <w:bottom w:val="nil"/>
              <w:right w:val="single" w:sz="7" w:space="0" w:color="000000"/>
            </w:tcBorders>
          </w:tcPr>
          <w:p w14:paraId="4510AC51" w14:textId="77777777" w:rsidR="007F2986" w:rsidRPr="00CF5D7A" w:rsidRDefault="007F2986" w:rsidP="00CC2E43">
            <w:pPr>
              <w:rPr>
                <w:lang w:val="hu-HU"/>
              </w:rPr>
            </w:pPr>
          </w:p>
        </w:tc>
        <w:tc>
          <w:tcPr>
            <w:tcW w:w="1273" w:type="dxa"/>
            <w:tcBorders>
              <w:top w:val="single" w:sz="4" w:space="0" w:color="auto"/>
              <w:left w:val="single" w:sz="7" w:space="0" w:color="000000"/>
              <w:bottom w:val="nil"/>
              <w:right w:val="nil"/>
            </w:tcBorders>
          </w:tcPr>
          <w:p w14:paraId="2BAF78AB" w14:textId="77777777" w:rsidR="007F2986" w:rsidRPr="00CF5D7A" w:rsidRDefault="007F2986" w:rsidP="00CC2E43">
            <w:pPr>
              <w:rPr>
                <w:lang w:val="hu-HU"/>
              </w:rPr>
            </w:pPr>
          </w:p>
        </w:tc>
        <w:tc>
          <w:tcPr>
            <w:tcW w:w="1288" w:type="dxa"/>
            <w:tcBorders>
              <w:top w:val="single" w:sz="4" w:space="0" w:color="auto"/>
              <w:left w:val="nil"/>
              <w:bottom w:val="nil"/>
              <w:right w:val="single" w:sz="7" w:space="0" w:color="000000"/>
            </w:tcBorders>
          </w:tcPr>
          <w:p w14:paraId="05B4F86A" w14:textId="77777777" w:rsidR="007F2986" w:rsidRPr="00CF5D7A" w:rsidRDefault="007F2986" w:rsidP="00CC2E43">
            <w:pPr>
              <w:rPr>
                <w:lang w:val="hu-HU"/>
              </w:rPr>
            </w:pPr>
          </w:p>
        </w:tc>
        <w:tc>
          <w:tcPr>
            <w:tcW w:w="1151" w:type="dxa"/>
            <w:tcBorders>
              <w:top w:val="single" w:sz="4" w:space="0" w:color="auto"/>
              <w:left w:val="single" w:sz="7" w:space="0" w:color="000000"/>
              <w:bottom w:val="nil"/>
              <w:right w:val="nil"/>
            </w:tcBorders>
          </w:tcPr>
          <w:p w14:paraId="0AAAA825" w14:textId="77777777" w:rsidR="007F2986" w:rsidRPr="00CF5D7A" w:rsidRDefault="007F2986" w:rsidP="00CC2E43">
            <w:pPr>
              <w:rPr>
                <w:lang w:val="hu-HU"/>
              </w:rPr>
            </w:pPr>
          </w:p>
        </w:tc>
        <w:tc>
          <w:tcPr>
            <w:tcW w:w="1544" w:type="dxa"/>
            <w:tcBorders>
              <w:top w:val="single" w:sz="4" w:space="0" w:color="auto"/>
              <w:left w:val="nil"/>
              <w:bottom w:val="nil"/>
              <w:right w:val="single" w:sz="4" w:space="0" w:color="auto"/>
            </w:tcBorders>
          </w:tcPr>
          <w:p w14:paraId="5001384E" w14:textId="77777777" w:rsidR="007F2986" w:rsidRPr="00CF5D7A" w:rsidRDefault="007F2986" w:rsidP="00CC2E43">
            <w:pPr>
              <w:rPr>
                <w:lang w:val="hu-HU"/>
              </w:rPr>
            </w:pPr>
          </w:p>
        </w:tc>
      </w:tr>
      <w:tr w:rsidR="007F2986" w:rsidRPr="00CF5D7A" w14:paraId="3FC5BCB8" w14:textId="77777777" w:rsidTr="00CC2E43">
        <w:tc>
          <w:tcPr>
            <w:tcW w:w="1186" w:type="dxa"/>
            <w:tcBorders>
              <w:top w:val="nil"/>
              <w:left w:val="single" w:sz="4" w:space="0" w:color="auto"/>
              <w:right w:val="single" w:sz="4" w:space="0" w:color="auto"/>
            </w:tcBorders>
          </w:tcPr>
          <w:p w14:paraId="18E311B5" w14:textId="77777777" w:rsidR="007F2986" w:rsidRPr="00CF5D7A" w:rsidRDefault="007F2986" w:rsidP="00CC2E43">
            <w:pPr>
              <w:pStyle w:val="TableParagraph"/>
              <w:spacing w:line="241" w:lineRule="exact"/>
              <w:ind w:left="144"/>
              <w:rPr>
                <w:rFonts w:ascii="Times New Roman" w:eastAsia="Times New Roman" w:hAnsi="Times New Roman" w:cs="Times New Roman"/>
                <w:lang w:val="hu-HU"/>
              </w:rPr>
            </w:pPr>
            <w:r w:rsidRPr="00CF5D7A">
              <w:rPr>
                <w:rFonts w:ascii="Times New Roman" w:eastAsia="Times New Roman" w:hAnsi="Times New Roman" w:cs="Times New Roman"/>
                <w:lang w:val="hu-HU"/>
              </w:rPr>
              <w:t>6 hónap</w:t>
            </w:r>
          </w:p>
        </w:tc>
        <w:tc>
          <w:tcPr>
            <w:tcW w:w="1075" w:type="dxa"/>
            <w:tcBorders>
              <w:top w:val="nil"/>
              <w:left w:val="single" w:sz="4" w:space="0" w:color="auto"/>
              <w:right w:val="nil"/>
            </w:tcBorders>
          </w:tcPr>
          <w:p w14:paraId="5A2B1EA6" w14:textId="77777777" w:rsidR="007F2986" w:rsidRPr="00CF5D7A" w:rsidRDefault="007F2986" w:rsidP="00CC2E43">
            <w:pPr>
              <w:pStyle w:val="TableParagraph"/>
              <w:spacing w:line="241" w:lineRule="exact"/>
              <w:ind w:left="337"/>
              <w:rPr>
                <w:rFonts w:ascii="Times New Roman" w:eastAsia="Times New Roman" w:hAnsi="Times New Roman" w:cs="Times New Roman"/>
                <w:lang w:val="hu-HU"/>
              </w:rPr>
            </w:pPr>
            <w:r w:rsidRPr="00CF5D7A">
              <w:rPr>
                <w:rFonts w:ascii="Times New Roman" w:eastAsia="Times New Roman" w:hAnsi="Times New Roman" w:cs="Times New Roman"/>
                <w:lang w:val="hu-HU"/>
              </w:rPr>
              <w:t>6,7%</w:t>
            </w:r>
          </w:p>
        </w:tc>
        <w:tc>
          <w:tcPr>
            <w:tcW w:w="1608" w:type="dxa"/>
            <w:tcBorders>
              <w:top w:val="nil"/>
              <w:left w:val="nil"/>
              <w:right w:val="single" w:sz="7" w:space="0" w:color="000000"/>
            </w:tcBorders>
          </w:tcPr>
          <w:p w14:paraId="4343B499" w14:textId="77777777" w:rsidR="007F2986" w:rsidRPr="00CF5D7A" w:rsidRDefault="007F2986" w:rsidP="00CC2E43">
            <w:pPr>
              <w:pStyle w:val="TableParagraph"/>
              <w:spacing w:line="241" w:lineRule="exact"/>
              <w:ind w:left="544"/>
              <w:rPr>
                <w:rFonts w:ascii="Times New Roman" w:eastAsia="Times New Roman" w:hAnsi="Times New Roman" w:cs="Times New Roman"/>
                <w:lang w:val="hu-HU"/>
              </w:rPr>
            </w:pPr>
            <w:r w:rsidRPr="00CF5D7A">
              <w:rPr>
                <w:rFonts w:ascii="Times New Roman" w:eastAsia="Times New Roman" w:hAnsi="Times New Roman" w:cs="Times New Roman"/>
                <w:lang w:val="hu-HU"/>
              </w:rPr>
              <w:t>52,4%</w:t>
            </w:r>
          </w:p>
        </w:tc>
        <w:tc>
          <w:tcPr>
            <w:tcW w:w="1273" w:type="dxa"/>
            <w:tcBorders>
              <w:top w:val="nil"/>
              <w:left w:val="single" w:sz="7" w:space="0" w:color="000000"/>
              <w:right w:val="nil"/>
            </w:tcBorders>
          </w:tcPr>
          <w:p w14:paraId="177439CF" w14:textId="77777777" w:rsidR="007F2986" w:rsidRPr="00CF5D7A" w:rsidRDefault="007F2986" w:rsidP="00CC2E43">
            <w:pPr>
              <w:pStyle w:val="TableParagraph"/>
              <w:spacing w:line="241" w:lineRule="exact"/>
              <w:ind w:left="428"/>
              <w:rPr>
                <w:rFonts w:ascii="Times New Roman" w:eastAsia="Times New Roman" w:hAnsi="Times New Roman" w:cs="Times New Roman"/>
                <w:lang w:val="hu-HU"/>
              </w:rPr>
            </w:pPr>
            <w:r w:rsidRPr="00CF5D7A">
              <w:rPr>
                <w:rFonts w:ascii="Times New Roman" w:eastAsia="Times New Roman" w:hAnsi="Times New Roman" w:cs="Times New Roman"/>
                <w:lang w:val="hu-HU"/>
              </w:rPr>
              <w:t>8,2%</w:t>
            </w:r>
          </w:p>
        </w:tc>
        <w:tc>
          <w:tcPr>
            <w:tcW w:w="1288" w:type="dxa"/>
            <w:tcBorders>
              <w:top w:val="nil"/>
              <w:left w:val="nil"/>
              <w:right w:val="single" w:sz="7" w:space="0" w:color="000000"/>
            </w:tcBorders>
          </w:tcPr>
          <w:p w14:paraId="60DA8713" w14:textId="77777777" w:rsidR="007F2986" w:rsidRPr="00CF5D7A" w:rsidRDefault="007F2986" w:rsidP="00CC2E43">
            <w:pPr>
              <w:pStyle w:val="TableParagraph"/>
              <w:spacing w:line="241" w:lineRule="exact"/>
              <w:ind w:left="363"/>
              <w:rPr>
                <w:rFonts w:ascii="Times New Roman" w:eastAsia="Times New Roman" w:hAnsi="Times New Roman" w:cs="Times New Roman"/>
                <w:lang w:val="hu-HU"/>
              </w:rPr>
            </w:pPr>
            <w:r w:rsidRPr="00CF5D7A">
              <w:rPr>
                <w:rFonts w:ascii="Times New Roman" w:eastAsia="Times New Roman" w:hAnsi="Times New Roman" w:cs="Times New Roman"/>
                <w:lang w:val="hu-HU"/>
              </w:rPr>
              <w:t>22,1%</w:t>
            </w:r>
          </w:p>
        </w:tc>
        <w:tc>
          <w:tcPr>
            <w:tcW w:w="1151" w:type="dxa"/>
            <w:tcBorders>
              <w:top w:val="nil"/>
              <w:left w:val="single" w:sz="7" w:space="0" w:color="000000"/>
              <w:right w:val="nil"/>
            </w:tcBorders>
          </w:tcPr>
          <w:p w14:paraId="3A7CCBAE" w14:textId="77777777" w:rsidR="007F2986" w:rsidRPr="00CF5D7A" w:rsidRDefault="007F2986" w:rsidP="00CC2E43">
            <w:pPr>
              <w:pStyle w:val="TableParagraph"/>
              <w:spacing w:line="241" w:lineRule="exact"/>
              <w:ind w:left="455"/>
              <w:rPr>
                <w:rFonts w:ascii="Times New Roman" w:eastAsia="Times New Roman" w:hAnsi="Times New Roman" w:cs="Times New Roman"/>
                <w:lang w:val="hu-HU"/>
              </w:rPr>
            </w:pPr>
            <w:r w:rsidRPr="00CF5D7A">
              <w:rPr>
                <w:rFonts w:ascii="Times New Roman" w:eastAsia="Times New Roman" w:hAnsi="Times New Roman" w:cs="Times New Roman"/>
                <w:lang w:val="hu-HU"/>
              </w:rPr>
              <w:t>9,5%</w:t>
            </w:r>
          </w:p>
        </w:tc>
        <w:tc>
          <w:tcPr>
            <w:tcW w:w="1544" w:type="dxa"/>
            <w:tcBorders>
              <w:top w:val="nil"/>
              <w:left w:val="nil"/>
              <w:right w:val="single" w:sz="4" w:space="0" w:color="auto"/>
            </w:tcBorders>
          </w:tcPr>
          <w:p w14:paraId="609E9BA4" w14:textId="77777777" w:rsidR="007F2986" w:rsidRPr="00CF5D7A" w:rsidRDefault="007F2986" w:rsidP="00CC2E43">
            <w:pPr>
              <w:pStyle w:val="TableParagraph"/>
              <w:spacing w:line="241" w:lineRule="exact"/>
              <w:ind w:left="567"/>
              <w:rPr>
                <w:rFonts w:ascii="Times New Roman" w:eastAsia="Times New Roman" w:hAnsi="Times New Roman" w:cs="Times New Roman"/>
                <w:lang w:val="hu-HU"/>
              </w:rPr>
            </w:pPr>
            <w:r w:rsidRPr="00CF5D7A">
              <w:rPr>
                <w:rFonts w:ascii="Times New Roman" w:eastAsia="Times New Roman" w:hAnsi="Times New Roman" w:cs="Times New Roman"/>
                <w:lang w:val="hu-HU"/>
              </w:rPr>
              <w:t>39,1%</w:t>
            </w:r>
          </w:p>
        </w:tc>
      </w:tr>
      <w:tr w:rsidR="007F2986" w:rsidRPr="00CF5D7A" w14:paraId="3B5932DA" w14:textId="77777777" w:rsidTr="00CC2E43">
        <w:tc>
          <w:tcPr>
            <w:tcW w:w="1186" w:type="dxa"/>
            <w:tcBorders>
              <w:top w:val="nil"/>
              <w:left w:val="single" w:sz="4" w:space="0" w:color="auto"/>
              <w:bottom w:val="single" w:sz="4" w:space="0" w:color="auto"/>
              <w:right w:val="single" w:sz="4" w:space="0" w:color="auto"/>
            </w:tcBorders>
          </w:tcPr>
          <w:p w14:paraId="1FE5A607" w14:textId="77777777" w:rsidR="007F2986" w:rsidRPr="00CF5D7A" w:rsidRDefault="007F2986" w:rsidP="00CC2E43">
            <w:pPr>
              <w:pStyle w:val="TableParagraph"/>
              <w:spacing w:line="242" w:lineRule="exact"/>
              <w:ind w:left="144"/>
              <w:rPr>
                <w:rFonts w:ascii="Times New Roman" w:eastAsia="Times New Roman" w:hAnsi="Times New Roman" w:cs="Times New Roman"/>
                <w:lang w:val="hu-HU"/>
              </w:rPr>
            </w:pPr>
            <w:r w:rsidRPr="00CF5D7A">
              <w:rPr>
                <w:rFonts w:ascii="Times New Roman" w:eastAsia="Times New Roman" w:hAnsi="Times New Roman" w:cs="Times New Roman"/>
                <w:lang w:val="hu-HU"/>
              </w:rPr>
              <w:t>12 hónap</w:t>
            </w:r>
          </w:p>
        </w:tc>
        <w:tc>
          <w:tcPr>
            <w:tcW w:w="1075" w:type="dxa"/>
            <w:tcBorders>
              <w:top w:val="nil"/>
              <w:left w:val="single" w:sz="4" w:space="0" w:color="auto"/>
              <w:bottom w:val="single" w:sz="4" w:space="0" w:color="auto"/>
              <w:right w:val="nil"/>
            </w:tcBorders>
          </w:tcPr>
          <w:p w14:paraId="481F2373" w14:textId="77777777" w:rsidR="007F2986" w:rsidRPr="00CF5D7A" w:rsidRDefault="007F2986" w:rsidP="00CC2E43">
            <w:pPr>
              <w:pStyle w:val="TableParagraph"/>
              <w:spacing w:line="242"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608" w:type="dxa"/>
            <w:tcBorders>
              <w:top w:val="nil"/>
              <w:left w:val="nil"/>
              <w:bottom w:val="single" w:sz="4" w:space="0" w:color="auto"/>
              <w:right w:val="single" w:sz="7" w:space="0" w:color="000000"/>
            </w:tcBorders>
          </w:tcPr>
          <w:p w14:paraId="6D9FC280" w14:textId="77777777" w:rsidR="007F2986" w:rsidRPr="00CF5D7A" w:rsidRDefault="007F2986" w:rsidP="00CC2E43">
            <w:pPr>
              <w:pStyle w:val="TableParagraph"/>
              <w:spacing w:line="242"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273" w:type="dxa"/>
            <w:tcBorders>
              <w:top w:val="nil"/>
              <w:left w:val="single" w:sz="7" w:space="0" w:color="000000"/>
              <w:bottom w:val="single" w:sz="4" w:space="0" w:color="auto"/>
              <w:right w:val="nil"/>
            </w:tcBorders>
          </w:tcPr>
          <w:p w14:paraId="24F58C88" w14:textId="77777777" w:rsidR="007F2986" w:rsidRPr="00CF5D7A" w:rsidRDefault="007F2986" w:rsidP="00CC2E43">
            <w:pPr>
              <w:pStyle w:val="TableParagraph"/>
              <w:spacing w:line="242"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288" w:type="dxa"/>
            <w:tcBorders>
              <w:top w:val="nil"/>
              <w:left w:val="nil"/>
              <w:bottom w:val="single" w:sz="4" w:space="0" w:color="auto"/>
              <w:right w:val="single" w:sz="7" w:space="0" w:color="000000"/>
            </w:tcBorders>
          </w:tcPr>
          <w:p w14:paraId="7B1D03C3" w14:textId="77777777" w:rsidR="007F2986" w:rsidRPr="00CF5D7A" w:rsidRDefault="007F2986" w:rsidP="00CC2E43">
            <w:pPr>
              <w:pStyle w:val="TableParagraph"/>
              <w:spacing w:line="242"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151" w:type="dxa"/>
            <w:tcBorders>
              <w:top w:val="nil"/>
              <w:left w:val="single" w:sz="7" w:space="0" w:color="000000"/>
              <w:bottom w:val="single" w:sz="4" w:space="0" w:color="auto"/>
              <w:right w:val="nil"/>
            </w:tcBorders>
          </w:tcPr>
          <w:p w14:paraId="23263F2F" w14:textId="77777777" w:rsidR="007F2986" w:rsidRPr="00CF5D7A" w:rsidRDefault="007F2986" w:rsidP="00CC2E43">
            <w:pPr>
              <w:pStyle w:val="TableParagraph"/>
              <w:spacing w:line="242" w:lineRule="exact"/>
              <w:ind w:left="455"/>
              <w:rPr>
                <w:rFonts w:ascii="Times New Roman" w:eastAsia="Times New Roman" w:hAnsi="Times New Roman" w:cs="Times New Roman"/>
                <w:lang w:val="hu-HU"/>
              </w:rPr>
            </w:pPr>
            <w:r w:rsidRPr="00CF5D7A">
              <w:rPr>
                <w:rFonts w:ascii="Times New Roman" w:eastAsia="Times New Roman" w:hAnsi="Times New Roman" w:cs="Times New Roman"/>
                <w:lang w:val="hu-HU"/>
              </w:rPr>
              <w:t>9,5%</w:t>
            </w:r>
          </w:p>
        </w:tc>
        <w:tc>
          <w:tcPr>
            <w:tcW w:w="1544" w:type="dxa"/>
            <w:tcBorders>
              <w:top w:val="nil"/>
              <w:left w:val="nil"/>
              <w:bottom w:val="single" w:sz="4" w:space="0" w:color="auto"/>
              <w:right w:val="single" w:sz="4" w:space="0" w:color="auto"/>
            </w:tcBorders>
          </w:tcPr>
          <w:p w14:paraId="0D52C4EB" w14:textId="77777777" w:rsidR="007F2986" w:rsidRPr="00CF5D7A" w:rsidRDefault="007F2986" w:rsidP="00CC2E43">
            <w:pPr>
              <w:pStyle w:val="TableParagraph"/>
              <w:spacing w:line="242" w:lineRule="exact"/>
              <w:ind w:left="567"/>
              <w:rPr>
                <w:rFonts w:ascii="Times New Roman" w:eastAsia="Times New Roman" w:hAnsi="Times New Roman" w:cs="Times New Roman"/>
                <w:lang w:val="hu-HU"/>
              </w:rPr>
            </w:pPr>
            <w:r w:rsidRPr="00CF5D7A">
              <w:rPr>
                <w:rFonts w:ascii="Times New Roman" w:eastAsia="Times New Roman" w:hAnsi="Times New Roman" w:cs="Times New Roman"/>
                <w:lang w:val="hu-HU"/>
              </w:rPr>
              <w:t>41,5%</w:t>
            </w:r>
          </w:p>
        </w:tc>
      </w:tr>
      <w:tr w:rsidR="007F2986" w:rsidRPr="00CF5D7A" w14:paraId="3FA09A11" w14:textId="77777777" w:rsidTr="00CC2E43">
        <w:tc>
          <w:tcPr>
            <w:tcW w:w="1186" w:type="dxa"/>
            <w:tcBorders>
              <w:top w:val="single" w:sz="4" w:space="0" w:color="auto"/>
              <w:left w:val="single" w:sz="4" w:space="0" w:color="auto"/>
              <w:right w:val="single" w:sz="4" w:space="0" w:color="auto"/>
            </w:tcBorders>
          </w:tcPr>
          <w:p w14:paraId="6800B9F9" w14:textId="77777777" w:rsidR="007F2986" w:rsidRPr="00CF5D7A" w:rsidRDefault="007F2986" w:rsidP="00CC2E43">
            <w:pPr>
              <w:pStyle w:val="TableParagraph"/>
              <w:spacing w:line="241"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ACR 70</w:t>
            </w:r>
          </w:p>
        </w:tc>
        <w:tc>
          <w:tcPr>
            <w:tcW w:w="1075" w:type="dxa"/>
            <w:tcBorders>
              <w:top w:val="single" w:sz="4" w:space="0" w:color="auto"/>
              <w:left w:val="single" w:sz="4" w:space="0" w:color="auto"/>
              <w:bottom w:val="nil"/>
              <w:right w:val="nil"/>
            </w:tcBorders>
          </w:tcPr>
          <w:p w14:paraId="7EEB6B0E" w14:textId="77777777" w:rsidR="007F2986" w:rsidRPr="00CF5D7A" w:rsidRDefault="007F2986" w:rsidP="00CC2E43">
            <w:pPr>
              <w:rPr>
                <w:lang w:val="hu-HU"/>
              </w:rPr>
            </w:pPr>
          </w:p>
        </w:tc>
        <w:tc>
          <w:tcPr>
            <w:tcW w:w="1608" w:type="dxa"/>
            <w:tcBorders>
              <w:top w:val="single" w:sz="4" w:space="0" w:color="auto"/>
              <w:left w:val="nil"/>
              <w:bottom w:val="nil"/>
              <w:right w:val="single" w:sz="7" w:space="0" w:color="000000"/>
            </w:tcBorders>
          </w:tcPr>
          <w:p w14:paraId="287703FB" w14:textId="77777777" w:rsidR="007F2986" w:rsidRPr="00CF5D7A" w:rsidRDefault="007F2986" w:rsidP="00CC2E43">
            <w:pPr>
              <w:rPr>
                <w:lang w:val="hu-HU"/>
              </w:rPr>
            </w:pPr>
          </w:p>
        </w:tc>
        <w:tc>
          <w:tcPr>
            <w:tcW w:w="1273" w:type="dxa"/>
            <w:tcBorders>
              <w:top w:val="single" w:sz="4" w:space="0" w:color="auto"/>
              <w:left w:val="single" w:sz="7" w:space="0" w:color="000000"/>
              <w:bottom w:val="nil"/>
              <w:right w:val="nil"/>
            </w:tcBorders>
          </w:tcPr>
          <w:p w14:paraId="78E06C74" w14:textId="77777777" w:rsidR="007F2986" w:rsidRPr="00CF5D7A" w:rsidRDefault="007F2986" w:rsidP="00CC2E43">
            <w:pPr>
              <w:rPr>
                <w:lang w:val="hu-HU"/>
              </w:rPr>
            </w:pPr>
          </w:p>
        </w:tc>
        <w:tc>
          <w:tcPr>
            <w:tcW w:w="1288" w:type="dxa"/>
            <w:tcBorders>
              <w:top w:val="single" w:sz="4" w:space="0" w:color="auto"/>
              <w:left w:val="nil"/>
              <w:bottom w:val="nil"/>
              <w:right w:val="single" w:sz="7" w:space="0" w:color="000000"/>
            </w:tcBorders>
          </w:tcPr>
          <w:p w14:paraId="54AD87CA" w14:textId="77777777" w:rsidR="007F2986" w:rsidRPr="00CF5D7A" w:rsidRDefault="007F2986" w:rsidP="00CC2E43">
            <w:pPr>
              <w:rPr>
                <w:lang w:val="hu-HU"/>
              </w:rPr>
            </w:pPr>
          </w:p>
        </w:tc>
        <w:tc>
          <w:tcPr>
            <w:tcW w:w="1151" w:type="dxa"/>
            <w:tcBorders>
              <w:top w:val="single" w:sz="4" w:space="0" w:color="auto"/>
              <w:left w:val="single" w:sz="7" w:space="0" w:color="000000"/>
              <w:bottom w:val="nil"/>
              <w:right w:val="nil"/>
            </w:tcBorders>
          </w:tcPr>
          <w:p w14:paraId="203F2EB8" w14:textId="77777777" w:rsidR="007F2986" w:rsidRPr="00CF5D7A" w:rsidRDefault="007F2986" w:rsidP="00CC2E43">
            <w:pPr>
              <w:rPr>
                <w:lang w:val="hu-HU"/>
              </w:rPr>
            </w:pPr>
          </w:p>
        </w:tc>
        <w:tc>
          <w:tcPr>
            <w:tcW w:w="1544" w:type="dxa"/>
            <w:tcBorders>
              <w:top w:val="single" w:sz="4" w:space="0" w:color="auto"/>
              <w:left w:val="nil"/>
              <w:bottom w:val="nil"/>
              <w:right w:val="single" w:sz="4" w:space="0" w:color="auto"/>
            </w:tcBorders>
          </w:tcPr>
          <w:p w14:paraId="32F0169F" w14:textId="77777777" w:rsidR="007F2986" w:rsidRPr="00CF5D7A" w:rsidRDefault="007F2986" w:rsidP="00CC2E43">
            <w:pPr>
              <w:rPr>
                <w:lang w:val="hu-HU"/>
              </w:rPr>
            </w:pPr>
          </w:p>
        </w:tc>
      </w:tr>
      <w:tr w:rsidR="007F2986" w:rsidRPr="00CF5D7A" w14:paraId="0C809396" w14:textId="77777777" w:rsidTr="00CC2E43">
        <w:tc>
          <w:tcPr>
            <w:tcW w:w="1186" w:type="dxa"/>
            <w:tcBorders>
              <w:top w:val="nil"/>
              <w:left w:val="single" w:sz="4" w:space="0" w:color="auto"/>
              <w:right w:val="single" w:sz="4" w:space="0" w:color="auto"/>
            </w:tcBorders>
          </w:tcPr>
          <w:p w14:paraId="0F4362E2" w14:textId="77777777" w:rsidR="007F2986" w:rsidRPr="00CF5D7A" w:rsidRDefault="007F2986" w:rsidP="00CC2E43">
            <w:pPr>
              <w:pStyle w:val="TableParagraph"/>
              <w:spacing w:line="242" w:lineRule="exact"/>
              <w:ind w:left="144"/>
              <w:rPr>
                <w:rFonts w:ascii="Times New Roman" w:eastAsia="Times New Roman" w:hAnsi="Times New Roman" w:cs="Times New Roman"/>
                <w:lang w:val="hu-HU"/>
              </w:rPr>
            </w:pPr>
            <w:r w:rsidRPr="00CF5D7A">
              <w:rPr>
                <w:rFonts w:ascii="Times New Roman" w:eastAsia="Times New Roman" w:hAnsi="Times New Roman" w:cs="Times New Roman"/>
                <w:lang w:val="hu-HU"/>
              </w:rPr>
              <w:t>6 hónap</w:t>
            </w:r>
          </w:p>
        </w:tc>
        <w:tc>
          <w:tcPr>
            <w:tcW w:w="1075" w:type="dxa"/>
            <w:tcBorders>
              <w:top w:val="nil"/>
              <w:left w:val="single" w:sz="4" w:space="0" w:color="auto"/>
              <w:bottom w:val="nil"/>
              <w:right w:val="nil"/>
            </w:tcBorders>
          </w:tcPr>
          <w:p w14:paraId="27353060" w14:textId="77777777" w:rsidR="007F2986" w:rsidRPr="00CF5D7A" w:rsidRDefault="007F2986" w:rsidP="00CC2E43">
            <w:pPr>
              <w:pStyle w:val="TableParagraph"/>
              <w:spacing w:line="242" w:lineRule="exact"/>
              <w:ind w:left="337"/>
              <w:rPr>
                <w:rFonts w:ascii="Times New Roman" w:eastAsia="Times New Roman" w:hAnsi="Times New Roman" w:cs="Times New Roman"/>
                <w:lang w:val="hu-HU"/>
              </w:rPr>
            </w:pPr>
            <w:r w:rsidRPr="00CF5D7A">
              <w:rPr>
                <w:rFonts w:ascii="Times New Roman" w:eastAsia="Times New Roman" w:hAnsi="Times New Roman" w:cs="Times New Roman"/>
                <w:lang w:val="hu-HU"/>
              </w:rPr>
              <w:t>3,3%</w:t>
            </w:r>
          </w:p>
        </w:tc>
        <w:tc>
          <w:tcPr>
            <w:tcW w:w="1608" w:type="dxa"/>
            <w:tcBorders>
              <w:top w:val="nil"/>
              <w:left w:val="nil"/>
              <w:bottom w:val="nil"/>
              <w:right w:val="single" w:sz="7" w:space="0" w:color="000000"/>
            </w:tcBorders>
          </w:tcPr>
          <w:p w14:paraId="3E8D9629" w14:textId="77777777" w:rsidR="007F2986" w:rsidRPr="00CF5D7A" w:rsidRDefault="007F2986" w:rsidP="00CC2E43">
            <w:pPr>
              <w:pStyle w:val="TableParagraph"/>
              <w:spacing w:line="242" w:lineRule="exact"/>
              <w:ind w:left="544"/>
              <w:rPr>
                <w:rFonts w:ascii="Times New Roman" w:eastAsia="Times New Roman" w:hAnsi="Times New Roman" w:cs="Times New Roman"/>
                <w:lang w:val="hu-HU"/>
              </w:rPr>
            </w:pPr>
            <w:r w:rsidRPr="00CF5D7A">
              <w:rPr>
                <w:rFonts w:ascii="Times New Roman" w:eastAsia="Times New Roman" w:hAnsi="Times New Roman" w:cs="Times New Roman"/>
                <w:lang w:val="hu-HU"/>
              </w:rPr>
              <w:t>23,8%</w:t>
            </w:r>
          </w:p>
        </w:tc>
        <w:tc>
          <w:tcPr>
            <w:tcW w:w="1273" w:type="dxa"/>
            <w:tcBorders>
              <w:top w:val="nil"/>
              <w:left w:val="single" w:sz="7" w:space="0" w:color="000000"/>
              <w:bottom w:val="nil"/>
              <w:right w:val="nil"/>
            </w:tcBorders>
          </w:tcPr>
          <w:p w14:paraId="58C68114" w14:textId="77777777" w:rsidR="007F2986" w:rsidRPr="00CF5D7A" w:rsidRDefault="007F2986" w:rsidP="00CC2E43">
            <w:pPr>
              <w:pStyle w:val="TableParagraph"/>
              <w:spacing w:line="242" w:lineRule="exact"/>
              <w:ind w:left="428"/>
              <w:rPr>
                <w:rFonts w:ascii="Times New Roman" w:eastAsia="Times New Roman" w:hAnsi="Times New Roman" w:cs="Times New Roman"/>
                <w:lang w:val="hu-HU"/>
              </w:rPr>
            </w:pPr>
            <w:r w:rsidRPr="00CF5D7A">
              <w:rPr>
                <w:rFonts w:ascii="Times New Roman" w:eastAsia="Times New Roman" w:hAnsi="Times New Roman" w:cs="Times New Roman"/>
                <w:lang w:val="hu-HU"/>
              </w:rPr>
              <w:t>1,8%</w:t>
            </w:r>
          </w:p>
        </w:tc>
        <w:tc>
          <w:tcPr>
            <w:tcW w:w="1288" w:type="dxa"/>
            <w:tcBorders>
              <w:top w:val="nil"/>
              <w:left w:val="nil"/>
              <w:bottom w:val="nil"/>
              <w:right w:val="single" w:sz="7" w:space="0" w:color="000000"/>
            </w:tcBorders>
          </w:tcPr>
          <w:p w14:paraId="5252C278" w14:textId="77777777" w:rsidR="007F2986" w:rsidRPr="00CF5D7A" w:rsidRDefault="007F2986" w:rsidP="00CC2E43">
            <w:pPr>
              <w:pStyle w:val="TableParagraph"/>
              <w:spacing w:line="242" w:lineRule="exact"/>
              <w:ind w:left="363"/>
              <w:rPr>
                <w:rFonts w:ascii="Times New Roman" w:eastAsia="Times New Roman" w:hAnsi="Times New Roman" w:cs="Times New Roman"/>
                <w:lang w:val="hu-HU"/>
              </w:rPr>
            </w:pPr>
            <w:r w:rsidRPr="00CF5D7A">
              <w:rPr>
                <w:rFonts w:ascii="Times New Roman" w:eastAsia="Times New Roman" w:hAnsi="Times New Roman" w:cs="Times New Roman"/>
                <w:lang w:val="hu-HU"/>
              </w:rPr>
              <w:t>12,4%</w:t>
            </w:r>
          </w:p>
        </w:tc>
        <w:tc>
          <w:tcPr>
            <w:tcW w:w="1151" w:type="dxa"/>
            <w:tcBorders>
              <w:top w:val="nil"/>
              <w:left w:val="single" w:sz="7" w:space="0" w:color="000000"/>
              <w:bottom w:val="nil"/>
              <w:right w:val="nil"/>
            </w:tcBorders>
          </w:tcPr>
          <w:p w14:paraId="4BFB4624" w14:textId="77777777" w:rsidR="007F2986" w:rsidRPr="00CF5D7A" w:rsidRDefault="007F2986" w:rsidP="00CC2E43">
            <w:pPr>
              <w:pStyle w:val="TableParagraph"/>
              <w:spacing w:line="242" w:lineRule="exact"/>
              <w:ind w:left="455"/>
              <w:rPr>
                <w:rFonts w:ascii="Times New Roman" w:eastAsia="Times New Roman" w:hAnsi="Times New Roman" w:cs="Times New Roman"/>
                <w:lang w:val="hu-HU"/>
              </w:rPr>
            </w:pPr>
            <w:r w:rsidRPr="00CF5D7A">
              <w:rPr>
                <w:rFonts w:ascii="Times New Roman" w:eastAsia="Times New Roman" w:hAnsi="Times New Roman" w:cs="Times New Roman"/>
                <w:lang w:val="hu-HU"/>
              </w:rPr>
              <w:t>2,5%</w:t>
            </w:r>
          </w:p>
        </w:tc>
        <w:tc>
          <w:tcPr>
            <w:tcW w:w="1544" w:type="dxa"/>
            <w:tcBorders>
              <w:top w:val="nil"/>
              <w:left w:val="nil"/>
              <w:right w:val="single" w:sz="4" w:space="0" w:color="auto"/>
            </w:tcBorders>
          </w:tcPr>
          <w:p w14:paraId="01BEB709" w14:textId="77777777" w:rsidR="007F2986" w:rsidRPr="00CF5D7A" w:rsidRDefault="007F2986" w:rsidP="00CC2E43">
            <w:pPr>
              <w:pStyle w:val="TableParagraph"/>
              <w:spacing w:line="242" w:lineRule="exact"/>
              <w:ind w:left="567"/>
              <w:rPr>
                <w:rFonts w:ascii="Times New Roman" w:eastAsia="Times New Roman" w:hAnsi="Times New Roman" w:cs="Times New Roman"/>
                <w:lang w:val="hu-HU"/>
              </w:rPr>
            </w:pPr>
            <w:r w:rsidRPr="00CF5D7A">
              <w:rPr>
                <w:rFonts w:ascii="Times New Roman" w:eastAsia="Times New Roman" w:hAnsi="Times New Roman" w:cs="Times New Roman"/>
                <w:lang w:val="hu-HU"/>
              </w:rPr>
              <w:t>20,8%</w:t>
            </w:r>
          </w:p>
        </w:tc>
      </w:tr>
      <w:tr w:rsidR="007F2986" w:rsidRPr="00CF5D7A" w14:paraId="687F9DE9" w14:textId="77777777" w:rsidTr="00CC2E43">
        <w:tc>
          <w:tcPr>
            <w:tcW w:w="1186" w:type="dxa"/>
            <w:tcBorders>
              <w:top w:val="nil"/>
              <w:left w:val="single" w:sz="4" w:space="0" w:color="auto"/>
              <w:bottom w:val="single" w:sz="4" w:space="0" w:color="auto"/>
              <w:right w:val="single" w:sz="4" w:space="0" w:color="auto"/>
            </w:tcBorders>
          </w:tcPr>
          <w:p w14:paraId="3BAAA7A1" w14:textId="77777777" w:rsidR="007F2986" w:rsidRPr="00CF5D7A" w:rsidRDefault="007F2986" w:rsidP="00CC2E43">
            <w:pPr>
              <w:pStyle w:val="TableParagraph"/>
              <w:spacing w:line="241" w:lineRule="exact"/>
              <w:ind w:left="144"/>
              <w:rPr>
                <w:rFonts w:ascii="Times New Roman" w:eastAsia="Times New Roman" w:hAnsi="Times New Roman" w:cs="Times New Roman"/>
                <w:lang w:val="hu-HU"/>
              </w:rPr>
            </w:pPr>
            <w:r w:rsidRPr="00CF5D7A">
              <w:rPr>
                <w:rFonts w:ascii="Times New Roman" w:eastAsia="Times New Roman" w:hAnsi="Times New Roman" w:cs="Times New Roman"/>
                <w:lang w:val="hu-HU"/>
              </w:rPr>
              <w:t>12 hónap</w:t>
            </w:r>
          </w:p>
        </w:tc>
        <w:tc>
          <w:tcPr>
            <w:tcW w:w="1075" w:type="dxa"/>
            <w:tcBorders>
              <w:top w:val="nil"/>
              <w:left w:val="single" w:sz="4" w:space="0" w:color="auto"/>
              <w:bottom w:val="single" w:sz="7" w:space="0" w:color="000000"/>
              <w:right w:val="nil"/>
            </w:tcBorders>
          </w:tcPr>
          <w:p w14:paraId="1CED968F" w14:textId="77777777" w:rsidR="007F2986" w:rsidRPr="00CF5D7A" w:rsidRDefault="007F2986" w:rsidP="00CC2E43">
            <w:pPr>
              <w:pStyle w:val="TableParagraph"/>
              <w:spacing w:line="241"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608" w:type="dxa"/>
            <w:tcBorders>
              <w:top w:val="nil"/>
              <w:left w:val="nil"/>
              <w:bottom w:val="single" w:sz="7" w:space="0" w:color="000000"/>
              <w:right w:val="single" w:sz="7" w:space="0" w:color="000000"/>
            </w:tcBorders>
          </w:tcPr>
          <w:p w14:paraId="61B5B6A7" w14:textId="77777777" w:rsidR="007F2986" w:rsidRPr="00CF5D7A" w:rsidRDefault="007F2986" w:rsidP="00CC2E43">
            <w:pPr>
              <w:pStyle w:val="TableParagraph"/>
              <w:spacing w:line="241"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273" w:type="dxa"/>
            <w:tcBorders>
              <w:top w:val="nil"/>
              <w:left w:val="single" w:sz="7" w:space="0" w:color="000000"/>
              <w:bottom w:val="single" w:sz="7" w:space="0" w:color="000000"/>
              <w:right w:val="nil"/>
            </w:tcBorders>
          </w:tcPr>
          <w:p w14:paraId="132D022E" w14:textId="77777777" w:rsidR="007F2986" w:rsidRPr="00CF5D7A" w:rsidRDefault="007F2986" w:rsidP="00CC2E43">
            <w:pPr>
              <w:pStyle w:val="TableParagraph"/>
              <w:spacing w:line="241"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288" w:type="dxa"/>
            <w:tcBorders>
              <w:top w:val="nil"/>
              <w:left w:val="nil"/>
              <w:bottom w:val="single" w:sz="7" w:space="0" w:color="000000"/>
              <w:right w:val="single" w:sz="7" w:space="0" w:color="000000"/>
            </w:tcBorders>
          </w:tcPr>
          <w:p w14:paraId="40B96C90" w14:textId="77777777" w:rsidR="007F2986" w:rsidRPr="00CF5D7A" w:rsidRDefault="007F2986" w:rsidP="00CC2E43">
            <w:pPr>
              <w:pStyle w:val="TableParagraph"/>
              <w:spacing w:line="241"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t>Nincs adat</w:t>
            </w:r>
          </w:p>
        </w:tc>
        <w:tc>
          <w:tcPr>
            <w:tcW w:w="1151" w:type="dxa"/>
            <w:tcBorders>
              <w:top w:val="nil"/>
              <w:left w:val="single" w:sz="7" w:space="0" w:color="000000"/>
              <w:bottom w:val="single" w:sz="7" w:space="0" w:color="000000"/>
              <w:right w:val="nil"/>
            </w:tcBorders>
          </w:tcPr>
          <w:p w14:paraId="24869F97" w14:textId="77777777" w:rsidR="007F2986" w:rsidRPr="00CF5D7A" w:rsidRDefault="007F2986" w:rsidP="00CC2E43">
            <w:pPr>
              <w:pStyle w:val="TableParagraph"/>
              <w:spacing w:line="241" w:lineRule="exact"/>
              <w:ind w:left="455"/>
              <w:rPr>
                <w:rFonts w:ascii="Times New Roman" w:eastAsia="Times New Roman" w:hAnsi="Times New Roman" w:cs="Times New Roman"/>
                <w:lang w:val="hu-HU"/>
              </w:rPr>
            </w:pPr>
            <w:r w:rsidRPr="00CF5D7A">
              <w:rPr>
                <w:rFonts w:ascii="Times New Roman" w:eastAsia="Times New Roman" w:hAnsi="Times New Roman" w:cs="Times New Roman"/>
                <w:lang w:val="hu-HU"/>
              </w:rPr>
              <w:t>4,5%</w:t>
            </w:r>
          </w:p>
        </w:tc>
        <w:tc>
          <w:tcPr>
            <w:tcW w:w="1544" w:type="dxa"/>
            <w:tcBorders>
              <w:top w:val="nil"/>
              <w:left w:val="nil"/>
              <w:bottom w:val="single" w:sz="4" w:space="0" w:color="auto"/>
              <w:right w:val="single" w:sz="4" w:space="0" w:color="auto"/>
            </w:tcBorders>
          </w:tcPr>
          <w:p w14:paraId="5BA51E13" w14:textId="77777777" w:rsidR="007F2986" w:rsidRPr="00CF5D7A" w:rsidRDefault="007F2986" w:rsidP="00CC2E43">
            <w:pPr>
              <w:pStyle w:val="TableParagraph"/>
              <w:spacing w:line="241" w:lineRule="exact"/>
              <w:ind w:left="567"/>
              <w:rPr>
                <w:rFonts w:ascii="Times New Roman" w:eastAsia="Times New Roman" w:hAnsi="Times New Roman" w:cs="Times New Roman"/>
                <w:lang w:val="hu-HU"/>
              </w:rPr>
            </w:pPr>
            <w:r w:rsidRPr="00CF5D7A">
              <w:rPr>
                <w:rFonts w:ascii="Times New Roman" w:eastAsia="Times New Roman" w:hAnsi="Times New Roman" w:cs="Times New Roman"/>
                <w:lang w:val="hu-HU"/>
              </w:rPr>
              <w:t>23,2%</w:t>
            </w:r>
          </w:p>
        </w:tc>
      </w:tr>
    </w:tbl>
    <w:p w14:paraId="02D9D9C7" w14:textId="77777777" w:rsidR="007F2986" w:rsidRDefault="007F2986" w:rsidP="005A05DE">
      <w:pPr>
        <w:pStyle w:val="a3"/>
        <w:numPr>
          <w:ilvl w:val="0"/>
          <w:numId w:val="0"/>
        </w:numPr>
        <w:ind w:leftChars="100" w:left="220"/>
        <w:rPr>
          <w:lang w:val="hu-HU"/>
        </w:rPr>
      </w:pPr>
      <w:r w:rsidRPr="009167C6">
        <w:rPr>
          <w:rFonts w:eastAsia="Times New Roman"/>
          <w:position w:val="8"/>
          <w:vertAlign w:val="superscript"/>
          <w:lang w:val="hu-HU"/>
        </w:rPr>
        <w:t>a</w:t>
      </w:r>
      <w:r w:rsidRPr="009167C6">
        <w:rPr>
          <w:rFonts w:eastAsia="Times New Roman"/>
          <w:position w:val="8"/>
          <w:lang w:val="hu-HU"/>
        </w:rPr>
        <w:t xml:space="preserve"> </w:t>
      </w:r>
      <w:r>
        <w:rPr>
          <w:rFonts w:eastAsia="Times New Roman"/>
          <w:position w:val="8"/>
          <w:lang w:val="hu-HU"/>
        </w:rPr>
        <w:t xml:space="preserve">RA </w:t>
      </w:r>
      <w:r w:rsidRPr="00522548">
        <w:rPr>
          <w:lang w:val="es-ES"/>
        </w:rPr>
        <w:t xml:space="preserve"> </w:t>
      </w:r>
      <w:r>
        <w:rPr>
          <w:rFonts w:eastAsia="Times New Roman"/>
          <w:position w:val="8"/>
          <w:lang w:val="hu-HU"/>
        </w:rPr>
        <w:t>I vizsgálat 24. héten, RA II vizsgálat 26. héten, RA III vizsgálat 24. és 52.</w:t>
      </w:r>
    </w:p>
    <w:p w14:paraId="7A844A82" w14:textId="77777777" w:rsidR="007F2986" w:rsidRDefault="007F2986" w:rsidP="005A05DE">
      <w:pPr>
        <w:pStyle w:val="a3"/>
        <w:numPr>
          <w:ilvl w:val="0"/>
          <w:numId w:val="0"/>
        </w:numPr>
        <w:ind w:leftChars="100" w:left="220"/>
        <w:rPr>
          <w:lang w:val="hu-HU"/>
        </w:rPr>
      </w:pPr>
      <w:r w:rsidRPr="009167C6">
        <w:rPr>
          <w:rFonts w:eastAsia="Times New Roman"/>
          <w:position w:val="8"/>
          <w:vertAlign w:val="superscript"/>
          <w:lang w:val="hu-HU"/>
        </w:rPr>
        <w:t>b</w:t>
      </w:r>
      <w:r w:rsidRPr="009167C6">
        <w:rPr>
          <w:rFonts w:eastAsia="Times New Roman"/>
          <w:position w:val="8"/>
          <w:lang w:val="hu-HU"/>
        </w:rPr>
        <w:t xml:space="preserve"> </w:t>
      </w:r>
      <w:r>
        <w:rPr>
          <w:rFonts w:eastAsia="Times New Roman"/>
          <w:position w:val="8"/>
          <w:lang w:val="hu-HU"/>
        </w:rPr>
        <w:t>40 mg adalimumab kéthetente</w:t>
      </w:r>
    </w:p>
    <w:p w14:paraId="402B454E" w14:textId="77777777" w:rsidR="007F2986" w:rsidRDefault="007F2986" w:rsidP="005A05DE">
      <w:pPr>
        <w:pStyle w:val="a3"/>
        <w:ind w:leftChars="100" w:left="220"/>
        <w:rPr>
          <w:lang w:val="hu-HU"/>
        </w:rPr>
      </w:pPr>
      <w:r w:rsidRPr="009167C6">
        <w:rPr>
          <w:rFonts w:eastAsia="Times New Roman"/>
          <w:position w:val="8"/>
          <w:vertAlign w:val="superscript"/>
          <w:lang w:val="hu-HU"/>
        </w:rPr>
        <w:t>c</w:t>
      </w:r>
      <w:r w:rsidRPr="009167C6">
        <w:rPr>
          <w:rFonts w:eastAsia="Times New Roman"/>
          <w:position w:val="8"/>
          <w:lang w:val="hu-HU"/>
        </w:rPr>
        <w:t xml:space="preserve"> </w:t>
      </w:r>
      <w:r>
        <w:rPr>
          <w:rFonts w:eastAsia="Times New Roman"/>
          <w:position w:val="8"/>
          <w:lang w:val="hu-HU"/>
        </w:rPr>
        <w:t>MTX = metotrexát</w:t>
      </w:r>
    </w:p>
    <w:p w14:paraId="570E9747" w14:textId="77777777" w:rsidR="007F2986" w:rsidRDefault="007F2986" w:rsidP="005A05DE">
      <w:pPr>
        <w:spacing w:before="1"/>
        <w:ind w:leftChars="100" w:left="220"/>
        <w:rPr>
          <w:rFonts w:ascii="Times New Roman" w:eastAsia="Times New Roman" w:hAnsi="Times New Roman" w:cs="Times New Roman"/>
          <w:lang w:val="hu-HU"/>
        </w:rPr>
      </w:pPr>
      <w:r>
        <w:rPr>
          <w:rFonts w:ascii="Times New Roman" w:eastAsia="Times New Roman" w:hAnsi="Times New Roman" w:cs="Times New Roman"/>
          <w:lang w:val="hu-HU"/>
        </w:rPr>
        <w:t xml:space="preserve">**p &lt; 0,01, adalimumab a placebóhoz </w:t>
      </w:r>
      <w:r>
        <w:rPr>
          <w:rFonts w:ascii="Times New Roman" w:eastAsia="Times New Roman" w:hAnsi="Times New Roman" w:cs="Times New Roman"/>
          <w:i/>
          <w:iCs/>
          <w:lang w:val="hu-HU"/>
        </w:rPr>
        <w:t>képest</w:t>
      </w:r>
    </w:p>
    <w:p w14:paraId="65CE65BE" w14:textId="77777777" w:rsidR="007F2986" w:rsidRDefault="007F2986" w:rsidP="007F2986">
      <w:pPr>
        <w:spacing w:before="1" w:line="180" w:lineRule="exact"/>
        <w:rPr>
          <w:sz w:val="18"/>
          <w:szCs w:val="18"/>
          <w:lang w:val="hu-HU"/>
        </w:rPr>
      </w:pPr>
    </w:p>
    <w:p w14:paraId="3A2219E4" w14:textId="77777777" w:rsidR="007F2986" w:rsidRDefault="007F2986" w:rsidP="007F2986">
      <w:pPr>
        <w:pStyle w:val="a3"/>
        <w:rPr>
          <w:lang w:val="hu-HU"/>
        </w:rPr>
      </w:pPr>
      <w:r>
        <w:rPr>
          <w:rFonts w:eastAsia="Times New Roman"/>
          <w:lang w:val="hu-HU"/>
        </w:rPr>
        <w:t>Az RA</w:t>
      </w:r>
      <w:r w:rsidDel="00B07467">
        <w:rPr>
          <w:rFonts w:eastAsia="Times New Roman"/>
          <w:lang w:val="hu-HU"/>
        </w:rPr>
        <w:t xml:space="preserve"> </w:t>
      </w:r>
      <w:r>
        <w:rPr>
          <w:rFonts w:eastAsia="Times New Roman"/>
          <w:lang w:val="hu-HU"/>
        </w:rPr>
        <w:t>I-IV vizsgálatokban az ACR választ alkotó kritériumok (duzzadt és érzékeny ízületek száma, a beteg és az orvos értékelése a betegség aktivitásáról és a fájdalomról, rokkantsági index (HAQ), CRP (mg/ dl) értéke) mindegyike egyénileg is javulást mutatott 24 illetve 26 hét elteltével a placebocsoporthoz képest. Az RA</w:t>
      </w:r>
      <w:r w:rsidRPr="00522548">
        <w:rPr>
          <w:lang w:val="es-ES"/>
        </w:rPr>
        <w:t> </w:t>
      </w:r>
      <w:r>
        <w:rPr>
          <w:rFonts w:eastAsia="Times New Roman"/>
          <w:lang w:val="hu-HU"/>
        </w:rPr>
        <w:t>III vizsgálatban ez a javuló tendencia 52 héten át tartott.</w:t>
      </w:r>
    </w:p>
    <w:p w14:paraId="494820EF" w14:textId="77777777" w:rsidR="007F2986" w:rsidRDefault="007F2986" w:rsidP="007F2986">
      <w:pPr>
        <w:spacing w:before="13" w:line="240" w:lineRule="exact"/>
        <w:rPr>
          <w:sz w:val="24"/>
          <w:szCs w:val="24"/>
          <w:lang w:val="hu-HU"/>
        </w:rPr>
      </w:pPr>
    </w:p>
    <w:p w14:paraId="6F245A3F" w14:textId="77777777" w:rsidR="007F2986" w:rsidRDefault="007F2986" w:rsidP="007F2986">
      <w:pPr>
        <w:pStyle w:val="a3"/>
        <w:rPr>
          <w:lang w:val="hu-HU"/>
        </w:rPr>
      </w:pPr>
      <w:r>
        <w:rPr>
          <w:rFonts w:eastAsia="Times New Roman"/>
          <w:lang w:val="hu-HU"/>
        </w:rPr>
        <w:t>Az RA</w:t>
      </w:r>
      <w:r w:rsidDel="002A3904">
        <w:rPr>
          <w:rFonts w:eastAsia="Times New Roman"/>
          <w:lang w:val="hu-HU"/>
        </w:rPr>
        <w:t xml:space="preserve"> </w:t>
      </w:r>
      <w:r>
        <w:rPr>
          <w:rFonts w:eastAsia="Times New Roman"/>
          <w:lang w:val="hu-HU"/>
        </w:rPr>
        <w:t>III vizsgálat nyílt kiterjesztésének legfeljebb 10 éves követési fázisában az ACR-választ adó betegek többségénél fennmaradt a válaszA minden második héten adalimumabbal kezelt 207 beteg közül 114 beteg folytatta a 2 hetenkénti 40 mg-os adalimumab-kezelést 5 éven keresztül. Közülük 86 (75,4%) mutatott ACR 20 választ, 72 beteg (63,2%) ACR 50 választ és 41 beteg (36%) ACR 70 választ. A 207 beteg közül 81 beteg folytatta a 2 hetenkénti 40 mg-os adalimumab-kezelést 10 éven keresztül. Közülük 64 (79,0%) mutatott ACR 20 választ, 56 beteg (69,1%) ACR 50 választ és 43 beteg (53,1%) ACR 70 választ.</w:t>
      </w:r>
    </w:p>
    <w:p w14:paraId="60A71287" w14:textId="77777777" w:rsidR="007F2986" w:rsidRDefault="007F2986" w:rsidP="007F2986">
      <w:pPr>
        <w:spacing w:before="17" w:line="240" w:lineRule="exact"/>
        <w:rPr>
          <w:sz w:val="24"/>
          <w:szCs w:val="24"/>
          <w:lang w:val="hu-HU"/>
        </w:rPr>
      </w:pPr>
    </w:p>
    <w:p w14:paraId="047EB7C3" w14:textId="77777777" w:rsidR="007F2986" w:rsidRDefault="007F2986" w:rsidP="007F2986">
      <w:pPr>
        <w:pStyle w:val="a3"/>
        <w:rPr>
          <w:lang w:val="hu-HU"/>
        </w:rPr>
      </w:pPr>
      <w:r>
        <w:rPr>
          <w:rFonts w:eastAsia="Times New Roman"/>
          <w:lang w:val="hu-HU"/>
        </w:rPr>
        <w:t>Az RA</w:t>
      </w:r>
      <w:r w:rsidDel="002A3904">
        <w:rPr>
          <w:rFonts w:eastAsia="Times New Roman"/>
          <w:lang w:val="hu-HU"/>
        </w:rPr>
        <w:t xml:space="preserve"> </w:t>
      </w:r>
      <w:r>
        <w:rPr>
          <w:rFonts w:eastAsia="Times New Roman"/>
          <w:lang w:val="hu-HU"/>
        </w:rPr>
        <w:t>IV vizsgálatban, adalimumabbal és a standard terápiával kezelt betegek szignifikánsan jobb ACR 20 választ értek el mint a placebóval és a standard terápiával kezeltek (p &lt; 0,001).</w:t>
      </w:r>
    </w:p>
    <w:p w14:paraId="0C5C6AD7" w14:textId="77777777" w:rsidR="007F2986" w:rsidRDefault="007F2986" w:rsidP="007F2986">
      <w:pPr>
        <w:spacing w:before="11" w:line="240" w:lineRule="exact"/>
        <w:rPr>
          <w:sz w:val="24"/>
          <w:szCs w:val="24"/>
          <w:lang w:val="hu-HU"/>
        </w:rPr>
      </w:pPr>
    </w:p>
    <w:p w14:paraId="507B7A05" w14:textId="77777777" w:rsidR="007F2986" w:rsidRDefault="007F2986" w:rsidP="007F2986">
      <w:pPr>
        <w:pStyle w:val="a3"/>
        <w:rPr>
          <w:lang w:val="hu-HU"/>
        </w:rPr>
      </w:pPr>
      <w:r>
        <w:rPr>
          <w:rFonts w:eastAsia="Times New Roman"/>
          <w:lang w:val="hu-HU"/>
        </w:rPr>
        <w:t>Az RA</w:t>
      </w:r>
      <w:r w:rsidDel="002A3904">
        <w:rPr>
          <w:rFonts w:eastAsia="Times New Roman"/>
          <w:lang w:val="hu-HU"/>
        </w:rPr>
        <w:t xml:space="preserve"> </w:t>
      </w:r>
      <w:r>
        <w:rPr>
          <w:rFonts w:eastAsia="Times New Roman"/>
          <w:lang w:val="hu-HU"/>
        </w:rPr>
        <w:t>I-IV vizsgálatban adalimumabbal kezelt betegek statisztikailag szignifikánsan jobb ACR 20- as és 50- es választ értek el a placebocsoporttal összehasonlítva, már egy vagy két héttel a vizsgálat kezdete után.</w:t>
      </w:r>
    </w:p>
    <w:p w14:paraId="2C04E956" w14:textId="77777777" w:rsidR="007F2986" w:rsidRDefault="007F2986" w:rsidP="007F2986">
      <w:pPr>
        <w:pStyle w:val="a3"/>
        <w:rPr>
          <w:lang w:val="hu-HU"/>
        </w:rPr>
      </w:pPr>
    </w:p>
    <w:p w14:paraId="537841B6" w14:textId="13F70935" w:rsidR="007F2986" w:rsidRDefault="007F2986" w:rsidP="007F2986">
      <w:pPr>
        <w:pStyle w:val="a3"/>
        <w:rPr>
          <w:rFonts w:eastAsia="Times New Roman"/>
          <w:b/>
          <w:bCs/>
          <w:lang w:val="hu-HU"/>
        </w:rPr>
      </w:pPr>
      <w:r>
        <w:rPr>
          <w:rFonts w:eastAsia="Times New Roman"/>
          <w:lang w:val="hu-HU"/>
        </w:rPr>
        <w:t xml:space="preserve">Az RA V vizsgálatban, amelybe korábbi metotrexát kezelés nélkül korai rheumatoid arthritises betegeket vontak be, a kombinációs kezelés metotrexáttal gyorsabb és jelentősen nagyobb ACR választ adott, mint a metotrexát, vagy az adalimumab monoterápia az 52. héten és a hatás fennmaradt a 104. hétig (lásd </w:t>
      </w:r>
      <w:r w:rsidR="00EF2F83">
        <w:rPr>
          <w:rFonts w:eastAsia="Times New Roman"/>
          <w:lang w:val="hu-HU"/>
        </w:rPr>
        <w:t>8</w:t>
      </w:r>
      <w:r>
        <w:rPr>
          <w:rFonts w:eastAsia="Times New Roman"/>
          <w:lang w:val="hu-HU"/>
        </w:rPr>
        <w:t>. táblázat).</w:t>
      </w:r>
    </w:p>
    <w:p w14:paraId="477DC92B" w14:textId="77777777" w:rsidR="007F2986" w:rsidRDefault="007F2986" w:rsidP="007F2986">
      <w:pPr>
        <w:pStyle w:val="a3"/>
        <w:rPr>
          <w:rFonts w:eastAsia="Times New Roman"/>
          <w:b/>
          <w:bCs/>
          <w:lang w:val="hu-HU"/>
        </w:rPr>
      </w:pPr>
    </w:p>
    <w:p w14:paraId="3F9B5F99" w14:textId="622F32C7" w:rsidR="007F2986" w:rsidRDefault="00EF2F83" w:rsidP="007F2986">
      <w:pPr>
        <w:pStyle w:val="a3"/>
        <w:jc w:val="center"/>
        <w:rPr>
          <w:b/>
          <w:lang w:val="hu-HU"/>
        </w:rPr>
      </w:pPr>
      <w:r>
        <w:rPr>
          <w:rFonts w:eastAsia="Times New Roman"/>
          <w:b/>
          <w:bCs/>
          <w:lang w:val="hu-HU"/>
        </w:rPr>
        <w:t>8</w:t>
      </w:r>
      <w:r w:rsidR="007F2986">
        <w:rPr>
          <w:rFonts w:eastAsia="Times New Roman"/>
          <w:b/>
          <w:bCs/>
          <w:lang w:val="hu-HU"/>
        </w:rPr>
        <w:t>. táblázat</w:t>
      </w:r>
    </w:p>
    <w:p w14:paraId="46AF366A" w14:textId="77777777" w:rsidR="007F2986" w:rsidRDefault="007F2986" w:rsidP="007F2986">
      <w:pPr>
        <w:pStyle w:val="a3"/>
        <w:jc w:val="center"/>
        <w:rPr>
          <w:b/>
          <w:lang w:val="hu-HU"/>
        </w:rPr>
      </w:pPr>
      <w:r>
        <w:rPr>
          <w:rFonts w:eastAsia="Times New Roman"/>
          <w:b/>
          <w:bCs/>
          <w:lang w:val="hu-HU"/>
        </w:rPr>
        <w:t>ACR válasz az RA V vizsgálatban</w:t>
      </w:r>
    </w:p>
    <w:p w14:paraId="4AC76570" w14:textId="77777777" w:rsidR="007F2986" w:rsidRDefault="007F2986" w:rsidP="007F2986">
      <w:pPr>
        <w:pStyle w:val="a3"/>
        <w:jc w:val="center"/>
        <w:rPr>
          <w:b/>
          <w:lang w:val="hu-HU"/>
        </w:rPr>
      </w:pPr>
      <w:r>
        <w:rPr>
          <w:rFonts w:eastAsia="Times New Roman"/>
          <w:b/>
          <w:bCs/>
          <w:lang w:val="hu-HU"/>
        </w:rPr>
        <w:t>(a betegek százaléka)</w:t>
      </w:r>
    </w:p>
    <w:p w14:paraId="5E8B46DD" w14:textId="77777777" w:rsidR="007F2986" w:rsidRDefault="007F2986" w:rsidP="007F2986">
      <w:pPr>
        <w:pStyle w:val="a3"/>
        <w:jc w:val="center"/>
        <w:rPr>
          <w:b/>
          <w:lang w:val="hu-HU"/>
        </w:rPr>
      </w:pPr>
    </w:p>
    <w:tbl>
      <w:tblPr>
        <w:tblStyle w:val="TableNormal1"/>
        <w:tblW w:w="0" w:type="auto"/>
        <w:tblInd w:w="184" w:type="dxa"/>
        <w:tblLayout w:type="fixed"/>
        <w:tblLook w:val="01E0" w:firstRow="1" w:lastRow="1" w:firstColumn="1" w:lastColumn="1" w:noHBand="0" w:noVBand="0"/>
      </w:tblPr>
      <w:tblGrid>
        <w:gridCol w:w="1366"/>
        <w:gridCol w:w="1275"/>
        <w:gridCol w:w="1276"/>
        <w:gridCol w:w="1985"/>
        <w:gridCol w:w="957"/>
        <w:gridCol w:w="1174"/>
        <w:gridCol w:w="1216"/>
      </w:tblGrid>
      <w:tr w:rsidR="007F2986" w:rsidRPr="00CF5D7A" w14:paraId="37BE6007" w14:textId="77777777" w:rsidTr="00CC2E43">
        <w:tc>
          <w:tcPr>
            <w:tcW w:w="1366" w:type="dxa"/>
            <w:tcBorders>
              <w:top w:val="single" w:sz="5" w:space="0" w:color="000000"/>
              <w:left w:val="single" w:sz="8" w:space="0" w:color="000000"/>
              <w:bottom w:val="single" w:sz="5" w:space="0" w:color="000000"/>
              <w:right w:val="single" w:sz="5" w:space="0" w:color="000000"/>
            </w:tcBorders>
            <w:vAlign w:val="center"/>
          </w:tcPr>
          <w:p w14:paraId="202A6993" w14:textId="77777777" w:rsidR="007F2986" w:rsidRPr="009167C6" w:rsidRDefault="007F2986" w:rsidP="00CC2E43">
            <w:pPr>
              <w:pStyle w:val="TableParagraph"/>
              <w:spacing w:line="120" w:lineRule="exact"/>
              <w:jc w:val="center"/>
              <w:rPr>
                <w:lang w:val="hu-HU"/>
              </w:rPr>
            </w:pPr>
          </w:p>
          <w:p w14:paraId="1620E55A" w14:textId="77777777" w:rsidR="007F2986" w:rsidRPr="00CF5D7A" w:rsidRDefault="007F2986" w:rsidP="00CC2E43">
            <w:pPr>
              <w:pStyle w:val="TableParagraph"/>
              <w:jc w:val="center"/>
              <w:rPr>
                <w:rFonts w:ascii="Times New Roman" w:eastAsia="Times New Roman" w:hAnsi="Times New Roman" w:cs="Times New Roman"/>
                <w:lang w:val="hu-HU"/>
              </w:rPr>
            </w:pPr>
            <w:r w:rsidRPr="00CF5D7A">
              <w:rPr>
                <w:rFonts w:ascii="Times New Roman" w:eastAsia="Times New Roman" w:hAnsi="Times New Roman" w:cs="Times New Roman"/>
                <w:b/>
                <w:bCs/>
                <w:spacing w:val="-1"/>
                <w:lang w:val="hu-HU"/>
              </w:rPr>
              <w:t>Válasz</w:t>
            </w:r>
          </w:p>
        </w:tc>
        <w:tc>
          <w:tcPr>
            <w:tcW w:w="1275" w:type="dxa"/>
            <w:tcBorders>
              <w:top w:val="single" w:sz="5" w:space="0" w:color="000000"/>
              <w:left w:val="single" w:sz="5" w:space="0" w:color="000000"/>
              <w:bottom w:val="single" w:sz="5" w:space="0" w:color="000000"/>
              <w:right w:val="single" w:sz="5" w:space="0" w:color="000000"/>
            </w:tcBorders>
            <w:vAlign w:val="center"/>
          </w:tcPr>
          <w:p w14:paraId="070B62F9" w14:textId="77777777" w:rsidR="007F2986" w:rsidRDefault="007F2986" w:rsidP="00CC2E43">
            <w:pPr>
              <w:pStyle w:val="TableParagraph"/>
              <w:spacing w:line="252" w:lineRule="exact"/>
              <w:ind w:firstLine="33"/>
              <w:jc w:val="center"/>
              <w:rPr>
                <w:rFonts w:ascii="Times New Roman" w:eastAsia="Times New Roman" w:hAnsi="Times New Roman" w:cs="Times New Roman"/>
                <w:b/>
                <w:bCs/>
                <w:spacing w:val="-1"/>
                <w:lang w:val="hu-HU"/>
              </w:rPr>
            </w:pPr>
            <w:r w:rsidRPr="00CF5D7A">
              <w:rPr>
                <w:rFonts w:ascii="Times New Roman" w:eastAsia="Times New Roman" w:hAnsi="Times New Roman" w:cs="Times New Roman"/>
                <w:b/>
                <w:bCs/>
                <w:spacing w:val="-1"/>
                <w:lang w:val="hu-HU"/>
              </w:rPr>
              <w:t xml:space="preserve">MTX </w:t>
            </w:r>
          </w:p>
          <w:p w14:paraId="5AE0A38D" w14:textId="77777777" w:rsidR="007F2986" w:rsidRPr="00CF5D7A" w:rsidRDefault="007F2986" w:rsidP="00CC2E43">
            <w:pPr>
              <w:pStyle w:val="TableParagraph"/>
              <w:spacing w:line="252" w:lineRule="exact"/>
              <w:ind w:firstLine="33"/>
              <w:jc w:val="center"/>
              <w:rPr>
                <w:rFonts w:ascii="Times New Roman" w:eastAsia="Times New Roman" w:hAnsi="Times New Roman" w:cs="Times New Roman"/>
                <w:lang w:val="hu-HU"/>
              </w:rPr>
            </w:pPr>
            <w:r w:rsidRPr="00CF5D7A">
              <w:rPr>
                <w:rFonts w:ascii="Times New Roman" w:eastAsia="Times New Roman" w:hAnsi="Times New Roman" w:cs="Times New Roman"/>
                <w:b/>
                <w:bCs/>
                <w:spacing w:val="-1"/>
                <w:lang w:val="hu-HU"/>
              </w:rPr>
              <w:t>n=257</w:t>
            </w:r>
          </w:p>
        </w:tc>
        <w:tc>
          <w:tcPr>
            <w:tcW w:w="1276" w:type="dxa"/>
            <w:tcBorders>
              <w:top w:val="single" w:sz="5" w:space="0" w:color="000000"/>
              <w:left w:val="single" w:sz="5" w:space="0" w:color="000000"/>
              <w:bottom w:val="single" w:sz="5" w:space="0" w:color="000000"/>
              <w:right w:val="single" w:sz="5" w:space="0" w:color="000000"/>
            </w:tcBorders>
            <w:vAlign w:val="center"/>
          </w:tcPr>
          <w:p w14:paraId="76EF41CB" w14:textId="77777777" w:rsidR="007F2986" w:rsidRPr="00CF5D7A" w:rsidRDefault="007F2986" w:rsidP="00CC2E43">
            <w:pPr>
              <w:pStyle w:val="TableParagraph"/>
              <w:spacing w:line="252" w:lineRule="exact"/>
              <w:ind w:hanging="84"/>
              <w:jc w:val="center"/>
              <w:rPr>
                <w:rFonts w:ascii="Times New Roman" w:eastAsia="Times New Roman" w:hAnsi="Times New Roman" w:cs="Times New Roman"/>
                <w:lang w:val="hu-HU"/>
              </w:rPr>
            </w:pPr>
            <w:r w:rsidRPr="00CF5D7A">
              <w:rPr>
                <w:rFonts w:ascii="Times New Roman" w:eastAsia="Times New Roman" w:hAnsi="Times New Roman" w:cs="Times New Roman"/>
                <w:b/>
                <w:bCs/>
                <w:lang w:val="hu-HU"/>
              </w:rPr>
              <w:t xml:space="preserve">  Adalimumab n=274</w:t>
            </w:r>
          </w:p>
        </w:tc>
        <w:tc>
          <w:tcPr>
            <w:tcW w:w="1985" w:type="dxa"/>
            <w:tcBorders>
              <w:top w:val="single" w:sz="5" w:space="0" w:color="000000"/>
              <w:left w:val="single" w:sz="5" w:space="0" w:color="000000"/>
              <w:bottom w:val="single" w:sz="5" w:space="0" w:color="000000"/>
              <w:right w:val="single" w:sz="5" w:space="0" w:color="000000"/>
            </w:tcBorders>
            <w:vAlign w:val="center"/>
          </w:tcPr>
          <w:p w14:paraId="53BC0653" w14:textId="77777777" w:rsidR="007F2986" w:rsidRDefault="007F2986" w:rsidP="00CC2E43">
            <w:pPr>
              <w:pStyle w:val="TableParagraph"/>
              <w:spacing w:line="252" w:lineRule="exact"/>
              <w:jc w:val="center"/>
              <w:rPr>
                <w:rFonts w:ascii="Times New Roman" w:eastAsia="Times New Roman" w:hAnsi="Times New Roman" w:cs="Times New Roman"/>
                <w:b/>
                <w:bCs/>
                <w:spacing w:val="-1"/>
                <w:lang w:val="hu-HU"/>
              </w:rPr>
            </w:pPr>
            <w:r w:rsidRPr="00CF5D7A">
              <w:rPr>
                <w:rFonts w:ascii="Times New Roman" w:eastAsia="Times New Roman" w:hAnsi="Times New Roman" w:cs="Times New Roman"/>
                <w:b/>
                <w:bCs/>
                <w:spacing w:val="-1"/>
                <w:lang w:val="hu-HU"/>
              </w:rPr>
              <w:t>Adalimumab/MTX</w:t>
            </w:r>
          </w:p>
          <w:p w14:paraId="6F4B8879" w14:textId="77777777" w:rsidR="007F2986" w:rsidRPr="00CF5D7A" w:rsidRDefault="007F2986" w:rsidP="00CC2E43">
            <w:pPr>
              <w:pStyle w:val="TableParagraph"/>
              <w:spacing w:line="252" w:lineRule="exact"/>
              <w:jc w:val="center"/>
              <w:rPr>
                <w:rFonts w:ascii="Times New Roman" w:eastAsia="Times New Roman" w:hAnsi="Times New Roman" w:cs="Times New Roman"/>
                <w:lang w:val="hu-HU"/>
              </w:rPr>
            </w:pPr>
            <w:r w:rsidRPr="00CF5D7A">
              <w:rPr>
                <w:rFonts w:ascii="Times New Roman" w:eastAsia="Times New Roman" w:hAnsi="Times New Roman" w:cs="Times New Roman"/>
                <w:b/>
                <w:bCs/>
                <w:spacing w:val="-1"/>
                <w:lang w:val="hu-HU"/>
              </w:rPr>
              <w:t>n=268</w:t>
            </w:r>
          </w:p>
        </w:tc>
        <w:tc>
          <w:tcPr>
            <w:tcW w:w="957" w:type="dxa"/>
            <w:tcBorders>
              <w:top w:val="single" w:sz="5" w:space="0" w:color="000000"/>
              <w:left w:val="single" w:sz="5" w:space="0" w:color="000000"/>
              <w:bottom w:val="single" w:sz="5" w:space="0" w:color="000000"/>
              <w:right w:val="single" w:sz="5" w:space="0" w:color="000000"/>
            </w:tcBorders>
            <w:vAlign w:val="center"/>
          </w:tcPr>
          <w:p w14:paraId="3FBF807E" w14:textId="77777777" w:rsidR="007F2986" w:rsidRPr="009167C6" w:rsidRDefault="007F2986" w:rsidP="00CC2E43">
            <w:pPr>
              <w:pStyle w:val="TableParagraph"/>
              <w:jc w:val="center"/>
              <w:rPr>
                <w:rFonts w:ascii="Times New Roman" w:eastAsia="Times New Roman" w:hAnsi="Times New Roman" w:cs="Times New Roman"/>
                <w:lang w:val="hu-HU"/>
              </w:rPr>
            </w:pPr>
            <w:r w:rsidRPr="00CF5D7A">
              <w:rPr>
                <w:rFonts w:ascii="Times New Roman" w:eastAsia="Times New Roman" w:hAnsi="Times New Roman" w:cs="Times New Roman"/>
                <w:b/>
                <w:bCs/>
                <w:spacing w:val="-1"/>
                <w:lang w:val="hu-HU"/>
              </w:rPr>
              <w:t>p-érték</w:t>
            </w:r>
            <w:r w:rsidRPr="009167C6">
              <w:rPr>
                <w:rFonts w:ascii="Times New Roman" w:eastAsia="Times New Roman" w:hAnsi="Times New Roman" w:cs="Times New Roman"/>
                <w:b/>
                <w:bCs/>
                <w:spacing w:val="-1"/>
                <w:vertAlign w:val="superscript"/>
                <w:lang w:val="hu-HU"/>
              </w:rPr>
              <w:t>a</w:t>
            </w:r>
          </w:p>
        </w:tc>
        <w:tc>
          <w:tcPr>
            <w:tcW w:w="1174" w:type="dxa"/>
            <w:tcBorders>
              <w:top w:val="single" w:sz="5" w:space="0" w:color="000000"/>
              <w:left w:val="single" w:sz="5" w:space="0" w:color="000000"/>
              <w:bottom w:val="single" w:sz="5" w:space="0" w:color="000000"/>
              <w:right w:val="single" w:sz="5" w:space="0" w:color="000000"/>
            </w:tcBorders>
            <w:vAlign w:val="center"/>
          </w:tcPr>
          <w:p w14:paraId="30B14967" w14:textId="77777777" w:rsidR="007F2986" w:rsidRPr="009167C6" w:rsidRDefault="007F2986" w:rsidP="00CC2E43">
            <w:pPr>
              <w:pStyle w:val="TableParagraph"/>
              <w:jc w:val="center"/>
              <w:rPr>
                <w:rFonts w:ascii="Times New Roman" w:eastAsia="Times New Roman" w:hAnsi="Times New Roman" w:cs="Times New Roman"/>
                <w:lang w:val="hu-HU"/>
              </w:rPr>
            </w:pPr>
            <w:r w:rsidRPr="00CF5D7A">
              <w:rPr>
                <w:rFonts w:ascii="Times New Roman" w:eastAsia="Times New Roman" w:hAnsi="Times New Roman" w:cs="Times New Roman"/>
                <w:b/>
                <w:bCs/>
                <w:spacing w:val="-1"/>
                <w:lang w:val="hu-HU"/>
              </w:rPr>
              <w:t>p-érték</w:t>
            </w:r>
            <w:r w:rsidRPr="009167C6">
              <w:rPr>
                <w:rFonts w:ascii="Times New Roman" w:eastAsia="Times New Roman" w:hAnsi="Times New Roman" w:cs="Times New Roman"/>
                <w:b/>
                <w:bCs/>
                <w:spacing w:val="-1"/>
                <w:vertAlign w:val="superscript"/>
                <w:lang w:val="hu-HU"/>
              </w:rPr>
              <w:t>b</w:t>
            </w:r>
          </w:p>
        </w:tc>
        <w:tc>
          <w:tcPr>
            <w:tcW w:w="1216" w:type="dxa"/>
            <w:tcBorders>
              <w:top w:val="single" w:sz="5" w:space="0" w:color="000000"/>
              <w:left w:val="single" w:sz="5" w:space="0" w:color="000000"/>
              <w:bottom w:val="single" w:sz="5" w:space="0" w:color="000000"/>
              <w:right w:val="single" w:sz="9" w:space="0" w:color="000000"/>
            </w:tcBorders>
            <w:vAlign w:val="center"/>
          </w:tcPr>
          <w:p w14:paraId="1C59AFEA" w14:textId="77777777" w:rsidR="007F2986" w:rsidRPr="009167C6" w:rsidRDefault="007F2986" w:rsidP="00CC2E43">
            <w:pPr>
              <w:pStyle w:val="TableParagraph"/>
              <w:jc w:val="center"/>
              <w:rPr>
                <w:rFonts w:ascii="Times New Roman" w:eastAsia="Times New Roman" w:hAnsi="Times New Roman" w:cs="Times New Roman"/>
                <w:lang w:val="hu-HU"/>
              </w:rPr>
            </w:pPr>
            <w:r w:rsidRPr="00CF5D7A">
              <w:rPr>
                <w:rFonts w:ascii="Times New Roman" w:eastAsia="Times New Roman" w:hAnsi="Times New Roman" w:cs="Times New Roman"/>
                <w:b/>
                <w:bCs/>
                <w:spacing w:val="-1"/>
                <w:lang w:val="hu-HU"/>
              </w:rPr>
              <w:t>p-érték</w:t>
            </w:r>
            <w:r w:rsidRPr="009167C6">
              <w:rPr>
                <w:rFonts w:ascii="Times New Roman" w:eastAsia="Times New Roman" w:hAnsi="Times New Roman" w:cs="Times New Roman"/>
                <w:b/>
                <w:bCs/>
                <w:spacing w:val="-1"/>
                <w:vertAlign w:val="superscript"/>
                <w:lang w:val="hu-HU"/>
              </w:rPr>
              <w:t>c</w:t>
            </w:r>
          </w:p>
        </w:tc>
      </w:tr>
      <w:tr w:rsidR="007F2986" w:rsidRPr="00CF5D7A" w14:paraId="6DBCF0C4" w14:textId="77777777" w:rsidTr="00CC2E43">
        <w:tc>
          <w:tcPr>
            <w:tcW w:w="9249" w:type="dxa"/>
            <w:gridSpan w:val="7"/>
            <w:tcBorders>
              <w:top w:val="single" w:sz="5" w:space="0" w:color="000000"/>
              <w:left w:val="single" w:sz="8" w:space="0" w:color="000000"/>
              <w:bottom w:val="single" w:sz="5" w:space="0" w:color="000000"/>
              <w:right w:val="single" w:sz="9" w:space="0" w:color="000000"/>
            </w:tcBorders>
          </w:tcPr>
          <w:p w14:paraId="1D76B2FA" w14:textId="77777777" w:rsidR="007F2986" w:rsidRPr="00CF5D7A" w:rsidRDefault="007F2986" w:rsidP="00CC2E43">
            <w:pPr>
              <w:rPr>
                <w:lang w:val="hu-HU"/>
              </w:rPr>
            </w:pPr>
            <w:r w:rsidRPr="00CF5D7A">
              <w:rPr>
                <w:rFonts w:ascii="Times New Roman" w:eastAsia="Times New Roman" w:hAnsi="Times New Roman" w:cs="Times New Roman"/>
                <w:spacing w:val="-1"/>
                <w:lang w:val="hu-HU"/>
              </w:rPr>
              <w:t>ACR 20</w:t>
            </w:r>
          </w:p>
        </w:tc>
      </w:tr>
      <w:tr w:rsidR="007F2986" w:rsidRPr="00CF5D7A" w14:paraId="77F502A5" w14:textId="77777777" w:rsidTr="00CC2E43">
        <w:tc>
          <w:tcPr>
            <w:tcW w:w="1366" w:type="dxa"/>
            <w:tcBorders>
              <w:top w:val="single" w:sz="5" w:space="0" w:color="000000"/>
              <w:left w:val="single" w:sz="8" w:space="0" w:color="000000"/>
              <w:bottom w:val="single" w:sz="5" w:space="0" w:color="000000"/>
              <w:right w:val="single" w:sz="5" w:space="0" w:color="000000"/>
            </w:tcBorders>
          </w:tcPr>
          <w:p w14:paraId="046D8824" w14:textId="77777777" w:rsidR="007F2986" w:rsidRPr="00CF5D7A" w:rsidRDefault="007F2986" w:rsidP="00CC2E43">
            <w:pPr>
              <w:pStyle w:val="TableParagraph"/>
              <w:spacing w:line="248"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52. hét</w:t>
            </w:r>
          </w:p>
        </w:tc>
        <w:tc>
          <w:tcPr>
            <w:tcW w:w="1275" w:type="dxa"/>
            <w:tcBorders>
              <w:top w:val="single" w:sz="5" w:space="0" w:color="000000"/>
              <w:left w:val="single" w:sz="5" w:space="0" w:color="000000"/>
              <w:bottom w:val="single" w:sz="5" w:space="0" w:color="000000"/>
              <w:right w:val="single" w:sz="5" w:space="0" w:color="000000"/>
            </w:tcBorders>
          </w:tcPr>
          <w:p w14:paraId="790C8725" w14:textId="77777777" w:rsidR="007F2986" w:rsidRPr="00CF5D7A" w:rsidRDefault="007F2986" w:rsidP="00CC2E43">
            <w:pPr>
              <w:pStyle w:val="TableParagraph"/>
              <w:spacing w:line="248"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62,6%</w:t>
            </w:r>
          </w:p>
        </w:tc>
        <w:tc>
          <w:tcPr>
            <w:tcW w:w="1276" w:type="dxa"/>
            <w:tcBorders>
              <w:top w:val="single" w:sz="5" w:space="0" w:color="000000"/>
              <w:left w:val="single" w:sz="5" w:space="0" w:color="000000"/>
              <w:bottom w:val="single" w:sz="5" w:space="0" w:color="000000"/>
              <w:right w:val="single" w:sz="5" w:space="0" w:color="000000"/>
            </w:tcBorders>
          </w:tcPr>
          <w:p w14:paraId="70A98DE0" w14:textId="77777777" w:rsidR="007F2986" w:rsidRPr="00CF5D7A" w:rsidRDefault="007F2986" w:rsidP="00CC2E43">
            <w:pPr>
              <w:pStyle w:val="TableParagraph"/>
              <w:spacing w:line="248"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54,4%</w:t>
            </w:r>
          </w:p>
        </w:tc>
        <w:tc>
          <w:tcPr>
            <w:tcW w:w="1985" w:type="dxa"/>
            <w:tcBorders>
              <w:top w:val="single" w:sz="5" w:space="0" w:color="000000"/>
              <w:left w:val="single" w:sz="5" w:space="0" w:color="000000"/>
              <w:bottom w:val="single" w:sz="5" w:space="0" w:color="000000"/>
              <w:right w:val="single" w:sz="5" w:space="0" w:color="000000"/>
            </w:tcBorders>
          </w:tcPr>
          <w:p w14:paraId="33B4B8E5" w14:textId="77777777" w:rsidR="007F2986" w:rsidRPr="00CF5D7A" w:rsidRDefault="007F2986" w:rsidP="00CC2E43">
            <w:pPr>
              <w:pStyle w:val="TableParagraph"/>
              <w:spacing w:line="248"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72,8%</w:t>
            </w:r>
          </w:p>
        </w:tc>
        <w:tc>
          <w:tcPr>
            <w:tcW w:w="957" w:type="dxa"/>
            <w:tcBorders>
              <w:top w:val="single" w:sz="5" w:space="0" w:color="000000"/>
              <w:left w:val="single" w:sz="5" w:space="0" w:color="000000"/>
              <w:bottom w:val="single" w:sz="5" w:space="0" w:color="000000"/>
              <w:right w:val="single" w:sz="5" w:space="0" w:color="000000"/>
            </w:tcBorders>
          </w:tcPr>
          <w:p w14:paraId="37260009" w14:textId="77777777" w:rsidR="007F2986" w:rsidRPr="00CF5D7A" w:rsidRDefault="007F2986" w:rsidP="00CC2E43">
            <w:pPr>
              <w:pStyle w:val="TableParagraph"/>
              <w:spacing w:line="248"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0,013</w:t>
            </w:r>
          </w:p>
        </w:tc>
        <w:tc>
          <w:tcPr>
            <w:tcW w:w="1174" w:type="dxa"/>
            <w:tcBorders>
              <w:top w:val="single" w:sz="5" w:space="0" w:color="000000"/>
              <w:left w:val="single" w:sz="5" w:space="0" w:color="000000"/>
              <w:bottom w:val="single" w:sz="5" w:space="0" w:color="000000"/>
              <w:right w:val="single" w:sz="5" w:space="0" w:color="000000"/>
            </w:tcBorders>
          </w:tcPr>
          <w:p w14:paraId="47DC20C0" w14:textId="77777777" w:rsidR="007F2986" w:rsidRPr="00CF5D7A" w:rsidRDefault="007F2986" w:rsidP="00CC2E43">
            <w:pPr>
              <w:pStyle w:val="TableParagraph"/>
              <w:spacing w:line="248" w:lineRule="exact"/>
              <w:ind w:left="243"/>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216" w:type="dxa"/>
            <w:tcBorders>
              <w:top w:val="single" w:sz="5" w:space="0" w:color="000000"/>
              <w:left w:val="single" w:sz="5" w:space="0" w:color="000000"/>
              <w:bottom w:val="single" w:sz="5" w:space="0" w:color="000000"/>
              <w:right w:val="single" w:sz="9" w:space="0" w:color="000000"/>
            </w:tcBorders>
          </w:tcPr>
          <w:p w14:paraId="62E14A87" w14:textId="77777777" w:rsidR="007F2986" w:rsidRPr="00CF5D7A" w:rsidRDefault="007F2986" w:rsidP="00CC2E43">
            <w:pPr>
              <w:pStyle w:val="TableParagraph"/>
              <w:spacing w:line="248" w:lineRule="exact"/>
              <w:ind w:left="351"/>
              <w:rPr>
                <w:rFonts w:ascii="Times New Roman" w:eastAsia="Times New Roman" w:hAnsi="Times New Roman" w:cs="Times New Roman"/>
                <w:lang w:val="hu-HU"/>
              </w:rPr>
            </w:pPr>
            <w:r w:rsidRPr="00CF5D7A">
              <w:rPr>
                <w:rFonts w:ascii="Times New Roman" w:eastAsia="Times New Roman" w:hAnsi="Times New Roman" w:cs="Times New Roman"/>
                <w:lang w:val="hu-HU"/>
              </w:rPr>
              <w:t>0,043</w:t>
            </w:r>
          </w:p>
        </w:tc>
      </w:tr>
      <w:tr w:rsidR="007F2986" w:rsidRPr="00CF5D7A" w14:paraId="2E0866F9" w14:textId="77777777" w:rsidTr="00CC2E43">
        <w:tc>
          <w:tcPr>
            <w:tcW w:w="1366" w:type="dxa"/>
            <w:tcBorders>
              <w:top w:val="single" w:sz="5" w:space="0" w:color="000000"/>
              <w:left w:val="single" w:sz="8" w:space="0" w:color="000000"/>
              <w:bottom w:val="single" w:sz="5" w:space="0" w:color="000000"/>
              <w:right w:val="single" w:sz="5" w:space="0" w:color="000000"/>
            </w:tcBorders>
          </w:tcPr>
          <w:p w14:paraId="0D735979" w14:textId="77777777" w:rsidR="007F2986" w:rsidRPr="00CF5D7A" w:rsidRDefault="007F2986" w:rsidP="00CC2E43">
            <w:pPr>
              <w:pStyle w:val="TableParagraph"/>
              <w:spacing w:line="248"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104. hét</w:t>
            </w:r>
          </w:p>
        </w:tc>
        <w:tc>
          <w:tcPr>
            <w:tcW w:w="1275" w:type="dxa"/>
            <w:tcBorders>
              <w:top w:val="single" w:sz="5" w:space="0" w:color="000000"/>
              <w:left w:val="single" w:sz="5" w:space="0" w:color="000000"/>
              <w:bottom w:val="single" w:sz="5" w:space="0" w:color="000000"/>
              <w:right w:val="single" w:sz="5" w:space="0" w:color="000000"/>
            </w:tcBorders>
          </w:tcPr>
          <w:p w14:paraId="1D3C2F3B" w14:textId="77777777" w:rsidR="007F2986" w:rsidRPr="00CF5D7A" w:rsidRDefault="007F2986" w:rsidP="00CC2E43">
            <w:pPr>
              <w:pStyle w:val="TableParagraph"/>
              <w:spacing w:line="248"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56,0%</w:t>
            </w:r>
          </w:p>
        </w:tc>
        <w:tc>
          <w:tcPr>
            <w:tcW w:w="1276" w:type="dxa"/>
            <w:tcBorders>
              <w:top w:val="single" w:sz="5" w:space="0" w:color="000000"/>
              <w:left w:val="single" w:sz="5" w:space="0" w:color="000000"/>
              <w:bottom w:val="single" w:sz="5" w:space="0" w:color="000000"/>
              <w:right w:val="single" w:sz="5" w:space="0" w:color="000000"/>
            </w:tcBorders>
          </w:tcPr>
          <w:p w14:paraId="28ECADB9" w14:textId="77777777" w:rsidR="007F2986" w:rsidRPr="00CF5D7A" w:rsidRDefault="007F2986" w:rsidP="00CC2E43">
            <w:pPr>
              <w:pStyle w:val="TableParagraph"/>
              <w:spacing w:line="248"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49,3%</w:t>
            </w:r>
          </w:p>
        </w:tc>
        <w:tc>
          <w:tcPr>
            <w:tcW w:w="1985" w:type="dxa"/>
            <w:tcBorders>
              <w:top w:val="single" w:sz="5" w:space="0" w:color="000000"/>
              <w:left w:val="single" w:sz="5" w:space="0" w:color="000000"/>
              <w:bottom w:val="single" w:sz="5" w:space="0" w:color="000000"/>
              <w:right w:val="single" w:sz="5" w:space="0" w:color="000000"/>
            </w:tcBorders>
          </w:tcPr>
          <w:p w14:paraId="1AD14A08" w14:textId="77777777" w:rsidR="007F2986" w:rsidRPr="00CF5D7A" w:rsidRDefault="007F2986" w:rsidP="00CC2E43">
            <w:pPr>
              <w:pStyle w:val="TableParagraph"/>
              <w:spacing w:line="248"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69,4%</w:t>
            </w:r>
          </w:p>
        </w:tc>
        <w:tc>
          <w:tcPr>
            <w:tcW w:w="957" w:type="dxa"/>
            <w:tcBorders>
              <w:top w:val="single" w:sz="5" w:space="0" w:color="000000"/>
              <w:left w:val="single" w:sz="5" w:space="0" w:color="000000"/>
              <w:bottom w:val="single" w:sz="5" w:space="0" w:color="000000"/>
              <w:right w:val="single" w:sz="5" w:space="0" w:color="000000"/>
            </w:tcBorders>
          </w:tcPr>
          <w:p w14:paraId="6A11D4BE" w14:textId="77777777" w:rsidR="007F2986" w:rsidRPr="00CF5D7A" w:rsidRDefault="007F2986" w:rsidP="00CC2E43">
            <w:pPr>
              <w:pStyle w:val="TableParagraph"/>
              <w:spacing w:line="248"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0,002</w:t>
            </w:r>
          </w:p>
        </w:tc>
        <w:tc>
          <w:tcPr>
            <w:tcW w:w="1174" w:type="dxa"/>
            <w:tcBorders>
              <w:top w:val="single" w:sz="5" w:space="0" w:color="000000"/>
              <w:left w:val="single" w:sz="5" w:space="0" w:color="000000"/>
              <w:bottom w:val="single" w:sz="5" w:space="0" w:color="000000"/>
              <w:right w:val="single" w:sz="5" w:space="0" w:color="000000"/>
            </w:tcBorders>
          </w:tcPr>
          <w:p w14:paraId="491B73EF" w14:textId="77777777" w:rsidR="007F2986" w:rsidRPr="00CF5D7A" w:rsidRDefault="007F2986" w:rsidP="00CC2E43">
            <w:pPr>
              <w:pStyle w:val="TableParagraph"/>
              <w:spacing w:line="248" w:lineRule="exact"/>
              <w:ind w:left="243"/>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216" w:type="dxa"/>
            <w:tcBorders>
              <w:top w:val="single" w:sz="5" w:space="0" w:color="000000"/>
              <w:left w:val="single" w:sz="5" w:space="0" w:color="000000"/>
              <w:bottom w:val="single" w:sz="5" w:space="0" w:color="000000"/>
              <w:right w:val="single" w:sz="9" w:space="0" w:color="000000"/>
            </w:tcBorders>
          </w:tcPr>
          <w:p w14:paraId="3D3B7BC7" w14:textId="77777777" w:rsidR="007F2986" w:rsidRPr="00CF5D7A" w:rsidRDefault="007F2986" w:rsidP="00CC2E43">
            <w:pPr>
              <w:pStyle w:val="TableParagraph"/>
              <w:spacing w:line="248" w:lineRule="exact"/>
              <w:ind w:left="351"/>
              <w:rPr>
                <w:rFonts w:ascii="Times New Roman" w:eastAsia="Times New Roman" w:hAnsi="Times New Roman" w:cs="Times New Roman"/>
                <w:lang w:val="hu-HU"/>
              </w:rPr>
            </w:pPr>
            <w:r w:rsidRPr="00CF5D7A">
              <w:rPr>
                <w:rFonts w:ascii="Times New Roman" w:eastAsia="Times New Roman" w:hAnsi="Times New Roman" w:cs="Times New Roman"/>
                <w:lang w:val="hu-HU"/>
              </w:rPr>
              <w:t>0,140</w:t>
            </w:r>
          </w:p>
        </w:tc>
      </w:tr>
      <w:tr w:rsidR="007F2986" w:rsidRPr="00CF5D7A" w14:paraId="5D7F8F4B" w14:textId="77777777" w:rsidTr="00CC2E43">
        <w:tc>
          <w:tcPr>
            <w:tcW w:w="9249" w:type="dxa"/>
            <w:gridSpan w:val="7"/>
            <w:tcBorders>
              <w:top w:val="single" w:sz="5" w:space="0" w:color="000000"/>
              <w:left w:val="single" w:sz="8" w:space="0" w:color="000000"/>
              <w:bottom w:val="single" w:sz="5" w:space="0" w:color="000000"/>
              <w:right w:val="single" w:sz="9" w:space="0" w:color="000000"/>
            </w:tcBorders>
          </w:tcPr>
          <w:p w14:paraId="13632498" w14:textId="77777777" w:rsidR="007F2986" w:rsidRPr="00CF5D7A" w:rsidRDefault="007F2986" w:rsidP="00CC2E43">
            <w:pPr>
              <w:rPr>
                <w:lang w:val="hu-HU"/>
              </w:rPr>
            </w:pPr>
            <w:r w:rsidRPr="00CF5D7A">
              <w:rPr>
                <w:rFonts w:ascii="Times New Roman" w:eastAsia="Times New Roman" w:hAnsi="Times New Roman" w:cs="Times New Roman"/>
                <w:spacing w:val="-1"/>
                <w:lang w:val="hu-HU"/>
              </w:rPr>
              <w:t>ACR 50</w:t>
            </w:r>
          </w:p>
        </w:tc>
      </w:tr>
      <w:tr w:rsidR="007F2986" w:rsidRPr="00CF5D7A" w14:paraId="3E939835" w14:textId="77777777" w:rsidTr="00CC2E43">
        <w:tc>
          <w:tcPr>
            <w:tcW w:w="1366" w:type="dxa"/>
            <w:tcBorders>
              <w:top w:val="single" w:sz="5" w:space="0" w:color="000000"/>
              <w:left w:val="single" w:sz="8" w:space="0" w:color="000000"/>
              <w:bottom w:val="single" w:sz="5" w:space="0" w:color="000000"/>
              <w:right w:val="single" w:sz="5" w:space="0" w:color="000000"/>
            </w:tcBorders>
          </w:tcPr>
          <w:p w14:paraId="01A9134E" w14:textId="77777777" w:rsidR="007F2986" w:rsidRPr="00CF5D7A" w:rsidRDefault="007F2986" w:rsidP="00CC2E43">
            <w:pPr>
              <w:pStyle w:val="TableParagraph"/>
              <w:spacing w:line="246"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52. hét</w:t>
            </w:r>
          </w:p>
        </w:tc>
        <w:tc>
          <w:tcPr>
            <w:tcW w:w="1275" w:type="dxa"/>
            <w:tcBorders>
              <w:top w:val="single" w:sz="5" w:space="0" w:color="000000"/>
              <w:left w:val="single" w:sz="5" w:space="0" w:color="000000"/>
              <w:bottom w:val="single" w:sz="5" w:space="0" w:color="000000"/>
              <w:right w:val="single" w:sz="5" w:space="0" w:color="000000"/>
            </w:tcBorders>
          </w:tcPr>
          <w:p w14:paraId="4E564FC2" w14:textId="77777777" w:rsidR="007F2986" w:rsidRPr="00CF5D7A" w:rsidRDefault="007F2986" w:rsidP="00CC2E43">
            <w:pPr>
              <w:pStyle w:val="TableParagraph"/>
              <w:spacing w:line="246"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45,9%</w:t>
            </w:r>
          </w:p>
        </w:tc>
        <w:tc>
          <w:tcPr>
            <w:tcW w:w="1276" w:type="dxa"/>
            <w:tcBorders>
              <w:top w:val="single" w:sz="5" w:space="0" w:color="000000"/>
              <w:left w:val="single" w:sz="5" w:space="0" w:color="000000"/>
              <w:bottom w:val="single" w:sz="5" w:space="0" w:color="000000"/>
              <w:right w:val="single" w:sz="5" w:space="0" w:color="000000"/>
            </w:tcBorders>
          </w:tcPr>
          <w:p w14:paraId="603E96B3" w14:textId="77777777" w:rsidR="007F2986" w:rsidRPr="00CF5D7A" w:rsidRDefault="007F2986" w:rsidP="00CC2E43">
            <w:pPr>
              <w:pStyle w:val="TableParagraph"/>
              <w:spacing w:line="246"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41,2%</w:t>
            </w:r>
          </w:p>
        </w:tc>
        <w:tc>
          <w:tcPr>
            <w:tcW w:w="1985" w:type="dxa"/>
            <w:tcBorders>
              <w:top w:val="single" w:sz="5" w:space="0" w:color="000000"/>
              <w:left w:val="single" w:sz="5" w:space="0" w:color="000000"/>
              <w:bottom w:val="single" w:sz="5" w:space="0" w:color="000000"/>
              <w:right w:val="single" w:sz="5" w:space="0" w:color="000000"/>
            </w:tcBorders>
          </w:tcPr>
          <w:p w14:paraId="5C28326F"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61,6%</w:t>
            </w:r>
          </w:p>
        </w:tc>
        <w:tc>
          <w:tcPr>
            <w:tcW w:w="957" w:type="dxa"/>
            <w:tcBorders>
              <w:top w:val="single" w:sz="5" w:space="0" w:color="000000"/>
              <w:left w:val="single" w:sz="5" w:space="0" w:color="000000"/>
              <w:bottom w:val="single" w:sz="5" w:space="0" w:color="000000"/>
              <w:right w:val="single" w:sz="5" w:space="0" w:color="000000"/>
            </w:tcBorders>
          </w:tcPr>
          <w:p w14:paraId="0D23AB43"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174" w:type="dxa"/>
            <w:tcBorders>
              <w:top w:val="single" w:sz="5" w:space="0" w:color="000000"/>
              <w:left w:val="single" w:sz="5" w:space="0" w:color="000000"/>
              <w:bottom w:val="single" w:sz="5" w:space="0" w:color="000000"/>
              <w:right w:val="single" w:sz="5" w:space="0" w:color="000000"/>
            </w:tcBorders>
          </w:tcPr>
          <w:p w14:paraId="2C6DE223" w14:textId="77777777" w:rsidR="007F2986" w:rsidRPr="00CF5D7A" w:rsidRDefault="007F2986" w:rsidP="00CC2E43">
            <w:pPr>
              <w:pStyle w:val="TableParagraph"/>
              <w:spacing w:line="246" w:lineRule="exact"/>
              <w:ind w:left="243"/>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216" w:type="dxa"/>
            <w:tcBorders>
              <w:top w:val="single" w:sz="5" w:space="0" w:color="000000"/>
              <w:left w:val="single" w:sz="5" w:space="0" w:color="000000"/>
              <w:bottom w:val="single" w:sz="5" w:space="0" w:color="000000"/>
              <w:right w:val="single" w:sz="9" w:space="0" w:color="000000"/>
            </w:tcBorders>
          </w:tcPr>
          <w:p w14:paraId="0E89266B" w14:textId="77777777" w:rsidR="007F2986" w:rsidRPr="00CF5D7A" w:rsidRDefault="007F2986" w:rsidP="00CC2E43">
            <w:pPr>
              <w:pStyle w:val="TableParagraph"/>
              <w:spacing w:line="246" w:lineRule="exact"/>
              <w:ind w:left="351"/>
              <w:rPr>
                <w:rFonts w:ascii="Times New Roman" w:eastAsia="Times New Roman" w:hAnsi="Times New Roman" w:cs="Times New Roman"/>
                <w:lang w:val="hu-HU"/>
              </w:rPr>
            </w:pPr>
            <w:r w:rsidRPr="00CF5D7A">
              <w:rPr>
                <w:rFonts w:ascii="Times New Roman" w:eastAsia="Times New Roman" w:hAnsi="Times New Roman" w:cs="Times New Roman"/>
                <w:lang w:val="hu-HU"/>
              </w:rPr>
              <w:t>0,317</w:t>
            </w:r>
          </w:p>
        </w:tc>
      </w:tr>
      <w:tr w:rsidR="007F2986" w:rsidRPr="00CF5D7A" w14:paraId="40A2EEFF" w14:textId="77777777" w:rsidTr="00CC2E43">
        <w:tc>
          <w:tcPr>
            <w:tcW w:w="1366" w:type="dxa"/>
            <w:tcBorders>
              <w:top w:val="single" w:sz="5" w:space="0" w:color="000000"/>
              <w:left w:val="single" w:sz="8" w:space="0" w:color="000000"/>
              <w:bottom w:val="single" w:sz="5" w:space="0" w:color="000000"/>
              <w:right w:val="single" w:sz="5" w:space="0" w:color="000000"/>
            </w:tcBorders>
          </w:tcPr>
          <w:p w14:paraId="3F431214" w14:textId="77777777" w:rsidR="007F2986" w:rsidRPr="00CF5D7A" w:rsidRDefault="007F2986" w:rsidP="00CC2E43">
            <w:pPr>
              <w:pStyle w:val="TableParagraph"/>
              <w:spacing w:line="246"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lastRenderedPageBreak/>
              <w:t>104. hét</w:t>
            </w:r>
          </w:p>
        </w:tc>
        <w:tc>
          <w:tcPr>
            <w:tcW w:w="1275" w:type="dxa"/>
            <w:tcBorders>
              <w:top w:val="single" w:sz="5" w:space="0" w:color="000000"/>
              <w:left w:val="single" w:sz="5" w:space="0" w:color="000000"/>
              <w:bottom w:val="single" w:sz="5" w:space="0" w:color="000000"/>
              <w:right w:val="single" w:sz="5" w:space="0" w:color="000000"/>
            </w:tcBorders>
          </w:tcPr>
          <w:p w14:paraId="0B196787" w14:textId="77777777" w:rsidR="007F2986" w:rsidRPr="00CF5D7A" w:rsidRDefault="007F2986" w:rsidP="00CC2E43">
            <w:pPr>
              <w:pStyle w:val="TableParagraph"/>
              <w:spacing w:line="246"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42,8%</w:t>
            </w:r>
          </w:p>
        </w:tc>
        <w:tc>
          <w:tcPr>
            <w:tcW w:w="1276" w:type="dxa"/>
            <w:tcBorders>
              <w:top w:val="single" w:sz="5" w:space="0" w:color="000000"/>
              <w:left w:val="single" w:sz="5" w:space="0" w:color="000000"/>
              <w:bottom w:val="single" w:sz="5" w:space="0" w:color="000000"/>
              <w:right w:val="single" w:sz="5" w:space="0" w:color="000000"/>
            </w:tcBorders>
          </w:tcPr>
          <w:p w14:paraId="68A56CD9" w14:textId="77777777" w:rsidR="007F2986" w:rsidRPr="00CF5D7A" w:rsidRDefault="007F2986" w:rsidP="00CC2E43">
            <w:pPr>
              <w:pStyle w:val="TableParagraph"/>
              <w:spacing w:line="246"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36,9%</w:t>
            </w:r>
          </w:p>
        </w:tc>
        <w:tc>
          <w:tcPr>
            <w:tcW w:w="1985" w:type="dxa"/>
            <w:tcBorders>
              <w:top w:val="single" w:sz="5" w:space="0" w:color="000000"/>
              <w:left w:val="single" w:sz="5" w:space="0" w:color="000000"/>
              <w:bottom w:val="single" w:sz="5" w:space="0" w:color="000000"/>
              <w:right w:val="single" w:sz="5" w:space="0" w:color="000000"/>
            </w:tcBorders>
          </w:tcPr>
          <w:p w14:paraId="2D4DB3A0"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59,0%</w:t>
            </w:r>
          </w:p>
        </w:tc>
        <w:tc>
          <w:tcPr>
            <w:tcW w:w="957" w:type="dxa"/>
            <w:tcBorders>
              <w:top w:val="single" w:sz="5" w:space="0" w:color="000000"/>
              <w:left w:val="single" w:sz="5" w:space="0" w:color="000000"/>
              <w:bottom w:val="single" w:sz="5" w:space="0" w:color="000000"/>
              <w:right w:val="single" w:sz="5" w:space="0" w:color="000000"/>
            </w:tcBorders>
          </w:tcPr>
          <w:p w14:paraId="18F0BF18"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174" w:type="dxa"/>
            <w:tcBorders>
              <w:top w:val="single" w:sz="5" w:space="0" w:color="000000"/>
              <w:left w:val="single" w:sz="5" w:space="0" w:color="000000"/>
              <w:bottom w:val="single" w:sz="5" w:space="0" w:color="000000"/>
              <w:right w:val="single" w:sz="5" w:space="0" w:color="000000"/>
            </w:tcBorders>
          </w:tcPr>
          <w:p w14:paraId="66DFB782" w14:textId="77777777" w:rsidR="007F2986" w:rsidRPr="00CF5D7A" w:rsidRDefault="007F2986" w:rsidP="00CC2E43">
            <w:pPr>
              <w:pStyle w:val="TableParagraph"/>
              <w:spacing w:line="246" w:lineRule="exact"/>
              <w:ind w:left="243"/>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216" w:type="dxa"/>
            <w:tcBorders>
              <w:top w:val="single" w:sz="5" w:space="0" w:color="000000"/>
              <w:left w:val="single" w:sz="5" w:space="0" w:color="000000"/>
              <w:bottom w:val="single" w:sz="5" w:space="0" w:color="000000"/>
              <w:right w:val="single" w:sz="9" w:space="0" w:color="000000"/>
            </w:tcBorders>
          </w:tcPr>
          <w:p w14:paraId="2F8FF47B" w14:textId="77777777" w:rsidR="007F2986" w:rsidRPr="00CF5D7A" w:rsidRDefault="007F2986" w:rsidP="00CC2E43">
            <w:pPr>
              <w:pStyle w:val="TableParagraph"/>
              <w:spacing w:line="246" w:lineRule="exact"/>
              <w:ind w:left="351"/>
              <w:rPr>
                <w:rFonts w:ascii="Times New Roman" w:eastAsia="Times New Roman" w:hAnsi="Times New Roman" w:cs="Times New Roman"/>
                <w:lang w:val="hu-HU"/>
              </w:rPr>
            </w:pPr>
            <w:r w:rsidRPr="00CF5D7A">
              <w:rPr>
                <w:rFonts w:ascii="Times New Roman" w:eastAsia="Times New Roman" w:hAnsi="Times New Roman" w:cs="Times New Roman"/>
                <w:lang w:val="hu-HU"/>
              </w:rPr>
              <w:t>0,162</w:t>
            </w:r>
          </w:p>
        </w:tc>
      </w:tr>
      <w:tr w:rsidR="007F2986" w:rsidRPr="00CF5D7A" w14:paraId="2B6CD67A" w14:textId="77777777" w:rsidTr="00CC2E43">
        <w:tc>
          <w:tcPr>
            <w:tcW w:w="9249" w:type="dxa"/>
            <w:gridSpan w:val="7"/>
            <w:tcBorders>
              <w:top w:val="single" w:sz="5" w:space="0" w:color="000000"/>
              <w:left w:val="single" w:sz="8" w:space="0" w:color="000000"/>
              <w:bottom w:val="single" w:sz="5" w:space="0" w:color="000000"/>
              <w:right w:val="single" w:sz="9" w:space="0" w:color="000000"/>
            </w:tcBorders>
          </w:tcPr>
          <w:p w14:paraId="45B77E15" w14:textId="77777777" w:rsidR="007F2986" w:rsidRPr="00CF5D7A" w:rsidRDefault="007F2986" w:rsidP="00CC2E43">
            <w:pPr>
              <w:rPr>
                <w:lang w:val="hu-HU"/>
              </w:rPr>
            </w:pPr>
            <w:r w:rsidRPr="00CF5D7A">
              <w:rPr>
                <w:rFonts w:ascii="Times New Roman" w:eastAsia="Times New Roman" w:hAnsi="Times New Roman" w:cs="Times New Roman"/>
                <w:spacing w:val="-1"/>
                <w:lang w:val="hu-HU"/>
              </w:rPr>
              <w:t>ACR 70</w:t>
            </w:r>
          </w:p>
        </w:tc>
      </w:tr>
      <w:tr w:rsidR="007F2986" w:rsidRPr="00CF5D7A" w14:paraId="53C09968" w14:textId="77777777" w:rsidTr="00CC2E43">
        <w:tc>
          <w:tcPr>
            <w:tcW w:w="1366" w:type="dxa"/>
            <w:tcBorders>
              <w:top w:val="single" w:sz="5" w:space="0" w:color="000000"/>
              <w:left w:val="single" w:sz="8" w:space="0" w:color="000000"/>
              <w:bottom w:val="single" w:sz="5" w:space="0" w:color="000000"/>
              <w:right w:val="single" w:sz="5" w:space="0" w:color="000000"/>
            </w:tcBorders>
          </w:tcPr>
          <w:p w14:paraId="096CE0EA" w14:textId="77777777" w:rsidR="007F2986" w:rsidRPr="00CF5D7A" w:rsidRDefault="007F2986" w:rsidP="00CC2E43">
            <w:pPr>
              <w:pStyle w:val="TableParagraph"/>
              <w:spacing w:line="248"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52. hét</w:t>
            </w:r>
          </w:p>
        </w:tc>
        <w:tc>
          <w:tcPr>
            <w:tcW w:w="1275" w:type="dxa"/>
            <w:tcBorders>
              <w:top w:val="single" w:sz="5" w:space="0" w:color="000000"/>
              <w:left w:val="single" w:sz="5" w:space="0" w:color="000000"/>
              <w:bottom w:val="single" w:sz="5" w:space="0" w:color="000000"/>
              <w:right w:val="single" w:sz="5" w:space="0" w:color="000000"/>
            </w:tcBorders>
          </w:tcPr>
          <w:p w14:paraId="30FD1546" w14:textId="77777777" w:rsidR="007F2986" w:rsidRPr="00CF5D7A" w:rsidRDefault="007F2986" w:rsidP="00CC2E43">
            <w:pPr>
              <w:pStyle w:val="TableParagraph"/>
              <w:spacing w:line="248"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27,2%</w:t>
            </w:r>
          </w:p>
        </w:tc>
        <w:tc>
          <w:tcPr>
            <w:tcW w:w="1276" w:type="dxa"/>
            <w:tcBorders>
              <w:top w:val="single" w:sz="5" w:space="0" w:color="000000"/>
              <w:left w:val="single" w:sz="5" w:space="0" w:color="000000"/>
              <w:bottom w:val="single" w:sz="5" w:space="0" w:color="000000"/>
              <w:right w:val="single" w:sz="5" w:space="0" w:color="000000"/>
            </w:tcBorders>
          </w:tcPr>
          <w:p w14:paraId="7825F4F8" w14:textId="77777777" w:rsidR="007F2986" w:rsidRPr="00CF5D7A" w:rsidRDefault="007F2986" w:rsidP="00CC2E43">
            <w:pPr>
              <w:pStyle w:val="TableParagraph"/>
              <w:spacing w:line="248"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25,9%</w:t>
            </w:r>
          </w:p>
        </w:tc>
        <w:tc>
          <w:tcPr>
            <w:tcW w:w="1985" w:type="dxa"/>
            <w:tcBorders>
              <w:top w:val="single" w:sz="5" w:space="0" w:color="000000"/>
              <w:left w:val="single" w:sz="5" w:space="0" w:color="000000"/>
              <w:bottom w:val="single" w:sz="5" w:space="0" w:color="000000"/>
              <w:right w:val="single" w:sz="5" w:space="0" w:color="000000"/>
            </w:tcBorders>
          </w:tcPr>
          <w:p w14:paraId="6333C66D" w14:textId="77777777" w:rsidR="007F2986" w:rsidRPr="00CF5D7A" w:rsidRDefault="007F2986" w:rsidP="00CC2E43">
            <w:pPr>
              <w:pStyle w:val="TableParagraph"/>
              <w:spacing w:line="248"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45,5%</w:t>
            </w:r>
          </w:p>
        </w:tc>
        <w:tc>
          <w:tcPr>
            <w:tcW w:w="957" w:type="dxa"/>
            <w:tcBorders>
              <w:top w:val="single" w:sz="5" w:space="0" w:color="000000"/>
              <w:left w:val="single" w:sz="5" w:space="0" w:color="000000"/>
              <w:bottom w:val="single" w:sz="5" w:space="0" w:color="000000"/>
              <w:right w:val="single" w:sz="5" w:space="0" w:color="000000"/>
            </w:tcBorders>
          </w:tcPr>
          <w:p w14:paraId="54503902" w14:textId="77777777" w:rsidR="007F2986" w:rsidRPr="00CF5D7A" w:rsidRDefault="007F2986" w:rsidP="00CC2E43">
            <w:pPr>
              <w:pStyle w:val="TableParagraph"/>
              <w:spacing w:line="248"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174" w:type="dxa"/>
            <w:tcBorders>
              <w:top w:val="single" w:sz="5" w:space="0" w:color="000000"/>
              <w:left w:val="single" w:sz="5" w:space="0" w:color="000000"/>
              <w:bottom w:val="single" w:sz="5" w:space="0" w:color="000000"/>
              <w:right w:val="single" w:sz="5" w:space="0" w:color="000000"/>
            </w:tcBorders>
          </w:tcPr>
          <w:p w14:paraId="24A7F3C5" w14:textId="77777777" w:rsidR="007F2986" w:rsidRPr="00CF5D7A" w:rsidRDefault="007F2986" w:rsidP="00CC2E43">
            <w:pPr>
              <w:pStyle w:val="TableParagraph"/>
              <w:spacing w:line="248" w:lineRule="exact"/>
              <w:ind w:left="243"/>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216" w:type="dxa"/>
            <w:tcBorders>
              <w:top w:val="single" w:sz="5" w:space="0" w:color="000000"/>
              <w:left w:val="single" w:sz="5" w:space="0" w:color="000000"/>
              <w:bottom w:val="single" w:sz="5" w:space="0" w:color="000000"/>
              <w:right w:val="single" w:sz="9" w:space="0" w:color="000000"/>
            </w:tcBorders>
          </w:tcPr>
          <w:p w14:paraId="5A3F9193" w14:textId="77777777" w:rsidR="007F2986" w:rsidRPr="00CF5D7A" w:rsidRDefault="007F2986" w:rsidP="00CC2E43">
            <w:pPr>
              <w:pStyle w:val="TableParagraph"/>
              <w:spacing w:line="248" w:lineRule="exact"/>
              <w:ind w:left="351"/>
              <w:rPr>
                <w:rFonts w:ascii="Times New Roman" w:eastAsia="Times New Roman" w:hAnsi="Times New Roman" w:cs="Times New Roman"/>
                <w:lang w:val="hu-HU"/>
              </w:rPr>
            </w:pPr>
            <w:r w:rsidRPr="00CF5D7A">
              <w:rPr>
                <w:rFonts w:ascii="Times New Roman" w:eastAsia="Times New Roman" w:hAnsi="Times New Roman" w:cs="Times New Roman"/>
                <w:lang w:val="hu-HU"/>
              </w:rPr>
              <w:t>0,656</w:t>
            </w:r>
          </w:p>
        </w:tc>
      </w:tr>
      <w:tr w:rsidR="007F2986" w:rsidRPr="00CF5D7A" w14:paraId="35C8494B" w14:textId="77777777" w:rsidTr="00CC2E43">
        <w:tc>
          <w:tcPr>
            <w:tcW w:w="1366" w:type="dxa"/>
            <w:tcBorders>
              <w:top w:val="single" w:sz="5" w:space="0" w:color="000000"/>
              <w:left w:val="single" w:sz="8" w:space="0" w:color="000000"/>
              <w:bottom w:val="single" w:sz="5" w:space="0" w:color="000000"/>
              <w:right w:val="single" w:sz="5" w:space="0" w:color="000000"/>
            </w:tcBorders>
          </w:tcPr>
          <w:p w14:paraId="1EC9FEEE" w14:textId="77777777" w:rsidR="007F2986" w:rsidRPr="00CF5D7A" w:rsidRDefault="007F2986" w:rsidP="00CC2E43">
            <w:pPr>
              <w:pStyle w:val="TableParagraph"/>
              <w:spacing w:line="248" w:lineRule="exact"/>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104. hét</w:t>
            </w:r>
          </w:p>
        </w:tc>
        <w:tc>
          <w:tcPr>
            <w:tcW w:w="1275" w:type="dxa"/>
            <w:tcBorders>
              <w:top w:val="single" w:sz="5" w:space="0" w:color="000000"/>
              <w:left w:val="single" w:sz="5" w:space="0" w:color="000000"/>
              <w:bottom w:val="single" w:sz="5" w:space="0" w:color="000000"/>
              <w:right w:val="single" w:sz="5" w:space="0" w:color="000000"/>
            </w:tcBorders>
          </w:tcPr>
          <w:p w14:paraId="4645A343" w14:textId="77777777" w:rsidR="007F2986" w:rsidRPr="00CF5D7A" w:rsidRDefault="007F2986" w:rsidP="00CC2E43">
            <w:pPr>
              <w:pStyle w:val="TableParagraph"/>
              <w:spacing w:line="248"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28,4%</w:t>
            </w:r>
          </w:p>
        </w:tc>
        <w:tc>
          <w:tcPr>
            <w:tcW w:w="1276" w:type="dxa"/>
            <w:tcBorders>
              <w:top w:val="single" w:sz="5" w:space="0" w:color="000000"/>
              <w:left w:val="single" w:sz="5" w:space="0" w:color="000000"/>
              <w:bottom w:val="single" w:sz="5" w:space="0" w:color="000000"/>
              <w:right w:val="single" w:sz="5" w:space="0" w:color="000000"/>
            </w:tcBorders>
          </w:tcPr>
          <w:p w14:paraId="78952105" w14:textId="77777777" w:rsidR="007F2986" w:rsidRPr="00CF5D7A" w:rsidRDefault="007F2986" w:rsidP="00CC2E43">
            <w:pPr>
              <w:pStyle w:val="TableParagraph"/>
              <w:spacing w:line="248" w:lineRule="exact"/>
              <w:ind w:left="368"/>
              <w:rPr>
                <w:rFonts w:ascii="Times New Roman" w:eastAsia="Times New Roman" w:hAnsi="Times New Roman" w:cs="Times New Roman"/>
                <w:lang w:val="hu-HU"/>
              </w:rPr>
            </w:pPr>
            <w:r w:rsidRPr="00CF5D7A">
              <w:rPr>
                <w:rFonts w:ascii="Times New Roman" w:eastAsia="Times New Roman" w:hAnsi="Times New Roman" w:cs="Times New Roman"/>
                <w:lang w:val="hu-HU"/>
              </w:rPr>
              <w:t>28,1%</w:t>
            </w:r>
          </w:p>
        </w:tc>
        <w:tc>
          <w:tcPr>
            <w:tcW w:w="1985" w:type="dxa"/>
            <w:tcBorders>
              <w:top w:val="single" w:sz="5" w:space="0" w:color="000000"/>
              <w:left w:val="single" w:sz="5" w:space="0" w:color="000000"/>
              <w:bottom w:val="single" w:sz="5" w:space="0" w:color="000000"/>
              <w:right w:val="single" w:sz="5" w:space="0" w:color="000000"/>
            </w:tcBorders>
          </w:tcPr>
          <w:p w14:paraId="0C20BB4D" w14:textId="77777777" w:rsidR="007F2986" w:rsidRPr="00CF5D7A" w:rsidRDefault="007F2986" w:rsidP="00CC2E43">
            <w:pPr>
              <w:pStyle w:val="TableParagraph"/>
              <w:spacing w:line="248"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46,6%</w:t>
            </w:r>
          </w:p>
        </w:tc>
        <w:tc>
          <w:tcPr>
            <w:tcW w:w="957" w:type="dxa"/>
            <w:tcBorders>
              <w:top w:val="single" w:sz="5" w:space="0" w:color="000000"/>
              <w:left w:val="single" w:sz="5" w:space="0" w:color="000000"/>
              <w:bottom w:val="single" w:sz="5" w:space="0" w:color="000000"/>
              <w:right w:val="single" w:sz="5" w:space="0" w:color="000000"/>
            </w:tcBorders>
          </w:tcPr>
          <w:p w14:paraId="5EBE1D76" w14:textId="77777777" w:rsidR="007F2986" w:rsidRPr="00CF5D7A" w:rsidRDefault="007F2986" w:rsidP="00CC2E43">
            <w:pPr>
              <w:pStyle w:val="TableParagraph"/>
              <w:spacing w:line="248"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174" w:type="dxa"/>
            <w:tcBorders>
              <w:top w:val="single" w:sz="5" w:space="0" w:color="000000"/>
              <w:left w:val="single" w:sz="5" w:space="0" w:color="000000"/>
              <w:bottom w:val="single" w:sz="5" w:space="0" w:color="000000"/>
              <w:right w:val="single" w:sz="5" w:space="0" w:color="000000"/>
            </w:tcBorders>
          </w:tcPr>
          <w:p w14:paraId="3E7D2351" w14:textId="77777777" w:rsidR="007F2986" w:rsidRPr="00CF5D7A" w:rsidRDefault="007F2986" w:rsidP="00CC2E43">
            <w:pPr>
              <w:pStyle w:val="TableParagraph"/>
              <w:spacing w:line="248" w:lineRule="exact"/>
              <w:ind w:left="243"/>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1216" w:type="dxa"/>
            <w:tcBorders>
              <w:top w:val="single" w:sz="5" w:space="0" w:color="000000"/>
              <w:left w:val="single" w:sz="5" w:space="0" w:color="000000"/>
              <w:bottom w:val="single" w:sz="5" w:space="0" w:color="000000"/>
              <w:right w:val="single" w:sz="9" w:space="0" w:color="000000"/>
            </w:tcBorders>
          </w:tcPr>
          <w:p w14:paraId="61C0A008" w14:textId="77777777" w:rsidR="007F2986" w:rsidRPr="00CF5D7A" w:rsidRDefault="007F2986" w:rsidP="00CC2E43">
            <w:pPr>
              <w:pStyle w:val="TableParagraph"/>
              <w:spacing w:line="248" w:lineRule="exact"/>
              <w:ind w:left="351"/>
              <w:rPr>
                <w:rFonts w:ascii="Times New Roman" w:eastAsia="Times New Roman" w:hAnsi="Times New Roman" w:cs="Times New Roman"/>
                <w:lang w:val="hu-HU"/>
              </w:rPr>
            </w:pPr>
            <w:r w:rsidRPr="00CF5D7A">
              <w:rPr>
                <w:rFonts w:ascii="Times New Roman" w:eastAsia="Times New Roman" w:hAnsi="Times New Roman" w:cs="Times New Roman"/>
                <w:lang w:val="hu-HU"/>
              </w:rPr>
              <w:t>0,864</w:t>
            </w:r>
          </w:p>
        </w:tc>
      </w:tr>
    </w:tbl>
    <w:p w14:paraId="5FB09BC9" w14:textId="77777777" w:rsidR="007F2986" w:rsidRPr="008668A9" w:rsidRDefault="007F2986" w:rsidP="005A05DE">
      <w:pPr>
        <w:tabs>
          <w:tab w:val="left" w:pos="433"/>
        </w:tabs>
        <w:ind w:leftChars="100" w:left="220"/>
        <w:rPr>
          <w:rFonts w:ascii="Times New Roman" w:eastAsia="Times New Roman" w:hAnsi="Times New Roman" w:cs="Times New Roman"/>
          <w:lang w:val="hu-HU"/>
        </w:rPr>
      </w:pPr>
      <w:r w:rsidRPr="001E2F31">
        <w:rPr>
          <w:rFonts w:ascii="Times New Roman" w:eastAsia="Times New Roman" w:hAnsi="Times New Roman" w:cs="Times New Roman"/>
          <w:vertAlign w:val="superscript"/>
          <w:lang w:val="hu-HU"/>
        </w:rPr>
        <w:t>a</w:t>
      </w:r>
      <w:r w:rsidRPr="001E2F31">
        <w:rPr>
          <w:rFonts w:ascii="Times New Roman" w:eastAsia="Times New Roman" w:hAnsi="Times New Roman" w:cs="Times New Roman"/>
          <w:lang w:val="hu-HU"/>
        </w:rPr>
        <w:t xml:space="preserve"> a p-érték a metotrexát monoterápia és az adalimumab/metotrexát kombinációs terápia páros összehasonlítása alapján Mann-Whitney U teszt szerint.</w:t>
      </w:r>
    </w:p>
    <w:p w14:paraId="15554A2F" w14:textId="77777777" w:rsidR="007F2986" w:rsidRPr="008668A9" w:rsidRDefault="007F2986" w:rsidP="005A05DE">
      <w:pPr>
        <w:tabs>
          <w:tab w:val="left" w:pos="433"/>
        </w:tabs>
        <w:ind w:leftChars="100" w:left="220"/>
        <w:rPr>
          <w:rFonts w:ascii="Times New Roman" w:eastAsia="Times New Roman" w:hAnsi="Times New Roman" w:cs="Times New Roman"/>
          <w:lang w:val="hu-HU"/>
        </w:rPr>
      </w:pPr>
      <w:r w:rsidRPr="001E2F31">
        <w:rPr>
          <w:rFonts w:ascii="Times New Roman" w:eastAsia="Times New Roman" w:hAnsi="Times New Roman" w:cs="Times New Roman"/>
          <w:vertAlign w:val="superscript"/>
          <w:lang w:val="hu-HU"/>
        </w:rPr>
        <w:t>b</w:t>
      </w:r>
      <w:r w:rsidRPr="001E2F31">
        <w:rPr>
          <w:rFonts w:ascii="Times New Roman" w:eastAsia="Times New Roman" w:hAnsi="Times New Roman" w:cs="Times New Roman"/>
          <w:lang w:val="hu-HU"/>
        </w:rPr>
        <w:t xml:space="preserve"> a p-érték a </w:t>
      </w:r>
      <w:r w:rsidRPr="008668A9">
        <w:rPr>
          <w:rFonts w:ascii="Times New Roman" w:eastAsia="Times New Roman" w:hAnsi="Times New Roman" w:cs="Times New Roman"/>
          <w:lang w:val="hu-HU"/>
        </w:rPr>
        <w:t>adalimumab</w:t>
      </w:r>
      <w:r w:rsidRPr="001E2F31">
        <w:rPr>
          <w:rFonts w:ascii="Times New Roman" w:eastAsia="Times New Roman" w:hAnsi="Times New Roman" w:cs="Times New Roman"/>
          <w:lang w:val="hu-HU"/>
        </w:rPr>
        <w:t xml:space="preserve"> monoterápia és az adalimumab/metotrexát kombinációs terápia páros összehasonlítása alapján Mann-Whitney U teszt szerint.</w:t>
      </w:r>
    </w:p>
    <w:p w14:paraId="040BB097" w14:textId="77777777" w:rsidR="007F2986" w:rsidRPr="008668A9" w:rsidRDefault="007F2986" w:rsidP="005A05DE">
      <w:pPr>
        <w:tabs>
          <w:tab w:val="left" w:pos="421"/>
        </w:tabs>
        <w:ind w:leftChars="100" w:left="220"/>
        <w:rPr>
          <w:sz w:val="17"/>
          <w:szCs w:val="17"/>
          <w:lang w:val="hu-HU"/>
        </w:rPr>
      </w:pPr>
      <w:r w:rsidRPr="001E2F31">
        <w:rPr>
          <w:rFonts w:ascii="Times New Roman" w:eastAsia="Times New Roman" w:hAnsi="Times New Roman" w:cs="Times New Roman"/>
          <w:vertAlign w:val="superscript"/>
          <w:lang w:val="hu-HU"/>
        </w:rPr>
        <w:t>c</w:t>
      </w:r>
      <w:r w:rsidRPr="001E2F31">
        <w:rPr>
          <w:rFonts w:ascii="Times New Roman" w:eastAsia="Times New Roman" w:hAnsi="Times New Roman" w:cs="Times New Roman"/>
          <w:lang w:val="hu-HU"/>
        </w:rPr>
        <w:t xml:space="preserve"> a p-érték a </w:t>
      </w:r>
      <w:r w:rsidRPr="008668A9">
        <w:rPr>
          <w:rFonts w:ascii="Times New Roman" w:eastAsia="Times New Roman" w:hAnsi="Times New Roman" w:cs="Times New Roman"/>
          <w:lang w:val="hu-HU"/>
        </w:rPr>
        <w:t>adalimumab</w:t>
      </w:r>
      <w:r w:rsidRPr="001E2F31">
        <w:rPr>
          <w:rFonts w:ascii="Times New Roman" w:eastAsia="Times New Roman" w:hAnsi="Times New Roman" w:cs="Times New Roman"/>
          <w:lang w:val="hu-HU"/>
        </w:rPr>
        <w:t xml:space="preserve"> monoterápia és a metotrexát </w:t>
      </w:r>
      <w:r w:rsidRPr="006B04DD">
        <w:rPr>
          <w:rFonts w:ascii="Times New Roman" w:eastAsia="Times New Roman" w:hAnsi="Times New Roman" w:cs="Times New Roman"/>
          <w:lang w:val="hu-HU"/>
        </w:rPr>
        <w:t>monoterápia</w:t>
      </w:r>
      <w:r w:rsidRPr="001E2F31">
        <w:rPr>
          <w:rFonts w:ascii="Times New Roman" w:eastAsia="Times New Roman" w:hAnsi="Times New Roman" w:cs="Times New Roman"/>
          <w:lang w:val="hu-HU"/>
        </w:rPr>
        <w:t xml:space="preserve"> páros összehasonlítása alapján Mann-Whitney U teszt szerint.</w:t>
      </w:r>
    </w:p>
    <w:p w14:paraId="4F823738" w14:textId="77777777" w:rsidR="007F2986" w:rsidRDefault="007F2986" w:rsidP="007F2986">
      <w:pPr>
        <w:spacing w:before="5" w:line="170" w:lineRule="exact"/>
        <w:rPr>
          <w:sz w:val="17"/>
          <w:szCs w:val="17"/>
          <w:lang w:val="hu-HU"/>
        </w:rPr>
      </w:pPr>
    </w:p>
    <w:p w14:paraId="518D392F" w14:textId="77777777" w:rsidR="007F2986" w:rsidRDefault="007F2986" w:rsidP="007F2986">
      <w:pPr>
        <w:pStyle w:val="a3"/>
        <w:rPr>
          <w:lang w:val="hu-HU"/>
        </w:rPr>
      </w:pPr>
      <w:r>
        <w:rPr>
          <w:rFonts w:eastAsia="Times New Roman"/>
          <w:lang w:val="hu-HU"/>
        </w:rPr>
        <w:t>Az RA V vizsgálat nyílt elrendezésű kiterjesztésében az ACR-válasz aránya fennmaradt a legfeljebb 10 éves követés alatt. A minden második héten adalimumabbal kezelt 542 beteg közül 170 beteg folytatta a 2 hetenkénti 40 mg-os adalimumab-kezelést 10 éven keresztül. Közülük 154 (90,6%) mutatott ACR 20 választ, 127 beteg (74,7%) ACR 50 választ és 102 beteg (60,0%) ACR 70 választ.</w:t>
      </w:r>
    </w:p>
    <w:p w14:paraId="31D791BF" w14:textId="77777777" w:rsidR="007F2986" w:rsidRDefault="007F2986" w:rsidP="007F2986">
      <w:pPr>
        <w:spacing w:before="13" w:line="240" w:lineRule="exact"/>
        <w:rPr>
          <w:sz w:val="24"/>
          <w:szCs w:val="24"/>
          <w:lang w:val="hu-HU"/>
        </w:rPr>
      </w:pPr>
    </w:p>
    <w:p w14:paraId="35FF25C7" w14:textId="77777777" w:rsidR="007F2986" w:rsidRDefault="007F2986" w:rsidP="007F2986">
      <w:pPr>
        <w:pStyle w:val="a3"/>
        <w:rPr>
          <w:lang w:val="hu-HU"/>
        </w:rPr>
      </w:pPr>
      <w:r>
        <w:rPr>
          <w:rFonts w:eastAsia="Times New Roman"/>
          <w:lang w:val="hu-HU"/>
        </w:rPr>
        <w:t>Az 52. héten adalimumab/metotrexát kombinációval kezelt betegek 42, 9% -a klinikai remisszióba került (DAS28 2,6) összehasonlítva a metotrexát monoterápiát kapó 20, 6% és adalimumab monoterápiában részesült 23, 4% beteggel. Az adalimumab/metotrexát kombinációs terápia klinikailag és statisztikailag jobb volt, mint a metotrexát (p &lt; 0,001) és az adalimumab monoterápia (p &lt; 0,001), alacsony betegségaktivitási szint elérése tekintetében, amennyiben korai közepesen súlyos - súlyos rheumatoid arthritisük volt. A két monoterápiás karon kapott válasz hasonló volt (p = 0,447). Az eredetileg adalimumab-monoterápiára vagy adalimumab/methotrexát kombinációra randomizált 342 beteg közül, akik beléptek a nyílt kiterjesztéses vizsgálatba, 171 beteg fejezte be a 10 éves adalimumab-kezelést. Közülük 109 beteg (63,7%) került remisszióba a 10 év alatt.</w:t>
      </w:r>
    </w:p>
    <w:p w14:paraId="18591185" w14:textId="77777777" w:rsidR="007F2986" w:rsidRDefault="007F2986" w:rsidP="007F2986">
      <w:pPr>
        <w:pStyle w:val="a3"/>
        <w:rPr>
          <w:lang w:val="hu-HU"/>
        </w:rPr>
      </w:pPr>
    </w:p>
    <w:p w14:paraId="2C01E712" w14:textId="77777777" w:rsidR="007F2986" w:rsidRDefault="007F2986" w:rsidP="007F2986">
      <w:pPr>
        <w:pStyle w:val="a3"/>
        <w:rPr>
          <w:rFonts w:eastAsia="Times New Roman"/>
          <w:lang w:val="hu-HU"/>
        </w:rPr>
      </w:pPr>
      <w:r>
        <w:rPr>
          <w:rFonts w:eastAsia="Times New Roman"/>
          <w:i/>
          <w:iCs/>
          <w:spacing w:val="-1"/>
          <w:u w:val="single" w:color="000000"/>
          <w:lang w:val="hu-HU"/>
        </w:rPr>
        <w:t>Radiológiai válasz</w:t>
      </w:r>
    </w:p>
    <w:p w14:paraId="600A6984" w14:textId="77777777" w:rsidR="007F2986" w:rsidRDefault="007F2986" w:rsidP="007F2986">
      <w:pPr>
        <w:pStyle w:val="a3"/>
        <w:rPr>
          <w:sz w:val="18"/>
          <w:szCs w:val="18"/>
          <w:lang w:val="hu-HU"/>
        </w:rPr>
      </w:pPr>
    </w:p>
    <w:p w14:paraId="0A7ECDD7" w14:textId="4AD9EF4C" w:rsidR="007F2986" w:rsidRDefault="007F2986" w:rsidP="007F2986">
      <w:pPr>
        <w:pStyle w:val="a3"/>
        <w:rPr>
          <w:lang w:val="hu-HU"/>
        </w:rPr>
      </w:pPr>
      <w:r>
        <w:rPr>
          <w:rFonts w:eastAsia="Times New Roman"/>
          <w:lang w:val="hu-HU"/>
        </w:rPr>
        <w:t>Az RA</w:t>
      </w:r>
      <w:r w:rsidRPr="009167C6">
        <w:rPr>
          <w:lang w:val="hu-HU"/>
        </w:rPr>
        <w:t> </w:t>
      </w:r>
      <w:r>
        <w:rPr>
          <w:rFonts w:eastAsia="Times New Roman"/>
          <w:lang w:val="hu-HU"/>
        </w:rPr>
        <w:t xml:space="preserve">III vizsgálatban, amelyben az adalimumabbal kezelt betegek rheumatoid arthritise átlagosan 11 éve fennállt, az ízületek szerkezeti károsodását radiológiailag értékelték és a változást módosított teljes Sharp pontértékkel (Total Sharp Score, TSS) és összetevőivel az eróziós pontértékkel és az ízületi rés beszűkülésének pontértékével fejezték ki. Adalimumabbal/metotrexáttal kezelt betegeknél szignifikánsan kisebb mértékű radiológiai progressziót mutattak ki, mint a 6 és 12 hónapig csak metotrexáttal kezelt betegeknél (lásd </w:t>
      </w:r>
      <w:r w:rsidR="00291FC8">
        <w:rPr>
          <w:rFonts w:eastAsia="Times New Roman"/>
          <w:lang w:val="hu-HU"/>
        </w:rPr>
        <w:t>9</w:t>
      </w:r>
      <w:r>
        <w:rPr>
          <w:rFonts w:eastAsia="Times New Roman"/>
          <w:lang w:val="hu-HU"/>
        </w:rPr>
        <w:t>. táblázat).</w:t>
      </w:r>
    </w:p>
    <w:p w14:paraId="3DAB5F43" w14:textId="77777777" w:rsidR="007F2986" w:rsidRDefault="007F2986" w:rsidP="007F2986">
      <w:pPr>
        <w:pStyle w:val="a3"/>
        <w:rPr>
          <w:lang w:val="hu-HU"/>
        </w:rPr>
      </w:pPr>
    </w:p>
    <w:p w14:paraId="727262FB" w14:textId="77777777" w:rsidR="007F2986" w:rsidRDefault="007F2986" w:rsidP="007F2986">
      <w:pPr>
        <w:pStyle w:val="a3"/>
        <w:rPr>
          <w:lang w:val="hu-HU"/>
        </w:rPr>
      </w:pPr>
      <w:r>
        <w:rPr>
          <w:rFonts w:eastAsia="Times New Roman"/>
          <w:lang w:val="hu-HU"/>
        </w:rPr>
        <w:t>Az RA</w:t>
      </w:r>
      <w:r w:rsidDel="002A3904">
        <w:rPr>
          <w:rFonts w:eastAsia="Times New Roman"/>
          <w:lang w:val="hu-HU"/>
        </w:rPr>
        <w:t xml:space="preserve"> </w:t>
      </w:r>
      <w:r>
        <w:rPr>
          <w:rFonts w:eastAsia="Times New Roman"/>
          <w:lang w:val="hu-HU"/>
        </w:rPr>
        <w:t>III vizsgálat nyílt, kiterjesztett fázisában a strukturális károsodás progressziójának csökkent mértéke 8 és 10 évig fenntartható a betegek egy részénél. Az eredetileg minden második héten 40 mg adalimumabbal kezelt 207 beteg közül 81-et értékeltek radiológiailag a 8. évben. Közülük 48 betegnél nem észlelték a strukturális károsodás progresszióját, melynek meghatározása az mTSS-pontértékben bekövetkezett 0,5 vagy még alacsonyabb változás volt a kiindulási értékhez képest. Az eredetileg minden második héten 40 mg adalimumabbal kezelt 207 beteg közül 79-et értékeltek radiológiailag a 10. évben. Közülük 40 betegnél nem észlelték a strukturális károsodás progresszióját, melynek meghatározása az mTSS-pontértékben bekövetkezett 0,5 vagy még alacsonyabb változás volt a kiindulási értékhez képest.</w:t>
      </w:r>
    </w:p>
    <w:p w14:paraId="294C28A0" w14:textId="77777777" w:rsidR="007F2986" w:rsidRDefault="007F2986" w:rsidP="007F2986">
      <w:pPr>
        <w:spacing w:before="18" w:line="240" w:lineRule="exact"/>
        <w:rPr>
          <w:sz w:val="24"/>
          <w:szCs w:val="24"/>
          <w:lang w:val="hu-HU"/>
        </w:rPr>
      </w:pPr>
    </w:p>
    <w:p w14:paraId="69BF5C43" w14:textId="6067D1B8" w:rsidR="007F2986" w:rsidRDefault="00291FC8" w:rsidP="007F2986">
      <w:pPr>
        <w:pStyle w:val="a3"/>
        <w:jc w:val="center"/>
        <w:rPr>
          <w:b/>
          <w:lang w:val="hu-HU"/>
        </w:rPr>
      </w:pPr>
      <w:r>
        <w:rPr>
          <w:rFonts w:eastAsia="Times New Roman"/>
          <w:b/>
          <w:bCs/>
          <w:lang w:val="hu-HU"/>
        </w:rPr>
        <w:t>9</w:t>
      </w:r>
      <w:r w:rsidR="007F2986">
        <w:rPr>
          <w:rFonts w:eastAsia="Times New Roman"/>
          <w:b/>
          <w:bCs/>
          <w:lang w:val="hu-HU"/>
        </w:rPr>
        <w:t>. táblázat</w:t>
      </w:r>
    </w:p>
    <w:p w14:paraId="6D4363E2" w14:textId="77777777" w:rsidR="007F2986" w:rsidRDefault="007F2986" w:rsidP="007F2986">
      <w:pPr>
        <w:pStyle w:val="a3"/>
        <w:jc w:val="center"/>
        <w:rPr>
          <w:b/>
          <w:lang w:val="hu-HU"/>
        </w:rPr>
      </w:pPr>
      <w:r>
        <w:rPr>
          <w:rFonts w:eastAsia="Times New Roman"/>
          <w:b/>
          <w:bCs/>
          <w:lang w:val="hu-HU"/>
        </w:rPr>
        <w:t>Az RA III vizsgálatban észlelt radiológiai változások átlaga 12 hónapot követően</w:t>
      </w:r>
    </w:p>
    <w:p w14:paraId="4D5BC45F" w14:textId="77777777" w:rsidR="007F2986" w:rsidRDefault="007F2986" w:rsidP="007F2986">
      <w:pPr>
        <w:spacing w:before="14" w:line="240" w:lineRule="exact"/>
        <w:rPr>
          <w:sz w:val="24"/>
          <w:szCs w:val="24"/>
          <w:lang w:val="hu-HU"/>
        </w:rPr>
      </w:pPr>
    </w:p>
    <w:tbl>
      <w:tblPr>
        <w:tblStyle w:val="TableNormal1"/>
        <w:tblW w:w="0" w:type="auto"/>
        <w:tblInd w:w="105" w:type="dxa"/>
        <w:tblLayout w:type="fixed"/>
        <w:tblLook w:val="01E0" w:firstRow="1" w:lastRow="1" w:firstColumn="1" w:lastColumn="1" w:noHBand="0" w:noVBand="0"/>
      </w:tblPr>
      <w:tblGrid>
        <w:gridCol w:w="2088"/>
        <w:gridCol w:w="1430"/>
        <w:gridCol w:w="1790"/>
        <w:gridCol w:w="1999"/>
        <w:gridCol w:w="1548"/>
      </w:tblGrid>
      <w:tr w:rsidR="007F2986" w:rsidRPr="00CF5D7A" w14:paraId="6DCB0DFC" w14:textId="77777777" w:rsidTr="00CC2E43">
        <w:tc>
          <w:tcPr>
            <w:tcW w:w="2088" w:type="dxa"/>
            <w:tcBorders>
              <w:top w:val="single" w:sz="5" w:space="0" w:color="000000"/>
              <w:left w:val="single" w:sz="5" w:space="0" w:color="000000"/>
              <w:bottom w:val="single" w:sz="5" w:space="0" w:color="000000"/>
              <w:right w:val="single" w:sz="5" w:space="0" w:color="000000"/>
            </w:tcBorders>
            <w:vAlign w:val="center"/>
          </w:tcPr>
          <w:p w14:paraId="5489404F" w14:textId="77777777" w:rsidR="007F2986" w:rsidRPr="00CF5D7A" w:rsidRDefault="007F2986" w:rsidP="00CC2E43">
            <w:pPr>
              <w:jc w:val="center"/>
              <w:rPr>
                <w:lang w:val="hu-HU"/>
              </w:rPr>
            </w:pPr>
          </w:p>
        </w:tc>
        <w:tc>
          <w:tcPr>
            <w:tcW w:w="1430" w:type="dxa"/>
            <w:tcBorders>
              <w:top w:val="single" w:sz="5" w:space="0" w:color="000000"/>
              <w:left w:val="single" w:sz="5" w:space="0" w:color="000000"/>
              <w:bottom w:val="single" w:sz="5" w:space="0" w:color="000000"/>
              <w:right w:val="single" w:sz="5" w:space="0" w:color="000000"/>
            </w:tcBorders>
            <w:vAlign w:val="center"/>
          </w:tcPr>
          <w:p w14:paraId="307501B3"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Placebo/</w:t>
            </w:r>
          </w:p>
          <w:p w14:paraId="13CEF231" w14:textId="77777777" w:rsidR="007F2986" w:rsidRPr="009167C6" w:rsidRDefault="007F2986" w:rsidP="00CC2E43">
            <w:pPr>
              <w:pStyle w:val="TableParagraph"/>
              <w:spacing w:line="254"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MTX</w:t>
            </w:r>
            <w:r w:rsidRPr="009167C6">
              <w:rPr>
                <w:rFonts w:ascii="Times New Roman" w:eastAsia="Times New Roman" w:hAnsi="Times New Roman" w:cs="Times New Roman"/>
                <w:vertAlign w:val="superscript"/>
                <w:lang w:val="hu-HU"/>
              </w:rPr>
              <w:t>a</w:t>
            </w:r>
          </w:p>
        </w:tc>
        <w:tc>
          <w:tcPr>
            <w:tcW w:w="1790" w:type="dxa"/>
            <w:tcBorders>
              <w:top w:val="single" w:sz="5" w:space="0" w:color="000000"/>
              <w:left w:val="single" w:sz="5" w:space="0" w:color="000000"/>
              <w:bottom w:val="single" w:sz="5" w:space="0" w:color="000000"/>
              <w:right w:val="single" w:sz="5" w:space="0" w:color="000000"/>
            </w:tcBorders>
            <w:vAlign w:val="center"/>
          </w:tcPr>
          <w:p w14:paraId="052E0431"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Adalimumab/MTX</w:t>
            </w:r>
          </w:p>
          <w:p w14:paraId="51637CBA" w14:textId="77777777" w:rsidR="007F2986" w:rsidRPr="00CF5D7A" w:rsidRDefault="007F2986" w:rsidP="00CC2E43">
            <w:pPr>
              <w:pStyle w:val="TableParagraph"/>
              <w:spacing w:line="252" w:lineRule="exact"/>
              <w:ind w:hanging="6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40 mg kéthetente</w:t>
            </w:r>
          </w:p>
        </w:tc>
        <w:tc>
          <w:tcPr>
            <w:tcW w:w="1999" w:type="dxa"/>
            <w:tcBorders>
              <w:top w:val="single" w:sz="5" w:space="0" w:color="000000"/>
              <w:left w:val="single" w:sz="5" w:space="0" w:color="000000"/>
              <w:bottom w:val="single" w:sz="5" w:space="0" w:color="000000"/>
              <w:right w:val="single" w:sz="5" w:space="0" w:color="000000"/>
            </w:tcBorders>
            <w:vAlign w:val="center"/>
          </w:tcPr>
          <w:p w14:paraId="70B4DCDC"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Placebo/MTX -</w:t>
            </w:r>
          </w:p>
          <w:p w14:paraId="6589D656" w14:textId="77777777" w:rsidR="007F2986" w:rsidRPr="00CF5D7A" w:rsidRDefault="007F2986" w:rsidP="00CC2E43">
            <w:pPr>
              <w:pStyle w:val="TableParagraph"/>
              <w:spacing w:line="237" w:lineRule="auto"/>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Adalimumab/MTX (95%-os konfidencia intervallum</w:t>
            </w:r>
            <w:r w:rsidRPr="009167C6">
              <w:rPr>
                <w:rFonts w:ascii="Times New Roman" w:eastAsia="Times New Roman" w:hAnsi="Times New Roman" w:cs="Times New Roman"/>
                <w:spacing w:val="-1"/>
                <w:vertAlign w:val="superscript"/>
                <w:lang w:val="hu-HU"/>
              </w:rPr>
              <w:t>b</w:t>
            </w:r>
            <w:r w:rsidRPr="00CF5D7A">
              <w:rPr>
                <w:rFonts w:ascii="Times New Roman" w:eastAsia="Times New Roman" w:hAnsi="Times New Roman" w:cs="Times New Roman"/>
                <w:spacing w:val="-1"/>
                <w:lang w:val="hu-HU"/>
              </w:rPr>
              <w:t xml:space="preserve"> )</w:t>
            </w:r>
          </w:p>
        </w:tc>
        <w:tc>
          <w:tcPr>
            <w:tcW w:w="1548" w:type="dxa"/>
            <w:tcBorders>
              <w:top w:val="single" w:sz="5" w:space="0" w:color="000000"/>
              <w:left w:val="single" w:sz="5" w:space="0" w:color="000000"/>
              <w:bottom w:val="single" w:sz="5" w:space="0" w:color="000000"/>
              <w:right w:val="single" w:sz="5" w:space="0" w:color="000000"/>
            </w:tcBorders>
            <w:vAlign w:val="center"/>
          </w:tcPr>
          <w:p w14:paraId="73F0892A"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p-érték</w:t>
            </w:r>
          </w:p>
        </w:tc>
      </w:tr>
      <w:tr w:rsidR="007F2986" w:rsidRPr="00CF5D7A" w14:paraId="31161BDB" w14:textId="77777777" w:rsidTr="00CC2E43">
        <w:tc>
          <w:tcPr>
            <w:tcW w:w="2088" w:type="dxa"/>
            <w:tcBorders>
              <w:top w:val="single" w:sz="5" w:space="0" w:color="000000"/>
              <w:left w:val="single" w:sz="5" w:space="0" w:color="000000"/>
              <w:bottom w:val="single" w:sz="5" w:space="0" w:color="000000"/>
              <w:right w:val="single" w:sz="5" w:space="0" w:color="000000"/>
            </w:tcBorders>
          </w:tcPr>
          <w:p w14:paraId="21E474F5"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Teljes Sharp-pontérték</w:t>
            </w:r>
          </w:p>
        </w:tc>
        <w:tc>
          <w:tcPr>
            <w:tcW w:w="1430" w:type="dxa"/>
            <w:tcBorders>
              <w:top w:val="single" w:sz="5" w:space="0" w:color="000000"/>
              <w:left w:val="single" w:sz="5" w:space="0" w:color="000000"/>
              <w:bottom w:val="single" w:sz="5" w:space="0" w:color="000000"/>
              <w:right w:val="single" w:sz="5" w:space="0" w:color="000000"/>
            </w:tcBorders>
          </w:tcPr>
          <w:p w14:paraId="5467B0F2" w14:textId="77777777" w:rsidR="007F2986" w:rsidRPr="00CF5D7A" w:rsidRDefault="007F2986" w:rsidP="00CC2E43">
            <w:pPr>
              <w:pStyle w:val="TableParagraph"/>
              <w:spacing w:line="246" w:lineRule="exact"/>
              <w:ind w:left="551" w:right="55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2,7</w:t>
            </w:r>
          </w:p>
        </w:tc>
        <w:tc>
          <w:tcPr>
            <w:tcW w:w="1790" w:type="dxa"/>
            <w:tcBorders>
              <w:top w:val="single" w:sz="5" w:space="0" w:color="000000"/>
              <w:left w:val="single" w:sz="5" w:space="0" w:color="000000"/>
              <w:bottom w:val="single" w:sz="5" w:space="0" w:color="000000"/>
              <w:right w:val="single" w:sz="5" w:space="0" w:color="000000"/>
            </w:tcBorders>
          </w:tcPr>
          <w:p w14:paraId="28FC1ADE" w14:textId="77777777" w:rsidR="007F2986" w:rsidRPr="00CF5D7A" w:rsidRDefault="007F2986" w:rsidP="00CC2E43">
            <w:pPr>
              <w:pStyle w:val="TableParagraph"/>
              <w:spacing w:line="246" w:lineRule="exact"/>
              <w:ind w:left="731" w:right="73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0,1</w:t>
            </w:r>
          </w:p>
        </w:tc>
        <w:tc>
          <w:tcPr>
            <w:tcW w:w="1999" w:type="dxa"/>
            <w:tcBorders>
              <w:top w:val="single" w:sz="5" w:space="0" w:color="000000"/>
              <w:left w:val="single" w:sz="5" w:space="0" w:color="000000"/>
              <w:bottom w:val="single" w:sz="5" w:space="0" w:color="000000"/>
              <w:right w:val="single" w:sz="5" w:space="0" w:color="000000"/>
            </w:tcBorders>
          </w:tcPr>
          <w:p w14:paraId="6A9F8027" w14:textId="77777777" w:rsidR="007F2986" w:rsidRPr="00CF5D7A" w:rsidRDefault="007F2986" w:rsidP="00CC2E43">
            <w:pPr>
              <w:pStyle w:val="TableParagraph"/>
              <w:spacing w:line="246" w:lineRule="exact"/>
              <w:ind w:left="423"/>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2,6 (1,4, 3,8)</w:t>
            </w:r>
          </w:p>
        </w:tc>
        <w:tc>
          <w:tcPr>
            <w:tcW w:w="1548" w:type="dxa"/>
            <w:tcBorders>
              <w:top w:val="single" w:sz="5" w:space="0" w:color="000000"/>
              <w:left w:val="single" w:sz="5" w:space="0" w:color="000000"/>
              <w:bottom w:val="single" w:sz="5" w:space="0" w:color="000000"/>
              <w:right w:val="single" w:sz="5" w:space="0" w:color="000000"/>
            </w:tcBorders>
          </w:tcPr>
          <w:p w14:paraId="04043947" w14:textId="77777777" w:rsidR="007F2986" w:rsidRPr="009167C6" w:rsidRDefault="007F2986" w:rsidP="00CC2E43">
            <w:pPr>
              <w:pStyle w:val="TableParagraph"/>
              <w:spacing w:line="246" w:lineRule="exact"/>
              <w:ind w:left="399"/>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r w:rsidRPr="009167C6">
              <w:rPr>
                <w:rFonts w:ascii="Times New Roman" w:eastAsia="Times New Roman" w:hAnsi="Times New Roman" w:cs="Times New Roman"/>
                <w:vertAlign w:val="superscript"/>
                <w:lang w:val="hu-HU"/>
              </w:rPr>
              <w:t>c</w:t>
            </w:r>
          </w:p>
        </w:tc>
      </w:tr>
      <w:tr w:rsidR="007F2986" w:rsidRPr="00CF5D7A" w14:paraId="3DA76B1D" w14:textId="77777777" w:rsidTr="00CC2E43">
        <w:tc>
          <w:tcPr>
            <w:tcW w:w="2088" w:type="dxa"/>
            <w:tcBorders>
              <w:top w:val="single" w:sz="5" w:space="0" w:color="000000"/>
              <w:left w:val="single" w:sz="5" w:space="0" w:color="000000"/>
              <w:bottom w:val="single" w:sz="5" w:space="0" w:color="000000"/>
              <w:right w:val="single" w:sz="5" w:space="0" w:color="000000"/>
            </w:tcBorders>
          </w:tcPr>
          <w:p w14:paraId="383769D7"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Eróziós pontérték</w:t>
            </w:r>
          </w:p>
        </w:tc>
        <w:tc>
          <w:tcPr>
            <w:tcW w:w="1430" w:type="dxa"/>
            <w:tcBorders>
              <w:top w:val="single" w:sz="5" w:space="0" w:color="000000"/>
              <w:left w:val="single" w:sz="5" w:space="0" w:color="000000"/>
              <w:bottom w:val="single" w:sz="5" w:space="0" w:color="000000"/>
              <w:right w:val="single" w:sz="5" w:space="0" w:color="000000"/>
            </w:tcBorders>
          </w:tcPr>
          <w:p w14:paraId="40E4294F" w14:textId="77777777" w:rsidR="007F2986" w:rsidRPr="00CF5D7A" w:rsidRDefault="007F2986" w:rsidP="00CC2E43">
            <w:pPr>
              <w:pStyle w:val="TableParagraph"/>
              <w:spacing w:line="246" w:lineRule="exact"/>
              <w:ind w:left="551" w:right="55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1,6</w:t>
            </w:r>
          </w:p>
        </w:tc>
        <w:tc>
          <w:tcPr>
            <w:tcW w:w="1790" w:type="dxa"/>
            <w:tcBorders>
              <w:top w:val="single" w:sz="5" w:space="0" w:color="000000"/>
              <w:left w:val="single" w:sz="5" w:space="0" w:color="000000"/>
              <w:bottom w:val="single" w:sz="5" w:space="0" w:color="000000"/>
              <w:right w:val="single" w:sz="5" w:space="0" w:color="000000"/>
            </w:tcBorders>
          </w:tcPr>
          <w:p w14:paraId="0C118B20" w14:textId="77777777" w:rsidR="007F2986" w:rsidRPr="00CF5D7A" w:rsidRDefault="007F2986" w:rsidP="00CC2E43">
            <w:pPr>
              <w:pStyle w:val="TableParagraph"/>
              <w:spacing w:line="246" w:lineRule="exact"/>
              <w:ind w:left="731" w:right="73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0,0</w:t>
            </w:r>
          </w:p>
        </w:tc>
        <w:tc>
          <w:tcPr>
            <w:tcW w:w="1999" w:type="dxa"/>
            <w:tcBorders>
              <w:top w:val="single" w:sz="5" w:space="0" w:color="000000"/>
              <w:left w:val="single" w:sz="5" w:space="0" w:color="000000"/>
              <w:bottom w:val="single" w:sz="5" w:space="0" w:color="000000"/>
              <w:right w:val="single" w:sz="5" w:space="0" w:color="000000"/>
            </w:tcBorders>
          </w:tcPr>
          <w:p w14:paraId="181312C9" w14:textId="77777777" w:rsidR="007F2986" w:rsidRPr="00CF5D7A" w:rsidRDefault="007F2986" w:rsidP="00CC2E43">
            <w:pPr>
              <w:pStyle w:val="TableParagraph"/>
              <w:spacing w:line="246" w:lineRule="exact"/>
              <w:ind w:left="423"/>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1,6 (0,9, 2,2)</w:t>
            </w:r>
          </w:p>
        </w:tc>
        <w:tc>
          <w:tcPr>
            <w:tcW w:w="1548" w:type="dxa"/>
            <w:tcBorders>
              <w:top w:val="single" w:sz="5" w:space="0" w:color="000000"/>
              <w:left w:val="single" w:sz="5" w:space="0" w:color="000000"/>
              <w:bottom w:val="single" w:sz="5" w:space="0" w:color="000000"/>
              <w:right w:val="single" w:sz="5" w:space="0" w:color="000000"/>
            </w:tcBorders>
          </w:tcPr>
          <w:p w14:paraId="2EC4596D" w14:textId="77777777" w:rsidR="007F2986" w:rsidRPr="00CF5D7A" w:rsidRDefault="007F2986" w:rsidP="00CC2E43">
            <w:pPr>
              <w:pStyle w:val="TableParagraph"/>
              <w:spacing w:line="246" w:lineRule="exact"/>
              <w:ind w:left="431"/>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r>
      <w:tr w:rsidR="007F2986" w:rsidRPr="00CF5D7A" w14:paraId="599722D9" w14:textId="77777777" w:rsidTr="00CC2E43">
        <w:tc>
          <w:tcPr>
            <w:tcW w:w="2088" w:type="dxa"/>
            <w:tcBorders>
              <w:top w:val="single" w:sz="5" w:space="0" w:color="000000"/>
              <w:left w:val="single" w:sz="5" w:space="0" w:color="000000"/>
              <w:bottom w:val="single" w:sz="5" w:space="0" w:color="000000"/>
              <w:right w:val="single" w:sz="5" w:space="0" w:color="000000"/>
            </w:tcBorders>
          </w:tcPr>
          <w:p w14:paraId="5AC4FA12"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JSN</w:t>
            </w:r>
            <w:r w:rsidRPr="009167C6">
              <w:rPr>
                <w:rFonts w:ascii="Times New Roman" w:eastAsia="Times New Roman" w:hAnsi="Times New Roman" w:cs="Times New Roman"/>
                <w:spacing w:val="1"/>
                <w:lang w:val="hu-HU"/>
              </w:rPr>
              <w:t xml:space="preserve"> </w:t>
            </w:r>
            <w:r w:rsidRPr="009167C6">
              <w:rPr>
                <w:rFonts w:ascii="Times New Roman" w:eastAsia="Times New Roman" w:hAnsi="Times New Roman" w:cs="Times New Roman"/>
                <w:spacing w:val="1"/>
                <w:vertAlign w:val="superscript"/>
                <w:lang w:val="hu-HU"/>
              </w:rPr>
              <w:t>d</w:t>
            </w:r>
            <w:r w:rsidRPr="00CF5D7A">
              <w:rPr>
                <w:rFonts w:ascii="Times New Roman" w:eastAsia="Times New Roman" w:hAnsi="Times New Roman" w:cs="Times New Roman"/>
                <w:spacing w:val="1"/>
                <w:lang w:val="hu-HU"/>
              </w:rPr>
              <w:t xml:space="preserve"> pontérték</w:t>
            </w:r>
          </w:p>
        </w:tc>
        <w:tc>
          <w:tcPr>
            <w:tcW w:w="1430" w:type="dxa"/>
            <w:tcBorders>
              <w:top w:val="single" w:sz="5" w:space="0" w:color="000000"/>
              <w:left w:val="single" w:sz="5" w:space="0" w:color="000000"/>
              <w:bottom w:val="single" w:sz="5" w:space="0" w:color="000000"/>
              <w:right w:val="single" w:sz="5" w:space="0" w:color="000000"/>
            </w:tcBorders>
          </w:tcPr>
          <w:p w14:paraId="51BA69C4" w14:textId="77777777" w:rsidR="007F2986" w:rsidRPr="00CF5D7A" w:rsidRDefault="007F2986" w:rsidP="00CC2E43">
            <w:pPr>
              <w:pStyle w:val="TableParagraph"/>
              <w:spacing w:line="246" w:lineRule="exact"/>
              <w:ind w:left="551" w:right="55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1,0</w:t>
            </w:r>
          </w:p>
        </w:tc>
        <w:tc>
          <w:tcPr>
            <w:tcW w:w="1790" w:type="dxa"/>
            <w:tcBorders>
              <w:top w:val="single" w:sz="5" w:space="0" w:color="000000"/>
              <w:left w:val="single" w:sz="5" w:space="0" w:color="000000"/>
              <w:bottom w:val="single" w:sz="5" w:space="0" w:color="000000"/>
              <w:right w:val="single" w:sz="5" w:space="0" w:color="000000"/>
            </w:tcBorders>
          </w:tcPr>
          <w:p w14:paraId="77786D40" w14:textId="77777777" w:rsidR="007F2986" w:rsidRPr="00CF5D7A" w:rsidRDefault="007F2986" w:rsidP="00CC2E43">
            <w:pPr>
              <w:pStyle w:val="TableParagraph"/>
              <w:spacing w:line="246" w:lineRule="exact"/>
              <w:ind w:left="731" w:right="73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0,1</w:t>
            </w:r>
          </w:p>
        </w:tc>
        <w:tc>
          <w:tcPr>
            <w:tcW w:w="1999" w:type="dxa"/>
            <w:tcBorders>
              <w:top w:val="single" w:sz="5" w:space="0" w:color="000000"/>
              <w:left w:val="single" w:sz="5" w:space="0" w:color="000000"/>
              <w:bottom w:val="single" w:sz="5" w:space="0" w:color="000000"/>
              <w:right w:val="single" w:sz="5" w:space="0" w:color="000000"/>
            </w:tcBorders>
          </w:tcPr>
          <w:p w14:paraId="6204236A" w14:textId="77777777" w:rsidR="007F2986" w:rsidRPr="00CF5D7A" w:rsidRDefault="007F2986" w:rsidP="00CC2E43">
            <w:pPr>
              <w:pStyle w:val="TableParagraph"/>
              <w:spacing w:line="246" w:lineRule="exact"/>
              <w:ind w:left="423"/>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0,9 (0,3, 1,4)</w:t>
            </w:r>
          </w:p>
        </w:tc>
        <w:tc>
          <w:tcPr>
            <w:tcW w:w="1548" w:type="dxa"/>
            <w:tcBorders>
              <w:top w:val="single" w:sz="5" w:space="0" w:color="000000"/>
              <w:left w:val="single" w:sz="5" w:space="0" w:color="000000"/>
              <w:bottom w:val="single" w:sz="5" w:space="0" w:color="000000"/>
              <w:right w:val="single" w:sz="5" w:space="0" w:color="000000"/>
            </w:tcBorders>
          </w:tcPr>
          <w:p w14:paraId="53CF7A64" w14:textId="77777777" w:rsidR="007F2986" w:rsidRPr="00CF5D7A" w:rsidRDefault="007F2986" w:rsidP="00CC2E43">
            <w:pPr>
              <w:pStyle w:val="TableParagraph"/>
              <w:spacing w:line="246" w:lineRule="exact"/>
              <w:ind w:left="575"/>
              <w:rPr>
                <w:rFonts w:ascii="Times New Roman" w:eastAsia="Times New Roman" w:hAnsi="Times New Roman" w:cs="Times New Roman"/>
                <w:lang w:val="hu-HU"/>
              </w:rPr>
            </w:pPr>
            <w:r w:rsidRPr="00CF5D7A">
              <w:rPr>
                <w:rFonts w:ascii="Times New Roman" w:eastAsia="Times New Roman" w:hAnsi="Times New Roman" w:cs="Times New Roman"/>
                <w:lang w:val="hu-HU"/>
              </w:rPr>
              <w:t>0,002</w:t>
            </w:r>
          </w:p>
        </w:tc>
      </w:tr>
    </w:tbl>
    <w:p w14:paraId="1620B47A" w14:textId="77777777" w:rsidR="007F2986" w:rsidRPr="00FB315F" w:rsidRDefault="007F2986" w:rsidP="007F2986">
      <w:pPr>
        <w:pStyle w:val="a3"/>
        <w:rPr>
          <w:lang w:val="hu-HU"/>
        </w:rPr>
      </w:pPr>
      <w:r w:rsidRPr="009167C6">
        <w:rPr>
          <w:rFonts w:eastAsia="Times New Roman"/>
          <w:bCs/>
          <w:position w:val="8"/>
          <w:vertAlign w:val="superscript"/>
          <w:lang w:val="hu-HU"/>
        </w:rPr>
        <w:lastRenderedPageBreak/>
        <w:t>a</w:t>
      </w:r>
      <w:r w:rsidRPr="009167C6">
        <w:rPr>
          <w:rFonts w:eastAsia="Times New Roman"/>
          <w:b/>
          <w:bCs/>
          <w:position w:val="8"/>
          <w:lang w:val="hu-HU"/>
        </w:rPr>
        <w:t xml:space="preserve"> </w:t>
      </w:r>
      <w:r w:rsidRPr="00FB315F">
        <w:rPr>
          <w:rFonts w:eastAsia="Times New Roman"/>
          <w:position w:val="8"/>
          <w:lang w:val="hu-HU"/>
        </w:rPr>
        <w:t>metotrexát</w:t>
      </w:r>
    </w:p>
    <w:p w14:paraId="7FB87765" w14:textId="77777777" w:rsidR="007F2986" w:rsidRPr="00FB315F" w:rsidRDefault="007F2986" w:rsidP="007F2986">
      <w:pPr>
        <w:pStyle w:val="a3"/>
        <w:rPr>
          <w:lang w:val="hu-HU"/>
        </w:rPr>
      </w:pPr>
      <w:r w:rsidRPr="009167C6">
        <w:rPr>
          <w:rFonts w:eastAsia="Times New Roman"/>
          <w:position w:val="8"/>
          <w:vertAlign w:val="superscript"/>
          <w:lang w:val="hu-HU"/>
        </w:rPr>
        <w:t>b</w:t>
      </w:r>
      <w:r w:rsidRPr="009167C6">
        <w:rPr>
          <w:rFonts w:eastAsia="Times New Roman"/>
          <w:position w:val="8"/>
          <w:lang w:val="hu-HU"/>
        </w:rPr>
        <w:t xml:space="preserve"> </w:t>
      </w:r>
      <w:r w:rsidRPr="00FB315F">
        <w:rPr>
          <w:rFonts w:eastAsia="Times New Roman"/>
          <w:position w:val="8"/>
          <w:lang w:val="hu-HU"/>
        </w:rPr>
        <w:t>95%-os konfidencia intervallum a metotrexát és a Yuflyma pontértékeinek változása közötti különbségre</w:t>
      </w:r>
    </w:p>
    <w:p w14:paraId="62C95E0B" w14:textId="77777777" w:rsidR="007F2986" w:rsidRPr="00FB315F" w:rsidRDefault="007F2986" w:rsidP="007F2986">
      <w:pPr>
        <w:pStyle w:val="a3"/>
        <w:rPr>
          <w:lang w:val="hu-HU"/>
        </w:rPr>
      </w:pPr>
      <w:r w:rsidRPr="009167C6">
        <w:rPr>
          <w:rFonts w:eastAsia="Times New Roman"/>
          <w:position w:val="8"/>
          <w:vertAlign w:val="superscript"/>
          <w:lang w:val="hu-HU"/>
        </w:rPr>
        <w:t>c</w:t>
      </w:r>
      <w:r w:rsidRPr="009167C6">
        <w:rPr>
          <w:rFonts w:eastAsia="Times New Roman"/>
          <w:position w:val="8"/>
          <w:lang w:val="hu-HU"/>
        </w:rPr>
        <w:t xml:space="preserve"> </w:t>
      </w:r>
      <w:r w:rsidRPr="00FB315F">
        <w:rPr>
          <w:rFonts w:eastAsia="Times New Roman"/>
          <w:position w:val="8"/>
          <w:lang w:val="hu-HU"/>
        </w:rPr>
        <w:t>rank analízis alapján</w:t>
      </w:r>
    </w:p>
    <w:p w14:paraId="6229ABAE" w14:textId="77777777" w:rsidR="007F2986" w:rsidRPr="00FB315F" w:rsidRDefault="007F2986" w:rsidP="007F2986">
      <w:pPr>
        <w:pStyle w:val="a3"/>
        <w:rPr>
          <w:lang w:val="hu-HU"/>
        </w:rPr>
      </w:pPr>
      <w:r w:rsidRPr="009167C6">
        <w:rPr>
          <w:rFonts w:eastAsia="Times New Roman"/>
          <w:position w:val="8"/>
          <w:vertAlign w:val="superscript"/>
          <w:lang w:val="hu-HU"/>
        </w:rPr>
        <w:t>d</w:t>
      </w:r>
      <w:r w:rsidRPr="009167C6">
        <w:rPr>
          <w:rFonts w:eastAsia="Times New Roman"/>
          <w:position w:val="8"/>
          <w:lang w:val="hu-HU"/>
        </w:rPr>
        <w:t xml:space="preserve"> </w:t>
      </w:r>
      <w:r w:rsidRPr="00FB315F">
        <w:rPr>
          <w:rFonts w:eastAsia="Times New Roman"/>
          <w:position w:val="8"/>
          <w:lang w:val="hu-HU"/>
        </w:rPr>
        <w:t>Ízületi rés beszűkülése (JSP- Joint Space Narrowing)</w:t>
      </w:r>
    </w:p>
    <w:p w14:paraId="73AC0A53" w14:textId="77777777" w:rsidR="007F2986" w:rsidRDefault="007F2986" w:rsidP="007F2986">
      <w:pPr>
        <w:spacing w:before="17" w:line="240" w:lineRule="exact"/>
        <w:rPr>
          <w:sz w:val="24"/>
          <w:szCs w:val="24"/>
          <w:lang w:val="hu-HU"/>
        </w:rPr>
      </w:pPr>
    </w:p>
    <w:p w14:paraId="2A15035F" w14:textId="264370C1" w:rsidR="007F2986" w:rsidRDefault="007F2986" w:rsidP="007F2986">
      <w:pPr>
        <w:pStyle w:val="a3"/>
        <w:rPr>
          <w:lang w:val="hu-HU"/>
        </w:rPr>
      </w:pPr>
      <w:r>
        <w:rPr>
          <w:rFonts w:eastAsia="Times New Roman"/>
          <w:lang w:val="hu-HU"/>
        </w:rPr>
        <w:t xml:space="preserve">Az RA V vizsgálatban az ízületi károsodást radiológiailag is értékelték és módosított teljes Sharp pontokban fejezték ki (lásd </w:t>
      </w:r>
      <w:r w:rsidR="00291FC8">
        <w:rPr>
          <w:rFonts w:eastAsia="Times New Roman"/>
          <w:lang w:val="hu-HU"/>
        </w:rPr>
        <w:t>10</w:t>
      </w:r>
      <w:r>
        <w:rPr>
          <w:rFonts w:eastAsia="Times New Roman"/>
          <w:lang w:val="hu-HU"/>
        </w:rPr>
        <w:t>. táblázat).</w:t>
      </w:r>
    </w:p>
    <w:p w14:paraId="40D24B10" w14:textId="767AB142" w:rsidR="007F2986" w:rsidRDefault="007F2986" w:rsidP="007F2986">
      <w:pPr>
        <w:spacing w:before="15" w:line="240" w:lineRule="exact"/>
        <w:rPr>
          <w:sz w:val="24"/>
          <w:szCs w:val="24"/>
          <w:lang w:val="hu-HU"/>
        </w:rPr>
      </w:pPr>
    </w:p>
    <w:p w14:paraId="5E9670B7" w14:textId="2A8F502D" w:rsidR="007F2986" w:rsidRDefault="00291FC8" w:rsidP="007F2986">
      <w:pPr>
        <w:pStyle w:val="a3"/>
        <w:jc w:val="center"/>
        <w:rPr>
          <w:b/>
          <w:lang w:val="hu-HU"/>
        </w:rPr>
      </w:pPr>
      <w:r>
        <w:rPr>
          <w:rFonts w:eastAsia="Times New Roman"/>
          <w:b/>
          <w:bCs/>
          <w:lang w:val="hu-HU"/>
        </w:rPr>
        <w:t>10</w:t>
      </w:r>
      <w:r w:rsidR="007F2986">
        <w:rPr>
          <w:rFonts w:eastAsia="Times New Roman"/>
          <w:b/>
          <w:bCs/>
          <w:lang w:val="hu-HU"/>
        </w:rPr>
        <w:t>. táblázat</w:t>
      </w:r>
    </w:p>
    <w:p w14:paraId="4C6F0D66" w14:textId="77777777" w:rsidR="007F2986" w:rsidRDefault="007F2986" w:rsidP="007F2986">
      <w:pPr>
        <w:pStyle w:val="a3"/>
        <w:jc w:val="center"/>
        <w:rPr>
          <w:b/>
          <w:lang w:val="hu-HU"/>
        </w:rPr>
      </w:pPr>
      <w:r>
        <w:rPr>
          <w:rFonts w:eastAsia="Times New Roman"/>
          <w:b/>
          <w:bCs/>
          <w:lang w:val="hu-HU"/>
        </w:rPr>
        <w:t>Radiográfiás átlagos változások az 52. héten az RA V. vizsgálatban</w:t>
      </w:r>
    </w:p>
    <w:p w14:paraId="5B61D1A1" w14:textId="77777777" w:rsidR="007F2986" w:rsidRDefault="007F2986" w:rsidP="007F2986">
      <w:pPr>
        <w:spacing w:before="11" w:line="240" w:lineRule="exact"/>
        <w:rPr>
          <w:sz w:val="24"/>
          <w:szCs w:val="24"/>
          <w:lang w:val="hu-HU"/>
        </w:rPr>
      </w:pPr>
    </w:p>
    <w:tbl>
      <w:tblPr>
        <w:tblStyle w:val="TableNormal1"/>
        <w:tblW w:w="0" w:type="auto"/>
        <w:tblInd w:w="213" w:type="dxa"/>
        <w:tblLayout w:type="fixed"/>
        <w:tblLook w:val="01E0" w:firstRow="1" w:lastRow="1" w:firstColumn="1" w:lastColumn="1" w:noHBand="0" w:noVBand="0"/>
      </w:tblPr>
      <w:tblGrid>
        <w:gridCol w:w="1766"/>
        <w:gridCol w:w="1391"/>
        <w:gridCol w:w="1391"/>
        <w:gridCol w:w="1392"/>
        <w:gridCol w:w="991"/>
        <w:gridCol w:w="989"/>
        <w:gridCol w:w="991"/>
      </w:tblGrid>
      <w:tr w:rsidR="007F2986" w:rsidRPr="00CF5D7A" w14:paraId="6EAC0F7C" w14:textId="77777777" w:rsidTr="00CC2E43">
        <w:tc>
          <w:tcPr>
            <w:tcW w:w="1766" w:type="dxa"/>
            <w:tcBorders>
              <w:top w:val="single" w:sz="5" w:space="0" w:color="000000"/>
              <w:left w:val="single" w:sz="5" w:space="0" w:color="000000"/>
              <w:bottom w:val="single" w:sz="5" w:space="0" w:color="000000"/>
              <w:right w:val="single" w:sz="5" w:space="0" w:color="000000"/>
            </w:tcBorders>
          </w:tcPr>
          <w:p w14:paraId="52B3E394" w14:textId="77777777" w:rsidR="007F2986" w:rsidRPr="00CF5D7A" w:rsidRDefault="007F2986" w:rsidP="00CC2E43">
            <w:pPr>
              <w:rPr>
                <w:lang w:val="hu-HU"/>
              </w:rPr>
            </w:pPr>
          </w:p>
        </w:tc>
        <w:tc>
          <w:tcPr>
            <w:tcW w:w="1391" w:type="dxa"/>
            <w:tcBorders>
              <w:top w:val="single" w:sz="5" w:space="0" w:color="000000"/>
              <w:left w:val="single" w:sz="5" w:space="0" w:color="000000"/>
              <w:bottom w:val="single" w:sz="5" w:space="0" w:color="000000"/>
              <w:right w:val="single" w:sz="5" w:space="0" w:color="000000"/>
            </w:tcBorders>
          </w:tcPr>
          <w:p w14:paraId="5A2E99A7" w14:textId="77777777" w:rsidR="007F2986" w:rsidRPr="00CF5D7A" w:rsidRDefault="007F2986" w:rsidP="00CC2E43">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MTX</w:t>
            </w:r>
          </w:p>
          <w:p w14:paraId="48C9834B" w14:textId="77777777" w:rsidR="007F2986" w:rsidRPr="00CF5D7A" w:rsidRDefault="007F2986" w:rsidP="00CC2E43">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n=257 (95%-os</w:t>
            </w:r>
          </w:p>
          <w:p w14:paraId="75BEB619" w14:textId="77777777" w:rsidR="007F2986" w:rsidRPr="00CF5D7A" w:rsidRDefault="007F2986" w:rsidP="00CC2E43">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konfidencia intervallum)</w:t>
            </w:r>
          </w:p>
        </w:tc>
        <w:tc>
          <w:tcPr>
            <w:tcW w:w="1391" w:type="dxa"/>
            <w:tcBorders>
              <w:top w:val="single" w:sz="5" w:space="0" w:color="000000"/>
              <w:left w:val="single" w:sz="5" w:space="0" w:color="000000"/>
              <w:bottom w:val="single" w:sz="5" w:space="0" w:color="000000"/>
              <w:right w:val="single" w:sz="5" w:space="0" w:color="000000"/>
            </w:tcBorders>
          </w:tcPr>
          <w:p w14:paraId="305CE5D4" w14:textId="77777777" w:rsidR="007F2986" w:rsidRPr="00CF5D7A" w:rsidRDefault="007F2986" w:rsidP="00CC2E43">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Adalimumab</w:t>
            </w:r>
          </w:p>
          <w:p w14:paraId="76E9BC85" w14:textId="77777777" w:rsidR="007F2986" w:rsidRPr="00CF5D7A" w:rsidRDefault="007F2986" w:rsidP="00CC2E43">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n=274 (95%-os</w:t>
            </w:r>
          </w:p>
          <w:p w14:paraId="7FF23798" w14:textId="77777777" w:rsidR="007F2986" w:rsidRPr="00CF5D7A" w:rsidRDefault="007F2986" w:rsidP="00CC2E43">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konfidencia intervallum)</w:t>
            </w:r>
          </w:p>
        </w:tc>
        <w:tc>
          <w:tcPr>
            <w:tcW w:w="1392" w:type="dxa"/>
            <w:tcBorders>
              <w:top w:val="single" w:sz="5" w:space="0" w:color="000000"/>
              <w:left w:val="single" w:sz="5" w:space="0" w:color="000000"/>
              <w:bottom w:val="single" w:sz="5" w:space="0" w:color="000000"/>
              <w:right w:val="single" w:sz="5" w:space="0" w:color="000000"/>
            </w:tcBorders>
          </w:tcPr>
          <w:p w14:paraId="0A4BB709" w14:textId="77777777" w:rsidR="007F2986" w:rsidRPr="00CF5D7A" w:rsidRDefault="007F2986" w:rsidP="00CC2E43">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Adalimumab/MTX</w:t>
            </w:r>
          </w:p>
          <w:p w14:paraId="15B98EA4" w14:textId="77777777" w:rsidR="007F2986" w:rsidRPr="00CF5D7A" w:rsidRDefault="007F2986" w:rsidP="00CC2E43">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n=268 (95%-os</w:t>
            </w:r>
          </w:p>
          <w:p w14:paraId="0AA1F02A" w14:textId="77777777" w:rsidR="007F2986" w:rsidRPr="00CF5D7A" w:rsidRDefault="007F2986" w:rsidP="00CC2E43">
            <w:pPr>
              <w:pStyle w:val="TableParagraph"/>
              <w:ind w:left="113" w:right="113"/>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konfidencia intervallum)</w:t>
            </w:r>
          </w:p>
        </w:tc>
        <w:tc>
          <w:tcPr>
            <w:tcW w:w="991" w:type="dxa"/>
            <w:tcBorders>
              <w:top w:val="single" w:sz="5" w:space="0" w:color="000000"/>
              <w:left w:val="single" w:sz="5" w:space="0" w:color="000000"/>
              <w:bottom w:val="single" w:sz="5" w:space="0" w:color="000000"/>
              <w:right w:val="single" w:sz="5" w:space="0" w:color="000000"/>
            </w:tcBorders>
          </w:tcPr>
          <w:p w14:paraId="018732C9" w14:textId="77777777" w:rsidR="007F2986" w:rsidRPr="009167C6" w:rsidRDefault="007F2986" w:rsidP="00CC2E43">
            <w:pPr>
              <w:pStyle w:val="TableParagraph"/>
              <w:spacing w:line="200" w:lineRule="exact"/>
              <w:rPr>
                <w:lang w:val="hu-HU"/>
              </w:rPr>
            </w:pPr>
          </w:p>
          <w:p w14:paraId="3AB3ECFC" w14:textId="77777777" w:rsidR="007F2986" w:rsidRPr="009167C6" w:rsidRDefault="007F2986" w:rsidP="00CC2E43">
            <w:pPr>
              <w:pStyle w:val="TableParagraph"/>
              <w:spacing w:before="14" w:line="280" w:lineRule="exact"/>
              <w:rPr>
                <w:lang w:val="hu-HU"/>
              </w:rPr>
            </w:pPr>
          </w:p>
          <w:p w14:paraId="23976095" w14:textId="77777777" w:rsidR="007F2986" w:rsidRPr="009167C6" w:rsidRDefault="007F2986" w:rsidP="00CC2E43">
            <w:pPr>
              <w:pStyle w:val="TableParagraph"/>
              <w:ind w:left="126"/>
              <w:rPr>
                <w:rFonts w:ascii="Times New Roman" w:eastAsia="Times New Roman" w:hAnsi="Times New Roman" w:cs="Times New Roman"/>
                <w:lang w:val="hu-HU"/>
              </w:rPr>
            </w:pPr>
            <w:r w:rsidRPr="00CF5D7A">
              <w:rPr>
                <w:rFonts w:ascii="Times New Roman" w:eastAsia="Times New Roman" w:hAnsi="Times New Roman" w:cs="Times New Roman"/>
                <w:lang w:val="hu-HU"/>
              </w:rPr>
              <w:t>p-érték</w:t>
            </w:r>
            <w:r w:rsidRPr="009167C6">
              <w:rPr>
                <w:rFonts w:ascii="Times New Roman" w:eastAsia="Times New Roman" w:hAnsi="Times New Roman" w:cs="Times New Roman"/>
                <w:vertAlign w:val="superscript"/>
                <w:lang w:val="hu-HU"/>
              </w:rPr>
              <w:t>a</w:t>
            </w:r>
          </w:p>
        </w:tc>
        <w:tc>
          <w:tcPr>
            <w:tcW w:w="989" w:type="dxa"/>
            <w:tcBorders>
              <w:top w:val="single" w:sz="5" w:space="0" w:color="000000"/>
              <w:left w:val="single" w:sz="5" w:space="0" w:color="000000"/>
              <w:bottom w:val="single" w:sz="5" w:space="0" w:color="000000"/>
              <w:right w:val="single" w:sz="5" w:space="0" w:color="000000"/>
            </w:tcBorders>
          </w:tcPr>
          <w:p w14:paraId="0160FBB1" w14:textId="77777777" w:rsidR="007F2986" w:rsidRPr="009167C6" w:rsidRDefault="007F2986" w:rsidP="00CC2E43">
            <w:pPr>
              <w:pStyle w:val="TableParagraph"/>
              <w:spacing w:line="200" w:lineRule="exact"/>
              <w:rPr>
                <w:lang w:val="hu-HU"/>
              </w:rPr>
            </w:pPr>
          </w:p>
          <w:p w14:paraId="00A45453" w14:textId="77777777" w:rsidR="007F2986" w:rsidRPr="009167C6" w:rsidRDefault="007F2986" w:rsidP="00CC2E43">
            <w:pPr>
              <w:pStyle w:val="TableParagraph"/>
              <w:spacing w:before="14" w:line="280" w:lineRule="exact"/>
              <w:rPr>
                <w:lang w:val="hu-HU"/>
              </w:rPr>
            </w:pPr>
          </w:p>
          <w:p w14:paraId="3B43AF46" w14:textId="77777777" w:rsidR="007F2986" w:rsidRPr="009167C6" w:rsidRDefault="007F2986" w:rsidP="00CC2E43">
            <w:pPr>
              <w:pStyle w:val="TableParagraph"/>
              <w:ind w:left="121"/>
              <w:rPr>
                <w:rFonts w:ascii="Times New Roman" w:eastAsia="Times New Roman" w:hAnsi="Times New Roman" w:cs="Times New Roman"/>
                <w:lang w:val="hu-HU"/>
              </w:rPr>
            </w:pPr>
            <w:r w:rsidRPr="00CF5D7A">
              <w:rPr>
                <w:rFonts w:ascii="Times New Roman" w:eastAsia="Times New Roman" w:hAnsi="Times New Roman" w:cs="Times New Roman"/>
                <w:lang w:val="hu-HU"/>
              </w:rPr>
              <w:t>p-érték</w:t>
            </w:r>
            <w:r w:rsidRPr="009167C6">
              <w:rPr>
                <w:rFonts w:ascii="Times New Roman" w:eastAsia="Times New Roman" w:hAnsi="Times New Roman" w:cs="Times New Roman"/>
                <w:vertAlign w:val="superscript"/>
                <w:lang w:val="hu-HU"/>
              </w:rPr>
              <w:t>b</w:t>
            </w:r>
          </w:p>
        </w:tc>
        <w:tc>
          <w:tcPr>
            <w:tcW w:w="991" w:type="dxa"/>
            <w:tcBorders>
              <w:top w:val="single" w:sz="5" w:space="0" w:color="000000"/>
              <w:left w:val="single" w:sz="5" w:space="0" w:color="000000"/>
              <w:bottom w:val="single" w:sz="5" w:space="0" w:color="000000"/>
              <w:right w:val="single" w:sz="5" w:space="0" w:color="000000"/>
            </w:tcBorders>
          </w:tcPr>
          <w:p w14:paraId="2EA7DB78" w14:textId="77777777" w:rsidR="007F2986" w:rsidRPr="009167C6" w:rsidRDefault="007F2986" w:rsidP="00CC2E43">
            <w:pPr>
              <w:pStyle w:val="TableParagraph"/>
              <w:spacing w:line="200" w:lineRule="exact"/>
              <w:rPr>
                <w:lang w:val="hu-HU"/>
              </w:rPr>
            </w:pPr>
          </w:p>
          <w:p w14:paraId="789B5D50" w14:textId="77777777" w:rsidR="007F2986" w:rsidRPr="009167C6" w:rsidRDefault="007F2986" w:rsidP="00CC2E43">
            <w:pPr>
              <w:pStyle w:val="TableParagraph"/>
              <w:spacing w:before="14" w:line="280" w:lineRule="exact"/>
              <w:rPr>
                <w:lang w:val="hu-HU"/>
              </w:rPr>
            </w:pPr>
          </w:p>
          <w:p w14:paraId="7B57B447" w14:textId="77777777" w:rsidR="007F2986" w:rsidRPr="009167C6" w:rsidRDefault="007F2986" w:rsidP="00CC2E43">
            <w:pPr>
              <w:pStyle w:val="TableParagraph"/>
              <w:ind w:left="126"/>
              <w:rPr>
                <w:rFonts w:ascii="Times New Roman" w:eastAsia="Times New Roman" w:hAnsi="Times New Roman" w:cs="Times New Roman"/>
                <w:lang w:val="hu-HU"/>
              </w:rPr>
            </w:pPr>
            <w:r w:rsidRPr="00CF5D7A">
              <w:rPr>
                <w:rFonts w:ascii="Times New Roman" w:eastAsia="Times New Roman" w:hAnsi="Times New Roman" w:cs="Times New Roman"/>
                <w:lang w:val="hu-HU"/>
              </w:rPr>
              <w:t>p-érték</w:t>
            </w:r>
            <w:r w:rsidRPr="009167C6">
              <w:rPr>
                <w:rFonts w:ascii="Times New Roman" w:eastAsia="Times New Roman" w:hAnsi="Times New Roman" w:cs="Times New Roman"/>
                <w:vertAlign w:val="superscript"/>
                <w:lang w:val="hu-HU"/>
              </w:rPr>
              <w:t>c</w:t>
            </w:r>
          </w:p>
        </w:tc>
      </w:tr>
      <w:tr w:rsidR="007F2986" w:rsidRPr="00CF5D7A" w14:paraId="6060D644" w14:textId="77777777" w:rsidTr="00CC2E43">
        <w:tc>
          <w:tcPr>
            <w:tcW w:w="1766" w:type="dxa"/>
            <w:tcBorders>
              <w:top w:val="single" w:sz="5" w:space="0" w:color="000000"/>
              <w:left w:val="single" w:sz="5" w:space="0" w:color="000000"/>
              <w:bottom w:val="single" w:sz="5" w:space="0" w:color="000000"/>
              <w:right w:val="single" w:sz="5" w:space="0" w:color="000000"/>
            </w:tcBorders>
          </w:tcPr>
          <w:p w14:paraId="59DB0673" w14:textId="77777777" w:rsidR="007F2986" w:rsidRPr="00CF5D7A" w:rsidRDefault="007F2986" w:rsidP="00CC2E43">
            <w:pPr>
              <w:pStyle w:val="TableParagraph"/>
              <w:spacing w:line="246" w:lineRule="exact"/>
              <w:ind w:left="177" w:right="179"/>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Teljes Sharp-</w:t>
            </w:r>
          </w:p>
          <w:p w14:paraId="4293541A" w14:textId="77777777" w:rsidR="007F2986" w:rsidRPr="00CF5D7A" w:rsidRDefault="007F2986" w:rsidP="00CC2E43">
            <w:pPr>
              <w:pStyle w:val="TableParagraph"/>
              <w:spacing w:line="252" w:lineRule="exact"/>
              <w:ind w:left="439" w:right="439"/>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pontérték</w:t>
            </w:r>
          </w:p>
        </w:tc>
        <w:tc>
          <w:tcPr>
            <w:tcW w:w="1391" w:type="dxa"/>
            <w:tcBorders>
              <w:top w:val="single" w:sz="5" w:space="0" w:color="000000"/>
              <w:left w:val="single" w:sz="5" w:space="0" w:color="000000"/>
              <w:bottom w:val="single" w:sz="5" w:space="0" w:color="000000"/>
              <w:right w:val="single" w:sz="5" w:space="0" w:color="000000"/>
            </w:tcBorders>
          </w:tcPr>
          <w:p w14:paraId="290E399F" w14:textId="77777777" w:rsidR="007F2986" w:rsidRPr="00CF5D7A" w:rsidRDefault="007F2986" w:rsidP="00CC2E43">
            <w:pPr>
              <w:pStyle w:val="TableParagraph"/>
              <w:spacing w:line="246" w:lineRule="exact"/>
              <w:ind w:left="215"/>
              <w:rPr>
                <w:rFonts w:ascii="Times New Roman" w:eastAsia="Times New Roman" w:hAnsi="Times New Roman" w:cs="Times New Roman"/>
                <w:lang w:val="hu-HU"/>
              </w:rPr>
            </w:pPr>
            <w:r w:rsidRPr="00CF5D7A">
              <w:rPr>
                <w:rFonts w:ascii="Times New Roman" w:eastAsia="Times New Roman" w:hAnsi="Times New Roman" w:cs="Times New Roman"/>
              </w:rPr>
              <w:t>5.7 (4.2</w:t>
            </w:r>
            <w:r w:rsidRPr="00CF5D7A">
              <w:rPr>
                <w:rFonts w:ascii="Times New Roman" w:eastAsia="Times New Roman" w:hAnsi="Times New Roman" w:cs="Times New Roman"/>
                <w:spacing w:val="-4"/>
              </w:rPr>
              <w:t>-</w:t>
            </w:r>
            <w:r w:rsidRPr="00CF5D7A">
              <w:rPr>
                <w:rFonts w:ascii="Times New Roman" w:eastAsia="Times New Roman" w:hAnsi="Times New Roman" w:cs="Times New Roman"/>
              </w:rPr>
              <w:t>7.3)</w:t>
            </w:r>
          </w:p>
        </w:tc>
        <w:tc>
          <w:tcPr>
            <w:tcW w:w="1391" w:type="dxa"/>
            <w:tcBorders>
              <w:top w:val="single" w:sz="5" w:space="0" w:color="000000"/>
              <w:left w:val="single" w:sz="5" w:space="0" w:color="000000"/>
              <w:bottom w:val="single" w:sz="5" w:space="0" w:color="000000"/>
              <w:right w:val="single" w:sz="5" w:space="0" w:color="000000"/>
            </w:tcBorders>
          </w:tcPr>
          <w:p w14:paraId="21C549E0" w14:textId="77777777" w:rsidR="007F2986" w:rsidRPr="00CF5D7A" w:rsidRDefault="007F2986" w:rsidP="00CC2E43">
            <w:pPr>
              <w:pStyle w:val="TableParagraph"/>
              <w:spacing w:line="246" w:lineRule="exact"/>
              <w:ind w:left="183"/>
              <w:rPr>
                <w:rFonts w:ascii="Times New Roman" w:eastAsia="Times New Roman" w:hAnsi="Times New Roman" w:cs="Times New Roman"/>
                <w:lang w:val="hu-HU"/>
              </w:rPr>
            </w:pPr>
            <w:r w:rsidRPr="00CF5D7A">
              <w:rPr>
                <w:rFonts w:ascii="Times New Roman" w:eastAsia="Times New Roman" w:hAnsi="Times New Roman" w:cs="Times New Roman"/>
              </w:rPr>
              <w:t>3.0 (1.7</w:t>
            </w:r>
            <w:r w:rsidRPr="00CF5D7A">
              <w:rPr>
                <w:rFonts w:ascii="Times New Roman" w:eastAsia="Times New Roman" w:hAnsi="Times New Roman" w:cs="Times New Roman"/>
                <w:spacing w:val="-4"/>
              </w:rPr>
              <w:t>-</w:t>
            </w:r>
            <w:r w:rsidRPr="00CF5D7A">
              <w:rPr>
                <w:rFonts w:ascii="Times New Roman" w:eastAsia="Times New Roman" w:hAnsi="Times New Roman" w:cs="Times New Roman"/>
              </w:rPr>
              <w:t>4.3)</w:t>
            </w:r>
          </w:p>
        </w:tc>
        <w:tc>
          <w:tcPr>
            <w:tcW w:w="1392" w:type="dxa"/>
            <w:tcBorders>
              <w:top w:val="single" w:sz="5" w:space="0" w:color="000000"/>
              <w:left w:val="single" w:sz="5" w:space="0" w:color="000000"/>
              <w:bottom w:val="single" w:sz="5" w:space="0" w:color="000000"/>
              <w:right w:val="single" w:sz="5" w:space="0" w:color="000000"/>
            </w:tcBorders>
          </w:tcPr>
          <w:p w14:paraId="28AFEA4C" w14:textId="77777777" w:rsidR="007F2986" w:rsidRPr="00CF5D7A" w:rsidRDefault="007F2986" w:rsidP="00CC2E43">
            <w:pPr>
              <w:pStyle w:val="TableParagraph"/>
              <w:spacing w:line="246" w:lineRule="exact"/>
              <w:ind w:left="188"/>
              <w:rPr>
                <w:rFonts w:ascii="Times New Roman" w:eastAsia="Times New Roman" w:hAnsi="Times New Roman" w:cs="Times New Roman"/>
                <w:lang w:val="hu-HU"/>
              </w:rPr>
            </w:pPr>
            <w:r w:rsidRPr="00CF5D7A">
              <w:rPr>
                <w:rFonts w:ascii="Times New Roman" w:eastAsia="Times New Roman" w:hAnsi="Times New Roman" w:cs="Times New Roman"/>
              </w:rPr>
              <w:t>1.3 (0.5</w:t>
            </w:r>
            <w:r w:rsidRPr="00CF5D7A">
              <w:rPr>
                <w:rFonts w:ascii="Times New Roman" w:eastAsia="Times New Roman" w:hAnsi="Times New Roman" w:cs="Times New Roman"/>
                <w:spacing w:val="-4"/>
              </w:rPr>
              <w:t>-</w:t>
            </w:r>
            <w:r w:rsidRPr="00CF5D7A">
              <w:rPr>
                <w:rFonts w:ascii="Times New Roman" w:eastAsia="Times New Roman" w:hAnsi="Times New Roman" w:cs="Times New Roman"/>
              </w:rPr>
              <w:t>2.1)</w:t>
            </w:r>
          </w:p>
        </w:tc>
        <w:tc>
          <w:tcPr>
            <w:tcW w:w="991" w:type="dxa"/>
            <w:tcBorders>
              <w:top w:val="single" w:sz="5" w:space="0" w:color="000000"/>
              <w:left w:val="single" w:sz="5" w:space="0" w:color="000000"/>
              <w:bottom w:val="single" w:sz="5" w:space="0" w:color="000000"/>
              <w:right w:val="single" w:sz="5" w:space="0" w:color="000000"/>
            </w:tcBorders>
          </w:tcPr>
          <w:p w14:paraId="7FBC29DE" w14:textId="77777777" w:rsidR="007F2986" w:rsidRPr="00CF5D7A" w:rsidRDefault="007F2986" w:rsidP="00CC2E43">
            <w:pPr>
              <w:pStyle w:val="TableParagraph"/>
              <w:spacing w:line="246" w:lineRule="exact"/>
              <w:ind w:left="150"/>
              <w:rPr>
                <w:rFonts w:ascii="Times New Roman" w:eastAsia="Times New Roman" w:hAnsi="Times New Roman" w:cs="Times New Roman"/>
                <w:lang w:val="hu-HU"/>
              </w:rPr>
            </w:pPr>
            <w:r w:rsidRPr="00CF5D7A">
              <w:rPr>
                <w:rFonts w:ascii="Times New Roman" w:eastAsia="Times New Roman" w:hAnsi="Times New Roman" w:cs="Times New Roman"/>
              </w:rPr>
              <w:t>&lt; 0.001</w:t>
            </w:r>
          </w:p>
        </w:tc>
        <w:tc>
          <w:tcPr>
            <w:tcW w:w="989" w:type="dxa"/>
            <w:tcBorders>
              <w:top w:val="single" w:sz="5" w:space="0" w:color="000000"/>
              <w:left w:val="single" w:sz="5" w:space="0" w:color="000000"/>
              <w:bottom w:val="single" w:sz="5" w:space="0" w:color="000000"/>
              <w:right w:val="single" w:sz="5" w:space="0" w:color="000000"/>
            </w:tcBorders>
          </w:tcPr>
          <w:p w14:paraId="709F15B1" w14:textId="77777777" w:rsidR="007F2986" w:rsidRPr="00CF5D7A" w:rsidRDefault="007F2986" w:rsidP="00CC2E43">
            <w:pPr>
              <w:pStyle w:val="TableParagraph"/>
              <w:spacing w:line="246" w:lineRule="exact"/>
              <w:ind w:left="183"/>
              <w:rPr>
                <w:rFonts w:ascii="Times New Roman" w:eastAsia="Times New Roman" w:hAnsi="Times New Roman" w:cs="Times New Roman"/>
                <w:lang w:val="hu-HU"/>
              </w:rPr>
            </w:pPr>
            <w:r w:rsidRPr="00CF5D7A">
              <w:rPr>
                <w:rFonts w:ascii="Times New Roman" w:eastAsia="Times New Roman" w:hAnsi="Times New Roman" w:cs="Times New Roman"/>
              </w:rPr>
              <w:t>0.0020</w:t>
            </w:r>
          </w:p>
        </w:tc>
        <w:tc>
          <w:tcPr>
            <w:tcW w:w="991" w:type="dxa"/>
            <w:tcBorders>
              <w:top w:val="single" w:sz="5" w:space="0" w:color="000000"/>
              <w:left w:val="single" w:sz="5" w:space="0" w:color="000000"/>
              <w:bottom w:val="single" w:sz="5" w:space="0" w:color="000000"/>
              <w:right w:val="single" w:sz="5" w:space="0" w:color="000000"/>
            </w:tcBorders>
          </w:tcPr>
          <w:p w14:paraId="221024CF" w14:textId="77777777" w:rsidR="007F2986" w:rsidRPr="00CF5D7A" w:rsidRDefault="007F2986" w:rsidP="00CC2E43">
            <w:pPr>
              <w:pStyle w:val="TableParagraph"/>
              <w:spacing w:line="246" w:lineRule="exact"/>
              <w:ind w:left="150"/>
              <w:rPr>
                <w:rFonts w:ascii="Times New Roman" w:eastAsia="Times New Roman" w:hAnsi="Times New Roman" w:cs="Times New Roman"/>
                <w:lang w:val="hu-HU"/>
              </w:rPr>
            </w:pPr>
            <w:r w:rsidRPr="00CF5D7A">
              <w:rPr>
                <w:rFonts w:ascii="Times New Roman" w:eastAsia="Times New Roman" w:hAnsi="Times New Roman" w:cs="Times New Roman"/>
              </w:rPr>
              <w:t>&lt; 0.001</w:t>
            </w:r>
          </w:p>
        </w:tc>
      </w:tr>
      <w:tr w:rsidR="007F2986" w:rsidRPr="00CF5D7A" w14:paraId="499B9E54" w14:textId="77777777" w:rsidTr="00CC2E43">
        <w:tc>
          <w:tcPr>
            <w:tcW w:w="1766" w:type="dxa"/>
            <w:tcBorders>
              <w:top w:val="single" w:sz="5" w:space="0" w:color="000000"/>
              <w:left w:val="single" w:sz="5" w:space="0" w:color="000000"/>
              <w:bottom w:val="single" w:sz="5" w:space="0" w:color="000000"/>
              <w:right w:val="single" w:sz="5" w:space="0" w:color="000000"/>
            </w:tcBorders>
          </w:tcPr>
          <w:p w14:paraId="7E08C9F6" w14:textId="77777777" w:rsidR="007F2986" w:rsidRPr="00CF5D7A" w:rsidRDefault="007F2986" w:rsidP="00CC2E43">
            <w:pPr>
              <w:pStyle w:val="TableParagraph"/>
              <w:spacing w:line="246" w:lineRule="exact"/>
              <w:ind w:left="107"/>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Eróziós pontérték</w:t>
            </w:r>
          </w:p>
        </w:tc>
        <w:tc>
          <w:tcPr>
            <w:tcW w:w="1391" w:type="dxa"/>
            <w:tcBorders>
              <w:top w:val="single" w:sz="5" w:space="0" w:color="000000"/>
              <w:left w:val="single" w:sz="5" w:space="0" w:color="000000"/>
              <w:bottom w:val="single" w:sz="5" w:space="0" w:color="000000"/>
              <w:right w:val="single" w:sz="5" w:space="0" w:color="000000"/>
            </w:tcBorders>
          </w:tcPr>
          <w:p w14:paraId="3238EBB6" w14:textId="77777777" w:rsidR="007F2986" w:rsidRPr="00CF5D7A" w:rsidRDefault="007F2986" w:rsidP="00CC2E43">
            <w:pPr>
              <w:pStyle w:val="TableParagraph"/>
              <w:spacing w:line="246" w:lineRule="exact"/>
              <w:ind w:left="215"/>
              <w:rPr>
                <w:rFonts w:ascii="Times New Roman" w:eastAsia="Times New Roman" w:hAnsi="Times New Roman" w:cs="Times New Roman"/>
                <w:lang w:val="hu-HU"/>
              </w:rPr>
            </w:pPr>
            <w:r w:rsidRPr="00CF5D7A">
              <w:rPr>
                <w:rFonts w:ascii="Times New Roman" w:eastAsia="Times New Roman" w:hAnsi="Times New Roman" w:cs="Times New Roman"/>
                <w:lang w:val="hu-HU"/>
              </w:rPr>
              <w:t>3,7 (2,7-4,7)</w:t>
            </w:r>
          </w:p>
        </w:tc>
        <w:tc>
          <w:tcPr>
            <w:tcW w:w="1391" w:type="dxa"/>
            <w:tcBorders>
              <w:top w:val="single" w:sz="5" w:space="0" w:color="000000"/>
              <w:left w:val="single" w:sz="5" w:space="0" w:color="000000"/>
              <w:bottom w:val="single" w:sz="5" w:space="0" w:color="000000"/>
              <w:right w:val="single" w:sz="5" w:space="0" w:color="000000"/>
            </w:tcBorders>
          </w:tcPr>
          <w:p w14:paraId="4CB77D02" w14:textId="77777777" w:rsidR="007F2986" w:rsidRPr="00CF5D7A" w:rsidRDefault="007F2986" w:rsidP="00CC2E43">
            <w:pPr>
              <w:pStyle w:val="TableParagraph"/>
              <w:spacing w:line="246" w:lineRule="exact"/>
              <w:ind w:left="183"/>
              <w:rPr>
                <w:rFonts w:ascii="Times New Roman" w:eastAsia="Times New Roman" w:hAnsi="Times New Roman" w:cs="Times New Roman"/>
                <w:lang w:val="hu-HU"/>
              </w:rPr>
            </w:pPr>
            <w:r w:rsidRPr="00CF5D7A">
              <w:rPr>
                <w:rFonts w:ascii="Times New Roman" w:eastAsia="Times New Roman" w:hAnsi="Times New Roman" w:cs="Times New Roman"/>
                <w:lang w:val="hu-HU"/>
              </w:rPr>
              <w:t>1,7 (1,0-2,4)</w:t>
            </w:r>
          </w:p>
        </w:tc>
        <w:tc>
          <w:tcPr>
            <w:tcW w:w="1392" w:type="dxa"/>
            <w:tcBorders>
              <w:top w:val="single" w:sz="5" w:space="0" w:color="000000"/>
              <w:left w:val="single" w:sz="5" w:space="0" w:color="000000"/>
              <w:bottom w:val="single" w:sz="5" w:space="0" w:color="000000"/>
              <w:right w:val="single" w:sz="5" w:space="0" w:color="000000"/>
            </w:tcBorders>
          </w:tcPr>
          <w:p w14:paraId="3643920A" w14:textId="77777777" w:rsidR="007F2986" w:rsidRPr="00CF5D7A" w:rsidRDefault="007F2986" w:rsidP="00CC2E43">
            <w:pPr>
              <w:pStyle w:val="TableParagraph"/>
              <w:spacing w:line="246" w:lineRule="exact"/>
              <w:ind w:left="188"/>
              <w:rPr>
                <w:rFonts w:ascii="Times New Roman" w:eastAsia="Times New Roman" w:hAnsi="Times New Roman" w:cs="Times New Roman"/>
                <w:lang w:val="hu-HU"/>
              </w:rPr>
            </w:pPr>
            <w:r w:rsidRPr="00CF5D7A">
              <w:rPr>
                <w:rFonts w:ascii="Times New Roman" w:eastAsia="Times New Roman" w:hAnsi="Times New Roman" w:cs="Times New Roman"/>
                <w:lang w:val="hu-HU"/>
              </w:rPr>
              <w:t>0,8 (0,4-1,2)</w:t>
            </w:r>
          </w:p>
        </w:tc>
        <w:tc>
          <w:tcPr>
            <w:tcW w:w="991" w:type="dxa"/>
            <w:tcBorders>
              <w:top w:val="single" w:sz="5" w:space="0" w:color="000000"/>
              <w:left w:val="single" w:sz="5" w:space="0" w:color="000000"/>
              <w:bottom w:val="single" w:sz="5" w:space="0" w:color="000000"/>
              <w:right w:val="single" w:sz="5" w:space="0" w:color="000000"/>
            </w:tcBorders>
          </w:tcPr>
          <w:p w14:paraId="59465B14" w14:textId="77777777" w:rsidR="007F2986" w:rsidRPr="00CF5D7A" w:rsidRDefault="007F2986" w:rsidP="00CC2E43">
            <w:pPr>
              <w:pStyle w:val="TableParagraph"/>
              <w:spacing w:line="246" w:lineRule="exact"/>
              <w:ind w:left="150"/>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989" w:type="dxa"/>
            <w:tcBorders>
              <w:top w:val="single" w:sz="5" w:space="0" w:color="000000"/>
              <w:left w:val="single" w:sz="5" w:space="0" w:color="000000"/>
              <w:bottom w:val="single" w:sz="5" w:space="0" w:color="000000"/>
              <w:right w:val="single" w:sz="5" w:space="0" w:color="000000"/>
            </w:tcBorders>
          </w:tcPr>
          <w:p w14:paraId="7B20F91C" w14:textId="77777777" w:rsidR="007F2986" w:rsidRPr="00CF5D7A" w:rsidRDefault="007F2986" w:rsidP="00CC2E43">
            <w:pPr>
              <w:pStyle w:val="TableParagraph"/>
              <w:spacing w:line="246" w:lineRule="exact"/>
              <w:ind w:left="183"/>
              <w:rPr>
                <w:rFonts w:ascii="Times New Roman" w:eastAsia="Times New Roman" w:hAnsi="Times New Roman" w:cs="Times New Roman"/>
                <w:lang w:val="hu-HU"/>
              </w:rPr>
            </w:pPr>
            <w:r w:rsidRPr="00CF5D7A">
              <w:rPr>
                <w:rFonts w:ascii="Times New Roman" w:eastAsia="Times New Roman" w:hAnsi="Times New Roman" w:cs="Times New Roman"/>
                <w:lang w:val="hu-HU"/>
              </w:rPr>
              <w:t>0,0082</w:t>
            </w:r>
          </w:p>
        </w:tc>
        <w:tc>
          <w:tcPr>
            <w:tcW w:w="991" w:type="dxa"/>
            <w:tcBorders>
              <w:top w:val="single" w:sz="5" w:space="0" w:color="000000"/>
              <w:left w:val="single" w:sz="5" w:space="0" w:color="000000"/>
              <w:bottom w:val="single" w:sz="5" w:space="0" w:color="000000"/>
              <w:right w:val="single" w:sz="5" w:space="0" w:color="000000"/>
            </w:tcBorders>
          </w:tcPr>
          <w:p w14:paraId="3B01A820" w14:textId="77777777" w:rsidR="007F2986" w:rsidRPr="00CF5D7A" w:rsidRDefault="007F2986" w:rsidP="00CC2E43">
            <w:pPr>
              <w:pStyle w:val="TableParagraph"/>
              <w:spacing w:line="246" w:lineRule="exact"/>
              <w:ind w:left="150"/>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r>
      <w:tr w:rsidR="007F2986" w:rsidRPr="00CF5D7A" w14:paraId="59C73402" w14:textId="77777777" w:rsidTr="00CC2E43">
        <w:tc>
          <w:tcPr>
            <w:tcW w:w="1766" w:type="dxa"/>
            <w:tcBorders>
              <w:top w:val="single" w:sz="5" w:space="0" w:color="000000"/>
              <w:left w:val="single" w:sz="5" w:space="0" w:color="000000"/>
              <w:bottom w:val="single" w:sz="5" w:space="0" w:color="000000"/>
              <w:right w:val="single" w:sz="5" w:space="0" w:color="000000"/>
            </w:tcBorders>
          </w:tcPr>
          <w:p w14:paraId="7215DA06" w14:textId="77777777" w:rsidR="007F2986" w:rsidRPr="00CF5D7A" w:rsidRDefault="007F2986" w:rsidP="00CC2E43">
            <w:pPr>
              <w:pStyle w:val="TableParagraph"/>
              <w:spacing w:line="246" w:lineRule="exact"/>
              <w:ind w:left="265"/>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JSN-pontérték</w:t>
            </w:r>
          </w:p>
        </w:tc>
        <w:tc>
          <w:tcPr>
            <w:tcW w:w="1391" w:type="dxa"/>
            <w:tcBorders>
              <w:top w:val="single" w:sz="5" w:space="0" w:color="000000"/>
              <w:left w:val="single" w:sz="5" w:space="0" w:color="000000"/>
              <w:bottom w:val="single" w:sz="5" w:space="0" w:color="000000"/>
              <w:right w:val="single" w:sz="5" w:space="0" w:color="000000"/>
            </w:tcBorders>
          </w:tcPr>
          <w:p w14:paraId="4B5A0C65" w14:textId="77777777" w:rsidR="007F2986" w:rsidRPr="00CF5D7A" w:rsidRDefault="007F2986" w:rsidP="00CC2E43">
            <w:pPr>
              <w:pStyle w:val="TableParagraph"/>
              <w:spacing w:line="246" w:lineRule="exact"/>
              <w:ind w:left="215"/>
              <w:rPr>
                <w:rFonts w:ascii="Times New Roman" w:eastAsia="Times New Roman" w:hAnsi="Times New Roman" w:cs="Times New Roman"/>
                <w:lang w:val="hu-HU"/>
              </w:rPr>
            </w:pPr>
            <w:r w:rsidRPr="00CF5D7A">
              <w:rPr>
                <w:rFonts w:ascii="Times New Roman" w:eastAsia="Times New Roman" w:hAnsi="Times New Roman" w:cs="Times New Roman"/>
                <w:lang w:val="hu-HU"/>
              </w:rPr>
              <w:t>2,0 (1,2-2,8)</w:t>
            </w:r>
          </w:p>
        </w:tc>
        <w:tc>
          <w:tcPr>
            <w:tcW w:w="1391" w:type="dxa"/>
            <w:tcBorders>
              <w:top w:val="single" w:sz="5" w:space="0" w:color="000000"/>
              <w:left w:val="single" w:sz="5" w:space="0" w:color="000000"/>
              <w:bottom w:val="single" w:sz="5" w:space="0" w:color="000000"/>
              <w:right w:val="single" w:sz="5" w:space="0" w:color="000000"/>
            </w:tcBorders>
          </w:tcPr>
          <w:p w14:paraId="589A4E0A" w14:textId="77777777" w:rsidR="007F2986" w:rsidRPr="00CF5D7A" w:rsidRDefault="007F2986" w:rsidP="00CC2E43">
            <w:pPr>
              <w:pStyle w:val="TableParagraph"/>
              <w:spacing w:line="246" w:lineRule="exact"/>
              <w:ind w:left="183"/>
              <w:rPr>
                <w:rFonts w:ascii="Times New Roman" w:eastAsia="Times New Roman" w:hAnsi="Times New Roman" w:cs="Times New Roman"/>
                <w:lang w:val="hu-HU"/>
              </w:rPr>
            </w:pPr>
            <w:r w:rsidRPr="00CF5D7A">
              <w:rPr>
                <w:rFonts w:ascii="Times New Roman" w:eastAsia="Times New Roman" w:hAnsi="Times New Roman" w:cs="Times New Roman"/>
                <w:lang w:val="hu-HU"/>
              </w:rPr>
              <w:t>1,3 (0,5-2,1)</w:t>
            </w:r>
          </w:p>
        </w:tc>
        <w:tc>
          <w:tcPr>
            <w:tcW w:w="1392" w:type="dxa"/>
            <w:tcBorders>
              <w:top w:val="single" w:sz="5" w:space="0" w:color="000000"/>
              <w:left w:val="single" w:sz="5" w:space="0" w:color="000000"/>
              <w:bottom w:val="single" w:sz="5" w:space="0" w:color="000000"/>
              <w:right w:val="single" w:sz="5" w:space="0" w:color="000000"/>
            </w:tcBorders>
          </w:tcPr>
          <w:p w14:paraId="32B0BD2F" w14:textId="77777777" w:rsidR="007F2986" w:rsidRPr="00CF5D7A" w:rsidRDefault="007F2986" w:rsidP="00CC2E43">
            <w:pPr>
              <w:pStyle w:val="TableParagraph"/>
              <w:spacing w:line="246" w:lineRule="exact"/>
              <w:ind w:left="270"/>
              <w:rPr>
                <w:rFonts w:ascii="Times New Roman" w:eastAsia="Times New Roman" w:hAnsi="Times New Roman" w:cs="Times New Roman"/>
                <w:lang w:val="hu-HU"/>
              </w:rPr>
            </w:pPr>
            <w:r w:rsidRPr="00CF5D7A">
              <w:rPr>
                <w:rFonts w:ascii="Times New Roman" w:eastAsia="Times New Roman" w:hAnsi="Times New Roman" w:cs="Times New Roman"/>
                <w:lang w:val="hu-HU"/>
              </w:rPr>
              <w:t>0,5 (0-1,0)</w:t>
            </w:r>
          </w:p>
        </w:tc>
        <w:tc>
          <w:tcPr>
            <w:tcW w:w="991" w:type="dxa"/>
            <w:tcBorders>
              <w:top w:val="single" w:sz="5" w:space="0" w:color="000000"/>
              <w:left w:val="single" w:sz="5" w:space="0" w:color="000000"/>
              <w:bottom w:val="single" w:sz="5" w:space="0" w:color="000000"/>
              <w:right w:val="single" w:sz="5" w:space="0" w:color="000000"/>
            </w:tcBorders>
          </w:tcPr>
          <w:p w14:paraId="41568EF6" w14:textId="77777777" w:rsidR="007F2986" w:rsidRPr="00CF5D7A" w:rsidRDefault="007F2986" w:rsidP="00CC2E43">
            <w:pPr>
              <w:pStyle w:val="TableParagraph"/>
              <w:spacing w:line="246" w:lineRule="exact"/>
              <w:ind w:left="150"/>
              <w:rPr>
                <w:rFonts w:ascii="Times New Roman" w:eastAsia="Times New Roman" w:hAnsi="Times New Roman" w:cs="Times New Roman"/>
                <w:lang w:val="hu-HU"/>
              </w:rPr>
            </w:pPr>
            <w:r w:rsidRPr="00CF5D7A">
              <w:rPr>
                <w:rFonts w:ascii="Times New Roman" w:eastAsia="Times New Roman" w:hAnsi="Times New Roman" w:cs="Times New Roman"/>
                <w:lang w:val="hu-HU"/>
              </w:rPr>
              <w:t>&lt; 0,001</w:t>
            </w:r>
          </w:p>
        </w:tc>
        <w:tc>
          <w:tcPr>
            <w:tcW w:w="989" w:type="dxa"/>
            <w:tcBorders>
              <w:top w:val="single" w:sz="5" w:space="0" w:color="000000"/>
              <w:left w:val="single" w:sz="5" w:space="0" w:color="000000"/>
              <w:bottom w:val="single" w:sz="5" w:space="0" w:color="000000"/>
              <w:right w:val="single" w:sz="5" w:space="0" w:color="000000"/>
            </w:tcBorders>
          </w:tcPr>
          <w:p w14:paraId="30B759DF" w14:textId="77777777" w:rsidR="007F2986" w:rsidRPr="00CF5D7A" w:rsidRDefault="007F2986" w:rsidP="00CC2E43">
            <w:pPr>
              <w:pStyle w:val="TableParagraph"/>
              <w:spacing w:line="246" w:lineRule="exact"/>
              <w:ind w:left="183"/>
              <w:rPr>
                <w:rFonts w:ascii="Times New Roman" w:eastAsia="Times New Roman" w:hAnsi="Times New Roman" w:cs="Times New Roman"/>
                <w:lang w:val="hu-HU"/>
              </w:rPr>
            </w:pPr>
            <w:r w:rsidRPr="00CF5D7A">
              <w:rPr>
                <w:rFonts w:ascii="Times New Roman" w:eastAsia="Times New Roman" w:hAnsi="Times New Roman" w:cs="Times New Roman"/>
                <w:lang w:val="hu-HU"/>
              </w:rPr>
              <w:t>0,0037</w:t>
            </w:r>
          </w:p>
        </w:tc>
        <w:tc>
          <w:tcPr>
            <w:tcW w:w="991" w:type="dxa"/>
            <w:tcBorders>
              <w:top w:val="single" w:sz="5" w:space="0" w:color="000000"/>
              <w:left w:val="single" w:sz="5" w:space="0" w:color="000000"/>
              <w:bottom w:val="single" w:sz="5" w:space="0" w:color="000000"/>
              <w:right w:val="single" w:sz="5" w:space="0" w:color="000000"/>
            </w:tcBorders>
          </w:tcPr>
          <w:p w14:paraId="04FF8613" w14:textId="77777777" w:rsidR="007F2986" w:rsidRPr="00CF5D7A" w:rsidRDefault="007F2986" w:rsidP="00CC2E43">
            <w:pPr>
              <w:pStyle w:val="TableParagraph"/>
              <w:spacing w:line="246" w:lineRule="exact"/>
              <w:ind w:left="241"/>
              <w:rPr>
                <w:rFonts w:ascii="Times New Roman" w:eastAsia="Times New Roman" w:hAnsi="Times New Roman" w:cs="Times New Roman"/>
                <w:lang w:val="hu-HU"/>
              </w:rPr>
            </w:pPr>
            <w:r w:rsidRPr="00CF5D7A">
              <w:rPr>
                <w:rFonts w:ascii="Times New Roman" w:eastAsia="Times New Roman" w:hAnsi="Times New Roman" w:cs="Times New Roman"/>
                <w:lang w:val="hu-HU"/>
              </w:rPr>
              <w:t>0,151</w:t>
            </w:r>
          </w:p>
        </w:tc>
      </w:tr>
    </w:tbl>
    <w:p w14:paraId="4A2317E7" w14:textId="77777777" w:rsidR="007F2986" w:rsidRPr="008668A9" w:rsidRDefault="007F2986" w:rsidP="005A05DE">
      <w:pPr>
        <w:pStyle w:val="a3"/>
        <w:ind w:leftChars="100" w:left="220"/>
        <w:rPr>
          <w:lang w:val="hu-HU"/>
        </w:rPr>
      </w:pPr>
      <w:r w:rsidRPr="001E2F31">
        <w:rPr>
          <w:rFonts w:eastAsia="Times New Roman"/>
          <w:vertAlign w:val="superscript"/>
          <w:lang w:val="hu-HU"/>
        </w:rPr>
        <w:t>a</w:t>
      </w:r>
      <w:r w:rsidRPr="001E2F31">
        <w:rPr>
          <w:rFonts w:eastAsia="Times New Roman"/>
          <w:lang w:val="hu-HU"/>
        </w:rPr>
        <w:t xml:space="preserve"> a p-érték a metotrexát monoterápia és az adalimumab/metotrexát kombinációs terápia páros összehasonlítása alapján Mann-Whitney U teszt szerint.</w:t>
      </w:r>
    </w:p>
    <w:p w14:paraId="3F58D754" w14:textId="77777777" w:rsidR="007F2986" w:rsidRPr="008668A9" w:rsidRDefault="007F2986" w:rsidP="005A05DE">
      <w:pPr>
        <w:pStyle w:val="a3"/>
        <w:ind w:leftChars="100" w:left="220"/>
        <w:rPr>
          <w:lang w:val="hu-HU"/>
        </w:rPr>
      </w:pPr>
      <w:r w:rsidRPr="001E2F31">
        <w:rPr>
          <w:rFonts w:eastAsia="Times New Roman"/>
          <w:vertAlign w:val="superscript"/>
          <w:lang w:val="hu-HU"/>
        </w:rPr>
        <w:t>b</w:t>
      </w:r>
      <w:r w:rsidRPr="001E2F31">
        <w:rPr>
          <w:rFonts w:eastAsia="Times New Roman"/>
          <w:lang w:val="hu-HU"/>
        </w:rPr>
        <w:t xml:space="preserve"> a p-érték a </w:t>
      </w:r>
      <w:r w:rsidRPr="008668A9">
        <w:rPr>
          <w:rFonts w:eastAsia="Times New Roman"/>
          <w:lang w:val="hu-HU"/>
        </w:rPr>
        <w:t>adalimumab</w:t>
      </w:r>
      <w:r w:rsidRPr="001E2F31">
        <w:rPr>
          <w:rFonts w:eastAsia="Times New Roman"/>
          <w:lang w:val="hu-HU"/>
        </w:rPr>
        <w:t xml:space="preserve"> monoterápia és az adalimumab/metotrexát kombinációs terápia páros összehasonlítása alapján Mann-Whitney U teszt szerint.</w:t>
      </w:r>
    </w:p>
    <w:p w14:paraId="4E498642" w14:textId="77777777" w:rsidR="007F2986" w:rsidRPr="008668A9" w:rsidRDefault="007F2986" w:rsidP="005A05DE">
      <w:pPr>
        <w:pStyle w:val="a3"/>
        <w:ind w:leftChars="100" w:left="220"/>
        <w:rPr>
          <w:lang w:val="hu-HU"/>
        </w:rPr>
      </w:pPr>
      <w:r w:rsidRPr="001E2F31">
        <w:rPr>
          <w:rFonts w:eastAsia="Times New Roman"/>
          <w:vertAlign w:val="superscript"/>
          <w:lang w:val="hu-HU"/>
        </w:rPr>
        <w:t>c</w:t>
      </w:r>
      <w:r w:rsidRPr="001E2F31">
        <w:rPr>
          <w:rFonts w:eastAsia="Times New Roman"/>
          <w:lang w:val="hu-HU"/>
        </w:rPr>
        <w:t xml:space="preserve"> a p-érték a </w:t>
      </w:r>
      <w:r w:rsidRPr="008668A9">
        <w:rPr>
          <w:rFonts w:eastAsia="Times New Roman"/>
          <w:lang w:val="hu-HU"/>
        </w:rPr>
        <w:t>adalimumab</w:t>
      </w:r>
      <w:r w:rsidRPr="001E2F31">
        <w:rPr>
          <w:rFonts w:eastAsia="Times New Roman"/>
          <w:lang w:val="hu-HU"/>
        </w:rPr>
        <w:t xml:space="preserve"> monoterápia és a metotrexát </w:t>
      </w:r>
      <w:r w:rsidRPr="006B04DD">
        <w:rPr>
          <w:rFonts w:eastAsia="Times New Roman"/>
          <w:lang w:val="hu-HU"/>
        </w:rPr>
        <w:t>monoterápia</w:t>
      </w:r>
      <w:r w:rsidRPr="001E2F31">
        <w:rPr>
          <w:rFonts w:eastAsia="Times New Roman"/>
          <w:lang w:val="hu-HU"/>
        </w:rPr>
        <w:t xml:space="preserve"> páros összehasonlítása alapján Mann-Whitney U teszt szerint.</w:t>
      </w:r>
    </w:p>
    <w:p w14:paraId="75B07C86" w14:textId="77777777" w:rsidR="007F2986" w:rsidRDefault="007F2986" w:rsidP="007F2986">
      <w:pPr>
        <w:spacing w:before="8" w:line="170" w:lineRule="exact"/>
        <w:rPr>
          <w:sz w:val="17"/>
          <w:szCs w:val="17"/>
          <w:lang w:val="hu-HU"/>
        </w:rPr>
      </w:pPr>
    </w:p>
    <w:p w14:paraId="0EA605C3" w14:textId="77777777" w:rsidR="007F2986" w:rsidRDefault="007F2986" w:rsidP="007F2986">
      <w:pPr>
        <w:pStyle w:val="a3"/>
        <w:rPr>
          <w:lang w:val="hu-HU"/>
        </w:rPr>
      </w:pPr>
      <w:r>
        <w:rPr>
          <w:rFonts w:eastAsia="Times New Roman"/>
          <w:lang w:val="hu-HU"/>
        </w:rPr>
        <w:t xml:space="preserve">Ötvenkét, illetve 104 hétig tartó kezelés után a progresszió nélküli betegek százaléka (a módosított teljes Sharp-pontérték változása a kiinduláshoz képest </w:t>
      </w:r>
      <w:r>
        <w:rPr>
          <w:rFonts w:ascii="Symbol" w:eastAsia="Symbol" w:hAnsi="Symbol" w:cs="Symbol"/>
          <w:lang w:val="hu-HU"/>
        </w:rPr>
        <w:sym w:font="Symbol" w:char="F0A3"/>
      </w:r>
      <w:r>
        <w:rPr>
          <w:rFonts w:ascii="Symbol" w:eastAsia="Symbol" w:hAnsi="Symbol" w:cs="Symbol"/>
          <w:lang w:val="hu-HU"/>
        </w:rPr>
        <w:sym w:font="Symbol" w:char="F020"/>
      </w:r>
      <w:r>
        <w:rPr>
          <w:rFonts w:eastAsia="Times New Roman"/>
          <w:lang w:val="hu-HU"/>
        </w:rPr>
        <w:t>0,5) szignifikánsan magasabb volt az adalimumab/metotrexát kombinációs kezelésben részesült betegeknél (63,8%, illetve 61,2%, ebben a sorrendben) összehasonlítva a metotrexát-monoterápia eredményével (37,4% és 33,5%, p &lt; 0,001, ebben a sorrendben) és az adalimumab-monoterápiával (50,7%, p &lt; 0,002 és 44,5%, p &lt; 0,001, ebben a sorrendben).</w:t>
      </w:r>
    </w:p>
    <w:p w14:paraId="1237BEAB" w14:textId="77777777" w:rsidR="007F2986" w:rsidRDefault="007F2986" w:rsidP="007F2986">
      <w:pPr>
        <w:spacing w:before="10" w:line="240" w:lineRule="exact"/>
        <w:rPr>
          <w:sz w:val="24"/>
          <w:szCs w:val="24"/>
          <w:lang w:val="hu-HU"/>
        </w:rPr>
      </w:pPr>
    </w:p>
    <w:p w14:paraId="7F9A5BC4" w14:textId="77777777" w:rsidR="007F2986" w:rsidRDefault="007F2986" w:rsidP="007F2986">
      <w:pPr>
        <w:pStyle w:val="a3"/>
        <w:rPr>
          <w:lang w:val="hu-HU"/>
        </w:rPr>
      </w:pPr>
      <w:r>
        <w:rPr>
          <w:rFonts w:eastAsia="Times New Roman"/>
          <w:lang w:val="hu-HU"/>
        </w:rPr>
        <w:t>Az RA</w:t>
      </w:r>
      <w:r w:rsidDel="002A3904">
        <w:rPr>
          <w:rFonts w:eastAsia="Times New Roman"/>
          <w:b/>
          <w:bCs/>
          <w:lang w:val="hu-HU"/>
        </w:rPr>
        <w:t xml:space="preserve"> </w:t>
      </w:r>
      <w:r>
        <w:rPr>
          <w:rFonts w:eastAsia="Times New Roman"/>
          <w:lang w:val="hu-HU"/>
        </w:rPr>
        <w:t>V vizsgálat nyílt elrendezésű kiterjesztésének 10. évében a módosított teljes Sharp-pontérték átlagos változása a kiinduláshoz képest az eredetileg metotrexát-monoterápiára, adalimumab-monoterápiára és adalimumab/metotrexát kombinációs terápiára randomizált betegeknél sorrendben 10,8; 9,2 és 3,9 volt. A radiológiai progressziót nem mutató betegeknél az arány sorrendben 31,3%, 23,7% és 36,7% volt</w:t>
      </w:r>
    </w:p>
    <w:p w14:paraId="5FBF7080" w14:textId="77777777" w:rsidR="007F2986" w:rsidRDefault="007F2986" w:rsidP="007F2986">
      <w:pPr>
        <w:pStyle w:val="a3"/>
        <w:rPr>
          <w:sz w:val="24"/>
          <w:szCs w:val="24"/>
          <w:lang w:val="hu-HU"/>
        </w:rPr>
      </w:pPr>
    </w:p>
    <w:p w14:paraId="4E4BD9E8" w14:textId="77777777" w:rsidR="007F2986" w:rsidRDefault="007F2986" w:rsidP="007F2986">
      <w:pPr>
        <w:pStyle w:val="a3"/>
        <w:rPr>
          <w:rFonts w:eastAsia="Times New Roman"/>
          <w:lang w:val="hu-HU"/>
        </w:rPr>
      </w:pPr>
      <w:r>
        <w:rPr>
          <w:rFonts w:eastAsia="Times New Roman"/>
          <w:i/>
          <w:iCs/>
          <w:spacing w:val="-1"/>
          <w:u w:val="single" w:color="000000"/>
          <w:lang w:val="hu-HU"/>
        </w:rPr>
        <w:t>Életminőség és fizikai aktivitás</w:t>
      </w:r>
    </w:p>
    <w:p w14:paraId="4EF37957" w14:textId="77777777" w:rsidR="007F2986" w:rsidRDefault="007F2986" w:rsidP="007F2986">
      <w:pPr>
        <w:pStyle w:val="a3"/>
        <w:rPr>
          <w:sz w:val="18"/>
          <w:szCs w:val="18"/>
          <w:lang w:val="hu-HU"/>
        </w:rPr>
      </w:pPr>
    </w:p>
    <w:p w14:paraId="6D82D332" w14:textId="77777777" w:rsidR="007F2986" w:rsidRDefault="007F2986" w:rsidP="007F2986">
      <w:pPr>
        <w:pStyle w:val="a3"/>
        <w:rPr>
          <w:lang w:val="hu-HU"/>
        </w:rPr>
      </w:pPr>
      <w:r>
        <w:rPr>
          <w:rFonts w:eastAsia="Times New Roman"/>
          <w:lang w:val="hu-HU"/>
        </w:rPr>
        <w:t>Az Egészségfelmérő kérdőív (Health Assessment Questionnaire-HAQ) rokkantsági indexének segítségével a négy eredeti és megfelelő kontrollt alkalmazó vizsgálatban megvizsgálták az egészségfüggő életminőséget és fizikális működést, illetve az RA</w:t>
      </w:r>
      <w:r w:rsidRPr="009167C6">
        <w:rPr>
          <w:lang w:val="hu-HU"/>
        </w:rPr>
        <w:t> </w:t>
      </w:r>
      <w:r w:rsidDel="002A3904">
        <w:rPr>
          <w:rFonts w:eastAsia="Times New Roman"/>
          <w:b/>
          <w:bCs/>
          <w:lang w:val="hu-HU"/>
        </w:rPr>
        <w:t xml:space="preserve"> </w:t>
      </w:r>
      <w:r>
        <w:rPr>
          <w:rFonts w:eastAsia="Times New Roman"/>
          <w:lang w:val="hu-HU"/>
        </w:rPr>
        <w:t>III vizsgálatban ez egy előre megállapított elsődleges végpontja volt a vizsgálatnak az 52. héten. Az adalimumab, adagolási módtól és dózistól függetlenül, mind a négy vizsgálatban a kiinduláshoz viszonyítva a vizsgált hat hónap alatt statisztikailag szignifikáns javulást eredményezett a HAQ rokkantsági indexében</w:t>
      </w:r>
    </w:p>
    <w:p w14:paraId="4EED2823" w14:textId="77777777" w:rsidR="007F2986" w:rsidRDefault="007F2986" w:rsidP="007F2986">
      <w:pPr>
        <w:pStyle w:val="a3"/>
        <w:rPr>
          <w:lang w:val="hu-HU"/>
        </w:rPr>
      </w:pPr>
      <w:r>
        <w:rPr>
          <w:rFonts w:eastAsia="Times New Roman"/>
          <w:lang w:val="hu-HU"/>
        </w:rPr>
        <w:t>a placebóval összehasonlítva, és az RA</w:t>
      </w:r>
      <w:r w:rsidRPr="009167C6">
        <w:rPr>
          <w:lang w:val="hu-HU"/>
        </w:rPr>
        <w:t> </w:t>
      </w:r>
      <w:r w:rsidDel="002A3904">
        <w:rPr>
          <w:rFonts w:eastAsia="Times New Roman"/>
          <w:b/>
          <w:bCs/>
          <w:lang w:val="hu-HU"/>
        </w:rPr>
        <w:t xml:space="preserve"> </w:t>
      </w:r>
      <w:r>
        <w:rPr>
          <w:rFonts w:eastAsia="Times New Roman"/>
          <w:lang w:val="hu-HU"/>
        </w:rPr>
        <w:t>III. vizsgálatban ugyanezt észlelték az 52. héten. A Rövid Egészségfelmérés (Short Form Health Survey (SF 36) eredményei is alátámasztják a fentieket, a kéthetente alkalmazott 40 mg-os dózis esetében a fizikális komponensre (PCS) adott értékek, illetve a fájdalmat valamint a vitalitást mérő értékek is statisztikailag szignifikáns javulást mutattak. A krónikus betegségek terápiájának funkcionális felmérését szolgáló kérdőívben (FACIT) a fáradtságra adott értékek alapján statisztikailag jelentős javulás állapítható meg mindhárom vizsgálatban, amelyben ezt kiértékelték (RA I,  III,</w:t>
      </w:r>
      <w:r w:rsidRPr="009167C6">
        <w:rPr>
          <w:lang w:val="hu-HU"/>
        </w:rPr>
        <w:t xml:space="preserve"> </w:t>
      </w:r>
      <w:r>
        <w:rPr>
          <w:rFonts w:eastAsia="Times New Roman"/>
          <w:lang w:val="hu-HU"/>
        </w:rPr>
        <w:t>IV vizsgálatok).</w:t>
      </w:r>
    </w:p>
    <w:p w14:paraId="7B29B408" w14:textId="77777777" w:rsidR="007F2986" w:rsidRDefault="007F2986" w:rsidP="007F2986">
      <w:pPr>
        <w:pStyle w:val="a3"/>
        <w:rPr>
          <w:sz w:val="24"/>
          <w:szCs w:val="24"/>
          <w:lang w:val="hu-HU"/>
        </w:rPr>
      </w:pPr>
    </w:p>
    <w:p w14:paraId="09EC97A3" w14:textId="77777777" w:rsidR="007F2986" w:rsidRDefault="007F2986" w:rsidP="007F2986">
      <w:pPr>
        <w:pStyle w:val="a3"/>
        <w:rPr>
          <w:lang w:val="hu-HU"/>
        </w:rPr>
      </w:pPr>
      <w:r>
        <w:rPr>
          <w:rFonts w:eastAsia="Times New Roman"/>
          <w:lang w:val="hu-HU"/>
        </w:rPr>
        <w:t>Az RA</w:t>
      </w:r>
      <w:r w:rsidDel="002A3904">
        <w:rPr>
          <w:rFonts w:eastAsia="Times New Roman"/>
          <w:b/>
          <w:bCs/>
          <w:lang w:val="hu-HU"/>
        </w:rPr>
        <w:t xml:space="preserve"> </w:t>
      </w:r>
      <w:r>
        <w:rPr>
          <w:rFonts w:eastAsia="Times New Roman"/>
          <w:lang w:val="hu-HU"/>
        </w:rPr>
        <w:t>III vizsgálatban a nyílt kezelés során a betegek többsége, akiknél a fizikai funkció javulása volt megfigyelhető és folytatták a kezelést, a javulás 520 héten (120 hónap) keresztül fennmaradt. Az életminőség javulását legfeljebb 156 hétig (36 hónap) mérték, és a javulás ezalatt az idő alatt fennmaradt.</w:t>
      </w:r>
    </w:p>
    <w:p w14:paraId="5481FE16" w14:textId="77777777" w:rsidR="007F2986" w:rsidRDefault="007F2986" w:rsidP="007F2986">
      <w:pPr>
        <w:pStyle w:val="a3"/>
        <w:rPr>
          <w:sz w:val="24"/>
          <w:szCs w:val="24"/>
          <w:lang w:val="hu-HU"/>
        </w:rPr>
      </w:pPr>
    </w:p>
    <w:p w14:paraId="19FD82D6" w14:textId="77777777" w:rsidR="007F2986" w:rsidRDefault="007F2986" w:rsidP="007F2986">
      <w:pPr>
        <w:pStyle w:val="a3"/>
        <w:rPr>
          <w:lang w:val="hu-HU"/>
        </w:rPr>
      </w:pPr>
      <w:r>
        <w:rPr>
          <w:rFonts w:eastAsia="Times New Roman"/>
          <w:lang w:val="hu-HU"/>
        </w:rPr>
        <w:t>Az RA</w:t>
      </w:r>
      <w:r w:rsidRPr="009167C6">
        <w:rPr>
          <w:lang w:val="hu-HU"/>
        </w:rPr>
        <w:t> </w:t>
      </w:r>
      <w:r>
        <w:rPr>
          <w:rFonts w:eastAsia="Times New Roman"/>
          <w:lang w:val="hu-HU"/>
        </w:rPr>
        <w:t xml:space="preserve">V vizsgálatban az 52. héten a HAQ rokkantsági indexben és az SF 36 fizikai összetevőiben mutatkozó javulás nagyobb volt (p &lt; 0,001) az adalimumab/metotrexát kombinációs kezelést kapott csoportban, </w:t>
      </w:r>
      <w:r>
        <w:rPr>
          <w:rFonts w:eastAsia="Times New Roman"/>
          <w:i/>
          <w:iCs/>
          <w:lang w:val="hu-HU"/>
        </w:rPr>
        <w:t xml:space="preserve">mint </w:t>
      </w:r>
      <w:r>
        <w:rPr>
          <w:rFonts w:eastAsia="Times New Roman"/>
          <w:lang w:val="hu-HU"/>
        </w:rPr>
        <w:t>a metotrexát- és adalimumab-monoterápiákban. Ezek a változások a 104. hétig fennálltak. A 250 betegnél, akik befejezték a nyílt elrendezésű kiterjesztéses vizsgálatot, a fizikai funkció javulása a kezelés 10 éve alatt fennmaradt.</w:t>
      </w:r>
    </w:p>
    <w:p w14:paraId="55C088FC" w14:textId="77777777" w:rsidR="007F2986" w:rsidRDefault="007F2986" w:rsidP="007F2986">
      <w:pPr>
        <w:pStyle w:val="a3"/>
        <w:rPr>
          <w:sz w:val="24"/>
          <w:szCs w:val="24"/>
          <w:lang w:val="hu-HU"/>
        </w:rPr>
      </w:pPr>
    </w:p>
    <w:p w14:paraId="56541977" w14:textId="2F60E527" w:rsidR="007F2986" w:rsidRPr="005A05DE" w:rsidRDefault="00291FC8" w:rsidP="007F2986">
      <w:pPr>
        <w:pStyle w:val="a3"/>
        <w:rPr>
          <w:rFonts w:eastAsia="Times New Roman"/>
          <w:i/>
          <w:iCs/>
          <w:spacing w:val="-1"/>
          <w:lang w:val="hu-HU"/>
        </w:rPr>
      </w:pPr>
      <w:r w:rsidRPr="005A05DE">
        <w:rPr>
          <w:rFonts w:eastAsia="Times New Roman"/>
          <w:i/>
          <w:iCs/>
          <w:spacing w:val="-1"/>
          <w:lang w:val="hu-HU"/>
        </w:rPr>
        <w:t>Felnőttkori plakkosos psoriasis</w:t>
      </w:r>
    </w:p>
    <w:p w14:paraId="7361D5F9" w14:textId="77777777" w:rsidR="007F2986" w:rsidRDefault="007F2986" w:rsidP="007F2986">
      <w:pPr>
        <w:pStyle w:val="a3"/>
        <w:rPr>
          <w:sz w:val="24"/>
          <w:szCs w:val="24"/>
          <w:lang w:val="hu-HU"/>
        </w:rPr>
      </w:pPr>
    </w:p>
    <w:p w14:paraId="0B5AB94E" w14:textId="77777777" w:rsidR="007F2986" w:rsidRDefault="007F2986" w:rsidP="007F2986">
      <w:pPr>
        <w:pStyle w:val="a3"/>
        <w:rPr>
          <w:lang w:val="hu-HU"/>
        </w:rPr>
      </w:pPr>
      <w:r>
        <w:rPr>
          <w:rFonts w:eastAsia="Times New Roman"/>
          <w:lang w:val="hu-HU"/>
        </w:rPr>
        <w:t>Az adalimumab biztonságosságát és hatásosságát randomizált, kettős vak vizsgálatokban értékelték olyan krónikus, plakkos psoriasisban szenvedő felnőtt betegek körében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10% testfelület-érintettség és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 12, ill.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 10 Psoriasis Area and Severity Index [PASI]), akik szisztémás vagy fototerápiás kezelésre vártak. A Psoriasis I és</w:t>
      </w:r>
      <w:r w:rsidRPr="009167C6">
        <w:rPr>
          <w:lang w:val="hu-HU"/>
        </w:rPr>
        <w:t> </w:t>
      </w:r>
      <w:r>
        <w:rPr>
          <w:rFonts w:eastAsia="Times New Roman"/>
          <w:lang w:val="hu-HU"/>
        </w:rPr>
        <w:t xml:space="preserve"> II vizsgálatokba beválogatott betegek 73%-a kapott már korábban szisztémás kezelést vagy fototerápiát. Az adalimumab biztonságosságát és hatásosságát olyan közepesen súlyos-súlyos krónikus plakkos psoriasisban szenvedő felnőtt betegek körében is értékelték egy randomizált kettős vak vizsgálat során (Psoriasis III vizsgálat), akik egyidejűleg a kézfejet és/vagy a lábfejet érintő psoriasisban is szenvedtek és szisztémás kezelésre vártak.</w:t>
      </w:r>
    </w:p>
    <w:p w14:paraId="3283A4F4" w14:textId="77777777" w:rsidR="007F2986" w:rsidRDefault="007F2986" w:rsidP="007F2986">
      <w:pPr>
        <w:pStyle w:val="a3"/>
        <w:rPr>
          <w:lang w:val="hu-HU"/>
        </w:rPr>
      </w:pPr>
    </w:p>
    <w:p w14:paraId="7F5BE048" w14:textId="77777777" w:rsidR="007F2986" w:rsidRDefault="007F2986" w:rsidP="007F2986">
      <w:pPr>
        <w:pStyle w:val="a3"/>
        <w:rPr>
          <w:lang w:val="hu-HU"/>
        </w:rPr>
      </w:pPr>
      <w:r>
        <w:rPr>
          <w:rFonts w:eastAsia="Times New Roman"/>
          <w:lang w:val="hu-HU"/>
        </w:rPr>
        <w:t>A Psoriasis</w:t>
      </w:r>
      <w:r w:rsidDel="002A3904">
        <w:rPr>
          <w:rFonts w:eastAsia="Times New Roman"/>
          <w:b/>
          <w:bCs/>
          <w:lang w:val="hu-HU"/>
        </w:rPr>
        <w:t xml:space="preserve"> </w:t>
      </w:r>
      <w:r>
        <w:rPr>
          <w:rFonts w:eastAsia="Times New Roman"/>
          <w:lang w:val="hu-HU"/>
        </w:rPr>
        <w:t xml:space="preserve">I (REVEAL) vizsgálatban 1212 beteg állapotát értékelték három kezelési időszakban. Az „A” időszakban a betegek placebót vagy 80 mg kezdő dózisú adalimumabot kaptak, amelyet egy héttel a kezdő dózist követően minden második héten 40 mg adaggal folytattak. Tizenhat hetes kezelés után a legalább PASI 75 választ (a kiindulási értékhez képest legalább 75%-os PASI-pontszám-javulást) mutató betegek egy „B” időszakba léptek, amelyben nyílt elrendezésben, minden második héten 40 mg adalimumabot kaptak. A 33. héten </w:t>
      </w:r>
      <w:r>
        <w:rPr>
          <w:rFonts w:ascii="Symbol" w:eastAsia="Symbol" w:hAnsi="Symbol" w:cs="Symbol"/>
          <w:lang w:val="hu-HU"/>
        </w:rPr>
        <w:sym w:font="Symbol" w:char="F0B3"/>
      </w:r>
      <w:r>
        <w:rPr>
          <w:rFonts w:eastAsia="Times New Roman"/>
          <w:lang w:val="hu-HU"/>
        </w:rPr>
        <w:t>PASI 75 választ mutató és eredetileg az „A” időszakban aktív kezelést kapók közé randomizált betegeket a „C” időszakban újrarandomizálták, hogy további 19 héten át minden második héten 40 mg adalimumabot vagy placebót kapjanak. Minden kezelési csoportot figyelembe véve a kiindulási PASI-pontérték 18,9 volt, míg a kiindulási PGA-pontszám a „közepestől” (a vizsgálatban résztvevők 53%-a) a „súlyosig” (41%) és a „nagyon súlyosig” (6%) terjedt.</w:t>
      </w:r>
    </w:p>
    <w:p w14:paraId="02B81A7A" w14:textId="77777777" w:rsidR="007F2986" w:rsidRDefault="007F2986" w:rsidP="007F2986">
      <w:pPr>
        <w:spacing w:before="14" w:line="240" w:lineRule="exact"/>
        <w:rPr>
          <w:sz w:val="24"/>
          <w:szCs w:val="24"/>
          <w:lang w:val="hu-HU"/>
        </w:rPr>
      </w:pPr>
    </w:p>
    <w:p w14:paraId="6BDC7895" w14:textId="77777777" w:rsidR="007F2986" w:rsidRDefault="007F2986" w:rsidP="007F2986">
      <w:pPr>
        <w:pStyle w:val="a3"/>
        <w:rPr>
          <w:lang w:val="hu-HU"/>
        </w:rPr>
      </w:pPr>
      <w:r>
        <w:rPr>
          <w:rFonts w:eastAsia="Times New Roman"/>
          <w:lang w:val="hu-HU"/>
        </w:rPr>
        <w:t>A Psoriasis</w:t>
      </w:r>
      <w:r w:rsidDel="002A3904">
        <w:rPr>
          <w:rFonts w:eastAsia="Times New Roman"/>
          <w:b/>
          <w:bCs/>
          <w:lang w:val="hu-HU"/>
        </w:rPr>
        <w:t xml:space="preserve"> </w:t>
      </w:r>
      <w:r>
        <w:rPr>
          <w:rFonts w:eastAsia="Times New Roman"/>
          <w:lang w:val="hu-HU"/>
        </w:rPr>
        <w:t xml:space="preserve">II vizsgálatban (CHAMPION) az adalimumab hatásosságát és biztonságosságát a metotrexáttal és a placebóval </w:t>
      </w:r>
      <w:r>
        <w:rPr>
          <w:rFonts w:eastAsia="Times New Roman"/>
          <w:i/>
          <w:iCs/>
          <w:lang w:val="hu-HU"/>
        </w:rPr>
        <w:t xml:space="preserve">szemben </w:t>
      </w:r>
      <w:r>
        <w:rPr>
          <w:rFonts w:eastAsia="Times New Roman"/>
          <w:lang w:val="hu-HU"/>
        </w:rPr>
        <w:t xml:space="preserve">hasonlították össze 271 beteg esetében. A betegek placebót, egy kezdeti, 7,5 mg-os metotrexát-dózist kaptak, és azt követően az adagot legfeljebb a 12. hétig, 25 mg-os maximális dózisig emelték, vagy egy 80 mg-os adalimumab kezdő dózisban részesültek, amit 16 hétig kéthetente 40 mg-os adag követett (egy héttel a kezdő dózis beadása után kezdve). Nincs az adalimumab- és a metotrexát-kezelést 16 hétnél hosszabb idő után összehasonlító adat. A metotrexátot szedő és </w:t>
      </w:r>
      <w:r>
        <w:rPr>
          <w:rFonts w:ascii="Symbol" w:eastAsia="Symbol" w:hAnsi="Symbol" w:cs="Symbol"/>
          <w:lang w:val="hu-HU"/>
        </w:rPr>
        <w:sym w:font="Symbol" w:char="F0B3"/>
      </w:r>
      <w:r>
        <w:rPr>
          <w:rFonts w:eastAsia="Times New Roman"/>
          <w:lang w:val="hu-HU"/>
        </w:rPr>
        <w:t>PASI 50 választ a 8. és/vagy a 12. héten elérő betegeknél nem növelték tovább a dózist. Minden kezelési csoportot figyelembe véve az átlagos PASI-pontszám 19,7 volt, míg a kiindulási PGA-pontszám az „enyhétől” (&lt; 1%) a „közepesen át” (48%) a „súlyosig” (46%) és a „nagyon súlyosig” (6%) terjedt.</w:t>
      </w:r>
    </w:p>
    <w:p w14:paraId="040AEA2A" w14:textId="77777777" w:rsidR="007F2986" w:rsidRDefault="007F2986" w:rsidP="007F2986">
      <w:pPr>
        <w:spacing w:before="17" w:line="240" w:lineRule="exact"/>
        <w:rPr>
          <w:sz w:val="24"/>
          <w:szCs w:val="24"/>
          <w:lang w:val="hu-HU"/>
        </w:rPr>
      </w:pPr>
    </w:p>
    <w:p w14:paraId="31C60561" w14:textId="77777777" w:rsidR="007F2986" w:rsidRDefault="007F2986" w:rsidP="007F2986">
      <w:pPr>
        <w:pStyle w:val="a3"/>
        <w:rPr>
          <w:lang w:val="hu-HU"/>
        </w:rPr>
      </w:pPr>
      <w:r>
        <w:rPr>
          <w:rFonts w:eastAsia="Times New Roman"/>
          <w:lang w:val="hu-HU"/>
        </w:rPr>
        <w:t>Az összes</w:t>
      </w:r>
      <w:r w:rsidRPr="009167C6">
        <w:rPr>
          <w:lang w:val="hu-HU"/>
        </w:rPr>
        <w:t> </w:t>
      </w:r>
      <w:r w:rsidDel="002A3904">
        <w:rPr>
          <w:rFonts w:eastAsia="Times New Roman"/>
          <w:b/>
          <w:bCs/>
          <w:lang w:val="hu-HU"/>
        </w:rPr>
        <w:t xml:space="preserve"> </w:t>
      </w:r>
      <w:r>
        <w:rPr>
          <w:rFonts w:eastAsia="Times New Roman"/>
          <w:lang w:val="hu-HU"/>
        </w:rPr>
        <w:t xml:space="preserve">II. és </w:t>
      </w:r>
      <w:r w:rsidRPr="009167C6">
        <w:rPr>
          <w:lang w:val="hu-HU"/>
        </w:rPr>
        <w:t> </w:t>
      </w:r>
      <w:r w:rsidDel="002A3904">
        <w:rPr>
          <w:rFonts w:eastAsia="Times New Roman"/>
          <w:b/>
          <w:bCs/>
          <w:lang w:val="hu-HU"/>
        </w:rPr>
        <w:t xml:space="preserve"> </w:t>
      </w:r>
      <w:r>
        <w:rPr>
          <w:rFonts w:eastAsia="Times New Roman"/>
          <w:lang w:val="hu-HU"/>
        </w:rPr>
        <w:t>III. fázisú psoriasis vizsgálatban részt vevő beteg alkalmas volt egy nyílt elrendezésű kiterjesztéses vizsgálatba való beválogatásra, amelyben a adalimumabot legalább további 108 héten át adták.</w:t>
      </w:r>
    </w:p>
    <w:p w14:paraId="14C935F4" w14:textId="77777777" w:rsidR="007F2986" w:rsidRDefault="007F2986" w:rsidP="007F2986">
      <w:pPr>
        <w:spacing w:before="14" w:line="240" w:lineRule="exact"/>
        <w:rPr>
          <w:sz w:val="24"/>
          <w:szCs w:val="24"/>
          <w:lang w:val="hu-HU"/>
        </w:rPr>
      </w:pPr>
    </w:p>
    <w:p w14:paraId="062791B5" w14:textId="52833FB6" w:rsidR="007F2986" w:rsidRDefault="007F2986" w:rsidP="007F2986">
      <w:pPr>
        <w:pStyle w:val="a3"/>
        <w:rPr>
          <w:lang w:val="hu-HU"/>
        </w:rPr>
      </w:pPr>
      <w:r>
        <w:rPr>
          <w:rFonts w:eastAsia="Times New Roman"/>
          <w:lang w:val="hu-HU"/>
        </w:rPr>
        <w:t>A Psoriasis</w:t>
      </w:r>
      <w:r w:rsidRPr="009167C6">
        <w:rPr>
          <w:lang w:val="hu-HU"/>
        </w:rPr>
        <w:t> </w:t>
      </w:r>
      <w:r>
        <w:rPr>
          <w:rFonts w:eastAsia="Times New Roman"/>
          <w:lang w:val="hu-HU"/>
        </w:rPr>
        <w:t>I és</w:t>
      </w:r>
      <w:r w:rsidDel="002A3904">
        <w:rPr>
          <w:rFonts w:eastAsia="Times New Roman"/>
          <w:b/>
          <w:bCs/>
          <w:lang w:val="hu-HU"/>
        </w:rPr>
        <w:t xml:space="preserve"> </w:t>
      </w:r>
      <w:r>
        <w:rPr>
          <w:rFonts w:eastAsia="Times New Roman"/>
          <w:lang w:val="hu-HU"/>
        </w:rPr>
        <w:t xml:space="preserve">II vizsgálatokban az elsődleges végpont azon betegek aránya volt, akik a kiindulási időponttól a 16. hétig PASI 75 választ értek el (lásd </w:t>
      </w:r>
      <w:r w:rsidR="00291FC8">
        <w:rPr>
          <w:rFonts w:eastAsia="Times New Roman"/>
          <w:lang w:val="hu-HU"/>
        </w:rPr>
        <w:t>11</w:t>
      </w:r>
      <w:r>
        <w:rPr>
          <w:rFonts w:eastAsia="Times New Roman"/>
          <w:lang w:val="hu-HU"/>
        </w:rPr>
        <w:t xml:space="preserve">. és </w:t>
      </w:r>
      <w:r w:rsidR="00291FC8">
        <w:rPr>
          <w:rFonts w:eastAsia="Times New Roman"/>
          <w:lang w:val="hu-HU"/>
        </w:rPr>
        <w:t>12</w:t>
      </w:r>
      <w:r>
        <w:rPr>
          <w:rFonts w:eastAsia="Times New Roman"/>
          <w:lang w:val="hu-HU"/>
        </w:rPr>
        <w:t>. táblázat).</w:t>
      </w:r>
    </w:p>
    <w:p w14:paraId="370D8BD8" w14:textId="77777777" w:rsidR="007F2986" w:rsidRDefault="007F2986" w:rsidP="007F2986">
      <w:pPr>
        <w:rPr>
          <w:rFonts w:ascii="Times New Roman" w:hAnsi="Times New Roman" w:cs="Times New Roman"/>
          <w:b/>
          <w:lang w:val="hu-HU"/>
        </w:rPr>
      </w:pPr>
    </w:p>
    <w:p w14:paraId="311A84C3" w14:textId="77777777" w:rsidR="00AF1AD1" w:rsidRDefault="00AF1AD1" w:rsidP="007F2986">
      <w:pPr>
        <w:pStyle w:val="a3"/>
        <w:jc w:val="center"/>
        <w:rPr>
          <w:rFonts w:eastAsia="Times New Roman"/>
          <w:b/>
          <w:bCs/>
          <w:lang w:val="hu-HU"/>
        </w:rPr>
      </w:pPr>
    </w:p>
    <w:p w14:paraId="5649E868" w14:textId="77777777" w:rsidR="00AF1AD1" w:rsidRDefault="00AF1AD1" w:rsidP="007F2986">
      <w:pPr>
        <w:pStyle w:val="a3"/>
        <w:jc w:val="center"/>
        <w:rPr>
          <w:rFonts w:eastAsia="Times New Roman"/>
          <w:b/>
          <w:bCs/>
          <w:lang w:val="hu-HU"/>
        </w:rPr>
      </w:pPr>
    </w:p>
    <w:p w14:paraId="6C950F4D" w14:textId="77777777" w:rsidR="00AF1AD1" w:rsidRDefault="00AF1AD1" w:rsidP="007F2986">
      <w:pPr>
        <w:pStyle w:val="a3"/>
        <w:jc w:val="center"/>
        <w:rPr>
          <w:rFonts w:eastAsia="Times New Roman"/>
          <w:b/>
          <w:bCs/>
          <w:lang w:val="hu-HU"/>
        </w:rPr>
      </w:pPr>
    </w:p>
    <w:p w14:paraId="1DBAB510" w14:textId="4952124E" w:rsidR="007F2986" w:rsidRDefault="00291FC8" w:rsidP="007F2986">
      <w:pPr>
        <w:pStyle w:val="a3"/>
        <w:jc w:val="center"/>
        <w:rPr>
          <w:b/>
          <w:lang w:val="hu-HU"/>
        </w:rPr>
      </w:pPr>
      <w:r>
        <w:rPr>
          <w:rFonts w:eastAsia="Times New Roman"/>
          <w:b/>
          <w:bCs/>
          <w:lang w:val="hu-HU"/>
        </w:rPr>
        <w:t>11</w:t>
      </w:r>
      <w:r w:rsidR="007F2986">
        <w:rPr>
          <w:rFonts w:eastAsia="Times New Roman"/>
          <w:b/>
          <w:bCs/>
          <w:lang w:val="hu-HU"/>
        </w:rPr>
        <w:t>. táblázat</w:t>
      </w:r>
    </w:p>
    <w:p w14:paraId="1EC0E741" w14:textId="77777777" w:rsidR="007F2986" w:rsidRDefault="007F2986" w:rsidP="007F2986">
      <w:pPr>
        <w:pStyle w:val="a3"/>
        <w:jc w:val="center"/>
        <w:rPr>
          <w:rFonts w:eastAsia="Times New Roman"/>
          <w:b/>
          <w:bCs/>
          <w:lang w:val="hu-HU"/>
        </w:rPr>
      </w:pPr>
      <w:r>
        <w:rPr>
          <w:rFonts w:eastAsia="Times New Roman"/>
          <w:b/>
          <w:bCs/>
          <w:lang w:val="hu-HU"/>
        </w:rPr>
        <w:t>Psoriasis I (REVEAL) vizsgálat – Hatékonysági eredmények a 16. héten</w:t>
      </w:r>
    </w:p>
    <w:p w14:paraId="2B81CB61" w14:textId="77777777" w:rsidR="00AF1AD1" w:rsidRDefault="00AF1AD1" w:rsidP="007F2986">
      <w:pPr>
        <w:pStyle w:val="a3"/>
        <w:jc w:val="center"/>
        <w:rPr>
          <w:b/>
          <w:lang w:val="hu-HU"/>
        </w:rPr>
      </w:pPr>
    </w:p>
    <w:tbl>
      <w:tblPr>
        <w:tblStyle w:val="TableNormal1"/>
        <w:tblW w:w="0" w:type="auto"/>
        <w:tblInd w:w="1338" w:type="dxa"/>
        <w:tblLayout w:type="fixed"/>
        <w:tblLook w:val="01E0" w:firstRow="1" w:lastRow="1" w:firstColumn="1" w:lastColumn="1" w:noHBand="0" w:noVBand="0"/>
      </w:tblPr>
      <w:tblGrid>
        <w:gridCol w:w="2625"/>
        <w:gridCol w:w="1701"/>
        <w:gridCol w:w="2801"/>
      </w:tblGrid>
      <w:tr w:rsidR="007F2986" w14:paraId="1BB6C72D" w14:textId="77777777" w:rsidTr="00CC2E43">
        <w:tc>
          <w:tcPr>
            <w:tcW w:w="2625" w:type="dxa"/>
            <w:tcBorders>
              <w:top w:val="single" w:sz="5" w:space="0" w:color="000000"/>
              <w:left w:val="single" w:sz="5" w:space="0" w:color="000000"/>
              <w:bottom w:val="single" w:sz="5" w:space="0" w:color="000000"/>
              <w:right w:val="single" w:sz="5" w:space="0" w:color="000000"/>
            </w:tcBorders>
          </w:tcPr>
          <w:p w14:paraId="6974642E" w14:textId="77777777" w:rsidR="007F2986" w:rsidRDefault="007F2986" w:rsidP="00CC2E43">
            <w:pPr>
              <w:rPr>
                <w:lang w:val="hu-HU"/>
              </w:rPr>
            </w:pPr>
          </w:p>
        </w:tc>
        <w:tc>
          <w:tcPr>
            <w:tcW w:w="1701" w:type="dxa"/>
            <w:tcBorders>
              <w:top w:val="single" w:sz="5" w:space="0" w:color="000000"/>
              <w:left w:val="single" w:sz="5" w:space="0" w:color="000000"/>
              <w:bottom w:val="single" w:sz="5" w:space="0" w:color="000000"/>
              <w:right w:val="single" w:sz="5" w:space="0" w:color="000000"/>
            </w:tcBorders>
          </w:tcPr>
          <w:p w14:paraId="31342210" w14:textId="147A2078" w:rsidR="007F2986" w:rsidRDefault="007F2986" w:rsidP="00CC2E43">
            <w:pPr>
              <w:pStyle w:val="TableParagraph"/>
              <w:spacing w:before="3" w:line="252" w:lineRule="exact"/>
              <w:ind w:left="498" w:right="433" w:hanging="60"/>
              <w:jc w:val="both"/>
              <w:rPr>
                <w:rFonts w:ascii="Times New Roman" w:eastAsia="Times New Roman" w:hAnsi="Times New Roman" w:cs="Times New Roman"/>
                <w:b/>
                <w:bCs/>
                <w:spacing w:val="-1"/>
                <w:lang w:val="hu-HU"/>
              </w:rPr>
            </w:pPr>
            <w:r>
              <w:rPr>
                <w:rFonts w:ascii="Times New Roman" w:eastAsia="Times New Roman" w:hAnsi="Times New Roman" w:cs="Times New Roman"/>
                <w:b/>
                <w:bCs/>
                <w:lang w:val="hu-HU"/>
              </w:rPr>
              <w:t xml:space="preserve">Placebo </w:t>
            </w:r>
            <w:r w:rsidR="00860A8C">
              <w:rPr>
                <w:rFonts w:ascii="Times New Roman" w:eastAsia="Times New Roman" w:hAnsi="Times New Roman" w:cs="Times New Roman"/>
                <w:b/>
                <w:bCs/>
                <w:lang w:val="hu-HU"/>
              </w:rPr>
              <w:t>n</w:t>
            </w:r>
            <w:r>
              <w:rPr>
                <w:rFonts w:ascii="Times New Roman" w:eastAsia="Times New Roman" w:hAnsi="Times New Roman" w:cs="Times New Roman"/>
                <w:b/>
                <w:bCs/>
                <w:lang w:val="hu-HU"/>
              </w:rPr>
              <w:t>=398</w:t>
            </w:r>
          </w:p>
          <w:p w14:paraId="380B8220" w14:textId="77777777" w:rsidR="007F2986" w:rsidRDefault="007F2986" w:rsidP="00CC2E43">
            <w:pPr>
              <w:pStyle w:val="TableParagraph"/>
              <w:spacing w:before="3" w:line="252" w:lineRule="exact"/>
              <w:ind w:left="498" w:right="433" w:hanging="60"/>
              <w:jc w:val="center"/>
              <w:rPr>
                <w:rFonts w:ascii="Times New Roman" w:eastAsia="Times New Roman" w:hAnsi="Times New Roman" w:cs="Times New Roman"/>
                <w:lang w:val="hu-HU"/>
              </w:rPr>
            </w:pPr>
            <w:r>
              <w:rPr>
                <w:rFonts w:ascii="Times New Roman" w:eastAsia="Times New Roman" w:hAnsi="Times New Roman" w:cs="Times New Roman"/>
                <w:b/>
                <w:bCs/>
                <w:lang w:val="hu-HU"/>
              </w:rPr>
              <w:t>n (%)</w:t>
            </w:r>
          </w:p>
        </w:tc>
        <w:tc>
          <w:tcPr>
            <w:tcW w:w="2801" w:type="dxa"/>
            <w:tcBorders>
              <w:top w:val="single" w:sz="5" w:space="0" w:color="000000"/>
              <w:left w:val="single" w:sz="5" w:space="0" w:color="000000"/>
              <w:bottom w:val="single" w:sz="5" w:space="0" w:color="000000"/>
              <w:right w:val="single" w:sz="5" w:space="0" w:color="000000"/>
            </w:tcBorders>
          </w:tcPr>
          <w:p w14:paraId="2C8BD5F3" w14:textId="77777777" w:rsidR="007F2986" w:rsidRDefault="007F2986" w:rsidP="00CC2E43">
            <w:pPr>
              <w:pStyle w:val="TableParagraph"/>
              <w:ind w:left="113" w:right="113"/>
              <w:jc w:val="center"/>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 xml:space="preserve">Adalimumab 40 mg minden második héten </w:t>
            </w:r>
          </w:p>
          <w:p w14:paraId="0B9B9A55" w14:textId="2C3C4BB3" w:rsidR="007F2986" w:rsidRDefault="00860A8C" w:rsidP="00CC2E43">
            <w:pPr>
              <w:pStyle w:val="TableParagraph"/>
              <w:spacing w:before="3" w:line="252" w:lineRule="exact"/>
              <w:ind w:left="113" w:right="113"/>
              <w:jc w:val="center"/>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n</w:t>
            </w:r>
            <w:r w:rsidR="007F2986">
              <w:rPr>
                <w:rFonts w:ascii="Times New Roman" w:eastAsia="Times New Roman" w:hAnsi="Times New Roman" w:cs="Times New Roman"/>
                <w:b/>
                <w:bCs/>
                <w:spacing w:val="-1"/>
                <w:lang w:val="hu-HU"/>
              </w:rPr>
              <w:t>=814</w:t>
            </w:r>
          </w:p>
          <w:p w14:paraId="6B7C5431" w14:textId="77777777" w:rsidR="007F2986" w:rsidRDefault="007F2986" w:rsidP="00CC2E43">
            <w:pPr>
              <w:pStyle w:val="TableParagraph"/>
              <w:spacing w:before="3" w:line="252" w:lineRule="exact"/>
              <w:ind w:left="277" w:right="271"/>
              <w:jc w:val="center"/>
              <w:rPr>
                <w:rFonts w:ascii="Times New Roman" w:eastAsia="Times New Roman" w:hAnsi="Times New Roman" w:cs="Times New Roman"/>
                <w:lang w:val="hu-HU"/>
              </w:rPr>
            </w:pPr>
            <w:r>
              <w:rPr>
                <w:rFonts w:ascii="Times New Roman" w:eastAsia="Times New Roman" w:hAnsi="Times New Roman" w:cs="Times New Roman"/>
                <w:b/>
                <w:bCs/>
                <w:lang w:val="hu-HU"/>
              </w:rPr>
              <w:t>n (%)</w:t>
            </w:r>
          </w:p>
        </w:tc>
      </w:tr>
      <w:tr w:rsidR="007F2986" w14:paraId="3C64C224" w14:textId="77777777" w:rsidTr="00CC2E43">
        <w:tc>
          <w:tcPr>
            <w:tcW w:w="2625" w:type="dxa"/>
            <w:tcBorders>
              <w:top w:val="single" w:sz="5" w:space="0" w:color="000000"/>
              <w:left w:val="single" w:sz="5" w:space="0" w:color="000000"/>
              <w:bottom w:val="single" w:sz="5" w:space="0" w:color="000000"/>
              <w:right w:val="single" w:sz="5" w:space="0" w:color="000000"/>
            </w:tcBorders>
          </w:tcPr>
          <w:p w14:paraId="4E03C810" w14:textId="77777777" w:rsidR="007F2986" w:rsidRDefault="007F2986" w:rsidP="00CC2E43">
            <w:pPr>
              <w:pStyle w:val="TableParagraph"/>
              <w:spacing w:line="267" w:lineRule="exact"/>
              <w:ind w:left="320"/>
              <w:rPr>
                <w:rFonts w:ascii="Times New Roman" w:eastAsia="Times New Roman" w:hAnsi="Times New Roman" w:cs="Times New Roman"/>
                <w:sz w:val="14"/>
                <w:szCs w:val="14"/>
                <w:lang w:val="hu-HU"/>
              </w:rPr>
            </w:pPr>
            <w:r>
              <w:rPr>
                <w:rFonts w:ascii="Symbol" w:eastAsia="Symbol" w:hAnsi="Symbol" w:cs="Symbol"/>
                <w:b/>
                <w:bCs/>
                <w:lang w:val="hu-HU"/>
              </w:rPr>
              <w:sym w:font="Symbol" w:char="F0B3"/>
            </w:r>
            <w:r>
              <w:rPr>
                <w:rFonts w:ascii="Symbol" w:eastAsia="Symbol" w:hAnsi="Symbol" w:cs="Symbol"/>
                <w:b/>
                <w:bCs/>
                <w:lang w:val="hu-HU"/>
              </w:rPr>
              <w:sym w:font="Symbol" w:char="F020"/>
            </w:r>
            <w:r>
              <w:rPr>
                <w:rFonts w:ascii="Times New Roman" w:eastAsia="Times New Roman" w:hAnsi="Times New Roman" w:cs="Times New Roman"/>
                <w:b/>
                <w:bCs/>
                <w:lang w:val="hu-HU"/>
              </w:rPr>
              <w:t>PASI 75</w:t>
            </w:r>
            <w:r>
              <w:rPr>
                <w:rFonts w:ascii="Times New Roman" w:eastAsia="Times New Roman" w:hAnsi="Times New Roman" w:cs="Times New Roman"/>
                <w:b/>
                <w:bCs/>
                <w:sz w:val="14"/>
                <w:szCs w:val="14"/>
                <w:lang w:val="hu-HU"/>
              </w:rPr>
              <w:t>a</w:t>
            </w:r>
          </w:p>
        </w:tc>
        <w:tc>
          <w:tcPr>
            <w:tcW w:w="1701" w:type="dxa"/>
            <w:tcBorders>
              <w:top w:val="single" w:sz="5" w:space="0" w:color="000000"/>
              <w:left w:val="single" w:sz="5" w:space="0" w:color="000000"/>
              <w:bottom w:val="single" w:sz="5" w:space="0" w:color="000000"/>
              <w:right w:val="single" w:sz="5" w:space="0" w:color="000000"/>
            </w:tcBorders>
          </w:tcPr>
          <w:p w14:paraId="021EE8EE" w14:textId="77777777" w:rsidR="007F2986" w:rsidRDefault="007F2986" w:rsidP="00CC2E43">
            <w:pPr>
              <w:pStyle w:val="TableParagraph"/>
              <w:spacing w:line="246" w:lineRule="exact"/>
              <w:ind w:left="457"/>
              <w:rPr>
                <w:rFonts w:ascii="Times New Roman" w:eastAsia="Times New Roman" w:hAnsi="Times New Roman" w:cs="Times New Roman"/>
                <w:lang w:val="hu-HU"/>
              </w:rPr>
            </w:pPr>
            <w:r>
              <w:rPr>
                <w:rFonts w:ascii="Times New Roman" w:eastAsia="Times New Roman" w:hAnsi="Times New Roman" w:cs="Times New Roman"/>
                <w:spacing w:val="-1"/>
                <w:lang w:val="hu-HU"/>
              </w:rPr>
              <w:t>26 (6,5)</w:t>
            </w:r>
          </w:p>
        </w:tc>
        <w:tc>
          <w:tcPr>
            <w:tcW w:w="2801" w:type="dxa"/>
            <w:tcBorders>
              <w:top w:val="single" w:sz="5" w:space="0" w:color="000000"/>
              <w:left w:val="single" w:sz="5" w:space="0" w:color="000000"/>
              <w:bottom w:val="single" w:sz="5" w:space="0" w:color="000000"/>
              <w:right w:val="single" w:sz="5" w:space="0" w:color="000000"/>
            </w:tcBorders>
          </w:tcPr>
          <w:p w14:paraId="76DAA123" w14:textId="77777777" w:rsidR="007F2986" w:rsidRDefault="007F2986" w:rsidP="00CC2E43">
            <w:pPr>
              <w:pStyle w:val="TableParagraph"/>
              <w:spacing w:line="246" w:lineRule="exact"/>
              <w:ind w:left="678"/>
              <w:rPr>
                <w:rFonts w:ascii="Times New Roman" w:eastAsia="Times New Roman" w:hAnsi="Times New Roman" w:cs="Times New Roman"/>
                <w:sz w:val="14"/>
                <w:szCs w:val="14"/>
                <w:lang w:val="hu-HU"/>
              </w:rPr>
            </w:pPr>
            <w:r>
              <w:rPr>
                <w:rFonts w:ascii="Times New Roman" w:eastAsia="Times New Roman" w:hAnsi="Times New Roman" w:cs="Times New Roman"/>
                <w:spacing w:val="-1"/>
                <w:lang w:val="hu-HU"/>
              </w:rPr>
              <w:t>578 (70,9)</w:t>
            </w:r>
            <w:r w:rsidRPr="009167C6">
              <w:rPr>
                <w:rFonts w:ascii="Times New Roman" w:eastAsia="Times New Roman" w:hAnsi="Times New Roman" w:cs="Times New Roman"/>
                <w:spacing w:val="-1"/>
                <w:vertAlign w:val="superscript"/>
                <w:lang w:val="hu-HU"/>
              </w:rPr>
              <w:t>b</w:t>
            </w:r>
          </w:p>
        </w:tc>
      </w:tr>
      <w:tr w:rsidR="007F2986" w14:paraId="0F03A423" w14:textId="77777777" w:rsidTr="00CC2E43">
        <w:tc>
          <w:tcPr>
            <w:tcW w:w="2625" w:type="dxa"/>
            <w:tcBorders>
              <w:top w:val="single" w:sz="5" w:space="0" w:color="000000"/>
              <w:left w:val="single" w:sz="5" w:space="0" w:color="000000"/>
              <w:bottom w:val="single" w:sz="5" w:space="0" w:color="000000"/>
              <w:right w:val="single" w:sz="5" w:space="0" w:color="000000"/>
            </w:tcBorders>
          </w:tcPr>
          <w:p w14:paraId="0078A464" w14:textId="77777777" w:rsidR="007F2986" w:rsidRDefault="007F2986" w:rsidP="00CC2E43">
            <w:pPr>
              <w:pStyle w:val="TableParagraph"/>
              <w:spacing w:line="251" w:lineRule="exact"/>
              <w:ind w:left="323"/>
              <w:rPr>
                <w:rFonts w:ascii="Times New Roman" w:eastAsia="Times New Roman" w:hAnsi="Times New Roman" w:cs="Times New Roman"/>
                <w:lang w:val="hu-HU"/>
              </w:rPr>
            </w:pPr>
            <w:r>
              <w:rPr>
                <w:rFonts w:ascii="Times New Roman" w:eastAsia="Times New Roman" w:hAnsi="Times New Roman" w:cs="Times New Roman"/>
                <w:b/>
                <w:bCs/>
                <w:spacing w:val="-1"/>
                <w:lang w:val="hu-HU"/>
              </w:rPr>
              <w:t>PASI 100</w:t>
            </w:r>
          </w:p>
        </w:tc>
        <w:tc>
          <w:tcPr>
            <w:tcW w:w="1701" w:type="dxa"/>
            <w:tcBorders>
              <w:top w:val="single" w:sz="5" w:space="0" w:color="000000"/>
              <w:left w:val="single" w:sz="5" w:space="0" w:color="000000"/>
              <w:bottom w:val="single" w:sz="5" w:space="0" w:color="000000"/>
              <w:right w:val="single" w:sz="5" w:space="0" w:color="000000"/>
            </w:tcBorders>
          </w:tcPr>
          <w:p w14:paraId="2F47447B" w14:textId="77777777" w:rsidR="007F2986" w:rsidRDefault="007F2986" w:rsidP="00CC2E43">
            <w:pPr>
              <w:pStyle w:val="TableParagraph"/>
              <w:spacing w:line="246" w:lineRule="exact"/>
              <w:ind w:left="512"/>
              <w:rPr>
                <w:rFonts w:ascii="Times New Roman" w:eastAsia="Times New Roman" w:hAnsi="Times New Roman" w:cs="Times New Roman"/>
                <w:lang w:val="hu-HU"/>
              </w:rPr>
            </w:pPr>
            <w:r>
              <w:rPr>
                <w:rFonts w:ascii="Times New Roman" w:eastAsia="Times New Roman" w:hAnsi="Times New Roman" w:cs="Times New Roman"/>
                <w:lang w:val="hu-HU"/>
              </w:rPr>
              <w:t>3 (0,8)</w:t>
            </w:r>
          </w:p>
        </w:tc>
        <w:tc>
          <w:tcPr>
            <w:tcW w:w="2801" w:type="dxa"/>
            <w:tcBorders>
              <w:top w:val="single" w:sz="5" w:space="0" w:color="000000"/>
              <w:left w:val="single" w:sz="5" w:space="0" w:color="000000"/>
              <w:bottom w:val="single" w:sz="5" w:space="0" w:color="000000"/>
              <w:right w:val="single" w:sz="5" w:space="0" w:color="000000"/>
            </w:tcBorders>
          </w:tcPr>
          <w:p w14:paraId="5C1AE658" w14:textId="77777777" w:rsidR="007F2986" w:rsidRDefault="007F2986" w:rsidP="00CC2E43">
            <w:pPr>
              <w:pStyle w:val="TableParagraph"/>
              <w:spacing w:line="246" w:lineRule="exact"/>
              <w:ind w:left="678"/>
              <w:rPr>
                <w:rFonts w:ascii="Times New Roman" w:eastAsia="Times New Roman" w:hAnsi="Times New Roman" w:cs="Times New Roman"/>
                <w:sz w:val="14"/>
                <w:szCs w:val="14"/>
                <w:lang w:val="hu-HU"/>
              </w:rPr>
            </w:pPr>
            <w:r>
              <w:rPr>
                <w:rFonts w:ascii="Times New Roman" w:eastAsia="Times New Roman" w:hAnsi="Times New Roman" w:cs="Times New Roman"/>
                <w:spacing w:val="-1"/>
                <w:lang w:val="hu-HU"/>
              </w:rPr>
              <w:t>163 (20,0)</w:t>
            </w:r>
            <w:r w:rsidRPr="009167C6">
              <w:rPr>
                <w:rFonts w:ascii="Times New Roman" w:eastAsia="Times New Roman" w:hAnsi="Times New Roman" w:cs="Times New Roman"/>
                <w:spacing w:val="-1"/>
                <w:vertAlign w:val="superscript"/>
                <w:lang w:val="hu-HU"/>
              </w:rPr>
              <w:t>b</w:t>
            </w:r>
          </w:p>
        </w:tc>
      </w:tr>
      <w:tr w:rsidR="007F2986" w14:paraId="1E6BC3F2" w14:textId="77777777" w:rsidTr="00CC2E43">
        <w:tc>
          <w:tcPr>
            <w:tcW w:w="2625" w:type="dxa"/>
            <w:tcBorders>
              <w:top w:val="single" w:sz="5" w:space="0" w:color="000000"/>
              <w:left w:val="single" w:sz="5" w:space="0" w:color="000000"/>
              <w:bottom w:val="single" w:sz="5" w:space="0" w:color="000000"/>
              <w:right w:val="single" w:sz="5" w:space="0" w:color="000000"/>
            </w:tcBorders>
          </w:tcPr>
          <w:p w14:paraId="19BC8C90" w14:textId="77777777" w:rsidR="007F2986" w:rsidRDefault="007F2986" w:rsidP="00CC2E43">
            <w:pPr>
              <w:pStyle w:val="TableParagraph"/>
              <w:spacing w:line="250" w:lineRule="exact"/>
              <w:ind w:left="323"/>
              <w:rPr>
                <w:rFonts w:ascii="Times New Roman" w:eastAsia="Times New Roman" w:hAnsi="Times New Roman" w:cs="Times New Roman"/>
                <w:lang w:val="hu-HU"/>
              </w:rPr>
            </w:pPr>
            <w:r>
              <w:rPr>
                <w:rFonts w:ascii="Times New Roman" w:eastAsia="Times New Roman" w:hAnsi="Times New Roman" w:cs="Times New Roman"/>
                <w:b/>
                <w:bCs/>
                <w:spacing w:val="-1"/>
                <w:lang w:val="hu-HU"/>
              </w:rPr>
              <w:t>PGA:tiszta/minimális</w:t>
            </w:r>
          </w:p>
        </w:tc>
        <w:tc>
          <w:tcPr>
            <w:tcW w:w="1701" w:type="dxa"/>
            <w:tcBorders>
              <w:top w:val="single" w:sz="5" w:space="0" w:color="000000"/>
              <w:left w:val="single" w:sz="5" w:space="0" w:color="000000"/>
              <w:bottom w:val="single" w:sz="5" w:space="0" w:color="000000"/>
              <w:right w:val="single" w:sz="5" w:space="0" w:color="000000"/>
            </w:tcBorders>
          </w:tcPr>
          <w:p w14:paraId="71692C7A" w14:textId="77777777" w:rsidR="007F2986" w:rsidRDefault="007F2986" w:rsidP="00CC2E43">
            <w:pPr>
              <w:pStyle w:val="TableParagraph"/>
              <w:spacing w:line="246" w:lineRule="exact"/>
              <w:ind w:left="457"/>
              <w:rPr>
                <w:rFonts w:ascii="Times New Roman" w:eastAsia="Times New Roman" w:hAnsi="Times New Roman" w:cs="Times New Roman"/>
                <w:lang w:val="hu-HU"/>
              </w:rPr>
            </w:pPr>
            <w:r>
              <w:rPr>
                <w:rFonts w:ascii="Times New Roman" w:eastAsia="Times New Roman" w:hAnsi="Times New Roman" w:cs="Times New Roman"/>
                <w:spacing w:val="-1"/>
                <w:lang w:val="hu-HU"/>
              </w:rPr>
              <w:t>17 (4,3)</w:t>
            </w:r>
          </w:p>
        </w:tc>
        <w:tc>
          <w:tcPr>
            <w:tcW w:w="2801" w:type="dxa"/>
            <w:tcBorders>
              <w:top w:val="single" w:sz="5" w:space="0" w:color="000000"/>
              <w:left w:val="single" w:sz="5" w:space="0" w:color="000000"/>
              <w:bottom w:val="single" w:sz="5" w:space="0" w:color="000000"/>
              <w:right w:val="single" w:sz="5" w:space="0" w:color="000000"/>
            </w:tcBorders>
          </w:tcPr>
          <w:p w14:paraId="6ADC3F0D" w14:textId="77777777" w:rsidR="007F2986" w:rsidRDefault="007F2986" w:rsidP="00CC2E43">
            <w:pPr>
              <w:pStyle w:val="TableParagraph"/>
              <w:spacing w:line="246" w:lineRule="exact"/>
              <w:ind w:left="678"/>
              <w:rPr>
                <w:rFonts w:ascii="Times New Roman" w:eastAsia="Times New Roman" w:hAnsi="Times New Roman" w:cs="Times New Roman"/>
                <w:sz w:val="14"/>
                <w:szCs w:val="14"/>
                <w:lang w:val="hu-HU"/>
              </w:rPr>
            </w:pPr>
            <w:r>
              <w:rPr>
                <w:rFonts w:ascii="Times New Roman" w:eastAsia="Times New Roman" w:hAnsi="Times New Roman" w:cs="Times New Roman"/>
                <w:spacing w:val="-1"/>
                <w:lang w:val="hu-HU"/>
              </w:rPr>
              <w:t>506 (62,2)</w:t>
            </w:r>
            <w:r w:rsidRPr="009167C6">
              <w:rPr>
                <w:rFonts w:ascii="Times New Roman" w:eastAsia="Times New Roman" w:hAnsi="Times New Roman" w:cs="Times New Roman"/>
                <w:spacing w:val="-1"/>
                <w:vertAlign w:val="superscript"/>
                <w:lang w:val="hu-HU"/>
              </w:rPr>
              <w:t>b</w:t>
            </w:r>
          </w:p>
        </w:tc>
      </w:tr>
      <w:tr w:rsidR="007F2986" w14:paraId="727BCA74" w14:textId="77777777" w:rsidTr="00CC2E43">
        <w:tc>
          <w:tcPr>
            <w:tcW w:w="7127" w:type="dxa"/>
            <w:gridSpan w:val="3"/>
            <w:tcBorders>
              <w:top w:val="single" w:sz="5" w:space="0" w:color="000000"/>
              <w:left w:val="single" w:sz="5" w:space="0" w:color="000000"/>
              <w:bottom w:val="single" w:sz="5" w:space="0" w:color="000000"/>
              <w:right w:val="single" w:sz="5" w:space="0" w:color="000000"/>
            </w:tcBorders>
          </w:tcPr>
          <w:p w14:paraId="2748D5E2" w14:textId="77777777" w:rsidR="007F2986" w:rsidRPr="00CF5D7A" w:rsidRDefault="007F2986" w:rsidP="00CC2E43">
            <w:pPr>
              <w:pStyle w:val="TableParagraph"/>
              <w:ind w:left="102"/>
              <w:rPr>
                <w:rFonts w:ascii="Times New Roman" w:eastAsia="Times New Roman" w:hAnsi="Times New Roman" w:cs="Times New Roman"/>
                <w:lang w:val="hu-HU"/>
              </w:rPr>
            </w:pPr>
            <w:r w:rsidRPr="009167C6">
              <w:rPr>
                <w:rFonts w:ascii="Times New Roman" w:eastAsia="Times New Roman" w:hAnsi="Times New Roman" w:cs="Times New Roman"/>
                <w:position w:val="8"/>
                <w:vertAlign w:val="superscript"/>
                <w:lang w:val="hu-HU"/>
              </w:rPr>
              <w:t>a</w:t>
            </w:r>
            <w:r w:rsidRPr="009167C6">
              <w:rPr>
                <w:rFonts w:ascii="Times New Roman" w:eastAsia="Times New Roman" w:hAnsi="Times New Roman" w:cs="Times New Roman"/>
                <w:position w:val="8"/>
                <w:lang w:val="hu-HU"/>
              </w:rPr>
              <w:t xml:space="preserve"> </w:t>
            </w:r>
            <w:r w:rsidRPr="00CF5D7A">
              <w:rPr>
                <w:rFonts w:ascii="Times New Roman" w:eastAsia="Times New Roman" w:hAnsi="Times New Roman" w:cs="Times New Roman"/>
                <w:position w:val="8"/>
                <w:lang w:val="hu-HU"/>
              </w:rPr>
              <w:t xml:space="preserve">A PASI 75 választ elért betegek százalékos aránya középértékre korrigált arány </w:t>
            </w:r>
            <w:r w:rsidRPr="009167C6">
              <w:rPr>
                <w:rFonts w:ascii="Times New Roman" w:eastAsia="Times New Roman" w:hAnsi="Times New Roman" w:cs="Times New Roman"/>
                <w:spacing w:val="-1"/>
                <w:position w:val="8"/>
                <w:lang w:val="hu-HU"/>
              </w:rPr>
              <w:t>formájában</w:t>
            </w:r>
            <w:r w:rsidRPr="00CF5D7A">
              <w:rPr>
                <w:rFonts w:ascii="Times New Roman" w:eastAsia="Times New Roman" w:hAnsi="Times New Roman" w:cs="Times New Roman"/>
                <w:spacing w:val="-1"/>
                <w:lang w:val="hu-HU"/>
              </w:rPr>
              <w:t xml:space="preserve"> </w:t>
            </w:r>
            <w:r w:rsidRPr="009167C6">
              <w:rPr>
                <w:rFonts w:ascii="Times New Roman" w:eastAsia="Times New Roman" w:hAnsi="Times New Roman" w:cs="Times New Roman"/>
                <w:spacing w:val="-1"/>
                <w:position w:val="8"/>
                <w:lang w:val="hu-HU"/>
              </w:rPr>
              <w:t>került</w:t>
            </w:r>
            <w:r w:rsidRPr="00CF5D7A">
              <w:rPr>
                <w:rFonts w:ascii="Times New Roman" w:eastAsia="Times New Roman" w:hAnsi="Times New Roman" w:cs="Times New Roman"/>
                <w:spacing w:val="-1"/>
                <w:lang w:val="hu-HU"/>
              </w:rPr>
              <w:t xml:space="preserve"> </w:t>
            </w:r>
            <w:r w:rsidRPr="009167C6">
              <w:rPr>
                <w:rFonts w:ascii="Times New Roman" w:eastAsia="Times New Roman" w:hAnsi="Times New Roman" w:cs="Times New Roman"/>
                <w:position w:val="8"/>
                <w:lang w:val="hu-HU"/>
              </w:rPr>
              <w:t>kiszámításra</w:t>
            </w:r>
          </w:p>
          <w:p w14:paraId="30421712" w14:textId="77777777" w:rsidR="007F2986" w:rsidRDefault="007F2986" w:rsidP="00CC2E43">
            <w:pPr>
              <w:pStyle w:val="TableParagraph"/>
              <w:ind w:left="102"/>
              <w:rPr>
                <w:rFonts w:ascii="Times New Roman" w:eastAsia="Times New Roman" w:hAnsi="Times New Roman" w:cs="Times New Roman"/>
                <w:lang w:val="hu-HU"/>
              </w:rPr>
            </w:pPr>
            <w:r w:rsidRPr="009167C6">
              <w:rPr>
                <w:rFonts w:ascii="Times New Roman" w:eastAsia="Times New Roman" w:hAnsi="Times New Roman" w:cs="Times New Roman"/>
                <w:position w:val="8"/>
                <w:vertAlign w:val="superscript"/>
                <w:lang w:val="hu-HU"/>
              </w:rPr>
              <w:t xml:space="preserve">b </w:t>
            </w:r>
            <w:r w:rsidRPr="00CF5D7A">
              <w:rPr>
                <w:rFonts w:ascii="Times New Roman" w:eastAsia="Times New Roman" w:hAnsi="Times New Roman" w:cs="Times New Roman"/>
                <w:position w:val="8"/>
                <w:lang w:val="hu-HU"/>
              </w:rPr>
              <w:t>p &lt; 0,001, adalimumab vs. placebo</w:t>
            </w:r>
          </w:p>
        </w:tc>
      </w:tr>
    </w:tbl>
    <w:p w14:paraId="1212B7D5" w14:textId="77777777" w:rsidR="007F2986" w:rsidRDefault="007F2986" w:rsidP="007F2986">
      <w:pPr>
        <w:spacing w:line="110" w:lineRule="exact"/>
        <w:rPr>
          <w:sz w:val="11"/>
          <w:szCs w:val="11"/>
          <w:lang w:val="hu-HU"/>
        </w:rPr>
      </w:pPr>
    </w:p>
    <w:p w14:paraId="73232B3C" w14:textId="77777777" w:rsidR="007F2986" w:rsidRDefault="007F2986" w:rsidP="007F2986">
      <w:pPr>
        <w:spacing w:before="3" w:line="170" w:lineRule="exact"/>
        <w:rPr>
          <w:sz w:val="17"/>
          <w:szCs w:val="17"/>
          <w:lang w:val="hu-HU"/>
        </w:rPr>
      </w:pPr>
    </w:p>
    <w:p w14:paraId="273E9A3B" w14:textId="77777777" w:rsidR="007F2986" w:rsidRDefault="007F2986" w:rsidP="007F2986">
      <w:pPr>
        <w:spacing w:before="3" w:line="170" w:lineRule="exact"/>
        <w:rPr>
          <w:sz w:val="17"/>
          <w:szCs w:val="17"/>
          <w:lang w:val="hu-HU"/>
        </w:rPr>
      </w:pPr>
    </w:p>
    <w:p w14:paraId="27AF7F9C" w14:textId="2936B7D3" w:rsidR="007F2986" w:rsidRDefault="00291FC8" w:rsidP="007F2986">
      <w:pPr>
        <w:pStyle w:val="a3"/>
        <w:jc w:val="center"/>
        <w:rPr>
          <w:b/>
          <w:lang w:val="hu-HU"/>
        </w:rPr>
      </w:pPr>
      <w:r>
        <w:rPr>
          <w:rFonts w:eastAsia="Times New Roman"/>
          <w:b/>
          <w:bCs/>
          <w:lang w:val="hu-HU"/>
        </w:rPr>
        <w:t>12</w:t>
      </w:r>
      <w:r w:rsidR="007F2986">
        <w:rPr>
          <w:rFonts w:eastAsia="Times New Roman"/>
          <w:b/>
          <w:bCs/>
          <w:lang w:val="hu-HU"/>
        </w:rPr>
        <w:t>. táblázat</w:t>
      </w:r>
    </w:p>
    <w:p w14:paraId="12BF43AA" w14:textId="77777777" w:rsidR="007F2986" w:rsidRDefault="007F2986" w:rsidP="007F2986">
      <w:pPr>
        <w:pStyle w:val="a3"/>
        <w:jc w:val="center"/>
        <w:rPr>
          <w:rFonts w:eastAsia="Times New Roman"/>
          <w:b/>
          <w:bCs/>
          <w:lang w:val="hu-HU"/>
        </w:rPr>
      </w:pPr>
      <w:r>
        <w:rPr>
          <w:rFonts w:eastAsia="Times New Roman"/>
          <w:b/>
          <w:bCs/>
          <w:lang w:val="hu-HU"/>
        </w:rPr>
        <w:t>Psoriasis</w:t>
      </w:r>
      <w:r w:rsidRPr="000F4DB4">
        <w:t> </w:t>
      </w:r>
      <w:r>
        <w:rPr>
          <w:rFonts w:eastAsia="Times New Roman"/>
          <w:b/>
          <w:bCs/>
          <w:lang w:val="hu-HU"/>
        </w:rPr>
        <w:t>II (CHAMPION) vizsgálat – Hatékonysági eredmények a 16. héten</w:t>
      </w:r>
    </w:p>
    <w:p w14:paraId="1FECA8BD" w14:textId="77777777" w:rsidR="00AF1AD1" w:rsidRDefault="00AF1AD1" w:rsidP="007F2986">
      <w:pPr>
        <w:pStyle w:val="a3"/>
        <w:jc w:val="center"/>
        <w:rPr>
          <w:b/>
          <w:lang w:val="hu-HU"/>
        </w:rPr>
      </w:pPr>
    </w:p>
    <w:tbl>
      <w:tblPr>
        <w:tblStyle w:val="ac"/>
        <w:tblW w:w="9439" w:type="dxa"/>
        <w:tblInd w:w="111" w:type="dxa"/>
        <w:tblLayout w:type="fixed"/>
        <w:tblLook w:val="04A0" w:firstRow="1" w:lastRow="0" w:firstColumn="1" w:lastColumn="0" w:noHBand="0" w:noVBand="1"/>
      </w:tblPr>
      <w:tblGrid>
        <w:gridCol w:w="2294"/>
        <w:gridCol w:w="2197"/>
        <w:gridCol w:w="2197"/>
        <w:gridCol w:w="2751"/>
      </w:tblGrid>
      <w:tr w:rsidR="007F2986" w14:paraId="397C9F8B" w14:textId="77777777" w:rsidTr="00CC2E43">
        <w:tc>
          <w:tcPr>
            <w:tcW w:w="2294" w:type="dxa"/>
            <w:vAlign w:val="center"/>
          </w:tcPr>
          <w:p w14:paraId="4E9388E1" w14:textId="77777777" w:rsidR="007F2986" w:rsidRDefault="007F2986" w:rsidP="00CC2E43">
            <w:pPr>
              <w:pStyle w:val="a3"/>
              <w:rPr>
                <w:lang w:val="hu-HU"/>
              </w:rPr>
            </w:pPr>
          </w:p>
        </w:tc>
        <w:tc>
          <w:tcPr>
            <w:tcW w:w="2197" w:type="dxa"/>
            <w:vAlign w:val="center"/>
          </w:tcPr>
          <w:p w14:paraId="0CF6FB74" w14:textId="2030DD08" w:rsidR="007F2986" w:rsidRDefault="007F2986" w:rsidP="00CC2E43">
            <w:pPr>
              <w:pStyle w:val="TableParagraph"/>
              <w:spacing w:before="4" w:line="252" w:lineRule="exact"/>
              <w:ind w:left="459" w:right="459"/>
              <w:jc w:val="center"/>
              <w:rPr>
                <w:rFonts w:ascii="Times New Roman" w:eastAsia="Times New Roman" w:hAnsi="Times New Roman" w:cs="Times New Roman"/>
                <w:b/>
                <w:bCs/>
                <w:spacing w:val="-1"/>
                <w:lang w:val="hu-HU"/>
              </w:rPr>
            </w:pPr>
            <w:r>
              <w:rPr>
                <w:rFonts w:ascii="Times New Roman" w:eastAsia="Times New Roman" w:hAnsi="Times New Roman" w:cs="Times New Roman"/>
                <w:b/>
                <w:bCs/>
                <w:lang w:val="hu-HU"/>
              </w:rPr>
              <w:t xml:space="preserve">Placebo </w:t>
            </w:r>
            <w:r w:rsidR="00860A8C">
              <w:rPr>
                <w:rFonts w:ascii="Times New Roman" w:eastAsia="Times New Roman" w:hAnsi="Times New Roman" w:cs="Times New Roman"/>
                <w:b/>
                <w:bCs/>
                <w:lang w:val="hu-HU"/>
              </w:rPr>
              <w:t>n</w:t>
            </w:r>
            <w:r>
              <w:rPr>
                <w:rFonts w:ascii="Times New Roman" w:eastAsia="Times New Roman" w:hAnsi="Times New Roman" w:cs="Times New Roman"/>
                <w:b/>
                <w:bCs/>
                <w:lang w:val="hu-HU"/>
              </w:rPr>
              <w:t>=53</w:t>
            </w:r>
          </w:p>
          <w:p w14:paraId="7A195133" w14:textId="77777777" w:rsidR="007F2986" w:rsidRDefault="007F2986" w:rsidP="00CC2E43">
            <w:pPr>
              <w:pStyle w:val="TableParagraph"/>
              <w:spacing w:before="4" w:line="252" w:lineRule="exact"/>
              <w:ind w:left="459" w:right="459"/>
              <w:jc w:val="center"/>
              <w:rPr>
                <w:b/>
                <w:lang w:val="hu-HU"/>
              </w:rPr>
            </w:pPr>
            <w:r>
              <w:rPr>
                <w:rFonts w:ascii="Times New Roman" w:eastAsia="Times New Roman" w:hAnsi="Times New Roman" w:cs="Times New Roman"/>
                <w:b/>
                <w:bCs/>
                <w:lang w:val="hu-HU"/>
              </w:rPr>
              <w:t>n (%)</w:t>
            </w:r>
          </w:p>
        </w:tc>
        <w:tc>
          <w:tcPr>
            <w:tcW w:w="2197" w:type="dxa"/>
            <w:vAlign w:val="center"/>
          </w:tcPr>
          <w:p w14:paraId="384D1D58" w14:textId="77777777" w:rsidR="007F2986" w:rsidRDefault="007F2986" w:rsidP="00CC2E43">
            <w:pPr>
              <w:pStyle w:val="a3"/>
              <w:jc w:val="center"/>
              <w:rPr>
                <w:b/>
                <w:lang w:val="hu-HU"/>
              </w:rPr>
            </w:pPr>
            <w:r>
              <w:rPr>
                <w:rFonts w:eastAsia="Times New Roman"/>
                <w:b/>
                <w:bCs/>
                <w:lang w:val="hu-HU"/>
              </w:rPr>
              <w:t>MTX</w:t>
            </w:r>
          </w:p>
          <w:p w14:paraId="016B90B7" w14:textId="0D9C4EEE" w:rsidR="007F2986" w:rsidRDefault="00860A8C" w:rsidP="00CC2E43">
            <w:pPr>
              <w:pStyle w:val="a3"/>
              <w:jc w:val="center"/>
              <w:rPr>
                <w:b/>
                <w:lang w:val="hu-HU"/>
              </w:rPr>
            </w:pPr>
            <w:r>
              <w:rPr>
                <w:rFonts w:eastAsia="Times New Roman"/>
                <w:b/>
                <w:bCs/>
                <w:lang w:val="hu-HU"/>
              </w:rPr>
              <w:t>n</w:t>
            </w:r>
            <w:r w:rsidR="007F2986">
              <w:rPr>
                <w:rFonts w:eastAsia="Times New Roman"/>
                <w:b/>
                <w:bCs/>
                <w:lang w:val="hu-HU"/>
              </w:rPr>
              <w:t>=110</w:t>
            </w:r>
          </w:p>
          <w:p w14:paraId="169B647F" w14:textId="77777777" w:rsidR="007F2986" w:rsidRDefault="007F2986" w:rsidP="00CC2E43">
            <w:pPr>
              <w:pStyle w:val="a3"/>
              <w:jc w:val="center"/>
              <w:rPr>
                <w:lang w:val="hu-HU"/>
              </w:rPr>
            </w:pPr>
            <w:r>
              <w:rPr>
                <w:rFonts w:eastAsia="Times New Roman"/>
                <w:b/>
                <w:bCs/>
                <w:lang w:val="hu-HU"/>
              </w:rPr>
              <w:t>n (%)</w:t>
            </w:r>
          </w:p>
        </w:tc>
        <w:tc>
          <w:tcPr>
            <w:tcW w:w="2751" w:type="dxa"/>
            <w:vAlign w:val="center"/>
          </w:tcPr>
          <w:p w14:paraId="626B0F76" w14:textId="77777777" w:rsidR="007F2986" w:rsidRDefault="007F2986" w:rsidP="00CC2E43">
            <w:pPr>
              <w:pStyle w:val="TableParagraph"/>
              <w:spacing w:before="4" w:line="252" w:lineRule="exact"/>
              <w:ind w:left="113" w:right="113"/>
              <w:jc w:val="center"/>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Adalimumab 40 mg minden második héten</w:t>
            </w:r>
          </w:p>
          <w:p w14:paraId="403D1778" w14:textId="408CBDD4" w:rsidR="007F2986" w:rsidRDefault="00860A8C" w:rsidP="00CC2E43">
            <w:pPr>
              <w:pStyle w:val="TableParagraph"/>
              <w:spacing w:before="4" w:line="252" w:lineRule="exact"/>
              <w:ind w:left="113" w:right="113"/>
              <w:jc w:val="center"/>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n</w:t>
            </w:r>
            <w:r w:rsidR="007F2986">
              <w:rPr>
                <w:rFonts w:ascii="Times New Roman" w:eastAsia="Times New Roman" w:hAnsi="Times New Roman" w:cs="Times New Roman"/>
                <w:b/>
                <w:bCs/>
                <w:spacing w:val="-1"/>
                <w:lang w:val="hu-HU"/>
              </w:rPr>
              <w:t>=108</w:t>
            </w:r>
          </w:p>
          <w:p w14:paraId="02BA207A" w14:textId="77777777" w:rsidR="007F2986" w:rsidRDefault="007F2986" w:rsidP="00CC2E43">
            <w:pPr>
              <w:pStyle w:val="TableParagraph"/>
              <w:spacing w:before="4" w:line="252" w:lineRule="exact"/>
              <w:ind w:left="113" w:right="113"/>
              <w:jc w:val="center"/>
              <w:rPr>
                <w:rFonts w:ascii="Times New Roman" w:eastAsia="Times New Roman" w:hAnsi="Times New Roman" w:cs="Times New Roman"/>
                <w:lang w:val="hu-HU"/>
              </w:rPr>
            </w:pPr>
            <w:r>
              <w:rPr>
                <w:rFonts w:ascii="Times New Roman" w:eastAsia="Times New Roman" w:hAnsi="Times New Roman" w:cs="Times New Roman"/>
                <w:b/>
                <w:bCs/>
                <w:lang w:val="hu-HU"/>
              </w:rPr>
              <w:t>n (%)</w:t>
            </w:r>
          </w:p>
        </w:tc>
      </w:tr>
      <w:tr w:rsidR="007F2986" w14:paraId="3DD4145E" w14:textId="77777777" w:rsidTr="00CC2E43">
        <w:tc>
          <w:tcPr>
            <w:tcW w:w="2294" w:type="dxa"/>
          </w:tcPr>
          <w:p w14:paraId="7D016C50" w14:textId="77777777" w:rsidR="007F2986" w:rsidRPr="004E2591" w:rsidRDefault="007F2986" w:rsidP="00CC2E43">
            <w:pPr>
              <w:pStyle w:val="a3"/>
              <w:rPr>
                <w:b/>
                <w:lang w:val="hu-HU"/>
              </w:rPr>
            </w:pPr>
            <w:r w:rsidRPr="004E2591">
              <w:rPr>
                <w:rFonts w:ascii="Symbol" w:eastAsia="Symbol" w:hAnsi="Symbol" w:cs="Symbol"/>
                <w:b/>
                <w:lang w:val="hu-HU"/>
              </w:rPr>
              <w:sym w:font="Symbol" w:char="F0B3"/>
            </w:r>
            <w:r w:rsidRPr="004E2591">
              <w:rPr>
                <w:rFonts w:ascii="Symbol" w:eastAsia="Symbol" w:hAnsi="Symbol" w:cs="Symbol"/>
                <w:b/>
                <w:lang w:val="hu-HU"/>
              </w:rPr>
              <w:sym w:font="Symbol" w:char="F020"/>
            </w:r>
            <w:r w:rsidRPr="004E2591">
              <w:rPr>
                <w:rFonts w:eastAsia="Times New Roman"/>
                <w:b/>
                <w:lang w:val="hu-HU"/>
              </w:rPr>
              <w:t>PASI 75</w:t>
            </w:r>
          </w:p>
        </w:tc>
        <w:tc>
          <w:tcPr>
            <w:tcW w:w="2197" w:type="dxa"/>
          </w:tcPr>
          <w:p w14:paraId="3AA54195" w14:textId="77777777" w:rsidR="007F2986" w:rsidRDefault="007F2986" w:rsidP="00CC2E43">
            <w:pPr>
              <w:pStyle w:val="a3"/>
              <w:jc w:val="center"/>
              <w:rPr>
                <w:b/>
                <w:lang w:val="hu-HU"/>
              </w:rPr>
            </w:pPr>
            <w:r>
              <w:rPr>
                <w:rFonts w:eastAsia="Times New Roman"/>
                <w:lang w:val="hu-HU"/>
              </w:rPr>
              <w:t>10 (18,9)</w:t>
            </w:r>
          </w:p>
        </w:tc>
        <w:tc>
          <w:tcPr>
            <w:tcW w:w="2197" w:type="dxa"/>
          </w:tcPr>
          <w:p w14:paraId="70D1C92B" w14:textId="77777777" w:rsidR="007F2986" w:rsidRDefault="007F2986" w:rsidP="00CC2E43">
            <w:pPr>
              <w:pStyle w:val="a3"/>
              <w:jc w:val="center"/>
              <w:rPr>
                <w:b/>
                <w:lang w:val="hu-HU"/>
              </w:rPr>
            </w:pPr>
            <w:r>
              <w:rPr>
                <w:rFonts w:eastAsia="Times New Roman"/>
                <w:lang w:val="hu-HU"/>
              </w:rPr>
              <w:t>39 (35,5)</w:t>
            </w:r>
          </w:p>
        </w:tc>
        <w:tc>
          <w:tcPr>
            <w:tcW w:w="2751" w:type="dxa"/>
          </w:tcPr>
          <w:p w14:paraId="3B1F60DF" w14:textId="77777777" w:rsidR="007F2986" w:rsidRPr="00CF5D7A" w:rsidRDefault="007F2986" w:rsidP="00CC2E43">
            <w:pPr>
              <w:pStyle w:val="a3"/>
              <w:jc w:val="center"/>
              <w:rPr>
                <w:b/>
                <w:lang w:val="hu-HU"/>
              </w:rPr>
            </w:pPr>
            <w:r w:rsidRPr="00CF5D7A">
              <w:rPr>
                <w:rFonts w:eastAsia="Times New Roman"/>
                <w:spacing w:val="-1"/>
                <w:lang w:val="hu-HU"/>
              </w:rPr>
              <w:t xml:space="preserve">86 (79.6) </w:t>
            </w:r>
            <w:r w:rsidRPr="009167C6">
              <w:rPr>
                <w:rFonts w:eastAsia="Times New Roman"/>
                <w:spacing w:val="-1"/>
                <w:vertAlign w:val="superscript"/>
                <w:lang w:val="hu-HU"/>
              </w:rPr>
              <w:t>a, b</w:t>
            </w:r>
          </w:p>
        </w:tc>
      </w:tr>
      <w:tr w:rsidR="007F2986" w14:paraId="141CAB69" w14:textId="77777777" w:rsidTr="00CC2E43">
        <w:tc>
          <w:tcPr>
            <w:tcW w:w="2294" w:type="dxa"/>
          </w:tcPr>
          <w:p w14:paraId="0C1E2D53" w14:textId="77777777" w:rsidR="007F2986" w:rsidRPr="004E2591" w:rsidRDefault="007F2986" w:rsidP="00CC2E43">
            <w:pPr>
              <w:pStyle w:val="a3"/>
              <w:rPr>
                <w:b/>
                <w:lang w:val="hu-HU"/>
              </w:rPr>
            </w:pPr>
            <w:r w:rsidRPr="004E2591">
              <w:rPr>
                <w:rFonts w:eastAsia="Times New Roman"/>
                <w:b/>
                <w:lang w:val="hu-HU"/>
              </w:rPr>
              <w:t>PASI 100</w:t>
            </w:r>
          </w:p>
        </w:tc>
        <w:tc>
          <w:tcPr>
            <w:tcW w:w="2197" w:type="dxa"/>
          </w:tcPr>
          <w:p w14:paraId="7CBD6E17" w14:textId="77777777" w:rsidR="007F2986" w:rsidRDefault="007F2986" w:rsidP="00CC2E43">
            <w:pPr>
              <w:pStyle w:val="a3"/>
              <w:jc w:val="center"/>
              <w:rPr>
                <w:b/>
                <w:lang w:val="hu-HU"/>
              </w:rPr>
            </w:pPr>
            <w:r>
              <w:rPr>
                <w:rFonts w:eastAsia="Times New Roman"/>
                <w:lang w:val="hu-HU"/>
              </w:rPr>
              <w:t>1 (1,9)</w:t>
            </w:r>
          </w:p>
        </w:tc>
        <w:tc>
          <w:tcPr>
            <w:tcW w:w="2197" w:type="dxa"/>
          </w:tcPr>
          <w:p w14:paraId="0A355741" w14:textId="77777777" w:rsidR="007F2986" w:rsidRDefault="007F2986" w:rsidP="00CC2E43">
            <w:pPr>
              <w:pStyle w:val="a3"/>
              <w:jc w:val="center"/>
              <w:rPr>
                <w:b/>
                <w:lang w:val="hu-HU"/>
              </w:rPr>
            </w:pPr>
            <w:r>
              <w:rPr>
                <w:rFonts w:eastAsia="Times New Roman"/>
                <w:lang w:val="hu-HU"/>
              </w:rPr>
              <w:t>8 (7,3)</w:t>
            </w:r>
          </w:p>
        </w:tc>
        <w:tc>
          <w:tcPr>
            <w:tcW w:w="2751" w:type="dxa"/>
          </w:tcPr>
          <w:p w14:paraId="3B61057F" w14:textId="77777777" w:rsidR="007F2986" w:rsidRPr="00CF5D7A" w:rsidRDefault="007F2986" w:rsidP="00CC2E43">
            <w:pPr>
              <w:pStyle w:val="a3"/>
              <w:jc w:val="center"/>
              <w:rPr>
                <w:b/>
                <w:lang w:val="hu-HU"/>
              </w:rPr>
            </w:pPr>
            <w:r w:rsidRPr="00CF5D7A">
              <w:rPr>
                <w:rFonts w:eastAsia="Times New Roman"/>
                <w:spacing w:val="-1"/>
                <w:lang w:val="hu-HU"/>
              </w:rPr>
              <w:t xml:space="preserve">18 (16.7) </w:t>
            </w:r>
            <w:r w:rsidRPr="009167C6">
              <w:rPr>
                <w:rFonts w:eastAsia="Times New Roman"/>
                <w:spacing w:val="-1"/>
                <w:vertAlign w:val="superscript"/>
                <w:lang w:val="hu-HU"/>
              </w:rPr>
              <w:t>c, d</w:t>
            </w:r>
          </w:p>
        </w:tc>
      </w:tr>
      <w:tr w:rsidR="007F2986" w14:paraId="1EF0D8E7" w14:textId="77777777" w:rsidTr="00CC2E43">
        <w:tc>
          <w:tcPr>
            <w:tcW w:w="2294" w:type="dxa"/>
          </w:tcPr>
          <w:p w14:paraId="2AE89F8E" w14:textId="77777777" w:rsidR="007F2986" w:rsidRDefault="007F2986" w:rsidP="00CC2E43">
            <w:pPr>
              <w:pStyle w:val="TableParagraph"/>
              <w:spacing w:line="251" w:lineRule="exact"/>
              <w:rPr>
                <w:b/>
                <w:lang w:val="hu-HU"/>
              </w:rPr>
            </w:pPr>
            <w:r>
              <w:rPr>
                <w:rFonts w:ascii="Times New Roman" w:eastAsia="Times New Roman" w:hAnsi="Times New Roman" w:cs="Times New Roman"/>
                <w:b/>
                <w:bCs/>
                <w:lang w:val="hu-HU"/>
              </w:rPr>
              <w:t>PGA:tiszta/minimális</w:t>
            </w:r>
          </w:p>
        </w:tc>
        <w:tc>
          <w:tcPr>
            <w:tcW w:w="2197" w:type="dxa"/>
          </w:tcPr>
          <w:p w14:paraId="393DDE35" w14:textId="77777777" w:rsidR="007F2986" w:rsidRDefault="007F2986" w:rsidP="00CC2E43">
            <w:pPr>
              <w:pStyle w:val="a3"/>
              <w:jc w:val="center"/>
              <w:rPr>
                <w:b/>
                <w:lang w:val="hu-HU"/>
              </w:rPr>
            </w:pPr>
            <w:r>
              <w:rPr>
                <w:rFonts w:eastAsia="Times New Roman"/>
                <w:lang w:val="hu-HU"/>
              </w:rPr>
              <w:t>6 (11,3)</w:t>
            </w:r>
          </w:p>
        </w:tc>
        <w:tc>
          <w:tcPr>
            <w:tcW w:w="2197" w:type="dxa"/>
          </w:tcPr>
          <w:p w14:paraId="15826602" w14:textId="77777777" w:rsidR="007F2986" w:rsidRDefault="007F2986" w:rsidP="00CC2E43">
            <w:pPr>
              <w:pStyle w:val="a3"/>
              <w:jc w:val="center"/>
              <w:rPr>
                <w:b/>
                <w:lang w:val="hu-HU"/>
              </w:rPr>
            </w:pPr>
            <w:r>
              <w:rPr>
                <w:rFonts w:eastAsia="Times New Roman"/>
                <w:lang w:val="hu-HU"/>
              </w:rPr>
              <w:t>33 (30,0)</w:t>
            </w:r>
          </w:p>
        </w:tc>
        <w:tc>
          <w:tcPr>
            <w:tcW w:w="2751" w:type="dxa"/>
          </w:tcPr>
          <w:p w14:paraId="46900A88" w14:textId="77777777" w:rsidR="007F2986" w:rsidRPr="00CF5D7A" w:rsidRDefault="007F2986" w:rsidP="00CC2E43">
            <w:pPr>
              <w:pStyle w:val="a3"/>
              <w:jc w:val="center"/>
              <w:rPr>
                <w:b/>
                <w:lang w:val="hu-HU"/>
              </w:rPr>
            </w:pPr>
            <w:r w:rsidRPr="00CF5D7A">
              <w:rPr>
                <w:rFonts w:eastAsia="Times New Roman"/>
                <w:spacing w:val="-1"/>
                <w:lang w:val="hu-HU"/>
              </w:rPr>
              <w:t xml:space="preserve">79 (73.1) </w:t>
            </w:r>
            <w:r w:rsidRPr="009167C6">
              <w:rPr>
                <w:rFonts w:eastAsia="Times New Roman"/>
                <w:spacing w:val="-1"/>
                <w:vertAlign w:val="superscript"/>
                <w:lang w:val="hu-HU"/>
              </w:rPr>
              <w:t>a, b</w:t>
            </w:r>
          </w:p>
        </w:tc>
      </w:tr>
      <w:tr w:rsidR="007F2986" w:rsidRPr="00BE4D18" w14:paraId="5D79E3C1" w14:textId="77777777" w:rsidTr="00CC2E43">
        <w:tc>
          <w:tcPr>
            <w:tcW w:w="9439" w:type="dxa"/>
            <w:gridSpan w:val="4"/>
          </w:tcPr>
          <w:p w14:paraId="18BDD310" w14:textId="77777777" w:rsidR="007F2986" w:rsidRPr="00CF5D7A" w:rsidRDefault="007F2986" w:rsidP="00CC2E43">
            <w:pPr>
              <w:pStyle w:val="TableParagraph"/>
              <w:rPr>
                <w:rFonts w:ascii="Times New Roman" w:eastAsia="Times New Roman" w:hAnsi="Times New Roman" w:cs="Times New Roman"/>
                <w:lang w:val="hu-HU"/>
              </w:rPr>
            </w:pPr>
            <w:r w:rsidRPr="009167C6">
              <w:rPr>
                <w:rFonts w:ascii="Times New Roman" w:eastAsia="Times New Roman" w:hAnsi="Times New Roman" w:cs="Times New Roman"/>
                <w:position w:val="8"/>
                <w:vertAlign w:val="superscript"/>
                <w:lang w:val="hu-HU"/>
              </w:rPr>
              <w:t>a</w:t>
            </w:r>
            <w:r w:rsidRPr="009167C6">
              <w:rPr>
                <w:rFonts w:ascii="Times New Roman" w:eastAsia="Times New Roman" w:hAnsi="Times New Roman" w:cs="Times New Roman"/>
                <w:position w:val="8"/>
                <w:lang w:val="hu-HU"/>
              </w:rPr>
              <w:t xml:space="preserve"> </w:t>
            </w:r>
            <w:r w:rsidRPr="00CF5D7A">
              <w:rPr>
                <w:rFonts w:ascii="Times New Roman" w:eastAsia="Times New Roman" w:hAnsi="Times New Roman" w:cs="Times New Roman"/>
                <w:position w:val="8"/>
                <w:lang w:val="hu-HU"/>
              </w:rPr>
              <w:t>p &lt; 0,001 adalimumab vs. placebo</w:t>
            </w:r>
          </w:p>
          <w:p w14:paraId="4556C8AE" w14:textId="77777777" w:rsidR="007F2986" w:rsidRPr="00CF5D7A" w:rsidRDefault="007F2986" w:rsidP="00CC2E43">
            <w:pPr>
              <w:pStyle w:val="TableParagraph"/>
              <w:rPr>
                <w:rFonts w:ascii="Times New Roman" w:eastAsia="Times New Roman" w:hAnsi="Times New Roman" w:cs="Times New Roman"/>
                <w:lang w:val="hu-HU"/>
              </w:rPr>
            </w:pPr>
            <w:r w:rsidRPr="009167C6">
              <w:rPr>
                <w:rFonts w:ascii="Times New Roman" w:eastAsia="Times New Roman" w:hAnsi="Times New Roman" w:cs="Times New Roman"/>
                <w:position w:val="8"/>
                <w:vertAlign w:val="superscript"/>
                <w:lang w:val="hu-HU"/>
              </w:rPr>
              <w:t>b</w:t>
            </w:r>
            <w:r w:rsidRPr="009167C6">
              <w:rPr>
                <w:rFonts w:ascii="Times New Roman" w:eastAsia="Times New Roman" w:hAnsi="Times New Roman" w:cs="Times New Roman"/>
                <w:position w:val="8"/>
                <w:lang w:val="hu-HU"/>
              </w:rPr>
              <w:t xml:space="preserve"> </w:t>
            </w:r>
            <w:r w:rsidRPr="00CF5D7A">
              <w:rPr>
                <w:rFonts w:ascii="Times New Roman" w:eastAsia="Times New Roman" w:hAnsi="Times New Roman" w:cs="Times New Roman"/>
                <w:position w:val="8"/>
                <w:lang w:val="hu-HU"/>
              </w:rPr>
              <w:t>p &lt; 0,001 adalimumab vs. metotrexát</w:t>
            </w:r>
          </w:p>
          <w:p w14:paraId="2D5D9A12" w14:textId="77777777" w:rsidR="007F2986" w:rsidRPr="00CF5D7A" w:rsidRDefault="007F2986" w:rsidP="00CC2E43">
            <w:pPr>
              <w:pStyle w:val="TableParagraph"/>
              <w:rPr>
                <w:rFonts w:ascii="Times New Roman" w:eastAsia="Times New Roman" w:hAnsi="Times New Roman" w:cs="Times New Roman"/>
                <w:lang w:val="hu-HU"/>
              </w:rPr>
            </w:pPr>
            <w:r w:rsidRPr="009167C6">
              <w:rPr>
                <w:rFonts w:ascii="Times New Roman" w:eastAsia="Times New Roman" w:hAnsi="Times New Roman" w:cs="Times New Roman"/>
                <w:position w:val="8"/>
                <w:vertAlign w:val="superscript"/>
                <w:lang w:val="hu-HU"/>
              </w:rPr>
              <w:t>c</w:t>
            </w:r>
            <w:r w:rsidRPr="009167C6">
              <w:rPr>
                <w:rFonts w:ascii="Times New Roman" w:eastAsia="Times New Roman" w:hAnsi="Times New Roman" w:cs="Times New Roman"/>
                <w:position w:val="8"/>
                <w:lang w:val="hu-HU"/>
              </w:rPr>
              <w:t xml:space="preserve"> </w:t>
            </w:r>
            <w:r w:rsidRPr="00CF5D7A">
              <w:rPr>
                <w:rFonts w:ascii="Times New Roman" w:eastAsia="Times New Roman" w:hAnsi="Times New Roman" w:cs="Times New Roman"/>
                <w:position w:val="8"/>
                <w:lang w:val="hu-HU"/>
              </w:rPr>
              <w:t>p &lt; 0,01 adalimumab vs. placebo</w:t>
            </w:r>
          </w:p>
          <w:p w14:paraId="7AEC7CBA" w14:textId="77777777" w:rsidR="007F2986" w:rsidRDefault="007F2986" w:rsidP="00CC2E43">
            <w:pPr>
              <w:pStyle w:val="a3"/>
              <w:rPr>
                <w:b/>
                <w:lang w:val="hu-HU"/>
              </w:rPr>
            </w:pPr>
            <w:r w:rsidRPr="009167C6">
              <w:rPr>
                <w:rFonts w:eastAsia="Times New Roman"/>
                <w:position w:val="8"/>
                <w:vertAlign w:val="superscript"/>
                <w:lang w:val="hu-HU"/>
              </w:rPr>
              <w:t>d</w:t>
            </w:r>
            <w:r w:rsidRPr="009167C6">
              <w:rPr>
                <w:rFonts w:eastAsia="Times New Roman"/>
                <w:position w:val="8"/>
                <w:lang w:val="hu-HU"/>
              </w:rPr>
              <w:t xml:space="preserve"> </w:t>
            </w:r>
            <w:r w:rsidRPr="00CF5D7A">
              <w:rPr>
                <w:rFonts w:eastAsia="Times New Roman"/>
                <w:position w:val="8"/>
                <w:lang w:val="hu-HU"/>
              </w:rPr>
              <w:t>p &lt; 0,05 adalimumab vs. metotrexát</w:t>
            </w:r>
          </w:p>
        </w:tc>
      </w:tr>
    </w:tbl>
    <w:p w14:paraId="28234A71" w14:textId="77777777" w:rsidR="007F2986" w:rsidRDefault="007F2986" w:rsidP="007F2986">
      <w:pPr>
        <w:pStyle w:val="a3"/>
        <w:rPr>
          <w:lang w:val="hu-HU"/>
        </w:rPr>
      </w:pPr>
    </w:p>
    <w:p w14:paraId="6CEB9708" w14:textId="77777777" w:rsidR="007F2986" w:rsidRDefault="007F2986" w:rsidP="007F2986">
      <w:pPr>
        <w:pStyle w:val="a3"/>
        <w:rPr>
          <w:lang w:val="hu-HU"/>
        </w:rPr>
      </w:pPr>
      <w:r>
        <w:rPr>
          <w:rFonts w:eastAsia="Times New Roman"/>
          <w:spacing w:val="-2"/>
          <w:lang w:val="hu-HU"/>
        </w:rPr>
        <w:t>A Psoriasis</w:t>
      </w:r>
      <w:r w:rsidRPr="009167C6">
        <w:rPr>
          <w:lang w:val="hu-HU"/>
        </w:rPr>
        <w:t> </w:t>
      </w:r>
      <w:r>
        <w:rPr>
          <w:rFonts w:eastAsia="Times New Roman"/>
          <w:spacing w:val="-2"/>
          <w:lang w:val="hu-HU"/>
        </w:rPr>
        <w:t>I vizsgálatban a PASI 75 választ adó és a 33. héten újra placebóra randomizált betegek 28%-ánál „a megfelelő terápiás válasz elvesztését” (a PASI-pontszám a 33. hét után és az 52. héten vagy előtte, amely a kiindulási értékhez képest &lt; PASI 50 választ eredményez, a 33. héthez viszonyítva minimum 6 PASI-pontos növekedéssel) tapasztalták, az adalimumab-kezelést folytató betegeknél észlelt 5%-kal szemben (p &lt; 0,001). Azok közül a betegek közül, akik a placebóra ismételt randomizálást követően elvesztették a megfelelő választ, és akiket beválogattak a nyílt elrendezésű kiterjesztéses vizsgálatba, a 12, illetve 24 hetes újbóli kezelést követően sorrendben 38% (25/66) és 55% (36/66) nyerte vissza a PASI 75 választ.</w:t>
      </w:r>
    </w:p>
    <w:p w14:paraId="250E00C6" w14:textId="77777777" w:rsidR="007F2986" w:rsidRDefault="007F2986" w:rsidP="007F2986">
      <w:pPr>
        <w:spacing w:before="11" w:line="240" w:lineRule="exact"/>
        <w:rPr>
          <w:sz w:val="24"/>
          <w:szCs w:val="24"/>
          <w:lang w:val="hu-HU"/>
        </w:rPr>
      </w:pPr>
    </w:p>
    <w:p w14:paraId="254070F1" w14:textId="77777777" w:rsidR="007F2986" w:rsidRDefault="007F2986" w:rsidP="007F2986">
      <w:pPr>
        <w:pStyle w:val="a3"/>
        <w:rPr>
          <w:lang w:val="hu-HU"/>
        </w:rPr>
      </w:pPr>
      <w:r>
        <w:rPr>
          <w:rFonts w:eastAsia="Times New Roman"/>
          <w:lang w:val="hu-HU"/>
        </w:rPr>
        <w:t>A 16. és a 33. héten összesen 233 PASI 75 reszponder részesült folyamatos  adalimumab-kezelésben</w:t>
      </w:r>
    </w:p>
    <w:p w14:paraId="34398C31" w14:textId="77777777" w:rsidR="007F2986" w:rsidRDefault="007F2986" w:rsidP="007F2986">
      <w:pPr>
        <w:pStyle w:val="a3"/>
        <w:rPr>
          <w:lang w:val="hu-HU"/>
        </w:rPr>
      </w:pPr>
      <w:r>
        <w:rPr>
          <w:rFonts w:eastAsia="Times New Roman"/>
          <w:lang w:val="hu-HU"/>
        </w:rPr>
        <w:t>52 héten át a Psoriasis I vizsgálatban, és folytatta a  adalimumab alkalmazását a nyílt elrendezésű kiterjesztéses vizsgálatban. A PASI 75 és a tiszta vagy minimális PGA terápiás válaszarány ezeknél a betegeknél 74,7%, illetve 59,0% volt a megadott sorrendben a nyílt elrendezésű kezelés további 108 hetes időszakát követően (összesen 160 hét). Egy olyan elemzésben, amelyben non-reszpondernek tekintettek minden olyan beteget, aki nemkívánatos események vagy a hatásosság hiánya miatt idő előtt abbahagyta a vizsgálatot, vagy akinél dózis-eszkalációra került sor, a PASI 75 és a tiszta vagy minimális PGA terápiás válaszarány ezeknél a betegeknél 69,6%, illetve 55,7% volt a megadott sorrendben a nyílt elrendezésű kezelés további 108 hetes időszakát követően (összesen 160 hét).</w:t>
      </w:r>
    </w:p>
    <w:p w14:paraId="1EC407F3" w14:textId="77777777" w:rsidR="007F2986" w:rsidRDefault="007F2986" w:rsidP="007F2986">
      <w:pPr>
        <w:spacing w:before="13" w:line="240" w:lineRule="exact"/>
        <w:rPr>
          <w:sz w:val="24"/>
          <w:szCs w:val="24"/>
          <w:lang w:val="hu-HU"/>
        </w:rPr>
      </w:pPr>
    </w:p>
    <w:p w14:paraId="6171A814" w14:textId="77777777" w:rsidR="007F2986" w:rsidRDefault="007F2986" w:rsidP="007F2986">
      <w:pPr>
        <w:pStyle w:val="a3"/>
        <w:rPr>
          <w:lang w:val="hu-HU"/>
        </w:rPr>
      </w:pPr>
      <w:r>
        <w:rPr>
          <w:rFonts w:eastAsia="Times New Roman"/>
          <w:lang w:val="hu-HU"/>
        </w:rPr>
        <w:t xml:space="preserve">Összesen 347, stabil reszponder vett részt egy, a kezelés abbahagyását majd újrakezdését elemző nyílt elrendezésű kiterjesztéses vizsgálatban. A kezelés abbahagyásának időszakában a psoriasis tünetei a relapsusig („közepesen súlyos” vagy rosszabb PGA-ra csökkenés) eltelő kb. 5 hónapos medián időtartam mellett újultak ki. A megvonásos időszakban ezek közül a betegek közül egynél sem alakult ki rebound hatás. Az összes olyan beteg 76,5%-ánál (218/285), akik újból elkezdték a kezelést, „tiszta” vagy „minimális” PGA terápiás válasz alakult ki 16 héttel a kezelés újrakezdése után, függetlenül attól, hogy volt-e relapsusuk a kezelés abbahagyása során (69,1% [123/178] olyan betegeknél, akiknek volt relapsusuk és </w:t>
      </w:r>
      <w:r>
        <w:rPr>
          <w:rFonts w:eastAsia="Times New Roman"/>
          <w:lang w:val="hu-HU"/>
        </w:rPr>
        <w:lastRenderedPageBreak/>
        <w:t>88,8% [95/107] olyanoknál, akiknek nem volt relapsusuk a kezelés abbahagyásának időszakában). Hasonló biztonságossági profilt figyeltek meg a kezelés újrakezdése során, mint abbahagyása előtt.</w:t>
      </w:r>
    </w:p>
    <w:p w14:paraId="6049E6F3" w14:textId="77777777" w:rsidR="007F2986" w:rsidRDefault="007F2986" w:rsidP="007F2986">
      <w:pPr>
        <w:pStyle w:val="a3"/>
        <w:rPr>
          <w:lang w:val="hu-HU"/>
        </w:rPr>
      </w:pPr>
    </w:p>
    <w:p w14:paraId="0E2DD065" w14:textId="77777777" w:rsidR="007F2986" w:rsidRDefault="007F2986" w:rsidP="007F2986">
      <w:pPr>
        <w:pStyle w:val="a3"/>
        <w:rPr>
          <w:lang w:val="hu-HU"/>
        </w:rPr>
      </w:pPr>
      <w:r>
        <w:rPr>
          <w:rFonts w:eastAsia="Times New Roman"/>
          <w:lang w:val="hu-HU"/>
        </w:rPr>
        <w:t>A placebóhoz (I és II vizsgálat) és a metotrexáthoz (II vizsgálat) képest a kiindulási értéktől számítva a 16. héten a bőrgyógyászati életminőségi index (DLQI – Dermatology Life Quality Index) jelentős javulását igazolták. Az I. vizsgálatban az SF-36 fizikális és mentális összetevő összesített pontszámaként kifejezett javulás szintén jelentős volt a placebóhoz képest.</w:t>
      </w:r>
    </w:p>
    <w:p w14:paraId="0EA07D8C" w14:textId="77777777" w:rsidR="007F2986" w:rsidRDefault="007F2986" w:rsidP="007F2986">
      <w:pPr>
        <w:spacing w:before="13" w:line="240" w:lineRule="exact"/>
        <w:rPr>
          <w:sz w:val="24"/>
          <w:szCs w:val="24"/>
          <w:lang w:val="hu-HU"/>
        </w:rPr>
      </w:pPr>
    </w:p>
    <w:p w14:paraId="3DFD28F2" w14:textId="77777777" w:rsidR="007F2986" w:rsidRDefault="007F2986" w:rsidP="007F2986">
      <w:pPr>
        <w:pStyle w:val="a3"/>
        <w:rPr>
          <w:lang w:val="hu-HU"/>
        </w:rPr>
      </w:pPr>
      <w:r>
        <w:rPr>
          <w:rFonts w:eastAsia="Times New Roman"/>
          <w:lang w:val="hu-HU"/>
        </w:rPr>
        <w:t>Egy nyílt elrendezésű vizsgálatban, amelyben a betegek dózisát a kéthetenkénti 40 mg-ról heti 40 mg-ra növelték az 50% alatti PASI-válasz miatt, 26,4% (92/349 beteg) és 37,8% (132/349 beteg) ért el PASI 75 választ a 12., illetve a 24. héten.</w:t>
      </w:r>
    </w:p>
    <w:p w14:paraId="34189186" w14:textId="77777777" w:rsidR="007F2986" w:rsidRDefault="007F2986" w:rsidP="007F2986">
      <w:pPr>
        <w:pStyle w:val="a3"/>
        <w:rPr>
          <w:rFonts w:eastAsia="Times New Roman"/>
          <w:lang w:val="hu-HU"/>
        </w:rPr>
      </w:pPr>
    </w:p>
    <w:p w14:paraId="2D9391B4" w14:textId="77777777" w:rsidR="007F2986" w:rsidRDefault="007F2986" w:rsidP="007F2986">
      <w:pPr>
        <w:pStyle w:val="a3"/>
        <w:rPr>
          <w:lang w:val="hu-HU"/>
        </w:rPr>
      </w:pPr>
      <w:r>
        <w:rPr>
          <w:rFonts w:eastAsia="Times New Roman"/>
          <w:lang w:val="hu-HU"/>
        </w:rPr>
        <w:t>A Psoriasis</w:t>
      </w:r>
      <w:r w:rsidRPr="009167C6">
        <w:rPr>
          <w:lang w:val="hu-HU"/>
        </w:rPr>
        <w:t> </w:t>
      </w:r>
      <w:r>
        <w:rPr>
          <w:rFonts w:eastAsia="Times New Roman"/>
          <w:lang w:val="hu-HU"/>
        </w:rPr>
        <w:t xml:space="preserve">III vizsgálat (REACH) a  adalimumab hatásosságát és biztonságosságát hasonlította össze a placebóval </w:t>
      </w:r>
      <w:r>
        <w:rPr>
          <w:rFonts w:eastAsia="Times New Roman"/>
          <w:i/>
          <w:iCs/>
          <w:lang w:val="hu-HU"/>
        </w:rPr>
        <w:t xml:space="preserve">szemben </w:t>
      </w:r>
      <w:r>
        <w:rPr>
          <w:rFonts w:eastAsia="Times New Roman"/>
          <w:lang w:val="hu-HU"/>
        </w:rPr>
        <w:t>72 betegnél, akik közepesen súlyos-súlyos krónikus plakkos psoriasisban és a kézfejet és/vagy a lábfejet érintő psoriasisban szenvedtek. A betegek placebót vagy 80 mg adalimumab kezdő dózist kaptak, amelyet 40 mg adalimumab követett minden második héten (egy héttel a kezdő dózis után kezdve) 16 héten keresztül. A 16. héten az adalimumabot kapó betegek statisztikailag szignifikánsan nagyobb arányban (30,6%) értek el „tiszta” vagy „majdnem tiszta” PGA-pontszámot a kézfejek és/vagy lábfejek vonatkozásában a placebót kapó betegekhez képest (4,3%) [P = 0,014].</w:t>
      </w:r>
    </w:p>
    <w:p w14:paraId="11497FEF" w14:textId="77777777" w:rsidR="007F2986" w:rsidRDefault="007F2986" w:rsidP="007F2986">
      <w:pPr>
        <w:pStyle w:val="a3"/>
        <w:rPr>
          <w:rFonts w:eastAsia="Times New Roman"/>
          <w:lang w:val="hu-HU"/>
        </w:rPr>
      </w:pPr>
    </w:p>
    <w:p w14:paraId="4BBDA99F" w14:textId="532B8229" w:rsidR="007F2986" w:rsidRDefault="007F2986" w:rsidP="007F2986">
      <w:pPr>
        <w:pStyle w:val="a3"/>
        <w:rPr>
          <w:lang w:val="hu-HU"/>
        </w:rPr>
      </w:pPr>
      <w:r>
        <w:rPr>
          <w:rFonts w:eastAsia="Times New Roman"/>
          <w:lang w:val="hu-HU"/>
        </w:rPr>
        <w:t xml:space="preserve">A Psoriasis IV vizsgálatban az adalimumab hatásosságát és biztonságosságát placebóval hasonlították össze 217 felnőtt, közepesen súlyos-súlyos köröm-psoriasisban szenvedő felnőtt betegnél. A betegek 80 mg kezdő dózist követően kéthetente 40 mg adalimumabot kaptak (egy héttel a kezdő dózis beadása után kezdve), vagy placebokezelésben részesültek 26 hétig, amelyet nyílt elrendezésű adalimumab-kezelés követett további 26 héten át. A köröm-psoriasis értékelése tartalmazta a módosított köröm-psoriasis súlyossági indexet (mNAPSI, Modified Nail Psoriasis Severity Index), a köröm-psoriasis kezelőorvosok általi globális értékelését (PGA-F, Physician’s Global Assessment of Fingernail Psoriasis) és a köröm-psoriasis súlyossági indexet (NAPSI) (lásd </w:t>
      </w:r>
      <w:r w:rsidR="00291FC8">
        <w:rPr>
          <w:rFonts w:eastAsia="Times New Roman"/>
          <w:lang w:val="hu-HU"/>
        </w:rPr>
        <w:t>13</w:t>
      </w:r>
      <w:r>
        <w:rPr>
          <w:rFonts w:eastAsia="Times New Roman"/>
          <w:lang w:val="hu-HU"/>
        </w:rPr>
        <w:t>. táblázat). Az adalimumab köröm-psoriasisban kifejtett kedvező hatását különböző mértékű bőrérintettség mellett (BSA≥10% (a betegek 60%-a) és BSA&lt;10% és ≥5% (a betegek 40%-a)) igazolták.</w:t>
      </w:r>
    </w:p>
    <w:p w14:paraId="462122A3" w14:textId="4AC5C35B" w:rsidR="007F2986" w:rsidRDefault="00291FC8" w:rsidP="007F2986">
      <w:pPr>
        <w:pStyle w:val="a3"/>
        <w:jc w:val="center"/>
        <w:rPr>
          <w:b/>
          <w:lang w:val="hu-HU"/>
        </w:rPr>
      </w:pPr>
      <w:r>
        <w:rPr>
          <w:rFonts w:eastAsia="Times New Roman"/>
          <w:b/>
          <w:bCs/>
          <w:lang w:val="hu-HU"/>
        </w:rPr>
        <w:t>13</w:t>
      </w:r>
      <w:r w:rsidR="007F2986">
        <w:rPr>
          <w:rFonts w:eastAsia="Times New Roman"/>
          <w:b/>
          <w:bCs/>
          <w:lang w:val="hu-HU"/>
        </w:rPr>
        <w:t>. táblázat</w:t>
      </w:r>
    </w:p>
    <w:p w14:paraId="003A93F2" w14:textId="77777777" w:rsidR="007F2986" w:rsidRDefault="007F2986" w:rsidP="007F2986">
      <w:pPr>
        <w:pStyle w:val="a3"/>
        <w:jc w:val="center"/>
        <w:rPr>
          <w:rFonts w:eastAsia="Times New Roman"/>
          <w:b/>
          <w:bCs/>
          <w:lang w:val="hu-HU"/>
        </w:rPr>
      </w:pPr>
      <w:r>
        <w:rPr>
          <w:rFonts w:eastAsia="Times New Roman"/>
          <w:b/>
          <w:bCs/>
          <w:lang w:val="hu-HU"/>
        </w:rPr>
        <w:t>Psoriasis IV vizsgálat hatásossági eredmények a 16., 26. és 52. héten</w:t>
      </w:r>
    </w:p>
    <w:p w14:paraId="2B01BE3E" w14:textId="77777777" w:rsidR="00AF1AD1" w:rsidRDefault="00AF1AD1" w:rsidP="007F2986">
      <w:pPr>
        <w:pStyle w:val="a3"/>
        <w:jc w:val="center"/>
        <w:rPr>
          <w:b/>
          <w:lang w:val="hu-HU"/>
        </w:rPr>
      </w:pPr>
    </w:p>
    <w:tbl>
      <w:tblPr>
        <w:tblStyle w:val="TableNormal1"/>
        <w:tblW w:w="9576" w:type="dxa"/>
        <w:tblInd w:w="110" w:type="dxa"/>
        <w:tblLayout w:type="fixed"/>
        <w:tblLook w:val="01E0" w:firstRow="1" w:lastRow="1" w:firstColumn="1" w:lastColumn="1" w:noHBand="0" w:noVBand="0"/>
      </w:tblPr>
      <w:tblGrid>
        <w:gridCol w:w="2578"/>
        <w:gridCol w:w="992"/>
        <w:gridCol w:w="1489"/>
        <w:gridCol w:w="989"/>
        <w:gridCol w:w="1491"/>
        <w:gridCol w:w="2037"/>
      </w:tblGrid>
      <w:tr w:rsidR="007F2986" w:rsidRPr="00F70E6D" w14:paraId="5FDCF5B8" w14:textId="77777777" w:rsidTr="00CC2E43">
        <w:tc>
          <w:tcPr>
            <w:tcW w:w="2578" w:type="dxa"/>
            <w:vMerge w:val="restart"/>
            <w:tcBorders>
              <w:top w:val="single" w:sz="5" w:space="0" w:color="000000"/>
              <w:left w:val="single" w:sz="5" w:space="0" w:color="000000"/>
              <w:right w:val="single" w:sz="5" w:space="0" w:color="000000"/>
            </w:tcBorders>
          </w:tcPr>
          <w:p w14:paraId="624A5E63" w14:textId="77777777" w:rsidR="007F2986" w:rsidRDefault="007F2986" w:rsidP="00CC2E43">
            <w:pPr>
              <w:pStyle w:val="TableParagraph"/>
              <w:rPr>
                <w:rFonts w:ascii="Times New Roman" w:eastAsia="Times New Roman" w:hAnsi="Times New Roman" w:cs="Times New Roman"/>
                <w:lang w:val="hu-HU"/>
              </w:rPr>
            </w:pPr>
            <w:r>
              <w:rPr>
                <w:rFonts w:ascii="Times New Roman" w:eastAsia="Times New Roman" w:hAnsi="Times New Roman" w:cs="Times New Roman"/>
                <w:spacing w:val="-1"/>
                <w:lang w:val="hu-HU"/>
              </w:rPr>
              <w:t>Végpont</w:t>
            </w:r>
          </w:p>
        </w:tc>
        <w:tc>
          <w:tcPr>
            <w:tcW w:w="2481" w:type="dxa"/>
            <w:gridSpan w:val="2"/>
            <w:tcBorders>
              <w:top w:val="single" w:sz="5" w:space="0" w:color="000000"/>
              <w:left w:val="single" w:sz="5" w:space="0" w:color="000000"/>
              <w:bottom w:val="single" w:sz="5" w:space="0" w:color="000000"/>
              <w:right w:val="single" w:sz="5" w:space="0" w:color="000000"/>
            </w:tcBorders>
          </w:tcPr>
          <w:p w14:paraId="5A13F400"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16. hét</w:t>
            </w:r>
          </w:p>
          <w:p w14:paraId="4A848BC6"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Placebokontrollos</w:t>
            </w:r>
          </w:p>
        </w:tc>
        <w:tc>
          <w:tcPr>
            <w:tcW w:w="2480" w:type="dxa"/>
            <w:gridSpan w:val="2"/>
            <w:tcBorders>
              <w:top w:val="single" w:sz="5" w:space="0" w:color="000000"/>
              <w:left w:val="single" w:sz="5" w:space="0" w:color="000000"/>
              <w:bottom w:val="single" w:sz="5" w:space="0" w:color="000000"/>
              <w:right w:val="single" w:sz="5" w:space="0" w:color="000000"/>
            </w:tcBorders>
          </w:tcPr>
          <w:p w14:paraId="59F31AB9"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26. hét</w:t>
            </w:r>
          </w:p>
          <w:p w14:paraId="5E550558"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Placebokontrollos</w:t>
            </w:r>
          </w:p>
        </w:tc>
        <w:tc>
          <w:tcPr>
            <w:tcW w:w="2037" w:type="dxa"/>
            <w:tcBorders>
              <w:top w:val="single" w:sz="5" w:space="0" w:color="000000"/>
              <w:left w:val="single" w:sz="5" w:space="0" w:color="000000"/>
              <w:bottom w:val="single" w:sz="5" w:space="0" w:color="000000"/>
              <w:right w:val="single" w:sz="5" w:space="0" w:color="000000"/>
            </w:tcBorders>
          </w:tcPr>
          <w:p w14:paraId="7EBAEE83"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52. hét</w:t>
            </w:r>
          </w:p>
          <w:p w14:paraId="645D06DB"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Nyílt -elrendezés</w:t>
            </w:r>
          </w:p>
        </w:tc>
      </w:tr>
      <w:tr w:rsidR="007F2986" w:rsidRPr="00F70E6D" w14:paraId="423FA8AD" w14:textId="77777777" w:rsidTr="00CC2E43">
        <w:tc>
          <w:tcPr>
            <w:tcW w:w="2578" w:type="dxa"/>
            <w:vMerge/>
            <w:tcBorders>
              <w:left w:val="single" w:sz="5" w:space="0" w:color="000000"/>
              <w:bottom w:val="single" w:sz="5" w:space="0" w:color="000000"/>
              <w:right w:val="single" w:sz="5" w:space="0" w:color="000000"/>
            </w:tcBorders>
          </w:tcPr>
          <w:p w14:paraId="3ACB7ED8" w14:textId="77777777" w:rsidR="007F2986" w:rsidRDefault="007F2986" w:rsidP="00CC2E43">
            <w:pPr>
              <w:rPr>
                <w:lang w:val="hu-HU"/>
              </w:rPr>
            </w:pPr>
          </w:p>
        </w:tc>
        <w:tc>
          <w:tcPr>
            <w:tcW w:w="992" w:type="dxa"/>
            <w:tcBorders>
              <w:top w:val="single" w:sz="5" w:space="0" w:color="000000"/>
              <w:left w:val="single" w:sz="5" w:space="0" w:color="000000"/>
              <w:bottom w:val="single" w:sz="5" w:space="0" w:color="000000"/>
              <w:right w:val="single" w:sz="5" w:space="0" w:color="000000"/>
            </w:tcBorders>
          </w:tcPr>
          <w:p w14:paraId="2BCDE6A2"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Placebo</w:t>
            </w:r>
          </w:p>
          <w:p w14:paraId="1515973E" w14:textId="725B3EC9" w:rsidR="007F2986" w:rsidRDefault="00966EC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n</w:t>
            </w:r>
            <w:r w:rsidR="007F2986">
              <w:rPr>
                <w:rFonts w:ascii="Times New Roman" w:eastAsia="Times New Roman" w:hAnsi="Times New Roman" w:cs="Times New Roman"/>
                <w:spacing w:val="-1"/>
                <w:lang w:val="hu-HU"/>
              </w:rPr>
              <w:t>=108</w:t>
            </w:r>
          </w:p>
        </w:tc>
        <w:tc>
          <w:tcPr>
            <w:tcW w:w="1489" w:type="dxa"/>
            <w:tcBorders>
              <w:top w:val="single" w:sz="5" w:space="0" w:color="000000"/>
              <w:left w:val="single" w:sz="5" w:space="0" w:color="000000"/>
              <w:bottom w:val="single" w:sz="5" w:space="0" w:color="000000"/>
              <w:right w:val="single" w:sz="5" w:space="0" w:color="000000"/>
            </w:tcBorders>
          </w:tcPr>
          <w:p w14:paraId="7857D673" w14:textId="77777777" w:rsidR="007F2986" w:rsidRDefault="007F2986" w:rsidP="00CC2E43">
            <w:pPr>
              <w:pStyle w:val="TableParagraph"/>
              <w:jc w:val="center"/>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Adalimumab 40 mg minden második héten </w:t>
            </w:r>
          </w:p>
          <w:p w14:paraId="5CCAEB11" w14:textId="31849DE1" w:rsidR="007F2986" w:rsidRDefault="00966EC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n</w:t>
            </w:r>
            <w:r w:rsidR="007F2986">
              <w:rPr>
                <w:rFonts w:ascii="Times New Roman" w:eastAsia="Times New Roman" w:hAnsi="Times New Roman" w:cs="Times New Roman"/>
                <w:spacing w:val="-1"/>
                <w:lang w:val="hu-HU"/>
              </w:rPr>
              <w:t>=109</w:t>
            </w:r>
          </w:p>
        </w:tc>
        <w:tc>
          <w:tcPr>
            <w:tcW w:w="989" w:type="dxa"/>
            <w:tcBorders>
              <w:top w:val="single" w:sz="5" w:space="0" w:color="000000"/>
              <w:left w:val="single" w:sz="5" w:space="0" w:color="000000"/>
              <w:bottom w:val="single" w:sz="5" w:space="0" w:color="000000"/>
              <w:right w:val="single" w:sz="5" w:space="0" w:color="000000"/>
            </w:tcBorders>
          </w:tcPr>
          <w:p w14:paraId="6FA8DD97"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Placebo</w:t>
            </w:r>
          </w:p>
          <w:p w14:paraId="3C49D1B5" w14:textId="47A99A21" w:rsidR="007F2986" w:rsidRDefault="00966EC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n</w:t>
            </w:r>
            <w:r w:rsidR="007F2986">
              <w:rPr>
                <w:rFonts w:ascii="Times New Roman" w:eastAsia="Times New Roman" w:hAnsi="Times New Roman" w:cs="Times New Roman"/>
                <w:spacing w:val="-1"/>
                <w:lang w:val="hu-HU"/>
              </w:rPr>
              <w:t>=108</w:t>
            </w:r>
          </w:p>
        </w:tc>
        <w:tc>
          <w:tcPr>
            <w:tcW w:w="1491" w:type="dxa"/>
            <w:tcBorders>
              <w:top w:val="single" w:sz="5" w:space="0" w:color="000000"/>
              <w:left w:val="single" w:sz="5" w:space="0" w:color="000000"/>
              <w:bottom w:val="single" w:sz="5" w:space="0" w:color="000000"/>
              <w:right w:val="single" w:sz="5" w:space="0" w:color="000000"/>
            </w:tcBorders>
          </w:tcPr>
          <w:p w14:paraId="76FEDD4C"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Adalimumab</w:t>
            </w:r>
          </w:p>
          <w:p w14:paraId="2A7CB6EE" w14:textId="77777777" w:rsidR="007F2986" w:rsidRDefault="007F2986" w:rsidP="00CC2E43">
            <w:pPr>
              <w:pStyle w:val="TableParagraph"/>
              <w:spacing w:before="1"/>
              <w:jc w:val="center"/>
              <w:rPr>
                <w:rFonts w:ascii="Times New Roman" w:eastAsia="Times New Roman" w:hAnsi="Times New Roman" w:cs="Times New Roman"/>
                <w:lang w:val="hu-HU"/>
              </w:rPr>
            </w:pPr>
            <w:r>
              <w:rPr>
                <w:rFonts w:ascii="Times New Roman" w:eastAsia="Times New Roman" w:hAnsi="Times New Roman" w:cs="Times New Roman"/>
                <w:lang w:val="hu-HU"/>
              </w:rPr>
              <w:t xml:space="preserve">40 mg minden második héten </w:t>
            </w:r>
          </w:p>
          <w:p w14:paraId="0D8287EE" w14:textId="508AB236" w:rsidR="007F2986" w:rsidRDefault="00966EC6" w:rsidP="00CC2E43">
            <w:pPr>
              <w:pStyle w:val="TableParagraph"/>
              <w:spacing w:before="1"/>
              <w:jc w:val="center"/>
              <w:rPr>
                <w:rFonts w:ascii="Times New Roman" w:eastAsia="Times New Roman" w:hAnsi="Times New Roman" w:cs="Times New Roman"/>
                <w:lang w:val="hu-HU"/>
              </w:rPr>
            </w:pPr>
            <w:r>
              <w:rPr>
                <w:rFonts w:ascii="Times New Roman" w:eastAsia="Times New Roman" w:hAnsi="Times New Roman" w:cs="Times New Roman"/>
                <w:lang w:val="hu-HU"/>
              </w:rPr>
              <w:t>n</w:t>
            </w:r>
            <w:r w:rsidR="007F2986">
              <w:rPr>
                <w:rFonts w:ascii="Times New Roman" w:eastAsia="Times New Roman" w:hAnsi="Times New Roman" w:cs="Times New Roman"/>
                <w:lang w:val="hu-HU"/>
              </w:rPr>
              <w:t>=109</w:t>
            </w:r>
          </w:p>
        </w:tc>
        <w:tc>
          <w:tcPr>
            <w:tcW w:w="2037" w:type="dxa"/>
            <w:tcBorders>
              <w:top w:val="single" w:sz="5" w:space="0" w:color="000000"/>
              <w:left w:val="single" w:sz="5" w:space="0" w:color="000000"/>
              <w:bottom w:val="single" w:sz="5" w:space="0" w:color="000000"/>
              <w:right w:val="single" w:sz="5" w:space="0" w:color="000000"/>
            </w:tcBorders>
          </w:tcPr>
          <w:p w14:paraId="63A5632A"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Adalimumab</w:t>
            </w:r>
          </w:p>
          <w:p w14:paraId="5ADA3AD1" w14:textId="77777777" w:rsidR="007F2986" w:rsidRDefault="007F2986" w:rsidP="00CC2E43">
            <w:pPr>
              <w:pStyle w:val="TableParagraph"/>
              <w:spacing w:before="1"/>
              <w:jc w:val="center"/>
              <w:rPr>
                <w:rFonts w:ascii="Times New Roman" w:eastAsia="Times New Roman" w:hAnsi="Times New Roman" w:cs="Times New Roman"/>
                <w:lang w:val="hu-HU"/>
              </w:rPr>
            </w:pPr>
            <w:r>
              <w:rPr>
                <w:rFonts w:ascii="Times New Roman" w:eastAsia="Times New Roman" w:hAnsi="Times New Roman" w:cs="Times New Roman"/>
                <w:lang w:val="hu-HU"/>
              </w:rPr>
              <w:t xml:space="preserve">40 mg minden második héten </w:t>
            </w:r>
          </w:p>
          <w:p w14:paraId="010F47BC" w14:textId="73E3B3BB" w:rsidR="007F2986" w:rsidRDefault="00966EC6" w:rsidP="00CC2E43">
            <w:pPr>
              <w:pStyle w:val="TableParagraph"/>
              <w:spacing w:before="1"/>
              <w:jc w:val="center"/>
              <w:rPr>
                <w:rFonts w:ascii="Times New Roman" w:eastAsia="Times New Roman" w:hAnsi="Times New Roman" w:cs="Times New Roman"/>
                <w:lang w:val="hu-HU"/>
              </w:rPr>
            </w:pPr>
            <w:r>
              <w:rPr>
                <w:rFonts w:ascii="Times New Roman" w:eastAsia="Times New Roman" w:hAnsi="Times New Roman" w:cs="Times New Roman"/>
                <w:lang w:val="hu-HU"/>
              </w:rPr>
              <w:t>n</w:t>
            </w:r>
            <w:r w:rsidR="007F2986">
              <w:rPr>
                <w:rFonts w:ascii="Times New Roman" w:eastAsia="Times New Roman" w:hAnsi="Times New Roman" w:cs="Times New Roman"/>
                <w:lang w:val="hu-HU"/>
              </w:rPr>
              <w:t>=80</w:t>
            </w:r>
          </w:p>
        </w:tc>
      </w:tr>
      <w:tr w:rsidR="007F2986" w14:paraId="17435C7D" w14:textId="77777777" w:rsidTr="00CC2E43">
        <w:tc>
          <w:tcPr>
            <w:tcW w:w="2578" w:type="dxa"/>
            <w:tcBorders>
              <w:top w:val="single" w:sz="5" w:space="0" w:color="000000"/>
              <w:left w:val="single" w:sz="5" w:space="0" w:color="000000"/>
              <w:bottom w:val="single" w:sz="5" w:space="0" w:color="000000"/>
              <w:right w:val="single" w:sz="5" w:space="0" w:color="000000"/>
            </w:tcBorders>
          </w:tcPr>
          <w:p w14:paraId="1F36C33A" w14:textId="77777777" w:rsidR="007F2986" w:rsidRDefault="007F2986" w:rsidP="00CC2E43">
            <w:pPr>
              <w:pStyle w:val="TableParagraph"/>
              <w:rPr>
                <w:rFonts w:ascii="Times New Roman" w:eastAsia="Times New Roman" w:hAnsi="Times New Roman" w:cs="Times New Roman"/>
                <w:lang w:val="hu-HU"/>
              </w:rPr>
            </w:pPr>
            <w:r>
              <w:rPr>
                <w:rFonts w:ascii="Times New Roman" w:eastAsia="Times New Roman" w:hAnsi="Times New Roman" w:cs="Times New Roman"/>
                <w:lang w:val="hu-HU"/>
              </w:rPr>
              <w:t>≥ mNAPSI 75 (%)</w:t>
            </w:r>
          </w:p>
        </w:tc>
        <w:tc>
          <w:tcPr>
            <w:tcW w:w="992" w:type="dxa"/>
            <w:tcBorders>
              <w:top w:val="single" w:sz="5" w:space="0" w:color="000000"/>
              <w:left w:val="single" w:sz="5" w:space="0" w:color="000000"/>
              <w:bottom w:val="single" w:sz="5" w:space="0" w:color="000000"/>
              <w:right w:val="single" w:sz="5" w:space="0" w:color="000000"/>
            </w:tcBorders>
          </w:tcPr>
          <w:p w14:paraId="12EC46DD" w14:textId="77777777" w:rsidR="007F2986" w:rsidRPr="007C168B" w:rsidRDefault="007F2986" w:rsidP="00CC2E43">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lang w:val="hu-HU"/>
              </w:rPr>
              <w:t>2,9</w:t>
            </w:r>
          </w:p>
        </w:tc>
        <w:tc>
          <w:tcPr>
            <w:tcW w:w="1489" w:type="dxa"/>
            <w:tcBorders>
              <w:top w:val="single" w:sz="5" w:space="0" w:color="000000"/>
              <w:left w:val="single" w:sz="5" w:space="0" w:color="000000"/>
              <w:bottom w:val="single" w:sz="5" w:space="0" w:color="000000"/>
              <w:right w:val="single" w:sz="5" w:space="0" w:color="000000"/>
            </w:tcBorders>
          </w:tcPr>
          <w:p w14:paraId="0D674802" w14:textId="77777777" w:rsidR="007F2986" w:rsidRPr="009167C6" w:rsidRDefault="007F2986" w:rsidP="00CC2E43">
            <w:pPr>
              <w:pStyle w:val="TableParagraph"/>
              <w:jc w:val="center"/>
              <w:rPr>
                <w:rFonts w:ascii="Times New Roman" w:eastAsia="Times New Roman" w:hAnsi="Times New Roman" w:cs="Times New Roman"/>
                <w:lang w:val="hu-HU"/>
              </w:rPr>
            </w:pPr>
            <w:r w:rsidRPr="009167C6">
              <w:rPr>
                <w:rFonts w:ascii="Times New Roman" w:eastAsia="Times New Roman" w:hAnsi="Times New Roman" w:cs="Times New Roman"/>
                <w:lang w:val="hu-HU"/>
              </w:rPr>
              <w:t>26,0</w:t>
            </w:r>
            <w:r w:rsidRPr="009167C6">
              <w:rPr>
                <w:rFonts w:ascii="Times New Roman" w:eastAsia="Times New Roman" w:hAnsi="Times New Roman" w:cs="Times New Roman"/>
                <w:vertAlign w:val="superscript"/>
                <w:lang w:val="hu-HU"/>
              </w:rPr>
              <w:t>a</w:t>
            </w:r>
          </w:p>
        </w:tc>
        <w:tc>
          <w:tcPr>
            <w:tcW w:w="989" w:type="dxa"/>
            <w:tcBorders>
              <w:top w:val="single" w:sz="5" w:space="0" w:color="000000"/>
              <w:left w:val="single" w:sz="5" w:space="0" w:color="000000"/>
              <w:bottom w:val="single" w:sz="5" w:space="0" w:color="000000"/>
              <w:right w:val="single" w:sz="5" w:space="0" w:color="000000"/>
            </w:tcBorders>
          </w:tcPr>
          <w:p w14:paraId="4E421F49" w14:textId="77777777" w:rsidR="007F2986" w:rsidRPr="007C168B" w:rsidRDefault="007F2986" w:rsidP="00CC2E43">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lang w:val="hu-HU"/>
              </w:rPr>
              <w:t>3,4</w:t>
            </w:r>
          </w:p>
        </w:tc>
        <w:tc>
          <w:tcPr>
            <w:tcW w:w="1491" w:type="dxa"/>
            <w:tcBorders>
              <w:top w:val="single" w:sz="5" w:space="0" w:color="000000"/>
              <w:left w:val="single" w:sz="5" w:space="0" w:color="000000"/>
              <w:bottom w:val="single" w:sz="5" w:space="0" w:color="000000"/>
              <w:right w:val="single" w:sz="5" w:space="0" w:color="000000"/>
            </w:tcBorders>
          </w:tcPr>
          <w:p w14:paraId="59B713F3" w14:textId="77777777" w:rsidR="007F2986" w:rsidRPr="009167C6" w:rsidRDefault="007F2986" w:rsidP="00CC2E43">
            <w:pPr>
              <w:pStyle w:val="TableParagraph"/>
              <w:jc w:val="center"/>
              <w:rPr>
                <w:rFonts w:ascii="Times New Roman" w:eastAsia="Times New Roman" w:hAnsi="Times New Roman" w:cs="Times New Roman"/>
                <w:lang w:val="hu-HU"/>
              </w:rPr>
            </w:pPr>
            <w:r w:rsidRPr="009167C6">
              <w:rPr>
                <w:rFonts w:ascii="Times New Roman" w:eastAsia="Times New Roman" w:hAnsi="Times New Roman" w:cs="Times New Roman"/>
                <w:lang w:val="hu-HU"/>
              </w:rPr>
              <w:t>46,6</w:t>
            </w:r>
            <w:r w:rsidRPr="009167C6">
              <w:rPr>
                <w:rFonts w:ascii="Times New Roman" w:eastAsia="Times New Roman" w:hAnsi="Times New Roman" w:cs="Times New Roman"/>
                <w:vertAlign w:val="superscript"/>
                <w:lang w:val="hu-HU"/>
              </w:rPr>
              <w:t>a</w:t>
            </w:r>
          </w:p>
        </w:tc>
        <w:tc>
          <w:tcPr>
            <w:tcW w:w="2037" w:type="dxa"/>
            <w:tcBorders>
              <w:top w:val="single" w:sz="5" w:space="0" w:color="000000"/>
              <w:left w:val="single" w:sz="5" w:space="0" w:color="000000"/>
              <w:bottom w:val="single" w:sz="5" w:space="0" w:color="000000"/>
              <w:right w:val="single" w:sz="5" w:space="0" w:color="000000"/>
            </w:tcBorders>
          </w:tcPr>
          <w:p w14:paraId="5F8548B6" w14:textId="77777777" w:rsidR="007F2986" w:rsidRPr="007C168B" w:rsidRDefault="007F2986" w:rsidP="00CC2E43">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lang w:val="hu-HU"/>
              </w:rPr>
              <w:t>65,0</w:t>
            </w:r>
          </w:p>
        </w:tc>
      </w:tr>
      <w:tr w:rsidR="007F2986" w14:paraId="16ACB244" w14:textId="77777777" w:rsidTr="00CC2E43">
        <w:tc>
          <w:tcPr>
            <w:tcW w:w="2578" w:type="dxa"/>
            <w:tcBorders>
              <w:top w:val="single" w:sz="5" w:space="0" w:color="000000"/>
              <w:left w:val="single" w:sz="5" w:space="0" w:color="000000"/>
              <w:bottom w:val="single" w:sz="5" w:space="0" w:color="000000"/>
              <w:right w:val="single" w:sz="5" w:space="0" w:color="000000"/>
            </w:tcBorders>
          </w:tcPr>
          <w:p w14:paraId="0E3FF03E" w14:textId="77777777" w:rsidR="007F2986" w:rsidRDefault="007F2986" w:rsidP="00CC2E43">
            <w:pPr>
              <w:pStyle w:val="TableParagraph"/>
              <w:rPr>
                <w:rFonts w:ascii="Times New Roman" w:eastAsia="Times New Roman" w:hAnsi="Times New Roman" w:cs="Times New Roman"/>
                <w:lang w:val="hu-HU"/>
              </w:rPr>
            </w:pPr>
            <w:r>
              <w:rPr>
                <w:rFonts w:ascii="Times New Roman" w:eastAsia="Times New Roman" w:hAnsi="Times New Roman" w:cs="Times New Roman"/>
                <w:spacing w:val="-1"/>
                <w:lang w:val="hu-HU"/>
              </w:rPr>
              <w:t>PGA-F tiszta/minimális és</w:t>
            </w:r>
          </w:p>
          <w:p w14:paraId="45F04347" w14:textId="77777777" w:rsidR="007F2986" w:rsidRDefault="007F2986" w:rsidP="00CC2E43">
            <w:pPr>
              <w:pStyle w:val="TableParagraph"/>
              <w:rPr>
                <w:rFonts w:ascii="Times New Roman" w:eastAsia="Times New Roman" w:hAnsi="Times New Roman" w:cs="Times New Roman"/>
                <w:lang w:val="hu-HU"/>
              </w:rPr>
            </w:pPr>
            <w:r>
              <w:rPr>
                <w:rFonts w:ascii="Times New Roman" w:eastAsia="Times New Roman" w:hAnsi="Times New Roman" w:cs="Times New Roman"/>
                <w:spacing w:val="1"/>
                <w:lang w:val="hu-HU"/>
              </w:rPr>
              <w:t>≥2-fokozatú javulás (%)</w:t>
            </w:r>
          </w:p>
        </w:tc>
        <w:tc>
          <w:tcPr>
            <w:tcW w:w="992" w:type="dxa"/>
            <w:tcBorders>
              <w:top w:val="single" w:sz="5" w:space="0" w:color="000000"/>
              <w:left w:val="single" w:sz="5" w:space="0" w:color="000000"/>
              <w:bottom w:val="single" w:sz="5" w:space="0" w:color="000000"/>
              <w:right w:val="single" w:sz="5" w:space="0" w:color="000000"/>
            </w:tcBorders>
          </w:tcPr>
          <w:p w14:paraId="2D51E2F2" w14:textId="77777777" w:rsidR="007F2986" w:rsidRPr="007C168B" w:rsidRDefault="007F2986" w:rsidP="00CC2E43">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lang w:val="hu-HU"/>
              </w:rPr>
              <w:t>2,9</w:t>
            </w:r>
          </w:p>
        </w:tc>
        <w:tc>
          <w:tcPr>
            <w:tcW w:w="1489" w:type="dxa"/>
            <w:tcBorders>
              <w:top w:val="single" w:sz="5" w:space="0" w:color="000000"/>
              <w:left w:val="single" w:sz="5" w:space="0" w:color="000000"/>
              <w:bottom w:val="single" w:sz="5" w:space="0" w:color="000000"/>
              <w:right w:val="single" w:sz="5" w:space="0" w:color="000000"/>
            </w:tcBorders>
          </w:tcPr>
          <w:p w14:paraId="397C23D3" w14:textId="77777777" w:rsidR="007F2986" w:rsidRPr="009167C6" w:rsidRDefault="007F2986" w:rsidP="00CC2E43">
            <w:pPr>
              <w:pStyle w:val="TableParagraph"/>
              <w:jc w:val="center"/>
              <w:rPr>
                <w:rFonts w:ascii="Times New Roman" w:eastAsia="Times New Roman" w:hAnsi="Times New Roman" w:cs="Times New Roman"/>
                <w:lang w:val="hu-HU"/>
              </w:rPr>
            </w:pPr>
            <w:r w:rsidRPr="009167C6">
              <w:rPr>
                <w:rFonts w:ascii="Times New Roman" w:eastAsia="Times New Roman" w:hAnsi="Times New Roman" w:cs="Times New Roman"/>
                <w:lang w:val="hu-HU"/>
              </w:rPr>
              <w:t>29,7</w:t>
            </w:r>
            <w:r w:rsidRPr="009167C6">
              <w:rPr>
                <w:rFonts w:ascii="Times New Roman" w:eastAsia="Times New Roman" w:hAnsi="Times New Roman" w:cs="Times New Roman"/>
                <w:vertAlign w:val="superscript"/>
                <w:lang w:val="hu-HU"/>
              </w:rPr>
              <w:t>a</w:t>
            </w:r>
          </w:p>
        </w:tc>
        <w:tc>
          <w:tcPr>
            <w:tcW w:w="989" w:type="dxa"/>
            <w:tcBorders>
              <w:top w:val="single" w:sz="5" w:space="0" w:color="000000"/>
              <w:left w:val="single" w:sz="5" w:space="0" w:color="000000"/>
              <w:bottom w:val="single" w:sz="5" w:space="0" w:color="000000"/>
              <w:right w:val="single" w:sz="5" w:space="0" w:color="000000"/>
            </w:tcBorders>
          </w:tcPr>
          <w:p w14:paraId="6A771B2F" w14:textId="77777777" w:rsidR="007F2986" w:rsidRPr="007C168B" w:rsidRDefault="007F2986" w:rsidP="00CC2E43">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lang w:val="hu-HU"/>
              </w:rPr>
              <w:t>6,9</w:t>
            </w:r>
          </w:p>
        </w:tc>
        <w:tc>
          <w:tcPr>
            <w:tcW w:w="1491" w:type="dxa"/>
            <w:tcBorders>
              <w:top w:val="single" w:sz="5" w:space="0" w:color="000000"/>
              <w:left w:val="single" w:sz="5" w:space="0" w:color="000000"/>
              <w:bottom w:val="single" w:sz="5" w:space="0" w:color="000000"/>
              <w:right w:val="single" w:sz="5" w:space="0" w:color="000000"/>
            </w:tcBorders>
          </w:tcPr>
          <w:p w14:paraId="765AC97D" w14:textId="77777777" w:rsidR="007F2986" w:rsidRPr="009167C6" w:rsidRDefault="007F2986" w:rsidP="00CC2E43">
            <w:pPr>
              <w:pStyle w:val="TableParagraph"/>
              <w:jc w:val="center"/>
              <w:rPr>
                <w:rFonts w:ascii="Times New Roman" w:eastAsia="Times New Roman" w:hAnsi="Times New Roman" w:cs="Times New Roman"/>
                <w:lang w:val="hu-HU"/>
              </w:rPr>
            </w:pPr>
            <w:r w:rsidRPr="009167C6">
              <w:rPr>
                <w:rFonts w:ascii="Times New Roman" w:eastAsia="Times New Roman" w:hAnsi="Times New Roman" w:cs="Times New Roman"/>
                <w:lang w:val="hu-HU"/>
              </w:rPr>
              <w:t>48,9</w:t>
            </w:r>
            <w:r w:rsidRPr="009167C6">
              <w:rPr>
                <w:rFonts w:ascii="Times New Roman" w:eastAsia="Times New Roman" w:hAnsi="Times New Roman" w:cs="Times New Roman"/>
                <w:vertAlign w:val="superscript"/>
                <w:lang w:val="hu-HU"/>
              </w:rPr>
              <w:t>a</w:t>
            </w:r>
          </w:p>
        </w:tc>
        <w:tc>
          <w:tcPr>
            <w:tcW w:w="2037" w:type="dxa"/>
            <w:tcBorders>
              <w:top w:val="single" w:sz="5" w:space="0" w:color="000000"/>
              <w:left w:val="single" w:sz="5" w:space="0" w:color="000000"/>
              <w:bottom w:val="single" w:sz="5" w:space="0" w:color="000000"/>
              <w:right w:val="single" w:sz="5" w:space="0" w:color="000000"/>
            </w:tcBorders>
          </w:tcPr>
          <w:p w14:paraId="13F0C470" w14:textId="77777777" w:rsidR="007F2986" w:rsidRPr="007C168B" w:rsidRDefault="007F2986" w:rsidP="00CC2E43">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lang w:val="hu-HU"/>
              </w:rPr>
              <w:t>61,3</w:t>
            </w:r>
          </w:p>
        </w:tc>
      </w:tr>
      <w:tr w:rsidR="007F2986" w14:paraId="0F1BA859" w14:textId="77777777" w:rsidTr="00CC2E43">
        <w:tc>
          <w:tcPr>
            <w:tcW w:w="2578" w:type="dxa"/>
            <w:tcBorders>
              <w:top w:val="single" w:sz="5" w:space="0" w:color="000000"/>
              <w:left w:val="single" w:sz="5" w:space="0" w:color="000000"/>
              <w:bottom w:val="single" w:sz="5" w:space="0" w:color="000000"/>
              <w:right w:val="single" w:sz="5" w:space="0" w:color="000000"/>
            </w:tcBorders>
          </w:tcPr>
          <w:p w14:paraId="7A3F894E" w14:textId="77777777" w:rsidR="007F2986" w:rsidRDefault="007F2986" w:rsidP="00CC2E43">
            <w:pPr>
              <w:pStyle w:val="TableParagraph"/>
              <w:rPr>
                <w:rFonts w:ascii="Times New Roman" w:eastAsia="Times New Roman" w:hAnsi="Times New Roman" w:cs="Times New Roman"/>
                <w:lang w:val="hu-HU"/>
              </w:rPr>
            </w:pPr>
            <w:r>
              <w:rPr>
                <w:rFonts w:ascii="Times New Roman" w:eastAsia="Times New Roman" w:hAnsi="Times New Roman" w:cs="Times New Roman"/>
                <w:spacing w:val="-1"/>
                <w:lang w:val="hu-HU"/>
              </w:rPr>
              <w:t>Teljes köröm NAPSI százalékos változása (%)</w:t>
            </w:r>
          </w:p>
        </w:tc>
        <w:tc>
          <w:tcPr>
            <w:tcW w:w="992" w:type="dxa"/>
            <w:tcBorders>
              <w:top w:val="single" w:sz="5" w:space="0" w:color="000000"/>
              <w:left w:val="single" w:sz="5" w:space="0" w:color="000000"/>
              <w:bottom w:val="single" w:sz="5" w:space="0" w:color="000000"/>
              <w:right w:val="single" w:sz="5" w:space="0" w:color="000000"/>
            </w:tcBorders>
          </w:tcPr>
          <w:p w14:paraId="728374C9" w14:textId="77777777" w:rsidR="007F2986" w:rsidRPr="007C168B" w:rsidRDefault="007F2986" w:rsidP="00CC2E43">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spacing w:val="-4"/>
                <w:lang w:val="hu-HU"/>
              </w:rPr>
              <w:t>-7,8</w:t>
            </w:r>
          </w:p>
        </w:tc>
        <w:tc>
          <w:tcPr>
            <w:tcW w:w="1489" w:type="dxa"/>
            <w:tcBorders>
              <w:top w:val="single" w:sz="5" w:space="0" w:color="000000"/>
              <w:left w:val="single" w:sz="5" w:space="0" w:color="000000"/>
              <w:bottom w:val="single" w:sz="5" w:space="0" w:color="000000"/>
              <w:right w:val="single" w:sz="5" w:space="0" w:color="000000"/>
            </w:tcBorders>
          </w:tcPr>
          <w:p w14:paraId="3824422C" w14:textId="77777777" w:rsidR="007F2986" w:rsidRPr="009167C6" w:rsidRDefault="007F2986" w:rsidP="00CC2E43">
            <w:pPr>
              <w:pStyle w:val="TableParagraph"/>
              <w:jc w:val="center"/>
              <w:rPr>
                <w:rFonts w:ascii="Times New Roman" w:eastAsia="Times New Roman" w:hAnsi="Times New Roman" w:cs="Times New Roman"/>
                <w:lang w:val="hu-HU"/>
              </w:rPr>
            </w:pPr>
            <w:r w:rsidRPr="009167C6">
              <w:rPr>
                <w:rFonts w:ascii="Times New Roman" w:eastAsia="Times New Roman" w:hAnsi="Times New Roman" w:cs="Times New Roman"/>
                <w:spacing w:val="-4"/>
                <w:lang w:val="hu-HU"/>
              </w:rPr>
              <w:t xml:space="preserve">-44,2 </w:t>
            </w:r>
            <w:r w:rsidRPr="009167C6">
              <w:rPr>
                <w:rFonts w:ascii="Times New Roman" w:eastAsia="Times New Roman" w:hAnsi="Times New Roman" w:cs="Times New Roman"/>
                <w:spacing w:val="-4"/>
                <w:vertAlign w:val="superscript"/>
                <w:lang w:val="hu-HU"/>
              </w:rPr>
              <w:t>a</w:t>
            </w:r>
          </w:p>
        </w:tc>
        <w:tc>
          <w:tcPr>
            <w:tcW w:w="989" w:type="dxa"/>
            <w:tcBorders>
              <w:top w:val="single" w:sz="5" w:space="0" w:color="000000"/>
              <w:left w:val="single" w:sz="5" w:space="0" w:color="000000"/>
              <w:bottom w:val="single" w:sz="5" w:space="0" w:color="000000"/>
              <w:right w:val="single" w:sz="5" w:space="0" w:color="000000"/>
            </w:tcBorders>
          </w:tcPr>
          <w:p w14:paraId="620B7543" w14:textId="77777777" w:rsidR="007F2986" w:rsidRPr="007C168B" w:rsidRDefault="007F2986" w:rsidP="00CC2E43">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spacing w:val="-4"/>
                <w:lang w:val="hu-HU"/>
              </w:rPr>
              <w:t>-11,5</w:t>
            </w:r>
          </w:p>
        </w:tc>
        <w:tc>
          <w:tcPr>
            <w:tcW w:w="1491" w:type="dxa"/>
            <w:tcBorders>
              <w:top w:val="single" w:sz="5" w:space="0" w:color="000000"/>
              <w:left w:val="single" w:sz="5" w:space="0" w:color="000000"/>
              <w:bottom w:val="single" w:sz="5" w:space="0" w:color="000000"/>
              <w:right w:val="single" w:sz="5" w:space="0" w:color="000000"/>
            </w:tcBorders>
          </w:tcPr>
          <w:p w14:paraId="6C9E7F07" w14:textId="77777777" w:rsidR="007F2986" w:rsidRPr="009167C6" w:rsidRDefault="007F2986" w:rsidP="00CC2E43">
            <w:pPr>
              <w:pStyle w:val="TableParagraph"/>
              <w:jc w:val="center"/>
              <w:rPr>
                <w:rFonts w:ascii="Times New Roman" w:eastAsia="Times New Roman" w:hAnsi="Times New Roman" w:cs="Times New Roman"/>
                <w:lang w:val="hu-HU"/>
              </w:rPr>
            </w:pPr>
            <w:r w:rsidRPr="009167C6">
              <w:rPr>
                <w:rFonts w:ascii="Times New Roman" w:eastAsia="Times New Roman" w:hAnsi="Times New Roman" w:cs="Times New Roman"/>
                <w:spacing w:val="-4"/>
                <w:lang w:val="hu-HU"/>
              </w:rPr>
              <w:t>-56,2</w:t>
            </w:r>
            <w:r w:rsidRPr="009167C6">
              <w:rPr>
                <w:rFonts w:ascii="Times New Roman" w:eastAsia="Times New Roman" w:hAnsi="Times New Roman" w:cs="Times New Roman"/>
                <w:spacing w:val="-4"/>
                <w:vertAlign w:val="superscript"/>
                <w:lang w:val="hu-HU"/>
              </w:rPr>
              <w:t>a</w:t>
            </w:r>
          </w:p>
        </w:tc>
        <w:tc>
          <w:tcPr>
            <w:tcW w:w="2037" w:type="dxa"/>
            <w:tcBorders>
              <w:top w:val="single" w:sz="5" w:space="0" w:color="000000"/>
              <w:left w:val="single" w:sz="5" w:space="0" w:color="000000"/>
              <w:bottom w:val="single" w:sz="5" w:space="0" w:color="000000"/>
              <w:right w:val="single" w:sz="5" w:space="0" w:color="000000"/>
            </w:tcBorders>
          </w:tcPr>
          <w:p w14:paraId="177C1AC5" w14:textId="77777777" w:rsidR="007F2986" w:rsidRPr="007C168B" w:rsidRDefault="007F2986" w:rsidP="00CC2E43">
            <w:pPr>
              <w:pStyle w:val="TableParagraph"/>
              <w:jc w:val="center"/>
              <w:rPr>
                <w:rFonts w:ascii="Times New Roman" w:eastAsia="Times New Roman" w:hAnsi="Times New Roman" w:cs="Times New Roman"/>
                <w:lang w:val="hu-HU"/>
              </w:rPr>
            </w:pPr>
            <w:r w:rsidRPr="007C168B">
              <w:rPr>
                <w:rFonts w:ascii="Times New Roman" w:eastAsia="Times New Roman" w:hAnsi="Times New Roman" w:cs="Times New Roman"/>
                <w:spacing w:val="-4"/>
                <w:lang w:val="hu-HU"/>
              </w:rPr>
              <w:t>-72,2</w:t>
            </w:r>
          </w:p>
        </w:tc>
      </w:tr>
      <w:tr w:rsidR="007F2986" w14:paraId="72231372" w14:textId="77777777" w:rsidTr="00CC2E43">
        <w:trPr>
          <w:trHeight w:val="61"/>
        </w:trPr>
        <w:tc>
          <w:tcPr>
            <w:tcW w:w="9576" w:type="dxa"/>
            <w:gridSpan w:val="6"/>
            <w:tcBorders>
              <w:top w:val="single" w:sz="5" w:space="0" w:color="000000"/>
              <w:left w:val="single" w:sz="5" w:space="0" w:color="000000"/>
              <w:bottom w:val="single" w:sz="5" w:space="0" w:color="000000"/>
              <w:right w:val="single" w:sz="5" w:space="0" w:color="000000"/>
            </w:tcBorders>
          </w:tcPr>
          <w:p w14:paraId="33161B53" w14:textId="77777777" w:rsidR="007F2986" w:rsidRPr="009167C6" w:rsidRDefault="007F2986" w:rsidP="00CC2E43">
            <w:pPr>
              <w:pStyle w:val="TableParagraph"/>
              <w:rPr>
                <w:rFonts w:ascii="Times New Roman" w:eastAsia="Times New Roman" w:hAnsi="Times New Roman" w:cs="Times New Roman"/>
                <w:lang w:val="hu-HU"/>
              </w:rPr>
            </w:pPr>
            <w:r w:rsidRPr="009167C6">
              <w:rPr>
                <w:rFonts w:ascii="Times New Roman" w:eastAsia="Times New Roman" w:hAnsi="Times New Roman" w:cs="Times New Roman"/>
                <w:position w:val="8"/>
                <w:vertAlign w:val="superscript"/>
                <w:lang w:val="hu-HU"/>
              </w:rPr>
              <w:t>a</w:t>
            </w:r>
            <w:r w:rsidRPr="009167C6">
              <w:rPr>
                <w:rFonts w:ascii="Times New Roman" w:eastAsia="Times New Roman" w:hAnsi="Times New Roman" w:cs="Times New Roman"/>
                <w:position w:val="8"/>
                <w:lang w:val="hu-HU"/>
              </w:rPr>
              <w:t xml:space="preserve"> </w:t>
            </w:r>
            <w:r w:rsidRPr="007C168B">
              <w:rPr>
                <w:rFonts w:ascii="Times New Roman" w:eastAsia="Times New Roman" w:hAnsi="Times New Roman" w:cs="Times New Roman"/>
                <w:position w:val="8"/>
                <w:lang w:val="hu-HU"/>
              </w:rPr>
              <w:t xml:space="preserve">p&lt;0,001, adalimumab </w:t>
            </w:r>
            <w:r w:rsidRPr="007C168B">
              <w:rPr>
                <w:rFonts w:ascii="Times New Roman" w:eastAsia="Times New Roman" w:hAnsi="Times New Roman" w:cs="Times New Roman"/>
                <w:i/>
                <w:iCs/>
                <w:position w:val="8"/>
                <w:lang w:val="hu-HU"/>
              </w:rPr>
              <w:t xml:space="preserve">vs. </w:t>
            </w:r>
            <w:r w:rsidRPr="009167C6">
              <w:rPr>
                <w:rFonts w:ascii="Times New Roman" w:eastAsia="Times New Roman" w:hAnsi="Times New Roman" w:cs="Times New Roman"/>
                <w:position w:val="8"/>
                <w:lang w:val="hu-HU"/>
              </w:rPr>
              <w:t>placebo</w:t>
            </w:r>
          </w:p>
        </w:tc>
      </w:tr>
    </w:tbl>
    <w:p w14:paraId="46ADE384" w14:textId="77777777" w:rsidR="007F2986" w:rsidRDefault="007F2986" w:rsidP="007F2986">
      <w:pPr>
        <w:spacing w:before="5" w:line="170" w:lineRule="exact"/>
        <w:rPr>
          <w:sz w:val="17"/>
          <w:szCs w:val="17"/>
          <w:lang w:val="hu-HU"/>
        </w:rPr>
      </w:pPr>
    </w:p>
    <w:p w14:paraId="17FE1666" w14:textId="77777777" w:rsidR="007F2986" w:rsidRDefault="007F2986" w:rsidP="007F2986">
      <w:pPr>
        <w:pStyle w:val="a3"/>
        <w:rPr>
          <w:lang w:val="hu-HU"/>
        </w:rPr>
      </w:pPr>
      <w:r>
        <w:rPr>
          <w:rFonts w:eastAsia="Times New Roman"/>
          <w:lang w:val="hu-HU"/>
        </w:rPr>
        <w:t>Az adalimumabbal kezelt betegeknél a bőrgyógyászati életminőségi index (DLQI) statisztikailag szignifikáns javulást mutatott a 26. héten a placebóhoz képest</w:t>
      </w:r>
    </w:p>
    <w:p w14:paraId="434FD619" w14:textId="132733F8" w:rsidR="007F2986" w:rsidRDefault="007F2986" w:rsidP="007F2986">
      <w:pPr>
        <w:pStyle w:val="a3"/>
        <w:rPr>
          <w:sz w:val="24"/>
          <w:szCs w:val="24"/>
          <w:lang w:val="hu-HU"/>
        </w:rPr>
      </w:pPr>
    </w:p>
    <w:p w14:paraId="68D55678" w14:textId="574C2A2F" w:rsidR="007F2986" w:rsidRPr="005A05DE" w:rsidRDefault="00291FC8" w:rsidP="007F2986">
      <w:pPr>
        <w:pStyle w:val="a3"/>
        <w:rPr>
          <w:rFonts w:eastAsia="Times New Roman"/>
          <w:i/>
          <w:iCs/>
          <w:spacing w:val="-1"/>
          <w:lang w:val="hu-HU"/>
        </w:rPr>
      </w:pPr>
      <w:r w:rsidRPr="005A05DE">
        <w:rPr>
          <w:rFonts w:eastAsia="Times New Roman"/>
          <w:i/>
          <w:iCs/>
          <w:spacing w:val="-1"/>
          <w:lang w:val="hu-HU"/>
        </w:rPr>
        <w:t>Felnőttkori Crohn-betegség</w:t>
      </w:r>
    </w:p>
    <w:p w14:paraId="5B632E2E" w14:textId="77777777" w:rsidR="007F2986" w:rsidRDefault="007F2986" w:rsidP="007F2986">
      <w:pPr>
        <w:pStyle w:val="a3"/>
        <w:rPr>
          <w:sz w:val="24"/>
          <w:szCs w:val="24"/>
          <w:lang w:val="hu-HU"/>
        </w:rPr>
      </w:pPr>
    </w:p>
    <w:p w14:paraId="06EF8CD5" w14:textId="77777777" w:rsidR="007F2986" w:rsidRDefault="007F2986" w:rsidP="007F2986">
      <w:pPr>
        <w:pStyle w:val="a3"/>
        <w:rPr>
          <w:lang w:val="hu-HU"/>
        </w:rPr>
      </w:pPr>
      <w:r>
        <w:rPr>
          <w:rFonts w:eastAsia="Times New Roman"/>
          <w:lang w:val="hu-HU"/>
        </w:rPr>
        <w:t xml:space="preserve">Az adalimumab biztonságosságát és hatásosságát több mint 1500, közepesen súlyos – </w:t>
      </w:r>
      <w:r w:rsidRPr="009167C6">
        <w:rPr>
          <w:lang w:val="hu-HU"/>
        </w:rPr>
        <w:t> </w:t>
      </w:r>
      <w:r>
        <w:rPr>
          <w:rFonts w:eastAsia="Times New Roman"/>
          <w:lang w:val="hu-HU"/>
        </w:rPr>
        <w:t xml:space="preserve"> súlyos aktivitású Crohn-betegségben (CDAI [Crohn’s Disease Activity Index – Crohn-betegség aktivitási index]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 220 – </w:t>
      </w:r>
      <w:r>
        <w:rPr>
          <w:rFonts w:ascii="Symbol" w:eastAsia="Symbol" w:hAnsi="Symbol" w:cs="Symbol"/>
          <w:lang w:val="hu-HU"/>
        </w:rPr>
        <w:sym w:font="Symbol" w:char="F0A3"/>
      </w:r>
      <w:r>
        <w:rPr>
          <w:rFonts w:ascii="Symbol" w:eastAsia="Symbol" w:hAnsi="Symbol" w:cs="Symbol"/>
          <w:lang w:val="hu-HU"/>
        </w:rPr>
        <w:sym w:font="Symbol" w:char="F020"/>
      </w:r>
      <w:r>
        <w:rPr>
          <w:rFonts w:eastAsia="Times New Roman"/>
          <w:lang w:val="hu-HU"/>
        </w:rPr>
        <w:t xml:space="preserve">450) szenvedő betegen értékelték randomizált, kettős vak, placebokontrollos vizsgálattal. Az </w:t>
      </w:r>
      <w:r>
        <w:rPr>
          <w:rFonts w:eastAsia="Times New Roman"/>
          <w:lang w:val="hu-HU"/>
        </w:rPr>
        <w:lastRenderedPageBreak/>
        <w:t>aminoszalicilátok, kortikoszteroidok és/vagy immunmodulánsok alkalmazását változatlan dózisban engedélyezték; e szerek legalább egyikét a betegek 80%-a továbbra is kapta.</w:t>
      </w:r>
    </w:p>
    <w:p w14:paraId="2EFA6CFF" w14:textId="77777777" w:rsidR="007F2986" w:rsidRDefault="007F2986" w:rsidP="007F2986">
      <w:pPr>
        <w:pStyle w:val="a3"/>
        <w:rPr>
          <w:sz w:val="24"/>
          <w:szCs w:val="24"/>
          <w:lang w:val="hu-HU"/>
        </w:rPr>
      </w:pPr>
    </w:p>
    <w:p w14:paraId="58342D28" w14:textId="77777777" w:rsidR="007F2986" w:rsidRDefault="007F2986" w:rsidP="007F2986">
      <w:pPr>
        <w:pStyle w:val="a3"/>
        <w:rPr>
          <w:lang w:val="hu-HU"/>
        </w:rPr>
      </w:pPr>
      <w:r>
        <w:rPr>
          <w:rFonts w:eastAsia="Times New Roman"/>
          <w:lang w:val="hu-HU"/>
        </w:rPr>
        <w:t>A klinikai remisszió indukcióját (meghatározás szerint CDAI &lt; 150) két vizsgálat a CD I (CLASSIC I) és a CD II (GAIN) értékelte. A CD I vizsgálatban 299, TNF-antagonistával korábban még nem kezelt beteget soroltak véletlenszerűen a négy terápiás csoport valamelyikébe (placebokezelés a 0. és a 2. héten; 160 mg adalimumab a 0. és 80 mg a 2. héten; 80 mg adalimumab a 0. és 40 mg a 2. héten; 40 mg adalimumab a 0. és 20 mg a 2. héten). A CD II vizsgálatban 325 beteget, akinél hatástalanná vált az infliximab, vagy infliximab-intolerancia állt fenn, véletlenszerű besorolás alapján a 0. héten 160 mg, illetve a 2. héten 80 mg adalimumabbal vagy a 0. és a 2. héten adott placebóval kezeltek. A primer nem reagálókat kizárták a vizsgálatokból, ezért ezeket a betegeket a továbbiakban nem értékelték.</w:t>
      </w:r>
    </w:p>
    <w:p w14:paraId="64B52C0C" w14:textId="77777777" w:rsidR="007F2986" w:rsidRDefault="007F2986" w:rsidP="007F2986">
      <w:pPr>
        <w:pStyle w:val="a3"/>
        <w:rPr>
          <w:sz w:val="24"/>
          <w:szCs w:val="24"/>
          <w:lang w:val="hu-HU"/>
        </w:rPr>
      </w:pPr>
    </w:p>
    <w:p w14:paraId="1567C45E" w14:textId="77777777" w:rsidR="007F2986" w:rsidRDefault="007F2986" w:rsidP="007F2986">
      <w:pPr>
        <w:pStyle w:val="a3"/>
        <w:rPr>
          <w:lang w:val="hu-HU"/>
        </w:rPr>
      </w:pPr>
      <w:r>
        <w:rPr>
          <w:rFonts w:eastAsia="Times New Roman"/>
          <w:lang w:val="hu-HU"/>
        </w:rPr>
        <w:t>A klinikai remisszió fenntartását a CD III (CHARM) vizsgálat értékelte. A CD III vizsgálatban 854 beteget kezeltek nyílt vizsgálati elrendezésben, a 0. héten 80 mg, a 2. héten 40 mg dózissal. A 4. héten a résztvevőket véletlenszerűen sorolták be minden második héten 40 mg dózissal, hetente 40 mg dózissal vagy placebóval kezelt csoportba, összességében 56 hetes vizsgálati időtartammal. A kezelés 4. hetében a klinikailag reagáló (a CDAI ≥ 70 pontos csökkenése) betegek csoportját rétegezték, és eredményeiket a kezelésre a 4. hétig klinikailag nem reagáló betegekétől különválasztva értékelték. A 8. hét után engedélyezték a kortikoszteroid fokozatos csökkentését.</w:t>
      </w:r>
    </w:p>
    <w:p w14:paraId="48E5153A" w14:textId="77777777" w:rsidR="007F2986" w:rsidRDefault="007F2986" w:rsidP="007F2986">
      <w:pPr>
        <w:spacing w:before="11" w:line="240" w:lineRule="exact"/>
        <w:rPr>
          <w:sz w:val="24"/>
          <w:szCs w:val="24"/>
          <w:lang w:val="hu-HU"/>
        </w:rPr>
      </w:pPr>
    </w:p>
    <w:p w14:paraId="176C2C10" w14:textId="4BA18DEB" w:rsidR="007F2986" w:rsidRDefault="007F2986" w:rsidP="007F2986">
      <w:pPr>
        <w:pStyle w:val="a3"/>
        <w:rPr>
          <w:rFonts w:eastAsia="Times New Roman"/>
          <w:lang w:val="hu-HU"/>
        </w:rPr>
      </w:pPr>
      <w:r>
        <w:rPr>
          <w:rFonts w:eastAsia="Times New Roman"/>
          <w:lang w:val="hu-HU"/>
        </w:rPr>
        <w:t xml:space="preserve">A </w:t>
      </w:r>
      <w:r w:rsidR="00291FC8">
        <w:rPr>
          <w:rFonts w:eastAsia="Times New Roman"/>
          <w:lang w:val="hu-HU"/>
        </w:rPr>
        <w:t>14</w:t>
      </w:r>
      <w:r>
        <w:rPr>
          <w:rFonts w:eastAsia="Times New Roman"/>
          <w:lang w:val="hu-HU"/>
        </w:rPr>
        <w:t>. táblázat a CD I és a CD II vizsgálat során kiváltott remisszió gyakoriságát és a kezelésre reagáló betegek részarányát összegezi.</w:t>
      </w:r>
    </w:p>
    <w:p w14:paraId="2BE31B0F" w14:textId="77777777" w:rsidR="007F2986" w:rsidRDefault="007F2986" w:rsidP="007F2986">
      <w:pPr>
        <w:pStyle w:val="a3"/>
        <w:rPr>
          <w:rFonts w:eastAsia="Times New Roman"/>
          <w:lang w:val="hu-HU"/>
        </w:rPr>
      </w:pPr>
    </w:p>
    <w:p w14:paraId="1C3095A9" w14:textId="6A5B69C2" w:rsidR="007F2986" w:rsidRDefault="00291FC8" w:rsidP="007F2986">
      <w:pPr>
        <w:pStyle w:val="a3"/>
        <w:jc w:val="center"/>
        <w:rPr>
          <w:b/>
          <w:lang w:val="hu-HU"/>
        </w:rPr>
      </w:pPr>
      <w:r>
        <w:rPr>
          <w:rFonts w:eastAsia="Times New Roman"/>
          <w:b/>
          <w:bCs/>
          <w:lang w:val="hu-HU"/>
        </w:rPr>
        <w:t>14</w:t>
      </w:r>
      <w:r w:rsidR="007F2986">
        <w:rPr>
          <w:rFonts w:eastAsia="Times New Roman"/>
          <w:b/>
          <w:bCs/>
          <w:lang w:val="hu-HU"/>
        </w:rPr>
        <w:t>. táblázat</w:t>
      </w:r>
    </w:p>
    <w:p w14:paraId="0EEA3D9A" w14:textId="77777777" w:rsidR="007F2986" w:rsidRDefault="007F2986" w:rsidP="007F2986">
      <w:pPr>
        <w:pStyle w:val="a3"/>
        <w:jc w:val="center"/>
        <w:rPr>
          <w:rFonts w:eastAsia="Times New Roman"/>
          <w:b/>
          <w:bCs/>
          <w:lang w:val="hu-HU"/>
        </w:rPr>
      </w:pPr>
      <w:r>
        <w:rPr>
          <w:rFonts w:eastAsia="Times New Roman"/>
          <w:b/>
          <w:bCs/>
          <w:lang w:val="hu-HU"/>
        </w:rPr>
        <w:t xml:space="preserve">Klinikai remisszió és reakció indukció (a betegek százaléka) </w:t>
      </w:r>
    </w:p>
    <w:p w14:paraId="65BA0F86" w14:textId="77777777" w:rsidR="00B727AB" w:rsidRDefault="00B727AB" w:rsidP="007F2986">
      <w:pPr>
        <w:pStyle w:val="a3"/>
        <w:jc w:val="center"/>
        <w:rPr>
          <w:b/>
          <w:lang w:val="hu-HU"/>
        </w:rPr>
      </w:pPr>
    </w:p>
    <w:p w14:paraId="4B4A022E" w14:textId="77777777" w:rsidR="007F2986" w:rsidRDefault="007F2986" w:rsidP="007F2986">
      <w:pPr>
        <w:spacing w:before="3" w:line="10" w:lineRule="exact"/>
        <w:rPr>
          <w:sz w:val="4"/>
          <w:szCs w:val="4"/>
          <w:lang w:val="hu-HU"/>
        </w:rPr>
      </w:pPr>
    </w:p>
    <w:tbl>
      <w:tblPr>
        <w:tblStyle w:val="TableNormal1"/>
        <w:tblW w:w="9492" w:type="dxa"/>
        <w:tblLayout w:type="fixed"/>
        <w:tblLook w:val="01E0" w:firstRow="1" w:lastRow="1" w:firstColumn="1" w:lastColumn="1" w:noHBand="0" w:noVBand="0"/>
      </w:tblPr>
      <w:tblGrid>
        <w:gridCol w:w="2311"/>
        <w:gridCol w:w="1085"/>
        <w:gridCol w:w="1356"/>
        <w:gridCol w:w="1338"/>
        <w:gridCol w:w="1559"/>
        <w:gridCol w:w="1843"/>
      </w:tblGrid>
      <w:tr w:rsidR="007F2986" w:rsidRPr="00BE4D18" w14:paraId="5DDA2D10" w14:textId="77777777" w:rsidTr="00CC2E43">
        <w:trPr>
          <w:trHeight w:hRule="exact" w:val="569"/>
        </w:trPr>
        <w:tc>
          <w:tcPr>
            <w:tcW w:w="2311" w:type="dxa"/>
            <w:tcBorders>
              <w:top w:val="single" w:sz="5" w:space="0" w:color="000000"/>
              <w:left w:val="single" w:sz="5" w:space="0" w:color="000000"/>
              <w:bottom w:val="single" w:sz="5" w:space="0" w:color="000000"/>
              <w:right w:val="single" w:sz="5" w:space="0" w:color="000000"/>
            </w:tcBorders>
          </w:tcPr>
          <w:p w14:paraId="71427241" w14:textId="77777777" w:rsidR="007F2986" w:rsidRDefault="007F2986" w:rsidP="00CC2E43">
            <w:pPr>
              <w:rPr>
                <w:lang w:val="hu-HU"/>
              </w:rPr>
            </w:pPr>
          </w:p>
        </w:tc>
        <w:tc>
          <w:tcPr>
            <w:tcW w:w="3779" w:type="dxa"/>
            <w:gridSpan w:val="3"/>
            <w:tcBorders>
              <w:top w:val="single" w:sz="5" w:space="0" w:color="000000"/>
              <w:left w:val="single" w:sz="5" w:space="0" w:color="000000"/>
              <w:bottom w:val="single" w:sz="5" w:space="0" w:color="000000"/>
              <w:right w:val="single" w:sz="5" w:space="0" w:color="000000"/>
            </w:tcBorders>
          </w:tcPr>
          <w:p w14:paraId="1D2615C3" w14:textId="77777777" w:rsidR="007F2986" w:rsidRDefault="007F2986" w:rsidP="00CC2E43">
            <w:pPr>
              <w:pStyle w:val="TableParagraph"/>
              <w:spacing w:before="39" w:line="240" w:lineRule="exact"/>
              <w:ind w:left="102" w:right="15"/>
              <w:rPr>
                <w:rFonts w:ascii="Times New Roman" w:eastAsia="Times New Roman" w:hAnsi="Times New Roman" w:cs="Times New Roman"/>
                <w:lang w:val="hu-HU"/>
              </w:rPr>
            </w:pPr>
            <w:r>
              <w:rPr>
                <w:rFonts w:ascii="Times New Roman" w:eastAsia="Times New Roman" w:hAnsi="Times New Roman" w:cs="Times New Roman"/>
                <w:b/>
                <w:bCs/>
                <w:spacing w:val="-1"/>
                <w:lang w:val="hu-HU"/>
              </w:rPr>
              <w:t>CD I vizsgálat:Infliximab naiv betegek</w:t>
            </w:r>
          </w:p>
        </w:tc>
        <w:tc>
          <w:tcPr>
            <w:tcW w:w="3402" w:type="dxa"/>
            <w:gridSpan w:val="2"/>
            <w:tcBorders>
              <w:top w:val="single" w:sz="5" w:space="0" w:color="000000"/>
              <w:left w:val="single" w:sz="5" w:space="0" w:color="000000"/>
              <w:bottom w:val="single" w:sz="5" w:space="0" w:color="000000"/>
              <w:right w:val="single" w:sz="5" w:space="0" w:color="000000"/>
            </w:tcBorders>
          </w:tcPr>
          <w:p w14:paraId="591D8DEA" w14:textId="77777777" w:rsidR="007F2986" w:rsidRDefault="007F2986" w:rsidP="00CC2E43">
            <w:pPr>
              <w:pStyle w:val="TableParagraph"/>
              <w:spacing w:before="39" w:line="240"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CD II vizsgálat:Infliximabbal már kezelt betegek</w:t>
            </w:r>
          </w:p>
        </w:tc>
      </w:tr>
      <w:tr w:rsidR="007F2986" w14:paraId="62D43AEB" w14:textId="77777777" w:rsidTr="00CC2E43">
        <w:trPr>
          <w:trHeight w:hRule="exact" w:val="890"/>
        </w:trPr>
        <w:tc>
          <w:tcPr>
            <w:tcW w:w="2311" w:type="dxa"/>
            <w:tcBorders>
              <w:top w:val="single" w:sz="5" w:space="0" w:color="000000"/>
              <w:left w:val="single" w:sz="5" w:space="0" w:color="000000"/>
              <w:bottom w:val="single" w:sz="5" w:space="0" w:color="000000"/>
              <w:right w:val="single" w:sz="5" w:space="0" w:color="000000"/>
            </w:tcBorders>
          </w:tcPr>
          <w:p w14:paraId="15FF9D9A" w14:textId="77777777" w:rsidR="007F2986" w:rsidRDefault="007F2986" w:rsidP="00CC2E43">
            <w:pPr>
              <w:rPr>
                <w:lang w:val="hu-HU"/>
              </w:rPr>
            </w:pPr>
          </w:p>
        </w:tc>
        <w:tc>
          <w:tcPr>
            <w:tcW w:w="1085" w:type="dxa"/>
            <w:tcBorders>
              <w:top w:val="single" w:sz="5" w:space="0" w:color="000000"/>
              <w:left w:val="single" w:sz="5" w:space="0" w:color="000000"/>
              <w:bottom w:val="single" w:sz="5" w:space="0" w:color="000000"/>
              <w:right w:val="single" w:sz="5" w:space="0" w:color="000000"/>
            </w:tcBorders>
            <w:vAlign w:val="center"/>
          </w:tcPr>
          <w:p w14:paraId="0A4DC7CF" w14:textId="0172FF47" w:rsidR="007F2986" w:rsidRDefault="007F2986" w:rsidP="00966EC6">
            <w:pPr>
              <w:pStyle w:val="TableParagraph"/>
              <w:spacing w:before="24" w:line="268" w:lineRule="auto"/>
              <w:ind w:firstLineChars="50" w:firstLine="110"/>
              <w:jc w:val="center"/>
              <w:rPr>
                <w:rFonts w:ascii="Times New Roman" w:eastAsia="Times New Roman" w:hAnsi="Times New Roman" w:cs="Times New Roman"/>
                <w:lang w:val="hu-HU"/>
              </w:rPr>
            </w:pPr>
            <w:r>
              <w:rPr>
                <w:rFonts w:ascii="Times New Roman" w:eastAsia="Times New Roman" w:hAnsi="Times New Roman" w:cs="Times New Roman"/>
                <w:b/>
                <w:bCs/>
                <w:lang w:val="hu-HU"/>
              </w:rPr>
              <w:t xml:space="preserve">Placebo </w:t>
            </w:r>
            <w:r w:rsidR="00966EC6">
              <w:rPr>
                <w:rFonts w:ascii="Times New Roman" w:eastAsia="Times New Roman" w:hAnsi="Times New Roman" w:cs="Times New Roman"/>
                <w:b/>
                <w:bCs/>
                <w:lang w:val="hu-HU"/>
              </w:rPr>
              <w:t>n</w:t>
            </w:r>
            <w:r>
              <w:rPr>
                <w:rFonts w:ascii="Times New Roman" w:eastAsia="Times New Roman" w:hAnsi="Times New Roman" w:cs="Times New Roman"/>
                <w:b/>
                <w:bCs/>
                <w:lang w:val="hu-HU"/>
              </w:rPr>
              <w:t>=74</w:t>
            </w:r>
          </w:p>
        </w:tc>
        <w:tc>
          <w:tcPr>
            <w:tcW w:w="1356" w:type="dxa"/>
            <w:tcBorders>
              <w:top w:val="single" w:sz="5" w:space="0" w:color="000000"/>
              <w:left w:val="single" w:sz="5" w:space="0" w:color="000000"/>
              <w:bottom w:val="single" w:sz="5" w:space="0" w:color="000000"/>
              <w:right w:val="single" w:sz="5" w:space="0" w:color="000000"/>
            </w:tcBorders>
            <w:vAlign w:val="center"/>
          </w:tcPr>
          <w:p w14:paraId="64F6FFC7" w14:textId="33B80177" w:rsidR="007F2986" w:rsidRDefault="007F2986" w:rsidP="00966EC6">
            <w:pPr>
              <w:pStyle w:val="TableParagraph"/>
              <w:spacing w:before="24" w:line="266" w:lineRule="auto"/>
              <w:ind w:hanging="4"/>
              <w:jc w:val="center"/>
              <w:rPr>
                <w:rFonts w:ascii="Times New Roman" w:eastAsia="Times New Roman" w:hAnsi="Times New Roman" w:cs="Times New Roman"/>
                <w:lang w:val="hu-HU"/>
              </w:rPr>
            </w:pPr>
            <w:r>
              <w:rPr>
                <w:rFonts w:ascii="Times New Roman" w:eastAsia="Times New Roman" w:hAnsi="Times New Roman" w:cs="Times New Roman"/>
                <w:b/>
                <w:bCs/>
                <w:lang w:val="hu-HU"/>
              </w:rPr>
              <w:t xml:space="preserve">Adalimumab 80/40 mg </w:t>
            </w:r>
            <w:r>
              <w:rPr>
                <w:rFonts w:ascii="Times New Roman" w:eastAsia="Times New Roman" w:hAnsi="Times New Roman" w:cs="Times New Roman"/>
                <w:b/>
                <w:bCs/>
                <w:lang w:val="hu-HU"/>
              </w:rPr>
              <w:br/>
            </w:r>
            <w:r w:rsidR="00966EC6">
              <w:rPr>
                <w:rFonts w:ascii="Times New Roman" w:eastAsia="Times New Roman" w:hAnsi="Times New Roman" w:cs="Times New Roman"/>
                <w:b/>
                <w:bCs/>
                <w:lang w:val="hu-HU"/>
              </w:rPr>
              <w:t>n</w:t>
            </w:r>
            <w:r>
              <w:rPr>
                <w:rFonts w:ascii="Times New Roman" w:eastAsia="Times New Roman" w:hAnsi="Times New Roman" w:cs="Times New Roman"/>
                <w:b/>
                <w:bCs/>
                <w:lang w:val="hu-HU"/>
              </w:rPr>
              <w:t xml:space="preserve"> = 75</w:t>
            </w:r>
          </w:p>
        </w:tc>
        <w:tc>
          <w:tcPr>
            <w:tcW w:w="1338" w:type="dxa"/>
            <w:tcBorders>
              <w:top w:val="single" w:sz="5" w:space="0" w:color="000000"/>
              <w:left w:val="single" w:sz="5" w:space="0" w:color="000000"/>
              <w:bottom w:val="single" w:sz="5" w:space="0" w:color="000000"/>
              <w:right w:val="single" w:sz="5" w:space="0" w:color="000000"/>
            </w:tcBorders>
            <w:vAlign w:val="center"/>
          </w:tcPr>
          <w:p w14:paraId="72BF5C3E" w14:textId="77777777" w:rsidR="007F2986" w:rsidRDefault="007F2986" w:rsidP="00CC2E43">
            <w:pPr>
              <w:pStyle w:val="TableParagraph"/>
              <w:spacing w:before="24" w:line="248" w:lineRule="auto"/>
              <w:jc w:val="center"/>
              <w:rPr>
                <w:rFonts w:ascii="Times New Roman" w:eastAsia="Times New Roman" w:hAnsi="Times New Roman" w:cs="Times New Roman"/>
                <w:b/>
                <w:bCs/>
                <w:lang w:val="hu-HU"/>
              </w:rPr>
            </w:pPr>
            <w:r>
              <w:rPr>
                <w:rFonts w:ascii="Times New Roman" w:eastAsia="Times New Roman" w:hAnsi="Times New Roman" w:cs="Times New Roman"/>
                <w:b/>
                <w:bCs/>
                <w:lang w:val="hu-HU"/>
              </w:rPr>
              <w:t xml:space="preserve">Adalimumab 160/80 mg </w:t>
            </w:r>
          </w:p>
          <w:p w14:paraId="3242A664" w14:textId="351CEE53" w:rsidR="007F2986" w:rsidRDefault="00966EC6" w:rsidP="00CC2E43">
            <w:pPr>
              <w:pStyle w:val="TableParagraph"/>
              <w:spacing w:before="24" w:line="248" w:lineRule="auto"/>
              <w:jc w:val="center"/>
              <w:rPr>
                <w:rFonts w:ascii="Times New Roman" w:eastAsia="Times New Roman" w:hAnsi="Times New Roman" w:cs="Times New Roman"/>
                <w:lang w:val="hu-HU"/>
              </w:rPr>
            </w:pPr>
            <w:r>
              <w:rPr>
                <w:rFonts w:ascii="Times New Roman" w:eastAsia="Times New Roman" w:hAnsi="Times New Roman" w:cs="Times New Roman"/>
                <w:b/>
                <w:bCs/>
                <w:lang w:val="hu-HU"/>
              </w:rPr>
              <w:t>n</w:t>
            </w:r>
            <w:r w:rsidR="007F2986">
              <w:rPr>
                <w:rFonts w:ascii="Times New Roman" w:eastAsia="Times New Roman" w:hAnsi="Times New Roman" w:cs="Times New Roman"/>
                <w:b/>
                <w:bCs/>
                <w:lang w:val="hu-HU"/>
              </w:rPr>
              <w:t xml:space="preserve"> = 76</w:t>
            </w:r>
          </w:p>
        </w:tc>
        <w:tc>
          <w:tcPr>
            <w:tcW w:w="1559" w:type="dxa"/>
            <w:tcBorders>
              <w:top w:val="single" w:sz="5" w:space="0" w:color="000000"/>
              <w:left w:val="single" w:sz="5" w:space="0" w:color="000000"/>
              <w:bottom w:val="single" w:sz="5" w:space="0" w:color="000000"/>
              <w:right w:val="single" w:sz="5" w:space="0" w:color="000000"/>
            </w:tcBorders>
            <w:vAlign w:val="center"/>
          </w:tcPr>
          <w:p w14:paraId="41F62B83" w14:textId="31EFBF0E" w:rsidR="007F2986" w:rsidRDefault="007F2986" w:rsidP="00966EC6">
            <w:pPr>
              <w:pStyle w:val="TableParagraph"/>
              <w:spacing w:before="24" w:line="268" w:lineRule="auto"/>
              <w:jc w:val="center"/>
              <w:rPr>
                <w:rFonts w:ascii="Times New Roman" w:eastAsia="Times New Roman" w:hAnsi="Times New Roman" w:cs="Times New Roman"/>
                <w:lang w:val="hu-HU"/>
              </w:rPr>
            </w:pPr>
            <w:r>
              <w:rPr>
                <w:rFonts w:ascii="Times New Roman" w:eastAsia="Times New Roman" w:hAnsi="Times New Roman" w:cs="Times New Roman"/>
                <w:b/>
                <w:bCs/>
                <w:lang w:val="hu-HU"/>
              </w:rPr>
              <w:t xml:space="preserve">Placebo </w:t>
            </w:r>
            <w:r w:rsidR="00966EC6">
              <w:rPr>
                <w:rFonts w:ascii="Times New Roman" w:eastAsia="Times New Roman" w:hAnsi="Times New Roman" w:cs="Times New Roman"/>
                <w:b/>
                <w:bCs/>
                <w:lang w:val="hu-HU"/>
              </w:rPr>
              <w:t>n</w:t>
            </w:r>
            <w:r>
              <w:rPr>
                <w:rFonts w:ascii="Times New Roman" w:eastAsia="Times New Roman" w:hAnsi="Times New Roman" w:cs="Times New Roman"/>
                <w:b/>
                <w:bCs/>
                <w:lang w:val="hu-HU"/>
              </w:rPr>
              <w:t>=166</w:t>
            </w:r>
          </w:p>
        </w:tc>
        <w:tc>
          <w:tcPr>
            <w:tcW w:w="1843" w:type="dxa"/>
            <w:tcBorders>
              <w:top w:val="single" w:sz="5" w:space="0" w:color="000000"/>
              <w:left w:val="single" w:sz="5" w:space="0" w:color="000000"/>
              <w:bottom w:val="single" w:sz="5" w:space="0" w:color="000000"/>
              <w:right w:val="single" w:sz="5" w:space="0" w:color="000000"/>
            </w:tcBorders>
            <w:vAlign w:val="center"/>
          </w:tcPr>
          <w:p w14:paraId="1BF00A9F" w14:textId="55815690" w:rsidR="007F2986" w:rsidRDefault="007F2986" w:rsidP="00966EC6">
            <w:pPr>
              <w:pStyle w:val="TableParagraph"/>
              <w:spacing w:before="24" w:line="266" w:lineRule="auto"/>
              <w:ind w:hanging="4"/>
              <w:jc w:val="center"/>
              <w:rPr>
                <w:rFonts w:ascii="Times New Roman" w:eastAsia="Times New Roman" w:hAnsi="Times New Roman" w:cs="Times New Roman"/>
                <w:lang w:val="hu-HU"/>
              </w:rPr>
            </w:pPr>
            <w:r>
              <w:rPr>
                <w:rFonts w:ascii="Times New Roman" w:eastAsia="Times New Roman" w:hAnsi="Times New Roman" w:cs="Times New Roman"/>
                <w:b/>
                <w:bCs/>
                <w:lang w:val="hu-HU"/>
              </w:rPr>
              <w:t xml:space="preserve">Adalimumab 160/80 mg </w:t>
            </w:r>
            <w:r w:rsidR="00966EC6">
              <w:rPr>
                <w:rFonts w:ascii="Times New Roman" w:eastAsia="Times New Roman" w:hAnsi="Times New Roman" w:cs="Times New Roman"/>
                <w:b/>
                <w:bCs/>
                <w:lang w:val="hu-HU"/>
              </w:rPr>
              <w:t>n</w:t>
            </w:r>
            <w:r>
              <w:rPr>
                <w:rFonts w:ascii="Times New Roman" w:eastAsia="Times New Roman" w:hAnsi="Times New Roman" w:cs="Times New Roman"/>
                <w:b/>
                <w:bCs/>
                <w:lang w:val="hu-HU"/>
              </w:rPr>
              <w:t xml:space="preserve"> = 159</w:t>
            </w:r>
          </w:p>
        </w:tc>
      </w:tr>
      <w:tr w:rsidR="007F2986" w14:paraId="7888FA82" w14:textId="77777777" w:rsidTr="00CC2E43">
        <w:trPr>
          <w:trHeight w:hRule="exact" w:val="331"/>
        </w:trPr>
        <w:tc>
          <w:tcPr>
            <w:tcW w:w="2311" w:type="dxa"/>
            <w:tcBorders>
              <w:top w:val="single" w:sz="5" w:space="0" w:color="000000"/>
              <w:left w:val="single" w:sz="5" w:space="0" w:color="000000"/>
              <w:bottom w:val="single" w:sz="5" w:space="0" w:color="000000"/>
              <w:right w:val="single" w:sz="5" w:space="0" w:color="000000"/>
            </w:tcBorders>
          </w:tcPr>
          <w:p w14:paraId="02E53C51" w14:textId="77777777" w:rsidR="007F2986" w:rsidRDefault="007F2986" w:rsidP="00CC2E43">
            <w:pPr>
              <w:pStyle w:val="TableParagraph"/>
              <w:spacing w:before="24"/>
              <w:ind w:left="102"/>
              <w:rPr>
                <w:rFonts w:ascii="Times New Roman" w:eastAsia="Times New Roman" w:hAnsi="Times New Roman" w:cs="Times New Roman"/>
                <w:lang w:val="hu-HU"/>
              </w:rPr>
            </w:pPr>
            <w:r>
              <w:rPr>
                <w:rFonts w:ascii="Times New Roman" w:eastAsia="Times New Roman" w:hAnsi="Times New Roman" w:cs="Times New Roman"/>
                <w:lang w:val="hu-HU"/>
              </w:rPr>
              <w:t>4. hét</w:t>
            </w:r>
          </w:p>
        </w:tc>
        <w:tc>
          <w:tcPr>
            <w:tcW w:w="1085" w:type="dxa"/>
            <w:tcBorders>
              <w:top w:val="single" w:sz="5" w:space="0" w:color="000000"/>
              <w:left w:val="single" w:sz="5" w:space="0" w:color="000000"/>
              <w:bottom w:val="single" w:sz="5" w:space="0" w:color="000000"/>
              <w:right w:val="single" w:sz="5" w:space="0" w:color="000000"/>
            </w:tcBorders>
          </w:tcPr>
          <w:p w14:paraId="2F4794F7" w14:textId="77777777" w:rsidR="007F2986" w:rsidRDefault="007F2986" w:rsidP="00CC2E43">
            <w:pPr>
              <w:rPr>
                <w:lang w:val="hu-HU"/>
              </w:rPr>
            </w:pPr>
          </w:p>
        </w:tc>
        <w:tc>
          <w:tcPr>
            <w:tcW w:w="1356" w:type="dxa"/>
            <w:tcBorders>
              <w:top w:val="single" w:sz="5" w:space="0" w:color="000000"/>
              <w:left w:val="single" w:sz="5" w:space="0" w:color="000000"/>
              <w:bottom w:val="single" w:sz="5" w:space="0" w:color="000000"/>
              <w:right w:val="single" w:sz="5" w:space="0" w:color="000000"/>
            </w:tcBorders>
          </w:tcPr>
          <w:p w14:paraId="682AA1A5" w14:textId="77777777" w:rsidR="007F2986" w:rsidRDefault="007F2986" w:rsidP="00CC2E43">
            <w:pPr>
              <w:rPr>
                <w:lang w:val="hu-HU"/>
              </w:rPr>
            </w:pPr>
          </w:p>
        </w:tc>
        <w:tc>
          <w:tcPr>
            <w:tcW w:w="1338" w:type="dxa"/>
            <w:tcBorders>
              <w:top w:val="single" w:sz="5" w:space="0" w:color="000000"/>
              <w:left w:val="single" w:sz="5" w:space="0" w:color="000000"/>
              <w:bottom w:val="single" w:sz="5" w:space="0" w:color="000000"/>
              <w:right w:val="single" w:sz="5" w:space="0" w:color="000000"/>
            </w:tcBorders>
          </w:tcPr>
          <w:p w14:paraId="46882696" w14:textId="77777777" w:rsidR="007F2986" w:rsidRDefault="007F2986" w:rsidP="00CC2E43">
            <w:pPr>
              <w:rPr>
                <w:lang w:val="hu-HU"/>
              </w:rPr>
            </w:pPr>
          </w:p>
        </w:tc>
        <w:tc>
          <w:tcPr>
            <w:tcW w:w="1559" w:type="dxa"/>
            <w:tcBorders>
              <w:top w:val="single" w:sz="5" w:space="0" w:color="000000"/>
              <w:left w:val="single" w:sz="5" w:space="0" w:color="000000"/>
              <w:bottom w:val="single" w:sz="5" w:space="0" w:color="000000"/>
              <w:right w:val="single" w:sz="5" w:space="0" w:color="000000"/>
            </w:tcBorders>
          </w:tcPr>
          <w:p w14:paraId="703D14B1" w14:textId="77777777" w:rsidR="007F2986" w:rsidRDefault="007F2986" w:rsidP="00CC2E43">
            <w:pPr>
              <w:rPr>
                <w:lang w:val="hu-HU"/>
              </w:rPr>
            </w:pPr>
          </w:p>
        </w:tc>
        <w:tc>
          <w:tcPr>
            <w:tcW w:w="1843" w:type="dxa"/>
            <w:tcBorders>
              <w:top w:val="single" w:sz="5" w:space="0" w:color="000000"/>
              <w:left w:val="single" w:sz="5" w:space="0" w:color="000000"/>
              <w:bottom w:val="single" w:sz="5" w:space="0" w:color="000000"/>
              <w:right w:val="single" w:sz="5" w:space="0" w:color="000000"/>
            </w:tcBorders>
          </w:tcPr>
          <w:p w14:paraId="724FC016" w14:textId="77777777" w:rsidR="007F2986" w:rsidRDefault="007F2986" w:rsidP="00CC2E43">
            <w:pPr>
              <w:rPr>
                <w:lang w:val="hu-HU"/>
              </w:rPr>
            </w:pPr>
          </w:p>
        </w:tc>
      </w:tr>
      <w:tr w:rsidR="007F2986" w14:paraId="33F934B8" w14:textId="77777777" w:rsidTr="00CC2E43">
        <w:trPr>
          <w:trHeight w:hRule="exact" w:val="329"/>
        </w:trPr>
        <w:tc>
          <w:tcPr>
            <w:tcW w:w="2311" w:type="dxa"/>
            <w:tcBorders>
              <w:top w:val="single" w:sz="5" w:space="0" w:color="000000"/>
              <w:left w:val="single" w:sz="5" w:space="0" w:color="000000"/>
              <w:bottom w:val="single" w:sz="5" w:space="0" w:color="000000"/>
              <w:right w:val="single" w:sz="5" w:space="0" w:color="000000"/>
            </w:tcBorders>
          </w:tcPr>
          <w:p w14:paraId="39FF4A6F" w14:textId="77777777" w:rsidR="007F2986" w:rsidRDefault="007F2986" w:rsidP="00CC2E43">
            <w:pPr>
              <w:pStyle w:val="TableParagraph"/>
              <w:spacing w:before="24"/>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Klinikai remisszió</w:t>
            </w:r>
          </w:p>
        </w:tc>
        <w:tc>
          <w:tcPr>
            <w:tcW w:w="1085" w:type="dxa"/>
            <w:tcBorders>
              <w:top w:val="single" w:sz="5" w:space="0" w:color="000000"/>
              <w:left w:val="single" w:sz="5" w:space="0" w:color="000000"/>
              <w:bottom w:val="single" w:sz="5" w:space="0" w:color="000000"/>
              <w:right w:val="single" w:sz="5" w:space="0" w:color="000000"/>
            </w:tcBorders>
          </w:tcPr>
          <w:p w14:paraId="11D74BE2" w14:textId="77777777" w:rsidR="007F2986" w:rsidRDefault="007F2986" w:rsidP="00CC2E43">
            <w:pPr>
              <w:pStyle w:val="TableParagraph"/>
              <w:spacing w:before="24"/>
              <w:ind w:left="387"/>
              <w:rPr>
                <w:rFonts w:ascii="Times New Roman" w:eastAsia="Times New Roman" w:hAnsi="Times New Roman" w:cs="Times New Roman"/>
                <w:lang w:val="hu-HU"/>
              </w:rPr>
            </w:pPr>
            <w:r>
              <w:rPr>
                <w:rFonts w:ascii="Times New Roman" w:eastAsia="Times New Roman" w:hAnsi="Times New Roman" w:cs="Times New Roman"/>
                <w:lang w:val="hu-HU"/>
              </w:rPr>
              <w:t>12%</w:t>
            </w:r>
          </w:p>
        </w:tc>
        <w:tc>
          <w:tcPr>
            <w:tcW w:w="1356" w:type="dxa"/>
            <w:tcBorders>
              <w:top w:val="single" w:sz="5" w:space="0" w:color="000000"/>
              <w:left w:val="single" w:sz="5" w:space="0" w:color="000000"/>
              <w:bottom w:val="single" w:sz="5" w:space="0" w:color="000000"/>
              <w:right w:val="single" w:sz="5" w:space="0" w:color="000000"/>
            </w:tcBorders>
          </w:tcPr>
          <w:p w14:paraId="0B86E27D" w14:textId="77777777" w:rsidR="007F2986" w:rsidRDefault="007F2986" w:rsidP="00CC2E43">
            <w:pPr>
              <w:pStyle w:val="TableParagraph"/>
              <w:spacing w:before="24"/>
              <w:ind w:left="395" w:right="398"/>
              <w:jc w:val="center"/>
              <w:rPr>
                <w:rFonts w:ascii="Times New Roman" w:eastAsia="Times New Roman" w:hAnsi="Times New Roman" w:cs="Times New Roman"/>
                <w:lang w:val="hu-HU"/>
              </w:rPr>
            </w:pPr>
            <w:r>
              <w:rPr>
                <w:rFonts w:ascii="Times New Roman" w:eastAsia="Times New Roman" w:hAnsi="Times New Roman" w:cs="Times New Roman"/>
                <w:lang w:val="hu-HU"/>
              </w:rPr>
              <w:t>24%</w:t>
            </w:r>
          </w:p>
        </w:tc>
        <w:tc>
          <w:tcPr>
            <w:tcW w:w="1338" w:type="dxa"/>
            <w:tcBorders>
              <w:top w:val="single" w:sz="5" w:space="0" w:color="000000"/>
              <w:left w:val="single" w:sz="5" w:space="0" w:color="000000"/>
              <w:bottom w:val="single" w:sz="5" w:space="0" w:color="000000"/>
              <w:right w:val="single" w:sz="5" w:space="0" w:color="000000"/>
            </w:tcBorders>
          </w:tcPr>
          <w:p w14:paraId="50AB9087" w14:textId="77777777" w:rsidR="007F2986" w:rsidRDefault="007F2986" w:rsidP="00CC2E43">
            <w:pPr>
              <w:pStyle w:val="TableParagraph"/>
              <w:spacing w:before="18"/>
              <w:ind w:left="344"/>
              <w:rPr>
                <w:rFonts w:ascii="Times New Roman" w:eastAsia="Times New Roman" w:hAnsi="Times New Roman" w:cs="Times New Roman"/>
                <w:sz w:val="14"/>
                <w:szCs w:val="14"/>
                <w:lang w:val="hu-HU"/>
              </w:rPr>
            </w:pPr>
            <w:r>
              <w:rPr>
                <w:rFonts w:ascii="Times New Roman" w:eastAsia="Times New Roman" w:hAnsi="Times New Roman" w:cs="Times New Roman"/>
                <w:lang w:val="hu-HU"/>
              </w:rPr>
              <w:t>36%</w:t>
            </w:r>
            <w:r>
              <w:rPr>
                <w:rFonts w:ascii="Times New Roman" w:eastAsia="Times New Roman" w:hAnsi="Times New Roman" w:cs="Times New Roman"/>
                <w:sz w:val="14"/>
                <w:szCs w:val="14"/>
                <w:lang w:val="hu-HU"/>
              </w:rPr>
              <w:t>*</w:t>
            </w:r>
          </w:p>
        </w:tc>
        <w:tc>
          <w:tcPr>
            <w:tcW w:w="1559" w:type="dxa"/>
            <w:tcBorders>
              <w:top w:val="single" w:sz="5" w:space="0" w:color="000000"/>
              <w:left w:val="single" w:sz="5" w:space="0" w:color="000000"/>
              <w:bottom w:val="single" w:sz="5" w:space="0" w:color="000000"/>
              <w:right w:val="single" w:sz="5" w:space="0" w:color="000000"/>
            </w:tcBorders>
          </w:tcPr>
          <w:p w14:paraId="60D470F2" w14:textId="77777777" w:rsidR="007F2986" w:rsidRDefault="007F2986" w:rsidP="00CC2E43">
            <w:pPr>
              <w:pStyle w:val="TableParagraph"/>
              <w:spacing w:before="24"/>
              <w:ind w:left="519" w:right="520"/>
              <w:jc w:val="center"/>
              <w:rPr>
                <w:rFonts w:ascii="Times New Roman" w:eastAsia="Times New Roman" w:hAnsi="Times New Roman" w:cs="Times New Roman"/>
                <w:lang w:val="hu-HU"/>
              </w:rPr>
            </w:pPr>
            <w:r>
              <w:rPr>
                <w:rFonts w:ascii="Times New Roman" w:eastAsia="Times New Roman" w:hAnsi="Times New Roman" w:cs="Times New Roman"/>
                <w:lang w:val="hu-HU"/>
              </w:rPr>
              <w:t>7%</w:t>
            </w:r>
          </w:p>
        </w:tc>
        <w:tc>
          <w:tcPr>
            <w:tcW w:w="1843" w:type="dxa"/>
            <w:tcBorders>
              <w:top w:val="single" w:sz="5" w:space="0" w:color="000000"/>
              <w:left w:val="single" w:sz="5" w:space="0" w:color="000000"/>
              <w:bottom w:val="single" w:sz="5" w:space="0" w:color="000000"/>
              <w:right w:val="single" w:sz="5" w:space="0" w:color="000000"/>
            </w:tcBorders>
          </w:tcPr>
          <w:p w14:paraId="50FDCEF4" w14:textId="77777777" w:rsidR="007F2986" w:rsidRDefault="007F2986" w:rsidP="00CC2E43">
            <w:pPr>
              <w:pStyle w:val="TableParagraph"/>
              <w:spacing w:before="18"/>
              <w:ind w:left="644" w:right="644"/>
              <w:jc w:val="center"/>
              <w:rPr>
                <w:rFonts w:ascii="Times New Roman" w:eastAsia="Times New Roman" w:hAnsi="Times New Roman" w:cs="Times New Roman"/>
                <w:sz w:val="14"/>
                <w:szCs w:val="14"/>
                <w:lang w:val="hu-HU"/>
              </w:rPr>
            </w:pPr>
            <w:r>
              <w:rPr>
                <w:rFonts w:ascii="Times New Roman" w:eastAsia="Times New Roman" w:hAnsi="Times New Roman" w:cs="Times New Roman"/>
                <w:lang w:val="hu-HU"/>
              </w:rPr>
              <w:t>21%</w:t>
            </w:r>
            <w:r>
              <w:rPr>
                <w:rFonts w:ascii="Times New Roman" w:eastAsia="Times New Roman" w:hAnsi="Times New Roman" w:cs="Times New Roman"/>
                <w:sz w:val="14"/>
                <w:szCs w:val="14"/>
                <w:lang w:val="hu-HU"/>
              </w:rPr>
              <w:t>*</w:t>
            </w:r>
          </w:p>
        </w:tc>
      </w:tr>
      <w:tr w:rsidR="007F2986" w14:paraId="4CB83359" w14:textId="77777777" w:rsidTr="00CC2E43">
        <w:trPr>
          <w:trHeight w:hRule="exact" w:val="571"/>
        </w:trPr>
        <w:tc>
          <w:tcPr>
            <w:tcW w:w="2311" w:type="dxa"/>
            <w:tcBorders>
              <w:top w:val="single" w:sz="5" w:space="0" w:color="000000"/>
              <w:left w:val="single" w:sz="5" w:space="0" w:color="000000"/>
              <w:bottom w:val="single" w:sz="5" w:space="0" w:color="000000"/>
              <w:right w:val="single" w:sz="5" w:space="0" w:color="000000"/>
            </w:tcBorders>
          </w:tcPr>
          <w:p w14:paraId="7A6834A8" w14:textId="77777777" w:rsidR="007F2986" w:rsidRDefault="007F2986" w:rsidP="00CC2E43">
            <w:pPr>
              <w:pStyle w:val="TableParagraph"/>
              <w:spacing w:before="40" w:line="240"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Klinikai válasz (CR- 100)</w:t>
            </w:r>
          </w:p>
        </w:tc>
        <w:tc>
          <w:tcPr>
            <w:tcW w:w="1085" w:type="dxa"/>
            <w:tcBorders>
              <w:top w:val="single" w:sz="5" w:space="0" w:color="000000"/>
              <w:left w:val="single" w:sz="5" w:space="0" w:color="000000"/>
              <w:bottom w:val="single" w:sz="5" w:space="0" w:color="000000"/>
              <w:right w:val="single" w:sz="5" w:space="0" w:color="000000"/>
            </w:tcBorders>
          </w:tcPr>
          <w:p w14:paraId="0AB90B9E" w14:textId="77777777" w:rsidR="007F2986" w:rsidRDefault="007F2986" w:rsidP="00CC2E43">
            <w:pPr>
              <w:pStyle w:val="TableParagraph"/>
              <w:spacing w:before="24"/>
              <w:ind w:left="387"/>
              <w:rPr>
                <w:rFonts w:ascii="Times New Roman" w:eastAsia="Times New Roman" w:hAnsi="Times New Roman" w:cs="Times New Roman"/>
                <w:lang w:val="hu-HU"/>
              </w:rPr>
            </w:pPr>
            <w:r>
              <w:rPr>
                <w:rFonts w:ascii="Times New Roman" w:eastAsia="Times New Roman" w:hAnsi="Times New Roman" w:cs="Times New Roman"/>
                <w:lang w:val="hu-HU"/>
              </w:rPr>
              <w:t>24%</w:t>
            </w:r>
          </w:p>
        </w:tc>
        <w:tc>
          <w:tcPr>
            <w:tcW w:w="1356" w:type="dxa"/>
            <w:tcBorders>
              <w:top w:val="single" w:sz="5" w:space="0" w:color="000000"/>
              <w:left w:val="single" w:sz="5" w:space="0" w:color="000000"/>
              <w:bottom w:val="single" w:sz="5" w:space="0" w:color="000000"/>
              <w:right w:val="single" w:sz="5" w:space="0" w:color="000000"/>
            </w:tcBorders>
          </w:tcPr>
          <w:p w14:paraId="77FF662A" w14:textId="77777777" w:rsidR="007F2986" w:rsidRDefault="007F2986" w:rsidP="00CC2E43">
            <w:pPr>
              <w:pStyle w:val="TableParagraph"/>
              <w:spacing w:before="24"/>
              <w:ind w:left="395" w:right="398"/>
              <w:jc w:val="center"/>
              <w:rPr>
                <w:rFonts w:ascii="Times New Roman" w:eastAsia="Times New Roman" w:hAnsi="Times New Roman" w:cs="Times New Roman"/>
                <w:lang w:val="hu-HU"/>
              </w:rPr>
            </w:pPr>
            <w:r>
              <w:rPr>
                <w:rFonts w:ascii="Times New Roman" w:eastAsia="Times New Roman" w:hAnsi="Times New Roman" w:cs="Times New Roman"/>
                <w:lang w:val="hu-HU"/>
              </w:rPr>
              <w:t>37%</w:t>
            </w:r>
          </w:p>
        </w:tc>
        <w:tc>
          <w:tcPr>
            <w:tcW w:w="1338" w:type="dxa"/>
            <w:tcBorders>
              <w:top w:val="single" w:sz="5" w:space="0" w:color="000000"/>
              <w:left w:val="single" w:sz="5" w:space="0" w:color="000000"/>
              <w:bottom w:val="single" w:sz="5" w:space="0" w:color="000000"/>
              <w:right w:val="single" w:sz="5" w:space="0" w:color="000000"/>
            </w:tcBorders>
          </w:tcPr>
          <w:p w14:paraId="1BFF5B30" w14:textId="77777777" w:rsidR="007F2986" w:rsidRDefault="007F2986" w:rsidP="00CC2E43">
            <w:pPr>
              <w:pStyle w:val="TableParagraph"/>
              <w:spacing w:before="18"/>
              <w:ind w:left="311"/>
              <w:rPr>
                <w:rFonts w:ascii="Times New Roman" w:eastAsia="Times New Roman" w:hAnsi="Times New Roman" w:cs="Times New Roman"/>
                <w:sz w:val="14"/>
                <w:szCs w:val="14"/>
                <w:lang w:val="hu-HU"/>
              </w:rPr>
            </w:pPr>
            <w:r>
              <w:rPr>
                <w:rFonts w:ascii="Times New Roman" w:eastAsia="Times New Roman" w:hAnsi="Times New Roman" w:cs="Times New Roman"/>
                <w:lang w:val="hu-HU"/>
              </w:rPr>
              <w:t>49%</w:t>
            </w:r>
            <w:r>
              <w:rPr>
                <w:rFonts w:ascii="Times New Roman" w:eastAsia="Times New Roman" w:hAnsi="Times New Roman" w:cs="Times New Roman"/>
                <w:sz w:val="14"/>
                <w:szCs w:val="14"/>
                <w:lang w:val="hu-HU"/>
              </w:rPr>
              <w:t>**</w:t>
            </w:r>
          </w:p>
        </w:tc>
        <w:tc>
          <w:tcPr>
            <w:tcW w:w="1559" w:type="dxa"/>
            <w:tcBorders>
              <w:top w:val="single" w:sz="5" w:space="0" w:color="000000"/>
              <w:left w:val="single" w:sz="5" w:space="0" w:color="000000"/>
              <w:bottom w:val="single" w:sz="5" w:space="0" w:color="000000"/>
              <w:right w:val="single" w:sz="5" w:space="0" w:color="000000"/>
            </w:tcBorders>
          </w:tcPr>
          <w:p w14:paraId="2E59F2B7" w14:textId="77777777" w:rsidR="007F2986" w:rsidRDefault="007F2986" w:rsidP="00CC2E43">
            <w:pPr>
              <w:pStyle w:val="TableParagraph"/>
              <w:spacing w:before="24"/>
              <w:ind w:left="519" w:right="520"/>
              <w:jc w:val="center"/>
              <w:rPr>
                <w:rFonts w:ascii="Times New Roman" w:eastAsia="Times New Roman" w:hAnsi="Times New Roman" w:cs="Times New Roman"/>
                <w:lang w:val="hu-HU"/>
              </w:rPr>
            </w:pPr>
            <w:r>
              <w:rPr>
                <w:rFonts w:ascii="Times New Roman" w:eastAsia="Times New Roman" w:hAnsi="Times New Roman" w:cs="Times New Roman"/>
                <w:lang w:val="hu-HU"/>
              </w:rPr>
              <w:t>25%</w:t>
            </w:r>
          </w:p>
        </w:tc>
        <w:tc>
          <w:tcPr>
            <w:tcW w:w="1843" w:type="dxa"/>
            <w:tcBorders>
              <w:top w:val="single" w:sz="5" w:space="0" w:color="000000"/>
              <w:left w:val="single" w:sz="5" w:space="0" w:color="000000"/>
              <w:bottom w:val="single" w:sz="5" w:space="0" w:color="000000"/>
              <w:right w:val="single" w:sz="5" w:space="0" w:color="000000"/>
            </w:tcBorders>
          </w:tcPr>
          <w:p w14:paraId="4BC12BC0" w14:textId="77777777" w:rsidR="007F2986" w:rsidRDefault="007F2986" w:rsidP="00CC2E43">
            <w:pPr>
              <w:pStyle w:val="TableParagraph"/>
              <w:spacing w:before="18"/>
              <w:ind w:left="609" w:right="616"/>
              <w:jc w:val="center"/>
              <w:rPr>
                <w:rFonts w:ascii="Times New Roman" w:eastAsia="Times New Roman" w:hAnsi="Times New Roman" w:cs="Times New Roman"/>
                <w:sz w:val="14"/>
                <w:szCs w:val="14"/>
                <w:lang w:val="hu-HU"/>
              </w:rPr>
            </w:pPr>
            <w:r>
              <w:rPr>
                <w:rFonts w:ascii="Times New Roman" w:eastAsia="Times New Roman" w:hAnsi="Times New Roman" w:cs="Times New Roman"/>
                <w:lang w:val="hu-HU"/>
              </w:rPr>
              <w:t>38%</w:t>
            </w:r>
            <w:r>
              <w:rPr>
                <w:rFonts w:ascii="Times New Roman" w:eastAsia="Times New Roman" w:hAnsi="Times New Roman" w:cs="Times New Roman"/>
                <w:sz w:val="14"/>
                <w:szCs w:val="14"/>
                <w:lang w:val="hu-HU"/>
              </w:rPr>
              <w:t>**</w:t>
            </w:r>
          </w:p>
        </w:tc>
      </w:tr>
    </w:tbl>
    <w:p w14:paraId="5196CBED" w14:textId="77777777" w:rsidR="007F2986" w:rsidRDefault="007F2986" w:rsidP="007F2986">
      <w:pPr>
        <w:pStyle w:val="a3"/>
        <w:rPr>
          <w:lang w:val="hu-HU"/>
        </w:rPr>
      </w:pPr>
      <w:r>
        <w:rPr>
          <w:rFonts w:eastAsia="Times New Roman"/>
          <w:lang w:val="hu-HU"/>
        </w:rPr>
        <w:t xml:space="preserve">Az összes p-érték az adalimumab </w:t>
      </w:r>
      <w:r>
        <w:rPr>
          <w:rFonts w:eastAsia="Times New Roman"/>
          <w:i/>
          <w:iCs/>
          <w:lang w:val="hu-HU"/>
        </w:rPr>
        <w:t xml:space="preserve">versus </w:t>
      </w:r>
      <w:r>
        <w:rPr>
          <w:rFonts w:eastAsia="Times New Roman"/>
          <w:lang w:val="hu-HU"/>
        </w:rPr>
        <w:t>placebo kezelés során regisztrált részarányok páronkénti összehasonlításaira vonatkozik.</w:t>
      </w:r>
    </w:p>
    <w:p w14:paraId="211A20D6" w14:textId="77777777" w:rsidR="007F2986" w:rsidRDefault="007F2986" w:rsidP="007F2986">
      <w:pPr>
        <w:pStyle w:val="a3"/>
        <w:rPr>
          <w:lang w:val="hu-HU"/>
        </w:rPr>
      </w:pPr>
      <w:r>
        <w:rPr>
          <w:rFonts w:eastAsia="Times New Roman"/>
          <w:position w:val="8"/>
          <w:sz w:val="14"/>
          <w:szCs w:val="14"/>
          <w:lang w:val="hu-HU"/>
        </w:rPr>
        <w:t>*</w:t>
      </w:r>
      <w:r>
        <w:rPr>
          <w:rFonts w:eastAsia="Times New Roman"/>
          <w:position w:val="8"/>
          <w:lang w:val="hu-HU"/>
        </w:rPr>
        <w:t>p &lt; 0,001</w:t>
      </w:r>
    </w:p>
    <w:p w14:paraId="026A6E23" w14:textId="77777777" w:rsidR="007F2986" w:rsidRDefault="007F2986" w:rsidP="007F2986">
      <w:pPr>
        <w:tabs>
          <w:tab w:val="left" w:pos="506"/>
        </w:tabs>
        <w:spacing w:before="22"/>
        <w:rPr>
          <w:rFonts w:ascii="Times New Roman" w:eastAsia="Times New Roman" w:hAnsi="Times New Roman" w:cs="Times New Roman"/>
          <w:lang w:val="hu-HU"/>
        </w:rPr>
      </w:pPr>
      <w:r>
        <w:rPr>
          <w:rFonts w:ascii="Times New Roman" w:eastAsia="Times New Roman" w:hAnsi="Times New Roman" w:cs="Times New Roman"/>
          <w:position w:val="8"/>
          <w:sz w:val="14"/>
          <w:szCs w:val="14"/>
          <w:lang w:val="hu-HU"/>
        </w:rPr>
        <w:t>**</w:t>
      </w:r>
      <w:r>
        <w:rPr>
          <w:rFonts w:ascii="Times New Roman" w:eastAsia="Times New Roman" w:hAnsi="Times New Roman" w:cs="Times New Roman"/>
          <w:position w:val="8"/>
          <w:lang w:val="hu-HU"/>
        </w:rPr>
        <w:t>p &lt; 0,01</w:t>
      </w:r>
    </w:p>
    <w:p w14:paraId="480FF7A0" w14:textId="77777777" w:rsidR="007F2986" w:rsidRDefault="007F2986" w:rsidP="007F2986">
      <w:pPr>
        <w:spacing w:before="15" w:line="200" w:lineRule="exact"/>
        <w:rPr>
          <w:sz w:val="20"/>
          <w:szCs w:val="20"/>
          <w:lang w:val="hu-HU"/>
        </w:rPr>
      </w:pPr>
    </w:p>
    <w:p w14:paraId="279B96D6" w14:textId="77777777" w:rsidR="007F2986" w:rsidRDefault="007F2986" w:rsidP="007F2986">
      <w:pPr>
        <w:pStyle w:val="a3"/>
        <w:rPr>
          <w:lang w:val="hu-HU"/>
        </w:rPr>
      </w:pPr>
      <w:r>
        <w:rPr>
          <w:rFonts w:eastAsia="Times New Roman"/>
          <w:lang w:val="hu-HU"/>
        </w:rPr>
        <w:t>A 160/ 80 mg, illetve a 80/ 40 mg dózisú indukciós kezelések után a 8. héten hasonló remissziós rátát regisztráltak; a 160/ 80 mg dózisokkal kezelt csoportban gyakrabban észleltek mellékhatásokat.</w:t>
      </w:r>
    </w:p>
    <w:p w14:paraId="16F654D4" w14:textId="77777777" w:rsidR="007F2986" w:rsidRDefault="007F2986" w:rsidP="007F2986">
      <w:pPr>
        <w:spacing w:before="11" w:line="240" w:lineRule="exact"/>
        <w:rPr>
          <w:sz w:val="24"/>
          <w:szCs w:val="24"/>
          <w:lang w:val="hu-HU"/>
        </w:rPr>
      </w:pPr>
    </w:p>
    <w:p w14:paraId="03210EA1" w14:textId="31098083" w:rsidR="007F2986" w:rsidRDefault="007F2986" w:rsidP="007F2986">
      <w:pPr>
        <w:pStyle w:val="a3"/>
        <w:rPr>
          <w:lang w:val="hu-HU"/>
        </w:rPr>
      </w:pPr>
      <w:r>
        <w:rPr>
          <w:rFonts w:eastAsia="Times New Roman"/>
          <w:lang w:val="hu-HU"/>
        </w:rPr>
        <w:t xml:space="preserve">A CD III vizsgálat 4. hetében a betegek 58% - án (499/ 854 betegen) mutatkozott klinikai hatás; a primer elemzést ezeknek a résztvevőknek az eredményein végezték el. A kezelésre a 4. héten klinikailag reagáló betegek 48%-át korábban már kezelték más TNF- antagonistával. A tartós remissziót elért, illetve a kezelésre reagáló betegek részarányát a </w:t>
      </w:r>
      <w:r w:rsidR="00291FC8">
        <w:rPr>
          <w:rFonts w:eastAsia="Times New Roman"/>
          <w:lang w:val="hu-HU"/>
        </w:rPr>
        <w:t>15</w:t>
      </w:r>
      <w:r>
        <w:rPr>
          <w:rFonts w:eastAsia="Times New Roman"/>
          <w:lang w:val="hu-HU"/>
        </w:rPr>
        <w:t>. táblázat mutatja be. A klinikai remisszióban lévő betegek részaránya viszonylag állandó maradt, függetlenül a TNF - antagonista expozíciótól.</w:t>
      </w:r>
    </w:p>
    <w:p w14:paraId="263AE026" w14:textId="77777777" w:rsidR="007F2986" w:rsidRDefault="007F2986" w:rsidP="007F2986">
      <w:pPr>
        <w:pStyle w:val="a3"/>
        <w:rPr>
          <w:rFonts w:eastAsia="Times New Roman"/>
          <w:lang w:val="hu-HU"/>
        </w:rPr>
      </w:pPr>
      <w:r>
        <w:rPr>
          <w:rFonts w:eastAsia="Times New Roman"/>
          <w:lang w:val="hu-HU"/>
        </w:rPr>
        <w:t>Az 56. hétre a placebóhoz képest az adalimumab esetén statisztikailag szignifikánsan csökkent a betegséggel összefüggő hospitalizációk és műtétek száma.</w:t>
      </w:r>
    </w:p>
    <w:p w14:paraId="3BB5EB59" w14:textId="77777777" w:rsidR="007F2986" w:rsidRDefault="007F2986" w:rsidP="007F2986">
      <w:pPr>
        <w:pStyle w:val="a3"/>
        <w:rPr>
          <w:lang w:val="hu-HU"/>
        </w:rPr>
      </w:pPr>
    </w:p>
    <w:p w14:paraId="4D128222" w14:textId="525D3966" w:rsidR="007F2986" w:rsidRDefault="00291FC8" w:rsidP="007F2986">
      <w:pPr>
        <w:pStyle w:val="a3"/>
        <w:jc w:val="center"/>
        <w:rPr>
          <w:b/>
          <w:lang w:val="hu-HU"/>
        </w:rPr>
      </w:pPr>
      <w:r>
        <w:rPr>
          <w:rFonts w:eastAsia="Times New Roman"/>
          <w:b/>
          <w:bCs/>
          <w:lang w:val="hu-HU"/>
        </w:rPr>
        <w:t>15</w:t>
      </w:r>
      <w:r w:rsidR="007F2986">
        <w:rPr>
          <w:rFonts w:eastAsia="Times New Roman"/>
          <w:b/>
          <w:bCs/>
          <w:lang w:val="hu-HU"/>
        </w:rPr>
        <w:t>. táblázat</w:t>
      </w:r>
    </w:p>
    <w:p w14:paraId="5A173328" w14:textId="77777777" w:rsidR="007F2986" w:rsidRDefault="007F2986" w:rsidP="007F2986">
      <w:pPr>
        <w:pStyle w:val="a3"/>
        <w:jc w:val="center"/>
        <w:rPr>
          <w:rFonts w:eastAsia="Times New Roman"/>
          <w:b/>
          <w:bCs/>
          <w:lang w:val="hu-HU"/>
        </w:rPr>
      </w:pPr>
      <w:r>
        <w:rPr>
          <w:rFonts w:eastAsia="Times New Roman"/>
          <w:b/>
          <w:bCs/>
          <w:lang w:val="hu-HU"/>
        </w:rPr>
        <w:lastRenderedPageBreak/>
        <w:t xml:space="preserve">Klinikai remisszió és válasz fenntartása (betegek százaléka) </w:t>
      </w:r>
    </w:p>
    <w:p w14:paraId="47127972" w14:textId="77777777" w:rsidR="007F2986" w:rsidRDefault="007F2986" w:rsidP="007F2986">
      <w:pPr>
        <w:pStyle w:val="a3"/>
        <w:jc w:val="center"/>
        <w:rPr>
          <w:b/>
          <w:lang w:val="hu-HU"/>
        </w:rPr>
      </w:pPr>
    </w:p>
    <w:p w14:paraId="2AC9E42E" w14:textId="77777777" w:rsidR="007F2986" w:rsidRDefault="007F2986" w:rsidP="007F2986">
      <w:pPr>
        <w:spacing w:before="6" w:line="10" w:lineRule="exact"/>
        <w:rPr>
          <w:sz w:val="4"/>
          <w:szCs w:val="4"/>
          <w:lang w:val="hu-HU"/>
        </w:rPr>
      </w:pPr>
    </w:p>
    <w:tbl>
      <w:tblPr>
        <w:tblStyle w:val="TableNormal1"/>
        <w:tblW w:w="0" w:type="auto"/>
        <w:tblInd w:w="213" w:type="dxa"/>
        <w:tblLayout w:type="fixed"/>
        <w:tblLook w:val="01E0" w:firstRow="1" w:lastRow="1" w:firstColumn="1" w:lastColumn="1" w:noHBand="0" w:noVBand="0"/>
      </w:tblPr>
      <w:tblGrid>
        <w:gridCol w:w="3467"/>
        <w:gridCol w:w="1417"/>
        <w:gridCol w:w="1985"/>
        <w:gridCol w:w="2150"/>
      </w:tblGrid>
      <w:tr w:rsidR="007F2986" w14:paraId="1AABBE47" w14:textId="77777777" w:rsidTr="00CC2E43">
        <w:trPr>
          <w:trHeight w:hRule="exact" w:val="906"/>
        </w:trPr>
        <w:tc>
          <w:tcPr>
            <w:tcW w:w="3467" w:type="dxa"/>
            <w:tcBorders>
              <w:top w:val="single" w:sz="5" w:space="0" w:color="000000"/>
              <w:left w:val="single" w:sz="5" w:space="0" w:color="000000"/>
              <w:bottom w:val="single" w:sz="5" w:space="0" w:color="000000"/>
              <w:right w:val="single" w:sz="5" w:space="0" w:color="000000"/>
            </w:tcBorders>
            <w:vAlign w:val="center"/>
          </w:tcPr>
          <w:p w14:paraId="1E43836B" w14:textId="77777777" w:rsidR="007F2986" w:rsidRDefault="007F2986" w:rsidP="00CC2E43">
            <w:pPr>
              <w:jc w:val="center"/>
              <w:rPr>
                <w:lang w:val="hu-HU"/>
              </w:rPr>
            </w:pPr>
          </w:p>
        </w:tc>
        <w:tc>
          <w:tcPr>
            <w:tcW w:w="1417" w:type="dxa"/>
            <w:tcBorders>
              <w:top w:val="single" w:sz="5" w:space="0" w:color="000000"/>
              <w:left w:val="single" w:sz="5" w:space="0" w:color="000000"/>
              <w:bottom w:val="single" w:sz="5" w:space="0" w:color="000000"/>
              <w:right w:val="single" w:sz="5" w:space="0" w:color="000000"/>
            </w:tcBorders>
            <w:vAlign w:val="center"/>
          </w:tcPr>
          <w:p w14:paraId="1F155705"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b/>
                <w:bCs/>
                <w:lang w:val="hu-HU"/>
              </w:rPr>
              <w:t>Placebo</w:t>
            </w:r>
          </w:p>
        </w:tc>
        <w:tc>
          <w:tcPr>
            <w:tcW w:w="1985" w:type="dxa"/>
            <w:tcBorders>
              <w:top w:val="single" w:sz="5" w:space="0" w:color="000000"/>
              <w:left w:val="single" w:sz="5" w:space="0" w:color="000000"/>
              <w:bottom w:val="single" w:sz="5" w:space="0" w:color="000000"/>
              <w:right w:val="single" w:sz="5" w:space="0" w:color="000000"/>
            </w:tcBorders>
            <w:vAlign w:val="center"/>
          </w:tcPr>
          <w:p w14:paraId="10B828AC" w14:textId="77777777" w:rsidR="007F2986" w:rsidRDefault="007F2986" w:rsidP="00CC2E43">
            <w:pPr>
              <w:pStyle w:val="TableParagraph"/>
              <w:spacing w:line="240" w:lineRule="exact"/>
              <w:ind w:firstLine="115"/>
              <w:jc w:val="center"/>
              <w:rPr>
                <w:rFonts w:ascii="Times New Roman" w:eastAsia="Times New Roman" w:hAnsi="Times New Roman" w:cs="Times New Roman"/>
                <w:lang w:val="hu-HU"/>
              </w:rPr>
            </w:pPr>
            <w:r>
              <w:rPr>
                <w:rFonts w:ascii="Times New Roman" w:eastAsia="Times New Roman" w:hAnsi="Times New Roman" w:cs="Times New Roman"/>
                <w:b/>
                <w:bCs/>
                <w:lang w:val="hu-HU"/>
              </w:rPr>
              <w:t>40 mg adalimumab kéthetente</w:t>
            </w:r>
          </w:p>
        </w:tc>
        <w:tc>
          <w:tcPr>
            <w:tcW w:w="2150" w:type="dxa"/>
            <w:tcBorders>
              <w:top w:val="single" w:sz="5" w:space="0" w:color="000000"/>
              <w:left w:val="single" w:sz="5" w:space="0" w:color="000000"/>
              <w:bottom w:val="single" w:sz="5" w:space="0" w:color="000000"/>
              <w:right w:val="single" w:sz="5" w:space="0" w:color="000000"/>
            </w:tcBorders>
            <w:vAlign w:val="center"/>
          </w:tcPr>
          <w:p w14:paraId="03FCF766" w14:textId="77777777" w:rsidR="007F2986" w:rsidRDefault="007F2986" w:rsidP="00CC2E43">
            <w:pPr>
              <w:pStyle w:val="TableParagraph"/>
              <w:spacing w:line="240" w:lineRule="exact"/>
              <w:ind w:hanging="161"/>
              <w:jc w:val="center"/>
              <w:rPr>
                <w:rFonts w:ascii="Times New Roman" w:eastAsia="Times New Roman" w:hAnsi="Times New Roman" w:cs="Times New Roman"/>
                <w:lang w:val="hu-HU"/>
              </w:rPr>
            </w:pPr>
            <w:r>
              <w:rPr>
                <w:rFonts w:ascii="Times New Roman" w:eastAsia="Times New Roman" w:hAnsi="Times New Roman" w:cs="Times New Roman"/>
                <w:b/>
                <w:bCs/>
                <w:lang w:val="hu-HU"/>
              </w:rPr>
              <w:t>40 mg adalimumab hetente</w:t>
            </w:r>
          </w:p>
        </w:tc>
      </w:tr>
      <w:tr w:rsidR="007F2986" w14:paraId="6380437D" w14:textId="77777777" w:rsidTr="00CC2E43">
        <w:trPr>
          <w:trHeight w:hRule="exact" w:val="329"/>
        </w:trPr>
        <w:tc>
          <w:tcPr>
            <w:tcW w:w="3467" w:type="dxa"/>
            <w:tcBorders>
              <w:top w:val="single" w:sz="5" w:space="0" w:color="000000"/>
              <w:left w:val="single" w:sz="5" w:space="0" w:color="000000"/>
              <w:bottom w:val="single" w:sz="5" w:space="0" w:color="000000"/>
              <w:right w:val="single" w:sz="5" w:space="0" w:color="000000"/>
            </w:tcBorders>
            <w:vAlign w:val="center"/>
          </w:tcPr>
          <w:p w14:paraId="49AF6270" w14:textId="77777777" w:rsidR="007F2986" w:rsidRDefault="007F2986" w:rsidP="00CC2E43">
            <w:pPr>
              <w:pStyle w:val="TableParagraph"/>
              <w:spacing w:before="24"/>
              <w:ind w:left="102"/>
              <w:jc w:val="center"/>
              <w:rPr>
                <w:rFonts w:ascii="Times New Roman" w:eastAsia="Times New Roman" w:hAnsi="Times New Roman" w:cs="Times New Roman"/>
                <w:lang w:val="hu-HU"/>
              </w:rPr>
            </w:pPr>
            <w:r>
              <w:rPr>
                <w:rFonts w:ascii="Times New Roman" w:eastAsia="Times New Roman" w:hAnsi="Times New Roman" w:cs="Times New Roman"/>
                <w:b/>
                <w:bCs/>
                <w:lang w:val="hu-HU"/>
              </w:rPr>
              <w:t>26. hét</w:t>
            </w:r>
          </w:p>
        </w:tc>
        <w:tc>
          <w:tcPr>
            <w:tcW w:w="1417" w:type="dxa"/>
            <w:tcBorders>
              <w:top w:val="single" w:sz="5" w:space="0" w:color="000000"/>
              <w:left w:val="single" w:sz="5" w:space="0" w:color="000000"/>
              <w:bottom w:val="single" w:sz="5" w:space="0" w:color="000000"/>
              <w:right w:val="single" w:sz="5" w:space="0" w:color="000000"/>
            </w:tcBorders>
            <w:vAlign w:val="center"/>
          </w:tcPr>
          <w:p w14:paraId="686048D0" w14:textId="5DE2A5AB" w:rsidR="007F2986" w:rsidRDefault="00966EC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7F2986">
              <w:rPr>
                <w:rFonts w:ascii="Times New Roman" w:eastAsia="Times New Roman" w:hAnsi="Times New Roman" w:cs="Times New Roman"/>
                <w:b/>
                <w:bCs/>
                <w:spacing w:val="-1"/>
                <w:lang w:val="hu-HU"/>
              </w:rPr>
              <w:t>=170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50D64381" w14:textId="5AFA8110" w:rsidR="007F2986" w:rsidRDefault="00966EC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7F2986">
              <w:rPr>
                <w:rFonts w:ascii="Times New Roman" w:eastAsia="Times New Roman" w:hAnsi="Times New Roman" w:cs="Times New Roman"/>
                <w:b/>
                <w:bCs/>
                <w:spacing w:val="-1"/>
                <w:lang w:val="hu-HU"/>
              </w:rPr>
              <w:t>=172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46E893F0" w14:textId="57362AE3" w:rsidR="007F2986" w:rsidRDefault="00966EC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7F2986">
              <w:rPr>
                <w:rFonts w:ascii="Times New Roman" w:eastAsia="Times New Roman" w:hAnsi="Times New Roman" w:cs="Times New Roman"/>
                <w:b/>
                <w:bCs/>
                <w:spacing w:val="-1"/>
                <w:lang w:val="hu-HU"/>
              </w:rPr>
              <w:t>=157</w:t>
            </w:r>
          </w:p>
        </w:tc>
      </w:tr>
      <w:tr w:rsidR="007F2986" w14:paraId="4517D41E" w14:textId="77777777" w:rsidTr="00CC2E43">
        <w:trPr>
          <w:trHeight w:hRule="exact" w:val="331"/>
        </w:trPr>
        <w:tc>
          <w:tcPr>
            <w:tcW w:w="3467" w:type="dxa"/>
            <w:tcBorders>
              <w:top w:val="single" w:sz="5" w:space="0" w:color="000000"/>
              <w:left w:val="single" w:sz="5" w:space="0" w:color="000000"/>
              <w:bottom w:val="single" w:sz="5" w:space="0" w:color="000000"/>
              <w:right w:val="single" w:sz="5" w:space="0" w:color="000000"/>
            </w:tcBorders>
            <w:vAlign w:val="center"/>
          </w:tcPr>
          <w:p w14:paraId="4AAA026D" w14:textId="77777777" w:rsidR="007F2986" w:rsidRDefault="007F2986" w:rsidP="00CC2E43">
            <w:pPr>
              <w:pStyle w:val="TableParagraph"/>
              <w:spacing w:before="24"/>
              <w:ind w:left="102"/>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Klinikai remisszió</w:t>
            </w:r>
          </w:p>
        </w:tc>
        <w:tc>
          <w:tcPr>
            <w:tcW w:w="1417" w:type="dxa"/>
            <w:tcBorders>
              <w:top w:val="single" w:sz="5" w:space="0" w:color="000000"/>
              <w:left w:val="single" w:sz="5" w:space="0" w:color="000000"/>
              <w:bottom w:val="single" w:sz="5" w:space="0" w:color="000000"/>
              <w:right w:val="single" w:sz="5" w:space="0" w:color="000000"/>
            </w:tcBorders>
            <w:vAlign w:val="center"/>
          </w:tcPr>
          <w:p w14:paraId="772BFEA3"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17%</w:t>
            </w:r>
          </w:p>
        </w:tc>
        <w:tc>
          <w:tcPr>
            <w:tcW w:w="1985" w:type="dxa"/>
            <w:tcBorders>
              <w:top w:val="single" w:sz="5" w:space="0" w:color="000000"/>
              <w:left w:val="single" w:sz="5" w:space="0" w:color="000000"/>
              <w:bottom w:val="single" w:sz="5" w:space="0" w:color="000000"/>
              <w:right w:val="single" w:sz="5" w:space="0" w:color="000000"/>
            </w:tcBorders>
            <w:vAlign w:val="center"/>
          </w:tcPr>
          <w:p w14:paraId="6DD4BAC2"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40%*</w:t>
            </w:r>
          </w:p>
        </w:tc>
        <w:tc>
          <w:tcPr>
            <w:tcW w:w="2150" w:type="dxa"/>
            <w:tcBorders>
              <w:top w:val="single" w:sz="5" w:space="0" w:color="000000"/>
              <w:left w:val="single" w:sz="5" w:space="0" w:color="000000"/>
              <w:bottom w:val="single" w:sz="5" w:space="0" w:color="000000"/>
              <w:right w:val="single" w:sz="5" w:space="0" w:color="000000"/>
            </w:tcBorders>
            <w:vAlign w:val="center"/>
          </w:tcPr>
          <w:p w14:paraId="150D94F2"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47%*</w:t>
            </w:r>
          </w:p>
        </w:tc>
      </w:tr>
      <w:tr w:rsidR="007F2986" w14:paraId="57BC1FB5" w14:textId="77777777" w:rsidTr="00CC2E43">
        <w:trPr>
          <w:trHeight w:hRule="exact" w:val="329"/>
        </w:trPr>
        <w:tc>
          <w:tcPr>
            <w:tcW w:w="3467" w:type="dxa"/>
            <w:tcBorders>
              <w:top w:val="single" w:sz="5" w:space="0" w:color="000000"/>
              <w:left w:val="single" w:sz="5" w:space="0" w:color="000000"/>
              <w:bottom w:val="single" w:sz="5" w:space="0" w:color="000000"/>
              <w:right w:val="single" w:sz="5" w:space="0" w:color="000000"/>
            </w:tcBorders>
            <w:vAlign w:val="center"/>
          </w:tcPr>
          <w:p w14:paraId="3E315253" w14:textId="77777777" w:rsidR="007F2986" w:rsidRDefault="007F2986" w:rsidP="00CC2E43">
            <w:pPr>
              <w:pStyle w:val="TableParagraph"/>
              <w:spacing w:before="24"/>
              <w:ind w:left="102"/>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Klinikai válasz (CR- 100)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05300250"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27%</w:t>
            </w:r>
          </w:p>
        </w:tc>
        <w:tc>
          <w:tcPr>
            <w:tcW w:w="1985" w:type="dxa"/>
            <w:tcBorders>
              <w:top w:val="single" w:sz="5" w:space="0" w:color="000000"/>
              <w:left w:val="single" w:sz="5" w:space="0" w:color="000000"/>
              <w:bottom w:val="single" w:sz="5" w:space="0" w:color="000000"/>
              <w:right w:val="single" w:sz="5" w:space="0" w:color="000000"/>
            </w:tcBorders>
            <w:vAlign w:val="center"/>
          </w:tcPr>
          <w:p w14:paraId="1DD56778"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52%*</w:t>
            </w:r>
          </w:p>
        </w:tc>
        <w:tc>
          <w:tcPr>
            <w:tcW w:w="2150" w:type="dxa"/>
            <w:tcBorders>
              <w:top w:val="single" w:sz="5" w:space="0" w:color="000000"/>
              <w:left w:val="single" w:sz="5" w:space="0" w:color="000000"/>
              <w:bottom w:val="single" w:sz="5" w:space="0" w:color="000000"/>
              <w:right w:val="single" w:sz="5" w:space="0" w:color="000000"/>
            </w:tcBorders>
            <w:vAlign w:val="center"/>
          </w:tcPr>
          <w:p w14:paraId="1EEF271C"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52%*</w:t>
            </w:r>
          </w:p>
        </w:tc>
      </w:tr>
      <w:tr w:rsidR="007F2986" w14:paraId="01CFCEE2" w14:textId="77777777" w:rsidTr="00CC2E43">
        <w:trPr>
          <w:trHeight w:hRule="exact" w:val="571"/>
        </w:trPr>
        <w:tc>
          <w:tcPr>
            <w:tcW w:w="3467" w:type="dxa"/>
            <w:tcBorders>
              <w:top w:val="single" w:sz="5" w:space="0" w:color="000000"/>
              <w:left w:val="single" w:sz="5" w:space="0" w:color="000000"/>
              <w:bottom w:val="single" w:sz="5" w:space="0" w:color="000000"/>
              <w:right w:val="single" w:sz="5" w:space="0" w:color="000000"/>
            </w:tcBorders>
            <w:vAlign w:val="center"/>
          </w:tcPr>
          <w:p w14:paraId="671947FB" w14:textId="77777777" w:rsidR="007F2986" w:rsidRDefault="007F2986" w:rsidP="00CC2E43">
            <w:pPr>
              <w:pStyle w:val="TableParagraph"/>
              <w:spacing w:before="40" w:line="240" w:lineRule="exact"/>
              <w:ind w:left="462" w:right="64"/>
              <w:jc w:val="center"/>
              <w:rPr>
                <w:rFonts w:ascii="Times New Roman" w:eastAsia="Times New Roman" w:hAnsi="Times New Roman" w:cs="Times New Roman"/>
                <w:sz w:val="14"/>
                <w:szCs w:val="14"/>
                <w:lang w:val="hu-HU"/>
              </w:rPr>
            </w:pPr>
            <w:r>
              <w:rPr>
                <w:rFonts w:ascii="Times New Roman" w:eastAsia="Times New Roman" w:hAnsi="Times New Roman" w:cs="Times New Roman"/>
                <w:spacing w:val="-1"/>
                <w:lang w:val="hu-HU"/>
              </w:rPr>
              <w:t>Szteroid-kezelés nélkül is ≥90 napja remisszióban lévő betegek</w:t>
            </w:r>
            <w:r w:rsidRPr="009167C6">
              <w:rPr>
                <w:rFonts w:ascii="Times New Roman" w:eastAsia="Times New Roman" w:hAnsi="Times New Roman" w:cs="Times New Roman"/>
                <w:spacing w:val="-1"/>
                <w:vertAlign w:val="superscript"/>
                <w:lang w:val="hu-HU"/>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4FEB513B"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3% (2/66)</w:t>
            </w:r>
          </w:p>
        </w:tc>
        <w:tc>
          <w:tcPr>
            <w:tcW w:w="1985" w:type="dxa"/>
            <w:tcBorders>
              <w:top w:val="single" w:sz="5" w:space="0" w:color="000000"/>
              <w:left w:val="single" w:sz="5" w:space="0" w:color="000000"/>
              <w:bottom w:val="single" w:sz="5" w:space="0" w:color="000000"/>
              <w:right w:val="single" w:sz="5" w:space="0" w:color="000000"/>
            </w:tcBorders>
            <w:vAlign w:val="center"/>
          </w:tcPr>
          <w:p w14:paraId="1198379A"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19% (11/58)**</w:t>
            </w:r>
          </w:p>
        </w:tc>
        <w:tc>
          <w:tcPr>
            <w:tcW w:w="2150" w:type="dxa"/>
            <w:tcBorders>
              <w:top w:val="single" w:sz="5" w:space="0" w:color="000000"/>
              <w:left w:val="single" w:sz="5" w:space="0" w:color="000000"/>
              <w:bottom w:val="single" w:sz="5" w:space="0" w:color="000000"/>
              <w:right w:val="single" w:sz="5" w:space="0" w:color="000000"/>
            </w:tcBorders>
            <w:vAlign w:val="center"/>
          </w:tcPr>
          <w:p w14:paraId="1799C964"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15% (11/74)**</w:t>
            </w:r>
          </w:p>
        </w:tc>
      </w:tr>
      <w:tr w:rsidR="007F2986" w14:paraId="6EE86F75" w14:textId="77777777" w:rsidTr="00CC2E43">
        <w:trPr>
          <w:trHeight w:hRule="exact" w:val="329"/>
        </w:trPr>
        <w:tc>
          <w:tcPr>
            <w:tcW w:w="3467" w:type="dxa"/>
            <w:tcBorders>
              <w:top w:val="single" w:sz="5" w:space="0" w:color="000000"/>
              <w:left w:val="single" w:sz="5" w:space="0" w:color="000000"/>
              <w:bottom w:val="single" w:sz="5" w:space="0" w:color="000000"/>
              <w:right w:val="single" w:sz="5" w:space="0" w:color="000000"/>
            </w:tcBorders>
            <w:vAlign w:val="center"/>
          </w:tcPr>
          <w:p w14:paraId="1C406781" w14:textId="77777777" w:rsidR="007F2986" w:rsidRDefault="007F2986" w:rsidP="00CC2E43">
            <w:pPr>
              <w:pStyle w:val="TableParagraph"/>
              <w:spacing w:before="24"/>
              <w:ind w:left="102"/>
              <w:jc w:val="center"/>
              <w:rPr>
                <w:rFonts w:ascii="Times New Roman" w:eastAsia="Times New Roman" w:hAnsi="Times New Roman" w:cs="Times New Roman"/>
                <w:lang w:val="hu-HU"/>
              </w:rPr>
            </w:pPr>
            <w:r>
              <w:rPr>
                <w:rFonts w:ascii="Times New Roman" w:eastAsia="Times New Roman" w:hAnsi="Times New Roman" w:cs="Times New Roman"/>
                <w:b/>
                <w:bCs/>
                <w:lang w:val="hu-HU"/>
              </w:rPr>
              <w:t>56. hét</w:t>
            </w:r>
          </w:p>
        </w:tc>
        <w:tc>
          <w:tcPr>
            <w:tcW w:w="1417" w:type="dxa"/>
            <w:tcBorders>
              <w:top w:val="single" w:sz="5" w:space="0" w:color="000000"/>
              <w:left w:val="single" w:sz="5" w:space="0" w:color="000000"/>
              <w:bottom w:val="single" w:sz="5" w:space="0" w:color="000000"/>
              <w:right w:val="single" w:sz="5" w:space="0" w:color="000000"/>
            </w:tcBorders>
            <w:vAlign w:val="center"/>
          </w:tcPr>
          <w:p w14:paraId="6DCF8A91" w14:textId="54182BC4" w:rsidR="007F2986" w:rsidRDefault="00966EC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7F2986">
              <w:rPr>
                <w:rFonts w:ascii="Times New Roman" w:eastAsia="Times New Roman" w:hAnsi="Times New Roman" w:cs="Times New Roman"/>
                <w:b/>
                <w:bCs/>
                <w:spacing w:val="-1"/>
                <w:lang w:val="hu-HU"/>
              </w:rPr>
              <w:t>=170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4E03D130" w14:textId="3E53EE39" w:rsidR="007F2986" w:rsidRDefault="00966EC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7F2986">
              <w:rPr>
                <w:rFonts w:ascii="Times New Roman" w:eastAsia="Times New Roman" w:hAnsi="Times New Roman" w:cs="Times New Roman"/>
                <w:b/>
                <w:bCs/>
                <w:spacing w:val="-1"/>
                <w:lang w:val="hu-HU"/>
              </w:rPr>
              <w:t>=172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037D09AA" w14:textId="34E6C963" w:rsidR="007F2986" w:rsidRDefault="00966EC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7F2986">
              <w:rPr>
                <w:rFonts w:ascii="Times New Roman" w:eastAsia="Times New Roman" w:hAnsi="Times New Roman" w:cs="Times New Roman"/>
                <w:b/>
                <w:bCs/>
                <w:spacing w:val="-1"/>
                <w:lang w:val="hu-HU"/>
              </w:rPr>
              <w:t>=157</w:t>
            </w:r>
          </w:p>
        </w:tc>
      </w:tr>
      <w:tr w:rsidR="007F2986" w14:paraId="2BBE6B38" w14:textId="77777777" w:rsidTr="00CC2E43">
        <w:trPr>
          <w:trHeight w:hRule="exact" w:val="331"/>
        </w:trPr>
        <w:tc>
          <w:tcPr>
            <w:tcW w:w="3467" w:type="dxa"/>
            <w:tcBorders>
              <w:top w:val="single" w:sz="5" w:space="0" w:color="000000"/>
              <w:left w:val="single" w:sz="5" w:space="0" w:color="000000"/>
              <w:bottom w:val="single" w:sz="5" w:space="0" w:color="000000"/>
              <w:right w:val="single" w:sz="5" w:space="0" w:color="000000"/>
            </w:tcBorders>
            <w:vAlign w:val="center"/>
          </w:tcPr>
          <w:p w14:paraId="6608DE40" w14:textId="77777777" w:rsidR="007F2986" w:rsidRDefault="007F2986" w:rsidP="00CC2E43">
            <w:pPr>
              <w:pStyle w:val="TableParagraph"/>
              <w:spacing w:before="24"/>
              <w:ind w:left="102"/>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Klinikai remisszió</w:t>
            </w:r>
          </w:p>
        </w:tc>
        <w:tc>
          <w:tcPr>
            <w:tcW w:w="1417" w:type="dxa"/>
            <w:tcBorders>
              <w:top w:val="single" w:sz="5" w:space="0" w:color="000000"/>
              <w:left w:val="single" w:sz="5" w:space="0" w:color="000000"/>
              <w:bottom w:val="single" w:sz="5" w:space="0" w:color="000000"/>
              <w:right w:val="single" w:sz="5" w:space="0" w:color="000000"/>
            </w:tcBorders>
            <w:vAlign w:val="center"/>
          </w:tcPr>
          <w:p w14:paraId="7D433C1A"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12%</w:t>
            </w:r>
          </w:p>
        </w:tc>
        <w:tc>
          <w:tcPr>
            <w:tcW w:w="1985" w:type="dxa"/>
            <w:tcBorders>
              <w:top w:val="single" w:sz="5" w:space="0" w:color="000000"/>
              <w:left w:val="single" w:sz="5" w:space="0" w:color="000000"/>
              <w:bottom w:val="single" w:sz="5" w:space="0" w:color="000000"/>
              <w:right w:val="single" w:sz="5" w:space="0" w:color="000000"/>
            </w:tcBorders>
            <w:vAlign w:val="center"/>
          </w:tcPr>
          <w:p w14:paraId="17659F25"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36%*</w:t>
            </w:r>
          </w:p>
        </w:tc>
        <w:tc>
          <w:tcPr>
            <w:tcW w:w="2150" w:type="dxa"/>
            <w:tcBorders>
              <w:top w:val="single" w:sz="5" w:space="0" w:color="000000"/>
              <w:left w:val="single" w:sz="5" w:space="0" w:color="000000"/>
              <w:bottom w:val="single" w:sz="5" w:space="0" w:color="000000"/>
              <w:right w:val="single" w:sz="5" w:space="0" w:color="000000"/>
            </w:tcBorders>
            <w:vAlign w:val="center"/>
          </w:tcPr>
          <w:p w14:paraId="3096FEEC"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41%*</w:t>
            </w:r>
          </w:p>
        </w:tc>
      </w:tr>
      <w:tr w:rsidR="007F2986" w14:paraId="23FA2205" w14:textId="77777777" w:rsidTr="00CC2E43">
        <w:trPr>
          <w:trHeight w:hRule="exact" w:val="329"/>
        </w:trPr>
        <w:tc>
          <w:tcPr>
            <w:tcW w:w="3467" w:type="dxa"/>
            <w:tcBorders>
              <w:top w:val="single" w:sz="5" w:space="0" w:color="000000"/>
              <w:left w:val="single" w:sz="5" w:space="0" w:color="000000"/>
              <w:bottom w:val="single" w:sz="5" w:space="0" w:color="000000"/>
              <w:right w:val="single" w:sz="5" w:space="0" w:color="000000"/>
            </w:tcBorders>
            <w:vAlign w:val="center"/>
          </w:tcPr>
          <w:p w14:paraId="432401C2" w14:textId="77777777" w:rsidR="007F2986" w:rsidRDefault="007F2986" w:rsidP="00CC2E43">
            <w:pPr>
              <w:pStyle w:val="TableParagraph"/>
              <w:spacing w:before="24"/>
              <w:ind w:left="102"/>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Klinikai válasz (CR- 100)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57645514"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17%</w:t>
            </w:r>
          </w:p>
        </w:tc>
        <w:tc>
          <w:tcPr>
            <w:tcW w:w="1985" w:type="dxa"/>
            <w:tcBorders>
              <w:top w:val="single" w:sz="5" w:space="0" w:color="000000"/>
              <w:left w:val="single" w:sz="5" w:space="0" w:color="000000"/>
              <w:bottom w:val="single" w:sz="5" w:space="0" w:color="000000"/>
              <w:right w:val="single" w:sz="5" w:space="0" w:color="000000"/>
            </w:tcBorders>
            <w:vAlign w:val="center"/>
          </w:tcPr>
          <w:p w14:paraId="3F20C5CB"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41%*</w:t>
            </w:r>
          </w:p>
        </w:tc>
        <w:tc>
          <w:tcPr>
            <w:tcW w:w="2150" w:type="dxa"/>
            <w:tcBorders>
              <w:top w:val="single" w:sz="5" w:space="0" w:color="000000"/>
              <w:left w:val="single" w:sz="5" w:space="0" w:color="000000"/>
              <w:bottom w:val="single" w:sz="5" w:space="0" w:color="000000"/>
              <w:right w:val="single" w:sz="5" w:space="0" w:color="000000"/>
            </w:tcBorders>
            <w:vAlign w:val="center"/>
          </w:tcPr>
          <w:p w14:paraId="6750DB4E"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lang w:val="hu-HU"/>
              </w:rPr>
              <w:t>48%*</w:t>
            </w:r>
          </w:p>
        </w:tc>
      </w:tr>
      <w:tr w:rsidR="007F2986" w14:paraId="3F1B26A0" w14:textId="77777777" w:rsidTr="00CC2E43">
        <w:trPr>
          <w:trHeight w:hRule="exact" w:val="571"/>
        </w:trPr>
        <w:tc>
          <w:tcPr>
            <w:tcW w:w="3467" w:type="dxa"/>
            <w:tcBorders>
              <w:top w:val="single" w:sz="5" w:space="0" w:color="000000"/>
              <w:left w:val="single" w:sz="5" w:space="0" w:color="000000"/>
              <w:bottom w:val="single" w:sz="5" w:space="0" w:color="000000"/>
              <w:right w:val="single" w:sz="5" w:space="0" w:color="000000"/>
            </w:tcBorders>
            <w:vAlign w:val="center"/>
          </w:tcPr>
          <w:p w14:paraId="4DF7D5C2" w14:textId="77777777" w:rsidR="007F2986" w:rsidRDefault="007F2986" w:rsidP="00CC2E43">
            <w:pPr>
              <w:pStyle w:val="TableParagraph"/>
              <w:spacing w:before="40" w:line="240" w:lineRule="exact"/>
              <w:ind w:left="462" w:right="64"/>
              <w:jc w:val="center"/>
              <w:rPr>
                <w:rFonts w:ascii="Times New Roman" w:eastAsia="Times New Roman" w:hAnsi="Times New Roman" w:cs="Times New Roman"/>
                <w:sz w:val="14"/>
                <w:szCs w:val="14"/>
                <w:lang w:val="hu-HU"/>
              </w:rPr>
            </w:pPr>
            <w:r>
              <w:rPr>
                <w:rFonts w:ascii="Times New Roman" w:eastAsia="Times New Roman" w:hAnsi="Times New Roman" w:cs="Times New Roman"/>
                <w:spacing w:val="-1"/>
                <w:lang w:val="hu-HU"/>
              </w:rPr>
              <w:t>Szteroid-kezelés nélkül is ≥90 napja remisszióban lévő betegek</w:t>
            </w:r>
            <w:r w:rsidRPr="009167C6">
              <w:rPr>
                <w:rFonts w:ascii="Times New Roman" w:eastAsia="Times New Roman" w:hAnsi="Times New Roman" w:cs="Times New Roman"/>
                <w:spacing w:val="-1"/>
                <w:vertAlign w:val="superscript"/>
                <w:lang w:val="hu-HU"/>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37D0594E"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5% (3/66)</w:t>
            </w:r>
          </w:p>
        </w:tc>
        <w:tc>
          <w:tcPr>
            <w:tcW w:w="1985" w:type="dxa"/>
            <w:tcBorders>
              <w:top w:val="single" w:sz="5" w:space="0" w:color="000000"/>
              <w:left w:val="single" w:sz="5" w:space="0" w:color="000000"/>
              <w:bottom w:val="single" w:sz="5" w:space="0" w:color="000000"/>
              <w:right w:val="single" w:sz="5" w:space="0" w:color="000000"/>
            </w:tcBorders>
            <w:vAlign w:val="center"/>
          </w:tcPr>
          <w:p w14:paraId="4EFED968"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29% (17/58)**</w:t>
            </w:r>
          </w:p>
        </w:tc>
        <w:tc>
          <w:tcPr>
            <w:tcW w:w="2150" w:type="dxa"/>
            <w:tcBorders>
              <w:top w:val="single" w:sz="5" w:space="0" w:color="000000"/>
              <w:left w:val="single" w:sz="5" w:space="0" w:color="000000"/>
              <w:bottom w:val="single" w:sz="5" w:space="0" w:color="000000"/>
              <w:right w:val="single" w:sz="5" w:space="0" w:color="000000"/>
            </w:tcBorders>
            <w:vAlign w:val="center"/>
          </w:tcPr>
          <w:p w14:paraId="21E73CFB" w14:textId="77777777" w:rsidR="007F2986" w:rsidRDefault="007F2986" w:rsidP="00CC2E43">
            <w:pPr>
              <w:pStyle w:val="TableParagraph"/>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20% (15/74)**</w:t>
            </w:r>
          </w:p>
        </w:tc>
      </w:tr>
    </w:tbl>
    <w:p w14:paraId="0FA59FDF" w14:textId="77777777" w:rsidR="007F2986" w:rsidRDefault="007F2986" w:rsidP="005A05DE">
      <w:pPr>
        <w:pStyle w:val="a3"/>
        <w:ind w:leftChars="100" w:left="220"/>
        <w:rPr>
          <w:lang w:val="hu-HU"/>
        </w:rPr>
      </w:pPr>
      <w:r>
        <w:rPr>
          <w:rFonts w:eastAsia="Times New Roman"/>
          <w:lang w:val="hu-HU"/>
        </w:rPr>
        <w:t xml:space="preserve">* p &lt;0,001 Adalimumabbal </w:t>
      </w:r>
      <w:r>
        <w:rPr>
          <w:rFonts w:eastAsia="Times New Roman"/>
          <w:i/>
          <w:iCs/>
          <w:lang w:val="hu-HU"/>
        </w:rPr>
        <w:t>versus</w:t>
      </w:r>
      <w:r>
        <w:rPr>
          <w:rFonts w:eastAsia="Times New Roman"/>
          <w:lang w:val="hu-HU"/>
        </w:rPr>
        <w:t xml:space="preserve"> placebóval kezelt csoportokban regisztrált részarányok páronkénti összehasonlítása.</w:t>
      </w:r>
    </w:p>
    <w:p w14:paraId="5FF2D606" w14:textId="77777777" w:rsidR="007F2986" w:rsidRDefault="007F2986" w:rsidP="005A05DE">
      <w:pPr>
        <w:pStyle w:val="a3"/>
        <w:ind w:leftChars="100" w:left="220"/>
        <w:rPr>
          <w:lang w:val="hu-HU"/>
        </w:rPr>
      </w:pPr>
      <w:r>
        <w:rPr>
          <w:rFonts w:eastAsia="Times New Roman"/>
          <w:lang w:val="hu-HU"/>
        </w:rPr>
        <w:t xml:space="preserve">** p &lt;0,02 Adalimumabbal </w:t>
      </w:r>
      <w:r>
        <w:rPr>
          <w:rFonts w:eastAsia="Times New Roman"/>
          <w:i/>
          <w:iCs/>
          <w:lang w:val="hu-HU"/>
        </w:rPr>
        <w:t>versus</w:t>
      </w:r>
      <w:r>
        <w:rPr>
          <w:rFonts w:eastAsia="Times New Roman"/>
          <w:lang w:val="hu-HU"/>
        </w:rPr>
        <w:t xml:space="preserve"> placebóval kezelt csoportokban regisztrált részarányok páronkénti összehasonlítása.</w:t>
      </w:r>
    </w:p>
    <w:p w14:paraId="02097DDF" w14:textId="77777777" w:rsidR="007F2986" w:rsidRDefault="007F2986" w:rsidP="005A05DE">
      <w:pPr>
        <w:pStyle w:val="a3"/>
        <w:ind w:leftChars="100" w:left="220"/>
        <w:rPr>
          <w:lang w:val="hu-HU"/>
        </w:rPr>
      </w:pPr>
      <w:r w:rsidRPr="009167C6">
        <w:rPr>
          <w:rFonts w:eastAsia="Times New Roman"/>
          <w:position w:val="8"/>
          <w:vertAlign w:val="superscript"/>
          <w:lang w:val="hu-HU"/>
        </w:rPr>
        <w:t>a</w:t>
      </w:r>
      <w:r w:rsidRPr="009167C6">
        <w:rPr>
          <w:rFonts w:eastAsia="Times New Roman"/>
          <w:position w:val="8"/>
          <w:lang w:val="hu-HU"/>
        </w:rPr>
        <w:t xml:space="preserve"> </w:t>
      </w:r>
      <w:r>
        <w:rPr>
          <w:rFonts w:eastAsia="Times New Roman"/>
          <w:position w:val="8"/>
          <w:lang w:val="hu-HU"/>
        </w:rPr>
        <w:t>A vizsgálat kezdetekor kortikoszteroidokkal kezelt betegek közül</w:t>
      </w:r>
    </w:p>
    <w:p w14:paraId="412E97BF" w14:textId="77777777" w:rsidR="007F2986" w:rsidRDefault="007F2986" w:rsidP="007F2986">
      <w:pPr>
        <w:pStyle w:val="a3"/>
        <w:rPr>
          <w:lang w:val="hu-HU"/>
        </w:rPr>
      </w:pPr>
    </w:p>
    <w:p w14:paraId="33805C06" w14:textId="77777777" w:rsidR="007F2986" w:rsidRDefault="007F2986" w:rsidP="007F2986">
      <w:pPr>
        <w:pStyle w:val="a3"/>
        <w:rPr>
          <w:lang w:val="hu-HU"/>
        </w:rPr>
      </w:pPr>
      <w:r>
        <w:rPr>
          <w:rFonts w:eastAsia="Times New Roman"/>
          <w:spacing w:val="1"/>
          <w:lang w:val="hu-HU"/>
        </w:rPr>
        <w:t>A kezelésre a 4. hétig nem reagáló betegek közül a fenntartó adalimumab-kezelésben részesülők 43%-án, míg a placebokezelésben részesülők 30%-án jelentkezett terápiás hatás a 12. hétig. Ezek az eredmények amellett szólnak, hogy egyes, a kezelésre a 4. hétig nem reagáló betegek fenntartó kezelését előnyös lehet a 12. hétig folytatni. A kezelést a 12. héten túl is folytatva már nem nőtt számottevően a kezelésre reagálók részaránya (lásd 4.2 pont).</w:t>
      </w:r>
    </w:p>
    <w:p w14:paraId="5E57104B" w14:textId="77777777" w:rsidR="007F2986" w:rsidRDefault="007F2986" w:rsidP="007F2986">
      <w:pPr>
        <w:pStyle w:val="a3"/>
        <w:rPr>
          <w:lang w:val="hu-HU"/>
        </w:rPr>
      </w:pPr>
    </w:p>
    <w:p w14:paraId="4D18FD57" w14:textId="77777777" w:rsidR="007F2986" w:rsidRDefault="007F2986" w:rsidP="007F2986">
      <w:pPr>
        <w:pStyle w:val="a3"/>
        <w:rPr>
          <w:lang w:val="hu-HU"/>
        </w:rPr>
      </w:pPr>
      <w:r>
        <w:rPr>
          <w:rFonts w:eastAsia="Times New Roman"/>
          <w:lang w:val="hu-HU"/>
        </w:rPr>
        <w:t>A CD I vizsgálat 117/276 betegét, míg a CD II és III vizsgálat 272/777 betegét követték nyílt adalimumab-kezelés alatt legalább 3 éven keresztül. Sorrendben 88, illetve 189 betegnél maradt fent a klinikai remisszió. Sorrendben 102 és 233 betegnél maradt fent a klinikai válasz (CR-100).</w:t>
      </w:r>
    </w:p>
    <w:p w14:paraId="52BBC241" w14:textId="77777777" w:rsidR="007F2986" w:rsidRDefault="007F2986" w:rsidP="007F2986">
      <w:pPr>
        <w:pStyle w:val="a3"/>
        <w:rPr>
          <w:lang w:val="hu-HU"/>
        </w:rPr>
      </w:pPr>
    </w:p>
    <w:p w14:paraId="081814AE" w14:textId="77777777" w:rsidR="007F2986" w:rsidRDefault="007F2986" w:rsidP="007F2986">
      <w:pPr>
        <w:pStyle w:val="a3"/>
        <w:rPr>
          <w:rFonts w:eastAsia="Times New Roman"/>
          <w:lang w:val="hu-HU"/>
        </w:rPr>
      </w:pPr>
      <w:r>
        <w:rPr>
          <w:rFonts w:eastAsia="Times New Roman"/>
          <w:i/>
          <w:iCs/>
          <w:spacing w:val="-1"/>
          <w:u w:val="single" w:color="000000"/>
          <w:lang w:val="hu-HU"/>
        </w:rPr>
        <w:t>Életminőség</w:t>
      </w:r>
    </w:p>
    <w:p w14:paraId="1EDDFB41" w14:textId="77777777" w:rsidR="007F2986" w:rsidRDefault="007F2986" w:rsidP="007F2986">
      <w:pPr>
        <w:pStyle w:val="a3"/>
        <w:rPr>
          <w:sz w:val="18"/>
          <w:szCs w:val="18"/>
          <w:lang w:val="hu-HU"/>
        </w:rPr>
      </w:pPr>
    </w:p>
    <w:p w14:paraId="44FCAE40" w14:textId="77777777" w:rsidR="007F2986" w:rsidRDefault="007F2986" w:rsidP="007F2986">
      <w:pPr>
        <w:pStyle w:val="a3"/>
        <w:rPr>
          <w:lang w:val="hu-HU"/>
        </w:rPr>
      </w:pPr>
      <w:r>
        <w:rPr>
          <w:rFonts w:eastAsia="Times New Roman"/>
          <w:lang w:val="hu-HU"/>
        </w:rPr>
        <w:t xml:space="preserve">A CD I és a CD II vizsgálatban statisztikailag szignifikáns javulást értek el a betegségspecifikus Gyulladásos bélbetegség kérdőív (IBDQ – Inflammatory Bowel Disease Questionnaire) összpontszámában a kezelés 4. hetében azoknál a betegeknél, akiket véletlenszerűen az adalimumab 80/40 mg, illetve adalimumab 160/80 mg csoportba soroltak be, a placebocsoportba sorolt betegekével összehasonlítva, és ezt észlelték a CD </w:t>
      </w:r>
      <w:r w:rsidRPr="009167C6">
        <w:rPr>
          <w:lang w:val="hu-HU"/>
        </w:rPr>
        <w:t> </w:t>
      </w:r>
      <w:r>
        <w:rPr>
          <w:rFonts w:eastAsia="Times New Roman"/>
          <w:lang w:val="hu-HU"/>
        </w:rPr>
        <w:t xml:space="preserve"> III vizsgálat során is a 26. és az 56. héten az adalimumabbal, illetve placebóval kezelt betegcsoportokban.</w:t>
      </w:r>
    </w:p>
    <w:p w14:paraId="339EFCCC" w14:textId="0461E17F" w:rsidR="007F2986" w:rsidRDefault="007F2986" w:rsidP="007F2986">
      <w:pPr>
        <w:spacing w:before="10" w:line="240" w:lineRule="exact"/>
        <w:rPr>
          <w:sz w:val="24"/>
          <w:szCs w:val="24"/>
          <w:lang w:val="hu-HU"/>
        </w:rPr>
      </w:pPr>
    </w:p>
    <w:p w14:paraId="7554F09A" w14:textId="217CA93D" w:rsidR="007F2986" w:rsidRPr="005A05DE" w:rsidRDefault="00291FC8" w:rsidP="007F2986">
      <w:pPr>
        <w:pStyle w:val="a3"/>
        <w:rPr>
          <w:rFonts w:eastAsia="Times New Roman"/>
          <w:i/>
          <w:iCs/>
          <w:lang w:val="hu-HU"/>
        </w:rPr>
      </w:pPr>
      <w:r w:rsidRPr="005A05DE">
        <w:rPr>
          <w:rFonts w:eastAsia="Times New Roman"/>
          <w:i/>
          <w:iCs/>
          <w:lang w:val="hu-HU"/>
        </w:rPr>
        <w:t>Felnőttkori Uveitis</w:t>
      </w:r>
    </w:p>
    <w:p w14:paraId="569F439F" w14:textId="77777777" w:rsidR="007F2986" w:rsidRDefault="007F2986" w:rsidP="007F2986">
      <w:pPr>
        <w:pStyle w:val="a3"/>
        <w:rPr>
          <w:sz w:val="24"/>
          <w:szCs w:val="24"/>
          <w:lang w:val="hu-HU"/>
        </w:rPr>
      </w:pPr>
    </w:p>
    <w:p w14:paraId="36F21862" w14:textId="77777777" w:rsidR="007F2986" w:rsidRDefault="007F2986" w:rsidP="007F2986">
      <w:pPr>
        <w:pStyle w:val="a3"/>
        <w:rPr>
          <w:lang w:val="hu-HU"/>
        </w:rPr>
      </w:pPr>
      <w:r>
        <w:rPr>
          <w:rFonts w:eastAsia="Times New Roman"/>
          <w:lang w:val="hu-HU"/>
        </w:rPr>
        <w:t>Az adalimumab biztonságosságát és hatásosságát nem fertőzéses eredetű, intermedier, posterior és panuveitisben szenvedő felnőtt betegeknél (az izolált anterior uveitisben szenvedő betegek kizárásra kerültek), két randomizált, kettős vak, placebokontrollos vizsgálatban (UV I és II) értékelték. A betegek vagy placebót vagy 80 mg adalimumabot kaptak kezdő dózisként, melyet a kezdő dózis beadásától számított egy hét múlva minden második héten adott 40 mg adalimumab követett. Egy nem biológiai immunszuppresszív szer állandó dózisban történő együttes alkalmazása megengedett volt.</w:t>
      </w:r>
    </w:p>
    <w:p w14:paraId="009E377B" w14:textId="77777777" w:rsidR="007F2986" w:rsidRDefault="007F2986" w:rsidP="007F2986">
      <w:pPr>
        <w:pStyle w:val="a3"/>
        <w:rPr>
          <w:sz w:val="24"/>
          <w:szCs w:val="24"/>
          <w:lang w:val="hu-HU"/>
        </w:rPr>
      </w:pPr>
    </w:p>
    <w:p w14:paraId="50C30EEC" w14:textId="77777777" w:rsidR="007F2986" w:rsidRDefault="007F2986" w:rsidP="007F2986">
      <w:pPr>
        <w:pStyle w:val="a3"/>
        <w:rPr>
          <w:lang w:val="hu-HU"/>
        </w:rPr>
      </w:pPr>
      <w:r>
        <w:rPr>
          <w:rFonts w:eastAsia="Times New Roman"/>
          <w:lang w:val="hu-HU"/>
        </w:rPr>
        <w:t>Az UV</w:t>
      </w:r>
      <w:r w:rsidDel="002A3904">
        <w:rPr>
          <w:rFonts w:eastAsia="Times New Roman"/>
          <w:b/>
          <w:bCs/>
          <w:lang w:val="hu-HU"/>
        </w:rPr>
        <w:t xml:space="preserve"> </w:t>
      </w:r>
      <w:r>
        <w:rPr>
          <w:rFonts w:eastAsia="Times New Roman"/>
          <w:lang w:val="hu-HU"/>
        </w:rPr>
        <w:t xml:space="preserve">I vizsgálatban 217, kortikoszteroid-kezelés (napi 10-60 mg prednizon per os) ellenére aktív uveitisben szenvedő beteget értékeltek. Minden beteg két hétig napi 60 mg prednizont kapott a vizsgálat kezdetekor, melyet kötelező fokozatos dóziscsökkentés követett, ami a 15. hétig a kortikoszteroid teljes </w:t>
      </w:r>
      <w:r>
        <w:rPr>
          <w:rFonts w:eastAsia="Times New Roman"/>
          <w:lang w:val="hu-HU"/>
        </w:rPr>
        <w:lastRenderedPageBreak/>
        <w:t>elhagyásával fejeződött be.</w:t>
      </w:r>
    </w:p>
    <w:p w14:paraId="66205823" w14:textId="77777777" w:rsidR="007F2986" w:rsidRDefault="007F2986" w:rsidP="007F2986">
      <w:pPr>
        <w:pStyle w:val="a3"/>
        <w:rPr>
          <w:sz w:val="24"/>
          <w:szCs w:val="24"/>
          <w:lang w:val="hu-HU"/>
        </w:rPr>
      </w:pPr>
    </w:p>
    <w:p w14:paraId="01E22B4F" w14:textId="77777777" w:rsidR="007F2986" w:rsidRDefault="007F2986" w:rsidP="007F2986">
      <w:pPr>
        <w:pStyle w:val="a3"/>
        <w:rPr>
          <w:lang w:val="hu-HU"/>
        </w:rPr>
      </w:pPr>
      <w:r>
        <w:rPr>
          <w:rFonts w:eastAsia="Times New Roman"/>
          <w:lang w:val="hu-HU"/>
        </w:rPr>
        <w:t>Az UV II</w:t>
      </w:r>
      <w:r w:rsidDel="002A3904">
        <w:rPr>
          <w:rFonts w:eastAsia="Times New Roman"/>
          <w:b/>
          <w:bCs/>
          <w:lang w:val="hu-HU"/>
        </w:rPr>
        <w:t xml:space="preserve"> </w:t>
      </w:r>
      <w:r>
        <w:rPr>
          <w:rFonts w:eastAsia="Times New Roman"/>
          <w:lang w:val="hu-HU"/>
        </w:rPr>
        <w:t>vizsgálatban 226, inaktív uveitisben szenvedő olyan beteget értékeltek, akik hosszú távú kortikoszteroid-kezelést (napi 10-35 mg prednizon per os) igényeltek a vizsgálat megkezdésekor betegségük egyensúlyban tartásához. A betegek később kötelező, fokozatos dózicsökkentésen estek át, ami a 19. hétig a kortikoszteroid teljes elhagyásával fejeződött be.</w:t>
      </w:r>
    </w:p>
    <w:p w14:paraId="5CA41B16" w14:textId="77777777" w:rsidR="007F2986" w:rsidRDefault="007F2986" w:rsidP="007F2986">
      <w:pPr>
        <w:pStyle w:val="a3"/>
        <w:rPr>
          <w:sz w:val="24"/>
          <w:szCs w:val="24"/>
          <w:lang w:val="hu-HU"/>
        </w:rPr>
      </w:pPr>
    </w:p>
    <w:p w14:paraId="1EB00D56" w14:textId="77777777" w:rsidR="007F2986" w:rsidRDefault="007F2986" w:rsidP="007F2986">
      <w:pPr>
        <w:pStyle w:val="a3"/>
        <w:rPr>
          <w:lang w:val="hu-HU"/>
        </w:rPr>
      </w:pPr>
      <w:r>
        <w:rPr>
          <w:rFonts w:eastAsia="Times New Roman"/>
          <w:lang w:val="hu-HU"/>
        </w:rPr>
        <w:t>Az elsődleges hatásossági végpont mindkét vizsgálatban a „kezelés sikertelenségéig eltelt idő” volt. A sikertelen kezelést a többkomponensű kimenetel határozza meg a gyulladásos chorioretinális és/vagy gyulladásos retina-vaszkuláris léziók, az elülső kamrai (AC) sejtosztály, az üvegtesti homályos (VH) osztály és a legjobb korrigált látásélesség (BCVA) alapján.</w:t>
      </w:r>
    </w:p>
    <w:p w14:paraId="62FC6DC3" w14:textId="77777777" w:rsidR="007F2986" w:rsidRDefault="007F2986" w:rsidP="007F2986">
      <w:pPr>
        <w:pStyle w:val="a3"/>
        <w:rPr>
          <w:sz w:val="24"/>
          <w:szCs w:val="24"/>
          <w:lang w:val="hu-HU"/>
        </w:rPr>
      </w:pPr>
    </w:p>
    <w:p w14:paraId="090BC3A9" w14:textId="77777777" w:rsidR="007F2986" w:rsidRDefault="007F2986" w:rsidP="007F2986">
      <w:pPr>
        <w:pStyle w:val="a3"/>
        <w:rPr>
          <w:lang w:val="hu-HU"/>
        </w:rPr>
      </w:pPr>
      <w:r>
        <w:rPr>
          <w:rFonts w:eastAsia="Times New Roman"/>
          <w:lang w:val="hu-HU"/>
        </w:rPr>
        <w:t>Azok a betegek, akik befejezték az UV</w:t>
      </w:r>
      <w:r w:rsidDel="002A3904">
        <w:rPr>
          <w:rFonts w:eastAsia="Times New Roman"/>
          <w:b/>
          <w:bCs/>
          <w:lang w:val="hu-HU"/>
        </w:rPr>
        <w:t xml:space="preserve"> </w:t>
      </w:r>
      <w:r>
        <w:rPr>
          <w:rFonts w:eastAsia="Times New Roman"/>
          <w:lang w:val="hu-HU"/>
        </w:rPr>
        <w:t>I és UV</w:t>
      </w:r>
      <w:r w:rsidRPr="009167C6">
        <w:rPr>
          <w:lang w:val="hu-HU"/>
        </w:rPr>
        <w:t> </w:t>
      </w:r>
      <w:r>
        <w:rPr>
          <w:rFonts w:eastAsia="Times New Roman"/>
          <w:lang w:val="hu-HU"/>
        </w:rPr>
        <w:t>II vizsgálatot, alkalmasak voltak egy kontrollálatlan hosszú távú kiterjesztett vizsgálatba való bevonásra, amelynek eredetileg tervezett 78 hetes időtartama volt. A betegek tovább kaphatták a vizsgálati készítményt a 78. hét után, amíg nem kaptak adalimumabot.</w:t>
      </w:r>
    </w:p>
    <w:p w14:paraId="235DDA80" w14:textId="77777777" w:rsidR="007F2986" w:rsidRDefault="007F2986" w:rsidP="007F2986">
      <w:pPr>
        <w:pStyle w:val="a3"/>
        <w:rPr>
          <w:sz w:val="24"/>
          <w:szCs w:val="24"/>
          <w:lang w:val="hu-HU"/>
        </w:rPr>
      </w:pPr>
    </w:p>
    <w:p w14:paraId="62942B80" w14:textId="77777777" w:rsidR="007F2986" w:rsidRDefault="007F2986" w:rsidP="007F2986">
      <w:pPr>
        <w:pStyle w:val="a3"/>
        <w:rPr>
          <w:rFonts w:eastAsia="Times New Roman"/>
          <w:lang w:val="hu-HU"/>
        </w:rPr>
      </w:pPr>
      <w:r>
        <w:rPr>
          <w:rFonts w:eastAsia="Times New Roman"/>
          <w:i/>
          <w:iCs/>
          <w:spacing w:val="-1"/>
          <w:u w:val="single" w:color="000000"/>
          <w:lang w:val="hu-HU"/>
        </w:rPr>
        <w:t>Klinikai válasz</w:t>
      </w:r>
    </w:p>
    <w:p w14:paraId="6955C6E2" w14:textId="77777777" w:rsidR="007F2986" w:rsidRDefault="007F2986" w:rsidP="007F2986">
      <w:pPr>
        <w:pStyle w:val="a3"/>
        <w:rPr>
          <w:sz w:val="18"/>
          <w:szCs w:val="18"/>
          <w:lang w:val="hu-HU"/>
        </w:rPr>
      </w:pPr>
    </w:p>
    <w:p w14:paraId="1ABBAFD5" w14:textId="51490735" w:rsidR="007F2986" w:rsidRDefault="007F2986" w:rsidP="007F2986">
      <w:pPr>
        <w:pStyle w:val="a3"/>
        <w:rPr>
          <w:lang w:val="hu-HU"/>
        </w:rPr>
      </w:pPr>
      <w:r>
        <w:rPr>
          <w:rFonts w:eastAsia="Times New Roman"/>
          <w:lang w:val="hu-HU"/>
        </w:rPr>
        <w:t xml:space="preserve">Mindkét vizsgálat eredményei a kezelés eredménytelensége kockázatának a statisztikailag szignifikáns csökkenését igazolták az adalimumabbal kezelt betegeknél, a placebóval kezelt betegekhez képest (lásd </w:t>
      </w:r>
      <w:r w:rsidR="00291FC8">
        <w:rPr>
          <w:rFonts w:eastAsia="Times New Roman"/>
          <w:lang w:val="hu-HU"/>
        </w:rPr>
        <w:t>16</w:t>
      </w:r>
      <w:r>
        <w:rPr>
          <w:rFonts w:eastAsia="Times New Roman"/>
          <w:lang w:val="hu-HU"/>
        </w:rPr>
        <w:t xml:space="preserve">. táblázat). A kezelés eredménytelenségének arányát tekintve mindkét vizsgálat kimutatta a  adalimumab korai és fenntartott hatását a placebóval szemben (lásd </w:t>
      </w:r>
      <w:r w:rsidR="00291FC8">
        <w:rPr>
          <w:rFonts w:eastAsia="Times New Roman"/>
          <w:lang w:val="hu-HU"/>
        </w:rPr>
        <w:t>1</w:t>
      </w:r>
      <w:r>
        <w:rPr>
          <w:rFonts w:eastAsia="Times New Roman"/>
          <w:lang w:val="hu-HU"/>
        </w:rPr>
        <w:t>. ábra).</w:t>
      </w:r>
    </w:p>
    <w:p w14:paraId="2D554F27" w14:textId="77777777" w:rsidR="007F2986" w:rsidRDefault="007F2986" w:rsidP="007F2986">
      <w:pPr>
        <w:rPr>
          <w:rFonts w:ascii="Times New Roman" w:hAnsi="Times New Roman" w:cs="Times New Roman"/>
          <w:b/>
          <w:lang w:val="hu-HU"/>
        </w:rPr>
      </w:pPr>
    </w:p>
    <w:p w14:paraId="3CCA5DAA" w14:textId="23474536" w:rsidR="007F2986" w:rsidRDefault="00291FC8" w:rsidP="007F2986">
      <w:pPr>
        <w:pStyle w:val="a3"/>
        <w:jc w:val="center"/>
        <w:rPr>
          <w:b/>
          <w:lang w:val="hu-HU"/>
        </w:rPr>
      </w:pPr>
      <w:r>
        <w:rPr>
          <w:rFonts w:eastAsia="Times New Roman"/>
          <w:b/>
          <w:bCs/>
          <w:lang w:val="hu-HU"/>
        </w:rPr>
        <w:t>16</w:t>
      </w:r>
      <w:r w:rsidR="007F2986">
        <w:rPr>
          <w:rFonts w:eastAsia="Times New Roman"/>
          <w:b/>
          <w:bCs/>
          <w:lang w:val="hu-HU"/>
        </w:rPr>
        <w:t>. táblázat</w:t>
      </w:r>
    </w:p>
    <w:p w14:paraId="3A781C13" w14:textId="77777777" w:rsidR="007F2986" w:rsidRDefault="007F2986" w:rsidP="007F2986">
      <w:pPr>
        <w:pStyle w:val="a3"/>
        <w:jc w:val="center"/>
        <w:rPr>
          <w:b/>
          <w:lang w:val="hu-HU"/>
        </w:rPr>
      </w:pPr>
      <w:r>
        <w:rPr>
          <w:rFonts w:eastAsia="Times New Roman"/>
          <w:b/>
          <w:bCs/>
          <w:lang w:val="hu-HU"/>
        </w:rPr>
        <w:t>A kezelés eredménytelenségéig eltelt idő az UV I és UV II vizsgálatban</w:t>
      </w:r>
    </w:p>
    <w:p w14:paraId="2CD9CC29" w14:textId="77777777" w:rsidR="007F2986" w:rsidRDefault="007F2986" w:rsidP="007F2986">
      <w:pPr>
        <w:pStyle w:val="a3"/>
        <w:jc w:val="center"/>
        <w:rPr>
          <w:b/>
          <w:lang w:val="hu-HU"/>
        </w:rPr>
      </w:pPr>
    </w:p>
    <w:tbl>
      <w:tblPr>
        <w:tblStyle w:val="ac"/>
        <w:tblW w:w="972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1"/>
        <w:gridCol w:w="1181"/>
        <w:gridCol w:w="2006"/>
        <w:gridCol w:w="2093"/>
        <w:gridCol w:w="946"/>
        <w:gridCol w:w="986"/>
        <w:gridCol w:w="1006"/>
      </w:tblGrid>
      <w:tr w:rsidR="007F2986" w:rsidRPr="009167C6" w14:paraId="60F0ADDA" w14:textId="77777777" w:rsidTr="00CC2E43">
        <w:trPr>
          <w:trHeight w:val="378"/>
          <w:jc w:val="center"/>
        </w:trPr>
        <w:tc>
          <w:tcPr>
            <w:tcW w:w="1624" w:type="dxa"/>
            <w:tcBorders>
              <w:top w:val="single" w:sz="4" w:space="0" w:color="auto"/>
              <w:bottom w:val="single" w:sz="4" w:space="0" w:color="auto"/>
            </w:tcBorders>
            <w:vAlign w:val="center"/>
          </w:tcPr>
          <w:p w14:paraId="3A7A10C5" w14:textId="77777777" w:rsidR="007F2986" w:rsidRPr="007C168B" w:rsidRDefault="007F2986" w:rsidP="00CC2E43">
            <w:pPr>
              <w:pStyle w:val="a3"/>
              <w:jc w:val="center"/>
              <w:rPr>
                <w:b/>
                <w:lang w:val="hu-HU" w:eastAsia="ko-KR"/>
              </w:rPr>
            </w:pPr>
            <w:r w:rsidRPr="007C168B">
              <w:rPr>
                <w:rFonts w:eastAsia="Times New Roman"/>
                <w:b/>
                <w:bCs/>
                <w:lang w:val="hu-HU" w:eastAsia="ko-KR"/>
              </w:rPr>
              <w:t>Elemzés kezelés</w:t>
            </w:r>
          </w:p>
        </w:tc>
        <w:tc>
          <w:tcPr>
            <w:tcW w:w="1530" w:type="dxa"/>
            <w:tcBorders>
              <w:top w:val="single" w:sz="4" w:space="0" w:color="auto"/>
              <w:bottom w:val="single" w:sz="4" w:space="0" w:color="auto"/>
            </w:tcBorders>
            <w:vAlign w:val="center"/>
          </w:tcPr>
          <w:p w14:paraId="77E2212A" w14:textId="14C8BC26" w:rsidR="007F2986" w:rsidRPr="009167C6" w:rsidRDefault="00B36F4C" w:rsidP="00CC2E43">
            <w:pPr>
              <w:pStyle w:val="a3"/>
              <w:jc w:val="center"/>
              <w:rPr>
                <w:b/>
                <w:lang w:val="hu-HU"/>
              </w:rPr>
            </w:pPr>
            <w:r>
              <w:rPr>
                <w:rFonts w:eastAsia="Times New Roman"/>
                <w:b/>
                <w:bCs/>
                <w:lang w:val="hu-HU"/>
              </w:rPr>
              <w:t>n</w:t>
            </w:r>
          </w:p>
        </w:tc>
        <w:tc>
          <w:tcPr>
            <w:tcW w:w="2052" w:type="dxa"/>
            <w:tcBorders>
              <w:top w:val="single" w:sz="4" w:space="0" w:color="auto"/>
              <w:bottom w:val="single" w:sz="4" w:space="0" w:color="auto"/>
            </w:tcBorders>
            <w:vAlign w:val="center"/>
          </w:tcPr>
          <w:p w14:paraId="391F5307" w14:textId="73E6C7D5" w:rsidR="007F2986" w:rsidRPr="009167C6" w:rsidRDefault="007F2986" w:rsidP="00B36F4C">
            <w:pPr>
              <w:pStyle w:val="a3"/>
              <w:jc w:val="center"/>
              <w:rPr>
                <w:b/>
                <w:lang w:val="hu-HU"/>
              </w:rPr>
            </w:pPr>
            <w:r w:rsidRPr="009167C6">
              <w:rPr>
                <w:rFonts w:eastAsia="Times New Roman"/>
                <w:b/>
                <w:bCs/>
                <w:spacing w:val="-1"/>
                <w:lang w:val="hu-HU"/>
              </w:rPr>
              <w:t xml:space="preserve">Eredménytelenség </w:t>
            </w:r>
            <w:r w:rsidR="00B36F4C">
              <w:rPr>
                <w:rFonts w:eastAsia="Times New Roman"/>
                <w:b/>
                <w:bCs/>
                <w:spacing w:val="-1"/>
                <w:lang w:val="hu-HU"/>
              </w:rPr>
              <w:t>n</w:t>
            </w:r>
            <w:r w:rsidRPr="009167C6">
              <w:rPr>
                <w:rFonts w:eastAsia="Times New Roman"/>
                <w:b/>
                <w:bCs/>
                <w:spacing w:val="-1"/>
                <w:lang w:val="hu-HU"/>
              </w:rPr>
              <w:t xml:space="preserve"> (%)</w:t>
            </w:r>
          </w:p>
        </w:tc>
        <w:tc>
          <w:tcPr>
            <w:tcW w:w="1130" w:type="dxa"/>
            <w:tcBorders>
              <w:top w:val="single" w:sz="4" w:space="0" w:color="auto"/>
              <w:bottom w:val="single" w:sz="4" w:space="0" w:color="auto"/>
            </w:tcBorders>
          </w:tcPr>
          <w:p w14:paraId="01C0F64F" w14:textId="77777777" w:rsidR="007F2986" w:rsidRPr="009167C6" w:rsidRDefault="007F2986" w:rsidP="00CC2E43">
            <w:pPr>
              <w:pStyle w:val="a3"/>
              <w:jc w:val="center"/>
              <w:rPr>
                <w:b/>
                <w:bCs/>
                <w:spacing w:val="-1"/>
                <w:lang w:val="hu-HU" w:eastAsia="ko-KR"/>
              </w:rPr>
            </w:pPr>
            <w:r w:rsidRPr="009167C6">
              <w:rPr>
                <w:rFonts w:eastAsia="Times New Roman"/>
                <w:b/>
                <w:bCs/>
                <w:spacing w:val="-1"/>
                <w:lang w:val="hu-HU" w:eastAsia="ko-KR"/>
              </w:rPr>
              <w:t>Eredménytelenségig eltelt átlagos idő (hónap)</w:t>
            </w:r>
          </w:p>
        </w:tc>
        <w:tc>
          <w:tcPr>
            <w:tcW w:w="1130" w:type="dxa"/>
            <w:tcBorders>
              <w:top w:val="single" w:sz="4" w:space="0" w:color="auto"/>
              <w:bottom w:val="single" w:sz="4" w:space="0" w:color="auto"/>
            </w:tcBorders>
            <w:vAlign w:val="center"/>
          </w:tcPr>
          <w:p w14:paraId="62B5E21B" w14:textId="77777777" w:rsidR="007F2986" w:rsidRPr="007C168B" w:rsidRDefault="007F2986" w:rsidP="00CC2E43">
            <w:pPr>
              <w:pStyle w:val="a3"/>
              <w:jc w:val="center"/>
              <w:rPr>
                <w:b/>
                <w:bCs/>
                <w:spacing w:val="-1"/>
                <w:lang w:val="hu-HU" w:eastAsia="ko-KR"/>
              </w:rPr>
            </w:pPr>
            <w:r w:rsidRPr="009167C6">
              <w:rPr>
                <w:rFonts w:eastAsia="Times New Roman"/>
                <w:b/>
                <w:bCs/>
                <w:spacing w:val="-1"/>
                <w:lang w:val="hu-HU" w:eastAsia="ko-KR"/>
              </w:rPr>
              <w:t>HR</w:t>
            </w:r>
            <w:r w:rsidRPr="009167C6">
              <w:rPr>
                <w:rFonts w:eastAsia="Times New Roman"/>
                <w:b/>
                <w:bCs/>
                <w:spacing w:val="-1"/>
                <w:vertAlign w:val="superscript"/>
                <w:lang w:val="hu-HU" w:eastAsia="ko-KR"/>
              </w:rPr>
              <w:t>a</w:t>
            </w:r>
          </w:p>
        </w:tc>
        <w:tc>
          <w:tcPr>
            <w:tcW w:w="1130" w:type="dxa"/>
            <w:tcBorders>
              <w:top w:val="single" w:sz="4" w:space="0" w:color="auto"/>
              <w:bottom w:val="single" w:sz="4" w:space="0" w:color="auto"/>
            </w:tcBorders>
            <w:vAlign w:val="center"/>
          </w:tcPr>
          <w:p w14:paraId="76B0027F" w14:textId="77777777" w:rsidR="007F2986" w:rsidRPr="007C168B" w:rsidRDefault="007F2986" w:rsidP="00CC2E43">
            <w:pPr>
              <w:pStyle w:val="a3"/>
              <w:jc w:val="center"/>
              <w:rPr>
                <w:b/>
                <w:bCs/>
                <w:spacing w:val="-1"/>
                <w:lang w:val="hu-HU" w:eastAsia="ko-KR"/>
              </w:rPr>
            </w:pPr>
            <w:r w:rsidRPr="009167C6">
              <w:rPr>
                <w:rFonts w:eastAsia="Times New Roman"/>
                <w:b/>
                <w:bCs/>
                <w:spacing w:val="-1"/>
                <w:lang w:val="hu-HU" w:eastAsia="ko-KR"/>
              </w:rPr>
              <w:t>CI 95%-os HR</w:t>
            </w:r>
            <w:r w:rsidRPr="009167C6">
              <w:rPr>
                <w:rFonts w:eastAsia="Times New Roman"/>
                <w:b/>
                <w:bCs/>
                <w:spacing w:val="-1"/>
                <w:vertAlign w:val="superscript"/>
                <w:lang w:val="hu-HU" w:eastAsia="ko-KR"/>
              </w:rPr>
              <w:t>a</w:t>
            </w:r>
          </w:p>
        </w:tc>
        <w:tc>
          <w:tcPr>
            <w:tcW w:w="1130" w:type="dxa"/>
            <w:tcBorders>
              <w:top w:val="single" w:sz="4" w:space="0" w:color="auto"/>
              <w:bottom w:val="single" w:sz="4" w:space="0" w:color="auto"/>
            </w:tcBorders>
            <w:vAlign w:val="center"/>
          </w:tcPr>
          <w:p w14:paraId="595CA710" w14:textId="77777777" w:rsidR="007F2986" w:rsidRPr="007C168B" w:rsidRDefault="007F2986" w:rsidP="00CC2E43">
            <w:pPr>
              <w:pStyle w:val="a3"/>
              <w:jc w:val="center"/>
              <w:rPr>
                <w:b/>
                <w:lang w:val="hu-HU"/>
              </w:rPr>
            </w:pPr>
            <w:r w:rsidRPr="007C168B">
              <w:rPr>
                <w:rFonts w:eastAsia="Times New Roman"/>
                <w:b/>
                <w:bCs/>
                <w:i/>
                <w:iCs/>
                <w:spacing w:val="-1"/>
                <w:lang w:val="hu-HU" w:eastAsia="ko-KR"/>
              </w:rPr>
              <w:t>p</w:t>
            </w:r>
            <w:r w:rsidRPr="009167C6">
              <w:rPr>
                <w:rFonts w:eastAsia="Times New Roman"/>
                <w:b/>
                <w:bCs/>
                <w:spacing w:val="-1"/>
                <w:lang w:val="hu-HU" w:eastAsia="ko-KR"/>
              </w:rPr>
              <w:t xml:space="preserve"> érték</w:t>
            </w:r>
            <w:r w:rsidRPr="009167C6">
              <w:rPr>
                <w:rFonts w:eastAsia="Times New Roman"/>
                <w:b/>
                <w:bCs/>
                <w:spacing w:val="-1"/>
                <w:vertAlign w:val="superscript"/>
                <w:lang w:val="hu-HU" w:eastAsia="ko-KR"/>
              </w:rPr>
              <w:t>b</w:t>
            </w:r>
          </w:p>
          <w:p w14:paraId="5282046D" w14:textId="77777777" w:rsidR="007F2986" w:rsidRPr="009167C6" w:rsidRDefault="007F2986" w:rsidP="00CC2E43">
            <w:pPr>
              <w:pStyle w:val="a3"/>
              <w:jc w:val="center"/>
              <w:rPr>
                <w:rFonts w:eastAsia="Times New Roman"/>
                <w:b/>
                <w:bCs/>
                <w:spacing w:val="-1"/>
                <w:lang w:val="hu-HU"/>
              </w:rPr>
            </w:pPr>
          </w:p>
        </w:tc>
      </w:tr>
      <w:tr w:rsidR="007F2986" w:rsidRPr="009167C6" w14:paraId="7A4F78F8" w14:textId="77777777" w:rsidTr="00CC2E43">
        <w:trPr>
          <w:trHeight w:val="378"/>
          <w:jc w:val="center"/>
        </w:trPr>
        <w:tc>
          <w:tcPr>
            <w:tcW w:w="9729" w:type="dxa"/>
            <w:gridSpan w:val="7"/>
            <w:tcBorders>
              <w:top w:val="single" w:sz="4" w:space="0" w:color="auto"/>
              <w:bottom w:val="single" w:sz="4" w:space="0" w:color="auto"/>
            </w:tcBorders>
            <w:vAlign w:val="center"/>
          </w:tcPr>
          <w:p w14:paraId="0C4A5F63" w14:textId="77777777" w:rsidR="007F2986" w:rsidRPr="009167C6" w:rsidRDefault="007F2986" w:rsidP="00CC2E43">
            <w:pPr>
              <w:pStyle w:val="a3"/>
              <w:rPr>
                <w:b/>
                <w:lang w:val="hu-HU"/>
              </w:rPr>
            </w:pPr>
            <w:r w:rsidRPr="009167C6">
              <w:rPr>
                <w:rFonts w:eastAsia="Times New Roman"/>
                <w:b/>
                <w:bCs/>
                <w:lang w:val="hu-HU"/>
              </w:rPr>
              <w:t>A kezelés eredménytelenségéig eltelt idő a 6. héten vagy azt követően az UV I vizsgálatban</w:t>
            </w:r>
          </w:p>
          <w:p w14:paraId="1C3A0E9E" w14:textId="77777777" w:rsidR="007F2986" w:rsidRPr="009167C6" w:rsidRDefault="007F2986" w:rsidP="00CC2E43">
            <w:pPr>
              <w:pStyle w:val="a3"/>
              <w:jc w:val="both"/>
              <w:rPr>
                <w:lang w:val="hu-HU"/>
              </w:rPr>
            </w:pPr>
            <w:r w:rsidRPr="009167C6">
              <w:rPr>
                <w:rFonts w:eastAsia="Times New Roman"/>
                <w:b/>
                <w:bCs/>
                <w:lang w:val="hu-HU"/>
              </w:rPr>
              <w:t>Elsődleges elemzés (ITT)</w:t>
            </w:r>
          </w:p>
        </w:tc>
      </w:tr>
      <w:tr w:rsidR="007F2986" w:rsidRPr="009167C6" w14:paraId="7A842A18" w14:textId="77777777" w:rsidTr="00CC2E43">
        <w:trPr>
          <w:trHeight w:val="393"/>
          <w:jc w:val="center"/>
        </w:trPr>
        <w:tc>
          <w:tcPr>
            <w:tcW w:w="1624" w:type="dxa"/>
            <w:tcBorders>
              <w:top w:val="single" w:sz="4" w:space="0" w:color="auto"/>
            </w:tcBorders>
            <w:vAlign w:val="center"/>
          </w:tcPr>
          <w:p w14:paraId="55E0BD6D" w14:textId="77777777" w:rsidR="007F2986" w:rsidRPr="009167C6" w:rsidRDefault="007F2986" w:rsidP="00CC2E43">
            <w:pPr>
              <w:pStyle w:val="a3"/>
              <w:jc w:val="center"/>
              <w:rPr>
                <w:lang w:val="hu-HU"/>
              </w:rPr>
            </w:pPr>
            <w:r w:rsidRPr="009167C6">
              <w:rPr>
                <w:rFonts w:eastAsia="Times New Roman"/>
                <w:lang w:val="hu-HU"/>
              </w:rPr>
              <w:t>placebo</w:t>
            </w:r>
          </w:p>
        </w:tc>
        <w:tc>
          <w:tcPr>
            <w:tcW w:w="1530" w:type="dxa"/>
            <w:tcBorders>
              <w:top w:val="single" w:sz="4" w:space="0" w:color="auto"/>
            </w:tcBorders>
          </w:tcPr>
          <w:p w14:paraId="29CFD7D7" w14:textId="77777777" w:rsidR="007F2986" w:rsidRPr="009167C6" w:rsidRDefault="007F2986" w:rsidP="00CC2E43">
            <w:pPr>
              <w:pStyle w:val="a3"/>
              <w:jc w:val="center"/>
              <w:rPr>
                <w:lang w:val="hu-HU"/>
              </w:rPr>
            </w:pPr>
            <w:r w:rsidRPr="009167C6">
              <w:rPr>
                <w:rFonts w:eastAsia="Times New Roman"/>
                <w:lang w:val="hu-HU"/>
              </w:rPr>
              <w:t>107</w:t>
            </w:r>
          </w:p>
        </w:tc>
        <w:tc>
          <w:tcPr>
            <w:tcW w:w="2052" w:type="dxa"/>
            <w:tcBorders>
              <w:top w:val="single" w:sz="4" w:space="0" w:color="auto"/>
            </w:tcBorders>
          </w:tcPr>
          <w:p w14:paraId="25981365" w14:textId="77777777" w:rsidR="007F2986" w:rsidRPr="009167C6" w:rsidRDefault="007F2986" w:rsidP="00CC2E43">
            <w:pPr>
              <w:pStyle w:val="a3"/>
              <w:jc w:val="center"/>
              <w:rPr>
                <w:lang w:val="hu-HU"/>
              </w:rPr>
            </w:pPr>
            <w:r w:rsidRPr="009167C6">
              <w:rPr>
                <w:rFonts w:eastAsia="Times New Roman"/>
                <w:lang w:val="hu-HU"/>
              </w:rPr>
              <w:t>84 (78,5)</w:t>
            </w:r>
          </w:p>
        </w:tc>
        <w:tc>
          <w:tcPr>
            <w:tcW w:w="1130" w:type="dxa"/>
            <w:tcBorders>
              <w:top w:val="single" w:sz="4" w:space="0" w:color="auto"/>
            </w:tcBorders>
          </w:tcPr>
          <w:p w14:paraId="562CDDAF" w14:textId="77777777" w:rsidR="007F2986" w:rsidRPr="009167C6" w:rsidRDefault="007F2986" w:rsidP="00CC2E43">
            <w:pPr>
              <w:pStyle w:val="a3"/>
              <w:jc w:val="center"/>
              <w:rPr>
                <w:lang w:val="hu-HU"/>
              </w:rPr>
            </w:pPr>
            <w:r w:rsidRPr="009167C6">
              <w:rPr>
                <w:rFonts w:eastAsia="Times New Roman"/>
                <w:lang w:val="hu-HU"/>
              </w:rPr>
              <w:t>3,0</w:t>
            </w:r>
          </w:p>
        </w:tc>
        <w:tc>
          <w:tcPr>
            <w:tcW w:w="1130" w:type="dxa"/>
            <w:tcBorders>
              <w:top w:val="single" w:sz="4" w:space="0" w:color="auto"/>
            </w:tcBorders>
          </w:tcPr>
          <w:p w14:paraId="1241742B" w14:textId="77777777" w:rsidR="007F2986" w:rsidRPr="009167C6" w:rsidRDefault="007F2986" w:rsidP="00CC2E43">
            <w:pPr>
              <w:pStyle w:val="a3"/>
              <w:jc w:val="center"/>
              <w:rPr>
                <w:lang w:val="hu-HU"/>
              </w:rPr>
            </w:pPr>
            <w:r w:rsidRPr="009167C6">
              <w:rPr>
                <w:lang w:val="hu-HU"/>
              </w:rPr>
              <w:t xml:space="preserve">-- </w:t>
            </w:r>
          </w:p>
        </w:tc>
        <w:tc>
          <w:tcPr>
            <w:tcW w:w="1130" w:type="dxa"/>
            <w:tcBorders>
              <w:top w:val="single" w:sz="4" w:space="0" w:color="auto"/>
            </w:tcBorders>
          </w:tcPr>
          <w:p w14:paraId="7412572E" w14:textId="77777777" w:rsidR="007F2986" w:rsidRPr="009167C6" w:rsidRDefault="007F2986" w:rsidP="00CC2E43">
            <w:pPr>
              <w:pStyle w:val="a3"/>
              <w:jc w:val="center"/>
              <w:rPr>
                <w:lang w:val="hu-HU"/>
              </w:rPr>
            </w:pPr>
            <w:r w:rsidRPr="009167C6">
              <w:rPr>
                <w:lang w:val="hu-HU"/>
              </w:rPr>
              <w:t xml:space="preserve">-- </w:t>
            </w:r>
          </w:p>
        </w:tc>
        <w:tc>
          <w:tcPr>
            <w:tcW w:w="1130" w:type="dxa"/>
            <w:tcBorders>
              <w:top w:val="single" w:sz="4" w:space="0" w:color="auto"/>
            </w:tcBorders>
          </w:tcPr>
          <w:p w14:paraId="7EA77D70" w14:textId="77777777" w:rsidR="007F2986" w:rsidRPr="009167C6" w:rsidRDefault="007F2986" w:rsidP="00CC2E43">
            <w:pPr>
              <w:pStyle w:val="a3"/>
              <w:jc w:val="center"/>
              <w:rPr>
                <w:lang w:val="hu-HU"/>
              </w:rPr>
            </w:pPr>
            <w:r w:rsidRPr="009167C6">
              <w:rPr>
                <w:lang w:val="hu-HU"/>
              </w:rPr>
              <w:t xml:space="preserve">-- </w:t>
            </w:r>
          </w:p>
        </w:tc>
      </w:tr>
      <w:tr w:rsidR="007F2986" w:rsidRPr="009167C6" w14:paraId="528D8604" w14:textId="77777777" w:rsidTr="00CC2E43">
        <w:trPr>
          <w:trHeight w:val="378"/>
          <w:jc w:val="center"/>
        </w:trPr>
        <w:tc>
          <w:tcPr>
            <w:tcW w:w="1624" w:type="dxa"/>
            <w:tcBorders>
              <w:bottom w:val="single" w:sz="4" w:space="0" w:color="auto"/>
            </w:tcBorders>
            <w:vAlign w:val="center"/>
          </w:tcPr>
          <w:p w14:paraId="3B4FD707" w14:textId="77777777" w:rsidR="007F2986" w:rsidRPr="009167C6" w:rsidRDefault="007F2986" w:rsidP="00CC2E43">
            <w:pPr>
              <w:pStyle w:val="a3"/>
              <w:jc w:val="center"/>
              <w:rPr>
                <w:lang w:val="hu-HU"/>
              </w:rPr>
            </w:pPr>
            <w:r w:rsidRPr="009167C6">
              <w:rPr>
                <w:rFonts w:eastAsia="Times New Roman"/>
                <w:lang w:val="hu-HU"/>
              </w:rPr>
              <w:t>adalimumab</w:t>
            </w:r>
          </w:p>
        </w:tc>
        <w:tc>
          <w:tcPr>
            <w:tcW w:w="1530" w:type="dxa"/>
            <w:tcBorders>
              <w:bottom w:val="single" w:sz="4" w:space="0" w:color="auto"/>
            </w:tcBorders>
          </w:tcPr>
          <w:p w14:paraId="00F8E836" w14:textId="77777777" w:rsidR="007F2986" w:rsidRPr="009167C6" w:rsidRDefault="007F2986" w:rsidP="00CC2E43">
            <w:pPr>
              <w:pStyle w:val="a3"/>
              <w:jc w:val="center"/>
              <w:rPr>
                <w:lang w:val="hu-HU"/>
              </w:rPr>
            </w:pPr>
            <w:r w:rsidRPr="009167C6">
              <w:rPr>
                <w:rFonts w:eastAsia="Times New Roman"/>
                <w:lang w:val="hu-HU"/>
              </w:rPr>
              <w:t>110</w:t>
            </w:r>
          </w:p>
        </w:tc>
        <w:tc>
          <w:tcPr>
            <w:tcW w:w="2052" w:type="dxa"/>
            <w:tcBorders>
              <w:bottom w:val="single" w:sz="4" w:space="0" w:color="auto"/>
            </w:tcBorders>
          </w:tcPr>
          <w:p w14:paraId="67F109BA" w14:textId="77777777" w:rsidR="007F2986" w:rsidRPr="009167C6" w:rsidRDefault="007F2986" w:rsidP="00CC2E43">
            <w:pPr>
              <w:pStyle w:val="a3"/>
              <w:jc w:val="center"/>
              <w:rPr>
                <w:lang w:val="hu-HU"/>
              </w:rPr>
            </w:pPr>
            <w:r w:rsidRPr="009167C6">
              <w:rPr>
                <w:rFonts w:eastAsia="Times New Roman"/>
                <w:lang w:val="hu-HU"/>
              </w:rPr>
              <w:t>60 (54,5)</w:t>
            </w:r>
          </w:p>
        </w:tc>
        <w:tc>
          <w:tcPr>
            <w:tcW w:w="1130" w:type="dxa"/>
            <w:tcBorders>
              <w:bottom w:val="single" w:sz="4" w:space="0" w:color="auto"/>
            </w:tcBorders>
          </w:tcPr>
          <w:p w14:paraId="250F018F" w14:textId="77777777" w:rsidR="007F2986" w:rsidRPr="009167C6" w:rsidRDefault="007F2986" w:rsidP="00CC2E43">
            <w:pPr>
              <w:pStyle w:val="a3"/>
              <w:jc w:val="center"/>
              <w:rPr>
                <w:lang w:val="hu-HU"/>
              </w:rPr>
            </w:pPr>
            <w:r w:rsidRPr="009167C6">
              <w:rPr>
                <w:rFonts w:eastAsia="Times New Roman"/>
                <w:lang w:val="hu-HU"/>
              </w:rPr>
              <w:t>5,6</w:t>
            </w:r>
          </w:p>
        </w:tc>
        <w:tc>
          <w:tcPr>
            <w:tcW w:w="1130" w:type="dxa"/>
            <w:tcBorders>
              <w:bottom w:val="single" w:sz="4" w:space="0" w:color="auto"/>
            </w:tcBorders>
          </w:tcPr>
          <w:p w14:paraId="4BBB99D9" w14:textId="77777777" w:rsidR="007F2986" w:rsidRPr="009167C6" w:rsidRDefault="007F2986" w:rsidP="00CC2E43">
            <w:pPr>
              <w:pStyle w:val="a3"/>
              <w:jc w:val="center"/>
              <w:rPr>
                <w:lang w:val="hu-HU"/>
              </w:rPr>
            </w:pPr>
            <w:r w:rsidRPr="009167C6">
              <w:rPr>
                <w:rFonts w:eastAsia="Times New Roman"/>
                <w:lang w:val="hu-HU"/>
              </w:rPr>
              <w:t>0,50</w:t>
            </w:r>
          </w:p>
        </w:tc>
        <w:tc>
          <w:tcPr>
            <w:tcW w:w="1130" w:type="dxa"/>
            <w:tcBorders>
              <w:bottom w:val="single" w:sz="4" w:space="0" w:color="auto"/>
            </w:tcBorders>
          </w:tcPr>
          <w:p w14:paraId="7709FDEF" w14:textId="77777777" w:rsidR="007F2986" w:rsidRPr="009167C6" w:rsidRDefault="007F2986" w:rsidP="00CC2E43">
            <w:pPr>
              <w:pStyle w:val="a3"/>
              <w:jc w:val="center"/>
              <w:rPr>
                <w:lang w:val="hu-HU"/>
              </w:rPr>
            </w:pPr>
            <w:r w:rsidRPr="009167C6">
              <w:rPr>
                <w:rFonts w:eastAsia="Times New Roman"/>
                <w:lang w:val="hu-HU"/>
              </w:rPr>
              <w:t>0,36, 0,70</w:t>
            </w:r>
          </w:p>
        </w:tc>
        <w:tc>
          <w:tcPr>
            <w:tcW w:w="1130" w:type="dxa"/>
            <w:tcBorders>
              <w:bottom w:val="single" w:sz="4" w:space="0" w:color="auto"/>
            </w:tcBorders>
          </w:tcPr>
          <w:p w14:paraId="555FAD70" w14:textId="77777777" w:rsidR="007F2986" w:rsidRPr="009167C6" w:rsidRDefault="007F2986" w:rsidP="00CC2E43">
            <w:pPr>
              <w:pStyle w:val="a3"/>
              <w:jc w:val="center"/>
              <w:rPr>
                <w:lang w:val="hu-HU"/>
              </w:rPr>
            </w:pPr>
            <w:r w:rsidRPr="009167C6">
              <w:rPr>
                <w:rFonts w:eastAsia="Times New Roman"/>
                <w:lang w:val="hu-HU"/>
              </w:rPr>
              <w:t>&lt; 0,001</w:t>
            </w:r>
          </w:p>
        </w:tc>
      </w:tr>
      <w:tr w:rsidR="007F2986" w:rsidRPr="009167C6" w14:paraId="6D72F99F" w14:textId="77777777" w:rsidTr="00CC2E43">
        <w:trPr>
          <w:trHeight w:val="378"/>
          <w:jc w:val="center"/>
        </w:trPr>
        <w:tc>
          <w:tcPr>
            <w:tcW w:w="9729" w:type="dxa"/>
            <w:gridSpan w:val="7"/>
            <w:tcBorders>
              <w:top w:val="single" w:sz="4" w:space="0" w:color="auto"/>
              <w:bottom w:val="single" w:sz="4" w:space="0" w:color="auto"/>
            </w:tcBorders>
            <w:vAlign w:val="center"/>
          </w:tcPr>
          <w:p w14:paraId="1A5B299D" w14:textId="77777777" w:rsidR="007F2986" w:rsidRPr="009167C6" w:rsidRDefault="007F2986" w:rsidP="00CC2E43">
            <w:pPr>
              <w:pStyle w:val="a3"/>
              <w:jc w:val="both"/>
              <w:rPr>
                <w:b/>
                <w:lang w:val="hu-HU"/>
              </w:rPr>
            </w:pPr>
            <w:r w:rsidRPr="009167C6">
              <w:rPr>
                <w:rFonts w:eastAsia="Times New Roman"/>
                <w:b/>
                <w:bCs/>
                <w:lang w:val="hu-HU"/>
              </w:rPr>
              <w:t>A kezelés eredménytelenségéig eltelt idő a 2. héten vagy azt követően az UV II vizsgálatban</w:t>
            </w:r>
          </w:p>
          <w:p w14:paraId="36581D90" w14:textId="77777777" w:rsidR="007F2986" w:rsidRPr="009167C6" w:rsidRDefault="007F2986" w:rsidP="00CC2E43">
            <w:pPr>
              <w:pStyle w:val="a3"/>
              <w:jc w:val="both"/>
              <w:rPr>
                <w:lang w:val="hu-HU"/>
              </w:rPr>
            </w:pPr>
            <w:r w:rsidRPr="009167C6">
              <w:rPr>
                <w:rFonts w:eastAsia="Times New Roman"/>
                <w:b/>
                <w:bCs/>
                <w:lang w:val="hu-HU"/>
              </w:rPr>
              <w:t>Elsődleges elemzés (ITT)</w:t>
            </w:r>
          </w:p>
        </w:tc>
      </w:tr>
      <w:tr w:rsidR="007F2986" w:rsidRPr="009167C6" w14:paraId="50E4BE57" w14:textId="77777777" w:rsidTr="00CC2E43">
        <w:trPr>
          <w:trHeight w:val="369"/>
          <w:jc w:val="center"/>
        </w:trPr>
        <w:tc>
          <w:tcPr>
            <w:tcW w:w="1624" w:type="dxa"/>
            <w:tcBorders>
              <w:top w:val="single" w:sz="4" w:space="0" w:color="auto"/>
            </w:tcBorders>
          </w:tcPr>
          <w:p w14:paraId="6EDF4092" w14:textId="77777777" w:rsidR="007F2986" w:rsidRPr="009167C6" w:rsidRDefault="007F2986" w:rsidP="00CC2E43">
            <w:pPr>
              <w:pStyle w:val="a3"/>
              <w:jc w:val="center"/>
              <w:rPr>
                <w:lang w:val="hu-HU"/>
              </w:rPr>
            </w:pPr>
            <w:r w:rsidRPr="009167C6">
              <w:rPr>
                <w:rFonts w:eastAsia="Times New Roman"/>
                <w:lang w:val="hu-HU"/>
              </w:rPr>
              <w:t>placebo</w:t>
            </w:r>
          </w:p>
        </w:tc>
        <w:tc>
          <w:tcPr>
            <w:tcW w:w="1530" w:type="dxa"/>
            <w:tcBorders>
              <w:top w:val="single" w:sz="4" w:space="0" w:color="auto"/>
            </w:tcBorders>
          </w:tcPr>
          <w:p w14:paraId="05BD0BF7" w14:textId="77777777" w:rsidR="007F2986" w:rsidRPr="009167C6" w:rsidRDefault="007F2986" w:rsidP="00CC2E43">
            <w:pPr>
              <w:pStyle w:val="a3"/>
              <w:jc w:val="center"/>
              <w:rPr>
                <w:lang w:val="hu-HU"/>
              </w:rPr>
            </w:pPr>
            <w:r w:rsidRPr="009167C6">
              <w:rPr>
                <w:rFonts w:eastAsia="Times New Roman"/>
                <w:lang w:val="hu-HU"/>
              </w:rPr>
              <w:t>111</w:t>
            </w:r>
          </w:p>
        </w:tc>
        <w:tc>
          <w:tcPr>
            <w:tcW w:w="2052" w:type="dxa"/>
            <w:tcBorders>
              <w:top w:val="single" w:sz="4" w:space="0" w:color="auto"/>
            </w:tcBorders>
          </w:tcPr>
          <w:p w14:paraId="4080BE00" w14:textId="77777777" w:rsidR="007F2986" w:rsidRPr="009167C6" w:rsidRDefault="007F2986" w:rsidP="00CC2E43">
            <w:pPr>
              <w:pStyle w:val="a3"/>
              <w:jc w:val="center"/>
              <w:rPr>
                <w:lang w:val="hu-HU"/>
              </w:rPr>
            </w:pPr>
            <w:r w:rsidRPr="009167C6">
              <w:rPr>
                <w:rFonts w:eastAsia="Times New Roman"/>
                <w:lang w:val="hu-HU"/>
              </w:rPr>
              <w:t>61 (55,0)</w:t>
            </w:r>
          </w:p>
        </w:tc>
        <w:tc>
          <w:tcPr>
            <w:tcW w:w="1130" w:type="dxa"/>
            <w:tcBorders>
              <w:top w:val="single" w:sz="4" w:space="0" w:color="auto"/>
            </w:tcBorders>
          </w:tcPr>
          <w:p w14:paraId="2605D37A" w14:textId="77777777" w:rsidR="007F2986" w:rsidRPr="009167C6" w:rsidRDefault="007F2986" w:rsidP="00CC2E43">
            <w:pPr>
              <w:pStyle w:val="a3"/>
              <w:jc w:val="center"/>
              <w:rPr>
                <w:lang w:val="hu-HU"/>
              </w:rPr>
            </w:pPr>
            <w:r w:rsidRPr="009167C6">
              <w:rPr>
                <w:rFonts w:eastAsia="Times New Roman"/>
                <w:lang w:val="hu-HU"/>
              </w:rPr>
              <w:t>8,3</w:t>
            </w:r>
          </w:p>
        </w:tc>
        <w:tc>
          <w:tcPr>
            <w:tcW w:w="1130" w:type="dxa"/>
            <w:tcBorders>
              <w:top w:val="single" w:sz="4" w:space="0" w:color="auto"/>
            </w:tcBorders>
          </w:tcPr>
          <w:p w14:paraId="488EC21E" w14:textId="77777777" w:rsidR="007F2986" w:rsidRPr="009167C6" w:rsidRDefault="007F2986" w:rsidP="00CC2E43">
            <w:pPr>
              <w:pStyle w:val="a3"/>
              <w:jc w:val="center"/>
              <w:rPr>
                <w:lang w:val="hu-HU"/>
              </w:rPr>
            </w:pPr>
            <w:r w:rsidRPr="009167C6">
              <w:rPr>
                <w:lang w:val="hu-HU"/>
              </w:rPr>
              <w:t xml:space="preserve">-- </w:t>
            </w:r>
          </w:p>
        </w:tc>
        <w:tc>
          <w:tcPr>
            <w:tcW w:w="1130" w:type="dxa"/>
            <w:tcBorders>
              <w:top w:val="single" w:sz="4" w:space="0" w:color="auto"/>
            </w:tcBorders>
          </w:tcPr>
          <w:p w14:paraId="27B9C7BA" w14:textId="77777777" w:rsidR="007F2986" w:rsidRPr="009167C6" w:rsidRDefault="007F2986" w:rsidP="00CC2E43">
            <w:pPr>
              <w:pStyle w:val="a3"/>
              <w:jc w:val="center"/>
              <w:rPr>
                <w:lang w:val="hu-HU"/>
              </w:rPr>
            </w:pPr>
            <w:r w:rsidRPr="009167C6">
              <w:rPr>
                <w:lang w:val="hu-HU"/>
              </w:rPr>
              <w:t xml:space="preserve">-- </w:t>
            </w:r>
          </w:p>
        </w:tc>
        <w:tc>
          <w:tcPr>
            <w:tcW w:w="1130" w:type="dxa"/>
            <w:tcBorders>
              <w:top w:val="single" w:sz="4" w:space="0" w:color="auto"/>
            </w:tcBorders>
          </w:tcPr>
          <w:p w14:paraId="1D2FE158" w14:textId="77777777" w:rsidR="007F2986" w:rsidRPr="009167C6" w:rsidRDefault="007F2986" w:rsidP="00CC2E43">
            <w:pPr>
              <w:pStyle w:val="a3"/>
              <w:jc w:val="center"/>
              <w:rPr>
                <w:lang w:val="hu-HU"/>
              </w:rPr>
            </w:pPr>
            <w:r w:rsidRPr="009167C6">
              <w:rPr>
                <w:lang w:val="hu-HU"/>
              </w:rPr>
              <w:t xml:space="preserve">-- </w:t>
            </w:r>
          </w:p>
        </w:tc>
      </w:tr>
      <w:tr w:rsidR="007F2986" w:rsidRPr="009167C6" w14:paraId="26D0907A" w14:textId="77777777" w:rsidTr="00CC2E43">
        <w:trPr>
          <w:trHeight w:val="227"/>
          <w:jc w:val="center"/>
        </w:trPr>
        <w:tc>
          <w:tcPr>
            <w:tcW w:w="1624" w:type="dxa"/>
            <w:tcBorders>
              <w:bottom w:val="single" w:sz="4" w:space="0" w:color="auto"/>
            </w:tcBorders>
          </w:tcPr>
          <w:p w14:paraId="7266F37B" w14:textId="77777777" w:rsidR="007F2986" w:rsidRPr="009167C6" w:rsidRDefault="007F2986" w:rsidP="00CC2E43">
            <w:pPr>
              <w:pStyle w:val="a3"/>
              <w:jc w:val="center"/>
              <w:rPr>
                <w:lang w:val="hu-HU"/>
              </w:rPr>
            </w:pPr>
            <w:r w:rsidRPr="009167C6">
              <w:rPr>
                <w:rFonts w:eastAsia="Times New Roman"/>
                <w:lang w:val="hu-HU"/>
              </w:rPr>
              <w:t>adalimumab</w:t>
            </w:r>
          </w:p>
        </w:tc>
        <w:tc>
          <w:tcPr>
            <w:tcW w:w="1530" w:type="dxa"/>
            <w:tcBorders>
              <w:bottom w:val="single" w:sz="4" w:space="0" w:color="auto"/>
            </w:tcBorders>
          </w:tcPr>
          <w:p w14:paraId="7297BAC1" w14:textId="77777777" w:rsidR="007F2986" w:rsidRPr="009167C6" w:rsidRDefault="007F2986" w:rsidP="00CC2E43">
            <w:pPr>
              <w:pStyle w:val="a3"/>
              <w:jc w:val="center"/>
              <w:rPr>
                <w:lang w:val="hu-HU"/>
              </w:rPr>
            </w:pPr>
            <w:r w:rsidRPr="009167C6">
              <w:rPr>
                <w:rFonts w:eastAsia="Times New Roman"/>
                <w:lang w:val="hu-HU"/>
              </w:rPr>
              <w:t>115</w:t>
            </w:r>
          </w:p>
        </w:tc>
        <w:tc>
          <w:tcPr>
            <w:tcW w:w="2052" w:type="dxa"/>
            <w:tcBorders>
              <w:bottom w:val="single" w:sz="4" w:space="0" w:color="auto"/>
            </w:tcBorders>
          </w:tcPr>
          <w:p w14:paraId="41E46EBB" w14:textId="77777777" w:rsidR="007F2986" w:rsidRPr="009167C6" w:rsidRDefault="007F2986" w:rsidP="00CC2E43">
            <w:pPr>
              <w:pStyle w:val="a3"/>
              <w:jc w:val="center"/>
              <w:rPr>
                <w:lang w:val="hu-HU"/>
              </w:rPr>
            </w:pPr>
            <w:r w:rsidRPr="009167C6">
              <w:rPr>
                <w:rFonts w:eastAsia="Times New Roman"/>
                <w:lang w:val="hu-HU"/>
              </w:rPr>
              <w:t>45 (39,1)</w:t>
            </w:r>
          </w:p>
        </w:tc>
        <w:tc>
          <w:tcPr>
            <w:tcW w:w="1130" w:type="dxa"/>
            <w:tcBorders>
              <w:bottom w:val="single" w:sz="4" w:space="0" w:color="auto"/>
            </w:tcBorders>
          </w:tcPr>
          <w:p w14:paraId="7378D612" w14:textId="77777777" w:rsidR="007F2986" w:rsidRPr="007C168B" w:rsidRDefault="007F2986" w:rsidP="00CC2E43">
            <w:pPr>
              <w:pStyle w:val="a3"/>
              <w:jc w:val="center"/>
              <w:rPr>
                <w:lang w:val="hu-HU"/>
              </w:rPr>
            </w:pPr>
            <w:r w:rsidRPr="009167C6">
              <w:rPr>
                <w:rFonts w:eastAsia="Times New Roman"/>
                <w:lang w:val="hu-HU"/>
              </w:rPr>
              <w:t>NE</w:t>
            </w:r>
            <w:r w:rsidRPr="009167C6">
              <w:rPr>
                <w:rFonts w:eastAsia="Times New Roman"/>
                <w:vertAlign w:val="superscript"/>
                <w:lang w:val="hu-HU"/>
              </w:rPr>
              <w:t>c</w:t>
            </w:r>
          </w:p>
        </w:tc>
        <w:tc>
          <w:tcPr>
            <w:tcW w:w="1130" w:type="dxa"/>
            <w:tcBorders>
              <w:bottom w:val="single" w:sz="4" w:space="0" w:color="auto"/>
            </w:tcBorders>
          </w:tcPr>
          <w:p w14:paraId="7DB95E15" w14:textId="77777777" w:rsidR="007F2986" w:rsidRPr="009167C6" w:rsidRDefault="007F2986" w:rsidP="00CC2E43">
            <w:pPr>
              <w:pStyle w:val="a3"/>
              <w:jc w:val="center"/>
              <w:rPr>
                <w:lang w:val="hu-HU"/>
              </w:rPr>
            </w:pPr>
            <w:r w:rsidRPr="009167C6">
              <w:rPr>
                <w:rFonts w:eastAsia="Times New Roman"/>
                <w:lang w:val="hu-HU"/>
              </w:rPr>
              <w:t>0,57</w:t>
            </w:r>
          </w:p>
        </w:tc>
        <w:tc>
          <w:tcPr>
            <w:tcW w:w="1130" w:type="dxa"/>
            <w:tcBorders>
              <w:bottom w:val="single" w:sz="4" w:space="0" w:color="auto"/>
            </w:tcBorders>
          </w:tcPr>
          <w:p w14:paraId="4B5B3B0C" w14:textId="77777777" w:rsidR="007F2986" w:rsidRPr="009167C6" w:rsidRDefault="007F2986" w:rsidP="00CC2E43">
            <w:pPr>
              <w:pStyle w:val="a3"/>
              <w:jc w:val="center"/>
              <w:rPr>
                <w:lang w:val="hu-HU"/>
              </w:rPr>
            </w:pPr>
            <w:r w:rsidRPr="009167C6">
              <w:rPr>
                <w:rFonts w:eastAsia="Times New Roman"/>
                <w:lang w:val="hu-HU"/>
              </w:rPr>
              <w:t>0,39, 0,84</w:t>
            </w:r>
          </w:p>
        </w:tc>
        <w:tc>
          <w:tcPr>
            <w:tcW w:w="1130" w:type="dxa"/>
            <w:tcBorders>
              <w:bottom w:val="single" w:sz="4" w:space="0" w:color="auto"/>
            </w:tcBorders>
          </w:tcPr>
          <w:p w14:paraId="05F51919" w14:textId="77777777" w:rsidR="007F2986" w:rsidRPr="009167C6" w:rsidRDefault="007F2986" w:rsidP="00CC2E43">
            <w:pPr>
              <w:pStyle w:val="a3"/>
              <w:jc w:val="center"/>
              <w:rPr>
                <w:lang w:val="hu-HU"/>
              </w:rPr>
            </w:pPr>
            <w:r w:rsidRPr="009167C6">
              <w:rPr>
                <w:rFonts w:eastAsia="Times New Roman"/>
                <w:lang w:val="hu-HU"/>
              </w:rPr>
              <w:t>0,004</w:t>
            </w:r>
          </w:p>
        </w:tc>
      </w:tr>
    </w:tbl>
    <w:p w14:paraId="2A435B3C" w14:textId="77777777" w:rsidR="007F2986" w:rsidRDefault="007F2986" w:rsidP="007F2986">
      <w:pPr>
        <w:pStyle w:val="a3"/>
        <w:rPr>
          <w:lang w:val="hu-HU"/>
        </w:rPr>
      </w:pPr>
      <w:r>
        <w:rPr>
          <w:rFonts w:eastAsia="Times New Roman"/>
          <w:lang w:val="hu-HU"/>
        </w:rPr>
        <w:t>Megjegyzés: Eseménynek értékelték a kezelés eredménytelenségét a 6. héten vagy azt követően (UV I vizsgálat) vagy a 2. héten vagy azt követően (UV II vizsgálat). Azoknak a betegeknek az adatait cenzorálták a vizsgálat abbahagyásakor, akik nem a kezelés eredménytelensége miatt hagyták abba a vizsgálatot.</w:t>
      </w:r>
    </w:p>
    <w:p w14:paraId="750FC823" w14:textId="77777777" w:rsidR="007F2986" w:rsidRDefault="007F2986" w:rsidP="007F2986">
      <w:pPr>
        <w:pStyle w:val="a3"/>
        <w:numPr>
          <w:ilvl w:val="0"/>
          <w:numId w:val="8"/>
        </w:numPr>
        <w:ind w:left="357" w:hanging="357"/>
        <w:rPr>
          <w:lang w:val="hu-HU"/>
        </w:rPr>
      </w:pPr>
      <w:r>
        <w:rPr>
          <w:rFonts w:eastAsia="Times New Roman"/>
          <w:lang w:val="hu-HU"/>
        </w:rPr>
        <w:t>Az adalimumab placebóval szembeni relatív hazárd értéke (arányos hazárd regresszióból, a kezelést faktorként figyelembe véve).</w:t>
      </w:r>
    </w:p>
    <w:p w14:paraId="797DE185" w14:textId="77777777" w:rsidR="007F2986" w:rsidRDefault="007F2986" w:rsidP="007F2986">
      <w:pPr>
        <w:pStyle w:val="a3"/>
        <w:numPr>
          <w:ilvl w:val="0"/>
          <w:numId w:val="8"/>
        </w:numPr>
        <w:ind w:left="357" w:hanging="357"/>
        <w:rPr>
          <w:lang w:val="hu-HU"/>
        </w:rPr>
      </w:pPr>
      <w:r>
        <w:rPr>
          <w:rFonts w:eastAsia="Times New Roman"/>
          <w:lang w:val="hu-HU"/>
        </w:rPr>
        <w:t xml:space="preserve">Lograng-próbából meghatározott 2-oldalas </w:t>
      </w:r>
      <w:r>
        <w:rPr>
          <w:rFonts w:eastAsia="Times New Roman"/>
          <w:i/>
          <w:iCs/>
          <w:lang w:val="hu-HU"/>
        </w:rPr>
        <w:t>P</w:t>
      </w:r>
      <w:r>
        <w:rPr>
          <w:rFonts w:eastAsia="Times New Roman"/>
          <w:lang w:val="hu-HU"/>
        </w:rPr>
        <w:t>-érték.</w:t>
      </w:r>
    </w:p>
    <w:p w14:paraId="6D41A06D" w14:textId="77777777" w:rsidR="007F2986" w:rsidRDefault="007F2986" w:rsidP="007F2986">
      <w:pPr>
        <w:pStyle w:val="a3"/>
        <w:numPr>
          <w:ilvl w:val="0"/>
          <w:numId w:val="8"/>
        </w:numPr>
        <w:ind w:left="357" w:hanging="357"/>
        <w:rPr>
          <w:lang w:val="hu-HU"/>
        </w:rPr>
      </w:pPr>
      <w:r>
        <w:rPr>
          <w:rFonts w:eastAsia="Times New Roman"/>
          <w:lang w:val="hu-HU"/>
        </w:rPr>
        <w:t>NE = nem becsülhető. A veszélyeztetett betegek kevesebb mint felénél történt esemény.</w:t>
      </w:r>
    </w:p>
    <w:p w14:paraId="09B47235" w14:textId="77777777" w:rsidR="007F2986" w:rsidRDefault="007F2986" w:rsidP="007F2986">
      <w:pPr>
        <w:pStyle w:val="a3"/>
        <w:jc w:val="center"/>
        <w:rPr>
          <w:rFonts w:eastAsia="Times New Roman"/>
          <w:b/>
          <w:bCs/>
          <w:lang w:val="hu-HU"/>
        </w:rPr>
      </w:pPr>
    </w:p>
    <w:p w14:paraId="296D6432" w14:textId="77777777" w:rsidR="00AF1AD1" w:rsidRDefault="00AF1AD1">
      <w:pPr>
        <w:rPr>
          <w:rFonts w:ascii="Times New Roman" w:eastAsia="Times New Roman" w:hAnsi="Times New Roman" w:cs="Times New Roman"/>
          <w:b/>
          <w:bCs/>
          <w:lang w:val="hu-HU"/>
        </w:rPr>
      </w:pPr>
      <w:r>
        <w:rPr>
          <w:rFonts w:eastAsia="Times New Roman"/>
          <w:b/>
          <w:bCs/>
          <w:lang w:val="hu-HU"/>
        </w:rPr>
        <w:br w:type="page"/>
      </w:r>
    </w:p>
    <w:p w14:paraId="6A8E116D" w14:textId="1E366FD8" w:rsidR="007F2986" w:rsidRDefault="00291FC8" w:rsidP="007F2986">
      <w:pPr>
        <w:pStyle w:val="a3"/>
        <w:jc w:val="center"/>
        <w:rPr>
          <w:b/>
          <w:lang w:val="hu-HU"/>
        </w:rPr>
      </w:pPr>
      <w:r>
        <w:rPr>
          <w:rFonts w:eastAsia="Times New Roman"/>
          <w:b/>
          <w:bCs/>
          <w:lang w:val="hu-HU"/>
        </w:rPr>
        <w:lastRenderedPageBreak/>
        <w:t>1</w:t>
      </w:r>
      <w:r w:rsidR="007F2986">
        <w:rPr>
          <w:rFonts w:eastAsia="Times New Roman"/>
          <w:b/>
          <w:bCs/>
          <w:lang w:val="hu-HU"/>
        </w:rPr>
        <w:t>. ábra:A kezelés eredménytelenségéig eltelt időt a 6. héten vagy azt követően (UV I vizsgálat) illetve a 2. héten vagy azt követően (UV II vizsgálat) bemutató Kaplan-Meier görbék</w:t>
      </w:r>
    </w:p>
    <w:tbl>
      <w:tblPr>
        <w:tblW w:w="9481" w:type="dxa"/>
        <w:tblLayout w:type="fixed"/>
        <w:tblLook w:val="04A0" w:firstRow="1" w:lastRow="0" w:firstColumn="1" w:lastColumn="0" w:noHBand="0" w:noVBand="1"/>
      </w:tblPr>
      <w:tblGrid>
        <w:gridCol w:w="675"/>
        <w:gridCol w:w="3496"/>
        <w:gridCol w:w="1170"/>
        <w:gridCol w:w="1350"/>
        <w:gridCol w:w="900"/>
        <w:gridCol w:w="1890"/>
      </w:tblGrid>
      <w:tr w:rsidR="007F2986" w14:paraId="4551E48D" w14:textId="77777777" w:rsidTr="00CC2E43">
        <w:trPr>
          <w:cantSplit/>
          <w:trHeight w:val="3806"/>
        </w:trPr>
        <w:tc>
          <w:tcPr>
            <w:tcW w:w="675" w:type="dxa"/>
            <w:textDirection w:val="btLr"/>
            <w:vAlign w:val="bottom"/>
          </w:tcPr>
          <w:p w14:paraId="673F68F3" w14:textId="77777777" w:rsidR="007F2986" w:rsidRPr="000F4DB4" w:rsidRDefault="007F2986" w:rsidP="00CC2E43">
            <w:pPr>
              <w:pStyle w:val="EMEANormal"/>
              <w:keepNext/>
              <w:ind w:left="113" w:right="113"/>
              <w:jc w:val="center"/>
              <w:rPr>
                <w:b/>
                <w:szCs w:val="22"/>
                <w:lang w:val="hu-HU"/>
              </w:rPr>
            </w:pPr>
            <w:r w:rsidRPr="000F4DB4">
              <w:rPr>
                <w:b/>
                <w:szCs w:val="22"/>
                <w:lang w:val="hu-HU"/>
              </w:rPr>
              <w:t>Kezelés eredménytelenségémek aránya (%)</w:t>
            </w:r>
          </w:p>
        </w:tc>
        <w:tc>
          <w:tcPr>
            <w:tcW w:w="8806" w:type="dxa"/>
            <w:gridSpan w:val="5"/>
            <w:vAlign w:val="bottom"/>
          </w:tcPr>
          <w:p w14:paraId="06AA10C4" w14:textId="77777777" w:rsidR="007F2986" w:rsidRPr="000F4DB4" w:rsidRDefault="007F2986" w:rsidP="00CC2E43">
            <w:pPr>
              <w:pStyle w:val="EMEANormal"/>
              <w:keepNext/>
              <w:rPr>
                <w:szCs w:val="22"/>
                <w:lang w:val="hu-HU"/>
              </w:rPr>
            </w:pPr>
            <w:r w:rsidRPr="000F4DB4">
              <w:rPr>
                <w:noProof/>
                <w:lang w:eastAsia="ko-KR"/>
              </w:rPr>
              <w:drawing>
                <wp:inline distT="0" distB="0" distL="0" distR="0" wp14:anchorId="74BFF90D" wp14:editId="03C2502D">
                  <wp:extent cx="5486400" cy="2209800"/>
                  <wp:effectExtent l="0" t="0" r="0" b="0"/>
                  <wp:docPr id="104" name="Picture 90" descr="Humira Uveitis Figure 5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51528" name="Picture 1" descr="Humira Uveitis Figure 5_6"/>
                          <pic:cNvPicPr>
                            <a:picLocks noChangeAspect="1" noChangeArrowheads="1"/>
                          </pic:cNvPicPr>
                        </pic:nvPicPr>
                        <pic:blipFill>
                          <a:blip r:embed="rId14" r:link="rId15">
                            <a:extLst>
                              <a:ext uri="{28A0092B-C50C-407E-A947-70E740481C1C}">
                                <a14:useLocalDpi xmlns:a14="http://schemas.microsoft.com/office/drawing/2010/main" val="0"/>
                              </a:ext>
                            </a:extLst>
                          </a:blip>
                          <a:stretch>
                            <a:fillRect/>
                          </a:stretch>
                        </pic:blipFill>
                        <pic:spPr bwMode="auto">
                          <a:xfrm>
                            <a:off x="0" y="0"/>
                            <a:ext cx="5486400" cy="2209800"/>
                          </a:xfrm>
                          <a:prstGeom prst="rect">
                            <a:avLst/>
                          </a:prstGeom>
                          <a:noFill/>
                          <a:ln>
                            <a:noFill/>
                          </a:ln>
                        </pic:spPr>
                      </pic:pic>
                    </a:graphicData>
                  </a:graphic>
                </wp:inline>
              </w:drawing>
            </w:r>
          </w:p>
        </w:tc>
      </w:tr>
      <w:tr w:rsidR="007F2986" w14:paraId="79BC6E37" w14:textId="77777777" w:rsidTr="00CC2E43">
        <w:tc>
          <w:tcPr>
            <w:tcW w:w="675" w:type="dxa"/>
          </w:tcPr>
          <w:p w14:paraId="71B9DBA6" w14:textId="77777777" w:rsidR="007F2986" w:rsidRPr="000F4DB4" w:rsidRDefault="007F2986" w:rsidP="00CC2E43">
            <w:pPr>
              <w:pStyle w:val="EMEANormal"/>
              <w:rPr>
                <w:szCs w:val="22"/>
                <w:lang w:val="hu-HU"/>
              </w:rPr>
            </w:pPr>
          </w:p>
        </w:tc>
        <w:tc>
          <w:tcPr>
            <w:tcW w:w="8806" w:type="dxa"/>
            <w:gridSpan w:val="5"/>
          </w:tcPr>
          <w:p w14:paraId="022C54C3" w14:textId="77777777" w:rsidR="007F2986" w:rsidRPr="000F4DB4" w:rsidRDefault="007F2986" w:rsidP="00CC2E43">
            <w:pPr>
              <w:pStyle w:val="EMEANormal"/>
              <w:jc w:val="center"/>
              <w:rPr>
                <w:b/>
                <w:szCs w:val="22"/>
                <w:lang w:val="hu-HU"/>
              </w:rPr>
            </w:pPr>
            <w:r w:rsidRPr="000F4DB4">
              <w:rPr>
                <w:b/>
                <w:szCs w:val="22"/>
                <w:lang w:val="hu-HU"/>
              </w:rPr>
              <w:t>Idő (hónap)</w:t>
            </w:r>
          </w:p>
        </w:tc>
      </w:tr>
      <w:tr w:rsidR="007F2986" w14:paraId="72266246" w14:textId="77777777" w:rsidTr="00CC2E43">
        <w:tc>
          <w:tcPr>
            <w:tcW w:w="675" w:type="dxa"/>
          </w:tcPr>
          <w:p w14:paraId="4CDD28B8" w14:textId="77777777" w:rsidR="007F2986" w:rsidRPr="000F4DB4" w:rsidRDefault="007F2986" w:rsidP="00CC2E43">
            <w:pPr>
              <w:pStyle w:val="EMEANormal"/>
              <w:rPr>
                <w:szCs w:val="22"/>
                <w:lang w:val="hu-HU"/>
              </w:rPr>
            </w:pPr>
          </w:p>
        </w:tc>
        <w:tc>
          <w:tcPr>
            <w:tcW w:w="3496" w:type="dxa"/>
          </w:tcPr>
          <w:p w14:paraId="5B700B9C" w14:textId="77777777" w:rsidR="007F2986" w:rsidRPr="000F4DB4" w:rsidRDefault="007F2986" w:rsidP="00CC2E43">
            <w:pPr>
              <w:pStyle w:val="EMEANormal"/>
              <w:rPr>
                <w:szCs w:val="22"/>
                <w:lang w:val="hu-HU"/>
              </w:rPr>
            </w:pPr>
            <w:r w:rsidRPr="000F4DB4">
              <w:rPr>
                <w:szCs w:val="22"/>
                <w:lang w:val="hu-HU"/>
              </w:rPr>
              <w:t>UV I vizsgálat                  Kezelés</w:t>
            </w:r>
          </w:p>
        </w:tc>
        <w:tc>
          <w:tcPr>
            <w:tcW w:w="1170" w:type="dxa"/>
          </w:tcPr>
          <w:p w14:paraId="747A47AB" w14:textId="77777777" w:rsidR="007F2986" w:rsidRPr="000F4DB4" w:rsidRDefault="007F2986" w:rsidP="00CC2E43">
            <w:pPr>
              <w:pStyle w:val="EMEANormal"/>
              <w:jc w:val="right"/>
              <w:rPr>
                <w:szCs w:val="22"/>
                <w:lang w:val="hu-HU"/>
              </w:rPr>
            </w:pPr>
            <w:r w:rsidRPr="000F4DB4">
              <w:rPr>
                <w:noProof/>
                <w:szCs w:val="22"/>
                <w:lang w:eastAsia="ko-KR"/>
              </w:rPr>
              <w:drawing>
                <wp:inline distT="0" distB="0" distL="0" distR="0" wp14:anchorId="508A89EA" wp14:editId="6DD9BF5B">
                  <wp:extent cx="396875" cy="180975"/>
                  <wp:effectExtent l="0" t="0" r="3175" b="9525"/>
                  <wp:docPr id="161" name="Picture 26"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245444" name="Picture 26" descr="Humira Uveitis Figure 5_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6875" cy="180975"/>
                          </a:xfrm>
                          <a:prstGeom prst="rect">
                            <a:avLst/>
                          </a:prstGeom>
                          <a:noFill/>
                          <a:ln>
                            <a:noFill/>
                          </a:ln>
                        </pic:spPr>
                      </pic:pic>
                    </a:graphicData>
                  </a:graphic>
                </wp:inline>
              </w:drawing>
            </w:r>
          </w:p>
        </w:tc>
        <w:tc>
          <w:tcPr>
            <w:tcW w:w="1350" w:type="dxa"/>
          </w:tcPr>
          <w:p w14:paraId="121C6FD2" w14:textId="77777777" w:rsidR="007F2986" w:rsidRPr="000F4DB4" w:rsidRDefault="007F2986" w:rsidP="00CC2E43">
            <w:pPr>
              <w:pStyle w:val="EMEANormal"/>
              <w:rPr>
                <w:szCs w:val="22"/>
                <w:lang w:val="hu-HU"/>
              </w:rPr>
            </w:pPr>
            <w:r w:rsidRPr="000F4DB4">
              <w:rPr>
                <w:szCs w:val="22"/>
                <w:lang w:val="hu-HU"/>
              </w:rPr>
              <w:t>Placebo</w:t>
            </w:r>
          </w:p>
        </w:tc>
        <w:tc>
          <w:tcPr>
            <w:tcW w:w="900" w:type="dxa"/>
          </w:tcPr>
          <w:p w14:paraId="67FA9923" w14:textId="77777777" w:rsidR="007F2986" w:rsidRPr="000F4DB4" w:rsidRDefault="007F2986" w:rsidP="00CC2E43">
            <w:pPr>
              <w:pStyle w:val="EMEANormal"/>
              <w:jc w:val="right"/>
              <w:rPr>
                <w:szCs w:val="22"/>
                <w:lang w:val="hu-HU"/>
              </w:rPr>
            </w:pPr>
            <w:r w:rsidRPr="000F4DB4">
              <w:rPr>
                <w:noProof/>
                <w:szCs w:val="22"/>
                <w:lang w:eastAsia="ko-KR"/>
              </w:rPr>
              <w:drawing>
                <wp:inline distT="0" distB="0" distL="0" distR="0" wp14:anchorId="558EEEBC" wp14:editId="676972B1">
                  <wp:extent cx="560705" cy="180975"/>
                  <wp:effectExtent l="0" t="0" r="0" b="9525"/>
                  <wp:docPr id="162" name="Picture 27"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774461" name="Picture 27" descr="Humira Uveitis Figure 5_2"/>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60705" cy="180975"/>
                          </a:xfrm>
                          <a:prstGeom prst="rect">
                            <a:avLst/>
                          </a:prstGeom>
                          <a:noFill/>
                          <a:ln>
                            <a:noFill/>
                          </a:ln>
                        </pic:spPr>
                      </pic:pic>
                    </a:graphicData>
                  </a:graphic>
                </wp:inline>
              </w:drawing>
            </w:r>
          </w:p>
        </w:tc>
        <w:tc>
          <w:tcPr>
            <w:tcW w:w="1890" w:type="dxa"/>
          </w:tcPr>
          <w:p w14:paraId="13D1C95B" w14:textId="77777777" w:rsidR="007F2986" w:rsidRPr="000F4DB4" w:rsidRDefault="007F2986" w:rsidP="00CC2E43">
            <w:pPr>
              <w:pStyle w:val="EMEANormal"/>
              <w:rPr>
                <w:szCs w:val="22"/>
                <w:lang w:val="hu-HU"/>
              </w:rPr>
            </w:pPr>
            <w:r w:rsidRPr="000F4DB4">
              <w:rPr>
                <w:szCs w:val="22"/>
                <w:lang w:val="hu-HU"/>
              </w:rPr>
              <w:t>Adalimumab</w:t>
            </w:r>
          </w:p>
        </w:tc>
      </w:tr>
      <w:tr w:rsidR="007F2986" w14:paraId="0F2F3F87" w14:textId="77777777" w:rsidTr="00CC2E43">
        <w:trPr>
          <w:trHeight w:val="3869"/>
        </w:trPr>
        <w:tc>
          <w:tcPr>
            <w:tcW w:w="675" w:type="dxa"/>
            <w:textDirection w:val="btLr"/>
            <w:vAlign w:val="bottom"/>
          </w:tcPr>
          <w:p w14:paraId="45951CCD" w14:textId="77777777" w:rsidR="007F2986" w:rsidRPr="000F4DB4" w:rsidRDefault="007F2986" w:rsidP="00CC2E43">
            <w:pPr>
              <w:pStyle w:val="EMEANormal"/>
              <w:jc w:val="center"/>
              <w:rPr>
                <w:szCs w:val="22"/>
                <w:lang w:val="hu-HU"/>
              </w:rPr>
            </w:pPr>
            <w:r w:rsidRPr="000F4DB4">
              <w:rPr>
                <w:b/>
                <w:szCs w:val="22"/>
                <w:lang w:val="hu-HU"/>
              </w:rPr>
              <w:t>Kezelés eredménytelenségének aránya (%)</w:t>
            </w:r>
          </w:p>
        </w:tc>
        <w:tc>
          <w:tcPr>
            <w:tcW w:w="8806" w:type="dxa"/>
            <w:gridSpan w:val="5"/>
            <w:vAlign w:val="bottom"/>
          </w:tcPr>
          <w:p w14:paraId="047ECA9B" w14:textId="77777777" w:rsidR="007F2986" w:rsidRPr="000F4DB4" w:rsidRDefault="007F2986" w:rsidP="00CC2E43">
            <w:pPr>
              <w:pStyle w:val="EMEANormal"/>
              <w:rPr>
                <w:szCs w:val="22"/>
                <w:lang w:val="hu-HU"/>
              </w:rPr>
            </w:pPr>
            <w:r w:rsidRPr="000F4DB4">
              <w:rPr>
                <w:noProof/>
                <w:szCs w:val="22"/>
                <w:lang w:eastAsia="ko-KR"/>
              </w:rPr>
              <w:drawing>
                <wp:inline distT="0" distB="0" distL="0" distR="0" wp14:anchorId="5361ECAE" wp14:editId="6EC1BD21">
                  <wp:extent cx="5495290" cy="2190750"/>
                  <wp:effectExtent l="0" t="0" r="0" b="0"/>
                  <wp:docPr id="163"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883582" name="Picture 9"/>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495290" cy="2190750"/>
                          </a:xfrm>
                          <a:prstGeom prst="rect">
                            <a:avLst/>
                          </a:prstGeom>
                          <a:noFill/>
                        </pic:spPr>
                      </pic:pic>
                    </a:graphicData>
                  </a:graphic>
                </wp:inline>
              </w:drawing>
            </w:r>
          </w:p>
        </w:tc>
      </w:tr>
      <w:tr w:rsidR="007F2986" w14:paraId="7B69D686" w14:textId="77777777" w:rsidTr="00CC2E43">
        <w:tc>
          <w:tcPr>
            <w:tcW w:w="675" w:type="dxa"/>
          </w:tcPr>
          <w:p w14:paraId="22A4DFC2" w14:textId="77777777" w:rsidR="007F2986" w:rsidRPr="000F4DB4" w:rsidRDefault="007F2986" w:rsidP="00CC2E43">
            <w:pPr>
              <w:pStyle w:val="EMEANormal"/>
              <w:rPr>
                <w:szCs w:val="22"/>
                <w:lang w:val="hu-HU"/>
              </w:rPr>
            </w:pPr>
          </w:p>
        </w:tc>
        <w:tc>
          <w:tcPr>
            <w:tcW w:w="8806" w:type="dxa"/>
            <w:gridSpan w:val="5"/>
          </w:tcPr>
          <w:p w14:paraId="2A28D46B" w14:textId="77777777" w:rsidR="007F2986" w:rsidRPr="000F4DB4" w:rsidRDefault="007F2986" w:rsidP="00CC2E43">
            <w:pPr>
              <w:pStyle w:val="EMEANormal"/>
              <w:jc w:val="center"/>
              <w:rPr>
                <w:b/>
                <w:szCs w:val="22"/>
                <w:lang w:val="hu-HU"/>
              </w:rPr>
            </w:pPr>
            <w:r w:rsidRPr="000F4DB4">
              <w:rPr>
                <w:b/>
                <w:szCs w:val="22"/>
                <w:lang w:val="hu-HU"/>
              </w:rPr>
              <w:t>Idő (hónap)</w:t>
            </w:r>
          </w:p>
        </w:tc>
      </w:tr>
      <w:tr w:rsidR="007F2986" w14:paraId="6464E2C2" w14:textId="77777777" w:rsidTr="00CC2E43">
        <w:trPr>
          <w:trHeight w:val="369"/>
        </w:trPr>
        <w:tc>
          <w:tcPr>
            <w:tcW w:w="675" w:type="dxa"/>
          </w:tcPr>
          <w:p w14:paraId="2657C1BA" w14:textId="77777777" w:rsidR="007F2986" w:rsidRPr="000F4DB4" w:rsidRDefault="007F2986" w:rsidP="00CC2E43">
            <w:pPr>
              <w:pStyle w:val="EMEANormal"/>
              <w:rPr>
                <w:szCs w:val="22"/>
                <w:lang w:val="hu-HU"/>
              </w:rPr>
            </w:pPr>
          </w:p>
        </w:tc>
        <w:tc>
          <w:tcPr>
            <w:tcW w:w="3496" w:type="dxa"/>
          </w:tcPr>
          <w:p w14:paraId="0FAFB78B" w14:textId="77777777" w:rsidR="007F2986" w:rsidRPr="000F4DB4" w:rsidRDefault="007F2986" w:rsidP="00CC2E43">
            <w:pPr>
              <w:pStyle w:val="EMEANormal"/>
              <w:rPr>
                <w:szCs w:val="22"/>
                <w:lang w:val="hu-HU"/>
              </w:rPr>
            </w:pPr>
            <w:r w:rsidRPr="000F4DB4">
              <w:rPr>
                <w:szCs w:val="22"/>
                <w:lang w:val="hu-HU"/>
              </w:rPr>
              <w:t>UV II vizsgálat                  Kezelés</w:t>
            </w:r>
          </w:p>
        </w:tc>
        <w:tc>
          <w:tcPr>
            <w:tcW w:w="1170" w:type="dxa"/>
          </w:tcPr>
          <w:p w14:paraId="63210119" w14:textId="77777777" w:rsidR="007F2986" w:rsidRPr="000F4DB4" w:rsidRDefault="007F2986" w:rsidP="00CC2E43">
            <w:pPr>
              <w:pStyle w:val="EMEANormal"/>
              <w:jc w:val="right"/>
              <w:rPr>
                <w:szCs w:val="22"/>
                <w:lang w:val="hu-HU"/>
              </w:rPr>
            </w:pPr>
            <w:r w:rsidRPr="000F4DB4">
              <w:rPr>
                <w:noProof/>
                <w:szCs w:val="22"/>
                <w:lang w:eastAsia="ko-KR"/>
              </w:rPr>
              <w:drawing>
                <wp:inline distT="0" distB="0" distL="0" distR="0" wp14:anchorId="198186BD" wp14:editId="191ABBEE">
                  <wp:extent cx="396875" cy="180975"/>
                  <wp:effectExtent l="0" t="0" r="3175" b="9525"/>
                  <wp:docPr id="164" name="Picture 29"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444654" name="Picture 29" descr="Humira Uveitis Figure 5_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6875" cy="180975"/>
                          </a:xfrm>
                          <a:prstGeom prst="rect">
                            <a:avLst/>
                          </a:prstGeom>
                          <a:noFill/>
                          <a:ln>
                            <a:noFill/>
                          </a:ln>
                        </pic:spPr>
                      </pic:pic>
                    </a:graphicData>
                  </a:graphic>
                </wp:inline>
              </w:drawing>
            </w:r>
          </w:p>
        </w:tc>
        <w:tc>
          <w:tcPr>
            <w:tcW w:w="1350" w:type="dxa"/>
          </w:tcPr>
          <w:p w14:paraId="0433FF5E" w14:textId="77777777" w:rsidR="007F2986" w:rsidRPr="000F4DB4" w:rsidRDefault="007F2986" w:rsidP="00CC2E43">
            <w:pPr>
              <w:pStyle w:val="EMEANormal"/>
              <w:rPr>
                <w:szCs w:val="22"/>
                <w:lang w:val="hu-HU"/>
              </w:rPr>
            </w:pPr>
            <w:r w:rsidRPr="000F4DB4">
              <w:rPr>
                <w:szCs w:val="22"/>
                <w:lang w:val="hu-HU"/>
              </w:rPr>
              <w:t>Placebo</w:t>
            </w:r>
          </w:p>
        </w:tc>
        <w:tc>
          <w:tcPr>
            <w:tcW w:w="900" w:type="dxa"/>
          </w:tcPr>
          <w:p w14:paraId="59D8601C" w14:textId="77777777" w:rsidR="007F2986" w:rsidRPr="000F4DB4" w:rsidRDefault="007F2986" w:rsidP="00CC2E43">
            <w:pPr>
              <w:pStyle w:val="EMEANormal"/>
              <w:jc w:val="right"/>
              <w:rPr>
                <w:szCs w:val="22"/>
                <w:lang w:val="hu-HU"/>
              </w:rPr>
            </w:pPr>
            <w:r w:rsidRPr="000F4DB4">
              <w:rPr>
                <w:noProof/>
                <w:szCs w:val="22"/>
                <w:lang w:eastAsia="ko-KR"/>
              </w:rPr>
              <w:drawing>
                <wp:inline distT="0" distB="0" distL="0" distR="0" wp14:anchorId="31A866F0" wp14:editId="2481D7FC">
                  <wp:extent cx="560705" cy="180975"/>
                  <wp:effectExtent l="0" t="0" r="0" b="9525"/>
                  <wp:docPr id="165" name="Picture 30"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993072" name="Picture 30" descr="Humira Uveitis Figure 5_2"/>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60705" cy="180975"/>
                          </a:xfrm>
                          <a:prstGeom prst="rect">
                            <a:avLst/>
                          </a:prstGeom>
                          <a:noFill/>
                          <a:ln>
                            <a:noFill/>
                          </a:ln>
                        </pic:spPr>
                      </pic:pic>
                    </a:graphicData>
                  </a:graphic>
                </wp:inline>
              </w:drawing>
            </w:r>
          </w:p>
        </w:tc>
        <w:tc>
          <w:tcPr>
            <w:tcW w:w="1890" w:type="dxa"/>
          </w:tcPr>
          <w:p w14:paraId="5CEBFD65" w14:textId="77777777" w:rsidR="007F2986" w:rsidRPr="000F4DB4" w:rsidRDefault="007F2986" w:rsidP="00CC2E43">
            <w:pPr>
              <w:pStyle w:val="EMEANormal"/>
              <w:rPr>
                <w:szCs w:val="22"/>
                <w:lang w:val="hu-HU"/>
              </w:rPr>
            </w:pPr>
            <w:r w:rsidRPr="000F4DB4">
              <w:rPr>
                <w:szCs w:val="22"/>
                <w:lang w:val="hu-HU"/>
              </w:rPr>
              <w:t>Adalimumab</w:t>
            </w:r>
          </w:p>
        </w:tc>
      </w:tr>
    </w:tbl>
    <w:p w14:paraId="0D5C08DE" w14:textId="77777777" w:rsidR="007F2986" w:rsidRDefault="007F2986" w:rsidP="007F2986">
      <w:pPr>
        <w:pStyle w:val="a3"/>
        <w:rPr>
          <w:lang w:val="hu-HU"/>
        </w:rPr>
      </w:pPr>
      <w:r>
        <w:rPr>
          <w:rFonts w:eastAsia="Times New Roman"/>
          <w:lang w:val="hu-HU"/>
        </w:rPr>
        <w:t>Megjegyzés: P# = Placebo (Esemény száma/Veszélyeztetett betegek száma); A# = Adalimumab (Esemény száma/Veszélyeztetett betegek száma).</w:t>
      </w:r>
    </w:p>
    <w:p w14:paraId="34885FC1" w14:textId="77777777" w:rsidR="007F2986" w:rsidRDefault="007F2986" w:rsidP="007F2986">
      <w:pPr>
        <w:spacing w:line="200" w:lineRule="exact"/>
        <w:rPr>
          <w:sz w:val="20"/>
          <w:szCs w:val="20"/>
          <w:lang w:val="hu-HU"/>
        </w:rPr>
      </w:pPr>
    </w:p>
    <w:p w14:paraId="6ECE4A13" w14:textId="77777777" w:rsidR="007F2986" w:rsidRDefault="007F2986" w:rsidP="007F2986">
      <w:pPr>
        <w:pStyle w:val="a3"/>
        <w:rPr>
          <w:lang w:val="hu-HU"/>
        </w:rPr>
      </w:pPr>
      <w:r>
        <w:rPr>
          <w:rFonts w:eastAsia="Times New Roman"/>
          <w:lang w:val="hu-HU"/>
        </w:rPr>
        <w:t>Az UV I vizsgálatban statisztikailag szignifikáns különbségeket figyeltek meg az adalimumab javára a placebóhoz képest a kezelés eredménytelenségének valamennyi komponensét tekintve. Az UV II vizsgálatban csak a látásélesség esetén figyeltek meg statisztikailag szignifikáns különbséget, de a többi komponens esetében is az adalimumab-kezelés számszerű előnye igazolódott.</w:t>
      </w:r>
    </w:p>
    <w:p w14:paraId="7AFCA85F" w14:textId="77777777" w:rsidR="007F2986" w:rsidRDefault="007F2986" w:rsidP="007F2986">
      <w:pPr>
        <w:spacing w:before="13" w:line="240" w:lineRule="exact"/>
        <w:rPr>
          <w:sz w:val="24"/>
          <w:szCs w:val="24"/>
          <w:lang w:val="hu-HU"/>
        </w:rPr>
      </w:pPr>
    </w:p>
    <w:p w14:paraId="49D42CE3" w14:textId="77777777" w:rsidR="007F2986" w:rsidRDefault="007F2986" w:rsidP="007F2986">
      <w:pPr>
        <w:pStyle w:val="a3"/>
        <w:rPr>
          <w:lang w:val="hu-HU"/>
        </w:rPr>
      </w:pPr>
      <w:r>
        <w:rPr>
          <w:rFonts w:eastAsia="Times New Roman"/>
          <w:lang w:val="hu-HU"/>
        </w:rPr>
        <w:t xml:space="preserve">Az UV I és UV II vizsgálat nem kontrollos, hosszú távú kiterjesztésében résztvevő 424 beteg közül 60 bizonyult vizsgálatra alkalmatlannak (például adminisztratív eltérések miatt, vagy mert a diabéteszes retinopathia másodlagos komplikációi alakultak ki náluk, szürkehályog-műtét vagy vitrektómia következtében), és került kizárásra a hatásosság elsődleges elemzéséből. A 364 vizsgálatban maradó beteg közül 269 értékelésre alkalmas beteg (74%) érte el a 78 hetet a nyílt elrendezésű adalimumab-kezelés során. A megfigyelt adatok elemzése alapján 216 beteg (80,3%) volt nyugalmi állapotban (aktív gyulladásos elváltozás nélkül, elülső csarnoki sejtszint ≤ 0,5+, üvegtesti homály mértéke ≤ 0,5+), napi folyamatos ≤ 7,5 mg szteroid dózis mellett, és 178 beteg (66,2%) szteroidkezelés nélküli nyugalmi állapotban volt. A legjobb korrigált látásélesség javult vagy változatlan maradt (kevesebb mint 5 értéket romlott) a szemek 88,6%-a </w:t>
      </w:r>
      <w:r>
        <w:rPr>
          <w:rFonts w:eastAsia="Times New Roman"/>
          <w:lang w:val="hu-HU"/>
        </w:rPr>
        <w:lastRenderedPageBreak/>
        <w:t>esetében a 78. héten. A 78. hetet követően az adatok általában konzisztensek voltak ezekkel az eredményekkel, de a bevont betegek száma ez után az idő után csökkent. Összességében a vizsgálatot abbahagyó betegek 18%-a mellékhatások, 8%-a az adalimumab-kezelésre adott elégtelen válasz miatt hagyta abba a kezelést.</w:t>
      </w:r>
    </w:p>
    <w:p w14:paraId="6BCADB5A" w14:textId="77777777" w:rsidR="007F2986" w:rsidRDefault="007F2986" w:rsidP="007F2986">
      <w:pPr>
        <w:pStyle w:val="a3"/>
        <w:rPr>
          <w:sz w:val="24"/>
          <w:szCs w:val="24"/>
          <w:lang w:val="hu-HU"/>
        </w:rPr>
      </w:pPr>
    </w:p>
    <w:p w14:paraId="604DF232" w14:textId="77777777" w:rsidR="007F2986" w:rsidRDefault="007F2986" w:rsidP="007F2986">
      <w:pPr>
        <w:pStyle w:val="a3"/>
        <w:rPr>
          <w:rFonts w:eastAsia="Times New Roman"/>
          <w:lang w:val="hu-HU"/>
        </w:rPr>
      </w:pPr>
      <w:r>
        <w:rPr>
          <w:rFonts w:eastAsia="Times New Roman"/>
          <w:i/>
          <w:iCs/>
          <w:spacing w:val="-1"/>
          <w:u w:val="single" w:color="000000"/>
          <w:lang w:val="hu-HU"/>
        </w:rPr>
        <w:t>Életminőség</w:t>
      </w:r>
    </w:p>
    <w:p w14:paraId="29515496" w14:textId="77777777" w:rsidR="007F2986" w:rsidRDefault="007F2986" w:rsidP="007F2986">
      <w:pPr>
        <w:pStyle w:val="a3"/>
        <w:rPr>
          <w:sz w:val="18"/>
          <w:szCs w:val="18"/>
          <w:lang w:val="hu-HU"/>
        </w:rPr>
      </w:pPr>
    </w:p>
    <w:p w14:paraId="3026D1F7" w14:textId="77777777" w:rsidR="007F2986" w:rsidRDefault="007F2986" w:rsidP="007F2986">
      <w:pPr>
        <w:pStyle w:val="a3"/>
        <w:rPr>
          <w:lang w:val="hu-HU"/>
        </w:rPr>
      </w:pPr>
      <w:r>
        <w:rPr>
          <w:rFonts w:eastAsia="Times New Roman"/>
          <w:lang w:val="hu-HU"/>
        </w:rPr>
        <w:t xml:space="preserve">A betegek által jelentett, látásfunkcióval összefüggő kimenetelt mindkét vizsgálatban a NEI VFQ-25 (National Eye Institute Vizuális Funkciós Kérdőíve) felhasználásával mérték fel. Az adalimumab számszerű előnyt mutatott az alpontok többségében, és statisztikailag szignifikáns átlagos különbség mutatkozott a megszokott látás, szemfájdalom, közellátás, mentális egészség és az összpontszámok átlaga tekintetében az UV </w:t>
      </w:r>
      <w:r w:rsidRPr="009167C6">
        <w:rPr>
          <w:lang w:val="hu-HU"/>
        </w:rPr>
        <w:t> </w:t>
      </w:r>
      <w:r w:rsidDel="002A3904">
        <w:rPr>
          <w:rFonts w:eastAsia="Times New Roman"/>
          <w:b/>
          <w:bCs/>
          <w:lang w:val="hu-HU"/>
        </w:rPr>
        <w:t xml:space="preserve"> </w:t>
      </w:r>
      <w:r>
        <w:rPr>
          <w:rFonts w:eastAsia="Times New Roman"/>
          <w:lang w:val="hu-HU"/>
        </w:rPr>
        <w:t xml:space="preserve">I vizsgálatban, és a megszokott látás és mentális egészség vonatkozásában az UV </w:t>
      </w:r>
      <w:r w:rsidRPr="009167C6">
        <w:rPr>
          <w:lang w:val="hu-HU"/>
        </w:rPr>
        <w:t> </w:t>
      </w:r>
      <w:r w:rsidDel="002A3904">
        <w:rPr>
          <w:rFonts w:eastAsia="Times New Roman"/>
          <w:b/>
          <w:bCs/>
          <w:lang w:val="hu-HU"/>
        </w:rPr>
        <w:t xml:space="preserve"> </w:t>
      </w:r>
      <w:r>
        <w:rPr>
          <w:rFonts w:eastAsia="Times New Roman"/>
          <w:lang w:val="hu-HU"/>
        </w:rPr>
        <w:t xml:space="preserve">II vizsgálatban. A látással összefüggő hatások közül nem mutatott számszerű előnyt az adalimumab a színlátás vonatkozásában az UV </w:t>
      </w:r>
      <w:r w:rsidRPr="009167C6">
        <w:rPr>
          <w:lang w:val="hu-HU"/>
        </w:rPr>
        <w:t> </w:t>
      </w:r>
      <w:r w:rsidDel="002A3904">
        <w:rPr>
          <w:rFonts w:eastAsia="Times New Roman"/>
          <w:b/>
          <w:bCs/>
          <w:lang w:val="hu-HU"/>
        </w:rPr>
        <w:t xml:space="preserve"> </w:t>
      </w:r>
      <w:r>
        <w:rPr>
          <w:rFonts w:eastAsia="Times New Roman"/>
          <w:lang w:val="hu-HU"/>
        </w:rPr>
        <w:t>I vizsgálatban és a színlátás, a perifériás látás és a közellátás vonatkozásában az UV II vizsgálatban.</w:t>
      </w:r>
    </w:p>
    <w:p w14:paraId="5C51B18B" w14:textId="77777777" w:rsidR="007F2986" w:rsidRDefault="007F2986" w:rsidP="007F2986">
      <w:pPr>
        <w:pStyle w:val="a3"/>
        <w:rPr>
          <w:sz w:val="24"/>
          <w:szCs w:val="24"/>
          <w:lang w:val="hu-HU"/>
        </w:rPr>
      </w:pPr>
    </w:p>
    <w:p w14:paraId="4514FFE8" w14:textId="77777777" w:rsidR="007F2986" w:rsidRDefault="007F2986" w:rsidP="007F2986">
      <w:pPr>
        <w:pStyle w:val="a3"/>
        <w:rPr>
          <w:u w:val="single" w:color="000000"/>
          <w:lang w:val="hu-HU"/>
        </w:rPr>
      </w:pPr>
      <w:r>
        <w:rPr>
          <w:rFonts w:eastAsia="Times New Roman"/>
          <w:u w:val="single" w:color="000000"/>
          <w:lang w:val="hu-HU"/>
        </w:rPr>
        <w:t>Immunogenitás</w:t>
      </w:r>
    </w:p>
    <w:p w14:paraId="51AA3C06" w14:textId="77777777" w:rsidR="007F2986" w:rsidRDefault="007F2986" w:rsidP="007F2986">
      <w:pPr>
        <w:spacing w:before="1" w:line="180" w:lineRule="exact"/>
        <w:rPr>
          <w:sz w:val="18"/>
          <w:szCs w:val="18"/>
          <w:lang w:val="hu-HU" w:eastAsia="ko-KR"/>
        </w:rPr>
      </w:pPr>
    </w:p>
    <w:p w14:paraId="2DB5EC73" w14:textId="77777777" w:rsidR="00C475E9" w:rsidRPr="00C475E9" w:rsidRDefault="00C475E9" w:rsidP="00C475E9">
      <w:pPr>
        <w:widowControl/>
        <w:suppressAutoHyphens/>
        <w:rPr>
          <w:rFonts w:ascii="Times New Roman" w:eastAsia="바탕" w:hAnsi="Times New Roman" w:cs="Times New Roman"/>
          <w:lang w:val="hu-HU" w:eastAsia="hu-HU"/>
        </w:rPr>
      </w:pPr>
      <w:r w:rsidRPr="00C475E9">
        <w:rPr>
          <w:rFonts w:ascii="Times New Roman" w:eastAsia="바탕" w:hAnsi="Times New Roman" w:cs="Times New Roman"/>
          <w:lang w:val="hu-HU" w:eastAsia="hu-HU"/>
        </w:rPr>
        <w:t>Adalimumab</w:t>
      </w:r>
      <w:r w:rsidRPr="00C475E9">
        <w:rPr>
          <w:rFonts w:ascii="Times New Roman" w:eastAsia="바탕" w:hAnsi="Times New Roman" w:cs="Times New Roman"/>
          <w:lang w:val="hu-HU" w:eastAsia="hu-HU"/>
        </w:rPr>
        <w:noBreakHyphen/>
        <w:t>ellenes antitestek képződése az adalimumab clearance</w:t>
      </w:r>
      <w:r w:rsidRPr="00C475E9">
        <w:rPr>
          <w:rFonts w:ascii="Times New Roman" w:eastAsia="바탕" w:hAnsi="Times New Roman" w:cs="Times New Roman"/>
          <w:lang w:val="hu-HU" w:eastAsia="hu-HU"/>
        </w:rPr>
        <w:noBreakHyphen/>
        <w:t>ének növekedésével és a hatásosságának csökkenésével jár. Az adalimumab</w:t>
      </w:r>
      <w:r w:rsidRPr="00C475E9">
        <w:rPr>
          <w:rFonts w:ascii="Times New Roman" w:eastAsia="바탕" w:hAnsi="Times New Roman" w:cs="Times New Roman"/>
          <w:lang w:val="hu-HU" w:eastAsia="hu-HU"/>
        </w:rPr>
        <w:noBreakHyphen/>
        <w:t>ellenes antitestek jelenléte és a mellékhatások előfordulása között nincs nyilvánvaló összefüggés.</w:t>
      </w:r>
    </w:p>
    <w:p w14:paraId="373CD570" w14:textId="77777777" w:rsidR="00C475E9" w:rsidRPr="00C475E9" w:rsidRDefault="00C475E9" w:rsidP="00C475E9">
      <w:pPr>
        <w:widowControl/>
        <w:suppressAutoHyphens/>
        <w:rPr>
          <w:rFonts w:ascii="Times New Roman" w:eastAsia="바탕" w:hAnsi="Times New Roman" w:cs="Times New Roman"/>
          <w:lang w:val="hu-HU" w:eastAsia="hu-HU"/>
        </w:rPr>
      </w:pPr>
    </w:p>
    <w:p w14:paraId="33D5057A" w14:textId="77777777" w:rsidR="00C475E9" w:rsidRPr="00C475E9" w:rsidRDefault="00C475E9" w:rsidP="00C475E9">
      <w:pPr>
        <w:widowControl/>
        <w:suppressAutoHyphens/>
        <w:rPr>
          <w:rFonts w:ascii="Times New Roman" w:eastAsia="바탕" w:hAnsi="Times New Roman" w:cs="Times New Roman"/>
          <w:lang w:val="hu-HU" w:eastAsia="hu-HU"/>
        </w:rPr>
      </w:pPr>
      <w:r w:rsidRPr="00C475E9">
        <w:rPr>
          <w:rFonts w:ascii="Times New Roman" w:eastAsia="바탕" w:hAnsi="Times New Roman" w:cs="Times New Roman"/>
          <w:lang w:val="hu-HU" w:eastAsia="hu-HU"/>
        </w:rPr>
        <w:t>Polyarticularis juvenilis idiopathiás arthritisben szenvedő, 4</w:t>
      </w:r>
      <w:r w:rsidRPr="00C475E9">
        <w:rPr>
          <w:rFonts w:ascii="Times New Roman" w:eastAsia="바탕" w:hAnsi="Times New Roman" w:cs="Times New Roman"/>
          <w:lang w:val="hu-HU" w:eastAsia="hu-HU"/>
        </w:rPr>
        <w:noBreakHyphen/>
        <w:t>17 éves, adalimumabbal kezelt betegek körében 15,8%</w:t>
      </w:r>
      <w:r w:rsidRPr="00C475E9">
        <w:rPr>
          <w:rFonts w:ascii="Times New Roman" w:eastAsia="바탕" w:hAnsi="Times New Roman" w:cs="Times New Roman"/>
          <w:lang w:val="hu-HU" w:eastAsia="hu-HU"/>
        </w:rPr>
        <w:noBreakHyphen/>
        <w:t>nál (27/171) mutattak ki adalimumab</w:t>
      </w:r>
      <w:r w:rsidRPr="00C475E9">
        <w:rPr>
          <w:rFonts w:ascii="Times New Roman" w:eastAsia="바탕" w:hAnsi="Times New Roman" w:cs="Times New Roman"/>
          <w:lang w:val="hu-HU" w:eastAsia="hu-HU"/>
        </w:rPr>
        <w:noBreakHyphen/>
        <w:t>ellenes antitesteket. Azoknál a betegeknél, akik nem kaptak egyidejűleg metotrexátot, az incidencia 25,6% (22/86) volt, szemben az 5,9%</w:t>
      </w:r>
      <w:r w:rsidRPr="00C475E9">
        <w:rPr>
          <w:rFonts w:ascii="Times New Roman" w:eastAsia="바탕" w:hAnsi="Times New Roman" w:cs="Times New Roman"/>
          <w:lang w:val="hu-HU" w:eastAsia="hu-HU"/>
        </w:rPr>
        <w:noBreakHyphen/>
        <w:t>kal (5/85), amikor az adalimumabot a metotrexát</w:t>
      </w:r>
      <w:r w:rsidRPr="00C475E9">
        <w:rPr>
          <w:rFonts w:ascii="Times New Roman" w:eastAsia="바탕" w:hAnsi="Times New Roman" w:cs="Times New Roman"/>
          <w:lang w:val="hu-HU" w:eastAsia="hu-HU"/>
        </w:rPr>
        <w:noBreakHyphen/>
        <w:t>kezelés mellett alkalmazták. Polyarticularis juvenilis idiopathiás arthritisben szenvedő, 2 </w:t>
      </w:r>
      <w:r w:rsidRPr="00C475E9">
        <w:rPr>
          <w:rFonts w:ascii="Times New Roman" w:eastAsia="바탕" w:hAnsi="Times New Roman" w:cs="Times New Roman"/>
          <w:lang w:val="hu-HU" w:eastAsia="hu-HU"/>
        </w:rPr>
        <w:noBreakHyphen/>
        <w:t> &lt;4 év közötti vagy 4 éves és a feletti, 15 kg alatti betegek 7%</w:t>
      </w:r>
      <w:r w:rsidRPr="00C475E9">
        <w:rPr>
          <w:rFonts w:ascii="Times New Roman" w:eastAsia="바탕" w:hAnsi="Times New Roman" w:cs="Times New Roman"/>
          <w:lang w:val="hu-HU" w:eastAsia="hu-HU"/>
        </w:rPr>
        <w:noBreakHyphen/>
        <w:t>ánál (1/15) mutattak ki adalimumab</w:t>
      </w:r>
      <w:r w:rsidRPr="00C475E9">
        <w:rPr>
          <w:rFonts w:ascii="Times New Roman" w:eastAsia="바탕" w:hAnsi="Times New Roman" w:cs="Times New Roman"/>
          <w:lang w:val="hu-HU" w:eastAsia="hu-HU"/>
        </w:rPr>
        <w:noBreakHyphen/>
        <w:t>ellenes antitesteket, és egy beteg részesült egyidejű metotrexát-kezelésben.</w:t>
      </w:r>
    </w:p>
    <w:p w14:paraId="0E3FE05B" w14:textId="77777777" w:rsidR="00C475E9" w:rsidRPr="00C475E9" w:rsidRDefault="00C475E9" w:rsidP="00C475E9">
      <w:pPr>
        <w:widowControl/>
        <w:suppressAutoHyphens/>
        <w:rPr>
          <w:rFonts w:ascii="Times New Roman" w:eastAsia="바탕" w:hAnsi="Times New Roman" w:cs="Times New Roman"/>
          <w:lang w:val="hu-HU" w:eastAsia="hu-HU"/>
        </w:rPr>
      </w:pPr>
    </w:p>
    <w:p w14:paraId="438EBE07" w14:textId="77777777" w:rsidR="00C475E9" w:rsidRPr="00C475E9" w:rsidRDefault="00C475E9" w:rsidP="00C475E9">
      <w:pPr>
        <w:widowControl/>
        <w:suppressAutoHyphens/>
        <w:rPr>
          <w:rFonts w:ascii="Times New Roman" w:eastAsia="바탕" w:hAnsi="Times New Roman" w:cs="Times New Roman"/>
          <w:lang w:val="hu-HU" w:eastAsia="hu-HU"/>
        </w:rPr>
      </w:pPr>
      <w:r w:rsidRPr="00C475E9">
        <w:rPr>
          <w:rFonts w:ascii="Times New Roman" w:eastAsia="바탕" w:hAnsi="Times New Roman" w:cs="Times New Roman"/>
          <w:lang w:val="hu-HU" w:eastAsia="hu-HU"/>
        </w:rPr>
        <w:t>Enthesitis-asszociált arthritisben szenvedő, adalimumabbal kezelt betegek 10,9%</w:t>
      </w:r>
      <w:r w:rsidRPr="00C475E9">
        <w:rPr>
          <w:rFonts w:ascii="Times New Roman" w:eastAsia="바탕" w:hAnsi="Times New Roman" w:cs="Times New Roman"/>
          <w:lang w:val="hu-HU" w:eastAsia="hu-HU"/>
        </w:rPr>
        <w:noBreakHyphen/>
        <w:t>ánál (5/46) azonosítottak adalimumab</w:t>
      </w:r>
      <w:r w:rsidRPr="00C475E9">
        <w:rPr>
          <w:rFonts w:ascii="Times New Roman" w:eastAsia="바탕" w:hAnsi="Times New Roman" w:cs="Times New Roman"/>
          <w:lang w:val="hu-HU" w:eastAsia="hu-HU"/>
        </w:rPr>
        <w:noBreakHyphen/>
        <w:t>ellenes antitesteket. Azoknál a betegeknél, akik nem kaptak egyidejűleg metotrexátot, az incidencia 13,6% (3/22) volt, szemben a 8,3%</w:t>
      </w:r>
      <w:r w:rsidRPr="00C475E9">
        <w:rPr>
          <w:rFonts w:ascii="Times New Roman" w:eastAsia="바탕" w:hAnsi="Times New Roman" w:cs="Times New Roman"/>
          <w:lang w:val="hu-HU" w:eastAsia="hu-HU"/>
        </w:rPr>
        <w:noBreakHyphen/>
        <w:t>kal (2/24), amikor az adalimumabot a metotrexát</w:t>
      </w:r>
      <w:r w:rsidRPr="00C475E9">
        <w:rPr>
          <w:rFonts w:ascii="Times New Roman" w:eastAsia="바탕" w:hAnsi="Times New Roman" w:cs="Times New Roman"/>
          <w:lang w:val="hu-HU" w:eastAsia="hu-HU"/>
        </w:rPr>
        <w:noBreakHyphen/>
        <w:t>kezelés mellett alkalmazták.</w:t>
      </w:r>
    </w:p>
    <w:p w14:paraId="561CEA82" w14:textId="77777777" w:rsidR="00C475E9" w:rsidRPr="00C475E9" w:rsidRDefault="00C475E9" w:rsidP="00C475E9">
      <w:pPr>
        <w:widowControl/>
        <w:suppressAutoHyphens/>
        <w:rPr>
          <w:rFonts w:ascii="Times New Roman" w:eastAsia="바탕" w:hAnsi="Times New Roman" w:cs="Times New Roman"/>
          <w:lang w:val="hu-HU" w:eastAsia="hu-HU"/>
        </w:rPr>
      </w:pPr>
    </w:p>
    <w:p w14:paraId="2E5D6082" w14:textId="77777777" w:rsidR="00C475E9" w:rsidRPr="00C475E9" w:rsidRDefault="00C475E9" w:rsidP="00C475E9">
      <w:pPr>
        <w:widowControl/>
        <w:suppressAutoHyphens/>
        <w:rPr>
          <w:rFonts w:ascii="Times New Roman" w:eastAsia="바탕" w:hAnsi="Times New Roman" w:cs="Times New Roman"/>
          <w:lang w:val="hu-HU" w:eastAsia="hu-HU"/>
        </w:rPr>
      </w:pPr>
      <w:r w:rsidRPr="00C475E9">
        <w:rPr>
          <w:rFonts w:ascii="Times New Roman" w:eastAsia="바탕" w:hAnsi="Times New Roman" w:cs="Times New Roman"/>
          <w:lang w:val="hu-HU" w:eastAsia="hu-HU"/>
        </w:rPr>
        <w:t>A reumatoid arthritis I, II és III vizsgálatban a betegeknél több időpontban vizsgálták az adalimumab</w:t>
      </w:r>
      <w:r w:rsidRPr="00C475E9">
        <w:rPr>
          <w:rFonts w:ascii="Times New Roman" w:eastAsia="바탕" w:hAnsi="Times New Roman" w:cs="Times New Roman"/>
          <w:lang w:val="hu-HU" w:eastAsia="hu-HU"/>
        </w:rPr>
        <w:noBreakHyphen/>
        <w:t>ellenes antitestek jelenlétét a 6 – 12 hónapos időszak folyamán. A pivotális vizsgálatokban adalimumab</w:t>
      </w:r>
      <w:r w:rsidRPr="00C475E9">
        <w:rPr>
          <w:rFonts w:ascii="Times New Roman" w:eastAsia="바탕" w:hAnsi="Times New Roman" w:cs="Times New Roman"/>
          <w:lang w:val="hu-HU" w:eastAsia="hu-HU"/>
        </w:rPr>
        <w:noBreakHyphen/>
        <w:t>ellenes antitesteket az adalimumabbal kezelt betegek 5,5%</w:t>
      </w:r>
      <w:r w:rsidRPr="00C475E9">
        <w:rPr>
          <w:rFonts w:ascii="Times New Roman" w:eastAsia="바탕" w:hAnsi="Times New Roman" w:cs="Times New Roman"/>
          <w:lang w:val="hu-HU" w:eastAsia="hu-HU"/>
        </w:rPr>
        <w:noBreakHyphen/>
        <w:t>ánál (58/1053) észleltek, szemben a placebocsoportban észlelt 0,5%</w:t>
      </w:r>
      <w:r w:rsidRPr="00C475E9">
        <w:rPr>
          <w:rFonts w:ascii="Times New Roman" w:eastAsia="바탕" w:hAnsi="Times New Roman" w:cs="Times New Roman"/>
          <w:lang w:val="hu-HU" w:eastAsia="hu-HU"/>
        </w:rPr>
        <w:noBreakHyphen/>
        <w:t>kal (2/370). Az egyidejűleg metotrexát</w:t>
      </w:r>
      <w:r w:rsidRPr="00C475E9">
        <w:rPr>
          <w:rFonts w:ascii="Times New Roman" w:eastAsia="바탕" w:hAnsi="Times New Roman" w:cs="Times New Roman"/>
          <w:lang w:val="hu-HU" w:eastAsia="hu-HU"/>
        </w:rPr>
        <w:noBreakHyphen/>
        <w:t>kezelésben nem részesült betegeknél az incidencia 12,4% volt, szemben a 0,6%</w:t>
      </w:r>
      <w:r w:rsidRPr="00C475E9">
        <w:rPr>
          <w:rFonts w:ascii="Times New Roman" w:eastAsia="바탕" w:hAnsi="Times New Roman" w:cs="Times New Roman"/>
          <w:lang w:val="hu-HU" w:eastAsia="hu-HU"/>
        </w:rPr>
        <w:noBreakHyphen/>
        <w:t>os incidenciával azoknál, akiknél az adalimumabot a metotrexát</w:t>
      </w:r>
      <w:r w:rsidRPr="00C475E9">
        <w:rPr>
          <w:rFonts w:ascii="Times New Roman" w:eastAsia="바탕" w:hAnsi="Times New Roman" w:cs="Times New Roman"/>
          <w:lang w:val="hu-HU" w:eastAsia="hu-HU"/>
        </w:rPr>
        <w:noBreakHyphen/>
        <w:t>kezeléssel kombinációban alkalmazták.</w:t>
      </w:r>
    </w:p>
    <w:p w14:paraId="4F4C288D" w14:textId="77777777" w:rsidR="00C475E9" w:rsidRPr="00C475E9" w:rsidRDefault="00C475E9" w:rsidP="00C475E9">
      <w:pPr>
        <w:widowControl/>
        <w:suppressAutoHyphens/>
        <w:rPr>
          <w:rFonts w:ascii="Times New Roman" w:eastAsia="바탕" w:hAnsi="Times New Roman" w:cs="Times New Roman"/>
          <w:lang w:val="hu-HU" w:eastAsia="hu-HU"/>
        </w:rPr>
      </w:pPr>
    </w:p>
    <w:p w14:paraId="37BC9472" w14:textId="77777777" w:rsidR="00C475E9" w:rsidRPr="00C475E9" w:rsidRDefault="00C475E9" w:rsidP="00C475E9">
      <w:pPr>
        <w:widowControl/>
        <w:suppressAutoHyphens/>
        <w:rPr>
          <w:rFonts w:ascii="Times New Roman" w:eastAsia="바탕" w:hAnsi="Times New Roman" w:cs="Times New Roman"/>
          <w:lang w:val="hu-HU" w:eastAsia="hu-HU"/>
        </w:rPr>
      </w:pPr>
      <w:r w:rsidRPr="00C475E9">
        <w:rPr>
          <w:rFonts w:ascii="Times New Roman" w:eastAsia="바탕" w:hAnsi="Times New Roman" w:cs="Times New Roman"/>
          <w:lang w:val="hu-HU" w:eastAsia="hu-HU"/>
        </w:rPr>
        <w:t>Gyermekkori psoriasisban szenvedő 0,8 mg/ttkg adalimumab-monoterápiával kezelt betegek 13%</w:t>
      </w:r>
      <w:r w:rsidRPr="00C475E9">
        <w:rPr>
          <w:rFonts w:ascii="Times New Roman" w:eastAsia="바탕" w:hAnsi="Times New Roman" w:cs="Times New Roman"/>
          <w:lang w:val="hu-HU" w:eastAsia="hu-HU"/>
        </w:rPr>
        <w:noBreakHyphen/>
        <w:t>ánál (5/38 betegnél) azonosítottak adalimumab</w:t>
      </w:r>
      <w:r w:rsidRPr="00C475E9">
        <w:rPr>
          <w:rFonts w:ascii="Times New Roman" w:eastAsia="바탕" w:hAnsi="Times New Roman" w:cs="Times New Roman"/>
          <w:lang w:val="hu-HU" w:eastAsia="hu-HU"/>
        </w:rPr>
        <w:noBreakHyphen/>
        <w:t>ellenes antitesteket.</w:t>
      </w:r>
    </w:p>
    <w:p w14:paraId="5897B07B" w14:textId="77777777" w:rsidR="00C475E9" w:rsidRPr="00C475E9" w:rsidRDefault="00C475E9" w:rsidP="00C475E9">
      <w:pPr>
        <w:widowControl/>
        <w:suppressAutoHyphens/>
        <w:rPr>
          <w:rFonts w:ascii="Times New Roman" w:eastAsia="바탕" w:hAnsi="Times New Roman" w:cs="Times New Roman"/>
          <w:lang w:val="hu-HU" w:eastAsia="hu-HU"/>
        </w:rPr>
      </w:pPr>
    </w:p>
    <w:p w14:paraId="4E5A3B12" w14:textId="77777777" w:rsidR="00C475E9" w:rsidRPr="00C475E9" w:rsidRDefault="00C475E9" w:rsidP="00C475E9">
      <w:pPr>
        <w:widowControl/>
        <w:suppressAutoHyphens/>
        <w:rPr>
          <w:rFonts w:ascii="Times New Roman" w:eastAsia="바탕" w:hAnsi="Times New Roman" w:cs="Times New Roman"/>
          <w:lang w:val="hu-HU" w:eastAsia="hu-HU"/>
        </w:rPr>
      </w:pPr>
      <w:r w:rsidRPr="00C475E9">
        <w:rPr>
          <w:rFonts w:ascii="Times New Roman" w:eastAsia="바탕" w:hAnsi="Times New Roman" w:cs="Times New Roman"/>
          <w:lang w:val="hu-HU" w:eastAsia="hu-HU"/>
        </w:rPr>
        <w:t>Psoriasisos felnőtt betegek körében 77/920 adalimumab-monoterápiával kezelt beteg esetében (8,4%) mutattak ki adalimumab-ellenes antitesteket.</w:t>
      </w:r>
    </w:p>
    <w:p w14:paraId="7698F9F4" w14:textId="77777777" w:rsidR="00C475E9" w:rsidRPr="00C475E9" w:rsidRDefault="00C475E9" w:rsidP="00C475E9">
      <w:pPr>
        <w:widowControl/>
        <w:suppressAutoHyphens/>
        <w:rPr>
          <w:rFonts w:ascii="Times New Roman" w:eastAsia="바탕" w:hAnsi="Times New Roman" w:cs="Times New Roman"/>
          <w:lang w:val="hu-HU" w:eastAsia="hu-HU"/>
        </w:rPr>
      </w:pPr>
    </w:p>
    <w:p w14:paraId="65B9EC5E" w14:textId="77777777" w:rsidR="00C475E9" w:rsidRPr="00C475E9" w:rsidRDefault="00C475E9" w:rsidP="00C475E9">
      <w:pPr>
        <w:widowControl/>
        <w:suppressAutoHyphens/>
        <w:rPr>
          <w:rFonts w:ascii="Times New Roman" w:eastAsia="바탕" w:hAnsi="Times New Roman" w:cs="Times New Roman"/>
          <w:lang w:val="hu-HU" w:eastAsia="hu-HU"/>
        </w:rPr>
      </w:pPr>
      <w:r w:rsidRPr="00C475E9">
        <w:rPr>
          <w:rFonts w:ascii="Times New Roman" w:eastAsia="바탕" w:hAnsi="Times New Roman" w:cs="Times New Roman"/>
          <w:lang w:val="hu-HU" w:eastAsia="hu-HU"/>
        </w:rPr>
        <w:t>Azoknál a hosszú időn át adalimumab-monoterápiát kapó, plakkos psoriasisos felnőtt betegeknél, akik részt vettek a kezelés abbahagyását, majd újrakezdését értékelő vizsgálatban, az újrakezdést követően az adalimumab</w:t>
      </w:r>
      <w:r w:rsidRPr="00C475E9">
        <w:rPr>
          <w:rFonts w:ascii="Times New Roman" w:eastAsia="바탕" w:hAnsi="Times New Roman" w:cs="Times New Roman"/>
          <w:lang w:val="hu-HU" w:eastAsia="hu-HU"/>
        </w:rPr>
        <w:noBreakHyphen/>
        <w:t>ellenes antitestek aránya (482 beteg közül 11; 2,3%) hasonló volt a kezelés abbahagyása előtti arányhoz (590 beteg közül 11; 1,9%).</w:t>
      </w:r>
    </w:p>
    <w:p w14:paraId="28ADAD30" w14:textId="77777777" w:rsidR="00C475E9" w:rsidRPr="00C475E9" w:rsidRDefault="00C475E9" w:rsidP="00C475E9">
      <w:pPr>
        <w:widowControl/>
        <w:suppressAutoHyphens/>
        <w:rPr>
          <w:rFonts w:ascii="Times New Roman" w:eastAsia="바탕" w:hAnsi="Times New Roman" w:cs="Times New Roman"/>
          <w:lang w:val="hu-HU" w:eastAsia="hu-HU"/>
        </w:rPr>
      </w:pPr>
    </w:p>
    <w:p w14:paraId="29D9D884" w14:textId="77777777" w:rsidR="00C475E9" w:rsidRPr="00C475E9" w:rsidRDefault="00C475E9" w:rsidP="00C475E9">
      <w:pPr>
        <w:widowControl/>
        <w:suppressAutoHyphens/>
        <w:rPr>
          <w:rFonts w:ascii="Times New Roman" w:eastAsia="바탕" w:hAnsi="Times New Roman" w:cs="Times New Roman"/>
          <w:lang w:val="hu-HU" w:eastAsia="hu-HU"/>
        </w:rPr>
      </w:pPr>
      <w:r w:rsidRPr="00C475E9">
        <w:rPr>
          <w:rFonts w:ascii="Times New Roman" w:eastAsia="바탕" w:hAnsi="Times New Roman" w:cs="Times New Roman"/>
          <w:lang w:val="hu-HU" w:eastAsia="hu-HU"/>
        </w:rPr>
        <w:t>Közepesen súlyos - súlyos aktivitású Crohn</w:t>
      </w:r>
      <w:r w:rsidRPr="00C475E9">
        <w:rPr>
          <w:rFonts w:ascii="Times New Roman" w:eastAsia="바탕" w:hAnsi="Times New Roman" w:cs="Times New Roman"/>
          <w:lang w:val="hu-HU" w:eastAsia="hu-HU"/>
        </w:rPr>
        <w:noBreakHyphen/>
        <w:t>betegségben szenvedő gyermekeknél az anti-adalimumab antitest kialakulásának aránya adalimumabot kapó betegeknél 3,3% volt.</w:t>
      </w:r>
    </w:p>
    <w:p w14:paraId="2553FDC5" w14:textId="77777777" w:rsidR="00C475E9" w:rsidRPr="00C475E9" w:rsidRDefault="00C475E9" w:rsidP="00C475E9">
      <w:pPr>
        <w:widowControl/>
        <w:suppressAutoHyphens/>
        <w:rPr>
          <w:rFonts w:ascii="Times New Roman" w:eastAsia="바탕" w:hAnsi="Times New Roman" w:cs="Times New Roman"/>
          <w:lang w:val="hu-HU" w:eastAsia="hu-HU"/>
        </w:rPr>
      </w:pPr>
    </w:p>
    <w:p w14:paraId="223B42CA" w14:textId="77777777" w:rsidR="00C475E9" w:rsidRPr="00C475E9" w:rsidRDefault="00C475E9" w:rsidP="00C475E9">
      <w:pPr>
        <w:widowControl/>
        <w:suppressAutoHyphens/>
        <w:rPr>
          <w:rFonts w:ascii="Times New Roman" w:eastAsia="바탕" w:hAnsi="Times New Roman" w:cs="Times New Roman"/>
          <w:lang w:val="hu-HU" w:eastAsia="hu-HU"/>
        </w:rPr>
      </w:pPr>
      <w:r w:rsidRPr="00C475E9">
        <w:rPr>
          <w:rFonts w:ascii="Times New Roman" w:eastAsia="바탕" w:hAnsi="Times New Roman" w:cs="Times New Roman"/>
          <w:lang w:val="hu-HU" w:eastAsia="hu-HU"/>
        </w:rPr>
        <w:lastRenderedPageBreak/>
        <w:t>A 269, Crohn</w:t>
      </w:r>
      <w:r w:rsidRPr="00C475E9">
        <w:rPr>
          <w:rFonts w:ascii="Times New Roman" w:eastAsia="바탕" w:hAnsi="Times New Roman" w:cs="Times New Roman"/>
          <w:lang w:val="hu-HU" w:eastAsia="hu-HU"/>
        </w:rPr>
        <w:noBreakHyphen/>
        <w:t>betegségben szenvedő beteg közül 7 betegnél (2,6%) azonosítottak anti-adalimumab antitesteket.</w:t>
      </w:r>
    </w:p>
    <w:p w14:paraId="567DF927" w14:textId="77777777" w:rsidR="00C475E9" w:rsidRPr="00C475E9" w:rsidRDefault="00C475E9" w:rsidP="00C475E9">
      <w:pPr>
        <w:widowControl/>
        <w:suppressAutoHyphens/>
        <w:rPr>
          <w:rFonts w:ascii="Times New Roman" w:eastAsia="바탕" w:hAnsi="Times New Roman" w:cs="Times New Roman"/>
          <w:lang w:val="hu-HU" w:eastAsia="hu-HU"/>
        </w:rPr>
      </w:pPr>
    </w:p>
    <w:p w14:paraId="39CC28BB" w14:textId="77777777" w:rsidR="00C475E9" w:rsidRPr="00C475E9" w:rsidRDefault="00C475E9" w:rsidP="00C475E9">
      <w:pPr>
        <w:widowControl/>
        <w:suppressAutoHyphens/>
        <w:rPr>
          <w:rFonts w:ascii="Times New Roman" w:eastAsia="바탕" w:hAnsi="Times New Roman" w:cs="Times New Roman"/>
          <w:lang w:val="hu-HU" w:eastAsia="hu-HU"/>
        </w:rPr>
      </w:pPr>
      <w:r w:rsidRPr="00C475E9">
        <w:rPr>
          <w:rFonts w:ascii="Times New Roman" w:eastAsia="바탕" w:hAnsi="Times New Roman" w:cs="Times New Roman"/>
          <w:lang w:val="hu-HU" w:eastAsia="hu-HU"/>
        </w:rPr>
        <w:t>A nem fertőzéses eredetű uveitisben szenvedő, adalimumabbal kezelt felnőtt betegek 4,8%</w:t>
      </w:r>
      <w:r w:rsidRPr="00C475E9">
        <w:rPr>
          <w:rFonts w:ascii="Times New Roman" w:eastAsia="바탕" w:hAnsi="Times New Roman" w:cs="Times New Roman"/>
          <w:lang w:val="hu-HU" w:eastAsia="hu-HU"/>
        </w:rPr>
        <w:noBreakHyphen/>
        <w:t>ánál (12/249) azonosítottak adalimumab</w:t>
      </w:r>
      <w:r w:rsidRPr="00C475E9">
        <w:rPr>
          <w:rFonts w:ascii="Times New Roman" w:eastAsia="바탕" w:hAnsi="Times New Roman" w:cs="Times New Roman"/>
          <w:lang w:val="hu-HU" w:eastAsia="hu-HU"/>
        </w:rPr>
        <w:noBreakHyphen/>
        <w:t>ellenes antitesteket.</w:t>
      </w:r>
    </w:p>
    <w:p w14:paraId="6843666C" w14:textId="77777777" w:rsidR="00C475E9" w:rsidRPr="00C475E9" w:rsidRDefault="00C475E9" w:rsidP="00C475E9">
      <w:pPr>
        <w:widowControl/>
        <w:suppressAutoHyphens/>
        <w:rPr>
          <w:rFonts w:ascii="Times New Roman" w:eastAsia="바탕" w:hAnsi="Times New Roman" w:cs="Times New Roman"/>
          <w:lang w:val="hu-HU" w:eastAsia="hu-HU"/>
        </w:rPr>
      </w:pPr>
    </w:p>
    <w:p w14:paraId="0D0270A7" w14:textId="55107A5D" w:rsidR="007F2986" w:rsidRDefault="00C475E9" w:rsidP="007F2986">
      <w:pPr>
        <w:pStyle w:val="a3"/>
        <w:rPr>
          <w:lang w:val="hu-HU"/>
        </w:rPr>
      </w:pPr>
      <w:r w:rsidRPr="00C475E9">
        <w:rPr>
          <w:rFonts w:eastAsia="바탕"/>
          <w:lang w:val="hu-HU" w:eastAsia="hu-HU"/>
        </w:rPr>
        <w:t>Az immunogenitási vizsgálatok termékspecifikusak, így az antitestráták összehasonlítása más termékekével nem helyes</w:t>
      </w:r>
      <w:r w:rsidR="007F2986">
        <w:rPr>
          <w:rFonts w:eastAsia="Times New Roman"/>
          <w:lang w:val="hu-HU"/>
        </w:rPr>
        <w:t>.</w:t>
      </w:r>
    </w:p>
    <w:p w14:paraId="31A86B6B" w14:textId="77777777" w:rsidR="007F2986" w:rsidRDefault="007F2986" w:rsidP="007F2986">
      <w:pPr>
        <w:pStyle w:val="a3"/>
        <w:rPr>
          <w:lang w:val="hu-HU"/>
        </w:rPr>
      </w:pPr>
    </w:p>
    <w:p w14:paraId="252DBCEB" w14:textId="77777777" w:rsidR="007F2986" w:rsidRPr="009167C6" w:rsidRDefault="007F2986" w:rsidP="007F2986">
      <w:pPr>
        <w:spacing w:before="1" w:line="180" w:lineRule="exact"/>
        <w:rPr>
          <w:rFonts w:ascii="Times New Roman" w:eastAsia="Times New Roman" w:hAnsi="Times New Roman" w:cs="Times New Roman"/>
          <w:u w:val="single" w:color="000000"/>
          <w:lang w:val="hu-HU"/>
        </w:rPr>
      </w:pPr>
      <w:r w:rsidRPr="009167C6">
        <w:rPr>
          <w:rFonts w:ascii="Times New Roman" w:eastAsia="Times New Roman" w:hAnsi="Times New Roman" w:cs="Times New Roman"/>
          <w:u w:val="single" w:color="000000"/>
          <w:lang w:val="hu-HU"/>
        </w:rPr>
        <w:t>Gyermekek és serdülők</w:t>
      </w:r>
    </w:p>
    <w:p w14:paraId="66B53D10" w14:textId="77777777" w:rsidR="007F2986" w:rsidRDefault="007F2986" w:rsidP="007F2986">
      <w:pPr>
        <w:spacing w:before="1" w:line="180" w:lineRule="exact"/>
        <w:rPr>
          <w:sz w:val="18"/>
          <w:szCs w:val="18"/>
          <w:lang w:val="hu-HU"/>
        </w:rPr>
      </w:pPr>
    </w:p>
    <w:p w14:paraId="51F489C5" w14:textId="77777777" w:rsidR="007F2986" w:rsidRDefault="007F2986" w:rsidP="007F2986">
      <w:pPr>
        <w:pStyle w:val="a3"/>
        <w:rPr>
          <w:rFonts w:eastAsia="Times New Roman"/>
          <w:i/>
          <w:spacing w:val="-1"/>
          <w:lang w:val="hu-HU"/>
        </w:rPr>
      </w:pPr>
      <w:r>
        <w:rPr>
          <w:rFonts w:eastAsia="Times New Roman"/>
          <w:i/>
          <w:iCs/>
          <w:spacing w:val="-1"/>
          <w:lang w:val="hu-HU"/>
        </w:rPr>
        <w:t>Juvenilis idiopathiás arthritis (JIA)</w:t>
      </w:r>
    </w:p>
    <w:p w14:paraId="2D56272E" w14:textId="77777777" w:rsidR="007F2986" w:rsidRDefault="007F2986" w:rsidP="007F2986">
      <w:pPr>
        <w:pStyle w:val="a3"/>
        <w:rPr>
          <w:rFonts w:eastAsia="Times New Roman"/>
          <w:i/>
          <w:spacing w:val="-1"/>
          <w:u w:val="single" w:color="000000"/>
          <w:lang w:val="hu-HU"/>
        </w:rPr>
      </w:pPr>
    </w:p>
    <w:p w14:paraId="5D29D6AB" w14:textId="77777777" w:rsidR="007F2986" w:rsidRDefault="007F2986" w:rsidP="007F2986">
      <w:pPr>
        <w:pStyle w:val="a3"/>
        <w:rPr>
          <w:rFonts w:eastAsia="Times New Roman"/>
          <w:lang w:val="hu-HU"/>
        </w:rPr>
      </w:pPr>
      <w:r>
        <w:rPr>
          <w:rFonts w:eastAsia="Times New Roman"/>
          <w:i/>
          <w:iCs/>
          <w:spacing w:val="-1"/>
          <w:u w:val="single" w:color="000000"/>
          <w:lang w:val="hu-HU"/>
        </w:rPr>
        <w:t>Poliartikuláris juvenilis idiopathiás arthritis (pJIA)</w:t>
      </w:r>
    </w:p>
    <w:p w14:paraId="291D387D" w14:textId="77777777" w:rsidR="007F2986" w:rsidRDefault="007F2986" w:rsidP="007F2986">
      <w:pPr>
        <w:pStyle w:val="a3"/>
        <w:rPr>
          <w:lang w:val="hu-HU"/>
        </w:rPr>
      </w:pPr>
      <w:r>
        <w:rPr>
          <w:rFonts w:eastAsia="Times New Roman"/>
          <w:lang w:val="hu-HU"/>
        </w:rPr>
        <w:t>Az adalimumab biztonságosságát és hatásosságát két vizsgálatban (pJIA I és II) értékelték aktív polyarticularis juvenilis idiopathiás arthritisben szenvedő gyermekeknél, akiknél a JIA kezdeti formája eltért (leggyakrabban rheumatoid faktor pozitív vagy negatív polyarthritis és extendált oligoarthritis fordult elő).</w:t>
      </w:r>
    </w:p>
    <w:p w14:paraId="610CC922" w14:textId="77777777" w:rsidR="007F2986" w:rsidRDefault="007F2986" w:rsidP="007F2986">
      <w:pPr>
        <w:pStyle w:val="a3"/>
        <w:rPr>
          <w:sz w:val="24"/>
          <w:szCs w:val="24"/>
          <w:lang w:val="hu-HU"/>
        </w:rPr>
      </w:pPr>
    </w:p>
    <w:p w14:paraId="428D0042" w14:textId="77777777" w:rsidR="007F2986" w:rsidRDefault="007F2986" w:rsidP="007F2986">
      <w:pPr>
        <w:pStyle w:val="a3"/>
        <w:rPr>
          <w:lang w:val="hu-HU"/>
        </w:rPr>
      </w:pPr>
      <w:r>
        <w:rPr>
          <w:rFonts w:eastAsia="Times New Roman"/>
          <w:lang w:val="hu-HU"/>
        </w:rPr>
        <w:t>pJIA I</w:t>
      </w:r>
    </w:p>
    <w:p w14:paraId="364FB4D3" w14:textId="77777777" w:rsidR="007F2986" w:rsidRDefault="007F2986" w:rsidP="007F2986">
      <w:pPr>
        <w:pStyle w:val="a3"/>
        <w:rPr>
          <w:sz w:val="18"/>
          <w:szCs w:val="18"/>
          <w:lang w:val="hu-HU"/>
        </w:rPr>
      </w:pPr>
    </w:p>
    <w:p w14:paraId="2AD8DC1E" w14:textId="06F80F3F" w:rsidR="007F2986" w:rsidRDefault="007F2986" w:rsidP="007F2986">
      <w:pPr>
        <w:pStyle w:val="a3"/>
        <w:rPr>
          <w:rFonts w:eastAsia="Times New Roman"/>
          <w:lang w:val="hu-HU"/>
        </w:rPr>
      </w:pPr>
      <w:r>
        <w:rPr>
          <w:rFonts w:eastAsia="Times New Roman"/>
          <w:lang w:val="hu-HU"/>
        </w:rPr>
        <w:t>Az adalimumab biztonságosságát és hatásosságát egy multicentrikus, randomizált, kettős vak, párhuzamos csoportos vizsgálatban értékelték 171 (4 – 17 éves) polyarticularis JIA-ban szenvedő gyermek esetében. A nyílt elrendezésű bevezetési szakaszban (OL LI) részt vevő betegeket két csoportba, a MTX-tal (metotrexát) kezelt és MTX-tal nem kezelt csoportba különítették el. A nem-MTX csoportba azok a betegek tartoztak, akik korábban még nem részesültek MTX-kezelésben (naive), vagy a vizsgálati gyógyszer alkalmazása előtt legalább két héttel abbahagyták a MTX-kezelésüket. A betegeknél továbbra is stabil dózisokban alkalmaztak nem szteroid gyulladásgátlókat (NSAID) és/vagy prednizont (</w:t>
      </w:r>
      <w:r>
        <w:rPr>
          <w:rFonts w:ascii="Symbol" w:eastAsia="Symbol" w:hAnsi="Symbol" w:cs="Symbol"/>
          <w:lang w:val="hu-HU"/>
        </w:rPr>
        <w:sym w:font="Symbol" w:char="F0A3"/>
      </w:r>
      <w:r>
        <w:rPr>
          <w:rFonts w:ascii="Symbol" w:eastAsia="Symbol" w:hAnsi="Symbol" w:cs="Symbol"/>
          <w:lang w:val="hu-HU"/>
        </w:rPr>
        <w:sym w:font="Symbol" w:char="F020"/>
      </w:r>
      <w:r>
        <w:rPr>
          <w:rFonts w:eastAsia="Times New Roman"/>
          <w:lang w:val="hu-HU"/>
        </w:rPr>
        <w:t>0,2 mg/ttkg/nap vagy maximum 10 mg/nap). Az OL LI szakaszban minden beteg 24 mg/m</w:t>
      </w:r>
      <w:r>
        <w:rPr>
          <w:rFonts w:eastAsia="Times New Roman"/>
          <w:sz w:val="14"/>
          <w:szCs w:val="14"/>
          <w:lang w:val="hu-HU"/>
        </w:rPr>
        <w:t>2</w:t>
      </w:r>
      <w:r>
        <w:rPr>
          <w:rFonts w:eastAsia="Times New Roman"/>
          <w:lang w:val="hu-HU"/>
        </w:rPr>
        <w:t xml:space="preserve">, legfeljebb 40 mg adalimumabot kapott kéthetente, 16 héten keresztül. A betegek életkor szerinti megoszlását és az OL LI szakaszban kapott legkisebb, medián, illetve legnagyobb dózist a </w:t>
      </w:r>
      <w:r w:rsidR="00C54BE6">
        <w:rPr>
          <w:rFonts w:eastAsia="Times New Roman"/>
          <w:lang w:val="hu-HU"/>
        </w:rPr>
        <w:t>17</w:t>
      </w:r>
      <w:r>
        <w:rPr>
          <w:rFonts w:eastAsia="Times New Roman"/>
          <w:lang w:val="hu-HU"/>
        </w:rPr>
        <w:t>. táblázat mutatja</w:t>
      </w:r>
    </w:p>
    <w:p w14:paraId="5C814017" w14:textId="77777777" w:rsidR="007F2986" w:rsidRDefault="007F2986" w:rsidP="007F2986">
      <w:pPr>
        <w:pStyle w:val="a3"/>
        <w:rPr>
          <w:rFonts w:eastAsia="Times New Roman"/>
          <w:lang w:val="hu-HU"/>
        </w:rPr>
      </w:pPr>
    </w:p>
    <w:p w14:paraId="6584A059" w14:textId="16881145" w:rsidR="007F2986" w:rsidRDefault="00C54BE6" w:rsidP="007F2986">
      <w:pPr>
        <w:pStyle w:val="a3"/>
        <w:jc w:val="center"/>
        <w:rPr>
          <w:b/>
          <w:lang w:val="hu-HU"/>
        </w:rPr>
      </w:pPr>
      <w:r>
        <w:rPr>
          <w:rFonts w:eastAsia="Times New Roman"/>
          <w:b/>
          <w:bCs/>
          <w:lang w:val="hu-HU"/>
        </w:rPr>
        <w:t>17</w:t>
      </w:r>
      <w:r w:rsidR="007F2986">
        <w:rPr>
          <w:rFonts w:eastAsia="Times New Roman"/>
          <w:b/>
          <w:bCs/>
          <w:lang w:val="hu-HU"/>
        </w:rPr>
        <w:t>. táblázat</w:t>
      </w:r>
    </w:p>
    <w:p w14:paraId="2C08690C" w14:textId="77777777" w:rsidR="007F2986" w:rsidRDefault="007F2986" w:rsidP="007F2986">
      <w:pPr>
        <w:pStyle w:val="a3"/>
        <w:jc w:val="center"/>
        <w:rPr>
          <w:b/>
          <w:lang w:val="hu-HU"/>
        </w:rPr>
      </w:pPr>
      <w:r>
        <w:rPr>
          <w:rFonts w:eastAsia="Times New Roman"/>
          <w:b/>
          <w:bCs/>
          <w:lang w:val="hu-HU"/>
        </w:rPr>
        <w:t>A betegek megoszlása az életkor szerint és az OL LI szakaszban kapott adalimumab-dózis</w:t>
      </w:r>
    </w:p>
    <w:p w14:paraId="59B2CEB8" w14:textId="77777777" w:rsidR="007F2986" w:rsidRDefault="007F2986" w:rsidP="007F2986">
      <w:pPr>
        <w:spacing w:before="15" w:line="260" w:lineRule="exact"/>
        <w:rPr>
          <w:sz w:val="26"/>
          <w:szCs w:val="26"/>
          <w:lang w:val="hu-HU"/>
        </w:rPr>
      </w:pPr>
    </w:p>
    <w:tbl>
      <w:tblPr>
        <w:tblStyle w:val="TableNormal1"/>
        <w:tblW w:w="0" w:type="auto"/>
        <w:tblInd w:w="220" w:type="dxa"/>
        <w:tblLayout w:type="fixed"/>
        <w:tblLook w:val="01E0" w:firstRow="1" w:lastRow="1" w:firstColumn="1" w:lastColumn="1" w:noHBand="0" w:noVBand="0"/>
      </w:tblPr>
      <w:tblGrid>
        <w:gridCol w:w="2417"/>
        <w:gridCol w:w="3521"/>
        <w:gridCol w:w="3240"/>
      </w:tblGrid>
      <w:tr w:rsidR="007F2986" w:rsidRPr="00BE4D18" w14:paraId="01B0977D" w14:textId="77777777" w:rsidTr="00CC2E43">
        <w:trPr>
          <w:trHeight w:hRule="exact" w:val="516"/>
        </w:trPr>
        <w:tc>
          <w:tcPr>
            <w:tcW w:w="2417" w:type="dxa"/>
            <w:tcBorders>
              <w:top w:val="single" w:sz="5" w:space="0" w:color="000000"/>
              <w:left w:val="single" w:sz="5" w:space="0" w:color="000000"/>
              <w:bottom w:val="single" w:sz="5" w:space="0" w:color="000000"/>
              <w:right w:val="single" w:sz="5" w:space="0" w:color="000000"/>
            </w:tcBorders>
          </w:tcPr>
          <w:p w14:paraId="3BB14F1F" w14:textId="77777777" w:rsidR="007F2986" w:rsidRDefault="007F2986" w:rsidP="00CC2E43">
            <w:pPr>
              <w:pStyle w:val="TableParagraph"/>
              <w:spacing w:line="246"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Korcsoport</w:t>
            </w:r>
          </w:p>
        </w:tc>
        <w:tc>
          <w:tcPr>
            <w:tcW w:w="3521" w:type="dxa"/>
            <w:tcBorders>
              <w:top w:val="single" w:sz="5" w:space="0" w:color="000000"/>
              <w:left w:val="single" w:sz="5" w:space="0" w:color="000000"/>
              <w:bottom w:val="single" w:sz="5" w:space="0" w:color="000000"/>
              <w:right w:val="single" w:sz="5" w:space="0" w:color="000000"/>
            </w:tcBorders>
          </w:tcPr>
          <w:p w14:paraId="1C352FC8" w14:textId="553B3329" w:rsidR="007F2986" w:rsidRPr="000C5D78" w:rsidRDefault="007F2986" w:rsidP="00CC2E43">
            <w:pPr>
              <w:pStyle w:val="Default"/>
              <w:rPr>
                <w:rFonts w:ascii="Times New Roman" w:hAnsi="Times New Roman" w:cs="Times New Roman"/>
              </w:rPr>
            </w:pPr>
            <w:r w:rsidRPr="000C5D78">
              <w:rPr>
                <w:rFonts w:ascii="Times New Roman" w:hAnsi="Times New Roman" w:cs="Times New Roman"/>
                <w:bCs/>
                <w:sz w:val="22"/>
                <w:szCs w:val="22"/>
              </w:rPr>
              <w:t xml:space="preserve">A </w:t>
            </w:r>
            <w:proofErr w:type="spellStart"/>
            <w:r w:rsidRPr="000C5D78">
              <w:rPr>
                <w:rFonts w:ascii="Times New Roman" w:hAnsi="Times New Roman" w:cs="Times New Roman"/>
                <w:bCs/>
                <w:sz w:val="22"/>
                <w:szCs w:val="22"/>
              </w:rPr>
              <w:t>betegek</w:t>
            </w:r>
            <w:proofErr w:type="spellEnd"/>
            <w:r w:rsidRPr="000C5D78">
              <w:rPr>
                <w:rFonts w:ascii="Times New Roman" w:hAnsi="Times New Roman" w:cs="Times New Roman"/>
                <w:bCs/>
                <w:sz w:val="22"/>
                <w:szCs w:val="22"/>
              </w:rPr>
              <w:t xml:space="preserve"> </w:t>
            </w:r>
            <w:proofErr w:type="spellStart"/>
            <w:r w:rsidRPr="000C5D78">
              <w:rPr>
                <w:rFonts w:ascii="Times New Roman" w:hAnsi="Times New Roman" w:cs="Times New Roman"/>
                <w:bCs/>
                <w:sz w:val="22"/>
                <w:szCs w:val="22"/>
              </w:rPr>
              <w:t>száma</w:t>
            </w:r>
            <w:proofErr w:type="spellEnd"/>
            <w:r w:rsidRPr="000C5D78">
              <w:rPr>
                <w:rFonts w:ascii="Times New Roman" w:hAnsi="Times New Roman" w:cs="Times New Roman"/>
                <w:bCs/>
                <w:sz w:val="22"/>
                <w:szCs w:val="22"/>
              </w:rPr>
              <w:t xml:space="preserve"> a </w:t>
            </w:r>
            <w:proofErr w:type="spellStart"/>
            <w:r w:rsidRPr="000C5D78">
              <w:rPr>
                <w:rFonts w:ascii="Times New Roman" w:hAnsi="Times New Roman" w:cs="Times New Roman"/>
                <w:bCs/>
                <w:sz w:val="22"/>
                <w:szCs w:val="22"/>
              </w:rPr>
              <w:t>kiindulási</w:t>
            </w:r>
            <w:proofErr w:type="spellEnd"/>
            <w:r w:rsidRPr="000C5D78">
              <w:rPr>
                <w:rFonts w:ascii="Times New Roman" w:hAnsi="Times New Roman" w:cs="Times New Roman"/>
                <w:bCs/>
                <w:sz w:val="22"/>
                <w:szCs w:val="22"/>
              </w:rPr>
              <w:t xml:space="preserve"> </w:t>
            </w:r>
            <w:proofErr w:type="spellStart"/>
            <w:r w:rsidRPr="000C5D78">
              <w:rPr>
                <w:rFonts w:ascii="Times New Roman" w:hAnsi="Times New Roman" w:cs="Times New Roman"/>
                <w:bCs/>
                <w:sz w:val="22"/>
                <w:szCs w:val="22"/>
              </w:rPr>
              <w:t>időpontban</w:t>
            </w:r>
            <w:proofErr w:type="spellEnd"/>
            <w:r w:rsidRPr="000C5D78">
              <w:rPr>
                <w:rFonts w:ascii="Times New Roman" w:hAnsi="Times New Roman" w:cs="Times New Roman"/>
                <w:bCs/>
                <w:sz w:val="22"/>
                <w:szCs w:val="22"/>
              </w:rPr>
              <w:t xml:space="preserve"> </w:t>
            </w:r>
            <w:r w:rsidR="00B36F4C">
              <w:rPr>
                <w:rFonts w:ascii="Times New Roman" w:hAnsi="Times New Roman" w:cs="Times New Roman"/>
                <w:bCs/>
                <w:sz w:val="22"/>
                <w:szCs w:val="22"/>
              </w:rPr>
              <w:t>n</w:t>
            </w:r>
            <w:r w:rsidRPr="000C5D78">
              <w:rPr>
                <w:rFonts w:ascii="Times New Roman" w:hAnsi="Times New Roman" w:cs="Times New Roman"/>
                <w:bCs/>
                <w:sz w:val="22"/>
                <w:szCs w:val="22"/>
              </w:rPr>
              <w:t xml:space="preserve"> (%) </w:t>
            </w:r>
          </w:p>
          <w:p w14:paraId="3F76C520" w14:textId="77777777" w:rsidR="007F2986" w:rsidRDefault="007F2986" w:rsidP="00CC2E43">
            <w:pPr>
              <w:pStyle w:val="TableParagraph"/>
              <w:spacing w:line="252" w:lineRule="exact"/>
              <w:ind w:left="102"/>
              <w:rPr>
                <w:rFonts w:ascii="Times New Roman" w:eastAsia="Times New Roman" w:hAnsi="Times New Roman" w:cs="Times New Roman"/>
                <w:lang w:val="hu-HU"/>
              </w:rPr>
            </w:pPr>
          </w:p>
        </w:tc>
        <w:tc>
          <w:tcPr>
            <w:tcW w:w="3240" w:type="dxa"/>
            <w:tcBorders>
              <w:top w:val="single" w:sz="5" w:space="0" w:color="000000"/>
              <w:left w:val="single" w:sz="5" w:space="0" w:color="000000"/>
              <w:bottom w:val="single" w:sz="5" w:space="0" w:color="000000"/>
              <w:right w:val="single" w:sz="5" w:space="0" w:color="000000"/>
            </w:tcBorders>
          </w:tcPr>
          <w:p w14:paraId="4A7542AD" w14:textId="77777777" w:rsidR="007F2986" w:rsidRDefault="007F2986" w:rsidP="00CC2E43">
            <w:pPr>
              <w:pStyle w:val="TableParagraph"/>
              <w:spacing w:line="246"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Legkisebb, medián és legnagyobb </w:t>
            </w:r>
          </w:p>
          <w:p w14:paraId="0F8BCFD3" w14:textId="77777777" w:rsidR="007F2986" w:rsidRDefault="007F2986" w:rsidP="00CC2E43">
            <w:pPr>
              <w:pStyle w:val="TableParagraph"/>
              <w:spacing w:line="252" w:lineRule="exact"/>
              <w:ind w:left="102"/>
              <w:rPr>
                <w:rFonts w:ascii="Times New Roman" w:eastAsia="Times New Roman" w:hAnsi="Times New Roman" w:cs="Times New Roman"/>
                <w:lang w:val="hu-HU"/>
              </w:rPr>
            </w:pPr>
            <w:r>
              <w:rPr>
                <w:rFonts w:ascii="Times New Roman" w:eastAsia="Times New Roman" w:hAnsi="Times New Roman" w:cs="Times New Roman"/>
                <w:lang w:val="hu-HU"/>
              </w:rPr>
              <w:t>dózis</w:t>
            </w:r>
          </w:p>
        </w:tc>
      </w:tr>
      <w:tr w:rsidR="007F2986" w14:paraId="2F04BB49" w14:textId="77777777" w:rsidTr="00CC2E43">
        <w:trPr>
          <w:trHeight w:hRule="exact" w:val="377"/>
        </w:trPr>
        <w:tc>
          <w:tcPr>
            <w:tcW w:w="2417" w:type="dxa"/>
            <w:tcBorders>
              <w:top w:val="single" w:sz="5" w:space="0" w:color="000000"/>
              <w:left w:val="single" w:sz="5" w:space="0" w:color="000000"/>
              <w:bottom w:val="single" w:sz="5" w:space="0" w:color="000000"/>
              <w:right w:val="single" w:sz="5" w:space="0" w:color="000000"/>
            </w:tcBorders>
          </w:tcPr>
          <w:p w14:paraId="6EB054F9" w14:textId="77777777" w:rsidR="007F2986" w:rsidRDefault="007F2986" w:rsidP="00CC2E43">
            <w:pPr>
              <w:pStyle w:val="TableParagraph"/>
              <w:spacing w:line="246" w:lineRule="exact"/>
              <w:ind w:left="102"/>
              <w:rPr>
                <w:rFonts w:ascii="Times New Roman" w:eastAsia="Times New Roman" w:hAnsi="Times New Roman" w:cs="Times New Roman"/>
                <w:lang w:val="hu-HU"/>
              </w:rPr>
            </w:pPr>
            <w:r>
              <w:rPr>
                <w:rFonts w:ascii="Times New Roman" w:eastAsia="Times New Roman" w:hAnsi="Times New Roman" w:cs="Times New Roman"/>
                <w:lang w:val="hu-HU"/>
              </w:rPr>
              <w:t>4 – 7 év</w:t>
            </w:r>
          </w:p>
        </w:tc>
        <w:tc>
          <w:tcPr>
            <w:tcW w:w="3521" w:type="dxa"/>
            <w:tcBorders>
              <w:top w:val="single" w:sz="5" w:space="0" w:color="000000"/>
              <w:left w:val="single" w:sz="5" w:space="0" w:color="000000"/>
              <w:bottom w:val="single" w:sz="5" w:space="0" w:color="000000"/>
              <w:right w:val="single" w:sz="5" w:space="0" w:color="000000"/>
            </w:tcBorders>
          </w:tcPr>
          <w:p w14:paraId="7DB8C7FF" w14:textId="77777777" w:rsidR="007F2986" w:rsidRDefault="007F2986" w:rsidP="00CC2E43">
            <w:pPr>
              <w:pStyle w:val="TableParagraph"/>
              <w:spacing w:line="246"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31 (18,1)</w:t>
            </w:r>
          </w:p>
        </w:tc>
        <w:tc>
          <w:tcPr>
            <w:tcW w:w="3240" w:type="dxa"/>
            <w:tcBorders>
              <w:top w:val="single" w:sz="5" w:space="0" w:color="000000"/>
              <w:left w:val="single" w:sz="5" w:space="0" w:color="000000"/>
              <w:bottom w:val="single" w:sz="5" w:space="0" w:color="000000"/>
              <w:right w:val="single" w:sz="5" w:space="0" w:color="000000"/>
            </w:tcBorders>
          </w:tcPr>
          <w:p w14:paraId="34DD7600" w14:textId="77777777" w:rsidR="007F2986" w:rsidRDefault="007F2986" w:rsidP="00CC2E43">
            <w:pPr>
              <w:pStyle w:val="TableParagraph"/>
              <w:spacing w:line="246"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10, 20 és 25 mg</w:t>
            </w:r>
          </w:p>
        </w:tc>
      </w:tr>
      <w:tr w:rsidR="007F2986" w14:paraId="286C9933" w14:textId="77777777" w:rsidTr="00CC2E43">
        <w:trPr>
          <w:trHeight w:hRule="exact" w:val="264"/>
        </w:trPr>
        <w:tc>
          <w:tcPr>
            <w:tcW w:w="2417" w:type="dxa"/>
            <w:tcBorders>
              <w:top w:val="single" w:sz="5" w:space="0" w:color="000000"/>
              <w:left w:val="single" w:sz="5" w:space="0" w:color="000000"/>
              <w:bottom w:val="single" w:sz="5" w:space="0" w:color="000000"/>
              <w:right w:val="single" w:sz="5" w:space="0" w:color="000000"/>
            </w:tcBorders>
          </w:tcPr>
          <w:p w14:paraId="6391BED4" w14:textId="77777777" w:rsidR="007F2986" w:rsidRDefault="007F2986" w:rsidP="00CC2E43">
            <w:pPr>
              <w:pStyle w:val="TableParagraph"/>
              <w:spacing w:line="248" w:lineRule="exact"/>
              <w:ind w:left="102"/>
              <w:rPr>
                <w:rFonts w:ascii="Times New Roman" w:eastAsia="Times New Roman" w:hAnsi="Times New Roman" w:cs="Times New Roman"/>
                <w:lang w:val="hu-HU"/>
              </w:rPr>
            </w:pPr>
            <w:r>
              <w:rPr>
                <w:rFonts w:ascii="Times New Roman" w:eastAsia="Times New Roman" w:hAnsi="Times New Roman" w:cs="Times New Roman"/>
                <w:lang w:val="hu-HU"/>
              </w:rPr>
              <w:t>8 – 12 év</w:t>
            </w:r>
          </w:p>
        </w:tc>
        <w:tc>
          <w:tcPr>
            <w:tcW w:w="3521" w:type="dxa"/>
            <w:tcBorders>
              <w:top w:val="single" w:sz="5" w:space="0" w:color="000000"/>
              <w:left w:val="single" w:sz="5" w:space="0" w:color="000000"/>
              <w:bottom w:val="single" w:sz="5" w:space="0" w:color="000000"/>
              <w:right w:val="single" w:sz="5" w:space="0" w:color="000000"/>
            </w:tcBorders>
          </w:tcPr>
          <w:p w14:paraId="6952A6A7" w14:textId="77777777" w:rsidR="007F2986" w:rsidRDefault="007F2986" w:rsidP="00CC2E43">
            <w:pPr>
              <w:pStyle w:val="TableParagraph"/>
              <w:spacing w:line="248" w:lineRule="exact"/>
              <w:ind w:left="102"/>
              <w:rPr>
                <w:rFonts w:ascii="Times New Roman" w:eastAsia="Times New Roman" w:hAnsi="Times New Roman" w:cs="Times New Roman"/>
                <w:lang w:val="hu-HU"/>
              </w:rPr>
            </w:pPr>
            <w:r>
              <w:rPr>
                <w:rFonts w:ascii="Times New Roman" w:eastAsia="Times New Roman" w:hAnsi="Times New Roman" w:cs="Times New Roman"/>
                <w:lang w:val="hu-HU"/>
              </w:rPr>
              <w:t>71 (41,5)</w:t>
            </w:r>
          </w:p>
        </w:tc>
        <w:tc>
          <w:tcPr>
            <w:tcW w:w="3240" w:type="dxa"/>
            <w:tcBorders>
              <w:top w:val="single" w:sz="5" w:space="0" w:color="000000"/>
              <w:left w:val="single" w:sz="5" w:space="0" w:color="000000"/>
              <w:bottom w:val="single" w:sz="5" w:space="0" w:color="000000"/>
              <w:right w:val="single" w:sz="5" w:space="0" w:color="000000"/>
            </w:tcBorders>
          </w:tcPr>
          <w:p w14:paraId="22D03421" w14:textId="77777777" w:rsidR="007F2986" w:rsidRDefault="007F2986" w:rsidP="00CC2E43">
            <w:pPr>
              <w:pStyle w:val="TableParagraph"/>
              <w:spacing w:line="248"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20, 25 és 40 mg</w:t>
            </w:r>
          </w:p>
        </w:tc>
      </w:tr>
      <w:tr w:rsidR="007F2986" w14:paraId="4E901557" w14:textId="77777777" w:rsidTr="00CC2E43">
        <w:trPr>
          <w:trHeight w:hRule="exact" w:val="264"/>
        </w:trPr>
        <w:tc>
          <w:tcPr>
            <w:tcW w:w="2417" w:type="dxa"/>
            <w:tcBorders>
              <w:top w:val="single" w:sz="5" w:space="0" w:color="000000"/>
              <w:left w:val="single" w:sz="5" w:space="0" w:color="000000"/>
              <w:bottom w:val="single" w:sz="5" w:space="0" w:color="000000"/>
              <w:right w:val="single" w:sz="5" w:space="0" w:color="000000"/>
            </w:tcBorders>
          </w:tcPr>
          <w:p w14:paraId="693E10BE" w14:textId="77777777" w:rsidR="007F2986" w:rsidRDefault="007F2986" w:rsidP="00CC2E43">
            <w:pPr>
              <w:pStyle w:val="TableParagraph"/>
              <w:spacing w:line="246"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13 </w:t>
            </w:r>
            <w:r>
              <w:rPr>
                <w:rFonts w:ascii="Times New Roman" w:eastAsia="Times New Roman" w:hAnsi="Times New Roman" w:cs="Times New Roman"/>
                <w:lang w:val="hu-HU"/>
              </w:rPr>
              <w:t>–</w:t>
            </w:r>
            <w:r>
              <w:rPr>
                <w:rFonts w:ascii="Times New Roman" w:eastAsia="Times New Roman" w:hAnsi="Times New Roman" w:cs="Times New Roman"/>
                <w:spacing w:val="-1"/>
                <w:lang w:val="hu-HU"/>
              </w:rPr>
              <w:t xml:space="preserve"> 17 év</w:t>
            </w:r>
          </w:p>
        </w:tc>
        <w:tc>
          <w:tcPr>
            <w:tcW w:w="3521" w:type="dxa"/>
            <w:tcBorders>
              <w:top w:val="single" w:sz="5" w:space="0" w:color="000000"/>
              <w:left w:val="single" w:sz="5" w:space="0" w:color="000000"/>
              <w:bottom w:val="single" w:sz="5" w:space="0" w:color="000000"/>
              <w:right w:val="single" w:sz="5" w:space="0" w:color="000000"/>
            </w:tcBorders>
          </w:tcPr>
          <w:p w14:paraId="0D15335A" w14:textId="77777777" w:rsidR="007F2986" w:rsidRDefault="007F2986" w:rsidP="00CC2E43">
            <w:pPr>
              <w:pStyle w:val="TableParagraph"/>
              <w:spacing w:line="246"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69 (40,4)</w:t>
            </w:r>
          </w:p>
        </w:tc>
        <w:tc>
          <w:tcPr>
            <w:tcW w:w="3240" w:type="dxa"/>
            <w:tcBorders>
              <w:top w:val="single" w:sz="5" w:space="0" w:color="000000"/>
              <w:left w:val="single" w:sz="5" w:space="0" w:color="000000"/>
              <w:bottom w:val="single" w:sz="5" w:space="0" w:color="000000"/>
              <w:right w:val="single" w:sz="5" w:space="0" w:color="000000"/>
            </w:tcBorders>
          </w:tcPr>
          <w:p w14:paraId="015FAD82" w14:textId="77777777" w:rsidR="007F2986" w:rsidRDefault="007F2986" w:rsidP="00CC2E43">
            <w:pPr>
              <w:pStyle w:val="TableParagraph"/>
              <w:spacing w:line="246"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25, 40 és 40 mg</w:t>
            </w:r>
          </w:p>
        </w:tc>
      </w:tr>
    </w:tbl>
    <w:p w14:paraId="088F7E88" w14:textId="77777777" w:rsidR="007F2986" w:rsidRDefault="007F2986" w:rsidP="007F2986">
      <w:pPr>
        <w:spacing w:before="3" w:line="170" w:lineRule="exact"/>
        <w:rPr>
          <w:sz w:val="17"/>
          <w:szCs w:val="17"/>
          <w:lang w:val="hu-HU"/>
        </w:rPr>
      </w:pPr>
    </w:p>
    <w:p w14:paraId="03F5D0C5" w14:textId="77777777" w:rsidR="007F2986" w:rsidRDefault="007F2986" w:rsidP="007F2986">
      <w:pPr>
        <w:pStyle w:val="a3"/>
        <w:rPr>
          <w:lang w:val="hu-HU"/>
        </w:rPr>
      </w:pPr>
      <w:r>
        <w:rPr>
          <w:rFonts w:eastAsia="Times New Roman"/>
          <w:lang w:val="hu-HU"/>
        </w:rPr>
        <w:t>Azok a betegek, akik 16. héten Pediátriai ACR 30 választ mutattak, alkalmasak voltak arra, hogy véletlenszerűen besorolják őket a kettős vak (DB) fázisba, melyben minden második héten 24 mg/m</w:t>
      </w:r>
      <w:r>
        <w:rPr>
          <w:rFonts w:eastAsia="Times New Roman"/>
          <w:sz w:val="14"/>
          <w:szCs w:val="14"/>
          <w:lang w:val="hu-HU"/>
        </w:rPr>
        <w:t>2</w:t>
      </w:r>
      <w:r>
        <w:rPr>
          <w:rFonts w:eastAsia="Times New Roman"/>
          <w:lang w:val="hu-HU"/>
        </w:rPr>
        <w:t xml:space="preserve">, de legfeljebb 40 mg adalimumabot vagy placebót kaptak további 32 héten át, vagy a betegség fellángolásáig. A betegség fellángolásának kritériumait a következőképpen határozták meg: a 6 Pediátriai ACR-alapkritérium közül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3 vagy több esetében legalább </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30%-os romlás a kiindulási állapothoz képest, legalább</w:t>
      </w:r>
      <w:r>
        <w:rPr>
          <w:rFonts w:ascii="Symbol" w:eastAsia="Symbol" w:hAnsi="Symbol" w:cs="Symbol"/>
          <w:lang w:val="hu-HU"/>
        </w:rPr>
        <w:sym w:font="Symbol" w:char="F0B3"/>
      </w:r>
      <w:r>
        <w:rPr>
          <w:rFonts w:ascii="Symbol" w:eastAsia="Symbol" w:hAnsi="Symbol" w:cs="Symbol"/>
          <w:lang w:val="hu-HU"/>
        </w:rPr>
        <w:sym w:font="Symbol" w:char="F020"/>
      </w:r>
      <w:r>
        <w:rPr>
          <w:rFonts w:eastAsia="Times New Roman"/>
          <w:lang w:val="hu-HU"/>
        </w:rPr>
        <w:t xml:space="preserve"> 2 vagy több aktív ízület megléte, és a 6 kritérium közül legfeljebb 1-ben észlelhető </w:t>
      </w:r>
      <w:r>
        <w:rPr>
          <w:rFonts w:ascii="Symbol" w:eastAsia="Symbol" w:hAnsi="Symbol" w:cs="Symbol"/>
          <w:lang w:val="hu-HU"/>
        </w:rPr>
        <w:sym w:font="Symbol" w:char="F03E"/>
      </w:r>
      <w:r>
        <w:rPr>
          <w:rFonts w:ascii="Symbol" w:eastAsia="Symbol" w:hAnsi="Symbol" w:cs="Symbol"/>
          <w:lang w:val="hu-HU"/>
        </w:rPr>
        <w:sym w:font="Symbol" w:char="F020"/>
      </w:r>
      <w:r>
        <w:rPr>
          <w:rFonts w:eastAsia="Times New Roman"/>
          <w:lang w:val="hu-HU"/>
        </w:rPr>
        <w:t>30%-nál nagyobb mértékű javulásA 32. hét után vagy a betegség fellángolása esetén a betegek alkalmasak voltak arra, hogy beválasszák őket a nyílt kiterjesztéses fázisba</w:t>
      </w:r>
    </w:p>
    <w:p w14:paraId="0856D33C" w14:textId="77777777" w:rsidR="007F2986" w:rsidRDefault="007F2986" w:rsidP="007F2986">
      <w:pPr>
        <w:rPr>
          <w:sz w:val="24"/>
          <w:szCs w:val="24"/>
          <w:lang w:val="hu-HU"/>
        </w:rPr>
      </w:pPr>
    </w:p>
    <w:p w14:paraId="05F26B15" w14:textId="111E142A" w:rsidR="007F2986" w:rsidRDefault="00C54BE6" w:rsidP="007F2986">
      <w:pPr>
        <w:pStyle w:val="a3"/>
        <w:jc w:val="center"/>
        <w:rPr>
          <w:b/>
          <w:lang w:val="hu-HU"/>
        </w:rPr>
      </w:pPr>
      <w:r>
        <w:rPr>
          <w:rFonts w:eastAsia="Times New Roman"/>
          <w:b/>
          <w:bCs/>
          <w:lang w:val="hu-HU"/>
        </w:rPr>
        <w:t>18</w:t>
      </w:r>
      <w:r w:rsidR="007F2986">
        <w:rPr>
          <w:rFonts w:eastAsia="Times New Roman"/>
          <w:b/>
          <w:bCs/>
          <w:lang w:val="hu-HU"/>
        </w:rPr>
        <w:t>. táblázat</w:t>
      </w:r>
    </w:p>
    <w:p w14:paraId="4002C6A4" w14:textId="77777777" w:rsidR="007F2986" w:rsidRDefault="007F2986" w:rsidP="007F2986">
      <w:pPr>
        <w:pStyle w:val="a3"/>
        <w:jc w:val="center"/>
        <w:rPr>
          <w:b/>
          <w:lang w:val="hu-HU"/>
        </w:rPr>
      </w:pPr>
      <w:r>
        <w:rPr>
          <w:rFonts w:eastAsia="Times New Roman"/>
          <w:b/>
          <w:bCs/>
          <w:lang w:val="hu-HU"/>
        </w:rPr>
        <w:t>Pediátriai ACR 30 válasz a JIA-vizsgálatban</w:t>
      </w:r>
    </w:p>
    <w:p w14:paraId="458B5C64" w14:textId="77777777" w:rsidR="007F2986" w:rsidRDefault="007F2986" w:rsidP="007F2986">
      <w:pPr>
        <w:pStyle w:val="a3"/>
        <w:rPr>
          <w:lang w:val="hu-HU"/>
        </w:rPr>
      </w:pPr>
    </w:p>
    <w:tbl>
      <w:tblPr>
        <w:tblStyle w:val="TableNormal1"/>
        <w:tblW w:w="0" w:type="auto"/>
        <w:tblInd w:w="220" w:type="dxa"/>
        <w:tblLayout w:type="fixed"/>
        <w:tblLook w:val="01E0" w:firstRow="1" w:lastRow="1" w:firstColumn="1" w:lastColumn="1" w:noHBand="0" w:noVBand="0"/>
      </w:tblPr>
      <w:tblGrid>
        <w:gridCol w:w="2417"/>
        <w:gridCol w:w="1762"/>
        <w:gridCol w:w="1759"/>
        <w:gridCol w:w="1651"/>
        <w:gridCol w:w="1589"/>
      </w:tblGrid>
      <w:tr w:rsidR="007F2986" w14:paraId="79ECEDD9" w14:textId="77777777" w:rsidTr="00CC2E43">
        <w:tc>
          <w:tcPr>
            <w:tcW w:w="2417" w:type="dxa"/>
            <w:tcBorders>
              <w:top w:val="single" w:sz="5" w:space="0" w:color="000000"/>
              <w:left w:val="single" w:sz="5" w:space="0" w:color="000000"/>
              <w:bottom w:val="single" w:sz="5" w:space="0" w:color="000000"/>
              <w:right w:val="single" w:sz="5" w:space="0" w:color="000000"/>
            </w:tcBorders>
          </w:tcPr>
          <w:p w14:paraId="0E6447DD" w14:textId="77777777" w:rsidR="007F2986" w:rsidRPr="00CF5D7A" w:rsidRDefault="007F2986" w:rsidP="00CC2E43">
            <w:pPr>
              <w:pStyle w:val="TableParagraph"/>
              <w:spacing w:line="246" w:lineRule="exact"/>
              <w:ind w:left="102"/>
              <w:rPr>
                <w:rFonts w:ascii="Times New Roman" w:eastAsia="Times New Roman" w:hAnsi="Times New Roman" w:cs="Times New Roman"/>
                <w:lang w:val="hu-HU"/>
              </w:rPr>
            </w:pPr>
            <w:r w:rsidRPr="00CF5D7A">
              <w:rPr>
                <w:rFonts w:ascii="Times New Roman" w:eastAsia="Times New Roman" w:hAnsi="Times New Roman" w:cs="Times New Roman"/>
                <w:lang w:val="hu-HU"/>
              </w:rPr>
              <w:t>Betegcsoport</w:t>
            </w:r>
          </w:p>
        </w:tc>
        <w:tc>
          <w:tcPr>
            <w:tcW w:w="3521" w:type="dxa"/>
            <w:gridSpan w:val="2"/>
            <w:tcBorders>
              <w:top w:val="single" w:sz="5" w:space="0" w:color="000000"/>
              <w:left w:val="single" w:sz="5" w:space="0" w:color="000000"/>
              <w:bottom w:val="single" w:sz="5" w:space="0" w:color="000000"/>
              <w:right w:val="single" w:sz="5" w:space="0" w:color="000000"/>
            </w:tcBorders>
          </w:tcPr>
          <w:p w14:paraId="3825B377"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MTX-tal kezelt</w:t>
            </w:r>
          </w:p>
        </w:tc>
        <w:tc>
          <w:tcPr>
            <w:tcW w:w="3240" w:type="dxa"/>
            <w:gridSpan w:val="2"/>
            <w:tcBorders>
              <w:top w:val="single" w:sz="5" w:space="0" w:color="000000"/>
              <w:left w:val="single" w:sz="5" w:space="0" w:color="000000"/>
              <w:bottom w:val="single" w:sz="5" w:space="0" w:color="000000"/>
              <w:right w:val="single" w:sz="5" w:space="0" w:color="000000"/>
            </w:tcBorders>
          </w:tcPr>
          <w:p w14:paraId="1962AF54" w14:textId="77777777" w:rsidR="007F2986" w:rsidRPr="00CF5D7A" w:rsidRDefault="007F2986" w:rsidP="00CC2E43">
            <w:pPr>
              <w:pStyle w:val="TableParagraph"/>
              <w:spacing w:line="246" w:lineRule="exact"/>
              <w:ind w:left="954"/>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MTX-tal nem kezelt</w:t>
            </w:r>
          </w:p>
        </w:tc>
      </w:tr>
      <w:tr w:rsidR="007F2986" w14:paraId="28029FFB" w14:textId="77777777" w:rsidTr="00CC2E43">
        <w:tc>
          <w:tcPr>
            <w:tcW w:w="2417" w:type="dxa"/>
            <w:tcBorders>
              <w:top w:val="single" w:sz="5" w:space="0" w:color="000000"/>
              <w:left w:val="single" w:sz="5" w:space="0" w:color="000000"/>
              <w:bottom w:val="single" w:sz="5" w:space="0" w:color="000000"/>
              <w:right w:val="single" w:sz="5" w:space="0" w:color="000000"/>
            </w:tcBorders>
          </w:tcPr>
          <w:p w14:paraId="116D90DA" w14:textId="77777777" w:rsidR="007F2986" w:rsidRPr="00CF5D7A" w:rsidRDefault="007F2986" w:rsidP="00CC2E43">
            <w:pPr>
              <w:pStyle w:val="TableParagraph"/>
              <w:spacing w:line="246" w:lineRule="exact"/>
              <w:ind w:left="102"/>
              <w:rPr>
                <w:rFonts w:ascii="Times New Roman" w:eastAsia="Times New Roman" w:hAnsi="Times New Roman" w:cs="Times New Roman"/>
                <w:lang w:val="hu-HU"/>
              </w:rPr>
            </w:pPr>
            <w:r w:rsidRPr="00CF5D7A">
              <w:rPr>
                <w:rFonts w:ascii="Times New Roman" w:eastAsia="Times New Roman" w:hAnsi="Times New Roman" w:cs="Times New Roman"/>
                <w:lang w:val="hu-HU"/>
              </w:rPr>
              <w:t>Szakasz</w:t>
            </w:r>
          </w:p>
        </w:tc>
        <w:tc>
          <w:tcPr>
            <w:tcW w:w="3521" w:type="dxa"/>
            <w:gridSpan w:val="2"/>
            <w:tcBorders>
              <w:top w:val="single" w:sz="5" w:space="0" w:color="000000"/>
              <w:left w:val="single" w:sz="5" w:space="0" w:color="000000"/>
              <w:bottom w:val="single" w:sz="5" w:space="0" w:color="000000"/>
              <w:right w:val="single" w:sz="5" w:space="0" w:color="000000"/>
            </w:tcBorders>
          </w:tcPr>
          <w:p w14:paraId="335AA7C7" w14:textId="77777777" w:rsidR="007F2986" w:rsidRPr="00CF5D7A" w:rsidRDefault="007F2986" w:rsidP="00CC2E43">
            <w:pPr>
              <w:rPr>
                <w:lang w:val="hu-HU"/>
              </w:rPr>
            </w:pPr>
          </w:p>
        </w:tc>
        <w:tc>
          <w:tcPr>
            <w:tcW w:w="3240" w:type="dxa"/>
            <w:gridSpan w:val="2"/>
            <w:tcBorders>
              <w:top w:val="single" w:sz="5" w:space="0" w:color="000000"/>
              <w:left w:val="single" w:sz="5" w:space="0" w:color="000000"/>
              <w:bottom w:val="single" w:sz="5" w:space="0" w:color="000000"/>
              <w:right w:val="single" w:sz="5" w:space="0" w:color="000000"/>
            </w:tcBorders>
          </w:tcPr>
          <w:p w14:paraId="37E35A0E" w14:textId="77777777" w:rsidR="007F2986" w:rsidRPr="00CF5D7A" w:rsidRDefault="007F2986" w:rsidP="00CC2E43">
            <w:pPr>
              <w:rPr>
                <w:lang w:val="hu-HU"/>
              </w:rPr>
            </w:pPr>
          </w:p>
        </w:tc>
      </w:tr>
      <w:tr w:rsidR="007F2986" w14:paraId="7180C8FB" w14:textId="77777777" w:rsidTr="00CC2E43">
        <w:tc>
          <w:tcPr>
            <w:tcW w:w="2417" w:type="dxa"/>
            <w:tcBorders>
              <w:top w:val="single" w:sz="5" w:space="0" w:color="000000"/>
              <w:left w:val="single" w:sz="5" w:space="0" w:color="000000"/>
              <w:bottom w:val="single" w:sz="5" w:space="0" w:color="000000"/>
              <w:right w:val="single" w:sz="5" w:space="0" w:color="000000"/>
            </w:tcBorders>
          </w:tcPr>
          <w:p w14:paraId="07C0324F" w14:textId="77777777" w:rsidR="007F2986" w:rsidRPr="00CF5D7A" w:rsidRDefault="007F2986" w:rsidP="00CC2E43">
            <w:pPr>
              <w:pStyle w:val="TableParagraph"/>
              <w:spacing w:line="246" w:lineRule="exact"/>
              <w:ind w:left="102"/>
              <w:rPr>
                <w:rFonts w:ascii="Times New Roman" w:eastAsia="Times New Roman" w:hAnsi="Times New Roman" w:cs="Times New Roman"/>
                <w:lang w:val="hu-HU"/>
              </w:rPr>
            </w:pPr>
            <w:r w:rsidRPr="00CF5D7A">
              <w:rPr>
                <w:rFonts w:ascii="Times New Roman" w:eastAsia="Times New Roman" w:hAnsi="Times New Roman" w:cs="Times New Roman"/>
                <w:spacing w:val="-2"/>
                <w:lang w:val="hu-HU"/>
              </w:rPr>
              <w:lastRenderedPageBreak/>
              <w:t>OL-LI 16 hét</w:t>
            </w:r>
          </w:p>
        </w:tc>
        <w:tc>
          <w:tcPr>
            <w:tcW w:w="3521" w:type="dxa"/>
            <w:gridSpan w:val="2"/>
            <w:tcBorders>
              <w:top w:val="single" w:sz="5" w:space="0" w:color="000000"/>
              <w:left w:val="single" w:sz="5" w:space="0" w:color="000000"/>
              <w:bottom w:val="single" w:sz="5" w:space="0" w:color="000000"/>
              <w:right w:val="single" w:sz="5" w:space="0" w:color="000000"/>
            </w:tcBorders>
          </w:tcPr>
          <w:p w14:paraId="7356B72B" w14:textId="77777777" w:rsidR="007F2986" w:rsidRPr="00CF5D7A" w:rsidRDefault="007F2986" w:rsidP="00CC2E43">
            <w:pPr>
              <w:rPr>
                <w:lang w:val="hu-HU"/>
              </w:rPr>
            </w:pPr>
          </w:p>
        </w:tc>
        <w:tc>
          <w:tcPr>
            <w:tcW w:w="3240" w:type="dxa"/>
            <w:gridSpan w:val="2"/>
            <w:tcBorders>
              <w:top w:val="single" w:sz="5" w:space="0" w:color="000000"/>
              <w:left w:val="single" w:sz="5" w:space="0" w:color="000000"/>
              <w:bottom w:val="single" w:sz="5" w:space="0" w:color="000000"/>
              <w:right w:val="single" w:sz="5" w:space="0" w:color="000000"/>
            </w:tcBorders>
          </w:tcPr>
          <w:p w14:paraId="60BDEED8" w14:textId="77777777" w:rsidR="007F2986" w:rsidRPr="00CF5D7A" w:rsidRDefault="007F2986" w:rsidP="00CC2E43">
            <w:pPr>
              <w:rPr>
                <w:lang w:val="hu-HU"/>
              </w:rPr>
            </w:pPr>
          </w:p>
        </w:tc>
      </w:tr>
      <w:tr w:rsidR="007F2986" w14:paraId="1D456D22" w14:textId="77777777" w:rsidTr="00CC2E43">
        <w:tc>
          <w:tcPr>
            <w:tcW w:w="2417" w:type="dxa"/>
            <w:tcBorders>
              <w:top w:val="single" w:sz="5" w:space="0" w:color="000000"/>
              <w:left w:val="single" w:sz="5" w:space="0" w:color="000000"/>
              <w:bottom w:val="single" w:sz="5" w:space="0" w:color="000000"/>
              <w:right w:val="single" w:sz="5" w:space="0" w:color="000000"/>
            </w:tcBorders>
          </w:tcPr>
          <w:p w14:paraId="74AB3054" w14:textId="77777777" w:rsidR="007F2986" w:rsidRPr="00CF5D7A" w:rsidRDefault="007F2986" w:rsidP="00CC2E43">
            <w:pPr>
              <w:pStyle w:val="TableParagraph"/>
              <w:spacing w:line="246" w:lineRule="exact"/>
              <w:ind w:left="668"/>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Pediátraiai ACR 30</w:t>
            </w:r>
          </w:p>
          <w:p w14:paraId="6669FD20" w14:textId="77777777" w:rsidR="007F2986" w:rsidRPr="00CF5D7A" w:rsidRDefault="007F2986" w:rsidP="00CC2E43">
            <w:pPr>
              <w:pStyle w:val="TableParagraph"/>
              <w:spacing w:line="252" w:lineRule="exact"/>
              <w:ind w:left="668"/>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válasz (n/N)</w:t>
            </w:r>
          </w:p>
        </w:tc>
        <w:tc>
          <w:tcPr>
            <w:tcW w:w="3521" w:type="dxa"/>
            <w:gridSpan w:val="2"/>
            <w:tcBorders>
              <w:top w:val="single" w:sz="5" w:space="0" w:color="000000"/>
              <w:left w:val="single" w:sz="5" w:space="0" w:color="000000"/>
              <w:bottom w:val="single" w:sz="5" w:space="0" w:color="000000"/>
              <w:right w:val="single" w:sz="5" w:space="0" w:color="000000"/>
            </w:tcBorders>
          </w:tcPr>
          <w:p w14:paraId="0B20A326" w14:textId="77777777" w:rsidR="007F2986" w:rsidRPr="00CF5D7A" w:rsidRDefault="007F2986" w:rsidP="00CC2E43">
            <w:pPr>
              <w:pStyle w:val="TableParagraph"/>
              <w:spacing w:line="246" w:lineRule="exact"/>
              <w:ind w:left="1091"/>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94.1% (80/85)</w:t>
            </w:r>
          </w:p>
        </w:tc>
        <w:tc>
          <w:tcPr>
            <w:tcW w:w="3240" w:type="dxa"/>
            <w:gridSpan w:val="2"/>
            <w:tcBorders>
              <w:top w:val="single" w:sz="5" w:space="0" w:color="000000"/>
              <w:left w:val="single" w:sz="5" w:space="0" w:color="000000"/>
              <w:bottom w:val="single" w:sz="5" w:space="0" w:color="000000"/>
              <w:right w:val="single" w:sz="5" w:space="0" w:color="000000"/>
            </w:tcBorders>
          </w:tcPr>
          <w:p w14:paraId="7E1F9934" w14:textId="77777777" w:rsidR="007F2986" w:rsidRPr="00CF5D7A" w:rsidRDefault="007F2986" w:rsidP="00CC2E43">
            <w:pPr>
              <w:pStyle w:val="TableParagraph"/>
              <w:spacing w:line="246" w:lineRule="exact"/>
              <w:ind w:left="951"/>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74,4% (64/86)</w:t>
            </w:r>
          </w:p>
        </w:tc>
      </w:tr>
      <w:tr w:rsidR="007F2986" w14:paraId="27059091" w14:textId="77777777" w:rsidTr="00CC2E43">
        <w:tc>
          <w:tcPr>
            <w:tcW w:w="9178" w:type="dxa"/>
            <w:gridSpan w:val="5"/>
            <w:tcBorders>
              <w:top w:val="single" w:sz="5" w:space="0" w:color="000000"/>
              <w:left w:val="single" w:sz="5" w:space="0" w:color="000000"/>
              <w:bottom w:val="single" w:sz="5" w:space="0" w:color="000000"/>
              <w:right w:val="single" w:sz="5" w:space="0" w:color="000000"/>
            </w:tcBorders>
          </w:tcPr>
          <w:p w14:paraId="0B7873F7"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Hatásossági végpontok</w:t>
            </w:r>
          </w:p>
        </w:tc>
      </w:tr>
      <w:tr w:rsidR="007F2986" w14:paraId="6B4C8C14" w14:textId="77777777" w:rsidTr="00CC2E43">
        <w:tc>
          <w:tcPr>
            <w:tcW w:w="2417" w:type="dxa"/>
            <w:tcBorders>
              <w:top w:val="single" w:sz="5" w:space="0" w:color="000000"/>
              <w:left w:val="single" w:sz="5" w:space="0" w:color="000000"/>
              <w:bottom w:val="single" w:sz="5" w:space="0" w:color="000000"/>
              <w:right w:val="single" w:sz="5" w:space="0" w:color="000000"/>
            </w:tcBorders>
          </w:tcPr>
          <w:p w14:paraId="1B87C93E" w14:textId="77777777" w:rsidR="007F2986" w:rsidRPr="00CF5D7A" w:rsidRDefault="007F2986" w:rsidP="00CC2E43">
            <w:pPr>
              <w:pStyle w:val="TableParagraph"/>
              <w:spacing w:line="246" w:lineRule="exact"/>
              <w:ind w:left="102"/>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Kettős vak, 32 hét</w:t>
            </w:r>
          </w:p>
        </w:tc>
        <w:tc>
          <w:tcPr>
            <w:tcW w:w="1762" w:type="dxa"/>
            <w:tcBorders>
              <w:top w:val="single" w:sz="5" w:space="0" w:color="000000"/>
              <w:left w:val="single" w:sz="5" w:space="0" w:color="000000"/>
              <w:bottom w:val="single" w:sz="5" w:space="0" w:color="000000"/>
              <w:right w:val="single" w:sz="5" w:space="0" w:color="000000"/>
            </w:tcBorders>
          </w:tcPr>
          <w:p w14:paraId="43401CB3"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Adalimumab/MTX</w:t>
            </w:r>
          </w:p>
          <w:p w14:paraId="0D99DC51" w14:textId="5B2686A2" w:rsidR="007F2986" w:rsidRPr="00CF5D7A" w:rsidRDefault="007F2986" w:rsidP="00B36F4C">
            <w:pPr>
              <w:pStyle w:val="TableParagraph"/>
              <w:spacing w:before="1"/>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w:t>
            </w:r>
            <w:r w:rsidR="00B36F4C">
              <w:rPr>
                <w:rFonts w:ascii="Times New Roman" w:eastAsia="Times New Roman" w:hAnsi="Times New Roman" w:cs="Times New Roman"/>
                <w:spacing w:val="-1"/>
                <w:lang w:val="hu-HU"/>
              </w:rPr>
              <w:t>n</w:t>
            </w:r>
            <w:r w:rsidRPr="00CF5D7A">
              <w:rPr>
                <w:rFonts w:ascii="Times New Roman" w:eastAsia="Times New Roman" w:hAnsi="Times New Roman" w:cs="Times New Roman"/>
                <w:spacing w:val="-1"/>
                <w:lang w:val="hu-HU"/>
              </w:rPr>
              <w:t xml:space="preserve"> = 38)</w:t>
            </w:r>
          </w:p>
        </w:tc>
        <w:tc>
          <w:tcPr>
            <w:tcW w:w="1759" w:type="dxa"/>
            <w:tcBorders>
              <w:top w:val="single" w:sz="5" w:space="0" w:color="000000"/>
              <w:left w:val="single" w:sz="5" w:space="0" w:color="000000"/>
              <w:bottom w:val="single" w:sz="5" w:space="0" w:color="000000"/>
              <w:right w:val="single" w:sz="5" w:space="0" w:color="000000"/>
            </w:tcBorders>
          </w:tcPr>
          <w:p w14:paraId="62A5C85F"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Placebo/MTX</w:t>
            </w:r>
          </w:p>
          <w:p w14:paraId="0D04C027" w14:textId="7007CD6A" w:rsidR="007F2986" w:rsidRPr="00CF5D7A" w:rsidRDefault="007F2986" w:rsidP="00B36F4C">
            <w:pPr>
              <w:pStyle w:val="TableParagraph"/>
              <w:spacing w:before="1"/>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w:t>
            </w:r>
            <w:r w:rsidR="00B36F4C">
              <w:rPr>
                <w:rFonts w:ascii="Times New Roman" w:eastAsia="Times New Roman" w:hAnsi="Times New Roman" w:cs="Times New Roman"/>
                <w:spacing w:val="-1"/>
                <w:lang w:val="hu-HU"/>
              </w:rPr>
              <w:t>n</w:t>
            </w:r>
            <w:r w:rsidRPr="00CF5D7A">
              <w:rPr>
                <w:rFonts w:ascii="Times New Roman" w:eastAsia="Times New Roman" w:hAnsi="Times New Roman" w:cs="Times New Roman"/>
                <w:spacing w:val="-1"/>
                <w:lang w:val="hu-HU"/>
              </w:rPr>
              <w:t xml:space="preserve"> = 37)</w:t>
            </w:r>
          </w:p>
        </w:tc>
        <w:tc>
          <w:tcPr>
            <w:tcW w:w="1651" w:type="dxa"/>
            <w:tcBorders>
              <w:top w:val="single" w:sz="5" w:space="0" w:color="000000"/>
              <w:left w:val="single" w:sz="5" w:space="0" w:color="000000"/>
              <w:bottom w:val="single" w:sz="5" w:space="0" w:color="000000"/>
              <w:right w:val="single" w:sz="5" w:space="0" w:color="000000"/>
            </w:tcBorders>
          </w:tcPr>
          <w:p w14:paraId="0A4C5144"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Adalimumab</w:t>
            </w:r>
          </w:p>
          <w:p w14:paraId="2CD660EA" w14:textId="7660502B" w:rsidR="007F2986" w:rsidRPr="00CF5D7A" w:rsidRDefault="007F2986" w:rsidP="00B36F4C">
            <w:pPr>
              <w:pStyle w:val="TableParagraph"/>
              <w:spacing w:before="1"/>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w:t>
            </w:r>
            <w:r w:rsidR="00B36F4C">
              <w:rPr>
                <w:rFonts w:ascii="Times New Roman" w:eastAsia="Times New Roman" w:hAnsi="Times New Roman" w:cs="Times New Roman"/>
                <w:spacing w:val="-1"/>
                <w:lang w:val="hu-HU"/>
              </w:rPr>
              <w:t>n</w:t>
            </w:r>
            <w:r w:rsidRPr="00CF5D7A">
              <w:rPr>
                <w:rFonts w:ascii="Times New Roman" w:eastAsia="Times New Roman" w:hAnsi="Times New Roman" w:cs="Times New Roman"/>
                <w:spacing w:val="-1"/>
                <w:lang w:val="hu-HU"/>
              </w:rPr>
              <w:t xml:space="preserve"> = 30)</w:t>
            </w:r>
          </w:p>
        </w:tc>
        <w:tc>
          <w:tcPr>
            <w:tcW w:w="1589" w:type="dxa"/>
            <w:tcBorders>
              <w:top w:val="single" w:sz="5" w:space="0" w:color="000000"/>
              <w:left w:val="single" w:sz="5" w:space="0" w:color="000000"/>
              <w:bottom w:val="single" w:sz="5" w:space="0" w:color="000000"/>
              <w:right w:val="single" w:sz="5" w:space="0" w:color="000000"/>
            </w:tcBorders>
          </w:tcPr>
          <w:p w14:paraId="3750C83A"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Placebo</w:t>
            </w:r>
          </w:p>
          <w:p w14:paraId="311E1D08" w14:textId="67F07AC7" w:rsidR="007F2986" w:rsidRPr="00CF5D7A" w:rsidRDefault="007F2986" w:rsidP="00B36F4C">
            <w:pPr>
              <w:pStyle w:val="TableParagraph"/>
              <w:spacing w:before="1"/>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w:t>
            </w:r>
            <w:r w:rsidR="00B36F4C">
              <w:rPr>
                <w:rFonts w:ascii="Times New Roman" w:eastAsia="Times New Roman" w:hAnsi="Times New Roman" w:cs="Times New Roman"/>
                <w:spacing w:val="-1"/>
                <w:lang w:val="hu-HU"/>
              </w:rPr>
              <w:t>n</w:t>
            </w:r>
            <w:r w:rsidRPr="00CF5D7A">
              <w:rPr>
                <w:rFonts w:ascii="Times New Roman" w:eastAsia="Times New Roman" w:hAnsi="Times New Roman" w:cs="Times New Roman"/>
                <w:spacing w:val="-1"/>
                <w:lang w:val="hu-HU"/>
              </w:rPr>
              <w:t xml:space="preserve"> = 28)</w:t>
            </w:r>
          </w:p>
        </w:tc>
      </w:tr>
      <w:tr w:rsidR="007F2986" w14:paraId="68C6C497" w14:textId="77777777" w:rsidTr="00CC2E43">
        <w:tc>
          <w:tcPr>
            <w:tcW w:w="2417" w:type="dxa"/>
            <w:tcBorders>
              <w:top w:val="single" w:sz="5" w:space="0" w:color="000000"/>
              <w:left w:val="single" w:sz="5" w:space="0" w:color="000000"/>
              <w:bottom w:val="single" w:sz="5" w:space="0" w:color="000000"/>
              <w:right w:val="single" w:sz="5" w:space="0" w:color="000000"/>
            </w:tcBorders>
          </w:tcPr>
          <w:p w14:paraId="72A6C2BD" w14:textId="77777777" w:rsidR="007F2986" w:rsidRPr="00CF5D7A" w:rsidRDefault="007F2986" w:rsidP="00CC2E43">
            <w:pPr>
              <w:pStyle w:val="TableParagraph"/>
              <w:spacing w:line="246" w:lineRule="exact"/>
              <w:ind w:left="668"/>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 xml:space="preserve">A betegség fellángolása a </w:t>
            </w:r>
            <w:r w:rsidRPr="00CF5D7A">
              <w:rPr>
                <w:rFonts w:ascii="Times New Roman" w:eastAsia="Times New Roman" w:hAnsi="Times New Roman" w:cs="Times New Roman"/>
                <w:lang w:val="hu-HU"/>
              </w:rPr>
              <w:t>32. hét végén</w:t>
            </w:r>
            <w:r w:rsidRPr="009167C6">
              <w:rPr>
                <w:rFonts w:ascii="Times New Roman" w:eastAsia="Times New Roman" w:hAnsi="Times New Roman" w:cs="Times New Roman"/>
                <w:vertAlign w:val="superscript"/>
                <w:lang w:val="hu-HU"/>
              </w:rPr>
              <w:t>a</w:t>
            </w:r>
            <w:r w:rsidRPr="009167C6">
              <w:rPr>
                <w:rFonts w:ascii="Times New Roman" w:eastAsia="Times New Roman" w:hAnsi="Times New Roman" w:cs="Times New Roman"/>
                <w:lang w:val="hu-HU"/>
              </w:rPr>
              <w:t xml:space="preserve"> </w:t>
            </w:r>
            <w:r w:rsidRPr="00CF5D7A">
              <w:rPr>
                <w:rFonts w:ascii="Times New Roman" w:eastAsia="Times New Roman" w:hAnsi="Times New Roman" w:cs="Times New Roman"/>
                <w:lang w:val="hu-HU"/>
              </w:rPr>
              <w:t>(n/N)</w:t>
            </w:r>
          </w:p>
        </w:tc>
        <w:tc>
          <w:tcPr>
            <w:tcW w:w="1762" w:type="dxa"/>
            <w:tcBorders>
              <w:top w:val="single" w:sz="5" w:space="0" w:color="000000"/>
              <w:left w:val="single" w:sz="5" w:space="0" w:color="000000"/>
              <w:bottom w:val="single" w:sz="5" w:space="0" w:color="000000"/>
              <w:right w:val="single" w:sz="5" w:space="0" w:color="000000"/>
            </w:tcBorders>
          </w:tcPr>
          <w:p w14:paraId="0289C706"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36,8% (14/38)</w:t>
            </w:r>
          </w:p>
        </w:tc>
        <w:tc>
          <w:tcPr>
            <w:tcW w:w="1759" w:type="dxa"/>
            <w:tcBorders>
              <w:top w:val="single" w:sz="5" w:space="0" w:color="000000"/>
              <w:left w:val="single" w:sz="5" w:space="0" w:color="000000"/>
              <w:bottom w:val="single" w:sz="5" w:space="0" w:color="000000"/>
              <w:right w:val="single" w:sz="5" w:space="0" w:color="000000"/>
            </w:tcBorders>
          </w:tcPr>
          <w:p w14:paraId="7AA4D61E" w14:textId="77777777" w:rsidR="007F2986" w:rsidRPr="009167C6"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64,9% (24/37)</w:t>
            </w:r>
            <w:r w:rsidRPr="009167C6">
              <w:rPr>
                <w:rFonts w:ascii="Times New Roman" w:eastAsia="Times New Roman" w:hAnsi="Times New Roman" w:cs="Times New Roman"/>
                <w:spacing w:val="-1"/>
                <w:vertAlign w:val="superscript"/>
                <w:lang w:val="hu-HU"/>
              </w:rPr>
              <w:t>b</w:t>
            </w:r>
          </w:p>
        </w:tc>
        <w:tc>
          <w:tcPr>
            <w:tcW w:w="1651" w:type="dxa"/>
            <w:tcBorders>
              <w:top w:val="single" w:sz="5" w:space="0" w:color="000000"/>
              <w:left w:val="single" w:sz="5" w:space="0" w:color="000000"/>
              <w:bottom w:val="single" w:sz="5" w:space="0" w:color="000000"/>
              <w:right w:val="single" w:sz="5" w:space="0" w:color="000000"/>
            </w:tcBorders>
          </w:tcPr>
          <w:p w14:paraId="20B72BCC"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43,3% (13/30)</w:t>
            </w:r>
          </w:p>
        </w:tc>
        <w:tc>
          <w:tcPr>
            <w:tcW w:w="1589" w:type="dxa"/>
            <w:tcBorders>
              <w:top w:val="single" w:sz="5" w:space="0" w:color="000000"/>
              <w:left w:val="single" w:sz="5" w:space="0" w:color="000000"/>
              <w:bottom w:val="single" w:sz="5" w:space="0" w:color="000000"/>
              <w:right w:val="single" w:sz="5" w:space="0" w:color="000000"/>
            </w:tcBorders>
          </w:tcPr>
          <w:p w14:paraId="2E17F512"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71,4%</w:t>
            </w:r>
          </w:p>
          <w:p w14:paraId="682183B6" w14:textId="77777777" w:rsidR="007F2986" w:rsidRPr="009167C6" w:rsidRDefault="007F2986" w:rsidP="00CC2E43">
            <w:pPr>
              <w:pStyle w:val="TableParagraph"/>
              <w:spacing w:line="252" w:lineRule="exact"/>
              <w:jc w:val="center"/>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(20/28)</w:t>
            </w:r>
            <w:r w:rsidRPr="009167C6">
              <w:rPr>
                <w:rFonts w:ascii="Times New Roman" w:eastAsia="Times New Roman" w:hAnsi="Times New Roman" w:cs="Times New Roman"/>
                <w:spacing w:val="-1"/>
                <w:vertAlign w:val="superscript"/>
                <w:lang w:val="hu-HU"/>
              </w:rPr>
              <w:t>c</w:t>
            </w:r>
          </w:p>
        </w:tc>
      </w:tr>
      <w:tr w:rsidR="007F2986" w14:paraId="02786611" w14:textId="77777777" w:rsidTr="00CC2E43">
        <w:tc>
          <w:tcPr>
            <w:tcW w:w="2417" w:type="dxa"/>
            <w:tcBorders>
              <w:top w:val="single" w:sz="5" w:space="0" w:color="000000"/>
              <w:left w:val="single" w:sz="5" w:space="0" w:color="000000"/>
              <w:bottom w:val="single" w:sz="5" w:space="0" w:color="000000"/>
              <w:right w:val="single" w:sz="5" w:space="0" w:color="000000"/>
            </w:tcBorders>
          </w:tcPr>
          <w:p w14:paraId="2C70CF24" w14:textId="77777777" w:rsidR="007F2986" w:rsidRPr="00CF5D7A" w:rsidRDefault="007F2986" w:rsidP="00CC2E43">
            <w:pPr>
              <w:pStyle w:val="TableParagraph"/>
              <w:spacing w:line="246" w:lineRule="exact"/>
              <w:ind w:left="668"/>
              <w:rPr>
                <w:rFonts w:ascii="Times New Roman" w:eastAsia="Times New Roman" w:hAnsi="Times New Roman" w:cs="Times New Roman"/>
                <w:lang w:val="hu-HU"/>
              </w:rPr>
            </w:pPr>
            <w:r w:rsidRPr="00CF5D7A">
              <w:rPr>
                <w:rFonts w:ascii="Times New Roman" w:eastAsia="Times New Roman" w:hAnsi="Times New Roman" w:cs="Times New Roman"/>
                <w:spacing w:val="-1"/>
                <w:lang w:val="hu-HU"/>
              </w:rPr>
              <w:t>A betegség fellángolásáig eltelt medián idő</w:t>
            </w:r>
          </w:p>
        </w:tc>
        <w:tc>
          <w:tcPr>
            <w:tcW w:w="1762" w:type="dxa"/>
            <w:tcBorders>
              <w:top w:val="single" w:sz="5" w:space="0" w:color="000000"/>
              <w:left w:val="single" w:sz="5" w:space="0" w:color="000000"/>
              <w:bottom w:val="single" w:sz="5" w:space="0" w:color="000000"/>
              <w:right w:val="single" w:sz="5" w:space="0" w:color="000000"/>
            </w:tcBorders>
          </w:tcPr>
          <w:p w14:paraId="7EC75C56"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&gt; 32 hét</w:t>
            </w:r>
          </w:p>
        </w:tc>
        <w:tc>
          <w:tcPr>
            <w:tcW w:w="1759" w:type="dxa"/>
            <w:tcBorders>
              <w:top w:val="single" w:sz="5" w:space="0" w:color="000000"/>
              <w:left w:val="single" w:sz="5" w:space="0" w:color="000000"/>
              <w:bottom w:val="single" w:sz="5" w:space="0" w:color="000000"/>
              <w:right w:val="single" w:sz="5" w:space="0" w:color="000000"/>
            </w:tcBorders>
          </w:tcPr>
          <w:p w14:paraId="412E3B4A"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20 hét</w:t>
            </w:r>
          </w:p>
        </w:tc>
        <w:tc>
          <w:tcPr>
            <w:tcW w:w="1651" w:type="dxa"/>
            <w:tcBorders>
              <w:top w:val="single" w:sz="5" w:space="0" w:color="000000"/>
              <w:left w:val="single" w:sz="5" w:space="0" w:color="000000"/>
              <w:bottom w:val="single" w:sz="5" w:space="0" w:color="000000"/>
              <w:right w:val="single" w:sz="5" w:space="0" w:color="000000"/>
            </w:tcBorders>
          </w:tcPr>
          <w:p w14:paraId="25A55D07"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&gt; 32 hét</w:t>
            </w:r>
          </w:p>
        </w:tc>
        <w:tc>
          <w:tcPr>
            <w:tcW w:w="1589" w:type="dxa"/>
            <w:tcBorders>
              <w:top w:val="single" w:sz="5" w:space="0" w:color="000000"/>
              <w:left w:val="single" w:sz="5" w:space="0" w:color="000000"/>
              <w:bottom w:val="single" w:sz="5" w:space="0" w:color="000000"/>
              <w:right w:val="single" w:sz="5" w:space="0" w:color="000000"/>
            </w:tcBorders>
          </w:tcPr>
          <w:p w14:paraId="53EE9289" w14:textId="77777777" w:rsidR="007F2986" w:rsidRPr="00CF5D7A" w:rsidRDefault="007F2986" w:rsidP="00CC2E43">
            <w:pPr>
              <w:pStyle w:val="TableParagraph"/>
              <w:spacing w:line="246" w:lineRule="exact"/>
              <w:jc w:val="center"/>
              <w:rPr>
                <w:rFonts w:ascii="Times New Roman" w:eastAsia="Times New Roman" w:hAnsi="Times New Roman" w:cs="Times New Roman"/>
                <w:lang w:val="hu-HU"/>
              </w:rPr>
            </w:pPr>
            <w:r w:rsidRPr="00CF5D7A">
              <w:rPr>
                <w:rFonts w:ascii="Times New Roman" w:eastAsia="Times New Roman" w:hAnsi="Times New Roman" w:cs="Times New Roman"/>
                <w:lang w:val="hu-HU"/>
              </w:rPr>
              <w:t>14 hét</w:t>
            </w:r>
          </w:p>
        </w:tc>
      </w:tr>
    </w:tbl>
    <w:p w14:paraId="5FF05AEA" w14:textId="77777777" w:rsidR="007F2986" w:rsidRDefault="007F2986" w:rsidP="007F2986">
      <w:pPr>
        <w:spacing w:before="3" w:line="180" w:lineRule="exact"/>
        <w:rPr>
          <w:sz w:val="18"/>
          <w:szCs w:val="18"/>
          <w:lang w:val="hu-HU"/>
        </w:rPr>
      </w:pPr>
    </w:p>
    <w:p w14:paraId="22DC9A74" w14:textId="77777777" w:rsidR="007F2986" w:rsidRPr="00A9482F" w:rsidRDefault="007F2986" w:rsidP="005A05DE">
      <w:pPr>
        <w:pStyle w:val="a3"/>
        <w:ind w:leftChars="100" w:left="220"/>
        <w:rPr>
          <w:lang w:val="hu-HU"/>
        </w:rPr>
      </w:pPr>
      <w:r w:rsidRPr="009167C6">
        <w:rPr>
          <w:rFonts w:eastAsia="Times New Roman"/>
          <w:position w:val="8"/>
          <w:vertAlign w:val="superscript"/>
          <w:lang w:val="hu-HU"/>
        </w:rPr>
        <w:t>a</w:t>
      </w:r>
      <w:r w:rsidRPr="009167C6">
        <w:rPr>
          <w:rFonts w:eastAsia="Times New Roman"/>
          <w:position w:val="8"/>
          <w:lang w:val="hu-HU"/>
        </w:rPr>
        <w:t xml:space="preserve"> </w:t>
      </w:r>
      <w:r w:rsidRPr="00A9482F">
        <w:rPr>
          <w:rFonts w:eastAsia="Times New Roman"/>
          <w:position w:val="8"/>
          <w:lang w:val="hu-HU"/>
        </w:rPr>
        <w:t>A 48. heti Pediátriai ACR 30/50/70 válaszok szignifikánsan magasabbak, mint a placebóval kezelt betegeknél kapott értékek</w:t>
      </w:r>
    </w:p>
    <w:p w14:paraId="041E1DA6" w14:textId="77777777" w:rsidR="007F2986" w:rsidRPr="00A9482F" w:rsidRDefault="007F2986" w:rsidP="005A05DE">
      <w:pPr>
        <w:pStyle w:val="a3"/>
        <w:ind w:leftChars="100" w:left="220"/>
        <w:rPr>
          <w:lang w:val="hu-HU"/>
        </w:rPr>
      </w:pPr>
      <w:r w:rsidRPr="009167C6">
        <w:rPr>
          <w:rFonts w:eastAsia="Times New Roman"/>
          <w:position w:val="8"/>
          <w:vertAlign w:val="superscript"/>
          <w:lang w:val="hu-HU"/>
        </w:rPr>
        <w:t>b</w:t>
      </w:r>
      <w:r w:rsidRPr="009167C6">
        <w:rPr>
          <w:rFonts w:eastAsia="Times New Roman"/>
          <w:position w:val="8"/>
          <w:lang w:val="hu-HU"/>
        </w:rPr>
        <w:t xml:space="preserve"> </w:t>
      </w:r>
      <w:r w:rsidRPr="00A9482F">
        <w:rPr>
          <w:rFonts w:eastAsia="Times New Roman"/>
          <w:position w:val="8"/>
          <w:lang w:val="hu-HU"/>
        </w:rPr>
        <w:t>p = 0,015</w:t>
      </w:r>
    </w:p>
    <w:p w14:paraId="1264240D" w14:textId="77777777" w:rsidR="007F2986" w:rsidRPr="00A9482F" w:rsidRDefault="007F2986" w:rsidP="005A05DE">
      <w:pPr>
        <w:pStyle w:val="a3"/>
        <w:ind w:leftChars="100" w:left="220"/>
        <w:rPr>
          <w:lang w:val="hu-HU"/>
        </w:rPr>
      </w:pPr>
      <w:r w:rsidRPr="009167C6">
        <w:rPr>
          <w:rFonts w:eastAsia="Times New Roman"/>
          <w:position w:val="8"/>
          <w:vertAlign w:val="superscript"/>
          <w:lang w:val="hu-HU"/>
        </w:rPr>
        <w:t>c</w:t>
      </w:r>
      <w:r w:rsidRPr="009167C6">
        <w:rPr>
          <w:rFonts w:eastAsia="Times New Roman"/>
          <w:position w:val="8"/>
          <w:lang w:val="hu-HU"/>
        </w:rPr>
        <w:t xml:space="preserve"> </w:t>
      </w:r>
      <w:r w:rsidRPr="00A9482F">
        <w:rPr>
          <w:rFonts w:eastAsia="Times New Roman"/>
          <w:position w:val="8"/>
          <w:lang w:val="hu-HU"/>
        </w:rPr>
        <w:t>p = 0,031</w:t>
      </w:r>
    </w:p>
    <w:p w14:paraId="26C7C9C9" w14:textId="77777777" w:rsidR="007F2986" w:rsidRDefault="007F2986" w:rsidP="007F2986">
      <w:pPr>
        <w:spacing w:before="14" w:line="240" w:lineRule="exact"/>
        <w:rPr>
          <w:sz w:val="24"/>
          <w:szCs w:val="24"/>
          <w:lang w:val="hu-HU"/>
        </w:rPr>
      </w:pPr>
    </w:p>
    <w:p w14:paraId="5994ED4C" w14:textId="77777777" w:rsidR="007F2986" w:rsidRDefault="007F2986" w:rsidP="007F2986">
      <w:pPr>
        <w:pStyle w:val="a3"/>
        <w:rPr>
          <w:lang w:val="hu-HU"/>
        </w:rPr>
      </w:pPr>
      <w:r>
        <w:rPr>
          <w:rFonts w:eastAsia="Times New Roman"/>
          <w:spacing w:val="1"/>
          <w:lang w:val="hu-HU"/>
        </w:rPr>
        <w:t>Azok közül, akiknél terápiás válasz alakult ki a 16. héten (n = 144), a Pediátriai ACR 30/50/70/90 válaszok a nyílt kiterjesztéses szakaszban akár 6 éven át fennmaradtak azoknál, akik adalimumabot kaptak a vizsgálat teljes ideje alatt. Összesen 19 beteget kezeltek 6 évig vagy ennél hosszabb ideig, közülük 11-en tartoztak a 4 – 12 évesek, míg 8-an a 13 – 17 évesek kiindulási korcsoportjába.</w:t>
      </w:r>
    </w:p>
    <w:p w14:paraId="41606F2D" w14:textId="77777777" w:rsidR="007F2986" w:rsidRDefault="007F2986" w:rsidP="007F2986">
      <w:pPr>
        <w:spacing w:before="14" w:line="240" w:lineRule="exact"/>
        <w:rPr>
          <w:sz w:val="24"/>
          <w:szCs w:val="24"/>
          <w:lang w:val="hu-HU"/>
        </w:rPr>
      </w:pPr>
    </w:p>
    <w:p w14:paraId="2B95E0C6" w14:textId="77777777" w:rsidR="007F2986" w:rsidRDefault="007F2986" w:rsidP="007F2986">
      <w:pPr>
        <w:pStyle w:val="a3"/>
        <w:rPr>
          <w:lang w:val="hu-HU"/>
        </w:rPr>
      </w:pPr>
      <w:r>
        <w:rPr>
          <w:rFonts w:eastAsia="Times New Roman"/>
          <w:lang w:val="hu-HU"/>
        </w:rPr>
        <w:t>Az adalimumab és MTX kombinációjával kezelteknél az összesített terápiás válaszok általában jobbak voltak és kevesebb betegnél alakultak ki antitestek, mint azoknál, akik az adalimumabot önmagában kapták. Ezeket az eredményeket figyelembe véve a Yuflyma alkalmazása MTX-kombinációban, illetve monoterápiaként olyan betegeknél ajánlott, akiknél az MTX alkalmazása nem megfelelő (lásd 4.2 pont).</w:t>
      </w:r>
    </w:p>
    <w:p w14:paraId="2FDCD416" w14:textId="77777777" w:rsidR="007F2986" w:rsidRDefault="007F2986" w:rsidP="007F2986">
      <w:pPr>
        <w:pStyle w:val="a3"/>
        <w:rPr>
          <w:lang w:val="hu-HU"/>
        </w:rPr>
      </w:pPr>
    </w:p>
    <w:p w14:paraId="45C126C2" w14:textId="77777777" w:rsidR="007F2986" w:rsidRDefault="007F2986" w:rsidP="007F2986">
      <w:pPr>
        <w:pStyle w:val="a3"/>
        <w:rPr>
          <w:lang w:val="hu-HU"/>
        </w:rPr>
      </w:pPr>
      <w:r>
        <w:rPr>
          <w:rFonts w:eastAsia="Times New Roman"/>
          <w:spacing w:val="1"/>
          <w:lang w:val="hu-HU"/>
        </w:rPr>
        <w:t>pJIA II</w:t>
      </w:r>
    </w:p>
    <w:p w14:paraId="1DF8C75B" w14:textId="77777777" w:rsidR="007F2986" w:rsidRDefault="007F2986" w:rsidP="007F2986">
      <w:pPr>
        <w:spacing w:before="11" w:line="240" w:lineRule="exact"/>
        <w:rPr>
          <w:sz w:val="24"/>
          <w:szCs w:val="24"/>
          <w:lang w:val="hu-HU"/>
        </w:rPr>
      </w:pPr>
    </w:p>
    <w:p w14:paraId="6C04B098" w14:textId="77777777" w:rsidR="007F2986" w:rsidRDefault="007F2986" w:rsidP="007F2986">
      <w:pPr>
        <w:pStyle w:val="a3"/>
        <w:rPr>
          <w:lang w:val="hu-HU"/>
        </w:rPr>
      </w:pPr>
      <w:r>
        <w:rPr>
          <w:rFonts w:eastAsia="Times New Roman"/>
          <w:lang w:val="hu-HU"/>
        </w:rPr>
        <w:t>AAz adalimumab biztonságosságát és hatásosságát egy nyílt, multicentrikus vizsgálatban értékelték, amelyet 32 olyan gyermek bevonásával végeztek</w:t>
      </w:r>
    </w:p>
    <w:p w14:paraId="0AF79C73" w14:textId="77777777" w:rsidR="007F2986" w:rsidRDefault="007F2986" w:rsidP="007F2986">
      <w:pPr>
        <w:pStyle w:val="a3"/>
        <w:rPr>
          <w:lang w:val="hu-HU"/>
        </w:rPr>
      </w:pPr>
      <w:r>
        <w:rPr>
          <w:rFonts w:eastAsia="Times New Roman"/>
          <w:lang w:val="hu-HU"/>
        </w:rPr>
        <w:t>(életkoruk 2 - &lt;4 év vagy 4 év és a feletti, testtömegük &lt; 15 kg volt), akik közepesen súlyos vagy súlyos, aktív pJIA-ban szenvedtek. A betegek 24 mg/testfelszín m</w:t>
      </w:r>
      <w:r>
        <w:rPr>
          <w:rFonts w:eastAsia="Times New Roman"/>
          <w:sz w:val="14"/>
          <w:szCs w:val="14"/>
          <w:lang w:val="hu-HU"/>
        </w:rPr>
        <w:t>2</w:t>
      </w:r>
      <w:r>
        <w:rPr>
          <w:rFonts w:eastAsia="Times New Roman"/>
          <w:lang w:val="hu-HU"/>
        </w:rPr>
        <w:t>, kéthetente legfeljebb 20 mg egyszeri adag adalimumabot kaptak sc. injekció formájában legalább 24 hétig. A vizsgálat alatt a legtöbb betegnél alkalmaztak kísérő MTX-ot, néhány betegnél pedig kortikoszteroidok vagy nem szteroid gyulladásgátlók (NSAID) alkalmazásáról számoltak be</w:t>
      </w:r>
    </w:p>
    <w:p w14:paraId="5839AA8A" w14:textId="77777777" w:rsidR="007F2986" w:rsidRDefault="007F2986" w:rsidP="007F2986">
      <w:pPr>
        <w:spacing w:before="14" w:line="240" w:lineRule="exact"/>
        <w:rPr>
          <w:sz w:val="24"/>
          <w:szCs w:val="24"/>
          <w:lang w:val="hu-HU"/>
        </w:rPr>
      </w:pPr>
    </w:p>
    <w:p w14:paraId="375043E7" w14:textId="77777777" w:rsidR="007F2986" w:rsidRDefault="007F2986" w:rsidP="007F2986">
      <w:pPr>
        <w:pStyle w:val="a3"/>
        <w:rPr>
          <w:lang w:val="hu-HU"/>
        </w:rPr>
      </w:pPr>
      <w:r>
        <w:rPr>
          <w:rFonts w:eastAsia="Times New Roman"/>
          <w:lang w:val="hu-HU"/>
        </w:rPr>
        <w:t>A Pediátriai ACR 30 válasz a 12. héten 93,5%, a 24. héten pedig 90,0% volt a megfigyelt adatok elemzése alapján. A Pediátriai ACR 50/70/90 választ elérő betegek aránya a 12. héten 90,3%/61,3%/38,7%, a 24. héten 83,3%/73,3%/36,7% volt. Azok közül, akiknél terápiás válasz (Pediátriai ACR 30 ) alakult ki a 24. héten (n = 27 a 30 betegből), a Pediátriai ACR 30 válasz a nyílt kiterjesztéses szakaszban akár 60 hétig fennmaradt azoknál, akik adalimumabot kaptak ebben az időszakban.Összesen 20 beteget kezeltek 60 hétig vagy ennél hosszabb ideig.</w:t>
      </w:r>
    </w:p>
    <w:p w14:paraId="1D49D19B" w14:textId="77777777" w:rsidR="007F2986" w:rsidRDefault="007F2986" w:rsidP="007F2986">
      <w:pPr>
        <w:pStyle w:val="a3"/>
        <w:rPr>
          <w:sz w:val="24"/>
          <w:szCs w:val="24"/>
          <w:lang w:val="hu-HU"/>
        </w:rPr>
      </w:pPr>
    </w:p>
    <w:p w14:paraId="33FAF53C" w14:textId="77777777" w:rsidR="007F2986" w:rsidRDefault="007F2986" w:rsidP="007F2986">
      <w:pPr>
        <w:pStyle w:val="a3"/>
        <w:rPr>
          <w:rFonts w:eastAsia="Times New Roman"/>
          <w:lang w:val="hu-HU"/>
        </w:rPr>
      </w:pPr>
      <w:r>
        <w:rPr>
          <w:rFonts w:eastAsia="Times New Roman"/>
          <w:i/>
          <w:iCs/>
          <w:u w:val="single" w:color="000000"/>
          <w:lang w:val="hu-HU"/>
        </w:rPr>
        <w:t>Enthesitis-asszociált arthritis</w:t>
      </w:r>
    </w:p>
    <w:p w14:paraId="3D9ED50A" w14:textId="77777777" w:rsidR="007F2986" w:rsidRDefault="007F2986" w:rsidP="007F2986">
      <w:pPr>
        <w:pStyle w:val="a3"/>
        <w:rPr>
          <w:sz w:val="18"/>
          <w:szCs w:val="18"/>
          <w:lang w:val="hu-HU"/>
        </w:rPr>
      </w:pPr>
    </w:p>
    <w:p w14:paraId="115FBD19" w14:textId="77777777" w:rsidR="007F2986" w:rsidRDefault="007F2986" w:rsidP="007F2986">
      <w:pPr>
        <w:pStyle w:val="a3"/>
        <w:rPr>
          <w:lang w:val="hu-HU"/>
        </w:rPr>
      </w:pPr>
      <w:r>
        <w:rPr>
          <w:rFonts w:eastAsia="Times New Roman"/>
          <w:lang w:val="hu-HU"/>
        </w:rPr>
        <w:t>Az adalimumab biztonságosságát és hatásosságát egy multicentrikus, randomizált, kettős vak vizsgálatban értékelték, amelyet 46 olyan beteg bevonásával végeztek (életkoruk 6-17 év), akik közepesen súlyos enthesitis-asszociált arthritisben szenvedtek. A betegek vagy 24 mg/testfelszín m</w:t>
      </w:r>
      <w:r>
        <w:rPr>
          <w:rFonts w:eastAsia="Times New Roman"/>
          <w:sz w:val="14"/>
          <w:szCs w:val="14"/>
          <w:lang w:val="hu-HU"/>
        </w:rPr>
        <w:t>2</w:t>
      </w:r>
      <w:r>
        <w:rPr>
          <w:rFonts w:eastAsia="Times New Roman"/>
          <w:lang w:val="hu-HU"/>
        </w:rPr>
        <w:t>, kéthetente legfeljebb 40 mg adalimumabot vagy placebót kaptak 12 hétig. A kettős vak szakaszt egy nyílt szakasz követte, ami alatt a betegek 24 mg/testfelszín m</w:t>
      </w:r>
      <w:r>
        <w:rPr>
          <w:rFonts w:eastAsia="Times New Roman"/>
          <w:sz w:val="14"/>
          <w:szCs w:val="14"/>
          <w:lang w:val="hu-HU"/>
        </w:rPr>
        <w:t>2</w:t>
      </w:r>
      <w:r>
        <w:rPr>
          <w:rFonts w:eastAsia="Times New Roman"/>
          <w:lang w:val="hu-HU"/>
        </w:rPr>
        <w:t xml:space="preserve">, kéthetente legfeljebb 40 mg subcutan adalimumabot kaptak további 192 hétig. Az elsődleges végpont a kiindulási értékek és a 12. heti értékek közötti százalékos változás volt az aktív arthritises ízületek számában (ahol a duzzanatot nem az ízületi deformitás okozza vagy olyan ízület, </w:t>
      </w:r>
      <w:r>
        <w:rPr>
          <w:rFonts w:eastAsia="Times New Roman"/>
          <w:lang w:val="hu-HU"/>
        </w:rPr>
        <w:lastRenderedPageBreak/>
        <w:t>amelynek mozgása korlátozott és fájdalmas és/vagy duzzadt). Az elsődleges végpont teljesült, az adalimumab-csoportban az átlagos százalékos változás (csökkenés) -62,6% (medián százalékos változás -88,9%) volt, a placebocsoportban pedig -11,6% (medián százalékos változás -50,0%) volt. Az aktív arthritises ízületek számának javulása az adalimumab-csoportban 31 betegből a vizsgálatban maradó 26-nál (84%) megmaradt a nyílt szakaszban a 156. hétig. Bár statisztikailag nem szignifikáns, de a betegek többsége klinikai javulást mutatott a másodlagos végpontok tekintetében is, például az enthesitis által érintett részek számában, az érzékeny ízületek számában, a duzzadt ízületek számában, a pediátriai ACR 50 válaszban és a pediátriai ACR 70 válaszban.</w:t>
      </w:r>
    </w:p>
    <w:p w14:paraId="20E6211B" w14:textId="77777777" w:rsidR="007F2986" w:rsidRDefault="007F2986" w:rsidP="007F2986">
      <w:pPr>
        <w:pStyle w:val="a3"/>
        <w:rPr>
          <w:sz w:val="24"/>
          <w:szCs w:val="24"/>
          <w:lang w:val="hu-HU"/>
        </w:rPr>
      </w:pPr>
    </w:p>
    <w:p w14:paraId="3790C50D" w14:textId="77777777" w:rsidR="007F2986" w:rsidRDefault="007F2986" w:rsidP="007F2986">
      <w:pPr>
        <w:pStyle w:val="a3"/>
        <w:rPr>
          <w:rFonts w:eastAsia="Times New Roman"/>
          <w:lang w:val="hu-HU"/>
        </w:rPr>
      </w:pPr>
      <w:r>
        <w:rPr>
          <w:rFonts w:eastAsia="Times New Roman"/>
          <w:i/>
          <w:iCs/>
          <w:spacing w:val="-1"/>
          <w:lang w:val="hu-HU"/>
        </w:rPr>
        <w:t>Gyermekkori plakkos psoriasis</w:t>
      </w:r>
    </w:p>
    <w:p w14:paraId="47E45F0F" w14:textId="77777777" w:rsidR="007F2986" w:rsidRDefault="007F2986" w:rsidP="007F2986">
      <w:pPr>
        <w:pStyle w:val="a3"/>
        <w:rPr>
          <w:sz w:val="24"/>
          <w:szCs w:val="24"/>
          <w:lang w:val="hu-HU"/>
        </w:rPr>
      </w:pPr>
    </w:p>
    <w:p w14:paraId="1F1FAC66" w14:textId="77777777" w:rsidR="007F2986" w:rsidRDefault="007F2986" w:rsidP="007F2986">
      <w:pPr>
        <w:pStyle w:val="a3"/>
        <w:rPr>
          <w:lang w:val="hu-HU"/>
        </w:rPr>
      </w:pPr>
      <w:r>
        <w:rPr>
          <w:rFonts w:eastAsia="Times New Roman"/>
          <w:lang w:val="hu-HU"/>
        </w:rPr>
        <w:t>Az adalimumab hatásosságát egy randomizált, kettős vak, kontrollos vizsgálattal értékelték, amelyet 114 olyan, 4 évnél idősebb, súlyos krónikus plakkos psoriaA adalimumab hatásosságát egy randomizált, kettős vak, kontrollos vizsgálattal értékelték, amelyet 114 olyan, 4 évnél idősebb, súlyos krónikus plakkos psoriasisban szenvedő gyermek bevonásával végeztek, az orvos által végzett globális értékelés (Physician’s Global Assessment, PGA) definíció szerint ≥ 4 vagy &gt; 20% testfelület érintettség vagy &gt; 10% testfelület érintettség nagyon vastag elváltozásokkal vagy psoriasisos terület és súlyossági index (Psoriasis Area and Severity Index, PASI)</w:t>
      </w:r>
    </w:p>
    <w:p w14:paraId="1D2598C1" w14:textId="77777777" w:rsidR="007F2986" w:rsidRDefault="007F2986" w:rsidP="007F2986">
      <w:pPr>
        <w:pStyle w:val="a3"/>
        <w:rPr>
          <w:rFonts w:eastAsia="Times New Roman"/>
          <w:lang w:val="hu-HU"/>
        </w:rPr>
      </w:pPr>
      <w:r>
        <w:rPr>
          <w:rFonts w:eastAsia="Times New Roman"/>
          <w:lang w:val="hu-HU"/>
        </w:rPr>
        <w:t>≥ 20 vagy ≥ 10 klinikailag jelentős arc, genitális vagy kézfej/lábfej érintettséggel), akiknél a helyi kezelés és fényterápia vagy fototerápia hatástalan volt.</w:t>
      </w:r>
    </w:p>
    <w:p w14:paraId="4661D378" w14:textId="77777777" w:rsidR="007F2986" w:rsidRDefault="007F2986" w:rsidP="007F2986">
      <w:pPr>
        <w:pStyle w:val="a3"/>
        <w:rPr>
          <w:sz w:val="24"/>
          <w:szCs w:val="24"/>
          <w:lang w:val="hu-HU"/>
        </w:rPr>
      </w:pPr>
    </w:p>
    <w:p w14:paraId="31FA74A4" w14:textId="77777777" w:rsidR="007F2986" w:rsidRDefault="007F2986" w:rsidP="007F2986">
      <w:pPr>
        <w:pStyle w:val="a3"/>
        <w:rPr>
          <w:rFonts w:eastAsia="Times New Roman"/>
          <w:lang w:val="hu-HU"/>
        </w:rPr>
      </w:pPr>
      <w:r>
        <w:rPr>
          <w:rFonts w:eastAsia="Times New Roman"/>
          <w:lang w:val="hu-HU"/>
        </w:rPr>
        <w:t>A betegek 0,8 mg/ttkg (legfeljebb 40 mg), 40 mg/ttkg (legfeljebb 20 mg)  adalimumabot kaptak kéthetente vagy 0,1-0,4 mg/ttkg (legfeljebb 25 mg) metotrexátot hetente.16 hetes kezelés után több, 0,8 mg/ttkg  adalimumab-ra randomizált beteg mutatott pozitív hatásossági választ (például PASI 75), mint a kéthetente 0,4 mg/ttkg Adalimumabbal vagy metotrexáttal kezelt betegek.</w:t>
      </w:r>
    </w:p>
    <w:p w14:paraId="70598D71" w14:textId="77777777" w:rsidR="007F2986" w:rsidRDefault="007F2986" w:rsidP="007F2986">
      <w:pPr>
        <w:pStyle w:val="a3"/>
        <w:rPr>
          <w:rFonts w:eastAsia="Times New Roman"/>
          <w:lang w:val="hu-HU"/>
        </w:rPr>
      </w:pPr>
    </w:p>
    <w:p w14:paraId="36942E66" w14:textId="3515C591" w:rsidR="007F2986" w:rsidRDefault="00C54BE6" w:rsidP="007F2986">
      <w:pPr>
        <w:pStyle w:val="a3"/>
        <w:jc w:val="center"/>
        <w:rPr>
          <w:b/>
          <w:lang w:val="hu-HU"/>
        </w:rPr>
      </w:pPr>
      <w:r>
        <w:rPr>
          <w:rFonts w:eastAsia="Times New Roman"/>
          <w:b/>
          <w:bCs/>
          <w:lang w:val="hu-HU"/>
        </w:rPr>
        <w:t>19</w:t>
      </w:r>
      <w:r w:rsidR="007F2986">
        <w:rPr>
          <w:rFonts w:eastAsia="Times New Roman"/>
          <w:b/>
          <w:bCs/>
          <w:lang w:val="hu-HU"/>
        </w:rPr>
        <w:t>. táblázat</w:t>
      </w:r>
    </w:p>
    <w:p w14:paraId="6DC4CCC1" w14:textId="77777777" w:rsidR="007F2986" w:rsidRDefault="007F2986" w:rsidP="007F2986">
      <w:pPr>
        <w:pStyle w:val="a3"/>
        <w:jc w:val="center"/>
        <w:rPr>
          <w:rFonts w:eastAsia="Times New Roman"/>
          <w:b/>
          <w:bCs/>
          <w:lang w:val="hu-HU"/>
        </w:rPr>
      </w:pPr>
      <w:r>
        <w:rPr>
          <w:rFonts w:eastAsia="Times New Roman"/>
          <w:b/>
          <w:bCs/>
          <w:lang w:val="hu-HU"/>
        </w:rPr>
        <w:t>Gyermekkori plakkos psoriasis Hatásossági eredmények a 16. héten</w:t>
      </w:r>
    </w:p>
    <w:p w14:paraId="155A5C69" w14:textId="77777777" w:rsidR="00B727AB" w:rsidRDefault="00B727AB" w:rsidP="007F2986">
      <w:pPr>
        <w:pStyle w:val="a3"/>
        <w:jc w:val="center"/>
        <w:rPr>
          <w:b/>
          <w:lang w:val="hu-HU"/>
        </w:rPr>
      </w:pPr>
    </w:p>
    <w:p w14:paraId="31EFEFD1" w14:textId="77777777" w:rsidR="007F2986" w:rsidRDefault="007F2986" w:rsidP="007F2986">
      <w:pPr>
        <w:spacing w:before="4" w:line="10" w:lineRule="exact"/>
        <w:rPr>
          <w:sz w:val="4"/>
          <w:szCs w:val="4"/>
          <w:lang w:val="hu-HU"/>
        </w:rPr>
      </w:pPr>
    </w:p>
    <w:tbl>
      <w:tblPr>
        <w:tblStyle w:val="TableNormal1"/>
        <w:tblW w:w="0" w:type="auto"/>
        <w:tblInd w:w="6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28"/>
        <w:gridCol w:w="1680"/>
        <w:gridCol w:w="3190"/>
      </w:tblGrid>
      <w:tr w:rsidR="007F2986" w:rsidRPr="009167C6" w14:paraId="399935A6" w14:textId="77777777" w:rsidTr="00CC2E43">
        <w:tc>
          <w:tcPr>
            <w:tcW w:w="3528" w:type="dxa"/>
          </w:tcPr>
          <w:p w14:paraId="5CCFE763" w14:textId="77777777" w:rsidR="007F2986" w:rsidRPr="007C168B" w:rsidRDefault="007F2986" w:rsidP="00CC2E43">
            <w:pPr>
              <w:rPr>
                <w:lang w:val="hu-HU"/>
              </w:rPr>
            </w:pPr>
          </w:p>
        </w:tc>
        <w:tc>
          <w:tcPr>
            <w:tcW w:w="1680" w:type="dxa"/>
          </w:tcPr>
          <w:p w14:paraId="2EEC9F3A" w14:textId="77777777" w:rsidR="007F2986" w:rsidRPr="009167C6" w:rsidRDefault="007F2986" w:rsidP="00CC2E43">
            <w:pPr>
              <w:pStyle w:val="TableParagraph"/>
              <w:ind w:left="537" w:right="535"/>
              <w:jc w:val="center"/>
              <w:rPr>
                <w:rFonts w:ascii="Times New Roman" w:eastAsia="Times New Roman" w:hAnsi="Times New Roman" w:cs="Times New Roman"/>
                <w:lang w:val="hu-HU"/>
              </w:rPr>
            </w:pPr>
            <w:r w:rsidRPr="007C168B">
              <w:rPr>
                <w:rFonts w:ascii="Times New Roman" w:eastAsia="Times New Roman" w:hAnsi="Times New Roman" w:cs="Times New Roman"/>
                <w:lang w:val="hu-HU"/>
              </w:rPr>
              <w:t>MTX</w:t>
            </w:r>
            <w:r w:rsidRPr="009167C6">
              <w:rPr>
                <w:rFonts w:ascii="Times New Roman" w:eastAsia="Times New Roman" w:hAnsi="Times New Roman" w:cs="Times New Roman"/>
                <w:vertAlign w:val="superscript"/>
                <w:lang w:val="hu-HU"/>
              </w:rPr>
              <w:t>a</w:t>
            </w:r>
          </w:p>
          <w:p w14:paraId="46A53AE1" w14:textId="0FA3198F" w:rsidR="007F2986" w:rsidRPr="007C168B" w:rsidRDefault="00B36F4C" w:rsidP="00CC2E43">
            <w:pPr>
              <w:pStyle w:val="TableParagraph"/>
              <w:ind w:left="563" w:right="563"/>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n</w:t>
            </w:r>
            <w:r w:rsidR="007F2986" w:rsidRPr="007C168B">
              <w:rPr>
                <w:rFonts w:ascii="Times New Roman" w:eastAsia="Times New Roman" w:hAnsi="Times New Roman" w:cs="Times New Roman"/>
                <w:spacing w:val="-1"/>
                <w:lang w:val="hu-HU"/>
              </w:rPr>
              <w:t>=37</w:t>
            </w:r>
          </w:p>
        </w:tc>
        <w:tc>
          <w:tcPr>
            <w:tcW w:w="3190" w:type="dxa"/>
          </w:tcPr>
          <w:p w14:paraId="4BD0962A" w14:textId="77777777" w:rsidR="007F2986" w:rsidRDefault="007F2986" w:rsidP="00CC2E43">
            <w:pPr>
              <w:pStyle w:val="TableParagraph"/>
              <w:spacing w:before="5"/>
              <w:ind w:left="113" w:right="102"/>
              <w:jc w:val="center"/>
              <w:rPr>
                <w:rFonts w:ascii="Times New Roman" w:eastAsia="Times New Roman" w:hAnsi="Times New Roman" w:cs="Times New Roman"/>
                <w:spacing w:val="-1"/>
                <w:lang w:val="hu-HU"/>
              </w:rPr>
            </w:pPr>
            <w:r w:rsidRPr="009167C6">
              <w:rPr>
                <w:rFonts w:ascii="Times New Roman" w:eastAsia="Times New Roman" w:hAnsi="Times New Roman" w:cs="Times New Roman"/>
                <w:spacing w:val="-1"/>
                <w:lang w:val="hu-HU"/>
              </w:rPr>
              <w:t xml:space="preserve">Adalimumab 0,8 mg/kg minden második héten </w:t>
            </w:r>
          </w:p>
          <w:p w14:paraId="1C1DAD97" w14:textId="7F1840B0" w:rsidR="007F2986" w:rsidRPr="009167C6" w:rsidRDefault="00B36F4C" w:rsidP="00CC2E43">
            <w:pPr>
              <w:pStyle w:val="TableParagraph"/>
              <w:spacing w:before="5"/>
              <w:ind w:left="113" w:right="102"/>
              <w:jc w:val="center"/>
              <w:rPr>
                <w:rFonts w:ascii="Times New Roman" w:eastAsia="Times New Roman" w:hAnsi="Times New Roman" w:cs="Times New Roman"/>
                <w:lang w:val="hu-HU"/>
              </w:rPr>
            </w:pPr>
            <w:r>
              <w:rPr>
                <w:rFonts w:ascii="Times New Roman" w:eastAsia="Times New Roman" w:hAnsi="Times New Roman" w:cs="Times New Roman"/>
                <w:spacing w:val="-1"/>
                <w:lang w:val="hu-HU"/>
              </w:rPr>
              <w:t>n</w:t>
            </w:r>
            <w:r w:rsidR="007F2986" w:rsidRPr="009167C6">
              <w:rPr>
                <w:rFonts w:ascii="Times New Roman" w:eastAsia="Times New Roman" w:hAnsi="Times New Roman" w:cs="Times New Roman"/>
                <w:spacing w:val="-1"/>
                <w:lang w:val="hu-HU"/>
              </w:rPr>
              <w:t>=38</w:t>
            </w:r>
          </w:p>
        </w:tc>
      </w:tr>
      <w:tr w:rsidR="007F2986" w:rsidRPr="009167C6" w14:paraId="747CE61F" w14:textId="77777777" w:rsidTr="00CC2E43">
        <w:tc>
          <w:tcPr>
            <w:tcW w:w="3528" w:type="dxa"/>
          </w:tcPr>
          <w:p w14:paraId="45ABF932" w14:textId="77777777" w:rsidR="007F2986" w:rsidRPr="009167C6" w:rsidRDefault="007F2986" w:rsidP="00CC2E43">
            <w:pPr>
              <w:pStyle w:val="TableParagraph"/>
              <w:spacing w:before="4"/>
              <w:ind w:left="227"/>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PASI 75</w:t>
            </w:r>
            <w:r w:rsidRPr="009167C6">
              <w:rPr>
                <w:rFonts w:ascii="Times New Roman" w:eastAsia="Times New Roman" w:hAnsi="Times New Roman" w:cs="Times New Roman"/>
                <w:spacing w:val="-1"/>
                <w:vertAlign w:val="superscript"/>
                <w:lang w:val="hu-HU"/>
              </w:rPr>
              <w:t>b</w:t>
            </w:r>
          </w:p>
        </w:tc>
        <w:tc>
          <w:tcPr>
            <w:tcW w:w="1680" w:type="dxa"/>
          </w:tcPr>
          <w:p w14:paraId="7183CF79" w14:textId="77777777" w:rsidR="007F2986" w:rsidRPr="007C168B" w:rsidRDefault="007F2986" w:rsidP="00CC2E43">
            <w:pPr>
              <w:pStyle w:val="TableParagraph"/>
              <w:spacing w:before="9"/>
              <w:ind w:left="337"/>
              <w:rPr>
                <w:rFonts w:ascii="Times New Roman" w:eastAsia="Times New Roman" w:hAnsi="Times New Roman" w:cs="Times New Roman"/>
                <w:lang w:val="hu-HU"/>
              </w:rPr>
            </w:pPr>
            <w:r w:rsidRPr="007C168B">
              <w:rPr>
                <w:rFonts w:ascii="Times New Roman" w:eastAsia="Times New Roman" w:hAnsi="Times New Roman" w:cs="Times New Roman"/>
                <w:spacing w:val="-1"/>
                <w:lang w:val="hu-HU"/>
              </w:rPr>
              <w:t>12 (32,4%)</w:t>
            </w:r>
          </w:p>
        </w:tc>
        <w:tc>
          <w:tcPr>
            <w:tcW w:w="3190" w:type="dxa"/>
          </w:tcPr>
          <w:p w14:paraId="68BB4CC4" w14:textId="77777777" w:rsidR="007F2986" w:rsidRPr="009167C6" w:rsidRDefault="007F2986" w:rsidP="00CC2E43">
            <w:pPr>
              <w:pStyle w:val="TableParagraph"/>
              <w:spacing w:before="9"/>
              <w:ind w:left="1075" w:right="1076"/>
              <w:jc w:val="center"/>
              <w:rPr>
                <w:rFonts w:ascii="Times New Roman" w:eastAsia="Times New Roman" w:hAnsi="Times New Roman" w:cs="Times New Roman"/>
                <w:lang w:val="hu-HU"/>
              </w:rPr>
            </w:pPr>
            <w:r w:rsidRPr="009167C6">
              <w:rPr>
                <w:rFonts w:ascii="Times New Roman" w:eastAsia="Times New Roman" w:hAnsi="Times New Roman" w:cs="Times New Roman"/>
                <w:lang w:val="hu-HU"/>
              </w:rPr>
              <w:t>22 (57,9%)</w:t>
            </w:r>
          </w:p>
        </w:tc>
      </w:tr>
      <w:tr w:rsidR="007F2986" w:rsidRPr="009167C6" w14:paraId="66A52D76" w14:textId="77777777" w:rsidTr="00CC2E43">
        <w:tc>
          <w:tcPr>
            <w:tcW w:w="3528" w:type="dxa"/>
          </w:tcPr>
          <w:p w14:paraId="76953B2E" w14:textId="77777777" w:rsidR="007F2986" w:rsidRPr="009167C6" w:rsidRDefault="007F2986" w:rsidP="00CC2E43">
            <w:pPr>
              <w:pStyle w:val="TableParagraph"/>
              <w:spacing w:before="4"/>
              <w:ind w:left="227"/>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PGA:Tiszta/minimális</w:t>
            </w:r>
            <w:r w:rsidRPr="009167C6">
              <w:rPr>
                <w:rFonts w:ascii="Times New Roman" w:eastAsia="Times New Roman" w:hAnsi="Times New Roman" w:cs="Times New Roman"/>
                <w:spacing w:val="-1"/>
                <w:vertAlign w:val="superscript"/>
                <w:lang w:val="hu-HU"/>
              </w:rPr>
              <w:t>c</w:t>
            </w:r>
          </w:p>
        </w:tc>
        <w:tc>
          <w:tcPr>
            <w:tcW w:w="1680" w:type="dxa"/>
          </w:tcPr>
          <w:p w14:paraId="560C40BB" w14:textId="77777777" w:rsidR="007F2986" w:rsidRPr="007C168B" w:rsidRDefault="007F2986" w:rsidP="00CC2E43">
            <w:pPr>
              <w:pStyle w:val="TableParagraph"/>
              <w:spacing w:before="9"/>
              <w:ind w:left="337"/>
              <w:rPr>
                <w:rFonts w:ascii="Times New Roman" w:eastAsia="Times New Roman" w:hAnsi="Times New Roman" w:cs="Times New Roman"/>
                <w:lang w:val="hu-HU"/>
              </w:rPr>
            </w:pPr>
            <w:r w:rsidRPr="007C168B">
              <w:rPr>
                <w:rFonts w:ascii="Times New Roman" w:eastAsia="Times New Roman" w:hAnsi="Times New Roman" w:cs="Times New Roman"/>
                <w:spacing w:val="-1"/>
                <w:lang w:val="hu-HU"/>
              </w:rPr>
              <w:t>15 (40,5%)</w:t>
            </w:r>
          </w:p>
        </w:tc>
        <w:tc>
          <w:tcPr>
            <w:tcW w:w="3190" w:type="dxa"/>
          </w:tcPr>
          <w:p w14:paraId="2F1C2ADD" w14:textId="77777777" w:rsidR="007F2986" w:rsidRPr="009167C6" w:rsidRDefault="007F2986" w:rsidP="00CC2E43">
            <w:pPr>
              <w:pStyle w:val="TableParagraph"/>
              <w:spacing w:before="9"/>
              <w:ind w:left="1076" w:right="1077"/>
              <w:jc w:val="center"/>
              <w:rPr>
                <w:rFonts w:ascii="Times New Roman" w:eastAsia="Times New Roman" w:hAnsi="Times New Roman" w:cs="Times New Roman"/>
                <w:lang w:val="hu-HU"/>
              </w:rPr>
            </w:pPr>
            <w:r w:rsidRPr="009167C6">
              <w:rPr>
                <w:rFonts w:ascii="Times New Roman" w:eastAsia="Times New Roman" w:hAnsi="Times New Roman" w:cs="Times New Roman"/>
                <w:spacing w:val="-1"/>
                <w:lang w:val="hu-HU"/>
              </w:rPr>
              <w:t>23 (60,5%)</w:t>
            </w:r>
          </w:p>
        </w:tc>
      </w:tr>
      <w:tr w:rsidR="007F2986" w:rsidRPr="009167C6" w14:paraId="5B6D7576" w14:textId="77777777" w:rsidTr="00CC2E43">
        <w:tc>
          <w:tcPr>
            <w:tcW w:w="8398" w:type="dxa"/>
            <w:gridSpan w:val="3"/>
          </w:tcPr>
          <w:p w14:paraId="69CDE527" w14:textId="77777777" w:rsidR="007F2986" w:rsidRPr="007C168B" w:rsidRDefault="007F2986" w:rsidP="00CC2E43">
            <w:pPr>
              <w:pStyle w:val="TableParagraph"/>
              <w:spacing w:before="4"/>
              <w:ind w:left="6"/>
              <w:rPr>
                <w:rFonts w:ascii="Times New Roman" w:eastAsia="Times New Roman" w:hAnsi="Times New Roman" w:cs="Times New Roman"/>
                <w:lang w:val="hu-HU"/>
              </w:rPr>
            </w:pPr>
            <w:r w:rsidRPr="009167C6">
              <w:rPr>
                <w:rFonts w:ascii="Times New Roman" w:eastAsia="Times New Roman" w:hAnsi="Times New Roman" w:cs="Times New Roman"/>
                <w:position w:val="8"/>
                <w:vertAlign w:val="superscript"/>
                <w:lang w:val="hu-HU"/>
              </w:rPr>
              <w:t>a</w:t>
            </w:r>
            <w:r w:rsidRPr="009167C6">
              <w:rPr>
                <w:rFonts w:ascii="Times New Roman" w:eastAsia="Times New Roman" w:hAnsi="Times New Roman" w:cs="Times New Roman"/>
                <w:position w:val="8"/>
                <w:lang w:val="hu-HU"/>
              </w:rPr>
              <w:t xml:space="preserve"> </w:t>
            </w:r>
            <w:r w:rsidRPr="007C168B">
              <w:rPr>
                <w:rFonts w:ascii="Times New Roman" w:eastAsia="Times New Roman" w:hAnsi="Times New Roman" w:cs="Times New Roman"/>
                <w:position w:val="8"/>
                <w:lang w:val="hu-HU"/>
              </w:rPr>
              <w:t>MTX = metotrexát</w:t>
            </w:r>
          </w:p>
          <w:p w14:paraId="1ADCE87B" w14:textId="77777777" w:rsidR="007F2986" w:rsidRPr="007C168B" w:rsidRDefault="007F2986" w:rsidP="00CC2E43">
            <w:pPr>
              <w:pStyle w:val="TableParagraph"/>
              <w:ind w:left="6"/>
              <w:rPr>
                <w:rFonts w:ascii="Times New Roman" w:eastAsia="Times New Roman" w:hAnsi="Times New Roman" w:cs="Times New Roman"/>
                <w:lang w:val="hu-HU"/>
              </w:rPr>
            </w:pPr>
            <w:r w:rsidRPr="009167C6">
              <w:rPr>
                <w:rFonts w:ascii="Times New Roman" w:eastAsia="Times New Roman" w:hAnsi="Times New Roman" w:cs="Times New Roman"/>
                <w:position w:val="8"/>
                <w:vertAlign w:val="superscript"/>
                <w:lang w:val="hu-HU"/>
              </w:rPr>
              <w:t>b</w:t>
            </w:r>
            <w:r>
              <w:rPr>
                <w:rFonts w:ascii="Times New Roman" w:eastAsia="Times New Roman" w:hAnsi="Times New Roman" w:cs="Times New Roman"/>
                <w:position w:val="8"/>
                <w:lang w:val="hu-HU"/>
              </w:rPr>
              <w:t xml:space="preserve"> </w:t>
            </w:r>
            <w:r w:rsidRPr="007C168B">
              <w:rPr>
                <w:rFonts w:ascii="Times New Roman" w:eastAsia="Times New Roman" w:hAnsi="Times New Roman" w:cs="Times New Roman"/>
                <w:position w:val="8"/>
                <w:lang w:val="hu-HU"/>
              </w:rPr>
              <w:t>P = 0,027, adalimumab 0,8 mg/kg, illetve MTX</w:t>
            </w:r>
          </w:p>
          <w:p w14:paraId="27CF6BF6" w14:textId="77777777" w:rsidR="007F2986" w:rsidRPr="007C168B" w:rsidRDefault="007F2986" w:rsidP="00CC2E43">
            <w:pPr>
              <w:pStyle w:val="TableParagraph"/>
              <w:ind w:left="6"/>
              <w:rPr>
                <w:rFonts w:ascii="Times New Roman" w:eastAsia="Times New Roman" w:hAnsi="Times New Roman" w:cs="Times New Roman"/>
                <w:lang w:val="hu-HU"/>
              </w:rPr>
            </w:pPr>
            <w:r w:rsidRPr="009167C6">
              <w:rPr>
                <w:rFonts w:ascii="Times New Roman" w:eastAsia="Times New Roman" w:hAnsi="Times New Roman" w:cs="Times New Roman"/>
                <w:position w:val="8"/>
                <w:vertAlign w:val="superscript"/>
                <w:lang w:val="hu-HU"/>
              </w:rPr>
              <w:t>c</w:t>
            </w:r>
            <w:r>
              <w:rPr>
                <w:rFonts w:ascii="Times New Roman" w:eastAsia="Times New Roman" w:hAnsi="Times New Roman" w:cs="Times New Roman"/>
                <w:position w:val="8"/>
                <w:lang w:val="hu-HU"/>
              </w:rPr>
              <w:t xml:space="preserve"> </w:t>
            </w:r>
            <w:r w:rsidRPr="007C168B">
              <w:rPr>
                <w:rFonts w:ascii="Times New Roman" w:eastAsia="Times New Roman" w:hAnsi="Times New Roman" w:cs="Times New Roman"/>
                <w:position w:val="8"/>
                <w:lang w:val="hu-HU"/>
              </w:rPr>
              <w:t>P = 0,083, adalimumab 0,8 mg/kg, illetve MTX</w:t>
            </w:r>
          </w:p>
        </w:tc>
      </w:tr>
    </w:tbl>
    <w:p w14:paraId="11401972" w14:textId="77777777" w:rsidR="007F2986" w:rsidRDefault="007F2986" w:rsidP="007F2986">
      <w:pPr>
        <w:spacing w:before="3" w:line="170" w:lineRule="exact"/>
        <w:rPr>
          <w:sz w:val="17"/>
          <w:szCs w:val="17"/>
          <w:lang w:val="hu-HU"/>
        </w:rPr>
      </w:pPr>
    </w:p>
    <w:p w14:paraId="631CDB44" w14:textId="77777777" w:rsidR="007F2986" w:rsidRDefault="007F2986" w:rsidP="007F2986">
      <w:pPr>
        <w:pStyle w:val="a3"/>
        <w:rPr>
          <w:lang w:val="hu-HU"/>
        </w:rPr>
      </w:pPr>
      <w:r>
        <w:rPr>
          <w:rFonts w:eastAsia="Times New Roman"/>
          <w:lang w:val="hu-HU"/>
        </w:rPr>
        <w:t>Azoknál a betegeknél, akik elérték a PASI 75 és a PGA szerinti tiszta vagy minimális értéket,</w:t>
      </w:r>
    </w:p>
    <w:p w14:paraId="6514AA06" w14:textId="77777777" w:rsidR="007F2986" w:rsidRDefault="007F2986" w:rsidP="007F2986">
      <w:pPr>
        <w:pStyle w:val="a3"/>
        <w:rPr>
          <w:lang w:val="hu-HU"/>
        </w:rPr>
      </w:pPr>
      <w:r>
        <w:rPr>
          <w:rFonts w:eastAsia="Times New Roman"/>
          <w:lang w:val="hu-HU"/>
        </w:rPr>
        <w:t>felfüggesztették a kezelést legfeljebb 36 hétre, és az állapotuk romlását monitorozták (például a PGA-érték rosszabbodását legalább 2 értékkel). Majd további 16 héten át a betegeket kéthetente 0,8 mg/ttkg adalimumabbal kezelték, és az ez alatt megfigyelt válaszértékek hasonlóak voltak az előzőleg végzett kettős vak vizsgálathoz:78,9%-nál alakult ki PASI 75 válasz</w:t>
      </w:r>
    </w:p>
    <w:p w14:paraId="64CB9EB7" w14:textId="77777777" w:rsidR="007F2986" w:rsidRDefault="007F2986" w:rsidP="007F2986">
      <w:pPr>
        <w:pStyle w:val="a3"/>
        <w:rPr>
          <w:lang w:val="hu-HU"/>
        </w:rPr>
      </w:pPr>
      <w:r>
        <w:rPr>
          <w:rFonts w:eastAsia="Times New Roman"/>
          <w:lang w:val="hu-HU"/>
        </w:rPr>
        <w:t>(19 betegből 15) és 52,6%-nál alakult ki PGA szerinti tiszta vagy minimális (19 betegből 10) válasz.</w:t>
      </w:r>
    </w:p>
    <w:p w14:paraId="7294B9F4" w14:textId="77777777" w:rsidR="007F2986" w:rsidRDefault="007F2986" w:rsidP="007F2986">
      <w:pPr>
        <w:pStyle w:val="a3"/>
        <w:rPr>
          <w:sz w:val="24"/>
          <w:szCs w:val="24"/>
          <w:lang w:val="hu-HU"/>
        </w:rPr>
      </w:pPr>
    </w:p>
    <w:p w14:paraId="4EAEBFEC" w14:textId="77777777" w:rsidR="007F2986" w:rsidRDefault="007F2986" w:rsidP="007F2986">
      <w:pPr>
        <w:pStyle w:val="a3"/>
        <w:rPr>
          <w:rFonts w:eastAsia="Times New Roman"/>
          <w:lang w:val="hu-HU"/>
        </w:rPr>
      </w:pPr>
      <w:r>
        <w:rPr>
          <w:rFonts w:eastAsia="Times New Roman"/>
          <w:lang w:val="hu-HU"/>
        </w:rPr>
        <w:t>A vizsgálat nyílt szakaszában, a PASI 75 és PGA szerinti tiszta vagy minimális érték legfeljebb további 52 hétig fennmaradt új biztonsági esemény nélkül.</w:t>
      </w:r>
    </w:p>
    <w:p w14:paraId="07B7F83D" w14:textId="543D2B1C" w:rsidR="007F2986" w:rsidRDefault="007F2986" w:rsidP="007F2986">
      <w:pPr>
        <w:pStyle w:val="a3"/>
        <w:rPr>
          <w:sz w:val="24"/>
          <w:szCs w:val="24"/>
          <w:lang w:val="hu-HU"/>
        </w:rPr>
      </w:pPr>
    </w:p>
    <w:p w14:paraId="37BAF807" w14:textId="77777777" w:rsidR="007F2986" w:rsidRDefault="007F2986" w:rsidP="007F2986">
      <w:pPr>
        <w:pStyle w:val="a3"/>
        <w:rPr>
          <w:i/>
          <w:lang w:val="hu-HU"/>
        </w:rPr>
      </w:pPr>
      <w:r>
        <w:rPr>
          <w:rFonts w:eastAsia="Times New Roman"/>
          <w:i/>
          <w:iCs/>
          <w:lang w:val="hu-HU"/>
        </w:rPr>
        <w:t>Gyermekkori Crohn-betegség</w:t>
      </w:r>
    </w:p>
    <w:p w14:paraId="1ACA0368" w14:textId="77777777" w:rsidR="007F2986" w:rsidRDefault="007F2986" w:rsidP="007F2986">
      <w:pPr>
        <w:pStyle w:val="a3"/>
        <w:rPr>
          <w:sz w:val="18"/>
          <w:szCs w:val="18"/>
          <w:lang w:val="hu-HU"/>
        </w:rPr>
      </w:pPr>
    </w:p>
    <w:p w14:paraId="52F15E9C" w14:textId="77777777" w:rsidR="007F2986" w:rsidRDefault="007F2986" w:rsidP="007F2986">
      <w:pPr>
        <w:pStyle w:val="a3"/>
        <w:rPr>
          <w:lang w:val="hu-HU"/>
        </w:rPr>
      </w:pPr>
      <w:r>
        <w:rPr>
          <w:rFonts w:eastAsia="Times New Roman"/>
          <w:lang w:val="hu-HU"/>
        </w:rPr>
        <w:t xml:space="preserve">Egy multicentrikus, randomizált, kettős vak klinikai vizsgálatban tanulmányozták az indukciós és fenntartó adalimumab-kezelés hatásosságát és biztonságosságát testtömegre illesztett dózisokkal (&lt; 40 kg vagy ≥ 40 kg) 192, 6-17 éves korú (bezárólag), közepesen súlyos-súlyos aktivitású Crohn-betegségben (CD) szenvedő gyermekeknél, amely a definíció szerint PCDAI (Gyermekkori Crohn-betegség Aktivitási Index)-pontszám </w:t>
      </w:r>
      <w:r>
        <w:rPr>
          <w:rFonts w:eastAsia="Times New Roman"/>
          <w:lang w:val="hu-HU"/>
        </w:rPr>
        <w:lastRenderedPageBreak/>
        <w:t>&gt; 30 esetén állt fenn. Beválasztási kritérium volt, hogy a betegek nem reagáltak a CD hagyományos kezelésére (beleértve egy kortikoszteroidot és/vagy egy immunmodulátort). Az infliximab hatásának megszűnése vagy az arra kialakuló intolerancia a kórtörténetben megengedett volt.</w:t>
      </w:r>
    </w:p>
    <w:p w14:paraId="10C7587F" w14:textId="77777777" w:rsidR="007F2986" w:rsidRDefault="007F2986" w:rsidP="007F2986">
      <w:pPr>
        <w:pStyle w:val="a3"/>
        <w:rPr>
          <w:sz w:val="24"/>
          <w:szCs w:val="24"/>
          <w:lang w:val="hu-HU"/>
        </w:rPr>
      </w:pPr>
    </w:p>
    <w:p w14:paraId="4A9AC119" w14:textId="3A5E65B9" w:rsidR="007F2986" w:rsidRDefault="007F2986" w:rsidP="007F2986">
      <w:pPr>
        <w:pStyle w:val="a3"/>
        <w:rPr>
          <w:lang w:val="hu-HU"/>
        </w:rPr>
      </w:pPr>
      <w:r>
        <w:rPr>
          <w:rFonts w:eastAsia="Times New Roman"/>
          <w:lang w:val="hu-HU"/>
        </w:rPr>
        <w:t>Minden beteg nyílt indukciós kezelést kapott a kiindulási testtömegnek megfelelő dózisban: a 0. héten 160 mg és a 2. héten 80 mg a legalább 40 kg testtömegű betegeknél, valamint 80 és 40 mg a</w:t>
      </w:r>
      <w:r w:rsidR="00C54BE6">
        <w:rPr>
          <w:rFonts w:eastAsia="Times New Roman"/>
          <w:lang w:val="hu-HU"/>
        </w:rPr>
        <w:t xml:space="preserve"> </w:t>
      </w:r>
      <w:r>
        <w:rPr>
          <w:rFonts w:eastAsia="Times New Roman"/>
          <w:lang w:val="hu-HU"/>
        </w:rPr>
        <w:t>&lt; 40 kg testtömegű betegeknél.</w:t>
      </w:r>
    </w:p>
    <w:p w14:paraId="2DEEC86E" w14:textId="77777777" w:rsidR="007F2986" w:rsidRDefault="007F2986" w:rsidP="007F2986">
      <w:pPr>
        <w:pStyle w:val="a3"/>
        <w:rPr>
          <w:sz w:val="24"/>
          <w:szCs w:val="24"/>
          <w:lang w:val="hu-HU"/>
        </w:rPr>
      </w:pPr>
    </w:p>
    <w:p w14:paraId="3C8BF077" w14:textId="53D42BAB" w:rsidR="007F2986" w:rsidRDefault="007F2986" w:rsidP="007F2986">
      <w:pPr>
        <w:pStyle w:val="a3"/>
        <w:rPr>
          <w:lang w:val="hu-HU"/>
        </w:rPr>
      </w:pPr>
      <w:r>
        <w:rPr>
          <w:rFonts w:eastAsia="Times New Roman"/>
          <w:lang w:val="hu-HU"/>
        </w:rPr>
        <w:t>A 4. héten a betegeket az aktuális testtömegük alapján Alacsony dózisú vagy Standard dózisú fenntartó kezelési sémákra randomizálták 1:1 arányban (</w:t>
      </w:r>
      <w:r w:rsidR="00C54BE6">
        <w:rPr>
          <w:rFonts w:eastAsia="Times New Roman"/>
          <w:lang w:val="hu-HU"/>
        </w:rPr>
        <w:t>20</w:t>
      </w:r>
      <w:r>
        <w:rPr>
          <w:rFonts w:eastAsia="Times New Roman"/>
          <w:lang w:val="hu-HU"/>
        </w:rPr>
        <w:t>. táblázat).</w:t>
      </w:r>
    </w:p>
    <w:p w14:paraId="5F94CA2A" w14:textId="77777777" w:rsidR="007F2986" w:rsidRDefault="007F2986" w:rsidP="007F2986">
      <w:pPr>
        <w:pStyle w:val="a3"/>
        <w:rPr>
          <w:sz w:val="24"/>
          <w:szCs w:val="24"/>
          <w:lang w:val="hu-HU"/>
        </w:rPr>
      </w:pPr>
    </w:p>
    <w:p w14:paraId="6A1C8B4A" w14:textId="48044007" w:rsidR="007F2986" w:rsidRDefault="00C54BE6" w:rsidP="007F2986">
      <w:pPr>
        <w:pStyle w:val="a3"/>
        <w:jc w:val="center"/>
        <w:rPr>
          <w:b/>
          <w:lang w:val="hu-HU"/>
        </w:rPr>
      </w:pPr>
      <w:r>
        <w:rPr>
          <w:rFonts w:eastAsia="Times New Roman"/>
          <w:b/>
          <w:bCs/>
          <w:lang w:val="hu-HU"/>
        </w:rPr>
        <w:t>20</w:t>
      </w:r>
      <w:r w:rsidR="007F2986">
        <w:rPr>
          <w:rFonts w:eastAsia="Times New Roman"/>
          <w:b/>
          <w:bCs/>
          <w:lang w:val="hu-HU"/>
        </w:rPr>
        <w:t>. táblázat Fenntartó kezelési séma</w:t>
      </w:r>
    </w:p>
    <w:p w14:paraId="64189482" w14:textId="77777777" w:rsidR="007F2986" w:rsidRDefault="007F2986" w:rsidP="007F2986">
      <w:pPr>
        <w:pStyle w:val="a3"/>
        <w:jc w:val="center"/>
        <w:rPr>
          <w:b/>
          <w:lang w:val="hu-HU"/>
        </w:rPr>
      </w:pPr>
    </w:p>
    <w:tbl>
      <w:tblPr>
        <w:tblStyle w:val="TableNormal1"/>
        <w:tblW w:w="0" w:type="auto"/>
        <w:jc w:val="center"/>
        <w:tblLayout w:type="fixed"/>
        <w:tblLook w:val="01E0" w:firstRow="1" w:lastRow="1" w:firstColumn="1" w:lastColumn="1" w:noHBand="0" w:noVBand="0"/>
      </w:tblPr>
      <w:tblGrid>
        <w:gridCol w:w="1866"/>
        <w:gridCol w:w="2284"/>
        <w:gridCol w:w="2284"/>
      </w:tblGrid>
      <w:tr w:rsidR="007F2986" w14:paraId="0F5805FD" w14:textId="77777777" w:rsidTr="00CC2E43">
        <w:trPr>
          <w:jc w:val="center"/>
        </w:trPr>
        <w:tc>
          <w:tcPr>
            <w:tcW w:w="1866" w:type="dxa"/>
            <w:tcBorders>
              <w:top w:val="single" w:sz="5" w:space="0" w:color="000000"/>
              <w:left w:val="single" w:sz="5" w:space="0" w:color="000000"/>
              <w:bottom w:val="single" w:sz="5" w:space="0" w:color="000000"/>
              <w:right w:val="single" w:sz="5" w:space="0" w:color="000000"/>
            </w:tcBorders>
          </w:tcPr>
          <w:p w14:paraId="1E063E62" w14:textId="77777777" w:rsidR="007F2986" w:rsidRDefault="007F2986" w:rsidP="00CC2E43">
            <w:pPr>
              <w:pStyle w:val="TableParagraph"/>
              <w:spacing w:before="1" w:line="252" w:lineRule="exact"/>
              <w:ind w:left="102"/>
              <w:rPr>
                <w:rFonts w:ascii="Times New Roman" w:eastAsia="Times New Roman" w:hAnsi="Times New Roman" w:cs="Times New Roman"/>
                <w:lang w:val="hu-HU"/>
              </w:rPr>
            </w:pPr>
            <w:r>
              <w:rPr>
                <w:rFonts w:ascii="Times New Roman" w:eastAsia="Times New Roman" w:hAnsi="Times New Roman" w:cs="Times New Roman"/>
                <w:b/>
                <w:bCs/>
                <w:lang w:val="hu-HU"/>
              </w:rPr>
              <w:t xml:space="preserve">Beteg </w:t>
            </w:r>
            <w:r>
              <w:rPr>
                <w:rFonts w:ascii="Times New Roman" w:eastAsia="Times New Roman" w:hAnsi="Times New Roman" w:cs="Times New Roman"/>
                <w:b/>
                <w:bCs/>
                <w:spacing w:val="-1"/>
                <w:lang w:val="hu-HU"/>
              </w:rPr>
              <w:t>testtömege</w:t>
            </w:r>
          </w:p>
        </w:tc>
        <w:tc>
          <w:tcPr>
            <w:tcW w:w="2284" w:type="dxa"/>
            <w:tcBorders>
              <w:top w:val="single" w:sz="5" w:space="0" w:color="000000"/>
              <w:left w:val="single" w:sz="5" w:space="0" w:color="000000"/>
              <w:bottom w:val="single" w:sz="5" w:space="0" w:color="000000"/>
              <w:right w:val="single" w:sz="5" w:space="0" w:color="000000"/>
            </w:tcBorders>
          </w:tcPr>
          <w:p w14:paraId="7093F271" w14:textId="77777777" w:rsidR="007F2986" w:rsidRDefault="007F2986" w:rsidP="00CC2E43">
            <w:pPr>
              <w:pStyle w:val="TableParagraph"/>
              <w:spacing w:line="249"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2"/>
                <w:lang w:val="hu-HU"/>
              </w:rPr>
              <w:t>Alacsony dózis</w:t>
            </w:r>
          </w:p>
        </w:tc>
        <w:tc>
          <w:tcPr>
            <w:tcW w:w="2284" w:type="dxa"/>
            <w:tcBorders>
              <w:top w:val="single" w:sz="5" w:space="0" w:color="000000"/>
              <w:left w:val="single" w:sz="5" w:space="0" w:color="000000"/>
              <w:bottom w:val="single" w:sz="5" w:space="0" w:color="000000"/>
              <w:right w:val="single" w:sz="5" w:space="0" w:color="000000"/>
            </w:tcBorders>
          </w:tcPr>
          <w:p w14:paraId="76C8C5C5" w14:textId="77777777" w:rsidR="007F2986" w:rsidRDefault="007F2986" w:rsidP="00CC2E43">
            <w:pPr>
              <w:pStyle w:val="TableParagraph"/>
              <w:spacing w:before="1" w:line="252"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 xml:space="preserve">Standard </w:t>
            </w:r>
            <w:r>
              <w:rPr>
                <w:rFonts w:ascii="Times New Roman" w:eastAsia="Times New Roman" w:hAnsi="Times New Roman" w:cs="Times New Roman"/>
                <w:b/>
                <w:bCs/>
                <w:lang w:val="hu-HU"/>
              </w:rPr>
              <w:t>dózis</w:t>
            </w:r>
          </w:p>
        </w:tc>
      </w:tr>
      <w:tr w:rsidR="007F2986" w14:paraId="02180615" w14:textId="77777777" w:rsidTr="00CC2E43">
        <w:trPr>
          <w:jc w:val="center"/>
        </w:trPr>
        <w:tc>
          <w:tcPr>
            <w:tcW w:w="1866" w:type="dxa"/>
            <w:tcBorders>
              <w:top w:val="single" w:sz="5" w:space="0" w:color="000000"/>
              <w:left w:val="single" w:sz="5" w:space="0" w:color="000000"/>
              <w:bottom w:val="single" w:sz="5" w:space="0" w:color="000000"/>
              <w:right w:val="single" w:sz="5" w:space="0" w:color="000000"/>
            </w:tcBorders>
          </w:tcPr>
          <w:p w14:paraId="3EEA7248" w14:textId="77777777" w:rsidR="007F2986" w:rsidRDefault="007F2986" w:rsidP="00CC2E43">
            <w:pPr>
              <w:pStyle w:val="TableParagraph"/>
              <w:spacing w:line="244" w:lineRule="exact"/>
              <w:ind w:left="102"/>
              <w:rPr>
                <w:rFonts w:ascii="Times New Roman" w:eastAsia="Times New Roman" w:hAnsi="Times New Roman" w:cs="Times New Roman"/>
                <w:lang w:val="hu-HU"/>
              </w:rPr>
            </w:pPr>
            <w:r>
              <w:rPr>
                <w:rFonts w:ascii="Times New Roman" w:eastAsia="Times New Roman" w:hAnsi="Times New Roman" w:cs="Times New Roman"/>
                <w:lang w:val="hu-HU"/>
              </w:rPr>
              <w:t>&lt; 40 kg</w:t>
            </w:r>
          </w:p>
        </w:tc>
        <w:tc>
          <w:tcPr>
            <w:tcW w:w="2284" w:type="dxa"/>
            <w:tcBorders>
              <w:top w:val="single" w:sz="5" w:space="0" w:color="000000"/>
              <w:left w:val="single" w:sz="5" w:space="0" w:color="000000"/>
              <w:bottom w:val="single" w:sz="5" w:space="0" w:color="000000"/>
              <w:right w:val="single" w:sz="5" w:space="0" w:color="000000"/>
            </w:tcBorders>
          </w:tcPr>
          <w:p w14:paraId="432F16E9" w14:textId="77777777" w:rsidR="007F2986" w:rsidRDefault="007F2986" w:rsidP="00CC2E43">
            <w:pPr>
              <w:pStyle w:val="TableParagraph"/>
              <w:spacing w:line="244" w:lineRule="exact"/>
              <w:ind w:left="102"/>
              <w:rPr>
                <w:rFonts w:ascii="Times New Roman" w:eastAsia="Times New Roman" w:hAnsi="Times New Roman" w:cs="Times New Roman"/>
                <w:lang w:val="hu-HU"/>
              </w:rPr>
            </w:pPr>
            <w:r>
              <w:rPr>
                <w:rFonts w:ascii="Times New Roman" w:eastAsia="Times New Roman" w:hAnsi="Times New Roman" w:cs="Times New Roman"/>
                <w:lang w:val="hu-HU"/>
              </w:rPr>
              <w:t>10 mg kéthetente</w:t>
            </w:r>
          </w:p>
        </w:tc>
        <w:tc>
          <w:tcPr>
            <w:tcW w:w="2284" w:type="dxa"/>
            <w:tcBorders>
              <w:top w:val="single" w:sz="5" w:space="0" w:color="000000"/>
              <w:left w:val="single" w:sz="5" w:space="0" w:color="000000"/>
              <w:bottom w:val="single" w:sz="5" w:space="0" w:color="000000"/>
              <w:right w:val="single" w:sz="5" w:space="0" w:color="000000"/>
            </w:tcBorders>
          </w:tcPr>
          <w:p w14:paraId="008ED1EC" w14:textId="77777777" w:rsidR="007F2986" w:rsidRDefault="007F2986" w:rsidP="00CC2E43">
            <w:pPr>
              <w:pStyle w:val="TableParagraph"/>
              <w:spacing w:line="244" w:lineRule="exact"/>
              <w:ind w:left="102"/>
              <w:rPr>
                <w:rFonts w:ascii="Times New Roman" w:eastAsia="Times New Roman" w:hAnsi="Times New Roman" w:cs="Times New Roman"/>
                <w:lang w:val="hu-HU"/>
              </w:rPr>
            </w:pPr>
            <w:r>
              <w:rPr>
                <w:rFonts w:ascii="Times New Roman" w:eastAsia="Times New Roman" w:hAnsi="Times New Roman" w:cs="Times New Roman"/>
                <w:lang w:val="hu-HU"/>
              </w:rPr>
              <w:t>20 mg kéthetente</w:t>
            </w:r>
          </w:p>
        </w:tc>
      </w:tr>
      <w:tr w:rsidR="007F2986" w14:paraId="42B53E41" w14:textId="77777777" w:rsidTr="00CC2E43">
        <w:trPr>
          <w:jc w:val="center"/>
        </w:trPr>
        <w:tc>
          <w:tcPr>
            <w:tcW w:w="1866" w:type="dxa"/>
            <w:tcBorders>
              <w:top w:val="single" w:sz="5" w:space="0" w:color="000000"/>
              <w:left w:val="single" w:sz="5" w:space="0" w:color="000000"/>
              <w:bottom w:val="single" w:sz="5" w:space="0" w:color="000000"/>
              <w:right w:val="single" w:sz="5" w:space="0" w:color="000000"/>
            </w:tcBorders>
          </w:tcPr>
          <w:p w14:paraId="6EAE01B5" w14:textId="77777777" w:rsidR="007F2986" w:rsidRDefault="007F2986" w:rsidP="00CC2E43">
            <w:pPr>
              <w:pStyle w:val="TableParagraph"/>
              <w:spacing w:line="244" w:lineRule="exact"/>
              <w:ind w:left="102"/>
              <w:rPr>
                <w:rFonts w:ascii="Times New Roman" w:eastAsia="Times New Roman" w:hAnsi="Times New Roman" w:cs="Times New Roman"/>
                <w:lang w:val="hu-HU"/>
              </w:rPr>
            </w:pPr>
            <w:r>
              <w:rPr>
                <w:rFonts w:ascii="Times New Roman" w:eastAsia="Times New Roman" w:hAnsi="Times New Roman" w:cs="Times New Roman"/>
                <w:lang w:val="hu-HU"/>
              </w:rPr>
              <w:t>≥ 40 kg</w:t>
            </w:r>
          </w:p>
        </w:tc>
        <w:tc>
          <w:tcPr>
            <w:tcW w:w="2284" w:type="dxa"/>
            <w:tcBorders>
              <w:top w:val="single" w:sz="5" w:space="0" w:color="000000"/>
              <w:left w:val="single" w:sz="5" w:space="0" w:color="000000"/>
              <w:bottom w:val="single" w:sz="5" w:space="0" w:color="000000"/>
              <w:right w:val="single" w:sz="5" w:space="0" w:color="000000"/>
            </w:tcBorders>
          </w:tcPr>
          <w:p w14:paraId="24847D4B" w14:textId="77777777" w:rsidR="007F2986" w:rsidRDefault="007F2986" w:rsidP="00CC2E43">
            <w:pPr>
              <w:pStyle w:val="TableParagraph"/>
              <w:spacing w:line="244" w:lineRule="exact"/>
              <w:ind w:left="102"/>
              <w:rPr>
                <w:rFonts w:ascii="Times New Roman" w:eastAsia="Times New Roman" w:hAnsi="Times New Roman" w:cs="Times New Roman"/>
                <w:lang w:val="hu-HU"/>
              </w:rPr>
            </w:pPr>
            <w:r>
              <w:rPr>
                <w:rFonts w:ascii="Times New Roman" w:eastAsia="Times New Roman" w:hAnsi="Times New Roman" w:cs="Times New Roman"/>
                <w:lang w:val="hu-HU"/>
              </w:rPr>
              <w:t>20 mg kéthetente</w:t>
            </w:r>
          </w:p>
        </w:tc>
        <w:tc>
          <w:tcPr>
            <w:tcW w:w="2284" w:type="dxa"/>
            <w:tcBorders>
              <w:top w:val="single" w:sz="5" w:space="0" w:color="000000"/>
              <w:left w:val="single" w:sz="5" w:space="0" w:color="000000"/>
              <w:bottom w:val="single" w:sz="5" w:space="0" w:color="000000"/>
              <w:right w:val="single" w:sz="5" w:space="0" w:color="000000"/>
            </w:tcBorders>
          </w:tcPr>
          <w:p w14:paraId="09C76D35" w14:textId="77777777" w:rsidR="007F2986" w:rsidRDefault="007F2986" w:rsidP="00CC2E43">
            <w:pPr>
              <w:pStyle w:val="TableParagraph"/>
              <w:spacing w:line="244" w:lineRule="exact"/>
              <w:ind w:left="102"/>
              <w:rPr>
                <w:rFonts w:ascii="Times New Roman" w:eastAsia="Times New Roman" w:hAnsi="Times New Roman" w:cs="Times New Roman"/>
                <w:lang w:val="hu-HU"/>
              </w:rPr>
            </w:pPr>
            <w:r>
              <w:rPr>
                <w:rFonts w:ascii="Times New Roman" w:eastAsia="Times New Roman" w:hAnsi="Times New Roman" w:cs="Times New Roman"/>
                <w:lang w:val="hu-HU"/>
              </w:rPr>
              <w:t>40 mg kéthetente</w:t>
            </w:r>
          </w:p>
        </w:tc>
      </w:tr>
    </w:tbl>
    <w:p w14:paraId="3E221FB3" w14:textId="77777777" w:rsidR="007F2986" w:rsidRDefault="007F2986" w:rsidP="007F2986">
      <w:pPr>
        <w:pStyle w:val="a3"/>
        <w:rPr>
          <w:rFonts w:eastAsia="Times New Roman"/>
          <w:i/>
          <w:iCs/>
          <w:spacing w:val="-1"/>
          <w:u w:val="single" w:color="000000"/>
          <w:lang w:val="hu-HU"/>
        </w:rPr>
      </w:pPr>
    </w:p>
    <w:p w14:paraId="3E26F8EF" w14:textId="77777777" w:rsidR="007F2986" w:rsidRDefault="007F2986" w:rsidP="007F2986">
      <w:pPr>
        <w:pStyle w:val="a3"/>
        <w:rPr>
          <w:rFonts w:eastAsia="Times New Roman"/>
          <w:lang w:val="hu-HU"/>
        </w:rPr>
      </w:pPr>
      <w:r>
        <w:rPr>
          <w:rFonts w:eastAsia="Times New Roman"/>
          <w:i/>
          <w:iCs/>
          <w:spacing w:val="-1"/>
          <w:u w:val="single" w:color="000000"/>
          <w:lang w:val="hu-HU"/>
        </w:rPr>
        <w:t>Hatásossági eredmények</w:t>
      </w:r>
    </w:p>
    <w:p w14:paraId="7828B9AB" w14:textId="77777777" w:rsidR="007F2986" w:rsidRDefault="007F2986" w:rsidP="007F2986">
      <w:pPr>
        <w:pStyle w:val="a3"/>
        <w:rPr>
          <w:sz w:val="19"/>
          <w:szCs w:val="19"/>
          <w:lang w:val="hu-HU"/>
        </w:rPr>
      </w:pPr>
    </w:p>
    <w:p w14:paraId="4D67D4F3" w14:textId="77777777" w:rsidR="007F2986" w:rsidRDefault="007F2986" w:rsidP="007F2986">
      <w:pPr>
        <w:pStyle w:val="a3"/>
        <w:rPr>
          <w:lang w:val="hu-HU"/>
        </w:rPr>
      </w:pPr>
      <w:r>
        <w:rPr>
          <w:rFonts w:eastAsia="Times New Roman"/>
          <w:lang w:val="hu-HU"/>
        </w:rPr>
        <w:t>A vizsgálat elsődleges végpontja a 26. hétre elért remisszió volt, amely a definíció szerint a PCDAI-pontszám ≤ 10.</w:t>
      </w:r>
    </w:p>
    <w:p w14:paraId="2361439F" w14:textId="77777777" w:rsidR="007F2986" w:rsidRDefault="007F2986" w:rsidP="007F2986">
      <w:pPr>
        <w:pStyle w:val="a3"/>
        <w:rPr>
          <w:sz w:val="24"/>
          <w:szCs w:val="24"/>
          <w:lang w:val="hu-HU"/>
        </w:rPr>
      </w:pPr>
    </w:p>
    <w:p w14:paraId="656C0054" w14:textId="32F6779D" w:rsidR="007F2986" w:rsidRDefault="007F2986" w:rsidP="007F2986">
      <w:pPr>
        <w:pStyle w:val="a3"/>
        <w:rPr>
          <w:lang w:val="hu-HU"/>
        </w:rPr>
      </w:pPr>
      <w:r>
        <w:rPr>
          <w:rFonts w:eastAsia="Times New Roman"/>
          <w:lang w:val="hu-HU"/>
        </w:rPr>
        <w:t xml:space="preserve">A klinikai remisszió és a klinikai válasz (meghatározás szerint a PCDAI-pontszám a kiindulási értéktől számított, legalább 15 pontos csökkenése) mértéke a </w:t>
      </w:r>
      <w:r w:rsidR="00C54BE6">
        <w:rPr>
          <w:rFonts w:eastAsia="Times New Roman"/>
          <w:lang w:val="hu-HU"/>
        </w:rPr>
        <w:t>21</w:t>
      </w:r>
      <w:r>
        <w:rPr>
          <w:rFonts w:eastAsia="Times New Roman"/>
          <w:lang w:val="hu-HU"/>
        </w:rPr>
        <w:t xml:space="preserve">. táblázatban van feltüntetve. A kortikoszteroidok vagy az immunmodulátorok elhagyásának arányait a </w:t>
      </w:r>
      <w:r w:rsidR="00C54BE6">
        <w:rPr>
          <w:rFonts w:eastAsia="Times New Roman"/>
          <w:lang w:val="hu-HU"/>
        </w:rPr>
        <w:t>22</w:t>
      </w:r>
      <w:r>
        <w:rPr>
          <w:rFonts w:eastAsia="Times New Roman"/>
          <w:lang w:val="hu-HU"/>
        </w:rPr>
        <w:t>. táblázat tartalmazza.</w:t>
      </w:r>
    </w:p>
    <w:p w14:paraId="7B5580FC" w14:textId="77777777" w:rsidR="007F2986" w:rsidRDefault="007F2986" w:rsidP="007F2986">
      <w:pPr>
        <w:pStyle w:val="a3"/>
        <w:rPr>
          <w:lang w:val="hu-HU"/>
        </w:rPr>
      </w:pPr>
    </w:p>
    <w:p w14:paraId="1A424806" w14:textId="77777777" w:rsidR="007F2986" w:rsidRDefault="007F2986" w:rsidP="007F2986">
      <w:pPr>
        <w:spacing w:before="7" w:line="90" w:lineRule="exact"/>
        <w:rPr>
          <w:sz w:val="9"/>
          <w:szCs w:val="9"/>
          <w:lang w:val="hu-HU"/>
        </w:rPr>
      </w:pPr>
    </w:p>
    <w:tbl>
      <w:tblPr>
        <w:tblStyle w:val="TableNormal1"/>
        <w:tblW w:w="0" w:type="auto"/>
        <w:tblInd w:w="1475" w:type="dxa"/>
        <w:tblLayout w:type="fixed"/>
        <w:tblLook w:val="01E0" w:firstRow="1" w:lastRow="1" w:firstColumn="1" w:lastColumn="1" w:noHBand="0" w:noVBand="0"/>
      </w:tblPr>
      <w:tblGrid>
        <w:gridCol w:w="1918"/>
        <w:gridCol w:w="1843"/>
        <w:gridCol w:w="1766"/>
        <w:gridCol w:w="1147"/>
      </w:tblGrid>
      <w:tr w:rsidR="007F2986" w:rsidRPr="00BE4D18" w14:paraId="0B85923A" w14:textId="77777777" w:rsidTr="00CC2E43">
        <w:tc>
          <w:tcPr>
            <w:tcW w:w="6674" w:type="dxa"/>
            <w:gridSpan w:val="4"/>
            <w:tcBorders>
              <w:top w:val="single" w:sz="7" w:space="0" w:color="000000"/>
              <w:left w:val="single" w:sz="7" w:space="0" w:color="000000"/>
              <w:bottom w:val="single" w:sz="7" w:space="0" w:color="000000"/>
              <w:right w:val="single" w:sz="7" w:space="0" w:color="000000"/>
            </w:tcBorders>
          </w:tcPr>
          <w:p w14:paraId="7BD1C70C" w14:textId="19943A12" w:rsidR="007F2986" w:rsidRPr="007C168B" w:rsidRDefault="00C54BE6" w:rsidP="00CC2E43">
            <w:pPr>
              <w:pStyle w:val="a3"/>
              <w:jc w:val="center"/>
              <w:rPr>
                <w:b/>
                <w:lang w:val="hu-HU"/>
              </w:rPr>
            </w:pPr>
            <w:r>
              <w:rPr>
                <w:rFonts w:eastAsia="Times New Roman"/>
                <w:b/>
                <w:bCs/>
                <w:lang w:val="hu-HU"/>
              </w:rPr>
              <w:t>21</w:t>
            </w:r>
            <w:r w:rsidR="007F2986" w:rsidRPr="007C168B">
              <w:rPr>
                <w:rFonts w:eastAsia="Times New Roman"/>
                <w:b/>
                <w:bCs/>
                <w:lang w:val="hu-HU"/>
              </w:rPr>
              <w:t>. táblázat</w:t>
            </w:r>
          </w:p>
          <w:p w14:paraId="39CE1264" w14:textId="77777777" w:rsidR="007F2986" w:rsidRPr="009167C6" w:rsidRDefault="007F2986" w:rsidP="00CC2E43">
            <w:pPr>
              <w:pStyle w:val="a3"/>
              <w:jc w:val="center"/>
              <w:rPr>
                <w:b/>
                <w:lang w:val="hu-HU"/>
              </w:rPr>
            </w:pPr>
            <w:r w:rsidRPr="009167C6">
              <w:rPr>
                <w:rFonts w:eastAsia="Times New Roman"/>
                <w:b/>
                <w:bCs/>
                <w:lang w:val="hu-HU"/>
              </w:rPr>
              <w:t>Gyermekkori CD Vizsgálat</w:t>
            </w:r>
          </w:p>
          <w:p w14:paraId="31A46A0F" w14:textId="77777777" w:rsidR="007F2986" w:rsidRPr="009167C6" w:rsidRDefault="007F2986" w:rsidP="00CC2E43">
            <w:pPr>
              <w:pStyle w:val="a3"/>
              <w:jc w:val="center"/>
              <w:rPr>
                <w:rFonts w:eastAsia="Times New Roman"/>
                <w:lang w:val="hu-HU"/>
              </w:rPr>
            </w:pPr>
            <w:r w:rsidRPr="009167C6">
              <w:rPr>
                <w:rFonts w:eastAsia="Times New Roman"/>
                <w:b/>
                <w:bCs/>
                <w:lang w:val="hu-HU"/>
              </w:rPr>
              <w:t>PCDAI klinikai remisszió és válasz</w:t>
            </w:r>
          </w:p>
        </w:tc>
      </w:tr>
      <w:tr w:rsidR="007F2986" w:rsidRPr="009167C6" w14:paraId="0B6904C9" w14:textId="77777777" w:rsidTr="00CC2E43">
        <w:tc>
          <w:tcPr>
            <w:tcW w:w="1918" w:type="dxa"/>
            <w:tcBorders>
              <w:top w:val="single" w:sz="7" w:space="0" w:color="000000"/>
              <w:left w:val="single" w:sz="7" w:space="0" w:color="000000"/>
              <w:bottom w:val="single" w:sz="7" w:space="0" w:color="000000"/>
              <w:right w:val="single" w:sz="7" w:space="0" w:color="000000"/>
            </w:tcBorders>
          </w:tcPr>
          <w:p w14:paraId="1E476735" w14:textId="77777777" w:rsidR="007F2986" w:rsidRPr="009167C6" w:rsidRDefault="007F2986" w:rsidP="00CC2E43">
            <w:pPr>
              <w:rPr>
                <w:rFonts w:ascii="Times New Roman" w:hAnsi="Times New Roman" w:cs="Times New Roman"/>
                <w:lang w:val="hu-HU"/>
              </w:rPr>
            </w:pPr>
          </w:p>
        </w:tc>
        <w:tc>
          <w:tcPr>
            <w:tcW w:w="1843" w:type="dxa"/>
            <w:tcBorders>
              <w:top w:val="single" w:sz="7" w:space="0" w:color="000000"/>
              <w:left w:val="single" w:sz="7" w:space="0" w:color="000000"/>
              <w:bottom w:val="single" w:sz="7" w:space="0" w:color="000000"/>
              <w:right w:val="single" w:sz="7" w:space="0" w:color="000000"/>
            </w:tcBorders>
          </w:tcPr>
          <w:p w14:paraId="344F0F35" w14:textId="77777777" w:rsidR="007F2986" w:rsidRPr="007C168B" w:rsidRDefault="007F2986" w:rsidP="00CC2E43">
            <w:pPr>
              <w:pStyle w:val="TableParagraph"/>
              <w:spacing w:before="1"/>
              <w:ind w:left="111" w:right="98"/>
              <w:jc w:val="center"/>
              <w:rPr>
                <w:rFonts w:ascii="Times New Roman" w:eastAsia="Times New Roman" w:hAnsi="Times New Roman" w:cs="Times New Roman"/>
                <w:b/>
                <w:bCs/>
                <w:spacing w:val="-1"/>
                <w:lang w:val="hu-HU"/>
              </w:rPr>
            </w:pPr>
            <w:r w:rsidRPr="007C168B">
              <w:rPr>
                <w:rFonts w:ascii="Times New Roman" w:eastAsia="Times New Roman" w:hAnsi="Times New Roman" w:cs="Times New Roman"/>
                <w:b/>
                <w:bCs/>
                <w:spacing w:val="-1"/>
                <w:lang w:val="hu-HU"/>
              </w:rPr>
              <w:t>Standard dózis 40/20 mg kéthetente</w:t>
            </w:r>
            <w:r>
              <w:rPr>
                <w:rFonts w:asciiTheme="minorEastAsia" w:hAnsiTheme="minorEastAsia" w:cs="Times New Roman" w:hint="eastAsia"/>
                <w:b/>
                <w:bCs/>
                <w:spacing w:val="-1"/>
                <w:lang w:val="hu-HU" w:eastAsia="ko-KR"/>
              </w:rPr>
              <w:t xml:space="preserve"> </w:t>
            </w:r>
          </w:p>
          <w:p w14:paraId="58072B82" w14:textId="6076938D" w:rsidR="007F2986" w:rsidRPr="009167C6" w:rsidRDefault="00B36F4C" w:rsidP="00CC2E43">
            <w:pPr>
              <w:pStyle w:val="TableParagraph"/>
              <w:ind w:left="480" w:right="468"/>
              <w:jc w:val="center"/>
              <w:rPr>
                <w:rFonts w:ascii="Times New Roman" w:eastAsia="Times New Roman" w:hAnsi="Times New Roman" w:cs="Times New Roman"/>
                <w:lang w:val="hu-HU"/>
              </w:rPr>
            </w:pPr>
            <w:r>
              <w:rPr>
                <w:rFonts w:ascii="Times New Roman" w:eastAsia="Times New Roman" w:hAnsi="Times New Roman" w:cs="Times New Roman"/>
                <w:b/>
                <w:bCs/>
                <w:lang w:val="hu-HU"/>
              </w:rPr>
              <w:t>n</w:t>
            </w:r>
            <w:r w:rsidR="007F2986" w:rsidRPr="009167C6">
              <w:rPr>
                <w:rFonts w:ascii="Times New Roman" w:eastAsia="Times New Roman" w:hAnsi="Times New Roman" w:cs="Times New Roman"/>
                <w:b/>
                <w:bCs/>
                <w:lang w:val="hu-HU"/>
              </w:rPr>
              <w:t xml:space="preserve"> = 93</w:t>
            </w:r>
          </w:p>
        </w:tc>
        <w:tc>
          <w:tcPr>
            <w:tcW w:w="1766" w:type="dxa"/>
            <w:tcBorders>
              <w:top w:val="single" w:sz="7" w:space="0" w:color="000000"/>
              <w:left w:val="single" w:sz="7" w:space="0" w:color="000000"/>
              <w:bottom w:val="single" w:sz="7" w:space="0" w:color="000000"/>
              <w:right w:val="single" w:sz="7" w:space="0" w:color="000000"/>
            </w:tcBorders>
          </w:tcPr>
          <w:p w14:paraId="261D1077" w14:textId="77777777" w:rsidR="007F2986" w:rsidRPr="009167C6" w:rsidRDefault="007F2986" w:rsidP="00CC2E43">
            <w:pPr>
              <w:pStyle w:val="TableParagraph"/>
              <w:spacing w:before="1"/>
              <w:ind w:left="157" w:right="142" w:firstLine="1"/>
              <w:jc w:val="center"/>
              <w:rPr>
                <w:rFonts w:ascii="Times New Roman" w:eastAsia="Times New Roman" w:hAnsi="Times New Roman" w:cs="Times New Roman"/>
                <w:lang w:val="hu-HU"/>
              </w:rPr>
            </w:pPr>
            <w:r w:rsidRPr="009167C6">
              <w:rPr>
                <w:rFonts w:ascii="Times New Roman" w:eastAsia="Times New Roman" w:hAnsi="Times New Roman" w:cs="Times New Roman"/>
                <w:b/>
                <w:bCs/>
                <w:spacing w:val="-2"/>
                <w:lang w:val="hu-HU"/>
              </w:rPr>
              <w:t>Alacsony dózis 20/10 mg kéthetente</w:t>
            </w:r>
          </w:p>
          <w:p w14:paraId="440D70D5" w14:textId="40076C8D" w:rsidR="007F2986" w:rsidRPr="009167C6" w:rsidRDefault="00B36F4C" w:rsidP="00CC2E43">
            <w:pPr>
              <w:pStyle w:val="TableParagraph"/>
              <w:ind w:left="468" w:right="456"/>
              <w:jc w:val="center"/>
              <w:rPr>
                <w:rFonts w:ascii="Times New Roman" w:eastAsia="Times New Roman" w:hAnsi="Times New Roman" w:cs="Times New Roman"/>
                <w:lang w:val="hu-HU"/>
              </w:rPr>
            </w:pPr>
            <w:r>
              <w:rPr>
                <w:rFonts w:ascii="Times New Roman" w:eastAsia="Times New Roman" w:hAnsi="Times New Roman" w:cs="Times New Roman"/>
                <w:b/>
                <w:bCs/>
                <w:lang w:val="hu-HU"/>
              </w:rPr>
              <w:t>n</w:t>
            </w:r>
            <w:r w:rsidR="007F2986" w:rsidRPr="009167C6">
              <w:rPr>
                <w:rFonts w:ascii="Times New Roman" w:eastAsia="Times New Roman" w:hAnsi="Times New Roman" w:cs="Times New Roman"/>
                <w:b/>
                <w:bCs/>
                <w:lang w:val="hu-HU"/>
              </w:rPr>
              <w:t xml:space="preserve"> = 95</w:t>
            </w:r>
          </w:p>
        </w:tc>
        <w:tc>
          <w:tcPr>
            <w:tcW w:w="1147" w:type="dxa"/>
            <w:tcBorders>
              <w:top w:val="single" w:sz="7" w:space="0" w:color="000000"/>
              <w:left w:val="single" w:sz="7" w:space="0" w:color="000000"/>
              <w:bottom w:val="single" w:sz="7" w:space="0" w:color="000000"/>
              <w:right w:val="single" w:sz="7" w:space="0" w:color="000000"/>
            </w:tcBorders>
          </w:tcPr>
          <w:p w14:paraId="52AE7FC8" w14:textId="77777777" w:rsidR="007F2986" w:rsidRPr="009167C6" w:rsidRDefault="007F2986" w:rsidP="00CC2E43">
            <w:pPr>
              <w:pStyle w:val="TableParagraph"/>
              <w:ind w:left="169"/>
              <w:rPr>
                <w:rFonts w:ascii="Times New Roman" w:eastAsia="Times New Roman" w:hAnsi="Times New Roman" w:cs="Times New Roman"/>
                <w:lang w:val="hu-HU"/>
              </w:rPr>
            </w:pPr>
            <w:r w:rsidRPr="009167C6">
              <w:rPr>
                <w:rFonts w:ascii="Times New Roman" w:eastAsia="Times New Roman" w:hAnsi="Times New Roman" w:cs="Times New Roman"/>
                <w:b/>
                <w:bCs/>
                <w:lang w:val="hu-HU"/>
              </w:rPr>
              <w:t>P érték</w:t>
            </w:r>
            <w:r w:rsidRPr="009167C6">
              <w:rPr>
                <w:rFonts w:ascii="Times New Roman" w:eastAsia="Times New Roman" w:hAnsi="Times New Roman" w:cs="Times New Roman"/>
                <w:lang w:val="hu-HU"/>
              </w:rPr>
              <w:t>*</w:t>
            </w:r>
          </w:p>
        </w:tc>
      </w:tr>
      <w:tr w:rsidR="007F2986" w:rsidRPr="009167C6" w14:paraId="4E9FD091" w14:textId="77777777" w:rsidTr="00CC2E43">
        <w:tc>
          <w:tcPr>
            <w:tcW w:w="1918" w:type="dxa"/>
            <w:tcBorders>
              <w:top w:val="single" w:sz="7" w:space="0" w:color="000000"/>
              <w:left w:val="single" w:sz="7" w:space="0" w:color="000000"/>
              <w:bottom w:val="single" w:sz="7" w:space="0" w:color="000000"/>
              <w:right w:val="single" w:sz="7" w:space="0" w:color="000000"/>
            </w:tcBorders>
          </w:tcPr>
          <w:p w14:paraId="56E9406D" w14:textId="77777777" w:rsidR="007F2986" w:rsidRPr="007C168B" w:rsidRDefault="007F2986" w:rsidP="00CC2E43">
            <w:pPr>
              <w:pStyle w:val="TableParagraph"/>
              <w:ind w:left="13"/>
              <w:rPr>
                <w:rFonts w:ascii="Times New Roman" w:eastAsia="Times New Roman" w:hAnsi="Times New Roman" w:cs="Times New Roman"/>
                <w:lang w:val="hu-HU"/>
              </w:rPr>
            </w:pPr>
            <w:r w:rsidRPr="007C168B">
              <w:rPr>
                <w:rFonts w:ascii="Times New Roman" w:eastAsia="Times New Roman" w:hAnsi="Times New Roman" w:cs="Times New Roman"/>
                <w:b/>
                <w:bCs/>
                <w:lang w:val="hu-HU"/>
              </w:rPr>
              <w:t>26. hét</w:t>
            </w:r>
          </w:p>
        </w:tc>
        <w:tc>
          <w:tcPr>
            <w:tcW w:w="1843" w:type="dxa"/>
            <w:tcBorders>
              <w:top w:val="single" w:sz="7" w:space="0" w:color="000000"/>
              <w:left w:val="single" w:sz="7" w:space="0" w:color="000000"/>
              <w:bottom w:val="single" w:sz="7" w:space="0" w:color="000000"/>
              <w:right w:val="single" w:sz="7" w:space="0" w:color="000000"/>
            </w:tcBorders>
          </w:tcPr>
          <w:p w14:paraId="4D597249" w14:textId="77777777" w:rsidR="007F2986" w:rsidRPr="009167C6" w:rsidRDefault="007F2986" w:rsidP="00CC2E43">
            <w:pPr>
              <w:rPr>
                <w:rFonts w:ascii="Times New Roman" w:hAnsi="Times New Roman" w:cs="Times New Roman"/>
                <w:lang w:val="hu-HU"/>
              </w:rPr>
            </w:pPr>
          </w:p>
        </w:tc>
        <w:tc>
          <w:tcPr>
            <w:tcW w:w="1766" w:type="dxa"/>
            <w:tcBorders>
              <w:top w:val="single" w:sz="7" w:space="0" w:color="000000"/>
              <w:left w:val="single" w:sz="7" w:space="0" w:color="000000"/>
              <w:bottom w:val="single" w:sz="7" w:space="0" w:color="000000"/>
              <w:right w:val="single" w:sz="7" w:space="0" w:color="000000"/>
            </w:tcBorders>
          </w:tcPr>
          <w:p w14:paraId="7B822871" w14:textId="77777777" w:rsidR="007F2986" w:rsidRPr="009167C6" w:rsidRDefault="007F2986" w:rsidP="00CC2E43">
            <w:pPr>
              <w:rPr>
                <w:rFonts w:ascii="Times New Roman" w:hAnsi="Times New Roman" w:cs="Times New Roman"/>
                <w:lang w:val="hu-HU"/>
              </w:rPr>
            </w:pPr>
          </w:p>
        </w:tc>
        <w:tc>
          <w:tcPr>
            <w:tcW w:w="1147" w:type="dxa"/>
            <w:tcBorders>
              <w:top w:val="single" w:sz="7" w:space="0" w:color="000000"/>
              <w:left w:val="single" w:sz="7" w:space="0" w:color="000000"/>
              <w:bottom w:val="single" w:sz="7" w:space="0" w:color="000000"/>
              <w:right w:val="single" w:sz="7" w:space="0" w:color="000000"/>
            </w:tcBorders>
          </w:tcPr>
          <w:p w14:paraId="4B5673A8" w14:textId="77777777" w:rsidR="007F2986" w:rsidRPr="009167C6" w:rsidRDefault="007F2986" w:rsidP="00CC2E43">
            <w:pPr>
              <w:rPr>
                <w:rFonts w:ascii="Times New Roman" w:hAnsi="Times New Roman" w:cs="Times New Roman"/>
                <w:lang w:val="hu-HU"/>
              </w:rPr>
            </w:pPr>
          </w:p>
        </w:tc>
      </w:tr>
      <w:tr w:rsidR="007F2986" w:rsidRPr="009167C6" w14:paraId="3D70D017" w14:textId="77777777" w:rsidTr="00CC2E43">
        <w:tc>
          <w:tcPr>
            <w:tcW w:w="1918" w:type="dxa"/>
            <w:tcBorders>
              <w:top w:val="single" w:sz="7" w:space="0" w:color="000000"/>
              <w:left w:val="single" w:sz="7" w:space="0" w:color="000000"/>
              <w:bottom w:val="single" w:sz="7" w:space="0" w:color="000000"/>
              <w:right w:val="single" w:sz="7" w:space="0" w:color="000000"/>
            </w:tcBorders>
          </w:tcPr>
          <w:p w14:paraId="64113107" w14:textId="77777777" w:rsidR="007F2986" w:rsidRPr="009167C6" w:rsidRDefault="007F2986" w:rsidP="00CC2E43">
            <w:pPr>
              <w:pStyle w:val="TableParagraph"/>
              <w:ind w:left="179"/>
              <w:rPr>
                <w:rFonts w:ascii="Times New Roman" w:eastAsia="Times New Roman" w:hAnsi="Times New Roman" w:cs="Times New Roman"/>
                <w:lang w:val="hu-HU"/>
              </w:rPr>
            </w:pPr>
            <w:r w:rsidRPr="007C168B">
              <w:rPr>
                <w:rFonts w:ascii="Times New Roman" w:eastAsia="Times New Roman" w:hAnsi="Times New Roman" w:cs="Times New Roman"/>
                <w:spacing w:val="-1"/>
                <w:lang w:val="hu-HU"/>
              </w:rPr>
              <w:t>Klinikai remisszió</w:t>
            </w:r>
          </w:p>
        </w:tc>
        <w:tc>
          <w:tcPr>
            <w:tcW w:w="1843" w:type="dxa"/>
            <w:tcBorders>
              <w:top w:val="single" w:sz="7" w:space="0" w:color="000000"/>
              <w:left w:val="single" w:sz="7" w:space="0" w:color="000000"/>
              <w:bottom w:val="single" w:sz="7" w:space="0" w:color="000000"/>
              <w:right w:val="single" w:sz="7" w:space="0" w:color="000000"/>
            </w:tcBorders>
          </w:tcPr>
          <w:p w14:paraId="0292B808" w14:textId="77777777" w:rsidR="007F2986" w:rsidRPr="009167C6" w:rsidRDefault="007F2986" w:rsidP="00CC2E43">
            <w:pPr>
              <w:pStyle w:val="TableParagraph"/>
              <w:ind w:left="519"/>
              <w:rPr>
                <w:rFonts w:ascii="Times New Roman" w:eastAsia="Times New Roman" w:hAnsi="Times New Roman" w:cs="Times New Roman"/>
                <w:lang w:val="hu-HU"/>
              </w:rPr>
            </w:pPr>
            <w:r w:rsidRPr="009167C6">
              <w:rPr>
                <w:rFonts w:ascii="Times New Roman" w:eastAsia="Times New Roman" w:hAnsi="Times New Roman" w:cs="Times New Roman"/>
                <w:lang w:val="hu-HU"/>
              </w:rPr>
              <w:t>38,7%</w:t>
            </w:r>
          </w:p>
        </w:tc>
        <w:tc>
          <w:tcPr>
            <w:tcW w:w="1766" w:type="dxa"/>
            <w:tcBorders>
              <w:top w:val="single" w:sz="7" w:space="0" w:color="000000"/>
              <w:left w:val="single" w:sz="7" w:space="0" w:color="000000"/>
              <w:bottom w:val="single" w:sz="7" w:space="0" w:color="000000"/>
              <w:right w:val="single" w:sz="7" w:space="0" w:color="000000"/>
            </w:tcBorders>
          </w:tcPr>
          <w:p w14:paraId="51AAC041" w14:textId="77777777" w:rsidR="007F2986" w:rsidRPr="009167C6" w:rsidRDefault="007F2986" w:rsidP="00CC2E43">
            <w:pPr>
              <w:pStyle w:val="TableParagraph"/>
              <w:ind w:left="510"/>
              <w:rPr>
                <w:rFonts w:ascii="Times New Roman" w:eastAsia="Times New Roman" w:hAnsi="Times New Roman" w:cs="Times New Roman"/>
                <w:lang w:val="hu-HU"/>
              </w:rPr>
            </w:pPr>
            <w:r w:rsidRPr="009167C6">
              <w:rPr>
                <w:rFonts w:ascii="Times New Roman" w:eastAsia="Times New Roman" w:hAnsi="Times New Roman" w:cs="Times New Roman"/>
                <w:lang w:val="hu-HU"/>
              </w:rPr>
              <w:t>28,4%</w:t>
            </w:r>
          </w:p>
        </w:tc>
        <w:tc>
          <w:tcPr>
            <w:tcW w:w="1147" w:type="dxa"/>
            <w:tcBorders>
              <w:top w:val="single" w:sz="7" w:space="0" w:color="000000"/>
              <w:left w:val="single" w:sz="7" w:space="0" w:color="000000"/>
              <w:bottom w:val="single" w:sz="7" w:space="0" w:color="000000"/>
              <w:right w:val="single" w:sz="7" w:space="0" w:color="000000"/>
            </w:tcBorders>
          </w:tcPr>
          <w:p w14:paraId="1E9E640C" w14:textId="77777777" w:rsidR="007F2986" w:rsidRPr="009167C6" w:rsidRDefault="007F2986" w:rsidP="00CC2E43">
            <w:pPr>
              <w:pStyle w:val="TableParagraph"/>
              <w:ind w:left="323"/>
              <w:rPr>
                <w:rFonts w:ascii="Times New Roman" w:eastAsia="Times New Roman" w:hAnsi="Times New Roman" w:cs="Times New Roman"/>
                <w:lang w:val="hu-HU"/>
              </w:rPr>
            </w:pPr>
            <w:r w:rsidRPr="009167C6">
              <w:rPr>
                <w:rFonts w:ascii="Times New Roman" w:eastAsia="Times New Roman" w:hAnsi="Times New Roman" w:cs="Times New Roman"/>
                <w:lang w:val="hu-HU"/>
              </w:rPr>
              <w:t>0,075</w:t>
            </w:r>
          </w:p>
        </w:tc>
      </w:tr>
      <w:tr w:rsidR="007F2986" w:rsidRPr="009167C6" w14:paraId="47DC28CD" w14:textId="77777777" w:rsidTr="00CC2E43">
        <w:tc>
          <w:tcPr>
            <w:tcW w:w="1918" w:type="dxa"/>
            <w:tcBorders>
              <w:top w:val="single" w:sz="7" w:space="0" w:color="000000"/>
              <w:left w:val="single" w:sz="7" w:space="0" w:color="000000"/>
              <w:bottom w:val="single" w:sz="7" w:space="0" w:color="000000"/>
              <w:right w:val="single" w:sz="7" w:space="0" w:color="000000"/>
            </w:tcBorders>
          </w:tcPr>
          <w:p w14:paraId="2BEBD0E2" w14:textId="77777777" w:rsidR="007F2986" w:rsidRPr="007C168B" w:rsidRDefault="007F2986" w:rsidP="00CC2E43">
            <w:pPr>
              <w:pStyle w:val="TableParagraph"/>
              <w:ind w:left="179"/>
              <w:rPr>
                <w:rFonts w:ascii="Times New Roman" w:eastAsia="Times New Roman" w:hAnsi="Times New Roman" w:cs="Times New Roman"/>
                <w:lang w:val="hu-HU"/>
              </w:rPr>
            </w:pPr>
            <w:r w:rsidRPr="007C168B">
              <w:rPr>
                <w:rFonts w:ascii="Times New Roman" w:eastAsia="Times New Roman" w:hAnsi="Times New Roman" w:cs="Times New Roman"/>
                <w:spacing w:val="-1"/>
                <w:lang w:val="hu-HU"/>
              </w:rPr>
              <w:t>Klinikai válasz</w:t>
            </w:r>
          </w:p>
        </w:tc>
        <w:tc>
          <w:tcPr>
            <w:tcW w:w="1843" w:type="dxa"/>
            <w:tcBorders>
              <w:top w:val="single" w:sz="7" w:space="0" w:color="000000"/>
              <w:left w:val="single" w:sz="7" w:space="0" w:color="000000"/>
              <w:bottom w:val="single" w:sz="7" w:space="0" w:color="000000"/>
              <w:right w:val="single" w:sz="7" w:space="0" w:color="000000"/>
            </w:tcBorders>
          </w:tcPr>
          <w:p w14:paraId="10B92F5E" w14:textId="77777777" w:rsidR="007F2986" w:rsidRPr="009167C6" w:rsidRDefault="007F2986" w:rsidP="00CC2E43">
            <w:pPr>
              <w:pStyle w:val="TableParagraph"/>
              <w:ind w:left="519"/>
              <w:rPr>
                <w:rFonts w:ascii="Times New Roman" w:eastAsia="Times New Roman" w:hAnsi="Times New Roman" w:cs="Times New Roman"/>
                <w:lang w:val="hu-HU"/>
              </w:rPr>
            </w:pPr>
            <w:r w:rsidRPr="009167C6">
              <w:rPr>
                <w:rFonts w:ascii="Times New Roman" w:eastAsia="Times New Roman" w:hAnsi="Times New Roman" w:cs="Times New Roman"/>
                <w:lang w:val="hu-HU"/>
              </w:rPr>
              <w:t>59,1%</w:t>
            </w:r>
          </w:p>
        </w:tc>
        <w:tc>
          <w:tcPr>
            <w:tcW w:w="1766" w:type="dxa"/>
            <w:tcBorders>
              <w:top w:val="single" w:sz="7" w:space="0" w:color="000000"/>
              <w:left w:val="single" w:sz="7" w:space="0" w:color="000000"/>
              <w:bottom w:val="single" w:sz="7" w:space="0" w:color="000000"/>
              <w:right w:val="single" w:sz="7" w:space="0" w:color="000000"/>
            </w:tcBorders>
          </w:tcPr>
          <w:p w14:paraId="2B5AE4A5" w14:textId="77777777" w:rsidR="007F2986" w:rsidRPr="009167C6" w:rsidRDefault="007F2986" w:rsidP="00CC2E43">
            <w:pPr>
              <w:pStyle w:val="TableParagraph"/>
              <w:ind w:left="510"/>
              <w:rPr>
                <w:rFonts w:ascii="Times New Roman" w:eastAsia="Times New Roman" w:hAnsi="Times New Roman" w:cs="Times New Roman"/>
                <w:lang w:val="hu-HU"/>
              </w:rPr>
            </w:pPr>
            <w:r w:rsidRPr="009167C6">
              <w:rPr>
                <w:rFonts w:ascii="Times New Roman" w:eastAsia="Times New Roman" w:hAnsi="Times New Roman" w:cs="Times New Roman"/>
                <w:lang w:val="hu-HU"/>
              </w:rPr>
              <w:t>48,4%</w:t>
            </w:r>
          </w:p>
        </w:tc>
        <w:tc>
          <w:tcPr>
            <w:tcW w:w="1147" w:type="dxa"/>
            <w:tcBorders>
              <w:top w:val="single" w:sz="7" w:space="0" w:color="000000"/>
              <w:left w:val="single" w:sz="7" w:space="0" w:color="000000"/>
              <w:bottom w:val="single" w:sz="7" w:space="0" w:color="000000"/>
              <w:right w:val="single" w:sz="7" w:space="0" w:color="000000"/>
            </w:tcBorders>
          </w:tcPr>
          <w:p w14:paraId="590249F5" w14:textId="77777777" w:rsidR="007F2986" w:rsidRPr="009167C6" w:rsidRDefault="007F2986" w:rsidP="00CC2E43">
            <w:pPr>
              <w:pStyle w:val="TableParagraph"/>
              <w:ind w:left="323"/>
              <w:rPr>
                <w:rFonts w:ascii="Times New Roman" w:eastAsia="Times New Roman" w:hAnsi="Times New Roman" w:cs="Times New Roman"/>
                <w:lang w:val="hu-HU"/>
              </w:rPr>
            </w:pPr>
            <w:r w:rsidRPr="009167C6">
              <w:rPr>
                <w:rFonts w:ascii="Times New Roman" w:eastAsia="Times New Roman" w:hAnsi="Times New Roman" w:cs="Times New Roman"/>
                <w:lang w:val="hu-HU"/>
              </w:rPr>
              <w:t>0,073</w:t>
            </w:r>
          </w:p>
        </w:tc>
      </w:tr>
      <w:tr w:rsidR="007F2986" w:rsidRPr="009167C6" w14:paraId="4206ED4E" w14:textId="77777777" w:rsidTr="00CC2E43">
        <w:tc>
          <w:tcPr>
            <w:tcW w:w="1918" w:type="dxa"/>
            <w:tcBorders>
              <w:top w:val="single" w:sz="7" w:space="0" w:color="000000"/>
              <w:left w:val="single" w:sz="7" w:space="0" w:color="000000"/>
              <w:bottom w:val="single" w:sz="7" w:space="0" w:color="000000"/>
              <w:right w:val="single" w:sz="7" w:space="0" w:color="000000"/>
            </w:tcBorders>
          </w:tcPr>
          <w:p w14:paraId="6416106B" w14:textId="77777777" w:rsidR="007F2986" w:rsidRPr="007C168B" w:rsidRDefault="007F2986" w:rsidP="00CC2E43">
            <w:pPr>
              <w:pStyle w:val="TableParagraph"/>
              <w:ind w:left="13"/>
              <w:rPr>
                <w:rFonts w:ascii="Times New Roman" w:eastAsia="Times New Roman" w:hAnsi="Times New Roman" w:cs="Times New Roman"/>
                <w:lang w:val="hu-HU"/>
              </w:rPr>
            </w:pPr>
            <w:r w:rsidRPr="007C168B">
              <w:rPr>
                <w:rFonts w:ascii="Times New Roman" w:eastAsia="Times New Roman" w:hAnsi="Times New Roman" w:cs="Times New Roman"/>
                <w:b/>
                <w:bCs/>
                <w:lang w:val="hu-HU"/>
              </w:rPr>
              <w:t>52. hét</w:t>
            </w:r>
          </w:p>
        </w:tc>
        <w:tc>
          <w:tcPr>
            <w:tcW w:w="1843" w:type="dxa"/>
            <w:tcBorders>
              <w:top w:val="single" w:sz="7" w:space="0" w:color="000000"/>
              <w:left w:val="single" w:sz="7" w:space="0" w:color="000000"/>
              <w:bottom w:val="single" w:sz="7" w:space="0" w:color="000000"/>
              <w:right w:val="single" w:sz="7" w:space="0" w:color="000000"/>
            </w:tcBorders>
          </w:tcPr>
          <w:p w14:paraId="3D80D1CE" w14:textId="77777777" w:rsidR="007F2986" w:rsidRPr="009167C6" w:rsidRDefault="007F2986" w:rsidP="00CC2E43">
            <w:pPr>
              <w:rPr>
                <w:rFonts w:ascii="Times New Roman" w:hAnsi="Times New Roman" w:cs="Times New Roman"/>
                <w:lang w:val="hu-HU"/>
              </w:rPr>
            </w:pPr>
          </w:p>
        </w:tc>
        <w:tc>
          <w:tcPr>
            <w:tcW w:w="1766" w:type="dxa"/>
            <w:tcBorders>
              <w:top w:val="single" w:sz="7" w:space="0" w:color="000000"/>
              <w:left w:val="single" w:sz="7" w:space="0" w:color="000000"/>
              <w:bottom w:val="single" w:sz="7" w:space="0" w:color="000000"/>
              <w:right w:val="single" w:sz="7" w:space="0" w:color="000000"/>
            </w:tcBorders>
          </w:tcPr>
          <w:p w14:paraId="11FDAC1F" w14:textId="77777777" w:rsidR="007F2986" w:rsidRPr="009167C6" w:rsidRDefault="007F2986" w:rsidP="00CC2E43">
            <w:pPr>
              <w:rPr>
                <w:rFonts w:ascii="Times New Roman" w:hAnsi="Times New Roman" w:cs="Times New Roman"/>
                <w:lang w:val="hu-HU"/>
              </w:rPr>
            </w:pPr>
          </w:p>
        </w:tc>
        <w:tc>
          <w:tcPr>
            <w:tcW w:w="1147" w:type="dxa"/>
            <w:tcBorders>
              <w:top w:val="single" w:sz="7" w:space="0" w:color="000000"/>
              <w:left w:val="single" w:sz="7" w:space="0" w:color="000000"/>
              <w:bottom w:val="single" w:sz="7" w:space="0" w:color="000000"/>
              <w:right w:val="single" w:sz="7" w:space="0" w:color="000000"/>
            </w:tcBorders>
          </w:tcPr>
          <w:p w14:paraId="4BC0E466" w14:textId="77777777" w:rsidR="007F2986" w:rsidRPr="009167C6" w:rsidRDefault="007F2986" w:rsidP="00CC2E43">
            <w:pPr>
              <w:rPr>
                <w:rFonts w:ascii="Times New Roman" w:hAnsi="Times New Roman" w:cs="Times New Roman"/>
                <w:lang w:val="hu-HU"/>
              </w:rPr>
            </w:pPr>
          </w:p>
        </w:tc>
      </w:tr>
      <w:tr w:rsidR="007F2986" w:rsidRPr="009167C6" w14:paraId="5CA33EFC" w14:textId="77777777" w:rsidTr="00CC2E43">
        <w:tc>
          <w:tcPr>
            <w:tcW w:w="1918" w:type="dxa"/>
            <w:tcBorders>
              <w:top w:val="single" w:sz="7" w:space="0" w:color="000000"/>
              <w:left w:val="single" w:sz="7" w:space="0" w:color="000000"/>
              <w:bottom w:val="single" w:sz="7" w:space="0" w:color="000000"/>
              <w:right w:val="single" w:sz="7" w:space="0" w:color="000000"/>
            </w:tcBorders>
          </w:tcPr>
          <w:p w14:paraId="1ECA916B" w14:textId="77777777" w:rsidR="007F2986" w:rsidRPr="007C168B" w:rsidRDefault="007F2986" w:rsidP="00CC2E43">
            <w:pPr>
              <w:pStyle w:val="TableParagraph"/>
              <w:ind w:left="179"/>
              <w:rPr>
                <w:rFonts w:ascii="Times New Roman" w:eastAsia="Times New Roman" w:hAnsi="Times New Roman" w:cs="Times New Roman"/>
                <w:lang w:val="hu-HU"/>
              </w:rPr>
            </w:pPr>
            <w:r w:rsidRPr="007C168B">
              <w:rPr>
                <w:rFonts w:ascii="Times New Roman" w:eastAsia="Times New Roman" w:hAnsi="Times New Roman" w:cs="Times New Roman"/>
                <w:spacing w:val="-1"/>
                <w:lang w:val="hu-HU"/>
              </w:rPr>
              <w:t>Klinikai remisszió</w:t>
            </w:r>
          </w:p>
        </w:tc>
        <w:tc>
          <w:tcPr>
            <w:tcW w:w="1843" w:type="dxa"/>
            <w:tcBorders>
              <w:top w:val="single" w:sz="7" w:space="0" w:color="000000"/>
              <w:left w:val="single" w:sz="7" w:space="0" w:color="000000"/>
              <w:bottom w:val="single" w:sz="7" w:space="0" w:color="000000"/>
              <w:right w:val="single" w:sz="7" w:space="0" w:color="000000"/>
            </w:tcBorders>
          </w:tcPr>
          <w:p w14:paraId="5C3985AB" w14:textId="77777777" w:rsidR="007F2986" w:rsidRPr="009167C6" w:rsidRDefault="007F2986" w:rsidP="00CC2E43">
            <w:pPr>
              <w:pStyle w:val="TableParagraph"/>
              <w:ind w:left="519"/>
              <w:rPr>
                <w:rFonts w:ascii="Times New Roman" w:eastAsia="Times New Roman" w:hAnsi="Times New Roman" w:cs="Times New Roman"/>
                <w:lang w:val="hu-HU"/>
              </w:rPr>
            </w:pPr>
            <w:r w:rsidRPr="009167C6">
              <w:rPr>
                <w:rFonts w:ascii="Times New Roman" w:eastAsia="Times New Roman" w:hAnsi="Times New Roman" w:cs="Times New Roman"/>
                <w:lang w:val="hu-HU"/>
              </w:rPr>
              <w:t>33,3%</w:t>
            </w:r>
          </w:p>
        </w:tc>
        <w:tc>
          <w:tcPr>
            <w:tcW w:w="1766" w:type="dxa"/>
            <w:tcBorders>
              <w:top w:val="single" w:sz="7" w:space="0" w:color="000000"/>
              <w:left w:val="single" w:sz="7" w:space="0" w:color="000000"/>
              <w:bottom w:val="single" w:sz="7" w:space="0" w:color="000000"/>
              <w:right w:val="single" w:sz="7" w:space="0" w:color="000000"/>
            </w:tcBorders>
          </w:tcPr>
          <w:p w14:paraId="25C9DC1F" w14:textId="77777777" w:rsidR="007F2986" w:rsidRPr="009167C6" w:rsidRDefault="007F2986" w:rsidP="00CC2E43">
            <w:pPr>
              <w:pStyle w:val="TableParagraph"/>
              <w:ind w:left="510"/>
              <w:rPr>
                <w:rFonts w:ascii="Times New Roman" w:eastAsia="Times New Roman" w:hAnsi="Times New Roman" w:cs="Times New Roman"/>
                <w:lang w:val="hu-HU"/>
              </w:rPr>
            </w:pPr>
            <w:r w:rsidRPr="009167C6">
              <w:rPr>
                <w:rFonts w:ascii="Times New Roman" w:eastAsia="Times New Roman" w:hAnsi="Times New Roman" w:cs="Times New Roman"/>
                <w:lang w:val="hu-HU"/>
              </w:rPr>
              <w:t>23,2%</w:t>
            </w:r>
          </w:p>
        </w:tc>
        <w:tc>
          <w:tcPr>
            <w:tcW w:w="1147" w:type="dxa"/>
            <w:tcBorders>
              <w:top w:val="single" w:sz="7" w:space="0" w:color="000000"/>
              <w:left w:val="single" w:sz="7" w:space="0" w:color="000000"/>
              <w:bottom w:val="single" w:sz="7" w:space="0" w:color="000000"/>
              <w:right w:val="single" w:sz="7" w:space="0" w:color="000000"/>
            </w:tcBorders>
          </w:tcPr>
          <w:p w14:paraId="4C0E536C" w14:textId="77777777" w:rsidR="007F2986" w:rsidRPr="009167C6" w:rsidRDefault="007F2986" w:rsidP="00CC2E43">
            <w:pPr>
              <w:pStyle w:val="TableParagraph"/>
              <w:ind w:left="323"/>
              <w:rPr>
                <w:rFonts w:ascii="Times New Roman" w:eastAsia="Times New Roman" w:hAnsi="Times New Roman" w:cs="Times New Roman"/>
                <w:lang w:val="hu-HU"/>
              </w:rPr>
            </w:pPr>
            <w:r w:rsidRPr="009167C6">
              <w:rPr>
                <w:rFonts w:ascii="Times New Roman" w:eastAsia="Times New Roman" w:hAnsi="Times New Roman" w:cs="Times New Roman"/>
                <w:lang w:val="hu-HU"/>
              </w:rPr>
              <w:t>0,100</w:t>
            </w:r>
          </w:p>
        </w:tc>
      </w:tr>
      <w:tr w:rsidR="007F2986" w:rsidRPr="009167C6" w14:paraId="3F2583FB" w14:textId="77777777" w:rsidTr="00CC2E43">
        <w:tc>
          <w:tcPr>
            <w:tcW w:w="1918" w:type="dxa"/>
            <w:tcBorders>
              <w:top w:val="single" w:sz="7" w:space="0" w:color="000000"/>
              <w:left w:val="single" w:sz="7" w:space="0" w:color="000000"/>
              <w:bottom w:val="single" w:sz="7" w:space="0" w:color="000000"/>
              <w:right w:val="single" w:sz="7" w:space="0" w:color="000000"/>
            </w:tcBorders>
          </w:tcPr>
          <w:p w14:paraId="7DB420D6" w14:textId="77777777" w:rsidR="007F2986" w:rsidRPr="007C168B" w:rsidRDefault="007F2986" w:rsidP="00CC2E43">
            <w:pPr>
              <w:pStyle w:val="TableParagraph"/>
              <w:ind w:left="179"/>
              <w:rPr>
                <w:rFonts w:ascii="Times New Roman" w:eastAsia="Times New Roman" w:hAnsi="Times New Roman" w:cs="Times New Roman"/>
                <w:lang w:val="hu-HU"/>
              </w:rPr>
            </w:pPr>
            <w:r w:rsidRPr="007C168B">
              <w:rPr>
                <w:rFonts w:ascii="Times New Roman" w:eastAsia="Times New Roman" w:hAnsi="Times New Roman" w:cs="Times New Roman"/>
                <w:spacing w:val="-1"/>
                <w:lang w:val="hu-HU"/>
              </w:rPr>
              <w:t>Klinikai válasz</w:t>
            </w:r>
          </w:p>
        </w:tc>
        <w:tc>
          <w:tcPr>
            <w:tcW w:w="1843" w:type="dxa"/>
            <w:tcBorders>
              <w:top w:val="single" w:sz="7" w:space="0" w:color="000000"/>
              <w:left w:val="single" w:sz="7" w:space="0" w:color="000000"/>
              <w:bottom w:val="single" w:sz="7" w:space="0" w:color="000000"/>
              <w:right w:val="single" w:sz="7" w:space="0" w:color="000000"/>
            </w:tcBorders>
          </w:tcPr>
          <w:p w14:paraId="025CA30A" w14:textId="77777777" w:rsidR="007F2986" w:rsidRPr="009167C6" w:rsidRDefault="007F2986" w:rsidP="00CC2E43">
            <w:pPr>
              <w:pStyle w:val="TableParagraph"/>
              <w:ind w:left="519"/>
              <w:rPr>
                <w:rFonts w:ascii="Times New Roman" w:eastAsia="Times New Roman" w:hAnsi="Times New Roman" w:cs="Times New Roman"/>
                <w:lang w:val="hu-HU"/>
              </w:rPr>
            </w:pPr>
            <w:r w:rsidRPr="009167C6">
              <w:rPr>
                <w:rFonts w:ascii="Times New Roman" w:eastAsia="Times New Roman" w:hAnsi="Times New Roman" w:cs="Times New Roman"/>
                <w:lang w:val="hu-HU"/>
              </w:rPr>
              <w:t>41,9%</w:t>
            </w:r>
          </w:p>
        </w:tc>
        <w:tc>
          <w:tcPr>
            <w:tcW w:w="1766" w:type="dxa"/>
            <w:tcBorders>
              <w:top w:val="single" w:sz="7" w:space="0" w:color="000000"/>
              <w:left w:val="single" w:sz="7" w:space="0" w:color="000000"/>
              <w:bottom w:val="single" w:sz="7" w:space="0" w:color="000000"/>
              <w:right w:val="single" w:sz="7" w:space="0" w:color="000000"/>
            </w:tcBorders>
          </w:tcPr>
          <w:p w14:paraId="36E75C53" w14:textId="77777777" w:rsidR="007F2986" w:rsidRPr="009167C6" w:rsidRDefault="007F2986" w:rsidP="00CC2E43">
            <w:pPr>
              <w:pStyle w:val="TableParagraph"/>
              <w:ind w:left="510"/>
              <w:rPr>
                <w:rFonts w:ascii="Times New Roman" w:eastAsia="Times New Roman" w:hAnsi="Times New Roman" w:cs="Times New Roman"/>
                <w:lang w:val="hu-HU"/>
              </w:rPr>
            </w:pPr>
            <w:r w:rsidRPr="009167C6">
              <w:rPr>
                <w:rFonts w:ascii="Times New Roman" w:eastAsia="Times New Roman" w:hAnsi="Times New Roman" w:cs="Times New Roman"/>
                <w:lang w:val="hu-HU"/>
              </w:rPr>
              <w:t>28,4%</w:t>
            </w:r>
          </w:p>
        </w:tc>
        <w:tc>
          <w:tcPr>
            <w:tcW w:w="1147" w:type="dxa"/>
            <w:tcBorders>
              <w:top w:val="single" w:sz="7" w:space="0" w:color="000000"/>
              <w:left w:val="single" w:sz="7" w:space="0" w:color="000000"/>
              <w:bottom w:val="single" w:sz="7" w:space="0" w:color="000000"/>
              <w:right w:val="single" w:sz="7" w:space="0" w:color="000000"/>
            </w:tcBorders>
          </w:tcPr>
          <w:p w14:paraId="64CD9DA4" w14:textId="77777777" w:rsidR="007F2986" w:rsidRPr="009167C6" w:rsidRDefault="007F2986" w:rsidP="00CC2E43">
            <w:pPr>
              <w:pStyle w:val="TableParagraph"/>
              <w:ind w:left="323"/>
              <w:rPr>
                <w:rFonts w:ascii="Times New Roman" w:eastAsia="Times New Roman" w:hAnsi="Times New Roman" w:cs="Times New Roman"/>
                <w:lang w:val="hu-HU"/>
              </w:rPr>
            </w:pPr>
            <w:r w:rsidRPr="009167C6">
              <w:rPr>
                <w:rFonts w:ascii="Times New Roman" w:eastAsia="Times New Roman" w:hAnsi="Times New Roman" w:cs="Times New Roman"/>
                <w:lang w:val="hu-HU"/>
              </w:rPr>
              <w:t>0,038</w:t>
            </w:r>
          </w:p>
        </w:tc>
      </w:tr>
      <w:tr w:rsidR="007F2986" w:rsidRPr="009167C6" w14:paraId="7B496418" w14:textId="77777777" w:rsidTr="00CC2E43">
        <w:tc>
          <w:tcPr>
            <w:tcW w:w="6674" w:type="dxa"/>
            <w:gridSpan w:val="4"/>
            <w:tcBorders>
              <w:top w:val="single" w:sz="7" w:space="0" w:color="000000"/>
              <w:left w:val="single" w:sz="7" w:space="0" w:color="000000"/>
              <w:bottom w:val="single" w:sz="7" w:space="0" w:color="000000"/>
              <w:right w:val="single" w:sz="7" w:space="0" w:color="000000"/>
            </w:tcBorders>
          </w:tcPr>
          <w:p w14:paraId="1D450123" w14:textId="77777777" w:rsidR="007F2986" w:rsidRPr="009167C6" w:rsidRDefault="007F2986" w:rsidP="00CC2E43">
            <w:pPr>
              <w:pStyle w:val="TableParagraph"/>
              <w:ind w:left="13"/>
              <w:rPr>
                <w:rFonts w:ascii="Times New Roman" w:eastAsia="Times New Roman" w:hAnsi="Times New Roman" w:cs="Times New Roman"/>
                <w:lang w:val="hu-HU"/>
              </w:rPr>
            </w:pPr>
            <w:r w:rsidRPr="007C168B">
              <w:rPr>
                <w:rFonts w:ascii="Times New Roman" w:eastAsia="Times New Roman" w:hAnsi="Times New Roman" w:cs="Times New Roman"/>
                <w:lang w:val="hu-HU"/>
              </w:rPr>
              <w:t xml:space="preserve">* p érték Standard dózis </w:t>
            </w:r>
            <w:r w:rsidRPr="007C168B">
              <w:rPr>
                <w:rFonts w:ascii="Times New Roman" w:eastAsia="Times New Roman" w:hAnsi="Times New Roman" w:cs="Times New Roman"/>
                <w:i/>
                <w:iCs/>
                <w:lang w:val="hu-HU"/>
              </w:rPr>
              <w:t xml:space="preserve">versus </w:t>
            </w:r>
            <w:r w:rsidRPr="009167C6">
              <w:rPr>
                <w:rFonts w:ascii="Times New Roman" w:eastAsia="Times New Roman" w:hAnsi="Times New Roman" w:cs="Times New Roman"/>
                <w:lang w:val="hu-HU"/>
              </w:rPr>
              <w:t xml:space="preserve"> alacsony dózis összehasonlítása esetén.</w:t>
            </w:r>
          </w:p>
        </w:tc>
      </w:tr>
    </w:tbl>
    <w:p w14:paraId="4991D864" w14:textId="77777777" w:rsidR="007F2986" w:rsidRDefault="007F2986" w:rsidP="007F2986">
      <w:pPr>
        <w:spacing w:before="10" w:line="240" w:lineRule="exact"/>
        <w:rPr>
          <w:sz w:val="24"/>
          <w:szCs w:val="24"/>
          <w:lang w:val="hu-HU"/>
        </w:rPr>
      </w:pPr>
    </w:p>
    <w:p w14:paraId="7B274EEA" w14:textId="77777777" w:rsidR="007F2986" w:rsidRDefault="007F2986" w:rsidP="007F2986">
      <w:pPr>
        <w:rPr>
          <w:sz w:val="24"/>
          <w:szCs w:val="24"/>
          <w:lang w:val="hu-HU"/>
        </w:rPr>
      </w:pPr>
    </w:p>
    <w:tbl>
      <w:tblPr>
        <w:tblStyle w:val="TableNormal1"/>
        <w:tblW w:w="0" w:type="auto"/>
        <w:tblInd w:w="592" w:type="dxa"/>
        <w:tblLayout w:type="fixed"/>
        <w:tblLook w:val="01E0" w:firstRow="1" w:lastRow="1" w:firstColumn="1" w:lastColumn="1" w:noHBand="0" w:noVBand="0"/>
      </w:tblPr>
      <w:tblGrid>
        <w:gridCol w:w="3510"/>
        <w:gridCol w:w="1984"/>
        <w:gridCol w:w="1985"/>
        <w:gridCol w:w="962"/>
      </w:tblGrid>
      <w:tr w:rsidR="007F2986" w:rsidRPr="00BE4D18" w14:paraId="2106D67F" w14:textId="77777777" w:rsidTr="00CC2E43">
        <w:tc>
          <w:tcPr>
            <w:tcW w:w="8441" w:type="dxa"/>
            <w:gridSpan w:val="4"/>
            <w:tcBorders>
              <w:top w:val="single" w:sz="7" w:space="0" w:color="000000"/>
              <w:left w:val="single" w:sz="7" w:space="0" w:color="000000"/>
              <w:bottom w:val="single" w:sz="7" w:space="0" w:color="000000"/>
              <w:right w:val="single" w:sz="7" w:space="0" w:color="000000"/>
            </w:tcBorders>
          </w:tcPr>
          <w:p w14:paraId="2E0B5800" w14:textId="3FCB210B" w:rsidR="007F2986" w:rsidRDefault="00C54BE6" w:rsidP="00CC2E43">
            <w:pPr>
              <w:pStyle w:val="TableParagraph"/>
              <w:spacing w:before="3" w:line="252" w:lineRule="exact"/>
              <w:jc w:val="center"/>
              <w:rPr>
                <w:rFonts w:ascii="Times New Roman" w:eastAsia="Times New Roman" w:hAnsi="Times New Roman" w:cs="Times New Roman"/>
                <w:b/>
                <w:bCs/>
                <w:lang w:val="hu-HU"/>
              </w:rPr>
            </w:pPr>
            <w:r>
              <w:rPr>
                <w:rFonts w:ascii="Times New Roman" w:eastAsia="Times New Roman" w:hAnsi="Times New Roman" w:cs="Times New Roman"/>
                <w:b/>
                <w:bCs/>
                <w:lang w:val="hu-HU"/>
              </w:rPr>
              <w:t>22</w:t>
            </w:r>
            <w:r w:rsidR="007F2986">
              <w:rPr>
                <w:rFonts w:ascii="Times New Roman" w:eastAsia="Times New Roman" w:hAnsi="Times New Roman" w:cs="Times New Roman"/>
                <w:b/>
                <w:bCs/>
                <w:lang w:val="hu-HU"/>
              </w:rPr>
              <w:t>. táblázat</w:t>
            </w:r>
          </w:p>
          <w:p w14:paraId="043BCE8C" w14:textId="77777777" w:rsidR="007F2986" w:rsidRDefault="007F2986" w:rsidP="00CC2E43">
            <w:pPr>
              <w:pStyle w:val="TableParagraph"/>
              <w:spacing w:before="3" w:line="252" w:lineRule="exact"/>
              <w:jc w:val="center"/>
              <w:rPr>
                <w:rFonts w:ascii="Times New Roman" w:eastAsia="Times New Roman" w:hAnsi="Times New Roman" w:cs="Times New Roman"/>
                <w:lang w:val="hu-HU"/>
              </w:rPr>
            </w:pPr>
            <w:r>
              <w:rPr>
                <w:rFonts w:ascii="Times New Roman" w:eastAsia="Times New Roman" w:hAnsi="Times New Roman" w:cs="Times New Roman"/>
                <w:b/>
                <w:bCs/>
                <w:lang w:val="hu-HU"/>
              </w:rPr>
              <w:t>Gyermekkori CD Vizsgálat</w:t>
            </w:r>
          </w:p>
          <w:p w14:paraId="056F7C79" w14:textId="77777777" w:rsidR="007F2986" w:rsidRDefault="007F2986" w:rsidP="00CC2E43">
            <w:pPr>
              <w:pStyle w:val="TableParagraph"/>
              <w:spacing w:line="249"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Kortikoszteroidok vagy immunmodulátorok felfüggesztése és fistula-remisszió</w:t>
            </w:r>
          </w:p>
        </w:tc>
      </w:tr>
      <w:tr w:rsidR="007F2986" w14:paraId="4CE7B7A1" w14:textId="77777777" w:rsidTr="00CC2E43">
        <w:tc>
          <w:tcPr>
            <w:tcW w:w="3510" w:type="dxa"/>
            <w:tcBorders>
              <w:top w:val="single" w:sz="7" w:space="0" w:color="000000"/>
              <w:left w:val="single" w:sz="7" w:space="0" w:color="000000"/>
              <w:bottom w:val="single" w:sz="7" w:space="0" w:color="000000"/>
              <w:right w:val="single" w:sz="7" w:space="0" w:color="000000"/>
            </w:tcBorders>
          </w:tcPr>
          <w:p w14:paraId="1E5F83E1" w14:textId="77777777" w:rsidR="007F2986" w:rsidRDefault="007F2986" w:rsidP="00CC2E43">
            <w:pPr>
              <w:rPr>
                <w:lang w:val="hu-HU"/>
              </w:rPr>
            </w:pPr>
          </w:p>
        </w:tc>
        <w:tc>
          <w:tcPr>
            <w:tcW w:w="1984" w:type="dxa"/>
            <w:tcBorders>
              <w:top w:val="single" w:sz="7" w:space="0" w:color="000000"/>
              <w:left w:val="single" w:sz="7" w:space="0" w:color="000000"/>
              <w:bottom w:val="single" w:sz="7" w:space="0" w:color="000000"/>
              <w:right w:val="single" w:sz="7" w:space="0" w:color="000000"/>
            </w:tcBorders>
          </w:tcPr>
          <w:p w14:paraId="51531BFD" w14:textId="77777777" w:rsidR="007F2986" w:rsidRDefault="007F2986" w:rsidP="00CC2E43">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Standard dózis</w:t>
            </w:r>
          </w:p>
          <w:p w14:paraId="7C659D29" w14:textId="77777777" w:rsidR="007F2986" w:rsidRDefault="007F2986" w:rsidP="00CC2E43">
            <w:pPr>
              <w:pStyle w:val="TableParagraph"/>
              <w:spacing w:before="1" w:line="252" w:lineRule="exact"/>
              <w:jc w:val="center"/>
              <w:rPr>
                <w:rFonts w:ascii="Times New Roman" w:eastAsia="Times New Roman" w:hAnsi="Times New Roman" w:cs="Times New Roman"/>
                <w:lang w:val="hu-HU"/>
              </w:rPr>
            </w:pPr>
            <w:r>
              <w:rPr>
                <w:rFonts w:ascii="Times New Roman" w:eastAsia="Times New Roman" w:hAnsi="Times New Roman" w:cs="Times New Roman"/>
                <w:b/>
                <w:bCs/>
                <w:lang w:val="hu-HU"/>
              </w:rPr>
              <w:t>40/20 mg kéthetente</w:t>
            </w:r>
          </w:p>
        </w:tc>
        <w:tc>
          <w:tcPr>
            <w:tcW w:w="1985" w:type="dxa"/>
            <w:tcBorders>
              <w:top w:val="single" w:sz="7" w:space="0" w:color="000000"/>
              <w:left w:val="single" w:sz="7" w:space="0" w:color="000000"/>
              <w:bottom w:val="single" w:sz="7" w:space="0" w:color="000000"/>
              <w:right w:val="single" w:sz="7" w:space="0" w:color="000000"/>
            </w:tcBorders>
          </w:tcPr>
          <w:p w14:paraId="614B2F72" w14:textId="77777777" w:rsidR="007F2986" w:rsidRDefault="007F2986" w:rsidP="00CC2E43">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2"/>
                <w:lang w:val="hu-HU"/>
              </w:rPr>
              <w:t>Alacsony dózis</w:t>
            </w:r>
          </w:p>
          <w:p w14:paraId="1C680481" w14:textId="77777777" w:rsidR="007F2986" w:rsidRDefault="007F2986" w:rsidP="00CC2E43">
            <w:pPr>
              <w:pStyle w:val="TableParagraph"/>
              <w:spacing w:before="1" w:line="252" w:lineRule="exact"/>
              <w:jc w:val="center"/>
              <w:rPr>
                <w:rFonts w:ascii="Times New Roman" w:eastAsia="Times New Roman" w:hAnsi="Times New Roman" w:cs="Times New Roman"/>
                <w:lang w:val="hu-HU"/>
              </w:rPr>
            </w:pPr>
            <w:r>
              <w:rPr>
                <w:rFonts w:ascii="Times New Roman" w:eastAsia="Times New Roman" w:hAnsi="Times New Roman" w:cs="Times New Roman"/>
                <w:b/>
                <w:bCs/>
                <w:lang w:val="hu-HU"/>
              </w:rPr>
              <w:t>20/10 mg kéthetente</w:t>
            </w:r>
          </w:p>
        </w:tc>
        <w:tc>
          <w:tcPr>
            <w:tcW w:w="962" w:type="dxa"/>
            <w:tcBorders>
              <w:top w:val="single" w:sz="7" w:space="0" w:color="000000"/>
              <w:left w:val="single" w:sz="7" w:space="0" w:color="000000"/>
              <w:bottom w:val="single" w:sz="7" w:space="0" w:color="000000"/>
              <w:right w:val="single" w:sz="7" w:space="0" w:color="000000"/>
            </w:tcBorders>
          </w:tcPr>
          <w:p w14:paraId="5D818567" w14:textId="77777777" w:rsidR="007F2986" w:rsidRDefault="007F2986" w:rsidP="00CC2E43">
            <w:pPr>
              <w:pStyle w:val="TableParagraph"/>
              <w:spacing w:line="251" w:lineRule="exact"/>
              <w:jc w:val="center"/>
              <w:rPr>
                <w:rFonts w:ascii="Times New Roman" w:eastAsia="Times New Roman" w:hAnsi="Times New Roman" w:cs="Times New Roman"/>
                <w:sz w:val="14"/>
                <w:szCs w:val="14"/>
                <w:lang w:val="hu-HU"/>
              </w:rPr>
            </w:pPr>
            <w:r>
              <w:rPr>
                <w:rFonts w:ascii="Times New Roman" w:eastAsia="Times New Roman" w:hAnsi="Times New Roman" w:cs="Times New Roman"/>
                <w:b/>
                <w:bCs/>
                <w:lang w:val="hu-HU"/>
              </w:rPr>
              <w:t>P érték</w:t>
            </w:r>
            <w:r w:rsidRPr="009167C6">
              <w:rPr>
                <w:rFonts w:ascii="Times New Roman" w:eastAsia="Times New Roman" w:hAnsi="Times New Roman" w:cs="Times New Roman"/>
                <w:b/>
                <w:bCs/>
                <w:vertAlign w:val="superscript"/>
                <w:lang w:val="hu-HU"/>
              </w:rPr>
              <w:t>1</w:t>
            </w:r>
          </w:p>
        </w:tc>
      </w:tr>
      <w:tr w:rsidR="007F2986" w14:paraId="0AC9F932" w14:textId="77777777" w:rsidTr="00CC2E43">
        <w:tc>
          <w:tcPr>
            <w:tcW w:w="3510" w:type="dxa"/>
            <w:tcBorders>
              <w:top w:val="single" w:sz="7" w:space="0" w:color="000000"/>
              <w:left w:val="single" w:sz="7" w:space="0" w:color="000000"/>
              <w:bottom w:val="single" w:sz="7" w:space="0" w:color="000000"/>
              <w:right w:val="single" w:sz="7" w:space="0" w:color="000000"/>
            </w:tcBorders>
          </w:tcPr>
          <w:p w14:paraId="707C74F3" w14:textId="77777777" w:rsidR="007F2986" w:rsidRDefault="007F2986" w:rsidP="00CC2E43">
            <w:pPr>
              <w:pStyle w:val="TableParagraph"/>
              <w:spacing w:line="251" w:lineRule="exact"/>
              <w:ind w:left="-1"/>
              <w:rPr>
                <w:rFonts w:ascii="Times New Roman" w:eastAsia="Times New Roman" w:hAnsi="Times New Roman" w:cs="Times New Roman"/>
                <w:lang w:val="hu-HU"/>
              </w:rPr>
            </w:pPr>
            <w:r>
              <w:rPr>
                <w:rFonts w:ascii="Times New Roman" w:eastAsia="Times New Roman" w:hAnsi="Times New Roman" w:cs="Times New Roman"/>
                <w:b/>
                <w:bCs/>
                <w:spacing w:val="-1"/>
                <w:lang w:val="hu-HU"/>
              </w:rPr>
              <w:t>Kortikoszteroidok felfüggesztése</w:t>
            </w:r>
          </w:p>
        </w:tc>
        <w:tc>
          <w:tcPr>
            <w:tcW w:w="1984" w:type="dxa"/>
            <w:tcBorders>
              <w:top w:val="single" w:sz="7" w:space="0" w:color="000000"/>
              <w:left w:val="single" w:sz="7" w:space="0" w:color="000000"/>
              <w:bottom w:val="single" w:sz="7" w:space="0" w:color="000000"/>
              <w:right w:val="single" w:sz="7" w:space="0" w:color="000000"/>
            </w:tcBorders>
          </w:tcPr>
          <w:p w14:paraId="719F89D5" w14:textId="77DC3F60" w:rsidR="007F2986" w:rsidRDefault="00B36F4C" w:rsidP="00CC2E43">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7F2986">
              <w:rPr>
                <w:rFonts w:ascii="Times New Roman" w:eastAsia="Times New Roman" w:hAnsi="Times New Roman" w:cs="Times New Roman"/>
                <w:b/>
                <w:bCs/>
                <w:spacing w:val="-1"/>
                <w:lang w:val="hu-HU"/>
              </w:rPr>
              <w:t>= 33</w:t>
            </w:r>
          </w:p>
        </w:tc>
        <w:tc>
          <w:tcPr>
            <w:tcW w:w="1985" w:type="dxa"/>
            <w:tcBorders>
              <w:top w:val="single" w:sz="7" w:space="0" w:color="000000"/>
              <w:left w:val="single" w:sz="7" w:space="0" w:color="000000"/>
              <w:bottom w:val="single" w:sz="7" w:space="0" w:color="000000"/>
              <w:right w:val="single" w:sz="7" w:space="0" w:color="000000"/>
            </w:tcBorders>
          </w:tcPr>
          <w:p w14:paraId="10779E74" w14:textId="57784421" w:rsidR="007F2986" w:rsidRDefault="00B36F4C" w:rsidP="00CC2E43">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7F2986">
              <w:rPr>
                <w:rFonts w:ascii="Times New Roman" w:eastAsia="Times New Roman" w:hAnsi="Times New Roman" w:cs="Times New Roman"/>
                <w:b/>
                <w:bCs/>
                <w:spacing w:val="-1"/>
                <w:lang w:val="hu-HU"/>
              </w:rPr>
              <w:t>=38</w:t>
            </w:r>
          </w:p>
        </w:tc>
        <w:tc>
          <w:tcPr>
            <w:tcW w:w="962" w:type="dxa"/>
            <w:tcBorders>
              <w:top w:val="single" w:sz="7" w:space="0" w:color="000000"/>
              <w:left w:val="single" w:sz="7" w:space="0" w:color="000000"/>
              <w:bottom w:val="single" w:sz="7" w:space="0" w:color="000000"/>
              <w:right w:val="single" w:sz="7" w:space="0" w:color="000000"/>
            </w:tcBorders>
          </w:tcPr>
          <w:p w14:paraId="5806752C" w14:textId="77777777" w:rsidR="007F2986" w:rsidRDefault="007F2986" w:rsidP="00CC2E43">
            <w:pPr>
              <w:jc w:val="center"/>
              <w:rPr>
                <w:lang w:val="hu-HU"/>
              </w:rPr>
            </w:pPr>
          </w:p>
        </w:tc>
      </w:tr>
      <w:tr w:rsidR="007F2986" w14:paraId="52BAB9AE" w14:textId="77777777" w:rsidTr="00CC2E43">
        <w:tc>
          <w:tcPr>
            <w:tcW w:w="3510" w:type="dxa"/>
            <w:tcBorders>
              <w:top w:val="single" w:sz="7" w:space="0" w:color="000000"/>
              <w:left w:val="single" w:sz="7" w:space="0" w:color="000000"/>
              <w:bottom w:val="single" w:sz="7" w:space="0" w:color="000000"/>
              <w:right w:val="single" w:sz="7" w:space="0" w:color="000000"/>
            </w:tcBorders>
          </w:tcPr>
          <w:p w14:paraId="0169AF56" w14:textId="77777777" w:rsidR="007F2986" w:rsidRDefault="007F2986" w:rsidP="00CC2E43">
            <w:pPr>
              <w:pStyle w:val="TableParagraph"/>
              <w:spacing w:line="246" w:lineRule="exact"/>
              <w:ind w:left="-1"/>
              <w:rPr>
                <w:rFonts w:ascii="Times New Roman" w:eastAsia="Times New Roman" w:hAnsi="Times New Roman" w:cs="Times New Roman"/>
                <w:lang w:val="hu-HU"/>
              </w:rPr>
            </w:pPr>
            <w:r>
              <w:rPr>
                <w:rFonts w:ascii="Times New Roman" w:eastAsia="Times New Roman" w:hAnsi="Times New Roman" w:cs="Times New Roman"/>
                <w:lang w:val="hu-HU"/>
              </w:rPr>
              <w:t>26. hét</w:t>
            </w:r>
          </w:p>
        </w:tc>
        <w:tc>
          <w:tcPr>
            <w:tcW w:w="1984" w:type="dxa"/>
            <w:tcBorders>
              <w:top w:val="single" w:sz="7" w:space="0" w:color="000000"/>
              <w:left w:val="single" w:sz="7" w:space="0" w:color="000000"/>
              <w:bottom w:val="single" w:sz="7" w:space="0" w:color="000000"/>
              <w:right w:val="single" w:sz="7" w:space="0" w:color="000000"/>
            </w:tcBorders>
          </w:tcPr>
          <w:p w14:paraId="4E78243F" w14:textId="77777777" w:rsidR="007F2986" w:rsidRDefault="007F2986" w:rsidP="00CC2E43">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84,8%</w:t>
            </w:r>
          </w:p>
        </w:tc>
        <w:tc>
          <w:tcPr>
            <w:tcW w:w="1985" w:type="dxa"/>
            <w:tcBorders>
              <w:top w:val="single" w:sz="7" w:space="0" w:color="000000"/>
              <w:left w:val="single" w:sz="7" w:space="0" w:color="000000"/>
              <w:bottom w:val="single" w:sz="7" w:space="0" w:color="000000"/>
              <w:right w:val="single" w:sz="7" w:space="0" w:color="000000"/>
            </w:tcBorders>
          </w:tcPr>
          <w:p w14:paraId="721372F4" w14:textId="77777777" w:rsidR="007F2986" w:rsidRDefault="007F2986" w:rsidP="00CC2E43">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65,8%</w:t>
            </w:r>
          </w:p>
        </w:tc>
        <w:tc>
          <w:tcPr>
            <w:tcW w:w="962" w:type="dxa"/>
            <w:tcBorders>
              <w:top w:val="single" w:sz="7" w:space="0" w:color="000000"/>
              <w:left w:val="single" w:sz="7" w:space="0" w:color="000000"/>
              <w:bottom w:val="single" w:sz="7" w:space="0" w:color="000000"/>
              <w:right w:val="single" w:sz="7" w:space="0" w:color="000000"/>
            </w:tcBorders>
          </w:tcPr>
          <w:p w14:paraId="6F2DFFC9" w14:textId="77777777" w:rsidR="007F2986" w:rsidRDefault="007F2986" w:rsidP="00CC2E43">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0,066</w:t>
            </w:r>
          </w:p>
        </w:tc>
      </w:tr>
      <w:tr w:rsidR="007F2986" w14:paraId="5FB8ABCF" w14:textId="77777777" w:rsidTr="00CC2E43">
        <w:tc>
          <w:tcPr>
            <w:tcW w:w="3510" w:type="dxa"/>
            <w:tcBorders>
              <w:top w:val="single" w:sz="7" w:space="0" w:color="000000"/>
              <w:left w:val="single" w:sz="7" w:space="0" w:color="000000"/>
              <w:bottom w:val="single" w:sz="7" w:space="0" w:color="000000"/>
              <w:right w:val="single" w:sz="7" w:space="0" w:color="000000"/>
            </w:tcBorders>
          </w:tcPr>
          <w:p w14:paraId="60722532" w14:textId="77777777" w:rsidR="007F2986" w:rsidRDefault="007F2986" w:rsidP="00CC2E43">
            <w:pPr>
              <w:pStyle w:val="TableParagraph"/>
              <w:spacing w:line="246" w:lineRule="exact"/>
              <w:ind w:left="-1"/>
              <w:rPr>
                <w:rFonts w:ascii="Times New Roman" w:eastAsia="Times New Roman" w:hAnsi="Times New Roman" w:cs="Times New Roman"/>
                <w:lang w:val="hu-HU"/>
              </w:rPr>
            </w:pPr>
            <w:r>
              <w:rPr>
                <w:rFonts w:ascii="Times New Roman" w:eastAsia="Times New Roman" w:hAnsi="Times New Roman" w:cs="Times New Roman"/>
                <w:lang w:val="hu-HU"/>
              </w:rPr>
              <w:t>52. hét</w:t>
            </w:r>
          </w:p>
        </w:tc>
        <w:tc>
          <w:tcPr>
            <w:tcW w:w="1984" w:type="dxa"/>
            <w:tcBorders>
              <w:top w:val="single" w:sz="7" w:space="0" w:color="000000"/>
              <w:left w:val="single" w:sz="7" w:space="0" w:color="000000"/>
              <w:bottom w:val="single" w:sz="7" w:space="0" w:color="000000"/>
              <w:right w:val="single" w:sz="7" w:space="0" w:color="000000"/>
            </w:tcBorders>
          </w:tcPr>
          <w:p w14:paraId="1609D8F7" w14:textId="77777777" w:rsidR="007F2986" w:rsidRDefault="007F2986" w:rsidP="00CC2E43">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69,7%</w:t>
            </w:r>
          </w:p>
        </w:tc>
        <w:tc>
          <w:tcPr>
            <w:tcW w:w="1985" w:type="dxa"/>
            <w:tcBorders>
              <w:top w:val="single" w:sz="7" w:space="0" w:color="000000"/>
              <w:left w:val="single" w:sz="7" w:space="0" w:color="000000"/>
              <w:bottom w:val="single" w:sz="7" w:space="0" w:color="000000"/>
              <w:right w:val="single" w:sz="7" w:space="0" w:color="000000"/>
            </w:tcBorders>
          </w:tcPr>
          <w:p w14:paraId="12D5417E" w14:textId="77777777" w:rsidR="007F2986" w:rsidRDefault="007F2986" w:rsidP="00CC2E43">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60,5%</w:t>
            </w:r>
          </w:p>
        </w:tc>
        <w:tc>
          <w:tcPr>
            <w:tcW w:w="962" w:type="dxa"/>
            <w:tcBorders>
              <w:top w:val="single" w:sz="7" w:space="0" w:color="000000"/>
              <w:left w:val="single" w:sz="7" w:space="0" w:color="000000"/>
              <w:bottom w:val="single" w:sz="7" w:space="0" w:color="000000"/>
              <w:right w:val="single" w:sz="7" w:space="0" w:color="000000"/>
            </w:tcBorders>
          </w:tcPr>
          <w:p w14:paraId="1A3E365F" w14:textId="77777777" w:rsidR="007F2986" w:rsidRDefault="007F2986" w:rsidP="00CC2E43">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0,420</w:t>
            </w:r>
          </w:p>
        </w:tc>
      </w:tr>
      <w:tr w:rsidR="007F2986" w14:paraId="516F38FD" w14:textId="77777777" w:rsidTr="00CC2E43">
        <w:tc>
          <w:tcPr>
            <w:tcW w:w="3510" w:type="dxa"/>
            <w:tcBorders>
              <w:top w:val="single" w:sz="7" w:space="0" w:color="000000"/>
              <w:left w:val="single" w:sz="7" w:space="0" w:color="000000"/>
              <w:bottom w:val="single" w:sz="7" w:space="0" w:color="000000"/>
              <w:right w:val="single" w:sz="7" w:space="0" w:color="000000"/>
            </w:tcBorders>
          </w:tcPr>
          <w:p w14:paraId="4AA4011C" w14:textId="77777777" w:rsidR="007F2986" w:rsidRDefault="007F2986" w:rsidP="00CC2E43">
            <w:pPr>
              <w:pStyle w:val="TableParagraph"/>
              <w:spacing w:line="251" w:lineRule="exact"/>
              <w:ind w:left="-1"/>
              <w:rPr>
                <w:rFonts w:ascii="Times New Roman" w:eastAsia="Times New Roman" w:hAnsi="Times New Roman" w:cs="Times New Roman"/>
                <w:sz w:val="14"/>
                <w:szCs w:val="14"/>
                <w:lang w:val="hu-HU"/>
              </w:rPr>
            </w:pPr>
            <w:r>
              <w:rPr>
                <w:rFonts w:ascii="Times New Roman" w:eastAsia="Times New Roman" w:hAnsi="Times New Roman" w:cs="Times New Roman"/>
                <w:b/>
                <w:bCs/>
                <w:spacing w:val="-1"/>
                <w:lang w:val="hu-HU"/>
              </w:rPr>
              <w:t>Immunomodulátorok felfüggesztése</w:t>
            </w:r>
            <w:r w:rsidRPr="009167C6">
              <w:rPr>
                <w:rFonts w:ascii="Times New Roman" w:eastAsia="Times New Roman" w:hAnsi="Times New Roman" w:cs="Times New Roman"/>
                <w:b/>
                <w:bCs/>
                <w:spacing w:val="-1"/>
                <w:vertAlign w:val="superscript"/>
                <w:lang w:val="hu-HU"/>
              </w:rPr>
              <w:t>2</w:t>
            </w:r>
          </w:p>
        </w:tc>
        <w:tc>
          <w:tcPr>
            <w:tcW w:w="1984" w:type="dxa"/>
            <w:tcBorders>
              <w:top w:val="single" w:sz="7" w:space="0" w:color="000000"/>
              <w:left w:val="single" w:sz="7" w:space="0" w:color="000000"/>
              <w:bottom w:val="single" w:sz="7" w:space="0" w:color="000000"/>
              <w:right w:val="single" w:sz="7" w:space="0" w:color="000000"/>
            </w:tcBorders>
          </w:tcPr>
          <w:p w14:paraId="10CB7201" w14:textId="3BDA8260" w:rsidR="007F2986" w:rsidRDefault="00B36F4C" w:rsidP="00CC2E43">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7F2986">
              <w:rPr>
                <w:rFonts w:ascii="Times New Roman" w:eastAsia="Times New Roman" w:hAnsi="Times New Roman" w:cs="Times New Roman"/>
                <w:b/>
                <w:bCs/>
                <w:spacing w:val="-1"/>
                <w:lang w:val="hu-HU"/>
              </w:rPr>
              <w:t>=60</w:t>
            </w:r>
          </w:p>
        </w:tc>
        <w:tc>
          <w:tcPr>
            <w:tcW w:w="1985" w:type="dxa"/>
            <w:tcBorders>
              <w:top w:val="single" w:sz="7" w:space="0" w:color="000000"/>
              <w:left w:val="single" w:sz="7" w:space="0" w:color="000000"/>
              <w:bottom w:val="single" w:sz="7" w:space="0" w:color="000000"/>
              <w:right w:val="single" w:sz="7" w:space="0" w:color="000000"/>
            </w:tcBorders>
          </w:tcPr>
          <w:p w14:paraId="67E15A3E" w14:textId="48C8754A" w:rsidR="007F2986" w:rsidRDefault="00B36F4C" w:rsidP="00CC2E43">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7F2986">
              <w:rPr>
                <w:rFonts w:ascii="Times New Roman" w:eastAsia="Times New Roman" w:hAnsi="Times New Roman" w:cs="Times New Roman"/>
                <w:b/>
                <w:bCs/>
                <w:spacing w:val="-1"/>
                <w:lang w:val="hu-HU"/>
              </w:rPr>
              <w:t>=57</w:t>
            </w:r>
          </w:p>
        </w:tc>
        <w:tc>
          <w:tcPr>
            <w:tcW w:w="962" w:type="dxa"/>
            <w:tcBorders>
              <w:top w:val="single" w:sz="7" w:space="0" w:color="000000"/>
              <w:left w:val="single" w:sz="7" w:space="0" w:color="000000"/>
              <w:bottom w:val="single" w:sz="7" w:space="0" w:color="000000"/>
              <w:right w:val="single" w:sz="7" w:space="0" w:color="000000"/>
            </w:tcBorders>
          </w:tcPr>
          <w:p w14:paraId="4B4FDA1C" w14:textId="77777777" w:rsidR="007F2986" w:rsidRDefault="007F2986" w:rsidP="00CC2E43">
            <w:pPr>
              <w:jc w:val="center"/>
              <w:rPr>
                <w:lang w:val="hu-HU"/>
              </w:rPr>
            </w:pPr>
          </w:p>
        </w:tc>
      </w:tr>
      <w:tr w:rsidR="007F2986" w14:paraId="69290F0C" w14:textId="77777777" w:rsidTr="00CC2E43">
        <w:tc>
          <w:tcPr>
            <w:tcW w:w="3510" w:type="dxa"/>
            <w:tcBorders>
              <w:top w:val="single" w:sz="7" w:space="0" w:color="000000"/>
              <w:left w:val="single" w:sz="7" w:space="0" w:color="000000"/>
              <w:bottom w:val="single" w:sz="7" w:space="0" w:color="000000"/>
              <w:right w:val="single" w:sz="7" w:space="0" w:color="000000"/>
            </w:tcBorders>
          </w:tcPr>
          <w:p w14:paraId="32EA336D" w14:textId="77777777" w:rsidR="007F2986" w:rsidRDefault="007F2986" w:rsidP="00CC2E43">
            <w:pPr>
              <w:pStyle w:val="TableParagraph"/>
              <w:spacing w:line="246" w:lineRule="exact"/>
              <w:ind w:left="-1"/>
              <w:rPr>
                <w:rFonts w:ascii="Times New Roman" w:eastAsia="Times New Roman" w:hAnsi="Times New Roman" w:cs="Times New Roman"/>
                <w:lang w:val="hu-HU"/>
              </w:rPr>
            </w:pPr>
            <w:r>
              <w:rPr>
                <w:rFonts w:ascii="Times New Roman" w:eastAsia="Times New Roman" w:hAnsi="Times New Roman" w:cs="Times New Roman"/>
                <w:lang w:val="hu-HU"/>
              </w:rPr>
              <w:t>52. hét</w:t>
            </w:r>
          </w:p>
        </w:tc>
        <w:tc>
          <w:tcPr>
            <w:tcW w:w="1984" w:type="dxa"/>
            <w:tcBorders>
              <w:top w:val="single" w:sz="7" w:space="0" w:color="000000"/>
              <w:left w:val="single" w:sz="7" w:space="0" w:color="000000"/>
              <w:bottom w:val="single" w:sz="7" w:space="0" w:color="000000"/>
              <w:right w:val="single" w:sz="7" w:space="0" w:color="000000"/>
            </w:tcBorders>
          </w:tcPr>
          <w:p w14:paraId="5DC3BD8E" w14:textId="77777777" w:rsidR="007F2986" w:rsidRDefault="007F2986" w:rsidP="00CC2E43">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30,0%</w:t>
            </w:r>
          </w:p>
        </w:tc>
        <w:tc>
          <w:tcPr>
            <w:tcW w:w="1985" w:type="dxa"/>
            <w:tcBorders>
              <w:top w:val="single" w:sz="7" w:space="0" w:color="000000"/>
              <w:left w:val="single" w:sz="7" w:space="0" w:color="000000"/>
              <w:bottom w:val="single" w:sz="7" w:space="0" w:color="000000"/>
              <w:right w:val="single" w:sz="7" w:space="0" w:color="000000"/>
            </w:tcBorders>
          </w:tcPr>
          <w:p w14:paraId="394BCC13" w14:textId="77777777" w:rsidR="007F2986" w:rsidRDefault="007F2986" w:rsidP="00CC2E43">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29,8%</w:t>
            </w:r>
          </w:p>
        </w:tc>
        <w:tc>
          <w:tcPr>
            <w:tcW w:w="962" w:type="dxa"/>
            <w:tcBorders>
              <w:top w:val="single" w:sz="7" w:space="0" w:color="000000"/>
              <w:left w:val="single" w:sz="7" w:space="0" w:color="000000"/>
              <w:bottom w:val="single" w:sz="7" w:space="0" w:color="000000"/>
              <w:right w:val="single" w:sz="7" w:space="0" w:color="000000"/>
            </w:tcBorders>
          </w:tcPr>
          <w:p w14:paraId="2BE0C66D" w14:textId="77777777" w:rsidR="007F2986" w:rsidRDefault="007F2986" w:rsidP="00CC2E43">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0,983</w:t>
            </w:r>
          </w:p>
        </w:tc>
      </w:tr>
      <w:tr w:rsidR="007F2986" w14:paraId="0F7847A9" w14:textId="77777777" w:rsidTr="00CC2E43">
        <w:tc>
          <w:tcPr>
            <w:tcW w:w="3510" w:type="dxa"/>
            <w:tcBorders>
              <w:top w:val="single" w:sz="7" w:space="0" w:color="000000"/>
              <w:left w:val="single" w:sz="7" w:space="0" w:color="000000"/>
              <w:bottom w:val="single" w:sz="7" w:space="0" w:color="000000"/>
              <w:right w:val="single" w:sz="7" w:space="0" w:color="000000"/>
            </w:tcBorders>
          </w:tcPr>
          <w:p w14:paraId="67333C30" w14:textId="77777777" w:rsidR="007F2986" w:rsidRDefault="007F2986" w:rsidP="00CC2E43">
            <w:pPr>
              <w:pStyle w:val="TableParagraph"/>
              <w:spacing w:line="251" w:lineRule="exact"/>
              <w:ind w:left="-1"/>
              <w:rPr>
                <w:rFonts w:ascii="Times New Roman" w:eastAsia="Times New Roman" w:hAnsi="Times New Roman" w:cs="Times New Roman"/>
                <w:sz w:val="14"/>
                <w:szCs w:val="14"/>
                <w:lang w:val="hu-HU"/>
              </w:rPr>
            </w:pPr>
            <w:r>
              <w:rPr>
                <w:rFonts w:ascii="Times New Roman" w:eastAsia="Times New Roman" w:hAnsi="Times New Roman" w:cs="Times New Roman"/>
                <w:b/>
                <w:bCs/>
                <w:spacing w:val="-1"/>
                <w:lang w:val="hu-HU"/>
              </w:rPr>
              <w:lastRenderedPageBreak/>
              <w:t>Fistula-remisszió</w:t>
            </w:r>
            <w:r w:rsidRPr="009167C6">
              <w:rPr>
                <w:rFonts w:ascii="Times New Roman" w:eastAsia="Times New Roman" w:hAnsi="Times New Roman" w:cs="Times New Roman"/>
                <w:b/>
                <w:bCs/>
                <w:spacing w:val="-1"/>
                <w:vertAlign w:val="superscript"/>
                <w:lang w:val="hu-HU"/>
              </w:rPr>
              <w:t>3</w:t>
            </w:r>
          </w:p>
        </w:tc>
        <w:tc>
          <w:tcPr>
            <w:tcW w:w="1984" w:type="dxa"/>
            <w:tcBorders>
              <w:top w:val="single" w:sz="7" w:space="0" w:color="000000"/>
              <w:left w:val="single" w:sz="7" w:space="0" w:color="000000"/>
              <w:bottom w:val="single" w:sz="7" w:space="0" w:color="000000"/>
              <w:right w:val="single" w:sz="7" w:space="0" w:color="000000"/>
            </w:tcBorders>
          </w:tcPr>
          <w:p w14:paraId="3398EECE" w14:textId="4D487E9C" w:rsidR="007F2986" w:rsidRDefault="00B36F4C" w:rsidP="00CC2E43">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7F2986">
              <w:rPr>
                <w:rFonts w:ascii="Times New Roman" w:eastAsia="Times New Roman" w:hAnsi="Times New Roman" w:cs="Times New Roman"/>
                <w:b/>
                <w:bCs/>
                <w:spacing w:val="-1"/>
                <w:lang w:val="hu-HU"/>
              </w:rPr>
              <w:t>=15</w:t>
            </w:r>
          </w:p>
        </w:tc>
        <w:tc>
          <w:tcPr>
            <w:tcW w:w="1985" w:type="dxa"/>
            <w:tcBorders>
              <w:top w:val="single" w:sz="7" w:space="0" w:color="000000"/>
              <w:left w:val="single" w:sz="7" w:space="0" w:color="000000"/>
              <w:bottom w:val="single" w:sz="7" w:space="0" w:color="000000"/>
              <w:right w:val="single" w:sz="7" w:space="0" w:color="000000"/>
            </w:tcBorders>
          </w:tcPr>
          <w:p w14:paraId="0D0E27DC" w14:textId="712E01A2" w:rsidR="007F2986" w:rsidRDefault="00B36F4C" w:rsidP="00CC2E43">
            <w:pPr>
              <w:pStyle w:val="TableParagraph"/>
              <w:spacing w:line="251" w:lineRule="exact"/>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n</w:t>
            </w:r>
            <w:r w:rsidR="007F2986">
              <w:rPr>
                <w:rFonts w:ascii="Times New Roman" w:eastAsia="Times New Roman" w:hAnsi="Times New Roman" w:cs="Times New Roman"/>
                <w:b/>
                <w:bCs/>
                <w:spacing w:val="-1"/>
                <w:lang w:val="hu-HU"/>
              </w:rPr>
              <w:t>=21</w:t>
            </w:r>
          </w:p>
        </w:tc>
        <w:tc>
          <w:tcPr>
            <w:tcW w:w="962" w:type="dxa"/>
            <w:tcBorders>
              <w:top w:val="single" w:sz="7" w:space="0" w:color="000000"/>
              <w:left w:val="single" w:sz="7" w:space="0" w:color="000000"/>
              <w:bottom w:val="single" w:sz="7" w:space="0" w:color="000000"/>
              <w:right w:val="single" w:sz="7" w:space="0" w:color="000000"/>
            </w:tcBorders>
          </w:tcPr>
          <w:p w14:paraId="731BE049" w14:textId="77777777" w:rsidR="007F2986" w:rsidRDefault="007F2986" w:rsidP="00CC2E43">
            <w:pPr>
              <w:jc w:val="center"/>
              <w:rPr>
                <w:lang w:val="hu-HU"/>
              </w:rPr>
            </w:pPr>
          </w:p>
        </w:tc>
      </w:tr>
      <w:tr w:rsidR="007F2986" w14:paraId="36B09B55" w14:textId="77777777" w:rsidTr="00CC2E43">
        <w:tc>
          <w:tcPr>
            <w:tcW w:w="3510" w:type="dxa"/>
            <w:tcBorders>
              <w:top w:val="single" w:sz="7" w:space="0" w:color="000000"/>
              <w:left w:val="single" w:sz="7" w:space="0" w:color="000000"/>
              <w:bottom w:val="single" w:sz="7" w:space="0" w:color="000000"/>
              <w:right w:val="single" w:sz="7" w:space="0" w:color="000000"/>
            </w:tcBorders>
          </w:tcPr>
          <w:p w14:paraId="1461CAAE" w14:textId="77777777" w:rsidR="007F2986" w:rsidRDefault="007F2986" w:rsidP="00CC2E43">
            <w:pPr>
              <w:pStyle w:val="TableParagraph"/>
              <w:spacing w:line="246" w:lineRule="exact"/>
              <w:ind w:left="-1"/>
              <w:rPr>
                <w:rFonts w:ascii="Times New Roman" w:eastAsia="Times New Roman" w:hAnsi="Times New Roman" w:cs="Times New Roman"/>
                <w:lang w:val="hu-HU"/>
              </w:rPr>
            </w:pPr>
            <w:r>
              <w:rPr>
                <w:rFonts w:ascii="Times New Roman" w:eastAsia="Times New Roman" w:hAnsi="Times New Roman" w:cs="Times New Roman"/>
                <w:lang w:val="hu-HU"/>
              </w:rPr>
              <w:t>26. hét</w:t>
            </w:r>
          </w:p>
        </w:tc>
        <w:tc>
          <w:tcPr>
            <w:tcW w:w="1984" w:type="dxa"/>
            <w:tcBorders>
              <w:top w:val="single" w:sz="7" w:space="0" w:color="000000"/>
              <w:left w:val="single" w:sz="7" w:space="0" w:color="000000"/>
              <w:bottom w:val="single" w:sz="7" w:space="0" w:color="000000"/>
              <w:right w:val="single" w:sz="7" w:space="0" w:color="000000"/>
            </w:tcBorders>
          </w:tcPr>
          <w:p w14:paraId="06A9361A" w14:textId="77777777" w:rsidR="007F2986" w:rsidRDefault="007F2986" w:rsidP="00CC2E43">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46,7%</w:t>
            </w:r>
          </w:p>
        </w:tc>
        <w:tc>
          <w:tcPr>
            <w:tcW w:w="1985" w:type="dxa"/>
            <w:tcBorders>
              <w:top w:val="single" w:sz="7" w:space="0" w:color="000000"/>
              <w:left w:val="single" w:sz="7" w:space="0" w:color="000000"/>
              <w:bottom w:val="single" w:sz="7" w:space="0" w:color="000000"/>
              <w:right w:val="single" w:sz="7" w:space="0" w:color="000000"/>
            </w:tcBorders>
          </w:tcPr>
          <w:p w14:paraId="248D4276" w14:textId="77777777" w:rsidR="007F2986" w:rsidRDefault="007F2986" w:rsidP="00CC2E43">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38,1%</w:t>
            </w:r>
          </w:p>
        </w:tc>
        <w:tc>
          <w:tcPr>
            <w:tcW w:w="962" w:type="dxa"/>
            <w:tcBorders>
              <w:top w:val="single" w:sz="7" w:space="0" w:color="000000"/>
              <w:left w:val="single" w:sz="7" w:space="0" w:color="000000"/>
              <w:bottom w:val="single" w:sz="7" w:space="0" w:color="000000"/>
              <w:right w:val="single" w:sz="7" w:space="0" w:color="000000"/>
            </w:tcBorders>
          </w:tcPr>
          <w:p w14:paraId="5A3B797D" w14:textId="77777777" w:rsidR="007F2986" w:rsidRDefault="007F2986" w:rsidP="00CC2E43">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0,608</w:t>
            </w:r>
          </w:p>
        </w:tc>
      </w:tr>
      <w:tr w:rsidR="007F2986" w14:paraId="56E688EC" w14:textId="77777777" w:rsidTr="00CC2E43">
        <w:tc>
          <w:tcPr>
            <w:tcW w:w="3510" w:type="dxa"/>
            <w:tcBorders>
              <w:top w:val="single" w:sz="7" w:space="0" w:color="000000"/>
              <w:left w:val="single" w:sz="7" w:space="0" w:color="000000"/>
              <w:bottom w:val="single" w:sz="5" w:space="0" w:color="000000"/>
              <w:right w:val="single" w:sz="7" w:space="0" w:color="000000"/>
            </w:tcBorders>
          </w:tcPr>
          <w:p w14:paraId="3043ED70" w14:textId="77777777" w:rsidR="007F2986" w:rsidRDefault="007F2986" w:rsidP="00CC2E43">
            <w:pPr>
              <w:pStyle w:val="TableParagraph"/>
              <w:spacing w:line="246" w:lineRule="exact"/>
              <w:ind w:left="-1"/>
              <w:rPr>
                <w:rFonts w:ascii="Times New Roman" w:eastAsia="Times New Roman" w:hAnsi="Times New Roman" w:cs="Times New Roman"/>
                <w:lang w:val="hu-HU"/>
              </w:rPr>
            </w:pPr>
            <w:r>
              <w:rPr>
                <w:rFonts w:ascii="Times New Roman" w:eastAsia="Times New Roman" w:hAnsi="Times New Roman" w:cs="Times New Roman"/>
                <w:lang w:val="hu-HU"/>
              </w:rPr>
              <w:t>52. hét</w:t>
            </w:r>
          </w:p>
        </w:tc>
        <w:tc>
          <w:tcPr>
            <w:tcW w:w="1984" w:type="dxa"/>
            <w:tcBorders>
              <w:top w:val="single" w:sz="7" w:space="0" w:color="000000"/>
              <w:left w:val="single" w:sz="7" w:space="0" w:color="000000"/>
              <w:bottom w:val="single" w:sz="5" w:space="0" w:color="000000"/>
              <w:right w:val="single" w:sz="7" w:space="0" w:color="000000"/>
            </w:tcBorders>
          </w:tcPr>
          <w:p w14:paraId="38F8A832" w14:textId="77777777" w:rsidR="007F2986" w:rsidRDefault="007F2986" w:rsidP="00CC2E43">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40,0%</w:t>
            </w:r>
          </w:p>
        </w:tc>
        <w:tc>
          <w:tcPr>
            <w:tcW w:w="1985" w:type="dxa"/>
            <w:tcBorders>
              <w:top w:val="single" w:sz="7" w:space="0" w:color="000000"/>
              <w:left w:val="single" w:sz="7" w:space="0" w:color="000000"/>
              <w:bottom w:val="single" w:sz="5" w:space="0" w:color="000000"/>
              <w:right w:val="single" w:sz="7" w:space="0" w:color="000000"/>
            </w:tcBorders>
          </w:tcPr>
          <w:p w14:paraId="36595D15" w14:textId="77777777" w:rsidR="007F2986" w:rsidRDefault="007F2986" w:rsidP="00CC2E43">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23,8%</w:t>
            </w:r>
          </w:p>
        </w:tc>
        <w:tc>
          <w:tcPr>
            <w:tcW w:w="962" w:type="dxa"/>
            <w:tcBorders>
              <w:top w:val="single" w:sz="7" w:space="0" w:color="000000"/>
              <w:left w:val="single" w:sz="7" w:space="0" w:color="000000"/>
              <w:bottom w:val="single" w:sz="5" w:space="0" w:color="000000"/>
              <w:right w:val="single" w:sz="7" w:space="0" w:color="000000"/>
            </w:tcBorders>
          </w:tcPr>
          <w:p w14:paraId="1D54BD15" w14:textId="77777777" w:rsidR="007F2986" w:rsidRDefault="007F2986" w:rsidP="00CC2E43">
            <w:pPr>
              <w:pStyle w:val="TableParagraph"/>
              <w:spacing w:line="246" w:lineRule="exact"/>
              <w:jc w:val="center"/>
              <w:rPr>
                <w:rFonts w:ascii="Times New Roman" w:eastAsia="Times New Roman" w:hAnsi="Times New Roman" w:cs="Times New Roman"/>
                <w:lang w:val="hu-HU"/>
              </w:rPr>
            </w:pPr>
            <w:r>
              <w:rPr>
                <w:rFonts w:ascii="Times New Roman" w:eastAsia="Times New Roman" w:hAnsi="Times New Roman" w:cs="Times New Roman"/>
                <w:lang w:val="hu-HU"/>
              </w:rPr>
              <w:t>0,303</w:t>
            </w:r>
          </w:p>
        </w:tc>
      </w:tr>
    </w:tbl>
    <w:p w14:paraId="651FABB6" w14:textId="77777777" w:rsidR="007F2986" w:rsidRDefault="007F2986" w:rsidP="00FD05AA">
      <w:pPr>
        <w:pStyle w:val="a3"/>
        <w:numPr>
          <w:ilvl w:val="0"/>
          <w:numId w:val="78"/>
        </w:numPr>
        <w:ind w:left="181"/>
        <w:rPr>
          <w:lang w:val="hu-HU"/>
        </w:rPr>
      </w:pPr>
      <w:r>
        <w:rPr>
          <w:rFonts w:eastAsia="Times New Roman"/>
          <w:lang w:val="hu-HU"/>
        </w:rPr>
        <w:t xml:space="preserve">p érték Standard dózis </w:t>
      </w:r>
      <w:r>
        <w:rPr>
          <w:rFonts w:eastAsia="Times New Roman"/>
          <w:i/>
          <w:iCs/>
          <w:lang w:val="hu-HU"/>
        </w:rPr>
        <w:t xml:space="preserve">versus </w:t>
      </w:r>
      <w:r>
        <w:rPr>
          <w:rFonts w:eastAsia="Times New Roman"/>
          <w:lang w:val="hu-HU"/>
        </w:rPr>
        <w:t>alacsony dózis összehasonlítása esetén.</w:t>
      </w:r>
    </w:p>
    <w:p w14:paraId="0B0B4720" w14:textId="77777777" w:rsidR="007F2986" w:rsidRDefault="007F2986" w:rsidP="00FD05AA">
      <w:pPr>
        <w:pStyle w:val="a3"/>
        <w:numPr>
          <w:ilvl w:val="0"/>
          <w:numId w:val="78"/>
        </w:numPr>
        <w:ind w:left="181" w:hanging="181"/>
        <w:rPr>
          <w:lang w:val="hu-HU"/>
        </w:rPr>
      </w:pPr>
      <w:r>
        <w:rPr>
          <w:rFonts w:eastAsia="Times New Roman"/>
          <w:lang w:val="hu-HU"/>
        </w:rPr>
        <w:t>Az immunszuppresszív kezelést csak a 26. héten vagy azt követően lehetett felfüggeszteni a vizsgáló orvos megítélése alapján, ha a beteg teljesítette a klinikai válasz kritériumait</w:t>
      </w:r>
    </w:p>
    <w:p w14:paraId="4AB46094" w14:textId="77777777" w:rsidR="007F2986" w:rsidRDefault="007F2986" w:rsidP="00FD05AA">
      <w:pPr>
        <w:pStyle w:val="a3"/>
        <w:numPr>
          <w:ilvl w:val="0"/>
          <w:numId w:val="78"/>
        </w:numPr>
        <w:ind w:left="181" w:hanging="181"/>
        <w:rPr>
          <w:lang w:val="hu-HU"/>
        </w:rPr>
      </w:pPr>
      <w:r>
        <w:rPr>
          <w:rFonts w:eastAsia="Times New Roman"/>
          <w:lang w:val="hu-HU"/>
        </w:rPr>
        <w:t>Meghatározás szerint valamennyi, a vizsgálat megkezdésekor váladékozó fistula záródása legalább 2 egymást követő kontrollvizsgálat alkalmával</w:t>
      </w:r>
    </w:p>
    <w:p w14:paraId="04E9F253" w14:textId="77777777" w:rsidR="007F2986" w:rsidRDefault="007F2986" w:rsidP="007F2986">
      <w:pPr>
        <w:spacing w:before="8" w:line="170" w:lineRule="exact"/>
        <w:rPr>
          <w:sz w:val="17"/>
          <w:szCs w:val="17"/>
          <w:lang w:val="hu-HU"/>
        </w:rPr>
      </w:pPr>
    </w:p>
    <w:p w14:paraId="1E02047D" w14:textId="77777777" w:rsidR="007F2986" w:rsidRDefault="007F2986" w:rsidP="007F2986">
      <w:pPr>
        <w:pStyle w:val="a3"/>
        <w:rPr>
          <w:lang w:val="hu-HU"/>
        </w:rPr>
      </w:pPr>
      <w:r>
        <w:rPr>
          <w:rFonts w:eastAsia="Times New Roman"/>
          <w:lang w:val="hu-HU"/>
        </w:rPr>
        <w:t>Mindkét kezelési csoportban a testtömegindex és a növekedési sebesség kiindulási értékhez viszonyított, statisztikailag szignifikáns emelkedését (javulását) észlelték a 26. és az 52. héten.</w:t>
      </w:r>
    </w:p>
    <w:p w14:paraId="4E72FAF0" w14:textId="77777777" w:rsidR="007F2986" w:rsidRDefault="007F2986" w:rsidP="007F2986">
      <w:pPr>
        <w:spacing w:before="14" w:line="240" w:lineRule="exact"/>
        <w:rPr>
          <w:sz w:val="24"/>
          <w:szCs w:val="24"/>
          <w:lang w:val="hu-HU"/>
        </w:rPr>
      </w:pPr>
    </w:p>
    <w:p w14:paraId="2C11A6A0" w14:textId="77777777" w:rsidR="007F2986" w:rsidRDefault="007F2986" w:rsidP="007F2986">
      <w:pPr>
        <w:pStyle w:val="a3"/>
        <w:rPr>
          <w:lang w:val="hu-HU"/>
        </w:rPr>
      </w:pPr>
      <w:r>
        <w:rPr>
          <w:rFonts w:eastAsia="Times New Roman"/>
          <w:lang w:val="hu-HU"/>
        </w:rPr>
        <w:t xml:space="preserve">Mindkét kezelési csoportban az életminőségi paraméterek (köztük az IMPACT </w:t>
      </w:r>
      <w:r w:rsidRPr="009167C6">
        <w:rPr>
          <w:lang w:val="hu-HU"/>
        </w:rPr>
        <w:t> </w:t>
      </w:r>
      <w:r>
        <w:rPr>
          <w:rFonts w:eastAsia="Times New Roman"/>
          <w:lang w:val="hu-HU"/>
        </w:rPr>
        <w:t xml:space="preserve"> III-t) kiindulási értékhez viszonyított, statisztikailag szignifikáns és klinikailag jelentős javulását is megfigyelték.</w:t>
      </w:r>
    </w:p>
    <w:p w14:paraId="3C320F02" w14:textId="77777777" w:rsidR="007F2986" w:rsidRDefault="007F2986" w:rsidP="007F2986">
      <w:pPr>
        <w:pStyle w:val="a3"/>
        <w:rPr>
          <w:lang w:val="hu-HU"/>
        </w:rPr>
      </w:pPr>
    </w:p>
    <w:p w14:paraId="6776931F" w14:textId="77777777" w:rsidR="007F2986" w:rsidRDefault="007F2986" w:rsidP="007F2986">
      <w:pPr>
        <w:pStyle w:val="a3"/>
        <w:rPr>
          <w:lang w:val="hu-HU"/>
        </w:rPr>
      </w:pPr>
      <w:r>
        <w:rPr>
          <w:rFonts w:eastAsia="Times New Roman"/>
          <w:lang w:val="hu-HU"/>
        </w:rPr>
        <w:t>A gyermekkori CD vizsgálatból 100 beteg (n = 100) egy további, nyílt elrendezésű, hosszú távú vizsgálatban vett részt. Az 5 évig tartó adalimumab-kezelés után, a vizsgálatban továbbra is részt vevő 50 beteg 74,0%-ánál (37/50) fennmaradt a klinikai remisszió, és 92%-uk (46/50) adott PCDAI szerinti klinikai választ.</w:t>
      </w:r>
    </w:p>
    <w:p w14:paraId="5BFA6BCB" w14:textId="4C60E5C0" w:rsidR="007F2986" w:rsidRPr="00C54BE6" w:rsidRDefault="007F2986" w:rsidP="007F2986">
      <w:pPr>
        <w:pStyle w:val="a3"/>
        <w:rPr>
          <w:lang w:val="hu-HU"/>
        </w:rPr>
      </w:pPr>
    </w:p>
    <w:p w14:paraId="310644F5" w14:textId="77777777" w:rsidR="007F2986" w:rsidRDefault="007F2986" w:rsidP="007F2986">
      <w:pPr>
        <w:pStyle w:val="a3"/>
        <w:rPr>
          <w:rFonts w:eastAsia="Times New Roman"/>
          <w:lang w:val="hu-HU"/>
        </w:rPr>
      </w:pPr>
      <w:r>
        <w:rPr>
          <w:rFonts w:eastAsia="Times New Roman"/>
          <w:i/>
          <w:iCs/>
          <w:spacing w:val="-1"/>
          <w:lang w:val="hu-HU"/>
        </w:rPr>
        <w:t>Gyermekkori uveitis</w:t>
      </w:r>
    </w:p>
    <w:p w14:paraId="5890284B" w14:textId="77777777" w:rsidR="007F2986" w:rsidRDefault="007F2986" w:rsidP="007F2986">
      <w:pPr>
        <w:pStyle w:val="a3"/>
        <w:rPr>
          <w:sz w:val="24"/>
          <w:szCs w:val="24"/>
          <w:lang w:val="hu-HU"/>
        </w:rPr>
      </w:pPr>
    </w:p>
    <w:p w14:paraId="2D66B56A" w14:textId="0310839A" w:rsidR="007F2986" w:rsidRDefault="007F2986" w:rsidP="007F2986">
      <w:pPr>
        <w:pStyle w:val="a3"/>
        <w:rPr>
          <w:rFonts w:eastAsia="Times New Roman"/>
          <w:lang w:val="hu-HU"/>
        </w:rPr>
      </w:pPr>
      <w:r>
        <w:rPr>
          <w:rFonts w:eastAsia="Times New Roman"/>
          <w:lang w:val="hu-HU"/>
        </w:rPr>
        <w:t>Az adalimumab biztonságosságát és hatásosságát 90, 2 – &lt;18 éves kor közötti, aktív, JIA-asszociált, nem fertőzéses eredetű anterior uvitisben szenvedő, legalább 12 hetes metotrexát-kezelésre refrakter gyermeknél egy randomizált, kettős vak, kontrollos vizsgálatban értékelték. A betegek vagy placebót, vagy 20 mg adalimumabot (30 kg testtömeg alatt), illetve 40 mg adalimumabot (legalább 30 kg-os testtömeg esetén) kaptak minden második héten a kezelés kezdetén alkalmazott metotrexát dózissal kombinálva.</w:t>
      </w:r>
    </w:p>
    <w:p w14:paraId="2B955A87" w14:textId="77777777" w:rsidR="00C54BE6" w:rsidRDefault="00C54BE6" w:rsidP="007F2986">
      <w:pPr>
        <w:pStyle w:val="a3"/>
        <w:rPr>
          <w:lang w:val="hu-HU"/>
        </w:rPr>
      </w:pPr>
    </w:p>
    <w:p w14:paraId="584A7A20" w14:textId="77777777" w:rsidR="007F2986" w:rsidRPr="005A05DE" w:rsidRDefault="007F2986" w:rsidP="007F2986">
      <w:pPr>
        <w:pStyle w:val="a3"/>
        <w:rPr>
          <w:rFonts w:eastAsia="Times New Roman"/>
          <w:lang w:val="hu-HU"/>
        </w:rPr>
      </w:pPr>
      <w:r>
        <w:rPr>
          <w:rFonts w:eastAsia="Times New Roman"/>
          <w:lang w:val="hu-HU"/>
        </w:rPr>
        <w:t>Az elsődleges végpont a „kezelés eredménytelenségéig eltelt idő” volt. A kezelés eredménytelenségének kritériumai a szemgyulladás romlása, vagy tartós nem javulása, részleges javulás tartós szemészeti társbetegségek kialakulása mellett, vagy a szemészeti társbetegségek romlása, nem engedélyezett egyidejű gyógyszeralkalmazás, vagy a kezelés hosszabb ideig tartó felfüggesztése voltak.</w:t>
      </w:r>
    </w:p>
    <w:p w14:paraId="3C3BF691" w14:textId="77777777" w:rsidR="007F2986" w:rsidRDefault="007F2986" w:rsidP="007F2986">
      <w:pPr>
        <w:pStyle w:val="a3"/>
        <w:rPr>
          <w:sz w:val="24"/>
          <w:szCs w:val="24"/>
          <w:lang w:val="hu-HU"/>
        </w:rPr>
      </w:pPr>
    </w:p>
    <w:p w14:paraId="636EE374" w14:textId="77777777" w:rsidR="007F2986" w:rsidRDefault="007F2986" w:rsidP="007F2986">
      <w:pPr>
        <w:pStyle w:val="a3"/>
        <w:rPr>
          <w:rFonts w:eastAsia="Times New Roman"/>
          <w:lang w:val="hu-HU"/>
        </w:rPr>
      </w:pPr>
      <w:r>
        <w:rPr>
          <w:rFonts w:eastAsia="Times New Roman"/>
          <w:i/>
          <w:iCs/>
          <w:spacing w:val="-1"/>
          <w:u w:val="single" w:color="000000"/>
          <w:lang w:val="hu-HU"/>
        </w:rPr>
        <w:t>Klinikai válasz</w:t>
      </w:r>
    </w:p>
    <w:p w14:paraId="3018BD9F" w14:textId="77777777" w:rsidR="007F2986" w:rsidRDefault="007F2986" w:rsidP="007F2986">
      <w:pPr>
        <w:pStyle w:val="a3"/>
        <w:rPr>
          <w:sz w:val="20"/>
          <w:szCs w:val="20"/>
          <w:lang w:val="hu-HU"/>
        </w:rPr>
      </w:pPr>
    </w:p>
    <w:p w14:paraId="402F467E" w14:textId="6C343EEE" w:rsidR="007F2986" w:rsidRDefault="007F2986" w:rsidP="007F2986">
      <w:pPr>
        <w:pStyle w:val="a3"/>
        <w:rPr>
          <w:lang w:val="hu-HU"/>
        </w:rPr>
      </w:pPr>
      <w:r>
        <w:rPr>
          <w:rFonts w:eastAsia="Times New Roman"/>
          <w:lang w:val="hu-HU"/>
        </w:rPr>
        <w:t xml:space="preserve">Az adalimumab szignifikánsan késleltette a kezelés eredménytelenségéig eltelt időt a placebóhoz képest (lásd </w:t>
      </w:r>
      <w:r w:rsidR="00C54BE6">
        <w:rPr>
          <w:rFonts w:eastAsia="Times New Roman"/>
          <w:lang w:val="hu-HU"/>
        </w:rPr>
        <w:t>2</w:t>
      </w:r>
      <w:r>
        <w:rPr>
          <w:rFonts w:eastAsia="Times New Roman"/>
          <w:lang w:val="hu-HU"/>
        </w:rPr>
        <w:t>. ábra, p &lt; 0,0001, lograng-próba). A kezelés eredménytelenségéig eltelt medián időtartam 24,1 hét volt placebóval kezelt betegek esetén, míg az adalimumabbal kezelt betegek esetén a kezelés eredménytelenségéig eltelt medián időtartam nem volt becsülhető, mivel kevesebb mint a betegek felénél tapasztaltak kezelési eredménytelenséget. Az adalimumab szignifikánsan, 75%-kal csökkentette a kezelési eredménytelenség kockázatát a placebóhoz képest, ahogy ezt a relatív hazárd érték mutatja (HR = 0,25 [95%-os CI: 0,12; 0,49]).</w:t>
      </w:r>
    </w:p>
    <w:p w14:paraId="70B01F6B" w14:textId="77777777" w:rsidR="007F2986" w:rsidRDefault="007F2986" w:rsidP="007F2986">
      <w:pPr>
        <w:rPr>
          <w:sz w:val="20"/>
          <w:szCs w:val="20"/>
          <w:lang w:val="hu-HU"/>
        </w:rPr>
      </w:pPr>
    </w:p>
    <w:p w14:paraId="1202D7D6" w14:textId="592B7ECF" w:rsidR="007F2986" w:rsidRDefault="00C54BE6" w:rsidP="007F2986">
      <w:pPr>
        <w:pStyle w:val="a3"/>
        <w:jc w:val="center"/>
        <w:rPr>
          <w:b/>
          <w:lang w:val="hu-HU"/>
        </w:rPr>
      </w:pPr>
      <w:r>
        <w:rPr>
          <w:rFonts w:eastAsia="Times New Roman"/>
          <w:b/>
          <w:bCs/>
          <w:lang w:val="hu-HU"/>
        </w:rPr>
        <w:t>2</w:t>
      </w:r>
      <w:r w:rsidR="007F2986">
        <w:rPr>
          <w:rFonts w:eastAsia="Times New Roman"/>
          <w:b/>
          <w:bCs/>
          <w:lang w:val="hu-HU"/>
        </w:rPr>
        <w:t>. ábra:A kezelés eredménytelenségéig eltelt időt összegző Kaplan-Meier görbék a gyermekkori uveitis vizsgálatban</w:t>
      </w:r>
    </w:p>
    <w:p w14:paraId="121EDC7A" w14:textId="77777777" w:rsidR="007F2986" w:rsidRDefault="007F2986" w:rsidP="007F2986">
      <w:pPr>
        <w:pStyle w:val="a3"/>
        <w:rPr>
          <w:rFonts w:eastAsia="Times New Roman"/>
          <w:lang w:val="hu-HU"/>
        </w:rPr>
      </w:pPr>
      <w:r w:rsidRPr="00E91FF7">
        <w:rPr>
          <w:rFonts w:eastAsia="Times New Roman"/>
          <w:noProof/>
          <w:lang w:eastAsia="ko-KR"/>
        </w:rPr>
        <w:lastRenderedPageBreak/>
        <w:drawing>
          <wp:inline distT="0" distB="0" distL="0" distR="0" wp14:anchorId="2447AD60" wp14:editId="31B2568E">
            <wp:extent cx="5874774" cy="4552950"/>
            <wp:effectExtent l="0" t="0" r="0" b="0"/>
            <wp:docPr id="166" name="그림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그림 5"/>
                    <pic:cNvPicPr>
                      <a:picLocks noChangeAspect="1"/>
                    </pic:cNvPicPr>
                  </pic:nvPicPr>
                  <pic:blipFill rotWithShape="1">
                    <a:blip r:embed="rId19"/>
                    <a:srcRect l="6096" t="25106" r="57448" b="21223"/>
                    <a:stretch/>
                  </pic:blipFill>
                  <pic:spPr>
                    <a:xfrm>
                      <a:off x="0" y="0"/>
                      <a:ext cx="5879330" cy="4556481"/>
                    </a:xfrm>
                    <a:prstGeom prst="rect">
                      <a:avLst/>
                    </a:prstGeom>
                  </pic:spPr>
                </pic:pic>
              </a:graphicData>
            </a:graphic>
          </wp:inline>
        </w:drawing>
      </w:r>
    </w:p>
    <w:p w14:paraId="44FCDC7B" w14:textId="77777777" w:rsidR="007F2986" w:rsidRDefault="007F2986" w:rsidP="007F2986">
      <w:pPr>
        <w:pStyle w:val="a3"/>
        <w:rPr>
          <w:lang w:val="hu-HU"/>
        </w:rPr>
      </w:pPr>
      <w:r>
        <w:rPr>
          <w:rFonts w:eastAsia="Times New Roman"/>
          <w:lang w:val="hu-HU"/>
        </w:rPr>
        <w:t>Megjegyzés: P = Placebo (Veszélyeztetett betegek száma); A = Adalimumab (Veszélyeztetett betegek száma).</w:t>
      </w:r>
    </w:p>
    <w:p w14:paraId="33A3424F" w14:textId="77777777" w:rsidR="007F2986" w:rsidRPr="00E72311" w:rsidRDefault="007F2986" w:rsidP="007F2986">
      <w:pPr>
        <w:spacing w:before="1" w:line="180" w:lineRule="exact"/>
        <w:rPr>
          <w:sz w:val="18"/>
          <w:szCs w:val="18"/>
          <w:lang w:val="hu-HU"/>
        </w:rPr>
      </w:pPr>
    </w:p>
    <w:p w14:paraId="6F55D3F7" w14:textId="77777777" w:rsidR="007F2986" w:rsidRDefault="007F2986" w:rsidP="00FD05AA">
      <w:pPr>
        <w:widowControl/>
        <w:numPr>
          <w:ilvl w:val="1"/>
          <w:numId w:val="77"/>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Farmakokinetikai tulajdonságok</w:t>
      </w:r>
    </w:p>
    <w:p w14:paraId="4AB19787" w14:textId="77777777" w:rsidR="007F2986" w:rsidRDefault="007F2986" w:rsidP="007F2986">
      <w:pPr>
        <w:spacing w:before="9" w:line="240" w:lineRule="exact"/>
        <w:rPr>
          <w:sz w:val="24"/>
          <w:szCs w:val="24"/>
          <w:lang w:val="hu-HU"/>
        </w:rPr>
      </w:pPr>
    </w:p>
    <w:p w14:paraId="1A0EE5FE" w14:textId="77777777" w:rsidR="007F2986" w:rsidRDefault="007F2986" w:rsidP="007F2986">
      <w:pPr>
        <w:pStyle w:val="a3"/>
        <w:rPr>
          <w:u w:val="single"/>
          <w:lang w:val="hu-HU"/>
        </w:rPr>
      </w:pPr>
      <w:r>
        <w:rPr>
          <w:rFonts w:eastAsia="Times New Roman"/>
          <w:u w:val="single" w:color="000000"/>
          <w:lang w:val="hu-HU"/>
        </w:rPr>
        <w:t>Felszívódás és eloszlás</w:t>
      </w:r>
    </w:p>
    <w:p w14:paraId="489A13D8" w14:textId="77777777" w:rsidR="007F2986" w:rsidRDefault="007F2986" w:rsidP="007F2986">
      <w:pPr>
        <w:spacing w:before="1" w:line="180" w:lineRule="exact"/>
        <w:rPr>
          <w:sz w:val="18"/>
          <w:szCs w:val="18"/>
          <w:lang w:val="hu-HU"/>
        </w:rPr>
      </w:pPr>
    </w:p>
    <w:p w14:paraId="1BE700EE" w14:textId="77777777" w:rsidR="007F2986" w:rsidRDefault="007F2986" w:rsidP="007F2986">
      <w:pPr>
        <w:pStyle w:val="a3"/>
        <w:rPr>
          <w:lang w:val="hu-HU"/>
        </w:rPr>
      </w:pPr>
      <w:r>
        <w:rPr>
          <w:rFonts w:eastAsia="Times New Roman"/>
          <w:lang w:val="hu-HU"/>
        </w:rPr>
        <w:t>A kéthetente 24 mg/m</w:t>
      </w:r>
      <w:r>
        <w:rPr>
          <w:rFonts w:eastAsia="Times New Roman"/>
          <w:sz w:val="14"/>
          <w:szCs w:val="14"/>
          <w:lang w:val="hu-HU"/>
        </w:rPr>
        <w:t>2</w:t>
      </w:r>
      <w:r>
        <w:rPr>
          <w:rFonts w:eastAsia="Times New Roman"/>
          <w:lang w:val="hu-HU"/>
        </w:rPr>
        <w:t xml:space="preserve"> (legfeljebb 40 mg) dózis subcutan alkalmazását követően a polyarticularis juvenilis idiopathiás arthritises (JIA) betegeknél, akiknek életkora 4 – 17 év volt, az átlagos legalacsonyabb dinamikus egyensúlyi állapotú (a 20.-tól a 48. hétig mért értékek) szérum-adalimumab-koncentráció értéke 5,6 ± 5,6 mikrogramm/ml (102% CV) volt, ha az adalimumabot együttadott metotrexát nélkül alkalmazták, míg 10,9 ± 5,2 mikrogramm/ml (47,7% CV) a kiegészítő metotrexát-kezelés esetén.</w:t>
      </w:r>
    </w:p>
    <w:p w14:paraId="081B6F19" w14:textId="77777777" w:rsidR="007F2986" w:rsidRDefault="007F2986" w:rsidP="007F2986">
      <w:pPr>
        <w:spacing w:before="13" w:line="240" w:lineRule="exact"/>
        <w:rPr>
          <w:sz w:val="24"/>
          <w:szCs w:val="24"/>
          <w:lang w:val="hu-HU"/>
        </w:rPr>
      </w:pPr>
    </w:p>
    <w:p w14:paraId="1F81D43F" w14:textId="77777777" w:rsidR="007F2986" w:rsidRDefault="007F2986" w:rsidP="007F2986">
      <w:pPr>
        <w:pStyle w:val="a3"/>
        <w:rPr>
          <w:lang w:val="hu-HU"/>
        </w:rPr>
      </w:pPr>
      <w:r>
        <w:rPr>
          <w:rFonts w:eastAsia="Times New Roman"/>
          <w:lang w:val="hu-HU"/>
        </w:rPr>
        <w:t>Azoknál a polyarticularis JIA-ban szenvedő betegeknél, akiknek életkora 2 - &lt;4 vagy 4 év és a feletti, testtömege &lt;15 kg volt és 24 mg/m</w:t>
      </w:r>
      <w:r>
        <w:rPr>
          <w:rFonts w:eastAsia="Times New Roman"/>
          <w:sz w:val="14"/>
          <w:szCs w:val="14"/>
          <w:lang w:val="hu-HU"/>
        </w:rPr>
        <w:t>2</w:t>
      </w:r>
      <w:r>
        <w:rPr>
          <w:rFonts w:eastAsia="Times New Roman"/>
          <w:lang w:val="hu-HU"/>
        </w:rPr>
        <w:t xml:space="preserve"> dózisú adalimumabot kaptak, a legalacsonyabb átlagos dinamikus egyensúlyi állapotban mért adalimumab-koncentráció 6,0 ± 6,1 mikrogramm/ml (101% CV) volt, ha az adalimumabot együttadott metotrexát nélkül alkalmazták és 7,9 ± 5,6 mikrogramm/ml (71,2% CV) volt metotrexáttal kombinált terápia esetén.</w:t>
      </w:r>
    </w:p>
    <w:p w14:paraId="52B83746" w14:textId="77777777" w:rsidR="007F2986" w:rsidRDefault="007F2986" w:rsidP="007F2986">
      <w:pPr>
        <w:spacing w:before="6" w:line="240" w:lineRule="exact"/>
        <w:rPr>
          <w:sz w:val="24"/>
          <w:szCs w:val="24"/>
          <w:lang w:val="hu-HU"/>
        </w:rPr>
      </w:pPr>
    </w:p>
    <w:p w14:paraId="002D4FBA" w14:textId="77777777" w:rsidR="007F2986" w:rsidRDefault="007F2986" w:rsidP="007F2986">
      <w:pPr>
        <w:pStyle w:val="a3"/>
        <w:rPr>
          <w:lang w:val="hu-HU"/>
        </w:rPr>
      </w:pPr>
      <w:r>
        <w:rPr>
          <w:rFonts w:eastAsia="Times New Roman"/>
          <w:lang w:val="hu-HU"/>
        </w:rPr>
        <w:t>Azoknál a 6-17 éves, enthesitis-asszociált arthritisben szenvedő betegeknél, akik 24 mg/m</w:t>
      </w:r>
      <w:r>
        <w:rPr>
          <w:rFonts w:eastAsia="Times New Roman"/>
          <w:sz w:val="14"/>
          <w:szCs w:val="14"/>
          <w:lang w:val="hu-HU"/>
        </w:rPr>
        <w:t>2</w:t>
      </w:r>
      <w:r>
        <w:rPr>
          <w:rFonts w:eastAsia="Times New Roman"/>
          <w:lang w:val="hu-HU"/>
        </w:rPr>
        <w:t xml:space="preserve"> (40 mg) dózisú adalimumabot kaptak subcutan minden második héten, a legalacsonyabb átlagos dinamikus egyensúlyi állapotban mért adalimumab-koncentráció (a 24. héten mérve) 8,8 ± 6,6 mikrogramm/ml volt, ha az adalimumabot együttadott metotrexát nélkül alkalmazták és 11,8 ± 4,3 mikrogramm/ml volt metotrexáttal kombinált terápia esetén.</w:t>
      </w:r>
    </w:p>
    <w:p w14:paraId="65583722" w14:textId="1CE2ED66" w:rsidR="007F2986" w:rsidRDefault="007F2986" w:rsidP="007F2986">
      <w:pPr>
        <w:pStyle w:val="a3"/>
        <w:rPr>
          <w:sz w:val="24"/>
          <w:szCs w:val="24"/>
          <w:lang w:val="hu-HU"/>
        </w:rPr>
      </w:pPr>
    </w:p>
    <w:p w14:paraId="5D6BC2A9" w14:textId="77777777" w:rsidR="007F2986" w:rsidRDefault="007F2986" w:rsidP="007F2986">
      <w:pPr>
        <w:pStyle w:val="a3"/>
        <w:rPr>
          <w:lang w:val="hu-HU"/>
        </w:rPr>
      </w:pPr>
      <w:r>
        <w:rPr>
          <w:rFonts w:eastAsia="Times New Roman"/>
          <w:lang w:val="hu-HU"/>
        </w:rPr>
        <w:t xml:space="preserve">Azoknál a krónikus plakkos psoriasisban szenvedő gyermekeknél, akik 0,8 mg/ttkg (legfeljebb 40 mg) </w:t>
      </w:r>
      <w:r>
        <w:rPr>
          <w:rFonts w:eastAsia="Times New Roman"/>
          <w:lang w:val="hu-HU"/>
        </w:rPr>
        <w:lastRenderedPageBreak/>
        <w:t>dózisú adalimumabot kaptak subcutan minden második héten, az átlagos (± SD), dinamikus egyensúlyi állapotban mért minimális adalimumab-koncentráció körülbelül 7,4 ± 5,8 mikrogramm/ml (79% CV) volt</w:t>
      </w:r>
    </w:p>
    <w:p w14:paraId="4A1E9FAD" w14:textId="77777777" w:rsidR="007F2986" w:rsidRDefault="007F2986" w:rsidP="007F2986">
      <w:pPr>
        <w:spacing w:before="11" w:line="240" w:lineRule="exact"/>
        <w:rPr>
          <w:sz w:val="24"/>
          <w:szCs w:val="24"/>
          <w:lang w:val="hu-HU"/>
        </w:rPr>
      </w:pPr>
    </w:p>
    <w:p w14:paraId="13E08B30" w14:textId="77777777" w:rsidR="007F2986" w:rsidRDefault="007F2986" w:rsidP="007F2986">
      <w:pPr>
        <w:pStyle w:val="a3"/>
        <w:rPr>
          <w:lang w:val="hu-HU"/>
        </w:rPr>
      </w:pPr>
      <w:r>
        <w:rPr>
          <w:rFonts w:eastAsia="Times New Roman"/>
          <w:lang w:val="hu-HU"/>
        </w:rPr>
        <w:t>Közepesen súlyos-</w:t>
      </w:r>
      <w:r w:rsidRPr="009167C6">
        <w:rPr>
          <w:lang w:val="hu-HU"/>
        </w:rPr>
        <w:t> </w:t>
      </w:r>
      <w:r>
        <w:rPr>
          <w:rFonts w:eastAsia="Times New Roman"/>
          <w:lang w:val="hu-HU"/>
        </w:rPr>
        <w:t xml:space="preserve"> súlyos aktivitású Crohn-betegségben szenvedő gyermekeknél és serdülőknél az adalimumab nyílt elrendezésben alkalmazott indukciós dózisa 160/80 mg, illetve 80/40 mg volt a 0. és a 2. héten, figyelembe véve a testtömegre meghatározott 40 kg-os határértéket. A 4. héten a betegeket 1:1 arányban Standard dózisú (40/20 mg minden második héten) vagy Alacsony dózisú (20/10 mg minden második héten) fenntartó kezelési csoportba randomizálták a testtömegük alapján. A 4. hétre elért átlag (±SD) maradék szérum-adalimumab-koncentráció 15,7±6,6 </w:t>
      </w:r>
      <w:r>
        <w:rPr>
          <w:rFonts w:ascii="Symbol" w:eastAsia="Symbol" w:hAnsi="Symbol" w:cs="Symbol"/>
          <w:lang w:val="hu-HU"/>
        </w:rPr>
        <w:sym w:font="Symbol" w:char="F06D"/>
      </w:r>
      <w:r>
        <w:rPr>
          <w:rFonts w:eastAsia="Times New Roman"/>
          <w:lang w:val="hu-HU"/>
        </w:rPr>
        <w:t xml:space="preserve">gramm/ml volt a 40 kg-os, vagy annál nagyobb testtömegű betegeknél (160/80 mg), míg a 40 kg-nál alacsonyabb testtömegű betegeknél (80/40 mg) ez az érték 10,6±6,1 </w:t>
      </w:r>
      <w:r>
        <w:rPr>
          <w:rFonts w:ascii="Symbol" w:eastAsia="Symbol" w:hAnsi="Symbol" w:cs="Symbol"/>
          <w:lang w:val="hu-HU"/>
        </w:rPr>
        <w:sym w:font="Symbol" w:char="F06D"/>
      </w:r>
      <w:r>
        <w:rPr>
          <w:rFonts w:eastAsia="Times New Roman"/>
          <w:lang w:val="hu-HU"/>
        </w:rPr>
        <w:t>gramm/ml volt.</w:t>
      </w:r>
    </w:p>
    <w:p w14:paraId="28487406" w14:textId="77777777" w:rsidR="007F2986" w:rsidRDefault="007F2986" w:rsidP="007F2986">
      <w:pPr>
        <w:spacing w:before="7" w:line="240" w:lineRule="exact"/>
        <w:rPr>
          <w:sz w:val="24"/>
          <w:szCs w:val="24"/>
          <w:lang w:val="hu-HU"/>
        </w:rPr>
      </w:pPr>
    </w:p>
    <w:p w14:paraId="7E97DDDF" w14:textId="77777777" w:rsidR="007F2986" w:rsidRDefault="007F2986" w:rsidP="007F2986">
      <w:pPr>
        <w:pStyle w:val="a3"/>
        <w:rPr>
          <w:lang w:val="hu-HU"/>
        </w:rPr>
      </w:pPr>
      <w:r>
        <w:rPr>
          <w:rFonts w:eastAsia="Times New Roman"/>
          <w:lang w:val="hu-HU"/>
        </w:rPr>
        <w:t xml:space="preserve">Azoknál a betegeknél, akik a randomizált kezelésen maradtak, az 52. héten az átlagos (±SD) maradék szérum-adalimumab-koncentráció a Standard dózissal kezeltek csoportjában 9,5±5,6 </w:t>
      </w:r>
      <w:r>
        <w:rPr>
          <w:rFonts w:ascii="Symbol" w:eastAsia="Symbol" w:hAnsi="Symbol" w:cs="Symbol"/>
          <w:lang w:val="hu-HU"/>
        </w:rPr>
        <w:sym w:font="Symbol" w:char="F06D"/>
      </w:r>
      <w:r>
        <w:rPr>
          <w:rFonts w:eastAsia="Times New Roman"/>
          <w:lang w:val="hu-HU"/>
        </w:rPr>
        <w:t>gramm/ml, míg az Alacsony dózissal kezelteknél 3,5±2,2</w:t>
      </w:r>
      <w:r>
        <w:rPr>
          <w:rFonts w:ascii="Symbol" w:eastAsia="Symbol" w:hAnsi="Symbol" w:cs="Symbol"/>
          <w:lang w:val="hu-HU"/>
        </w:rPr>
        <w:sym w:font="Symbol" w:char="F06D"/>
      </w:r>
      <w:r>
        <w:rPr>
          <w:rFonts w:eastAsia="Times New Roman"/>
          <w:lang w:val="hu-HU"/>
        </w:rPr>
        <w:t>gramm/ml volt. Az átlagos maradék koncentráció fennmaradt azoknál a betegeknél, akik kéthetenkénti adalimumab-kezelést kaptak az 52. hétig. Azoknál a betegeknél, akiknél a kezelés gyakoriságát kéthetenkéntiről heti egyszerire emelték, az átlagos (±SD) szérum-adalimumab-koncentráció az 52. héten 15,3±11,4 mikrogramm/ml (40/20 mg hetente), illetve 6,7±3,5 mikrogramm/ml (20/10 mg hetente) volt.</w:t>
      </w:r>
    </w:p>
    <w:p w14:paraId="2327B018" w14:textId="77777777" w:rsidR="007F2986" w:rsidRDefault="007F2986" w:rsidP="007F2986">
      <w:pPr>
        <w:spacing w:before="11" w:line="240" w:lineRule="exact"/>
        <w:rPr>
          <w:sz w:val="24"/>
          <w:szCs w:val="24"/>
          <w:lang w:val="hu-HU"/>
        </w:rPr>
      </w:pPr>
    </w:p>
    <w:p w14:paraId="46F0C84C" w14:textId="77777777" w:rsidR="007F2986" w:rsidRDefault="007F2986" w:rsidP="007F2986">
      <w:pPr>
        <w:pStyle w:val="a3"/>
        <w:rPr>
          <w:lang w:val="hu-HU"/>
        </w:rPr>
      </w:pPr>
      <w:r>
        <w:rPr>
          <w:rFonts w:eastAsia="Times New Roman"/>
          <w:lang w:val="hu-HU"/>
        </w:rPr>
        <w:t>Az adalimumab expozícióját gyermekeknél populációs farmakokinetikai modellezéssel és szimulációval határozták meg egyéb keresztindikációs gyermekgyógyászati betegek (gyermekkori psoriasis, juvenilis idiopathiás arthritis, gyermekkori Crohn-betegség és enthesitis-asszociált arthritis) farmakokinetikája alapján. Nem állnak rendelkezésre klinikai expozíciós adatok a telítő dózis 6 évnél fiatalabb gyermekeknél történő alkalmazásáról. A várható expozíció alapján metotrexát hiányában a telítő dózis a szisztémás expozíció kezdeti növekedéséhez vezethet.</w:t>
      </w:r>
    </w:p>
    <w:p w14:paraId="1E40E3E1" w14:textId="77777777" w:rsidR="007F2986" w:rsidRDefault="007F2986" w:rsidP="007F2986">
      <w:pPr>
        <w:spacing w:before="13" w:line="240" w:lineRule="exact"/>
        <w:rPr>
          <w:sz w:val="24"/>
          <w:szCs w:val="24"/>
          <w:lang w:val="hu-HU"/>
        </w:rPr>
      </w:pPr>
    </w:p>
    <w:p w14:paraId="5D39FA96" w14:textId="77777777" w:rsidR="007F2986" w:rsidRDefault="007F2986" w:rsidP="007F2986">
      <w:pPr>
        <w:pStyle w:val="a3"/>
        <w:rPr>
          <w:u w:val="single"/>
          <w:lang w:val="hu-HU"/>
        </w:rPr>
      </w:pPr>
      <w:r>
        <w:rPr>
          <w:rFonts w:eastAsia="Times New Roman"/>
          <w:u w:val="single" w:color="000000"/>
          <w:lang w:val="hu-HU"/>
        </w:rPr>
        <w:t>Dózis-hatás összefüggés gyermekeknél és serdülőknél</w:t>
      </w:r>
    </w:p>
    <w:p w14:paraId="144F3BD7" w14:textId="77777777" w:rsidR="007F2986" w:rsidRDefault="007F2986" w:rsidP="007F2986">
      <w:pPr>
        <w:pStyle w:val="a3"/>
        <w:rPr>
          <w:lang w:val="hu-HU"/>
        </w:rPr>
      </w:pPr>
    </w:p>
    <w:p w14:paraId="3EB7576F" w14:textId="77777777" w:rsidR="007F2986" w:rsidRDefault="007F2986" w:rsidP="007F2986">
      <w:pPr>
        <w:pStyle w:val="a3"/>
        <w:rPr>
          <w:lang w:val="hu-HU"/>
        </w:rPr>
      </w:pPr>
      <w:r>
        <w:rPr>
          <w:rFonts w:eastAsia="Times New Roman"/>
          <w:lang w:val="hu-HU"/>
        </w:rPr>
        <w:t>JIA-ban (pJIA és ERA) szenvedő betegeknél végzett klinikai vizsgálati adatok alapján állapították meg a dózis-hatás összefüggést a plazmakoncentrációk és a Pediátriai ACR 50 válasz között. Az adalimumab látszólagos plazmakoncentrációja, ami a Pediátriai ACR 50 válasz maximális valószínűsége felének eléréséhez szükséges (EC50), 3 mikrogramm/ml (95%-os CI:1-6 mikrogramm/ml) volt.</w:t>
      </w:r>
    </w:p>
    <w:p w14:paraId="1AA21D3C" w14:textId="77777777" w:rsidR="007F2986" w:rsidRDefault="007F2986" w:rsidP="007F2986">
      <w:pPr>
        <w:spacing w:before="13" w:line="240" w:lineRule="exact"/>
        <w:rPr>
          <w:sz w:val="24"/>
          <w:szCs w:val="24"/>
          <w:lang w:val="hu-HU"/>
        </w:rPr>
      </w:pPr>
    </w:p>
    <w:p w14:paraId="58484D74" w14:textId="77777777" w:rsidR="007F2986" w:rsidRDefault="007F2986" w:rsidP="007F2986">
      <w:pPr>
        <w:pStyle w:val="a3"/>
        <w:rPr>
          <w:lang w:val="hu-HU"/>
        </w:rPr>
      </w:pPr>
      <w:r>
        <w:rPr>
          <w:rFonts w:eastAsia="Times New Roman"/>
          <w:lang w:val="hu-HU"/>
        </w:rPr>
        <w:t>Az adalimumab koncentrációja és hatásossága közötti dózis-hatás összefüggést a súlyos, krónikus plakkos psoriasisban szenvedő gyermekeknél a PASI 75 és PGA szerinti tiszta vagy minimális értékre vonatkozóan állapították meg.</w:t>
      </w:r>
    </w:p>
    <w:p w14:paraId="68D03FFE" w14:textId="77777777" w:rsidR="007F2986" w:rsidRDefault="007F2986" w:rsidP="007F2986">
      <w:pPr>
        <w:pStyle w:val="a3"/>
        <w:rPr>
          <w:rFonts w:eastAsia="Times New Roman"/>
          <w:lang w:val="hu-HU"/>
        </w:rPr>
      </w:pPr>
      <w:r>
        <w:rPr>
          <w:rFonts w:eastAsia="Times New Roman"/>
          <w:lang w:val="hu-HU"/>
        </w:rPr>
        <w:t>A PASI 75 és PGA szerinti tiszta vagy minimális értéke emelkedett a növekvő adalimumab-koncentrációkkal, mindkettő hasonló látszólagos EC50 értékkel, ami hozzávetőlegesen 4,5 mikrogramm/ml (95%-os CI 0,4-47,6 illetve 1,9-10,5) volt</w:t>
      </w:r>
    </w:p>
    <w:p w14:paraId="1833DFD9" w14:textId="620D140B" w:rsidR="007F2986" w:rsidRDefault="007F2986" w:rsidP="007F2986">
      <w:pPr>
        <w:spacing w:before="13" w:line="240" w:lineRule="exact"/>
        <w:rPr>
          <w:sz w:val="24"/>
          <w:szCs w:val="24"/>
          <w:lang w:val="hu-HU"/>
        </w:rPr>
      </w:pPr>
    </w:p>
    <w:p w14:paraId="2AC6D3DF" w14:textId="33ED7E40" w:rsidR="00560202" w:rsidRPr="005A05DE" w:rsidRDefault="00560202" w:rsidP="005A05DE">
      <w:pPr>
        <w:pStyle w:val="a3"/>
        <w:rPr>
          <w:rFonts w:eastAsia="Times New Roman"/>
          <w:u w:val="single" w:color="000000"/>
          <w:lang w:val="hu-HU"/>
        </w:rPr>
      </w:pPr>
      <w:r w:rsidRPr="005A05DE">
        <w:rPr>
          <w:rFonts w:eastAsia="Times New Roman"/>
          <w:u w:val="single" w:color="000000"/>
          <w:lang w:val="hu-HU"/>
        </w:rPr>
        <w:t>Felnőttek</w:t>
      </w:r>
    </w:p>
    <w:p w14:paraId="0A4AA5E3" w14:textId="77777777" w:rsidR="00560202" w:rsidRDefault="00560202" w:rsidP="007F2986">
      <w:pPr>
        <w:spacing w:before="13" w:line="240" w:lineRule="exact"/>
        <w:rPr>
          <w:sz w:val="24"/>
          <w:szCs w:val="24"/>
          <w:lang w:val="hu-HU"/>
        </w:rPr>
      </w:pPr>
    </w:p>
    <w:p w14:paraId="5D9131BE" w14:textId="77777777" w:rsidR="00560202" w:rsidRDefault="00560202" w:rsidP="00560202">
      <w:pPr>
        <w:pStyle w:val="a3"/>
        <w:rPr>
          <w:lang w:val="hu-HU"/>
        </w:rPr>
      </w:pPr>
      <w:r>
        <w:rPr>
          <w:rFonts w:eastAsia="Times New Roman"/>
          <w:lang w:val="hu-HU"/>
        </w:rPr>
        <w:t>40 mg adag egyszeri subcutan beadását követően az adalimumab felszívódása és eloszlása lassú volt, a szérumban a csúcskoncentrációt csak a beadást követő 5. napon érte el. Az adalimumab átlagos abszolút biohasznosulása, 40 mg adalimumab subcutan beadását követően, három vizsgálat eredményei alapján 64% volt.0,25 mg/ttkg-tól 10 mg/ttkg-ig terjedő adag egyszeri intravénás beadását követően a szérumkoncentráció az adaggal részarányos volt.0,5 mg/ttkg-os adag (~40 mg) beadását követően, a clearence 11 és 15 ml/óra között, az eloszlási térfogat (Vss) 5-6 liter között változott, és az átlagos terminális felezési idő megközelítőleg két hét volt. Az adalimumab synovialis folyadékban mérhető koncentrációja néhány rheumatoid arthritises beteg vizsgálata alapján, a szérumkoncentráció 31-96%-a volt.</w:t>
      </w:r>
    </w:p>
    <w:p w14:paraId="262E3392" w14:textId="77777777" w:rsidR="00560202" w:rsidRDefault="00560202" w:rsidP="00560202">
      <w:pPr>
        <w:spacing w:before="14" w:line="240" w:lineRule="exact"/>
        <w:rPr>
          <w:sz w:val="24"/>
          <w:szCs w:val="24"/>
          <w:lang w:val="hu-HU"/>
        </w:rPr>
      </w:pPr>
    </w:p>
    <w:p w14:paraId="557D30F1" w14:textId="77777777" w:rsidR="00560202" w:rsidRDefault="00560202" w:rsidP="00560202">
      <w:pPr>
        <w:pStyle w:val="a3"/>
        <w:rPr>
          <w:lang w:val="hu-HU"/>
        </w:rPr>
      </w:pPr>
      <w:r>
        <w:rPr>
          <w:rFonts w:eastAsia="Times New Roman"/>
          <w:lang w:val="hu-HU"/>
        </w:rPr>
        <w:t xml:space="preserve">Felnőtt rheumatoid arthritises (RA), metotrexáttal nem kezelt betegeknek minden második héten subcutan beadott 40 mg adalimumab után az átlagos legalacsonyabb dinamikus egyensúlyi állapotban mért </w:t>
      </w:r>
      <w:r>
        <w:rPr>
          <w:rFonts w:eastAsia="Times New Roman"/>
          <w:lang w:val="hu-HU"/>
        </w:rPr>
        <w:lastRenderedPageBreak/>
        <w:t xml:space="preserve">koncentráció 5 </w:t>
      </w:r>
      <w:r>
        <w:rPr>
          <w:rFonts w:ascii="Symbol" w:eastAsia="Symbol" w:hAnsi="Symbol" w:cs="Symbol"/>
          <w:lang w:val="hu-HU"/>
        </w:rPr>
        <w:sym w:font="Symbol" w:char="F06D"/>
      </w:r>
      <w:r>
        <w:rPr>
          <w:rFonts w:eastAsia="Times New Roman"/>
          <w:lang w:val="hu-HU"/>
        </w:rPr>
        <w:t xml:space="preserve">mikrogramm/ml volt, míg metotrexáttal együtt alkalmazva ez az érték 8-9 </w:t>
      </w:r>
      <w:r>
        <w:rPr>
          <w:rFonts w:ascii="Symbol" w:eastAsia="Symbol" w:hAnsi="Symbol" w:cs="Symbol"/>
          <w:lang w:val="hu-HU"/>
        </w:rPr>
        <w:sym w:font="Symbol" w:char="F06D"/>
      </w:r>
      <w:r>
        <w:rPr>
          <w:rFonts w:eastAsia="Times New Roman"/>
          <w:lang w:val="hu-HU"/>
        </w:rPr>
        <w:t>mikrogramm/ml volt. Az adalimumab dinamikus egyensúlyi állapotban mért minimális szérumkoncentrációja csaknem részarányosan nőtt kéthetenként, illetve hetenként subcutan adott 20, 40 illetve 80 mg dózis adagolásával.</w:t>
      </w:r>
    </w:p>
    <w:p w14:paraId="3ECB83A3" w14:textId="77777777" w:rsidR="00560202" w:rsidRDefault="00560202" w:rsidP="00560202">
      <w:pPr>
        <w:spacing w:before="8" w:line="240" w:lineRule="exact"/>
        <w:rPr>
          <w:sz w:val="24"/>
          <w:szCs w:val="24"/>
          <w:lang w:val="hu-HU"/>
        </w:rPr>
      </w:pPr>
    </w:p>
    <w:p w14:paraId="7B6299AD" w14:textId="77777777" w:rsidR="00560202" w:rsidRDefault="00560202" w:rsidP="00560202">
      <w:pPr>
        <w:pStyle w:val="a3"/>
        <w:rPr>
          <w:lang w:val="hu-HU"/>
        </w:rPr>
      </w:pPr>
      <w:r>
        <w:rPr>
          <w:rFonts w:eastAsia="Times New Roman"/>
          <w:lang w:val="hu-HU"/>
        </w:rPr>
        <w:t xml:space="preserve">Psoriasisos felnőtt betegek esetében a legalacsonyabb egyensúlyi plazmakoncentráció átlagértéke 5 </w:t>
      </w:r>
      <w:r>
        <w:rPr>
          <w:rFonts w:ascii="Symbol" w:eastAsia="Symbol" w:hAnsi="Symbol" w:cs="Symbol"/>
          <w:lang w:val="hu-HU"/>
        </w:rPr>
        <w:sym w:font="Symbol" w:char="F06D"/>
      </w:r>
      <w:r>
        <w:rPr>
          <w:rFonts w:eastAsia="Times New Roman"/>
          <w:lang w:val="hu-HU"/>
        </w:rPr>
        <w:t>mikrogramm/ml volt a kéthetente 40 mg adalimumabbal végzett monoterápiás kezelés esetén.</w:t>
      </w:r>
    </w:p>
    <w:p w14:paraId="7A4681F9" w14:textId="5ADDA869" w:rsidR="00560202" w:rsidRPr="00560202" w:rsidRDefault="00560202" w:rsidP="007F2986">
      <w:pPr>
        <w:spacing w:before="13" w:line="240" w:lineRule="exact"/>
        <w:rPr>
          <w:sz w:val="24"/>
          <w:szCs w:val="24"/>
          <w:lang w:val="hu-HU"/>
        </w:rPr>
      </w:pPr>
    </w:p>
    <w:p w14:paraId="134BDA46" w14:textId="77777777" w:rsidR="00560202" w:rsidRDefault="00560202" w:rsidP="00560202">
      <w:pPr>
        <w:pStyle w:val="a3"/>
        <w:rPr>
          <w:lang w:val="hu-HU"/>
        </w:rPr>
      </w:pPr>
      <w:r>
        <w:rPr>
          <w:rFonts w:eastAsia="Times New Roman"/>
          <w:lang w:val="hu-HU"/>
        </w:rPr>
        <w:t xml:space="preserve">Crohn-betegségben szenvedő betegeknél az adalimumab 80 mg-os telítő adagja a 0. héten, majd 40 mg a 2. héten kb. 5,5 </w:t>
      </w:r>
      <w:r>
        <w:rPr>
          <w:rFonts w:ascii="Symbol" w:eastAsia="Symbol" w:hAnsi="Symbol" w:cs="Symbol"/>
          <w:lang w:val="hu-HU"/>
        </w:rPr>
        <w:sym w:font="Symbol" w:char="F06D"/>
      </w:r>
      <w:r>
        <w:rPr>
          <w:rFonts w:eastAsia="Times New Roman"/>
          <w:lang w:val="hu-HU"/>
        </w:rPr>
        <w:t xml:space="preserve">mikrogramm/ml-es minimális adalimumab-szérumszintet eredményez az indukció időszakában. A 0. héten 160 mg-os telítő dózist, majd a 2. héten 80 mg adalimumab-t adva az adalimumab minimális szérumszintje kb. 12 </w:t>
      </w:r>
      <w:r>
        <w:rPr>
          <w:rFonts w:ascii="Symbol" w:eastAsia="Symbol" w:hAnsi="Symbol" w:cs="Symbol"/>
          <w:lang w:val="hu-HU"/>
        </w:rPr>
        <w:sym w:font="Symbol" w:char="F06D"/>
      </w:r>
      <w:r>
        <w:rPr>
          <w:rFonts w:eastAsia="Times New Roman"/>
          <w:lang w:val="hu-HU"/>
        </w:rPr>
        <w:t xml:space="preserve">gramm/ml-ot ér el az indukció időszakában. Megközelítőleg 7 </w:t>
      </w:r>
      <w:r>
        <w:rPr>
          <w:rFonts w:ascii="Symbol" w:eastAsia="Symbol" w:hAnsi="Symbol" w:cs="Symbol"/>
          <w:lang w:val="hu-HU"/>
        </w:rPr>
        <w:sym w:font="Symbol" w:char="F06D"/>
      </w:r>
      <w:r>
        <w:rPr>
          <w:rFonts w:eastAsia="Times New Roman"/>
          <w:lang w:val="hu-HU"/>
        </w:rPr>
        <w:t>mikrogramm/ml egyensúlyi minimális szérumszintet mértek olyan Crohn-betegségben szenvedő betegeknél, akik minden második héten 40 mg adalimumab-t kaptak fenntartó adagként.</w:t>
      </w:r>
    </w:p>
    <w:p w14:paraId="0492B092" w14:textId="10EAA930" w:rsidR="00560202" w:rsidRPr="00560202" w:rsidRDefault="00560202" w:rsidP="007F2986">
      <w:pPr>
        <w:spacing w:before="13" w:line="240" w:lineRule="exact"/>
        <w:rPr>
          <w:sz w:val="24"/>
          <w:szCs w:val="24"/>
          <w:lang w:val="hu-HU"/>
        </w:rPr>
      </w:pPr>
    </w:p>
    <w:p w14:paraId="7DFC3AB2" w14:textId="77777777" w:rsidR="00560202" w:rsidRDefault="00560202" w:rsidP="00560202">
      <w:pPr>
        <w:pStyle w:val="a3"/>
        <w:rPr>
          <w:lang w:val="hu-HU"/>
        </w:rPr>
      </w:pPr>
      <w:r>
        <w:rPr>
          <w:rFonts w:eastAsia="Times New Roman"/>
          <w:spacing w:val="-2"/>
          <w:lang w:val="hu-HU"/>
        </w:rPr>
        <w:t>Uveitisben szenvedő felnőtt betegeknél a 80 mg-os telítő adag a 0. héten, melyet minden második héten beadott 40 mg követ az 1. héttől kezdve, hozzávetőlegesen 8-10</w:t>
      </w:r>
      <w:r>
        <w:rPr>
          <w:rFonts w:ascii="Symbol" w:eastAsia="Symbol" w:hAnsi="Symbol" w:cs="Symbol"/>
          <w:spacing w:val="-2"/>
          <w:lang w:val="hu-HU"/>
        </w:rPr>
        <w:sym w:font="Symbol" w:char="F06D"/>
      </w:r>
      <w:r>
        <w:rPr>
          <w:rFonts w:eastAsia="Times New Roman"/>
          <w:spacing w:val="-2"/>
          <w:lang w:val="hu-HU"/>
        </w:rPr>
        <w:t>gramm/ml átlagos egyensúlyi koncentrációt eredményezett.</w:t>
      </w:r>
    </w:p>
    <w:p w14:paraId="15696364" w14:textId="05CF0923" w:rsidR="00560202" w:rsidRPr="00560202" w:rsidRDefault="00560202" w:rsidP="007F2986">
      <w:pPr>
        <w:spacing w:before="13" w:line="240" w:lineRule="exact"/>
        <w:rPr>
          <w:sz w:val="24"/>
          <w:szCs w:val="24"/>
          <w:lang w:val="hu-HU"/>
        </w:rPr>
      </w:pPr>
    </w:p>
    <w:p w14:paraId="1FE00FFB" w14:textId="77777777" w:rsidR="00560202" w:rsidRDefault="00560202" w:rsidP="00560202">
      <w:pPr>
        <w:pStyle w:val="a3"/>
        <w:rPr>
          <w:lang w:val="hu-HU"/>
        </w:rPr>
      </w:pPr>
      <w:r>
        <w:rPr>
          <w:rFonts w:eastAsia="Times New Roman"/>
          <w:lang w:val="hu-HU"/>
        </w:rPr>
        <w:t xml:space="preserve">A populációs farmakokinetikai és farmakokinetikai/farmakodinámás modellezés és szimuláció hasonló adalimumab-expozíciót és hatásosságot prognosztizált azoknál a betegeknél, akiket minden második héten 80 mg-mal kezeltek, és azoknál, akiket hetente 40 mg-mal kezeltek (ideértve a rheumatoid arthritisben, hidradenitis suppurativában, colitis ulcerosában, Crohn-betegségben vagy psoriasisban szenvedő felnőtt betegeket, serdülőkori HS-ben szenvedő betegeket és legalább 40 kg testtömegű, Crohn-betegségben </w:t>
      </w:r>
      <w:r w:rsidRPr="004E2591">
        <w:rPr>
          <w:lang w:val="hu-HU"/>
        </w:rPr>
        <w:t xml:space="preserve">és colitis ulcerosában </w:t>
      </w:r>
      <w:r>
        <w:rPr>
          <w:rFonts w:eastAsia="Times New Roman"/>
          <w:lang w:val="hu-HU"/>
        </w:rPr>
        <w:t>szenvedő gyermekeket is).</w:t>
      </w:r>
    </w:p>
    <w:p w14:paraId="09822353" w14:textId="77777777" w:rsidR="00560202" w:rsidRDefault="00560202" w:rsidP="007F2986">
      <w:pPr>
        <w:spacing w:before="13" w:line="240" w:lineRule="exact"/>
        <w:rPr>
          <w:sz w:val="24"/>
          <w:szCs w:val="24"/>
          <w:lang w:val="hu-HU"/>
        </w:rPr>
      </w:pPr>
    </w:p>
    <w:p w14:paraId="191F42E1" w14:textId="77777777" w:rsidR="007F2986" w:rsidRDefault="007F2986" w:rsidP="007F2986">
      <w:pPr>
        <w:pStyle w:val="a3"/>
        <w:rPr>
          <w:u w:val="single"/>
          <w:lang w:val="hu-HU"/>
        </w:rPr>
      </w:pPr>
      <w:r>
        <w:rPr>
          <w:rFonts w:eastAsia="Times New Roman"/>
          <w:u w:val="single" w:color="000000"/>
          <w:lang w:val="hu-HU"/>
        </w:rPr>
        <w:t>Elimináció</w:t>
      </w:r>
    </w:p>
    <w:p w14:paraId="5F556A4F" w14:textId="77777777" w:rsidR="007F2986" w:rsidRDefault="007F2986" w:rsidP="007F2986">
      <w:pPr>
        <w:spacing w:before="1" w:line="180" w:lineRule="exact"/>
        <w:rPr>
          <w:sz w:val="18"/>
          <w:szCs w:val="18"/>
          <w:lang w:val="hu-HU"/>
        </w:rPr>
      </w:pPr>
    </w:p>
    <w:p w14:paraId="6ADC37DB" w14:textId="77777777" w:rsidR="007F2986" w:rsidRDefault="007F2986" w:rsidP="007F2986">
      <w:pPr>
        <w:pStyle w:val="a3"/>
        <w:rPr>
          <w:lang w:val="hu-HU"/>
        </w:rPr>
      </w:pPr>
      <w:r>
        <w:rPr>
          <w:rFonts w:eastAsia="Times New Roman"/>
          <w:lang w:val="hu-HU"/>
        </w:rPr>
        <w:t>Több mint 1300 RA betegen végzett populációs farmakokinetikai vizsgálatokból származó adatok alapján derült ki, hogy a testsúly növekedésével nő az adalimumab-clearence. A testsúlykülönbség korrekciója után úgy látszik, a nemnek és az életkornak minimális hatása van az adalimumab clearence- ére. A szérumban mérhető, adalimumab-ellenes antitestekhez (AAA) nem kötődő szabad adalimumab koncentrációja alacsonyabbnak bizonyult olyan betegek esetében, akiknél mérhető volt az AAA szintje.</w:t>
      </w:r>
    </w:p>
    <w:p w14:paraId="1D57C0A0" w14:textId="77777777" w:rsidR="007F2986" w:rsidRDefault="007F2986" w:rsidP="007F2986">
      <w:pPr>
        <w:spacing w:before="13" w:line="240" w:lineRule="exact"/>
        <w:rPr>
          <w:sz w:val="24"/>
          <w:szCs w:val="24"/>
          <w:lang w:val="hu-HU"/>
        </w:rPr>
      </w:pPr>
    </w:p>
    <w:p w14:paraId="4A857B89" w14:textId="77777777" w:rsidR="007F2986" w:rsidRDefault="007F2986" w:rsidP="007F2986">
      <w:pPr>
        <w:pStyle w:val="a3"/>
        <w:rPr>
          <w:u w:val="single"/>
          <w:lang w:val="hu-HU"/>
        </w:rPr>
      </w:pPr>
      <w:r>
        <w:rPr>
          <w:rFonts w:eastAsia="Times New Roman"/>
          <w:u w:val="single" w:color="000000"/>
          <w:lang w:val="hu-HU"/>
        </w:rPr>
        <w:t>Máj- vagy vesekárosodás</w:t>
      </w:r>
    </w:p>
    <w:p w14:paraId="7DE1268F" w14:textId="77777777" w:rsidR="007F2986" w:rsidRDefault="007F2986" w:rsidP="007F2986">
      <w:pPr>
        <w:spacing w:before="1" w:line="180" w:lineRule="exact"/>
        <w:rPr>
          <w:sz w:val="18"/>
          <w:szCs w:val="18"/>
          <w:lang w:val="hu-HU"/>
        </w:rPr>
      </w:pPr>
    </w:p>
    <w:p w14:paraId="41913C74" w14:textId="77777777" w:rsidR="007F2986" w:rsidRDefault="007F2986" w:rsidP="007F2986">
      <w:pPr>
        <w:pStyle w:val="a3"/>
        <w:rPr>
          <w:lang w:val="hu-HU"/>
        </w:rPr>
      </w:pPr>
      <w:r>
        <w:rPr>
          <w:rFonts w:eastAsia="Times New Roman"/>
          <w:lang w:val="hu-HU"/>
        </w:rPr>
        <w:t>Az adalimumabot nem vizsgálták máj -, illetve vesekárosodásban szenvedő betegeken.</w:t>
      </w:r>
    </w:p>
    <w:p w14:paraId="7BC8F565" w14:textId="77777777" w:rsidR="007F2986" w:rsidRDefault="007F2986" w:rsidP="007F2986">
      <w:pPr>
        <w:spacing w:before="18" w:line="240" w:lineRule="exact"/>
        <w:rPr>
          <w:sz w:val="24"/>
          <w:szCs w:val="24"/>
          <w:lang w:val="hu-HU"/>
        </w:rPr>
      </w:pPr>
    </w:p>
    <w:p w14:paraId="677B19ED" w14:textId="77777777" w:rsidR="007F2986" w:rsidRDefault="007F2986" w:rsidP="00FD05AA">
      <w:pPr>
        <w:widowControl/>
        <w:numPr>
          <w:ilvl w:val="1"/>
          <w:numId w:val="77"/>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A preklinikai biztonságossági vizsgálatok eredményei</w:t>
      </w:r>
    </w:p>
    <w:p w14:paraId="789E8B36" w14:textId="77777777" w:rsidR="007F2986" w:rsidRDefault="007F2986" w:rsidP="007F2986">
      <w:pPr>
        <w:spacing w:before="6" w:line="240" w:lineRule="exact"/>
        <w:rPr>
          <w:sz w:val="24"/>
          <w:szCs w:val="24"/>
          <w:lang w:val="hu-HU"/>
        </w:rPr>
      </w:pPr>
    </w:p>
    <w:p w14:paraId="754F88F4" w14:textId="77777777" w:rsidR="007F2986" w:rsidRDefault="007F2986" w:rsidP="007F2986">
      <w:pPr>
        <w:pStyle w:val="a3"/>
        <w:rPr>
          <w:lang w:val="hu-HU"/>
        </w:rPr>
      </w:pPr>
      <w:r>
        <w:rPr>
          <w:rFonts w:eastAsia="Times New Roman"/>
          <w:lang w:val="hu-HU"/>
        </w:rPr>
        <w:t>Egyszeri és ismételt adagolású dózistoxicitási, valamint genotoxicitási vizsgálatokból származó nem klinikai jellegű adatok azt igazolták, hogy a készítmény alkalmazásakor humán vonatkozásban különleges kockázat nem várható.</w:t>
      </w:r>
    </w:p>
    <w:p w14:paraId="0746000A" w14:textId="77777777" w:rsidR="007F2986" w:rsidRDefault="007F2986" w:rsidP="007F2986">
      <w:pPr>
        <w:spacing w:before="12" w:line="240" w:lineRule="exact"/>
        <w:rPr>
          <w:sz w:val="24"/>
          <w:szCs w:val="24"/>
          <w:lang w:val="hu-HU"/>
        </w:rPr>
      </w:pPr>
    </w:p>
    <w:p w14:paraId="237C3BCD" w14:textId="77777777" w:rsidR="007F2986" w:rsidRDefault="007F2986" w:rsidP="007F2986">
      <w:pPr>
        <w:pStyle w:val="a3"/>
        <w:rPr>
          <w:lang w:val="hu-HU"/>
        </w:rPr>
      </w:pPr>
      <w:r>
        <w:rPr>
          <w:rFonts w:eastAsia="Times New Roman"/>
          <w:lang w:val="hu-HU"/>
        </w:rPr>
        <w:t>Majmoknál folytattak vizsgálatot a gyógyszernek az embrionális - magzati fejlődésre, illetve a perinatalis fejlődésre gyakorolt hatásának felmérésére, aminek során 0, 30 mg/ kg illetve 100 mg/ kg dózisú adalimumabot adtak majmoknak (csoportonként 9- 17 majom volt), a magzati károsodás minden jele nélkül. Sem karcinogenitási vizsgálatok, sem standard termékenységi vagy postnatalis toxicitási vizsgálatok nem történtek megfelelő antitestmodell hiányában, mivel az adalimumab a rágcsáló TNF-fel alacsony keresztreakciót mutat, és ellene a rágcsálókban neutralizáló antitestek képződnek.</w:t>
      </w:r>
    </w:p>
    <w:p w14:paraId="700EFBD7" w14:textId="77777777" w:rsidR="007F2986" w:rsidRDefault="007F2986" w:rsidP="007F2986">
      <w:pPr>
        <w:rPr>
          <w:rFonts w:ascii="Times New Roman" w:eastAsia="Times New Roman" w:hAnsi="Times New Roman"/>
          <w:lang w:val="hu-HU"/>
        </w:rPr>
      </w:pPr>
    </w:p>
    <w:p w14:paraId="09E0552E" w14:textId="77777777" w:rsidR="007F2986" w:rsidRDefault="007F2986" w:rsidP="007F2986">
      <w:pPr>
        <w:rPr>
          <w:rFonts w:ascii="Times New Roman" w:eastAsia="Times New Roman" w:hAnsi="Times New Roman"/>
          <w:lang w:val="hu-HU"/>
        </w:rPr>
      </w:pPr>
    </w:p>
    <w:p w14:paraId="7E3072BD" w14:textId="77777777" w:rsidR="007F2986" w:rsidRDefault="007F2986" w:rsidP="00FD05AA">
      <w:pPr>
        <w:widowControl/>
        <w:numPr>
          <w:ilvl w:val="0"/>
          <w:numId w:val="75"/>
        </w:numPr>
        <w:tabs>
          <w:tab w:val="left" w:pos="567"/>
        </w:tabs>
        <w:spacing w:line="260" w:lineRule="exact"/>
        <w:ind w:left="0"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GYÓGYSZERÉSZETI JELLEMZŐK</w:t>
      </w:r>
    </w:p>
    <w:p w14:paraId="23AEC33C" w14:textId="77777777" w:rsidR="007F2986" w:rsidRDefault="007F2986" w:rsidP="007F2986">
      <w:pPr>
        <w:spacing w:before="13" w:line="240" w:lineRule="exact"/>
        <w:rPr>
          <w:sz w:val="24"/>
          <w:szCs w:val="24"/>
          <w:lang w:val="hu-HU"/>
        </w:rPr>
      </w:pPr>
    </w:p>
    <w:p w14:paraId="028490F8" w14:textId="77777777" w:rsidR="007F2986" w:rsidRDefault="007F2986" w:rsidP="00FD05AA">
      <w:pPr>
        <w:widowControl/>
        <w:numPr>
          <w:ilvl w:val="1"/>
          <w:numId w:val="79"/>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lastRenderedPageBreak/>
        <w:t>Segédanyagok felsorolása</w:t>
      </w:r>
    </w:p>
    <w:p w14:paraId="32BA281A" w14:textId="77777777" w:rsidR="007F2986" w:rsidRDefault="007F2986" w:rsidP="007F2986">
      <w:pPr>
        <w:spacing w:line="240" w:lineRule="exact"/>
        <w:rPr>
          <w:sz w:val="24"/>
          <w:szCs w:val="24"/>
          <w:lang w:val="hu-HU"/>
        </w:rPr>
      </w:pPr>
    </w:p>
    <w:p w14:paraId="2AA13528" w14:textId="77777777" w:rsidR="007F2986" w:rsidRDefault="007F2986" w:rsidP="007F2986">
      <w:pPr>
        <w:pStyle w:val="a3"/>
        <w:rPr>
          <w:lang w:val="hu-HU"/>
        </w:rPr>
      </w:pPr>
      <w:r>
        <w:rPr>
          <w:rFonts w:eastAsia="Times New Roman"/>
          <w:lang w:val="hu-HU"/>
        </w:rPr>
        <w:t>ecetsav</w:t>
      </w:r>
    </w:p>
    <w:p w14:paraId="0581037F" w14:textId="77777777" w:rsidR="007F2986" w:rsidRDefault="007F2986" w:rsidP="007F2986">
      <w:pPr>
        <w:pStyle w:val="a3"/>
        <w:rPr>
          <w:lang w:val="hu-HU"/>
        </w:rPr>
      </w:pPr>
      <w:r>
        <w:rPr>
          <w:rFonts w:eastAsia="Times New Roman"/>
          <w:lang w:val="hu-HU"/>
        </w:rPr>
        <w:t>nátrium-acetáttrihidrát</w:t>
      </w:r>
    </w:p>
    <w:p w14:paraId="416FC8F2" w14:textId="77777777" w:rsidR="007F2986" w:rsidRDefault="007F2986" w:rsidP="007F2986">
      <w:pPr>
        <w:pStyle w:val="a3"/>
        <w:rPr>
          <w:lang w:val="hu-HU"/>
        </w:rPr>
      </w:pPr>
      <w:r>
        <w:rPr>
          <w:rFonts w:eastAsia="Times New Roman"/>
          <w:lang w:val="hu-HU"/>
        </w:rPr>
        <w:t>glicin</w:t>
      </w:r>
    </w:p>
    <w:p w14:paraId="787CD363" w14:textId="77777777" w:rsidR="007F2986" w:rsidRDefault="007F2986" w:rsidP="007F2986">
      <w:pPr>
        <w:pStyle w:val="a3"/>
        <w:rPr>
          <w:lang w:val="hu-HU"/>
        </w:rPr>
      </w:pPr>
      <w:r>
        <w:rPr>
          <w:rFonts w:eastAsia="Times New Roman"/>
          <w:lang w:val="hu-HU"/>
        </w:rPr>
        <w:t>poliszorbát 80</w:t>
      </w:r>
    </w:p>
    <w:p w14:paraId="67C6773F" w14:textId="77777777" w:rsidR="007F2986" w:rsidRDefault="007F2986" w:rsidP="007F2986">
      <w:pPr>
        <w:pStyle w:val="a3"/>
        <w:rPr>
          <w:lang w:val="hu-HU"/>
        </w:rPr>
      </w:pPr>
      <w:r>
        <w:rPr>
          <w:rFonts w:eastAsia="Times New Roman"/>
          <w:lang w:val="hu-HU"/>
        </w:rPr>
        <w:t>injekcióhoz való víz</w:t>
      </w:r>
    </w:p>
    <w:p w14:paraId="43D99683" w14:textId="77777777" w:rsidR="007F2986" w:rsidRDefault="007F2986" w:rsidP="007F2986">
      <w:pPr>
        <w:spacing w:line="240" w:lineRule="exact"/>
        <w:rPr>
          <w:sz w:val="24"/>
          <w:szCs w:val="24"/>
          <w:lang w:val="hu-HU"/>
        </w:rPr>
      </w:pPr>
    </w:p>
    <w:p w14:paraId="0D6FE547" w14:textId="77777777" w:rsidR="007F2986" w:rsidRDefault="007F2986" w:rsidP="00FD05AA">
      <w:pPr>
        <w:widowControl/>
        <w:numPr>
          <w:ilvl w:val="1"/>
          <w:numId w:val="79"/>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Inkompatibilitások</w:t>
      </w:r>
    </w:p>
    <w:p w14:paraId="18BB856D" w14:textId="77777777" w:rsidR="007F2986" w:rsidRDefault="007F2986" w:rsidP="007F2986">
      <w:pPr>
        <w:spacing w:line="240" w:lineRule="exact"/>
        <w:rPr>
          <w:sz w:val="24"/>
          <w:szCs w:val="24"/>
          <w:lang w:val="hu-HU"/>
        </w:rPr>
      </w:pPr>
    </w:p>
    <w:p w14:paraId="6CFA55A6" w14:textId="77777777" w:rsidR="007F2986" w:rsidRDefault="007F2986" w:rsidP="007F2986">
      <w:pPr>
        <w:pStyle w:val="a3"/>
        <w:rPr>
          <w:lang w:val="hu-HU"/>
        </w:rPr>
      </w:pPr>
      <w:r>
        <w:rPr>
          <w:rFonts w:eastAsia="Times New Roman"/>
          <w:lang w:val="hu-HU"/>
        </w:rPr>
        <w:t>Kompatibilitási vizsgálatok hiányában ez a gyógyszer nem keverhető más gyógyszerrel.</w:t>
      </w:r>
    </w:p>
    <w:p w14:paraId="5AB4C434" w14:textId="77777777" w:rsidR="007F2986" w:rsidRDefault="007F2986" w:rsidP="007F2986">
      <w:pPr>
        <w:spacing w:line="240" w:lineRule="exact"/>
        <w:rPr>
          <w:sz w:val="24"/>
          <w:szCs w:val="24"/>
          <w:lang w:val="hu-HU"/>
        </w:rPr>
      </w:pPr>
    </w:p>
    <w:p w14:paraId="63D7E551" w14:textId="77777777" w:rsidR="007F2986" w:rsidRDefault="007F2986" w:rsidP="00FD05AA">
      <w:pPr>
        <w:widowControl/>
        <w:numPr>
          <w:ilvl w:val="1"/>
          <w:numId w:val="79"/>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Felhasználhatósági időtartam</w:t>
      </w:r>
    </w:p>
    <w:p w14:paraId="6C8539E0" w14:textId="77777777" w:rsidR="007F2986" w:rsidRDefault="007F2986" w:rsidP="007F2986">
      <w:pPr>
        <w:spacing w:line="240" w:lineRule="exact"/>
        <w:rPr>
          <w:sz w:val="24"/>
          <w:szCs w:val="24"/>
          <w:lang w:val="hu-HU"/>
        </w:rPr>
      </w:pPr>
    </w:p>
    <w:p w14:paraId="4E0A4454" w14:textId="4EA33861" w:rsidR="007F2986" w:rsidRDefault="00885D77" w:rsidP="007F2986">
      <w:pPr>
        <w:pStyle w:val="a3"/>
        <w:rPr>
          <w:lang w:val="hu-HU"/>
        </w:rPr>
      </w:pPr>
      <w:r>
        <w:rPr>
          <w:rFonts w:eastAsia="Times New Roman"/>
          <w:lang w:val="hu-HU"/>
        </w:rPr>
        <w:t>3 év</w:t>
      </w:r>
    </w:p>
    <w:p w14:paraId="7AEC3164" w14:textId="77777777" w:rsidR="007F2986" w:rsidRDefault="007F2986" w:rsidP="007F2986">
      <w:pPr>
        <w:spacing w:line="240" w:lineRule="exact"/>
        <w:rPr>
          <w:sz w:val="24"/>
          <w:szCs w:val="24"/>
          <w:lang w:val="hu-HU"/>
        </w:rPr>
      </w:pPr>
    </w:p>
    <w:p w14:paraId="522FB23A" w14:textId="77777777" w:rsidR="007F2986" w:rsidRDefault="007F2986" w:rsidP="00FD05AA">
      <w:pPr>
        <w:widowControl/>
        <w:numPr>
          <w:ilvl w:val="1"/>
          <w:numId w:val="79"/>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Különleges tárolási előírások</w:t>
      </w:r>
    </w:p>
    <w:p w14:paraId="0AD5404D" w14:textId="77777777" w:rsidR="007F2986" w:rsidRDefault="007F2986" w:rsidP="007F2986">
      <w:pPr>
        <w:spacing w:line="260" w:lineRule="exact"/>
        <w:rPr>
          <w:sz w:val="26"/>
          <w:szCs w:val="26"/>
          <w:lang w:val="hu-HU"/>
        </w:rPr>
      </w:pPr>
    </w:p>
    <w:p w14:paraId="32108CA9" w14:textId="77777777" w:rsidR="007F2986" w:rsidRDefault="007F2986" w:rsidP="007F2986">
      <w:pPr>
        <w:pStyle w:val="a3"/>
        <w:rPr>
          <w:lang w:val="hu-HU"/>
        </w:rPr>
      </w:pPr>
      <w:r>
        <w:rPr>
          <w:rFonts w:eastAsia="Times New Roman"/>
          <w:lang w:val="hu-HU"/>
        </w:rPr>
        <w:t>Hűtőszekrényben (2</w:t>
      </w:r>
      <w:r>
        <w:rPr>
          <w:rFonts w:ascii="Symbol" w:eastAsia="Symbol" w:hAnsi="Symbol" w:cs="Symbol"/>
          <w:lang w:val="hu-HU"/>
        </w:rPr>
        <w:sym w:font="Symbol" w:char="F0B0"/>
      </w:r>
      <w:r>
        <w:rPr>
          <w:rFonts w:eastAsia="Times New Roman"/>
          <w:lang w:val="hu-HU"/>
        </w:rPr>
        <w:t>C – 8</w:t>
      </w:r>
      <w:r>
        <w:rPr>
          <w:rFonts w:ascii="Symbol" w:eastAsia="Symbol" w:hAnsi="Symbol" w:cs="Symbol"/>
          <w:lang w:val="hu-HU"/>
        </w:rPr>
        <w:sym w:font="Symbol" w:char="F0B0"/>
      </w:r>
      <w:r>
        <w:rPr>
          <w:rFonts w:eastAsia="Times New Roman"/>
          <w:lang w:val="hu-HU"/>
        </w:rPr>
        <w:t>C) tárolandó. Nem fagyasztható.</w:t>
      </w:r>
    </w:p>
    <w:p w14:paraId="3FF0FC32" w14:textId="4AA6DE15" w:rsidR="007F2986" w:rsidRDefault="007F2986" w:rsidP="007F2986">
      <w:pPr>
        <w:pStyle w:val="a3"/>
        <w:rPr>
          <w:lang w:val="hu-HU"/>
        </w:rPr>
      </w:pPr>
      <w:r>
        <w:rPr>
          <w:rFonts w:eastAsia="Times New Roman"/>
          <w:lang w:val="hu-HU"/>
        </w:rPr>
        <w:t>A fénytől való védelem érdekében az előretöltött fecskendő az eredeti dobozban tárolandó.</w:t>
      </w:r>
    </w:p>
    <w:p w14:paraId="1B07EAF9" w14:textId="77777777" w:rsidR="007F2986" w:rsidRDefault="007F2986" w:rsidP="007F2986">
      <w:pPr>
        <w:spacing w:line="240" w:lineRule="exact"/>
        <w:rPr>
          <w:sz w:val="24"/>
          <w:szCs w:val="24"/>
          <w:lang w:val="hu-HU"/>
        </w:rPr>
      </w:pPr>
    </w:p>
    <w:p w14:paraId="19CE2003" w14:textId="3FB5C9A6" w:rsidR="007F2986" w:rsidRDefault="007F2986" w:rsidP="007F2986">
      <w:pPr>
        <w:pStyle w:val="a3"/>
        <w:rPr>
          <w:lang w:val="hu-HU"/>
        </w:rPr>
      </w:pPr>
      <w:r>
        <w:rPr>
          <w:rFonts w:eastAsia="Times New Roman"/>
          <w:lang w:val="hu-HU"/>
        </w:rPr>
        <w:t>Önmagában a Yuflyma előretöltött fecskendő legfeljebb 25°C-on, maximum 31 napig tárolható. Az előretöltött fecskendőt fénytől védeni kell, és meg kell semmisíteni, amennyiben a 31 napos időtartam alatt nem használták fel</w:t>
      </w:r>
    </w:p>
    <w:p w14:paraId="13AEC67E" w14:textId="77777777" w:rsidR="007F2986" w:rsidRDefault="007F2986" w:rsidP="007F2986">
      <w:pPr>
        <w:spacing w:line="240" w:lineRule="exact"/>
        <w:rPr>
          <w:sz w:val="24"/>
          <w:szCs w:val="24"/>
          <w:lang w:val="hu-HU"/>
        </w:rPr>
      </w:pPr>
    </w:p>
    <w:p w14:paraId="33019A7A" w14:textId="77777777" w:rsidR="007F2986" w:rsidRDefault="007F2986" w:rsidP="00FD05AA">
      <w:pPr>
        <w:widowControl/>
        <w:numPr>
          <w:ilvl w:val="1"/>
          <w:numId w:val="79"/>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Csomagolás típusa és kiszerelése</w:t>
      </w:r>
    </w:p>
    <w:p w14:paraId="5F9017D4" w14:textId="77777777" w:rsidR="007F2986" w:rsidRDefault="007F2986" w:rsidP="007F2986">
      <w:pPr>
        <w:pStyle w:val="a4"/>
        <w:spacing w:line="240" w:lineRule="exact"/>
        <w:rPr>
          <w:sz w:val="24"/>
          <w:szCs w:val="24"/>
          <w:lang w:val="hu-HU"/>
        </w:rPr>
      </w:pPr>
    </w:p>
    <w:p w14:paraId="35EF143B" w14:textId="5E043E37" w:rsidR="007F2986" w:rsidRDefault="007F2986" w:rsidP="007F2986">
      <w:pPr>
        <w:pStyle w:val="a3"/>
        <w:rPr>
          <w:u w:val="single"/>
          <w:lang w:val="hu-HU"/>
        </w:rPr>
      </w:pPr>
      <w:r>
        <w:rPr>
          <w:rFonts w:eastAsia="Times New Roman"/>
          <w:u w:val="single"/>
          <w:lang w:val="hu-HU"/>
        </w:rPr>
        <w:t xml:space="preserve">Yuflyma </w:t>
      </w:r>
      <w:r w:rsidR="00560202">
        <w:rPr>
          <w:rFonts w:eastAsia="Times New Roman"/>
          <w:u w:val="single"/>
          <w:lang w:val="hu-HU"/>
        </w:rPr>
        <w:t>20</w:t>
      </w:r>
      <w:r>
        <w:rPr>
          <w:rFonts w:eastAsia="Times New Roman"/>
          <w:u w:val="single"/>
          <w:lang w:val="hu-HU"/>
        </w:rPr>
        <w:t> mg oldatos injekció előretöltött fecskendőben</w:t>
      </w:r>
    </w:p>
    <w:p w14:paraId="2FE7EAB6" w14:textId="77777777" w:rsidR="007F2986" w:rsidRDefault="007F2986" w:rsidP="007F2986">
      <w:pPr>
        <w:pStyle w:val="a3"/>
        <w:rPr>
          <w:u w:val="single"/>
          <w:lang w:val="hu-HU"/>
        </w:rPr>
      </w:pPr>
    </w:p>
    <w:p w14:paraId="6F240255" w14:textId="77777777" w:rsidR="007F2986" w:rsidRDefault="007F2986" w:rsidP="007F2986">
      <w:pPr>
        <w:pStyle w:val="a3"/>
        <w:rPr>
          <w:lang w:val="hu-HU"/>
        </w:rPr>
      </w:pPr>
      <w:r>
        <w:rPr>
          <w:rFonts w:eastAsia="Times New Roman"/>
          <w:lang w:val="hu-HU"/>
        </w:rPr>
        <w:t>Oldatos injekció előretöltött fecskendőben (I. típusú üveg)</w:t>
      </w:r>
    </w:p>
    <w:p w14:paraId="537A7C40" w14:textId="77777777" w:rsidR="007F2986" w:rsidRDefault="007F2986" w:rsidP="007F2986">
      <w:pPr>
        <w:pStyle w:val="a3"/>
        <w:rPr>
          <w:rFonts w:eastAsia="Times New Roman"/>
          <w:lang w:val="hu-HU"/>
        </w:rPr>
      </w:pPr>
      <w:r>
        <w:rPr>
          <w:rFonts w:eastAsia="Times New Roman"/>
          <w:lang w:val="hu-HU"/>
        </w:rPr>
        <w:t>brómbutil gumitömítéses dugattyúval és tűvédővel ellátott tűvel (termoplasztikus elasztomer).</w:t>
      </w:r>
    </w:p>
    <w:p w14:paraId="1CFD8961" w14:textId="77777777" w:rsidR="007F2986" w:rsidRDefault="007F2986" w:rsidP="007F2986">
      <w:pPr>
        <w:spacing w:line="240" w:lineRule="exact"/>
        <w:rPr>
          <w:sz w:val="24"/>
          <w:szCs w:val="24"/>
          <w:lang w:val="hu-HU"/>
        </w:rPr>
      </w:pPr>
    </w:p>
    <w:p w14:paraId="458C17D1" w14:textId="77777777" w:rsidR="007F2986" w:rsidRDefault="007F2986" w:rsidP="007F2986">
      <w:pPr>
        <w:pStyle w:val="a3"/>
        <w:rPr>
          <w:lang w:val="hu-HU"/>
        </w:rPr>
      </w:pPr>
      <w:r>
        <w:rPr>
          <w:rFonts w:eastAsia="Times New Roman"/>
          <w:lang w:val="hu-HU"/>
        </w:rPr>
        <w:t>Csomagolási egység:</w:t>
      </w:r>
    </w:p>
    <w:p w14:paraId="08F6A7D2" w14:textId="5AF0A1F7" w:rsidR="00503367" w:rsidRPr="00503367" w:rsidRDefault="00503367" w:rsidP="00503367">
      <w:pPr>
        <w:pStyle w:val="a3"/>
        <w:numPr>
          <w:ilvl w:val="0"/>
          <w:numId w:val="15"/>
        </w:numPr>
        <w:ind w:left="660"/>
        <w:rPr>
          <w:lang w:val="hu-HU"/>
        </w:rPr>
      </w:pPr>
      <w:r w:rsidRPr="00503367">
        <w:rPr>
          <w:rFonts w:hint="eastAsia"/>
          <w:lang w:val="hu-HU" w:eastAsia="ko-KR"/>
        </w:rPr>
        <w:t xml:space="preserve">1 </w:t>
      </w:r>
      <w:r w:rsidRPr="00503367">
        <w:rPr>
          <w:rFonts w:eastAsia="Times New Roman"/>
          <w:lang w:val="hu-HU"/>
        </w:rPr>
        <w:t>előretöltött fecskendő (0,</w:t>
      </w:r>
      <w:r>
        <w:rPr>
          <w:rFonts w:hint="eastAsia"/>
          <w:lang w:val="hu-HU" w:eastAsia="ko-KR"/>
        </w:rPr>
        <w:t>2</w:t>
      </w:r>
      <w:r w:rsidRPr="00503367">
        <w:rPr>
          <w:rFonts w:eastAsia="Times New Roman"/>
          <w:lang w:val="hu-HU"/>
        </w:rPr>
        <w:t xml:space="preserve"> ml steriloldat) 2 alkoholos törlőkendővel.</w:t>
      </w:r>
    </w:p>
    <w:p w14:paraId="3BB3064E" w14:textId="486C9756" w:rsidR="007F2986" w:rsidRDefault="00560202" w:rsidP="007F2986">
      <w:pPr>
        <w:pStyle w:val="a3"/>
        <w:numPr>
          <w:ilvl w:val="0"/>
          <w:numId w:val="15"/>
        </w:numPr>
        <w:ind w:left="660"/>
        <w:rPr>
          <w:lang w:val="hu-HU"/>
        </w:rPr>
      </w:pPr>
      <w:r>
        <w:rPr>
          <w:rFonts w:eastAsia="Times New Roman"/>
          <w:lang w:val="hu-HU"/>
        </w:rPr>
        <w:t>2 előretöltött fecskendő (0,2</w:t>
      </w:r>
      <w:r w:rsidR="007F2986">
        <w:rPr>
          <w:rFonts w:eastAsia="Times New Roman"/>
          <w:lang w:val="hu-HU"/>
        </w:rPr>
        <w:t xml:space="preserve"> ml steriloldat) </w:t>
      </w:r>
      <w:r w:rsidR="00CC57CD">
        <w:rPr>
          <w:rFonts w:eastAsia="Times New Roman"/>
          <w:lang w:val="hu-HU"/>
        </w:rPr>
        <w:t>2 alkoholos törlőkendővel</w:t>
      </w:r>
      <w:r w:rsidR="007F2986">
        <w:rPr>
          <w:rFonts w:eastAsia="Times New Roman"/>
          <w:lang w:val="hu-HU"/>
        </w:rPr>
        <w:t>.</w:t>
      </w:r>
    </w:p>
    <w:p w14:paraId="6D47AC1C" w14:textId="77777777" w:rsidR="00503367" w:rsidRPr="00503367" w:rsidRDefault="00503367" w:rsidP="00503367">
      <w:pPr>
        <w:spacing w:before="10" w:line="240" w:lineRule="exact"/>
        <w:rPr>
          <w:sz w:val="24"/>
          <w:szCs w:val="24"/>
          <w:lang w:val="hu-HU" w:eastAsia="ko-KR"/>
        </w:rPr>
      </w:pPr>
    </w:p>
    <w:p w14:paraId="71A2AFA5" w14:textId="77777777" w:rsidR="00503367" w:rsidRDefault="00503367" w:rsidP="000C683A">
      <w:pPr>
        <w:pStyle w:val="a3"/>
        <w:rPr>
          <w:lang w:val="hu-HU"/>
        </w:rPr>
      </w:pPr>
      <w:r>
        <w:rPr>
          <w:rFonts w:eastAsia="Times New Roman"/>
          <w:lang w:val="hu-HU"/>
        </w:rPr>
        <w:t>Nem feltétlenül mindegyik kiszerelés kerül kereskedelmi forgalomba.</w:t>
      </w:r>
    </w:p>
    <w:p w14:paraId="43D085EC" w14:textId="77777777" w:rsidR="00503367" w:rsidRPr="00503367" w:rsidRDefault="00503367" w:rsidP="007F2986">
      <w:pPr>
        <w:widowControl/>
        <w:tabs>
          <w:tab w:val="left" w:pos="567"/>
        </w:tabs>
        <w:spacing w:line="260" w:lineRule="exact"/>
        <w:rPr>
          <w:rFonts w:ascii="Times New Roman" w:hAnsi="Times New Roman" w:cs="Times New Roman"/>
          <w:b/>
          <w:noProof/>
          <w:lang w:val="hu-HU" w:eastAsia="ko-KR"/>
        </w:rPr>
      </w:pPr>
    </w:p>
    <w:p w14:paraId="4CF759AC" w14:textId="77777777" w:rsidR="007F2986" w:rsidRDefault="007F2986" w:rsidP="00FD05AA">
      <w:pPr>
        <w:widowControl/>
        <w:numPr>
          <w:ilvl w:val="1"/>
          <w:numId w:val="79"/>
        </w:numPr>
        <w:tabs>
          <w:tab w:val="left" w:pos="567"/>
        </w:tabs>
        <w:spacing w:line="260" w:lineRule="exact"/>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A megsemmisítésre vonatkozó különleges óvintézkedések és egyéb, a készítmény kezelésével kapcsolatos információk</w:t>
      </w:r>
    </w:p>
    <w:p w14:paraId="48380CB3" w14:textId="77777777" w:rsidR="007F2986" w:rsidRDefault="007F2986" w:rsidP="007F2986">
      <w:pPr>
        <w:spacing w:before="12" w:line="240" w:lineRule="exact"/>
        <w:rPr>
          <w:sz w:val="24"/>
          <w:szCs w:val="24"/>
          <w:lang w:val="hu-HU"/>
        </w:rPr>
      </w:pPr>
    </w:p>
    <w:p w14:paraId="294C1A7A" w14:textId="77777777" w:rsidR="007F2986" w:rsidRDefault="007F2986" w:rsidP="007F2986">
      <w:pPr>
        <w:pStyle w:val="a3"/>
        <w:rPr>
          <w:lang w:val="hu-HU"/>
        </w:rPr>
      </w:pPr>
      <w:r>
        <w:rPr>
          <w:rFonts w:eastAsia="Times New Roman"/>
          <w:lang w:val="hu-HU"/>
        </w:rPr>
        <w:t>Bármilyen fel nem használt gyógyszer, illetve hulladékanyag megsemmisítését a gyógyszerekre vonatkozó előírások szerint kell végrehajtani.</w:t>
      </w:r>
    </w:p>
    <w:p w14:paraId="67A07FED" w14:textId="77777777" w:rsidR="007F2986" w:rsidRDefault="007F2986" w:rsidP="007F2986">
      <w:pPr>
        <w:spacing w:line="200" w:lineRule="exact"/>
        <w:rPr>
          <w:sz w:val="20"/>
          <w:szCs w:val="20"/>
          <w:lang w:val="hu-HU"/>
        </w:rPr>
      </w:pPr>
    </w:p>
    <w:p w14:paraId="13589D7D" w14:textId="77777777" w:rsidR="007F2986" w:rsidRDefault="007F2986" w:rsidP="007F2986">
      <w:pPr>
        <w:widowControl/>
        <w:tabs>
          <w:tab w:val="left" w:pos="567"/>
        </w:tabs>
        <w:spacing w:line="260" w:lineRule="exact"/>
        <w:rPr>
          <w:rFonts w:ascii="Times New Roman" w:eastAsia="Times New Roman" w:hAnsi="Times New Roman" w:cs="Times New Roman"/>
          <w:b/>
          <w:noProof/>
          <w:lang w:val="hu-HU"/>
        </w:rPr>
      </w:pPr>
    </w:p>
    <w:p w14:paraId="499E7796" w14:textId="77777777" w:rsidR="007F2986" w:rsidRDefault="007F2986" w:rsidP="00FD05AA">
      <w:pPr>
        <w:widowControl/>
        <w:numPr>
          <w:ilvl w:val="0"/>
          <w:numId w:val="75"/>
        </w:numPr>
        <w:tabs>
          <w:tab w:val="left" w:pos="567"/>
        </w:tabs>
        <w:spacing w:line="260" w:lineRule="exact"/>
        <w:ind w:left="0"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A FORGALOMBA HOZATALI ENGEDÉLY JOGOSULTJA</w:t>
      </w:r>
    </w:p>
    <w:p w14:paraId="5F5E91A7" w14:textId="77777777" w:rsidR="007F2986" w:rsidRDefault="007F2986" w:rsidP="007F2986">
      <w:pPr>
        <w:spacing w:before="12" w:line="240" w:lineRule="exact"/>
        <w:rPr>
          <w:sz w:val="24"/>
          <w:szCs w:val="24"/>
          <w:lang w:val="hu-HU"/>
        </w:rPr>
      </w:pPr>
    </w:p>
    <w:p w14:paraId="4A069D8B" w14:textId="77777777" w:rsidR="007F2986" w:rsidRDefault="007F2986" w:rsidP="007F2986">
      <w:pPr>
        <w:pStyle w:val="a3"/>
        <w:rPr>
          <w:lang w:val="hu-HU"/>
        </w:rPr>
      </w:pPr>
      <w:r>
        <w:rPr>
          <w:lang w:val="hu-HU"/>
        </w:rPr>
        <w:t xml:space="preserve">Celltrion Healthcare Hungary Kft. </w:t>
      </w:r>
    </w:p>
    <w:p w14:paraId="7AD6AA38" w14:textId="77777777" w:rsidR="007F2986" w:rsidRDefault="007F2986" w:rsidP="007F2986">
      <w:pPr>
        <w:pStyle w:val="a3"/>
        <w:rPr>
          <w:lang w:val="hu-HU"/>
        </w:rPr>
      </w:pPr>
      <w:r>
        <w:rPr>
          <w:lang w:val="hu-HU"/>
        </w:rPr>
        <w:t>1062 Budapest</w:t>
      </w:r>
    </w:p>
    <w:p w14:paraId="184D268C" w14:textId="77777777" w:rsidR="007F2986" w:rsidRDefault="007F2986" w:rsidP="007F2986">
      <w:pPr>
        <w:pStyle w:val="a3"/>
        <w:rPr>
          <w:lang w:val="hu-HU"/>
        </w:rPr>
      </w:pPr>
      <w:r>
        <w:rPr>
          <w:lang w:val="hu-HU"/>
        </w:rPr>
        <w:t>Váci út 1-3. WestEnd Office Building B torony</w:t>
      </w:r>
    </w:p>
    <w:p w14:paraId="62CC9A9B" w14:textId="77777777" w:rsidR="007F2986" w:rsidRDefault="007F2986" w:rsidP="007F2986">
      <w:pPr>
        <w:pStyle w:val="a3"/>
        <w:rPr>
          <w:lang w:val="hu-HU"/>
        </w:rPr>
      </w:pPr>
      <w:r>
        <w:rPr>
          <w:rFonts w:eastAsia="Times New Roman"/>
          <w:lang w:val="hu-HU"/>
        </w:rPr>
        <w:t>Magyarország</w:t>
      </w:r>
    </w:p>
    <w:p w14:paraId="5E540CAA" w14:textId="77777777" w:rsidR="007F2986" w:rsidRDefault="007F2986" w:rsidP="007F2986">
      <w:pPr>
        <w:spacing w:line="200" w:lineRule="exact"/>
        <w:rPr>
          <w:sz w:val="20"/>
          <w:szCs w:val="20"/>
          <w:lang w:val="hu-HU"/>
        </w:rPr>
      </w:pPr>
    </w:p>
    <w:p w14:paraId="5976C639" w14:textId="77777777" w:rsidR="007F2986" w:rsidRDefault="007F2986" w:rsidP="007F2986">
      <w:pPr>
        <w:spacing w:line="200" w:lineRule="exact"/>
        <w:rPr>
          <w:sz w:val="20"/>
          <w:szCs w:val="20"/>
          <w:lang w:val="hu-HU"/>
        </w:rPr>
      </w:pPr>
    </w:p>
    <w:p w14:paraId="3C9F6B33" w14:textId="77777777" w:rsidR="007F2986" w:rsidRDefault="007F2986" w:rsidP="00FD05AA">
      <w:pPr>
        <w:widowControl/>
        <w:numPr>
          <w:ilvl w:val="0"/>
          <w:numId w:val="75"/>
        </w:numPr>
        <w:tabs>
          <w:tab w:val="left" w:pos="567"/>
        </w:tabs>
        <w:spacing w:line="260" w:lineRule="exact"/>
        <w:ind w:left="0"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A FORGALOMBA HOZATALI ENGEDÉLY SZÁMAI</w:t>
      </w:r>
    </w:p>
    <w:p w14:paraId="4AE04BFC" w14:textId="77777777" w:rsidR="007F2986" w:rsidRDefault="007F2986" w:rsidP="007F2986">
      <w:pPr>
        <w:spacing w:before="9" w:line="240" w:lineRule="exact"/>
        <w:rPr>
          <w:sz w:val="24"/>
          <w:szCs w:val="24"/>
          <w:lang w:val="hu-HU"/>
        </w:rPr>
      </w:pPr>
    </w:p>
    <w:p w14:paraId="19CFCED4" w14:textId="5AF402A4" w:rsidR="007F2986" w:rsidRDefault="007F2986" w:rsidP="007F2986">
      <w:pPr>
        <w:pStyle w:val="a3"/>
        <w:rPr>
          <w:u w:val="single"/>
          <w:lang w:val="hu-HU"/>
        </w:rPr>
      </w:pPr>
      <w:r>
        <w:rPr>
          <w:rFonts w:eastAsia="Times New Roman"/>
          <w:u w:val="single" w:color="000000"/>
          <w:lang w:val="hu-HU"/>
        </w:rPr>
        <w:lastRenderedPageBreak/>
        <w:t xml:space="preserve">Yuflyma </w:t>
      </w:r>
      <w:r w:rsidR="00560202">
        <w:rPr>
          <w:rFonts w:eastAsia="Times New Roman"/>
          <w:u w:val="single" w:color="000000"/>
          <w:lang w:val="hu-HU"/>
        </w:rPr>
        <w:t>20</w:t>
      </w:r>
      <w:r>
        <w:rPr>
          <w:rFonts w:eastAsia="Times New Roman"/>
          <w:u w:val="single" w:color="000000"/>
          <w:lang w:val="hu-HU"/>
        </w:rPr>
        <w:t> mgoldatos injekció előretöltött fecskendőben</w:t>
      </w:r>
    </w:p>
    <w:p w14:paraId="543E4B0B" w14:textId="77777777" w:rsidR="007F2986" w:rsidRDefault="007F2986" w:rsidP="007F2986">
      <w:pPr>
        <w:pStyle w:val="a3"/>
        <w:rPr>
          <w:lang w:val="hu-HU"/>
        </w:rPr>
      </w:pPr>
    </w:p>
    <w:p w14:paraId="74D1CF64" w14:textId="776C7FFC" w:rsidR="007F2986" w:rsidRDefault="007F2986" w:rsidP="007F2986">
      <w:pPr>
        <w:pStyle w:val="a3"/>
        <w:rPr>
          <w:lang w:val="hu-HU"/>
        </w:rPr>
      </w:pPr>
      <w:r>
        <w:rPr>
          <w:rFonts w:eastAsia="Times New Roman"/>
          <w:lang w:val="hu-HU"/>
        </w:rPr>
        <w:t>EU/</w:t>
      </w:r>
      <w:r w:rsidR="00560202">
        <w:rPr>
          <w:rFonts w:eastAsia="Times New Roman" w:cs="Verdana"/>
          <w:color w:val="000000"/>
          <w:lang w:val="hu-HU"/>
        </w:rPr>
        <w:t>1/20/1513/017</w:t>
      </w:r>
    </w:p>
    <w:p w14:paraId="11FF5A34" w14:textId="521D75E5" w:rsidR="007F2986" w:rsidRDefault="00916F00" w:rsidP="007F2986">
      <w:pPr>
        <w:pStyle w:val="a3"/>
        <w:rPr>
          <w:lang w:val="hu-HU" w:eastAsia="ko-KR"/>
        </w:rPr>
      </w:pPr>
      <w:r>
        <w:rPr>
          <w:rFonts w:hint="eastAsia"/>
          <w:lang w:val="hu-HU" w:eastAsia="ko-KR"/>
        </w:rPr>
        <w:t>EU/1/20/1513/018</w:t>
      </w:r>
    </w:p>
    <w:p w14:paraId="111DFBF2" w14:textId="77777777" w:rsidR="00916F00" w:rsidRDefault="00916F00" w:rsidP="007F2986">
      <w:pPr>
        <w:pStyle w:val="a3"/>
        <w:rPr>
          <w:lang w:val="hu-HU" w:eastAsia="ko-KR"/>
        </w:rPr>
      </w:pPr>
    </w:p>
    <w:p w14:paraId="0C343DC8" w14:textId="77777777" w:rsidR="007F2986" w:rsidRDefault="007F2986" w:rsidP="007F2986">
      <w:pPr>
        <w:spacing w:line="200" w:lineRule="exact"/>
        <w:rPr>
          <w:sz w:val="20"/>
          <w:szCs w:val="20"/>
          <w:lang w:val="hu-HU"/>
        </w:rPr>
      </w:pPr>
    </w:p>
    <w:p w14:paraId="4B32E0AC" w14:textId="77777777" w:rsidR="007F2986" w:rsidRDefault="007F2986" w:rsidP="00FD05AA">
      <w:pPr>
        <w:widowControl/>
        <w:numPr>
          <w:ilvl w:val="0"/>
          <w:numId w:val="75"/>
        </w:numPr>
        <w:tabs>
          <w:tab w:val="left" w:pos="567"/>
        </w:tabs>
        <w:spacing w:line="260" w:lineRule="exact"/>
        <w:ind w:left="0"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A FORGALOMBA HOZATALI ENGEDÉLY ELSŐ KIADÁSÁNAK/MEGÚJÍTÁSÁNAK DÁTUMA</w:t>
      </w:r>
    </w:p>
    <w:p w14:paraId="79E1F71B" w14:textId="77777777" w:rsidR="007F2986" w:rsidRDefault="007F2986" w:rsidP="007F2986">
      <w:pPr>
        <w:widowControl/>
        <w:tabs>
          <w:tab w:val="left" w:pos="567"/>
        </w:tabs>
        <w:spacing w:line="260" w:lineRule="exact"/>
        <w:rPr>
          <w:rFonts w:ascii="Times New Roman" w:eastAsia="Times New Roman" w:hAnsi="Times New Roman" w:cs="Times New Roman"/>
          <w:b/>
          <w:noProof/>
          <w:lang w:val="hu-HU"/>
        </w:rPr>
      </w:pPr>
    </w:p>
    <w:p w14:paraId="6CD1B1BB" w14:textId="77777777" w:rsidR="007F2986" w:rsidRDefault="007F2986" w:rsidP="007F2986">
      <w:pPr>
        <w:widowControl/>
        <w:tabs>
          <w:tab w:val="left" w:pos="567"/>
        </w:tabs>
        <w:spacing w:line="260" w:lineRule="exact"/>
        <w:rPr>
          <w:rFonts w:ascii="Times New Roman" w:eastAsia="Times New Roman" w:hAnsi="Times New Roman" w:cs="Times New Roman"/>
          <w:bCs/>
          <w:noProof/>
          <w:lang w:val="hu-HU"/>
        </w:rPr>
      </w:pPr>
      <w:r>
        <w:rPr>
          <w:rFonts w:ascii="Times New Roman" w:eastAsia="Times New Roman" w:hAnsi="Times New Roman" w:cs="Times New Roman"/>
          <w:bCs/>
          <w:noProof/>
          <w:lang w:val="hu-HU"/>
        </w:rPr>
        <w:t xml:space="preserve">Az első kiadásának dátuma: </w:t>
      </w:r>
      <w:r w:rsidRPr="00673FDD">
        <w:rPr>
          <w:rFonts w:ascii="Times New Roman" w:eastAsia="Times New Roman" w:hAnsi="Times New Roman" w:cs="Times New Roman"/>
          <w:bCs/>
          <w:noProof/>
          <w:lang w:val="hu-HU"/>
        </w:rPr>
        <w:t>2021. február 11.</w:t>
      </w:r>
    </w:p>
    <w:p w14:paraId="439C3491" w14:textId="77777777" w:rsidR="007F2986" w:rsidRDefault="007F2986" w:rsidP="007F2986">
      <w:pPr>
        <w:widowControl/>
        <w:tabs>
          <w:tab w:val="left" w:pos="567"/>
        </w:tabs>
        <w:spacing w:line="260" w:lineRule="exact"/>
        <w:rPr>
          <w:rFonts w:ascii="Times New Roman" w:eastAsia="Times New Roman" w:hAnsi="Times New Roman" w:cs="Times New Roman"/>
          <w:b/>
          <w:noProof/>
          <w:lang w:val="hu-HU"/>
        </w:rPr>
      </w:pPr>
    </w:p>
    <w:p w14:paraId="5A996C3A" w14:textId="77777777" w:rsidR="007F2986" w:rsidRDefault="007F2986" w:rsidP="007F2986">
      <w:pPr>
        <w:widowControl/>
        <w:tabs>
          <w:tab w:val="left" w:pos="567"/>
        </w:tabs>
        <w:spacing w:line="260" w:lineRule="exact"/>
        <w:rPr>
          <w:rFonts w:ascii="Times New Roman" w:eastAsia="Times New Roman" w:hAnsi="Times New Roman" w:cs="Times New Roman"/>
          <w:b/>
          <w:noProof/>
          <w:lang w:val="hu-HU"/>
        </w:rPr>
      </w:pPr>
    </w:p>
    <w:p w14:paraId="4AD9C6D6" w14:textId="77777777" w:rsidR="007F2986" w:rsidRDefault="007F2986" w:rsidP="00FD05AA">
      <w:pPr>
        <w:widowControl/>
        <w:numPr>
          <w:ilvl w:val="0"/>
          <w:numId w:val="75"/>
        </w:numPr>
        <w:tabs>
          <w:tab w:val="left" w:pos="567"/>
        </w:tabs>
        <w:spacing w:line="260" w:lineRule="exact"/>
        <w:ind w:left="0" w:firstLine="0"/>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A SZÖVEG ELLENŐRZÉSÉNEK DÁTUMA</w:t>
      </w:r>
    </w:p>
    <w:p w14:paraId="1FADCA73" w14:textId="77777777" w:rsidR="007F2986" w:rsidRDefault="007F2986" w:rsidP="007F2986">
      <w:pPr>
        <w:spacing w:before="12" w:line="240" w:lineRule="exact"/>
        <w:rPr>
          <w:sz w:val="24"/>
          <w:szCs w:val="24"/>
          <w:lang w:val="hu-HU"/>
        </w:rPr>
      </w:pPr>
    </w:p>
    <w:p w14:paraId="693C54EC" w14:textId="77777777" w:rsidR="007F2986" w:rsidRDefault="007F2986" w:rsidP="007F2986">
      <w:pPr>
        <w:pStyle w:val="a3"/>
        <w:rPr>
          <w:rFonts w:eastAsia="Times New Roman"/>
          <w:lang w:val="hu-HU"/>
        </w:rPr>
      </w:pPr>
      <w:r>
        <w:rPr>
          <w:rFonts w:eastAsia="Times New Roman"/>
          <w:lang w:val="hu-HU"/>
        </w:rPr>
        <w:t>A gyógyszerről részletes információ az Európai Gyógyszerügynökség internetes honlapján (</w:t>
      </w:r>
      <w:r>
        <w:fldChar w:fldCharType="begin"/>
      </w:r>
      <w:r w:rsidRPr="00BE4D18">
        <w:rPr>
          <w:lang w:val="hu-HU"/>
        </w:rPr>
        <w:instrText>HYPERLINK "http://www.ema.europa.eu"</w:instrText>
      </w:r>
      <w:r>
        <w:fldChar w:fldCharType="separate"/>
      </w:r>
      <w:r w:rsidRPr="009167C6">
        <w:rPr>
          <w:rStyle w:val="ad"/>
          <w:lang w:val="hu-HU"/>
        </w:rPr>
        <w:t>http://www.ema.europa.eu</w:t>
      </w:r>
      <w:r>
        <w:fldChar w:fldCharType="end"/>
      </w:r>
      <w:r w:rsidRPr="000405CC">
        <w:rPr>
          <w:rFonts w:eastAsia="Times New Roman"/>
          <w:lang w:val="hu-HU"/>
        </w:rPr>
        <w:t>) található.</w:t>
      </w:r>
    </w:p>
    <w:p w14:paraId="576A10C6" w14:textId="3A7E683D" w:rsidR="00130E8B" w:rsidRPr="005A05DE" w:rsidRDefault="007F2986">
      <w:pPr>
        <w:rPr>
          <w:rFonts w:ascii="Times New Roman" w:eastAsia="Times New Roman" w:hAnsi="Times New Roman" w:cs="Times New Roman"/>
          <w:lang w:val="hu-HU"/>
        </w:rPr>
      </w:pPr>
      <w:r>
        <w:rPr>
          <w:rFonts w:eastAsia="Times New Roman"/>
          <w:lang w:val="hu-HU"/>
        </w:rPr>
        <w:br w:type="page"/>
      </w:r>
    </w:p>
    <w:p w14:paraId="1B12546D" w14:textId="77777777" w:rsidR="00130E8B" w:rsidRDefault="00130E8B">
      <w:pPr>
        <w:spacing w:line="200" w:lineRule="exact"/>
        <w:rPr>
          <w:sz w:val="20"/>
          <w:szCs w:val="20"/>
          <w:lang w:val="hu-HU"/>
        </w:rPr>
      </w:pPr>
    </w:p>
    <w:p w14:paraId="10E99A5A" w14:textId="77777777" w:rsidR="00130E8B" w:rsidRDefault="00130E8B">
      <w:pPr>
        <w:spacing w:line="200" w:lineRule="exact"/>
        <w:rPr>
          <w:sz w:val="20"/>
          <w:szCs w:val="20"/>
          <w:lang w:val="hu-HU"/>
        </w:rPr>
      </w:pPr>
    </w:p>
    <w:p w14:paraId="6CD331FA" w14:textId="77777777" w:rsidR="00130E8B" w:rsidRDefault="00130E8B">
      <w:pPr>
        <w:spacing w:line="200" w:lineRule="exact"/>
        <w:rPr>
          <w:sz w:val="20"/>
          <w:szCs w:val="20"/>
          <w:lang w:val="hu-HU"/>
        </w:rPr>
      </w:pPr>
    </w:p>
    <w:p w14:paraId="7D31485D" w14:textId="77777777" w:rsidR="00130E8B" w:rsidRDefault="00130E8B">
      <w:pPr>
        <w:spacing w:line="200" w:lineRule="exact"/>
        <w:rPr>
          <w:sz w:val="20"/>
          <w:szCs w:val="20"/>
          <w:lang w:val="hu-HU"/>
        </w:rPr>
      </w:pPr>
    </w:p>
    <w:p w14:paraId="66B2246C" w14:textId="77777777" w:rsidR="00130E8B" w:rsidRDefault="00130E8B">
      <w:pPr>
        <w:spacing w:line="200" w:lineRule="exact"/>
        <w:rPr>
          <w:sz w:val="20"/>
          <w:szCs w:val="20"/>
          <w:lang w:val="hu-HU"/>
        </w:rPr>
      </w:pPr>
    </w:p>
    <w:p w14:paraId="5B2C4130" w14:textId="77777777" w:rsidR="00130E8B" w:rsidRDefault="00130E8B">
      <w:pPr>
        <w:spacing w:line="200" w:lineRule="exact"/>
        <w:rPr>
          <w:sz w:val="20"/>
          <w:szCs w:val="20"/>
          <w:lang w:val="hu-HU"/>
        </w:rPr>
      </w:pPr>
    </w:p>
    <w:p w14:paraId="4BCDB53D" w14:textId="77777777" w:rsidR="00130E8B" w:rsidRDefault="00130E8B">
      <w:pPr>
        <w:spacing w:line="200" w:lineRule="exact"/>
        <w:rPr>
          <w:sz w:val="20"/>
          <w:szCs w:val="20"/>
          <w:lang w:val="hu-HU"/>
        </w:rPr>
      </w:pPr>
    </w:p>
    <w:p w14:paraId="2DAEC718" w14:textId="77777777" w:rsidR="00130E8B" w:rsidRDefault="00130E8B">
      <w:pPr>
        <w:spacing w:line="200" w:lineRule="exact"/>
        <w:rPr>
          <w:sz w:val="20"/>
          <w:szCs w:val="20"/>
          <w:lang w:val="hu-HU"/>
        </w:rPr>
      </w:pPr>
    </w:p>
    <w:p w14:paraId="2518A6B5" w14:textId="77777777" w:rsidR="00130E8B" w:rsidRDefault="00130E8B">
      <w:pPr>
        <w:spacing w:line="200" w:lineRule="exact"/>
        <w:rPr>
          <w:sz w:val="20"/>
          <w:szCs w:val="20"/>
          <w:lang w:val="hu-HU"/>
        </w:rPr>
      </w:pPr>
    </w:p>
    <w:p w14:paraId="3DC03011" w14:textId="77777777" w:rsidR="00130E8B" w:rsidRDefault="00130E8B">
      <w:pPr>
        <w:spacing w:line="200" w:lineRule="exact"/>
        <w:rPr>
          <w:sz w:val="20"/>
          <w:szCs w:val="20"/>
          <w:lang w:val="hu-HU"/>
        </w:rPr>
      </w:pPr>
    </w:p>
    <w:p w14:paraId="1100CC81" w14:textId="77777777" w:rsidR="00130E8B" w:rsidRDefault="00130E8B">
      <w:pPr>
        <w:spacing w:line="200" w:lineRule="exact"/>
        <w:rPr>
          <w:sz w:val="20"/>
          <w:szCs w:val="20"/>
          <w:lang w:val="hu-HU"/>
        </w:rPr>
      </w:pPr>
    </w:p>
    <w:p w14:paraId="66B2198C" w14:textId="77777777" w:rsidR="00130E8B" w:rsidRDefault="00130E8B">
      <w:pPr>
        <w:spacing w:line="200" w:lineRule="exact"/>
        <w:rPr>
          <w:sz w:val="20"/>
          <w:szCs w:val="20"/>
          <w:lang w:val="hu-HU"/>
        </w:rPr>
      </w:pPr>
    </w:p>
    <w:p w14:paraId="598B01E6" w14:textId="77777777" w:rsidR="00130E8B" w:rsidRDefault="00130E8B">
      <w:pPr>
        <w:spacing w:line="200" w:lineRule="exact"/>
        <w:rPr>
          <w:sz w:val="20"/>
          <w:szCs w:val="20"/>
          <w:lang w:val="hu-HU"/>
        </w:rPr>
      </w:pPr>
    </w:p>
    <w:p w14:paraId="44D4BFED" w14:textId="77777777" w:rsidR="00130E8B" w:rsidRDefault="00130E8B">
      <w:pPr>
        <w:spacing w:line="200" w:lineRule="exact"/>
        <w:rPr>
          <w:sz w:val="20"/>
          <w:szCs w:val="20"/>
          <w:lang w:val="hu-HU"/>
        </w:rPr>
      </w:pPr>
    </w:p>
    <w:p w14:paraId="30D3CC1A" w14:textId="77777777" w:rsidR="00130E8B" w:rsidRDefault="00130E8B">
      <w:pPr>
        <w:spacing w:line="200" w:lineRule="exact"/>
        <w:rPr>
          <w:sz w:val="20"/>
          <w:szCs w:val="20"/>
          <w:lang w:val="hu-HU"/>
        </w:rPr>
      </w:pPr>
    </w:p>
    <w:p w14:paraId="4849D597" w14:textId="77777777" w:rsidR="00130E8B" w:rsidRDefault="00130E8B">
      <w:pPr>
        <w:spacing w:line="200" w:lineRule="exact"/>
        <w:rPr>
          <w:sz w:val="20"/>
          <w:szCs w:val="20"/>
          <w:lang w:val="hu-HU"/>
        </w:rPr>
      </w:pPr>
    </w:p>
    <w:p w14:paraId="5393DB05" w14:textId="77777777" w:rsidR="00130E8B" w:rsidRDefault="00130E8B">
      <w:pPr>
        <w:spacing w:line="200" w:lineRule="exact"/>
        <w:rPr>
          <w:sz w:val="20"/>
          <w:szCs w:val="20"/>
          <w:lang w:val="hu-HU"/>
        </w:rPr>
      </w:pPr>
    </w:p>
    <w:p w14:paraId="6A462E7F" w14:textId="77777777" w:rsidR="00130E8B" w:rsidRDefault="00130E8B">
      <w:pPr>
        <w:spacing w:line="200" w:lineRule="exact"/>
        <w:rPr>
          <w:sz w:val="20"/>
          <w:szCs w:val="20"/>
          <w:lang w:val="hu-HU"/>
        </w:rPr>
      </w:pPr>
    </w:p>
    <w:p w14:paraId="2172BC9E" w14:textId="77777777" w:rsidR="00130E8B" w:rsidRDefault="00130E8B">
      <w:pPr>
        <w:spacing w:line="200" w:lineRule="exact"/>
        <w:rPr>
          <w:sz w:val="20"/>
          <w:szCs w:val="20"/>
          <w:lang w:val="hu-HU"/>
        </w:rPr>
      </w:pPr>
    </w:p>
    <w:p w14:paraId="49BAC440" w14:textId="77777777" w:rsidR="00130E8B" w:rsidRDefault="00130E8B">
      <w:pPr>
        <w:spacing w:line="200" w:lineRule="exact"/>
        <w:rPr>
          <w:sz w:val="20"/>
          <w:szCs w:val="20"/>
          <w:lang w:val="hu-HU"/>
        </w:rPr>
      </w:pPr>
    </w:p>
    <w:p w14:paraId="1D07B6B3" w14:textId="77777777" w:rsidR="00130E8B" w:rsidRDefault="00130E8B">
      <w:pPr>
        <w:spacing w:line="200" w:lineRule="exact"/>
        <w:rPr>
          <w:sz w:val="20"/>
          <w:szCs w:val="20"/>
          <w:lang w:val="hu-HU"/>
        </w:rPr>
      </w:pPr>
    </w:p>
    <w:p w14:paraId="4BF8B6A3" w14:textId="77777777" w:rsidR="00130E8B" w:rsidRDefault="00130E8B">
      <w:pPr>
        <w:spacing w:line="200" w:lineRule="exact"/>
        <w:rPr>
          <w:sz w:val="20"/>
          <w:szCs w:val="20"/>
          <w:lang w:val="hu-HU"/>
        </w:rPr>
      </w:pPr>
    </w:p>
    <w:p w14:paraId="1F835B3E" w14:textId="77777777" w:rsidR="00130E8B" w:rsidRDefault="00130E8B">
      <w:pPr>
        <w:spacing w:before="4" w:line="200" w:lineRule="exact"/>
        <w:rPr>
          <w:sz w:val="20"/>
          <w:szCs w:val="20"/>
          <w:lang w:val="hu-HU"/>
        </w:rPr>
      </w:pPr>
    </w:p>
    <w:p w14:paraId="0D500CB4" w14:textId="77777777" w:rsidR="00130E8B" w:rsidRDefault="000405CC">
      <w:pPr>
        <w:pStyle w:val="TableParagraph"/>
        <w:tabs>
          <w:tab w:val="left" w:pos="4171"/>
          <w:tab w:val="center" w:pos="4800"/>
        </w:tabs>
        <w:rPr>
          <w:rFonts w:ascii="Times New Roman" w:hAnsi="Times New Roman" w:cs="Times New Roman"/>
          <w:b/>
          <w:lang w:val="hu-HU"/>
        </w:rPr>
      </w:pPr>
      <w:r>
        <w:rPr>
          <w:rFonts w:ascii="Times New Roman" w:eastAsia="Times New Roman" w:hAnsi="Times New Roman" w:cs="Times New Roman"/>
          <w:b/>
          <w:bCs/>
          <w:lang w:val="hu-HU"/>
        </w:rPr>
        <w:tab/>
      </w:r>
      <w:r>
        <w:rPr>
          <w:rFonts w:ascii="Times New Roman" w:eastAsia="Times New Roman" w:hAnsi="Times New Roman" w:cs="Times New Roman"/>
          <w:b/>
          <w:bCs/>
          <w:lang w:val="hu-HU"/>
        </w:rPr>
        <w:tab/>
        <w:t>II. MELLÉKLET</w:t>
      </w:r>
    </w:p>
    <w:p w14:paraId="53040B30" w14:textId="77777777" w:rsidR="00130E8B" w:rsidRDefault="00130E8B">
      <w:pPr>
        <w:pStyle w:val="TableParagraph"/>
        <w:jc w:val="center"/>
        <w:rPr>
          <w:rFonts w:ascii="Times New Roman" w:hAnsi="Times New Roman" w:cs="Times New Roman"/>
          <w:b/>
          <w:lang w:val="hu-HU"/>
        </w:rPr>
      </w:pPr>
    </w:p>
    <w:p w14:paraId="5D2E1A4F" w14:textId="0F270E35" w:rsidR="00130E8B" w:rsidRDefault="000405CC">
      <w:pPr>
        <w:pStyle w:val="TableParagraph"/>
        <w:numPr>
          <w:ilvl w:val="0"/>
          <w:numId w:val="31"/>
        </w:numPr>
        <w:ind w:left="1701" w:right="1701"/>
        <w:rPr>
          <w:rFonts w:ascii="Times New Roman" w:hAnsi="Times New Roman" w:cs="Times New Roman"/>
          <w:b/>
          <w:lang w:val="hu-HU"/>
        </w:rPr>
      </w:pPr>
      <w:r>
        <w:rPr>
          <w:rFonts w:ascii="Times New Roman" w:eastAsia="Times New Roman" w:hAnsi="Times New Roman" w:cs="Times New Roman"/>
          <w:b/>
          <w:bCs/>
          <w:lang w:val="hu-HU"/>
        </w:rPr>
        <w:t>A BIOLÓGIAI EREDETŰ HATÓANYAG</w:t>
      </w:r>
      <w:r w:rsidR="0045263F">
        <w:rPr>
          <w:rFonts w:ascii="Times New Roman" w:eastAsia="Times New Roman" w:hAnsi="Times New Roman" w:cs="Times New Roman"/>
          <w:b/>
          <w:bCs/>
          <w:lang w:val="hu-HU"/>
        </w:rPr>
        <w:t>(OK)</w:t>
      </w:r>
      <w:r>
        <w:rPr>
          <w:rFonts w:ascii="Times New Roman" w:eastAsia="Times New Roman" w:hAnsi="Times New Roman" w:cs="Times New Roman"/>
          <w:b/>
          <w:bCs/>
          <w:lang w:val="hu-HU"/>
        </w:rPr>
        <w:t xml:space="preserve"> GYÁRTÓI ÉS A GYÁRTÁSI TÉTELEK VÉGFELSZABADÍTÁSÁÉRT FELELŐS GYÁRTÓ</w:t>
      </w:r>
      <w:r w:rsidR="0045263F">
        <w:rPr>
          <w:rFonts w:ascii="Times New Roman" w:eastAsia="Times New Roman" w:hAnsi="Times New Roman" w:cs="Times New Roman"/>
          <w:b/>
          <w:bCs/>
          <w:lang w:val="hu-HU"/>
        </w:rPr>
        <w:t>(</w:t>
      </w:r>
      <w:r>
        <w:rPr>
          <w:rFonts w:ascii="Times New Roman" w:eastAsia="Times New Roman" w:hAnsi="Times New Roman" w:cs="Times New Roman"/>
          <w:b/>
          <w:bCs/>
          <w:lang w:val="hu-HU"/>
        </w:rPr>
        <w:t>K</w:t>
      </w:r>
      <w:r w:rsidR="0045263F">
        <w:rPr>
          <w:rFonts w:ascii="Times New Roman" w:eastAsia="Times New Roman" w:hAnsi="Times New Roman" w:cs="Times New Roman"/>
          <w:b/>
          <w:bCs/>
          <w:lang w:val="hu-HU"/>
        </w:rPr>
        <w:t>)</w:t>
      </w:r>
    </w:p>
    <w:p w14:paraId="4CB43BCA" w14:textId="77777777" w:rsidR="00130E8B" w:rsidRDefault="00130E8B">
      <w:pPr>
        <w:pStyle w:val="TableParagraph"/>
        <w:ind w:left="1701" w:right="1701"/>
        <w:rPr>
          <w:rFonts w:ascii="Times New Roman" w:hAnsi="Times New Roman" w:cs="Times New Roman"/>
          <w:b/>
          <w:lang w:val="hu-HU"/>
        </w:rPr>
      </w:pPr>
    </w:p>
    <w:p w14:paraId="39668E39" w14:textId="77777777" w:rsidR="00130E8B" w:rsidRDefault="000405CC">
      <w:pPr>
        <w:pStyle w:val="TableParagraph"/>
        <w:numPr>
          <w:ilvl w:val="0"/>
          <w:numId w:val="31"/>
        </w:numPr>
        <w:ind w:left="1701" w:right="1701"/>
        <w:rPr>
          <w:rFonts w:ascii="Times New Roman" w:hAnsi="Times New Roman" w:cs="Times New Roman"/>
          <w:b/>
          <w:lang w:val="hu-HU"/>
        </w:rPr>
      </w:pPr>
      <w:r>
        <w:rPr>
          <w:rFonts w:ascii="Times New Roman" w:eastAsia="Times New Roman" w:hAnsi="Times New Roman" w:cs="Times New Roman"/>
          <w:b/>
          <w:bCs/>
          <w:lang w:val="hu-HU"/>
        </w:rPr>
        <w:t>FELTÉTELEK VAGY KORLÁTOZÁSOK AZ ELLÁTÁS ÉS HASZNÁLAT KAPCSÁN</w:t>
      </w:r>
    </w:p>
    <w:p w14:paraId="2E6AF261" w14:textId="77777777" w:rsidR="00130E8B" w:rsidRDefault="00130E8B">
      <w:pPr>
        <w:pStyle w:val="TableParagraph"/>
        <w:ind w:left="1701" w:right="1701"/>
        <w:rPr>
          <w:rFonts w:ascii="Times New Roman" w:hAnsi="Times New Roman" w:cs="Times New Roman"/>
          <w:b/>
          <w:lang w:val="hu-HU"/>
        </w:rPr>
      </w:pPr>
    </w:p>
    <w:p w14:paraId="57E14CA0" w14:textId="77777777" w:rsidR="00130E8B" w:rsidRDefault="000405CC">
      <w:pPr>
        <w:pStyle w:val="TableParagraph"/>
        <w:numPr>
          <w:ilvl w:val="0"/>
          <w:numId w:val="31"/>
        </w:numPr>
        <w:ind w:left="1701" w:right="1701"/>
        <w:rPr>
          <w:rFonts w:ascii="Times New Roman" w:hAnsi="Times New Roman" w:cs="Times New Roman"/>
          <w:b/>
          <w:lang w:val="hu-HU"/>
        </w:rPr>
      </w:pPr>
      <w:r>
        <w:rPr>
          <w:rFonts w:ascii="Times New Roman" w:eastAsia="Times New Roman" w:hAnsi="Times New Roman" w:cs="Times New Roman"/>
          <w:b/>
          <w:bCs/>
          <w:lang w:val="hu-HU"/>
        </w:rPr>
        <w:t>A FORGALOMBA HOZATALI ENGEDÉLY EGYÉB FELTÉTELEI ÉS KÖVETELMÉNYEI</w:t>
      </w:r>
    </w:p>
    <w:p w14:paraId="79458AB6" w14:textId="77777777" w:rsidR="00130E8B" w:rsidRDefault="00130E8B">
      <w:pPr>
        <w:pStyle w:val="TableParagraph"/>
        <w:ind w:left="1701" w:right="1701"/>
        <w:rPr>
          <w:rFonts w:ascii="Times New Roman" w:hAnsi="Times New Roman" w:cs="Times New Roman"/>
          <w:b/>
          <w:lang w:val="hu-HU"/>
        </w:rPr>
      </w:pPr>
    </w:p>
    <w:p w14:paraId="7BE75A3B" w14:textId="77777777" w:rsidR="00130E8B" w:rsidRDefault="000405CC">
      <w:pPr>
        <w:pStyle w:val="TableParagraph"/>
        <w:numPr>
          <w:ilvl w:val="0"/>
          <w:numId w:val="31"/>
        </w:numPr>
        <w:ind w:left="1701" w:right="1701"/>
        <w:rPr>
          <w:rFonts w:ascii="Times New Roman" w:hAnsi="Times New Roman" w:cs="Times New Roman"/>
          <w:b/>
          <w:lang w:val="hu-HU"/>
        </w:rPr>
      </w:pPr>
      <w:r>
        <w:rPr>
          <w:rFonts w:ascii="Times New Roman" w:eastAsia="Times New Roman" w:hAnsi="Times New Roman" w:cs="Times New Roman"/>
          <w:b/>
          <w:bCs/>
          <w:lang w:val="hu-HU"/>
        </w:rPr>
        <w:t>FELTÉTELEK VAGY KORLÁTOZÁSOK A GYÓGYSZER BIZTONSÁGOS ÉS HATÉKONY ALKALMAZÁSÁRA VONATKOZÓAN</w:t>
      </w:r>
    </w:p>
    <w:p w14:paraId="757D7BD9" w14:textId="77777777" w:rsidR="00130E8B" w:rsidRDefault="000405CC">
      <w:pPr>
        <w:pStyle w:val="TableParagraph"/>
        <w:numPr>
          <w:ilvl w:val="0"/>
          <w:numId w:val="31"/>
        </w:numPr>
        <w:ind w:left="1701" w:right="1701"/>
        <w:rPr>
          <w:rFonts w:ascii="Times New Roman" w:hAnsi="Times New Roman" w:cs="Times New Roman"/>
          <w:b/>
          <w:lang w:val="hu-HU"/>
        </w:rPr>
      </w:pPr>
      <w:r>
        <w:rPr>
          <w:rFonts w:ascii="Times New Roman" w:hAnsi="Times New Roman" w:cs="Times New Roman"/>
          <w:b/>
          <w:lang w:val="hu-HU"/>
        </w:rPr>
        <w:br w:type="page"/>
      </w:r>
    </w:p>
    <w:p w14:paraId="6A051BC1" w14:textId="121E5B99" w:rsidR="00130E8B" w:rsidRDefault="000405CC">
      <w:pPr>
        <w:pStyle w:val="1"/>
        <w:numPr>
          <w:ilvl w:val="0"/>
          <w:numId w:val="33"/>
        </w:numPr>
        <w:ind w:left="360"/>
        <w:rPr>
          <w:lang w:val="hu-HU"/>
        </w:rPr>
      </w:pPr>
      <w:bookmarkStart w:id="11" w:name="A._MANUFACTURERS_OF_THE_BIOLOGICAL_ACTIV"/>
      <w:bookmarkEnd w:id="11"/>
      <w:r>
        <w:rPr>
          <w:rFonts w:cs="Arial"/>
          <w:lang w:val="hu-HU"/>
        </w:rPr>
        <w:lastRenderedPageBreak/>
        <w:t>A BIOLÓGIAI EREDETŰ HATÓANYAG</w:t>
      </w:r>
      <w:r w:rsidR="0045263F">
        <w:rPr>
          <w:rFonts w:cs="Arial"/>
          <w:lang w:val="hu-HU"/>
        </w:rPr>
        <w:t>(OK)</w:t>
      </w:r>
      <w:r>
        <w:rPr>
          <w:rFonts w:cs="Arial"/>
          <w:lang w:val="hu-HU"/>
        </w:rPr>
        <w:t xml:space="preserve"> GYÁRTÓI ÉS A GYÁRTÁSI TÉTELEK VÉGFELSZABADÍTÁSÁÉRT FELELŐS GYÁRTÓ</w:t>
      </w:r>
      <w:r w:rsidR="0045263F">
        <w:rPr>
          <w:rFonts w:cs="Arial"/>
          <w:lang w:val="hu-HU"/>
        </w:rPr>
        <w:t>(</w:t>
      </w:r>
      <w:r>
        <w:rPr>
          <w:rFonts w:cs="Arial"/>
          <w:lang w:val="hu-HU"/>
        </w:rPr>
        <w:t>K</w:t>
      </w:r>
      <w:r w:rsidR="0045263F">
        <w:rPr>
          <w:rFonts w:cs="Arial"/>
          <w:lang w:val="hu-HU"/>
        </w:rPr>
        <w:t>)</w:t>
      </w:r>
    </w:p>
    <w:p w14:paraId="6106B8EB" w14:textId="77777777" w:rsidR="00130E8B" w:rsidRDefault="00130E8B">
      <w:pPr>
        <w:spacing w:before="5" w:line="240" w:lineRule="exact"/>
        <w:rPr>
          <w:sz w:val="24"/>
          <w:szCs w:val="24"/>
          <w:lang w:val="hu-HU"/>
        </w:rPr>
      </w:pPr>
    </w:p>
    <w:p w14:paraId="59F0E83C" w14:textId="77777777" w:rsidR="00130E8B" w:rsidRDefault="000405CC">
      <w:pPr>
        <w:pStyle w:val="a3"/>
        <w:rPr>
          <w:u w:val="single"/>
          <w:lang w:val="hu-HU"/>
        </w:rPr>
      </w:pPr>
      <w:r>
        <w:rPr>
          <w:rFonts w:eastAsia="Times New Roman"/>
          <w:u w:val="single" w:color="000000"/>
          <w:lang w:val="hu-HU"/>
        </w:rPr>
        <w:t>A biológiai eredetű hatóanyag(ok) gyártójának/gyártóinak neve és címe</w:t>
      </w:r>
    </w:p>
    <w:p w14:paraId="0A0A2FF9" w14:textId="77777777" w:rsidR="00130E8B" w:rsidRDefault="00130E8B">
      <w:pPr>
        <w:spacing w:before="1" w:line="180" w:lineRule="exact"/>
        <w:rPr>
          <w:sz w:val="18"/>
          <w:szCs w:val="18"/>
          <w:lang w:val="hu-HU"/>
        </w:rPr>
      </w:pPr>
    </w:p>
    <w:p w14:paraId="43DF25B2" w14:textId="71A3214A" w:rsidR="00130E8B" w:rsidRDefault="000405CC">
      <w:pPr>
        <w:pStyle w:val="a3"/>
        <w:rPr>
          <w:lang w:val="hu-HU"/>
        </w:rPr>
      </w:pPr>
      <w:r>
        <w:rPr>
          <w:rFonts w:eastAsia="Times New Roman"/>
          <w:lang w:val="hu-HU"/>
        </w:rPr>
        <w:t>CELLTRION INC.</w:t>
      </w:r>
      <w:r>
        <w:rPr>
          <w:rFonts w:eastAsia="Times New Roman"/>
          <w:lang w:val="hu-HU"/>
        </w:rPr>
        <w:br/>
        <w:t>20 Academy-ro 51 beon-gil</w:t>
      </w:r>
      <w:r>
        <w:rPr>
          <w:rFonts w:eastAsia="Times New Roman"/>
          <w:lang w:val="hu-HU"/>
        </w:rPr>
        <w:br/>
        <w:t>Yeonsu-gu</w:t>
      </w:r>
      <w:r>
        <w:rPr>
          <w:rFonts w:eastAsia="Times New Roman"/>
          <w:lang w:val="hu-HU"/>
        </w:rPr>
        <w:br/>
        <w:t>22014 Incheon</w:t>
      </w:r>
      <w:r>
        <w:rPr>
          <w:rFonts w:eastAsia="Times New Roman"/>
          <w:lang w:val="hu-HU"/>
        </w:rPr>
        <w:br/>
      </w:r>
      <w:r w:rsidR="004D2CAF" w:rsidRPr="00EA4D25">
        <w:rPr>
          <w:lang w:val="hu-HU"/>
        </w:rPr>
        <w:t>Koreai Köztársaság</w:t>
      </w:r>
      <w:r w:rsidR="004D2CAF" w:rsidDel="004D2CAF">
        <w:rPr>
          <w:rFonts w:eastAsia="Times New Roman"/>
          <w:lang w:val="hu-HU"/>
        </w:rPr>
        <w:t xml:space="preserve"> </w:t>
      </w:r>
    </w:p>
    <w:p w14:paraId="62B5E704" w14:textId="77777777" w:rsidR="00130E8B" w:rsidRDefault="00130E8B">
      <w:pPr>
        <w:spacing w:before="13" w:line="240" w:lineRule="exact"/>
        <w:rPr>
          <w:sz w:val="24"/>
          <w:szCs w:val="24"/>
          <w:u w:val="single"/>
          <w:lang w:val="hu-HU"/>
        </w:rPr>
      </w:pPr>
    </w:p>
    <w:p w14:paraId="776C7DFC" w14:textId="77777777" w:rsidR="00130E8B" w:rsidRDefault="000405CC">
      <w:pPr>
        <w:pStyle w:val="a3"/>
        <w:rPr>
          <w:u w:val="single"/>
          <w:lang w:val="hu-HU"/>
        </w:rPr>
      </w:pPr>
      <w:r>
        <w:rPr>
          <w:rFonts w:eastAsia="Times New Roman"/>
          <w:u w:val="single" w:color="000000"/>
          <w:lang w:val="hu-HU"/>
        </w:rPr>
        <w:t>A gyártási tételek végfelszabadításáért felelős gyártó(k) neve és címe</w:t>
      </w:r>
    </w:p>
    <w:p w14:paraId="182A1E37" w14:textId="77777777" w:rsidR="00130E8B" w:rsidRDefault="00130E8B">
      <w:pPr>
        <w:spacing w:before="1" w:line="180" w:lineRule="exact"/>
        <w:rPr>
          <w:sz w:val="18"/>
          <w:szCs w:val="18"/>
          <w:lang w:val="hu-HU"/>
        </w:rPr>
      </w:pPr>
    </w:p>
    <w:p w14:paraId="22D5EC97" w14:textId="07EB9048" w:rsidR="00130E8B" w:rsidDel="002C78FA" w:rsidRDefault="000405CC">
      <w:pPr>
        <w:pStyle w:val="a3"/>
        <w:rPr>
          <w:del w:id="12" w:author="만든 이"/>
          <w:lang w:val="hu-HU"/>
        </w:rPr>
      </w:pPr>
      <w:del w:id="13" w:author="만든 이">
        <w:r w:rsidDel="002C78FA">
          <w:rPr>
            <w:lang w:val="hu-HU"/>
          </w:rPr>
          <w:delText>Millmount Healthcare Ltd.</w:delText>
        </w:r>
      </w:del>
    </w:p>
    <w:p w14:paraId="03E210B6" w14:textId="0043343E" w:rsidR="00130E8B" w:rsidDel="002C78FA" w:rsidRDefault="000405CC">
      <w:pPr>
        <w:pStyle w:val="a3"/>
        <w:rPr>
          <w:del w:id="14" w:author="만든 이"/>
          <w:lang w:val="hu-HU"/>
        </w:rPr>
      </w:pPr>
      <w:del w:id="15" w:author="만든 이">
        <w:r w:rsidDel="002C78FA">
          <w:rPr>
            <w:lang w:val="hu-HU"/>
          </w:rPr>
          <w:delText>Block 7</w:delText>
        </w:r>
      </w:del>
    </w:p>
    <w:p w14:paraId="12A7BDE8" w14:textId="55501B61" w:rsidR="00130E8B" w:rsidDel="002C78FA" w:rsidRDefault="000405CC">
      <w:pPr>
        <w:pStyle w:val="a3"/>
        <w:rPr>
          <w:del w:id="16" w:author="만든 이"/>
          <w:lang w:val="hu-HU"/>
        </w:rPr>
      </w:pPr>
      <w:del w:id="17" w:author="만든 이">
        <w:r w:rsidDel="002C78FA">
          <w:rPr>
            <w:lang w:val="hu-HU"/>
          </w:rPr>
          <w:delText xml:space="preserve">City North Business Campus </w:delText>
        </w:r>
      </w:del>
    </w:p>
    <w:p w14:paraId="482D3211" w14:textId="488C0651" w:rsidR="00130E8B" w:rsidDel="002C78FA" w:rsidRDefault="000405CC">
      <w:pPr>
        <w:pStyle w:val="a3"/>
        <w:rPr>
          <w:del w:id="18" w:author="만든 이"/>
          <w:lang w:val="hu-HU"/>
        </w:rPr>
      </w:pPr>
      <w:del w:id="19" w:author="만든 이">
        <w:r w:rsidDel="002C78FA">
          <w:rPr>
            <w:lang w:val="hu-HU"/>
          </w:rPr>
          <w:delText>Stamullen, Co. Meath K32 YD60</w:delText>
        </w:r>
      </w:del>
    </w:p>
    <w:p w14:paraId="600C0316" w14:textId="514D0856" w:rsidR="004D2CAF" w:rsidDel="002C78FA" w:rsidRDefault="004D2CAF">
      <w:pPr>
        <w:pStyle w:val="a3"/>
        <w:rPr>
          <w:del w:id="20" w:author="만든 이"/>
          <w:rFonts w:eastAsia="Times New Roman"/>
          <w:lang w:val="hu-HU"/>
        </w:rPr>
      </w:pPr>
      <w:del w:id="21" w:author="만든 이">
        <w:r w:rsidDel="002C78FA">
          <w:rPr>
            <w:rFonts w:eastAsia="SimSun"/>
            <w:color w:val="000000"/>
            <w:lang w:eastAsia="zh-CN"/>
          </w:rPr>
          <w:delText>Írország</w:delText>
        </w:r>
        <w:r w:rsidDel="002C78FA">
          <w:rPr>
            <w:rFonts w:eastAsia="Times New Roman"/>
            <w:lang w:val="hu-HU"/>
          </w:rPr>
          <w:delText xml:space="preserve"> </w:delText>
        </w:r>
      </w:del>
    </w:p>
    <w:p w14:paraId="4E62DB3E" w14:textId="1345A23D" w:rsidR="004D2CAF" w:rsidRPr="00EA4D25" w:rsidDel="002C78FA" w:rsidRDefault="004D2CAF" w:rsidP="00EA4D25">
      <w:pPr>
        <w:spacing w:before="10" w:line="240" w:lineRule="exact"/>
        <w:rPr>
          <w:del w:id="22" w:author="만든 이"/>
          <w:rFonts w:eastAsia="SimSun"/>
          <w:color w:val="000000"/>
          <w:lang w:eastAsia="zh-CN"/>
        </w:rPr>
      </w:pPr>
    </w:p>
    <w:p w14:paraId="0FFEAEB1" w14:textId="77777777" w:rsidR="002C78FA" w:rsidRPr="009C0F1B" w:rsidRDefault="002C78FA" w:rsidP="002C78FA">
      <w:pPr>
        <w:spacing w:before="10" w:line="240" w:lineRule="exact"/>
        <w:rPr>
          <w:moveTo w:id="23" w:author="만든 이" w16du:dateUtc="2025-09-09T05:36:00Z"/>
          <w:rFonts w:ascii="Times New Roman" w:eastAsia="SimSun" w:hAnsi="Times New Roman" w:cs="Times New Roman"/>
          <w:color w:val="000000"/>
          <w:lang w:val="fr-CA" w:eastAsia="zh-CN"/>
        </w:rPr>
      </w:pPr>
      <w:moveToRangeStart w:id="24" w:author="만든 이" w:name="move208320988"/>
      <w:proofErr w:type="spellStart"/>
      <w:moveTo w:id="25" w:author="만든 이" w16du:dateUtc="2025-09-09T05:36:00Z">
        <w:r w:rsidRPr="009C0F1B">
          <w:rPr>
            <w:rFonts w:ascii="Times New Roman" w:eastAsia="SimSun" w:hAnsi="Times New Roman" w:cs="Times New Roman"/>
            <w:color w:val="000000"/>
            <w:lang w:val="fr-CA" w:eastAsia="zh-CN"/>
          </w:rPr>
          <w:t>Nuvisan</w:t>
        </w:r>
        <w:proofErr w:type="spellEnd"/>
        <w:r w:rsidRPr="009C0F1B">
          <w:rPr>
            <w:rFonts w:ascii="Times New Roman" w:eastAsia="SimSun" w:hAnsi="Times New Roman" w:cs="Times New Roman"/>
            <w:color w:val="000000"/>
            <w:lang w:val="fr-CA" w:eastAsia="zh-CN"/>
          </w:rPr>
          <w:t xml:space="preserve"> France SARL</w:t>
        </w:r>
      </w:moveTo>
    </w:p>
    <w:p w14:paraId="3880794B" w14:textId="77777777" w:rsidR="002C78FA" w:rsidRPr="009C0F1B" w:rsidRDefault="002C78FA" w:rsidP="002C78FA">
      <w:pPr>
        <w:spacing w:before="10" w:line="240" w:lineRule="exact"/>
        <w:rPr>
          <w:moveTo w:id="26" w:author="만든 이" w16du:dateUtc="2025-09-09T05:36:00Z"/>
          <w:rFonts w:ascii="Times New Roman" w:hAnsi="Times New Roman" w:cs="Times New Roman"/>
          <w:color w:val="000000"/>
          <w:lang w:val="fr-CA" w:eastAsia="ko-KR"/>
        </w:rPr>
      </w:pPr>
      <w:moveTo w:id="27" w:author="만든 이" w16du:dateUtc="2025-09-09T05:36:00Z">
        <w:r w:rsidRPr="009C0F1B">
          <w:rPr>
            <w:rFonts w:ascii="Times New Roman" w:eastAsia="SimSun" w:hAnsi="Times New Roman" w:cs="Times New Roman"/>
            <w:color w:val="000000"/>
            <w:lang w:val="fr-CA" w:eastAsia="zh-CN"/>
          </w:rPr>
          <w:t>2400, Route des Colles</w:t>
        </w:r>
      </w:moveTo>
    </w:p>
    <w:p w14:paraId="33BA068B" w14:textId="77777777" w:rsidR="002C78FA" w:rsidRPr="007D68C5" w:rsidRDefault="002C78FA" w:rsidP="002C78FA">
      <w:pPr>
        <w:spacing w:before="10" w:line="240" w:lineRule="exact"/>
        <w:rPr>
          <w:moveTo w:id="28" w:author="만든 이" w16du:dateUtc="2025-09-09T05:36:00Z"/>
          <w:rFonts w:ascii="Times New Roman" w:hAnsi="Times New Roman" w:cs="Times New Roman"/>
          <w:color w:val="000000"/>
          <w:lang w:eastAsia="ko-KR"/>
        </w:rPr>
      </w:pPr>
      <w:moveTo w:id="29" w:author="만든 이" w16du:dateUtc="2025-09-09T05:36:00Z">
        <w:r w:rsidRPr="007D68C5">
          <w:rPr>
            <w:rFonts w:ascii="Times New Roman" w:eastAsia="SimSun" w:hAnsi="Times New Roman" w:cs="Times New Roman"/>
            <w:color w:val="000000"/>
            <w:lang w:eastAsia="zh-CN"/>
          </w:rPr>
          <w:t xml:space="preserve">06410, </w:t>
        </w:r>
        <w:proofErr w:type="spellStart"/>
        <w:r w:rsidRPr="007D68C5">
          <w:rPr>
            <w:rFonts w:ascii="Times New Roman" w:eastAsia="SimSun" w:hAnsi="Times New Roman" w:cs="Times New Roman"/>
            <w:color w:val="000000"/>
            <w:lang w:eastAsia="zh-CN"/>
          </w:rPr>
          <w:t>Biot</w:t>
        </w:r>
        <w:proofErr w:type="spellEnd"/>
      </w:moveTo>
    </w:p>
    <w:p w14:paraId="0299C33D" w14:textId="77777777" w:rsidR="002C78FA" w:rsidRPr="007D68C5" w:rsidRDefault="002C78FA" w:rsidP="002C78FA">
      <w:pPr>
        <w:autoSpaceDE w:val="0"/>
        <w:autoSpaceDN w:val="0"/>
        <w:adjustRightInd w:val="0"/>
        <w:rPr>
          <w:moveTo w:id="30" w:author="만든 이" w16du:dateUtc="2025-09-09T05:36:00Z"/>
          <w:rFonts w:ascii="Times New Roman" w:eastAsia="SimSun" w:hAnsi="Times New Roman" w:cs="Times New Roman"/>
          <w:color w:val="000000"/>
          <w:lang w:eastAsia="zh-CN"/>
        </w:rPr>
      </w:pPr>
      <w:proofErr w:type="spellStart"/>
      <w:moveTo w:id="31" w:author="만든 이" w16du:dateUtc="2025-09-09T05:36:00Z">
        <w:r w:rsidRPr="007D68C5">
          <w:rPr>
            <w:rFonts w:ascii="Times New Roman" w:eastAsia="SimSun" w:hAnsi="Times New Roman" w:cs="Times New Roman"/>
            <w:color w:val="000000"/>
            <w:lang w:eastAsia="zh-CN"/>
          </w:rPr>
          <w:t>Franciaország</w:t>
        </w:r>
        <w:proofErr w:type="spellEnd"/>
      </w:moveTo>
    </w:p>
    <w:p w14:paraId="5FE3AC3D" w14:textId="77777777" w:rsidR="002C78FA" w:rsidRPr="007D68C5" w:rsidRDefault="002C78FA" w:rsidP="002C78FA">
      <w:pPr>
        <w:pStyle w:val="a3"/>
        <w:rPr>
          <w:moveTo w:id="32" w:author="만든 이" w16du:dateUtc="2025-09-09T05:36:00Z"/>
        </w:rPr>
      </w:pPr>
    </w:p>
    <w:moveToRangeEnd w:id="24"/>
    <w:p w14:paraId="42FDEE4E" w14:textId="77777777" w:rsidR="004D2CAF" w:rsidRPr="00167BF3" w:rsidRDefault="004D2CAF" w:rsidP="004D2CAF">
      <w:pPr>
        <w:spacing w:before="10" w:line="240" w:lineRule="exact"/>
        <w:rPr>
          <w:rFonts w:ascii="Times New Roman" w:eastAsia="SimSun" w:hAnsi="Times New Roman" w:cs="Times New Roman"/>
          <w:color w:val="000000"/>
          <w:lang w:val="es-ES" w:eastAsia="zh-CN"/>
        </w:rPr>
      </w:pPr>
      <w:proofErr w:type="spellStart"/>
      <w:r w:rsidRPr="00167BF3">
        <w:rPr>
          <w:rFonts w:ascii="Times New Roman" w:eastAsia="SimSun" w:hAnsi="Times New Roman" w:cs="Times New Roman"/>
          <w:color w:val="000000"/>
          <w:lang w:val="es-ES" w:eastAsia="zh-CN"/>
        </w:rPr>
        <w:t>Nuvisan</w:t>
      </w:r>
      <w:proofErr w:type="spellEnd"/>
      <w:r w:rsidRPr="00167BF3">
        <w:rPr>
          <w:rFonts w:ascii="Times New Roman" w:eastAsia="SimSun" w:hAnsi="Times New Roman" w:cs="Times New Roman"/>
          <w:color w:val="000000"/>
          <w:lang w:val="es-ES" w:eastAsia="zh-CN"/>
        </w:rPr>
        <w:t xml:space="preserve"> </w:t>
      </w:r>
      <w:proofErr w:type="spellStart"/>
      <w:r w:rsidRPr="00167BF3">
        <w:rPr>
          <w:rFonts w:ascii="Times New Roman" w:eastAsia="SimSun" w:hAnsi="Times New Roman" w:cs="Times New Roman"/>
          <w:color w:val="000000"/>
          <w:lang w:val="es-ES" w:eastAsia="zh-CN"/>
        </w:rPr>
        <w:t>GmbH</w:t>
      </w:r>
      <w:proofErr w:type="spellEnd"/>
    </w:p>
    <w:p w14:paraId="22ABF769" w14:textId="5ECBC624" w:rsidR="004D2CAF" w:rsidRPr="004537E9" w:rsidRDefault="004D2CAF" w:rsidP="004D2CAF">
      <w:pPr>
        <w:spacing w:before="10" w:line="240" w:lineRule="exact"/>
        <w:rPr>
          <w:rFonts w:ascii="Times New Roman" w:hAnsi="Times New Roman" w:cs="Times New Roman"/>
          <w:color w:val="000000"/>
          <w:lang w:val="es-ES" w:eastAsia="ko-KR"/>
        </w:rPr>
      </w:pPr>
      <w:proofErr w:type="spellStart"/>
      <w:r w:rsidRPr="00167BF3">
        <w:rPr>
          <w:rFonts w:ascii="Times New Roman" w:eastAsia="SimSun" w:hAnsi="Times New Roman" w:cs="Times New Roman"/>
          <w:color w:val="000000"/>
          <w:lang w:val="es-ES" w:eastAsia="zh-CN"/>
        </w:rPr>
        <w:t>Wegenerstraße</w:t>
      </w:r>
      <w:proofErr w:type="spellEnd"/>
      <w:r w:rsidRPr="00167BF3">
        <w:rPr>
          <w:rFonts w:ascii="Times New Roman" w:eastAsia="SimSun" w:hAnsi="Times New Roman" w:cs="Times New Roman"/>
          <w:color w:val="000000"/>
          <w:lang w:val="es-ES" w:eastAsia="zh-CN"/>
        </w:rPr>
        <w:t xml:space="preserve"> 13</w:t>
      </w:r>
    </w:p>
    <w:p w14:paraId="3A3F3F27" w14:textId="058D561A" w:rsidR="004D2CAF" w:rsidRPr="004537E9" w:rsidRDefault="004D2CAF" w:rsidP="004D2CAF">
      <w:pPr>
        <w:spacing w:before="10" w:line="240" w:lineRule="exact"/>
        <w:rPr>
          <w:rFonts w:ascii="Times New Roman" w:hAnsi="Times New Roman" w:cs="Times New Roman"/>
          <w:color w:val="000000"/>
          <w:lang w:val="es-ES" w:eastAsia="ko-KR"/>
        </w:rPr>
      </w:pPr>
      <w:r w:rsidRPr="00167BF3">
        <w:rPr>
          <w:rFonts w:ascii="Times New Roman" w:eastAsia="SimSun" w:hAnsi="Times New Roman" w:cs="Times New Roman"/>
          <w:color w:val="000000"/>
          <w:lang w:val="es-ES" w:eastAsia="zh-CN"/>
        </w:rPr>
        <w:t xml:space="preserve">89231 </w:t>
      </w:r>
      <w:proofErr w:type="spellStart"/>
      <w:r w:rsidRPr="00167BF3">
        <w:rPr>
          <w:rFonts w:ascii="Times New Roman" w:eastAsia="SimSun" w:hAnsi="Times New Roman" w:cs="Times New Roman"/>
          <w:color w:val="000000"/>
          <w:lang w:val="es-ES" w:eastAsia="zh-CN"/>
        </w:rPr>
        <w:t>Neu</w:t>
      </w:r>
      <w:proofErr w:type="spellEnd"/>
      <w:r w:rsidR="004537E9">
        <w:rPr>
          <w:rFonts w:ascii="Times New Roman" w:hAnsi="Times New Roman" w:cs="Times New Roman" w:hint="eastAsia"/>
          <w:color w:val="000000"/>
          <w:lang w:val="es-ES" w:eastAsia="ko-KR"/>
        </w:rPr>
        <w:t>-</w:t>
      </w:r>
      <w:r w:rsidRPr="00167BF3">
        <w:rPr>
          <w:rFonts w:ascii="Times New Roman" w:eastAsia="SimSun" w:hAnsi="Times New Roman" w:cs="Times New Roman"/>
          <w:color w:val="000000"/>
          <w:lang w:val="es-ES" w:eastAsia="zh-CN"/>
        </w:rPr>
        <w:t>Ulm</w:t>
      </w:r>
    </w:p>
    <w:p w14:paraId="27668400" w14:textId="77777777" w:rsidR="004D2CAF" w:rsidRPr="00167BF3" w:rsidRDefault="004D2CAF" w:rsidP="004D2CAF">
      <w:pPr>
        <w:spacing w:before="10" w:line="240" w:lineRule="exact"/>
        <w:rPr>
          <w:rFonts w:ascii="Times New Roman" w:eastAsia="SimSun" w:hAnsi="Times New Roman" w:cs="Times New Roman"/>
          <w:color w:val="000000"/>
          <w:lang w:val="es-ES" w:eastAsia="zh-CN"/>
        </w:rPr>
      </w:pPr>
      <w:proofErr w:type="spellStart"/>
      <w:r w:rsidRPr="00167BF3">
        <w:rPr>
          <w:rFonts w:ascii="Times New Roman" w:eastAsia="SimSun" w:hAnsi="Times New Roman" w:cs="Times New Roman"/>
          <w:color w:val="000000"/>
          <w:lang w:val="es-ES" w:eastAsia="zh-CN"/>
        </w:rPr>
        <w:t>Németország</w:t>
      </w:r>
      <w:proofErr w:type="spellEnd"/>
    </w:p>
    <w:p w14:paraId="22E2BCC2" w14:textId="77777777" w:rsidR="004D2CAF" w:rsidRPr="00167BF3" w:rsidRDefault="004D2CAF" w:rsidP="004D2CAF">
      <w:pPr>
        <w:spacing w:before="10" w:line="240" w:lineRule="exact"/>
        <w:rPr>
          <w:rFonts w:ascii="Times New Roman" w:eastAsia="SimSun" w:hAnsi="Times New Roman" w:cs="Times New Roman"/>
          <w:color w:val="000000"/>
          <w:lang w:val="es-ES" w:eastAsia="zh-CN"/>
        </w:rPr>
      </w:pPr>
    </w:p>
    <w:p w14:paraId="6F702043" w14:textId="47127984" w:rsidR="004D2CAF" w:rsidRPr="009C0F1B" w:rsidDel="002C78FA" w:rsidRDefault="004D2CAF" w:rsidP="004D2CAF">
      <w:pPr>
        <w:spacing w:before="10" w:line="240" w:lineRule="exact"/>
        <w:rPr>
          <w:moveFrom w:id="33" w:author="만든 이" w16du:dateUtc="2025-09-09T05:36:00Z"/>
          <w:rFonts w:ascii="Times New Roman" w:eastAsia="SimSun" w:hAnsi="Times New Roman" w:cs="Times New Roman"/>
          <w:color w:val="000000"/>
          <w:lang w:val="fr-CA" w:eastAsia="zh-CN"/>
        </w:rPr>
      </w:pPr>
      <w:moveFromRangeStart w:id="34" w:author="만든 이" w:name="move208320988"/>
      <w:moveFrom w:id="35" w:author="만든 이" w16du:dateUtc="2025-09-09T05:36:00Z">
        <w:r w:rsidRPr="009C0F1B" w:rsidDel="002C78FA">
          <w:rPr>
            <w:rFonts w:ascii="Times New Roman" w:eastAsia="SimSun" w:hAnsi="Times New Roman" w:cs="Times New Roman"/>
            <w:color w:val="000000"/>
            <w:lang w:val="fr-CA" w:eastAsia="zh-CN"/>
          </w:rPr>
          <w:t>Nuvisan France SARL</w:t>
        </w:r>
      </w:moveFrom>
    </w:p>
    <w:p w14:paraId="3B92969D" w14:textId="07542951" w:rsidR="004D2CAF" w:rsidRPr="009C0F1B" w:rsidDel="002C78FA" w:rsidRDefault="004D2CAF" w:rsidP="004D2CAF">
      <w:pPr>
        <w:spacing w:before="10" w:line="240" w:lineRule="exact"/>
        <w:rPr>
          <w:moveFrom w:id="36" w:author="만든 이" w16du:dateUtc="2025-09-09T05:36:00Z"/>
          <w:rFonts w:ascii="Times New Roman" w:hAnsi="Times New Roman" w:cs="Times New Roman"/>
          <w:color w:val="000000"/>
          <w:lang w:val="fr-CA" w:eastAsia="ko-KR"/>
        </w:rPr>
      </w:pPr>
      <w:moveFrom w:id="37" w:author="만든 이" w16du:dateUtc="2025-09-09T05:36:00Z">
        <w:r w:rsidRPr="009C0F1B" w:rsidDel="002C78FA">
          <w:rPr>
            <w:rFonts w:ascii="Times New Roman" w:eastAsia="SimSun" w:hAnsi="Times New Roman" w:cs="Times New Roman"/>
            <w:color w:val="000000"/>
            <w:lang w:val="fr-CA" w:eastAsia="zh-CN"/>
          </w:rPr>
          <w:t>2400, Route des Colles</w:t>
        </w:r>
      </w:moveFrom>
    </w:p>
    <w:p w14:paraId="01A8CAA6" w14:textId="1D07A1F4" w:rsidR="004D2CAF" w:rsidRPr="009C0F1B" w:rsidDel="002C78FA" w:rsidRDefault="004D2CAF" w:rsidP="004D2CAF">
      <w:pPr>
        <w:spacing w:before="10" w:line="240" w:lineRule="exact"/>
        <w:rPr>
          <w:moveFrom w:id="38" w:author="만든 이" w16du:dateUtc="2025-09-09T05:36:00Z"/>
          <w:rFonts w:ascii="Times New Roman" w:hAnsi="Times New Roman" w:cs="Times New Roman"/>
          <w:color w:val="000000"/>
          <w:lang w:val="fr-CA" w:eastAsia="ko-KR"/>
        </w:rPr>
      </w:pPr>
      <w:moveFrom w:id="39" w:author="만든 이" w16du:dateUtc="2025-09-09T05:36:00Z">
        <w:r w:rsidRPr="009C0F1B" w:rsidDel="002C78FA">
          <w:rPr>
            <w:rFonts w:ascii="Times New Roman" w:eastAsia="SimSun" w:hAnsi="Times New Roman" w:cs="Times New Roman"/>
            <w:color w:val="000000"/>
            <w:lang w:val="fr-CA" w:eastAsia="zh-CN"/>
          </w:rPr>
          <w:t>06410, Biot</w:t>
        </w:r>
      </w:moveFrom>
    </w:p>
    <w:p w14:paraId="4372EBF7" w14:textId="5C6739D7" w:rsidR="004D2CAF" w:rsidRPr="009C0F1B" w:rsidDel="002C78FA" w:rsidRDefault="004D2CAF" w:rsidP="004D2CAF">
      <w:pPr>
        <w:autoSpaceDE w:val="0"/>
        <w:autoSpaceDN w:val="0"/>
        <w:adjustRightInd w:val="0"/>
        <w:rPr>
          <w:moveFrom w:id="40" w:author="만든 이" w16du:dateUtc="2025-09-09T05:36:00Z"/>
          <w:rFonts w:ascii="Times New Roman" w:eastAsia="SimSun" w:hAnsi="Times New Roman" w:cs="Times New Roman"/>
          <w:color w:val="000000"/>
          <w:lang w:val="fr-CA" w:eastAsia="zh-CN"/>
        </w:rPr>
      </w:pPr>
      <w:moveFrom w:id="41" w:author="만든 이" w16du:dateUtc="2025-09-09T05:36:00Z">
        <w:r w:rsidRPr="009C0F1B" w:rsidDel="002C78FA">
          <w:rPr>
            <w:rFonts w:ascii="Times New Roman" w:eastAsia="SimSun" w:hAnsi="Times New Roman" w:cs="Times New Roman"/>
            <w:color w:val="000000"/>
            <w:lang w:val="fr-CA" w:eastAsia="zh-CN"/>
          </w:rPr>
          <w:t>Franciaország</w:t>
        </w:r>
      </w:moveFrom>
    </w:p>
    <w:p w14:paraId="52B38F63" w14:textId="7F22C7B1" w:rsidR="007A3DE2" w:rsidRPr="009C0F1B" w:rsidDel="002C78FA" w:rsidRDefault="007A3DE2" w:rsidP="007A3DE2">
      <w:pPr>
        <w:pStyle w:val="a3"/>
        <w:rPr>
          <w:moveFrom w:id="42" w:author="만든 이" w16du:dateUtc="2025-09-09T05:36:00Z"/>
          <w:lang w:val="fr-CA"/>
        </w:rPr>
      </w:pPr>
    </w:p>
    <w:moveFromRangeEnd w:id="34"/>
    <w:p w14:paraId="4D90AB45" w14:textId="77777777" w:rsidR="007A3DE2" w:rsidRDefault="007A3DE2" w:rsidP="007A3DE2">
      <w:pPr>
        <w:pStyle w:val="a3"/>
        <w:rPr>
          <w:lang w:val="fr-FR"/>
        </w:rPr>
      </w:pPr>
      <w:r>
        <w:rPr>
          <w:lang w:val="fr-FR"/>
        </w:rPr>
        <w:t xml:space="preserve">Midas Pharma </w:t>
      </w:r>
      <w:proofErr w:type="spellStart"/>
      <w:r>
        <w:rPr>
          <w:lang w:val="fr-FR"/>
        </w:rPr>
        <w:t>GmbH</w:t>
      </w:r>
      <w:proofErr w:type="spellEnd"/>
    </w:p>
    <w:p w14:paraId="42075BE5" w14:textId="03501496" w:rsidR="007A3DE2" w:rsidRDefault="007A3DE2" w:rsidP="007A3DE2">
      <w:pPr>
        <w:pStyle w:val="a3"/>
        <w:rPr>
          <w:lang w:val="fr-FR"/>
        </w:rPr>
      </w:pPr>
      <w:proofErr w:type="spellStart"/>
      <w:r>
        <w:rPr>
          <w:lang w:val="fr-FR"/>
        </w:rPr>
        <w:t>Rheinstr</w:t>
      </w:r>
      <w:proofErr w:type="spellEnd"/>
      <w:r>
        <w:rPr>
          <w:lang w:val="fr-FR"/>
        </w:rPr>
        <w:t>. 49</w:t>
      </w:r>
    </w:p>
    <w:p w14:paraId="2F5D3443" w14:textId="4E0694FF" w:rsidR="007A3DE2" w:rsidRDefault="007A3DE2" w:rsidP="007A3DE2">
      <w:pPr>
        <w:pStyle w:val="a3"/>
        <w:rPr>
          <w:lang w:val="fr-FR"/>
        </w:rPr>
      </w:pPr>
      <w:r>
        <w:rPr>
          <w:lang w:val="fr-FR"/>
        </w:rPr>
        <w:t xml:space="preserve">55218 </w:t>
      </w:r>
      <w:proofErr w:type="spellStart"/>
      <w:r>
        <w:rPr>
          <w:lang w:val="fr-FR"/>
        </w:rPr>
        <w:t>Ingelheim</w:t>
      </w:r>
      <w:proofErr w:type="spellEnd"/>
    </w:p>
    <w:p w14:paraId="25AAC08A" w14:textId="3BF87DCD" w:rsidR="007A3DE2" w:rsidRDefault="007A3DE2" w:rsidP="007A3DE2">
      <w:pPr>
        <w:pStyle w:val="a3"/>
        <w:rPr>
          <w:lang w:val="fr-FR"/>
        </w:rPr>
      </w:pPr>
      <w:proofErr w:type="spellStart"/>
      <w:r w:rsidRPr="007A3DE2">
        <w:rPr>
          <w:lang w:val="fr-FR"/>
        </w:rPr>
        <w:t>Németország</w:t>
      </w:r>
      <w:proofErr w:type="spellEnd"/>
    </w:p>
    <w:p w14:paraId="22A92B93" w14:textId="77777777" w:rsidR="007A3DE2" w:rsidRDefault="007A3DE2" w:rsidP="007A3DE2">
      <w:pPr>
        <w:pStyle w:val="a3"/>
        <w:rPr>
          <w:lang w:val="fr-FR"/>
        </w:rPr>
      </w:pPr>
    </w:p>
    <w:p w14:paraId="4EF97E25" w14:textId="0057D975" w:rsidR="007A3DE2" w:rsidRDefault="007A3DE2" w:rsidP="007A3DE2">
      <w:pPr>
        <w:pStyle w:val="a3"/>
        <w:rPr>
          <w:lang w:val="fr-FR"/>
        </w:rPr>
      </w:pPr>
      <w:r>
        <w:rPr>
          <w:lang w:val="fr-FR"/>
        </w:rPr>
        <w:t>KYMOS S.L.</w:t>
      </w:r>
    </w:p>
    <w:p w14:paraId="54691FD1" w14:textId="42213238" w:rsidR="007A3DE2" w:rsidRDefault="007A3DE2" w:rsidP="007A3DE2">
      <w:pPr>
        <w:pStyle w:val="a3"/>
        <w:rPr>
          <w:lang w:val="fr-FR"/>
        </w:rPr>
      </w:pPr>
      <w:r>
        <w:rPr>
          <w:lang w:val="fr-FR"/>
        </w:rPr>
        <w:t xml:space="preserve">Ronda Can </w:t>
      </w:r>
      <w:proofErr w:type="spellStart"/>
      <w:r>
        <w:rPr>
          <w:lang w:val="fr-FR"/>
        </w:rPr>
        <w:t>Fatjó</w:t>
      </w:r>
      <w:proofErr w:type="spellEnd"/>
      <w:r>
        <w:rPr>
          <w:lang w:val="fr-FR"/>
        </w:rPr>
        <w:t>, 7B.</w:t>
      </w:r>
    </w:p>
    <w:p w14:paraId="5FF66E9D" w14:textId="351A829B" w:rsidR="007A3DE2" w:rsidRDefault="007A3DE2" w:rsidP="007A3DE2">
      <w:pPr>
        <w:pStyle w:val="a3"/>
        <w:rPr>
          <w:lang w:val="fr-FR"/>
        </w:rPr>
      </w:pPr>
      <w:r>
        <w:rPr>
          <w:lang w:val="fr-FR"/>
        </w:rPr>
        <w:t xml:space="preserve">08290 </w:t>
      </w:r>
      <w:proofErr w:type="spellStart"/>
      <w:r>
        <w:rPr>
          <w:lang w:val="fr-FR"/>
        </w:rPr>
        <w:t>Cerdanyola</w:t>
      </w:r>
      <w:proofErr w:type="spellEnd"/>
      <w:r>
        <w:rPr>
          <w:lang w:val="fr-FR"/>
        </w:rPr>
        <w:t xml:space="preserve"> </w:t>
      </w:r>
      <w:proofErr w:type="spellStart"/>
      <w:r>
        <w:rPr>
          <w:lang w:val="fr-FR"/>
        </w:rPr>
        <w:t>del</w:t>
      </w:r>
      <w:proofErr w:type="spellEnd"/>
      <w:r>
        <w:rPr>
          <w:lang w:val="fr-FR"/>
        </w:rPr>
        <w:t xml:space="preserve"> Vallès</w:t>
      </w:r>
    </w:p>
    <w:p w14:paraId="0BFE6723" w14:textId="78EA36E4" w:rsidR="007A3DE2" w:rsidRDefault="007A3DE2" w:rsidP="007A3DE2">
      <w:pPr>
        <w:pStyle w:val="a3"/>
        <w:rPr>
          <w:lang w:val="fr-FR"/>
        </w:rPr>
      </w:pPr>
      <w:r>
        <w:rPr>
          <w:lang w:val="fr-FR"/>
        </w:rPr>
        <w:t>Barcelona</w:t>
      </w:r>
    </w:p>
    <w:p w14:paraId="39C764FC" w14:textId="63D73008" w:rsidR="007A3DE2" w:rsidRDefault="007A3DE2" w:rsidP="007A3DE2">
      <w:pPr>
        <w:pStyle w:val="a3"/>
        <w:rPr>
          <w:lang w:val="fr-FR"/>
        </w:rPr>
      </w:pPr>
      <w:proofErr w:type="spellStart"/>
      <w:r w:rsidRPr="007A3DE2">
        <w:rPr>
          <w:lang w:val="fr-FR"/>
        </w:rPr>
        <w:t>Spanyolország</w:t>
      </w:r>
      <w:proofErr w:type="spellEnd"/>
    </w:p>
    <w:p w14:paraId="2AD33C46" w14:textId="77777777" w:rsidR="004D2CAF" w:rsidRPr="00644E8D" w:rsidRDefault="004D2CAF" w:rsidP="004D2CAF">
      <w:pPr>
        <w:autoSpaceDE w:val="0"/>
        <w:autoSpaceDN w:val="0"/>
        <w:adjustRightInd w:val="0"/>
        <w:rPr>
          <w:rFonts w:eastAsia="SimSun"/>
          <w:color w:val="000000"/>
          <w:lang w:val="fr-FR" w:eastAsia="zh-CN"/>
        </w:rPr>
      </w:pPr>
    </w:p>
    <w:p w14:paraId="0EBA0BF1" w14:textId="4CF749D0" w:rsidR="00130E8B" w:rsidRDefault="004D2CAF">
      <w:pPr>
        <w:pStyle w:val="a3"/>
        <w:rPr>
          <w:lang w:val="hu-HU"/>
        </w:rPr>
      </w:pPr>
      <w:proofErr w:type="spellStart"/>
      <w:r w:rsidRPr="00644E8D">
        <w:rPr>
          <w:lang w:val="fr-FR"/>
        </w:rPr>
        <w:t>Az</w:t>
      </w:r>
      <w:proofErr w:type="spellEnd"/>
      <w:r w:rsidRPr="00644E8D">
        <w:rPr>
          <w:lang w:val="fr-FR"/>
        </w:rPr>
        <w:t xml:space="preserve"> </w:t>
      </w:r>
      <w:proofErr w:type="spellStart"/>
      <w:r w:rsidRPr="00644E8D">
        <w:rPr>
          <w:lang w:val="fr-FR"/>
        </w:rPr>
        <w:t>érintett</w:t>
      </w:r>
      <w:proofErr w:type="spellEnd"/>
      <w:r w:rsidRPr="00644E8D">
        <w:rPr>
          <w:lang w:val="fr-FR"/>
        </w:rPr>
        <w:t xml:space="preserve"> </w:t>
      </w:r>
      <w:proofErr w:type="spellStart"/>
      <w:r w:rsidRPr="00644E8D">
        <w:rPr>
          <w:lang w:val="fr-FR"/>
        </w:rPr>
        <w:t>gyártási</w:t>
      </w:r>
      <w:proofErr w:type="spellEnd"/>
      <w:r w:rsidRPr="00644E8D">
        <w:rPr>
          <w:lang w:val="fr-FR"/>
        </w:rPr>
        <w:t xml:space="preserve"> </w:t>
      </w:r>
      <w:proofErr w:type="spellStart"/>
      <w:r w:rsidRPr="00644E8D">
        <w:rPr>
          <w:lang w:val="fr-FR"/>
        </w:rPr>
        <w:t>tétel</w:t>
      </w:r>
      <w:proofErr w:type="spellEnd"/>
      <w:r w:rsidRPr="00644E8D">
        <w:rPr>
          <w:lang w:val="fr-FR"/>
        </w:rPr>
        <w:t xml:space="preserve"> </w:t>
      </w:r>
      <w:proofErr w:type="spellStart"/>
      <w:r w:rsidRPr="00644E8D">
        <w:rPr>
          <w:lang w:val="fr-FR"/>
        </w:rPr>
        <w:t>végfelszabadításáért</w:t>
      </w:r>
      <w:proofErr w:type="spellEnd"/>
      <w:r w:rsidRPr="00644E8D">
        <w:rPr>
          <w:lang w:val="fr-FR"/>
        </w:rPr>
        <w:t xml:space="preserve"> </w:t>
      </w:r>
      <w:proofErr w:type="spellStart"/>
      <w:r w:rsidRPr="00644E8D">
        <w:rPr>
          <w:lang w:val="fr-FR"/>
        </w:rPr>
        <w:t>felelős</w:t>
      </w:r>
      <w:proofErr w:type="spellEnd"/>
      <w:r w:rsidRPr="00644E8D">
        <w:rPr>
          <w:lang w:val="fr-FR"/>
        </w:rPr>
        <w:t xml:space="preserve"> </w:t>
      </w:r>
      <w:proofErr w:type="spellStart"/>
      <w:r w:rsidRPr="00644E8D">
        <w:rPr>
          <w:lang w:val="fr-FR"/>
        </w:rPr>
        <w:t>gyártó</w:t>
      </w:r>
      <w:proofErr w:type="spellEnd"/>
      <w:r w:rsidRPr="00644E8D">
        <w:rPr>
          <w:lang w:val="fr-FR"/>
        </w:rPr>
        <w:t xml:space="preserve"> </w:t>
      </w:r>
      <w:proofErr w:type="spellStart"/>
      <w:r w:rsidRPr="00644E8D">
        <w:rPr>
          <w:lang w:val="fr-FR"/>
        </w:rPr>
        <w:t>nevét</w:t>
      </w:r>
      <w:proofErr w:type="spellEnd"/>
      <w:r w:rsidRPr="00644E8D">
        <w:rPr>
          <w:lang w:val="fr-FR"/>
        </w:rPr>
        <w:t xml:space="preserve"> </w:t>
      </w:r>
      <w:proofErr w:type="spellStart"/>
      <w:r w:rsidRPr="00644E8D">
        <w:rPr>
          <w:lang w:val="fr-FR"/>
        </w:rPr>
        <w:t>és</w:t>
      </w:r>
      <w:proofErr w:type="spellEnd"/>
      <w:r w:rsidRPr="00644E8D">
        <w:rPr>
          <w:lang w:val="fr-FR"/>
        </w:rPr>
        <w:t xml:space="preserve"> </w:t>
      </w:r>
      <w:proofErr w:type="spellStart"/>
      <w:r w:rsidRPr="00644E8D">
        <w:rPr>
          <w:lang w:val="fr-FR"/>
        </w:rPr>
        <w:t>címét</w:t>
      </w:r>
      <w:proofErr w:type="spellEnd"/>
      <w:r w:rsidRPr="00644E8D">
        <w:rPr>
          <w:lang w:val="fr-FR"/>
        </w:rPr>
        <w:t xml:space="preserve"> a </w:t>
      </w:r>
      <w:proofErr w:type="spellStart"/>
      <w:r w:rsidRPr="00644E8D">
        <w:rPr>
          <w:lang w:val="fr-FR"/>
        </w:rPr>
        <w:t>gyógyszer</w:t>
      </w:r>
      <w:proofErr w:type="spellEnd"/>
      <w:r w:rsidRPr="00644E8D">
        <w:rPr>
          <w:lang w:val="fr-FR"/>
        </w:rPr>
        <w:t xml:space="preserve"> </w:t>
      </w:r>
      <w:proofErr w:type="spellStart"/>
      <w:r w:rsidRPr="00644E8D">
        <w:rPr>
          <w:lang w:val="fr-FR"/>
        </w:rPr>
        <w:t>betegtájékoztatójának</w:t>
      </w:r>
      <w:proofErr w:type="spellEnd"/>
      <w:r w:rsidRPr="00644E8D">
        <w:rPr>
          <w:lang w:val="fr-FR"/>
        </w:rPr>
        <w:t xml:space="preserve"> </w:t>
      </w:r>
      <w:proofErr w:type="spellStart"/>
      <w:r w:rsidRPr="00644E8D">
        <w:rPr>
          <w:lang w:val="fr-FR"/>
        </w:rPr>
        <w:t>tartalmaznia</w:t>
      </w:r>
      <w:proofErr w:type="spellEnd"/>
      <w:r w:rsidRPr="00644E8D">
        <w:rPr>
          <w:lang w:val="fr-FR"/>
        </w:rPr>
        <w:t xml:space="preserve"> </w:t>
      </w:r>
      <w:proofErr w:type="spellStart"/>
      <w:r w:rsidRPr="00644E8D">
        <w:rPr>
          <w:lang w:val="fr-FR"/>
        </w:rPr>
        <w:t>kell</w:t>
      </w:r>
      <w:proofErr w:type="spellEnd"/>
      <w:r w:rsidRPr="00644E8D">
        <w:rPr>
          <w:lang w:val="fr-FR"/>
        </w:rPr>
        <w:t>.</w:t>
      </w:r>
    </w:p>
    <w:p w14:paraId="1268CE3B" w14:textId="77777777" w:rsidR="00130E8B" w:rsidRDefault="00130E8B">
      <w:pPr>
        <w:pStyle w:val="a3"/>
        <w:rPr>
          <w:lang w:val="hu-HU"/>
        </w:rPr>
      </w:pPr>
    </w:p>
    <w:p w14:paraId="59BC7151" w14:textId="77777777" w:rsidR="00130E8B" w:rsidRDefault="000405CC">
      <w:pPr>
        <w:pStyle w:val="1"/>
        <w:numPr>
          <w:ilvl w:val="0"/>
          <w:numId w:val="33"/>
        </w:numPr>
        <w:ind w:left="360"/>
        <w:rPr>
          <w:lang w:val="hu-HU"/>
        </w:rPr>
      </w:pPr>
      <w:bookmarkStart w:id="43" w:name="B._CONDITIONS_OR_RESTRICTIONS_REGARDING_"/>
      <w:bookmarkEnd w:id="43"/>
      <w:r>
        <w:rPr>
          <w:rFonts w:cs="Arial"/>
          <w:lang w:val="hu-HU"/>
        </w:rPr>
        <w:t>FELTÉTELEK VAGY KORLÁTOZÁSOK AZ ELLÁTÁS ÉS HASZNÁLAT KAPCSÁN</w:t>
      </w:r>
    </w:p>
    <w:p w14:paraId="2D541FFF" w14:textId="77777777" w:rsidR="00130E8B" w:rsidRDefault="00130E8B">
      <w:pPr>
        <w:spacing w:before="12" w:line="240" w:lineRule="exact"/>
        <w:rPr>
          <w:sz w:val="24"/>
          <w:szCs w:val="24"/>
          <w:lang w:val="hu-HU"/>
        </w:rPr>
      </w:pPr>
    </w:p>
    <w:p w14:paraId="0F5C3EE0" w14:textId="77777777" w:rsidR="00130E8B" w:rsidRDefault="000405CC">
      <w:pPr>
        <w:pStyle w:val="a3"/>
        <w:rPr>
          <w:lang w:val="hu-HU"/>
        </w:rPr>
      </w:pPr>
      <w:r>
        <w:rPr>
          <w:rFonts w:eastAsia="Times New Roman"/>
          <w:lang w:val="hu-HU"/>
        </w:rPr>
        <w:t>Korlátozott érvényű orvosi rendelvényhez kötött gyógyszer (Lásd I. Melléklet: Alkalmazási előírás, 4.2 pont).</w:t>
      </w:r>
    </w:p>
    <w:p w14:paraId="60E4C48E" w14:textId="77777777" w:rsidR="00130E8B" w:rsidRDefault="00130E8B">
      <w:pPr>
        <w:spacing w:before="7" w:line="100" w:lineRule="exact"/>
        <w:rPr>
          <w:sz w:val="10"/>
          <w:szCs w:val="10"/>
          <w:lang w:val="hu-HU"/>
        </w:rPr>
      </w:pPr>
    </w:p>
    <w:p w14:paraId="435569BB" w14:textId="77777777" w:rsidR="00130E8B" w:rsidRDefault="00130E8B">
      <w:pPr>
        <w:spacing w:line="200" w:lineRule="exact"/>
        <w:rPr>
          <w:sz w:val="20"/>
          <w:szCs w:val="20"/>
          <w:lang w:val="hu-HU"/>
        </w:rPr>
      </w:pPr>
    </w:p>
    <w:p w14:paraId="3EC60539" w14:textId="77777777" w:rsidR="00130E8B" w:rsidRDefault="00130E8B">
      <w:pPr>
        <w:pStyle w:val="a3"/>
        <w:rPr>
          <w:lang w:val="hu-HU"/>
        </w:rPr>
      </w:pPr>
    </w:p>
    <w:p w14:paraId="4DC330D3" w14:textId="77777777" w:rsidR="00130E8B" w:rsidRDefault="000405CC">
      <w:pPr>
        <w:pStyle w:val="1"/>
        <w:numPr>
          <w:ilvl w:val="0"/>
          <w:numId w:val="33"/>
        </w:numPr>
        <w:ind w:left="360"/>
        <w:rPr>
          <w:lang w:val="hu-HU"/>
        </w:rPr>
      </w:pPr>
      <w:bookmarkStart w:id="44" w:name="C.__OTHER_CONDITIONS_AND_REQUIREMENTS_OF"/>
      <w:bookmarkEnd w:id="44"/>
      <w:r>
        <w:rPr>
          <w:rFonts w:cs="Arial"/>
          <w:lang w:val="hu-HU"/>
        </w:rPr>
        <w:t>A FORGALOMBA HOZATALI ENGEDÉLY EGYÉB FELTÉTELEI ÉS KÖVETELMÉNYEI</w:t>
      </w:r>
    </w:p>
    <w:p w14:paraId="5434F5AE" w14:textId="77777777" w:rsidR="00130E8B" w:rsidRDefault="00130E8B">
      <w:pPr>
        <w:spacing w:before="13" w:line="240" w:lineRule="exact"/>
        <w:rPr>
          <w:sz w:val="24"/>
          <w:szCs w:val="24"/>
          <w:lang w:val="hu-HU"/>
        </w:rPr>
      </w:pPr>
    </w:p>
    <w:p w14:paraId="0EC1E4B0" w14:textId="6F772557" w:rsidR="00130E8B" w:rsidRDefault="000405CC">
      <w:pPr>
        <w:numPr>
          <w:ilvl w:val="1"/>
          <w:numId w:val="7"/>
        </w:numPr>
        <w:tabs>
          <w:tab w:val="left" w:pos="831"/>
        </w:tabs>
        <w:ind w:left="831"/>
        <w:rPr>
          <w:rFonts w:ascii="Times New Roman" w:eastAsia="Times New Roman" w:hAnsi="Times New Roman" w:cs="Times New Roman"/>
          <w:lang w:val="hu-HU"/>
        </w:rPr>
      </w:pPr>
      <w:r>
        <w:rPr>
          <w:rFonts w:ascii="Times New Roman" w:eastAsia="Times New Roman" w:hAnsi="Times New Roman" w:cs="Times New Roman"/>
          <w:b/>
          <w:bCs/>
          <w:spacing w:val="-1"/>
          <w:lang w:val="hu-HU"/>
        </w:rPr>
        <w:t>Időszakos gyógyszerbiztonsági jelentések</w:t>
      </w:r>
      <w:r w:rsidR="00113FF2" w:rsidRPr="00113FF2">
        <w:rPr>
          <w:rFonts w:ascii="Times New Roman" w:eastAsia="Times New Roman" w:hAnsi="Times New Roman" w:cs="Times New Roman"/>
          <w:b/>
          <w:bCs/>
          <w:spacing w:val="-1"/>
          <w:lang w:val="hu-HU"/>
        </w:rPr>
        <w:t xml:space="preserve"> (Periodic safety update report, PSUR)</w:t>
      </w:r>
    </w:p>
    <w:p w14:paraId="3F6EEA90" w14:textId="77777777" w:rsidR="00130E8B" w:rsidRDefault="00130E8B">
      <w:pPr>
        <w:tabs>
          <w:tab w:val="left" w:pos="831"/>
        </w:tabs>
        <w:rPr>
          <w:rFonts w:ascii="Times New Roman" w:eastAsia="Times New Roman" w:hAnsi="Times New Roman" w:cs="Times New Roman"/>
          <w:lang w:val="hu-HU"/>
        </w:rPr>
      </w:pPr>
    </w:p>
    <w:p w14:paraId="1D2959C0" w14:textId="77777777" w:rsidR="00130E8B" w:rsidRDefault="000405CC">
      <w:pPr>
        <w:pStyle w:val="a3"/>
        <w:rPr>
          <w:lang w:val="hu-HU"/>
        </w:rPr>
      </w:pPr>
      <w:r>
        <w:rPr>
          <w:iCs/>
          <w:lang w:val="hu-HU"/>
        </w:rPr>
        <w:t>Erre a készítményre a PSUR-okat a 2001/83/EK irányelv 107c</w:t>
      </w:r>
      <w:r>
        <w:rPr>
          <w:rFonts w:eastAsia="Times New Roman"/>
          <w:lang w:val="hu-HU"/>
        </w:rPr>
        <w:t>. cikkének (7) bekezdésében megállapított és az európai internetes gyógyszerportálon nyilvánosságra hozott uniós referencia időpontok listája (EURD lista), illetve annak bármely későbbi frissített változata szerinti követelményeknek megfelelően kell benyújtani.</w:t>
      </w:r>
    </w:p>
    <w:p w14:paraId="5664E082" w14:textId="77777777" w:rsidR="00130E8B" w:rsidRDefault="00130E8B">
      <w:pPr>
        <w:spacing w:before="4" w:line="110" w:lineRule="exact"/>
        <w:rPr>
          <w:sz w:val="11"/>
          <w:szCs w:val="11"/>
          <w:lang w:val="hu-HU"/>
        </w:rPr>
      </w:pPr>
    </w:p>
    <w:p w14:paraId="7705B92F" w14:textId="77777777" w:rsidR="00130E8B" w:rsidRDefault="00130E8B">
      <w:pPr>
        <w:spacing w:line="200" w:lineRule="exact"/>
        <w:rPr>
          <w:sz w:val="20"/>
          <w:szCs w:val="20"/>
          <w:lang w:val="hu-HU"/>
        </w:rPr>
      </w:pPr>
    </w:p>
    <w:p w14:paraId="319E37BC" w14:textId="77777777" w:rsidR="00130E8B" w:rsidRDefault="00130E8B">
      <w:pPr>
        <w:pStyle w:val="a3"/>
        <w:rPr>
          <w:lang w:val="hu-HU"/>
        </w:rPr>
      </w:pPr>
    </w:p>
    <w:p w14:paraId="1DCD0449" w14:textId="77777777" w:rsidR="00130E8B" w:rsidRDefault="000405CC" w:rsidP="002C78FA">
      <w:pPr>
        <w:pStyle w:val="1"/>
        <w:widowControl/>
        <w:numPr>
          <w:ilvl w:val="0"/>
          <w:numId w:val="33"/>
        </w:numPr>
        <w:ind w:left="357" w:hanging="357"/>
        <w:rPr>
          <w:lang w:val="hu-HU"/>
        </w:rPr>
      </w:pPr>
      <w:bookmarkStart w:id="45" w:name="D._CONDITIONS_OR_RESTRICTIONS_WITH_REGAR"/>
      <w:bookmarkEnd w:id="45"/>
      <w:r>
        <w:rPr>
          <w:rFonts w:cs="Arial"/>
          <w:lang w:val="hu-HU"/>
        </w:rPr>
        <w:t>FELTÉTELEK VAGY KORLÁTOZÁSOK A GYÓGYSZER BIZTONSÁGOS ÉS HATÉKONY ALKALMAZÁSÁRA VONATKOZÓAN</w:t>
      </w:r>
    </w:p>
    <w:p w14:paraId="5D2A27F4" w14:textId="77777777" w:rsidR="00130E8B" w:rsidRDefault="00130E8B">
      <w:pPr>
        <w:spacing w:before="20" w:line="220" w:lineRule="exact"/>
        <w:rPr>
          <w:lang w:val="hu-HU"/>
        </w:rPr>
      </w:pPr>
    </w:p>
    <w:p w14:paraId="354BA7C3" w14:textId="77777777" w:rsidR="00130E8B" w:rsidRDefault="000405CC">
      <w:pPr>
        <w:numPr>
          <w:ilvl w:val="0"/>
          <w:numId w:val="15"/>
        </w:numPr>
        <w:tabs>
          <w:tab w:val="left" w:pos="660"/>
        </w:tabs>
        <w:ind w:left="660" w:hanging="550"/>
        <w:rPr>
          <w:rFonts w:ascii="Times New Roman" w:eastAsia="Times New Roman" w:hAnsi="Times New Roman" w:cs="Times New Roman"/>
          <w:lang w:val="hu-HU"/>
        </w:rPr>
      </w:pPr>
      <w:r>
        <w:rPr>
          <w:rFonts w:ascii="Times New Roman" w:eastAsia="Times New Roman" w:hAnsi="Times New Roman" w:cs="Times New Roman"/>
          <w:b/>
          <w:bCs/>
          <w:spacing w:val="-1"/>
          <w:lang w:val="hu-HU"/>
        </w:rPr>
        <w:t>Kockázatkezelési terv</w:t>
      </w:r>
    </w:p>
    <w:p w14:paraId="326FC1CD" w14:textId="77777777" w:rsidR="00130E8B" w:rsidRDefault="00130E8B">
      <w:pPr>
        <w:spacing w:before="1" w:line="260" w:lineRule="exact"/>
        <w:rPr>
          <w:sz w:val="26"/>
          <w:szCs w:val="26"/>
          <w:lang w:val="hu-HU"/>
        </w:rPr>
      </w:pPr>
    </w:p>
    <w:p w14:paraId="046AA6C6" w14:textId="77777777" w:rsidR="00130E8B" w:rsidRDefault="000405CC">
      <w:pPr>
        <w:pStyle w:val="a3"/>
        <w:rPr>
          <w:lang w:val="hu-HU"/>
        </w:rPr>
      </w:pPr>
      <w:r>
        <w:rPr>
          <w:rFonts w:eastAsia="Times New Roman"/>
          <w:lang w:val="hu-HU"/>
        </w:rPr>
        <w:t>A forgalomba hozatali engedély jogosultja (MAH) kötelezi magát, hogy a forgalomba hozatali engedély 1.8.2 moduljában leírt, jóváhagyott kockázatkezelési tervben, illetve annak jóváhagyott frissített verzióiban részletezett, kötelező farmakovigilanciai tevékenységeket és beavatkozásokat elvégzi.</w:t>
      </w:r>
    </w:p>
    <w:p w14:paraId="0A8CB07B" w14:textId="77777777" w:rsidR="00130E8B" w:rsidRDefault="00130E8B">
      <w:pPr>
        <w:spacing w:before="11" w:line="240" w:lineRule="exact"/>
        <w:rPr>
          <w:sz w:val="24"/>
          <w:szCs w:val="24"/>
          <w:lang w:val="hu-HU"/>
        </w:rPr>
      </w:pPr>
    </w:p>
    <w:p w14:paraId="525B1B26" w14:textId="77777777" w:rsidR="00130E8B" w:rsidRDefault="000405CC">
      <w:pPr>
        <w:pStyle w:val="a3"/>
        <w:rPr>
          <w:lang w:val="hu-HU"/>
        </w:rPr>
      </w:pPr>
      <w:r>
        <w:rPr>
          <w:rFonts w:eastAsia="Times New Roman"/>
          <w:lang w:val="hu-HU"/>
        </w:rPr>
        <w:t>A frissített kockázatkezelési terv benyújtandó a következő esetekben:</w:t>
      </w:r>
    </w:p>
    <w:p w14:paraId="0C2D710D" w14:textId="77777777" w:rsidR="00130E8B" w:rsidRDefault="000405CC">
      <w:pPr>
        <w:pStyle w:val="a3"/>
        <w:numPr>
          <w:ilvl w:val="1"/>
          <w:numId w:val="15"/>
        </w:numPr>
        <w:ind w:left="660" w:hanging="660"/>
        <w:rPr>
          <w:lang w:val="hu-HU"/>
        </w:rPr>
      </w:pPr>
      <w:r>
        <w:rPr>
          <w:rFonts w:eastAsia="Times New Roman"/>
          <w:lang w:val="hu-HU"/>
        </w:rPr>
        <w:t>ha az Európai Gyógyszerügynökség ezt indítványozza;</w:t>
      </w:r>
    </w:p>
    <w:p w14:paraId="4656B6F2" w14:textId="77777777" w:rsidR="00130E8B" w:rsidRDefault="000405CC">
      <w:pPr>
        <w:pStyle w:val="a3"/>
        <w:numPr>
          <w:ilvl w:val="1"/>
          <w:numId w:val="15"/>
        </w:numPr>
        <w:ind w:left="660" w:hanging="660"/>
        <w:rPr>
          <w:lang w:val="hu-HU"/>
        </w:rPr>
      </w:pPr>
      <w:r>
        <w:rPr>
          <w:rFonts w:eastAsia="Times New Roman"/>
          <w:lang w:val="hu-HU"/>
        </w:rPr>
        <w:t>ha a kockázatkezelési rendszerben változás történik, főként azt követően, hogy olyan új információ érkezik, amely az előny/kockázat profil jelentős változásához vezethet, illetve (a biztonságos gyógyszeralkalmazásra vagy kockázat-minimalizálásra irányuló) újabb, meghatározó eredmények születnek.</w:t>
      </w:r>
    </w:p>
    <w:p w14:paraId="07B536BD" w14:textId="77777777" w:rsidR="00130E8B" w:rsidRDefault="00130E8B">
      <w:pPr>
        <w:spacing w:before="2" w:line="240" w:lineRule="exact"/>
        <w:rPr>
          <w:sz w:val="24"/>
          <w:szCs w:val="24"/>
          <w:lang w:val="hu-HU"/>
        </w:rPr>
      </w:pPr>
    </w:p>
    <w:p w14:paraId="4E019573" w14:textId="77777777" w:rsidR="00130E8B" w:rsidRDefault="000405CC">
      <w:pPr>
        <w:keepNext/>
        <w:numPr>
          <w:ilvl w:val="0"/>
          <w:numId w:val="15"/>
        </w:numPr>
        <w:tabs>
          <w:tab w:val="left" w:pos="660"/>
        </w:tabs>
        <w:ind w:left="660" w:hanging="550"/>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Kockázat-minimalizálásra irányuló további intézkedések</w:t>
      </w:r>
    </w:p>
    <w:p w14:paraId="2DCF3DBC" w14:textId="77777777" w:rsidR="00130E8B" w:rsidRDefault="00130E8B">
      <w:pPr>
        <w:keepNext/>
        <w:spacing w:before="17" w:line="240" w:lineRule="exact"/>
        <w:rPr>
          <w:rFonts w:ascii="Times New Roman" w:hAnsi="Times New Roman" w:cs="Times New Roman"/>
          <w:lang w:val="hu-HU"/>
        </w:rPr>
      </w:pPr>
    </w:p>
    <w:p w14:paraId="028030CA" w14:textId="77777777" w:rsidR="00130E8B" w:rsidRDefault="000405CC">
      <w:pPr>
        <w:keepNext/>
        <w:spacing w:before="17" w:line="240" w:lineRule="exact"/>
        <w:rPr>
          <w:rFonts w:ascii="Times New Roman" w:hAnsi="Times New Roman" w:cs="Times New Roman"/>
          <w:lang w:val="hu-HU"/>
        </w:rPr>
      </w:pPr>
      <w:r>
        <w:rPr>
          <w:rFonts w:ascii="Times New Roman" w:eastAsia="Times New Roman" w:hAnsi="Times New Roman" w:cs="Times New Roman"/>
          <w:lang w:val="hu-HU"/>
        </w:rPr>
        <w:t>A forgalombahozatali engedély jogosultjának a Yuflyma forgalmazását megelőzően minden tagállamban meg kell állapodnia az illetékes nemzeti hatósággal az oktatási anyag tartalmára és formájára vonatkozóan, ideértve a kommunikációs csatornákat, a terjesztés módjait, valamint a program egyéb szempontjaiAz oktatási anyag egy betegemlékeztető kártyából áll.</w:t>
      </w:r>
    </w:p>
    <w:p w14:paraId="0ADC608C" w14:textId="77777777" w:rsidR="00130E8B" w:rsidRDefault="00130E8B">
      <w:pPr>
        <w:spacing w:before="17" w:line="240" w:lineRule="exact"/>
        <w:rPr>
          <w:rFonts w:ascii="Times New Roman" w:hAnsi="Times New Roman" w:cs="Times New Roman"/>
          <w:lang w:val="hu-HU"/>
        </w:rPr>
      </w:pPr>
    </w:p>
    <w:p w14:paraId="43707FF4" w14:textId="77777777" w:rsidR="00130E8B" w:rsidRDefault="000405CC">
      <w:pPr>
        <w:pStyle w:val="a3"/>
        <w:rPr>
          <w:lang w:val="hu-HU"/>
        </w:rPr>
      </w:pPr>
      <w:r>
        <w:rPr>
          <w:rFonts w:eastAsia="Times New Roman"/>
          <w:lang w:val="hu-HU"/>
        </w:rPr>
        <w:t>A betegemlékeztető kártya fontos biztonsági információkat tartalmaz, amelyekről a betegnek tudnia kell a Yuflyma kezelés előtt és alatt. Az emlékeztetőkártya célja a súlyos fertőzések, tuberkulózis (TBC), rosszindulatú daganatok, demyelinisatiós betegségek (beleértve a sclerosis multiplexet [SM], Guillain Barré szindrómát [GBS] és optikai neuritist [ON]) és a BCG betegség kockázatának kiemelése élő BCG oltást követően az in utero Yuflyma-expozíciónak kitett csecsemők esetében.</w:t>
      </w:r>
    </w:p>
    <w:p w14:paraId="4DE97ABD" w14:textId="77777777" w:rsidR="00130E8B" w:rsidRDefault="00130E8B">
      <w:pPr>
        <w:pStyle w:val="a3"/>
        <w:rPr>
          <w:lang w:val="hu-HU"/>
        </w:rPr>
      </w:pPr>
    </w:p>
    <w:p w14:paraId="11167DAE" w14:textId="77777777" w:rsidR="00130E8B" w:rsidRDefault="000405CC">
      <w:pPr>
        <w:pStyle w:val="a3"/>
        <w:rPr>
          <w:lang w:val="hu-HU"/>
        </w:rPr>
      </w:pPr>
      <w:r>
        <w:rPr>
          <w:rFonts w:eastAsia="Times New Roman"/>
          <w:lang w:val="hu-HU"/>
        </w:rPr>
        <w:t>A forgalomba hozatali engedély jogosultjának biztosítania kell, hogy minden olyan tagállamban, ahol a Yuflyma forgalomba kerül, minden olyan egészségügyi szakember aki várhatóan adalimumabot fog felírni és minden beteg aki várhatóan adalimumabot fog alkalmazni, hozzáférjen az alábbi oktatási anyagokhoz, illetve megkapja azokat:</w:t>
      </w:r>
    </w:p>
    <w:p w14:paraId="26E02799" w14:textId="77777777" w:rsidR="00130E8B" w:rsidRDefault="00130E8B">
      <w:pPr>
        <w:spacing w:before="17" w:line="240" w:lineRule="exact"/>
        <w:rPr>
          <w:sz w:val="24"/>
          <w:szCs w:val="24"/>
          <w:lang w:val="hu-HU"/>
        </w:rPr>
      </w:pPr>
    </w:p>
    <w:p w14:paraId="005BD295" w14:textId="77777777" w:rsidR="00130E8B" w:rsidRDefault="000405CC">
      <w:pPr>
        <w:pStyle w:val="a3"/>
        <w:rPr>
          <w:lang w:val="hu-HU"/>
        </w:rPr>
      </w:pPr>
      <w:r>
        <w:rPr>
          <w:rFonts w:eastAsia="Times New Roman"/>
          <w:b/>
          <w:bCs/>
          <w:lang w:val="hu-HU"/>
        </w:rPr>
        <w:t xml:space="preserve">A (felnőtteknek és gyermeknek szóló) betegemlékeztető kártyák </w:t>
      </w:r>
      <w:r>
        <w:rPr>
          <w:rFonts w:eastAsia="Times New Roman"/>
          <w:lang w:val="hu-HU"/>
        </w:rPr>
        <w:t xml:space="preserve"> a következő kulcsfontosságú elemeket tartalmazzák:</w:t>
      </w:r>
    </w:p>
    <w:p w14:paraId="5DAA41DE" w14:textId="77777777" w:rsidR="00130E8B" w:rsidRDefault="00130E8B">
      <w:pPr>
        <w:spacing w:before="13" w:line="240" w:lineRule="exact"/>
        <w:rPr>
          <w:sz w:val="24"/>
          <w:szCs w:val="24"/>
          <w:lang w:val="hu-HU"/>
        </w:rPr>
      </w:pPr>
    </w:p>
    <w:p w14:paraId="12B03FEC" w14:textId="5CD5D1C6" w:rsidR="00130E8B" w:rsidRPr="0050426A" w:rsidRDefault="000405CC">
      <w:pPr>
        <w:pStyle w:val="a3"/>
        <w:numPr>
          <w:ilvl w:val="0"/>
          <w:numId w:val="41"/>
        </w:numPr>
        <w:ind w:left="360"/>
        <w:rPr>
          <w:lang w:val="hu-HU"/>
        </w:rPr>
      </w:pPr>
      <w:r w:rsidRPr="0050426A">
        <w:rPr>
          <w:rFonts w:eastAsia="Times New Roman"/>
          <w:lang w:val="hu-HU"/>
        </w:rPr>
        <w:t>A Yuflyma-kezelés növelheti a fertőzések, ideértve a tuberculosist, a daganatos betegségek és az</w:t>
      </w:r>
      <w:r w:rsidR="0050426A" w:rsidRPr="0050426A">
        <w:rPr>
          <w:rFonts w:eastAsia="Times New Roman"/>
          <w:lang w:val="hu-HU"/>
        </w:rPr>
        <w:t xml:space="preserve"> </w:t>
      </w:r>
      <w:r w:rsidRPr="0050426A">
        <w:rPr>
          <w:rFonts w:eastAsia="Times New Roman"/>
          <w:lang w:val="hu-HU"/>
        </w:rPr>
        <w:t>idegrendszeri problémák kockázatát;</w:t>
      </w:r>
    </w:p>
    <w:p w14:paraId="0E910838" w14:textId="77777777" w:rsidR="00130E8B" w:rsidRDefault="000405CC">
      <w:pPr>
        <w:pStyle w:val="a3"/>
        <w:numPr>
          <w:ilvl w:val="0"/>
          <w:numId w:val="41"/>
        </w:numPr>
        <w:ind w:left="360"/>
        <w:rPr>
          <w:lang w:val="hu-HU"/>
        </w:rPr>
      </w:pPr>
      <w:r>
        <w:rPr>
          <w:rFonts w:eastAsia="Times New Roman"/>
          <w:lang w:val="hu-HU"/>
        </w:rPr>
        <w:t>Ezen biztonsági aggályok jelei vagy tünetei, és hogy mikor kell egészségügyi szakemberhez fordulni;</w:t>
      </w:r>
    </w:p>
    <w:p w14:paraId="6CF50AC2" w14:textId="77777777" w:rsidR="00130E8B" w:rsidRDefault="000405CC">
      <w:pPr>
        <w:pStyle w:val="a3"/>
        <w:numPr>
          <w:ilvl w:val="0"/>
          <w:numId w:val="41"/>
        </w:numPr>
        <w:ind w:left="360"/>
        <w:rPr>
          <w:lang w:val="hu-HU"/>
        </w:rPr>
      </w:pPr>
      <w:r>
        <w:rPr>
          <w:rFonts w:eastAsia="Times New Roman"/>
          <w:lang w:val="hu-HU"/>
        </w:rPr>
        <w:t>Annak fontossága, hogy nem kaphat élő vakcinát, és hogy terhesség esetén tájékoztatnia kell az egészségügyi szakembert arról, hogy kezelést kap.</w:t>
      </w:r>
    </w:p>
    <w:p w14:paraId="0FAA9A15" w14:textId="77777777" w:rsidR="00130E8B" w:rsidRDefault="000405CC">
      <w:pPr>
        <w:pStyle w:val="a3"/>
        <w:numPr>
          <w:ilvl w:val="0"/>
          <w:numId w:val="41"/>
        </w:numPr>
        <w:ind w:left="360"/>
        <w:rPr>
          <w:lang w:val="hu-HU"/>
        </w:rPr>
      </w:pPr>
      <w:r>
        <w:rPr>
          <w:rFonts w:eastAsia="Times New Roman"/>
          <w:lang w:val="hu-HU"/>
        </w:rPr>
        <w:t>A gyógyszer márkanevének és gyártási számának feljegyzésével kapcsolatos utasítások a nyomon követhetőség biztosítása érdekében;</w:t>
      </w:r>
    </w:p>
    <w:p w14:paraId="1EE5D6CC" w14:textId="77777777" w:rsidR="00130E8B" w:rsidRDefault="000405CC">
      <w:pPr>
        <w:pStyle w:val="a3"/>
        <w:numPr>
          <w:ilvl w:val="0"/>
          <w:numId w:val="41"/>
        </w:numPr>
        <w:ind w:left="360"/>
        <w:rPr>
          <w:lang w:val="hu-HU"/>
        </w:rPr>
      </w:pPr>
      <w:r>
        <w:rPr>
          <w:rFonts w:eastAsia="Times New Roman"/>
          <w:lang w:val="hu-HU"/>
        </w:rPr>
        <w:t>Az adalimumabot felíró orvos elérhetőségi adatai.</w:t>
      </w:r>
    </w:p>
    <w:p w14:paraId="726E084E" w14:textId="77777777" w:rsidR="00130E8B" w:rsidRDefault="000405CC">
      <w:pPr>
        <w:rPr>
          <w:lang w:val="hu-HU"/>
        </w:rPr>
      </w:pPr>
      <w:r>
        <w:rPr>
          <w:lang w:val="hu-HU"/>
        </w:rPr>
        <w:lastRenderedPageBreak/>
        <w:br w:type="page"/>
      </w:r>
    </w:p>
    <w:p w14:paraId="02417B05" w14:textId="77777777" w:rsidR="00130E8B" w:rsidRDefault="00130E8B">
      <w:pPr>
        <w:spacing w:line="200" w:lineRule="exact"/>
        <w:rPr>
          <w:sz w:val="20"/>
          <w:szCs w:val="20"/>
          <w:lang w:val="hu-HU"/>
        </w:rPr>
      </w:pPr>
    </w:p>
    <w:p w14:paraId="25192AD6" w14:textId="77777777" w:rsidR="00130E8B" w:rsidRDefault="00130E8B">
      <w:pPr>
        <w:spacing w:line="200" w:lineRule="exact"/>
        <w:rPr>
          <w:sz w:val="20"/>
          <w:szCs w:val="20"/>
          <w:lang w:val="hu-HU"/>
        </w:rPr>
      </w:pPr>
    </w:p>
    <w:p w14:paraId="518D1A2D" w14:textId="77777777" w:rsidR="00130E8B" w:rsidRDefault="00130E8B">
      <w:pPr>
        <w:spacing w:line="200" w:lineRule="exact"/>
        <w:rPr>
          <w:sz w:val="20"/>
          <w:szCs w:val="20"/>
          <w:lang w:val="hu-HU"/>
        </w:rPr>
      </w:pPr>
    </w:p>
    <w:p w14:paraId="2D32174D" w14:textId="77777777" w:rsidR="00130E8B" w:rsidRDefault="00130E8B">
      <w:pPr>
        <w:spacing w:line="200" w:lineRule="exact"/>
        <w:rPr>
          <w:sz w:val="20"/>
          <w:szCs w:val="20"/>
          <w:lang w:val="hu-HU"/>
        </w:rPr>
      </w:pPr>
    </w:p>
    <w:p w14:paraId="75B4AE79" w14:textId="77777777" w:rsidR="00130E8B" w:rsidRDefault="00130E8B">
      <w:pPr>
        <w:spacing w:line="200" w:lineRule="exact"/>
        <w:rPr>
          <w:sz w:val="20"/>
          <w:szCs w:val="20"/>
          <w:lang w:val="hu-HU"/>
        </w:rPr>
      </w:pPr>
    </w:p>
    <w:p w14:paraId="2F965F6E" w14:textId="77777777" w:rsidR="00130E8B" w:rsidRDefault="00130E8B">
      <w:pPr>
        <w:spacing w:line="200" w:lineRule="exact"/>
        <w:rPr>
          <w:sz w:val="20"/>
          <w:szCs w:val="20"/>
          <w:lang w:val="hu-HU"/>
        </w:rPr>
      </w:pPr>
    </w:p>
    <w:p w14:paraId="36D7C206" w14:textId="77777777" w:rsidR="00130E8B" w:rsidRDefault="00130E8B">
      <w:pPr>
        <w:spacing w:line="200" w:lineRule="exact"/>
        <w:rPr>
          <w:sz w:val="20"/>
          <w:szCs w:val="20"/>
          <w:lang w:val="hu-HU"/>
        </w:rPr>
      </w:pPr>
    </w:p>
    <w:p w14:paraId="0E3B2977" w14:textId="77777777" w:rsidR="00130E8B" w:rsidRDefault="00130E8B">
      <w:pPr>
        <w:spacing w:line="200" w:lineRule="exact"/>
        <w:rPr>
          <w:sz w:val="20"/>
          <w:szCs w:val="20"/>
          <w:lang w:val="hu-HU"/>
        </w:rPr>
      </w:pPr>
    </w:p>
    <w:p w14:paraId="0EB26013" w14:textId="77777777" w:rsidR="00130E8B" w:rsidRDefault="00130E8B">
      <w:pPr>
        <w:spacing w:line="200" w:lineRule="exact"/>
        <w:rPr>
          <w:sz w:val="20"/>
          <w:szCs w:val="20"/>
          <w:lang w:val="hu-HU"/>
        </w:rPr>
      </w:pPr>
    </w:p>
    <w:p w14:paraId="6C1C61F6" w14:textId="77777777" w:rsidR="00130E8B" w:rsidRDefault="00130E8B">
      <w:pPr>
        <w:spacing w:line="200" w:lineRule="exact"/>
        <w:rPr>
          <w:sz w:val="20"/>
          <w:szCs w:val="20"/>
          <w:lang w:val="hu-HU"/>
        </w:rPr>
      </w:pPr>
    </w:p>
    <w:p w14:paraId="17E708E4" w14:textId="77777777" w:rsidR="00130E8B" w:rsidRDefault="00130E8B">
      <w:pPr>
        <w:spacing w:line="200" w:lineRule="exact"/>
        <w:rPr>
          <w:sz w:val="20"/>
          <w:szCs w:val="20"/>
          <w:lang w:val="hu-HU"/>
        </w:rPr>
      </w:pPr>
    </w:p>
    <w:p w14:paraId="154CC34F" w14:textId="77777777" w:rsidR="00130E8B" w:rsidRDefault="00130E8B">
      <w:pPr>
        <w:spacing w:line="200" w:lineRule="exact"/>
        <w:rPr>
          <w:sz w:val="20"/>
          <w:szCs w:val="20"/>
          <w:lang w:val="hu-HU"/>
        </w:rPr>
      </w:pPr>
    </w:p>
    <w:p w14:paraId="3CED752E" w14:textId="77777777" w:rsidR="00130E8B" w:rsidRDefault="00130E8B">
      <w:pPr>
        <w:spacing w:line="200" w:lineRule="exact"/>
        <w:rPr>
          <w:sz w:val="20"/>
          <w:szCs w:val="20"/>
          <w:lang w:val="hu-HU"/>
        </w:rPr>
      </w:pPr>
    </w:p>
    <w:p w14:paraId="7CB54A7C" w14:textId="77777777" w:rsidR="00130E8B" w:rsidRDefault="00130E8B">
      <w:pPr>
        <w:spacing w:line="200" w:lineRule="exact"/>
        <w:rPr>
          <w:sz w:val="20"/>
          <w:szCs w:val="20"/>
          <w:lang w:val="hu-HU"/>
        </w:rPr>
      </w:pPr>
    </w:p>
    <w:p w14:paraId="51F78303" w14:textId="77777777" w:rsidR="00130E8B" w:rsidRDefault="00130E8B">
      <w:pPr>
        <w:spacing w:line="200" w:lineRule="exact"/>
        <w:rPr>
          <w:sz w:val="20"/>
          <w:szCs w:val="20"/>
          <w:lang w:val="hu-HU"/>
        </w:rPr>
      </w:pPr>
    </w:p>
    <w:p w14:paraId="1F69EF9F" w14:textId="77777777" w:rsidR="00130E8B" w:rsidRDefault="00130E8B">
      <w:pPr>
        <w:spacing w:line="200" w:lineRule="exact"/>
        <w:rPr>
          <w:sz w:val="20"/>
          <w:szCs w:val="20"/>
          <w:lang w:val="hu-HU"/>
        </w:rPr>
      </w:pPr>
    </w:p>
    <w:p w14:paraId="3E1A5EF5" w14:textId="77777777" w:rsidR="00130E8B" w:rsidRDefault="00130E8B">
      <w:pPr>
        <w:spacing w:line="200" w:lineRule="exact"/>
        <w:rPr>
          <w:sz w:val="20"/>
          <w:szCs w:val="20"/>
          <w:lang w:val="hu-HU"/>
        </w:rPr>
      </w:pPr>
    </w:p>
    <w:p w14:paraId="14B9BFB0" w14:textId="77777777" w:rsidR="00130E8B" w:rsidRDefault="00130E8B">
      <w:pPr>
        <w:spacing w:line="200" w:lineRule="exact"/>
        <w:rPr>
          <w:sz w:val="20"/>
          <w:szCs w:val="20"/>
          <w:lang w:val="hu-HU"/>
        </w:rPr>
      </w:pPr>
    </w:p>
    <w:p w14:paraId="34FB7EE2" w14:textId="77777777" w:rsidR="00130E8B" w:rsidRDefault="00130E8B">
      <w:pPr>
        <w:spacing w:line="200" w:lineRule="exact"/>
        <w:rPr>
          <w:sz w:val="20"/>
          <w:szCs w:val="20"/>
          <w:lang w:val="hu-HU"/>
        </w:rPr>
      </w:pPr>
    </w:p>
    <w:p w14:paraId="2F3F6391" w14:textId="77777777" w:rsidR="00130E8B" w:rsidRDefault="00130E8B">
      <w:pPr>
        <w:spacing w:line="200" w:lineRule="exact"/>
        <w:rPr>
          <w:sz w:val="20"/>
          <w:szCs w:val="20"/>
          <w:lang w:val="hu-HU"/>
        </w:rPr>
      </w:pPr>
    </w:p>
    <w:p w14:paraId="2DDB85BF" w14:textId="77777777" w:rsidR="00130E8B" w:rsidRDefault="00130E8B">
      <w:pPr>
        <w:spacing w:line="200" w:lineRule="exact"/>
        <w:rPr>
          <w:sz w:val="20"/>
          <w:szCs w:val="20"/>
          <w:lang w:val="hu-HU"/>
        </w:rPr>
      </w:pPr>
    </w:p>
    <w:p w14:paraId="59A6C295" w14:textId="77777777" w:rsidR="00130E8B" w:rsidRDefault="00130E8B">
      <w:pPr>
        <w:spacing w:line="200" w:lineRule="exact"/>
        <w:rPr>
          <w:sz w:val="20"/>
          <w:szCs w:val="20"/>
          <w:lang w:val="hu-HU"/>
        </w:rPr>
      </w:pPr>
    </w:p>
    <w:p w14:paraId="6D83B1EE" w14:textId="77777777" w:rsidR="00130E8B" w:rsidRDefault="00130E8B">
      <w:pPr>
        <w:spacing w:line="200" w:lineRule="exact"/>
        <w:rPr>
          <w:sz w:val="20"/>
          <w:szCs w:val="20"/>
          <w:lang w:val="hu-HU"/>
        </w:rPr>
      </w:pPr>
    </w:p>
    <w:p w14:paraId="704DF590" w14:textId="77777777" w:rsidR="00130E8B" w:rsidRDefault="00130E8B">
      <w:pPr>
        <w:spacing w:line="200" w:lineRule="exact"/>
        <w:rPr>
          <w:sz w:val="20"/>
          <w:szCs w:val="20"/>
          <w:lang w:val="hu-HU"/>
        </w:rPr>
      </w:pPr>
    </w:p>
    <w:p w14:paraId="79D28A1F" w14:textId="77777777" w:rsidR="00130E8B" w:rsidRDefault="00130E8B">
      <w:pPr>
        <w:spacing w:line="200" w:lineRule="exact"/>
        <w:rPr>
          <w:sz w:val="20"/>
          <w:szCs w:val="20"/>
          <w:lang w:val="hu-HU"/>
        </w:rPr>
      </w:pPr>
    </w:p>
    <w:p w14:paraId="1D09CE5C" w14:textId="77777777" w:rsidR="00130E8B" w:rsidRDefault="00130E8B">
      <w:pPr>
        <w:spacing w:line="200" w:lineRule="exact"/>
        <w:rPr>
          <w:sz w:val="20"/>
          <w:szCs w:val="20"/>
          <w:lang w:val="hu-HU"/>
        </w:rPr>
      </w:pPr>
    </w:p>
    <w:p w14:paraId="1C3E6615" w14:textId="77777777" w:rsidR="00130E8B" w:rsidRDefault="00130E8B">
      <w:pPr>
        <w:spacing w:before="4" w:line="200" w:lineRule="exact"/>
        <w:rPr>
          <w:sz w:val="20"/>
          <w:szCs w:val="20"/>
          <w:lang w:val="hu-HU"/>
        </w:rPr>
      </w:pPr>
    </w:p>
    <w:p w14:paraId="20DEF21F" w14:textId="77777777" w:rsidR="00130E8B" w:rsidRDefault="000405CC">
      <w:pPr>
        <w:pStyle w:val="TableParagraph"/>
        <w:jc w:val="center"/>
        <w:rPr>
          <w:rFonts w:ascii="Times New Roman" w:hAnsi="Times New Roman" w:cs="Times New Roman"/>
          <w:b/>
          <w:lang w:val="hu-HU"/>
        </w:rPr>
      </w:pPr>
      <w:r>
        <w:rPr>
          <w:rFonts w:ascii="Times New Roman" w:eastAsia="Times New Roman" w:hAnsi="Times New Roman" w:cs="Times New Roman"/>
          <w:b/>
          <w:bCs/>
          <w:lang w:val="hu-HU"/>
        </w:rPr>
        <w:t>III. MELLÉKLET</w:t>
      </w:r>
    </w:p>
    <w:p w14:paraId="23FB5579" w14:textId="77777777" w:rsidR="00130E8B" w:rsidRDefault="00130E8B">
      <w:pPr>
        <w:pStyle w:val="TableParagraph"/>
        <w:jc w:val="center"/>
        <w:rPr>
          <w:rFonts w:ascii="Times New Roman" w:hAnsi="Times New Roman" w:cs="Times New Roman"/>
          <w:b/>
          <w:lang w:val="hu-HU"/>
        </w:rPr>
      </w:pPr>
    </w:p>
    <w:p w14:paraId="7C0ABDFF" w14:textId="77777777" w:rsidR="00130E8B" w:rsidRDefault="000405CC">
      <w:pPr>
        <w:pStyle w:val="TableParagraph"/>
        <w:jc w:val="center"/>
        <w:rPr>
          <w:rFonts w:ascii="Times New Roman" w:hAnsi="Times New Roman" w:cs="Times New Roman"/>
          <w:b/>
          <w:lang w:val="hu-HU"/>
        </w:rPr>
      </w:pPr>
      <w:r>
        <w:rPr>
          <w:rFonts w:ascii="Times New Roman" w:eastAsia="Times New Roman" w:hAnsi="Times New Roman" w:cs="Times New Roman"/>
          <w:b/>
          <w:bCs/>
          <w:lang w:val="hu-HU"/>
        </w:rPr>
        <w:t>CÍMKESZÖVEG ÉS BETEGTÁJÉKOZTATÓ</w:t>
      </w:r>
    </w:p>
    <w:p w14:paraId="4327E4EF" w14:textId="77777777" w:rsidR="00130E8B" w:rsidRDefault="000405CC">
      <w:pPr>
        <w:rPr>
          <w:rFonts w:ascii="Times New Roman" w:hAnsi="Times New Roman" w:cs="Times New Roman"/>
          <w:b/>
          <w:lang w:val="hu-HU"/>
        </w:rPr>
      </w:pPr>
      <w:r>
        <w:rPr>
          <w:rFonts w:ascii="Times New Roman" w:hAnsi="Times New Roman" w:cs="Times New Roman"/>
          <w:b/>
          <w:lang w:val="hu-HU"/>
        </w:rPr>
        <w:br w:type="page"/>
      </w:r>
    </w:p>
    <w:p w14:paraId="6C86840E" w14:textId="77777777" w:rsidR="00130E8B" w:rsidRDefault="00130E8B">
      <w:pPr>
        <w:spacing w:line="200" w:lineRule="exact"/>
        <w:rPr>
          <w:sz w:val="20"/>
          <w:szCs w:val="20"/>
          <w:lang w:val="hu-HU"/>
        </w:rPr>
      </w:pPr>
    </w:p>
    <w:p w14:paraId="7F85081D" w14:textId="77777777" w:rsidR="00130E8B" w:rsidRDefault="00130E8B">
      <w:pPr>
        <w:spacing w:line="200" w:lineRule="exact"/>
        <w:rPr>
          <w:sz w:val="20"/>
          <w:szCs w:val="20"/>
          <w:lang w:val="hu-HU"/>
        </w:rPr>
      </w:pPr>
    </w:p>
    <w:p w14:paraId="2D954AA1" w14:textId="77777777" w:rsidR="00130E8B" w:rsidRDefault="00130E8B">
      <w:pPr>
        <w:spacing w:line="200" w:lineRule="exact"/>
        <w:rPr>
          <w:sz w:val="20"/>
          <w:szCs w:val="20"/>
          <w:lang w:val="hu-HU"/>
        </w:rPr>
      </w:pPr>
    </w:p>
    <w:p w14:paraId="535CD356" w14:textId="77777777" w:rsidR="00130E8B" w:rsidRDefault="00130E8B">
      <w:pPr>
        <w:spacing w:line="200" w:lineRule="exact"/>
        <w:rPr>
          <w:sz w:val="20"/>
          <w:szCs w:val="20"/>
          <w:lang w:val="hu-HU"/>
        </w:rPr>
      </w:pPr>
    </w:p>
    <w:p w14:paraId="2B2463B5" w14:textId="77777777" w:rsidR="00130E8B" w:rsidRDefault="00130E8B">
      <w:pPr>
        <w:spacing w:line="200" w:lineRule="exact"/>
        <w:rPr>
          <w:sz w:val="20"/>
          <w:szCs w:val="20"/>
          <w:lang w:val="hu-HU"/>
        </w:rPr>
      </w:pPr>
    </w:p>
    <w:p w14:paraId="2E11EBF3" w14:textId="77777777" w:rsidR="00130E8B" w:rsidRDefault="00130E8B">
      <w:pPr>
        <w:spacing w:line="200" w:lineRule="exact"/>
        <w:rPr>
          <w:sz w:val="20"/>
          <w:szCs w:val="20"/>
          <w:lang w:val="hu-HU"/>
        </w:rPr>
      </w:pPr>
    </w:p>
    <w:p w14:paraId="009590EA" w14:textId="77777777" w:rsidR="00130E8B" w:rsidRDefault="00130E8B">
      <w:pPr>
        <w:spacing w:line="200" w:lineRule="exact"/>
        <w:rPr>
          <w:sz w:val="20"/>
          <w:szCs w:val="20"/>
          <w:lang w:val="hu-HU"/>
        </w:rPr>
      </w:pPr>
    </w:p>
    <w:p w14:paraId="04E50700" w14:textId="77777777" w:rsidR="00130E8B" w:rsidRDefault="00130E8B">
      <w:pPr>
        <w:spacing w:line="200" w:lineRule="exact"/>
        <w:rPr>
          <w:sz w:val="20"/>
          <w:szCs w:val="20"/>
          <w:lang w:val="hu-HU"/>
        </w:rPr>
      </w:pPr>
    </w:p>
    <w:p w14:paraId="614A41FF" w14:textId="77777777" w:rsidR="00130E8B" w:rsidRDefault="00130E8B">
      <w:pPr>
        <w:spacing w:line="200" w:lineRule="exact"/>
        <w:rPr>
          <w:sz w:val="20"/>
          <w:szCs w:val="20"/>
          <w:lang w:val="hu-HU"/>
        </w:rPr>
      </w:pPr>
    </w:p>
    <w:p w14:paraId="78D2C568" w14:textId="77777777" w:rsidR="00130E8B" w:rsidRDefault="00130E8B">
      <w:pPr>
        <w:spacing w:line="200" w:lineRule="exact"/>
        <w:rPr>
          <w:sz w:val="20"/>
          <w:szCs w:val="20"/>
          <w:lang w:val="hu-HU"/>
        </w:rPr>
      </w:pPr>
    </w:p>
    <w:p w14:paraId="48EC2BB4" w14:textId="77777777" w:rsidR="00130E8B" w:rsidRDefault="00130E8B">
      <w:pPr>
        <w:spacing w:line="200" w:lineRule="exact"/>
        <w:rPr>
          <w:sz w:val="20"/>
          <w:szCs w:val="20"/>
          <w:lang w:val="hu-HU"/>
        </w:rPr>
      </w:pPr>
    </w:p>
    <w:p w14:paraId="27557B39" w14:textId="77777777" w:rsidR="00130E8B" w:rsidRDefault="00130E8B">
      <w:pPr>
        <w:spacing w:line="200" w:lineRule="exact"/>
        <w:rPr>
          <w:sz w:val="20"/>
          <w:szCs w:val="20"/>
          <w:lang w:val="hu-HU"/>
        </w:rPr>
      </w:pPr>
    </w:p>
    <w:p w14:paraId="15650397" w14:textId="77777777" w:rsidR="00130E8B" w:rsidRDefault="00130E8B">
      <w:pPr>
        <w:spacing w:line="200" w:lineRule="exact"/>
        <w:rPr>
          <w:sz w:val="20"/>
          <w:szCs w:val="20"/>
          <w:lang w:val="hu-HU"/>
        </w:rPr>
      </w:pPr>
    </w:p>
    <w:p w14:paraId="5F476F13" w14:textId="77777777" w:rsidR="00130E8B" w:rsidRDefault="00130E8B">
      <w:pPr>
        <w:spacing w:line="200" w:lineRule="exact"/>
        <w:rPr>
          <w:sz w:val="20"/>
          <w:szCs w:val="20"/>
          <w:lang w:val="hu-HU"/>
        </w:rPr>
      </w:pPr>
    </w:p>
    <w:p w14:paraId="527D2715" w14:textId="77777777" w:rsidR="00130E8B" w:rsidRDefault="00130E8B">
      <w:pPr>
        <w:spacing w:line="200" w:lineRule="exact"/>
        <w:rPr>
          <w:sz w:val="20"/>
          <w:szCs w:val="20"/>
          <w:lang w:val="hu-HU"/>
        </w:rPr>
      </w:pPr>
    </w:p>
    <w:p w14:paraId="26514226" w14:textId="77777777" w:rsidR="00130E8B" w:rsidRDefault="00130E8B">
      <w:pPr>
        <w:spacing w:line="200" w:lineRule="exact"/>
        <w:rPr>
          <w:sz w:val="20"/>
          <w:szCs w:val="20"/>
          <w:lang w:val="hu-HU"/>
        </w:rPr>
      </w:pPr>
    </w:p>
    <w:p w14:paraId="16636667" w14:textId="77777777" w:rsidR="00130E8B" w:rsidRDefault="00130E8B">
      <w:pPr>
        <w:spacing w:line="200" w:lineRule="exact"/>
        <w:rPr>
          <w:sz w:val="20"/>
          <w:szCs w:val="20"/>
          <w:lang w:val="hu-HU"/>
        </w:rPr>
      </w:pPr>
    </w:p>
    <w:p w14:paraId="7E5C328A" w14:textId="77777777" w:rsidR="00130E8B" w:rsidRDefault="00130E8B">
      <w:pPr>
        <w:spacing w:line="200" w:lineRule="exact"/>
        <w:rPr>
          <w:sz w:val="20"/>
          <w:szCs w:val="20"/>
          <w:lang w:val="hu-HU"/>
        </w:rPr>
      </w:pPr>
    </w:p>
    <w:p w14:paraId="320BD005" w14:textId="77777777" w:rsidR="00130E8B" w:rsidRDefault="00130E8B">
      <w:pPr>
        <w:spacing w:line="200" w:lineRule="exact"/>
        <w:rPr>
          <w:sz w:val="20"/>
          <w:szCs w:val="20"/>
          <w:lang w:val="hu-HU"/>
        </w:rPr>
      </w:pPr>
    </w:p>
    <w:p w14:paraId="0A381B46" w14:textId="77777777" w:rsidR="00130E8B" w:rsidRDefault="00130E8B">
      <w:pPr>
        <w:spacing w:line="200" w:lineRule="exact"/>
        <w:rPr>
          <w:sz w:val="20"/>
          <w:szCs w:val="20"/>
          <w:lang w:val="hu-HU"/>
        </w:rPr>
      </w:pPr>
    </w:p>
    <w:p w14:paraId="257AFC89" w14:textId="77777777" w:rsidR="00130E8B" w:rsidRDefault="00130E8B">
      <w:pPr>
        <w:spacing w:line="200" w:lineRule="exact"/>
        <w:rPr>
          <w:sz w:val="20"/>
          <w:szCs w:val="20"/>
          <w:lang w:val="hu-HU"/>
        </w:rPr>
      </w:pPr>
    </w:p>
    <w:p w14:paraId="7A36DEC5" w14:textId="77777777" w:rsidR="00130E8B" w:rsidRDefault="00130E8B">
      <w:pPr>
        <w:spacing w:line="200" w:lineRule="exact"/>
        <w:rPr>
          <w:sz w:val="20"/>
          <w:szCs w:val="20"/>
          <w:lang w:val="hu-HU"/>
        </w:rPr>
      </w:pPr>
    </w:p>
    <w:p w14:paraId="260D24F4" w14:textId="77777777" w:rsidR="00130E8B" w:rsidRDefault="00130E8B">
      <w:pPr>
        <w:spacing w:line="200" w:lineRule="exact"/>
        <w:rPr>
          <w:sz w:val="20"/>
          <w:szCs w:val="20"/>
          <w:lang w:val="hu-HU"/>
        </w:rPr>
      </w:pPr>
    </w:p>
    <w:p w14:paraId="614F6201" w14:textId="77777777" w:rsidR="00130E8B" w:rsidRDefault="00130E8B">
      <w:pPr>
        <w:spacing w:line="200" w:lineRule="exact"/>
        <w:rPr>
          <w:sz w:val="20"/>
          <w:szCs w:val="20"/>
          <w:lang w:val="hu-HU"/>
        </w:rPr>
      </w:pPr>
    </w:p>
    <w:p w14:paraId="3D6FB780" w14:textId="77777777" w:rsidR="00130E8B" w:rsidRDefault="00130E8B">
      <w:pPr>
        <w:spacing w:line="200" w:lineRule="exact"/>
        <w:rPr>
          <w:sz w:val="20"/>
          <w:szCs w:val="20"/>
          <w:lang w:val="hu-HU"/>
        </w:rPr>
      </w:pPr>
    </w:p>
    <w:p w14:paraId="01DF7C00" w14:textId="77777777" w:rsidR="00130E8B" w:rsidRDefault="00130E8B">
      <w:pPr>
        <w:spacing w:line="200" w:lineRule="exact"/>
        <w:rPr>
          <w:sz w:val="20"/>
          <w:szCs w:val="20"/>
          <w:lang w:val="hu-HU"/>
        </w:rPr>
      </w:pPr>
    </w:p>
    <w:p w14:paraId="75A4BEF3" w14:textId="77777777" w:rsidR="00130E8B" w:rsidRDefault="00130E8B">
      <w:pPr>
        <w:spacing w:before="4" w:line="200" w:lineRule="exact"/>
        <w:rPr>
          <w:sz w:val="20"/>
          <w:szCs w:val="20"/>
          <w:lang w:val="hu-HU"/>
        </w:rPr>
      </w:pPr>
    </w:p>
    <w:p w14:paraId="4C3E5DE6" w14:textId="77777777" w:rsidR="00130E8B" w:rsidRDefault="000405CC">
      <w:pPr>
        <w:pStyle w:val="1"/>
        <w:numPr>
          <w:ilvl w:val="0"/>
          <w:numId w:val="34"/>
        </w:numPr>
        <w:jc w:val="center"/>
        <w:rPr>
          <w:lang w:val="hu-HU"/>
        </w:rPr>
      </w:pPr>
      <w:bookmarkStart w:id="46" w:name="A._LABELLING"/>
      <w:bookmarkEnd w:id="46"/>
      <w:r>
        <w:rPr>
          <w:rFonts w:cs="Arial"/>
          <w:noProof/>
          <w:lang w:val="hu-HU"/>
        </w:rPr>
        <w:t xml:space="preserve">CÍMKESZÖVEG </w:t>
      </w:r>
    </w:p>
    <w:p w14:paraId="0FA5276F" w14:textId="77777777" w:rsidR="00130E8B" w:rsidRDefault="000405CC">
      <w:pPr>
        <w:rPr>
          <w:lang w:val="hu-HU"/>
        </w:rPr>
      </w:pPr>
      <w:r>
        <w:rPr>
          <w:lang w:val="hu-HU"/>
        </w:rPr>
        <w:br w:type="page"/>
      </w:r>
    </w:p>
    <w:tbl>
      <w:tblPr>
        <w:tblStyle w:val="ac"/>
        <w:tblW w:w="9666" w:type="dxa"/>
        <w:tblLook w:val="04A0" w:firstRow="1" w:lastRow="0" w:firstColumn="1" w:lastColumn="0" w:noHBand="0" w:noVBand="1"/>
      </w:tblPr>
      <w:tblGrid>
        <w:gridCol w:w="9666"/>
      </w:tblGrid>
      <w:tr w:rsidR="00130E8B" w:rsidRPr="00BE4D18" w14:paraId="4C2FE05C" w14:textId="77777777">
        <w:trPr>
          <w:trHeight w:val="822"/>
        </w:trPr>
        <w:tc>
          <w:tcPr>
            <w:tcW w:w="9666" w:type="dxa"/>
            <w:vAlign w:val="center"/>
          </w:tcPr>
          <w:p w14:paraId="4DE68FDC" w14:textId="77777777" w:rsidR="00130E8B" w:rsidRDefault="000405CC">
            <w:pPr>
              <w:jc w:val="both"/>
              <w:rPr>
                <w:rFonts w:ascii="Times New Roman" w:eastAsia="Times New Roman" w:hAnsi="Times New Roman" w:cs="Times New Roman"/>
                <w:lang w:val="hu-HU"/>
              </w:rPr>
            </w:pPr>
            <w:r>
              <w:rPr>
                <w:rFonts w:ascii="Times New Roman" w:eastAsia="Times New Roman" w:hAnsi="Times New Roman" w:cs="Times New Roman"/>
                <w:b/>
                <w:bCs/>
                <w:spacing w:val="-1"/>
                <w:lang w:val="hu-HU"/>
              </w:rPr>
              <w:lastRenderedPageBreak/>
              <w:t>A KÜLSŐ CSOMAGOLÁSON FELTÜNTETENDŐ ADATOK</w:t>
            </w:r>
          </w:p>
          <w:p w14:paraId="2129D027" w14:textId="77777777" w:rsidR="00130E8B" w:rsidRDefault="00130E8B">
            <w:pPr>
              <w:spacing w:line="180" w:lineRule="exact"/>
              <w:jc w:val="both"/>
              <w:rPr>
                <w:lang w:val="hu-HU"/>
              </w:rPr>
            </w:pPr>
          </w:p>
          <w:p w14:paraId="5C232ADA" w14:textId="77777777" w:rsidR="00130E8B" w:rsidRDefault="00820E03">
            <w:pPr>
              <w:jc w:val="both"/>
              <w:rPr>
                <w:rFonts w:ascii="Times New Roman" w:eastAsia="Times New Roman" w:hAnsi="Times New Roman" w:cs="Times New Roman"/>
                <w:lang w:val="hu-HU"/>
              </w:rPr>
            </w:pPr>
            <w:r>
              <w:rPr>
                <w:rFonts w:ascii="Times New Roman" w:eastAsia="Times New Roman" w:hAnsi="Times New Roman" w:cs="Times New Roman"/>
                <w:b/>
                <w:bCs/>
                <w:spacing w:val="-1"/>
                <w:lang w:val="hu-HU"/>
              </w:rPr>
              <w:t xml:space="preserve">AZ </w:t>
            </w:r>
            <w:r w:rsidR="000405CC">
              <w:rPr>
                <w:rFonts w:ascii="Times New Roman" w:eastAsia="Times New Roman" w:hAnsi="Times New Roman" w:cs="Times New Roman"/>
                <w:b/>
                <w:bCs/>
                <w:spacing w:val="-1"/>
                <w:lang w:val="hu-HU"/>
              </w:rPr>
              <w:t>ELŐRETÖLTÖTT FECSKENDŐ KÜLSŐ DOBOZA</w:t>
            </w:r>
          </w:p>
        </w:tc>
      </w:tr>
    </w:tbl>
    <w:p w14:paraId="63BF0A3A" w14:textId="77777777" w:rsidR="00130E8B" w:rsidRDefault="00130E8B">
      <w:pPr>
        <w:spacing w:line="200" w:lineRule="exact"/>
        <w:rPr>
          <w:lang w:val="hu-HU"/>
        </w:rPr>
      </w:pPr>
    </w:p>
    <w:p w14:paraId="32F846FC" w14:textId="77777777" w:rsidR="00130E8B" w:rsidRDefault="00130E8B">
      <w:pPr>
        <w:spacing w:line="200" w:lineRule="exact"/>
        <w:rPr>
          <w:lang w:val="hu-HU"/>
        </w:rPr>
      </w:pPr>
    </w:p>
    <w:tbl>
      <w:tblPr>
        <w:tblStyle w:val="ac"/>
        <w:tblpPr w:leftFromText="142" w:rightFromText="142" w:vertAnchor="text" w:tblpY="55"/>
        <w:tblW w:w="9666" w:type="dxa"/>
        <w:tblLook w:val="04A0" w:firstRow="1" w:lastRow="0" w:firstColumn="1" w:lastColumn="0" w:noHBand="0" w:noVBand="1"/>
      </w:tblPr>
      <w:tblGrid>
        <w:gridCol w:w="9666"/>
      </w:tblGrid>
      <w:tr w:rsidR="00130E8B" w14:paraId="0A66C6C5" w14:textId="77777777">
        <w:trPr>
          <w:trHeight w:val="317"/>
        </w:trPr>
        <w:tc>
          <w:tcPr>
            <w:tcW w:w="9666" w:type="dxa"/>
            <w:vAlign w:val="center"/>
          </w:tcPr>
          <w:p w14:paraId="79C80B4F" w14:textId="77777777" w:rsidR="00130E8B" w:rsidRDefault="000405CC">
            <w:pPr>
              <w:numPr>
                <w:ilvl w:val="0"/>
                <w:numId w:val="6"/>
              </w:numPr>
              <w:tabs>
                <w:tab w:val="left" w:pos="672"/>
              </w:tabs>
              <w:ind w:left="550" w:hanging="550"/>
              <w:jc w:val="both"/>
              <w:rPr>
                <w:rFonts w:ascii="Times New Roman" w:eastAsia="Times New Roman" w:hAnsi="Times New Roman" w:cs="Times New Roman"/>
                <w:lang w:val="hu-HU"/>
              </w:rPr>
            </w:pPr>
            <w:r>
              <w:rPr>
                <w:rFonts w:ascii="Times New Roman" w:eastAsia="Times New Roman" w:hAnsi="Times New Roman" w:cs="Times New Roman"/>
                <w:b/>
                <w:bCs/>
                <w:spacing w:val="-1"/>
                <w:lang w:val="hu-HU"/>
              </w:rPr>
              <w:t>A GYÓGYSZER NEVE</w:t>
            </w:r>
          </w:p>
        </w:tc>
      </w:tr>
    </w:tbl>
    <w:p w14:paraId="23E42ACA" w14:textId="77777777" w:rsidR="00130E8B" w:rsidRDefault="00130E8B">
      <w:pPr>
        <w:spacing w:line="200" w:lineRule="exact"/>
        <w:rPr>
          <w:lang w:val="hu-HU"/>
        </w:rPr>
      </w:pPr>
    </w:p>
    <w:p w14:paraId="034A5C35" w14:textId="41D95F42" w:rsidR="00130E8B" w:rsidRDefault="000405CC">
      <w:pPr>
        <w:pStyle w:val="a3"/>
        <w:rPr>
          <w:lang w:val="hu-HU"/>
        </w:rPr>
      </w:pPr>
      <w:r>
        <w:rPr>
          <w:rFonts w:eastAsia="Times New Roman"/>
          <w:lang w:val="hu-HU"/>
        </w:rPr>
        <w:t>Yuflyma 40 mg</w:t>
      </w:r>
      <w:r w:rsidR="007814B0">
        <w:rPr>
          <w:rFonts w:eastAsia="Times New Roman"/>
          <w:lang w:val="hu-HU"/>
        </w:rPr>
        <w:t xml:space="preserve"> </w:t>
      </w:r>
      <w:r>
        <w:rPr>
          <w:rFonts w:eastAsia="Times New Roman"/>
          <w:lang w:val="hu-HU"/>
        </w:rPr>
        <w:t>oldatos injekció előretöltött fecskendőben</w:t>
      </w:r>
    </w:p>
    <w:p w14:paraId="56C0020B" w14:textId="77777777" w:rsidR="00130E8B" w:rsidRDefault="000405CC">
      <w:pPr>
        <w:pStyle w:val="a3"/>
        <w:rPr>
          <w:lang w:val="hu-HU"/>
        </w:rPr>
      </w:pPr>
      <w:r>
        <w:rPr>
          <w:rFonts w:eastAsia="Times New Roman"/>
          <w:lang w:val="hu-HU"/>
        </w:rPr>
        <w:t>adalimumab</w:t>
      </w:r>
    </w:p>
    <w:p w14:paraId="1F1B40F5" w14:textId="77777777" w:rsidR="00130E8B" w:rsidRDefault="00130E8B">
      <w:pPr>
        <w:pStyle w:val="a3"/>
        <w:rPr>
          <w:lang w:val="hu-HU"/>
        </w:rPr>
      </w:pPr>
    </w:p>
    <w:p w14:paraId="7397C321" w14:textId="77777777" w:rsidR="00130E8B" w:rsidRDefault="00130E8B">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14:paraId="62094C8D" w14:textId="77777777">
        <w:trPr>
          <w:trHeight w:val="317"/>
        </w:trPr>
        <w:tc>
          <w:tcPr>
            <w:tcW w:w="9666" w:type="dxa"/>
            <w:vAlign w:val="center"/>
          </w:tcPr>
          <w:p w14:paraId="2025B7CF" w14:textId="77777777" w:rsidR="00130E8B" w:rsidRDefault="000405CC">
            <w:pPr>
              <w:numPr>
                <w:ilvl w:val="0"/>
                <w:numId w:val="6"/>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HATÓANYAG MEGNEVEZÉSE</w:t>
            </w:r>
          </w:p>
        </w:tc>
      </w:tr>
    </w:tbl>
    <w:p w14:paraId="19CA9A96" w14:textId="77777777" w:rsidR="00130E8B" w:rsidRDefault="00130E8B">
      <w:pPr>
        <w:spacing w:before="13" w:line="280" w:lineRule="exact"/>
        <w:rPr>
          <w:lang w:val="hu-HU"/>
        </w:rPr>
      </w:pPr>
    </w:p>
    <w:p w14:paraId="0C992C69" w14:textId="11DD929E" w:rsidR="00130E8B" w:rsidRDefault="000405CC">
      <w:pPr>
        <w:pStyle w:val="a3"/>
        <w:rPr>
          <w:lang w:val="hu-HU"/>
        </w:rPr>
      </w:pPr>
      <w:r>
        <w:rPr>
          <w:rFonts w:eastAsia="Times New Roman"/>
          <w:lang w:val="hu-HU"/>
        </w:rPr>
        <w:t>40 mg adalimumab 0,</w:t>
      </w:r>
      <w:r w:rsidR="007814B0">
        <w:rPr>
          <w:rFonts w:eastAsia="Times New Roman"/>
          <w:lang w:val="hu-HU"/>
        </w:rPr>
        <w:t xml:space="preserve">4 </w:t>
      </w:r>
      <w:r>
        <w:rPr>
          <w:rFonts w:eastAsia="Times New Roman"/>
          <w:lang w:val="hu-HU"/>
        </w:rPr>
        <w:t>ml- es előretöltött fecskendőben</w:t>
      </w:r>
    </w:p>
    <w:p w14:paraId="6B49694C" w14:textId="77777777" w:rsidR="00130E8B" w:rsidRDefault="00130E8B">
      <w:pPr>
        <w:spacing w:line="280" w:lineRule="exact"/>
        <w:rPr>
          <w:lang w:val="hu-HU"/>
        </w:rPr>
      </w:pPr>
    </w:p>
    <w:p w14:paraId="7A596870" w14:textId="77777777" w:rsidR="00130E8B" w:rsidRDefault="00130E8B">
      <w:pPr>
        <w:spacing w:line="280" w:lineRule="exact"/>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rsidRPr="00F70E6D" w14:paraId="0C82B75E" w14:textId="77777777">
        <w:trPr>
          <w:trHeight w:val="317"/>
        </w:trPr>
        <w:tc>
          <w:tcPr>
            <w:tcW w:w="9666" w:type="dxa"/>
            <w:vAlign w:val="center"/>
          </w:tcPr>
          <w:p w14:paraId="53089D2D" w14:textId="77777777" w:rsidR="00130E8B" w:rsidRDefault="000405CC">
            <w:pPr>
              <w:numPr>
                <w:ilvl w:val="0"/>
                <w:numId w:val="6"/>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SEGÉDANYAGOK FELSOROLÁSA</w:t>
            </w:r>
          </w:p>
        </w:tc>
      </w:tr>
    </w:tbl>
    <w:p w14:paraId="0DC159D5" w14:textId="77777777" w:rsidR="00130E8B" w:rsidRDefault="00130E8B">
      <w:pPr>
        <w:pStyle w:val="a3"/>
        <w:rPr>
          <w:lang w:val="hu-HU"/>
        </w:rPr>
      </w:pPr>
    </w:p>
    <w:p w14:paraId="4DCD3C1C" w14:textId="03779019" w:rsidR="00130E8B" w:rsidRDefault="000405CC">
      <w:pPr>
        <w:pStyle w:val="a3"/>
        <w:tabs>
          <w:tab w:val="left" w:pos="1386"/>
        </w:tabs>
        <w:rPr>
          <w:lang w:val="hu-HU"/>
        </w:rPr>
      </w:pPr>
      <w:r>
        <w:rPr>
          <w:rFonts w:eastAsia="Times New Roman"/>
          <w:lang w:val="hu-HU"/>
        </w:rPr>
        <w:t>Segédanyagok : ecetsav, nátrium-acetát trihidrát, glicin , poliszorbát 80, injekcióhoz való víz.</w:t>
      </w:r>
      <w:r w:rsidR="0050426A">
        <w:rPr>
          <w:rFonts w:eastAsia="Times New Roman"/>
          <w:lang w:val="hu-HU"/>
        </w:rPr>
        <w:t xml:space="preserve"> </w:t>
      </w:r>
      <w:r w:rsidR="0050426A" w:rsidRPr="009C0F1B">
        <w:rPr>
          <w:highlight w:val="lightGray"/>
          <w:lang w:val="hu-HU"/>
        </w:rPr>
        <w:t>További információért olvassa el a betegtájékoztatót.</w:t>
      </w:r>
      <w:r>
        <w:rPr>
          <w:lang w:val="hu-HU"/>
        </w:rPr>
        <w:tab/>
      </w:r>
    </w:p>
    <w:p w14:paraId="5587CABF" w14:textId="77777777" w:rsidR="00130E8B" w:rsidRDefault="00130E8B">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14:paraId="42852795" w14:textId="77777777">
        <w:trPr>
          <w:trHeight w:val="317"/>
        </w:trPr>
        <w:tc>
          <w:tcPr>
            <w:tcW w:w="9666" w:type="dxa"/>
            <w:vAlign w:val="center"/>
          </w:tcPr>
          <w:p w14:paraId="5579F3A7" w14:textId="77777777" w:rsidR="00130E8B" w:rsidRDefault="000405CC">
            <w:pPr>
              <w:numPr>
                <w:ilvl w:val="0"/>
                <w:numId w:val="6"/>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GYÓGYSZERFORMA ÉS TARTALOM</w:t>
            </w:r>
          </w:p>
        </w:tc>
      </w:tr>
    </w:tbl>
    <w:p w14:paraId="094C57C6" w14:textId="77777777" w:rsidR="00130E8B" w:rsidRDefault="00130E8B">
      <w:pPr>
        <w:pStyle w:val="a3"/>
        <w:rPr>
          <w:lang w:val="hu-HU"/>
        </w:rPr>
      </w:pPr>
    </w:p>
    <w:p w14:paraId="50CFF5D6" w14:textId="77777777" w:rsidR="00130E8B" w:rsidRDefault="000405CC">
      <w:pPr>
        <w:pStyle w:val="a3"/>
        <w:rPr>
          <w:lang w:val="hu-HU"/>
        </w:rPr>
      </w:pPr>
      <w:r w:rsidRPr="000405CC">
        <w:rPr>
          <w:rFonts w:eastAsia="Times New Roman"/>
          <w:highlight w:val="lightGray"/>
          <w:lang w:val="hu-HU"/>
        </w:rPr>
        <w:t>Oldatos injekció</w:t>
      </w:r>
    </w:p>
    <w:p w14:paraId="5516E157" w14:textId="77777777" w:rsidR="00130E8B" w:rsidRDefault="000405CC">
      <w:pPr>
        <w:autoSpaceDE w:val="0"/>
        <w:autoSpaceDN w:val="0"/>
        <w:adjustRightInd w:val="0"/>
        <w:rPr>
          <w:rFonts w:ascii="Times New Roman" w:hAnsi="Times New Roman" w:cs="Times New Roman"/>
          <w:lang w:val="hu-HU"/>
        </w:rPr>
      </w:pPr>
      <w:r>
        <w:rPr>
          <w:rFonts w:ascii="Times New Roman" w:eastAsia="Times New Roman" w:hAnsi="Times New Roman" w:cs="Times New Roman"/>
          <w:lang w:val="hu-HU"/>
        </w:rPr>
        <w:t>1 előretöltött injekciós fecskendő</w:t>
      </w:r>
    </w:p>
    <w:p w14:paraId="69CFB533" w14:textId="77777777" w:rsidR="00130E8B" w:rsidRDefault="000405CC">
      <w:pPr>
        <w:autoSpaceDE w:val="0"/>
        <w:autoSpaceDN w:val="0"/>
        <w:adjustRightInd w:val="0"/>
        <w:rPr>
          <w:rFonts w:ascii="Times New Roman" w:hAnsi="Times New Roman" w:cs="Times New Roman"/>
          <w:lang w:val="hu-HU"/>
        </w:rPr>
      </w:pPr>
      <w:r>
        <w:rPr>
          <w:rFonts w:ascii="Times New Roman" w:eastAsia="Times New Roman" w:hAnsi="Times New Roman" w:cs="Times New Roman"/>
          <w:lang w:val="hu-HU"/>
        </w:rPr>
        <w:t>2 db alkoholos törlőkendő</w:t>
      </w:r>
    </w:p>
    <w:p w14:paraId="60674343" w14:textId="77777777" w:rsidR="00130E8B" w:rsidRDefault="00130E8B">
      <w:pPr>
        <w:autoSpaceDE w:val="0"/>
        <w:autoSpaceDN w:val="0"/>
        <w:adjustRightInd w:val="0"/>
        <w:rPr>
          <w:rFonts w:ascii="Times New Roman" w:hAnsi="Times New Roman" w:cs="Times New Roman"/>
          <w:lang w:val="hu-HU"/>
        </w:rPr>
      </w:pPr>
    </w:p>
    <w:p w14:paraId="748C4418" w14:textId="77777777" w:rsidR="00130E8B" w:rsidRPr="000405CC" w:rsidRDefault="000405CC">
      <w:pPr>
        <w:autoSpaceDE w:val="0"/>
        <w:autoSpaceDN w:val="0"/>
        <w:adjustRightInd w:val="0"/>
        <w:rPr>
          <w:rFonts w:ascii="Times New Roman" w:hAnsi="Times New Roman" w:cs="Times New Roman"/>
          <w:highlight w:val="lightGray"/>
          <w:lang w:val="hu-HU"/>
        </w:rPr>
      </w:pPr>
      <w:r w:rsidRPr="000405CC">
        <w:rPr>
          <w:rFonts w:ascii="Times New Roman" w:eastAsia="Times New Roman" w:hAnsi="Times New Roman" w:cs="Times New Roman"/>
          <w:highlight w:val="lightGray"/>
          <w:lang w:val="hu-HU"/>
        </w:rPr>
        <w:t>2 előretöltött injekciós fecskendő</w:t>
      </w:r>
    </w:p>
    <w:p w14:paraId="441D35FE" w14:textId="77777777" w:rsidR="00130E8B" w:rsidRPr="000405CC" w:rsidRDefault="000405CC">
      <w:pPr>
        <w:autoSpaceDE w:val="0"/>
        <w:autoSpaceDN w:val="0"/>
        <w:adjustRightInd w:val="0"/>
        <w:rPr>
          <w:rFonts w:ascii="Times New Roman" w:hAnsi="Times New Roman" w:cs="Times New Roman"/>
          <w:highlight w:val="lightGray"/>
          <w:lang w:val="hu-HU"/>
        </w:rPr>
      </w:pPr>
      <w:r w:rsidRPr="000405CC">
        <w:rPr>
          <w:rFonts w:ascii="Times New Roman" w:eastAsia="Times New Roman" w:hAnsi="Times New Roman" w:cs="Times New Roman"/>
          <w:highlight w:val="lightGray"/>
          <w:lang w:val="hu-HU"/>
        </w:rPr>
        <w:t>2 db alkoholos törlőkendő</w:t>
      </w:r>
    </w:p>
    <w:p w14:paraId="2FAD330E" w14:textId="77777777" w:rsidR="00130E8B" w:rsidRPr="000405CC" w:rsidRDefault="00130E8B">
      <w:pPr>
        <w:autoSpaceDE w:val="0"/>
        <w:autoSpaceDN w:val="0"/>
        <w:adjustRightInd w:val="0"/>
        <w:rPr>
          <w:rFonts w:ascii="Times New Roman" w:hAnsi="Times New Roman" w:cs="Times New Roman"/>
          <w:highlight w:val="lightGray"/>
          <w:lang w:val="hu-HU"/>
        </w:rPr>
      </w:pPr>
    </w:p>
    <w:p w14:paraId="228C7B80" w14:textId="77777777" w:rsidR="00130E8B" w:rsidRPr="000405CC" w:rsidRDefault="000405CC">
      <w:pPr>
        <w:autoSpaceDE w:val="0"/>
        <w:autoSpaceDN w:val="0"/>
        <w:adjustRightInd w:val="0"/>
        <w:rPr>
          <w:rFonts w:ascii="Times New Roman" w:hAnsi="Times New Roman" w:cs="Times New Roman"/>
          <w:highlight w:val="lightGray"/>
          <w:lang w:val="hu-HU"/>
        </w:rPr>
      </w:pPr>
      <w:r w:rsidRPr="000405CC">
        <w:rPr>
          <w:rFonts w:ascii="Times New Roman" w:eastAsia="Times New Roman" w:hAnsi="Times New Roman" w:cs="Times New Roman"/>
          <w:highlight w:val="lightGray"/>
          <w:lang w:val="hu-HU"/>
        </w:rPr>
        <w:t>4 előretöltött injekciós fecskendő</w:t>
      </w:r>
    </w:p>
    <w:p w14:paraId="026AA80F" w14:textId="77777777" w:rsidR="00130E8B" w:rsidRPr="000405CC" w:rsidRDefault="000405CC">
      <w:pPr>
        <w:autoSpaceDE w:val="0"/>
        <w:autoSpaceDN w:val="0"/>
        <w:adjustRightInd w:val="0"/>
        <w:rPr>
          <w:rFonts w:ascii="Times New Roman" w:hAnsi="Times New Roman" w:cs="Times New Roman"/>
          <w:highlight w:val="lightGray"/>
          <w:lang w:val="hu-HU"/>
        </w:rPr>
      </w:pPr>
      <w:r w:rsidRPr="000405CC">
        <w:rPr>
          <w:rFonts w:ascii="Times New Roman" w:eastAsia="Times New Roman" w:hAnsi="Times New Roman" w:cs="Times New Roman"/>
          <w:highlight w:val="lightGray"/>
          <w:lang w:val="hu-HU"/>
        </w:rPr>
        <w:t>4 db alkoholos törlőkendő</w:t>
      </w:r>
    </w:p>
    <w:p w14:paraId="50BDF0A9" w14:textId="77777777" w:rsidR="00130E8B" w:rsidRPr="000405CC" w:rsidRDefault="00130E8B">
      <w:pPr>
        <w:autoSpaceDE w:val="0"/>
        <w:autoSpaceDN w:val="0"/>
        <w:adjustRightInd w:val="0"/>
        <w:rPr>
          <w:rFonts w:ascii="Times New Roman" w:hAnsi="Times New Roman" w:cs="Times New Roman"/>
          <w:highlight w:val="lightGray"/>
          <w:lang w:val="hu-HU"/>
        </w:rPr>
      </w:pPr>
    </w:p>
    <w:p w14:paraId="21C6597E" w14:textId="77777777" w:rsidR="00130E8B" w:rsidRPr="000405CC" w:rsidRDefault="000405CC">
      <w:pPr>
        <w:autoSpaceDE w:val="0"/>
        <w:autoSpaceDN w:val="0"/>
        <w:adjustRightInd w:val="0"/>
        <w:rPr>
          <w:rFonts w:ascii="Times New Roman" w:hAnsi="Times New Roman" w:cs="Times New Roman"/>
          <w:highlight w:val="lightGray"/>
          <w:lang w:val="hu-HU"/>
        </w:rPr>
      </w:pPr>
      <w:r w:rsidRPr="000405CC">
        <w:rPr>
          <w:rFonts w:ascii="Times New Roman" w:eastAsia="Times New Roman" w:hAnsi="Times New Roman" w:cs="Times New Roman"/>
          <w:highlight w:val="lightGray"/>
          <w:lang w:val="hu-HU"/>
        </w:rPr>
        <w:t>6 előretöltött injekciós fecskendő</w:t>
      </w:r>
    </w:p>
    <w:p w14:paraId="5163F5F0" w14:textId="77777777" w:rsidR="00130E8B" w:rsidRPr="000405CC" w:rsidRDefault="000405CC">
      <w:pPr>
        <w:autoSpaceDE w:val="0"/>
        <w:autoSpaceDN w:val="0"/>
        <w:adjustRightInd w:val="0"/>
        <w:rPr>
          <w:rFonts w:ascii="Times New Roman" w:hAnsi="Times New Roman" w:cs="Times New Roman"/>
          <w:highlight w:val="lightGray"/>
          <w:lang w:val="hu-HU"/>
        </w:rPr>
      </w:pPr>
      <w:r w:rsidRPr="000405CC">
        <w:rPr>
          <w:rFonts w:ascii="Times New Roman" w:eastAsia="Times New Roman" w:hAnsi="Times New Roman" w:cs="Times New Roman"/>
          <w:highlight w:val="lightGray"/>
          <w:lang w:val="hu-HU"/>
        </w:rPr>
        <w:t>6 db alkoholos törlőkendő</w:t>
      </w:r>
    </w:p>
    <w:p w14:paraId="02DED6C0" w14:textId="77777777" w:rsidR="00130E8B" w:rsidRPr="000405CC" w:rsidRDefault="00130E8B">
      <w:pPr>
        <w:autoSpaceDE w:val="0"/>
        <w:autoSpaceDN w:val="0"/>
        <w:adjustRightInd w:val="0"/>
        <w:rPr>
          <w:rFonts w:ascii="Times New Roman" w:hAnsi="Times New Roman" w:cs="Times New Roman"/>
          <w:highlight w:val="lightGray"/>
          <w:lang w:val="hu-HU"/>
        </w:rPr>
      </w:pPr>
    </w:p>
    <w:p w14:paraId="39E14011" w14:textId="2950A2F1" w:rsidR="00130E8B" w:rsidRPr="000405CC" w:rsidRDefault="000405CC">
      <w:pPr>
        <w:autoSpaceDE w:val="0"/>
        <w:autoSpaceDN w:val="0"/>
        <w:adjustRightInd w:val="0"/>
        <w:rPr>
          <w:rFonts w:ascii="Times New Roman" w:hAnsi="Times New Roman" w:cs="Times New Roman"/>
          <w:highlight w:val="lightGray"/>
          <w:lang w:val="hu-HU"/>
        </w:rPr>
      </w:pPr>
      <w:r w:rsidRPr="000405CC">
        <w:rPr>
          <w:rFonts w:ascii="Times New Roman" w:eastAsia="Times New Roman" w:hAnsi="Times New Roman" w:cs="Times New Roman"/>
          <w:highlight w:val="lightGray"/>
          <w:lang w:val="hu-HU"/>
        </w:rPr>
        <w:t>1</w:t>
      </w:r>
      <w:r w:rsidR="007814B0">
        <w:rPr>
          <w:rFonts w:ascii="Times New Roman" w:eastAsia="Times New Roman" w:hAnsi="Times New Roman" w:cs="Times New Roman"/>
          <w:highlight w:val="lightGray"/>
          <w:lang w:val="hu-HU"/>
        </w:rPr>
        <w:t xml:space="preserve"> </w:t>
      </w:r>
      <w:r w:rsidRPr="000405CC">
        <w:rPr>
          <w:rFonts w:ascii="Times New Roman" w:eastAsia="Times New Roman" w:hAnsi="Times New Roman" w:cs="Times New Roman"/>
          <w:highlight w:val="lightGray"/>
          <w:lang w:val="hu-HU"/>
        </w:rPr>
        <w:t>előretöltött fecskendő tűvédővel</w:t>
      </w:r>
    </w:p>
    <w:p w14:paraId="1163AE7D" w14:textId="77777777" w:rsidR="00130E8B" w:rsidRPr="000405CC" w:rsidRDefault="000405CC">
      <w:pPr>
        <w:autoSpaceDE w:val="0"/>
        <w:autoSpaceDN w:val="0"/>
        <w:adjustRightInd w:val="0"/>
        <w:rPr>
          <w:rFonts w:ascii="Times New Roman" w:hAnsi="Times New Roman" w:cs="Times New Roman"/>
          <w:highlight w:val="lightGray"/>
          <w:lang w:val="hu-HU"/>
        </w:rPr>
      </w:pPr>
      <w:r w:rsidRPr="000405CC">
        <w:rPr>
          <w:rFonts w:ascii="Times New Roman" w:eastAsia="Times New Roman" w:hAnsi="Times New Roman" w:cs="Times New Roman"/>
          <w:highlight w:val="lightGray"/>
          <w:lang w:val="hu-HU"/>
        </w:rPr>
        <w:t>2 db alkoholos törlőkendő</w:t>
      </w:r>
    </w:p>
    <w:p w14:paraId="3829A184" w14:textId="77777777" w:rsidR="00130E8B" w:rsidRPr="000405CC" w:rsidRDefault="00130E8B">
      <w:pPr>
        <w:autoSpaceDE w:val="0"/>
        <w:autoSpaceDN w:val="0"/>
        <w:adjustRightInd w:val="0"/>
        <w:rPr>
          <w:rFonts w:ascii="Times New Roman" w:hAnsi="Times New Roman" w:cs="Times New Roman"/>
          <w:highlight w:val="lightGray"/>
          <w:lang w:val="hu-HU"/>
        </w:rPr>
      </w:pPr>
    </w:p>
    <w:p w14:paraId="30260FF5" w14:textId="5FE45551" w:rsidR="00130E8B" w:rsidRPr="000405CC" w:rsidRDefault="000405CC">
      <w:pPr>
        <w:autoSpaceDE w:val="0"/>
        <w:autoSpaceDN w:val="0"/>
        <w:adjustRightInd w:val="0"/>
        <w:rPr>
          <w:rFonts w:ascii="Times New Roman" w:hAnsi="Times New Roman" w:cs="Times New Roman"/>
          <w:highlight w:val="lightGray"/>
          <w:lang w:val="hu-HU"/>
        </w:rPr>
      </w:pPr>
      <w:r w:rsidRPr="000405CC">
        <w:rPr>
          <w:rFonts w:ascii="Times New Roman" w:eastAsia="Times New Roman" w:hAnsi="Times New Roman" w:cs="Times New Roman"/>
          <w:highlight w:val="lightGray"/>
          <w:lang w:val="hu-HU"/>
        </w:rPr>
        <w:t>2</w:t>
      </w:r>
      <w:r w:rsidR="007814B0">
        <w:rPr>
          <w:rFonts w:ascii="Times New Roman" w:eastAsia="Times New Roman" w:hAnsi="Times New Roman" w:cs="Times New Roman"/>
          <w:highlight w:val="lightGray"/>
          <w:lang w:val="hu-HU"/>
        </w:rPr>
        <w:t xml:space="preserve"> </w:t>
      </w:r>
      <w:r w:rsidRPr="000405CC">
        <w:rPr>
          <w:rFonts w:ascii="Times New Roman" w:eastAsia="Times New Roman" w:hAnsi="Times New Roman" w:cs="Times New Roman"/>
          <w:highlight w:val="lightGray"/>
          <w:lang w:val="hu-HU"/>
        </w:rPr>
        <w:t>előretöltött fecskendő tűvédővel</w:t>
      </w:r>
    </w:p>
    <w:p w14:paraId="3F3EFD06" w14:textId="77777777" w:rsidR="00130E8B" w:rsidRPr="000405CC" w:rsidRDefault="000405CC">
      <w:pPr>
        <w:autoSpaceDE w:val="0"/>
        <w:autoSpaceDN w:val="0"/>
        <w:adjustRightInd w:val="0"/>
        <w:rPr>
          <w:rFonts w:ascii="Times New Roman" w:hAnsi="Times New Roman" w:cs="Times New Roman"/>
          <w:highlight w:val="lightGray"/>
          <w:lang w:val="hu-HU"/>
        </w:rPr>
      </w:pPr>
      <w:r w:rsidRPr="000405CC">
        <w:rPr>
          <w:rFonts w:ascii="Times New Roman" w:eastAsia="Times New Roman" w:hAnsi="Times New Roman" w:cs="Times New Roman"/>
          <w:highlight w:val="lightGray"/>
          <w:lang w:val="hu-HU"/>
        </w:rPr>
        <w:t>2 db alkoholos törlőkendő</w:t>
      </w:r>
    </w:p>
    <w:p w14:paraId="6E7DB2E8" w14:textId="77777777" w:rsidR="00130E8B" w:rsidRPr="000405CC" w:rsidRDefault="00130E8B">
      <w:pPr>
        <w:autoSpaceDE w:val="0"/>
        <w:autoSpaceDN w:val="0"/>
        <w:adjustRightInd w:val="0"/>
        <w:rPr>
          <w:rFonts w:ascii="Times New Roman" w:hAnsi="Times New Roman" w:cs="Times New Roman"/>
          <w:highlight w:val="lightGray"/>
          <w:lang w:val="hu-HU"/>
        </w:rPr>
      </w:pPr>
    </w:p>
    <w:p w14:paraId="6745656A" w14:textId="0ACF00B1" w:rsidR="00130E8B" w:rsidRPr="000405CC" w:rsidRDefault="000405CC">
      <w:pPr>
        <w:autoSpaceDE w:val="0"/>
        <w:autoSpaceDN w:val="0"/>
        <w:adjustRightInd w:val="0"/>
        <w:rPr>
          <w:rFonts w:ascii="Times New Roman" w:hAnsi="Times New Roman" w:cs="Times New Roman"/>
          <w:highlight w:val="lightGray"/>
          <w:lang w:val="hu-HU"/>
        </w:rPr>
      </w:pPr>
      <w:r w:rsidRPr="000405CC">
        <w:rPr>
          <w:rFonts w:ascii="Times New Roman" w:eastAsia="Times New Roman" w:hAnsi="Times New Roman" w:cs="Times New Roman"/>
          <w:highlight w:val="lightGray"/>
          <w:lang w:val="hu-HU"/>
        </w:rPr>
        <w:t>4</w:t>
      </w:r>
      <w:r w:rsidR="007814B0">
        <w:rPr>
          <w:rFonts w:ascii="Times New Roman" w:eastAsia="Times New Roman" w:hAnsi="Times New Roman" w:cs="Times New Roman"/>
          <w:highlight w:val="lightGray"/>
          <w:lang w:val="hu-HU"/>
        </w:rPr>
        <w:t xml:space="preserve"> </w:t>
      </w:r>
      <w:r w:rsidRPr="000405CC">
        <w:rPr>
          <w:rFonts w:ascii="Times New Roman" w:eastAsia="Times New Roman" w:hAnsi="Times New Roman" w:cs="Times New Roman"/>
          <w:highlight w:val="lightGray"/>
          <w:lang w:val="hu-HU"/>
        </w:rPr>
        <w:t>előretöltött fecskendő tűvédővel</w:t>
      </w:r>
    </w:p>
    <w:p w14:paraId="6C508C84" w14:textId="77777777" w:rsidR="00130E8B" w:rsidRPr="000405CC" w:rsidRDefault="000405CC">
      <w:pPr>
        <w:autoSpaceDE w:val="0"/>
        <w:autoSpaceDN w:val="0"/>
        <w:adjustRightInd w:val="0"/>
        <w:rPr>
          <w:rFonts w:ascii="Times New Roman" w:hAnsi="Times New Roman" w:cs="Times New Roman"/>
          <w:highlight w:val="lightGray"/>
          <w:lang w:val="hu-HU"/>
        </w:rPr>
      </w:pPr>
      <w:r w:rsidRPr="000405CC">
        <w:rPr>
          <w:rFonts w:ascii="Times New Roman" w:eastAsia="Times New Roman" w:hAnsi="Times New Roman" w:cs="Times New Roman"/>
          <w:highlight w:val="lightGray"/>
          <w:lang w:val="hu-HU"/>
        </w:rPr>
        <w:t>4 db alkoholos törlőkendő</w:t>
      </w:r>
    </w:p>
    <w:p w14:paraId="692B8B34" w14:textId="77777777" w:rsidR="00130E8B" w:rsidRPr="000405CC" w:rsidRDefault="00130E8B">
      <w:pPr>
        <w:autoSpaceDE w:val="0"/>
        <w:autoSpaceDN w:val="0"/>
        <w:adjustRightInd w:val="0"/>
        <w:rPr>
          <w:rFonts w:ascii="Times New Roman" w:hAnsi="Times New Roman" w:cs="Times New Roman"/>
          <w:highlight w:val="lightGray"/>
          <w:lang w:val="hu-HU"/>
        </w:rPr>
      </w:pPr>
    </w:p>
    <w:p w14:paraId="46882F6B" w14:textId="07BC4309" w:rsidR="00130E8B" w:rsidRPr="000405CC" w:rsidRDefault="000405CC">
      <w:pPr>
        <w:spacing w:line="200" w:lineRule="exact"/>
        <w:rPr>
          <w:rFonts w:ascii="Times New Roman" w:hAnsi="Times New Roman" w:cs="Times New Roman"/>
          <w:highlight w:val="lightGray"/>
          <w:lang w:val="hu-HU"/>
        </w:rPr>
      </w:pPr>
      <w:r w:rsidRPr="000405CC">
        <w:rPr>
          <w:rFonts w:ascii="Times New Roman" w:eastAsia="Times New Roman" w:hAnsi="Times New Roman" w:cs="Times New Roman"/>
          <w:highlight w:val="lightGray"/>
          <w:lang w:val="hu-HU"/>
        </w:rPr>
        <w:t>6</w:t>
      </w:r>
      <w:r w:rsidR="007814B0">
        <w:rPr>
          <w:rFonts w:ascii="Times New Roman" w:eastAsia="Times New Roman" w:hAnsi="Times New Roman" w:cs="Times New Roman"/>
          <w:highlight w:val="lightGray"/>
          <w:lang w:val="hu-HU"/>
        </w:rPr>
        <w:t xml:space="preserve"> </w:t>
      </w:r>
      <w:r w:rsidRPr="000405CC">
        <w:rPr>
          <w:rFonts w:ascii="Times New Roman" w:eastAsia="Times New Roman" w:hAnsi="Times New Roman" w:cs="Times New Roman"/>
          <w:highlight w:val="lightGray"/>
          <w:lang w:val="hu-HU"/>
        </w:rPr>
        <w:t>előretöltött fecskendő tűvédővel</w:t>
      </w:r>
    </w:p>
    <w:p w14:paraId="718FFA6E" w14:textId="77777777" w:rsidR="00130E8B" w:rsidRDefault="000405CC">
      <w:pPr>
        <w:spacing w:line="200" w:lineRule="exact"/>
        <w:rPr>
          <w:rFonts w:ascii="Times New Roman" w:hAnsi="Times New Roman" w:cs="Times New Roman"/>
          <w:lang w:val="hu-HU"/>
        </w:rPr>
      </w:pPr>
      <w:r w:rsidRPr="000405CC">
        <w:rPr>
          <w:rFonts w:ascii="Times New Roman" w:eastAsia="Times New Roman" w:hAnsi="Times New Roman" w:cs="Times New Roman"/>
          <w:highlight w:val="lightGray"/>
          <w:lang w:val="hu-HU"/>
        </w:rPr>
        <w:t>6 db alkoholos törlőkendő</w:t>
      </w:r>
    </w:p>
    <w:p w14:paraId="3B8730A4" w14:textId="77777777" w:rsidR="00130E8B" w:rsidRDefault="00130E8B">
      <w:pPr>
        <w:spacing w:line="200" w:lineRule="exact"/>
        <w:rPr>
          <w:lang w:val="hu-HU"/>
        </w:rPr>
      </w:pPr>
    </w:p>
    <w:p w14:paraId="4C61E5F5" w14:textId="77777777" w:rsidR="00130E8B" w:rsidRDefault="00130E8B">
      <w:pPr>
        <w:spacing w:line="200" w:lineRule="exact"/>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rsidRPr="00BE4D18" w14:paraId="74538C6B" w14:textId="77777777">
        <w:trPr>
          <w:trHeight w:val="317"/>
        </w:trPr>
        <w:tc>
          <w:tcPr>
            <w:tcW w:w="9666" w:type="dxa"/>
            <w:vAlign w:val="center"/>
          </w:tcPr>
          <w:p w14:paraId="62BFD4CC" w14:textId="4F4D6D26" w:rsidR="00130E8B" w:rsidRDefault="000405CC">
            <w:pPr>
              <w:numPr>
                <w:ilvl w:val="0"/>
                <w:numId w:val="6"/>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AZ ALKALMAZÁSSAL KAPCSOLATOS TUDNIVALÓK ÉS AZ ALKALMAZÁS MÓDJA</w:t>
            </w:r>
          </w:p>
        </w:tc>
      </w:tr>
    </w:tbl>
    <w:p w14:paraId="443EDDCE" w14:textId="77777777" w:rsidR="00130E8B" w:rsidRDefault="00130E8B">
      <w:pPr>
        <w:spacing w:line="200" w:lineRule="exact"/>
        <w:rPr>
          <w:lang w:val="hu-HU"/>
        </w:rPr>
      </w:pPr>
    </w:p>
    <w:p w14:paraId="3AD00845" w14:textId="77777777" w:rsidR="00130E8B" w:rsidRDefault="000405CC">
      <w:pPr>
        <w:pStyle w:val="a3"/>
        <w:rPr>
          <w:lang w:val="hu-HU"/>
        </w:rPr>
      </w:pPr>
      <w:r>
        <w:rPr>
          <w:rFonts w:eastAsia="Times New Roman"/>
          <w:lang w:val="hu-HU"/>
        </w:rPr>
        <w:t>Subcutan alkalmazás</w:t>
      </w:r>
    </w:p>
    <w:p w14:paraId="59DA1023" w14:textId="77777777" w:rsidR="00130E8B" w:rsidRDefault="00130E8B">
      <w:pPr>
        <w:pStyle w:val="a3"/>
        <w:rPr>
          <w:lang w:val="hu-HU"/>
        </w:rPr>
      </w:pPr>
    </w:p>
    <w:p w14:paraId="1DA9FD16" w14:textId="77777777" w:rsidR="00130E8B" w:rsidRDefault="000405CC">
      <w:pPr>
        <w:pStyle w:val="a3"/>
        <w:rPr>
          <w:lang w:val="hu-HU"/>
        </w:rPr>
      </w:pPr>
      <w:r>
        <w:rPr>
          <w:rFonts w:eastAsia="Times New Roman"/>
          <w:lang w:val="hu-HU"/>
        </w:rPr>
        <w:t>Használat előtt olvassa el a mellékelt betegtájékoztatót!</w:t>
      </w:r>
    </w:p>
    <w:p w14:paraId="1D5EFDD3" w14:textId="77777777" w:rsidR="00130E8B" w:rsidRDefault="00130E8B">
      <w:pPr>
        <w:pStyle w:val="a3"/>
        <w:rPr>
          <w:lang w:val="hu-HU"/>
        </w:rPr>
      </w:pPr>
    </w:p>
    <w:p w14:paraId="603C5068" w14:textId="77777777" w:rsidR="00130E8B" w:rsidRDefault="000405CC">
      <w:pPr>
        <w:pStyle w:val="a3"/>
        <w:rPr>
          <w:lang w:val="hu-HU"/>
        </w:rPr>
      </w:pPr>
      <w:r>
        <w:rPr>
          <w:rFonts w:eastAsia="Times New Roman"/>
          <w:lang w:val="hu-HU"/>
        </w:rPr>
        <w:t>Kizárólag egyszeri felhasználásra.</w:t>
      </w:r>
    </w:p>
    <w:p w14:paraId="04E58DEF" w14:textId="77777777" w:rsidR="00130E8B" w:rsidRDefault="00130E8B">
      <w:pPr>
        <w:pStyle w:val="a3"/>
        <w:rPr>
          <w:lang w:val="hu-HU"/>
        </w:rPr>
      </w:pPr>
    </w:p>
    <w:p w14:paraId="7582CFBB" w14:textId="77777777" w:rsidR="00130E8B" w:rsidRDefault="00130E8B">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rsidRPr="00BE4D18" w14:paraId="5459C86F" w14:textId="77777777">
        <w:trPr>
          <w:trHeight w:val="317"/>
        </w:trPr>
        <w:tc>
          <w:tcPr>
            <w:tcW w:w="9666" w:type="dxa"/>
            <w:vAlign w:val="center"/>
          </w:tcPr>
          <w:p w14:paraId="366824D5" w14:textId="77777777" w:rsidR="00130E8B" w:rsidRDefault="000405CC">
            <w:pPr>
              <w:numPr>
                <w:ilvl w:val="0"/>
                <w:numId w:val="6"/>
              </w:numPr>
              <w:tabs>
                <w:tab w:val="left" w:pos="672"/>
              </w:tabs>
              <w:ind w:left="550" w:hanging="550"/>
              <w:jc w:val="both"/>
              <w:rPr>
                <w:rFonts w:ascii="Times New Roman" w:eastAsia="Times New Roman" w:hAnsi="Times New Roman"/>
                <w:lang w:val="hu-HU"/>
              </w:rPr>
            </w:pPr>
            <w:r>
              <w:rPr>
                <w:rFonts w:ascii="Times New Roman" w:eastAsia="Times New Roman" w:hAnsi="Times New Roman" w:cs="Times New Roman"/>
                <w:b/>
                <w:bCs/>
                <w:spacing w:val="-1"/>
                <w:lang w:val="hu-HU"/>
              </w:rPr>
              <w:t>KÜLÖN FIGYELMEZTETÉS, MELY SZERINT A GYÓGYSZERT GYERMEKEKTŐL ELZÁRVA KELL TARTANI</w:t>
            </w:r>
          </w:p>
        </w:tc>
      </w:tr>
    </w:tbl>
    <w:p w14:paraId="136B27FD" w14:textId="77777777" w:rsidR="00130E8B" w:rsidRDefault="00130E8B">
      <w:pPr>
        <w:spacing w:before="1" w:line="200" w:lineRule="exact"/>
        <w:rPr>
          <w:lang w:val="hu-HU"/>
        </w:rPr>
      </w:pPr>
    </w:p>
    <w:p w14:paraId="10E9CA56" w14:textId="1CDFC88E" w:rsidR="00130E8B" w:rsidRDefault="000405CC">
      <w:pPr>
        <w:pStyle w:val="a3"/>
        <w:rPr>
          <w:lang w:val="hu-HU"/>
        </w:rPr>
      </w:pPr>
      <w:r>
        <w:rPr>
          <w:rFonts w:eastAsia="Times New Roman"/>
          <w:lang w:val="hu-HU"/>
        </w:rPr>
        <w:t>A gyógyszer gyermekektől elzárva tartandó</w:t>
      </w:r>
      <w:r w:rsidR="007814B0">
        <w:rPr>
          <w:rFonts w:eastAsia="Times New Roman"/>
          <w:lang w:val="hu-HU"/>
        </w:rPr>
        <w:t>.</w:t>
      </w:r>
    </w:p>
    <w:p w14:paraId="74040C45" w14:textId="77777777" w:rsidR="00130E8B" w:rsidRDefault="00130E8B">
      <w:pPr>
        <w:pStyle w:val="a3"/>
        <w:rPr>
          <w:lang w:val="hu-HU"/>
        </w:rPr>
      </w:pPr>
    </w:p>
    <w:p w14:paraId="5A57BAC3" w14:textId="77777777" w:rsidR="00130E8B" w:rsidRDefault="00130E8B">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rsidRPr="00BE4D18" w14:paraId="31097BFD" w14:textId="77777777">
        <w:trPr>
          <w:trHeight w:val="317"/>
        </w:trPr>
        <w:tc>
          <w:tcPr>
            <w:tcW w:w="9666" w:type="dxa"/>
            <w:vAlign w:val="center"/>
          </w:tcPr>
          <w:p w14:paraId="72A4A2E1" w14:textId="77777777" w:rsidR="00130E8B" w:rsidRDefault="000405CC">
            <w:pPr>
              <w:numPr>
                <w:ilvl w:val="0"/>
                <w:numId w:val="6"/>
              </w:numPr>
              <w:tabs>
                <w:tab w:val="left" w:pos="672"/>
              </w:tabs>
              <w:ind w:left="550" w:hanging="550"/>
              <w:jc w:val="both"/>
              <w:rPr>
                <w:rFonts w:ascii="Times New Roman" w:eastAsia="Times New Roman" w:hAnsi="Times New Roman"/>
                <w:lang w:val="hu-HU"/>
              </w:rPr>
            </w:pPr>
            <w:r>
              <w:rPr>
                <w:rFonts w:ascii="Times New Roman" w:eastAsia="Times New Roman" w:hAnsi="Times New Roman" w:cs="Times New Roman"/>
                <w:b/>
                <w:bCs/>
                <w:spacing w:val="-1"/>
                <w:lang w:val="hu-HU"/>
              </w:rPr>
              <w:t>TOVÁBBI FIGYELMEZTETÉS(EK), AMENNYIBEN SZÜKSÉGES</w:t>
            </w:r>
          </w:p>
        </w:tc>
      </w:tr>
    </w:tbl>
    <w:p w14:paraId="53E66244" w14:textId="77777777" w:rsidR="00130E8B" w:rsidRDefault="00130E8B">
      <w:pPr>
        <w:rPr>
          <w:lang w:val="hu-HU"/>
        </w:rPr>
      </w:pPr>
    </w:p>
    <w:p w14:paraId="48549DE0" w14:textId="77777777" w:rsidR="00130E8B" w:rsidRDefault="00130E8B">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14:paraId="41FE8CBE" w14:textId="77777777">
        <w:trPr>
          <w:trHeight w:val="317"/>
        </w:trPr>
        <w:tc>
          <w:tcPr>
            <w:tcW w:w="9666" w:type="dxa"/>
            <w:vAlign w:val="center"/>
          </w:tcPr>
          <w:p w14:paraId="713965AD" w14:textId="77777777" w:rsidR="00130E8B" w:rsidRDefault="000405CC">
            <w:pPr>
              <w:numPr>
                <w:ilvl w:val="0"/>
                <w:numId w:val="6"/>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LEJÁRATI IDŐ</w:t>
            </w:r>
          </w:p>
        </w:tc>
      </w:tr>
    </w:tbl>
    <w:p w14:paraId="5D6A2844" w14:textId="77777777" w:rsidR="00130E8B" w:rsidRDefault="00130E8B">
      <w:pPr>
        <w:rPr>
          <w:lang w:val="hu-HU"/>
        </w:rPr>
      </w:pPr>
    </w:p>
    <w:p w14:paraId="4C97B156" w14:textId="77777777" w:rsidR="00130E8B" w:rsidRDefault="000405CC">
      <w:pPr>
        <w:pStyle w:val="a3"/>
        <w:rPr>
          <w:lang w:val="hu-HU"/>
        </w:rPr>
      </w:pPr>
      <w:r>
        <w:rPr>
          <w:rFonts w:eastAsia="Times New Roman"/>
          <w:lang w:val="hu-HU"/>
        </w:rPr>
        <w:t>EXP</w:t>
      </w:r>
    </w:p>
    <w:p w14:paraId="727B1B03" w14:textId="77777777" w:rsidR="00130E8B" w:rsidRDefault="00130E8B">
      <w:pPr>
        <w:rPr>
          <w:lang w:val="hu-HU"/>
        </w:rPr>
      </w:pPr>
    </w:p>
    <w:p w14:paraId="77C83C12" w14:textId="77777777" w:rsidR="00130E8B" w:rsidRDefault="00130E8B">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rsidRPr="00BE4D18" w14:paraId="6722A3E9" w14:textId="77777777">
        <w:trPr>
          <w:trHeight w:val="317"/>
        </w:trPr>
        <w:tc>
          <w:tcPr>
            <w:tcW w:w="9666" w:type="dxa"/>
            <w:vAlign w:val="center"/>
          </w:tcPr>
          <w:p w14:paraId="57B573A7" w14:textId="77777777" w:rsidR="00130E8B" w:rsidRDefault="000405CC">
            <w:pPr>
              <w:numPr>
                <w:ilvl w:val="0"/>
                <w:numId w:val="6"/>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KÜLÖNLEGES TÁROLÁSI ELŐÍRÁSOK</w:t>
            </w:r>
          </w:p>
        </w:tc>
      </w:tr>
    </w:tbl>
    <w:p w14:paraId="36F6FE1B" w14:textId="77777777" w:rsidR="00130E8B" w:rsidRDefault="00130E8B">
      <w:pPr>
        <w:rPr>
          <w:lang w:val="hu-HU"/>
        </w:rPr>
      </w:pPr>
    </w:p>
    <w:p w14:paraId="3C7F3131" w14:textId="501DAF46" w:rsidR="00130E8B" w:rsidRDefault="000405CC">
      <w:pPr>
        <w:pStyle w:val="a3"/>
        <w:rPr>
          <w:lang w:val="hu-HU"/>
        </w:rPr>
      </w:pPr>
      <w:r>
        <w:rPr>
          <w:rFonts w:eastAsia="Times New Roman"/>
          <w:lang w:val="hu-HU"/>
        </w:rPr>
        <w:t>Hűtőszekrényben tárolandó. Nem fagyasztható</w:t>
      </w:r>
      <w:r w:rsidR="007814B0">
        <w:rPr>
          <w:rFonts w:eastAsia="Times New Roman"/>
          <w:lang w:val="hu-HU"/>
        </w:rPr>
        <w:t>.</w:t>
      </w:r>
    </w:p>
    <w:p w14:paraId="768F0767" w14:textId="77777777" w:rsidR="00130E8B" w:rsidRDefault="000405CC">
      <w:pPr>
        <w:pStyle w:val="a3"/>
        <w:rPr>
          <w:lang w:val="hu-HU"/>
        </w:rPr>
      </w:pPr>
      <w:r>
        <w:rPr>
          <w:rFonts w:eastAsia="Times New Roman"/>
          <w:lang w:val="hu-HU"/>
        </w:rPr>
        <w:t>A fénytől való védelem érdekében az előretöltött injekciós fecskendő az eredeti dobozban tárolandó.</w:t>
      </w:r>
    </w:p>
    <w:p w14:paraId="681BFC1E" w14:textId="77777777" w:rsidR="00130E8B" w:rsidRDefault="000405CC">
      <w:pPr>
        <w:pStyle w:val="a3"/>
        <w:rPr>
          <w:lang w:val="hu-HU"/>
        </w:rPr>
      </w:pPr>
      <w:r w:rsidRPr="000405CC">
        <w:rPr>
          <w:rFonts w:eastAsia="Times New Roman"/>
          <w:highlight w:val="lightGray"/>
          <w:lang w:val="hu-HU"/>
        </w:rPr>
        <w:t>A fénytől való védelem érdekében azelőretöltött injekciós fecskendők az eredeti dobozban tárolandók.</w:t>
      </w:r>
    </w:p>
    <w:p w14:paraId="14A3F4ED" w14:textId="77777777" w:rsidR="00130E8B" w:rsidRDefault="000405CC">
      <w:pPr>
        <w:pStyle w:val="a3"/>
        <w:rPr>
          <w:lang w:val="hu-HU"/>
        </w:rPr>
      </w:pPr>
      <w:r>
        <w:rPr>
          <w:rFonts w:eastAsia="Times New Roman"/>
          <w:lang w:val="hu-HU"/>
        </w:rPr>
        <w:t>A további tárolási információkért olvassa el a betegtájékoztatót.</w:t>
      </w:r>
    </w:p>
    <w:p w14:paraId="70F7DC65" w14:textId="77777777" w:rsidR="00130E8B" w:rsidRDefault="00130E8B">
      <w:pPr>
        <w:rPr>
          <w:lang w:val="hu-HU"/>
        </w:rPr>
      </w:pPr>
    </w:p>
    <w:p w14:paraId="6FCF06A6" w14:textId="77777777" w:rsidR="00130E8B" w:rsidRDefault="00130E8B">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rsidRPr="00BE4D18" w14:paraId="3102AFA6" w14:textId="77777777">
        <w:trPr>
          <w:trHeight w:val="317"/>
        </w:trPr>
        <w:tc>
          <w:tcPr>
            <w:tcW w:w="9666" w:type="dxa"/>
            <w:vAlign w:val="center"/>
          </w:tcPr>
          <w:p w14:paraId="743F0729" w14:textId="77777777" w:rsidR="00130E8B" w:rsidRDefault="000405CC">
            <w:pPr>
              <w:numPr>
                <w:ilvl w:val="0"/>
                <w:numId w:val="6"/>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KÜLÖNLEGES ÓVINTÉZKEDÉSEK A FEL NEM HASZNÁLT GYÓGYSZEREK VAGY AZ ILYEN TERMÉKEKBŐL KELETKEZETT HULLADÉKANYAGOK ÁRTALMATLANNÁ TÉTELÉRE, HA ILYENEKRE SZÜKSÉG VAN</w:t>
            </w:r>
          </w:p>
        </w:tc>
      </w:tr>
    </w:tbl>
    <w:p w14:paraId="4F19419B" w14:textId="77777777" w:rsidR="00130E8B" w:rsidRDefault="00130E8B">
      <w:pPr>
        <w:rPr>
          <w:lang w:val="hu-HU"/>
        </w:rPr>
      </w:pPr>
    </w:p>
    <w:p w14:paraId="16F6AA08" w14:textId="77777777" w:rsidR="00130E8B" w:rsidRDefault="00130E8B">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14:paraId="7B876618" w14:textId="77777777">
        <w:trPr>
          <w:trHeight w:val="317"/>
        </w:trPr>
        <w:tc>
          <w:tcPr>
            <w:tcW w:w="9666" w:type="dxa"/>
            <w:vAlign w:val="center"/>
          </w:tcPr>
          <w:p w14:paraId="0FE5BCC4" w14:textId="77777777" w:rsidR="00130E8B" w:rsidRDefault="000405CC">
            <w:pPr>
              <w:numPr>
                <w:ilvl w:val="0"/>
                <w:numId w:val="6"/>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FORGALOMBA HOZATALI ENGEDÉLY JOGOSULTJÁNAK NEVE ÉS CÍME</w:t>
            </w:r>
          </w:p>
        </w:tc>
      </w:tr>
    </w:tbl>
    <w:p w14:paraId="14649E15" w14:textId="77777777" w:rsidR="00130E8B" w:rsidRDefault="00130E8B">
      <w:pPr>
        <w:spacing w:before="5" w:line="200" w:lineRule="exact"/>
        <w:rPr>
          <w:lang w:val="hu-HU"/>
        </w:rPr>
      </w:pPr>
    </w:p>
    <w:p w14:paraId="73114CBD" w14:textId="77777777" w:rsidR="00130E8B" w:rsidRDefault="000405CC">
      <w:pPr>
        <w:pStyle w:val="a3"/>
        <w:rPr>
          <w:lang w:val="hu-HU"/>
        </w:rPr>
      </w:pPr>
      <w:r>
        <w:rPr>
          <w:lang w:val="hu-HU"/>
        </w:rPr>
        <w:t xml:space="preserve">Celltrion Healthcare Hungary Kft. </w:t>
      </w:r>
    </w:p>
    <w:p w14:paraId="79B9E8F1" w14:textId="77777777" w:rsidR="00130E8B" w:rsidRDefault="000405CC">
      <w:pPr>
        <w:pStyle w:val="a3"/>
        <w:rPr>
          <w:lang w:val="hu-HU"/>
        </w:rPr>
      </w:pPr>
      <w:r>
        <w:rPr>
          <w:lang w:val="hu-HU"/>
        </w:rPr>
        <w:t>1062 Budapest</w:t>
      </w:r>
    </w:p>
    <w:p w14:paraId="6C2A502C" w14:textId="77777777" w:rsidR="00130E8B" w:rsidRDefault="000405CC">
      <w:pPr>
        <w:pStyle w:val="a3"/>
        <w:rPr>
          <w:lang w:val="hu-HU"/>
        </w:rPr>
      </w:pPr>
      <w:r>
        <w:rPr>
          <w:lang w:val="hu-HU"/>
        </w:rPr>
        <w:t>Váci út 1-3. WestEnd Office Building B torony</w:t>
      </w:r>
    </w:p>
    <w:p w14:paraId="2E52941B" w14:textId="77777777" w:rsidR="00130E8B" w:rsidRDefault="000405CC">
      <w:pPr>
        <w:pStyle w:val="a3"/>
        <w:rPr>
          <w:lang w:val="hu-HU"/>
        </w:rPr>
      </w:pPr>
      <w:r>
        <w:rPr>
          <w:rFonts w:eastAsia="Times New Roman"/>
          <w:lang w:val="hu-HU"/>
        </w:rPr>
        <w:t>Magyarország</w:t>
      </w:r>
    </w:p>
    <w:p w14:paraId="3108ADD8" w14:textId="77777777" w:rsidR="00130E8B" w:rsidRDefault="00130E8B">
      <w:pPr>
        <w:rPr>
          <w:lang w:val="hu-HU"/>
        </w:rPr>
      </w:pPr>
    </w:p>
    <w:p w14:paraId="35020FBC" w14:textId="77777777" w:rsidR="00130E8B" w:rsidRDefault="000405CC">
      <w:pPr>
        <w:rPr>
          <w:lang w:val="hu-HU"/>
        </w:rPr>
      </w:pPr>
      <w:r>
        <w:rPr>
          <w:lang w:val="hu-HU"/>
        </w:rPr>
        <w:br w:type="page"/>
      </w:r>
    </w:p>
    <w:tbl>
      <w:tblPr>
        <w:tblStyle w:val="ac"/>
        <w:tblpPr w:leftFromText="142" w:rightFromText="142" w:vertAnchor="text" w:tblpY="194"/>
        <w:tblW w:w="9666" w:type="dxa"/>
        <w:tblLook w:val="04A0" w:firstRow="1" w:lastRow="0" w:firstColumn="1" w:lastColumn="0" w:noHBand="0" w:noVBand="1"/>
      </w:tblPr>
      <w:tblGrid>
        <w:gridCol w:w="9666"/>
      </w:tblGrid>
      <w:tr w:rsidR="00130E8B" w14:paraId="6465C732" w14:textId="77777777">
        <w:trPr>
          <w:trHeight w:val="317"/>
        </w:trPr>
        <w:tc>
          <w:tcPr>
            <w:tcW w:w="9666" w:type="dxa"/>
            <w:vAlign w:val="center"/>
          </w:tcPr>
          <w:p w14:paraId="2B227817" w14:textId="20F20798" w:rsidR="00130E8B" w:rsidRDefault="000405CC">
            <w:pPr>
              <w:numPr>
                <w:ilvl w:val="0"/>
                <w:numId w:val="6"/>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lastRenderedPageBreak/>
              <w:t>A FORGALOMBA HOZATALI ENGEDÉLY SZÁMAI</w:t>
            </w:r>
          </w:p>
        </w:tc>
      </w:tr>
    </w:tbl>
    <w:p w14:paraId="2F97B5E3" w14:textId="77777777" w:rsidR="00130E8B" w:rsidRDefault="00130E8B">
      <w:pPr>
        <w:rPr>
          <w:lang w:val="hu-HU"/>
        </w:rPr>
      </w:pPr>
    </w:p>
    <w:p w14:paraId="6A298E71" w14:textId="77777777" w:rsidR="00130E8B" w:rsidRPr="000405CC" w:rsidRDefault="000405CC">
      <w:pPr>
        <w:pStyle w:val="a3"/>
        <w:rPr>
          <w:highlight w:val="lightGray"/>
          <w:lang w:val="hu-HU"/>
        </w:rPr>
      </w:pPr>
      <w:r>
        <w:rPr>
          <w:rFonts w:eastAsia="Times New Roman"/>
          <w:lang w:val="hu-HU"/>
        </w:rPr>
        <w:t>EU/</w:t>
      </w:r>
      <w:r>
        <w:rPr>
          <w:rFonts w:eastAsia="Times New Roman" w:cs="Verdana"/>
          <w:color w:val="000000"/>
          <w:lang w:val="hu-HU"/>
        </w:rPr>
        <w:t>1/20/1513/001</w:t>
      </w:r>
      <w:r>
        <w:rPr>
          <w:rFonts w:eastAsia="Times New Roman"/>
          <w:lang w:val="hu-HU"/>
        </w:rPr>
        <w:t xml:space="preserve"> </w:t>
      </w:r>
      <w:r w:rsidRPr="000405CC">
        <w:rPr>
          <w:rFonts w:eastAsia="Times New Roman"/>
          <w:highlight w:val="lightGray"/>
          <w:lang w:val="hu-HU"/>
        </w:rPr>
        <w:t>1 db</w:t>
      </w:r>
      <w:r w:rsidR="00F14291">
        <w:rPr>
          <w:rFonts w:eastAsia="Times New Roman"/>
          <w:highlight w:val="lightGray"/>
          <w:lang w:val="hu-HU"/>
        </w:rPr>
        <w:t xml:space="preserve"> </w:t>
      </w:r>
      <w:r w:rsidRPr="000405CC">
        <w:rPr>
          <w:rFonts w:eastAsia="Times New Roman"/>
          <w:highlight w:val="lightGray"/>
          <w:lang w:val="hu-HU"/>
        </w:rPr>
        <w:t>előretöltött injekciós fecskendő</w:t>
      </w:r>
    </w:p>
    <w:p w14:paraId="574A821B" w14:textId="77777777" w:rsidR="00130E8B" w:rsidRPr="000405CC" w:rsidRDefault="000405CC">
      <w:pPr>
        <w:pStyle w:val="a3"/>
        <w:rPr>
          <w:highlight w:val="lightGray"/>
          <w:lang w:val="hu-HU"/>
        </w:rPr>
      </w:pPr>
      <w:r w:rsidRPr="000405CC">
        <w:rPr>
          <w:rFonts w:eastAsia="Times New Roman"/>
          <w:highlight w:val="lightGray"/>
          <w:lang w:val="hu-HU"/>
        </w:rPr>
        <w:t>EU/</w:t>
      </w:r>
      <w:r w:rsidRPr="000405CC">
        <w:rPr>
          <w:rFonts w:eastAsia="Times New Roman" w:cs="Verdana"/>
          <w:color w:val="000000"/>
          <w:highlight w:val="lightGray"/>
          <w:lang w:val="hu-HU"/>
        </w:rPr>
        <w:t>1/20/1513/002</w:t>
      </w:r>
      <w:r w:rsidRPr="000405CC">
        <w:rPr>
          <w:rFonts w:eastAsia="Times New Roman"/>
          <w:highlight w:val="lightGray"/>
          <w:lang w:val="hu-HU"/>
        </w:rPr>
        <w:t xml:space="preserve"> 2 db</w:t>
      </w:r>
      <w:r w:rsidR="00F14291">
        <w:rPr>
          <w:rFonts w:eastAsia="Times New Roman"/>
          <w:highlight w:val="lightGray"/>
          <w:lang w:val="hu-HU"/>
        </w:rPr>
        <w:t xml:space="preserve"> </w:t>
      </w:r>
      <w:r w:rsidRPr="000405CC">
        <w:rPr>
          <w:rFonts w:eastAsia="Times New Roman"/>
          <w:highlight w:val="lightGray"/>
          <w:lang w:val="hu-HU"/>
        </w:rPr>
        <w:t>előretöltött injekciós fecskendő</w:t>
      </w:r>
    </w:p>
    <w:p w14:paraId="606E25B7" w14:textId="77777777" w:rsidR="00130E8B" w:rsidRPr="000405CC" w:rsidRDefault="000405CC">
      <w:pPr>
        <w:pStyle w:val="a3"/>
        <w:rPr>
          <w:highlight w:val="lightGray"/>
          <w:lang w:val="hu-HU"/>
        </w:rPr>
      </w:pPr>
      <w:r w:rsidRPr="000405CC">
        <w:rPr>
          <w:rFonts w:eastAsia="Times New Roman"/>
          <w:highlight w:val="lightGray"/>
          <w:lang w:val="hu-HU"/>
        </w:rPr>
        <w:t>EU/</w:t>
      </w:r>
      <w:r w:rsidRPr="000405CC">
        <w:rPr>
          <w:rFonts w:eastAsia="Times New Roman" w:cs="Verdana"/>
          <w:color w:val="000000"/>
          <w:highlight w:val="lightGray"/>
          <w:lang w:val="hu-HU"/>
        </w:rPr>
        <w:t>1/20/1513/003</w:t>
      </w:r>
      <w:r w:rsidRPr="000405CC">
        <w:rPr>
          <w:rFonts w:eastAsia="Times New Roman"/>
          <w:highlight w:val="lightGray"/>
          <w:lang w:val="hu-HU"/>
        </w:rPr>
        <w:t xml:space="preserve"> 4 db</w:t>
      </w:r>
      <w:r w:rsidR="00F14291">
        <w:rPr>
          <w:rFonts w:eastAsia="Times New Roman"/>
          <w:highlight w:val="lightGray"/>
          <w:lang w:val="hu-HU"/>
        </w:rPr>
        <w:t xml:space="preserve"> </w:t>
      </w:r>
      <w:r w:rsidRPr="000405CC">
        <w:rPr>
          <w:rFonts w:eastAsia="Times New Roman"/>
          <w:highlight w:val="lightGray"/>
          <w:lang w:val="hu-HU"/>
        </w:rPr>
        <w:t>előretöltött injekciós fecskendő</w:t>
      </w:r>
    </w:p>
    <w:p w14:paraId="7CA9CA7F" w14:textId="77777777" w:rsidR="00130E8B" w:rsidRPr="000405CC" w:rsidRDefault="000405CC">
      <w:pPr>
        <w:pStyle w:val="a3"/>
        <w:rPr>
          <w:highlight w:val="lightGray"/>
          <w:lang w:val="hu-HU"/>
        </w:rPr>
      </w:pPr>
      <w:r w:rsidRPr="000405CC">
        <w:rPr>
          <w:rFonts w:eastAsia="Times New Roman"/>
          <w:highlight w:val="lightGray"/>
          <w:lang w:val="hu-HU"/>
        </w:rPr>
        <w:t>EU/</w:t>
      </w:r>
      <w:r w:rsidRPr="000405CC">
        <w:rPr>
          <w:rFonts w:eastAsia="Times New Roman" w:cs="Verdana"/>
          <w:color w:val="000000"/>
          <w:highlight w:val="lightGray"/>
          <w:lang w:val="hu-HU"/>
        </w:rPr>
        <w:t>1/20/1513/004</w:t>
      </w:r>
      <w:r w:rsidRPr="000405CC">
        <w:rPr>
          <w:rFonts w:eastAsia="Times New Roman"/>
          <w:highlight w:val="lightGray"/>
          <w:lang w:val="hu-HU"/>
        </w:rPr>
        <w:t xml:space="preserve"> 6 db</w:t>
      </w:r>
      <w:r w:rsidR="00F14291">
        <w:rPr>
          <w:rFonts w:eastAsia="Times New Roman"/>
          <w:highlight w:val="lightGray"/>
          <w:lang w:val="hu-HU"/>
        </w:rPr>
        <w:t xml:space="preserve"> </w:t>
      </w:r>
      <w:r w:rsidRPr="000405CC">
        <w:rPr>
          <w:rFonts w:eastAsia="Times New Roman"/>
          <w:highlight w:val="lightGray"/>
          <w:lang w:val="hu-HU"/>
        </w:rPr>
        <w:t>előretöltött injekciós fecskendő</w:t>
      </w:r>
    </w:p>
    <w:p w14:paraId="18CA755B" w14:textId="1DD9F968" w:rsidR="00130E8B" w:rsidRPr="000405CC" w:rsidRDefault="000405CC">
      <w:pPr>
        <w:pStyle w:val="a3"/>
        <w:rPr>
          <w:highlight w:val="lightGray"/>
          <w:lang w:val="hu-HU"/>
        </w:rPr>
      </w:pPr>
      <w:r w:rsidRPr="000405CC">
        <w:rPr>
          <w:rFonts w:eastAsia="Times New Roman"/>
          <w:highlight w:val="lightGray"/>
          <w:lang w:val="hu-HU"/>
        </w:rPr>
        <w:t>EU/</w:t>
      </w:r>
      <w:r w:rsidRPr="000405CC">
        <w:rPr>
          <w:rFonts w:eastAsia="Times New Roman" w:cs="Verdana"/>
          <w:color w:val="000000"/>
          <w:highlight w:val="lightGray"/>
          <w:lang w:val="hu-HU"/>
        </w:rPr>
        <w:t>1/20/1513/005</w:t>
      </w:r>
      <w:r w:rsidRPr="000405CC">
        <w:rPr>
          <w:rFonts w:eastAsia="Times New Roman"/>
          <w:highlight w:val="lightGray"/>
          <w:lang w:val="hu-HU"/>
        </w:rPr>
        <w:t xml:space="preserve"> 1 db</w:t>
      </w:r>
      <w:r w:rsidR="00F14291">
        <w:rPr>
          <w:rFonts w:eastAsia="Times New Roman"/>
          <w:highlight w:val="lightGray"/>
          <w:lang w:val="hu-HU"/>
        </w:rPr>
        <w:t xml:space="preserve"> </w:t>
      </w:r>
      <w:r w:rsidRPr="000405CC">
        <w:rPr>
          <w:rFonts w:eastAsia="Times New Roman"/>
          <w:highlight w:val="lightGray"/>
          <w:lang w:val="hu-HU"/>
        </w:rPr>
        <w:t>előretöltött fecskendő</w:t>
      </w:r>
      <w:r w:rsidR="007814B0">
        <w:rPr>
          <w:rFonts w:eastAsia="Times New Roman"/>
          <w:highlight w:val="lightGray"/>
          <w:lang w:val="hu-HU"/>
        </w:rPr>
        <w:t xml:space="preserve"> </w:t>
      </w:r>
      <w:r w:rsidRPr="000405CC">
        <w:rPr>
          <w:rFonts w:eastAsia="Times New Roman"/>
          <w:highlight w:val="lightGray"/>
          <w:lang w:val="hu-HU"/>
        </w:rPr>
        <w:t>tűvédővel</w:t>
      </w:r>
    </w:p>
    <w:p w14:paraId="2A04EA6B" w14:textId="603F4A24" w:rsidR="00130E8B" w:rsidRPr="000405CC" w:rsidRDefault="000405CC">
      <w:pPr>
        <w:pStyle w:val="a3"/>
        <w:rPr>
          <w:highlight w:val="lightGray"/>
          <w:lang w:val="hu-HU"/>
        </w:rPr>
      </w:pPr>
      <w:r w:rsidRPr="000405CC">
        <w:rPr>
          <w:rFonts w:eastAsia="Times New Roman"/>
          <w:highlight w:val="lightGray"/>
          <w:lang w:val="hu-HU"/>
        </w:rPr>
        <w:t>EU/</w:t>
      </w:r>
      <w:r w:rsidRPr="000405CC">
        <w:rPr>
          <w:rFonts w:eastAsia="Times New Roman" w:cs="Verdana"/>
          <w:color w:val="000000"/>
          <w:highlight w:val="lightGray"/>
          <w:lang w:val="hu-HU"/>
        </w:rPr>
        <w:t>1/20/1513/006</w:t>
      </w:r>
      <w:r w:rsidRPr="000405CC">
        <w:rPr>
          <w:rFonts w:eastAsia="Times New Roman"/>
          <w:highlight w:val="lightGray"/>
          <w:lang w:val="hu-HU"/>
        </w:rPr>
        <w:t xml:space="preserve"> 2 db</w:t>
      </w:r>
      <w:r w:rsidR="00F14291">
        <w:rPr>
          <w:rFonts w:eastAsia="Times New Roman"/>
          <w:highlight w:val="lightGray"/>
          <w:lang w:val="hu-HU"/>
        </w:rPr>
        <w:t xml:space="preserve"> </w:t>
      </w:r>
      <w:r w:rsidRPr="000405CC">
        <w:rPr>
          <w:rFonts w:eastAsia="Times New Roman"/>
          <w:highlight w:val="lightGray"/>
          <w:lang w:val="hu-HU"/>
        </w:rPr>
        <w:t>előretöltött fecskendő</w:t>
      </w:r>
      <w:r w:rsidR="007814B0">
        <w:rPr>
          <w:rFonts w:eastAsia="Times New Roman"/>
          <w:highlight w:val="lightGray"/>
          <w:lang w:val="hu-HU"/>
        </w:rPr>
        <w:t xml:space="preserve"> </w:t>
      </w:r>
      <w:r w:rsidRPr="000405CC">
        <w:rPr>
          <w:rFonts w:eastAsia="Times New Roman"/>
          <w:highlight w:val="lightGray"/>
          <w:lang w:val="hu-HU"/>
        </w:rPr>
        <w:t>tűvédővel</w:t>
      </w:r>
    </w:p>
    <w:p w14:paraId="19A1D3DB" w14:textId="4B163F5D" w:rsidR="00130E8B" w:rsidRPr="000405CC" w:rsidRDefault="000405CC">
      <w:pPr>
        <w:pStyle w:val="a3"/>
        <w:rPr>
          <w:highlight w:val="lightGray"/>
          <w:lang w:val="hu-HU"/>
        </w:rPr>
      </w:pPr>
      <w:r w:rsidRPr="000405CC">
        <w:rPr>
          <w:rFonts w:eastAsia="Times New Roman"/>
          <w:highlight w:val="lightGray"/>
          <w:lang w:val="hu-HU"/>
        </w:rPr>
        <w:t>EU/</w:t>
      </w:r>
      <w:r w:rsidRPr="000405CC">
        <w:rPr>
          <w:rFonts w:eastAsia="Times New Roman" w:cs="Verdana"/>
          <w:color w:val="000000"/>
          <w:highlight w:val="lightGray"/>
          <w:lang w:val="hu-HU"/>
        </w:rPr>
        <w:t>1/20/1513/007</w:t>
      </w:r>
      <w:r w:rsidRPr="000405CC">
        <w:rPr>
          <w:rFonts w:eastAsia="Times New Roman"/>
          <w:highlight w:val="lightGray"/>
          <w:lang w:val="hu-HU"/>
        </w:rPr>
        <w:t xml:space="preserve"> 4 db</w:t>
      </w:r>
      <w:r w:rsidR="00F14291">
        <w:rPr>
          <w:rFonts w:eastAsia="Times New Roman"/>
          <w:highlight w:val="lightGray"/>
          <w:lang w:val="hu-HU"/>
        </w:rPr>
        <w:t xml:space="preserve"> </w:t>
      </w:r>
      <w:r w:rsidRPr="000405CC">
        <w:rPr>
          <w:rFonts w:eastAsia="Times New Roman"/>
          <w:highlight w:val="lightGray"/>
          <w:lang w:val="hu-HU"/>
        </w:rPr>
        <w:t>előretöltött fecskendő</w:t>
      </w:r>
      <w:r w:rsidR="007814B0">
        <w:rPr>
          <w:rFonts w:eastAsia="Times New Roman"/>
          <w:highlight w:val="lightGray"/>
          <w:lang w:val="hu-HU"/>
        </w:rPr>
        <w:t xml:space="preserve"> </w:t>
      </w:r>
      <w:r w:rsidRPr="000405CC">
        <w:rPr>
          <w:rFonts w:eastAsia="Times New Roman"/>
          <w:highlight w:val="lightGray"/>
          <w:lang w:val="hu-HU"/>
        </w:rPr>
        <w:t>tűvédővel</w:t>
      </w:r>
    </w:p>
    <w:p w14:paraId="704928E2" w14:textId="2E0A794E" w:rsidR="00130E8B" w:rsidRDefault="000405CC">
      <w:pPr>
        <w:pStyle w:val="a3"/>
        <w:rPr>
          <w:lang w:val="hu-HU"/>
        </w:rPr>
      </w:pPr>
      <w:r w:rsidRPr="000405CC">
        <w:rPr>
          <w:rFonts w:eastAsia="Times New Roman"/>
          <w:highlight w:val="lightGray"/>
          <w:lang w:val="hu-HU"/>
        </w:rPr>
        <w:t>EU/</w:t>
      </w:r>
      <w:r w:rsidRPr="000405CC">
        <w:rPr>
          <w:rFonts w:eastAsia="Times New Roman" w:cs="Verdana"/>
          <w:color w:val="000000"/>
          <w:highlight w:val="lightGray"/>
          <w:lang w:val="hu-HU"/>
        </w:rPr>
        <w:t>1/20/1513/008</w:t>
      </w:r>
      <w:r w:rsidRPr="000405CC">
        <w:rPr>
          <w:rFonts w:eastAsia="Times New Roman"/>
          <w:highlight w:val="lightGray"/>
          <w:lang w:val="hu-HU"/>
        </w:rPr>
        <w:t xml:space="preserve"> 6 db</w:t>
      </w:r>
      <w:r w:rsidR="00F14291">
        <w:rPr>
          <w:rFonts w:eastAsia="Times New Roman"/>
          <w:highlight w:val="lightGray"/>
          <w:lang w:val="hu-HU"/>
        </w:rPr>
        <w:t xml:space="preserve"> </w:t>
      </w:r>
      <w:r w:rsidRPr="000405CC">
        <w:rPr>
          <w:rFonts w:eastAsia="Times New Roman"/>
          <w:highlight w:val="lightGray"/>
          <w:lang w:val="hu-HU"/>
        </w:rPr>
        <w:t>előretöltött fecskendő</w:t>
      </w:r>
      <w:r w:rsidR="007814B0">
        <w:rPr>
          <w:rFonts w:eastAsia="Times New Roman"/>
          <w:highlight w:val="lightGray"/>
          <w:lang w:val="hu-HU"/>
        </w:rPr>
        <w:t xml:space="preserve"> </w:t>
      </w:r>
      <w:r w:rsidRPr="000405CC">
        <w:rPr>
          <w:rFonts w:eastAsia="Times New Roman"/>
          <w:highlight w:val="lightGray"/>
          <w:lang w:val="hu-HU"/>
        </w:rPr>
        <w:t>tűvédővel</w:t>
      </w:r>
    </w:p>
    <w:p w14:paraId="74F46588" w14:textId="0E3D6CAD" w:rsidR="00130E8B" w:rsidRDefault="00130E8B">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14:paraId="04058BB4" w14:textId="77777777">
        <w:trPr>
          <w:trHeight w:val="317"/>
        </w:trPr>
        <w:tc>
          <w:tcPr>
            <w:tcW w:w="9666" w:type="dxa"/>
            <w:vAlign w:val="center"/>
          </w:tcPr>
          <w:p w14:paraId="5EE7F742" w14:textId="77777777" w:rsidR="00130E8B" w:rsidRDefault="000405CC">
            <w:pPr>
              <w:numPr>
                <w:ilvl w:val="0"/>
                <w:numId w:val="6"/>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GYÁRTÁSI TÉTEL SZÁMA</w:t>
            </w:r>
          </w:p>
        </w:tc>
      </w:tr>
    </w:tbl>
    <w:p w14:paraId="63CD1B01" w14:textId="77777777" w:rsidR="00130E8B" w:rsidRDefault="00130E8B">
      <w:pPr>
        <w:rPr>
          <w:lang w:val="hu-HU"/>
        </w:rPr>
      </w:pPr>
    </w:p>
    <w:p w14:paraId="4E91F26B" w14:textId="5F1248F5" w:rsidR="00130E8B" w:rsidRDefault="000405CC">
      <w:pPr>
        <w:pStyle w:val="a3"/>
        <w:rPr>
          <w:lang w:val="hu-HU"/>
        </w:rPr>
      </w:pPr>
      <w:r>
        <w:rPr>
          <w:rFonts w:eastAsia="Times New Roman"/>
          <w:lang w:val="hu-HU"/>
        </w:rPr>
        <w:t>Lot</w:t>
      </w:r>
    </w:p>
    <w:p w14:paraId="500DD2C7" w14:textId="77777777" w:rsidR="00130E8B" w:rsidRDefault="00130E8B">
      <w:pPr>
        <w:pStyle w:val="a3"/>
        <w:rPr>
          <w:lang w:val="hu-HU"/>
        </w:rPr>
      </w:pPr>
    </w:p>
    <w:p w14:paraId="3D5C0950" w14:textId="77777777" w:rsidR="00130E8B" w:rsidRDefault="00130E8B">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14:paraId="7B87CB93" w14:textId="77777777">
        <w:trPr>
          <w:trHeight w:val="317"/>
        </w:trPr>
        <w:tc>
          <w:tcPr>
            <w:tcW w:w="9666" w:type="dxa"/>
            <w:vAlign w:val="center"/>
          </w:tcPr>
          <w:p w14:paraId="0EDE26EB" w14:textId="77777777" w:rsidR="00130E8B" w:rsidRDefault="000405CC">
            <w:pPr>
              <w:numPr>
                <w:ilvl w:val="0"/>
                <w:numId w:val="6"/>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GYÓGYSZER RENDELHETŐSÉGE</w:t>
            </w:r>
          </w:p>
        </w:tc>
      </w:tr>
    </w:tbl>
    <w:p w14:paraId="2399CE2D" w14:textId="77777777" w:rsidR="00130E8B" w:rsidRDefault="00130E8B">
      <w:pPr>
        <w:jc w:val="both"/>
        <w:rPr>
          <w:lang w:val="hu-HU"/>
        </w:rPr>
      </w:pPr>
    </w:p>
    <w:p w14:paraId="5E874CEB" w14:textId="77777777" w:rsidR="00130E8B" w:rsidRDefault="00130E8B">
      <w:pPr>
        <w:jc w:val="both"/>
        <w:rPr>
          <w:lang w:val="hu-HU"/>
        </w:rPr>
      </w:pPr>
    </w:p>
    <w:p w14:paraId="079EB289" w14:textId="77777777" w:rsidR="00130E8B" w:rsidRDefault="00130E8B">
      <w:pPr>
        <w:jc w:val="both"/>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rsidRPr="00BE4D18" w14:paraId="561CC882" w14:textId="77777777">
        <w:trPr>
          <w:trHeight w:val="317"/>
        </w:trPr>
        <w:tc>
          <w:tcPr>
            <w:tcW w:w="9666" w:type="dxa"/>
            <w:vAlign w:val="center"/>
          </w:tcPr>
          <w:p w14:paraId="6E33D91B" w14:textId="77777777" w:rsidR="00130E8B" w:rsidRDefault="000405CC">
            <w:pPr>
              <w:numPr>
                <w:ilvl w:val="0"/>
                <w:numId w:val="6"/>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AZ ALKALMAZÁSRA VONATKOZÓ UTASÍTÁSOK</w:t>
            </w:r>
          </w:p>
        </w:tc>
      </w:tr>
    </w:tbl>
    <w:p w14:paraId="29450C0E" w14:textId="77777777" w:rsidR="00130E8B" w:rsidRDefault="00130E8B">
      <w:pPr>
        <w:jc w:val="both"/>
        <w:rPr>
          <w:lang w:val="hu-HU"/>
        </w:rPr>
      </w:pPr>
    </w:p>
    <w:p w14:paraId="58EC2CFB" w14:textId="77777777" w:rsidR="00130E8B" w:rsidRDefault="00130E8B">
      <w:pPr>
        <w:jc w:val="both"/>
        <w:rPr>
          <w:lang w:val="hu-HU"/>
        </w:rPr>
      </w:pPr>
    </w:p>
    <w:p w14:paraId="7786865A" w14:textId="77777777" w:rsidR="00130E8B" w:rsidRDefault="00130E8B">
      <w:pPr>
        <w:jc w:val="both"/>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14:paraId="03C10261" w14:textId="77777777">
        <w:trPr>
          <w:trHeight w:val="317"/>
        </w:trPr>
        <w:tc>
          <w:tcPr>
            <w:tcW w:w="9666" w:type="dxa"/>
            <w:vAlign w:val="center"/>
          </w:tcPr>
          <w:p w14:paraId="7EDD1D7B" w14:textId="77777777" w:rsidR="00130E8B" w:rsidRDefault="000405CC">
            <w:pPr>
              <w:numPr>
                <w:ilvl w:val="0"/>
                <w:numId w:val="6"/>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BRAILLE ÍRÁSSAL FELTÜNTETETT INFORMÁCIÓK</w:t>
            </w:r>
          </w:p>
        </w:tc>
      </w:tr>
    </w:tbl>
    <w:p w14:paraId="1E84FF1C" w14:textId="77777777" w:rsidR="00130E8B" w:rsidRDefault="00130E8B">
      <w:pPr>
        <w:jc w:val="both"/>
        <w:rPr>
          <w:lang w:val="hu-HU"/>
        </w:rPr>
      </w:pPr>
    </w:p>
    <w:p w14:paraId="6F3B8DAA" w14:textId="77777777" w:rsidR="00130E8B" w:rsidRDefault="000405CC">
      <w:pPr>
        <w:pStyle w:val="a3"/>
        <w:rPr>
          <w:lang w:val="hu-HU"/>
        </w:rPr>
      </w:pPr>
      <w:r>
        <w:rPr>
          <w:rFonts w:eastAsia="Times New Roman"/>
          <w:lang w:val="hu-HU"/>
        </w:rPr>
        <w:t>Yuflyma 40 mg</w:t>
      </w:r>
    </w:p>
    <w:p w14:paraId="5AB6B14F" w14:textId="77777777" w:rsidR="00130E8B" w:rsidRDefault="00130E8B">
      <w:pPr>
        <w:jc w:val="both"/>
        <w:rPr>
          <w:lang w:val="hu-HU"/>
        </w:rPr>
      </w:pPr>
    </w:p>
    <w:p w14:paraId="2DBD1BF6" w14:textId="77777777" w:rsidR="00130E8B" w:rsidRDefault="00130E8B">
      <w:pPr>
        <w:jc w:val="both"/>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rsidRPr="00BE4D18" w14:paraId="06086FD7" w14:textId="77777777">
        <w:trPr>
          <w:trHeight w:val="317"/>
        </w:trPr>
        <w:tc>
          <w:tcPr>
            <w:tcW w:w="9666" w:type="dxa"/>
            <w:vAlign w:val="center"/>
          </w:tcPr>
          <w:p w14:paraId="4AE6744C" w14:textId="77777777" w:rsidR="00130E8B" w:rsidRDefault="000405CC">
            <w:pPr>
              <w:numPr>
                <w:ilvl w:val="0"/>
                <w:numId w:val="6"/>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EGYEDI AZONOSÍTÓ – 2D VONALKÓD</w:t>
            </w:r>
          </w:p>
        </w:tc>
      </w:tr>
    </w:tbl>
    <w:p w14:paraId="0CB7319F" w14:textId="77777777" w:rsidR="00130E8B" w:rsidRDefault="00130E8B">
      <w:pPr>
        <w:jc w:val="both"/>
        <w:rPr>
          <w:lang w:val="hu-HU"/>
        </w:rPr>
      </w:pPr>
    </w:p>
    <w:p w14:paraId="6AF7622C" w14:textId="77777777" w:rsidR="00130E8B" w:rsidRDefault="000405CC">
      <w:pPr>
        <w:pStyle w:val="a3"/>
        <w:rPr>
          <w:lang w:val="hu-HU"/>
        </w:rPr>
      </w:pPr>
      <w:r w:rsidRPr="000405CC">
        <w:rPr>
          <w:rFonts w:eastAsia="Times New Roman"/>
          <w:highlight w:val="lightGray"/>
          <w:lang w:val="hu-HU"/>
        </w:rPr>
        <w:t>Egyedi azonosítójú 2D vonalkóddal ellátva.</w:t>
      </w:r>
    </w:p>
    <w:p w14:paraId="2F7E21C7" w14:textId="77777777" w:rsidR="00130E8B" w:rsidRDefault="00130E8B">
      <w:pPr>
        <w:jc w:val="both"/>
        <w:rPr>
          <w:lang w:val="hu-HU"/>
        </w:rPr>
      </w:pPr>
    </w:p>
    <w:p w14:paraId="14E2A96F" w14:textId="77777777" w:rsidR="00130E8B" w:rsidRDefault="00130E8B">
      <w:pPr>
        <w:jc w:val="both"/>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rsidRPr="00BE4D18" w14:paraId="26211A22" w14:textId="77777777">
        <w:trPr>
          <w:trHeight w:val="317"/>
        </w:trPr>
        <w:tc>
          <w:tcPr>
            <w:tcW w:w="9666" w:type="dxa"/>
            <w:vAlign w:val="center"/>
          </w:tcPr>
          <w:p w14:paraId="568ACE81" w14:textId="77777777" w:rsidR="00130E8B" w:rsidRDefault="000405CC">
            <w:pPr>
              <w:numPr>
                <w:ilvl w:val="0"/>
                <w:numId w:val="6"/>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EGYEDI AZONOSÍTÓ OLVASHATÓ FORMÁTUMA</w:t>
            </w:r>
          </w:p>
        </w:tc>
      </w:tr>
    </w:tbl>
    <w:p w14:paraId="5EF45A13" w14:textId="77777777" w:rsidR="00130E8B" w:rsidRDefault="00130E8B">
      <w:pPr>
        <w:jc w:val="both"/>
        <w:rPr>
          <w:lang w:val="hu-HU"/>
        </w:rPr>
      </w:pPr>
    </w:p>
    <w:p w14:paraId="5F306EEE" w14:textId="77777777" w:rsidR="00130E8B" w:rsidRDefault="000405CC">
      <w:pPr>
        <w:pStyle w:val="a3"/>
        <w:rPr>
          <w:lang w:val="hu-HU"/>
        </w:rPr>
      </w:pPr>
      <w:r>
        <w:rPr>
          <w:rFonts w:eastAsia="Times New Roman"/>
          <w:lang w:val="hu-HU"/>
        </w:rPr>
        <w:t>PC</w:t>
      </w:r>
    </w:p>
    <w:p w14:paraId="601C8D1B" w14:textId="77777777" w:rsidR="00130E8B" w:rsidRDefault="000405CC">
      <w:pPr>
        <w:pStyle w:val="a3"/>
        <w:rPr>
          <w:lang w:val="hu-HU"/>
        </w:rPr>
      </w:pPr>
      <w:r>
        <w:rPr>
          <w:rFonts w:eastAsia="Times New Roman"/>
          <w:lang w:val="hu-HU"/>
        </w:rPr>
        <w:t>SN</w:t>
      </w:r>
    </w:p>
    <w:p w14:paraId="425E2D2F" w14:textId="77777777" w:rsidR="00130E8B" w:rsidRDefault="000405CC">
      <w:pPr>
        <w:pStyle w:val="a3"/>
        <w:rPr>
          <w:lang w:val="hu-HU"/>
        </w:rPr>
      </w:pPr>
      <w:r>
        <w:rPr>
          <w:rFonts w:eastAsia="Times New Roman"/>
          <w:spacing w:val="-2"/>
          <w:lang w:val="hu-HU"/>
        </w:rPr>
        <w:t>NN</w:t>
      </w:r>
    </w:p>
    <w:p w14:paraId="31F83EE3" w14:textId="77777777" w:rsidR="00130E8B" w:rsidRDefault="000405CC">
      <w:pPr>
        <w:rPr>
          <w:lang w:val="hu-HU"/>
        </w:rPr>
      </w:pPr>
      <w:r>
        <w:rPr>
          <w:lang w:val="hu-HU"/>
        </w:rPr>
        <w:br w:type="page"/>
      </w:r>
    </w:p>
    <w:tbl>
      <w:tblPr>
        <w:tblStyle w:val="ac"/>
        <w:tblW w:w="9666" w:type="dxa"/>
        <w:tblLook w:val="04A0" w:firstRow="1" w:lastRow="0" w:firstColumn="1" w:lastColumn="0" w:noHBand="0" w:noVBand="1"/>
      </w:tblPr>
      <w:tblGrid>
        <w:gridCol w:w="9666"/>
      </w:tblGrid>
      <w:tr w:rsidR="00130E8B" w:rsidRPr="00BE4D18" w14:paraId="4552F089" w14:textId="77777777">
        <w:trPr>
          <w:trHeight w:val="822"/>
        </w:trPr>
        <w:tc>
          <w:tcPr>
            <w:tcW w:w="9666" w:type="dxa"/>
            <w:vAlign w:val="center"/>
          </w:tcPr>
          <w:p w14:paraId="1B916A00" w14:textId="77777777" w:rsidR="00130E8B" w:rsidRDefault="000405CC">
            <w:pPr>
              <w:tabs>
                <w:tab w:val="left" w:pos="672"/>
              </w:tabs>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lastRenderedPageBreak/>
              <w:t xml:space="preserve">A KIS KÖZVETLEN CSOMAGOLÁSI EGYSÉGEKEN MINIMÁLISAN FELTÜNTETENDŐ ADATOK </w:t>
            </w:r>
          </w:p>
          <w:p w14:paraId="349C4C2E" w14:textId="77777777" w:rsidR="00130E8B" w:rsidRDefault="00130E8B">
            <w:pPr>
              <w:tabs>
                <w:tab w:val="left" w:pos="672"/>
              </w:tabs>
              <w:jc w:val="both"/>
              <w:rPr>
                <w:rFonts w:ascii="Times New Roman" w:eastAsia="Times New Roman" w:hAnsi="Times New Roman" w:cs="Times New Roman"/>
                <w:b/>
                <w:bCs/>
                <w:spacing w:val="-1"/>
                <w:lang w:val="hu-HU"/>
              </w:rPr>
            </w:pPr>
          </w:p>
          <w:p w14:paraId="6B2353CE" w14:textId="77777777" w:rsidR="00130E8B" w:rsidRPr="00820E03" w:rsidRDefault="000405CC">
            <w:pPr>
              <w:tabs>
                <w:tab w:val="left" w:pos="672"/>
              </w:tabs>
              <w:jc w:val="both"/>
              <w:rPr>
                <w:rFonts w:ascii="Times New Roman" w:eastAsia="Times New Roman" w:hAnsi="Times New Roman" w:cs="Times New Roman"/>
                <w:b/>
                <w:bCs/>
                <w:spacing w:val="-1"/>
                <w:lang w:val="hu-HU"/>
              </w:rPr>
            </w:pPr>
            <w:r w:rsidRPr="00820E03">
              <w:rPr>
                <w:rFonts w:ascii="Times New Roman" w:eastAsia="Times New Roman" w:hAnsi="Times New Roman" w:cs="Times New Roman"/>
                <w:b/>
                <w:bCs/>
                <w:spacing w:val="-1"/>
                <w:lang w:val="hu-HU"/>
              </w:rPr>
              <w:t>AZ</w:t>
            </w:r>
            <w:r w:rsidR="00820E03" w:rsidRPr="00820E03">
              <w:rPr>
                <w:rFonts w:ascii="Times New Roman" w:eastAsia="Times New Roman" w:hAnsi="Times New Roman" w:cs="Times New Roman"/>
                <w:b/>
                <w:bCs/>
                <w:spacing w:val="-1"/>
                <w:lang w:val="hu-HU"/>
              </w:rPr>
              <w:t xml:space="preserve"> </w:t>
            </w:r>
            <w:r w:rsidRPr="00820E03">
              <w:rPr>
                <w:rFonts w:ascii="Times New Roman" w:eastAsia="Times New Roman" w:hAnsi="Times New Roman" w:cs="Times New Roman"/>
                <w:b/>
                <w:bCs/>
                <w:spacing w:val="-1"/>
                <w:lang w:val="hu-HU"/>
              </w:rPr>
              <w:t xml:space="preserve">ELŐRETÖLTÖTT </w:t>
            </w:r>
            <w:r w:rsidRPr="009167C6">
              <w:rPr>
                <w:rFonts w:ascii="Times New Roman" w:eastAsia="Times New Roman" w:hAnsi="Times New Roman" w:cs="Times New Roman"/>
                <w:b/>
                <w:spacing w:val="-1"/>
                <w:lang w:val="hu-HU"/>
              </w:rPr>
              <w:t>FECSKENDŐ CÍMKÉJE</w:t>
            </w:r>
          </w:p>
        </w:tc>
      </w:tr>
    </w:tbl>
    <w:p w14:paraId="19E2846C" w14:textId="77777777" w:rsidR="00130E8B" w:rsidRDefault="00130E8B">
      <w:pPr>
        <w:spacing w:line="200" w:lineRule="exact"/>
        <w:rPr>
          <w:lang w:val="hu-HU"/>
        </w:rPr>
      </w:pPr>
    </w:p>
    <w:p w14:paraId="21FEF61B" w14:textId="77777777" w:rsidR="00130E8B" w:rsidRDefault="00130E8B">
      <w:pPr>
        <w:spacing w:line="200" w:lineRule="exact"/>
        <w:rPr>
          <w:lang w:val="hu-HU"/>
        </w:rPr>
      </w:pPr>
    </w:p>
    <w:tbl>
      <w:tblPr>
        <w:tblStyle w:val="ac"/>
        <w:tblpPr w:leftFromText="142" w:rightFromText="142" w:vertAnchor="text" w:tblpY="55"/>
        <w:tblW w:w="9666" w:type="dxa"/>
        <w:tblLook w:val="04A0" w:firstRow="1" w:lastRow="0" w:firstColumn="1" w:lastColumn="0" w:noHBand="0" w:noVBand="1"/>
      </w:tblPr>
      <w:tblGrid>
        <w:gridCol w:w="9666"/>
      </w:tblGrid>
      <w:tr w:rsidR="00130E8B" w:rsidRPr="00F70E6D" w14:paraId="6878CFF5" w14:textId="77777777">
        <w:trPr>
          <w:trHeight w:val="317"/>
        </w:trPr>
        <w:tc>
          <w:tcPr>
            <w:tcW w:w="9666" w:type="dxa"/>
            <w:vAlign w:val="center"/>
          </w:tcPr>
          <w:p w14:paraId="4D343F9A" w14:textId="4DBAED5E" w:rsidR="00130E8B" w:rsidRDefault="000405CC" w:rsidP="00FC6BF3">
            <w:pPr>
              <w:numPr>
                <w:ilvl w:val="0"/>
                <w:numId w:val="26"/>
              </w:numPr>
              <w:tabs>
                <w:tab w:val="left" w:pos="672"/>
              </w:tabs>
              <w:ind w:left="561" w:hanging="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GYÓGYSZER NEVE ÉS AZ ALKALMAZÁS MÓDJA</w:t>
            </w:r>
          </w:p>
        </w:tc>
      </w:tr>
    </w:tbl>
    <w:p w14:paraId="7DCEE21C" w14:textId="77777777" w:rsidR="00130E8B" w:rsidRDefault="00130E8B">
      <w:pPr>
        <w:spacing w:line="200" w:lineRule="exact"/>
        <w:rPr>
          <w:lang w:val="hu-HU"/>
        </w:rPr>
      </w:pPr>
    </w:p>
    <w:p w14:paraId="04C552E6" w14:textId="77777777" w:rsidR="00130E8B" w:rsidRDefault="000405CC">
      <w:pPr>
        <w:pStyle w:val="a3"/>
        <w:rPr>
          <w:lang w:val="hu-HU"/>
        </w:rPr>
      </w:pPr>
      <w:r>
        <w:rPr>
          <w:rFonts w:eastAsia="Times New Roman"/>
          <w:lang w:val="hu-HU"/>
        </w:rPr>
        <w:t>Yuflyma 40 mg injekció</w:t>
      </w:r>
    </w:p>
    <w:p w14:paraId="2109E573" w14:textId="77777777" w:rsidR="00130E8B" w:rsidRDefault="000405CC">
      <w:pPr>
        <w:pStyle w:val="a3"/>
        <w:rPr>
          <w:lang w:val="hu-HU"/>
        </w:rPr>
      </w:pPr>
      <w:r>
        <w:rPr>
          <w:rFonts w:eastAsia="Times New Roman"/>
          <w:lang w:val="hu-HU"/>
        </w:rPr>
        <w:t>adalimumab</w:t>
      </w:r>
    </w:p>
    <w:p w14:paraId="13B4207B" w14:textId="5569BBB0" w:rsidR="00130E8B" w:rsidRDefault="00435A19">
      <w:pPr>
        <w:pStyle w:val="a3"/>
        <w:rPr>
          <w:lang w:val="hu-HU"/>
        </w:rPr>
      </w:pPr>
      <w:r>
        <w:rPr>
          <w:rFonts w:eastAsia="Times New Roman"/>
          <w:lang w:val="hu-HU"/>
        </w:rPr>
        <w:t>sc</w:t>
      </w:r>
      <w:r w:rsidR="00AE25FC">
        <w:rPr>
          <w:rFonts w:eastAsia="Times New Roman"/>
          <w:lang w:val="hu-HU"/>
        </w:rPr>
        <w:t>.</w:t>
      </w:r>
    </w:p>
    <w:p w14:paraId="004ECEE7" w14:textId="77777777" w:rsidR="00130E8B" w:rsidRDefault="00130E8B">
      <w:pPr>
        <w:pStyle w:val="a3"/>
        <w:rPr>
          <w:lang w:val="hu-HU"/>
        </w:rPr>
      </w:pPr>
    </w:p>
    <w:p w14:paraId="6A641A94" w14:textId="77777777" w:rsidR="00130E8B" w:rsidRDefault="00130E8B">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14:paraId="03DF5F43" w14:textId="77777777">
        <w:trPr>
          <w:trHeight w:val="317"/>
        </w:trPr>
        <w:tc>
          <w:tcPr>
            <w:tcW w:w="9666" w:type="dxa"/>
            <w:vAlign w:val="center"/>
          </w:tcPr>
          <w:p w14:paraId="1D5C957B" w14:textId="76F9CDAC" w:rsidR="00130E8B" w:rsidRDefault="000405CC" w:rsidP="00BE38B9">
            <w:pPr>
              <w:numPr>
                <w:ilvl w:val="0"/>
                <w:numId w:val="26"/>
              </w:numPr>
              <w:tabs>
                <w:tab w:val="left" w:pos="672"/>
              </w:tabs>
              <w:ind w:left="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AZ ALKALMAZÁSSAL KAPCSOLATOS TUDNIVALÓK</w:t>
            </w:r>
          </w:p>
        </w:tc>
      </w:tr>
    </w:tbl>
    <w:p w14:paraId="2B563D12" w14:textId="77777777" w:rsidR="00130E8B" w:rsidRDefault="00130E8B">
      <w:pPr>
        <w:spacing w:before="13" w:line="280" w:lineRule="exact"/>
        <w:rPr>
          <w:lang w:val="hu-HU"/>
        </w:rPr>
      </w:pPr>
    </w:p>
    <w:p w14:paraId="2671AA11" w14:textId="77777777" w:rsidR="00130E8B" w:rsidRDefault="00130E8B">
      <w:pPr>
        <w:spacing w:before="13" w:line="280" w:lineRule="exact"/>
        <w:rPr>
          <w:lang w:val="hu-HU"/>
        </w:rPr>
      </w:pPr>
    </w:p>
    <w:p w14:paraId="71960F70" w14:textId="77777777" w:rsidR="00130E8B" w:rsidRDefault="00130E8B">
      <w:pPr>
        <w:spacing w:before="13" w:line="280" w:lineRule="exact"/>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14:paraId="05094008" w14:textId="77777777">
        <w:trPr>
          <w:trHeight w:val="317"/>
        </w:trPr>
        <w:tc>
          <w:tcPr>
            <w:tcW w:w="9666" w:type="dxa"/>
            <w:vAlign w:val="center"/>
          </w:tcPr>
          <w:p w14:paraId="24DB1D8C" w14:textId="77777777" w:rsidR="00130E8B" w:rsidRDefault="000405CC">
            <w:pPr>
              <w:numPr>
                <w:ilvl w:val="0"/>
                <w:numId w:val="26"/>
              </w:numPr>
              <w:tabs>
                <w:tab w:val="left" w:pos="672"/>
              </w:tabs>
              <w:ind w:left="561" w:hanging="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LEJÁRATI IDŐ</w:t>
            </w:r>
          </w:p>
        </w:tc>
      </w:tr>
    </w:tbl>
    <w:p w14:paraId="4EEA20E9" w14:textId="77777777" w:rsidR="00130E8B" w:rsidRDefault="00130E8B">
      <w:pPr>
        <w:pStyle w:val="a3"/>
        <w:rPr>
          <w:lang w:val="hu-HU"/>
        </w:rPr>
      </w:pPr>
    </w:p>
    <w:p w14:paraId="06FD78B8" w14:textId="77777777" w:rsidR="00130E8B" w:rsidRDefault="000405CC">
      <w:pPr>
        <w:pStyle w:val="a3"/>
        <w:rPr>
          <w:lang w:val="hu-HU"/>
        </w:rPr>
      </w:pPr>
      <w:r>
        <w:rPr>
          <w:rFonts w:eastAsia="Times New Roman"/>
          <w:lang w:val="hu-HU"/>
        </w:rPr>
        <w:t>EXP</w:t>
      </w:r>
    </w:p>
    <w:p w14:paraId="450CD7CD" w14:textId="77777777" w:rsidR="00130E8B" w:rsidRDefault="00130E8B">
      <w:pPr>
        <w:pStyle w:val="a3"/>
        <w:rPr>
          <w:lang w:val="hu-HU"/>
        </w:rPr>
      </w:pPr>
    </w:p>
    <w:p w14:paraId="18BFACB7" w14:textId="77777777" w:rsidR="00130E8B" w:rsidRDefault="00130E8B">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14:paraId="33C46190" w14:textId="77777777">
        <w:trPr>
          <w:trHeight w:val="317"/>
        </w:trPr>
        <w:tc>
          <w:tcPr>
            <w:tcW w:w="9666" w:type="dxa"/>
            <w:vAlign w:val="center"/>
          </w:tcPr>
          <w:p w14:paraId="0C51A8C6" w14:textId="77777777" w:rsidR="00130E8B" w:rsidRDefault="000405CC">
            <w:pPr>
              <w:numPr>
                <w:ilvl w:val="0"/>
                <w:numId w:val="26"/>
              </w:numPr>
              <w:tabs>
                <w:tab w:val="left" w:pos="672"/>
              </w:tabs>
              <w:ind w:left="561" w:hanging="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GYÁRTÁSI TÉTEL SZÁMA</w:t>
            </w:r>
          </w:p>
        </w:tc>
      </w:tr>
    </w:tbl>
    <w:p w14:paraId="0FDF9C8B" w14:textId="77777777" w:rsidR="00130E8B" w:rsidRDefault="00130E8B">
      <w:pPr>
        <w:pStyle w:val="a3"/>
        <w:rPr>
          <w:lang w:val="hu-HU"/>
        </w:rPr>
      </w:pPr>
    </w:p>
    <w:p w14:paraId="10854210" w14:textId="77777777" w:rsidR="00130E8B" w:rsidRDefault="000405CC">
      <w:pPr>
        <w:pStyle w:val="a3"/>
        <w:rPr>
          <w:lang w:val="hu-HU"/>
        </w:rPr>
      </w:pPr>
      <w:r>
        <w:rPr>
          <w:rFonts w:eastAsia="Times New Roman"/>
          <w:lang w:val="hu-HU"/>
        </w:rPr>
        <w:t>Lot</w:t>
      </w:r>
    </w:p>
    <w:p w14:paraId="634410D0" w14:textId="77777777" w:rsidR="00130E8B" w:rsidRDefault="00130E8B">
      <w:pPr>
        <w:pStyle w:val="a3"/>
        <w:rPr>
          <w:lang w:val="hu-HU"/>
        </w:rPr>
      </w:pPr>
    </w:p>
    <w:p w14:paraId="4545F3D3" w14:textId="77777777" w:rsidR="00130E8B" w:rsidRDefault="00130E8B">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rsidRPr="00BE4D18" w14:paraId="66BB155A" w14:textId="77777777">
        <w:trPr>
          <w:trHeight w:val="317"/>
        </w:trPr>
        <w:tc>
          <w:tcPr>
            <w:tcW w:w="9666" w:type="dxa"/>
            <w:vAlign w:val="center"/>
          </w:tcPr>
          <w:p w14:paraId="27A7AD96" w14:textId="77777777" w:rsidR="00130E8B" w:rsidRDefault="000405CC">
            <w:pPr>
              <w:numPr>
                <w:ilvl w:val="0"/>
                <w:numId w:val="26"/>
              </w:numPr>
              <w:tabs>
                <w:tab w:val="left" w:pos="672"/>
              </w:tabs>
              <w:ind w:left="561" w:hanging="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TARTALOM SÚLYRA, TÉRFOGATRA, VAGY EGYSÉGRE VONATKOZTATVA</w:t>
            </w:r>
          </w:p>
        </w:tc>
      </w:tr>
    </w:tbl>
    <w:p w14:paraId="322F10F0" w14:textId="77777777" w:rsidR="00130E8B" w:rsidRDefault="00130E8B">
      <w:pPr>
        <w:spacing w:before="13" w:line="280" w:lineRule="exact"/>
        <w:rPr>
          <w:lang w:val="hu-HU"/>
        </w:rPr>
      </w:pPr>
    </w:p>
    <w:p w14:paraId="52A98899" w14:textId="77777777" w:rsidR="00130E8B" w:rsidRDefault="000405CC">
      <w:pPr>
        <w:pStyle w:val="a3"/>
        <w:rPr>
          <w:lang w:val="hu-HU"/>
        </w:rPr>
      </w:pPr>
      <w:r>
        <w:rPr>
          <w:rFonts w:eastAsia="Times New Roman"/>
          <w:spacing w:val="-4"/>
          <w:lang w:val="hu-HU"/>
        </w:rPr>
        <w:t>40 mg</w:t>
      </w:r>
      <w:r w:rsidRPr="002C783D">
        <w:rPr>
          <w:rFonts w:eastAsia="Times New Roman"/>
          <w:spacing w:val="-4"/>
          <w:lang w:val="hu-HU"/>
        </w:rPr>
        <w:t>/0,4 ml</w:t>
      </w:r>
    </w:p>
    <w:p w14:paraId="4CEA4560" w14:textId="77777777" w:rsidR="00130E8B" w:rsidRDefault="00130E8B">
      <w:pPr>
        <w:spacing w:before="13" w:line="280" w:lineRule="exact"/>
        <w:rPr>
          <w:lang w:val="hu-HU"/>
        </w:rPr>
      </w:pPr>
    </w:p>
    <w:p w14:paraId="52744E03" w14:textId="77777777" w:rsidR="00130E8B" w:rsidRDefault="00130E8B">
      <w:pPr>
        <w:spacing w:before="13" w:line="280" w:lineRule="exact"/>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14:paraId="3828541F" w14:textId="77777777">
        <w:trPr>
          <w:trHeight w:val="317"/>
        </w:trPr>
        <w:tc>
          <w:tcPr>
            <w:tcW w:w="9666" w:type="dxa"/>
            <w:vAlign w:val="center"/>
          </w:tcPr>
          <w:p w14:paraId="52E1B6A2" w14:textId="77777777" w:rsidR="00130E8B" w:rsidRDefault="000405CC">
            <w:pPr>
              <w:numPr>
                <w:ilvl w:val="0"/>
                <w:numId w:val="26"/>
              </w:numPr>
              <w:tabs>
                <w:tab w:val="left" w:pos="672"/>
              </w:tabs>
              <w:ind w:left="561" w:hanging="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EGYÉB INFORMÁCIÓK</w:t>
            </w:r>
          </w:p>
        </w:tc>
      </w:tr>
    </w:tbl>
    <w:p w14:paraId="7E2FF8FB" w14:textId="77777777" w:rsidR="00130E8B" w:rsidRDefault="00130E8B">
      <w:pPr>
        <w:pStyle w:val="a3"/>
        <w:rPr>
          <w:lang w:val="hu-HU"/>
        </w:rPr>
      </w:pPr>
    </w:p>
    <w:p w14:paraId="116FBF94" w14:textId="77777777" w:rsidR="00130E8B" w:rsidRDefault="00130E8B">
      <w:pPr>
        <w:rPr>
          <w:lang w:val="hu-HU"/>
        </w:rPr>
      </w:pPr>
    </w:p>
    <w:p w14:paraId="07155721" w14:textId="77777777" w:rsidR="00130E8B" w:rsidRDefault="00130E8B">
      <w:pPr>
        <w:rPr>
          <w:lang w:val="hu-HU"/>
        </w:rPr>
      </w:pPr>
    </w:p>
    <w:p w14:paraId="58BC2F9B" w14:textId="77777777" w:rsidR="00130E8B" w:rsidRDefault="000405CC">
      <w:pPr>
        <w:rPr>
          <w:lang w:val="hu-HU"/>
        </w:rPr>
      </w:pPr>
      <w:r>
        <w:rPr>
          <w:lang w:val="hu-HU"/>
        </w:rPr>
        <w:br w:type="page"/>
      </w:r>
    </w:p>
    <w:p w14:paraId="467B2400" w14:textId="77777777" w:rsidR="00130E8B" w:rsidRDefault="00130E8B">
      <w:pPr>
        <w:rPr>
          <w:rFonts w:ascii="Times New Roman" w:eastAsia="Times New Roman" w:hAnsi="Times New Roman"/>
          <w:b/>
          <w:bCs/>
          <w:spacing w:val="-1"/>
          <w:lang w:val="hu-HU"/>
        </w:rPr>
      </w:pPr>
    </w:p>
    <w:tbl>
      <w:tblPr>
        <w:tblStyle w:val="ac"/>
        <w:tblW w:w="9666" w:type="dxa"/>
        <w:tblLook w:val="04A0" w:firstRow="1" w:lastRow="0" w:firstColumn="1" w:lastColumn="0" w:noHBand="0" w:noVBand="1"/>
      </w:tblPr>
      <w:tblGrid>
        <w:gridCol w:w="9666"/>
      </w:tblGrid>
      <w:tr w:rsidR="00130E8B" w:rsidRPr="00BE4D18" w14:paraId="28FF192C" w14:textId="77777777">
        <w:trPr>
          <w:trHeight w:val="822"/>
        </w:trPr>
        <w:tc>
          <w:tcPr>
            <w:tcW w:w="9666" w:type="dxa"/>
            <w:vAlign w:val="center"/>
          </w:tcPr>
          <w:p w14:paraId="7D20F3E8" w14:textId="77777777" w:rsidR="00130E8B" w:rsidRDefault="000405CC">
            <w:pPr>
              <w:jc w:val="both"/>
              <w:rPr>
                <w:rFonts w:ascii="Times New Roman" w:eastAsia="Times New Roman" w:hAnsi="Times New Roman" w:cs="Times New Roman"/>
                <w:lang w:val="hu-HU"/>
              </w:rPr>
            </w:pPr>
            <w:r>
              <w:rPr>
                <w:rFonts w:ascii="Times New Roman" w:eastAsia="Times New Roman" w:hAnsi="Times New Roman" w:cs="Times New Roman"/>
                <w:b/>
                <w:bCs/>
                <w:spacing w:val="-1"/>
                <w:lang w:val="hu-HU"/>
              </w:rPr>
              <w:t>A KÜLSŐ CSOMAGOLÁSON FELTÜNTETENDŐ ADATOK</w:t>
            </w:r>
          </w:p>
          <w:p w14:paraId="7439F84D" w14:textId="77777777" w:rsidR="00130E8B" w:rsidRDefault="00130E8B">
            <w:pPr>
              <w:spacing w:line="180" w:lineRule="exact"/>
              <w:jc w:val="both"/>
              <w:rPr>
                <w:sz w:val="18"/>
                <w:szCs w:val="18"/>
                <w:lang w:val="hu-HU"/>
              </w:rPr>
            </w:pPr>
          </w:p>
          <w:p w14:paraId="6EF786E6" w14:textId="77777777" w:rsidR="00130E8B" w:rsidRDefault="00F14291">
            <w:pPr>
              <w:jc w:val="both"/>
              <w:rPr>
                <w:rFonts w:ascii="Times New Roman" w:eastAsia="Times New Roman" w:hAnsi="Times New Roman" w:cs="Times New Roman"/>
                <w:lang w:val="hu-HU"/>
              </w:rPr>
            </w:pPr>
            <w:r>
              <w:rPr>
                <w:rFonts w:ascii="Times New Roman" w:eastAsia="Times New Roman" w:hAnsi="Times New Roman" w:cs="Times New Roman"/>
                <w:b/>
                <w:bCs/>
                <w:spacing w:val="-1"/>
                <w:lang w:val="hu-HU"/>
              </w:rPr>
              <w:t xml:space="preserve">AZ </w:t>
            </w:r>
            <w:r w:rsidR="000405CC">
              <w:rPr>
                <w:rFonts w:ascii="Times New Roman" w:eastAsia="Times New Roman" w:hAnsi="Times New Roman" w:cs="Times New Roman"/>
                <w:b/>
                <w:bCs/>
                <w:spacing w:val="-1"/>
                <w:lang w:val="hu-HU"/>
              </w:rPr>
              <w:t>ELŐRETÖLTÖTT INJEKCIÓS TOLL KÜLSŐ DOBOZA</w:t>
            </w:r>
          </w:p>
        </w:tc>
      </w:tr>
    </w:tbl>
    <w:p w14:paraId="5D756AF3" w14:textId="77777777" w:rsidR="00130E8B" w:rsidRDefault="00130E8B">
      <w:pPr>
        <w:spacing w:line="200" w:lineRule="exact"/>
        <w:rPr>
          <w:sz w:val="20"/>
          <w:szCs w:val="20"/>
          <w:lang w:val="hu-HU"/>
        </w:rPr>
      </w:pPr>
    </w:p>
    <w:p w14:paraId="7C94CE6E" w14:textId="77777777" w:rsidR="00130E8B" w:rsidRDefault="00130E8B">
      <w:pPr>
        <w:spacing w:line="200" w:lineRule="exact"/>
        <w:rPr>
          <w:sz w:val="20"/>
          <w:szCs w:val="20"/>
          <w:lang w:val="hu-HU"/>
        </w:rPr>
      </w:pPr>
    </w:p>
    <w:tbl>
      <w:tblPr>
        <w:tblStyle w:val="ac"/>
        <w:tblpPr w:leftFromText="142" w:rightFromText="142" w:vertAnchor="text" w:tblpY="55"/>
        <w:tblW w:w="9666" w:type="dxa"/>
        <w:tblLook w:val="04A0" w:firstRow="1" w:lastRow="0" w:firstColumn="1" w:lastColumn="0" w:noHBand="0" w:noVBand="1"/>
      </w:tblPr>
      <w:tblGrid>
        <w:gridCol w:w="9666"/>
      </w:tblGrid>
      <w:tr w:rsidR="00130E8B" w14:paraId="33D22A5E" w14:textId="77777777">
        <w:trPr>
          <w:trHeight w:val="317"/>
        </w:trPr>
        <w:tc>
          <w:tcPr>
            <w:tcW w:w="9666" w:type="dxa"/>
            <w:vAlign w:val="center"/>
          </w:tcPr>
          <w:p w14:paraId="73C05036" w14:textId="77777777" w:rsidR="00130E8B" w:rsidRDefault="000405CC">
            <w:pPr>
              <w:numPr>
                <w:ilvl w:val="0"/>
                <w:numId w:val="27"/>
              </w:numPr>
              <w:tabs>
                <w:tab w:val="left" w:pos="672"/>
              </w:tabs>
              <w:ind w:left="550"/>
              <w:jc w:val="both"/>
              <w:rPr>
                <w:rFonts w:ascii="Times New Roman" w:eastAsia="Times New Roman" w:hAnsi="Times New Roman" w:cs="Times New Roman"/>
                <w:lang w:val="hu-HU"/>
              </w:rPr>
            </w:pPr>
            <w:r>
              <w:rPr>
                <w:rFonts w:ascii="Times New Roman" w:eastAsia="Times New Roman" w:hAnsi="Times New Roman" w:cs="Times New Roman"/>
                <w:b/>
                <w:bCs/>
                <w:spacing w:val="-1"/>
                <w:lang w:val="hu-HU"/>
              </w:rPr>
              <w:t>A GYÓGYSZER NEVE</w:t>
            </w:r>
          </w:p>
        </w:tc>
      </w:tr>
    </w:tbl>
    <w:p w14:paraId="20B030A4" w14:textId="77777777" w:rsidR="00130E8B" w:rsidRDefault="00130E8B">
      <w:pPr>
        <w:spacing w:line="200" w:lineRule="exact"/>
        <w:rPr>
          <w:sz w:val="20"/>
          <w:szCs w:val="20"/>
          <w:lang w:val="hu-HU"/>
        </w:rPr>
      </w:pPr>
    </w:p>
    <w:p w14:paraId="2246CAE9" w14:textId="77777777" w:rsidR="00130E8B" w:rsidRDefault="000405CC">
      <w:pPr>
        <w:pStyle w:val="a3"/>
        <w:rPr>
          <w:lang w:val="hu-HU"/>
        </w:rPr>
      </w:pPr>
      <w:r>
        <w:rPr>
          <w:rFonts w:eastAsia="Times New Roman"/>
          <w:lang w:val="hu-HU"/>
        </w:rPr>
        <w:t>Yuflyma 40 mg oldatos injekció előretöltött injekciós tollban</w:t>
      </w:r>
    </w:p>
    <w:p w14:paraId="10E3237D" w14:textId="77777777" w:rsidR="00130E8B" w:rsidRDefault="000405CC">
      <w:pPr>
        <w:pStyle w:val="a3"/>
        <w:rPr>
          <w:lang w:val="hu-HU"/>
        </w:rPr>
      </w:pPr>
      <w:r>
        <w:rPr>
          <w:rFonts w:eastAsia="Times New Roman"/>
          <w:lang w:val="hu-HU"/>
        </w:rPr>
        <w:t>adalimumab</w:t>
      </w:r>
    </w:p>
    <w:p w14:paraId="74D539E4" w14:textId="77777777" w:rsidR="00130E8B" w:rsidRDefault="00130E8B">
      <w:pPr>
        <w:pStyle w:val="a3"/>
        <w:rPr>
          <w:lang w:val="hu-HU"/>
        </w:rPr>
      </w:pPr>
    </w:p>
    <w:p w14:paraId="331AC49C" w14:textId="77777777" w:rsidR="00130E8B" w:rsidRDefault="00130E8B">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14:paraId="72A3D70A" w14:textId="77777777">
        <w:trPr>
          <w:trHeight w:val="317"/>
        </w:trPr>
        <w:tc>
          <w:tcPr>
            <w:tcW w:w="9666" w:type="dxa"/>
            <w:vAlign w:val="center"/>
          </w:tcPr>
          <w:p w14:paraId="24F553FD" w14:textId="77777777" w:rsidR="00130E8B" w:rsidRDefault="000405CC">
            <w:pPr>
              <w:numPr>
                <w:ilvl w:val="0"/>
                <w:numId w:val="2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HATÓANYAG MEGNEVEZÉSE</w:t>
            </w:r>
          </w:p>
        </w:tc>
      </w:tr>
    </w:tbl>
    <w:p w14:paraId="127D9B70" w14:textId="77777777" w:rsidR="00130E8B" w:rsidRDefault="00130E8B">
      <w:pPr>
        <w:spacing w:before="13" w:line="280" w:lineRule="exact"/>
        <w:rPr>
          <w:sz w:val="28"/>
          <w:szCs w:val="28"/>
          <w:lang w:val="hu-HU"/>
        </w:rPr>
      </w:pPr>
    </w:p>
    <w:p w14:paraId="77C0D474" w14:textId="77777777" w:rsidR="00130E8B" w:rsidRDefault="000405CC">
      <w:pPr>
        <w:pStyle w:val="a3"/>
        <w:rPr>
          <w:lang w:val="hu-HU"/>
        </w:rPr>
      </w:pPr>
      <w:r>
        <w:rPr>
          <w:rFonts w:eastAsia="Times New Roman"/>
          <w:lang w:val="hu-HU"/>
        </w:rPr>
        <w:t>Egy 0,4 ml-es előretöltött injekciós toll 40 mg adalimumabot tartalmaz.</w:t>
      </w:r>
    </w:p>
    <w:p w14:paraId="02A35D72" w14:textId="6BFEB0CD" w:rsidR="00130E8B" w:rsidRDefault="00130E8B">
      <w:pPr>
        <w:spacing w:before="13" w:line="280" w:lineRule="exact"/>
        <w:rPr>
          <w:sz w:val="28"/>
          <w:szCs w:val="28"/>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rsidRPr="00F70E6D" w14:paraId="732D3786" w14:textId="77777777">
        <w:trPr>
          <w:trHeight w:val="317"/>
        </w:trPr>
        <w:tc>
          <w:tcPr>
            <w:tcW w:w="9666" w:type="dxa"/>
            <w:vAlign w:val="center"/>
          </w:tcPr>
          <w:p w14:paraId="50449C4E" w14:textId="77777777" w:rsidR="00130E8B" w:rsidRDefault="000405CC">
            <w:pPr>
              <w:numPr>
                <w:ilvl w:val="0"/>
                <w:numId w:val="2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SEGÉDANYAGOK FELSOROLÁSA</w:t>
            </w:r>
          </w:p>
        </w:tc>
      </w:tr>
    </w:tbl>
    <w:p w14:paraId="28B802B2" w14:textId="77777777" w:rsidR="00130E8B" w:rsidRDefault="00130E8B">
      <w:pPr>
        <w:pStyle w:val="a3"/>
        <w:rPr>
          <w:lang w:val="hu-HU"/>
        </w:rPr>
      </w:pPr>
    </w:p>
    <w:p w14:paraId="364C399C" w14:textId="77777777" w:rsidR="00130E8B" w:rsidRDefault="000405CC">
      <w:pPr>
        <w:pStyle w:val="a3"/>
        <w:rPr>
          <w:noProof/>
          <w:lang w:val="hu-HU" w:eastAsia="ko-KR"/>
        </w:rPr>
      </w:pPr>
      <w:r>
        <w:rPr>
          <w:rFonts w:eastAsia="Times New Roman"/>
          <w:lang w:val="hu-HU"/>
        </w:rPr>
        <w:t xml:space="preserve">Segédanyagok : ecetsav, nátrium-acetát trihidrát, glicin , poliszorbát 80, injekcióhoz való víz . </w:t>
      </w:r>
      <w:r w:rsidRPr="004E2591">
        <w:rPr>
          <w:rFonts w:eastAsia="Times New Roman"/>
          <w:highlight w:val="lightGray"/>
          <w:lang w:val="hu-HU"/>
        </w:rPr>
        <w:t>További információért olvassa el a betegtájékoztatót.</w:t>
      </w:r>
    </w:p>
    <w:p w14:paraId="254AF26F" w14:textId="77777777" w:rsidR="00130E8B" w:rsidRDefault="00130E8B">
      <w:pPr>
        <w:pStyle w:val="a3"/>
        <w:rPr>
          <w:lang w:val="hu-HU"/>
        </w:rPr>
      </w:pPr>
    </w:p>
    <w:p w14:paraId="47436138" w14:textId="77777777" w:rsidR="00130E8B" w:rsidRDefault="00130E8B">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14:paraId="295B7911" w14:textId="77777777">
        <w:trPr>
          <w:trHeight w:val="317"/>
        </w:trPr>
        <w:tc>
          <w:tcPr>
            <w:tcW w:w="9666" w:type="dxa"/>
            <w:vAlign w:val="center"/>
          </w:tcPr>
          <w:p w14:paraId="7EF57376" w14:textId="77777777" w:rsidR="00130E8B" w:rsidRDefault="000405CC">
            <w:pPr>
              <w:numPr>
                <w:ilvl w:val="0"/>
                <w:numId w:val="2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GYÓGYSZERFORMA ÉS TARTALOM</w:t>
            </w:r>
          </w:p>
        </w:tc>
      </w:tr>
    </w:tbl>
    <w:p w14:paraId="35405D1D" w14:textId="77777777" w:rsidR="00130E8B" w:rsidRDefault="00130E8B">
      <w:pPr>
        <w:pStyle w:val="a3"/>
        <w:rPr>
          <w:lang w:val="hu-HU"/>
        </w:rPr>
      </w:pPr>
    </w:p>
    <w:p w14:paraId="0140F682" w14:textId="77777777" w:rsidR="00130E8B" w:rsidRDefault="000405CC">
      <w:pPr>
        <w:pStyle w:val="a3"/>
        <w:rPr>
          <w:lang w:val="hu-HU"/>
        </w:rPr>
      </w:pPr>
      <w:r w:rsidRPr="000405CC">
        <w:rPr>
          <w:rFonts w:eastAsia="Times New Roman"/>
          <w:highlight w:val="lightGray"/>
          <w:lang w:val="hu-HU"/>
        </w:rPr>
        <w:t>Oldatos injekció</w:t>
      </w:r>
    </w:p>
    <w:p w14:paraId="343D8BF4" w14:textId="27343621" w:rsidR="00130E8B" w:rsidRDefault="003C6726">
      <w:pPr>
        <w:pStyle w:val="a3"/>
        <w:rPr>
          <w:lang w:val="hu-HU"/>
        </w:rPr>
      </w:pPr>
      <w:r>
        <w:rPr>
          <w:rFonts w:eastAsia="Times New Roman"/>
          <w:lang w:val="hu-HU"/>
        </w:rPr>
        <w:t>1</w:t>
      </w:r>
      <w:r w:rsidR="000405CC">
        <w:rPr>
          <w:rFonts w:eastAsia="Times New Roman"/>
          <w:lang w:val="hu-HU"/>
        </w:rPr>
        <w:t xml:space="preserve"> db előretöltött injekciós toll </w:t>
      </w:r>
    </w:p>
    <w:p w14:paraId="382EE85C" w14:textId="77777777" w:rsidR="00130E8B" w:rsidRDefault="000405CC">
      <w:pPr>
        <w:pStyle w:val="a3"/>
        <w:rPr>
          <w:lang w:val="hu-HU"/>
        </w:rPr>
      </w:pPr>
      <w:r>
        <w:rPr>
          <w:rFonts w:eastAsia="Times New Roman"/>
          <w:lang w:val="hu-HU"/>
        </w:rPr>
        <w:t>2 db alkoholos törlőkendő</w:t>
      </w:r>
    </w:p>
    <w:p w14:paraId="7A94D2CB" w14:textId="77777777" w:rsidR="00130E8B" w:rsidRDefault="00130E8B">
      <w:pPr>
        <w:spacing w:line="180" w:lineRule="exact"/>
        <w:rPr>
          <w:sz w:val="18"/>
          <w:szCs w:val="18"/>
          <w:lang w:val="hu-HU"/>
        </w:rPr>
      </w:pPr>
    </w:p>
    <w:p w14:paraId="3A67B546" w14:textId="2EEB1936" w:rsidR="00130E8B" w:rsidRPr="000405CC" w:rsidRDefault="000405CC">
      <w:pPr>
        <w:pStyle w:val="a3"/>
        <w:rPr>
          <w:highlight w:val="lightGray"/>
          <w:lang w:val="hu-HU"/>
        </w:rPr>
      </w:pPr>
      <w:r w:rsidRPr="000405CC">
        <w:rPr>
          <w:rFonts w:eastAsia="Times New Roman"/>
          <w:highlight w:val="lightGray"/>
          <w:lang w:val="hu-HU"/>
        </w:rPr>
        <w:t>2 db előretöltöt</w:t>
      </w:r>
      <w:r w:rsidRPr="007814B0">
        <w:rPr>
          <w:rFonts w:eastAsia="Times New Roman"/>
          <w:highlight w:val="lightGray"/>
          <w:lang w:val="hu-HU"/>
        </w:rPr>
        <w:t>t</w:t>
      </w:r>
      <w:r w:rsidR="007814B0" w:rsidRPr="007814B0">
        <w:rPr>
          <w:rFonts w:eastAsia="Times New Roman"/>
          <w:highlight w:val="lightGray"/>
          <w:lang w:val="hu-HU"/>
        </w:rPr>
        <w:t xml:space="preserve"> </w:t>
      </w:r>
      <w:r w:rsidR="007814B0" w:rsidRPr="001E2F31">
        <w:rPr>
          <w:rFonts w:eastAsia="Times New Roman"/>
          <w:highlight w:val="lightGray"/>
          <w:lang w:val="hu-HU"/>
        </w:rPr>
        <w:t>injekciós</w:t>
      </w:r>
      <w:r w:rsidRPr="007814B0">
        <w:rPr>
          <w:rFonts w:eastAsia="Times New Roman"/>
          <w:highlight w:val="lightGray"/>
          <w:lang w:val="hu-HU"/>
        </w:rPr>
        <w:t xml:space="preserve"> t</w:t>
      </w:r>
      <w:r w:rsidRPr="000405CC">
        <w:rPr>
          <w:rFonts w:eastAsia="Times New Roman"/>
          <w:highlight w:val="lightGray"/>
          <w:lang w:val="hu-HU"/>
        </w:rPr>
        <w:t xml:space="preserve">oll </w:t>
      </w:r>
    </w:p>
    <w:p w14:paraId="37A21E44" w14:textId="77777777" w:rsidR="00130E8B" w:rsidRPr="000405CC" w:rsidRDefault="000405CC">
      <w:pPr>
        <w:pStyle w:val="a3"/>
        <w:rPr>
          <w:highlight w:val="lightGray"/>
          <w:lang w:val="hu-HU"/>
        </w:rPr>
      </w:pPr>
      <w:r w:rsidRPr="000405CC">
        <w:rPr>
          <w:rFonts w:eastAsia="Times New Roman"/>
          <w:highlight w:val="lightGray"/>
          <w:lang w:val="hu-HU"/>
        </w:rPr>
        <w:t>2 db alkoholos törlőkendő</w:t>
      </w:r>
    </w:p>
    <w:p w14:paraId="616FD664" w14:textId="77777777" w:rsidR="00130E8B" w:rsidRPr="000405CC" w:rsidRDefault="00130E8B">
      <w:pPr>
        <w:spacing w:line="170" w:lineRule="exact"/>
        <w:rPr>
          <w:sz w:val="17"/>
          <w:szCs w:val="17"/>
          <w:highlight w:val="lightGray"/>
          <w:lang w:val="hu-HU"/>
        </w:rPr>
      </w:pPr>
    </w:p>
    <w:p w14:paraId="1A80A34E" w14:textId="5EFF7C38" w:rsidR="00130E8B" w:rsidRPr="000405CC" w:rsidRDefault="000405CC">
      <w:pPr>
        <w:pStyle w:val="a3"/>
        <w:rPr>
          <w:highlight w:val="lightGray"/>
          <w:lang w:val="hu-HU"/>
        </w:rPr>
      </w:pPr>
      <w:r w:rsidRPr="000405CC">
        <w:rPr>
          <w:rFonts w:eastAsia="Times New Roman"/>
          <w:highlight w:val="lightGray"/>
          <w:lang w:val="hu-HU"/>
        </w:rPr>
        <w:t>4 db előretöltött</w:t>
      </w:r>
      <w:r w:rsidRPr="007814B0">
        <w:rPr>
          <w:rFonts w:eastAsia="Times New Roman"/>
          <w:highlight w:val="lightGray"/>
          <w:lang w:val="hu-HU"/>
        </w:rPr>
        <w:t xml:space="preserve"> </w:t>
      </w:r>
      <w:r w:rsidR="007814B0" w:rsidRPr="001E2F31">
        <w:rPr>
          <w:rFonts w:eastAsia="Times New Roman"/>
          <w:highlight w:val="lightGray"/>
          <w:lang w:val="hu-HU"/>
        </w:rPr>
        <w:t>injekciós</w:t>
      </w:r>
      <w:r w:rsidR="007814B0" w:rsidRPr="007814B0">
        <w:rPr>
          <w:rFonts w:eastAsia="Times New Roman"/>
          <w:highlight w:val="lightGray"/>
          <w:lang w:val="hu-HU"/>
        </w:rPr>
        <w:t xml:space="preserve"> </w:t>
      </w:r>
      <w:r w:rsidRPr="000405CC">
        <w:rPr>
          <w:rFonts w:eastAsia="Times New Roman"/>
          <w:highlight w:val="lightGray"/>
          <w:lang w:val="hu-HU"/>
        </w:rPr>
        <w:t xml:space="preserve">toll </w:t>
      </w:r>
    </w:p>
    <w:p w14:paraId="5405AD2B" w14:textId="77777777" w:rsidR="00130E8B" w:rsidRPr="000405CC" w:rsidRDefault="000405CC">
      <w:pPr>
        <w:pStyle w:val="a3"/>
        <w:rPr>
          <w:highlight w:val="lightGray"/>
          <w:lang w:val="hu-HU"/>
        </w:rPr>
      </w:pPr>
      <w:r w:rsidRPr="000405CC">
        <w:rPr>
          <w:rFonts w:eastAsia="Times New Roman"/>
          <w:highlight w:val="lightGray"/>
          <w:lang w:val="hu-HU"/>
        </w:rPr>
        <w:t>4 db alkoholos törlőkendő</w:t>
      </w:r>
    </w:p>
    <w:p w14:paraId="78D12F8C" w14:textId="77777777" w:rsidR="00130E8B" w:rsidRPr="000405CC" w:rsidRDefault="00130E8B">
      <w:pPr>
        <w:pStyle w:val="a3"/>
        <w:rPr>
          <w:highlight w:val="lightGray"/>
          <w:lang w:val="hu-HU"/>
        </w:rPr>
      </w:pPr>
    </w:p>
    <w:p w14:paraId="0C1A0167" w14:textId="3933B16F" w:rsidR="00130E8B" w:rsidRPr="000405CC" w:rsidRDefault="000405CC">
      <w:pPr>
        <w:pStyle w:val="a3"/>
        <w:rPr>
          <w:highlight w:val="lightGray"/>
          <w:lang w:val="hu-HU"/>
        </w:rPr>
      </w:pPr>
      <w:r w:rsidRPr="000405CC">
        <w:rPr>
          <w:rFonts w:eastAsia="Times New Roman"/>
          <w:highlight w:val="lightGray"/>
          <w:lang w:val="hu-HU"/>
        </w:rPr>
        <w:t>6 db előretölt</w:t>
      </w:r>
      <w:r w:rsidRPr="007814B0">
        <w:rPr>
          <w:rFonts w:eastAsia="Times New Roman"/>
          <w:highlight w:val="lightGray"/>
          <w:lang w:val="hu-HU"/>
        </w:rPr>
        <w:t xml:space="preserve">ött </w:t>
      </w:r>
      <w:r w:rsidR="007814B0" w:rsidRPr="001E2F31">
        <w:rPr>
          <w:rFonts w:eastAsia="Times New Roman"/>
          <w:highlight w:val="lightGray"/>
          <w:lang w:val="hu-HU"/>
        </w:rPr>
        <w:t>injekciós</w:t>
      </w:r>
      <w:r w:rsidR="007814B0" w:rsidRPr="007814B0">
        <w:rPr>
          <w:rFonts w:eastAsia="Times New Roman"/>
          <w:highlight w:val="lightGray"/>
          <w:lang w:val="hu-HU"/>
        </w:rPr>
        <w:t xml:space="preserve"> </w:t>
      </w:r>
      <w:r w:rsidRPr="000405CC">
        <w:rPr>
          <w:rFonts w:eastAsia="Times New Roman"/>
          <w:highlight w:val="lightGray"/>
          <w:lang w:val="hu-HU"/>
        </w:rPr>
        <w:t xml:space="preserve">toll </w:t>
      </w:r>
    </w:p>
    <w:p w14:paraId="5CB4837D" w14:textId="77777777" w:rsidR="00130E8B" w:rsidRDefault="000405CC">
      <w:pPr>
        <w:pStyle w:val="a3"/>
        <w:rPr>
          <w:lang w:val="hu-HU"/>
        </w:rPr>
      </w:pPr>
      <w:r w:rsidRPr="000405CC">
        <w:rPr>
          <w:rFonts w:eastAsia="Times New Roman"/>
          <w:highlight w:val="lightGray"/>
          <w:lang w:val="hu-HU"/>
        </w:rPr>
        <w:t>6 db alkoholos törlőkendő</w:t>
      </w:r>
    </w:p>
    <w:p w14:paraId="14253FA9" w14:textId="77777777" w:rsidR="00130E8B" w:rsidRDefault="00130E8B">
      <w:pPr>
        <w:spacing w:line="200" w:lineRule="exact"/>
        <w:rPr>
          <w:sz w:val="20"/>
          <w:szCs w:val="20"/>
          <w:lang w:val="hu-HU"/>
        </w:rPr>
      </w:pPr>
    </w:p>
    <w:p w14:paraId="7407E36C" w14:textId="77777777" w:rsidR="00130E8B" w:rsidRDefault="00130E8B">
      <w:pPr>
        <w:spacing w:line="200" w:lineRule="exact"/>
        <w:rPr>
          <w:sz w:val="20"/>
          <w:szCs w:val="20"/>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rsidRPr="00BE4D18" w14:paraId="146E3D5F" w14:textId="77777777">
        <w:trPr>
          <w:trHeight w:val="317"/>
        </w:trPr>
        <w:tc>
          <w:tcPr>
            <w:tcW w:w="9666" w:type="dxa"/>
            <w:vAlign w:val="center"/>
          </w:tcPr>
          <w:p w14:paraId="6DACACCE" w14:textId="31537F8F" w:rsidR="00130E8B" w:rsidRDefault="000405CC">
            <w:pPr>
              <w:numPr>
                <w:ilvl w:val="0"/>
                <w:numId w:val="2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AZ ALKALMAZÁSSAL KAPCSOLATOS TUDNIVALÓK ÉS AZ ALKALMAZÁS MÓDJA</w:t>
            </w:r>
          </w:p>
        </w:tc>
      </w:tr>
    </w:tbl>
    <w:p w14:paraId="64351397" w14:textId="77777777" w:rsidR="00130E8B" w:rsidRDefault="00130E8B">
      <w:pPr>
        <w:spacing w:line="200" w:lineRule="exact"/>
        <w:rPr>
          <w:sz w:val="20"/>
          <w:szCs w:val="20"/>
          <w:lang w:val="hu-HU"/>
        </w:rPr>
      </w:pPr>
    </w:p>
    <w:p w14:paraId="633D7CE4" w14:textId="77777777" w:rsidR="00130E8B" w:rsidRDefault="000405CC">
      <w:pPr>
        <w:pStyle w:val="a3"/>
        <w:rPr>
          <w:lang w:val="hu-HU"/>
        </w:rPr>
      </w:pPr>
      <w:r>
        <w:rPr>
          <w:rFonts w:eastAsia="Times New Roman"/>
          <w:lang w:val="hu-HU"/>
        </w:rPr>
        <w:t>Subcutan alkalmazás</w:t>
      </w:r>
    </w:p>
    <w:p w14:paraId="48ED2C64" w14:textId="77777777" w:rsidR="00130E8B" w:rsidRDefault="00130E8B">
      <w:pPr>
        <w:pStyle w:val="a3"/>
        <w:rPr>
          <w:lang w:val="hu-HU"/>
        </w:rPr>
      </w:pPr>
    </w:p>
    <w:p w14:paraId="4DCCD1F1" w14:textId="77777777" w:rsidR="00130E8B" w:rsidRDefault="000405CC">
      <w:pPr>
        <w:pStyle w:val="a3"/>
        <w:rPr>
          <w:lang w:val="hu-HU"/>
        </w:rPr>
      </w:pPr>
      <w:r>
        <w:rPr>
          <w:rFonts w:eastAsia="Times New Roman"/>
          <w:lang w:val="hu-HU"/>
        </w:rPr>
        <w:t>Használat előtt olvassa el a mellékelt betegtájékoztatót!</w:t>
      </w:r>
    </w:p>
    <w:p w14:paraId="459EEDAE" w14:textId="77777777" w:rsidR="00130E8B" w:rsidRDefault="00130E8B">
      <w:pPr>
        <w:pStyle w:val="a3"/>
        <w:rPr>
          <w:lang w:val="hu-HU"/>
        </w:rPr>
      </w:pPr>
    </w:p>
    <w:p w14:paraId="7D1111F6" w14:textId="77777777" w:rsidR="00130E8B" w:rsidRDefault="000405CC">
      <w:pPr>
        <w:pStyle w:val="a3"/>
        <w:rPr>
          <w:lang w:val="hu-HU"/>
        </w:rPr>
      </w:pPr>
      <w:r>
        <w:rPr>
          <w:rFonts w:eastAsia="Times New Roman"/>
          <w:lang w:val="hu-HU"/>
        </w:rPr>
        <w:t>Kizárólag egyszeri felhasználásra.</w:t>
      </w:r>
    </w:p>
    <w:p w14:paraId="12EAFDD6" w14:textId="77777777" w:rsidR="00130E8B" w:rsidRDefault="00130E8B">
      <w:pPr>
        <w:pStyle w:val="a3"/>
        <w:rPr>
          <w:lang w:val="hu-HU"/>
        </w:rPr>
      </w:pPr>
    </w:p>
    <w:p w14:paraId="5C18AAC5" w14:textId="77777777" w:rsidR="00130E8B" w:rsidRDefault="000405CC">
      <w:pPr>
        <w:rPr>
          <w:lang w:val="hu-HU"/>
        </w:rPr>
      </w:pPr>
      <w:r>
        <w:rPr>
          <w:lang w:val="hu-HU"/>
        </w:rPr>
        <w:br w:type="page"/>
      </w:r>
    </w:p>
    <w:tbl>
      <w:tblPr>
        <w:tblStyle w:val="ac"/>
        <w:tblpPr w:leftFromText="142" w:rightFromText="142" w:vertAnchor="text" w:tblpY="194"/>
        <w:tblW w:w="9666" w:type="dxa"/>
        <w:tblLook w:val="04A0" w:firstRow="1" w:lastRow="0" w:firstColumn="1" w:lastColumn="0" w:noHBand="0" w:noVBand="1"/>
      </w:tblPr>
      <w:tblGrid>
        <w:gridCol w:w="9666"/>
      </w:tblGrid>
      <w:tr w:rsidR="00130E8B" w:rsidRPr="00BE4D18" w14:paraId="20F5A7E0" w14:textId="77777777">
        <w:trPr>
          <w:trHeight w:val="317"/>
        </w:trPr>
        <w:tc>
          <w:tcPr>
            <w:tcW w:w="9666" w:type="dxa"/>
            <w:vAlign w:val="center"/>
          </w:tcPr>
          <w:p w14:paraId="395C31F7" w14:textId="77777777" w:rsidR="00130E8B" w:rsidRDefault="000405CC">
            <w:pPr>
              <w:numPr>
                <w:ilvl w:val="0"/>
                <w:numId w:val="27"/>
              </w:numPr>
              <w:tabs>
                <w:tab w:val="left" w:pos="672"/>
              </w:tabs>
              <w:ind w:left="550" w:hanging="550"/>
              <w:jc w:val="both"/>
              <w:rPr>
                <w:rFonts w:ascii="Times New Roman" w:eastAsia="Times New Roman" w:hAnsi="Times New Roman"/>
                <w:lang w:val="hu-HU"/>
              </w:rPr>
            </w:pPr>
            <w:r>
              <w:rPr>
                <w:rFonts w:ascii="Times New Roman" w:eastAsia="Times New Roman" w:hAnsi="Times New Roman" w:cs="Times New Roman"/>
                <w:b/>
                <w:bCs/>
                <w:spacing w:val="-1"/>
                <w:lang w:val="hu-HU"/>
              </w:rPr>
              <w:lastRenderedPageBreak/>
              <w:t>KÜLÖN FIGYELMEZTETÉS, MELY SZERINT A GYÓGYSZERT GYERMEKEKTŐL ELZÁRVA KELL TARTANI</w:t>
            </w:r>
          </w:p>
        </w:tc>
      </w:tr>
    </w:tbl>
    <w:p w14:paraId="0B35F95F" w14:textId="77777777" w:rsidR="00130E8B" w:rsidRDefault="00130E8B">
      <w:pPr>
        <w:spacing w:before="1" w:line="200" w:lineRule="exact"/>
        <w:rPr>
          <w:sz w:val="20"/>
          <w:szCs w:val="20"/>
          <w:lang w:val="hu-HU"/>
        </w:rPr>
      </w:pPr>
    </w:p>
    <w:p w14:paraId="30AC5F72" w14:textId="4DECFBF7" w:rsidR="00130E8B" w:rsidRDefault="000405CC">
      <w:pPr>
        <w:pStyle w:val="a3"/>
        <w:rPr>
          <w:lang w:val="hu-HU"/>
        </w:rPr>
      </w:pPr>
      <w:r>
        <w:rPr>
          <w:rFonts w:eastAsia="Times New Roman"/>
          <w:lang w:val="hu-HU"/>
        </w:rPr>
        <w:t>A gyógyszer gyermekektől elzárva tartandó</w:t>
      </w:r>
      <w:r w:rsidR="007814B0">
        <w:rPr>
          <w:rFonts w:eastAsia="Times New Roman"/>
          <w:lang w:val="hu-HU"/>
        </w:rPr>
        <w:t>.</w:t>
      </w:r>
    </w:p>
    <w:p w14:paraId="5FD65927" w14:textId="77777777" w:rsidR="00130E8B" w:rsidRDefault="00130E8B">
      <w:pPr>
        <w:rPr>
          <w:lang w:val="hu-HU"/>
        </w:rPr>
      </w:pPr>
    </w:p>
    <w:p w14:paraId="3D27049C" w14:textId="77777777" w:rsidR="00130E8B" w:rsidRDefault="00130E8B">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rsidRPr="00BE4D18" w14:paraId="25564AF2" w14:textId="77777777">
        <w:trPr>
          <w:trHeight w:val="317"/>
        </w:trPr>
        <w:tc>
          <w:tcPr>
            <w:tcW w:w="9666" w:type="dxa"/>
            <w:vAlign w:val="center"/>
          </w:tcPr>
          <w:p w14:paraId="1CE8AD8A" w14:textId="77777777" w:rsidR="00130E8B" w:rsidRDefault="000405CC">
            <w:pPr>
              <w:numPr>
                <w:ilvl w:val="0"/>
                <w:numId w:val="27"/>
              </w:numPr>
              <w:tabs>
                <w:tab w:val="left" w:pos="672"/>
              </w:tabs>
              <w:ind w:left="550" w:hanging="550"/>
              <w:jc w:val="both"/>
              <w:rPr>
                <w:rFonts w:ascii="Times New Roman" w:eastAsia="Times New Roman" w:hAnsi="Times New Roman"/>
                <w:lang w:val="hu-HU"/>
              </w:rPr>
            </w:pPr>
            <w:r>
              <w:rPr>
                <w:rFonts w:ascii="Times New Roman" w:eastAsia="Times New Roman" w:hAnsi="Times New Roman" w:cs="Times New Roman"/>
                <w:b/>
                <w:bCs/>
                <w:spacing w:val="-1"/>
                <w:lang w:val="hu-HU"/>
              </w:rPr>
              <w:t>TOVÁBBI FIGYELMEZTETÉS(EK), AMENNYIBEN SZÜKSÉGES</w:t>
            </w:r>
          </w:p>
        </w:tc>
      </w:tr>
    </w:tbl>
    <w:p w14:paraId="7A85E826" w14:textId="77777777" w:rsidR="00130E8B" w:rsidRDefault="00130E8B">
      <w:pPr>
        <w:rPr>
          <w:lang w:val="hu-HU"/>
        </w:rPr>
      </w:pPr>
    </w:p>
    <w:p w14:paraId="7E27E985" w14:textId="77777777" w:rsidR="00130E8B" w:rsidRDefault="00130E8B">
      <w:pPr>
        <w:rPr>
          <w:lang w:val="hu-HU"/>
        </w:rPr>
      </w:pPr>
    </w:p>
    <w:p w14:paraId="5C368CEC" w14:textId="77777777" w:rsidR="00130E8B" w:rsidRDefault="00130E8B">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14:paraId="48A10ACB" w14:textId="77777777">
        <w:trPr>
          <w:trHeight w:val="317"/>
        </w:trPr>
        <w:tc>
          <w:tcPr>
            <w:tcW w:w="9666" w:type="dxa"/>
            <w:vAlign w:val="center"/>
          </w:tcPr>
          <w:p w14:paraId="33C93272" w14:textId="77777777" w:rsidR="00130E8B" w:rsidRDefault="000405CC">
            <w:pPr>
              <w:numPr>
                <w:ilvl w:val="0"/>
                <w:numId w:val="2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LEJÁRATI IDŐ</w:t>
            </w:r>
          </w:p>
        </w:tc>
      </w:tr>
    </w:tbl>
    <w:p w14:paraId="6527DD3E" w14:textId="77777777" w:rsidR="00130E8B" w:rsidRDefault="00130E8B">
      <w:pPr>
        <w:rPr>
          <w:lang w:val="hu-HU"/>
        </w:rPr>
      </w:pPr>
    </w:p>
    <w:p w14:paraId="455F8903" w14:textId="77777777" w:rsidR="00130E8B" w:rsidRDefault="000405CC">
      <w:pPr>
        <w:pStyle w:val="a3"/>
        <w:rPr>
          <w:lang w:val="hu-HU"/>
        </w:rPr>
      </w:pPr>
      <w:r>
        <w:rPr>
          <w:rFonts w:eastAsia="Times New Roman"/>
          <w:lang w:val="hu-HU"/>
        </w:rPr>
        <w:t>EXP</w:t>
      </w:r>
    </w:p>
    <w:p w14:paraId="7D180ABB" w14:textId="77777777" w:rsidR="00130E8B" w:rsidRDefault="00130E8B">
      <w:pPr>
        <w:rPr>
          <w:lang w:val="hu-HU"/>
        </w:rPr>
      </w:pPr>
    </w:p>
    <w:p w14:paraId="1E60B58D" w14:textId="77777777" w:rsidR="00130E8B" w:rsidRDefault="00130E8B">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rsidRPr="00BE4D18" w14:paraId="48393186" w14:textId="77777777">
        <w:trPr>
          <w:trHeight w:val="317"/>
        </w:trPr>
        <w:tc>
          <w:tcPr>
            <w:tcW w:w="9666" w:type="dxa"/>
            <w:vAlign w:val="center"/>
          </w:tcPr>
          <w:p w14:paraId="7F21A162" w14:textId="77777777" w:rsidR="00130E8B" w:rsidRDefault="000405CC">
            <w:pPr>
              <w:numPr>
                <w:ilvl w:val="0"/>
                <w:numId w:val="2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KÜLÖNLEGES TÁROLÁSI ELŐÍRÁSOK</w:t>
            </w:r>
          </w:p>
        </w:tc>
      </w:tr>
    </w:tbl>
    <w:p w14:paraId="552DC482" w14:textId="77777777" w:rsidR="00130E8B" w:rsidRDefault="00130E8B">
      <w:pPr>
        <w:rPr>
          <w:lang w:val="hu-HU"/>
        </w:rPr>
      </w:pPr>
    </w:p>
    <w:p w14:paraId="57D89F78" w14:textId="178AFFE9" w:rsidR="00130E8B" w:rsidRDefault="000405CC">
      <w:pPr>
        <w:pStyle w:val="a3"/>
        <w:rPr>
          <w:lang w:val="hu-HU"/>
        </w:rPr>
      </w:pPr>
      <w:r>
        <w:rPr>
          <w:rFonts w:eastAsia="Times New Roman"/>
          <w:lang w:val="hu-HU"/>
        </w:rPr>
        <w:t>Hűtőszekrényben tárolandó. Nem fagyasztható</w:t>
      </w:r>
      <w:r w:rsidR="007814B0">
        <w:rPr>
          <w:rFonts w:eastAsia="Times New Roman"/>
          <w:lang w:val="hu-HU"/>
        </w:rPr>
        <w:t>.</w:t>
      </w:r>
    </w:p>
    <w:p w14:paraId="2C6A9C2E" w14:textId="77777777" w:rsidR="00130E8B" w:rsidRDefault="000405CC">
      <w:pPr>
        <w:pStyle w:val="a3"/>
        <w:rPr>
          <w:lang w:val="hu-HU"/>
        </w:rPr>
      </w:pPr>
      <w:r>
        <w:rPr>
          <w:rFonts w:eastAsia="Times New Roman"/>
          <w:lang w:val="hu-HU"/>
        </w:rPr>
        <w:t>A további tárolási információkért olvassa el a betegtájékoztatót.</w:t>
      </w:r>
    </w:p>
    <w:p w14:paraId="10F66588" w14:textId="4A884491" w:rsidR="00130E8B" w:rsidRDefault="000405CC">
      <w:pPr>
        <w:pStyle w:val="a3"/>
        <w:rPr>
          <w:lang w:val="hu-HU"/>
        </w:rPr>
      </w:pPr>
      <w:r>
        <w:rPr>
          <w:rFonts w:eastAsia="Times New Roman"/>
          <w:lang w:val="hu-HU"/>
        </w:rPr>
        <w:t>A fénytől való védelem érdekében az előretöltött injekciós toll</w:t>
      </w:r>
      <w:r w:rsidR="00F14291">
        <w:rPr>
          <w:rFonts w:eastAsia="Times New Roman"/>
          <w:lang w:val="hu-HU"/>
        </w:rPr>
        <w:t xml:space="preserve"> az</w:t>
      </w:r>
      <w:r>
        <w:rPr>
          <w:rFonts w:eastAsia="Times New Roman"/>
          <w:lang w:val="hu-HU"/>
        </w:rPr>
        <w:t xml:space="preserve"> eredeti dobozban tárolandó.</w:t>
      </w:r>
    </w:p>
    <w:p w14:paraId="5D79BFCD" w14:textId="7B7854CE" w:rsidR="00113FF2" w:rsidRDefault="00113FF2" w:rsidP="00113FF2">
      <w:pPr>
        <w:pStyle w:val="a3"/>
        <w:rPr>
          <w:lang w:val="hu-HU"/>
        </w:rPr>
      </w:pPr>
      <w:r w:rsidRPr="004E2591">
        <w:rPr>
          <w:rFonts w:eastAsia="Times New Roman"/>
          <w:highlight w:val="lightGray"/>
          <w:lang w:val="hu-HU"/>
        </w:rPr>
        <w:t>A fénytől való védelem érdekében az előretöltött injekciós tollak az eredeti dobozban tárolandó</w:t>
      </w:r>
      <w:r w:rsidR="004A2986">
        <w:rPr>
          <w:rFonts w:eastAsia="Times New Roman"/>
          <w:highlight w:val="lightGray"/>
          <w:lang w:val="hu-HU"/>
        </w:rPr>
        <w:t>k</w:t>
      </w:r>
      <w:r w:rsidRPr="004E2591">
        <w:rPr>
          <w:rFonts w:eastAsia="Times New Roman"/>
          <w:highlight w:val="lightGray"/>
          <w:lang w:val="hu-HU"/>
        </w:rPr>
        <w:t>.</w:t>
      </w:r>
    </w:p>
    <w:p w14:paraId="57A1DD8F" w14:textId="77777777" w:rsidR="00130E8B" w:rsidRPr="00113FF2" w:rsidRDefault="00130E8B">
      <w:pPr>
        <w:rPr>
          <w:lang w:val="hu-HU"/>
        </w:rPr>
      </w:pPr>
    </w:p>
    <w:p w14:paraId="77BD97E7" w14:textId="77777777" w:rsidR="00130E8B" w:rsidRDefault="00130E8B">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rsidRPr="00BE4D18" w14:paraId="3267A92A" w14:textId="77777777">
        <w:trPr>
          <w:trHeight w:val="317"/>
        </w:trPr>
        <w:tc>
          <w:tcPr>
            <w:tcW w:w="9666" w:type="dxa"/>
            <w:vAlign w:val="center"/>
          </w:tcPr>
          <w:p w14:paraId="3F797AC5" w14:textId="77777777" w:rsidR="00130E8B" w:rsidRDefault="000405CC">
            <w:pPr>
              <w:numPr>
                <w:ilvl w:val="0"/>
                <w:numId w:val="2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KÜLÖNLEGES ÓVINTÉZKEDÉSEK A FEL NEM HASZNÁLT GYÓGYSZEREK VAGY AZ ILYEN TERMÉKEKBŐL KELETKEZETT HULLADÉKANYAGOK ÁRTALMATLANNÁ TÉTELÉRE, HA ILYENEKRE SZÜKSÉG VAN</w:t>
            </w:r>
          </w:p>
        </w:tc>
      </w:tr>
    </w:tbl>
    <w:p w14:paraId="4DD182AE" w14:textId="77777777" w:rsidR="00130E8B" w:rsidRDefault="00130E8B">
      <w:pPr>
        <w:rPr>
          <w:lang w:val="hu-HU"/>
        </w:rPr>
      </w:pPr>
    </w:p>
    <w:p w14:paraId="798F1F8E" w14:textId="77777777" w:rsidR="00130E8B" w:rsidRDefault="00130E8B">
      <w:pPr>
        <w:rPr>
          <w:lang w:val="hu-HU"/>
        </w:rPr>
      </w:pPr>
    </w:p>
    <w:p w14:paraId="02BA7C55" w14:textId="77777777" w:rsidR="00130E8B" w:rsidRDefault="00130E8B">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14:paraId="0E689253" w14:textId="77777777">
        <w:trPr>
          <w:trHeight w:val="317"/>
        </w:trPr>
        <w:tc>
          <w:tcPr>
            <w:tcW w:w="9666" w:type="dxa"/>
            <w:vAlign w:val="center"/>
          </w:tcPr>
          <w:p w14:paraId="4740722A" w14:textId="77777777" w:rsidR="00130E8B" w:rsidRDefault="000405CC">
            <w:pPr>
              <w:numPr>
                <w:ilvl w:val="0"/>
                <w:numId w:val="2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FORGALOMBA HOZATALI ENGEDÉLY JOGOSULTJÁNAK NEVE ÉS CÍME</w:t>
            </w:r>
          </w:p>
        </w:tc>
      </w:tr>
    </w:tbl>
    <w:p w14:paraId="5CC23532" w14:textId="77777777" w:rsidR="00130E8B" w:rsidRDefault="00130E8B">
      <w:pPr>
        <w:spacing w:before="5" w:line="200" w:lineRule="exact"/>
        <w:rPr>
          <w:sz w:val="20"/>
          <w:szCs w:val="20"/>
          <w:lang w:val="hu-HU"/>
        </w:rPr>
      </w:pPr>
    </w:p>
    <w:p w14:paraId="217F9E1A" w14:textId="77777777" w:rsidR="00130E8B" w:rsidRDefault="000405CC">
      <w:pPr>
        <w:pStyle w:val="a3"/>
        <w:rPr>
          <w:lang w:val="hu-HU"/>
        </w:rPr>
      </w:pPr>
      <w:r>
        <w:rPr>
          <w:lang w:val="hu-HU"/>
        </w:rPr>
        <w:t xml:space="preserve">Celltrion Healthcare Hungary Kft. </w:t>
      </w:r>
    </w:p>
    <w:p w14:paraId="37E1043E" w14:textId="77777777" w:rsidR="00130E8B" w:rsidRDefault="000405CC">
      <w:pPr>
        <w:pStyle w:val="a3"/>
        <w:rPr>
          <w:lang w:val="hu-HU"/>
        </w:rPr>
      </w:pPr>
      <w:r>
        <w:rPr>
          <w:lang w:val="hu-HU"/>
        </w:rPr>
        <w:t>1062 Budapest</w:t>
      </w:r>
    </w:p>
    <w:p w14:paraId="4E6C8C39" w14:textId="77777777" w:rsidR="00130E8B" w:rsidRDefault="000405CC">
      <w:pPr>
        <w:pStyle w:val="a3"/>
        <w:rPr>
          <w:lang w:val="hu-HU"/>
        </w:rPr>
      </w:pPr>
      <w:r>
        <w:rPr>
          <w:lang w:val="hu-HU"/>
        </w:rPr>
        <w:t>Váci út 1-3. WestEnd Office Building B torony</w:t>
      </w:r>
    </w:p>
    <w:p w14:paraId="354C4E69" w14:textId="77777777" w:rsidR="00130E8B" w:rsidRDefault="000405CC">
      <w:pPr>
        <w:pStyle w:val="a3"/>
        <w:rPr>
          <w:lang w:val="hu-HU"/>
        </w:rPr>
      </w:pPr>
      <w:r>
        <w:rPr>
          <w:rFonts w:eastAsia="Times New Roman"/>
          <w:lang w:val="hu-HU"/>
        </w:rPr>
        <w:t>Magyarország</w:t>
      </w:r>
    </w:p>
    <w:p w14:paraId="4B68D49B" w14:textId="77777777" w:rsidR="00130E8B" w:rsidRDefault="00130E8B">
      <w:pPr>
        <w:rPr>
          <w:lang w:val="hu-HU"/>
        </w:rPr>
      </w:pPr>
    </w:p>
    <w:p w14:paraId="0FB11C92" w14:textId="77777777" w:rsidR="00130E8B" w:rsidRDefault="00130E8B">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14:paraId="1348F843" w14:textId="77777777">
        <w:trPr>
          <w:trHeight w:val="317"/>
        </w:trPr>
        <w:tc>
          <w:tcPr>
            <w:tcW w:w="9666" w:type="dxa"/>
            <w:vAlign w:val="center"/>
          </w:tcPr>
          <w:p w14:paraId="18A1D3D9" w14:textId="19A4DD63" w:rsidR="00130E8B" w:rsidRDefault="000405CC">
            <w:pPr>
              <w:numPr>
                <w:ilvl w:val="0"/>
                <w:numId w:val="2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FORGALOMBA HOZATALI ENGEDÉLY SZÁMA</w:t>
            </w:r>
            <w:r w:rsidR="00BE38B9">
              <w:rPr>
                <w:rFonts w:ascii="Times New Roman" w:eastAsia="Times New Roman" w:hAnsi="Times New Roman" w:cs="Times New Roman"/>
                <w:b/>
                <w:bCs/>
                <w:spacing w:val="-1"/>
                <w:lang w:val="hu-HU"/>
              </w:rPr>
              <w:t>(</w:t>
            </w:r>
            <w:r>
              <w:rPr>
                <w:rFonts w:ascii="Times New Roman" w:eastAsia="Times New Roman" w:hAnsi="Times New Roman" w:cs="Times New Roman"/>
                <w:b/>
                <w:bCs/>
                <w:spacing w:val="-1"/>
                <w:lang w:val="hu-HU"/>
              </w:rPr>
              <w:t>I</w:t>
            </w:r>
            <w:r w:rsidR="00BE38B9">
              <w:rPr>
                <w:rFonts w:ascii="Times New Roman" w:eastAsia="Times New Roman" w:hAnsi="Times New Roman" w:cs="Times New Roman"/>
                <w:b/>
                <w:bCs/>
                <w:spacing w:val="-1"/>
                <w:lang w:val="hu-HU"/>
              </w:rPr>
              <w:t>)</w:t>
            </w:r>
          </w:p>
        </w:tc>
      </w:tr>
    </w:tbl>
    <w:p w14:paraId="7168E04E" w14:textId="77777777" w:rsidR="00130E8B" w:rsidRDefault="00130E8B">
      <w:pPr>
        <w:rPr>
          <w:lang w:val="hu-HU"/>
        </w:rPr>
      </w:pPr>
    </w:p>
    <w:p w14:paraId="5F71F27E" w14:textId="77777777" w:rsidR="00130E8B" w:rsidRPr="004B23C8" w:rsidRDefault="000405CC">
      <w:pPr>
        <w:pStyle w:val="a3"/>
        <w:rPr>
          <w:highlight w:val="lightGray"/>
          <w:lang w:val="hu-HU"/>
        </w:rPr>
      </w:pPr>
      <w:r>
        <w:rPr>
          <w:rFonts w:eastAsia="Times New Roman"/>
          <w:lang w:val="hu-HU"/>
        </w:rPr>
        <w:t>EU/</w:t>
      </w:r>
      <w:r>
        <w:rPr>
          <w:rFonts w:eastAsia="Times New Roman" w:cs="Verdana"/>
          <w:color w:val="000000"/>
          <w:lang w:val="hu-HU"/>
        </w:rPr>
        <w:t xml:space="preserve">1/20/1513/009 </w:t>
      </w:r>
      <w:r w:rsidR="00F14291">
        <w:rPr>
          <w:rFonts w:eastAsia="Times New Roman" w:cs="Verdana"/>
          <w:color w:val="000000"/>
          <w:lang w:val="hu-HU"/>
        </w:rPr>
        <w:tab/>
      </w:r>
      <w:r w:rsidRPr="004B23C8">
        <w:rPr>
          <w:rFonts w:eastAsia="Times New Roman" w:cs="Verdana"/>
          <w:color w:val="000000"/>
          <w:highlight w:val="lightGray"/>
          <w:lang w:val="hu-HU"/>
        </w:rPr>
        <w:t>1 előretöltött injekciós toll</w:t>
      </w:r>
    </w:p>
    <w:p w14:paraId="3170A3D1" w14:textId="77777777" w:rsidR="00130E8B" w:rsidRPr="004B23C8" w:rsidRDefault="000405CC">
      <w:pPr>
        <w:pStyle w:val="a3"/>
        <w:rPr>
          <w:highlight w:val="lightGray"/>
          <w:lang w:val="hu-HU" w:eastAsia="ko-KR"/>
        </w:rPr>
      </w:pPr>
      <w:r w:rsidRPr="004B23C8">
        <w:rPr>
          <w:rFonts w:eastAsia="Times New Roman"/>
          <w:highlight w:val="lightGray"/>
          <w:lang w:val="hu-HU"/>
        </w:rPr>
        <w:t>EU/</w:t>
      </w:r>
      <w:r w:rsidRPr="004B23C8">
        <w:rPr>
          <w:rFonts w:eastAsia="Times New Roman" w:cs="Verdana"/>
          <w:color w:val="000000"/>
          <w:highlight w:val="lightGray"/>
          <w:lang w:val="hu-HU"/>
        </w:rPr>
        <w:t xml:space="preserve">1/20/1513/010 </w:t>
      </w:r>
      <w:r w:rsidR="00F14291" w:rsidRPr="004B23C8">
        <w:rPr>
          <w:rFonts w:eastAsia="Times New Roman" w:cs="Verdana"/>
          <w:color w:val="000000"/>
          <w:highlight w:val="lightGray"/>
          <w:lang w:val="hu-HU"/>
        </w:rPr>
        <w:tab/>
      </w:r>
      <w:r w:rsidRPr="004B23C8">
        <w:rPr>
          <w:rFonts w:eastAsia="Times New Roman" w:cs="Verdana"/>
          <w:color w:val="000000"/>
          <w:highlight w:val="lightGray"/>
          <w:lang w:val="hu-HU"/>
        </w:rPr>
        <w:t>2 előretöltött injekciós toll</w:t>
      </w:r>
    </w:p>
    <w:p w14:paraId="49494CD0" w14:textId="68BB4DFB" w:rsidR="00130E8B" w:rsidRPr="004B23C8" w:rsidRDefault="000405CC">
      <w:pPr>
        <w:pStyle w:val="a3"/>
        <w:rPr>
          <w:highlight w:val="lightGray"/>
          <w:lang w:val="hu-HU"/>
        </w:rPr>
      </w:pPr>
      <w:r w:rsidRPr="004B23C8">
        <w:rPr>
          <w:rFonts w:eastAsia="Times New Roman"/>
          <w:highlight w:val="lightGray"/>
          <w:lang w:val="hu-HU"/>
        </w:rPr>
        <w:t>EU/</w:t>
      </w:r>
      <w:r w:rsidRPr="004B23C8">
        <w:rPr>
          <w:rFonts w:eastAsia="Times New Roman" w:cs="Verdana"/>
          <w:color w:val="000000"/>
          <w:highlight w:val="lightGray"/>
          <w:lang w:val="hu-HU"/>
        </w:rPr>
        <w:t>1/20/1513/011</w:t>
      </w:r>
      <w:r w:rsidR="00F14291" w:rsidRPr="004B23C8">
        <w:rPr>
          <w:rFonts w:eastAsia="Times New Roman" w:cs="Verdana"/>
          <w:color w:val="000000"/>
          <w:highlight w:val="lightGray"/>
          <w:lang w:val="hu-HU"/>
        </w:rPr>
        <w:tab/>
      </w:r>
      <w:r w:rsidRPr="004B23C8">
        <w:rPr>
          <w:rFonts w:eastAsia="Times New Roman" w:cs="Verdana"/>
          <w:color w:val="000000"/>
          <w:highlight w:val="lightGray"/>
          <w:lang w:val="hu-HU"/>
        </w:rPr>
        <w:t>4 előretöltött injekciós toll</w:t>
      </w:r>
    </w:p>
    <w:p w14:paraId="1C1490C5" w14:textId="77777777" w:rsidR="00130E8B" w:rsidRDefault="000405CC">
      <w:pPr>
        <w:pStyle w:val="a3"/>
        <w:rPr>
          <w:lang w:val="hu-HU"/>
        </w:rPr>
      </w:pPr>
      <w:r w:rsidRPr="004B23C8">
        <w:rPr>
          <w:rFonts w:eastAsia="Times New Roman"/>
          <w:highlight w:val="lightGray"/>
          <w:lang w:val="hu-HU"/>
        </w:rPr>
        <w:t>EU/</w:t>
      </w:r>
      <w:r w:rsidRPr="004B23C8">
        <w:rPr>
          <w:rFonts w:eastAsia="Times New Roman" w:cs="Verdana"/>
          <w:color w:val="000000"/>
          <w:highlight w:val="lightGray"/>
          <w:lang w:val="hu-HU"/>
        </w:rPr>
        <w:t xml:space="preserve">1/20/1513/012 </w:t>
      </w:r>
      <w:r w:rsidR="00F14291" w:rsidRPr="004B23C8">
        <w:rPr>
          <w:rFonts w:eastAsia="Times New Roman" w:cs="Verdana"/>
          <w:color w:val="000000"/>
          <w:highlight w:val="lightGray"/>
          <w:lang w:val="hu-HU"/>
        </w:rPr>
        <w:tab/>
      </w:r>
      <w:r w:rsidRPr="004B23C8">
        <w:rPr>
          <w:rFonts w:eastAsia="Times New Roman" w:cs="Verdana"/>
          <w:color w:val="000000"/>
          <w:highlight w:val="lightGray"/>
          <w:lang w:val="hu-HU"/>
        </w:rPr>
        <w:t>6 előretöltött injekciós toll</w:t>
      </w:r>
    </w:p>
    <w:p w14:paraId="5C029ACC" w14:textId="77777777" w:rsidR="00130E8B" w:rsidRDefault="00130E8B">
      <w:pPr>
        <w:rPr>
          <w:lang w:val="hu-HU"/>
        </w:rPr>
      </w:pPr>
    </w:p>
    <w:p w14:paraId="6AF97E04" w14:textId="77777777" w:rsidR="00130E8B" w:rsidRDefault="000405CC">
      <w:pPr>
        <w:rPr>
          <w:lang w:val="hu-HU"/>
        </w:rPr>
      </w:pPr>
      <w:r>
        <w:rPr>
          <w:lang w:val="hu-HU"/>
        </w:rPr>
        <w:br w:type="page"/>
      </w:r>
    </w:p>
    <w:tbl>
      <w:tblPr>
        <w:tblStyle w:val="ac"/>
        <w:tblpPr w:leftFromText="142" w:rightFromText="142" w:vertAnchor="text" w:tblpY="194"/>
        <w:tblW w:w="9666" w:type="dxa"/>
        <w:tblLook w:val="04A0" w:firstRow="1" w:lastRow="0" w:firstColumn="1" w:lastColumn="0" w:noHBand="0" w:noVBand="1"/>
      </w:tblPr>
      <w:tblGrid>
        <w:gridCol w:w="9666"/>
      </w:tblGrid>
      <w:tr w:rsidR="00130E8B" w14:paraId="2301C106" w14:textId="77777777">
        <w:trPr>
          <w:trHeight w:val="317"/>
        </w:trPr>
        <w:tc>
          <w:tcPr>
            <w:tcW w:w="9666" w:type="dxa"/>
            <w:vAlign w:val="center"/>
          </w:tcPr>
          <w:p w14:paraId="00644D9A" w14:textId="77777777" w:rsidR="00130E8B" w:rsidRDefault="000405CC">
            <w:pPr>
              <w:numPr>
                <w:ilvl w:val="0"/>
                <w:numId w:val="2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lastRenderedPageBreak/>
              <w:t>A GYÁRTÁSI TÉTEL SZÁMA</w:t>
            </w:r>
          </w:p>
        </w:tc>
      </w:tr>
    </w:tbl>
    <w:p w14:paraId="1556BFE0" w14:textId="77777777" w:rsidR="00130E8B" w:rsidRDefault="00130E8B">
      <w:pPr>
        <w:rPr>
          <w:lang w:val="hu-HU"/>
        </w:rPr>
      </w:pPr>
    </w:p>
    <w:p w14:paraId="3C0BBB2F" w14:textId="77777777" w:rsidR="00130E8B" w:rsidRDefault="000405CC">
      <w:pPr>
        <w:pStyle w:val="a3"/>
        <w:rPr>
          <w:lang w:val="hu-HU"/>
        </w:rPr>
      </w:pPr>
      <w:r>
        <w:rPr>
          <w:rFonts w:eastAsia="Times New Roman"/>
          <w:lang w:val="hu-HU"/>
        </w:rPr>
        <w:t>Lot</w:t>
      </w:r>
    </w:p>
    <w:p w14:paraId="2918C681" w14:textId="77777777" w:rsidR="00130E8B" w:rsidRDefault="00130E8B">
      <w:pPr>
        <w:pStyle w:val="a3"/>
        <w:rPr>
          <w:lang w:val="hu-HU"/>
        </w:rPr>
      </w:pPr>
    </w:p>
    <w:p w14:paraId="368400D4" w14:textId="77777777" w:rsidR="00130E8B" w:rsidRDefault="00130E8B">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14:paraId="5CBA1AE0" w14:textId="77777777">
        <w:trPr>
          <w:trHeight w:val="317"/>
        </w:trPr>
        <w:tc>
          <w:tcPr>
            <w:tcW w:w="9666" w:type="dxa"/>
            <w:vAlign w:val="center"/>
          </w:tcPr>
          <w:p w14:paraId="0120A72D" w14:textId="77777777" w:rsidR="00130E8B" w:rsidRDefault="000405CC">
            <w:pPr>
              <w:numPr>
                <w:ilvl w:val="0"/>
                <w:numId w:val="2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GYÓGYSZER RENDELHETŐSÉGE</w:t>
            </w:r>
          </w:p>
        </w:tc>
      </w:tr>
    </w:tbl>
    <w:p w14:paraId="6AA5DFAF" w14:textId="77777777" w:rsidR="00130E8B" w:rsidRDefault="00130E8B">
      <w:pPr>
        <w:jc w:val="both"/>
        <w:rPr>
          <w:lang w:val="hu-HU"/>
        </w:rPr>
      </w:pPr>
    </w:p>
    <w:p w14:paraId="78833FD8" w14:textId="77777777" w:rsidR="00130E8B" w:rsidRDefault="00130E8B">
      <w:pPr>
        <w:jc w:val="both"/>
        <w:rPr>
          <w:lang w:val="hu-HU"/>
        </w:rPr>
      </w:pPr>
    </w:p>
    <w:p w14:paraId="5E354AA9" w14:textId="77777777" w:rsidR="00130E8B" w:rsidRDefault="00130E8B">
      <w:pPr>
        <w:jc w:val="both"/>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rsidRPr="00BE4D18" w14:paraId="2B799BAC" w14:textId="77777777">
        <w:trPr>
          <w:trHeight w:val="317"/>
        </w:trPr>
        <w:tc>
          <w:tcPr>
            <w:tcW w:w="9666" w:type="dxa"/>
            <w:vAlign w:val="center"/>
          </w:tcPr>
          <w:p w14:paraId="3D7E25B6" w14:textId="77777777" w:rsidR="00130E8B" w:rsidRDefault="000405CC">
            <w:pPr>
              <w:numPr>
                <w:ilvl w:val="0"/>
                <w:numId w:val="2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AZ ALKALMAZÁSRA VONATKOZÓ UTASÍTÁSOK</w:t>
            </w:r>
          </w:p>
        </w:tc>
      </w:tr>
    </w:tbl>
    <w:p w14:paraId="7355E62E" w14:textId="77777777" w:rsidR="00130E8B" w:rsidRDefault="00130E8B">
      <w:pPr>
        <w:jc w:val="both"/>
        <w:rPr>
          <w:lang w:val="hu-HU"/>
        </w:rPr>
      </w:pPr>
    </w:p>
    <w:p w14:paraId="416C649A" w14:textId="77777777" w:rsidR="00130E8B" w:rsidRDefault="00130E8B">
      <w:pPr>
        <w:jc w:val="both"/>
        <w:rPr>
          <w:lang w:val="hu-HU"/>
        </w:rPr>
      </w:pPr>
    </w:p>
    <w:p w14:paraId="765C4561" w14:textId="77777777" w:rsidR="00130E8B" w:rsidRDefault="00130E8B">
      <w:pPr>
        <w:jc w:val="both"/>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14:paraId="10007398" w14:textId="77777777">
        <w:trPr>
          <w:trHeight w:val="317"/>
        </w:trPr>
        <w:tc>
          <w:tcPr>
            <w:tcW w:w="9666" w:type="dxa"/>
            <w:vAlign w:val="center"/>
          </w:tcPr>
          <w:p w14:paraId="4CDE877C" w14:textId="77777777" w:rsidR="00130E8B" w:rsidRDefault="000405CC">
            <w:pPr>
              <w:numPr>
                <w:ilvl w:val="0"/>
                <w:numId w:val="2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BRAILLE ÍRÁSSAL FELTÜNTETETT INFORMÁCIÓK</w:t>
            </w:r>
          </w:p>
        </w:tc>
      </w:tr>
    </w:tbl>
    <w:p w14:paraId="7C5F55FF" w14:textId="77777777" w:rsidR="00130E8B" w:rsidRDefault="00130E8B">
      <w:pPr>
        <w:jc w:val="both"/>
        <w:rPr>
          <w:lang w:val="hu-HU"/>
        </w:rPr>
      </w:pPr>
    </w:p>
    <w:p w14:paraId="70731849" w14:textId="77777777" w:rsidR="00130E8B" w:rsidRDefault="000405CC">
      <w:pPr>
        <w:pStyle w:val="a3"/>
        <w:rPr>
          <w:lang w:val="hu-HU"/>
        </w:rPr>
      </w:pPr>
      <w:r>
        <w:rPr>
          <w:rFonts w:eastAsia="Times New Roman"/>
          <w:lang w:val="hu-HU"/>
        </w:rPr>
        <w:t>Yuflyma 40 mg</w:t>
      </w:r>
    </w:p>
    <w:p w14:paraId="0A77A414" w14:textId="77777777" w:rsidR="00130E8B" w:rsidRDefault="00130E8B">
      <w:pPr>
        <w:jc w:val="both"/>
        <w:rPr>
          <w:lang w:val="hu-HU"/>
        </w:rPr>
      </w:pPr>
    </w:p>
    <w:p w14:paraId="2ADE5AF9" w14:textId="77777777" w:rsidR="00130E8B" w:rsidRDefault="00130E8B">
      <w:pPr>
        <w:jc w:val="both"/>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rsidRPr="00BE4D18" w14:paraId="649A0C88" w14:textId="77777777">
        <w:trPr>
          <w:trHeight w:val="317"/>
        </w:trPr>
        <w:tc>
          <w:tcPr>
            <w:tcW w:w="9666" w:type="dxa"/>
            <w:vAlign w:val="center"/>
          </w:tcPr>
          <w:p w14:paraId="2F54D5C7" w14:textId="77777777" w:rsidR="00130E8B" w:rsidRDefault="000405CC">
            <w:pPr>
              <w:numPr>
                <w:ilvl w:val="0"/>
                <w:numId w:val="2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EGYEDI AZONOSÍTÓ – 2D VONALKÓD</w:t>
            </w:r>
          </w:p>
        </w:tc>
      </w:tr>
    </w:tbl>
    <w:p w14:paraId="04DFA410" w14:textId="77777777" w:rsidR="00130E8B" w:rsidRDefault="00130E8B">
      <w:pPr>
        <w:jc w:val="both"/>
        <w:rPr>
          <w:lang w:val="hu-HU"/>
        </w:rPr>
      </w:pPr>
    </w:p>
    <w:p w14:paraId="12A5A772" w14:textId="77777777" w:rsidR="00130E8B" w:rsidRDefault="000405CC">
      <w:pPr>
        <w:pStyle w:val="a3"/>
        <w:rPr>
          <w:lang w:val="hu-HU"/>
        </w:rPr>
      </w:pPr>
      <w:r w:rsidRPr="000405CC">
        <w:rPr>
          <w:rFonts w:eastAsia="Times New Roman"/>
          <w:highlight w:val="lightGray"/>
          <w:lang w:val="hu-HU"/>
        </w:rPr>
        <w:t>Egyedi azonosítójú 2D vonalkóddal ellátva.</w:t>
      </w:r>
    </w:p>
    <w:p w14:paraId="78158BA4" w14:textId="77777777" w:rsidR="00130E8B" w:rsidRDefault="00130E8B">
      <w:pPr>
        <w:jc w:val="both"/>
        <w:rPr>
          <w:lang w:val="hu-HU"/>
        </w:rPr>
      </w:pPr>
    </w:p>
    <w:p w14:paraId="6D9AFA80" w14:textId="77777777" w:rsidR="00130E8B" w:rsidRDefault="00130E8B">
      <w:pPr>
        <w:jc w:val="both"/>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rsidRPr="00BE4D18" w14:paraId="3B90CF47" w14:textId="77777777">
        <w:trPr>
          <w:trHeight w:val="317"/>
        </w:trPr>
        <w:tc>
          <w:tcPr>
            <w:tcW w:w="9666" w:type="dxa"/>
            <w:vAlign w:val="center"/>
          </w:tcPr>
          <w:p w14:paraId="6D88FE4D" w14:textId="77777777" w:rsidR="00130E8B" w:rsidRDefault="000405CC">
            <w:pPr>
              <w:numPr>
                <w:ilvl w:val="0"/>
                <w:numId w:val="2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EGYEDI AZONOSÍTÓ OLVASHATÓ FORMÁTUMA</w:t>
            </w:r>
          </w:p>
        </w:tc>
      </w:tr>
    </w:tbl>
    <w:p w14:paraId="3D6CA1A6" w14:textId="77777777" w:rsidR="00130E8B" w:rsidRDefault="00130E8B">
      <w:pPr>
        <w:jc w:val="both"/>
        <w:rPr>
          <w:lang w:val="hu-HU"/>
        </w:rPr>
      </w:pPr>
    </w:p>
    <w:p w14:paraId="0B822264" w14:textId="77777777" w:rsidR="00130E8B" w:rsidRDefault="000405CC">
      <w:pPr>
        <w:pStyle w:val="a3"/>
        <w:rPr>
          <w:lang w:val="hu-HU"/>
        </w:rPr>
      </w:pPr>
      <w:r>
        <w:rPr>
          <w:rFonts w:eastAsia="Times New Roman"/>
          <w:lang w:val="hu-HU"/>
        </w:rPr>
        <w:t>PC</w:t>
      </w:r>
    </w:p>
    <w:p w14:paraId="1A6E1BF0" w14:textId="77777777" w:rsidR="00130E8B" w:rsidRDefault="000405CC">
      <w:pPr>
        <w:pStyle w:val="a3"/>
        <w:rPr>
          <w:lang w:val="hu-HU"/>
        </w:rPr>
      </w:pPr>
      <w:r>
        <w:rPr>
          <w:rFonts w:eastAsia="Times New Roman"/>
          <w:lang w:val="hu-HU"/>
        </w:rPr>
        <w:t>SN</w:t>
      </w:r>
    </w:p>
    <w:p w14:paraId="0D329637" w14:textId="77777777" w:rsidR="00130E8B" w:rsidRDefault="000405CC">
      <w:pPr>
        <w:pStyle w:val="a3"/>
        <w:rPr>
          <w:spacing w:val="-2"/>
          <w:lang w:val="hu-HU"/>
        </w:rPr>
      </w:pPr>
      <w:r>
        <w:rPr>
          <w:rFonts w:eastAsia="Times New Roman"/>
          <w:spacing w:val="-2"/>
          <w:lang w:val="hu-HU"/>
        </w:rPr>
        <w:t>NN</w:t>
      </w:r>
    </w:p>
    <w:p w14:paraId="68B96F28" w14:textId="77777777" w:rsidR="00130E8B" w:rsidRDefault="00130E8B">
      <w:pPr>
        <w:pStyle w:val="a3"/>
        <w:rPr>
          <w:spacing w:val="-2"/>
          <w:lang w:val="hu-HU"/>
        </w:rPr>
      </w:pPr>
    </w:p>
    <w:p w14:paraId="2CEA2DB2" w14:textId="77777777" w:rsidR="00130E8B" w:rsidRDefault="000405CC">
      <w:pPr>
        <w:rPr>
          <w:rFonts w:ascii="Times New Roman" w:eastAsia="Times New Roman" w:hAnsi="Times New Roman"/>
          <w:spacing w:val="-2"/>
          <w:lang w:val="hu-HU"/>
        </w:rPr>
      </w:pPr>
      <w:r>
        <w:rPr>
          <w:spacing w:val="-2"/>
          <w:lang w:val="hu-HU"/>
        </w:rPr>
        <w:br w:type="page"/>
      </w:r>
    </w:p>
    <w:tbl>
      <w:tblPr>
        <w:tblStyle w:val="ac"/>
        <w:tblW w:w="9666" w:type="dxa"/>
        <w:tblLook w:val="04A0" w:firstRow="1" w:lastRow="0" w:firstColumn="1" w:lastColumn="0" w:noHBand="0" w:noVBand="1"/>
      </w:tblPr>
      <w:tblGrid>
        <w:gridCol w:w="9666"/>
      </w:tblGrid>
      <w:tr w:rsidR="00130E8B" w:rsidRPr="00BE4D18" w14:paraId="53CF04B2" w14:textId="77777777">
        <w:trPr>
          <w:trHeight w:val="822"/>
        </w:trPr>
        <w:tc>
          <w:tcPr>
            <w:tcW w:w="9666" w:type="dxa"/>
            <w:vAlign w:val="center"/>
          </w:tcPr>
          <w:p w14:paraId="2EE7C92D" w14:textId="77777777" w:rsidR="00130E8B" w:rsidRDefault="000405CC">
            <w:pPr>
              <w:tabs>
                <w:tab w:val="left" w:pos="672"/>
              </w:tabs>
              <w:jc w:val="both"/>
              <w:rPr>
                <w:rFonts w:ascii="Times New Roman" w:eastAsia="Times New Roman" w:hAnsi="Times New Roman" w:cs="Times New Roman"/>
                <w:b/>
                <w:bCs/>
                <w:spacing w:val="-1"/>
                <w:lang w:val="hu-HU"/>
              </w:rPr>
            </w:pPr>
            <w:r>
              <w:rPr>
                <w:rFonts w:ascii="Times New Roman" w:eastAsia="Times New Roman" w:hAnsi="Times New Roman" w:cs="Times New Roman"/>
                <w:bCs/>
                <w:spacing w:val="-1"/>
                <w:lang w:val="hu-HU"/>
              </w:rPr>
              <w:lastRenderedPageBreak/>
              <w:br w:type="page"/>
            </w:r>
            <w:r>
              <w:rPr>
                <w:rFonts w:ascii="Times New Roman" w:eastAsia="Times New Roman" w:hAnsi="Times New Roman" w:cs="Times New Roman"/>
                <w:b/>
                <w:bCs/>
                <w:spacing w:val="-1"/>
                <w:lang w:val="hu-HU"/>
              </w:rPr>
              <w:t xml:space="preserve">A KIS KÖZVETLEN CSOMAGOLÁSI EGYSÉGEKEN MINIMÁLISAN FELTÜNTETENDŐ ADATOK </w:t>
            </w:r>
          </w:p>
          <w:p w14:paraId="0D1D9014" w14:textId="77777777" w:rsidR="00130E8B" w:rsidRDefault="00130E8B">
            <w:pPr>
              <w:tabs>
                <w:tab w:val="left" w:pos="672"/>
              </w:tabs>
              <w:jc w:val="both"/>
              <w:rPr>
                <w:rFonts w:ascii="Times New Roman" w:eastAsia="Times New Roman" w:hAnsi="Times New Roman" w:cs="Times New Roman"/>
                <w:b/>
                <w:bCs/>
                <w:spacing w:val="-1"/>
                <w:lang w:val="hu-HU"/>
              </w:rPr>
            </w:pPr>
          </w:p>
          <w:p w14:paraId="422D02BE" w14:textId="77777777" w:rsidR="00130E8B" w:rsidRPr="00BE38B9" w:rsidRDefault="000405CC">
            <w:pPr>
              <w:tabs>
                <w:tab w:val="left" w:pos="672"/>
              </w:tabs>
              <w:jc w:val="both"/>
              <w:rPr>
                <w:rFonts w:ascii="Times New Roman" w:eastAsia="Times New Roman" w:hAnsi="Times New Roman" w:cs="Times New Roman"/>
                <w:b/>
                <w:bCs/>
                <w:spacing w:val="-1"/>
                <w:lang w:val="hu-HU"/>
              </w:rPr>
            </w:pPr>
            <w:r w:rsidRPr="00BE38B9">
              <w:rPr>
                <w:rFonts w:ascii="Times New Roman" w:eastAsia="Times New Roman" w:hAnsi="Times New Roman" w:cs="Times New Roman"/>
                <w:b/>
                <w:bCs/>
                <w:spacing w:val="-1"/>
                <w:lang w:val="hu-HU"/>
              </w:rPr>
              <w:t xml:space="preserve">AZELŐRETÖLTÖTT </w:t>
            </w:r>
            <w:r w:rsidRPr="001E2F31">
              <w:rPr>
                <w:rFonts w:ascii="Times New Roman" w:eastAsia="Times New Roman" w:hAnsi="Times New Roman" w:cs="Times New Roman"/>
                <w:b/>
                <w:spacing w:val="-1"/>
                <w:lang w:val="hu-HU"/>
              </w:rPr>
              <w:t>TOLL CÍMKÉJE</w:t>
            </w:r>
          </w:p>
        </w:tc>
      </w:tr>
    </w:tbl>
    <w:p w14:paraId="47F3FA0E" w14:textId="77777777" w:rsidR="00130E8B" w:rsidRDefault="00130E8B">
      <w:pPr>
        <w:spacing w:line="200" w:lineRule="exact"/>
        <w:rPr>
          <w:sz w:val="20"/>
          <w:szCs w:val="20"/>
          <w:lang w:val="hu-HU"/>
        </w:rPr>
      </w:pPr>
    </w:p>
    <w:p w14:paraId="75CCB94F" w14:textId="77777777" w:rsidR="00130E8B" w:rsidRDefault="00130E8B">
      <w:pPr>
        <w:spacing w:line="200" w:lineRule="exact"/>
        <w:rPr>
          <w:sz w:val="20"/>
          <w:szCs w:val="20"/>
          <w:lang w:val="hu-HU"/>
        </w:rPr>
      </w:pPr>
    </w:p>
    <w:tbl>
      <w:tblPr>
        <w:tblStyle w:val="ac"/>
        <w:tblpPr w:leftFromText="142" w:rightFromText="142" w:vertAnchor="text" w:tblpY="55"/>
        <w:tblW w:w="9666" w:type="dxa"/>
        <w:tblLook w:val="04A0" w:firstRow="1" w:lastRow="0" w:firstColumn="1" w:lastColumn="0" w:noHBand="0" w:noVBand="1"/>
      </w:tblPr>
      <w:tblGrid>
        <w:gridCol w:w="9666"/>
      </w:tblGrid>
      <w:tr w:rsidR="00130E8B" w:rsidRPr="00F70E6D" w14:paraId="4A2F06FA" w14:textId="77777777">
        <w:trPr>
          <w:trHeight w:val="317"/>
        </w:trPr>
        <w:tc>
          <w:tcPr>
            <w:tcW w:w="9666" w:type="dxa"/>
            <w:vAlign w:val="center"/>
          </w:tcPr>
          <w:p w14:paraId="49EDFDD1" w14:textId="77777777" w:rsidR="00130E8B" w:rsidRDefault="000405CC">
            <w:pPr>
              <w:numPr>
                <w:ilvl w:val="0"/>
                <w:numId w:val="28"/>
              </w:numPr>
              <w:tabs>
                <w:tab w:val="left" w:pos="672"/>
              </w:tabs>
              <w:ind w:left="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GYÓGYSZER NEVE ÉS AZ ALKALMAZÁS MÓDJA</w:t>
            </w:r>
          </w:p>
        </w:tc>
      </w:tr>
    </w:tbl>
    <w:p w14:paraId="092B8CAD" w14:textId="77777777" w:rsidR="00130E8B" w:rsidRDefault="00130E8B">
      <w:pPr>
        <w:spacing w:line="200" w:lineRule="exact"/>
        <w:rPr>
          <w:sz w:val="20"/>
          <w:szCs w:val="20"/>
          <w:lang w:val="hu-HU"/>
        </w:rPr>
      </w:pPr>
    </w:p>
    <w:p w14:paraId="66C072E1" w14:textId="77777777" w:rsidR="00130E8B" w:rsidRDefault="000405CC">
      <w:pPr>
        <w:pStyle w:val="a3"/>
        <w:rPr>
          <w:lang w:val="hu-HU"/>
        </w:rPr>
      </w:pPr>
      <w:r>
        <w:rPr>
          <w:rFonts w:eastAsia="Times New Roman"/>
          <w:lang w:val="hu-HU"/>
        </w:rPr>
        <w:t>Yuflyma 40 mg injekció</w:t>
      </w:r>
    </w:p>
    <w:p w14:paraId="00041E20" w14:textId="77777777" w:rsidR="00130E8B" w:rsidRDefault="000405CC">
      <w:pPr>
        <w:pStyle w:val="a3"/>
        <w:rPr>
          <w:lang w:val="hu-HU"/>
        </w:rPr>
      </w:pPr>
      <w:r>
        <w:rPr>
          <w:rFonts w:eastAsia="Times New Roman"/>
          <w:lang w:val="hu-HU"/>
        </w:rPr>
        <w:t>adalimumab</w:t>
      </w:r>
    </w:p>
    <w:p w14:paraId="390452D2" w14:textId="77777777" w:rsidR="00130E8B" w:rsidRDefault="000405CC">
      <w:pPr>
        <w:pStyle w:val="a3"/>
        <w:rPr>
          <w:lang w:val="hu-HU"/>
        </w:rPr>
      </w:pPr>
      <w:r>
        <w:rPr>
          <w:rFonts w:eastAsia="Times New Roman"/>
          <w:lang w:val="hu-HU"/>
        </w:rPr>
        <w:t>Subcutan alkalmazás</w:t>
      </w:r>
    </w:p>
    <w:p w14:paraId="75EA07AC" w14:textId="77777777" w:rsidR="00130E8B" w:rsidRDefault="00130E8B">
      <w:pPr>
        <w:pStyle w:val="a3"/>
        <w:rPr>
          <w:lang w:val="hu-HU"/>
        </w:rPr>
      </w:pPr>
    </w:p>
    <w:p w14:paraId="2E3540D4" w14:textId="77777777" w:rsidR="00130E8B" w:rsidRDefault="00130E8B">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14:paraId="71734E67" w14:textId="77777777">
        <w:trPr>
          <w:trHeight w:val="317"/>
        </w:trPr>
        <w:tc>
          <w:tcPr>
            <w:tcW w:w="9666" w:type="dxa"/>
            <w:vAlign w:val="center"/>
          </w:tcPr>
          <w:p w14:paraId="4C04DBDB" w14:textId="77777777" w:rsidR="00130E8B" w:rsidRDefault="000405CC">
            <w:pPr>
              <w:numPr>
                <w:ilvl w:val="0"/>
                <w:numId w:val="28"/>
              </w:numPr>
              <w:tabs>
                <w:tab w:val="left" w:pos="672"/>
              </w:tabs>
              <w:ind w:left="561" w:hanging="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AZ ALKALMAZÁSSAL KAPCSOLATOS TUDNIVALÓK</w:t>
            </w:r>
          </w:p>
        </w:tc>
      </w:tr>
    </w:tbl>
    <w:p w14:paraId="6F93AA32" w14:textId="77777777" w:rsidR="00130E8B" w:rsidRDefault="00130E8B">
      <w:pPr>
        <w:spacing w:before="13" w:line="280" w:lineRule="exact"/>
        <w:rPr>
          <w:sz w:val="28"/>
          <w:szCs w:val="28"/>
          <w:lang w:val="hu-HU"/>
        </w:rPr>
      </w:pPr>
    </w:p>
    <w:p w14:paraId="0EF525D8" w14:textId="77777777" w:rsidR="00130E8B" w:rsidRDefault="00130E8B">
      <w:pPr>
        <w:spacing w:before="13" w:line="280" w:lineRule="exact"/>
        <w:rPr>
          <w:sz w:val="28"/>
          <w:szCs w:val="28"/>
          <w:lang w:val="hu-HU"/>
        </w:rPr>
      </w:pPr>
    </w:p>
    <w:p w14:paraId="6DB995AD" w14:textId="77777777" w:rsidR="00130E8B" w:rsidRDefault="00130E8B">
      <w:pPr>
        <w:spacing w:before="13" w:line="280" w:lineRule="exact"/>
        <w:rPr>
          <w:sz w:val="28"/>
          <w:szCs w:val="28"/>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14:paraId="0F7A6F8D" w14:textId="77777777">
        <w:trPr>
          <w:trHeight w:val="317"/>
        </w:trPr>
        <w:tc>
          <w:tcPr>
            <w:tcW w:w="9666" w:type="dxa"/>
            <w:vAlign w:val="center"/>
          </w:tcPr>
          <w:p w14:paraId="03AFEF42" w14:textId="77777777" w:rsidR="00130E8B" w:rsidRDefault="000405CC">
            <w:pPr>
              <w:numPr>
                <w:ilvl w:val="0"/>
                <w:numId w:val="28"/>
              </w:numPr>
              <w:tabs>
                <w:tab w:val="left" w:pos="672"/>
              </w:tabs>
              <w:ind w:left="561" w:hanging="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LEJÁRATI IDŐ</w:t>
            </w:r>
          </w:p>
        </w:tc>
      </w:tr>
    </w:tbl>
    <w:p w14:paraId="67162D04" w14:textId="77777777" w:rsidR="00130E8B" w:rsidRDefault="00130E8B">
      <w:pPr>
        <w:pStyle w:val="a3"/>
        <w:rPr>
          <w:lang w:val="hu-HU"/>
        </w:rPr>
      </w:pPr>
    </w:p>
    <w:p w14:paraId="58C9E684" w14:textId="77777777" w:rsidR="00130E8B" w:rsidRDefault="000405CC">
      <w:pPr>
        <w:pStyle w:val="a3"/>
        <w:rPr>
          <w:lang w:val="hu-HU"/>
        </w:rPr>
      </w:pPr>
      <w:r>
        <w:rPr>
          <w:rFonts w:eastAsia="Times New Roman"/>
          <w:lang w:val="hu-HU"/>
        </w:rPr>
        <w:t>EXP</w:t>
      </w:r>
    </w:p>
    <w:p w14:paraId="549D3DA7" w14:textId="77777777" w:rsidR="00130E8B" w:rsidRDefault="00130E8B">
      <w:pPr>
        <w:pStyle w:val="a3"/>
        <w:rPr>
          <w:lang w:val="hu-HU"/>
        </w:rPr>
      </w:pPr>
    </w:p>
    <w:p w14:paraId="2F53187E" w14:textId="77777777" w:rsidR="00130E8B" w:rsidRDefault="00130E8B">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14:paraId="150CB814" w14:textId="77777777">
        <w:trPr>
          <w:trHeight w:val="317"/>
        </w:trPr>
        <w:tc>
          <w:tcPr>
            <w:tcW w:w="9666" w:type="dxa"/>
            <w:vAlign w:val="center"/>
          </w:tcPr>
          <w:p w14:paraId="21DF7809" w14:textId="77777777" w:rsidR="00130E8B" w:rsidRDefault="000405CC">
            <w:pPr>
              <w:numPr>
                <w:ilvl w:val="0"/>
                <w:numId w:val="28"/>
              </w:numPr>
              <w:tabs>
                <w:tab w:val="left" w:pos="672"/>
              </w:tabs>
              <w:ind w:left="561" w:hanging="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GYÁRTÁSI TÉTEL SZÁMA</w:t>
            </w:r>
          </w:p>
        </w:tc>
      </w:tr>
    </w:tbl>
    <w:p w14:paraId="23FEA3B2" w14:textId="77777777" w:rsidR="00130E8B" w:rsidRDefault="00130E8B">
      <w:pPr>
        <w:pStyle w:val="a3"/>
        <w:rPr>
          <w:lang w:val="hu-HU"/>
        </w:rPr>
      </w:pPr>
    </w:p>
    <w:p w14:paraId="7ADAA1A0" w14:textId="77777777" w:rsidR="00130E8B" w:rsidRDefault="000405CC">
      <w:pPr>
        <w:pStyle w:val="a3"/>
        <w:rPr>
          <w:lang w:val="hu-HU"/>
        </w:rPr>
      </w:pPr>
      <w:r>
        <w:rPr>
          <w:rFonts w:eastAsia="Times New Roman"/>
          <w:lang w:val="hu-HU"/>
        </w:rPr>
        <w:t>Lot</w:t>
      </w:r>
    </w:p>
    <w:p w14:paraId="30777FA5" w14:textId="77777777" w:rsidR="00130E8B" w:rsidRDefault="00130E8B">
      <w:pPr>
        <w:pStyle w:val="a3"/>
        <w:rPr>
          <w:lang w:val="hu-HU"/>
        </w:rPr>
      </w:pPr>
    </w:p>
    <w:p w14:paraId="7368B4FB" w14:textId="77777777" w:rsidR="00130E8B" w:rsidRDefault="00130E8B">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rsidRPr="00BE4D18" w14:paraId="329BCAAE" w14:textId="77777777">
        <w:trPr>
          <w:trHeight w:val="317"/>
        </w:trPr>
        <w:tc>
          <w:tcPr>
            <w:tcW w:w="9666" w:type="dxa"/>
            <w:vAlign w:val="center"/>
          </w:tcPr>
          <w:p w14:paraId="12F3EB6F" w14:textId="77777777" w:rsidR="00130E8B" w:rsidRDefault="000405CC">
            <w:pPr>
              <w:numPr>
                <w:ilvl w:val="0"/>
                <w:numId w:val="28"/>
              </w:numPr>
              <w:tabs>
                <w:tab w:val="left" w:pos="672"/>
              </w:tabs>
              <w:ind w:left="561" w:hanging="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TARTALOM SÚLYRA, TÉRFOGATRA, VAGY EGYSÉGRE VONATKOZTATVA</w:t>
            </w:r>
          </w:p>
        </w:tc>
      </w:tr>
    </w:tbl>
    <w:p w14:paraId="1DBB4862" w14:textId="77777777" w:rsidR="00130E8B" w:rsidRDefault="00130E8B">
      <w:pPr>
        <w:spacing w:before="13" w:line="280" w:lineRule="exact"/>
        <w:rPr>
          <w:sz w:val="28"/>
          <w:szCs w:val="28"/>
          <w:lang w:val="hu-HU"/>
        </w:rPr>
      </w:pPr>
    </w:p>
    <w:p w14:paraId="34D4A2E8" w14:textId="77777777" w:rsidR="00130E8B" w:rsidRDefault="000405CC">
      <w:pPr>
        <w:pStyle w:val="a3"/>
        <w:rPr>
          <w:lang w:val="hu-HU"/>
        </w:rPr>
      </w:pPr>
      <w:r>
        <w:rPr>
          <w:rFonts w:eastAsia="Times New Roman"/>
          <w:lang w:val="hu-HU"/>
        </w:rPr>
        <w:t>40 m</w:t>
      </w:r>
      <w:r w:rsidRPr="009E34FF">
        <w:rPr>
          <w:rFonts w:eastAsia="Times New Roman"/>
          <w:lang w:val="hu-HU"/>
        </w:rPr>
        <w:t>g</w:t>
      </w:r>
      <w:r w:rsidRPr="002C783D">
        <w:rPr>
          <w:rFonts w:eastAsia="Times New Roman"/>
          <w:lang w:val="hu-HU"/>
        </w:rPr>
        <w:t>/0,4 ml</w:t>
      </w:r>
    </w:p>
    <w:p w14:paraId="5C7A66CF" w14:textId="77777777" w:rsidR="00130E8B" w:rsidRDefault="00130E8B">
      <w:pPr>
        <w:spacing w:before="13" w:line="280" w:lineRule="exact"/>
        <w:rPr>
          <w:sz w:val="28"/>
          <w:szCs w:val="28"/>
          <w:lang w:val="hu-HU"/>
        </w:rPr>
      </w:pPr>
    </w:p>
    <w:p w14:paraId="5EC70CCE" w14:textId="77777777" w:rsidR="00130E8B" w:rsidRDefault="00130E8B">
      <w:pPr>
        <w:spacing w:before="13" w:line="280" w:lineRule="exact"/>
        <w:rPr>
          <w:sz w:val="28"/>
          <w:szCs w:val="28"/>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130E8B" w14:paraId="4E1A6D5E" w14:textId="77777777">
        <w:trPr>
          <w:trHeight w:val="317"/>
        </w:trPr>
        <w:tc>
          <w:tcPr>
            <w:tcW w:w="9666" w:type="dxa"/>
            <w:vAlign w:val="center"/>
          </w:tcPr>
          <w:p w14:paraId="15433379" w14:textId="1A102CC7" w:rsidR="00130E8B" w:rsidRDefault="00FC6BF3" w:rsidP="00B624E0">
            <w:pPr>
              <w:numPr>
                <w:ilvl w:val="0"/>
                <w:numId w:val="28"/>
              </w:numPr>
              <w:tabs>
                <w:tab w:val="left" w:pos="672"/>
              </w:tabs>
              <w:ind w:left="561" w:hanging="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EGYÉB INFORMÁCIÓK</w:t>
            </w:r>
          </w:p>
        </w:tc>
      </w:tr>
    </w:tbl>
    <w:p w14:paraId="66E282C4" w14:textId="77777777" w:rsidR="00130E8B" w:rsidRDefault="00130E8B">
      <w:pPr>
        <w:pStyle w:val="a3"/>
        <w:rPr>
          <w:lang w:val="hu-HU"/>
        </w:rPr>
      </w:pPr>
    </w:p>
    <w:p w14:paraId="1ABF8E52" w14:textId="77777777" w:rsidR="00130E8B" w:rsidRDefault="00130E8B">
      <w:pPr>
        <w:rPr>
          <w:lang w:val="hu-HU"/>
        </w:rPr>
      </w:pPr>
    </w:p>
    <w:p w14:paraId="41C38F98" w14:textId="04DA0BE7" w:rsidR="00956594" w:rsidRDefault="000405CC">
      <w:pPr>
        <w:rPr>
          <w:lang w:val="hu-HU"/>
        </w:rPr>
      </w:pPr>
      <w:r>
        <w:rPr>
          <w:lang w:val="hu-HU"/>
        </w:rPr>
        <w:br w:type="page"/>
      </w:r>
    </w:p>
    <w:tbl>
      <w:tblPr>
        <w:tblStyle w:val="ac"/>
        <w:tblW w:w="9666" w:type="dxa"/>
        <w:tblLook w:val="04A0" w:firstRow="1" w:lastRow="0" w:firstColumn="1" w:lastColumn="0" w:noHBand="0" w:noVBand="1"/>
      </w:tblPr>
      <w:tblGrid>
        <w:gridCol w:w="9666"/>
      </w:tblGrid>
      <w:tr w:rsidR="00956594" w:rsidRPr="00BE4D18" w14:paraId="441218C2" w14:textId="77777777" w:rsidTr="007E7849">
        <w:trPr>
          <w:trHeight w:val="822"/>
        </w:trPr>
        <w:tc>
          <w:tcPr>
            <w:tcW w:w="9666" w:type="dxa"/>
            <w:vAlign w:val="center"/>
          </w:tcPr>
          <w:p w14:paraId="4974E6C4" w14:textId="77777777" w:rsidR="00956594" w:rsidRDefault="00956594" w:rsidP="007E7849">
            <w:pPr>
              <w:jc w:val="both"/>
              <w:rPr>
                <w:rFonts w:ascii="Times New Roman" w:eastAsia="Times New Roman" w:hAnsi="Times New Roman" w:cs="Times New Roman"/>
                <w:lang w:val="hu-HU"/>
              </w:rPr>
            </w:pPr>
            <w:r>
              <w:rPr>
                <w:rFonts w:ascii="Times New Roman" w:eastAsia="Times New Roman" w:hAnsi="Times New Roman" w:cs="Times New Roman"/>
                <w:b/>
                <w:bCs/>
                <w:spacing w:val="-1"/>
                <w:lang w:val="hu-HU"/>
              </w:rPr>
              <w:lastRenderedPageBreak/>
              <w:t>A KÜLSŐ CSOMAGOLÁSON FELTÜNTETENDŐ ADATOK</w:t>
            </w:r>
          </w:p>
          <w:p w14:paraId="24C5C373" w14:textId="77777777" w:rsidR="00956594" w:rsidRDefault="00956594" w:rsidP="007E7849">
            <w:pPr>
              <w:spacing w:line="180" w:lineRule="exact"/>
              <w:jc w:val="both"/>
              <w:rPr>
                <w:lang w:val="hu-HU"/>
              </w:rPr>
            </w:pPr>
          </w:p>
          <w:p w14:paraId="51E7C8E0" w14:textId="77777777" w:rsidR="00956594" w:rsidRDefault="00956594" w:rsidP="007E7849">
            <w:pPr>
              <w:jc w:val="both"/>
              <w:rPr>
                <w:rFonts w:ascii="Times New Roman" w:eastAsia="Times New Roman" w:hAnsi="Times New Roman" w:cs="Times New Roman"/>
                <w:lang w:val="hu-HU"/>
              </w:rPr>
            </w:pPr>
            <w:r>
              <w:rPr>
                <w:rFonts w:ascii="Times New Roman" w:eastAsia="Times New Roman" w:hAnsi="Times New Roman" w:cs="Times New Roman"/>
                <w:b/>
                <w:bCs/>
                <w:spacing w:val="-1"/>
                <w:lang w:val="hu-HU"/>
              </w:rPr>
              <w:t>AZ ELŐRETÖLTÖTT FECSKENDŐ KÜLSŐ DOBOZA</w:t>
            </w:r>
          </w:p>
        </w:tc>
      </w:tr>
    </w:tbl>
    <w:p w14:paraId="054CAD16" w14:textId="77777777" w:rsidR="00956594" w:rsidRDefault="00956594" w:rsidP="00956594">
      <w:pPr>
        <w:spacing w:line="200" w:lineRule="exact"/>
        <w:rPr>
          <w:lang w:val="hu-HU"/>
        </w:rPr>
      </w:pPr>
    </w:p>
    <w:p w14:paraId="6998D9F7" w14:textId="77777777" w:rsidR="00956594" w:rsidRDefault="00956594" w:rsidP="00956594">
      <w:pPr>
        <w:spacing w:line="200" w:lineRule="exact"/>
        <w:rPr>
          <w:lang w:val="hu-HU"/>
        </w:rPr>
      </w:pPr>
    </w:p>
    <w:tbl>
      <w:tblPr>
        <w:tblStyle w:val="ac"/>
        <w:tblpPr w:leftFromText="142" w:rightFromText="142" w:vertAnchor="text" w:tblpY="55"/>
        <w:tblW w:w="9666" w:type="dxa"/>
        <w:tblLook w:val="04A0" w:firstRow="1" w:lastRow="0" w:firstColumn="1" w:lastColumn="0" w:noHBand="0" w:noVBand="1"/>
      </w:tblPr>
      <w:tblGrid>
        <w:gridCol w:w="9666"/>
      </w:tblGrid>
      <w:tr w:rsidR="00956594" w14:paraId="0DAF60E9" w14:textId="77777777" w:rsidTr="007E7849">
        <w:trPr>
          <w:trHeight w:val="317"/>
        </w:trPr>
        <w:tc>
          <w:tcPr>
            <w:tcW w:w="9666" w:type="dxa"/>
            <w:vAlign w:val="center"/>
          </w:tcPr>
          <w:p w14:paraId="27EEC2AE" w14:textId="77777777" w:rsidR="00956594" w:rsidRDefault="00956594" w:rsidP="00FD05AA">
            <w:pPr>
              <w:numPr>
                <w:ilvl w:val="0"/>
                <w:numId w:val="57"/>
              </w:numPr>
              <w:tabs>
                <w:tab w:val="left" w:pos="672"/>
              </w:tabs>
              <w:ind w:left="550"/>
              <w:jc w:val="both"/>
              <w:rPr>
                <w:rFonts w:ascii="Times New Roman" w:eastAsia="Times New Roman" w:hAnsi="Times New Roman" w:cs="Times New Roman"/>
                <w:lang w:val="hu-HU"/>
              </w:rPr>
            </w:pPr>
            <w:r>
              <w:rPr>
                <w:rFonts w:ascii="Times New Roman" w:eastAsia="Times New Roman" w:hAnsi="Times New Roman" w:cs="Times New Roman"/>
                <w:b/>
                <w:bCs/>
                <w:spacing w:val="-1"/>
                <w:lang w:val="hu-HU"/>
              </w:rPr>
              <w:t>A GYÓGYSZER NEVE</w:t>
            </w:r>
          </w:p>
        </w:tc>
      </w:tr>
    </w:tbl>
    <w:p w14:paraId="1C257A00" w14:textId="77777777" w:rsidR="00956594" w:rsidRDefault="00956594" w:rsidP="00956594">
      <w:pPr>
        <w:spacing w:line="200" w:lineRule="exact"/>
        <w:rPr>
          <w:lang w:val="hu-HU"/>
        </w:rPr>
      </w:pPr>
    </w:p>
    <w:p w14:paraId="64C6240B" w14:textId="53626F1A" w:rsidR="00956594" w:rsidRDefault="00956594" w:rsidP="00956594">
      <w:pPr>
        <w:pStyle w:val="a3"/>
        <w:rPr>
          <w:lang w:val="hu-HU"/>
        </w:rPr>
      </w:pPr>
      <w:r>
        <w:rPr>
          <w:rFonts w:eastAsia="Times New Roman"/>
          <w:lang w:val="hu-HU"/>
        </w:rPr>
        <w:t>Yuflyma 80 mg oldatos injekció előretöltött fecskendőben</w:t>
      </w:r>
    </w:p>
    <w:p w14:paraId="2061B63B" w14:textId="77777777" w:rsidR="00956594" w:rsidRDefault="00956594" w:rsidP="00956594">
      <w:pPr>
        <w:pStyle w:val="a3"/>
        <w:rPr>
          <w:lang w:val="hu-HU"/>
        </w:rPr>
      </w:pPr>
      <w:r>
        <w:rPr>
          <w:rFonts w:eastAsia="Times New Roman"/>
          <w:lang w:val="hu-HU"/>
        </w:rPr>
        <w:t>adalimumab</w:t>
      </w:r>
    </w:p>
    <w:p w14:paraId="5F98AF0D" w14:textId="77777777" w:rsidR="00956594" w:rsidRDefault="00956594" w:rsidP="00956594">
      <w:pPr>
        <w:pStyle w:val="a3"/>
        <w:rPr>
          <w:lang w:val="hu-HU"/>
        </w:rPr>
      </w:pPr>
    </w:p>
    <w:p w14:paraId="7F8079B5" w14:textId="77777777" w:rsidR="00956594" w:rsidRDefault="00956594" w:rsidP="00956594">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14:paraId="2A9B40DB" w14:textId="77777777" w:rsidTr="007E7849">
        <w:trPr>
          <w:trHeight w:val="317"/>
        </w:trPr>
        <w:tc>
          <w:tcPr>
            <w:tcW w:w="9666" w:type="dxa"/>
            <w:vAlign w:val="center"/>
          </w:tcPr>
          <w:p w14:paraId="7ECA1BD9" w14:textId="77777777" w:rsidR="00956594" w:rsidRDefault="00956594" w:rsidP="00FD05AA">
            <w:pPr>
              <w:numPr>
                <w:ilvl w:val="0"/>
                <w:numId w:val="5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HATÓANYAG MEGNEVEZÉSE</w:t>
            </w:r>
          </w:p>
        </w:tc>
      </w:tr>
    </w:tbl>
    <w:p w14:paraId="2113D020" w14:textId="77777777" w:rsidR="00956594" w:rsidRDefault="00956594" w:rsidP="00956594">
      <w:pPr>
        <w:spacing w:before="13" w:line="280" w:lineRule="exact"/>
        <w:rPr>
          <w:lang w:val="hu-HU"/>
        </w:rPr>
      </w:pPr>
    </w:p>
    <w:p w14:paraId="102428CE" w14:textId="23B4746F" w:rsidR="00956594" w:rsidRDefault="00956594" w:rsidP="00956594">
      <w:pPr>
        <w:pStyle w:val="a3"/>
        <w:rPr>
          <w:lang w:val="hu-HU"/>
        </w:rPr>
      </w:pPr>
      <w:r>
        <w:rPr>
          <w:rFonts w:eastAsia="Times New Roman"/>
          <w:lang w:val="hu-HU"/>
        </w:rPr>
        <w:t>80 mg adalimumab 0,8 ml- es előretöltött fecskendőben</w:t>
      </w:r>
    </w:p>
    <w:p w14:paraId="563E1DC2" w14:textId="77777777" w:rsidR="00956594" w:rsidRDefault="00956594" w:rsidP="00956594">
      <w:pPr>
        <w:spacing w:line="280" w:lineRule="exact"/>
        <w:rPr>
          <w:lang w:val="hu-HU"/>
        </w:rPr>
      </w:pPr>
    </w:p>
    <w:p w14:paraId="28087ACA" w14:textId="77777777" w:rsidR="00956594" w:rsidRDefault="00956594" w:rsidP="00956594">
      <w:pPr>
        <w:spacing w:line="280" w:lineRule="exact"/>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rsidRPr="00F70E6D" w14:paraId="1198A87E" w14:textId="77777777" w:rsidTr="007E7849">
        <w:trPr>
          <w:trHeight w:val="317"/>
        </w:trPr>
        <w:tc>
          <w:tcPr>
            <w:tcW w:w="9666" w:type="dxa"/>
            <w:vAlign w:val="center"/>
          </w:tcPr>
          <w:p w14:paraId="685B4CA8" w14:textId="77777777" w:rsidR="00956594" w:rsidRDefault="00956594" w:rsidP="00FD05AA">
            <w:pPr>
              <w:numPr>
                <w:ilvl w:val="0"/>
                <w:numId w:val="5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SEGÉDANYAGOK FELSOROLÁSA</w:t>
            </w:r>
          </w:p>
        </w:tc>
      </w:tr>
    </w:tbl>
    <w:p w14:paraId="2884ACFC" w14:textId="77777777" w:rsidR="00956594" w:rsidRDefault="00956594" w:rsidP="00956594">
      <w:pPr>
        <w:pStyle w:val="a3"/>
        <w:rPr>
          <w:lang w:val="hu-HU"/>
        </w:rPr>
      </w:pPr>
    </w:p>
    <w:p w14:paraId="04ED16C4" w14:textId="77777777" w:rsidR="00956594" w:rsidRDefault="00956594" w:rsidP="00956594">
      <w:pPr>
        <w:pStyle w:val="a3"/>
        <w:tabs>
          <w:tab w:val="left" w:pos="1386"/>
        </w:tabs>
        <w:rPr>
          <w:lang w:val="hu-HU"/>
        </w:rPr>
      </w:pPr>
      <w:r>
        <w:rPr>
          <w:rFonts w:eastAsia="Times New Roman"/>
          <w:lang w:val="hu-HU"/>
        </w:rPr>
        <w:t xml:space="preserve">Segédanyagok : ecetsav, nátrium-acetát trihidrát, glicin , poliszorbát 80, injekcióhoz való víz. </w:t>
      </w:r>
      <w:r w:rsidRPr="002C78FA">
        <w:rPr>
          <w:highlight w:val="lightGray"/>
          <w:lang w:val="hu-HU"/>
        </w:rPr>
        <w:t>További információért olvassa el a betegtájékoztatót.</w:t>
      </w:r>
      <w:r>
        <w:rPr>
          <w:lang w:val="hu-HU"/>
        </w:rPr>
        <w:tab/>
      </w:r>
    </w:p>
    <w:p w14:paraId="168F212A" w14:textId="77777777" w:rsidR="00956594" w:rsidRDefault="00956594" w:rsidP="00956594">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14:paraId="47CE1B70" w14:textId="77777777" w:rsidTr="007E7849">
        <w:trPr>
          <w:trHeight w:val="317"/>
        </w:trPr>
        <w:tc>
          <w:tcPr>
            <w:tcW w:w="9666" w:type="dxa"/>
            <w:vAlign w:val="center"/>
          </w:tcPr>
          <w:p w14:paraId="0BF8186F" w14:textId="77777777" w:rsidR="00956594" w:rsidRDefault="00956594" w:rsidP="00FD05AA">
            <w:pPr>
              <w:numPr>
                <w:ilvl w:val="0"/>
                <w:numId w:val="5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GYÓGYSZERFORMA ÉS TARTALOM</w:t>
            </w:r>
          </w:p>
        </w:tc>
      </w:tr>
    </w:tbl>
    <w:p w14:paraId="48FF6B9B" w14:textId="77777777" w:rsidR="00956594" w:rsidRDefault="00956594" w:rsidP="00956594">
      <w:pPr>
        <w:pStyle w:val="a3"/>
        <w:rPr>
          <w:lang w:val="hu-HU"/>
        </w:rPr>
      </w:pPr>
    </w:p>
    <w:p w14:paraId="09D003EF" w14:textId="77777777" w:rsidR="00956594" w:rsidRDefault="00956594" w:rsidP="00956594">
      <w:pPr>
        <w:pStyle w:val="a3"/>
        <w:rPr>
          <w:lang w:val="hu-HU"/>
        </w:rPr>
      </w:pPr>
      <w:r w:rsidRPr="000405CC">
        <w:rPr>
          <w:rFonts w:eastAsia="Times New Roman"/>
          <w:highlight w:val="lightGray"/>
          <w:lang w:val="hu-HU"/>
        </w:rPr>
        <w:t>Oldatos injekció</w:t>
      </w:r>
    </w:p>
    <w:p w14:paraId="0C33AD83" w14:textId="77777777" w:rsidR="00956594" w:rsidRDefault="00956594" w:rsidP="00956594">
      <w:pPr>
        <w:autoSpaceDE w:val="0"/>
        <w:autoSpaceDN w:val="0"/>
        <w:adjustRightInd w:val="0"/>
        <w:rPr>
          <w:rFonts w:ascii="Times New Roman" w:hAnsi="Times New Roman" w:cs="Times New Roman"/>
          <w:lang w:val="hu-HU"/>
        </w:rPr>
      </w:pPr>
      <w:r>
        <w:rPr>
          <w:rFonts w:ascii="Times New Roman" w:eastAsia="Times New Roman" w:hAnsi="Times New Roman" w:cs="Times New Roman"/>
          <w:lang w:val="hu-HU"/>
        </w:rPr>
        <w:t>1 előretöltött injekciós fecskendő</w:t>
      </w:r>
    </w:p>
    <w:p w14:paraId="574E7F46" w14:textId="64E4894F" w:rsidR="00956594" w:rsidRPr="00CE42DC" w:rsidRDefault="00956594" w:rsidP="00956594">
      <w:pPr>
        <w:autoSpaceDE w:val="0"/>
        <w:autoSpaceDN w:val="0"/>
        <w:adjustRightInd w:val="0"/>
        <w:rPr>
          <w:rFonts w:ascii="Times New Roman" w:hAnsi="Times New Roman" w:cs="Times New Roman"/>
          <w:lang w:val="hu-HU"/>
        </w:rPr>
      </w:pPr>
      <w:r>
        <w:rPr>
          <w:rFonts w:ascii="Times New Roman" w:eastAsia="Times New Roman" w:hAnsi="Times New Roman" w:cs="Times New Roman"/>
          <w:lang w:val="hu-HU"/>
        </w:rPr>
        <w:t>2 db alkoholos törlőkendő</w:t>
      </w:r>
    </w:p>
    <w:p w14:paraId="79757BCD" w14:textId="77777777" w:rsidR="00956594" w:rsidRPr="000405CC" w:rsidRDefault="00956594" w:rsidP="00956594">
      <w:pPr>
        <w:autoSpaceDE w:val="0"/>
        <w:autoSpaceDN w:val="0"/>
        <w:adjustRightInd w:val="0"/>
        <w:rPr>
          <w:rFonts w:ascii="Times New Roman" w:hAnsi="Times New Roman" w:cs="Times New Roman"/>
          <w:highlight w:val="lightGray"/>
          <w:lang w:val="hu-HU"/>
        </w:rPr>
      </w:pPr>
    </w:p>
    <w:p w14:paraId="2B1B680D" w14:textId="77777777" w:rsidR="00956594" w:rsidRPr="000405CC" w:rsidRDefault="00956594" w:rsidP="00956594">
      <w:pPr>
        <w:autoSpaceDE w:val="0"/>
        <w:autoSpaceDN w:val="0"/>
        <w:adjustRightInd w:val="0"/>
        <w:rPr>
          <w:rFonts w:ascii="Times New Roman" w:hAnsi="Times New Roman" w:cs="Times New Roman"/>
          <w:highlight w:val="lightGray"/>
          <w:lang w:val="hu-HU"/>
        </w:rPr>
      </w:pPr>
      <w:r w:rsidRPr="000405CC">
        <w:rPr>
          <w:rFonts w:ascii="Times New Roman" w:eastAsia="Times New Roman" w:hAnsi="Times New Roman" w:cs="Times New Roman"/>
          <w:highlight w:val="lightGray"/>
          <w:lang w:val="hu-HU"/>
        </w:rPr>
        <w:t>1</w:t>
      </w:r>
      <w:r>
        <w:rPr>
          <w:rFonts w:ascii="Times New Roman" w:eastAsia="Times New Roman" w:hAnsi="Times New Roman" w:cs="Times New Roman"/>
          <w:highlight w:val="lightGray"/>
          <w:lang w:val="hu-HU"/>
        </w:rPr>
        <w:t xml:space="preserve"> </w:t>
      </w:r>
      <w:r w:rsidRPr="000405CC">
        <w:rPr>
          <w:rFonts w:ascii="Times New Roman" w:eastAsia="Times New Roman" w:hAnsi="Times New Roman" w:cs="Times New Roman"/>
          <w:highlight w:val="lightGray"/>
          <w:lang w:val="hu-HU"/>
        </w:rPr>
        <w:t>előretöltött fecskendő tűvédővel</w:t>
      </w:r>
    </w:p>
    <w:p w14:paraId="557388DF" w14:textId="77777777" w:rsidR="00956594" w:rsidRPr="000405CC" w:rsidRDefault="00956594" w:rsidP="00956594">
      <w:pPr>
        <w:autoSpaceDE w:val="0"/>
        <w:autoSpaceDN w:val="0"/>
        <w:adjustRightInd w:val="0"/>
        <w:rPr>
          <w:rFonts w:ascii="Times New Roman" w:hAnsi="Times New Roman" w:cs="Times New Roman"/>
          <w:highlight w:val="lightGray"/>
          <w:lang w:val="hu-HU"/>
        </w:rPr>
      </w:pPr>
      <w:r w:rsidRPr="000405CC">
        <w:rPr>
          <w:rFonts w:ascii="Times New Roman" w:eastAsia="Times New Roman" w:hAnsi="Times New Roman" w:cs="Times New Roman"/>
          <w:highlight w:val="lightGray"/>
          <w:lang w:val="hu-HU"/>
        </w:rPr>
        <w:t>2 db alkoholos törlőkendő</w:t>
      </w:r>
    </w:p>
    <w:p w14:paraId="12A39C32" w14:textId="4CD2EFB6" w:rsidR="00956594" w:rsidRDefault="00956594" w:rsidP="00956594">
      <w:pPr>
        <w:spacing w:line="200" w:lineRule="exact"/>
        <w:rPr>
          <w:rFonts w:ascii="Times New Roman" w:hAnsi="Times New Roman" w:cs="Times New Roman"/>
          <w:lang w:val="hu-HU"/>
        </w:rPr>
      </w:pPr>
    </w:p>
    <w:p w14:paraId="44200EB2" w14:textId="77777777" w:rsidR="00956594" w:rsidRDefault="00956594" w:rsidP="00956594">
      <w:pPr>
        <w:spacing w:line="200" w:lineRule="exact"/>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rsidRPr="00BE4D18" w14:paraId="6E992147" w14:textId="77777777" w:rsidTr="007E7849">
        <w:trPr>
          <w:trHeight w:val="317"/>
        </w:trPr>
        <w:tc>
          <w:tcPr>
            <w:tcW w:w="9666" w:type="dxa"/>
            <w:vAlign w:val="center"/>
          </w:tcPr>
          <w:p w14:paraId="1CE093F7" w14:textId="77777777" w:rsidR="00956594" w:rsidRDefault="00956594" w:rsidP="00FD05AA">
            <w:pPr>
              <w:numPr>
                <w:ilvl w:val="0"/>
                <w:numId w:val="5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AZ ALKALMAZÁSSAL KAPCSOLATOS TUDNIVALÓK ÉS AZ ALKALMAZÁS MÓDJA</w:t>
            </w:r>
          </w:p>
        </w:tc>
      </w:tr>
    </w:tbl>
    <w:p w14:paraId="039E83A1" w14:textId="77777777" w:rsidR="00956594" w:rsidRDefault="00956594" w:rsidP="00956594">
      <w:pPr>
        <w:spacing w:line="200" w:lineRule="exact"/>
        <w:rPr>
          <w:lang w:val="hu-HU"/>
        </w:rPr>
      </w:pPr>
    </w:p>
    <w:p w14:paraId="732C5B14" w14:textId="77777777" w:rsidR="00956594" w:rsidRDefault="00956594" w:rsidP="00956594">
      <w:pPr>
        <w:pStyle w:val="a3"/>
        <w:rPr>
          <w:lang w:val="hu-HU"/>
        </w:rPr>
      </w:pPr>
      <w:r>
        <w:rPr>
          <w:rFonts w:eastAsia="Times New Roman"/>
          <w:lang w:val="hu-HU"/>
        </w:rPr>
        <w:t>Subcutan alkalmazás</w:t>
      </w:r>
    </w:p>
    <w:p w14:paraId="07AEF2D3" w14:textId="77777777" w:rsidR="00956594" w:rsidRDefault="00956594" w:rsidP="00956594">
      <w:pPr>
        <w:pStyle w:val="a3"/>
        <w:rPr>
          <w:lang w:val="hu-HU"/>
        </w:rPr>
      </w:pPr>
    </w:p>
    <w:p w14:paraId="5DA63323" w14:textId="77777777" w:rsidR="00956594" w:rsidRDefault="00956594" w:rsidP="00956594">
      <w:pPr>
        <w:pStyle w:val="a3"/>
        <w:rPr>
          <w:lang w:val="hu-HU"/>
        </w:rPr>
      </w:pPr>
      <w:r>
        <w:rPr>
          <w:rFonts w:eastAsia="Times New Roman"/>
          <w:lang w:val="hu-HU"/>
        </w:rPr>
        <w:t>Használat előtt olvassa el a mellékelt betegtájékoztatót!</w:t>
      </w:r>
    </w:p>
    <w:p w14:paraId="4C049F2E" w14:textId="77777777" w:rsidR="00956594" w:rsidRDefault="00956594" w:rsidP="00956594">
      <w:pPr>
        <w:pStyle w:val="a3"/>
        <w:rPr>
          <w:lang w:val="hu-HU"/>
        </w:rPr>
      </w:pPr>
    </w:p>
    <w:p w14:paraId="685B7CE7" w14:textId="77777777" w:rsidR="00956594" w:rsidRDefault="00956594" w:rsidP="00956594">
      <w:pPr>
        <w:pStyle w:val="a3"/>
        <w:rPr>
          <w:lang w:val="hu-HU"/>
        </w:rPr>
      </w:pPr>
      <w:r>
        <w:rPr>
          <w:rFonts w:eastAsia="Times New Roman"/>
          <w:lang w:val="hu-HU"/>
        </w:rPr>
        <w:t>Kizárólag egyszeri felhasználásra.</w:t>
      </w:r>
    </w:p>
    <w:p w14:paraId="18D397EA" w14:textId="77777777" w:rsidR="00956594" w:rsidRDefault="00956594" w:rsidP="00956594">
      <w:pPr>
        <w:pStyle w:val="a3"/>
        <w:rPr>
          <w:lang w:val="hu-HU"/>
        </w:rPr>
      </w:pPr>
    </w:p>
    <w:p w14:paraId="0877B85D" w14:textId="77777777" w:rsidR="00956594" w:rsidRDefault="00956594" w:rsidP="00956594">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rsidRPr="00BE4D18" w14:paraId="3954A4EF" w14:textId="77777777" w:rsidTr="007E7849">
        <w:trPr>
          <w:trHeight w:val="317"/>
        </w:trPr>
        <w:tc>
          <w:tcPr>
            <w:tcW w:w="9666" w:type="dxa"/>
            <w:vAlign w:val="center"/>
          </w:tcPr>
          <w:p w14:paraId="73E87EC8" w14:textId="77777777" w:rsidR="00956594" w:rsidRDefault="00956594" w:rsidP="00FD05AA">
            <w:pPr>
              <w:numPr>
                <w:ilvl w:val="0"/>
                <w:numId w:val="57"/>
              </w:numPr>
              <w:tabs>
                <w:tab w:val="left" w:pos="672"/>
              </w:tabs>
              <w:ind w:left="550" w:hanging="550"/>
              <w:jc w:val="both"/>
              <w:rPr>
                <w:rFonts w:ascii="Times New Roman" w:eastAsia="Times New Roman" w:hAnsi="Times New Roman"/>
                <w:lang w:val="hu-HU"/>
              </w:rPr>
            </w:pPr>
            <w:r>
              <w:rPr>
                <w:rFonts w:ascii="Times New Roman" w:eastAsia="Times New Roman" w:hAnsi="Times New Roman" w:cs="Times New Roman"/>
                <w:b/>
                <w:bCs/>
                <w:spacing w:val="-1"/>
                <w:lang w:val="hu-HU"/>
              </w:rPr>
              <w:t>KÜLÖN FIGYELMEZTETÉS, MELY SZERINT A GYÓGYSZERT GYERMEKEKTŐL ELZÁRVA KELL TARTANI</w:t>
            </w:r>
          </w:p>
        </w:tc>
      </w:tr>
    </w:tbl>
    <w:p w14:paraId="7F483C69" w14:textId="77777777" w:rsidR="00956594" w:rsidRDefault="00956594" w:rsidP="00956594">
      <w:pPr>
        <w:spacing w:before="1" w:line="200" w:lineRule="exact"/>
        <w:rPr>
          <w:lang w:val="hu-HU"/>
        </w:rPr>
      </w:pPr>
    </w:p>
    <w:p w14:paraId="11429550" w14:textId="77777777" w:rsidR="00956594" w:rsidRDefault="00956594" w:rsidP="00956594">
      <w:pPr>
        <w:pStyle w:val="a3"/>
        <w:rPr>
          <w:lang w:val="hu-HU"/>
        </w:rPr>
      </w:pPr>
      <w:r>
        <w:rPr>
          <w:rFonts w:eastAsia="Times New Roman"/>
          <w:lang w:val="hu-HU"/>
        </w:rPr>
        <w:t>A gyógyszer gyermekektől elzárva tartandó.</w:t>
      </w:r>
    </w:p>
    <w:p w14:paraId="4266D9A1" w14:textId="77777777" w:rsidR="00956594" w:rsidRDefault="00956594" w:rsidP="00956594">
      <w:pPr>
        <w:pStyle w:val="a3"/>
        <w:rPr>
          <w:lang w:val="hu-HU"/>
        </w:rPr>
      </w:pPr>
    </w:p>
    <w:p w14:paraId="7EB7DED5" w14:textId="77777777" w:rsidR="00956594" w:rsidRDefault="00956594" w:rsidP="00956594">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rsidRPr="00BE4D18" w14:paraId="06D2F946" w14:textId="77777777" w:rsidTr="007E7849">
        <w:trPr>
          <w:trHeight w:val="317"/>
        </w:trPr>
        <w:tc>
          <w:tcPr>
            <w:tcW w:w="9666" w:type="dxa"/>
            <w:vAlign w:val="center"/>
          </w:tcPr>
          <w:p w14:paraId="6EECA06A" w14:textId="77777777" w:rsidR="00956594" w:rsidRDefault="00956594" w:rsidP="00FD05AA">
            <w:pPr>
              <w:numPr>
                <w:ilvl w:val="0"/>
                <w:numId w:val="57"/>
              </w:numPr>
              <w:tabs>
                <w:tab w:val="left" w:pos="672"/>
              </w:tabs>
              <w:ind w:left="550" w:hanging="550"/>
              <w:jc w:val="both"/>
              <w:rPr>
                <w:rFonts w:ascii="Times New Roman" w:eastAsia="Times New Roman" w:hAnsi="Times New Roman"/>
                <w:lang w:val="hu-HU"/>
              </w:rPr>
            </w:pPr>
            <w:r>
              <w:rPr>
                <w:rFonts w:ascii="Times New Roman" w:eastAsia="Times New Roman" w:hAnsi="Times New Roman" w:cs="Times New Roman"/>
                <w:b/>
                <w:bCs/>
                <w:spacing w:val="-1"/>
                <w:lang w:val="hu-HU"/>
              </w:rPr>
              <w:t>TOVÁBBI FIGYELMEZTETÉS(EK), AMENNYIBEN SZÜKSÉGES</w:t>
            </w:r>
          </w:p>
        </w:tc>
      </w:tr>
    </w:tbl>
    <w:p w14:paraId="66B1A228" w14:textId="77777777" w:rsidR="00956594" w:rsidRDefault="00956594" w:rsidP="00956594">
      <w:pPr>
        <w:rPr>
          <w:lang w:val="hu-HU"/>
        </w:rPr>
      </w:pPr>
    </w:p>
    <w:p w14:paraId="47A6CD6B" w14:textId="77777777" w:rsidR="00956594" w:rsidRDefault="00956594" w:rsidP="00956594">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14:paraId="1A930EFF" w14:textId="77777777" w:rsidTr="007E7849">
        <w:trPr>
          <w:trHeight w:val="317"/>
        </w:trPr>
        <w:tc>
          <w:tcPr>
            <w:tcW w:w="9666" w:type="dxa"/>
            <w:vAlign w:val="center"/>
          </w:tcPr>
          <w:p w14:paraId="6523697F" w14:textId="77777777" w:rsidR="00956594" w:rsidRDefault="00956594" w:rsidP="00FD05AA">
            <w:pPr>
              <w:numPr>
                <w:ilvl w:val="0"/>
                <w:numId w:val="5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LEJÁRATI IDŐ</w:t>
            </w:r>
          </w:p>
        </w:tc>
      </w:tr>
    </w:tbl>
    <w:p w14:paraId="16B308A8" w14:textId="77777777" w:rsidR="00956594" w:rsidRDefault="00956594" w:rsidP="00956594">
      <w:pPr>
        <w:rPr>
          <w:lang w:val="hu-HU"/>
        </w:rPr>
      </w:pPr>
    </w:p>
    <w:p w14:paraId="6D5FDB76" w14:textId="77777777" w:rsidR="00956594" w:rsidRDefault="00956594" w:rsidP="00956594">
      <w:pPr>
        <w:pStyle w:val="a3"/>
        <w:rPr>
          <w:lang w:val="hu-HU"/>
        </w:rPr>
      </w:pPr>
      <w:r>
        <w:rPr>
          <w:rFonts w:eastAsia="Times New Roman"/>
          <w:lang w:val="hu-HU"/>
        </w:rPr>
        <w:t>EXP</w:t>
      </w:r>
    </w:p>
    <w:p w14:paraId="1173342F" w14:textId="77777777" w:rsidR="00956594" w:rsidRDefault="00956594" w:rsidP="00956594">
      <w:pPr>
        <w:rPr>
          <w:lang w:val="hu-HU"/>
        </w:rPr>
      </w:pPr>
    </w:p>
    <w:p w14:paraId="0BA59B5C" w14:textId="77777777" w:rsidR="00956594" w:rsidRDefault="00956594" w:rsidP="00956594">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rsidRPr="00BE4D18" w14:paraId="71AE9113" w14:textId="77777777" w:rsidTr="007E7849">
        <w:trPr>
          <w:trHeight w:val="317"/>
        </w:trPr>
        <w:tc>
          <w:tcPr>
            <w:tcW w:w="9666" w:type="dxa"/>
            <w:vAlign w:val="center"/>
          </w:tcPr>
          <w:p w14:paraId="6B45D94F" w14:textId="77777777" w:rsidR="00956594" w:rsidRDefault="00956594" w:rsidP="00FD05AA">
            <w:pPr>
              <w:numPr>
                <w:ilvl w:val="0"/>
                <w:numId w:val="5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KÜLÖNLEGES TÁROLÁSI ELŐÍRÁSOK</w:t>
            </w:r>
          </w:p>
        </w:tc>
      </w:tr>
    </w:tbl>
    <w:p w14:paraId="51007CF6" w14:textId="77777777" w:rsidR="00956594" w:rsidRDefault="00956594" w:rsidP="00956594">
      <w:pPr>
        <w:rPr>
          <w:lang w:val="hu-HU"/>
        </w:rPr>
      </w:pPr>
    </w:p>
    <w:p w14:paraId="1AC6DB56" w14:textId="77777777" w:rsidR="00956594" w:rsidRDefault="00956594" w:rsidP="00956594">
      <w:pPr>
        <w:pStyle w:val="a3"/>
        <w:rPr>
          <w:lang w:val="hu-HU"/>
        </w:rPr>
      </w:pPr>
      <w:r>
        <w:rPr>
          <w:rFonts w:eastAsia="Times New Roman"/>
          <w:lang w:val="hu-HU"/>
        </w:rPr>
        <w:t>Hűtőszekrényben tárolandó. Nem fagyasztható.</w:t>
      </w:r>
    </w:p>
    <w:p w14:paraId="7C1E2347" w14:textId="48478B82" w:rsidR="00956594" w:rsidRDefault="00956594" w:rsidP="00956594">
      <w:pPr>
        <w:pStyle w:val="a3"/>
        <w:rPr>
          <w:lang w:val="hu-HU"/>
        </w:rPr>
      </w:pPr>
      <w:r>
        <w:rPr>
          <w:rFonts w:eastAsia="Times New Roman"/>
          <w:lang w:val="hu-HU"/>
        </w:rPr>
        <w:t>A fénytől való védelem érdekében az előretöltött injekciós fecskendő az eredeti dobozban tárolandó.</w:t>
      </w:r>
    </w:p>
    <w:p w14:paraId="2B3C54ED" w14:textId="77777777" w:rsidR="00956594" w:rsidRDefault="00956594" w:rsidP="00956594">
      <w:pPr>
        <w:pStyle w:val="a3"/>
        <w:rPr>
          <w:lang w:val="hu-HU"/>
        </w:rPr>
      </w:pPr>
      <w:r>
        <w:rPr>
          <w:rFonts w:eastAsia="Times New Roman"/>
          <w:lang w:val="hu-HU"/>
        </w:rPr>
        <w:t>A további tárolási információkért olvassa el a betegtájékoztatót.</w:t>
      </w:r>
    </w:p>
    <w:p w14:paraId="4492E4EF" w14:textId="77777777" w:rsidR="00956594" w:rsidRDefault="00956594" w:rsidP="00956594">
      <w:pPr>
        <w:rPr>
          <w:lang w:val="hu-HU"/>
        </w:rPr>
      </w:pPr>
    </w:p>
    <w:p w14:paraId="526580AF" w14:textId="77777777" w:rsidR="00956594" w:rsidRDefault="00956594" w:rsidP="00956594">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rsidRPr="00BE4D18" w14:paraId="6A4BAD65" w14:textId="77777777" w:rsidTr="007E7849">
        <w:trPr>
          <w:trHeight w:val="317"/>
        </w:trPr>
        <w:tc>
          <w:tcPr>
            <w:tcW w:w="9666" w:type="dxa"/>
            <w:vAlign w:val="center"/>
          </w:tcPr>
          <w:p w14:paraId="1B06ADF1" w14:textId="77777777" w:rsidR="00956594" w:rsidRDefault="00956594" w:rsidP="00FD05AA">
            <w:pPr>
              <w:numPr>
                <w:ilvl w:val="0"/>
                <w:numId w:val="5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KÜLÖNLEGES ÓVINTÉZKEDÉSEK A FEL NEM HASZNÁLT GYÓGYSZEREK VAGY AZ ILYEN TERMÉKEKBŐL KELETKEZETT HULLADÉKANYAGOK ÁRTALMATLANNÁ TÉTELÉRE, HA ILYENEKRE SZÜKSÉG VAN</w:t>
            </w:r>
          </w:p>
        </w:tc>
      </w:tr>
    </w:tbl>
    <w:p w14:paraId="7447FA64" w14:textId="77777777" w:rsidR="00956594" w:rsidRDefault="00956594" w:rsidP="00956594">
      <w:pPr>
        <w:rPr>
          <w:lang w:val="hu-HU"/>
        </w:rPr>
      </w:pPr>
    </w:p>
    <w:p w14:paraId="085DD474" w14:textId="77777777" w:rsidR="00956594" w:rsidRDefault="00956594" w:rsidP="00956594">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14:paraId="702E8AC2" w14:textId="77777777" w:rsidTr="007E7849">
        <w:trPr>
          <w:trHeight w:val="317"/>
        </w:trPr>
        <w:tc>
          <w:tcPr>
            <w:tcW w:w="9666" w:type="dxa"/>
            <w:vAlign w:val="center"/>
          </w:tcPr>
          <w:p w14:paraId="12AC1F04" w14:textId="77777777" w:rsidR="00956594" w:rsidRDefault="00956594" w:rsidP="00FD05AA">
            <w:pPr>
              <w:numPr>
                <w:ilvl w:val="0"/>
                <w:numId w:val="5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FORGALOMBA HOZATALI ENGEDÉLY JOGOSULTJÁNAK NEVE ÉS CÍME</w:t>
            </w:r>
          </w:p>
        </w:tc>
      </w:tr>
    </w:tbl>
    <w:p w14:paraId="448E180E" w14:textId="77777777" w:rsidR="00956594" w:rsidRDefault="00956594" w:rsidP="00956594">
      <w:pPr>
        <w:spacing w:before="5" w:line="200" w:lineRule="exact"/>
        <w:rPr>
          <w:lang w:val="hu-HU"/>
        </w:rPr>
      </w:pPr>
    </w:p>
    <w:p w14:paraId="1A3DBA5D" w14:textId="77777777" w:rsidR="00956594" w:rsidRDefault="00956594" w:rsidP="00956594">
      <w:pPr>
        <w:pStyle w:val="a3"/>
        <w:rPr>
          <w:lang w:val="hu-HU"/>
        </w:rPr>
      </w:pPr>
      <w:r>
        <w:rPr>
          <w:lang w:val="hu-HU"/>
        </w:rPr>
        <w:t xml:space="preserve">Celltrion Healthcare Hungary Kft. </w:t>
      </w:r>
    </w:p>
    <w:p w14:paraId="4D233D21" w14:textId="77777777" w:rsidR="00956594" w:rsidRDefault="00956594" w:rsidP="00956594">
      <w:pPr>
        <w:pStyle w:val="a3"/>
        <w:rPr>
          <w:lang w:val="hu-HU"/>
        </w:rPr>
      </w:pPr>
      <w:r>
        <w:rPr>
          <w:lang w:val="hu-HU"/>
        </w:rPr>
        <w:t>1062 Budapest</w:t>
      </w:r>
    </w:p>
    <w:p w14:paraId="5BECEF6E" w14:textId="77777777" w:rsidR="00956594" w:rsidRDefault="00956594" w:rsidP="00956594">
      <w:pPr>
        <w:pStyle w:val="a3"/>
        <w:rPr>
          <w:lang w:val="hu-HU"/>
        </w:rPr>
      </w:pPr>
      <w:r>
        <w:rPr>
          <w:lang w:val="hu-HU"/>
        </w:rPr>
        <w:t>Váci út 1-3. WestEnd Office Building B torony</w:t>
      </w:r>
    </w:p>
    <w:p w14:paraId="2BAA4400" w14:textId="77777777" w:rsidR="00956594" w:rsidRDefault="00956594" w:rsidP="00956594">
      <w:pPr>
        <w:pStyle w:val="a3"/>
        <w:rPr>
          <w:lang w:val="hu-HU"/>
        </w:rPr>
      </w:pPr>
      <w:r>
        <w:rPr>
          <w:rFonts w:eastAsia="Times New Roman"/>
          <w:lang w:val="hu-HU"/>
        </w:rPr>
        <w:t>Magyarország</w:t>
      </w:r>
    </w:p>
    <w:p w14:paraId="3DFF8333" w14:textId="77777777" w:rsidR="00956594" w:rsidRDefault="00956594" w:rsidP="00956594">
      <w:pPr>
        <w:rPr>
          <w:lang w:val="hu-HU"/>
        </w:rPr>
      </w:pPr>
    </w:p>
    <w:p w14:paraId="0E591525" w14:textId="77777777" w:rsidR="00956594" w:rsidRDefault="00956594" w:rsidP="00956594">
      <w:pPr>
        <w:rPr>
          <w:lang w:val="hu-HU"/>
        </w:rPr>
      </w:pPr>
      <w:r>
        <w:rPr>
          <w:lang w:val="hu-HU"/>
        </w:rPr>
        <w:br w:type="page"/>
      </w:r>
    </w:p>
    <w:tbl>
      <w:tblPr>
        <w:tblStyle w:val="ac"/>
        <w:tblpPr w:leftFromText="142" w:rightFromText="142" w:vertAnchor="text" w:tblpY="194"/>
        <w:tblW w:w="9666" w:type="dxa"/>
        <w:tblLook w:val="04A0" w:firstRow="1" w:lastRow="0" w:firstColumn="1" w:lastColumn="0" w:noHBand="0" w:noVBand="1"/>
      </w:tblPr>
      <w:tblGrid>
        <w:gridCol w:w="9666"/>
      </w:tblGrid>
      <w:tr w:rsidR="00956594" w14:paraId="5ADB7C01" w14:textId="77777777" w:rsidTr="007E7849">
        <w:trPr>
          <w:trHeight w:val="317"/>
        </w:trPr>
        <w:tc>
          <w:tcPr>
            <w:tcW w:w="9666" w:type="dxa"/>
            <w:vAlign w:val="center"/>
          </w:tcPr>
          <w:p w14:paraId="0A8CE936" w14:textId="77777777" w:rsidR="00956594" w:rsidRDefault="00956594" w:rsidP="00FD05AA">
            <w:pPr>
              <w:numPr>
                <w:ilvl w:val="0"/>
                <w:numId w:val="5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lastRenderedPageBreak/>
              <w:t>A FORGALOMBA HOZATALI ENGEDÉLY SZÁMAI</w:t>
            </w:r>
          </w:p>
        </w:tc>
      </w:tr>
    </w:tbl>
    <w:p w14:paraId="313125D4" w14:textId="77777777" w:rsidR="00956594" w:rsidRDefault="00956594" w:rsidP="00956594">
      <w:pPr>
        <w:rPr>
          <w:lang w:val="hu-HU"/>
        </w:rPr>
      </w:pPr>
    </w:p>
    <w:p w14:paraId="60A7E959" w14:textId="444FDCDC" w:rsidR="00956594" w:rsidRPr="000405CC" w:rsidRDefault="00956594" w:rsidP="00956594">
      <w:pPr>
        <w:pStyle w:val="a3"/>
        <w:rPr>
          <w:highlight w:val="lightGray"/>
          <w:lang w:val="hu-HU"/>
        </w:rPr>
      </w:pPr>
      <w:r>
        <w:rPr>
          <w:rFonts w:eastAsia="Times New Roman"/>
          <w:lang w:val="hu-HU"/>
        </w:rPr>
        <w:t>EU/</w:t>
      </w:r>
      <w:r>
        <w:rPr>
          <w:rFonts w:eastAsia="Times New Roman" w:cs="Verdana"/>
          <w:color w:val="000000"/>
          <w:lang w:val="hu-HU"/>
        </w:rPr>
        <w:t>1/20/1513/013</w:t>
      </w:r>
      <w:r>
        <w:rPr>
          <w:rFonts w:eastAsia="Times New Roman"/>
          <w:lang w:val="hu-HU"/>
        </w:rPr>
        <w:t xml:space="preserve"> </w:t>
      </w:r>
      <w:r w:rsidRPr="000405CC">
        <w:rPr>
          <w:rFonts w:eastAsia="Times New Roman"/>
          <w:highlight w:val="lightGray"/>
          <w:lang w:val="hu-HU"/>
        </w:rPr>
        <w:t>1 db</w:t>
      </w:r>
      <w:r>
        <w:rPr>
          <w:rFonts w:eastAsia="Times New Roman"/>
          <w:highlight w:val="lightGray"/>
          <w:lang w:val="hu-HU"/>
        </w:rPr>
        <w:t xml:space="preserve"> </w:t>
      </w:r>
      <w:r w:rsidRPr="000405CC">
        <w:rPr>
          <w:rFonts w:eastAsia="Times New Roman"/>
          <w:highlight w:val="lightGray"/>
          <w:lang w:val="hu-HU"/>
        </w:rPr>
        <w:t>előretöltött injekciós fecskendő</w:t>
      </w:r>
    </w:p>
    <w:p w14:paraId="24AFD326" w14:textId="76D781D6" w:rsidR="00956594" w:rsidRPr="00CE42DC" w:rsidRDefault="00956594" w:rsidP="00956594">
      <w:pPr>
        <w:pStyle w:val="a3"/>
        <w:rPr>
          <w:rFonts w:eastAsia="Times New Roman" w:cs="Verdana"/>
          <w:color w:val="000000"/>
          <w:highlight w:val="lightGray"/>
          <w:lang w:val="hu-HU"/>
        </w:rPr>
      </w:pPr>
      <w:r w:rsidRPr="000405CC">
        <w:rPr>
          <w:rFonts w:eastAsia="Times New Roman"/>
          <w:highlight w:val="lightGray"/>
          <w:lang w:val="hu-HU"/>
        </w:rPr>
        <w:t>EU/</w:t>
      </w:r>
      <w:r w:rsidRPr="000405CC">
        <w:rPr>
          <w:rFonts w:eastAsia="Times New Roman" w:cs="Verdana"/>
          <w:color w:val="000000"/>
          <w:highlight w:val="lightGray"/>
          <w:lang w:val="hu-HU"/>
        </w:rPr>
        <w:t>1/20/1513/0</w:t>
      </w:r>
      <w:r>
        <w:rPr>
          <w:rFonts w:eastAsia="Times New Roman" w:cs="Verdana"/>
          <w:color w:val="000000"/>
          <w:highlight w:val="lightGray"/>
          <w:lang w:val="hu-HU"/>
        </w:rPr>
        <w:t>1</w:t>
      </w:r>
      <w:r>
        <w:rPr>
          <w:rFonts w:cs="Verdana" w:hint="eastAsia"/>
          <w:color w:val="000000"/>
          <w:highlight w:val="lightGray"/>
          <w:lang w:val="hu-HU" w:eastAsia="ko-KR"/>
        </w:rPr>
        <w:t>4</w:t>
      </w:r>
      <w:r w:rsidRPr="000405CC">
        <w:rPr>
          <w:rFonts w:eastAsia="Times New Roman"/>
          <w:highlight w:val="lightGray"/>
          <w:lang w:val="hu-HU"/>
        </w:rPr>
        <w:t xml:space="preserve"> 1 db</w:t>
      </w:r>
      <w:r>
        <w:rPr>
          <w:rFonts w:eastAsia="Times New Roman"/>
          <w:highlight w:val="lightGray"/>
          <w:lang w:val="hu-HU"/>
        </w:rPr>
        <w:t xml:space="preserve"> </w:t>
      </w:r>
      <w:r w:rsidRPr="000405CC">
        <w:rPr>
          <w:rFonts w:eastAsia="Times New Roman"/>
          <w:highlight w:val="lightGray"/>
          <w:lang w:val="hu-HU"/>
        </w:rPr>
        <w:t>előretöltött fecskendő</w:t>
      </w:r>
      <w:r>
        <w:rPr>
          <w:rFonts w:eastAsia="Times New Roman"/>
          <w:highlight w:val="lightGray"/>
          <w:lang w:val="hu-HU"/>
        </w:rPr>
        <w:t xml:space="preserve"> </w:t>
      </w:r>
      <w:r w:rsidRPr="000405CC">
        <w:rPr>
          <w:rFonts w:eastAsia="Times New Roman"/>
          <w:highlight w:val="lightGray"/>
          <w:lang w:val="hu-HU"/>
        </w:rPr>
        <w:t>tűvédővel</w:t>
      </w:r>
    </w:p>
    <w:p w14:paraId="565E4FFC" w14:textId="28EBBFBE" w:rsidR="00956594" w:rsidRDefault="00956594" w:rsidP="00956594">
      <w:pPr>
        <w:pStyle w:val="a3"/>
        <w:rPr>
          <w:lang w:val="hu-HU"/>
        </w:rPr>
      </w:pPr>
    </w:p>
    <w:p w14:paraId="7B2F54A7" w14:textId="77777777" w:rsidR="00956594" w:rsidRDefault="00956594" w:rsidP="00956594">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14:paraId="72DE5572" w14:textId="77777777" w:rsidTr="007E7849">
        <w:trPr>
          <w:trHeight w:val="317"/>
        </w:trPr>
        <w:tc>
          <w:tcPr>
            <w:tcW w:w="9666" w:type="dxa"/>
            <w:vAlign w:val="center"/>
          </w:tcPr>
          <w:p w14:paraId="61CF9043" w14:textId="77777777" w:rsidR="00956594" w:rsidRDefault="00956594" w:rsidP="00FD05AA">
            <w:pPr>
              <w:numPr>
                <w:ilvl w:val="0"/>
                <w:numId w:val="5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GYÁRTÁSI TÉTEL SZÁMA</w:t>
            </w:r>
          </w:p>
        </w:tc>
      </w:tr>
    </w:tbl>
    <w:p w14:paraId="5680E0F6" w14:textId="77777777" w:rsidR="00956594" w:rsidRDefault="00956594" w:rsidP="00956594">
      <w:pPr>
        <w:rPr>
          <w:lang w:val="hu-HU"/>
        </w:rPr>
      </w:pPr>
    </w:p>
    <w:p w14:paraId="29432299" w14:textId="77777777" w:rsidR="00956594" w:rsidRDefault="00956594" w:rsidP="00956594">
      <w:pPr>
        <w:pStyle w:val="a3"/>
        <w:rPr>
          <w:lang w:val="hu-HU"/>
        </w:rPr>
      </w:pPr>
      <w:r>
        <w:rPr>
          <w:rFonts w:eastAsia="Times New Roman"/>
          <w:lang w:val="hu-HU"/>
        </w:rPr>
        <w:t>Lot</w:t>
      </w:r>
    </w:p>
    <w:p w14:paraId="0F930A46" w14:textId="77777777" w:rsidR="00956594" w:rsidRDefault="00956594" w:rsidP="00956594">
      <w:pPr>
        <w:pStyle w:val="a3"/>
        <w:rPr>
          <w:lang w:val="hu-HU"/>
        </w:rPr>
      </w:pPr>
    </w:p>
    <w:p w14:paraId="16FDC5DF" w14:textId="77777777" w:rsidR="00956594" w:rsidRDefault="00956594" w:rsidP="00956594">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14:paraId="3710740E" w14:textId="77777777" w:rsidTr="007E7849">
        <w:trPr>
          <w:trHeight w:val="317"/>
        </w:trPr>
        <w:tc>
          <w:tcPr>
            <w:tcW w:w="9666" w:type="dxa"/>
            <w:vAlign w:val="center"/>
          </w:tcPr>
          <w:p w14:paraId="209CB675" w14:textId="77777777" w:rsidR="00956594" w:rsidRDefault="00956594" w:rsidP="00FD05AA">
            <w:pPr>
              <w:numPr>
                <w:ilvl w:val="0"/>
                <w:numId w:val="5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GYÓGYSZER RENDELHETŐSÉGE</w:t>
            </w:r>
          </w:p>
        </w:tc>
      </w:tr>
    </w:tbl>
    <w:p w14:paraId="0D4116DA" w14:textId="77777777" w:rsidR="00956594" w:rsidRDefault="00956594" w:rsidP="00956594">
      <w:pPr>
        <w:jc w:val="both"/>
        <w:rPr>
          <w:lang w:val="hu-HU"/>
        </w:rPr>
      </w:pPr>
    </w:p>
    <w:p w14:paraId="151673E7" w14:textId="77777777" w:rsidR="00956594" w:rsidRDefault="00956594" w:rsidP="00956594">
      <w:pPr>
        <w:jc w:val="both"/>
        <w:rPr>
          <w:lang w:val="hu-HU"/>
        </w:rPr>
      </w:pPr>
    </w:p>
    <w:p w14:paraId="19691C11" w14:textId="77777777" w:rsidR="00956594" w:rsidRDefault="00956594" w:rsidP="00956594">
      <w:pPr>
        <w:jc w:val="both"/>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rsidRPr="00BE4D18" w14:paraId="283089D2" w14:textId="77777777" w:rsidTr="007E7849">
        <w:trPr>
          <w:trHeight w:val="317"/>
        </w:trPr>
        <w:tc>
          <w:tcPr>
            <w:tcW w:w="9666" w:type="dxa"/>
            <w:vAlign w:val="center"/>
          </w:tcPr>
          <w:p w14:paraId="70668606" w14:textId="77777777" w:rsidR="00956594" w:rsidRDefault="00956594" w:rsidP="00FD05AA">
            <w:pPr>
              <w:numPr>
                <w:ilvl w:val="0"/>
                <w:numId w:val="5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AZ ALKALMAZÁSRA VONATKOZÓ UTASÍTÁSOK</w:t>
            </w:r>
          </w:p>
        </w:tc>
      </w:tr>
    </w:tbl>
    <w:p w14:paraId="6923F7A8" w14:textId="77777777" w:rsidR="00956594" w:rsidRDefault="00956594" w:rsidP="00956594">
      <w:pPr>
        <w:jc w:val="both"/>
        <w:rPr>
          <w:lang w:val="hu-HU"/>
        </w:rPr>
      </w:pPr>
    </w:p>
    <w:p w14:paraId="23E0D4FB" w14:textId="77777777" w:rsidR="00956594" w:rsidRDefault="00956594" w:rsidP="00956594">
      <w:pPr>
        <w:jc w:val="both"/>
        <w:rPr>
          <w:lang w:val="hu-HU"/>
        </w:rPr>
      </w:pPr>
    </w:p>
    <w:p w14:paraId="035758B6" w14:textId="77777777" w:rsidR="00956594" w:rsidRDefault="00956594" w:rsidP="00956594">
      <w:pPr>
        <w:jc w:val="both"/>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14:paraId="28D820AA" w14:textId="77777777" w:rsidTr="007E7849">
        <w:trPr>
          <w:trHeight w:val="317"/>
        </w:trPr>
        <w:tc>
          <w:tcPr>
            <w:tcW w:w="9666" w:type="dxa"/>
            <w:vAlign w:val="center"/>
          </w:tcPr>
          <w:p w14:paraId="48F2E215" w14:textId="77777777" w:rsidR="00956594" w:rsidRDefault="00956594" w:rsidP="00FD05AA">
            <w:pPr>
              <w:numPr>
                <w:ilvl w:val="0"/>
                <w:numId w:val="5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BRAILLE ÍRÁSSAL FELTÜNTETETT INFORMÁCIÓK</w:t>
            </w:r>
          </w:p>
        </w:tc>
      </w:tr>
    </w:tbl>
    <w:p w14:paraId="0669D5DB" w14:textId="77777777" w:rsidR="00956594" w:rsidRDefault="00956594" w:rsidP="00956594">
      <w:pPr>
        <w:jc w:val="both"/>
        <w:rPr>
          <w:lang w:val="hu-HU"/>
        </w:rPr>
      </w:pPr>
    </w:p>
    <w:p w14:paraId="253DD999" w14:textId="4F6E5AF0" w:rsidR="00956594" w:rsidRDefault="00956594" w:rsidP="00956594">
      <w:pPr>
        <w:pStyle w:val="a3"/>
        <w:rPr>
          <w:lang w:val="hu-HU"/>
        </w:rPr>
      </w:pPr>
      <w:r>
        <w:rPr>
          <w:rFonts w:eastAsia="Times New Roman"/>
          <w:lang w:val="hu-HU"/>
        </w:rPr>
        <w:t>Yuflyma 80 mg</w:t>
      </w:r>
    </w:p>
    <w:p w14:paraId="50D18E69" w14:textId="77777777" w:rsidR="00956594" w:rsidRDefault="00956594" w:rsidP="00956594">
      <w:pPr>
        <w:jc w:val="both"/>
        <w:rPr>
          <w:lang w:val="hu-HU"/>
        </w:rPr>
      </w:pPr>
    </w:p>
    <w:p w14:paraId="12512518" w14:textId="77777777" w:rsidR="00956594" w:rsidRDefault="00956594" w:rsidP="00956594">
      <w:pPr>
        <w:jc w:val="both"/>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rsidRPr="00BE4D18" w14:paraId="40BF13CB" w14:textId="77777777" w:rsidTr="007E7849">
        <w:trPr>
          <w:trHeight w:val="317"/>
        </w:trPr>
        <w:tc>
          <w:tcPr>
            <w:tcW w:w="9666" w:type="dxa"/>
            <w:vAlign w:val="center"/>
          </w:tcPr>
          <w:p w14:paraId="4E08C01E" w14:textId="77777777" w:rsidR="00956594" w:rsidRDefault="00956594" w:rsidP="00FD05AA">
            <w:pPr>
              <w:numPr>
                <w:ilvl w:val="0"/>
                <w:numId w:val="5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EGYEDI AZONOSÍTÓ – 2D VONALKÓD</w:t>
            </w:r>
          </w:p>
        </w:tc>
      </w:tr>
    </w:tbl>
    <w:p w14:paraId="7D6724DD" w14:textId="77777777" w:rsidR="00956594" w:rsidRDefault="00956594" w:rsidP="00956594">
      <w:pPr>
        <w:jc w:val="both"/>
        <w:rPr>
          <w:lang w:val="hu-HU"/>
        </w:rPr>
      </w:pPr>
    </w:p>
    <w:p w14:paraId="78FE357B" w14:textId="77777777" w:rsidR="00956594" w:rsidRDefault="00956594" w:rsidP="00956594">
      <w:pPr>
        <w:pStyle w:val="a3"/>
        <w:rPr>
          <w:lang w:val="hu-HU"/>
        </w:rPr>
      </w:pPr>
      <w:r w:rsidRPr="000405CC">
        <w:rPr>
          <w:rFonts w:eastAsia="Times New Roman"/>
          <w:highlight w:val="lightGray"/>
          <w:lang w:val="hu-HU"/>
        </w:rPr>
        <w:t>Egyedi azonosítójú 2D vonalkóddal ellátva.</w:t>
      </w:r>
    </w:p>
    <w:p w14:paraId="4B56B1FC" w14:textId="77777777" w:rsidR="00956594" w:rsidRDefault="00956594" w:rsidP="00956594">
      <w:pPr>
        <w:jc w:val="both"/>
        <w:rPr>
          <w:lang w:val="hu-HU"/>
        </w:rPr>
      </w:pPr>
    </w:p>
    <w:p w14:paraId="57F6E597" w14:textId="77777777" w:rsidR="00956594" w:rsidRDefault="00956594" w:rsidP="00956594">
      <w:pPr>
        <w:jc w:val="both"/>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rsidRPr="00BE4D18" w14:paraId="6F003299" w14:textId="77777777" w:rsidTr="007E7849">
        <w:trPr>
          <w:trHeight w:val="317"/>
        </w:trPr>
        <w:tc>
          <w:tcPr>
            <w:tcW w:w="9666" w:type="dxa"/>
            <w:vAlign w:val="center"/>
          </w:tcPr>
          <w:p w14:paraId="35D2B1EA" w14:textId="77777777" w:rsidR="00956594" w:rsidRDefault="00956594" w:rsidP="00FD05AA">
            <w:pPr>
              <w:numPr>
                <w:ilvl w:val="0"/>
                <w:numId w:val="57"/>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EGYEDI AZONOSÍTÓ OLVASHATÓ FORMÁTUMA</w:t>
            </w:r>
          </w:p>
        </w:tc>
      </w:tr>
    </w:tbl>
    <w:p w14:paraId="75A21A8E" w14:textId="77777777" w:rsidR="00956594" w:rsidRDefault="00956594" w:rsidP="00956594">
      <w:pPr>
        <w:jc w:val="both"/>
        <w:rPr>
          <w:lang w:val="hu-HU"/>
        </w:rPr>
      </w:pPr>
    </w:p>
    <w:p w14:paraId="66E1A6E7" w14:textId="77777777" w:rsidR="00956594" w:rsidRDefault="00956594" w:rsidP="00956594">
      <w:pPr>
        <w:pStyle w:val="a3"/>
        <w:rPr>
          <w:lang w:val="hu-HU"/>
        </w:rPr>
      </w:pPr>
      <w:r>
        <w:rPr>
          <w:rFonts w:eastAsia="Times New Roman"/>
          <w:lang w:val="hu-HU"/>
        </w:rPr>
        <w:t>PC</w:t>
      </w:r>
    </w:p>
    <w:p w14:paraId="79CCECB7" w14:textId="77777777" w:rsidR="00956594" w:rsidRDefault="00956594" w:rsidP="00956594">
      <w:pPr>
        <w:pStyle w:val="a3"/>
        <w:rPr>
          <w:lang w:val="hu-HU"/>
        </w:rPr>
      </w:pPr>
      <w:r>
        <w:rPr>
          <w:rFonts w:eastAsia="Times New Roman"/>
          <w:lang w:val="hu-HU"/>
        </w:rPr>
        <w:t>SN</w:t>
      </w:r>
    </w:p>
    <w:p w14:paraId="45A231E6" w14:textId="77777777" w:rsidR="00956594" w:rsidRDefault="00956594" w:rsidP="00956594">
      <w:pPr>
        <w:pStyle w:val="a3"/>
        <w:rPr>
          <w:lang w:val="hu-HU"/>
        </w:rPr>
      </w:pPr>
      <w:r>
        <w:rPr>
          <w:rFonts w:eastAsia="Times New Roman"/>
          <w:spacing w:val="-2"/>
          <w:lang w:val="hu-HU"/>
        </w:rPr>
        <w:t>NN</w:t>
      </w:r>
    </w:p>
    <w:p w14:paraId="7A61237C" w14:textId="77777777" w:rsidR="00956594" w:rsidRDefault="00956594" w:rsidP="00956594">
      <w:pPr>
        <w:rPr>
          <w:lang w:val="hu-HU"/>
        </w:rPr>
      </w:pPr>
      <w:r>
        <w:rPr>
          <w:lang w:val="hu-HU"/>
        </w:rPr>
        <w:br w:type="page"/>
      </w:r>
    </w:p>
    <w:tbl>
      <w:tblPr>
        <w:tblStyle w:val="ac"/>
        <w:tblW w:w="9666" w:type="dxa"/>
        <w:tblLook w:val="04A0" w:firstRow="1" w:lastRow="0" w:firstColumn="1" w:lastColumn="0" w:noHBand="0" w:noVBand="1"/>
      </w:tblPr>
      <w:tblGrid>
        <w:gridCol w:w="9666"/>
      </w:tblGrid>
      <w:tr w:rsidR="00956594" w:rsidRPr="00BE4D18" w14:paraId="3341AAE6" w14:textId="77777777" w:rsidTr="007E7849">
        <w:trPr>
          <w:trHeight w:val="822"/>
        </w:trPr>
        <w:tc>
          <w:tcPr>
            <w:tcW w:w="9666" w:type="dxa"/>
            <w:vAlign w:val="center"/>
          </w:tcPr>
          <w:p w14:paraId="7B9B5191" w14:textId="77777777" w:rsidR="00956594" w:rsidRDefault="00956594" w:rsidP="007E7849">
            <w:pPr>
              <w:tabs>
                <w:tab w:val="left" w:pos="672"/>
              </w:tabs>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lastRenderedPageBreak/>
              <w:t xml:space="preserve">A KIS KÖZVETLEN CSOMAGOLÁSI EGYSÉGEKEN MINIMÁLISAN FELTÜNTETENDŐ ADATOK </w:t>
            </w:r>
          </w:p>
          <w:p w14:paraId="10951BE5" w14:textId="77777777" w:rsidR="00956594" w:rsidRDefault="00956594" w:rsidP="007E7849">
            <w:pPr>
              <w:tabs>
                <w:tab w:val="left" w:pos="672"/>
              </w:tabs>
              <w:jc w:val="both"/>
              <w:rPr>
                <w:rFonts w:ascii="Times New Roman" w:eastAsia="Times New Roman" w:hAnsi="Times New Roman" w:cs="Times New Roman"/>
                <w:b/>
                <w:bCs/>
                <w:spacing w:val="-1"/>
                <w:lang w:val="hu-HU"/>
              </w:rPr>
            </w:pPr>
          </w:p>
          <w:p w14:paraId="435BC92D" w14:textId="77777777" w:rsidR="00956594" w:rsidRPr="00820E03" w:rsidRDefault="00956594" w:rsidP="007E7849">
            <w:pPr>
              <w:tabs>
                <w:tab w:val="left" w:pos="672"/>
              </w:tabs>
              <w:jc w:val="both"/>
              <w:rPr>
                <w:rFonts w:ascii="Times New Roman" w:eastAsia="Times New Roman" w:hAnsi="Times New Roman" w:cs="Times New Roman"/>
                <w:b/>
                <w:bCs/>
                <w:spacing w:val="-1"/>
                <w:lang w:val="hu-HU"/>
              </w:rPr>
            </w:pPr>
            <w:r w:rsidRPr="00820E03">
              <w:rPr>
                <w:rFonts w:ascii="Times New Roman" w:eastAsia="Times New Roman" w:hAnsi="Times New Roman" w:cs="Times New Roman"/>
                <w:b/>
                <w:bCs/>
                <w:spacing w:val="-1"/>
                <w:lang w:val="hu-HU"/>
              </w:rPr>
              <w:t xml:space="preserve">AZ ELŐRETÖLTÖTT </w:t>
            </w:r>
            <w:r w:rsidRPr="009167C6">
              <w:rPr>
                <w:rFonts w:ascii="Times New Roman" w:eastAsia="Times New Roman" w:hAnsi="Times New Roman" w:cs="Times New Roman"/>
                <w:b/>
                <w:spacing w:val="-1"/>
                <w:lang w:val="hu-HU"/>
              </w:rPr>
              <w:t>FECSKENDŐ CÍMKÉJE</w:t>
            </w:r>
          </w:p>
        </w:tc>
      </w:tr>
    </w:tbl>
    <w:p w14:paraId="79461471" w14:textId="77777777" w:rsidR="00956594" w:rsidRDefault="00956594" w:rsidP="00956594">
      <w:pPr>
        <w:spacing w:line="200" w:lineRule="exact"/>
        <w:rPr>
          <w:lang w:val="hu-HU"/>
        </w:rPr>
      </w:pPr>
    </w:p>
    <w:p w14:paraId="108B198E" w14:textId="77777777" w:rsidR="00956594" w:rsidRDefault="00956594" w:rsidP="00956594">
      <w:pPr>
        <w:spacing w:line="200" w:lineRule="exact"/>
        <w:rPr>
          <w:lang w:val="hu-HU"/>
        </w:rPr>
      </w:pPr>
    </w:p>
    <w:tbl>
      <w:tblPr>
        <w:tblStyle w:val="ac"/>
        <w:tblpPr w:leftFromText="142" w:rightFromText="142" w:vertAnchor="text" w:tblpY="55"/>
        <w:tblW w:w="9666" w:type="dxa"/>
        <w:tblLook w:val="04A0" w:firstRow="1" w:lastRow="0" w:firstColumn="1" w:lastColumn="0" w:noHBand="0" w:noVBand="1"/>
      </w:tblPr>
      <w:tblGrid>
        <w:gridCol w:w="9666"/>
      </w:tblGrid>
      <w:tr w:rsidR="00956594" w:rsidRPr="00F70E6D" w14:paraId="5A1DE769" w14:textId="77777777" w:rsidTr="007E7849">
        <w:trPr>
          <w:trHeight w:val="317"/>
        </w:trPr>
        <w:tc>
          <w:tcPr>
            <w:tcW w:w="9666" w:type="dxa"/>
            <w:vAlign w:val="center"/>
          </w:tcPr>
          <w:p w14:paraId="436022A5" w14:textId="77777777" w:rsidR="00956594" w:rsidRDefault="00956594" w:rsidP="00FD05AA">
            <w:pPr>
              <w:numPr>
                <w:ilvl w:val="0"/>
                <w:numId w:val="58"/>
              </w:numPr>
              <w:tabs>
                <w:tab w:val="left" w:pos="672"/>
              </w:tabs>
              <w:ind w:left="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GYÓGYSZER NEVE ÉS AZ ALKALMAZÁS MÓDJA</w:t>
            </w:r>
          </w:p>
        </w:tc>
      </w:tr>
    </w:tbl>
    <w:p w14:paraId="48438E52" w14:textId="77777777" w:rsidR="00956594" w:rsidRDefault="00956594" w:rsidP="00956594">
      <w:pPr>
        <w:spacing w:line="200" w:lineRule="exact"/>
        <w:rPr>
          <w:lang w:val="hu-HU"/>
        </w:rPr>
      </w:pPr>
    </w:p>
    <w:p w14:paraId="62B7BE32" w14:textId="500F2CEE" w:rsidR="00956594" w:rsidRDefault="00956594" w:rsidP="00956594">
      <w:pPr>
        <w:pStyle w:val="a3"/>
        <w:rPr>
          <w:lang w:val="hu-HU"/>
        </w:rPr>
      </w:pPr>
      <w:r>
        <w:rPr>
          <w:rFonts w:eastAsia="Times New Roman"/>
          <w:lang w:val="hu-HU"/>
        </w:rPr>
        <w:t>Yuflyma 80 mg injekció</w:t>
      </w:r>
    </w:p>
    <w:p w14:paraId="3E087F46" w14:textId="77777777" w:rsidR="00956594" w:rsidRDefault="00956594" w:rsidP="00956594">
      <w:pPr>
        <w:pStyle w:val="a3"/>
        <w:rPr>
          <w:lang w:val="hu-HU"/>
        </w:rPr>
      </w:pPr>
      <w:r>
        <w:rPr>
          <w:rFonts w:eastAsia="Times New Roman"/>
          <w:lang w:val="hu-HU"/>
        </w:rPr>
        <w:t>adalimumab</w:t>
      </w:r>
    </w:p>
    <w:p w14:paraId="6707649D" w14:textId="77777777" w:rsidR="00956594" w:rsidRDefault="00956594" w:rsidP="00956594">
      <w:pPr>
        <w:pStyle w:val="a3"/>
        <w:rPr>
          <w:lang w:val="hu-HU"/>
        </w:rPr>
      </w:pPr>
      <w:r>
        <w:rPr>
          <w:rFonts w:eastAsia="Times New Roman"/>
          <w:lang w:val="hu-HU"/>
        </w:rPr>
        <w:t>sc.</w:t>
      </w:r>
    </w:p>
    <w:p w14:paraId="21ABC01E" w14:textId="77777777" w:rsidR="00956594" w:rsidRDefault="00956594" w:rsidP="00956594">
      <w:pPr>
        <w:pStyle w:val="a3"/>
        <w:rPr>
          <w:lang w:val="hu-HU"/>
        </w:rPr>
      </w:pPr>
    </w:p>
    <w:p w14:paraId="54F5F3A6" w14:textId="77777777" w:rsidR="00956594" w:rsidRDefault="00956594" w:rsidP="00956594">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14:paraId="272DC264" w14:textId="77777777" w:rsidTr="007E7849">
        <w:trPr>
          <w:trHeight w:val="317"/>
        </w:trPr>
        <w:tc>
          <w:tcPr>
            <w:tcW w:w="9666" w:type="dxa"/>
            <w:vAlign w:val="center"/>
          </w:tcPr>
          <w:p w14:paraId="7A90FC58" w14:textId="77777777" w:rsidR="00956594" w:rsidRDefault="00956594" w:rsidP="00FD05AA">
            <w:pPr>
              <w:numPr>
                <w:ilvl w:val="0"/>
                <w:numId w:val="58"/>
              </w:numPr>
              <w:tabs>
                <w:tab w:val="left" w:pos="672"/>
              </w:tabs>
              <w:ind w:left="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AZ ALKALMAZÁSSAL KAPCSOLATOS TUDNIVALÓK</w:t>
            </w:r>
          </w:p>
        </w:tc>
      </w:tr>
    </w:tbl>
    <w:p w14:paraId="21874B13" w14:textId="77777777" w:rsidR="00956594" w:rsidRDefault="00956594" w:rsidP="00956594">
      <w:pPr>
        <w:spacing w:before="13" w:line="280" w:lineRule="exact"/>
        <w:rPr>
          <w:lang w:val="hu-HU"/>
        </w:rPr>
      </w:pPr>
    </w:p>
    <w:p w14:paraId="5E57DC16" w14:textId="77777777" w:rsidR="00956594" w:rsidRDefault="00956594" w:rsidP="00956594">
      <w:pPr>
        <w:spacing w:before="13" w:line="280" w:lineRule="exact"/>
        <w:rPr>
          <w:lang w:val="hu-HU"/>
        </w:rPr>
      </w:pPr>
    </w:p>
    <w:p w14:paraId="6BA31D11" w14:textId="77777777" w:rsidR="00956594" w:rsidRDefault="00956594" w:rsidP="00956594">
      <w:pPr>
        <w:spacing w:before="13" w:line="280" w:lineRule="exact"/>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14:paraId="5134D9B6" w14:textId="77777777" w:rsidTr="007E7849">
        <w:trPr>
          <w:trHeight w:val="317"/>
        </w:trPr>
        <w:tc>
          <w:tcPr>
            <w:tcW w:w="9666" w:type="dxa"/>
            <w:vAlign w:val="center"/>
          </w:tcPr>
          <w:p w14:paraId="6B9F16A6" w14:textId="77777777" w:rsidR="00956594" w:rsidRDefault="00956594" w:rsidP="00FD05AA">
            <w:pPr>
              <w:numPr>
                <w:ilvl w:val="0"/>
                <w:numId w:val="58"/>
              </w:numPr>
              <w:tabs>
                <w:tab w:val="left" w:pos="672"/>
              </w:tabs>
              <w:ind w:left="561" w:hanging="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LEJÁRATI IDŐ</w:t>
            </w:r>
          </w:p>
        </w:tc>
      </w:tr>
    </w:tbl>
    <w:p w14:paraId="7390FB3F" w14:textId="77777777" w:rsidR="00956594" w:rsidRDefault="00956594" w:rsidP="00956594">
      <w:pPr>
        <w:pStyle w:val="a3"/>
        <w:rPr>
          <w:lang w:val="hu-HU"/>
        </w:rPr>
      </w:pPr>
    </w:p>
    <w:p w14:paraId="1C03A1D1" w14:textId="77777777" w:rsidR="00956594" w:rsidRDefault="00956594" w:rsidP="00956594">
      <w:pPr>
        <w:pStyle w:val="a3"/>
        <w:rPr>
          <w:lang w:val="hu-HU"/>
        </w:rPr>
      </w:pPr>
      <w:r>
        <w:rPr>
          <w:rFonts w:eastAsia="Times New Roman"/>
          <w:lang w:val="hu-HU"/>
        </w:rPr>
        <w:t>EXP</w:t>
      </w:r>
    </w:p>
    <w:p w14:paraId="52638134" w14:textId="77777777" w:rsidR="00956594" w:rsidRDefault="00956594" w:rsidP="00956594">
      <w:pPr>
        <w:pStyle w:val="a3"/>
        <w:rPr>
          <w:lang w:val="hu-HU"/>
        </w:rPr>
      </w:pPr>
    </w:p>
    <w:p w14:paraId="4E607D29" w14:textId="77777777" w:rsidR="00956594" w:rsidRDefault="00956594" w:rsidP="00956594">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14:paraId="4A1F3C5E" w14:textId="77777777" w:rsidTr="007E7849">
        <w:trPr>
          <w:trHeight w:val="317"/>
        </w:trPr>
        <w:tc>
          <w:tcPr>
            <w:tcW w:w="9666" w:type="dxa"/>
            <w:vAlign w:val="center"/>
          </w:tcPr>
          <w:p w14:paraId="66AE5C7E" w14:textId="77777777" w:rsidR="00956594" w:rsidRDefault="00956594" w:rsidP="00FD05AA">
            <w:pPr>
              <w:numPr>
                <w:ilvl w:val="0"/>
                <w:numId w:val="58"/>
              </w:numPr>
              <w:tabs>
                <w:tab w:val="left" w:pos="672"/>
              </w:tabs>
              <w:ind w:left="561" w:hanging="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GYÁRTÁSI TÉTEL SZÁMA</w:t>
            </w:r>
          </w:p>
        </w:tc>
      </w:tr>
    </w:tbl>
    <w:p w14:paraId="2B5BBFE3" w14:textId="77777777" w:rsidR="00956594" w:rsidRDefault="00956594" w:rsidP="00956594">
      <w:pPr>
        <w:pStyle w:val="a3"/>
        <w:rPr>
          <w:lang w:val="hu-HU"/>
        </w:rPr>
      </w:pPr>
    </w:p>
    <w:p w14:paraId="79DD23DB" w14:textId="77777777" w:rsidR="00956594" w:rsidRDefault="00956594" w:rsidP="00956594">
      <w:pPr>
        <w:pStyle w:val="a3"/>
        <w:rPr>
          <w:lang w:val="hu-HU"/>
        </w:rPr>
      </w:pPr>
      <w:r>
        <w:rPr>
          <w:rFonts w:eastAsia="Times New Roman"/>
          <w:lang w:val="hu-HU"/>
        </w:rPr>
        <w:t>Lot</w:t>
      </w:r>
    </w:p>
    <w:p w14:paraId="33B571D5" w14:textId="77777777" w:rsidR="00956594" w:rsidRDefault="00956594" w:rsidP="00956594">
      <w:pPr>
        <w:pStyle w:val="a3"/>
        <w:rPr>
          <w:lang w:val="hu-HU"/>
        </w:rPr>
      </w:pPr>
    </w:p>
    <w:p w14:paraId="52DCDA29" w14:textId="77777777" w:rsidR="00956594" w:rsidRDefault="00956594" w:rsidP="00956594">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rsidRPr="00BE4D18" w14:paraId="0558CB42" w14:textId="77777777" w:rsidTr="007E7849">
        <w:trPr>
          <w:trHeight w:val="317"/>
        </w:trPr>
        <w:tc>
          <w:tcPr>
            <w:tcW w:w="9666" w:type="dxa"/>
            <w:vAlign w:val="center"/>
          </w:tcPr>
          <w:p w14:paraId="7DAA324E" w14:textId="77777777" w:rsidR="00956594" w:rsidRDefault="00956594" w:rsidP="00FD05AA">
            <w:pPr>
              <w:numPr>
                <w:ilvl w:val="0"/>
                <w:numId w:val="58"/>
              </w:numPr>
              <w:tabs>
                <w:tab w:val="left" w:pos="672"/>
              </w:tabs>
              <w:ind w:left="561" w:hanging="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TARTALOM SÚLYRA, TÉRFOGATRA, VAGY EGYSÉGRE VONATKOZTATVA</w:t>
            </w:r>
          </w:p>
        </w:tc>
      </w:tr>
    </w:tbl>
    <w:p w14:paraId="3A7A4C43" w14:textId="77777777" w:rsidR="00956594" w:rsidRDefault="00956594" w:rsidP="00956594">
      <w:pPr>
        <w:spacing w:before="13" w:line="280" w:lineRule="exact"/>
        <w:rPr>
          <w:lang w:val="hu-HU"/>
        </w:rPr>
      </w:pPr>
    </w:p>
    <w:p w14:paraId="00CC8368" w14:textId="48DED2C8" w:rsidR="00956594" w:rsidRDefault="00956594" w:rsidP="00956594">
      <w:pPr>
        <w:pStyle w:val="a3"/>
        <w:rPr>
          <w:lang w:val="hu-HU"/>
        </w:rPr>
      </w:pPr>
      <w:r>
        <w:rPr>
          <w:rFonts w:eastAsia="Times New Roman"/>
          <w:spacing w:val="-4"/>
          <w:lang w:val="hu-HU"/>
        </w:rPr>
        <w:t>80 mg</w:t>
      </w:r>
      <w:r w:rsidRPr="002C783D">
        <w:rPr>
          <w:rFonts w:eastAsia="Times New Roman"/>
          <w:spacing w:val="-4"/>
          <w:lang w:val="hu-HU"/>
        </w:rPr>
        <w:t>/0,</w:t>
      </w:r>
      <w:r>
        <w:rPr>
          <w:rFonts w:eastAsia="Times New Roman"/>
          <w:spacing w:val="-4"/>
          <w:lang w:val="hu-HU"/>
        </w:rPr>
        <w:t>8</w:t>
      </w:r>
      <w:r w:rsidRPr="002C783D">
        <w:rPr>
          <w:rFonts w:eastAsia="Times New Roman"/>
          <w:spacing w:val="-4"/>
          <w:lang w:val="hu-HU"/>
        </w:rPr>
        <w:t> ml</w:t>
      </w:r>
    </w:p>
    <w:p w14:paraId="40D9D0D2" w14:textId="77777777" w:rsidR="00956594" w:rsidRDefault="00956594" w:rsidP="00956594">
      <w:pPr>
        <w:spacing w:before="13" w:line="280" w:lineRule="exact"/>
        <w:rPr>
          <w:lang w:val="hu-HU"/>
        </w:rPr>
      </w:pPr>
    </w:p>
    <w:p w14:paraId="7F2CF04A" w14:textId="77777777" w:rsidR="00956594" w:rsidRDefault="00956594" w:rsidP="00956594">
      <w:pPr>
        <w:spacing w:before="13" w:line="280" w:lineRule="exact"/>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14:paraId="1A576F56" w14:textId="77777777" w:rsidTr="007E7849">
        <w:trPr>
          <w:trHeight w:val="317"/>
        </w:trPr>
        <w:tc>
          <w:tcPr>
            <w:tcW w:w="9666" w:type="dxa"/>
            <w:vAlign w:val="center"/>
          </w:tcPr>
          <w:p w14:paraId="7A0B30AE" w14:textId="77777777" w:rsidR="00956594" w:rsidRDefault="00956594" w:rsidP="00FD05AA">
            <w:pPr>
              <w:numPr>
                <w:ilvl w:val="0"/>
                <w:numId w:val="58"/>
              </w:numPr>
              <w:tabs>
                <w:tab w:val="left" w:pos="672"/>
              </w:tabs>
              <w:ind w:left="561" w:hanging="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EGYÉB INFORMÁCIÓK</w:t>
            </w:r>
          </w:p>
        </w:tc>
      </w:tr>
    </w:tbl>
    <w:p w14:paraId="2756EDEA" w14:textId="77777777" w:rsidR="00956594" w:rsidRDefault="00956594" w:rsidP="00956594">
      <w:pPr>
        <w:pStyle w:val="a3"/>
        <w:rPr>
          <w:lang w:val="hu-HU"/>
        </w:rPr>
      </w:pPr>
    </w:p>
    <w:p w14:paraId="4CF20246" w14:textId="77777777" w:rsidR="00956594" w:rsidRDefault="00956594" w:rsidP="00956594">
      <w:pPr>
        <w:rPr>
          <w:lang w:val="hu-HU"/>
        </w:rPr>
      </w:pPr>
    </w:p>
    <w:p w14:paraId="7B4E1037" w14:textId="77777777" w:rsidR="00956594" w:rsidRDefault="00956594" w:rsidP="00956594">
      <w:pPr>
        <w:rPr>
          <w:lang w:val="hu-HU"/>
        </w:rPr>
      </w:pPr>
    </w:p>
    <w:p w14:paraId="7CD1178C" w14:textId="77777777" w:rsidR="00956594" w:rsidRDefault="00956594" w:rsidP="00956594">
      <w:pPr>
        <w:rPr>
          <w:lang w:val="hu-HU"/>
        </w:rPr>
      </w:pPr>
      <w:r>
        <w:rPr>
          <w:lang w:val="hu-HU"/>
        </w:rPr>
        <w:br w:type="page"/>
      </w:r>
    </w:p>
    <w:p w14:paraId="7C814294" w14:textId="77777777" w:rsidR="00956594" w:rsidRDefault="00956594" w:rsidP="00956594">
      <w:pPr>
        <w:rPr>
          <w:rFonts w:ascii="Times New Roman" w:eastAsia="Times New Roman" w:hAnsi="Times New Roman"/>
          <w:b/>
          <w:bCs/>
          <w:spacing w:val="-1"/>
          <w:lang w:val="hu-HU"/>
        </w:rPr>
      </w:pPr>
    </w:p>
    <w:tbl>
      <w:tblPr>
        <w:tblStyle w:val="ac"/>
        <w:tblW w:w="9666" w:type="dxa"/>
        <w:tblLook w:val="04A0" w:firstRow="1" w:lastRow="0" w:firstColumn="1" w:lastColumn="0" w:noHBand="0" w:noVBand="1"/>
      </w:tblPr>
      <w:tblGrid>
        <w:gridCol w:w="9666"/>
      </w:tblGrid>
      <w:tr w:rsidR="00956594" w:rsidRPr="00BE4D18" w14:paraId="4FC3FFEA" w14:textId="77777777" w:rsidTr="007E7849">
        <w:trPr>
          <w:trHeight w:val="822"/>
        </w:trPr>
        <w:tc>
          <w:tcPr>
            <w:tcW w:w="9666" w:type="dxa"/>
            <w:vAlign w:val="center"/>
          </w:tcPr>
          <w:p w14:paraId="05E41730" w14:textId="77777777" w:rsidR="00956594" w:rsidRDefault="00956594" w:rsidP="007E7849">
            <w:pPr>
              <w:jc w:val="both"/>
              <w:rPr>
                <w:rFonts w:ascii="Times New Roman" w:eastAsia="Times New Roman" w:hAnsi="Times New Roman" w:cs="Times New Roman"/>
                <w:lang w:val="hu-HU"/>
              </w:rPr>
            </w:pPr>
            <w:r>
              <w:rPr>
                <w:rFonts w:ascii="Times New Roman" w:eastAsia="Times New Roman" w:hAnsi="Times New Roman" w:cs="Times New Roman"/>
                <w:b/>
                <w:bCs/>
                <w:spacing w:val="-1"/>
                <w:lang w:val="hu-HU"/>
              </w:rPr>
              <w:t>A KÜLSŐ CSOMAGOLÁSON FELTÜNTETENDŐ ADATOK</w:t>
            </w:r>
          </w:p>
          <w:p w14:paraId="1A5A43D0" w14:textId="77777777" w:rsidR="00956594" w:rsidRDefault="00956594" w:rsidP="007E7849">
            <w:pPr>
              <w:spacing w:line="180" w:lineRule="exact"/>
              <w:jc w:val="both"/>
              <w:rPr>
                <w:sz w:val="18"/>
                <w:szCs w:val="18"/>
                <w:lang w:val="hu-HU"/>
              </w:rPr>
            </w:pPr>
          </w:p>
          <w:p w14:paraId="13E83EF5" w14:textId="77777777" w:rsidR="00956594" w:rsidRDefault="00956594" w:rsidP="007E7849">
            <w:pPr>
              <w:jc w:val="both"/>
              <w:rPr>
                <w:rFonts w:ascii="Times New Roman" w:eastAsia="Times New Roman" w:hAnsi="Times New Roman" w:cs="Times New Roman"/>
                <w:lang w:val="hu-HU"/>
              </w:rPr>
            </w:pPr>
            <w:r>
              <w:rPr>
                <w:rFonts w:ascii="Times New Roman" w:eastAsia="Times New Roman" w:hAnsi="Times New Roman" w:cs="Times New Roman"/>
                <w:b/>
                <w:bCs/>
                <w:spacing w:val="-1"/>
                <w:lang w:val="hu-HU"/>
              </w:rPr>
              <w:t>AZ ELŐRETÖLTÖTT INJEKCIÓS TOLL KÜLSŐ DOBOZA</w:t>
            </w:r>
          </w:p>
        </w:tc>
      </w:tr>
    </w:tbl>
    <w:p w14:paraId="2D3D95B7" w14:textId="77777777" w:rsidR="00956594" w:rsidRDefault="00956594" w:rsidP="00956594">
      <w:pPr>
        <w:spacing w:line="200" w:lineRule="exact"/>
        <w:rPr>
          <w:sz w:val="20"/>
          <w:szCs w:val="20"/>
          <w:lang w:val="hu-HU"/>
        </w:rPr>
      </w:pPr>
    </w:p>
    <w:p w14:paraId="2EA561ED" w14:textId="77777777" w:rsidR="00956594" w:rsidRDefault="00956594" w:rsidP="00956594">
      <w:pPr>
        <w:spacing w:line="200" w:lineRule="exact"/>
        <w:rPr>
          <w:sz w:val="20"/>
          <w:szCs w:val="20"/>
          <w:lang w:val="hu-HU"/>
        </w:rPr>
      </w:pPr>
    </w:p>
    <w:tbl>
      <w:tblPr>
        <w:tblStyle w:val="ac"/>
        <w:tblpPr w:leftFromText="142" w:rightFromText="142" w:vertAnchor="text" w:tblpY="55"/>
        <w:tblW w:w="9666" w:type="dxa"/>
        <w:tblLook w:val="04A0" w:firstRow="1" w:lastRow="0" w:firstColumn="1" w:lastColumn="0" w:noHBand="0" w:noVBand="1"/>
      </w:tblPr>
      <w:tblGrid>
        <w:gridCol w:w="9666"/>
      </w:tblGrid>
      <w:tr w:rsidR="00956594" w14:paraId="3F5A6E21" w14:textId="77777777" w:rsidTr="007E7849">
        <w:trPr>
          <w:trHeight w:val="317"/>
        </w:trPr>
        <w:tc>
          <w:tcPr>
            <w:tcW w:w="9666" w:type="dxa"/>
            <w:vAlign w:val="center"/>
          </w:tcPr>
          <w:p w14:paraId="19AA8FC6" w14:textId="77777777" w:rsidR="00956594" w:rsidRDefault="00956594" w:rsidP="00FD05AA">
            <w:pPr>
              <w:numPr>
                <w:ilvl w:val="0"/>
                <w:numId w:val="59"/>
              </w:numPr>
              <w:tabs>
                <w:tab w:val="left" w:pos="672"/>
              </w:tabs>
              <w:ind w:left="550"/>
              <w:jc w:val="both"/>
              <w:rPr>
                <w:rFonts w:ascii="Times New Roman" w:eastAsia="Times New Roman" w:hAnsi="Times New Roman" w:cs="Times New Roman"/>
                <w:lang w:val="hu-HU"/>
              </w:rPr>
            </w:pPr>
            <w:r>
              <w:rPr>
                <w:rFonts w:ascii="Times New Roman" w:eastAsia="Times New Roman" w:hAnsi="Times New Roman" w:cs="Times New Roman"/>
                <w:b/>
                <w:bCs/>
                <w:spacing w:val="-1"/>
                <w:lang w:val="hu-HU"/>
              </w:rPr>
              <w:t>A GYÓGYSZER NEVE</w:t>
            </w:r>
          </w:p>
        </w:tc>
      </w:tr>
    </w:tbl>
    <w:p w14:paraId="0B3FC19B" w14:textId="77777777" w:rsidR="00956594" w:rsidRDefault="00956594" w:rsidP="00956594">
      <w:pPr>
        <w:spacing w:line="200" w:lineRule="exact"/>
        <w:rPr>
          <w:sz w:val="20"/>
          <w:szCs w:val="20"/>
          <w:lang w:val="hu-HU"/>
        </w:rPr>
      </w:pPr>
    </w:p>
    <w:p w14:paraId="27F31414" w14:textId="7EC74DC1" w:rsidR="00956594" w:rsidRDefault="00956594" w:rsidP="00956594">
      <w:pPr>
        <w:pStyle w:val="a3"/>
        <w:rPr>
          <w:lang w:val="hu-HU"/>
        </w:rPr>
      </w:pPr>
      <w:r>
        <w:rPr>
          <w:rFonts w:eastAsia="Times New Roman"/>
          <w:lang w:val="hu-HU"/>
        </w:rPr>
        <w:t xml:space="preserve">Yuflyma </w:t>
      </w:r>
      <w:r w:rsidR="00FD1A48">
        <w:rPr>
          <w:rFonts w:eastAsia="Times New Roman"/>
          <w:lang w:val="hu-HU"/>
        </w:rPr>
        <w:t>8</w:t>
      </w:r>
      <w:r>
        <w:rPr>
          <w:rFonts w:eastAsia="Times New Roman"/>
          <w:lang w:val="hu-HU"/>
        </w:rPr>
        <w:t>0 mg oldatos injekció előretöltött injekciós tollban</w:t>
      </w:r>
    </w:p>
    <w:p w14:paraId="335602A8" w14:textId="77777777" w:rsidR="00956594" w:rsidRDefault="00956594" w:rsidP="00956594">
      <w:pPr>
        <w:pStyle w:val="a3"/>
        <w:rPr>
          <w:lang w:val="hu-HU"/>
        </w:rPr>
      </w:pPr>
      <w:r>
        <w:rPr>
          <w:rFonts w:eastAsia="Times New Roman"/>
          <w:lang w:val="hu-HU"/>
        </w:rPr>
        <w:t>adalimumab</w:t>
      </w:r>
    </w:p>
    <w:p w14:paraId="05B0B423" w14:textId="77777777" w:rsidR="00956594" w:rsidRDefault="00956594" w:rsidP="00956594">
      <w:pPr>
        <w:pStyle w:val="a3"/>
        <w:rPr>
          <w:lang w:val="hu-HU"/>
        </w:rPr>
      </w:pPr>
    </w:p>
    <w:p w14:paraId="66FB52AB" w14:textId="77777777" w:rsidR="00956594" w:rsidRDefault="00956594" w:rsidP="00956594">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14:paraId="446EF57C" w14:textId="77777777" w:rsidTr="007E7849">
        <w:trPr>
          <w:trHeight w:val="317"/>
        </w:trPr>
        <w:tc>
          <w:tcPr>
            <w:tcW w:w="9666" w:type="dxa"/>
            <w:vAlign w:val="center"/>
          </w:tcPr>
          <w:p w14:paraId="529F4D8D" w14:textId="77777777" w:rsidR="00956594" w:rsidRDefault="00956594" w:rsidP="00FD05AA">
            <w:pPr>
              <w:numPr>
                <w:ilvl w:val="0"/>
                <w:numId w:val="59"/>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HATÓANYAG MEGNEVEZÉSE</w:t>
            </w:r>
          </w:p>
        </w:tc>
      </w:tr>
    </w:tbl>
    <w:p w14:paraId="6FCC7906" w14:textId="77777777" w:rsidR="00956594" w:rsidRDefault="00956594" w:rsidP="00956594">
      <w:pPr>
        <w:spacing w:before="13" w:line="280" w:lineRule="exact"/>
        <w:rPr>
          <w:sz w:val="28"/>
          <w:szCs w:val="28"/>
          <w:lang w:val="hu-HU"/>
        </w:rPr>
      </w:pPr>
    </w:p>
    <w:p w14:paraId="124BD95D" w14:textId="7B08C940" w:rsidR="00956594" w:rsidRDefault="00956594" w:rsidP="00956594">
      <w:pPr>
        <w:pStyle w:val="a3"/>
        <w:rPr>
          <w:lang w:val="hu-HU"/>
        </w:rPr>
      </w:pPr>
      <w:r>
        <w:rPr>
          <w:rFonts w:eastAsia="Times New Roman"/>
          <w:lang w:val="hu-HU"/>
        </w:rPr>
        <w:t>Egy 0,</w:t>
      </w:r>
      <w:r w:rsidR="00FD1A48">
        <w:rPr>
          <w:rFonts w:eastAsia="Times New Roman"/>
          <w:lang w:val="hu-HU"/>
        </w:rPr>
        <w:t>8</w:t>
      </w:r>
      <w:r>
        <w:rPr>
          <w:rFonts w:eastAsia="Times New Roman"/>
          <w:lang w:val="hu-HU"/>
        </w:rPr>
        <w:t xml:space="preserve"> ml-es előretöltött injekciós toll </w:t>
      </w:r>
      <w:r w:rsidR="00FD1A48">
        <w:rPr>
          <w:rFonts w:eastAsia="Times New Roman"/>
          <w:lang w:val="hu-HU"/>
        </w:rPr>
        <w:t>8</w:t>
      </w:r>
      <w:r>
        <w:rPr>
          <w:rFonts w:eastAsia="Times New Roman"/>
          <w:lang w:val="hu-HU"/>
        </w:rPr>
        <w:t>0 mg adalimumabot tartalmaz.</w:t>
      </w:r>
    </w:p>
    <w:p w14:paraId="02DE73C5" w14:textId="77777777" w:rsidR="00956594" w:rsidRDefault="00956594" w:rsidP="00956594">
      <w:pPr>
        <w:spacing w:before="13" w:line="280" w:lineRule="exact"/>
        <w:rPr>
          <w:sz w:val="28"/>
          <w:szCs w:val="28"/>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rsidRPr="00F70E6D" w14:paraId="05C69F0C" w14:textId="77777777" w:rsidTr="007E7849">
        <w:trPr>
          <w:trHeight w:val="317"/>
        </w:trPr>
        <w:tc>
          <w:tcPr>
            <w:tcW w:w="9666" w:type="dxa"/>
            <w:vAlign w:val="center"/>
          </w:tcPr>
          <w:p w14:paraId="2B0BFBC6" w14:textId="77777777" w:rsidR="00956594" w:rsidRDefault="00956594" w:rsidP="00FD05AA">
            <w:pPr>
              <w:numPr>
                <w:ilvl w:val="0"/>
                <w:numId w:val="59"/>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SEGÉDANYAGOK FELSOROLÁSA</w:t>
            </w:r>
          </w:p>
        </w:tc>
      </w:tr>
    </w:tbl>
    <w:p w14:paraId="2FD037BF" w14:textId="77777777" w:rsidR="00956594" w:rsidRDefault="00956594" w:rsidP="00956594">
      <w:pPr>
        <w:pStyle w:val="a3"/>
        <w:rPr>
          <w:lang w:val="hu-HU"/>
        </w:rPr>
      </w:pPr>
    </w:p>
    <w:p w14:paraId="61F7708D" w14:textId="77777777" w:rsidR="00956594" w:rsidRDefault="00956594" w:rsidP="00956594">
      <w:pPr>
        <w:pStyle w:val="a3"/>
        <w:rPr>
          <w:noProof/>
          <w:lang w:val="hu-HU" w:eastAsia="ko-KR"/>
        </w:rPr>
      </w:pPr>
      <w:r>
        <w:rPr>
          <w:rFonts w:eastAsia="Times New Roman"/>
          <w:lang w:val="hu-HU"/>
        </w:rPr>
        <w:t xml:space="preserve">Segédanyagok : ecetsav, nátrium-acetát trihidrát, glicin , poliszorbát 80, injekcióhoz való víz . </w:t>
      </w:r>
      <w:r w:rsidRPr="004E2591">
        <w:rPr>
          <w:rFonts w:eastAsia="Times New Roman"/>
          <w:highlight w:val="lightGray"/>
          <w:lang w:val="hu-HU"/>
        </w:rPr>
        <w:t>További információért olvassa el a betegtájékoztatót.</w:t>
      </w:r>
    </w:p>
    <w:p w14:paraId="6CA5CD14" w14:textId="77777777" w:rsidR="00956594" w:rsidRDefault="00956594" w:rsidP="00956594">
      <w:pPr>
        <w:pStyle w:val="a3"/>
        <w:rPr>
          <w:lang w:val="hu-HU"/>
        </w:rPr>
      </w:pPr>
    </w:p>
    <w:p w14:paraId="2FB95BC6" w14:textId="77777777" w:rsidR="00956594" w:rsidRDefault="00956594" w:rsidP="00956594">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14:paraId="7A944EF7" w14:textId="77777777" w:rsidTr="007E7849">
        <w:trPr>
          <w:trHeight w:val="317"/>
        </w:trPr>
        <w:tc>
          <w:tcPr>
            <w:tcW w:w="9666" w:type="dxa"/>
            <w:vAlign w:val="center"/>
          </w:tcPr>
          <w:p w14:paraId="750276CB" w14:textId="77777777" w:rsidR="00956594" w:rsidRDefault="00956594" w:rsidP="00FD05AA">
            <w:pPr>
              <w:numPr>
                <w:ilvl w:val="0"/>
                <w:numId w:val="59"/>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GYÓGYSZERFORMA ÉS TARTALOM</w:t>
            </w:r>
          </w:p>
        </w:tc>
      </w:tr>
    </w:tbl>
    <w:p w14:paraId="26A65870" w14:textId="77777777" w:rsidR="00956594" w:rsidRDefault="00956594" w:rsidP="00956594">
      <w:pPr>
        <w:pStyle w:val="a3"/>
        <w:rPr>
          <w:lang w:val="hu-HU"/>
        </w:rPr>
      </w:pPr>
    </w:p>
    <w:p w14:paraId="569B7A28" w14:textId="77777777" w:rsidR="00956594" w:rsidRDefault="00956594" w:rsidP="00956594">
      <w:pPr>
        <w:pStyle w:val="a3"/>
        <w:rPr>
          <w:lang w:val="hu-HU"/>
        </w:rPr>
      </w:pPr>
      <w:r w:rsidRPr="000405CC">
        <w:rPr>
          <w:rFonts w:eastAsia="Times New Roman"/>
          <w:highlight w:val="lightGray"/>
          <w:lang w:val="hu-HU"/>
        </w:rPr>
        <w:t>Oldatos injekció</w:t>
      </w:r>
    </w:p>
    <w:p w14:paraId="25AA3696" w14:textId="77777777" w:rsidR="00956594" w:rsidRDefault="00956594" w:rsidP="00956594">
      <w:pPr>
        <w:pStyle w:val="a3"/>
        <w:rPr>
          <w:lang w:val="hu-HU"/>
        </w:rPr>
      </w:pPr>
      <w:r>
        <w:rPr>
          <w:rFonts w:eastAsia="Times New Roman"/>
          <w:lang w:val="hu-HU"/>
        </w:rPr>
        <w:t xml:space="preserve">1 db előretöltött injekciós toll </w:t>
      </w:r>
    </w:p>
    <w:p w14:paraId="73164066" w14:textId="232B82FE" w:rsidR="00956594" w:rsidRPr="00CE42DC" w:rsidRDefault="00956594" w:rsidP="00956594">
      <w:pPr>
        <w:pStyle w:val="a3"/>
        <w:rPr>
          <w:lang w:val="hu-HU"/>
        </w:rPr>
      </w:pPr>
      <w:r>
        <w:rPr>
          <w:rFonts w:eastAsia="Times New Roman"/>
          <w:lang w:val="hu-HU"/>
        </w:rPr>
        <w:t>2 db alkoholos törlőkendő</w:t>
      </w:r>
    </w:p>
    <w:p w14:paraId="37B18CDB" w14:textId="77777777" w:rsidR="00956594" w:rsidRPr="000405CC" w:rsidRDefault="00956594" w:rsidP="00956594">
      <w:pPr>
        <w:spacing w:line="170" w:lineRule="exact"/>
        <w:rPr>
          <w:sz w:val="17"/>
          <w:szCs w:val="17"/>
          <w:highlight w:val="lightGray"/>
          <w:lang w:val="hu-HU"/>
        </w:rPr>
      </w:pPr>
    </w:p>
    <w:p w14:paraId="31757484" w14:textId="5CF10EEF" w:rsidR="00956594" w:rsidRPr="000405CC" w:rsidRDefault="00FD1A48" w:rsidP="00956594">
      <w:pPr>
        <w:pStyle w:val="a3"/>
        <w:rPr>
          <w:highlight w:val="lightGray"/>
          <w:lang w:val="hu-HU"/>
        </w:rPr>
      </w:pPr>
      <w:r>
        <w:rPr>
          <w:rFonts w:eastAsia="Times New Roman"/>
          <w:highlight w:val="lightGray"/>
          <w:lang w:val="hu-HU"/>
        </w:rPr>
        <w:t>3</w:t>
      </w:r>
      <w:r w:rsidR="00956594" w:rsidRPr="000405CC">
        <w:rPr>
          <w:rFonts w:eastAsia="Times New Roman"/>
          <w:highlight w:val="lightGray"/>
          <w:lang w:val="hu-HU"/>
        </w:rPr>
        <w:t> db előretöltött</w:t>
      </w:r>
      <w:r w:rsidR="00956594" w:rsidRPr="007814B0">
        <w:rPr>
          <w:rFonts w:eastAsia="Times New Roman"/>
          <w:highlight w:val="lightGray"/>
          <w:lang w:val="hu-HU"/>
        </w:rPr>
        <w:t xml:space="preserve"> </w:t>
      </w:r>
      <w:r w:rsidR="00956594" w:rsidRPr="001E2F31">
        <w:rPr>
          <w:rFonts w:eastAsia="Times New Roman"/>
          <w:highlight w:val="lightGray"/>
          <w:lang w:val="hu-HU"/>
        </w:rPr>
        <w:t>injekciós</w:t>
      </w:r>
      <w:r w:rsidR="00956594" w:rsidRPr="007814B0">
        <w:rPr>
          <w:rFonts w:eastAsia="Times New Roman"/>
          <w:highlight w:val="lightGray"/>
          <w:lang w:val="hu-HU"/>
        </w:rPr>
        <w:t xml:space="preserve"> </w:t>
      </w:r>
      <w:r w:rsidR="00956594" w:rsidRPr="000405CC">
        <w:rPr>
          <w:rFonts w:eastAsia="Times New Roman"/>
          <w:highlight w:val="lightGray"/>
          <w:lang w:val="hu-HU"/>
        </w:rPr>
        <w:t xml:space="preserve">toll </w:t>
      </w:r>
    </w:p>
    <w:p w14:paraId="742DF8FC" w14:textId="2301223C" w:rsidR="00956594" w:rsidRPr="00CE42DC" w:rsidRDefault="00956594" w:rsidP="00956594">
      <w:pPr>
        <w:pStyle w:val="a3"/>
        <w:rPr>
          <w:highlight w:val="lightGray"/>
          <w:lang w:val="hu-HU"/>
        </w:rPr>
      </w:pPr>
      <w:r w:rsidRPr="000405CC">
        <w:rPr>
          <w:rFonts w:eastAsia="Times New Roman"/>
          <w:highlight w:val="lightGray"/>
          <w:lang w:val="hu-HU"/>
        </w:rPr>
        <w:t>4 db alkoholos törlőkendő</w:t>
      </w:r>
    </w:p>
    <w:p w14:paraId="22B5D24F" w14:textId="77777777" w:rsidR="00956594" w:rsidRDefault="00956594" w:rsidP="00956594">
      <w:pPr>
        <w:spacing w:line="200" w:lineRule="exact"/>
        <w:rPr>
          <w:sz w:val="20"/>
          <w:szCs w:val="20"/>
          <w:lang w:val="hu-HU"/>
        </w:rPr>
      </w:pPr>
    </w:p>
    <w:p w14:paraId="3451F6CB" w14:textId="77777777" w:rsidR="00956594" w:rsidRDefault="00956594" w:rsidP="00956594">
      <w:pPr>
        <w:spacing w:line="200" w:lineRule="exact"/>
        <w:rPr>
          <w:sz w:val="20"/>
          <w:szCs w:val="20"/>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rsidRPr="00BE4D18" w14:paraId="055F76B2" w14:textId="77777777" w:rsidTr="007E7849">
        <w:trPr>
          <w:trHeight w:val="317"/>
        </w:trPr>
        <w:tc>
          <w:tcPr>
            <w:tcW w:w="9666" w:type="dxa"/>
            <w:vAlign w:val="center"/>
          </w:tcPr>
          <w:p w14:paraId="47759845" w14:textId="77777777" w:rsidR="00956594" w:rsidRDefault="00956594" w:rsidP="00FD05AA">
            <w:pPr>
              <w:numPr>
                <w:ilvl w:val="0"/>
                <w:numId w:val="59"/>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AZ ALKALMAZÁSSAL KAPCSOLATOS TUDNIVALÓK ÉS AZ ALKALMAZÁS MÓDJA</w:t>
            </w:r>
          </w:p>
        </w:tc>
      </w:tr>
    </w:tbl>
    <w:p w14:paraId="3A594628" w14:textId="77777777" w:rsidR="00956594" w:rsidRDefault="00956594" w:rsidP="00956594">
      <w:pPr>
        <w:spacing w:line="200" w:lineRule="exact"/>
        <w:rPr>
          <w:sz w:val="20"/>
          <w:szCs w:val="20"/>
          <w:lang w:val="hu-HU"/>
        </w:rPr>
      </w:pPr>
    </w:p>
    <w:p w14:paraId="0DE54EEA" w14:textId="77777777" w:rsidR="00956594" w:rsidRDefault="00956594" w:rsidP="00956594">
      <w:pPr>
        <w:pStyle w:val="a3"/>
        <w:rPr>
          <w:lang w:val="hu-HU"/>
        </w:rPr>
      </w:pPr>
      <w:r>
        <w:rPr>
          <w:rFonts w:eastAsia="Times New Roman"/>
          <w:lang w:val="hu-HU"/>
        </w:rPr>
        <w:t>Subcutan alkalmazás</w:t>
      </w:r>
    </w:p>
    <w:p w14:paraId="31112D71" w14:textId="77777777" w:rsidR="00956594" w:rsidRDefault="00956594" w:rsidP="00956594">
      <w:pPr>
        <w:pStyle w:val="a3"/>
        <w:rPr>
          <w:lang w:val="hu-HU"/>
        </w:rPr>
      </w:pPr>
    </w:p>
    <w:p w14:paraId="7B0917FF" w14:textId="77777777" w:rsidR="00956594" w:rsidRDefault="00956594" w:rsidP="00956594">
      <w:pPr>
        <w:pStyle w:val="a3"/>
        <w:rPr>
          <w:lang w:val="hu-HU"/>
        </w:rPr>
      </w:pPr>
      <w:r>
        <w:rPr>
          <w:rFonts w:eastAsia="Times New Roman"/>
          <w:lang w:val="hu-HU"/>
        </w:rPr>
        <w:t>Használat előtt olvassa el a mellékelt betegtájékoztatót!</w:t>
      </w:r>
    </w:p>
    <w:p w14:paraId="26EA8A93" w14:textId="77777777" w:rsidR="00956594" w:rsidRDefault="00956594" w:rsidP="00956594">
      <w:pPr>
        <w:pStyle w:val="a3"/>
        <w:rPr>
          <w:lang w:val="hu-HU"/>
        </w:rPr>
      </w:pPr>
    </w:p>
    <w:p w14:paraId="0ED2E37A" w14:textId="77777777" w:rsidR="00956594" w:rsidRDefault="00956594" w:rsidP="00956594">
      <w:pPr>
        <w:pStyle w:val="a3"/>
        <w:rPr>
          <w:lang w:val="hu-HU"/>
        </w:rPr>
      </w:pPr>
      <w:r>
        <w:rPr>
          <w:rFonts w:eastAsia="Times New Roman"/>
          <w:lang w:val="hu-HU"/>
        </w:rPr>
        <w:t>Kizárólag egyszeri felhasználásra.</w:t>
      </w:r>
    </w:p>
    <w:p w14:paraId="4B6D6A07" w14:textId="77777777" w:rsidR="00956594" w:rsidRDefault="00956594" w:rsidP="00956594">
      <w:pPr>
        <w:pStyle w:val="a3"/>
        <w:rPr>
          <w:lang w:val="hu-HU"/>
        </w:rPr>
      </w:pPr>
    </w:p>
    <w:p w14:paraId="3F897CEA" w14:textId="77777777" w:rsidR="00956594" w:rsidRDefault="00956594" w:rsidP="00956594">
      <w:pPr>
        <w:rPr>
          <w:lang w:val="hu-HU"/>
        </w:rPr>
      </w:pPr>
      <w:r>
        <w:rPr>
          <w:lang w:val="hu-HU"/>
        </w:rPr>
        <w:br w:type="page"/>
      </w:r>
    </w:p>
    <w:tbl>
      <w:tblPr>
        <w:tblStyle w:val="ac"/>
        <w:tblpPr w:leftFromText="142" w:rightFromText="142" w:vertAnchor="text" w:tblpY="194"/>
        <w:tblW w:w="9666" w:type="dxa"/>
        <w:tblLook w:val="04A0" w:firstRow="1" w:lastRow="0" w:firstColumn="1" w:lastColumn="0" w:noHBand="0" w:noVBand="1"/>
      </w:tblPr>
      <w:tblGrid>
        <w:gridCol w:w="9666"/>
      </w:tblGrid>
      <w:tr w:rsidR="00956594" w:rsidRPr="00BE4D18" w14:paraId="7D4331DC" w14:textId="77777777" w:rsidTr="007E7849">
        <w:trPr>
          <w:trHeight w:val="317"/>
        </w:trPr>
        <w:tc>
          <w:tcPr>
            <w:tcW w:w="9666" w:type="dxa"/>
            <w:vAlign w:val="center"/>
          </w:tcPr>
          <w:p w14:paraId="1889E5D7" w14:textId="77777777" w:rsidR="00956594" w:rsidRDefault="00956594" w:rsidP="00FD05AA">
            <w:pPr>
              <w:numPr>
                <w:ilvl w:val="0"/>
                <w:numId w:val="59"/>
              </w:numPr>
              <w:tabs>
                <w:tab w:val="left" w:pos="672"/>
              </w:tabs>
              <w:ind w:left="550" w:hanging="550"/>
              <w:jc w:val="both"/>
              <w:rPr>
                <w:rFonts w:ascii="Times New Roman" w:eastAsia="Times New Roman" w:hAnsi="Times New Roman"/>
                <w:lang w:val="hu-HU"/>
              </w:rPr>
            </w:pPr>
            <w:r>
              <w:rPr>
                <w:rFonts w:ascii="Times New Roman" w:eastAsia="Times New Roman" w:hAnsi="Times New Roman" w:cs="Times New Roman"/>
                <w:b/>
                <w:bCs/>
                <w:spacing w:val="-1"/>
                <w:lang w:val="hu-HU"/>
              </w:rPr>
              <w:lastRenderedPageBreak/>
              <w:t>KÜLÖN FIGYELMEZTETÉS, MELY SZERINT A GYÓGYSZERT GYERMEKEKTŐL ELZÁRVA KELL TARTANI</w:t>
            </w:r>
          </w:p>
        </w:tc>
      </w:tr>
    </w:tbl>
    <w:p w14:paraId="15DCAD13" w14:textId="77777777" w:rsidR="00956594" w:rsidRDefault="00956594" w:rsidP="00956594">
      <w:pPr>
        <w:spacing w:before="1" w:line="200" w:lineRule="exact"/>
        <w:rPr>
          <w:sz w:val="20"/>
          <w:szCs w:val="20"/>
          <w:lang w:val="hu-HU"/>
        </w:rPr>
      </w:pPr>
    </w:p>
    <w:p w14:paraId="4DE877F6" w14:textId="77777777" w:rsidR="00956594" w:rsidRDefault="00956594" w:rsidP="00956594">
      <w:pPr>
        <w:pStyle w:val="a3"/>
        <w:rPr>
          <w:lang w:val="hu-HU"/>
        </w:rPr>
      </w:pPr>
      <w:r>
        <w:rPr>
          <w:rFonts w:eastAsia="Times New Roman"/>
          <w:lang w:val="hu-HU"/>
        </w:rPr>
        <w:t>A gyógyszer gyermekektől elzárva tartandó.</w:t>
      </w:r>
    </w:p>
    <w:p w14:paraId="6A4EEBD6" w14:textId="77777777" w:rsidR="00956594" w:rsidRDefault="00956594" w:rsidP="00956594">
      <w:pPr>
        <w:rPr>
          <w:lang w:val="hu-HU"/>
        </w:rPr>
      </w:pPr>
    </w:p>
    <w:p w14:paraId="70BA57EA" w14:textId="77777777" w:rsidR="00956594" w:rsidRDefault="00956594" w:rsidP="00956594">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rsidRPr="00BE4D18" w14:paraId="1C49BD67" w14:textId="77777777" w:rsidTr="007E7849">
        <w:trPr>
          <w:trHeight w:val="317"/>
        </w:trPr>
        <w:tc>
          <w:tcPr>
            <w:tcW w:w="9666" w:type="dxa"/>
            <w:vAlign w:val="center"/>
          </w:tcPr>
          <w:p w14:paraId="37CBB0C8" w14:textId="77777777" w:rsidR="00956594" w:rsidRDefault="00956594" w:rsidP="00FD05AA">
            <w:pPr>
              <w:numPr>
                <w:ilvl w:val="0"/>
                <w:numId w:val="59"/>
              </w:numPr>
              <w:tabs>
                <w:tab w:val="left" w:pos="672"/>
              </w:tabs>
              <w:ind w:left="550" w:hanging="550"/>
              <w:jc w:val="both"/>
              <w:rPr>
                <w:rFonts w:ascii="Times New Roman" w:eastAsia="Times New Roman" w:hAnsi="Times New Roman"/>
                <w:lang w:val="hu-HU"/>
              </w:rPr>
            </w:pPr>
            <w:r>
              <w:rPr>
                <w:rFonts w:ascii="Times New Roman" w:eastAsia="Times New Roman" w:hAnsi="Times New Roman" w:cs="Times New Roman"/>
                <w:b/>
                <w:bCs/>
                <w:spacing w:val="-1"/>
                <w:lang w:val="hu-HU"/>
              </w:rPr>
              <w:t>TOVÁBBI FIGYELMEZTETÉS(EK), AMENNYIBEN SZÜKSÉGES</w:t>
            </w:r>
          </w:p>
        </w:tc>
      </w:tr>
    </w:tbl>
    <w:p w14:paraId="53F3DC9A" w14:textId="77777777" w:rsidR="00956594" w:rsidRDefault="00956594" w:rsidP="00956594">
      <w:pPr>
        <w:rPr>
          <w:lang w:val="hu-HU"/>
        </w:rPr>
      </w:pPr>
    </w:p>
    <w:p w14:paraId="4D62E506" w14:textId="77777777" w:rsidR="00956594" w:rsidRDefault="00956594" w:rsidP="00956594">
      <w:pPr>
        <w:rPr>
          <w:lang w:val="hu-HU"/>
        </w:rPr>
      </w:pPr>
    </w:p>
    <w:p w14:paraId="65F8F24A" w14:textId="77777777" w:rsidR="00956594" w:rsidRDefault="00956594" w:rsidP="00956594">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14:paraId="6EA282F0" w14:textId="77777777" w:rsidTr="007E7849">
        <w:trPr>
          <w:trHeight w:val="317"/>
        </w:trPr>
        <w:tc>
          <w:tcPr>
            <w:tcW w:w="9666" w:type="dxa"/>
            <w:vAlign w:val="center"/>
          </w:tcPr>
          <w:p w14:paraId="1A73FC4B" w14:textId="77777777" w:rsidR="00956594" w:rsidRDefault="00956594" w:rsidP="00FD05AA">
            <w:pPr>
              <w:numPr>
                <w:ilvl w:val="0"/>
                <w:numId w:val="59"/>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LEJÁRATI IDŐ</w:t>
            </w:r>
          </w:p>
        </w:tc>
      </w:tr>
    </w:tbl>
    <w:p w14:paraId="6B862C24" w14:textId="77777777" w:rsidR="00956594" w:rsidRDefault="00956594" w:rsidP="00956594">
      <w:pPr>
        <w:rPr>
          <w:lang w:val="hu-HU"/>
        </w:rPr>
      </w:pPr>
    </w:p>
    <w:p w14:paraId="15586421" w14:textId="77777777" w:rsidR="00956594" w:rsidRDefault="00956594" w:rsidP="00956594">
      <w:pPr>
        <w:pStyle w:val="a3"/>
        <w:rPr>
          <w:lang w:val="hu-HU"/>
        </w:rPr>
      </w:pPr>
      <w:r>
        <w:rPr>
          <w:rFonts w:eastAsia="Times New Roman"/>
          <w:lang w:val="hu-HU"/>
        </w:rPr>
        <w:t>EXP</w:t>
      </w:r>
    </w:p>
    <w:p w14:paraId="7B0613FC" w14:textId="77777777" w:rsidR="00956594" w:rsidRDefault="00956594" w:rsidP="00956594">
      <w:pPr>
        <w:rPr>
          <w:lang w:val="hu-HU"/>
        </w:rPr>
      </w:pPr>
    </w:p>
    <w:p w14:paraId="3339AE1F" w14:textId="77777777" w:rsidR="00956594" w:rsidRDefault="00956594" w:rsidP="00956594">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rsidRPr="00BE4D18" w14:paraId="28CBFAB5" w14:textId="77777777" w:rsidTr="007E7849">
        <w:trPr>
          <w:trHeight w:val="317"/>
        </w:trPr>
        <w:tc>
          <w:tcPr>
            <w:tcW w:w="9666" w:type="dxa"/>
            <w:vAlign w:val="center"/>
          </w:tcPr>
          <w:p w14:paraId="46D9B39A" w14:textId="77777777" w:rsidR="00956594" w:rsidRDefault="00956594" w:rsidP="00FD05AA">
            <w:pPr>
              <w:numPr>
                <w:ilvl w:val="0"/>
                <w:numId w:val="59"/>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KÜLÖNLEGES TÁROLÁSI ELŐÍRÁSOK</w:t>
            </w:r>
          </w:p>
        </w:tc>
      </w:tr>
    </w:tbl>
    <w:p w14:paraId="345DAA7A" w14:textId="77777777" w:rsidR="00956594" w:rsidRDefault="00956594" w:rsidP="00956594">
      <w:pPr>
        <w:rPr>
          <w:lang w:val="hu-HU"/>
        </w:rPr>
      </w:pPr>
    </w:p>
    <w:p w14:paraId="0861D10E" w14:textId="77777777" w:rsidR="00956594" w:rsidRDefault="00956594" w:rsidP="00956594">
      <w:pPr>
        <w:pStyle w:val="a3"/>
        <w:rPr>
          <w:lang w:val="hu-HU"/>
        </w:rPr>
      </w:pPr>
      <w:r>
        <w:rPr>
          <w:rFonts w:eastAsia="Times New Roman"/>
          <w:lang w:val="hu-HU"/>
        </w:rPr>
        <w:t>Hűtőszekrényben tárolandó. Nem fagyasztható.</w:t>
      </w:r>
    </w:p>
    <w:p w14:paraId="2B9DCB8C" w14:textId="77777777" w:rsidR="00956594" w:rsidRDefault="00956594" w:rsidP="00956594">
      <w:pPr>
        <w:pStyle w:val="a3"/>
        <w:rPr>
          <w:lang w:val="hu-HU"/>
        </w:rPr>
      </w:pPr>
      <w:r>
        <w:rPr>
          <w:rFonts w:eastAsia="Times New Roman"/>
          <w:lang w:val="hu-HU"/>
        </w:rPr>
        <w:t>A további tárolási információkért olvassa el a betegtájékoztatót.</w:t>
      </w:r>
    </w:p>
    <w:p w14:paraId="5F967BF2" w14:textId="77777777" w:rsidR="00956594" w:rsidRDefault="00956594" w:rsidP="00956594">
      <w:pPr>
        <w:pStyle w:val="a3"/>
        <w:rPr>
          <w:lang w:val="hu-HU"/>
        </w:rPr>
      </w:pPr>
      <w:r>
        <w:rPr>
          <w:rFonts w:eastAsia="Times New Roman"/>
          <w:lang w:val="hu-HU"/>
        </w:rPr>
        <w:t>A fénytől való védelem érdekében az előretöltött injekciós toll az eredeti dobozban tárolandó.</w:t>
      </w:r>
    </w:p>
    <w:p w14:paraId="2B1DD4B2" w14:textId="7E3D213E" w:rsidR="00956594" w:rsidRDefault="00956594" w:rsidP="00956594">
      <w:pPr>
        <w:pStyle w:val="a3"/>
        <w:rPr>
          <w:lang w:val="hu-HU"/>
        </w:rPr>
      </w:pPr>
      <w:r w:rsidRPr="004E2591">
        <w:rPr>
          <w:rFonts w:eastAsia="Times New Roman"/>
          <w:highlight w:val="lightGray"/>
          <w:lang w:val="hu-HU"/>
        </w:rPr>
        <w:t>A fénytől való védelem érdekében az előretöltött injekciós tollak az eredeti dobozban tárolandó</w:t>
      </w:r>
      <w:r w:rsidR="004A2986">
        <w:rPr>
          <w:rFonts w:eastAsia="Times New Roman"/>
          <w:highlight w:val="lightGray"/>
          <w:lang w:val="hu-HU"/>
        </w:rPr>
        <w:t>k</w:t>
      </w:r>
      <w:r w:rsidRPr="004E2591">
        <w:rPr>
          <w:rFonts w:eastAsia="Times New Roman"/>
          <w:highlight w:val="lightGray"/>
          <w:lang w:val="hu-HU"/>
        </w:rPr>
        <w:t>.</w:t>
      </w:r>
    </w:p>
    <w:p w14:paraId="32758C14" w14:textId="77777777" w:rsidR="00956594" w:rsidRPr="00113FF2" w:rsidRDefault="00956594" w:rsidP="00956594">
      <w:pPr>
        <w:rPr>
          <w:lang w:val="hu-HU"/>
        </w:rPr>
      </w:pPr>
    </w:p>
    <w:p w14:paraId="628BA5D1" w14:textId="77777777" w:rsidR="00956594" w:rsidRDefault="00956594" w:rsidP="00956594">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rsidRPr="00BE4D18" w14:paraId="20434C61" w14:textId="77777777" w:rsidTr="007E7849">
        <w:trPr>
          <w:trHeight w:val="317"/>
        </w:trPr>
        <w:tc>
          <w:tcPr>
            <w:tcW w:w="9666" w:type="dxa"/>
            <w:vAlign w:val="center"/>
          </w:tcPr>
          <w:p w14:paraId="226538DD" w14:textId="77777777" w:rsidR="00956594" w:rsidRDefault="00956594" w:rsidP="00FD05AA">
            <w:pPr>
              <w:numPr>
                <w:ilvl w:val="0"/>
                <w:numId w:val="59"/>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KÜLÖNLEGES ÓVINTÉZKEDÉSEK A FEL NEM HASZNÁLT GYÓGYSZEREK VAGY AZ ILYEN TERMÉKEKBŐL KELETKEZETT HULLADÉKANYAGOK ÁRTALMATLANNÁ TÉTELÉRE, HA ILYENEKRE SZÜKSÉG VAN</w:t>
            </w:r>
          </w:p>
        </w:tc>
      </w:tr>
    </w:tbl>
    <w:p w14:paraId="50D5F3C3" w14:textId="77777777" w:rsidR="00956594" w:rsidRDefault="00956594" w:rsidP="00956594">
      <w:pPr>
        <w:rPr>
          <w:lang w:val="hu-HU"/>
        </w:rPr>
      </w:pPr>
    </w:p>
    <w:p w14:paraId="3AF56777" w14:textId="77777777" w:rsidR="00956594" w:rsidRDefault="00956594" w:rsidP="00956594">
      <w:pPr>
        <w:rPr>
          <w:lang w:val="hu-HU"/>
        </w:rPr>
      </w:pPr>
    </w:p>
    <w:p w14:paraId="738F2216" w14:textId="77777777" w:rsidR="00956594" w:rsidRDefault="00956594" w:rsidP="00956594">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14:paraId="1C4B9163" w14:textId="77777777" w:rsidTr="007E7849">
        <w:trPr>
          <w:trHeight w:val="317"/>
        </w:trPr>
        <w:tc>
          <w:tcPr>
            <w:tcW w:w="9666" w:type="dxa"/>
            <w:vAlign w:val="center"/>
          </w:tcPr>
          <w:p w14:paraId="551B885F" w14:textId="77777777" w:rsidR="00956594" w:rsidRDefault="00956594" w:rsidP="00FD05AA">
            <w:pPr>
              <w:numPr>
                <w:ilvl w:val="0"/>
                <w:numId w:val="59"/>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FORGALOMBA HOZATALI ENGEDÉLY JOGOSULTJÁNAK NEVE ÉS CÍME</w:t>
            </w:r>
          </w:p>
        </w:tc>
      </w:tr>
    </w:tbl>
    <w:p w14:paraId="1A153385" w14:textId="77777777" w:rsidR="00956594" w:rsidRDefault="00956594" w:rsidP="00956594">
      <w:pPr>
        <w:spacing w:before="5" w:line="200" w:lineRule="exact"/>
        <w:rPr>
          <w:sz w:val="20"/>
          <w:szCs w:val="20"/>
          <w:lang w:val="hu-HU"/>
        </w:rPr>
      </w:pPr>
    </w:p>
    <w:p w14:paraId="3A6643C4" w14:textId="77777777" w:rsidR="00956594" w:rsidRDefault="00956594" w:rsidP="00956594">
      <w:pPr>
        <w:pStyle w:val="a3"/>
        <w:rPr>
          <w:lang w:val="hu-HU"/>
        </w:rPr>
      </w:pPr>
      <w:r>
        <w:rPr>
          <w:lang w:val="hu-HU"/>
        </w:rPr>
        <w:t xml:space="preserve">Celltrion Healthcare Hungary Kft. </w:t>
      </w:r>
    </w:p>
    <w:p w14:paraId="004296DD" w14:textId="77777777" w:rsidR="00956594" w:rsidRDefault="00956594" w:rsidP="00956594">
      <w:pPr>
        <w:pStyle w:val="a3"/>
        <w:rPr>
          <w:lang w:val="hu-HU"/>
        </w:rPr>
      </w:pPr>
      <w:r>
        <w:rPr>
          <w:lang w:val="hu-HU"/>
        </w:rPr>
        <w:t>1062 Budapest</w:t>
      </w:r>
    </w:p>
    <w:p w14:paraId="15A25BE7" w14:textId="77777777" w:rsidR="00956594" w:rsidRDefault="00956594" w:rsidP="00956594">
      <w:pPr>
        <w:pStyle w:val="a3"/>
        <w:rPr>
          <w:lang w:val="hu-HU"/>
        </w:rPr>
      </w:pPr>
      <w:r>
        <w:rPr>
          <w:lang w:val="hu-HU"/>
        </w:rPr>
        <w:t>Váci út 1-3. WestEnd Office Building B torony</w:t>
      </w:r>
    </w:p>
    <w:p w14:paraId="10AC6891" w14:textId="77777777" w:rsidR="00956594" w:rsidRDefault="00956594" w:rsidP="00956594">
      <w:pPr>
        <w:pStyle w:val="a3"/>
        <w:rPr>
          <w:lang w:val="hu-HU"/>
        </w:rPr>
      </w:pPr>
      <w:r>
        <w:rPr>
          <w:rFonts w:eastAsia="Times New Roman"/>
          <w:lang w:val="hu-HU"/>
        </w:rPr>
        <w:t>Magyarország</w:t>
      </w:r>
    </w:p>
    <w:p w14:paraId="413434A2" w14:textId="77777777" w:rsidR="00956594" w:rsidRDefault="00956594" w:rsidP="00956594">
      <w:pPr>
        <w:rPr>
          <w:lang w:val="hu-HU"/>
        </w:rPr>
      </w:pPr>
    </w:p>
    <w:p w14:paraId="0AD41276" w14:textId="77777777" w:rsidR="00956594" w:rsidRDefault="00956594" w:rsidP="00956594">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14:paraId="79DD2238" w14:textId="77777777" w:rsidTr="007E7849">
        <w:trPr>
          <w:trHeight w:val="317"/>
        </w:trPr>
        <w:tc>
          <w:tcPr>
            <w:tcW w:w="9666" w:type="dxa"/>
            <w:vAlign w:val="center"/>
          </w:tcPr>
          <w:p w14:paraId="04D4FC3B" w14:textId="77777777" w:rsidR="00956594" w:rsidRDefault="00956594" w:rsidP="00FD05AA">
            <w:pPr>
              <w:numPr>
                <w:ilvl w:val="0"/>
                <w:numId w:val="59"/>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FORGALOMBA HOZATALI ENGEDÉLY SZÁMA(I)</w:t>
            </w:r>
          </w:p>
        </w:tc>
      </w:tr>
    </w:tbl>
    <w:p w14:paraId="3376C6CA" w14:textId="77777777" w:rsidR="00956594" w:rsidRDefault="00956594" w:rsidP="00956594">
      <w:pPr>
        <w:rPr>
          <w:lang w:val="hu-HU"/>
        </w:rPr>
      </w:pPr>
    </w:p>
    <w:p w14:paraId="6EB50461" w14:textId="10D41535" w:rsidR="00956594" w:rsidRPr="004B23C8" w:rsidRDefault="00956594" w:rsidP="00956594">
      <w:pPr>
        <w:pStyle w:val="a3"/>
        <w:rPr>
          <w:highlight w:val="lightGray"/>
          <w:lang w:val="hu-HU"/>
        </w:rPr>
      </w:pPr>
      <w:r>
        <w:rPr>
          <w:rFonts w:eastAsia="Times New Roman"/>
          <w:lang w:val="hu-HU"/>
        </w:rPr>
        <w:t>EU/</w:t>
      </w:r>
      <w:r>
        <w:rPr>
          <w:rFonts w:eastAsia="Times New Roman" w:cs="Verdana"/>
          <w:color w:val="000000"/>
          <w:lang w:val="hu-HU"/>
        </w:rPr>
        <w:t>1/20/1513/0</w:t>
      </w:r>
      <w:r w:rsidR="00FD1A48">
        <w:rPr>
          <w:rFonts w:eastAsia="Times New Roman" w:cs="Verdana"/>
          <w:color w:val="000000"/>
          <w:lang w:val="hu-HU"/>
        </w:rPr>
        <w:t>15</w:t>
      </w:r>
      <w:r>
        <w:rPr>
          <w:rFonts w:eastAsia="Times New Roman" w:cs="Verdana"/>
          <w:color w:val="000000"/>
          <w:lang w:val="hu-HU"/>
        </w:rPr>
        <w:t xml:space="preserve"> </w:t>
      </w:r>
      <w:r w:rsidRPr="004B23C8">
        <w:rPr>
          <w:rFonts w:eastAsia="Times New Roman" w:cs="Verdana"/>
          <w:color w:val="000000"/>
          <w:highlight w:val="lightGray"/>
          <w:lang w:val="hu-HU"/>
        </w:rPr>
        <w:t>1 előretöltött injekciós toll</w:t>
      </w:r>
    </w:p>
    <w:p w14:paraId="7ED90DC9" w14:textId="333E5C0F" w:rsidR="00956594" w:rsidRDefault="00956594" w:rsidP="00FD1A48">
      <w:pPr>
        <w:pStyle w:val="a3"/>
        <w:rPr>
          <w:lang w:val="hu-HU"/>
        </w:rPr>
      </w:pPr>
      <w:r w:rsidRPr="004B23C8">
        <w:rPr>
          <w:rFonts w:eastAsia="Times New Roman"/>
          <w:highlight w:val="lightGray"/>
          <w:lang w:val="hu-HU"/>
        </w:rPr>
        <w:t>EU/</w:t>
      </w:r>
      <w:r w:rsidRPr="004B23C8">
        <w:rPr>
          <w:rFonts w:eastAsia="Times New Roman" w:cs="Verdana"/>
          <w:color w:val="000000"/>
          <w:highlight w:val="lightGray"/>
          <w:lang w:val="hu-HU"/>
        </w:rPr>
        <w:t>1/20/1513/01</w:t>
      </w:r>
      <w:r w:rsidR="00FD1A48">
        <w:rPr>
          <w:rFonts w:eastAsia="Times New Roman" w:cs="Verdana"/>
          <w:color w:val="000000"/>
          <w:highlight w:val="lightGray"/>
          <w:lang w:val="hu-HU"/>
        </w:rPr>
        <w:t>6</w:t>
      </w:r>
      <w:r w:rsidRPr="004B23C8">
        <w:rPr>
          <w:rFonts w:eastAsia="Times New Roman" w:cs="Verdana"/>
          <w:color w:val="000000"/>
          <w:highlight w:val="lightGray"/>
          <w:lang w:val="hu-HU"/>
        </w:rPr>
        <w:t xml:space="preserve"> </w:t>
      </w:r>
      <w:r w:rsidR="00FD1A48">
        <w:rPr>
          <w:rFonts w:eastAsia="Times New Roman" w:cs="Verdana"/>
          <w:color w:val="000000"/>
          <w:highlight w:val="lightGray"/>
          <w:lang w:val="hu-HU"/>
        </w:rPr>
        <w:t>3</w:t>
      </w:r>
      <w:r w:rsidRPr="004B23C8">
        <w:rPr>
          <w:rFonts w:eastAsia="Times New Roman" w:cs="Verdana"/>
          <w:color w:val="000000"/>
          <w:highlight w:val="lightGray"/>
          <w:lang w:val="hu-HU"/>
        </w:rPr>
        <w:t xml:space="preserve"> előretöltött injekciós toll</w:t>
      </w:r>
    </w:p>
    <w:p w14:paraId="67F2C3B0" w14:textId="77777777" w:rsidR="00956594" w:rsidRDefault="00956594" w:rsidP="00956594">
      <w:pPr>
        <w:rPr>
          <w:lang w:val="hu-HU"/>
        </w:rPr>
      </w:pPr>
    </w:p>
    <w:p w14:paraId="674A37E3" w14:textId="77777777" w:rsidR="00956594" w:rsidRDefault="00956594" w:rsidP="00956594">
      <w:pPr>
        <w:rPr>
          <w:lang w:val="hu-HU"/>
        </w:rPr>
      </w:pPr>
      <w:r>
        <w:rPr>
          <w:lang w:val="hu-HU"/>
        </w:rPr>
        <w:br w:type="page"/>
      </w:r>
    </w:p>
    <w:tbl>
      <w:tblPr>
        <w:tblStyle w:val="ac"/>
        <w:tblpPr w:leftFromText="142" w:rightFromText="142" w:vertAnchor="text" w:tblpY="194"/>
        <w:tblW w:w="9666" w:type="dxa"/>
        <w:tblLook w:val="04A0" w:firstRow="1" w:lastRow="0" w:firstColumn="1" w:lastColumn="0" w:noHBand="0" w:noVBand="1"/>
      </w:tblPr>
      <w:tblGrid>
        <w:gridCol w:w="9666"/>
      </w:tblGrid>
      <w:tr w:rsidR="00956594" w14:paraId="606B8F0B" w14:textId="77777777" w:rsidTr="007E7849">
        <w:trPr>
          <w:trHeight w:val="317"/>
        </w:trPr>
        <w:tc>
          <w:tcPr>
            <w:tcW w:w="9666" w:type="dxa"/>
            <w:vAlign w:val="center"/>
          </w:tcPr>
          <w:p w14:paraId="254EF075" w14:textId="77777777" w:rsidR="00956594" w:rsidRDefault="00956594" w:rsidP="00FD05AA">
            <w:pPr>
              <w:numPr>
                <w:ilvl w:val="0"/>
                <w:numId w:val="59"/>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lastRenderedPageBreak/>
              <w:t>A GYÁRTÁSI TÉTEL SZÁMA</w:t>
            </w:r>
          </w:p>
        </w:tc>
      </w:tr>
    </w:tbl>
    <w:p w14:paraId="195B9155" w14:textId="77777777" w:rsidR="00956594" w:rsidRDefault="00956594" w:rsidP="00956594">
      <w:pPr>
        <w:rPr>
          <w:lang w:val="hu-HU"/>
        </w:rPr>
      </w:pPr>
    </w:p>
    <w:p w14:paraId="68E338C7" w14:textId="77777777" w:rsidR="00956594" w:rsidRDefault="00956594" w:rsidP="00956594">
      <w:pPr>
        <w:pStyle w:val="a3"/>
        <w:rPr>
          <w:lang w:val="hu-HU"/>
        </w:rPr>
      </w:pPr>
      <w:r>
        <w:rPr>
          <w:rFonts w:eastAsia="Times New Roman"/>
          <w:lang w:val="hu-HU"/>
        </w:rPr>
        <w:t>Lot</w:t>
      </w:r>
    </w:p>
    <w:p w14:paraId="70060E65" w14:textId="77777777" w:rsidR="00956594" w:rsidRDefault="00956594" w:rsidP="00956594">
      <w:pPr>
        <w:pStyle w:val="a3"/>
        <w:rPr>
          <w:lang w:val="hu-HU"/>
        </w:rPr>
      </w:pPr>
    </w:p>
    <w:p w14:paraId="33632C4F" w14:textId="77777777" w:rsidR="00956594" w:rsidRDefault="00956594" w:rsidP="00956594">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14:paraId="7D65ABE9" w14:textId="77777777" w:rsidTr="007E7849">
        <w:trPr>
          <w:trHeight w:val="317"/>
        </w:trPr>
        <w:tc>
          <w:tcPr>
            <w:tcW w:w="9666" w:type="dxa"/>
            <w:vAlign w:val="center"/>
          </w:tcPr>
          <w:p w14:paraId="7EA790A9" w14:textId="77777777" w:rsidR="00956594" w:rsidRDefault="00956594" w:rsidP="00FD05AA">
            <w:pPr>
              <w:numPr>
                <w:ilvl w:val="0"/>
                <w:numId w:val="59"/>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GYÓGYSZER RENDELHETŐSÉGE</w:t>
            </w:r>
          </w:p>
        </w:tc>
      </w:tr>
    </w:tbl>
    <w:p w14:paraId="4081080D" w14:textId="77777777" w:rsidR="00956594" w:rsidRDefault="00956594" w:rsidP="00956594">
      <w:pPr>
        <w:jc w:val="both"/>
        <w:rPr>
          <w:lang w:val="hu-HU"/>
        </w:rPr>
      </w:pPr>
    </w:p>
    <w:p w14:paraId="311E9EAF" w14:textId="77777777" w:rsidR="00956594" w:rsidRDefault="00956594" w:rsidP="00956594">
      <w:pPr>
        <w:jc w:val="both"/>
        <w:rPr>
          <w:lang w:val="hu-HU"/>
        </w:rPr>
      </w:pPr>
    </w:p>
    <w:p w14:paraId="7EBA6FBE" w14:textId="77777777" w:rsidR="00956594" w:rsidRDefault="00956594" w:rsidP="00956594">
      <w:pPr>
        <w:jc w:val="both"/>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rsidRPr="00BE4D18" w14:paraId="187BC748" w14:textId="77777777" w:rsidTr="007E7849">
        <w:trPr>
          <w:trHeight w:val="317"/>
        </w:trPr>
        <w:tc>
          <w:tcPr>
            <w:tcW w:w="9666" w:type="dxa"/>
            <w:vAlign w:val="center"/>
          </w:tcPr>
          <w:p w14:paraId="515DD9DD" w14:textId="77777777" w:rsidR="00956594" w:rsidRDefault="00956594" w:rsidP="00FD05AA">
            <w:pPr>
              <w:numPr>
                <w:ilvl w:val="0"/>
                <w:numId w:val="59"/>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AZ ALKALMAZÁSRA VONATKOZÓ UTASÍTÁSOK</w:t>
            </w:r>
          </w:p>
        </w:tc>
      </w:tr>
    </w:tbl>
    <w:p w14:paraId="5F98E062" w14:textId="77777777" w:rsidR="00956594" w:rsidRDefault="00956594" w:rsidP="00956594">
      <w:pPr>
        <w:jc w:val="both"/>
        <w:rPr>
          <w:lang w:val="hu-HU"/>
        </w:rPr>
      </w:pPr>
    </w:p>
    <w:p w14:paraId="06E4F788" w14:textId="77777777" w:rsidR="00956594" w:rsidRDefault="00956594" w:rsidP="00956594">
      <w:pPr>
        <w:jc w:val="both"/>
        <w:rPr>
          <w:lang w:val="hu-HU"/>
        </w:rPr>
      </w:pPr>
    </w:p>
    <w:p w14:paraId="18F8CD69" w14:textId="77777777" w:rsidR="00956594" w:rsidRDefault="00956594" w:rsidP="00956594">
      <w:pPr>
        <w:jc w:val="both"/>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14:paraId="6F33F8ED" w14:textId="77777777" w:rsidTr="007E7849">
        <w:trPr>
          <w:trHeight w:val="317"/>
        </w:trPr>
        <w:tc>
          <w:tcPr>
            <w:tcW w:w="9666" w:type="dxa"/>
            <w:vAlign w:val="center"/>
          </w:tcPr>
          <w:p w14:paraId="1BED070B" w14:textId="77777777" w:rsidR="00956594" w:rsidRDefault="00956594" w:rsidP="00FD05AA">
            <w:pPr>
              <w:numPr>
                <w:ilvl w:val="0"/>
                <w:numId w:val="59"/>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BRAILLE ÍRÁSSAL FELTÜNTETETT INFORMÁCIÓK</w:t>
            </w:r>
          </w:p>
        </w:tc>
      </w:tr>
    </w:tbl>
    <w:p w14:paraId="37E18453" w14:textId="77777777" w:rsidR="00956594" w:rsidRDefault="00956594" w:rsidP="00956594">
      <w:pPr>
        <w:jc w:val="both"/>
        <w:rPr>
          <w:lang w:val="hu-HU"/>
        </w:rPr>
      </w:pPr>
    </w:p>
    <w:p w14:paraId="619E311A" w14:textId="224BCE2B" w:rsidR="00956594" w:rsidRDefault="00956594" w:rsidP="00956594">
      <w:pPr>
        <w:pStyle w:val="a3"/>
        <w:rPr>
          <w:lang w:val="hu-HU"/>
        </w:rPr>
      </w:pPr>
      <w:r>
        <w:rPr>
          <w:rFonts w:eastAsia="Times New Roman"/>
          <w:lang w:val="hu-HU"/>
        </w:rPr>
        <w:t xml:space="preserve">Yuflyma </w:t>
      </w:r>
      <w:r w:rsidR="00C15649">
        <w:rPr>
          <w:rFonts w:eastAsia="Times New Roman"/>
          <w:lang w:val="hu-HU"/>
        </w:rPr>
        <w:t>8</w:t>
      </w:r>
      <w:r>
        <w:rPr>
          <w:rFonts w:eastAsia="Times New Roman"/>
          <w:lang w:val="hu-HU"/>
        </w:rPr>
        <w:t>0 mg</w:t>
      </w:r>
    </w:p>
    <w:p w14:paraId="0CCEA131" w14:textId="77777777" w:rsidR="00956594" w:rsidRDefault="00956594" w:rsidP="00956594">
      <w:pPr>
        <w:jc w:val="both"/>
        <w:rPr>
          <w:lang w:val="hu-HU"/>
        </w:rPr>
      </w:pPr>
    </w:p>
    <w:p w14:paraId="6E0A9A1B" w14:textId="77777777" w:rsidR="00956594" w:rsidRDefault="00956594" w:rsidP="00956594">
      <w:pPr>
        <w:jc w:val="both"/>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rsidRPr="00BE4D18" w14:paraId="1825699A" w14:textId="77777777" w:rsidTr="007E7849">
        <w:trPr>
          <w:trHeight w:val="317"/>
        </w:trPr>
        <w:tc>
          <w:tcPr>
            <w:tcW w:w="9666" w:type="dxa"/>
            <w:vAlign w:val="center"/>
          </w:tcPr>
          <w:p w14:paraId="27C6FEB0" w14:textId="77777777" w:rsidR="00956594" w:rsidRDefault="00956594" w:rsidP="00FD05AA">
            <w:pPr>
              <w:numPr>
                <w:ilvl w:val="0"/>
                <w:numId w:val="59"/>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EGYEDI AZONOSÍTÓ – 2D VONALKÓD</w:t>
            </w:r>
          </w:p>
        </w:tc>
      </w:tr>
    </w:tbl>
    <w:p w14:paraId="6E50ED3E" w14:textId="77777777" w:rsidR="00956594" w:rsidRDefault="00956594" w:rsidP="00956594">
      <w:pPr>
        <w:jc w:val="both"/>
        <w:rPr>
          <w:lang w:val="hu-HU"/>
        </w:rPr>
      </w:pPr>
    </w:p>
    <w:p w14:paraId="31AA5B7C" w14:textId="77777777" w:rsidR="00956594" w:rsidRDefault="00956594" w:rsidP="00956594">
      <w:pPr>
        <w:pStyle w:val="a3"/>
        <w:rPr>
          <w:lang w:val="hu-HU"/>
        </w:rPr>
      </w:pPr>
      <w:r w:rsidRPr="000405CC">
        <w:rPr>
          <w:rFonts w:eastAsia="Times New Roman"/>
          <w:highlight w:val="lightGray"/>
          <w:lang w:val="hu-HU"/>
        </w:rPr>
        <w:t>Egyedi azonosítójú 2D vonalkóddal ellátva.</w:t>
      </w:r>
    </w:p>
    <w:p w14:paraId="6F84768A" w14:textId="77777777" w:rsidR="00956594" w:rsidRDefault="00956594" w:rsidP="00956594">
      <w:pPr>
        <w:jc w:val="both"/>
        <w:rPr>
          <w:lang w:val="hu-HU"/>
        </w:rPr>
      </w:pPr>
    </w:p>
    <w:p w14:paraId="47C48BCF" w14:textId="77777777" w:rsidR="00956594" w:rsidRDefault="00956594" w:rsidP="00956594">
      <w:pPr>
        <w:jc w:val="both"/>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rsidRPr="00BE4D18" w14:paraId="28FF552A" w14:textId="77777777" w:rsidTr="007E7849">
        <w:trPr>
          <w:trHeight w:val="317"/>
        </w:trPr>
        <w:tc>
          <w:tcPr>
            <w:tcW w:w="9666" w:type="dxa"/>
            <w:vAlign w:val="center"/>
          </w:tcPr>
          <w:p w14:paraId="5A3471D1" w14:textId="77777777" w:rsidR="00956594" w:rsidRDefault="00956594" w:rsidP="00FD05AA">
            <w:pPr>
              <w:numPr>
                <w:ilvl w:val="0"/>
                <w:numId w:val="59"/>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EGYEDI AZONOSÍTÓ OLVASHATÓ FORMÁTUMA</w:t>
            </w:r>
          </w:p>
        </w:tc>
      </w:tr>
    </w:tbl>
    <w:p w14:paraId="6672F7DC" w14:textId="77777777" w:rsidR="00956594" w:rsidRDefault="00956594" w:rsidP="00956594">
      <w:pPr>
        <w:jc w:val="both"/>
        <w:rPr>
          <w:lang w:val="hu-HU"/>
        </w:rPr>
      </w:pPr>
    </w:p>
    <w:p w14:paraId="639B9753" w14:textId="77777777" w:rsidR="00956594" w:rsidRDefault="00956594" w:rsidP="00956594">
      <w:pPr>
        <w:pStyle w:val="a3"/>
        <w:rPr>
          <w:lang w:val="hu-HU"/>
        </w:rPr>
      </w:pPr>
      <w:r>
        <w:rPr>
          <w:rFonts w:eastAsia="Times New Roman"/>
          <w:lang w:val="hu-HU"/>
        </w:rPr>
        <w:t>PC</w:t>
      </w:r>
    </w:p>
    <w:p w14:paraId="63093446" w14:textId="77777777" w:rsidR="00956594" w:rsidRDefault="00956594" w:rsidP="00956594">
      <w:pPr>
        <w:pStyle w:val="a3"/>
        <w:rPr>
          <w:lang w:val="hu-HU"/>
        </w:rPr>
      </w:pPr>
      <w:r>
        <w:rPr>
          <w:rFonts w:eastAsia="Times New Roman"/>
          <w:lang w:val="hu-HU"/>
        </w:rPr>
        <w:t>SN</w:t>
      </w:r>
    </w:p>
    <w:p w14:paraId="73275B8F" w14:textId="77777777" w:rsidR="00956594" w:rsidRDefault="00956594" w:rsidP="00956594">
      <w:pPr>
        <w:pStyle w:val="a3"/>
        <w:rPr>
          <w:spacing w:val="-2"/>
          <w:lang w:val="hu-HU"/>
        </w:rPr>
      </w:pPr>
      <w:r>
        <w:rPr>
          <w:rFonts w:eastAsia="Times New Roman"/>
          <w:spacing w:val="-2"/>
          <w:lang w:val="hu-HU"/>
        </w:rPr>
        <w:t>NN</w:t>
      </w:r>
    </w:p>
    <w:p w14:paraId="47F08000" w14:textId="77777777" w:rsidR="00956594" w:rsidRDefault="00956594" w:rsidP="00956594">
      <w:pPr>
        <w:pStyle w:val="a3"/>
        <w:rPr>
          <w:spacing w:val="-2"/>
          <w:lang w:val="hu-HU"/>
        </w:rPr>
      </w:pPr>
    </w:p>
    <w:p w14:paraId="706B4DFF" w14:textId="77777777" w:rsidR="00956594" w:rsidRDefault="00956594" w:rsidP="00956594">
      <w:pPr>
        <w:rPr>
          <w:rFonts w:ascii="Times New Roman" w:eastAsia="Times New Roman" w:hAnsi="Times New Roman"/>
          <w:spacing w:val="-2"/>
          <w:lang w:val="hu-HU"/>
        </w:rPr>
      </w:pPr>
      <w:r>
        <w:rPr>
          <w:spacing w:val="-2"/>
          <w:lang w:val="hu-HU"/>
        </w:rPr>
        <w:br w:type="page"/>
      </w:r>
    </w:p>
    <w:tbl>
      <w:tblPr>
        <w:tblStyle w:val="ac"/>
        <w:tblW w:w="9666" w:type="dxa"/>
        <w:tblLook w:val="04A0" w:firstRow="1" w:lastRow="0" w:firstColumn="1" w:lastColumn="0" w:noHBand="0" w:noVBand="1"/>
      </w:tblPr>
      <w:tblGrid>
        <w:gridCol w:w="9666"/>
      </w:tblGrid>
      <w:tr w:rsidR="00956594" w:rsidRPr="00BE4D18" w14:paraId="50393BEC" w14:textId="77777777" w:rsidTr="007E7849">
        <w:trPr>
          <w:trHeight w:val="822"/>
        </w:trPr>
        <w:tc>
          <w:tcPr>
            <w:tcW w:w="9666" w:type="dxa"/>
            <w:vAlign w:val="center"/>
          </w:tcPr>
          <w:p w14:paraId="5F9C3336" w14:textId="77777777" w:rsidR="00956594" w:rsidRDefault="00956594" w:rsidP="007E7849">
            <w:pPr>
              <w:tabs>
                <w:tab w:val="left" w:pos="672"/>
              </w:tabs>
              <w:jc w:val="both"/>
              <w:rPr>
                <w:rFonts w:ascii="Times New Roman" w:eastAsia="Times New Roman" w:hAnsi="Times New Roman" w:cs="Times New Roman"/>
                <w:b/>
                <w:bCs/>
                <w:spacing w:val="-1"/>
                <w:lang w:val="hu-HU"/>
              </w:rPr>
            </w:pPr>
            <w:r>
              <w:rPr>
                <w:rFonts w:ascii="Times New Roman" w:eastAsia="Times New Roman" w:hAnsi="Times New Roman" w:cs="Times New Roman"/>
                <w:bCs/>
                <w:spacing w:val="-1"/>
                <w:lang w:val="hu-HU"/>
              </w:rPr>
              <w:lastRenderedPageBreak/>
              <w:br w:type="page"/>
            </w:r>
            <w:r>
              <w:rPr>
                <w:rFonts w:ascii="Times New Roman" w:eastAsia="Times New Roman" w:hAnsi="Times New Roman" w:cs="Times New Roman"/>
                <w:b/>
                <w:bCs/>
                <w:spacing w:val="-1"/>
                <w:lang w:val="hu-HU"/>
              </w:rPr>
              <w:t xml:space="preserve">A KIS KÖZVETLEN CSOMAGOLÁSI EGYSÉGEKEN MINIMÁLISAN FELTÜNTETENDŐ ADATOK </w:t>
            </w:r>
          </w:p>
          <w:p w14:paraId="066576F6" w14:textId="77777777" w:rsidR="00956594" w:rsidRDefault="00956594" w:rsidP="007E7849">
            <w:pPr>
              <w:tabs>
                <w:tab w:val="left" w:pos="672"/>
              </w:tabs>
              <w:jc w:val="both"/>
              <w:rPr>
                <w:rFonts w:ascii="Times New Roman" w:eastAsia="Times New Roman" w:hAnsi="Times New Roman" w:cs="Times New Roman"/>
                <w:b/>
                <w:bCs/>
                <w:spacing w:val="-1"/>
                <w:lang w:val="hu-HU"/>
              </w:rPr>
            </w:pPr>
          </w:p>
          <w:p w14:paraId="7D9174C2" w14:textId="1235E972" w:rsidR="00956594" w:rsidRPr="00BE38B9" w:rsidRDefault="00956594" w:rsidP="007E7849">
            <w:pPr>
              <w:tabs>
                <w:tab w:val="left" w:pos="672"/>
              </w:tabs>
              <w:jc w:val="both"/>
              <w:rPr>
                <w:rFonts w:ascii="Times New Roman" w:eastAsia="Times New Roman" w:hAnsi="Times New Roman" w:cs="Times New Roman"/>
                <w:b/>
                <w:bCs/>
                <w:spacing w:val="-1"/>
                <w:lang w:val="hu-HU"/>
              </w:rPr>
            </w:pPr>
            <w:r w:rsidRPr="00BE38B9">
              <w:rPr>
                <w:rFonts w:ascii="Times New Roman" w:eastAsia="Times New Roman" w:hAnsi="Times New Roman" w:cs="Times New Roman"/>
                <w:b/>
                <w:bCs/>
                <w:spacing w:val="-1"/>
                <w:lang w:val="hu-HU"/>
              </w:rPr>
              <w:t>AZ</w:t>
            </w:r>
            <w:r w:rsidR="005768C3">
              <w:rPr>
                <w:rFonts w:ascii="Times New Roman" w:eastAsia="Times New Roman" w:hAnsi="Times New Roman" w:cs="Times New Roman"/>
                <w:b/>
                <w:bCs/>
                <w:spacing w:val="-1"/>
                <w:lang w:val="hu-HU"/>
              </w:rPr>
              <w:t xml:space="preserve"> </w:t>
            </w:r>
            <w:r w:rsidRPr="00BE38B9">
              <w:rPr>
                <w:rFonts w:ascii="Times New Roman" w:eastAsia="Times New Roman" w:hAnsi="Times New Roman" w:cs="Times New Roman"/>
                <w:b/>
                <w:bCs/>
                <w:spacing w:val="-1"/>
                <w:lang w:val="hu-HU"/>
              </w:rPr>
              <w:t xml:space="preserve">ELŐRETÖLTÖTT </w:t>
            </w:r>
            <w:r w:rsidRPr="001E2F31">
              <w:rPr>
                <w:rFonts w:ascii="Times New Roman" w:eastAsia="Times New Roman" w:hAnsi="Times New Roman" w:cs="Times New Roman"/>
                <w:b/>
                <w:spacing w:val="-1"/>
                <w:lang w:val="hu-HU"/>
              </w:rPr>
              <w:t>TOLL CÍMKÉJE</w:t>
            </w:r>
          </w:p>
        </w:tc>
      </w:tr>
    </w:tbl>
    <w:p w14:paraId="3EBCB9E8" w14:textId="77777777" w:rsidR="00956594" w:rsidRDefault="00956594" w:rsidP="00956594">
      <w:pPr>
        <w:spacing w:line="200" w:lineRule="exact"/>
        <w:rPr>
          <w:sz w:val="20"/>
          <w:szCs w:val="20"/>
          <w:lang w:val="hu-HU"/>
        </w:rPr>
      </w:pPr>
    </w:p>
    <w:p w14:paraId="6934C5B5" w14:textId="77777777" w:rsidR="00956594" w:rsidRDefault="00956594" w:rsidP="00956594">
      <w:pPr>
        <w:spacing w:line="200" w:lineRule="exact"/>
        <w:rPr>
          <w:sz w:val="20"/>
          <w:szCs w:val="20"/>
          <w:lang w:val="hu-HU"/>
        </w:rPr>
      </w:pPr>
    </w:p>
    <w:tbl>
      <w:tblPr>
        <w:tblStyle w:val="ac"/>
        <w:tblpPr w:leftFromText="142" w:rightFromText="142" w:vertAnchor="text" w:tblpY="55"/>
        <w:tblW w:w="9666" w:type="dxa"/>
        <w:tblLook w:val="04A0" w:firstRow="1" w:lastRow="0" w:firstColumn="1" w:lastColumn="0" w:noHBand="0" w:noVBand="1"/>
      </w:tblPr>
      <w:tblGrid>
        <w:gridCol w:w="9666"/>
      </w:tblGrid>
      <w:tr w:rsidR="00956594" w:rsidRPr="00F70E6D" w14:paraId="741128C8" w14:textId="77777777" w:rsidTr="007E7849">
        <w:trPr>
          <w:trHeight w:val="317"/>
        </w:trPr>
        <w:tc>
          <w:tcPr>
            <w:tcW w:w="9666" w:type="dxa"/>
            <w:vAlign w:val="center"/>
          </w:tcPr>
          <w:p w14:paraId="28919516" w14:textId="77777777" w:rsidR="00956594" w:rsidRDefault="00956594" w:rsidP="00FD05AA">
            <w:pPr>
              <w:numPr>
                <w:ilvl w:val="0"/>
                <w:numId w:val="60"/>
              </w:numPr>
              <w:tabs>
                <w:tab w:val="left" w:pos="672"/>
              </w:tabs>
              <w:ind w:left="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GYÓGYSZER NEVE ÉS AZ ALKALMAZÁS MÓDJA</w:t>
            </w:r>
          </w:p>
        </w:tc>
      </w:tr>
    </w:tbl>
    <w:p w14:paraId="51567EE9" w14:textId="77777777" w:rsidR="00956594" w:rsidRDefault="00956594" w:rsidP="00956594">
      <w:pPr>
        <w:spacing w:line="200" w:lineRule="exact"/>
        <w:rPr>
          <w:sz w:val="20"/>
          <w:szCs w:val="20"/>
          <w:lang w:val="hu-HU"/>
        </w:rPr>
      </w:pPr>
    </w:p>
    <w:p w14:paraId="7E4F8D07" w14:textId="53291AE7" w:rsidR="00956594" w:rsidRDefault="00956594" w:rsidP="00956594">
      <w:pPr>
        <w:pStyle w:val="a3"/>
        <w:rPr>
          <w:lang w:val="hu-HU"/>
        </w:rPr>
      </w:pPr>
      <w:r>
        <w:rPr>
          <w:rFonts w:eastAsia="Times New Roman"/>
          <w:lang w:val="hu-HU"/>
        </w:rPr>
        <w:t xml:space="preserve">Yuflyma </w:t>
      </w:r>
      <w:r w:rsidR="00C15649">
        <w:rPr>
          <w:rFonts w:eastAsia="Times New Roman"/>
          <w:lang w:val="hu-HU"/>
        </w:rPr>
        <w:t>8</w:t>
      </w:r>
      <w:r>
        <w:rPr>
          <w:rFonts w:eastAsia="Times New Roman"/>
          <w:lang w:val="hu-HU"/>
        </w:rPr>
        <w:t>0 mg injekció</w:t>
      </w:r>
    </w:p>
    <w:p w14:paraId="4CE24452" w14:textId="77777777" w:rsidR="00956594" w:rsidRDefault="00956594" w:rsidP="00956594">
      <w:pPr>
        <w:pStyle w:val="a3"/>
        <w:rPr>
          <w:lang w:val="hu-HU"/>
        </w:rPr>
      </w:pPr>
      <w:r>
        <w:rPr>
          <w:rFonts w:eastAsia="Times New Roman"/>
          <w:lang w:val="hu-HU"/>
        </w:rPr>
        <w:t>adalimumab</w:t>
      </w:r>
    </w:p>
    <w:p w14:paraId="1F63E485" w14:textId="77777777" w:rsidR="00956594" w:rsidRDefault="00956594" w:rsidP="00956594">
      <w:pPr>
        <w:pStyle w:val="a3"/>
        <w:rPr>
          <w:lang w:val="hu-HU"/>
        </w:rPr>
      </w:pPr>
      <w:r>
        <w:rPr>
          <w:rFonts w:eastAsia="Times New Roman"/>
          <w:lang w:val="hu-HU"/>
        </w:rPr>
        <w:t>Subcutan alkalmazás</w:t>
      </w:r>
    </w:p>
    <w:p w14:paraId="564276EA" w14:textId="77777777" w:rsidR="00956594" w:rsidRPr="007D275C" w:rsidRDefault="00956594" w:rsidP="00956594">
      <w:pPr>
        <w:pStyle w:val="a3"/>
        <w:rPr>
          <w:lang w:val="hu-HU"/>
        </w:rPr>
      </w:pPr>
    </w:p>
    <w:p w14:paraId="4ED8DC7A" w14:textId="77777777" w:rsidR="00956594" w:rsidRDefault="00956594" w:rsidP="00956594">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14:paraId="3D49D39B" w14:textId="77777777" w:rsidTr="007E7849">
        <w:trPr>
          <w:trHeight w:val="317"/>
        </w:trPr>
        <w:tc>
          <w:tcPr>
            <w:tcW w:w="9666" w:type="dxa"/>
            <w:vAlign w:val="center"/>
          </w:tcPr>
          <w:p w14:paraId="708F1C9E" w14:textId="77777777" w:rsidR="00956594" w:rsidRDefault="00956594" w:rsidP="00FD05AA">
            <w:pPr>
              <w:numPr>
                <w:ilvl w:val="0"/>
                <w:numId w:val="60"/>
              </w:numPr>
              <w:tabs>
                <w:tab w:val="left" w:pos="672"/>
              </w:tabs>
              <w:ind w:left="561" w:hanging="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AZ ALKALMAZÁSSAL KAPCSOLATOS TUDNIVALÓK</w:t>
            </w:r>
          </w:p>
        </w:tc>
      </w:tr>
    </w:tbl>
    <w:p w14:paraId="5447C50A" w14:textId="77777777" w:rsidR="00956594" w:rsidRDefault="00956594" w:rsidP="00956594">
      <w:pPr>
        <w:spacing w:before="13" w:line="280" w:lineRule="exact"/>
        <w:rPr>
          <w:sz w:val="28"/>
          <w:szCs w:val="28"/>
          <w:lang w:val="hu-HU"/>
        </w:rPr>
      </w:pPr>
    </w:p>
    <w:p w14:paraId="605EE167" w14:textId="77777777" w:rsidR="00956594" w:rsidRDefault="00956594" w:rsidP="00956594">
      <w:pPr>
        <w:spacing w:before="13" w:line="280" w:lineRule="exact"/>
        <w:rPr>
          <w:sz w:val="28"/>
          <w:szCs w:val="28"/>
          <w:lang w:val="hu-HU"/>
        </w:rPr>
      </w:pPr>
    </w:p>
    <w:p w14:paraId="32FA2547" w14:textId="77777777" w:rsidR="00956594" w:rsidRDefault="00956594" w:rsidP="00956594">
      <w:pPr>
        <w:spacing w:before="13" w:line="280" w:lineRule="exact"/>
        <w:rPr>
          <w:sz w:val="28"/>
          <w:szCs w:val="28"/>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14:paraId="3DDF6F6E" w14:textId="77777777" w:rsidTr="007E7849">
        <w:trPr>
          <w:trHeight w:val="317"/>
        </w:trPr>
        <w:tc>
          <w:tcPr>
            <w:tcW w:w="9666" w:type="dxa"/>
            <w:vAlign w:val="center"/>
          </w:tcPr>
          <w:p w14:paraId="4174EE1C" w14:textId="77777777" w:rsidR="00956594" w:rsidRDefault="00956594" w:rsidP="00FD05AA">
            <w:pPr>
              <w:numPr>
                <w:ilvl w:val="0"/>
                <w:numId w:val="60"/>
              </w:numPr>
              <w:tabs>
                <w:tab w:val="left" w:pos="672"/>
              </w:tabs>
              <w:ind w:left="561" w:hanging="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LEJÁRATI IDŐ</w:t>
            </w:r>
          </w:p>
        </w:tc>
      </w:tr>
    </w:tbl>
    <w:p w14:paraId="3FC29ED6" w14:textId="77777777" w:rsidR="00956594" w:rsidRDefault="00956594" w:rsidP="00956594">
      <w:pPr>
        <w:pStyle w:val="a3"/>
        <w:rPr>
          <w:lang w:val="hu-HU"/>
        </w:rPr>
      </w:pPr>
    </w:p>
    <w:p w14:paraId="28544359" w14:textId="77777777" w:rsidR="00956594" w:rsidRDefault="00956594" w:rsidP="00956594">
      <w:pPr>
        <w:pStyle w:val="a3"/>
        <w:rPr>
          <w:lang w:val="hu-HU"/>
        </w:rPr>
      </w:pPr>
      <w:r>
        <w:rPr>
          <w:rFonts w:eastAsia="Times New Roman"/>
          <w:lang w:val="hu-HU"/>
        </w:rPr>
        <w:t>EXP</w:t>
      </w:r>
    </w:p>
    <w:p w14:paraId="43A86B5F" w14:textId="77777777" w:rsidR="00956594" w:rsidRDefault="00956594" w:rsidP="00956594">
      <w:pPr>
        <w:pStyle w:val="a3"/>
        <w:rPr>
          <w:lang w:val="hu-HU"/>
        </w:rPr>
      </w:pPr>
    </w:p>
    <w:p w14:paraId="2F2C04A3" w14:textId="77777777" w:rsidR="00956594" w:rsidRDefault="00956594" w:rsidP="00956594">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14:paraId="03BE043D" w14:textId="77777777" w:rsidTr="007E7849">
        <w:trPr>
          <w:trHeight w:val="317"/>
        </w:trPr>
        <w:tc>
          <w:tcPr>
            <w:tcW w:w="9666" w:type="dxa"/>
            <w:vAlign w:val="center"/>
          </w:tcPr>
          <w:p w14:paraId="46BAB4FC" w14:textId="77777777" w:rsidR="00956594" w:rsidRDefault="00956594" w:rsidP="00FD05AA">
            <w:pPr>
              <w:numPr>
                <w:ilvl w:val="0"/>
                <w:numId w:val="60"/>
              </w:numPr>
              <w:tabs>
                <w:tab w:val="left" w:pos="672"/>
              </w:tabs>
              <w:ind w:left="561" w:hanging="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GYÁRTÁSI TÉTEL SZÁMA</w:t>
            </w:r>
          </w:p>
        </w:tc>
      </w:tr>
    </w:tbl>
    <w:p w14:paraId="2BB53FB9" w14:textId="77777777" w:rsidR="00956594" w:rsidRDefault="00956594" w:rsidP="00956594">
      <w:pPr>
        <w:pStyle w:val="a3"/>
        <w:rPr>
          <w:lang w:val="hu-HU"/>
        </w:rPr>
      </w:pPr>
    </w:p>
    <w:p w14:paraId="635A7273" w14:textId="77777777" w:rsidR="00956594" w:rsidRDefault="00956594" w:rsidP="00956594">
      <w:pPr>
        <w:pStyle w:val="a3"/>
        <w:rPr>
          <w:lang w:val="hu-HU"/>
        </w:rPr>
      </w:pPr>
      <w:r>
        <w:rPr>
          <w:rFonts w:eastAsia="Times New Roman"/>
          <w:lang w:val="hu-HU"/>
        </w:rPr>
        <w:t>Lot</w:t>
      </w:r>
    </w:p>
    <w:p w14:paraId="1FE5823E" w14:textId="77777777" w:rsidR="00956594" w:rsidRDefault="00956594" w:rsidP="00956594">
      <w:pPr>
        <w:pStyle w:val="a3"/>
        <w:rPr>
          <w:lang w:val="hu-HU"/>
        </w:rPr>
      </w:pPr>
    </w:p>
    <w:p w14:paraId="42C23D8B" w14:textId="77777777" w:rsidR="00956594" w:rsidRDefault="00956594" w:rsidP="00956594">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rsidRPr="00BE4D18" w14:paraId="4C0520C8" w14:textId="77777777" w:rsidTr="007E7849">
        <w:trPr>
          <w:trHeight w:val="317"/>
        </w:trPr>
        <w:tc>
          <w:tcPr>
            <w:tcW w:w="9666" w:type="dxa"/>
            <w:vAlign w:val="center"/>
          </w:tcPr>
          <w:p w14:paraId="30BFE01A" w14:textId="77777777" w:rsidR="00956594" w:rsidRDefault="00956594" w:rsidP="00FD05AA">
            <w:pPr>
              <w:numPr>
                <w:ilvl w:val="0"/>
                <w:numId w:val="60"/>
              </w:numPr>
              <w:tabs>
                <w:tab w:val="left" w:pos="672"/>
              </w:tabs>
              <w:ind w:left="561" w:hanging="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TARTALOM SÚLYRA, TÉRFOGATRA, VAGY EGYSÉGRE VONATKOZTATVA</w:t>
            </w:r>
          </w:p>
        </w:tc>
      </w:tr>
    </w:tbl>
    <w:p w14:paraId="7BC7829A" w14:textId="77777777" w:rsidR="00956594" w:rsidRDefault="00956594" w:rsidP="00956594">
      <w:pPr>
        <w:spacing w:before="13" w:line="280" w:lineRule="exact"/>
        <w:rPr>
          <w:sz w:val="28"/>
          <w:szCs w:val="28"/>
          <w:lang w:val="hu-HU"/>
        </w:rPr>
      </w:pPr>
    </w:p>
    <w:p w14:paraId="2FEA4801" w14:textId="02EB14F8" w:rsidR="00956594" w:rsidRDefault="00C15649" w:rsidP="00956594">
      <w:pPr>
        <w:pStyle w:val="a3"/>
        <w:rPr>
          <w:lang w:val="hu-HU"/>
        </w:rPr>
      </w:pPr>
      <w:r>
        <w:rPr>
          <w:rFonts w:eastAsia="Times New Roman"/>
          <w:lang w:val="hu-HU"/>
        </w:rPr>
        <w:t>8</w:t>
      </w:r>
      <w:r w:rsidR="00956594">
        <w:rPr>
          <w:rFonts w:eastAsia="Times New Roman"/>
          <w:lang w:val="hu-HU"/>
        </w:rPr>
        <w:t>0 m</w:t>
      </w:r>
      <w:r w:rsidR="00956594" w:rsidRPr="009E34FF">
        <w:rPr>
          <w:rFonts w:eastAsia="Times New Roman"/>
          <w:lang w:val="hu-HU"/>
        </w:rPr>
        <w:t>g</w:t>
      </w:r>
      <w:r w:rsidR="00956594" w:rsidRPr="002C783D">
        <w:rPr>
          <w:rFonts w:eastAsia="Times New Roman"/>
          <w:lang w:val="hu-HU"/>
        </w:rPr>
        <w:t>/0,</w:t>
      </w:r>
      <w:r>
        <w:rPr>
          <w:rFonts w:eastAsia="Times New Roman"/>
          <w:lang w:val="hu-HU"/>
        </w:rPr>
        <w:t>8</w:t>
      </w:r>
      <w:r w:rsidR="00956594" w:rsidRPr="002C783D">
        <w:rPr>
          <w:rFonts w:eastAsia="Times New Roman"/>
          <w:lang w:val="hu-HU"/>
        </w:rPr>
        <w:t xml:space="preserve"> ml</w:t>
      </w:r>
    </w:p>
    <w:p w14:paraId="49D92428" w14:textId="77777777" w:rsidR="00956594" w:rsidRDefault="00956594" w:rsidP="00956594">
      <w:pPr>
        <w:spacing w:before="13" w:line="280" w:lineRule="exact"/>
        <w:rPr>
          <w:sz w:val="28"/>
          <w:szCs w:val="28"/>
          <w:lang w:val="hu-HU"/>
        </w:rPr>
      </w:pPr>
    </w:p>
    <w:p w14:paraId="2A4CEB8C" w14:textId="77777777" w:rsidR="00956594" w:rsidRDefault="00956594" w:rsidP="00956594">
      <w:pPr>
        <w:spacing w:before="13" w:line="280" w:lineRule="exact"/>
        <w:rPr>
          <w:sz w:val="28"/>
          <w:szCs w:val="28"/>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956594" w14:paraId="4F96B9AA" w14:textId="77777777" w:rsidTr="007E7849">
        <w:trPr>
          <w:trHeight w:val="317"/>
        </w:trPr>
        <w:tc>
          <w:tcPr>
            <w:tcW w:w="9666" w:type="dxa"/>
            <w:vAlign w:val="center"/>
          </w:tcPr>
          <w:p w14:paraId="63F52B9B" w14:textId="77777777" w:rsidR="00956594" w:rsidRDefault="00956594" w:rsidP="00FD05AA">
            <w:pPr>
              <w:numPr>
                <w:ilvl w:val="0"/>
                <w:numId w:val="60"/>
              </w:numPr>
              <w:tabs>
                <w:tab w:val="left" w:pos="672"/>
              </w:tabs>
              <w:ind w:left="561" w:hanging="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EGYÉB INFORMÁCIÓK</w:t>
            </w:r>
          </w:p>
        </w:tc>
      </w:tr>
    </w:tbl>
    <w:p w14:paraId="645D9F39" w14:textId="77777777" w:rsidR="00956594" w:rsidRDefault="00956594" w:rsidP="00956594">
      <w:pPr>
        <w:pStyle w:val="a3"/>
        <w:rPr>
          <w:lang w:val="hu-HU"/>
        </w:rPr>
      </w:pPr>
    </w:p>
    <w:p w14:paraId="76B24032" w14:textId="77777777" w:rsidR="00956594" w:rsidRDefault="00956594" w:rsidP="00956594">
      <w:pPr>
        <w:rPr>
          <w:lang w:val="hu-HU"/>
        </w:rPr>
      </w:pPr>
    </w:p>
    <w:p w14:paraId="2F55ACFC" w14:textId="77777777" w:rsidR="00956594" w:rsidRDefault="00956594" w:rsidP="00956594">
      <w:pPr>
        <w:rPr>
          <w:lang w:val="hu-HU"/>
        </w:rPr>
      </w:pPr>
      <w:r>
        <w:rPr>
          <w:lang w:val="hu-HU"/>
        </w:rPr>
        <w:br w:type="page"/>
      </w:r>
    </w:p>
    <w:tbl>
      <w:tblPr>
        <w:tblStyle w:val="ac"/>
        <w:tblW w:w="9666" w:type="dxa"/>
        <w:tblLook w:val="04A0" w:firstRow="1" w:lastRow="0" w:firstColumn="1" w:lastColumn="0" w:noHBand="0" w:noVBand="1"/>
      </w:tblPr>
      <w:tblGrid>
        <w:gridCol w:w="9666"/>
      </w:tblGrid>
      <w:tr w:rsidR="007561B4" w:rsidRPr="00BE4D18" w14:paraId="42835FE8" w14:textId="77777777" w:rsidTr="00CC2E43">
        <w:trPr>
          <w:trHeight w:val="822"/>
        </w:trPr>
        <w:tc>
          <w:tcPr>
            <w:tcW w:w="9666" w:type="dxa"/>
            <w:vAlign w:val="center"/>
          </w:tcPr>
          <w:p w14:paraId="46B794BF" w14:textId="77777777" w:rsidR="007561B4" w:rsidRDefault="007561B4" w:rsidP="00CC2E43">
            <w:pPr>
              <w:jc w:val="both"/>
              <w:rPr>
                <w:rFonts w:ascii="Times New Roman" w:eastAsia="Times New Roman" w:hAnsi="Times New Roman" w:cs="Times New Roman"/>
                <w:lang w:val="hu-HU"/>
              </w:rPr>
            </w:pPr>
            <w:r>
              <w:rPr>
                <w:rFonts w:ascii="Times New Roman" w:eastAsia="Times New Roman" w:hAnsi="Times New Roman" w:cs="Times New Roman"/>
                <w:b/>
                <w:bCs/>
                <w:spacing w:val="-1"/>
                <w:lang w:val="hu-HU"/>
              </w:rPr>
              <w:lastRenderedPageBreak/>
              <w:t>A KÜLSŐ CSOMAGOLÁSON FELTÜNTETENDŐ ADATOK</w:t>
            </w:r>
          </w:p>
          <w:p w14:paraId="0BD24D57" w14:textId="77777777" w:rsidR="007561B4" w:rsidRDefault="007561B4" w:rsidP="00CC2E43">
            <w:pPr>
              <w:spacing w:line="180" w:lineRule="exact"/>
              <w:jc w:val="both"/>
              <w:rPr>
                <w:lang w:val="hu-HU"/>
              </w:rPr>
            </w:pPr>
          </w:p>
          <w:p w14:paraId="1DEDAFF1" w14:textId="77777777" w:rsidR="007561B4" w:rsidRDefault="007561B4" w:rsidP="00CC2E43">
            <w:pPr>
              <w:jc w:val="both"/>
              <w:rPr>
                <w:rFonts w:ascii="Times New Roman" w:eastAsia="Times New Roman" w:hAnsi="Times New Roman" w:cs="Times New Roman"/>
                <w:lang w:val="hu-HU"/>
              </w:rPr>
            </w:pPr>
            <w:r>
              <w:rPr>
                <w:rFonts w:ascii="Times New Roman" w:eastAsia="Times New Roman" w:hAnsi="Times New Roman" w:cs="Times New Roman"/>
                <w:b/>
                <w:bCs/>
                <w:spacing w:val="-1"/>
                <w:lang w:val="hu-HU"/>
              </w:rPr>
              <w:t>AZ ELŐRETÖLTÖTT FECSKENDŐ KÜLSŐ DOBOZA</w:t>
            </w:r>
          </w:p>
        </w:tc>
      </w:tr>
    </w:tbl>
    <w:p w14:paraId="45031954" w14:textId="77777777" w:rsidR="007561B4" w:rsidRDefault="007561B4" w:rsidP="007561B4">
      <w:pPr>
        <w:spacing w:line="200" w:lineRule="exact"/>
        <w:rPr>
          <w:lang w:val="hu-HU"/>
        </w:rPr>
      </w:pPr>
    </w:p>
    <w:p w14:paraId="22EF8163" w14:textId="77777777" w:rsidR="007561B4" w:rsidRDefault="007561B4" w:rsidP="007561B4">
      <w:pPr>
        <w:spacing w:line="200" w:lineRule="exact"/>
        <w:rPr>
          <w:lang w:val="hu-HU"/>
        </w:rPr>
      </w:pPr>
    </w:p>
    <w:tbl>
      <w:tblPr>
        <w:tblStyle w:val="ac"/>
        <w:tblpPr w:leftFromText="142" w:rightFromText="142" w:vertAnchor="text" w:tblpY="55"/>
        <w:tblW w:w="9666" w:type="dxa"/>
        <w:tblLook w:val="04A0" w:firstRow="1" w:lastRow="0" w:firstColumn="1" w:lastColumn="0" w:noHBand="0" w:noVBand="1"/>
      </w:tblPr>
      <w:tblGrid>
        <w:gridCol w:w="9666"/>
      </w:tblGrid>
      <w:tr w:rsidR="007561B4" w14:paraId="0AA9841F" w14:textId="77777777" w:rsidTr="00CC2E43">
        <w:trPr>
          <w:trHeight w:val="317"/>
        </w:trPr>
        <w:tc>
          <w:tcPr>
            <w:tcW w:w="9666" w:type="dxa"/>
            <w:vAlign w:val="center"/>
          </w:tcPr>
          <w:p w14:paraId="59436C95" w14:textId="77777777" w:rsidR="007561B4" w:rsidRDefault="007561B4" w:rsidP="00FD05AA">
            <w:pPr>
              <w:numPr>
                <w:ilvl w:val="0"/>
                <w:numId w:val="73"/>
              </w:numPr>
              <w:tabs>
                <w:tab w:val="left" w:pos="672"/>
              </w:tabs>
              <w:ind w:left="550"/>
              <w:jc w:val="both"/>
              <w:rPr>
                <w:rFonts w:ascii="Times New Roman" w:eastAsia="Times New Roman" w:hAnsi="Times New Roman" w:cs="Times New Roman"/>
                <w:lang w:val="hu-HU"/>
              </w:rPr>
            </w:pPr>
            <w:r>
              <w:rPr>
                <w:rFonts w:ascii="Times New Roman" w:eastAsia="Times New Roman" w:hAnsi="Times New Roman" w:cs="Times New Roman"/>
                <w:b/>
                <w:bCs/>
                <w:spacing w:val="-1"/>
                <w:lang w:val="hu-HU"/>
              </w:rPr>
              <w:t>A GYÓGYSZER NEVE</w:t>
            </w:r>
          </w:p>
        </w:tc>
      </w:tr>
    </w:tbl>
    <w:p w14:paraId="243E53A2" w14:textId="77777777" w:rsidR="007561B4" w:rsidRDefault="007561B4" w:rsidP="007561B4">
      <w:pPr>
        <w:spacing w:line="200" w:lineRule="exact"/>
        <w:rPr>
          <w:lang w:val="hu-HU"/>
        </w:rPr>
      </w:pPr>
    </w:p>
    <w:p w14:paraId="061B3470" w14:textId="5715005B" w:rsidR="007561B4" w:rsidRDefault="007561B4" w:rsidP="007561B4">
      <w:pPr>
        <w:pStyle w:val="a3"/>
        <w:rPr>
          <w:lang w:val="hu-HU"/>
        </w:rPr>
      </w:pPr>
      <w:r>
        <w:rPr>
          <w:rFonts w:eastAsia="Times New Roman"/>
          <w:lang w:val="hu-HU"/>
        </w:rPr>
        <w:t xml:space="preserve">Yuflyma </w:t>
      </w:r>
      <w:r w:rsidR="007D275C">
        <w:rPr>
          <w:rFonts w:eastAsia="Times New Roman"/>
          <w:lang w:val="hu-HU"/>
        </w:rPr>
        <w:t>20</w:t>
      </w:r>
      <w:r>
        <w:rPr>
          <w:rFonts w:eastAsia="Times New Roman"/>
          <w:lang w:val="hu-HU"/>
        </w:rPr>
        <w:t> mg oldatos injekció előretöltött fecskendőben</w:t>
      </w:r>
    </w:p>
    <w:p w14:paraId="5CB76435" w14:textId="77777777" w:rsidR="007561B4" w:rsidRDefault="007561B4" w:rsidP="007561B4">
      <w:pPr>
        <w:pStyle w:val="a3"/>
        <w:rPr>
          <w:lang w:val="hu-HU"/>
        </w:rPr>
      </w:pPr>
      <w:r>
        <w:rPr>
          <w:rFonts w:eastAsia="Times New Roman"/>
          <w:lang w:val="hu-HU"/>
        </w:rPr>
        <w:t>adalimumab</w:t>
      </w:r>
    </w:p>
    <w:p w14:paraId="028C35F3" w14:textId="77777777" w:rsidR="007561B4" w:rsidRDefault="007561B4" w:rsidP="007561B4">
      <w:pPr>
        <w:pStyle w:val="a3"/>
        <w:rPr>
          <w:lang w:val="hu-HU"/>
        </w:rPr>
      </w:pPr>
    </w:p>
    <w:p w14:paraId="57FE65F2" w14:textId="77777777" w:rsidR="007561B4" w:rsidRDefault="007561B4" w:rsidP="007561B4">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7561B4" w14:paraId="09E83BEB" w14:textId="77777777" w:rsidTr="00CC2E43">
        <w:trPr>
          <w:trHeight w:val="317"/>
        </w:trPr>
        <w:tc>
          <w:tcPr>
            <w:tcW w:w="9666" w:type="dxa"/>
            <w:vAlign w:val="center"/>
          </w:tcPr>
          <w:p w14:paraId="5599D75F" w14:textId="77777777" w:rsidR="007561B4" w:rsidRDefault="007561B4" w:rsidP="00FD05AA">
            <w:pPr>
              <w:numPr>
                <w:ilvl w:val="0"/>
                <w:numId w:val="73"/>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HATÓANYAG MEGNEVEZÉSE</w:t>
            </w:r>
          </w:p>
        </w:tc>
      </w:tr>
    </w:tbl>
    <w:p w14:paraId="2D4F6922" w14:textId="77777777" w:rsidR="007561B4" w:rsidRDefault="007561B4" w:rsidP="007561B4">
      <w:pPr>
        <w:spacing w:before="13" w:line="280" w:lineRule="exact"/>
        <w:rPr>
          <w:lang w:val="hu-HU"/>
        </w:rPr>
      </w:pPr>
    </w:p>
    <w:p w14:paraId="5A81111F" w14:textId="1E74E5BD" w:rsidR="007561B4" w:rsidRDefault="001606D3" w:rsidP="007561B4">
      <w:pPr>
        <w:pStyle w:val="a3"/>
        <w:rPr>
          <w:lang w:val="hu-HU"/>
        </w:rPr>
      </w:pPr>
      <w:r>
        <w:rPr>
          <w:rFonts w:eastAsia="Times New Roman"/>
          <w:lang w:val="hu-HU"/>
        </w:rPr>
        <w:t xml:space="preserve">Egy </w:t>
      </w:r>
      <w:r w:rsidR="007D275C">
        <w:rPr>
          <w:rFonts w:eastAsia="Times New Roman"/>
          <w:lang w:val="hu-HU"/>
        </w:rPr>
        <w:t>0,2</w:t>
      </w:r>
      <w:r w:rsidR="007561B4">
        <w:rPr>
          <w:rFonts w:eastAsia="Times New Roman"/>
          <w:lang w:val="hu-HU"/>
        </w:rPr>
        <w:t xml:space="preserve"> ml- es előretöltött fecskendő</w:t>
      </w:r>
      <w:r>
        <w:rPr>
          <w:rFonts w:eastAsia="Times New Roman"/>
          <w:lang w:val="hu-HU"/>
        </w:rPr>
        <w:t xml:space="preserve"> 20 mg adalimumabot tartalmaz </w:t>
      </w:r>
    </w:p>
    <w:p w14:paraId="247AAEF3" w14:textId="77777777" w:rsidR="007561B4" w:rsidRDefault="007561B4" w:rsidP="007561B4">
      <w:pPr>
        <w:spacing w:line="280" w:lineRule="exact"/>
        <w:rPr>
          <w:lang w:val="hu-HU"/>
        </w:rPr>
      </w:pPr>
    </w:p>
    <w:p w14:paraId="11966E35" w14:textId="77777777" w:rsidR="007561B4" w:rsidRDefault="007561B4" w:rsidP="007561B4">
      <w:pPr>
        <w:spacing w:line="280" w:lineRule="exact"/>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7561B4" w:rsidRPr="00F70E6D" w14:paraId="71C8CFCF" w14:textId="77777777" w:rsidTr="00CC2E43">
        <w:trPr>
          <w:trHeight w:val="317"/>
        </w:trPr>
        <w:tc>
          <w:tcPr>
            <w:tcW w:w="9666" w:type="dxa"/>
            <w:vAlign w:val="center"/>
          </w:tcPr>
          <w:p w14:paraId="530E9722" w14:textId="77777777" w:rsidR="007561B4" w:rsidRDefault="007561B4" w:rsidP="00FD05AA">
            <w:pPr>
              <w:numPr>
                <w:ilvl w:val="0"/>
                <w:numId w:val="73"/>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SEGÉDANYAGOK FELSOROLÁSA</w:t>
            </w:r>
          </w:p>
        </w:tc>
      </w:tr>
    </w:tbl>
    <w:p w14:paraId="3FD93DF2" w14:textId="77777777" w:rsidR="007561B4" w:rsidRDefault="007561B4" w:rsidP="007561B4">
      <w:pPr>
        <w:pStyle w:val="a3"/>
        <w:rPr>
          <w:lang w:val="hu-HU"/>
        </w:rPr>
      </w:pPr>
    </w:p>
    <w:p w14:paraId="0C2A4F99" w14:textId="77777777" w:rsidR="007561B4" w:rsidRDefault="007561B4" w:rsidP="007561B4">
      <w:pPr>
        <w:pStyle w:val="a3"/>
        <w:tabs>
          <w:tab w:val="left" w:pos="1386"/>
        </w:tabs>
        <w:rPr>
          <w:lang w:val="hu-HU"/>
        </w:rPr>
      </w:pPr>
      <w:r>
        <w:rPr>
          <w:rFonts w:eastAsia="Times New Roman"/>
          <w:lang w:val="hu-HU"/>
        </w:rPr>
        <w:t xml:space="preserve">Segédanyagok : ecetsav, nátrium-acetát trihidrát, glicin , poliszorbát 80, injekcióhoz való víz. </w:t>
      </w:r>
      <w:r w:rsidRPr="002C78FA">
        <w:rPr>
          <w:highlight w:val="lightGray"/>
          <w:lang w:val="hu-HU"/>
        </w:rPr>
        <w:t>További információért olvassa el a betegtájékoztatót.</w:t>
      </w:r>
      <w:r>
        <w:rPr>
          <w:lang w:val="hu-HU"/>
        </w:rPr>
        <w:tab/>
      </w:r>
    </w:p>
    <w:p w14:paraId="4E3C5C86" w14:textId="77777777" w:rsidR="007561B4" w:rsidRDefault="007561B4" w:rsidP="007561B4">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7561B4" w14:paraId="7C875D4B" w14:textId="77777777" w:rsidTr="00CC2E43">
        <w:trPr>
          <w:trHeight w:val="317"/>
        </w:trPr>
        <w:tc>
          <w:tcPr>
            <w:tcW w:w="9666" w:type="dxa"/>
            <w:vAlign w:val="center"/>
          </w:tcPr>
          <w:p w14:paraId="7CB66681" w14:textId="77777777" w:rsidR="007561B4" w:rsidRDefault="007561B4" w:rsidP="00FD05AA">
            <w:pPr>
              <w:numPr>
                <w:ilvl w:val="0"/>
                <w:numId w:val="73"/>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GYÓGYSZERFORMA ÉS TARTALOM</w:t>
            </w:r>
          </w:p>
        </w:tc>
      </w:tr>
    </w:tbl>
    <w:p w14:paraId="7012FEF4" w14:textId="77777777" w:rsidR="007561B4" w:rsidRDefault="007561B4" w:rsidP="007561B4">
      <w:pPr>
        <w:pStyle w:val="a3"/>
        <w:rPr>
          <w:lang w:val="hu-HU"/>
        </w:rPr>
      </w:pPr>
    </w:p>
    <w:p w14:paraId="23CBC875" w14:textId="77777777" w:rsidR="007561B4" w:rsidRDefault="007561B4" w:rsidP="007561B4">
      <w:pPr>
        <w:pStyle w:val="a3"/>
        <w:rPr>
          <w:lang w:val="hu-HU"/>
        </w:rPr>
      </w:pPr>
      <w:r w:rsidRPr="000405CC">
        <w:rPr>
          <w:rFonts w:eastAsia="Times New Roman"/>
          <w:highlight w:val="lightGray"/>
          <w:lang w:val="hu-HU"/>
        </w:rPr>
        <w:t>Oldatos injekció</w:t>
      </w:r>
    </w:p>
    <w:p w14:paraId="05C2005E" w14:textId="77777777" w:rsidR="00EF27F4" w:rsidRDefault="00EF27F4" w:rsidP="00EF27F4">
      <w:pPr>
        <w:autoSpaceDE w:val="0"/>
        <w:autoSpaceDN w:val="0"/>
        <w:adjustRightInd w:val="0"/>
        <w:rPr>
          <w:rFonts w:ascii="Times New Roman" w:hAnsi="Times New Roman" w:cs="Times New Roman"/>
          <w:lang w:val="hu-HU"/>
        </w:rPr>
      </w:pPr>
      <w:r>
        <w:rPr>
          <w:rFonts w:ascii="Times New Roman" w:eastAsia="Times New Roman" w:hAnsi="Times New Roman" w:cs="Times New Roman"/>
          <w:lang w:val="hu-HU"/>
        </w:rPr>
        <w:t>1 előretöltött injekciós fecskendő</w:t>
      </w:r>
    </w:p>
    <w:p w14:paraId="7E94C247" w14:textId="77777777" w:rsidR="00EF27F4" w:rsidRDefault="00EF27F4" w:rsidP="00A21F48">
      <w:pPr>
        <w:autoSpaceDE w:val="0"/>
        <w:autoSpaceDN w:val="0"/>
        <w:adjustRightInd w:val="0"/>
        <w:rPr>
          <w:rFonts w:ascii="Times New Roman" w:hAnsi="Times New Roman" w:cs="Times New Roman"/>
          <w:lang w:val="hu-HU"/>
        </w:rPr>
      </w:pPr>
      <w:r>
        <w:rPr>
          <w:rFonts w:ascii="Times New Roman" w:eastAsia="Times New Roman" w:hAnsi="Times New Roman" w:cs="Times New Roman"/>
          <w:lang w:val="hu-HU"/>
        </w:rPr>
        <w:t>2 db alkoholos törlőkendő</w:t>
      </w:r>
    </w:p>
    <w:p w14:paraId="20A6F734" w14:textId="77777777" w:rsidR="00EF27F4" w:rsidRDefault="00EF27F4" w:rsidP="007D275C">
      <w:pPr>
        <w:autoSpaceDE w:val="0"/>
        <w:autoSpaceDN w:val="0"/>
        <w:adjustRightInd w:val="0"/>
        <w:ind w:leftChars="164" w:left="361"/>
        <w:rPr>
          <w:rFonts w:ascii="Times New Roman" w:hAnsi="Times New Roman" w:cs="Times New Roman"/>
          <w:lang w:val="hu-HU" w:eastAsia="ko-KR"/>
        </w:rPr>
      </w:pPr>
    </w:p>
    <w:p w14:paraId="58B65F46" w14:textId="17408124" w:rsidR="007D275C" w:rsidRPr="00740F0F" w:rsidRDefault="007D275C" w:rsidP="007D275C">
      <w:pPr>
        <w:autoSpaceDE w:val="0"/>
        <w:autoSpaceDN w:val="0"/>
        <w:adjustRightInd w:val="0"/>
        <w:rPr>
          <w:rFonts w:ascii="Times New Roman" w:hAnsi="Times New Roman"/>
          <w:lang w:val="hu-HU"/>
        </w:rPr>
      </w:pPr>
      <w:r w:rsidRPr="00740F0F">
        <w:rPr>
          <w:rFonts w:ascii="Times New Roman" w:hAnsi="Times New Roman"/>
          <w:lang w:val="hu-HU"/>
        </w:rPr>
        <w:t>2 előretöltött injekciós fecskendő</w:t>
      </w:r>
    </w:p>
    <w:p w14:paraId="3CD92955" w14:textId="77777777" w:rsidR="007561B4" w:rsidRDefault="007561B4" w:rsidP="007561B4">
      <w:pPr>
        <w:autoSpaceDE w:val="0"/>
        <w:autoSpaceDN w:val="0"/>
        <w:adjustRightInd w:val="0"/>
        <w:rPr>
          <w:rFonts w:ascii="Times New Roman" w:hAnsi="Times New Roman" w:cs="Times New Roman"/>
          <w:lang w:val="hu-HU"/>
        </w:rPr>
      </w:pPr>
      <w:r w:rsidRPr="00740F0F">
        <w:rPr>
          <w:rFonts w:ascii="Times New Roman" w:hAnsi="Times New Roman"/>
          <w:lang w:val="hu-HU"/>
        </w:rPr>
        <w:t>2 db alkoholos törlőkendő</w:t>
      </w:r>
    </w:p>
    <w:p w14:paraId="62369E94" w14:textId="77777777" w:rsidR="007561B4" w:rsidRDefault="007561B4" w:rsidP="007561B4">
      <w:pPr>
        <w:spacing w:line="200" w:lineRule="exact"/>
        <w:rPr>
          <w:lang w:val="hu-HU"/>
        </w:rPr>
      </w:pPr>
    </w:p>
    <w:p w14:paraId="646E776B" w14:textId="77777777" w:rsidR="007561B4" w:rsidRDefault="007561B4" w:rsidP="007561B4">
      <w:pPr>
        <w:spacing w:line="200" w:lineRule="exact"/>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7561B4" w:rsidRPr="00BE4D18" w14:paraId="73213A3F" w14:textId="77777777" w:rsidTr="00CC2E43">
        <w:trPr>
          <w:trHeight w:val="317"/>
        </w:trPr>
        <w:tc>
          <w:tcPr>
            <w:tcW w:w="9666" w:type="dxa"/>
            <w:vAlign w:val="center"/>
          </w:tcPr>
          <w:p w14:paraId="7CE83409" w14:textId="77777777" w:rsidR="007561B4" w:rsidRDefault="007561B4" w:rsidP="00FD05AA">
            <w:pPr>
              <w:numPr>
                <w:ilvl w:val="0"/>
                <w:numId w:val="73"/>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AZ ALKALMAZÁSSAL KAPCSOLATOS TUDNIVALÓK ÉS AZ ALKALMAZÁS MÓDJA</w:t>
            </w:r>
          </w:p>
        </w:tc>
      </w:tr>
    </w:tbl>
    <w:p w14:paraId="5CC48230" w14:textId="77777777" w:rsidR="007561B4" w:rsidRPr="007561B4" w:rsidRDefault="007561B4" w:rsidP="007561B4">
      <w:pPr>
        <w:spacing w:line="200" w:lineRule="exact"/>
        <w:rPr>
          <w:lang w:val="hu-HU"/>
        </w:rPr>
      </w:pPr>
    </w:p>
    <w:p w14:paraId="79C35CA7" w14:textId="77777777" w:rsidR="007561B4" w:rsidRDefault="007561B4" w:rsidP="007561B4">
      <w:pPr>
        <w:pStyle w:val="a3"/>
        <w:rPr>
          <w:lang w:val="hu-HU"/>
        </w:rPr>
      </w:pPr>
      <w:r>
        <w:rPr>
          <w:rFonts w:eastAsia="Times New Roman"/>
          <w:lang w:val="hu-HU"/>
        </w:rPr>
        <w:t>Subcutan alkalmazás</w:t>
      </w:r>
    </w:p>
    <w:p w14:paraId="56C65E1D" w14:textId="77777777" w:rsidR="007561B4" w:rsidRDefault="007561B4" w:rsidP="007561B4">
      <w:pPr>
        <w:pStyle w:val="a3"/>
        <w:rPr>
          <w:lang w:val="hu-HU"/>
        </w:rPr>
      </w:pPr>
    </w:p>
    <w:p w14:paraId="13156AA9" w14:textId="77777777" w:rsidR="007561B4" w:rsidRDefault="007561B4" w:rsidP="007561B4">
      <w:pPr>
        <w:pStyle w:val="a3"/>
        <w:rPr>
          <w:lang w:val="hu-HU"/>
        </w:rPr>
      </w:pPr>
      <w:r>
        <w:rPr>
          <w:rFonts w:eastAsia="Times New Roman"/>
          <w:lang w:val="hu-HU"/>
        </w:rPr>
        <w:t>Használat előtt olvassa el a mellékelt betegtájékoztatót!</w:t>
      </w:r>
    </w:p>
    <w:p w14:paraId="37A98CFE" w14:textId="77777777" w:rsidR="007561B4" w:rsidRDefault="007561B4" w:rsidP="007561B4">
      <w:pPr>
        <w:pStyle w:val="a3"/>
        <w:rPr>
          <w:lang w:val="hu-HU"/>
        </w:rPr>
      </w:pPr>
    </w:p>
    <w:p w14:paraId="7E92BD91" w14:textId="77777777" w:rsidR="007561B4" w:rsidRDefault="007561B4" w:rsidP="007561B4">
      <w:pPr>
        <w:pStyle w:val="a3"/>
        <w:rPr>
          <w:lang w:val="hu-HU"/>
        </w:rPr>
      </w:pPr>
      <w:r>
        <w:rPr>
          <w:rFonts w:eastAsia="Times New Roman"/>
          <w:lang w:val="hu-HU"/>
        </w:rPr>
        <w:t>Kizárólag egyszeri felhasználásra.</w:t>
      </w:r>
    </w:p>
    <w:p w14:paraId="5E7F66F3" w14:textId="5DC972FA" w:rsidR="007561B4" w:rsidRDefault="007561B4" w:rsidP="007561B4">
      <w:pPr>
        <w:pStyle w:val="a3"/>
        <w:rPr>
          <w:lang w:val="hu-HU"/>
        </w:rPr>
      </w:pPr>
    </w:p>
    <w:p w14:paraId="144CDB55" w14:textId="68B92E35" w:rsidR="007D275C" w:rsidRDefault="007D275C" w:rsidP="007561B4">
      <w:pPr>
        <w:pStyle w:val="a3"/>
        <w:rPr>
          <w:lang w:val="hu-HU"/>
        </w:rPr>
      </w:pPr>
      <w:r w:rsidRPr="00167BF3">
        <w:rPr>
          <w:lang w:val="hu-HU"/>
        </w:rPr>
        <w:t>Gyermekgyógyászati alkalmazásra.</w:t>
      </w:r>
    </w:p>
    <w:p w14:paraId="589D5B1B" w14:textId="77777777" w:rsidR="007561B4" w:rsidRDefault="007561B4" w:rsidP="007561B4">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7561B4" w:rsidRPr="00BE4D18" w14:paraId="1A5DCF50" w14:textId="77777777" w:rsidTr="00CC2E43">
        <w:trPr>
          <w:trHeight w:val="317"/>
        </w:trPr>
        <w:tc>
          <w:tcPr>
            <w:tcW w:w="9666" w:type="dxa"/>
            <w:vAlign w:val="center"/>
          </w:tcPr>
          <w:p w14:paraId="27BD0B0E" w14:textId="77777777" w:rsidR="007561B4" w:rsidRDefault="007561B4" w:rsidP="00FD05AA">
            <w:pPr>
              <w:numPr>
                <w:ilvl w:val="0"/>
                <w:numId w:val="73"/>
              </w:numPr>
              <w:tabs>
                <w:tab w:val="left" w:pos="672"/>
              </w:tabs>
              <w:ind w:left="550" w:hanging="550"/>
              <w:jc w:val="both"/>
              <w:rPr>
                <w:rFonts w:ascii="Times New Roman" w:eastAsia="Times New Roman" w:hAnsi="Times New Roman"/>
                <w:lang w:val="hu-HU"/>
              </w:rPr>
            </w:pPr>
            <w:r>
              <w:rPr>
                <w:rFonts w:ascii="Times New Roman" w:eastAsia="Times New Roman" w:hAnsi="Times New Roman" w:cs="Times New Roman"/>
                <w:b/>
                <w:bCs/>
                <w:spacing w:val="-1"/>
                <w:lang w:val="hu-HU"/>
              </w:rPr>
              <w:t>KÜLÖN FIGYELMEZTETÉS, MELY SZERINT A GYÓGYSZERT GYERMEKEKTŐL ELZÁRVA KELL TARTANI</w:t>
            </w:r>
          </w:p>
        </w:tc>
      </w:tr>
    </w:tbl>
    <w:p w14:paraId="1BE6DE85" w14:textId="77777777" w:rsidR="007561B4" w:rsidRDefault="007561B4" w:rsidP="007561B4">
      <w:pPr>
        <w:spacing w:before="1" w:line="200" w:lineRule="exact"/>
        <w:rPr>
          <w:lang w:val="hu-HU"/>
        </w:rPr>
      </w:pPr>
    </w:p>
    <w:p w14:paraId="02F35F79" w14:textId="77777777" w:rsidR="007561B4" w:rsidRDefault="007561B4" w:rsidP="007561B4">
      <w:pPr>
        <w:pStyle w:val="a3"/>
        <w:rPr>
          <w:lang w:val="hu-HU"/>
        </w:rPr>
      </w:pPr>
      <w:r>
        <w:rPr>
          <w:rFonts w:eastAsia="Times New Roman"/>
          <w:lang w:val="hu-HU"/>
        </w:rPr>
        <w:t>A gyógyszer gyermekektől elzárva tartandó.</w:t>
      </w:r>
    </w:p>
    <w:p w14:paraId="4DA25F8D" w14:textId="77777777" w:rsidR="007561B4" w:rsidRDefault="007561B4" w:rsidP="007561B4">
      <w:pPr>
        <w:pStyle w:val="a3"/>
        <w:rPr>
          <w:lang w:val="hu-HU"/>
        </w:rPr>
      </w:pPr>
    </w:p>
    <w:p w14:paraId="69387FB6" w14:textId="77777777" w:rsidR="007561B4" w:rsidRDefault="007561B4" w:rsidP="007561B4">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7561B4" w:rsidRPr="00BE4D18" w14:paraId="03B0E955" w14:textId="77777777" w:rsidTr="00CC2E43">
        <w:trPr>
          <w:trHeight w:val="317"/>
        </w:trPr>
        <w:tc>
          <w:tcPr>
            <w:tcW w:w="9666" w:type="dxa"/>
            <w:vAlign w:val="center"/>
          </w:tcPr>
          <w:p w14:paraId="378851A5" w14:textId="77777777" w:rsidR="007561B4" w:rsidRDefault="007561B4" w:rsidP="00FD05AA">
            <w:pPr>
              <w:numPr>
                <w:ilvl w:val="0"/>
                <w:numId w:val="73"/>
              </w:numPr>
              <w:tabs>
                <w:tab w:val="left" w:pos="672"/>
              </w:tabs>
              <w:ind w:left="550" w:hanging="550"/>
              <w:jc w:val="both"/>
              <w:rPr>
                <w:rFonts w:ascii="Times New Roman" w:eastAsia="Times New Roman" w:hAnsi="Times New Roman"/>
                <w:lang w:val="hu-HU"/>
              </w:rPr>
            </w:pPr>
            <w:r>
              <w:rPr>
                <w:rFonts w:ascii="Times New Roman" w:eastAsia="Times New Roman" w:hAnsi="Times New Roman" w:cs="Times New Roman"/>
                <w:b/>
                <w:bCs/>
                <w:spacing w:val="-1"/>
                <w:lang w:val="hu-HU"/>
              </w:rPr>
              <w:t>TOVÁBBI FIGYELMEZTETÉS(EK), AMENNYIBEN SZÜKSÉGES</w:t>
            </w:r>
          </w:p>
        </w:tc>
      </w:tr>
    </w:tbl>
    <w:p w14:paraId="34F412CF" w14:textId="77777777" w:rsidR="007561B4" w:rsidRDefault="007561B4" w:rsidP="007561B4">
      <w:pPr>
        <w:rPr>
          <w:lang w:val="hu-HU"/>
        </w:rPr>
      </w:pPr>
    </w:p>
    <w:p w14:paraId="12825A21" w14:textId="77777777" w:rsidR="007561B4" w:rsidRDefault="007561B4" w:rsidP="007561B4">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7561B4" w14:paraId="7D7F177B" w14:textId="77777777" w:rsidTr="00CC2E43">
        <w:trPr>
          <w:trHeight w:val="317"/>
        </w:trPr>
        <w:tc>
          <w:tcPr>
            <w:tcW w:w="9666" w:type="dxa"/>
            <w:vAlign w:val="center"/>
          </w:tcPr>
          <w:p w14:paraId="2DC8700B" w14:textId="77777777" w:rsidR="007561B4" w:rsidRDefault="007561B4" w:rsidP="00FD05AA">
            <w:pPr>
              <w:numPr>
                <w:ilvl w:val="0"/>
                <w:numId w:val="73"/>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LEJÁRATI IDŐ</w:t>
            </w:r>
          </w:p>
        </w:tc>
      </w:tr>
    </w:tbl>
    <w:p w14:paraId="0FB4C073" w14:textId="77777777" w:rsidR="007561B4" w:rsidRDefault="007561B4" w:rsidP="007561B4">
      <w:pPr>
        <w:rPr>
          <w:lang w:val="hu-HU"/>
        </w:rPr>
      </w:pPr>
    </w:p>
    <w:p w14:paraId="2447AB82" w14:textId="77777777" w:rsidR="007561B4" w:rsidRDefault="007561B4" w:rsidP="007561B4">
      <w:pPr>
        <w:pStyle w:val="a3"/>
        <w:rPr>
          <w:lang w:val="hu-HU"/>
        </w:rPr>
      </w:pPr>
      <w:r>
        <w:rPr>
          <w:rFonts w:eastAsia="Times New Roman"/>
          <w:lang w:val="hu-HU"/>
        </w:rPr>
        <w:t>EXP</w:t>
      </w:r>
    </w:p>
    <w:p w14:paraId="6C8B68C0" w14:textId="77777777" w:rsidR="007561B4" w:rsidRDefault="007561B4" w:rsidP="007561B4">
      <w:pPr>
        <w:rPr>
          <w:lang w:val="hu-HU"/>
        </w:rPr>
      </w:pPr>
    </w:p>
    <w:p w14:paraId="3B3E7560" w14:textId="77777777" w:rsidR="007561B4" w:rsidRDefault="007561B4" w:rsidP="007561B4">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7561B4" w:rsidRPr="00BE4D18" w14:paraId="6B96592F" w14:textId="77777777" w:rsidTr="00CC2E43">
        <w:trPr>
          <w:trHeight w:val="317"/>
        </w:trPr>
        <w:tc>
          <w:tcPr>
            <w:tcW w:w="9666" w:type="dxa"/>
            <w:vAlign w:val="center"/>
          </w:tcPr>
          <w:p w14:paraId="6629C5CE" w14:textId="77777777" w:rsidR="007561B4" w:rsidRDefault="007561B4" w:rsidP="00FD05AA">
            <w:pPr>
              <w:numPr>
                <w:ilvl w:val="0"/>
                <w:numId w:val="73"/>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KÜLÖNLEGES TÁROLÁSI ELŐÍRÁSOK</w:t>
            </w:r>
          </w:p>
        </w:tc>
      </w:tr>
    </w:tbl>
    <w:p w14:paraId="01E848C1" w14:textId="77777777" w:rsidR="007561B4" w:rsidRDefault="007561B4" w:rsidP="007561B4">
      <w:pPr>
        <w:rPr>
          <w:lang w:val="hu-HU"/>
        </w:rPr>
      </w:pPr>
    </w:p>
    <w:p w14:paraId="473BBE26" w14:textId="77777777" w:rsidR="007561B4" w:rsidRDefault="007561B4" w:rsidP="007561B4">
      <w:pPr>
        <w:pStyle w:val="a3"/>
        <w:rPr>
          <w:lang w:val="hu-HU"/>
        </w:rPr>
      </w:pPr>
      <w:r>
        <w:rPr>
          <w:rFonts w:eastAsia="Times New Roman"/>
          <w:lang w:val="hu-HU"/>
        </w:rPr>
        <w:t>Hűtőszekrényben tárolandó. Nem fagyasztható.</w:t>
      </w:r>
    </w:p>
    <w:p w14:paraId="59FA8DD3" w14:textId="77777777" w:rsidR="007561B4" w:rsidRDefault="007561B4" w:rsidP="007561B4">
      <w:pPr>
        <w:pStyle w:val="a3"/>
        <w:rPr>
          <w:lang w:val="hu-HU"/>
        </w:rPr>
      </w:pPr>
      <w:r>
        <w:rPr>
          <w:rFonts w:eastAsia="Times New Roman"/>
          <w:lang w:val="hu-HU"/>
        </w:rPr>
        <w:t>A fénytől való védelem érdekében az előretöltött injekciós fecskendő az eredeti dobozban tárolandó.</w:t>
      </w:r>
    </w:p>
    <w:p w14:paraId="679E184C" w14:textId="77777777" w:rsidR="007561B4" w:rsidRDefault="007561B4" w:rsidP="007561B4">
      <w:pPr>
        <w:pStyle w:val="a3"/>
        <w:rPr>
          <w:lang w:val="hu-HU"/>
        </w:rPr>
      </w:pPr>
      <w:r>
        <w:rPr>
          <w:rFonts w:eastAsia="Times New Roman"/>
          <w:lang w:val="hu-HU"/>
        </w:rPr>
        <w:t>A további tárolási információkért olvassa el a betegtájékoztatót.</w:t>
      </w:r>
    </w:p>
    <w:p w14:paraId="3716FDFE" w14:textId="77777777" w:rsidR="007561B4" w:rsidRDefault="007561B4" w:rsidP="007561B4">
      <w:pPr>
        <w:rPr>
          <w:lang w:val="hu-HU"/>
        </w:rPr>
      </w:pPr>
    </w:p>
    <w:p w14:paraId="081ABFB6" w14:textId="77777777" w:rsidR="007561B4" w:rsidRDefault="007561B4" w:rsidP="007561B4">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7561B4" w:rsidRPr="00BE4D18" w14:paraId="032695F7" w14:textId="77777777" w:rsidTr="00CC2E43">
        <w:trPr>
          <w:trHeight w:val="317"/>
        </w:trPr>
        <w:tc>
          <w:tcPr>
            <w:tcW w:w="9666" w:type="dxa"/>
            <w:vAlign w:val="center"/>
          </w:tcPr>
          <w:p w14:paraId="053952B5" w14:textId="77777777" w:rsidR="007561B4" w:rsidRDefault="007561B4" w:rsidP="00FD05AA">
            <w:pPr>
              <w:numPr>
                <w:ilvl w:val="0"/>
                <w:numId w:val="73"/>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KÜLÖNLEGES ÓVINTÉZKEDÉSEK A FEL NEM HASZNÁLT GYÓGYSZEREK VAGY AZ ILYEN TERMÉKEKBŐL KELETKEZETT HULLADÉKANYAGOK ÁRTALMATLANNÁ TÉTELÉRE, HA ILYENEKRE SZÜKSÉG VAN</w:t>
            </w:r>
          </w:p>
        </w:tc>
      </w:tr>
    </w:tbl>
    <w:p w14:paraId="7A53DEA6" w14:textId="77777777" w:rsidR="007561B4" w:rsidRDefault="007561B4" w:rsidP="007561B4">
      <w:pPr>
        <w:rPr>
          <w:lang w:val="hu-HU"/>
        </w:rPr>
      </w:pPr>
    </w:p>
    <w:p w14:paraId="7E916FCD" w14:textId="77777777" w:rsidR="007561B4" w:rsidRDefault="007561B4" w:rsidP="007561B4">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7561B4" w14:paraId="09812652" w14:textId="77777777" w:rsidTr="00CC2E43">
        <w:trPr>
          <w:trHeight w:val="317"/>
        </w:trPr>
        <w:tc>
          <w:tcPr>
            <w:tcW w:w="9666" w:type="dxa"/>
            <w:vAlign w:val="center"/>
          </w:tcPr>
          <w:p w14:paraId="2C7B192A" w14:textId="77777777" w:rsidR="007561B4" w:rsidRDefault="007561B4" w:rsidP="00FD05AA">
            <w:pPr>
              <w:numPr>
                <w:ilvl w:val="0"/>
                <w:numId w:val="73"/>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FORGALOMBA HOZATALI ENGEDÉLY JOGOSULTJÁNAK NEVE ÉS CÍME</w:t>
            </w:r>
          </w:p>
        </w:tc>
      </w:tr>
    </w:tbl>
    <w:p w14:paraId="3AA7C4E6" w14:textId="77777777" w:rsidR="007561B4" w:rsidRDefault="007561B4" w:rsidP="007561B4">
      <w:pPr>
        <w:spacing w:before="5" w:line="200" w:lineRule="exact"/>
        <w:rPr>
          <w:lang w:val="hu-HU"/>
        </w:rPr>
      </w:pPr>
    </w:p>
    <w:p w14:paraId="51396C5E" w14:textId="77777777" w:rsidR="007561B4" w:rsidRDefault="007561B4" w:rsidP="007561B4">
      <w:pPr>
        <w:pStyle w:val="a3"/>
        <w:rPr>
          <w:lang w:val="hu-HU"/>
        </w:rPr>
      </w:pPr>
      <w:r>
        <w:rPr>
          <w:lang w:val="hu-HU"/>
        </w:rPr>
        <w:t xml:space="preserve">Celltrion Healthcare Hungary Kft. </w:t>
      </w:r>
    </w:p>
    <w:p w14:paraId="22FF308F" w14:textId="77777777" w:rsidR="007561B4" w:rsidRDefault="007561B4" w:rsidP="007561B4">
      <w:pPr>
        <w:pStyle w:val="a3"/>
        <w:rPr>
          <w:lang w:val="hu-HU"/>
        </w:rPr>
      </w:pPr>
      <w:r>
        <w:rPr>
          <w:lang w:val="hu-HU"/>
        </w:rPr>
        <w:t>1062 Budapest</w:t>
      </w:r>
    </w:p>
    <w:p w14:paraId="32F6B2B2" w14:textId="77777777" w:rsidR="007561B4" w:rsidRDefault="007561B4" w:rsidP="007561B4">
      <w:pPr>
        <w:pStyle w:val="a3"/>
        <w:rPr>
          <w:lang w:val="hu-HU"/>
        </w:rPr>
      </w:pPr>
      <w:r>
        <w:rPr>
          <w:lang w:val="hu-HU"/>
        </w:rPr>
        <w:t>Váci út 1-3. WestEnd Office Building B torony</w:t>
      </w:r>
    </w:p>
    <w:p w14:paraId="3D321AD9" w14:textId="77777777" w:rsidR="007561B4" w:rsidRDefault="007561B4" w:rsidP="007561B4">
      <w:pPr>
        <w:pStyle w:val="a3"/>
        <w:rPr>
          <w:lang w:val="hu-HU"/>
        </w:rPr>
      </w:pPr>
      <w:r>
        <w:rPr>
          <w:rFonts w:eastAsia="Times New Roman"/>
          <w:lang w:val="hu-HU"/>
        </w:rPr>
        <w:t>Magyarország</w:t>
      </w:r>
    </w:p>
    <w:p w14:paraId="463CDBE9" w14:textId="77777777" w:rsidR="007561B4" w:rsidRDefault="007561B4" w:rsidP="007561B4">
      <w:pPr>
        <w:rPr>
          <w:lang w:val="hu-HU"/>
        </w:rPr>
      </w:pPr>
    </w:p>
    <w:p w14:paraId="27CD54C2" w14:textId="7E4AB9EC" w:rsidR="007561B4" w:rsidRDefault="007561B4" w:rsidP="007561B4">
      <w:pPr>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7561B4" w14:paraId="34DEAD60" w14:textId="77777777" w:rsidTr="00CC2E43">
        <w:trPr>
          <w:trHeight w:val="317"/>
        </w:trPr>
        <w:tc>
          <w:tcPr>
            <w:tcW w:w="9666" w:type="dxa"/>
            <w:vAlign w:val="center"/>
          </w:tcPr>
          <w:p w14:paraId="0B396B86" w14:textId="77777777" w:rsidR="007561B4" w:rsidRDefault="007561B4" w:rsidP="00FD05AA">
            <w:pPr>
              <w:numPr>
                <w:ilvl w:val="0"/>
                <w:numId w:val="73"/>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FORGALOMBA HOZATALI ENGEDÉLY SZÁMAI</w:t>
            </w:r>
          </w:p>
        </w:tc>
      </w:tr>
    </w:tbl>
    <w:p w14:paraId="5DAE1078" w14:textId="77777777" w:rsidR="007561B4" w:rsidRDefault="007561B4" w:rsidP="007561B4">
      <w:pPr>
        <w:rPr>
          <w:lang w:val="hu-HU"/>
        </w:rPr>
      </w:pPr>
    </w:p>
    <w:p w14:paraId="34F7E13F" w14:textId="77777777" w:rsidR="00174EAA" w:rsidRPr="00174EAA" w:rsidRDefault="007561B4" w:rsidP="00174EAA">
      <w:pPr>
        <w:autoSpaceDE w:val="0"/>
        <w:autoSpaceDN w:val="0"/>
        <w:adjustRightInd w:val="0"/>
        <w:rPr>
          <w:rFonts w:ascii="Times New Roman" w:hAnsi="Times New Roman" w:cs="Times New Roman"/>
          <w:highlight w:val="lightGray"/>
          <w:lang w:val="hu-HU"/>
        </w:rPr>
      </w:pPr>
      <w:r w:rsidRPr="00174EAA">
        <w:rPr>
          <w:rFonts w:ascii="Times New Roman" w:eastAsia="Times New Roman" w:hAnsi="Times New Roman" w:cs="Times New Roman"/>
          <w:lang w:val="hu-HU"/>
        </w:rPr>
        <w:t>EU/</w:t>
      </w:r>
      <w:r w:rsidR="007D275C" w:rsidRPr="00174EAA">
        <w:rPr>
          <w:rFonts w:ascii="Times New Roman" w:eastAsia="Times New Roman" w:hAnsi="Times New Roman" w:cs="Times New Roman"/>
          <w:color w:val="000000"/>
          <w:lang w:val="hu-HU"/>
        </w:rPr>
        <w:t>1/20/1513/017</w:t>
      </w:r>
      <w:r w:rsidR="00174EAA" w:rsidRPr="00174EAA">
        <w:rPr>
          <w:rFonts w:ascii="Times New Roman" w:hAnsi="Times New Roman" w:cs="Times New Roman"/>
          <w:color w:val="000000"/>
          <w:lang w:val="hu-HU" w:eastAsia="ko-KR"/>
        </w:rPr>
        <w:t xml:space="preserve"> </w:t>
      </w:r>
      <w:r w:rsidR="00174EAA" w:rsidRPr="00174EAA">
        <w:rPr>
          <w:rFonts w:ascii="Times New Roman" w:eastAsia="Times New Roman" w:hAnsi="Times New Roman" w:cs="Times New Roman"/>
          <w:highlight w:val="lightGray"/>
          <w:lang w:val="hu-HU"/>
        </w:rPr>
        <w:t>2 előretöltött injekciós fecskendő</w:t>
      </w:r>
    </w:p>
    <w:p w14:paraId="7F50AEB4" w14:textId="77777777" w:rsidR="00174EAA" w:rsidRPr="00174EAA" w:rsidRDefault="00174EAA" w:rsidP="00B6105A">
      <w:pPr>
        <w:autoSpaceDE w:val="0"/>
        <w:autoSpaceDN w:val="0"/>
        <w:adjustRightInd w:val="0"/>
        <w:rPr>
          <w:rFonts w:ascii="Times New Roman" w:hAnsi="Times New Roman" w:cs="Times New Roman"/>
          <w:lang w:val="hu-HU"/>
        </w:rPr>
      </w:pPr>
      <w:r w:rsidRPr="00174EAA">
        <w:rPr>
          <w:rFonts w:ascii="Times New Roman" w:hAnsi="Times New Roman" w:cs="Times New Roman"/>
          <w:highlight w:val="lightGray"/>
          <w:lang w:val="hu-HU" w:eastAsia="ko-KR"/>
        </w:rPr>
        <w:t xml:space="preserve">EU/1/20/1513/018 </w:t>
      </w:r>
      <w:r w:rsidRPr="00174EAA">
        <w:rPr>
          <w:rFonts w:ascii="Times New Roman" w:eastAsia="Times New Roman" w:hAnsi="Times New Roman" w:cs="Times New Roman"/>
          <w:highlight w:val="lightGray"/>
          <w:lang w:val="hu-HU"/>
        </w:rPr>
        <w:t>1 előretöltött injekciós fecskendő</w:t>
      </w:r>
    </w:p>
    <w:p w14:paraId="7C845283" w14:textId="439EA999" w:rsidR="00174EAA" w:rsidRDefault="00174EAA" w:rsidP="007561B4">
      <w:pPr>
        <w:rPr>
          <w:lang w:val="hu-HU" w:eastAsia="ko-KR"/>
        </w:rPr>
      </w:pPr>
    </w:p>
    <w:tbl>
      <w:tblPr>
        <w:tblStyle w:val="ac"/>
        <w:tblpPr w:leftFromText="142" w:rightFromText="142" w:vertAnchor="text" w:tblpY="194"/>
        <w:tblW w:w="9666" w:type="dxa"/>
        <w:tblLook w:val="04A0" w:firstRow="1" w:lastRow="0" w:firstColumn="1" w:lastColumn="0" w:noHBand="0" w:noVBand="1"/>
      </w:tblPr>
      <w:tblGrid>
        <w:gridCol w:w="9666"/>
      </w:tblGrid>
      <w:tr w:rsidR="007561B4" w14:paraId="27771952" w14:textId="77777777" w:rsidTr="00CC2E43">
        <w:trPr>
          <w:trHeight w:val="317"/>
        </w:trPr>
        <w:tc>
          <w:tcPr>
            <w:tcW w:w="9666" w:type="dxa"/>
            <w:vAlign w:val="center"/>
          </w:tcPr>
          <w:p w14:paraId="5059FE21" w14:textId="77777777" w:rsidR="007561B4" w:rsidRDefault="007561B4" w:rsidP="00FD05AA">
            <w:pPr>
              <w:numPr>
                <w:ilvl w:val="0"/>
                <w:numId w:val="73"/>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GYÁRTÁSI TÉTEL SZÁMA</w:t>
            </w:r>
          </w:p>
        </w:tc>
      </w:tr>
    </w:tbl>
    <w:p w14:paraId="1F1336C2" w14:textId="77777777" w:rsidR="007561B4" w:rsidRDefault="007561B4" w:rsidP="007561B4">
      <w:pPr>
        <w:rPr>
          <w:lang w:val="hu-HU"/>
        </w:rPr>
      </w:pPr>
    </w:p>
    <w:p w14:paraId="3F286D65" w14:textId="77777777" w:rsidR="007561B4" w:rsidRDefault="007561B4" w:rsidP="007561B4">
      <w:pPr>
        <w:pStyle w:val="a3"/>
        <w:rPr>
          <w:lang w:val="hu-HU"/>
        </w:rPr>
      </w:pPr>
      <w:r>
        <w:rPr>
          <w:rFonts w:eastAsia="Times New Roman"/>
          <w:lang w:val="hu-HU"/>
        </w:rPr>
        <w:t>Lot</w:t>
      </w:r>
    </w:p>
    <w:p w14:paraId="0CF98905" w14:textId="77777777" w:rsidR="007561B4" w:rsidRDefault="007561B4" w:rsidP="007561B4">
      <w:pPr>
        <w:pStyle w:val="a3"/>
        <w:rPr>
          <w:lang w:val="hu-HU"/>
        </w:rPr>
      </w:pPr>
    </w:p>
    <w:p w14:paraId="5C0A49AD" w14:textId="77777777" w:rsidR="007561B4" w:rsidRDefault="007561B4" w:rsidP="007561B4">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7561B4" w14:paraId="0C2F1566" w14:textId="77777777" w:rsidTr="00CC2E43">
        <w:trPr>
          <w:trHeight w:val="317"/>
        </w:trPr>
        <w:tc>
          <w:tcPr>
            <w:tcW w:w="9666" w:type="dxa"/>
            <w:vAlign w:val="center"/>
          </w:tcPr>
          <w:p w14:paraId="11B948EB" w14:textId="77777777" w:rsidR="007561B4" w:rsidRDefault="007561B4" w:rsidP="00FD05AA">
            <w:pPr>
              <w:numPr>
                <w:ilvl w:val="0"/>
                <w:numId w:val="73"/>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GYÓGYSZER RENDELHETŐSÉGE</w:t>
            </w:r>
          </w:p>
        </w:tc>
      </w:tr>
    </w:tbl>
    <w:p w14:paraId="05549C1C" w14:textId="77777777" w:rsidR="007561B4" w:rsidRDefault="007561B4" w:rsidP="007561B4">
      <w:pPr>
        <w:jc w:val="both"/>
        <w:rPr>
          <w:lang w:val="hu-HU"/>
        </w:rPr>
      </w:pPr>
    </w:p>
    <w:p w14:paraId="19F59E8A" w14:textId="77777777" w:rsidR="007561B4" w:rsidRDefault="007561B4" w:rsidP="007561B4">
      <w:pPr>
        <w:jc w:val="both"/>
        <w:rPr>
          <w:lang w:val="hu-HU"/>
        </w:rPr>
      </w:pPr>
    </w:p>
    <w:p w14:paraId="7ECFC8BB" w14:textId="77777777" w:rsidR="007561B4" w:rsidRDefault="007561B4" w:rsidP="007561B4">
      <w:pPr>
        <w:jc w:val="both"/>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7561B4" w:rsidRPr="00BE4D18" w14:paraId="3CDAA6CB" w14:textId="77777777" w:rsidTr="00CC2E43">
        <w:trPr>
          <w:trHeight w:val="317"/>
        </w:trPr>
        <w:tc>
          <w:tcPr>
            <w:tcW w:w="9666" w:type="dxa"/>
            <w:vAlign w:val="center"/>
          </w:tcPr>
          <w:p w14:paraId="04549B68" w14:textId="77777777" w:rsidR="007561B4" w:rsidRDefault="007561B4" w:rsidP="00FD05AA">
            <w:pPr>
              <w:numPr>
                <w:ilvl w:val="0"/>
                <w:numId w:val="73"/>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AZ ALKALMAZÁSRA VONATKOZÓ UTASÍTÁSOK</w:t>
            </w:r>
          </w:p>
        </w:tc>
      </w:tr>
    </w:tbl>
    <w:p w14:paraId="2B3D9490" w14:textId="77777777" w:rsidR="007561B4" w:rsidRDefault="007561B4" w:rsidP="007561B4">
      <w:pPr>
        <w:jc w:val="both"/>
        <w:rPr>
          <w:lang w:val="hu-HU"/>
        </w:rPr>
      </w:pPr>
    </w:p>
    <w:p w14:paraId="7479117B" w14:textId="77777777" w:rsidR="007561B4" w:rsidRDefault="007561B4" w:rsidP="007561B4">
      <w:pPr>
        <w:jc w:val="both"/>
        <w:rPr>
          <w:lang w:val="hu-HU"/>
        </w:rPr>
      </w:pPr>
    </w:p>
    <w:p w14:paraId="63A08C39" w14:textId="77777777" w:rsidR="007561B4" w:rsidRDefault="007561B4" w:rsidP="007561B4">
      <w:pPr>
        <w:jc w:val="both"/>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7561B4" w14:paraId="57EBD5B2" w14:textId="77777777" w:rsidTr="00CC2E43">
        <w:trPr>
          <w:trHeight w:val="317"/>
        </w:trPr>
        <w:tc>
          <w:tcPr>
            <w:tcW w:w="9666" w:type="dxa"/>
            <w:vAlign w:val="center"/>
          </w:tcPr>
          <w:p w14:paraId="21306051" w14:textId="77777777" w:rsidR="007561B4" w:rsidRDefault="007561B4" w:rsidP="00FD05AA">
            <w:pPr>
              <w:numPr>
                <w:ilvl w:val="0"/>
                <w:numId w:val="73"/>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lastRenderedPageBreak/>
              <w:t>BRAILLE ÍRÁSSAL FELTÜNTETETT INFORMÁCIÓK</w:t>
            </w:r>
          </w:p>
        </w:tc>
      </w:tr>
    </w:tbl>
    <w:p w14:paraId="0D71F871" w14:textId="77777777" w:rsidR="007561B4" w:rsidRDefault="007561B4" w:rsidP="007561B4">
      <w:pPr>
        <w:jc w:val="both"/>
        <w:rPr>
          <w:lang w:val="hu-HU"/>
        </w:rPr>
      </w:pPr>
    </w:p>
    <w:p w14:paraId="6854B44E" w14:textId="5F7F0083" w:rsidR="007561B4" w:rsidRDefault="007561B4" w:rsidP="007561B4">
      <w:pPr>
        <w:pStyle w:val="a3"/>
        <w:rPr>
          <w:lang w:val="hu-HU"/>
        </w:rPr>
      </w:pPr>
      <w:r>
        <w:rPr>
          <w:rFonts w:eastAsia="Times New Roman"/>
          <w:lang w:val="hu-HU"/>
        </w:rPr>
        <w:t xml:space="preserve">Yuflyma </w:t>
      </w:r>
      <w:r w:rsidR="007D275C">
        <w:rPr>
          <w:rFonts w:eastAsia="Times New Roman"/>
          <w:lang w:val="hu-HU"/>
        </w:rPr>
        <w:t>20</w:t>
      </w:r>
      <w:r>
        <w:rPr>
          <w:rFonts w:eastAsia="Times New Roman"/>
          <w:lang w:val="hu-HU"/>
        </w:rPr>
        <w:t xml:space="preserve"> mg</w:t>
      </w:r>
    </w:p>
    <w:p w14:paraId="14960974" w14:textId="77777777" w:rsidR="007561B4" w:rsidRDefault="007561B4" w:rsidP="007561B4">
      <w:pPr>
        <w:jc w:val="both"/>
        <w:rPr>
          <w:lang w:val="hu-HU"/>
        </w:rPr>
      </w:pPr>
    </w:p>
    <w:p w14:paraId="5AF556F2" w14:textId="77777777" w:rsidR="007561B4" w:rsidRDefault="007561B4" w:rsidP="007561B4">
      <w:pPr>
        <w:jc w:val="both"/>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7561B4" w:rsidRPr="00BE4D18" w14:paraId="7AC71448" w14:textId="77777777" w:rsidTr="00CC2E43">
        <w:trPr>
          <w:trHeight w:val="317"/>
        </w:trPr>
        <w:tc>
          <w:tcPr>
            <w:tcW w:w="9666" w:type="dxa"/>
            <w:vAlign w:val="center"/>
          </w:tcPr>
          <w:p w14:paraId="11155769" w14:textId="77777777" w:rsidR="007561B4" w:rsidRDefault="007561B4" w:rsidP="00FD05AA">
            <w:pPr>
              <w:numPr>
                <w:ilvl w:val="0"/>
                <w:numId w:val="73"/>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EGYEDI AZONOSÍTÓ – 2D VONALKÓD</w:t>
            </w:r>
          </w:p>
        </w:tc>
      </w:tr>
    </w:tbl>
    <w:p w14:paraId="426216C0" w14:textId="77777777" w:rsidR="007561B4" w:rsidRDefault="007561B4" w:rsidP="007561B4">
      <w:pPr>
        <w:jc w:val="both"/>
        <w:rPr>
          <w:lang w:val="hu-HU"/>
        </w:rPr>
      </w:pPr>
    </w:p>
    <w:p w14:paraId="480FA2AF" w14:textId="77777777" w:rsidR="007561B4" w:rsidRDefault="007561B4" w:rsidP="007561B4">
      <w:pPr>
        <w:pStyle w:val="a3"/>
        <w:rPr>
          <w:lang w:val="hu-HU"/>
        </w:rPr>
      </w:pPr>
      <w:r w:rsidRPr="000405CC">
        <w:rPr>
          <w:rFonts w:eastAsia="Times New Roman"/>
          <w:highlight w:val="lightGray"/>
          <w:lang w:val="hu-HU"/>
        </w:rPr>
        <w:t>Egyedi azonosítójú 2D vonalkóddal ellátva.</w:t>
      </w:r>
    </w:p>
    <w:p w14:paraId="1AE0F2BC" w14:textId="77777777" w:rsidR="007561B4" w:rsidRDefault="007561B4" w:rsidP="007561B4">
      <w:pPr>
        <w:jc w:val="both"/>
        <w:rPr>
          <w:lang w:val="hu-HU"/>
        </w:rPr>
      </w:pPr>
    </w:p>
    <w:p w14:paraId="42CCE3FF" w14:textId="77777777" w:rsidR="007561B4" w:rsidRDefault="007561B4" w:rsidP="007561B4">
      <w:pPr>
        <w:jc w:val="both"/>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7561B4" w:rsidRPr="00BE4D18" w14:paraId="2694ED12" w14:textId="77777777" w:rsidTr="00CC2E43">
        <w:trPr>
          <w:trHeight w:val="317"/>
        </w:trPr>
        <w:tc>
          <w:tcPr>
            <w:tcW w:w="9666" w:type="dxa"/>
            <w:vAlign w:val="center"/>
          </w:tcPr>
          <w:p w14:paraId="49539556" w14:textId="77777777" w:rsidR="007561B4" w:rsidRDefault="007561B4" w:rsidP="00FD05AA">
            <w:pPr>
              <w:numPr>
                <w:ilvl w:val="0"/>
                <w:numId w:val="73"/>
              </w:numPr>
              <w:tabs>
                <w:tab w:val="left" w:pos="672"/>
              </w:tabs>
              <w:ind w:left="550" w:hanging="550"/>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EGYEDI AZONOSÍTÓ OLVASHATÓ FORMÁTUMA</w:t>
            </w:r>
          </w:p>
        </w:tc>
      </w:tr>
    </w:tbl>
    <w:p w14:paraId="3A578370" w14:textId="77777777" w:rsidR="007561B4" w:rsidRDefault="007561B4" w:rsidP="007561B4">
      <w:pPr>
        <w:jc w:val="both"/>
        <w:rPr>
          <w:lang w:val="hu-HU"/>
        </w:rPr>
      </w:pPr>
    </w:p>
    <w:p w14:paraId="4A5A267F" w14:textId="77777777" w:rsidR="007561B4" w:rsidRDefault="007561B4" w:rsidP="007561B4">
      <w:pPr>
        <w:pStyle w:val="a3"/>
        <w:rPr>
          <w:lang w:val="hu-HU"/>
        </w:rPr>
      </w:pPr>
      <w:r>
        <w:rPr>
          <w:rFonts w:eastAsia="Times New Roman"/>
          <w:lang w:val="hu-HU"/>
        </w:rPr>
        <w:t>PC</w:t>
      </w:r>
    </w:p>
    <w:p w14:paraId="7F83A28F" w14:textId="77777777" w:rsidR="007561B4" w:rsidRDefault="007561B4" w:rsidP="007561B4">
      <w:pPr>
        <w:pStyle w:val="a3"/>
        <w:rPr>
          <w:lang w:val="hu-HU"/>
        </w:rPr>
      </w:pPr>
      <w:r>
        <w:rPr>
          <w:rFonts w:eastAsia="Times New Roman"/>
          <w:lang w:val="hu-HU"/>
        </w:rPr>
        <w:t>SN</w:t>
      </w:r>
    </w:p>
    <w:p w14:paraId="780052A3" w14:textId="77777777" w:rsidR="007561B4" w:rsidRDefault="007561B4" w:rsidP="007561B4">
      <w:pPr>
        <w:pStyle w:val="a3"/>
        <w:rPr>
          <w:lang w:val="hu-HU"/>
        </w:rPr>
      </w:pPr>
      <w:r>
        <w:rPr>
          <w:rFonts w:eastAsia="Times New Roman"/>
          <w:spacing w:val="-2"/>
          <w:lang w:val="hu-HU"/>
        </w:rPr>
        <w:t>NN</w:t>
      </w:r>
    </w:p>
    <w:p w14:paraId="3F6F3FCF" w14:textId="77777777" w:rsidR="007561B4" w:rsidRDefault="007561B4" w:rsidP="007561B4">
      <w:pPr>
        <w:rPr>
          <w:lang w:val="hu-HU"/>
        </w:rPr>
      </w:pPr>
      <w:r>
        <w:rPr>
          <w:lang w:val="hu-HU"/>
        </w:rPr>
        <w:br w:type="page"/>
      </w:r>
    </w:p>
    <w:tbl>
      <w:tblPr>
        <w:tblStyle w:val="ac"/>
        <w:tblW w:w="9666" w:type="dxa"/>
        <w:tblLook w:val="04A0" w:firstRow="1" w:lastRow="0" w:firstColumn="1" w:lastColumn="0" w:noHBand="0" w:noVBand="1"/>
      </w:tblPr>
      <w:tblGrid>
        <w:gridCol w:w="9666"/>
      </w:tblGrid>
      <w:tr w:rsidR="007561B4" w:rsidRPr="00BE4D18" w14:paraId="3DF723A9" w14:textId="77777777" w:rsidTr="00CC2E43">
        <w:trPr>
          <w:trHeight w:val="822"/>
        </w:trPr>
        <w:tc>
          <w:tcPr>
            <w:tcW w:w="9666" w:type="dxa"/>
            <w:vAlign w:val="center"/>
          </w:tcPr>
          <w:p w14:paraId="29EFC723" w14:textId="77777777" w:rsidR="007561B4" w:rsidRDefault="007561B4" w:rsidP="00CC2E43">
            <w:pPr>
              <w:tabs>
                <w:tab w:val="left" w:pos="672"/>
              </w:tabs>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lastRenderedPageBreak/>
              <w:t xml:space="preserve">A KIS KÖZVETLEN CSOMAGOLÁSI EGYSÉGEKEN MINIMÁLISAN FELTÜNTETENDŐ ADATOK </w:t>
            </w:r>
          </w:p>
          <w:p w14:paraId="6EB74282" w14:textId="77777777" w:rsidR="007561B4" w:rsidRDefault="007561B4" w:rsidP="00CC2E43">
            <w:pPr>
              <w:tabs>
                <w:tab w:val="left" w:pos="672"/>
              </w:tabs>
              <w:jc w:val="both"/>
              <w:rPr>
                <w:rFonts w:ascii="Times New Roman" w:eastAsia="Times New Roman" w:hAnsi="Times New Roman" w:cs="Times New Roman"/>
                <w:b/>
                <w:bCs/>
                <w:spacing w:val="-1"/>
                <w:lang w:val="hu-HU"/>
              </w:rPr>
            </w:pPr>
          </w:p>
          <w:p w14:paraId="077F694B" w14:textId="77777777" w:rsidR="007561B4" w:rsidRPr="00820E03" w:rsidRDefault="007561B4" w:rsidP="00CC2E43">
            <w:pPr>
              <w:tabs>
                <w:tab w:val="left" w:pos="672"/>
              </w:tabs>
              <w:jc w:val="both"/>
              <w:rPr>
                <w:rFonts w:ascii="Times New Roman" w:eastAsia="Times New Roman" w:hAnsi="Times New Roman" w:cs="Times New Roman"/>
                <w:b/>
                <w:bCs/>
                <w:spacing w:val="-1"/>
                <w:lang w:val="hu-HU"/>
              </w:rPr>
            </w:pPr>
            <w:r w:rsidRPr="00820E03">
              <w:rPr>
                <w:rFonts w:ascii="Times New Roman" w:eastAsia="Times New Roman" w:hAnsi="Times New Roman" w:cs="Times New Roman"/>
                <w:b/>
                <w:bCs/>
                <w:spacing w:val="-1"/>
                <w:lang w:val="hu-HU"/>
              </w:rPr>
              <w:t xml:space="preserve">AZ ELŐRETÖLTÖTT </w:t>
            </w:r>
            <w:r w:rsidRPr="009167C6">
              <w:rPr>
                <w:rFonts w:ascii="Times New Roman" w:eastAsia="Times New Roman" w:hAnsi="Times New Roman" w:cs="Times New Roman"/>
                <w:b/>
                <w:spacing w:val="-1"/>
                <w:lang w:val="hu-HU"/>
              </w:rPr>
              <w:t>FECSKENDŐ CÍMKÉJE</w:t>
            </w:r>
          </w:p>
        </w:tc>
      </w:tr>
    </w:tbl>
    <w:p w14:paraId="4D1FD3D3" w14:textId="77777777" w:rsidR="007561B4" w:rsidRDefault="007561B4" w:rsidP="007561B4">
      <w:pPr>
        <w:spacing w:line="200" w:lineRule="exact"/>
        <w:rPr>
          <w:lang w:val="hu-HU"/>
        </w:rPr>
      </w:pPr>
    </w:p>
    <w:p w14:paraId="590E1FCA" w14:textId="77777777" w:rsidR="007561B4" w:rsidRDefault="007561B4" w:rsidP="007561B4">
      <w:pPr>
        <w:spacing w:line="200" w:lineRule="exact"/>
        <w:rPr>
          <w:lang w:val="hu-HU"/>
        </w:rPr>
      </w:pPr>
    </w:p>
    <w:tbl>
      <w:tblPr>
        <w:tblStyle w:val="ac"/>
        <w:tblpPr w:leftFromText="142" w:rightFromText="142" w:vertAnchor="text" w:tblpY="55"/>
        <w:tblW w:w="9666" w:type="dxa"/>
        <w:tblLook w:val="04A0" w:firstRow="1" w:lastRow="0" w:firstColumn="1" w:lastColumn="0" w:noHBand="0" w:noVBand="1"/>
      </w:tblPr>
      <w:tblGrid>
        <w:gridCol w:w="9666"/>
      </w:tblGrid>
      <w:tr w:rsidR="007561B4" w:rsidRPr="00F70E6D" w14:paraId="5D46F45D" w14:textId="77777777" w:rsidTr="00CC2E43">
        <w:trPr>
          <w:trHeight w:val="317"/>
        </w:trPr>
        <w:tc>
          <w:tcPr>
            <w:tcW w:w="9666" w:type="dxa"/>
            <w:vAlign w:val="center"/>
          </w:tcPr>
          <w:p w14:paraId="0DE675EE" w14:textId="77777777" w:rsidR="007561B4" w:rsidRDefault="007561B4" w:rsidP="00FD05AA">
            <w:pPr>
              <w:numPr>
                <w:ilvl w:val="0"/>
                <w:numId w:val="74"/>
              </w:numPr>
              <w:tabs>
                <w:tab w:val="left" w:pos="672"/>
              </w:tabs>
              <w:ind w:left="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GYÓGYSZER NEVE ÉS AZ ALKALMAZÁS MÓDJA</w:t>
            </w:r>
          </w:p>
        </w:tc>
      </w:tr>
    </w:tbl>
    <w:p w14:paraId="061989E0" w14:textId="77777777" w:rsidR="007561B4" w:rsidRDefault="007561B4" w:rsidP="007561B4">
      <w:pPr>
        <w:spacing w:line="200" w:lineRule="exact"/>
        <w:rPr>
          <w:lang w:val="hu-HU"/>
        </w:rPr>
      </w:pPr>
    </w:p>
    <w:p w14:paraId="1CCB140B" w14:textId="2CC26532" w:rsidR="007561B4" w:rsidRDefault="007561B4" w:rsidP="007561B4">
      <w:pPr>
        <w:pStyle w:val="a3"/>
        <w:rPr>
          <w:lang w:val="hu-HU"/>
        </w:rPr>
      </w:pPr>
      <w:r>
        <w:rPr>
          <w:rFonts w:eastAsia="Times New Roman"/>
          <w:lang w:val="hu-HU"/>
        </w:rPr>
        <w:t xml:space="preserve">Yuflyma </w:t>
      </w:r>
      <w:r w:rsidR="007D275C">
        <w:rPr>
          <w:rFonts w:eastAsia="Times New Roman"/>
          <w:lang w:val="hu-HU"/>
        </w:rPr>
        <w:t>20</w:t>
      </w:r>
      <w:r>
        <w:rPr>
          <w:rFonts w:eastAsia="Times New Roman"/>
          <w:lang w:val="hu-HU"/>
        </w:rPr>
        <w:t xml:space="preserve"> mg injekció</w:t>
      </w:r>
    </w:p>
    <w:p w14:paraId="35CCB048" w14:textId="77777777" w:rsidR="007561B4" w:rsidRDefault="007561B4" w:rsidP="007561B4">
      <w:pPr>
        <w:pStyle w:val="a3"/>
        <w:rPr>
          <w:lang w:val="hu-HU"/>
        </w:rPr>
      </w:pPr>
      <w:r>
        <w:rPr>
          <w:rFonts w:eastAsia="Times New Roman"/>
          <w:lang w:val="hu-HU"/>
        </w:rPr>
        <w:t>adalimumab</w:t>
      </w:r>
    </w:p>
    <w:p w14:paraId="08937C2C" w14:textId="77777777" w:rsidR="007561B4" w:rsidRDefault="007561B4" w:rsidP="007561B4">
      <w:pPr>
        <w:pStyle w:val="a3"/>
        <w:rPr>
          <w:lang w:val="hu-HU"/>
        </w:rPr>
      </w:pPr>
      <w:r>
        <w:rPr>
          <w:rFonts w:eastAsia="Times New Roman"/>
          <w:lang w:val="hu-HU"/>
        </w:rPr>
        <w:t>sc.</w:t>
      </w:r>
    </w:p>
    <w:p w14:paraId="1D0F5870" w14:textId="77777777" w:rsidR="007561B4" w:rsidRDefault="007561B4" w:rsidP="007561B4">
      <w:pPr>
        <w:pStyle w:val="a3"/>
        <w:rPr>
          <w:lang w:val="hu-HU"/>
        </w:rPr>
      </w:pPr>
    </w:p>
    <w:p w14:paraId="70C079DB" w14:textId="77777777" w:rsidR="007561B4" w:rsidRDefault="007561B4" w:rsidP="007561B4">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7561B4" w14:paraId="2CF033B1" w14:textId="77777777" w:rsidTr="00CC2E43">
        <w:trPr>
          <w:trHeight w:val="317"/>
        </w:trPr>
        <w:tc>
          <w:tcPr>
            <w:tcW w:w="9666" w:type="dxa"/>
            <w:vAlign w:val="center"/>
          </w:tcPr>
          <w:p w14:paraId="230FB71A" w14:textId="77777777" w:rsidR="007561B4" w:rsidRDefault="007561B4" w:rsidP="00FD05AA">
            <w:pPr>
              <w:numPr>
                <w:ilvl w:val="0"/>
                <w:numId w:val="74"/>
              </w:numPr>
              <w:tabs>
                <w:tab w:val="left" w:pos="672"/>
              </w:tabs>
              <w:ind w:left="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AZ ALKALMAZÁSSAL KAPCSOLATOS TUDNIVALÓK</w:t>
            </w:r>
          </w:p>
        </w:tc>
      </w:tr>
    </w:tbl>
    <w:p w14:paraId="15FBDF93" w14:textId="77777777" w:rsidR="007561B4" w:rsidRDefault="007561B4" w:rsidP="007561B4">
      <w:pPr>
        <w:spacing w:before="13" w:line="280" w:lineRule="exact"/>
        <w:rPr>
          <w:lang w:val="hu-HU"/>
        </w:rPr>
      </w:pPr>
    </w:p>
    <w:p w14:paraId="7ABCCECF" w14:textId="77777777" w:rsidR="007561B4" w:rsidRDefault="007561B4" w:rsidP="007561B4">
      <w:pPr>
        <w:spacing w:before="13" w:line="280" w:lineRule="exact"/>
        <w:rPr>
          <w:lang w:val="hu-HU"/>
        </w:rPr>
      </w:pPr>
    </w:p>
    <w:p w14:paraId="3856D52F" w14:textId="77777777" w:rsidR="007561B4" w:rsidRDefault="007561B4" w:rsidP="007561B4">
      <w:pPr>
        <w:spacing w:before="13" w:line="280" w:lineRule="exact"/>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7561B4" w14:paraId="260686D2" w14:textId="77777777" w:rsidTr="00CC2E43">
        <w:trPr>
          <w:trHeight w:val="317"/>
        </w:trPr>
        <w:tc>
          <w:tcPr>
            <w:tcW w:w="9666" w:type="dxa"/>
            <w:vAlign w:val="center"/>
          </w:tcPr>
          <w:p w14:paraId="763D3AD2" w14:textId="77777777" w:rsidR="007561B4" w:rsidRDefault="007561B4" w:rsidP="00FD05AA">
            <w:pPr>
              <w:numPr>
                <w:ilvl w:val="0"/>
                <w:numId w:val="74"/>
              </w:numPr>
              <w:tabs>
                <w:tab w:val="left" w:pos="672"/>
              </w:tabs>
              <w:ind w:left="561" w:hanging="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LEJÁRATI IDŐ</w:t>
            </w:r>
          </w:p>
        </w:tc>
      </w:tr>
    </w:tbl>
    <w:p w14:paraId="636EFBEE" w14:textId="77777777" w:rsidR="007561B4" w:rsidRDefault="007561B4" w:rsidP="007561B4">
      <w:pPr>
        <w:pStyle w:val="a3"/>
        <w:rPr>
          <w:lang w:val="hu-HU"/>
        </w:rPr>
      </w:pPr>
    </w:p>
    <w:p w14:paraId="33C3CAE7" w14:textId="77777777" w:rsidR="007561B4" w:rsidRDefault="007561B4" w:rsidP="007561B4">
      <w:pPr>
        <w:pStyle w:val="a3"/>
        <w:rPr>
          <w:lang w:val="hu-HU"/>
        </w:rPr>
      </w:pPr>
      <w:r>
        <w:rPr>
          <w:rFonts w:eastAsia="Times New Roman"/>
          <w:lang w:val="hu-HU"/>
        </w:rPr>
        <w:t>EXP</w:t>
      </w:r>
    </w:p>
    <w:p w14:paraId="794BD9E7" w14:textId="77777777" w:rsidR="007561B4" w:rsidRDefault="007561B4" w:rsidP="007561B4">
      <w:pPr>
        <w:pStyle w:val="a3"/>
        <w:rPr>
          <w:lang w:val="hu-HU"/>
        </w:rPr>
      </w:pPr>
    </w:p>
    <w:p w14:paraId="6DF378E3" w14:textId="77777777" w:rsidR="007561B4" w:rsidRDefault="007561B4" w:rsidP="007561B4">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7561B4" w14:paraId="1046ACDF" w14:textId="77777777" w:rsidTr="00CC2E43">
        <w:trPr>
          <w:trHeight w:val="317"/>
        </w:trPr>
        <w:tc>
          <w:tcPr>
            <w:tcW w:w="9666" w:type="dxa"/>
            <w:vAlign w:val="center"/>
          </w:tcPr>
          <w:p w14:paraId="307193FA" w14:textId="77777777" w:rsidR="007561B4" w:rsidRDefault="007561B4" w:rsidP="00FD05AA">
            <w:pPr>
              <w:numPr>
                <w:ilvl w:val="0"/>
                <w:numId w:val="74"/>
              </w:numPr>
              <w:tabs>
                <w:tab w:val="left" w:pos="672"/>
              </w:tabs>
              <w:ind w:left="561" w:hanging="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GYÁRTÁSI TÉTEL SZÁMA</w:t>
            </w:r>
          </w:p>
        </w:tc>
      </w:tr>
    </w:tbl>
    <w:p w14:paraId="0262B2B2" w14:textId="77777777" w:rsidR="007561B4" w:rsidRDefault="007561B4" w:rsidP="007561B4">
      <w:pPr>
        <w:pStyle w:val="a3"/>
        <w:rPr>
          <w:lang w:val="hu-HU"/>
        </w:rPr>
      </w:pPr>
    </w:p>
    <w:p w14:paraId="1F6DF550" w14:textId="77777777" w:rsidR="007561B4" w:rsidRDefault="007561B4" w:rsidP="007561B4">
      <w:pPr>
        <w:pStyle w:val="a3"/>
        <w:rPr>
          <w:lang w:val="hu-HU"/>
        </w:rPr>
      </w:pPr>
      <w:r>
        <w:rPr>
          <w:rFonts w:eastAsia="Times New Roman"/>
          <w:lang w:val="hu-HU"/>
        </w:rPr>
        <w:t>Lot</w:t>
      </w:r>
    </w:p>
    <w:p w14:paraId="5868BCB4" w14:textId="77777777" w:rsidR="007561B4" w:rsidRDefault="007561B4" w:rsidP="007561B4">
      <w:pPr>
        <w:pStyle w:val="a3"/>
        <w:rPr>
          <w:lang w:val="hu-HU"/>
        </w:rPr>
      </w:pPr>
    </w:p>
    <w:p w14:paraId="451C308A" w14:textId="77777777" w:rsidR="007561B4" w:rsidRDefault="007561B4" w:rsidP="007561B4">
      <w:pPr>
        <w:pStyle w:val="a3"/>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7561B4" w:rsidRPr="00BE4D18" w14:paraId="51862DF1" w14:textId="77777777" w:rsidTr="00CC2E43">
        <w:trPr>
          <w:trHeight w:val="317"/>
        </w:trPr>
        <w:tc>
          <w:tcPr>
            <w:tcW w:w="9666" w:type="dxa"/>
            <w:vAlign w:val="center"/>
          </w:tcPr>
          <w:p w14:paraId="657EEE3B" w14:textId="77777777" w:rsidR="007561B4" w:rsidRDefault="007561B4" w:rsidP="00FD05AA">
            <w:pPr>
              <w:numPr>
                <w:ilvl w:val="0"/>
                <w:numId w:val="74"/>
              </w:numPr>
              <w:tabs>
                <w:tab w:val="left" w:pos="672"/>
              </w:tabs>
              <w:ind w:left="561" w:hanging="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A TARTALOM SÚLYRA, TÉRFOGATRA, VAGY EGYSÉGRE VONATKOZTATVA</w:t>
            </w:r>
          </w:p>
        </w:tc>
      </w:tr>
    </w:tbl>
    <w:p w14:paraId="239D4E98" w14:textId="77777777" w:rsidR="007561B4" w:rsidRDefault="007561B4" w:rsidP="007561B4">
      <w:pPr>
        <w:spacing w:before="13" w:line="280" w:lineRule="exact"/>
        <w:rPr>
          <w:lang w:val="hu-HU"/>
        </w:rPr>
      </w:pPr>
    </w:p>
    <w:p w14:paraId="64DCE11A" w14:textId="7E8B408C" w:rsidR="007561B4" w:rsidRDefault="007D275C" w:rsidP="007561B4">
      <w:pPr>
        <w:pStyle w:val="a3"/>
        <w:rPr>
          <w:lang w:val="hu-HU"/>
        </w:rPr>
      </w:pPr>
      <w:r>
        <w:rPr>
          <w:rFonts w:eastAsia="Times New Roman"/>
          <w:spacing w:val="-4"/>
          <w:lang w:val="hu-HU"/>
        </w:rPr>
        <w:t>20</w:t>
      </w:r>
      <w:r w:rsidR="007561B4">
        <w:rPr>
          <w:rFonts w:eastAsia="Times New Roman"/>
          <w:spacing w:val="-4"/>
          <w:lang w:val="hu-HU"/>
        </w:rPr>
        <w:t> mg</w:t>
      </w:r>
      <w:r>
        <w:rPr>
          <w:rFonts w:eastAsia="Times New Roman"/>
          <w:spacing w:val="-4"/>
          <w:lang w:val="hu-HU"/>
        </w:rPr>
        <w:t>/0,2</w:t>
      </w:r>
      <w:r w:rsidR="007561B4" w:rsidRPr="002C783D">
        <w:rPr>
          <w:rFonts w:eastAsia="Times New Roman"/>
          <w:spacing w:val="-4"/>
          <w:lang w:val="hu-HU"/>
        </w:rPr>
        <w:t> ml</w:t>
      </w:r>
    </w:p>
    <w:p w14:paraId="08B49204" w14:textId="77777777" w:rsidR="007561B4" w:rsidRDefault="007561B4" w:rsidP="007561B4">
      <w:pPr>
        <w:spacing w:before="13" w:line="280" w:lineRule="exact"/>
        <w:rPr>
          <w:lang w:val="hu-HU"/>
        </w:rPr>
      </w:pPr>
    </w:p>
    <w:p w14:paraId="125268B1" w14:textId="77777777" w:rsidR="007561B4" w:rsidRDefault="007561B4" w:rsidP="007561B4">
      <w:pPr>
        <w:spacing w:before="13" w:line="280" w:lineRule="exact"/>
        <w:rPr>
          <w:lang w:val="hu-HU"/>
        </w:rPr>
      </w:pPr>
    </w:p>
    <w:tbl>
      <w:tblPr>
        <w:tblStyle w:val="ac"/>
        <w:tblpPr w:leftFromText="142" w:rightFromText="142" w:vertAnchor="text" w:tblpY="194"/>
        <w:tblW w:w="9666" w:type="dxa"/>
        <w:tblLook w:val="04A0" w:firstRow="1" w:lastRow="0" w:firstColumn="1" w:lastColumn="0" w:noHBand="0" w:noVBand="1"/>
      </w:tblPr>
      <w:tblGrid>
        <w:gridCol w:w="9666"/>
      </w:tblGrid>
      <w:tr w:rsidR="007561B4" w14:paraId="1B6A8BD5" w14:textId="77777777" w:rsidTr="00CC2E43">
        <w:trPr>
          <w:trHeight w:val="317"/>
        </w:trPr>
        <w:tc>
          <w:tcPr>
            <w:tcW w:w="9666" w:type="dxa"/>
            <w:vAlign w:val="center"/>
          </w:tcPr>
          <w:p w14:paraId="7E86FB7B" w14:textId="77777777" w:rsidR="007561B4" w:rsidRDefault="007561B4" w:rsidP="00FD05AA">
            <w:pPr>
              <w:numPr>
                <w:ilvl w:val="0"/>
                <w:numId w:val="74"/>
              </w:numPr>
              <w:tabs>
                <w:tab w:val="left" w:pos="672"/>
              </w:tabs>
              <w:ind w:left="561" w:hanging="561"/>
              <w:jc w:val="both"/>
              <w:rPr>
                <w:rFonts w:ascii="Times New Roman" w:eastAsia="Times New Roman" w:hAnsi="Times New Roman" w:cs="Times New Roman"/>
                <w:b/>
                <w:bCs/>
                <w:spacing w:val="-1"/>
                <w:lang w:val="hu-HU"/>
              </w:rPr>
            </w:pPr>
            <w:r>
              <w:rPr>
                <w:rFonts w:ascii="Times New Roman" w:eastAsia="Times New Roman" w:hAnsi="Times New Roman" w:cs="Times New Roman"/>
                <w:b/>
                <w:bCs/>
                <w:spacing w:val="-1"/>
                <w:lang w:val="hu-HU"/>
              </w:rPr>
              <w:t>EGYÉB INFORMÁCIÓK</w:t>
            </w:r>
          </w:p>
        </w:tc>
      </w:tr>
    </w:tbl>
    <w:p w14:paraId="61831E74" w14:textId="77777777" w:rsidR="007561B4" w:rsidRDefault="007561B4" w:rsidP="007561B4">
      <w:pPr>
        <w:pStyle w:val="a3"/>
        <w:rPr>
          <w:lang w:val="hu-HU"/>
        </w:rPr>
      </w:pPr>
    </w:p>
    <w:p w14:paraId="7E342B31" w14:textId="77777777" w:rsidR="007561B4" w:rsidRDefault="007561B4" w:rsidP="007561B4">
      <w:pPr>
        <w:rPr>
          <w:lang w:val="hu-HU"/>
        </w:rPr>
      </w:pPr>
    </w:p>
    <w:p w14:paraId="3269FBF3" w14:textId="77777777" w:rsidR="007561B4" w:rsidRDefault="007561B4" w:rsidP="007561B4">
      <w:pPr>
        <w:rPr>
          <w:lang w:val="hu-HU"/>
        </w:rPr>
      </w:pPr>
    </w:p>
    <w:p w14:paraId="26F36A94" w14:textId="77777777" w:rsidR="007561B4" w:rsidRDefault="007561B4" w:rsidP="007561B4">
      <w:pPr>
        <w:rPr>
          <w:lang w:val="hu-HU"/>
        </w:rPr>
      </w:pPr>
      <w:r>
        <w:rPr>
          <w:lang w:val="hu-HU"/>
        </w:rPr>
        <w:br w:type="page"/>
      </w:r>
    </w:p>
    <w:p w14:paraId="48B88E37" w14:textId="52D8A303" w:rsidR="007561B4" w:rsidRDefault="007561B4" w:rsidP="007561B4">
      <w:pPr>
        <w:rPr>
          <w:lang w:val="hu-HU"/>
        </w:rPr>
      </w:pPr>
    </w:p>
    <w:p w14:paraId="510860C3" w14:textId="77777777" w:rsidR="00130E8B" w:rsidRDefault="00130E8B">
      <w:pPr>
        <w:rPr>
          <w:lang w:val="hu-HU"/>
        </w:rPr>
      </w:pPr>
    </w:p>
    <w:p w14:paraId="06688FB7" w14:textId="77777777" w:rsidR="00130E8B" w:rsidRDefault="00130E8B">
      <w:pPr>
        <w:spacing w:line="200" w:lineRule="exact"/>
        <w:rPr>
          <w:sz w:val="20"/>
          <w:szCs w:val="20"/>
          <w:lang w:val="hu-HU"/>
        </w:rPr>
      </w:pPr>
    </w:p>
    <w:p w14:paraId="745E1C9E" w14:textId="77777777" w:rsidR="00130E8B" w:rsidRDefault="00130E8B">
      <w:pPr>
        <w:spacing w:line="200" w:lineRule="exact"/>
        <w:rPr>
          <w:sz w:val="20"/>
          <w:szCs w:val="20"/>
          <w:lang w:val="hu-HU"/>
        </w:rPr>
      </w:pPr>
    </w:p>
    <w:p w14:paraId="597CE1FE" w14:textId="77777777" w:rsidR="00130E8B" w:rsidRDefault="00130E8B">
      <w:pPr>
        <w:spacing w:line="200" w:lineRule="exact"/>
        <w:rPr>
          <w:sz w:val="20"/>
          <w:szCs w:val="20"/>
          <w:lang w:val="hu-HU"/>
        </w:rPr>
      </w:pPr>
    </w:p>
    <w:p w14:paraId="26F6AC36" w14:textId="77777777" w:rsidR="00130E8B" w:rsidRDefault="00130E8B">
      <w:pPr>
        <w:spacing w:line="200" w:lineRule="exact"/>
        <w:rPr>
          <w:sz w:val="20"/>
          <w:szCs w:val="20"/>
          <w:lang w:val="hu-HU"/>
        </w:rPr>
      </w:pPr>
    </w:p>
    <w:p w14:paraId="60394C69" w14:textId="77777777" w:rsidR="00130E8B" w:rsidRDefault="00130E8B">
      <w:pPr>
        <w:spacing w:line="200" w:lineRule="exact"/>
        <w:rPr>
          <w:sz w:val="20"/>
          <w:szCs w:val="20"/>
          <w:lang w:val="hu-HU"/>
        </w:rPr>
      </w:pPr>
    </w:p>
    <w:p w14:paraId="11354C36" w14:textId="77777777" w:rsidR="00130E8B" w:rsidRDefault="00130E8B">
      <w:pPr>
        <w:spacing w:line="200" w:lineRule="exact"/>
        <w:rPr>
          <w:sz w:val="20"/>
          <w:szCs w:val="20"/>
          <w:lang w:val="hu-HU"/>
        </w:rPr>
      </w:pPr>
    </w:p>
    <w:p w14:paraId="44B974F4" w14:textId="77777777" w:rsidR="00130E8B" w:rsidRDefault="00130E8B">
      <w:pPr>
        <w:spacing w:line="200" w:lineRule="exact"/>
        <w:rPr>
          <w:sz w:val="20"/>
          <w:szCs w:val="20"/>
          <w:lang w:val="hu-HU"/>
        </w:rPr>
      </w:pPr>
    </w:p>
    <w:p w14:paraId="19C89D78" w14:textId="77777777" w:rsidR="00130E8B" w:rsidRDefault="00130E8B">
      <w:pPr>
        <w:spacing w:line="200" w:lineRule="exact"/>
        <w:rPr>
          <w:sz w:val="20"/>
          <w:szCs w:val="20"/>
          <w:lang w:val="hu-HU"/>
        </w:rPr>
      </w:pPr>
    </w:p>
    <w:p w14:paraId="404DBC7E" w14:textId="77777777" w:rsidR="00130E8B" w:rsidRDefault="00130E8B">
      <w:pPr>
        <w:spacing w:line="200" w:lineRule="exact"/>
        <w:rPr>
          <w:sz w:val="20"/>
          <w:szCs w:val="20"/>
          <w:lang w:val="hu-HU"/>
        </w:rPr>
      </w:pPr>
    </w:p>
    <w:p w14:paraId="0144F496" w14:textId="77777777" w:rsidR="00130E8B" w:rsidRDefault="00130E8B">
      <w:pPr>
        <w:spacing w:line="200" w:lineRule="exact"/>
        <w:rPr>
          <w:sz w:val="20"/>
          <w:szCs w:val="20"/>
          <w:lang w:val="hu-HU"/>
        </w:rPr>
      </w:pPr>
    </w:p>
    <w:p w14:paraId="4D67C48E" w14:textId="77777777" w:rsidR="00130E8B" w:rsidRDefault="00130E8B">
      <w:pPr>
        <w:spacing w:line="200" w:lineRule="exact"/>
        <w:rPr>
          <w:sz w:val="20"/>
          <w:szCs w:val="20"/>
          <w:lang w:val="hu-HU"/>
        </w:rPr>
      </w:pPr>
    </w:p>
    <w:p w14:paraId="20EC5FEB" w14:textId="77777777" w:rsidR="00130E8B" w:rsidRDefault="00130E8B">
      <w:pPr>
        <w:spacing w:line="200" w:lineRule="exact"/>
        <w:rPr>
          <w:sz w:val="20"/>
          <w:szCs w:val="20"/>
          <w:lang w:val="hu-HU"/>
        </w:rPr>
      </w:pPr>
    </w:p>
    <w:p w14:paraId="272881A1" w14:textId="77777777" w:rsidR="00130E8B" w:rsidRDefault="00130E8B">
      <w:pPr>
        <w:spacing w:line="200" w:lineRule="exact"/>
        <w:rPr>
          <w:sz w:val="20"/>
          <w:szCs w:val="20"/>
          <w:lang w:val="hu-HU"/>
        </w:rPr>
      </w:pPr>
    </w:p>
    <w:p w14:paraId="5801CD5C" w14:textId="77777777" w:rsidR="00130E8B" w:rsidRDefault="00130E8B">
      <w:pPr>
        <w:spacing w:line="200" w:lineRule="exact"/>
        <w:rPr>
          <w:sz w:val="20"/>
          <w:szCs w:val="20"/>
          <w:lang w:val="hu-HU"/>
        </w:rPr>
      </w:pPr>
    </w:p>
    <w:p w14:paraId="58303463" w14:textId="77777777" w:rsidR="00130E8B" w:rsidRDefault="00130E8B">
      <w:pPr>
        <w:spacing w:line="200" w:lineRule="exact"/>
        <w:rPr>
          <w:sz w:val="20"/>
          <w:szCs w:val="20"/>
          <w:lang w:val="hu-HU"/>
        </w:rPr>
      </w:pPr>
    </w:p>
    <w:p w14:paraId="4C569E5E" w14:textId="77777777" w:rsidR="00130E8B" w:rsidRDefault="00130E8B">
      <w:pPr>
        <w:spacing w:line="200" w:lineRule="exact"/>
        <w:rPr>
          <w:sz w:val="20"/>
          <w:szCs w:val="20"/>
          <w:lang w:val="hu-HU"/>
        </w:rPr>
      </w:pPr>
    </w:p>
    <w:p w14:paraId="32066546" w14:textId="77777777" w:rsidR="00130E8B" w:rsidRDefault="00130E8B">
      <w:pPr>
        <w:spacing w:line="200" w:lineRule="exact"/>
        <w:rPr>
          <w:sz w:val="20"/>
          <w:szCs w:val="20"/>
          <w:lang w:val="hu-HU"/>
        </w:rPr>
      </w:pPr>
    </w:p>
    <w:p w14:paraId="3A680233" w14:textId="77777777" w:rsidR="00130E8B" w:rsidRDefault="00130E8B">
      <w:pPr>
        <w:spacing w:line="200" w:lineRule="exact"/>
        <w:rPr>
          <w:sz w:val="20"/>
          <w:szCs w:val="20"/>
          <w:lang w:val="hu-HU"/>
        </w:rPr>
      </w:pPr>
    </w:p>
    <w:p w14:paraId="43293B37" w14:textId="77777777" w:rsidR="00130E8B" w:rsidRDefault="00130E8B">
      <w:pPr>
        <w:spacing w:line="200" w:lineRule="exact"/>
        <w:rPr>
          <w:sz w:val="20"/>
          <w:szCs w:val="20"/>
          <w:lang w:val="hu-HU"/>
        </w:rPr>
      </w:pPr>
    </w:p>
    <w:p w14:paraId="1FD17AE8" w14:textId="77777777" w:rsidR="00130E8B" w:rsidRDefault="00130E8B">
      <w:pPr>
        <w:spacing w:line="200" w:lineRule="exact"/>
        <w:rPr>
          <w:sz w:val="20"/>
          <w:szCs w:val="20"/>
          <w:lang w:val="hu-HU"/>
        </w:rPr>
      </w:pPr>
    </w:p>
    <w:p w14:paraId="4264EC86" w14:textId="77777777" w:rsidR="00130E8B" w:rsidRDefault="00130E8B">
      <w:pPr>
        <w:spacing w:line="200" w:lineRule="exact"/>
        <w:rPr>
          <w:sz w:val="20"/>
          <w:szCs w:val="20"/>
          <w:lang w:val="hu-HU"/>
        </w:rPr>
      </w:pPr>
    </w:p>
    <w:p w14:paraId="34D2AD24" w14:textId="77777777" w:rsidR="00130E8B" w:rsidRDefault="00130E8B">
      <w:pPr>
        <w:spacing w:line="200" w:lineRule="exact"/>
        <w:rPr>
          <w:sz w:val="20"/>
          <w:szCs w:val="20"/>
          <w:lang w:val="hu-HU"/>
        </w:rPr>
      </w:pPr>
    </w:p>
    <w:p w14:paraId="11491D77" w14:textId="77777777" w:rsidR="00130E8B" w:rsidRDefault="00130E8B">
      <w:pPr>
        <w:spacing w:line="200" w:lineRule="exact"/>
        <w:rPr>
          <w:sz w:val="20"/>
          <w:szCs w:val="20"/>
          <w:lang w:val="hu-HU"/>
        </w:rPr>
      </w:pPr>
    </w:p>
    <w:p w14:paraId="3CFC1A79" w14:textId="77777777" w:rsidR="00130E8B" w:rsidRDefault="00130E8B">
      <w:pPr>
        <w:spacing w:line="200" w:lineRule="exact"/>
        <w:rPr>
          <w:sz w:val="20"/>
          <w:szCs w:val="20"/>
          <w:lang w:val="hu-HU"/>
        </w:rPr>
      </w:pPr>
    </w:p>
    <w:p w14:paraId="2E906F4C" w14:textId="77777777" w:rsidR="00130E8B" w:rsidRDefault="00130E8B">
      <w:pPr>
        <w:spacing w:line="200" w:lineRule="exact"/>
        <w:rPr>
          <w:sz w:val="20"/>
          <w:szCs w:val="20"/>
          <w:lang w:val="hu-HU"/>
        </w:rPr>
      </w:pPr>
    </w:p>
    <w:p w14:paraId="760A7A31" w14:textId="77777777" w:rsidR="00130E8B" w:rsidRDefault="00130E8B">
      <w:pPr>
        <w:spacing w:line="200" w:lineRule="exact"/>
        <w:rPr>
          <w:sz w:val="20"/>
          <w:szCs w:val="20"/>
          <w:lang w:val="hu-HU"/>
        </w:rPr>
      </w:pPr>
    </w:p>
    <w:p w14:paraId="0AFEA3DD" w14:textId="77777777" w:rsidR="00130E8B" w:rsidRDefault="00130E8B">
      <w:pPr>
        <w:spacing w:before="4" w:line="200" w:lineRule="exact"/>
        <w:rPr>
          <w:sz w:val="20"/>
          <w:szCs w:val="20"/>
          <w:lang w:val="hu-HU"/>
        </w:rPr>
      </w:pPr>
    </w:p>
    <w:p w14:paraId="65E104B6" w14:textId="77777777" w:rsidR="00130E8B" w:rsidRDefault="000405CC">
      <w:pPr>
        <w:pStyle w:val="1"/>
        <w:numPr>
          <w:ilvl w:val="0"/>
          <w:numId w:val="34"/>
        </w:numPr>
        <w:jc w:val="center"/>
        <w:rPr>
          <w:noProof/>
          <w:lang w:val="hu-HU"/>
        </w:rPr>
      </w:pPr>
      <w:bookmarkStart w:id="47" w:name="B._PACKAGE_LEAFLET"/>
      <w:bookmarkEnd w:id="47"/>
      <w:r>
        <w:rPr>
          <w:rFonts w:cs="Arial"/>
          <w:noProof/>
          <w:lang w:val="hu-HU"/>
        </w:rPr>
        <w:t>BETEGTÁJÉKOZTATÓ</w:t>
      </w:r>
    </w:p>
    <w:p w14:paraId="047EB980" w14:textId="77777777" w:rsidR="00130E8B" w:rsidRDefault="000405CC">
      <w:pPr>
        <w:rPr>
          <w:lang w:val="hu-HU"/>
        </w:rPr>
      </w:pPr>
      <w:r>
        <w:rPr>
          <w:lang w:val="hu-HU"/>
        </w:rPr>
        <w:br w:type="page"/>
      </w:r>
    </w:p>
    <w:p w14:paraId="0C9F0EE3" w14:textId="77777777" w:rsidR="00130E8B" w:rsidRDefault="000405CC">
      <w:pPr>
        <w:spacing w:before="76"/>
        <w:ind w:left="39"/>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lastRenderedPageBreak/>
        <w:t>Betegtájékoztató:Információk a felhasználó számára</w:t>
      </w:r>
    </w:p>
    <w:p w14:paraId="4D0AD475" w14:textId="77777777" w:rsidR="00130E8B" w:rsidRDefault="00130E8B">
      <w:pPr>
        <w:spacing w:before="13" w:line="240" w:lineRule="exact"/>
        <w:rPr>
          <w:sz w:val="24"/>
          <w:szCs w:val="24"/>
          <w:lang w:val="hu-HU"/>
        </w:rPr>
      </w:pPr>
    </w:p>
    <w:p w14:paraId="33857CF9" w14:textId="77777777" w:rsidR="00130E8B" w:rsidRDefault="000405CC">
      <w:pPr>
        <w:ind w:left="818" w:right="776"/>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Yuflyma 40 mg oldatos injekció előretöltött fecskendőben</w:t>
      </w:r>
    </w:p>
    <w:p w14:paraId="23182896" w14:textId="77777777" w:rsidR="00130E8B" w:rsidRDefault="000405CC">
      <w:pPr>
        <w:pStyle w:val="a3"/>
        <w:jc w:val="center"/>
        <w:rPr>
          <w:lang w:val="hu-HU"/>
        </w:rPr>
      </w:pPr>
      <w:r>
        <w:rPr>
          <w:rFonts w:eastAsia="Times New Roman"/>
          <w:lang w:val="hu-HU"/>
        </w:rPr>
        <w:t>adalimumab</w:t>
      </w:r>
    </w:p>
    <w:p w14:paraId="70D9CAF2" w14:textId="77777777" w:rsidR="00130E8B" w:rsidRDefault="00130E8B">
      <w:pPr>
        <w:spacing w:before="18" w:line="240" w:lineRule="exact"/>
        <w:rPr>
          <w:sz w:val="24"/>
          <w:szCs w:val="24"/>
          <w:lang w:val="hu-HU"/>
        </w:rPr>
      </w:pPr>
    </w:p>
    <w:p w14:paraId="6E4B988D" w14:textId="51B0597D" w:rsidR="00130E8B" w:rsidRDefault="000405CC">
      <w:pPr>
        <w:spacing w:before="18" w:line="240" w:lineRule="exact"/>
        <w:ind w:left="108"/>
        <w:rPr>
          <w:sz w:val="24"/>
          <w:szCs w:val="24"/>
          <w:lang w:val="hu-HU"/>
        </w:rPr>
      </w:pPr>
      <w:r>
        <w:rPr>
          <w:rFonts w:ascii="Times New Roman" w:hAnsi="Times New Roman" w:cs="Times New Roman"/>
          <w:noProof/>
          <w:lang w:eastAsia="ko-KR"/>
        </w:rPr>
        <w:drawing>
          <wp:inline distT="0" distB="0" distL="0" distR="0" wp14:anchorId="0BFD5C07" wp14:editId="58799C0F">
            <wp:extent cx="203200" cy="169545"/>
            <wp:effectExtent l="0" t="0" r="6350" b="1905"/>
            <wp:docPr id="54" name="그림 54"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9474"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Pr>
          <w:rFonts w:ascii="Times New Roman" w:eastAsia="Times New Roman" w:hAnsi="Times New Roman" w:cs="Times New Roman"/>
          <w:lang w:val="hu-HU"/>
        </w:rPr>
        <w:t>Ez a gyógyszer fokozott felügyelet alatt áll,</w:t>
      </w:r>
      <w:r w:rsidR="00FC6BF3">
        <w:rPr>
          <w:rFonts w:ascii="Times New Roman" w:eastAsia="Times New Roman" w:hAnsi="Times New Roman" w:cs="Times New Roman"/>
          <w:lang w:val="hu-HU"/>
        </w:rPr>
        <w:t xml:space="preserve"> </w:t>
      </w:r>
      <w:r>
        <w:rPr>
          <w:rFonts w:ascii="Times New Roman" w:eastAsia="Times New Roman" w:hAnsi="Times New Roman" w:cs="Times New Roman"/>
          <w:lang w:val="hu-HU"/>
        </w:rPr>
        <w:t>mely lehetővé teszi az új gyógyszerbiztonsági információk gyors azonosítását. Ehhez Ön is hozzájárulhat a tudomására jutó bármilyen mellékhatás bejelentésével. A mellékhatások jelentésének módjairól a 4. pont végén (Mellékhatások bejelentése) talál további tájékoztatást.</w:t>
      </w:r>
    </w:p>
    <w:p w14:paraId="65285620" w14:textId="77777777" w:rsidR="00130E8B" w:rsidRDefault="00130E8B">
      <w:pPr>
        <w:spacing w:before="18" w:line="240" w:lineRule="exact"/>
        <w:rPr>
          <w:sz w:val="24"/>
          <w:szCs w:val="24"/>
          <w:lang w:val="hu-HU"/>
        </w:rPr>
      </w:pPr>
    </w:p>
    <w:p w14:paraId="577D0209" w14:textId="77777777" w:rsidR="00130E8B" w:rsidRDefault="000405CC">
      <w:pPr>
        <w:spacing w:before="18" w:line="240" w:lineRule="exact"/>
        <w:ind w:left="108"/>
        <w:rPr>
          <w:rFonts w:ascii="Times New Roman" w:hAnsi="Times New Roman" w:cs="Times New Roman"/>
          <w:b/>
          <w:lang w:val="hu-HU"/>
        </w:rPr>
      </w:pPr>
      <w:r>
        <w:rPr>
          <w:rFonts w:ascii="Times New Roman" w:eastAsia="Times New Roman" w:hAnsi="Times New Roman" w:cs="Times New Roman"/>
          <w:b/>
          <w:bCs/>
          <w:lang w:val="hu-HU"/>
        </w:rPr>
        <w:t>Mielőtt elkezdi alkalmazni ezt a gyógyszert, olvassa el figyelmesen az alábbi betegtájékoztatót, mert az Ön számára fontos információkat tartalmaz.</w:t>
      </w:r>
    </w:p>
    <w:p w14:paraId="71C3E922" w14:textId="77777777" w:rsidR="00130E8B" w:rsidRDefault="000405CC">
      <w:pPr>
        <w:pStyle w:val="a3"/>
        <w:numPr>
          <w:ilvl w:val="0"/>
          <w:numId w:val="5"/>
        </w:numPr>
        <w:ind w:left="660" w:hanging="660"/>
        <w:rPr>
          <w:lang w:val="hu-HU"/>
        </w:rPr>
      </w:pPr>
      <w:r>
        <w:rPr>
          <w:rFonts w:eastAsia="Times New Roman"/>
          <w:lang w:val="hu-HU"/>
        </w:rPr>
        <w:t>Tartsa meg a betegtájékoztatót,mert a benne szereplő információkra a későbbiekben is szüksége lehet.</w:t>
      </w:r>
    </w:p>
    <w:p w14:paraId="003548E4" w14:textId="4462C9C5" w:rsidR="00265077" w:rsidRPr="001E2F31" w:rsidRDefault="000405CC" w:rsidP="001E2F31">
      <w:pPr>
        <w:pStyle w:val="a3"/>
        <w:numPr>
          <w:ilvl w:val="0"/>
          <w:numId w:val="5"/>
        </w:numPr>
        <w:ind w:left="660" w:hanging="660"/>
        <w:rPr>
          <w:color w:val="000000"/>
          <w:lang w:val="hu-HU"/>
        </w:rPr>
      </w:pPr>
      <w:r w:rsidRPr="00B624E0">
        <w:rPr>
          <w:rFonts w:eastAsia="Times New Roman"/>
          <w:lang w:val="hu-HU"/>
        </w:rPr>
        <w:t>Kezelőorvosától egy</w:t>
      </w:r>
      <w:r w:rsidRPr="00B624E0">
        <w:rPr>
          <w:rFonts w:eastAsia="Times New Roman"/>
          <w:b/>
          <w:bCs/>
          <w:lang w:val="hu-HU"/>
        </w:rPr>
        <w:t xml:space="preserve"> Betegkártyát </w:t>
      </w:r>
      <w:r w:rsidRPr="00B624E0">
        <w:rPr>
          <w:rFonts w:eastAsia="Times New Roman"/>
          <w:lang w:val="hu-HU"/>
        </w:rPr>
        <w:t xml:space="preserve">is fog kapni fontos biztonsági információkkal, amit a Yuflyma alkalmazása előtt és a Yuflyma-val történő kezelés során is figyelembe kell venni. </w:t>
      </w:r>
      <w:r w:rsidR="00265077" w:rsidRPr="001E2F31">
        <w:rPr>
          <w:color w:val="000000"/>
          <w:lang w:val="hu-HU"/>
        </w:rPr>
        <w:t xml:space="preserve">Tartsa magánál ezt a </w:t>
      </w:r>
      <w:r w:rsidR="00265077" w:rsidRPr="001E2F31">
        <w:rPr>
          <w:b/>
          <w:color w:val="000000"/>
          <w:lang w:val="hu-HU"/>
        </w:rPr>
        <w:t>Betegkártyát</w:t>
      </w:r>
      <w:r w:rsidR="00265077" w:rsidRPr="001E2F31">
        <w:rPr>
          <w:color w:val="000000"/>
          <w:lang w:val="hu-HU"/>
        </w:rPr>
        <w:t xml:space="preserve"> a kezelés ideje alatt és az Ön (vagy a gyermeke) utolsó </w:t>
      </w:r>
      <w:r w:rsidR="00265077" w:rsidRPr="00B624E0">
        <w:rPr>
          <w:rFonts w:eastAsia="Times New Roman"/>
          <w:lang w:val="hu-HU"/>
        </w:rPr>
        <w:t>Yuflyma</w:t>
      </w:r>
      <w:r w:rsidR="00265077" w:rsidRPr="001E2F31">
        <w:rPr>
          <w:color w:val="000000"/>
          <w:lang w:val="hu-HU"/>
        </w:rPr>
        <w:t xml:space="preserve"> injekciójától számított 4 hónapon keresztül. </w:t>
      </w:r>
    </w:p>
    <w:p w14:paraId="6E0777BA" w14:textId="77777777" w:rsidR="00130E8B" w:rsidRDefault="000405CC">
      <w:pPr>
        <w:pStyle w:val="a3"/>
        <w:numPr>
          <w:ilvl w:val="0"/>
          <w:numId w:val="5"/>
        </w:numPr>
        <w:ind w:left="660" w:hanging="660"/>
        <w:rPr>
          <w:lang w:val="hu-HU"/>
        </w:rPr>
      </w:pPr>
      <w:r>
        <w:rPr>
          <w:rFonts w:eastAsia="Times New Roman"/>
          <w:lang w:val="hu-HU"/>
        </w:rPr>
        <w:t>További kérdéseivel forduljon kezelőorvosához vagy gyógyszerészéhez.</w:t>
      </w:r>
    </w:p>
    <w:p w14:paraId="2F890246" w14:textId="77777777" w:rsidR="00130E8B" w:rsidRDefault="000405CC">
      <w:pPr>
        <w:pStyle w:val="a3"/>
        <w:numPr>
          <w:ilvl w:val="0"/>
          <w:numId w:val="5"/>
        </w:numPr>
        <w:ind w:left="660" w:hanging="660"/>
        <w:rPr>
          <w:lang w:val="hu-HU"/>
        </w:rPr>
      </w:pPr>
      <w:r>
        <w:rPr>
          <w:rFonts w:eastAsia="Times New Roman"/>
          <w:lang w:val="hu-HU"/>
        </w:rPr>
        <w:t>Ezt a gyógyszert az orvos kizárólag Önnek írta fel. Ne adja át a készítményt másnak,mert számára ártalmas lehet még abban az esetben is, ha a betegsége tünetei az Önéhez hasonlók.</w:t>
      </w:r>
    </w:p>
    <w:p w14:paraId="3628F9E4" w14:textId="77777777" w:rsidR="00130E8B" w:rsidRDefault="000405CC">
      <w:pPr>
        <w:pStyle w:val="a3"/>
        <w:numPr>
          <w:ilvl w:val="0"/>
          <w:numId w:val="5"/>
        </w:numPr>
        <w:ind w:left="660" w:hanging="660"/>
        <w:rPr>
          <w:lang w:val="hu-HU"/>
        </w:rPr>
      </w:pPr>
      <w:r>
        <w:rPr>
          <w:rFonts w:eastAsia="Times New Roman"/>
          <w:lang w:val="hu-HU"/>
        </w:rPr>
        <w:t>Ha Önnél bármilyen mellékhatás jelentkezik, tájékoztassa kezelőorvosát, vagy gyógyszerészét. Ez a betegtájékoztatóban fel nem sorolt bármilyen lehetséges mellékhatásra is vonatkozik. Lásd 4. pont.</w:t>
      </w:r>
    </w:p>
    <w:p w14:paraId="5D077E16" w14:textId="77777777" w:rsidR="00130E8B" w:rsidRDefault="00130E8B">
      <w:pPr>
        <w:pStyle w:val="a3"/>
        <w:rPr>
          <w:lang w:val="hu-HU"/>
        </w:rPr>
      </w:pPr>
    </w:p>
    <w:p w14:paraId="037CFF2B" w14:textId="77777777" w:rsidR="00130E8B" w:rsidRDefault="000405CC">
      <w:pPr>
        <w:pStyle w:val="a3"/>
        <w:rPr>
          <w:b/>
          <w:lang w:val="hu-HU"/>
        </w:rPr>
      </w:pPr>
      <w:r>
        <w:rPr>
          <w:rFonts w:eastAsia="Times New Roman"/>
          <w:b/>
          <w:bCs/>
          <w:lang w:val="hu-HU"/>
        </w:rPr>
        <w:t>A betegtájékoztató tartalma</w:t>
      </w:r>
    </w:p>
    <w:p w14:paraId="6D55BAAF" w14:textId="77777777" w:rsidR="00130E8B" w:rsidRDefault="000405CC">
      <w:pPr>
        <w:pStyle w:val="a3"/>
        <w:numPr>
          <w:ilvl w:val="0"/>
          <w:numId w:val="35"/>
        </w:numPr>
        <w:ind w:hanging="760"/>
        <w:rPr>
          <w:lang w:val="hu-HU"/>
        </w:rPr>
      </w:pPr>
      <w:r>
        <w:rPr>
          <w:rFonts w:eastAsia="Times New Roman"/>
          <w:lang w:val="hu-HU"/>
        </w:rPr>
        <w:t>Milyen típusú gyógyszer a Yuflyma és milyen betegségek esetén alkalmazható?</w:t>
      </w:r>
    </w:p>
    <w:p w14:paraId="0CE7AFE8" w14:textId="77777777" w:rsidR="00130E8B" w:rsidRDefault="000405CC">
      <w:pPr>
        <w:pStyle w:val="a3"/>
        <w:numPr>
          <w:ilvl w:val="0"/>
          <w:numId w:val="35"/>
        </w:numPr>
        <w:ind w:hanging="760"/>
        <w:rPr>
          <w:lang w:val="hu-HU"/>
        </w:rPr>
      </w:pPr>
      <w:r>
        <w:rPr>
          <w:rFonts w:eastAsia="Times New Roman"/>
          <w:lang w:val="hu-HU"/>
        </w:rPr>
        <w:t>Tudnivalók a Yuflyma alkalmazása előtt</w:t>
      </w:r>
    </w:p>
    <w:p w14:paraId="2F541326" w14:textId="77777777" w:rsidR="00130E8B" w:rsidRDefault="000405CC">
      <w:pPr>
        <w:pStyle w:val="a3"/>
        <w:numPr>
          <w:ilvl w:val="0"/>
          <w:numId w:val="35"/>
        </w:numPr>
        <w:ind w:hanging="760"/>
        <w:rPr>
          <w:lang w:val="hu-HU"/>
        </w:rPr>
      </w:pPr>
      <w:r>
        <w:rPr>
          <w:rFonts w:eastAsia="Times New Roman"/>
          <w:lang w:val="hu-HU"/>
        </w:rPr>
        <w:t>Hogyan kell alkalmazni a Yuflyma-t?</w:t>
      </w:r>
    </w:p>
    <w:p w14:paraId="476F77AA" w14:textId="77777777" w:rsidR="00130E8B" w:rsidRDefault="000405CC">
      <w:pPr>
        <w:pStyle w:val="a3"/>
        <w:numPr>
          <w:ilvl w:val="0"/>
          <w:numId w:val="35"/>
        </w:numPr>
        <w:ind w:hanging="760"/>
        <w:rPr>
          <w:lang w:val="hu-HU"/>
        </w:rPr>
      </w:pPr>
      <w:r>
        <w:rPr>
          <w:rFonts w:eastAsia="Times New Roman"/>
          <w:lang w:val="hu-HU"/>
        </w:rPr>
        <w:t>Lehetséges mellékhatások</w:t>
      </w:r>
    </w:p>
    <w:p w14:paraId="1A4E8CF3" w14:textId="77777777" w:rsidR="00130E8B" w:rsidRDefault="000405CC">
      <w:pPr>
        <w:pStyle w:val="a3"/>
        <w:numPr>
          <w:ilvl w:val="0"/>
          <w:numId w:val="35"/>
        </w:numPr>
        <w:ind w:hanging="760"/>
        <w:rPr>
          <w:lang w:val="hu-HU"/>
        </w:rPr>
      </w:pPr>
      <w:r>
        <w:rPr>
          <w:rFonts w:eastAsia="Times New Roman"/>
          <w:lang w:val="hu-HU"/>
        </w:rPr>
        <w:t>Hogyan kell a Yuflyma-t tárolni?</w:t>
      </w:r>
    </w:p>
    <w:p w14:paraId="52821819" w14:textId="77777777" w:rsidR="00130E8B" w:rsidRDefault="000405CC">
      <w:pPr>
        <w:pStyle w:val="a3"/>
        <w:numPr>
          <w:ilvl w:val="0"/>
          <w:numId w:val="35"/>
        </w:numPr>
        <w:ind w:hanging="760"/>
        <w:rPr>
          <w:lang w:val="hu-HU"/>
        </w:rPr>
      </w:pPr>
      <w:r>
        <w:rPr>
          <w:rFonts w:eastAsia="Times New Roman"/>
          <w:lang w:val="hu-HU"/>
        </w:rPr>
        <w:t>A csomagolás tartalma és egyéb információk</w:t>
      </w:r>
    </w:p>
    <w:p w14:paraId="63E35E68" w14:textId="77777777" w:rsidR="00130E8B" w:rsidRDefault="000405CC">
      <w:pPr>
        <w:pStyle w:val="a3"/>
        <w:numPr>
          <w:ilvl w:val="0"/>
          <w:numId w:val="35"/>
        </w:numPr>
        <w:ind w:hanging="760"/>
        <w:rPr>
          <w:lang w:val="hu-HU"/>
        </w:rPr>
      </w:pPr>
      <w:r>
        <w:rPr>
          <w:rFonts w:eastAsia="Times New Roman"/>
          <w:lang w:val="hu-HU"/>
        </w:rPr>
        <w:t>Használati utasítás</w:t>
      </w:r>
    </w:p>
    <w:p w14:paraId="24A9A821" w14:textId="77777777" w:rsidR="00130E8B" w:rsidRDefault="00130E8B">
      <w:pPr>
        <w:spacing w:line="200" w:lineRule="exact"/>
        <w:rPr>
          <w:sz w:val="20"/>
          <w:szCs w:val="20"/>
          <w:lang w:val="hu-HU"/>
        </w:rPr>
      </w:pPr>
    </w:p>
    <w:p w14:paraId="1BA3C67E" w14:textId="77777777" w:rsidR="00130E8B" w:rsidRDefault="00130E8B">
      <w:pPr>
        <w:spacing w:line="200" w:lineRule="exact"/>
        <w:rPr>
          <w:sz w:val="20"/>
          <w:szCs w:val="20"/>
          <w:lang w:val="hu-HU"/>
        </w:rPr>
      </w:pPr>
    </w:p>
    <w:p w14:paraId="750294B4" w14:textId="77777777" w:rsidR="00130E8B" w:rsidRDefault="000405CC">
      <w:pPr>
        <w:pStyle w:val="a4"/>
        <w:numPr>
          <w:ilvl w:val="0"/>
          <w:numId w:val="32"/>
        </w:numPr>
        <w:spacing w:line="240" w:lineRule="exact"/>
        <w:rPr>
          <w:rFonts w:ascii="Times New Roman" w:hAnsi="Times New Roman" w:cs="Times New Roman"/>
          <w:b/>
          <w:lang w:val="hu-HU"/>
        </w:rPr>
      </w:pPr>
      <w:r>
        <w:rPr>
          <w:rFonts w:ascii="Times New Roman" w:eastAsia="Times New Roman" w:hAnsi="Times New Roman" w:cs="Times New Roman"/>
          <w:b/>
          <w:bCs/>
          <w:lang w:val="hu-HU"/>
        </w:rPr>
        <w:t>Milyen típusú gyógyszer a Yuflyma és milyen betegségek esetén alkalmazható?</w:t>
      </w:r>
    </w:p>
    <w:p w14:paraId="7F0FC1C9" w14:textId="77777777" w:rsidR="00130E8B" w:rsidRDefault="00130E8B">
      <w:pPr>
        <w:spacing w:line="240" w:lineRule="exact"/>
        <w:rPr>
          <w:rFonts w:ascii="Times New Roman" w:hAnsi="Times New Roman" w:cs="Times New Roman"/>
          <w:b/>
          <w:lang w:val="hu-HU"/>
        </w:rPr>
      </w:pPr>
    </w:p>
    <w:p w14:paraId="1A8A3ABA" w14:textId="77777777" w:rsidR="00130E8B" w:rsidRDefault="000405CC">
      <w:pPr>
        <w:pStyle w:val="a3"/>
        <w:rPr>
          <w:lang w:val="hu-HU"/>
        </w:rPr>
      </w:pPr>
      <w:r>
        <w:rPr>
          <w:rFonts w:eastAsia="Times New Roman"/>
          <w:lang w:val="hu-HU"/>
        </w:rPr>
        <w:t>A Yuflyma hatóanyaga az adalimumab, amely a szervezet immunrendszerére (védekező rendszerére) ható gyógyszer.</w:t>
      </w:r>
    </w:p>
    <w:p w14:paraId="43FBAB0A" w14:textId="77777777" w:rsidR="00130E8B" w:rsidRDefault="00130E8B">
      <w:pPr>
        <w:pStyle w:val="a3"/>
        <w:rPr>
          <w:lang w:val="hu-HU"/>
        </w:rPr>
      </w:pPr>
    </w:p>
    <w:p w14:paraId="28DD84B0" w14:textId="77777777" w:rsidR="00130E8B" w:rsidRDefault="000405CC">
      <w:pPr>
        <w:pStyle w:val="a3"/>
        <w:rPr>
          <w:lang w:val="hu-HU"/>
        </w:rPr>
      </w:pPr>
      <w:r>
        <w:rPr>
          <w:rFonts w:eastAsia="Times New Roman"/>
          <w:lang w:val="hu-HU"/>
        </w:rPr>
        <w:t>A Yuflyma a következő gyulladásos betegségek kezelésére szolgál:</w:t>
      </w:r>
    </w:p>
    <w:p w14:paraId="5538168C" w14:textId="77777777" w:rsidR="00130E8B" w:rsidRDefault="000405CC">
      <w:pPr>
        <w:pStyle w:val="a3"/>
        <w:numPr>
          <w:ilvl w:val="0"/>
          <w:numId w:val="5"/>
        </w:numPr>
        <w:ind w:left="660" w:hanging="660"/>
        <w:rPr>
          <w:lang w:val="hu-HU"/>
        </w:rPr>
      </w:pPr>
      <w:r>
        <w:rPr>
          <w:rFonts w:eastAsia="Times New Roman"/>
          <w:lang w:val="hu-HU"/>
        </w:rPr>
        <w:t>Reumás ízületi gyulladás (reumatoid artritisz)</w:t>
      </w:r>
    </w:p>
    <w:p w14:paraId="63C5E50E" w14:textId="77777777" w:rsidR="00130E8B" w:rsidRDefault="000405CC">
      <w:pPr>
        <w:pStyle w:val="a3"/>
        <w:numPr>
          <w:ilvl w:val="0"/>
          <w:numId w:val="5"/>
        </w:numPr>
        <w:ind w:left="660" w:hanging="660"/>
        <w:rPr>
          <w:lang w:val="hu-HU"/>
        </w:rPr>
      </w:pPr>
      <w:r>
        <w:rPr>
          <w:rFonts w:eastAsia="Times New Roman"/>
          <w:lang w:val="hu-HU"/>
        </w:rPr>
        <w:t>Gyermekkori ismeretlen eredetű sokízületi gyulladás (poliartikuláris juvenilis idiopátiás artritisz)</w:t>
      </w:r>
    </w:p>
    <w:p w14:paraId="39F12F04" w14:textId="1AF8C7EE" w:rsidR="00130E8B" w:rsidRDefault="000405CC">
      <w:pPr>
        <w:pStyle w:val="a3"/>
        <w:numPr>
          <w:ilvl w:val="0"/>
          <w:numId w:val="5"/>
        </w:numPr>
        <w:ind w:left="660" w:hanging="660"/>
        <w:rPr>
          <w:lang w:val="hu-HU"/>
        </w:rPr>
      </w:pPr>
      <w:r>
        <w:rPr>
          <w:rFonts w:eastAsia="Times New Roman"/>
          <w:lang w:val="hu-HU"/>
        </w:rPr>
        <w:t>Az ín</w:t>
      </w:r>
      <w:r w:rsidR="004A2986">
        <w:rPr>
          <w:rFonts w:eastAsia="Times New Roman"/>
          <w:lang w:val="hu-HU"/>
        </w:rPr>
        <w:t>á</w:t>
      </w:r>
      <w:r>
        <w:rPr>
          <w:rFonts w:eastAsia="Times New Roman"/>
          <w:lang w:val="hu-HU"/>
        </w:rPr>
        <w:t>k tapadási hely</w:t>
      </w:r>
      <w:r w:rsidR="004A2986">
        <w:rPr>
          <w:rFonts w:eastAsia="Times New Roman"/>
          <w:lang w:val="hu-HU"/>
        </w:rPr>
        <w:t>é</w:t>
      </w:r>
      <w:r>
        <w:rPr>
          <w:rFonts w:eastAsia="Times New Roman"/>
          <w:lang w:val="hu-HU"/>
        </w:rPr>
        <w:t>nek gyulladásos elváltozásával társult reumás ízületi gyulladás (entezitisszel társult artritisz)</w:t>
      </w:r>
    </w:p>
    <w:p w14:paraId="74A579A0" w14:textId="77777777" w:rsidR="00130E8B" w:rsidRDefault="000405CC">
      <w:pPr>
        <w:pStyle w:val="a3"/>
        <w:numPr>
          <w:ilvl w:val="0"/>
          <w:numId w:val="5"/>
        </w:numPr>
        <w:ind w:left="660" w:hanging="660"/>
        <w:rPr>
          <w:lang w:val="hu-HU"/>
        </w:rPr>
      </w:pPr>
      <w:r>
        <w:rPr>
          <w:rFonts w:eastAsia="Times New Roman"/>
          <w:lang w:val="hu-HU"/>
        </w:rPr>
        <w:t>A csigolyák összecsontosodásával járó kisízületi gyulladás (spondilitisz ankilopoetika)</w:t>
      </w:r>
    </w:p>
    <w:p w14:paraId="0B37F2C7" w14:textId="77777777" w:rsidR="00130E8B" w:rsidRDefault="000405CC">
      <w:pPr>
        <w:pStyle w:val="a3"/>
        <w:numPr>
          <w:ilvl w:val="0"/>
          <w:numId w:val="5"/>
        </w:numPr>
        <w:ind w:left="660" w:hanging="660"/>
        <w:rPr>
          <w:lang w:val="hu-HU"/>
        </w:rPr>
      </w:pPr>
      <w:r>
        <w:rPr>
          <w:rFonts w:eastAsia="Times New Roman"/>
          <w:lang w:val="hu-HU"/>
        </w:rPr>
        <w:t>Spondilitisz ankilopoetikára jellemző röntgeneltérést nem mutató gerincízületi gyulladás (axiális spondiloartritisz)</w:t>
      </w:r>
    </w:p>
    <w:p w14:paraId="7C69754F" w14:textId="77777777" w:rsidR="00130E8B" w:rsidRDefault="000405CC">
      <w:pPr>
        <w:pStyle w:val="a3"/>
        <w:numPr>
          <w:ilvl w:val="0"/>
          <w:numId w:val="5"/>
        </w:numPr>
        <w:ind w:left="660" w:hanging="660"/>
        <w:rPr>
          <w:lang w:val="hu-HU"/>
        </w:rPr>
      </w:pPr>
      <w:r>
        <w:rPr>
          <w:rFonts w:eastAsia="Times New Roman"/>
          <w:lang w:val="hu-HU"/>
        </w:rPr>
        <w:t>Pikkelysömörrel járó ízületi gyulladás (artritisz pszoriatika)</w:t>
      </w:r>
    </w:p>
    <w:p w14:paraId="74C660AA" w14:textId="77777777" w:rsidR="00130E8B" w:rsidRDefault="000405CC">
      <w:pPr>
        <w:pStyle w:val="a3"/>
        <w:numPr>
          <w:ilvl w:val="0"/>
          <w:numId w:val="5"/>
        </w:numPr>
        <w:ind w:left="660" w:hanging="660"/>
        <w:rPr>
          <w:lang w:val="hu-HU"/>
        </w:rPr>
      </w:pPr>
      <w:r>
        <w:rPr>
          <w:rFonts w:eastAsia="Times New Roman"/>
          <w:lang w:val="hu-HU"/>
        </w:rPr>
        <w:t>Plakkos pikkelysömör</w:t>
      </w:r>
    </w:p>
    <w:p w14:paraId="79775B75" w14:textId="77777777" w:rsidR="00130E8B" w:rsidRDefault="000405CC">
      <w:pPr>
        <w:pStyle w:val="a3"/>
        <w:numPr>
          <w:ilvl w:val="0"/>
          <w:numId w:val="5"/>
        </w:numPr>
        <w:ind w:left="660" w:hanging="660"/>
        <w:rPr>
          <w:lang w:val="hu-HU"/>
        </w:rPr>
      </w:pPr>
      <w:r>
        <w:rPr>
          <w:rFonts w:eastAsia="Times New Roman"/>
          <w:lang w:val="hu-HU"/>
        </w:rPr>
        <w:t>Gennyes verejtékmirigy-gyulladás (hidradenitisz szuppuratíva)</w:t>
      </w:r>
    </w:p>
    <w:p w14:paraId="72FC8186" w14:textId="77777777" w:rsidR="00130E8B" w:rsidRDefault="000405CC">
      <w:pPr>
        <w:pStyle w:val="a3"/>
        <w:numPr>
          <w:ilvl w:val="0"/>
          <w:numId w:val="5"/>
        </w:numPr>
        <w:ind w:left="660" w:hanging="660"/>
        <w:rPr>
          <w:lang w:val="hu-HU"/>
        </w:rPr>
      </w:pPr>
      <w:r>
        <w:rPr>
          <w:rFonts w:eastAsia="Times New Roman"/>
          <w:lang w:val="hu-HU"/>
        </w:rPr>
        <w:t>A bélfal minden rétegére kiterjedő, nem fertőzéses eredetű gyulladás (Crohn-betegség)</w:t>
      </w:r>
    </w:p>
    <w:p w14:paraId="5C01F2C8" w14:textId="77777777" w:rsidR="00130E8B" w:rsidRDefault="000405CC">
      <w:pPr>
        <w:pStyle w:val="a3"/>
        <w:numPr>
          <w:ilvl w:val="0"/>
          <w:numId w:val="5"/>
        </w:numPr>
        <w:ind w:left="660" w:hanging="660"/>
        <w:rPr>
          <w:lang w:val="hu-HU"/>
        </w:rPr>
      </w:pPr>
      <w:r>
        <w:rPr>
          <w:rFonts w:eastAsia="Times New Roman"/>
          <w:lang w:val="hu-HU"/>
        </w:rPr>
        <w:t>Nem fertőzéses eredetű, kifekélyesedő vastagbélgyulladás (kolitisz ulceróza)</w:t>
      </w:r>
    </w:p>
    <w:p w14:paraId="51CBBB4C" w14:textId="77777777" w:rsidR="00130E8B" w:rsidRDefault="000405CC">
      <w:pPr>
        <w:pStyle w:val="a3"/>
        <w:numPr>
          <w:ilvl w:val="0"/>
          <w:numId w:val="5"/>
        </w:numPr>
        <w:ind w:left="660" w:hanging="660"/>
        <w:rPr>
          <w:lang w:val="hu-HU"/>
        </w:rPr>
      </w:pPr>
      <w:r>
        <w:rPr>
          <w:rFonts w:eastAsia="Times New Roman"/>
          <w:lang w:val="hu-HU"/>
        </w:rPr>
        <w:t>Nem fertőzéses eredetű szemgyulladás (uveitisz)</w:t>
      </w:r>
    </w:p>
    <w:p w14:paraId="0FDD27E2" w14:textId="77777777" w:rsidR="00130E8B" w:rsidRDefault="00130E8B">
      <w:pPr>
        <w:spacing w:before="10" w:line="240" w:lineRule="exact"/>
        <w:rPr>
          <w:sz w:val="24"/>
          <w:szCs w:val="24"/>
          <w:lang w:val="hu-HU"/>
        </w:rPr>
      </w:pPr>
    </w:p>
    <w:p w14:paraId="324FB157" w14:textId="77777777" w:rsidR="00130E8B" w:rsidRDefault="000405CC">
      <w:pPr>
        <w:pStyle w:val="a3"/>
        <w:rPr>
          <w:lang w:val="hu-HU"/>
        </w:rPr>
      </w:pPr>
      <w:r>
        <w:rPr>
          <w:rFonts w:eastAsia="Times New Roman"/>
          <w:lang w:val="hu-HU"/>
        </w:rPr>
        <w:lastRenderedPageBreak/>
        <w:t>A Yuflyma hatóanyaga, az adalimumab egy emberi monoklonális antitest (ellenanyag). A monoklonális antitestek fehérjék, amelyek speciális célponthoz kötődnek a szervezetben.</w:t>
      </w:r>
    </w:p>
    <w:p w14:paraId="36531ED6" w14:textId="77777777" w:rsidR="00130E8B" w:rsidRDefault="00130E8B">
      <w:pPr>
        <w:spacing w:before="16" w:line="240" w:lineRule="exact"/>
        <w:rPr>
          <w:sz w:val="24"/>
          <w:szCs w:val="24"/>
          <w:lang w:val="hu-HU"/>
        </w:rPr>
      </w:pPr>
    </w:p>
    <w:p w14:paraId="2DD2D57B" w14:textId="77777777" w:rsidR="00130E8B" w:rsidRDefault="000405CC">
      <w:pPr>
        <w:pStyle w:val="a3"/>
        <w:rPr>
          <w:lang w:val="hu-HU"/>
        </w:rPr>
      </w:pPr>
      <w:r>
        <w:rPr>
          <w:rFonts w:eastAsia="Times New Roman"/>
          <w:lang w:val="hu-HU"/>
        </w:rPr>
        <w:t>Az adalimumab célpontja a tumor nekrózis faktor (TNFα) nevű fehérje, mely az immun (védekező) rendszer működésében vesz részt, és a fent felsorolt gyulladásos betegségekben megnövekedett mennyiségben van jelen. A TNFα-hoz való kötődéssel a Yuflyma csökkenti ezen betegségek gyulladásos folyamatait.</w:t>
      </w:r>
    </w:p>
    <w:p w14:paraId="0C548C14" w14:textId="77777777" w:rsidR="00130E8B" w:rsidRDefault="00130E8B">
      <w:pPr>
        <w:pStyle w:val="a3"/>
        <w:rPr>
          <w:lang w:val="hu-HU"/>
        </w:rPr>
      </w:pPr>
    </w:p>
    <w:p w14:paraId="228E9E2E" w14:textId="77777777" w:rsidR="00130E8B" w:rsidRDefault="000405CC">
      <w:pPr>
        <w:pStyle w:val="a3"/>
        <w:rPr>
          <w:b/>
          <w:lang w:val="hu-HU"/>
        </w:rPr>
      </w:pPr>
      <w:r>
        <w:rPr>
          <w:rFonts w:eastAsia="Times New Roman"/>
          <w:b/>
          <w:bCs/>
          <w:lang w:val="hu-HU"/>
        </w:rPr>
        <w:t xml:space="preserve">Reumatoid </w:t>
      </w:r>
      <w:r>
        <w:rPr>
          <w:rFonts w:eastAsia="Times New Roman"/>
          <w:b/>
          <w:lang w:val="hu-HU"/>
        </w:rPr>
        <w:t>artritisz</w:t>
      </w:r>
      <w:r>
        <w:rPr>
          <w:rFonts w:eastAsia="Times New Roman"/>
          <w:lang w:val="hu-HU"/>
        </w:rPr>
        <w:t xml:space="preserve"> </w:t>
      </w:r>
    </w:p>
    <w:p w14:paraId="5457060E" w14:textId="77777777" w:rsidR="00130E8B" w:rsidRDefault="00130E8B">
      <w:pPr>
        <w:pStyle w:val="a3"/>
        <w:rPr>
          <w:u w:val="single"/>
          <w:lang w:val="hu-HU"/>
        </w:rPr>
      </w:pPr>
    </w:p>
    <w:p w14:paraId="29901B88" w14:textId="77777777" w:rsidR="00130E8B" w:rsidRDefault="000405CC">
      <w:pPr>
        <w:pStyle w:val="a3"/>
        <w:rPr>
          <w:lang w:val="hu-HU"/>
        </w:rPr>
      </w:pPr>
      <w:r>
        <w:rPr>
          <w:rFonts w:eastAsia="Times New Roman"/>
          <w:lang w:val="hu-HU"/>
        </w:rPr>
        <w:t>A reumatoid artritisz az ízületek gyulladásos betegsége.</w:t>
      </w:r>
    </w:p>
    <w:p w14:paraId="187CFF15" w14:textId="77777777" w:rsidR="00130E8B" w:rsidRDefault="00130E8B">
      <w:pPr>
        <w:spacing w:before="11" w:line="240" w:lineRule="exact"/>
        <w:rPr>
          <w:sz w:val="24"/>
          <w:szCs w:val="24"/>
          <w:lang w:val="hu-HU"/>
        </w:rPr>
      </w:pPr>
    </w:p>
    <w:p w14:paraId="0E5297D5" w14:textId="7B6632B4" w:rsidR="00130E8B" w:rsidRDefault="000405CC">
      <w:pPr>
        <w:pStyle w:val="a3"/>
        <w:rPr>
          <w:lang w:val="hu-HU"/>
        </w:rPr>
      </w:pPr>
      <w:r>
        <w:rPr>
          <w:rFonts w:eastAsia="Times New Roman"/>
          <w:lang w:val="hu-HU"/>
        </w:rPr>
        <w:t>A Yuflyma közepesen súlyos -</w:t>
      </w:r>
      <w:r w:rsidR="00435A19" w:rsidRPr="009167C6">
        <w:rPr>
          <w:lang w:val="hu-HU"/>
        </w:rPr>
        <w:t> </w:t>
      </w:r>
      <w:r>
        <w:rPr>
          <w:rFonts w:eastAsia="Times New Roman"/>
          <w:lang w:val="hu-HU"/>
        </w:rPr>
        <w:t xml:space="preserve"> súlyos felnőttkori reumatoid artritisz kezelésére alkalmazható.</w:t>
      </w:r>
      <w:r w:rsidR="00265077">
        <w:rPr>
          <w:rFonts w:eastAsia="Times New Roman"/>
          <w:lang w:val="hu-HU"/>
        </w:rPr>
        <w:t xml:space="preserve"> </w:t>
      </w:r>
      <w:r>
        <w:rPr>
          <w:rFonts w:eastAsia="Times New Roman"/>
          <w:lang w:val="hu-HU"/>
        </w:rPr>
        <w:t>Ön először egyéb betegségmódosító gyógyszereket (</w:t>
      </w:r>
      <w:r w:rsidR="00E712D7">
        <w:rPr>
          <w:rFonts w:eastAsia="Times New Roman"/>
          <w:lang w:val="hu-HU"/>
        </w:rPr>
        <w:t>például</w:t>
      </w:r>
      <w:r>
        <w:rPr>
          <w:rFonts w:eastAsia="Times New Roman"/>
          <w:lang w:val="hu-HU"/>
        </w:rPr>
        <w:t xml:space="preserve"> metotrexátot) kaphat. </w:t>
      </w:r>
      <w:r w:rsidR="00402685">
        <w:rPr>
          <w:lang w:val="hu-HU"/>
        </w:rPr>
        <w:t xml:space="preserve">Abban az esetben </w:t>
      </w:r>
      <w:r w:rsidR="00402685">
        <w:rPr>
          <w:rFonts w:eastAsia="Times New Roman"/>
          <w:lang w:val="hu-HU"/>
        </w:rPr>
        <w:t xml:space="preserve">ha </w:t>
      </w:r>
      <w:r>
        <w:rPr>
          <w:rFonts w:eastAsia="Times New Roman"/>
          <w:lang w:val="hu-HU"/>
        </w:rPr>
        <w:t>nem reagál megfelelő módon ezekre a gyógyszerekre, akkor Yuflyma-t fog kapni.</w:t>
      </w:r>
    </w:p>
    <w:p w14:paraId="119779A2" w14:textId="77777777" w:rsidR="00130E8B" w:rsidRDefault="00130E8B">
      <w:pPr>
        <w:spacing w:before="17" w:line="240" w:lineRule="exact"/>
        <w:rPr>
          <w:sz w:val="24"/>
          <w:szCs w:val="24"/>
          <w:lang w:val="hu-HU"/>
        </w:rPr>
      </w:pPr>
    </w:p>
    <w:p w14:paraId="7B21F89D" w14:textId="551AC748" w:rsidR="00130E8B" w:rsidRDefault="000405CC">
      <w:pPr>
        <w:pStyle w:val="a3"/>
        <w:rPr>
          <w:lang w:val="hu-HU"/>
        </w:rPr>
      </w:pPr>
      <w:r>
        <w:rPr>
          <w:rFonts w:eastAsia="Times New Roman"/>
          <w:lang w:val="hu-HU"/>
        </w:rPr>
        <w:t>A Yuflyma haszn</w:t>
      </w:r>
      <w:r w:rsidR="00435A19">
        <w:rPr>
          <w:rFonts w:eastAsia="Times New Roman"/>
          <w:lang w:val="hu-HU"/>
        </w:rPr>
        <w:t>álható</w:t>
      </w:r>
      <w:r>
        <w:rPr>
          <w:rFonts w:eastAsia="Times New Roman"/>
          <w:lang w:val="hu-HU"/>
        </w:rPr>
        <w:t xml:space="preserve"> súlyos, aktív és súlyosbodó reumatoid artritiszben előzetes metotrexát-kezelés nélkül.</w:t>
      </w:r>
    </w:p>
    <w:p w14:paraId="614BAB26" w14:textId="77777777" w:rsidR="00130E8B" w:rsidRDefault="00130E8B">
      <w:pPr>
        <w:spacing w:before="11" w:line="240" w:lineRule="exact"/>
        <w:rPr>
          <w:sz w:val="24"/>
          <w:szCs w:val="24"/>
          <w:lang w:val="hu-HU"/>
        </w:rPr>
      </w:pPr>
    </w:p>
    <w:p w14:paraId="2EF1C46C" w14:textId="77777777" w:rsidR="00130E8B" w:rsidRDefault="000405CC">
      <w:pPr>
        <w:pStyle w:val="a3"/>
        <w:rPr>
          <w:lang w:val="hu-HU"/>
        </w:rPr>
      </w:pPr>
      <w:r>
        <w:rPr>
          <w:rFonts w:eastAsia="Times New Roman"/>
          <w:lang w:val="hu-HU"/>
        </w:rPr>
        <w:t>A Yuflyma lelassítja a gyulladásos betegség okozta ízületi károsodást és segíti a szabadabb mozgást.</w:t>
      </w:r>
    </w:p>
    <w:p w14:paraId="0C092121" w14:textId="77777777" w:rsidR="00130E8B" w:rsidRDefault="00130E8B">
      <w:pPr>
        <w:spacing w:before="10" w:line="240" w:lineRule="exact"/>
        <w:rPr>
          <w:sz w:val="24"/>
          <w:szCs w:val="24"/>
          <w:lang w:val="hu-HU"/>
        </w:rPr>
      </w:pPr>
    </w:p>
    <w:p w14:paraId="5548A3D0" w14:textId="7F5BFC7B" w:rsidR="00130E8B" w:rsidRDefault="000405CC">
      <w:pPr>
        <w:pStyle w:val="a3"/>
        <w:rPr>
          <w:lang w:val="hu-HU"/>
        </w:rPr>
      </w:pPr>
      <w:r>
        <w:rPr>
          <w:rFonts w:eastAsia="Times New Roman"/>
          <w:lang w:val="hu-HU"/>
        </w:rPr>
        <w:t xml:space="preserve">Az Ön kezelőorvosa fogja eldönteni, hogy a </w:t>
      </w:r>
      <w:r w:rsidR="00435A19">
        <w:rPr>
          <w:rFonts w:eastAsia="Times New Roman"/>
          <w:lang w:val="hu-HU"/>
        </w:rPr>
        <w:t>Yuflym</w:t>
      </w:r>
      <w:r w:rsidR="004A2986">
        <w:rPr>
          <w:rFonts w:eastAsia="Times New Roman"/>
          <w:lang w:val="hu-HU"/>
        </w:rPr>
        <w:t>a</w:t>
      </w:r>
      <w:r>
        <w:rPr>
          <w:rFonts w:eastAsia="Times New Roman"/>
          <w:lang w:val="hu-HU"/>
        </w:rPr>
        <w:t>-t metotrexáttal együtt, vagy önmagában alkalmazza</w:t>
      </w:r>
      <w:r w:rsidR="00402685">
        <w:rPr>
          <w:rFonts w:eastAsia="Times New Roman"/>
          <w:lang w:val="hu-HU"/>
        </w:rPr>
        <w:t xml:space="preserve"> Önnél.</w:t>
      </w:r>
    </w:p>
    <w:p w14:paraId="5EC13E93" w14:textId="77777777" w:rsidR="00130E8B" w:rsidRDefault="00130E8B">
      <w:pPr>
        <w:spacing w:before="18" w:line="240" w:lineRule="exact"/>
        <w:rPr>
          <w:sz w:val="24"/>
          <w:szCs w:val="24"/>
          <w:lang w:val="hu-HU"/>
        </w:rPr>
      </w:pPr>
    </w:p>
    <w:p w14:paraId="368A6957" w14:textId="77777777" w:rsidR="00D50B9C" w:rsidRPr="00DA48CC" w:rsidRDefault="00D50B9C" w:rsidP="00D50B9C">
      <w:pPr>
        <w:spacing w:before="9" w:line="240" w:lineRule="exact"/>
        <w:rPr>
          <w:rFonts w:ascii="Times New Roman" w:hAnsi="Times New Roman" w:cs="Times New Roman"/>
          <w:b/>
          <w:sz w:val="24"/>
          <w:szCs w:val="24"/>
          <w:lang w:val="hu-HU"/>
        </w:rPr>
      </w:pPr>
      <w:r w:rsidRPr="00DA48CC">
        <w:rPr>
          <w:rFonts w:ascii="Times New Roman" w:eastAsia="TimesNewRomanPSMT" w:hAnsi="Times New Roman" w:cs="Times New Roman"/>
          <w:b/>
          <w:color w:val="555555"/>
          <w:lang w:val="hu-HU"/>
        </w:rPr>
        <w:t>Poliartikul</w:t>
      </w:r>
      <w:r w:rsidRPr="00DA48CC">
        <w:rPr>
          <w:rFonts w:ascii="Times New Roman" w:eastAsia="TimesNewRomanPSMT" w:hAnsi="Times New Roman" w:cs="Times New Roman" w:hint="eastAsia"/>
          <w:b/>
          <w:color w:val="555555"/>
          <w:lang w:val="hu-HU"/>
        </w:rPr>
        <w:t>á</w:t>
      </w:r>
      <w:r w:rsidRPr="00DA48CC">
        <w:rPr>
          <w:rFonts w:ascii="Times New Roman" w:eastAsia="TimesNewRomanPSMT" w:hAnsi="Times New Roman" w:cs="Times New Roman"/>
          <w:b/>
          <w:color w:val="555555"/>
          <w:lang w:val="hu-HU"/>
        </w:rPr>
        <w:t>ris juvenilis idiop</w:t>
      </w:r>
      <w:r w:rsidRPr="00DA48CC">
        <w:rPr>
          <w:rFonts w:ascii="Times New Roman" w:eastAsia="TimesNewRomanPSMT" w:hAnsi="Times New Roman" w:cs="Times New Roman" w:hint="eastAsia"/>
          <w:b/>
          <w:color w:val="555555"/>
          <w:lang w:val="hu-HU"/>
        </w:rPr>
        <w:t>á</w:t>
      </w:r>
      <w:r w:rsidRPr="00DA48CC">
        <w:rPr>
          <w:rFonts w:ascii="Times New Roman" w:eastAsia="TimesNewRomanPSMT" w:hAnsi="Times New Roman" w:cs="Times New Roman"/>
          <w:b/>
          <w:color w:val="555555"/>
          <w:lang w:val="hu-HU"/>
        </w:rPr>
        <w:t>ti</w:t>
      </w:r>
      <w:r w:rsidRPr="00DA48CC">
        <w:rPr>
          <w:rFonts w:ascii="Times New Roman" w:eastAsia="TimesNewRomanPSMT" w:hAnsi="Times New Roman" w:cs="Times New Roman" w:hint="eastAsia"/>
          <w:b/>
          <w:color w:val="555555"/>
          <w:lang w:val="hu-HU"/>
        </w:rPr>
        <w:t>á</w:t>
      </w:r>
      <w:r w:rsidRPr="00DA48CC">
        <w:rPr>
          <w:rFonts w:ascii="Times New Roman" w:eastAsia="TimesNewRomanPSMT" w:hAnsi="Times New Roman" w:cs="Times New Roman"/>
          <w:b/>
          <w:color w:val="555555"/>
          <w:lang w:val="hu-HU"/>
        </w:rPr>
        <w:t>s artritisz</w:t>
      </w:r>
    </w:p>
    <w:p w14:paraId="63FC7590" w14:textId="77777777" w:rsidR="00130E8B" w:rsidRDefault="000405CC">
      <w:pPr>
        <w:pStyle w:val="a3"/>
        <w:rPr>
          <w:lang w:val="hu-HU"/>
        </w:rPr>
      </w:pPr>
      <w:r>
        <w:rPr>
          <w:rFonts w:eastAsia="Times New Roman"/>
          <w:lang w:val="hu-HU"/>
        </w:rPr>
        <w:t>A gyermekkori ismeretlen eredetű sokízületi gyulladás az ízületek gyulladásos betegsége.</w:t>
      </w:r>
    </w:p>
    <w:p w14:paraId="6736F884" w14:textId="77777777" w:rsidR="00130E8B" w:rsidRDefault="00130E8B">
      <w:pPr>
        <w:spacing w:before="13" w:line="240" w:lineRule="exact"/>
        <w:rPr>
          <w:sz w:val="24"/>
          <w:szCs w:val="24"/>
          <w:lang w:val="hu-HU"/>
        </w:rPr>
      </w:pPr>
    </w:p>
    <w:p w14:paraId="42E8CCAD" w14:textId="06F1E709" w:rsidR="00130E8B" w:rsidRDefault="000405CC">
      <w:pPr>
        <w:pStyle w:val="a3"/>
        <w:rPr>
          <w:lang w:val="hu-HU"/>
        </w:rPr>
      </w:pPr>
      <w:r>
        <w:rPr>
          <w:rFonts w:eastAsia="Times New Roman"/>
          <w:lang w:val="hu-HU"/>
        </w:rPr>
        <w:t xml:space="preserve">A Yuflyma legalább 2 éves kortól alkalmazható a gyermekkori ismeretlen eredetű sokízületi gyulladás kezelésére. </w:t>
      </w:r>
      <w:r w:rsidR="004A2986" w:rsidRPr="00EA3398">
        <w:rPr>
          <w:rFonts w:eastAsia="Times New Roman"/>
          <w:lang w:val="hu-HU"/>
        </w:rPr>
        <w:t>Gyermeke</w:t>
      </w:r>
      <w:r>
        <w:rPr>
          <w:rFonts w:eastAsia="Times New Roman"/>
          <w:lang w:val="hu-HU"/>
        </w:rPr>
        <w:t xml:space="preserve"> először egyéb betegséget módosító gyógyszereket (</w:t>
      </w:r>
      <w:r w:rsidR="00E712D7">
        <w:rPr>
          <w:rFonts w:eastAsia="Times New Roman"/>
          <w:lang w:val="hu-HU"/>
        </w:rPr>
        <w:t>például</w:t>
      </w:r>
      <w:r>
        <w:rPr>
          <w:rFonts w:eastAsia="Times New Roman"/>
          <w:lang w:val="hu-HU"/>
        </w:rPr>
        <w:t xml:space="preserve"> metotrexátot) kaphat. Ha nem reagál megfelelő módon ezekre a gyógyszerekre, akkor Yuflyma-t fog kapni.</w:t>
      </w:r>
    </w:p>
    <w:p w14:paraId="7800D1D3" w14:textId="77777777" w:rsidR="00130E8B" w:rsidRDefault="00130E8B">
      <w:pPr>
        <w:spacing w:before="13" w:line="240" w:lineRule="exact"/>
        <w:rPr>
          <w:sz w:val="24"/>
          <w:szCs w:val="24"/>
          <w:lang w:val="hu-HU"/>
        </w:rPr>
      </w:pPr>
    </w:p>
    <w:p w14:paraId="527E88B5" w14:textId="0938EA90" w:rsidR="00130E8B" w:rsidRDefault="004A2986">
      <w:pPr>
        <w:pStyle w:val="a3"/>
        <w:rPr>
          <w:lang w:val="hu-HU"/>
        </w:rPr>
      </w:pPr>
      <w:r w:rsidRPr="00EA3398">
        <w:rPr>
          <w:rFonts w:eastAsia="Times New Roman"/>
          <w:lang w:val="hu-HU"/>
        </w:rPr>
        <w:t>Gyermeke</w:t>
      </w:r>
      <w:r>
        <w:rPr>
          <w:rFonts w:eastAsia="Times New Roman"/>
          <w:lang w:val="hu-HU"/>
        </w:rPr>
        <w:t xml:space="preserve"> </w:t>
      </w:r>
      <w:r w:rsidR="000405CC">
        <w:rPr>
          <w:rFonts w:eastAsia="Times New Roman"/>
          <w:lang w:val="hu-HU"/>
        </w:rPr>
        <w:t>kezelőorvosa fogja eldönteni, hogy a Yuflyma-t metotrexáttal együtt, vagy önmagában alkalmazza.</w:t>
      </w:r>
    </w:p>
    <w:p w14:paraId="5B4F67BC" w14:textId="77777777" w:rsidR="00130E8B" w:rsidRDefault="00130E8B">
      <w:pPr>
        <w:spacing w:before="16" w:line="240" w:lineRule="exact"/>
        <w:rPr>
          <w:sz w:val="24"/>
          <w:szCs w:val="24"/>
          <w:lang w:val="hu-HU"/>
        </w:rPr>
      </w:pPr>
    </w:p>
    <w:p w14:paraId="104B8B4A" w14:textId="77777777" w:rsidR="00130E8B" w:rsidRDefault="000405CC">
      <w:pPr>
        <w:pStyle w:val="a3"/>
        <w:rPr>
          <w:rFonts w:eastAsia="Times New Roman"/>
          <w:b/>
          <w:lang w:val="hu-HU"/>
        </w:rPr>
      </w:pPr>
      <w:r>
        <w:rPr>
          <w:rFonts w:eastAsia="Times New Roman"/>
          <w:b/>
          <w:bCs/>
          <w:lang w:val="hu-HU"/>
        </w:rPr>
        <w:t>E</w:t>
      </w:r>
      <w:r>
        <w:rPr>
          <w:rFonts w:eastAsia="Times New Roman"/>
          <w:b/>
          <w:lang w:val="hu-HU"/>
        </w:rPr>
        <w:t>ntezitisszel társult artritisz</w:t>
      </w:r>
    </w:p>
    <w:p w14:paraId="3D2B5041" w14:textId="77777777" w:rsidR="00130E8B" w:rsidRDefault="00130E8B">
      <w:pPr>
        <w:pStyle w:val="a3"/>
        <w:rPr>
          <w:sz w:val="24"/>
          <w:szCs w:val="24"/>
          <w:lang w:val="hu-HU"/>
        </w:rPr>
      </w:pPr>
    </w:p>
    <w:p w14:paraId="41B29432" w14:textId="678B42D1" w:rsidR="00130E8B" w:rsidRDefault="000405CC">
      <w:pPr>
        <w:pStyle w:val="a3"/>
        <w:rPr>
          <w:lang w:val="hu-HU"/>
        </w:rPr>
      </w:pPr>
      <w:r>
        <w:rPr>
          <w:rFonts w:eastAsia="Times New Roman"/>
          <w:lang w:val="hu-HU"/>
        </w:rPr>
        <w:t>Az ín</w:t>
      </w:r>
      <w:r w:rsidR="004A2986">
        <w:rPr>
          <w:rFonts w:eastAsia="Times New Roman"/>
          <w:lang w:val="hu-HU"/>
        </w:rPr>
        <w:t>á</w:t>
      </w:r>
      <w:r>
        <w:rPr>
          <w:rFonts w:eastAsia="Times New Roman"/>
          <w:lang w:val="hu-HU"/>
        </w:rPr>
        <w:t>k tapadási helyeinek gyulladásos elváltozásával társult reumás ízületi gyulladás az ízületek gyulladásos betegsége.</w:t>
      </w:r>
    </w:p>
    <w:p w14:paraId="7AEC200C" w14:textId="77777777" w:rsidR="00130E8B" w:rsidRDefault="00130E8B">
      <w:pPr>
        <w:spacing w:before="10" w:line="240" w:lineRule="exact"/>
        <w:rPr>
          <w:sz w:val="24"/>
          <w:szCs w:val="24"/>
          <w:lang w:val="hu-HU"/>
        </w:rPr>
      </w:pPr>
    </w:p>
    <w:p w14:paraId="4F965D0D" w14:textId="445059B0" w:rsidR="00130E8B" w:rsidRDefault="000405CC">
      <w:pPr>
        <w:pStyle w:val="a3"/>
        <w:rPr>
          <w:lang w:val="hu-HU"/>
        </w:rPr>
      </w:pPr>
      <w:r>
        <w:rPr>
          <w:rFonts w:eastAsia="Times New Roman"/>
          <w:lang w:val="hu-HU"/>
        </w:rPr>
        <w:t xml:space="preserve">A Yuflyma legalább 6 éves kortól alkalmazható az </w:t>
      </w:r>
      <w:r w:rsidR="004A2986" w:rsidRPr="004D169D">
        <w:rPr>
          <w:rFonts w:eastAsia="Times New Roman"/>
          <w:lang w:val="hu-HU"/>
        </w:rPr>
        <w:t>inak</w:t>
      </w:r>
      <w:r>
        <w:rPr>
          <w:rFonts w:eastAsia="Times New Roman"/>
          <w:lang w:val="hu-HU"/>
        </w:rPr>
        <w:t xml:space="preserve"> tapadási hely</w:t>
      </w:r>
      <w:r w:rsidR="004A2986" w:rsidRPr="00EA3398">
        <w:rPr>
          <w:rFonts w:eastAsia="Times New Roman" w:hint="eastAsia"/>
          <w:lang w:val="hu-HU"/>
        </w:rPr>
        <w:t>é</w:t>
      </w:r>
      <w:r>
        <w:rPr>
          <w:rFonts w:eastAsia="Times New Roman"/>
          <w:lang w:val="hu-HU"/>
        </w:rPr>
        <w:t xml:space="preserve">nek gyulladásos elváltozásával társult reumás ízületi gyulladás kezelésére. </w:t>
      </w:r>
      <w:r w:rsidR="004A2986" w:rsidRPr="00EA3398">
        <w:rPr>
          <w:rFonts w:eastAsia="Times New Roman" w:hint="eastAsia"/>
          <w:lang w:val="hu-HU"/>
        </w:rPr>
        <w:t>Ö</w:t>
      </w:r>
      <w:r w:rsidR="004A2986" w:rsidRPr="00EA3398">
        <w:rPr>
          <w:rFonts w:eastAsia="Times New Roman"/>
          <w:lang w:val="hu-HU"/>
        </w:rPr>
        <w:t>n vagy gyermeke</w:t>
      </w:r>
      <w:r>
        <w:rPr>
          <w:rFonts w:eastAsia="Times New Roman"/>
          <w:lang w:val="hu-HU"/>
        </w:rPr>
        <w:t xml:space="preserve"> először egyéb betegséget módosító gyógyszereket (</w:t>
      </w:r>
      <w:r w:rsidR="00E712D7">
        <w:rPr>
          <w:rFonts w:eastAsia="Times New Roman"/>
          <w:lang w:val="hu-HU"/>
        </w:rPr>
        <w:t>például</w:t>
      </w:r>
      <w:r>
        <w:rPr>
          <w:rFonts w:eastAsia="Times New Roman"/>
          <w:lang w:val="hu-HU"/>
        </w:rPr>
        <w:t xml:space="preserve"> metotrexátot) kaphat. Ha nem reagál megfelelő módon ezekre a gyógyszerekre, akkor Yuflyma-t fog kapni.</w:t>
      </w:r>
    </w:p>
    <w:p w14:paraId="567C9CC1" w14:textId="77777777" w:rsidR="00130E8B" w:rsidRDefault="00130E8B">
      <w:pPr>
        <w:spacing w:before="2" w:line="260" w:lineRule="exact"/>
        <w:rPr>
          <w:sz w:val="26"/>
          <w:szCs w:val="26"/>
          <w:lang w:val="hu-HU"/>
        </w:rPr>
      </w:pPr>
    </w:p>
    <w:p w14:paraId="05967A93" w14:textId="77777777" w:rsidR="00130E8B" w:rsidRDefault="000405CC">
      <w:pPr>
        <w:pStyle w:val="a3"/>
        <w:rPr>
          <w:b/>
          <w:lang w:val="hu-HU"/>
        </w:rPr>
      </w:pPr>
      <w:r>
        <w:rPr>
          <w:rFonts w:eastAsia="Times New Roman"/>
          <w:b/>
          <w:bCs/>
          <w:lang w:val="hu-HU"/>
        </w:rPr>
        <w:t>Spondilitisz ankilopoetika és spondilitisz ankilopoetikára jellemző röntgeneltérést nem mutató gerincízületi gyulladás (axiális spondiloartritisz)</w:t>
      </w:r>
    </w:p>
    <w:p w14:paraId="78E90070" w14:textId="77777777" w:rsidR="00130E8B" w:rsidRDefault="00130E8B">
      <w:pPr>
        <w:spacing w:before="6" w:line="240" w:lineRule="exact"/>
        <w:rPr>
          <w:sz w:val="24"/>
          <w:szCs w:val="24"/>
          <w:lang w:val="hu-HU"/>
        </w:rPr>
      </w:pPr>
    </w:p>
    <w:p w14:paraId="1DC2BAE1" w14:textId="77777777" w:rsidR="00130E8B" w:rsidRDefault="000405CC">
      <w:pPr>
        <w:pStyle w:val="a3"/>
        <w:rPr>
          <w:lang w:val="hu-HU"/>
        </w:rPr>
      </w:pPr>
      <w:r>
        <w:rPr>
          <w:rFonts w:eastAsia="Times New Roman"/>
          <w:lang w:val="hu-HU"/>
        </w:rPr>
        <w:t>A spondilitisz ankilopoetika és a spondilitisz ankilopoetikára jellemző röntgeneltérést nem mutató gerincízületi gyulladás (axiális spondiloartritisz) a gerincoszlop gyulladással járó betegsége.</w:t>
      </w:r>
    </w:p>
    <w:p w14:paraId="52881CAF" w14:textId="77777777" w:rsidR="00130E8B" w:rsidRDefault="00130E8B">
      <w:pPr>
        <w:spacing w:before="10" w:line="240" w:lineRule="exact"/>
        <w:rPr>
          <w:sz w:val="24"/>
          <w:szCs w:val="24"/>
          <w:lang w:val="hu-HU"/>
        </w:rPr>
      </w:pPr>
    </w:p>
    <w:p w14:paraId="4AC14256" w14:textId="77777777" w:rsidR="00130E8B" w:rsidRDefault="000405CC">
      <w:pPr>
        <w:pStyle w:val="a3"/>
        <w:rPr>
          <w:lang w:val="hu-HU"/>
        </w:rPr>
      </w:pPr>
      <w:r>
        <w:rPr>
          <w:rFonts w:eastAsia="Times New Roman"/>
          <w:lang w:val="hu-HU"/>
        </w:rPr>
        <w:t>A Yuflyma felnőttkori spondilitisz ankilopoetika és spondilitisz ankilopoetikára jellemző röntgeneltérést nem mutató gerincízületi gyulladás (axiális spondiloartritisz) kezelésére alkalmazható. Először más gyógyszereket kaphat. Ha nem reagál megfelelő módon ezekre a gyógyszerekre, akkor Yuflyma-t fog kapni.</w:t>
      </w:r>
    </w:p>
    <w:p w14:paraId="731AB222" w14:textId="77777777" w:rsidR="00130E8B" w:rsidRDefault="00130E8B">
      <w:pPr>
        <w:spacing w:before="18" w:line="240" w:lineRule="exact"/>
        <w:rPr>
          <w:sz w:val="24"/>
          <w:szCs w:val="24"/>
          <w:lang w:val="hu-HU"/>
        </w:rPr>
      </w:pPr>
    </w:p>
    <w:p w14:paraId="6230BAD6" w14:textId="77777777" w:rsidR="00130E8B" w:rsidRDefault="000405CC">
      <w:pPr>
        <w:pStyle w:val="a3"/>
        <w:rPr>
          <w:b/>
          <w:lang w:val="hu-HU"/>
        </w:rPr>
      </w:pPr>
      <w:r>
        <w:rPr>
          <w:rFonts w:eastAsia="Times New Roman"/>
          <w:b/>
          <w:bCs/>
          <w:lang w:val="hu-HU"/>
        </w:rPr>
        <w:t>A</w:t>
      </w:r>
      <w:r>
        <w:rPr>
          <w:rFonts w:eastAsia="Times New Roman"/>
          <w:b/>
          <w:lang w:val="hu-HU"/>
        </w:rPr>
        <w:t xml:space="preserve">rtritisz pszoriatika </w:t>
      </w:r>
    </w:p>
    <w:p w14:paraId="027C8095" w14:textId="77777777" w:rsidR="00130E8B" w:rsidRDefault="00130E8B">
      <w:pPr>
        <w:pStyle w:val="a3"/>
        <w:rPr>
          <w:lang w:val="hu-HU"/>
        </w:rPr>
      </w:pPr>
    </w:p>
    <w:p w14:paraId="7D5D89A0" w14:textId="77777777" w:rsidR="00130E8B" w:rsidRDefault="000405CC">
      <w:pPr>
        <w:pStyle w:val="a3"/>
        <w:rPr>
          <w:lang w:val="hu-HU"/>
        </w:rPr>
      </w:pPr>
      <w:r>
        <w:rPr>
          <w:rFonts w:eastAsia="Times New Roman"/>
          <w:lang w:val="hu-HU"/>
        </w:rPr>
        <w:t>Az artritisz pszoriatika az ízületek olyan gyulladásos betegsége, amely általában pikkelysömörrel társul.</w:t>
      </w:r>
    </w:p>
    <w:p w14:paraId="0875B37F" w14:textId="77777777" w:rsidR="00130E8B" w:rsidRDefault="00130E8B">
      <w:pPr>
        <w:spacing w:before="11" w:line="240" w:lineRule="exact"/>
        <w:rPr>
          <w:sz w:val="24"/>
          <w:szCs w:val="24"/>
          <w:lang w:val="hu-HU"/>
        </w:rPr>
      </w:pPr>
    </w:p>
    <w:p w14:paraId="2673B6A0" w14:textId="77777777" w:rsidR="00130E8B" w:rsidRDefault="000405CC">
      <w:pPr>
        <w:pStyle w:val="a3"/>
        <w:rPr>
          <w:lang w:val="hu-HU"/>
        </w:rPr>
      </w:pPr>
      <w:r>
        <w:rPr>
          <w:rFonts w:eastAsia="Times New Roman"/>
          <w:lang w:val="hu-HU"/>
        </w:rPr>
        <w:t>A Yuflyma a felnőttkori artritisz pszoriatika kezelésére alkalmazható. A Yuflyma lelassítja a betegség okozta ízületi károsodást és segíti a szabadabb mozgást. Először más gyógyszereket kaphat. Ha nem reagál megfelelő módon ezekre a gyógyszerekre, akkor Yuflyma-t fog kapni.</w:t>
      </w:r>
    </w:p>
    <w:p w14:paraId="4031E766" w14:textId="77777777" w:rsidR="00130E8B" w:rsidRDefault="00130E8B">
      <w:pPr>
        <w:pStyle w:val="a3"/>
        <w:rPr>
          <w:lang w:val="hu-HU"/>
        </w:rPr>
      </w:pPr>
    </w:p>
    <w:p w14:paraId="558714A3" w14:textId="77777777" w:rsidR="00130E8B" w:rsidRDefault="000405CC">
      <w:pPr>
        <w:pStyle w:val="a3"/>
        <w:rPr>
          <w:b/>
          <w:lang w:val="hu-HU"/>
        </w:rPr>
      </w:pPr>
      <w:r>
        <w:rPr>
          <w:rFonts w:eastAsia="Times New Roman"/>
          <w:b/>
          <w:bCs/>
          <w:lang w:val="hu-HU"/>
        </w:rPr>
        <w:t>Plakkos pikkelysömör</w:t>
      </w:r>
    </w:p>
    <w:p w14:paraId="3A2F9039" w14:textId="77777777" w:rsidR="00130E8B" w:rsidRDefault="00130E8B">
      <w:pPr>
        <w:spacing w:before="9" w:line="240" w:lineRule="exact"/>
        <w:rPr>
          <w:sz w:val="24"/>
          <w:szCs w:val="24"/>
          <w:lang w:val="hu-HU"/>
        </w:rPr>
      </w:pPr>
    </w:p>
    <w:p w14:paraId="4DBCC0D5" w14:textId="77777777" w:rsidR="00130E8B" w:rsidRDefault="000405CC">
      <w:pPr>
        <w:pStyle w:val="a3"/>
        <w:rPr>
          <w:lang w:val="hu-HU"/>
        </w:rPr>
      </w:pPr>
      <w:r>
        <w:rPr>
          <w:rFonts w:eastAsia="Times New Roman"/>
          <w:lang w:val="hu-HU"/>
        </w:rPr>
        <w:t>A plakkos pszoriázis egy gyulladásos bőrbetegség, amely ezüstös pikkelyekkel borított piros, hámló, kérges foltokat okoz a bőrön. A plakkos pszoriázis a körmöket is érintheti, a köröm töredezését, megvastagodását, a körömágytól való elválását okozva, ami fájdalmas lehet.</w:t>
      </w:r>
    </w:p>
    <w:p w14:paraId="5D3E9B52" w14:textId="77777777" w:rsidR="00130E8B" w:rsidRDefault="00130E8B">
      <w:pPr>
        <w:spacing w:before="13" w:line="240" w:lineRule="exact"/>
        <w:rPr>
          <w:sz w:val="24"/>
          <w:szCs w:val="24"/>
          <w:lang w:val="hu-HU"/>
        </w:rPr>
      </w:pPr>
    </w:p>
    <w:p w14:paraId="45D980DD" w14:textId="77777777" w:rsidR="00130E8B" w:rsidRDefault="000405CC">
      <w:pPr>
        <w:pStyle w:val="a3"/>
        <w:rPr>
          <w:lang w:val="hu-HU"/>
        </w:rPr>
      </w:pPr>
      <w:r>
        <w:rPr>
          <w:rFonts w:eastAsia="Times New Roman"/>
          <w:lang w:val="hu-HU"/>
        </w:rPr>
        <w:t>A Yuflyma alkalmazható</w:t>
      </w:r>
    </w:p>
    <w:p w14:paraId="44318397" w14:textId="77777777" w:rsidR="00130E8B" w:rsidRDefault="000405CC">
      <w:pPr>
        <w:pStyle w:val="a3"/>
        <w:numPr>
          <w:ilvl w:val="1"/>
          <w:numId w:val="4"/>
        </w:numPr>
        <w:ind w:left="660" w:hanging="660"/>
        <w:rPr>
          <w:lang w:val="hu-HU"/>
        </w:rPr>
      </w:pPr>
      <w:r>
        <w:rPr>
          <w:rFonts w:eastAsia="Times New Roman"/>
          <w:lang w:val="hu-HU"/>
        </w:rPr>
        <w:t>a közepesen súlyos vagy súlyos felnőttkori krónikus plakkos pszoriázis kezelésére,</w:t>
      </w:r>
    </w:p>
    <w:p w14:paraId="3A920183" w14:textId="58FAA208" w:rsidR="00130E8B" w:rsidRDefault="000405CC">
      <w:pPr>
        <w:pStyle w:val="a3"/>
        <w:numPr>
          <w:ilvl w:val="1"/>
          <w:numId w:val="4"/>
        </w:numPr>
        <w:ind w:left="660" w:hanging="660"/>
        <w:rPr>
          <w:lang w:val="hu-HU"/>
        </w:rPr>
      </w:pPr>
      <w:r>
        <w:rPr>
          <w:rFonts w:eastAsia="Times New Roman"/>
          <w:lang w:val="hu-HU"/>
        </w:rPr>
        <w:t>továbbá súlyos plakkos pszoriázisban szenvedő, 4-</w:t>
      </w:r>
      <w:r w:rsidR="00402685">
        <w:rPr>
          <w:rFonts w:eastAsia="Times New Roman"/>
          <w:lang w:val="hu-HU"/>
        </w:rPr>
        <w:t xml:space="preserve">től betöltött 18 </w:t>
      </w:r>
      <w:r>
        <w:rPr>
          <w:rFonts w:eastAsia="Times New Roman"/>
          <w:lang w:val="hu-HU"/>
        </w:rPr>
        <w:t>év</w:t>
      </w:r>
      <w:r w:rsidR="00402685">
        <w:rPr>
          <w:rFonts w:eastAsia="Times New Roman"/>
          <w:lang w:val="hu-HU"/>
        </w:rPr>
        <w:t>es koráig</w:t>
      </w:r>
      <w:r>
        <w:rPr>
          <w:rFonts w:eastAsia="Times New Roman"/>
          <w:lang w:val="hu-HU"/>
        </w:rPr>
        <w:t xml:space="preserve"> gyermekeknél és serdülőknél,</w:t>
      </w:r>
    </w:p>
    <w:p w14:paraId="0E50C746" w14:textId="77777777" w:rsidR="00130E8B" w:rsidRDefault="000405CC">
      <w:pPr>
        <w:pStyle w:val="a3"/>
        <w:numPr>
          <w:ilvl w:val="1"/>
          <w:numId w:val="4"/>
        </w:numPr>
        <w:ind w:left="660" w:hanging="660"/>
        <w:rPr>
          <w:rFonts w:eastAsia="Times New Roman"/>
          <w:lang w:val="hu-HU"/>
        </w:rPr>
      </w:pPr>
      <w:r>
        <w:rPr>
          <w:rFonts w:eastAsia="Times New Roman"/>
          <w:lang w:val="hu-HU"/>
        </w:rPr>
        <w:t>akiknél a helyi kezelés és a fényterápiák nem használtak, vagy nem alkalmazhatóak</w:t>
      </w:r>
    </w:p>
    <w:p w14:paraId="4BF9833F" w14:textId="77777777" w:rsidR="00130E8B" w:rsidRDefault="00130E8B">
      <w:pPr>
        <w:spacing w:before="15" w:line="240" w:lineRule="exact"/>
        <w:rPr>
          <w:sz w:val="24"/>
          <w:szCs w:val="24"/>
          <w:lang w:val="hu-HU"/>
        </w:rPr>
      </w:pPr>
    </w:p>
    <w:p w14:paraId="3E2CF848" w14:textId="77777777" w:rsidR="00130E8B" w:rsidRDefault="000405CC">
      <w:pPr>
        <w:pStyle w:val="a3"/>
        <w:rPr>
          <w:b/>
          <w:lang w:val="hu-HU"/>
        </w:rPr>
      </w:pPr>
      <w:r>
        <w:rPr>
          <w:rFonts w:eastAsia="Times New Roman"/>
          <w:b/>
          <w:bCs/>
          <w:lang w:val="hu-HU"/>
        </w:rPr>
        <w:t>Hidradenitisz szuppurativa</w:t>
      </w:r>
    </w:p>
    <w:p w14:paraId="5E3DA750" w14:textId="77777777" w:rsidR="00130E8B" w:rsidRDefault="00130E8B">
      <w:pPr>
        <w:spacing w:before="9" w:line="240" w:lineRule="exact"/>
        <w:rPr>
          <w:sz w:val="24"/>
          <w:szCs w:val="24"/>
          <w:lang w:val="hu-HU"/>
        </w:rPr>
      </w:pPr>
    </w:p>
    <w:p w14:paraId="7E489B00" w14:textId="1CE36575" w:rsidR="00130E8B" w:rsidRDefault="000405CC">
      <w:pPr>
        <w:pStyle w:val="a3"/>
        <w:rPr>
          <w:lang w:val="hu-HU"/>
        </w:rPr>
      </w:pPr>
      <w:r>
        <w:rPr>
          <w:rFonts w:eastAsia="Times New Roman"/>
          <w:lang w:val="hu-HU"/>
        </w:rPr>
        <w:t xml:space="preserve">A hidradenitisz szuppuratíva (más néven </w:t>
      </w:r>
      <w:r w:rsidR="002204DD">
        <w:rPr>
          <w:rFonts w:eastAsia="Times New Roman"/>
          <w:lang w:val="hu-HU"/>
        </w:rPr>
        <w:t>fordított</w:t>
      </w:r>
      <w:r>
        <w:rPr>
          <w:rFonts w:eastAsia="Times New Roman"/>
          <w:lang w:val="hu-HU"/>
        </w:rPr>
        <w:t xml:space="preserve"> akne) egy </w:t>
      </w:r>
      <w:r w:rsidR="002204DD">
        <w:rPr>
          <w:rFonts w:eastAsia="Times New Roman"/>
          <w:lang w:val="hu-HU"/>
        </w:rPr>
        <w:t>hosszú lefolyású</w:t>
      </w:r>
      <w:r>
        <w:rPr>
          <w:rFonts w:eastAsia="Times New Roman"/>
          <w:lang w:val="hu-HU"/>
        </w:rPr>
        <w:t xml:space="preserve"> és gyakran fájdalmas, gyulladásos bőrbetegség. A tünetek közé tartozhatnak a bőr alatti gócok (csomók) és tályogok (kelések), melyekből genny szivároghat. Ez leggyakrabban a bőr bizonyos területein jelenik meg, </w:t>
      </w:r>
      <w:r w:rsidR="00E712D7">
        <w:rPr>
          <w:rFonts w:eastAsia="Times New Roman"/>
          <w:lang w:val="hu-HU"/>
        </w:rPr>
        <w:t>például</w:t>
      </w:r>
      <w:r>
        <w:rPr>
          <w:rFonts w:eastAsia="Times New Roman"/>
          <w:lang w:val="hu-HU"/>
        </w:rPr>
        <w:t xml:space="preserve"> </w:t>
      </w:r>
      <w:hyperlink r:id="rId23" w:history="1">
        <w:r>
          <w:rPr>
            <w:rFonts w:eastAsia="Times New Roman"/>
            <w:lang w:val="hu-HU"/>
          </w:rPr>
          <w:t xml:space="preserve">a mellek alatt, </w:t>
        </w:r>
      </w:hyperlink>
      <w:r>
        <w:rPr>
          <w:rFonts w:eastAsia="Times New Roman"/>
          <w:lang w:val="hu-HU"/>
        </w:rPr>
        <w:t>hónaljban, a combok belső felszínén, lágyékon és fenéken. Hegesedés is előfordulhat az érintett területeken.</w:t>
      </w:r>
    </w:p>
    <w:p w14:paraId="426F4144" w14:textId="77777777" w:rsidR="00130E8B" w:rsidRDefault="00130E8B">
      <w:pPr>
        <w:spacing w:before="13" w:line="240" w:lineRule="exact"/>
        <w:rPr>
          <w:sz w:val="24"/>
          <w:szCs w:val="24"/>
          <w:lang w:val="hu-HU"/>
        </w:rPr>
      </w:pPr>
    </w:p>
    <w:p w14:paraId="4127A7B1" w14:textId="77777777" w:rsidR="00130E8B" w:rsidRDefault="000405CC">
      <w:pPr>
        <w:pStyle w:val="a3"/>
        <w:rPr>
          <w:lang w:val="hu-HU"/>
        </w:rPr>
      </w:pPr>
      <w:r>
        <w:rPr>
          <w:rFonts w:eastAsia="Times New Roman"/>
          <w:lang w:val="hu-HU"/>
        </w:rPr>
        <w:t>A Yuflyma alkalmazható</w:t>
      </w:r>
    </w:p>
    <w:p w14:paraId="295910E9" w14:textId="6D740323" w:rsidR="00130E8B" w:rsidRDefault="000405CC">
      <w:pPr>
        <w:pStyle w:val="a3"/>
        <w:numPr>
          <w:ilvl w:val="1"/>
          <w:numId w:val="4"/>
        </w:numPr>
        <w:ind w:left="660" w:hanging="660"/>
        <w:rPr>
          <w:lang w:val="hu-HU"/>
        </w:rPr>
      </w:pPr>
      <w:r>
        <w:rPr>
          <w:rFonts w:eastAsia="Times New Roman"/>
          <w:lang w:val="hu-HU"/>
        </w:rPr>
        <w:t xml:space="preserve">közepesen súlyos – </w:t>
      </w:r>
      <w:r w:rsidR="00435A19" w:rsidRPr="009167C6">
        <w:rPr>
          <w:lang w:val="hu-HU"/>
        </w:rPr>
        <w:t> </w:t>
      </w:r>
      <w:r>
        <w:rPr>
          <w:rFonts w:eastAsia="Times New Roman"/>
          <w:lang w:val="hu-HU"/>
        </w:rPr>
        <w:t>súlyos hidradenitisz szuppurativában szenvedő felnőttek</w:t>
      </w:r>
    </w:p>
    <w:p w14:paraId="58EA8BCA" w14:textId="5EF0F4FF" w:rsidR="00130E8B" w:rsidRDefault="000405CC">
      <w:pPr>
        <w:pStyle w:val="a3"/>
        <w:numPr>
          <w:ilvl w:val="1"/>
          <w:numId w:val="4"/>
        </w:numPr>
        <w:ind w:left="660" w:hanging="660"/>
        <w:rPr>
          <w:lang w:val="hu-HU"/>
        </w:rPr>
      </w:pPr>
      <w:r>
        <w:rPr>
          <w:rFonts w:eastAsia="Times New Roman"/>
          <w:lang w:val="hu-HU"/>
        </w:rPr>
        <w:t xml:space="preserve">közepesen súlyos – </w:t>
      </w:r>
      <w:r w:rsidR="00435A19" w:rsidRPr="009167C6">
        <w:rPr>
          <w:lang w:val="hu-HU"/>
        </w:rPr>
        <w:t> </w:t>
      </w:r>
      <w:r>
        <w:rPr>
          <w:rFonts w:eastAsia="Times New Roman"/>
          <w:lang w:val="hu-HU"/>
        </w:rPr>
        <w:t xml:space="preserve">súlyos hidradenitisz szuppurativában szenvedő </w:t>
      </w:r>
      <w:r w:rsidR="006C20CC">
        <w:rPr>
          <w:rFonts w:eastAsia="Times New Roman"/>
          <w:lang w:val="hu-HU"/>
        </w:rPr>
        <w:t>serdülők (</w:t>
      </w:r>
      <w:r>
        <w:rPr>
          <w:rFonts w:eastAsia="Times New Roman"/>
          <w:lang w:val="hu-HU"/>
        </w:rPr>
        <w:t>12-</w:t>
      </w:r>
      <w:r w:rsidR="00435A19">
        <w:rPr>
          <w:rFonts w:eastAsia="Times New Roman"/>
          <w:lang w:val="hu-HU"/>
        </w:rPr>
        <w:t xml:space="preserve">től betöltött </w:t>
      </w:r>
      <w:r w:rsidR="00AE0D26">
        <w:rPr>
          <w:rFonts w:eastAsia="Times New Roman"/>
          <w:lang w:val="hu-HU"/>
        </w:rPr>
        <w:t>1</w:t>
      </w:r>
      <w:r w:rsidR="005D4167">
        <w:rPr>
          <w:rFonts w:eastAsia="Times New Roman"/>
          <w:lang w:val="hu-HU"/>
        </w:rPr>
        <w:t>8</w:t>
      </w:r>
      <w:r w:rsidR="00435A19">
        <w:rPr>
          <w:rFonts w:eastAsia="Times New Roman"/>
          <w:lang w:val="hu-HU"/>
        </w:rPr>
        <w:t xml:space="preserve"> </w:t>
      </w:r>
      <w:r>
        <w:rPr>
          <w:rFonts w:eastAsia="Times New Roman"/>
          <w:lang w:val="hu-HU"/>
        </w:rPr>
        <w:t>éves</w:t>
      </w:r>
      <w:r w:rsidR="00435A19">
        <w:rPr>
          <w:rFonts w:eastAsia="Times New Roman"/>
          <w:lang w:val="hu-HU"/>
        </w:rPr>
        <w:t xml:space="preserve"> korig</w:t>
      </w:r>
      <w:r w:rsidR="006C20CC">
        <w:rPr>
          <w:rFonts w:eastAsia="Times New Roman"/>
          <w:lang w:val="hu-HU"/>
        </w:rPr>
        <w:t>)</w:t>
      </w:r>
      <w:r>
        <w:rPr>
          <w:rFonts w:eastAsia="Times New Roman"/>
          <w:lang w:val="hu-HU"/>
        </w:rPr>
        <w:t xml:space="preserve"> kezelésére.</w:t>
      </w:r>
    </w:p>
    <w:p w14:paraId="3901B9B9" w14:textId="77777777" w:rsidR="00130E8B" w:rsidRDefault="00130E8B">
      <w:pPr>
        <w:spacing w:before="10" w:line="240" w:lineRule="exact"/>
        <w:rPr>
          <w:sz w:val="24"/>
          <w:szCs w:val="24"/>
          <w:lang w:val="hu-HU"/>
        </w:rPr>
      </w:pPr>
    </w:p>
    <w:p w14:paraId="123EB2EB" w14:textId="77777777" w:rsidR="00130E8B" w:rsidRDefault="000405CC">
      <w:pPr>
        <w:pStyle w:val="a3"/>
        <w:rPr>
          <w:lang w:val="hu-HU"/>
        </w:rPr>
      </w:pPr>
      <w:r>
        <w:rPr>
          <w:rFonts w:eastAsia="Times New Roman"/>
          <w:lang w:val="hu-HU"/>
        </w:rPr>
        <w:t xml:space="preserve">Yuflyma </w:t>
      </w:r>
      <w:r w:rsidR="00D50B9C" w:rsidRPr="009167C6">
        <w:rPr>
          <w:bCs/>
          <w:lang w:val="hu-HU"/>
        </w:rPr>
        <w:t>csökkenti</w:t>
      </w:r>
      <w:r w:rsidR="00D50B9C">
        <w:rPr>
          <w:rFonts w:eastAsia="Times New Roman"/>
          <w:lang w:val="hu-HU"/>
        </w:rPr>
        <w:t xml:space="preserve"> </w:t>
      </w:r>
      <w:r>
        <w:rPr>
          <w:rFonts w:eastAsia="Times New Roman"/>
          <w:lang w:val="hu-HU"/>
        </w:rPr>
        <w:t xml:space="preserve">a csomók és tályogok számát és </w:t>
      </w:r>
      <w:r w:rsidR="00352DFB">
        <w:rPr>
          <w:rFonts w:eastAsia="Times New Roman"/>
          <w:lang w:val="hu-HU"/>
        </w:rPr>
        <w:t xml:space="preserve">enyhítheti </w:t>
      </w:r>
      <w:r>
        <w:rPr>
          <w:rFonts w:eastAsia="Times New Roman"/>
          <w:lang w:val="hu-HU"/>
        </w:rPr>
        <w:t>a fájdalmat, ami gyakran jár együtt a betegséggel. Először más gyógyszereket kaphat. Ha nem reagál megfelelő módon ezekre a gyógyszerekre, akkor Yuflyma-t fog kapni.</w:t>
      </w:r>
    </w:p>
    <w:p w14:paraId="0A62AA81" w14:textId="77777777" w:rsidR="00130E8B" w:rsidRDefault="00130E8B">
      <w:pPr>
        <w:spacing w:before="18" w:line="240" w:lineRule="exact"/>
        <w:rPr>
          <w:sz w:val="24"/>
          <w:szCs w:val="24"/>
          <w:lang w:val="hu-HU"/>
        </w:rPr>
      </w:pPr>
    </w:p>
    <w:p w14:paraId="0633D522" w14:textId="77777777" w:rsidR="00130E8B" w:rsidRDefault="000405CC">
      <w:pPr>
        <w:pStyle w:val="a3"/>
        <w:rPr>
          <w:b/>
          <w:lang w:val="hu-HU"/>
        </w:rPr>
      </w:pPr>
      <w:r>
        <w:rPr>
          <w:rFonts w:eastAsia="Times New Roman"/>
          <w:b/>
          <w:bCs/>
          <w:lang w:val="hu-HU"/>
        </w:rPr>
        <w:t>Crohn-betegség</w:t>
      </w:r>
    </w:p>
    <w:p w14:paraId="0D842AA8" w14:textId="77777777" w:rsidR="00130E8B" w:rsidRDefault="00130E8B">
      <w:pPr>
        <w:pStyle w:val="a3"/>
        <w:rPr>
          <w:u w:val="single"/>
          <w:lang w:val="hu-HU"/>
        </w:rPr>
      </w:pPr>
    </w:p>
    <w:p w14:paraId="22653671" w14:textId="598D954B" w:rsidR="00130E8B" w:rsidRDefault="000405CC">
      <w:pPr>
        <w:pStyle w:val="a3"/>
        <w:rPr>
          <w:lang w:val="hu-HU"/>
        </w:rPr>
      </w:pPr>
      <w:r>
        <w:rPr>
          <w:rFonts w:eastAsia="Times New Roman"/>
          <w:lang w:val="hu-HU"/>
        </w:rPr>
        <w:t xml:space="preserve">A Crohn-betegség </w:t>
      </w:r>
      <w:r w:rsidR="004A2986">
        <w:rPr>
          <w:rFonts w:eastAsia="Times New Roman"/>
          <w:lang w:val="hu-HU"/>
        </w:rPr>
        <w:t xml:space="preserve">a </w:t>
      </w:r>
      <w:r w:rsidR="00D50B9C">
        <w:rPr>
          <w:lang w:val="hu-HU"/>
        </w:rPr>
        <w:t>vékonybél gyulladásos betegsége</w:t>
      </w:r>
      <w:r>
        <w:rPr>
          <w:rFonts w:eastAsia="Times New Roman"/>
          <w:lang w:val="hu-HU"/>
        </w:rPr>
        <w:t>. A Yuflyma alkalmazható</w:t>
      </w:r>
    </w:p>
    <w:p w14:paraId="1FE64480" w14:textId="18905EFA" w:rsidR="00130E8B" w:rsidRDefault="000405CC">
      <w:pPr>
        <w:pStyle w:val="a3"/>
        <w:numPr>
          <w:ilvl w:val="1"/>
          <w:numId w:val="4"/>
        </w:numPr>
        <w:ind w:left="660" w:hanging="660"/>
        <w:rPr>
          <w:lang w:val="hu-HU"/>
        </w:rPr>
      </w:pPr>
      <w:r>
        <w:rPr>
          <w:rFonts w:eastAsia="Times New Roman"/>
          <w:lang w:val="hu-HU"/>
        </w:rPr>
        <w:t xml:space="preserve">közepesen súlyos – </w:t>
      </w:r>
      <w:r w:rsidR="00435A19" w:rsidRPr="009167C6">
        <w:rPr>
          <w:lang w:val="hu-HU"/>
        </w:rPr>
        <w:t> </w:t>
      </w:r>
      <w:r>
        <w:rPr>
          <w:rFonts w:eastAsia="Times New Roman"/>
          <w:lang w:val="hu-HU"/>
        </w:rPr>
        <w:t>súlyos Crohn-betegségben szenvedő felnőttek és</w:t>
      </w:r>
    </w:p>
    <w:p w14:paraId="5FDEA5DC" w14:textId="45420AA4" w:rsidR="00130E8B" w:rsidRDefault="000405CC">
      <w:pPr>
        <w:pStyle w:val="a3"/>
        <w:numPr>
          <w:ilvl w:val="1"/>
          <w:numId w:val="4"/>
        </w:numPr>
        <w:ind w:left="660" w:hanging="660"/>
        <w:rPr>
          <w:lang w:val="hu-HU"/>
        </w:rPr>
      </w:pPr>
      <w:r>
        <w:rPr>
          <w:rFonts w:eastAsia="Times New Roman"/>
          <w:lang w:val="hu-HU"/>
        </w:rPr>
        <w:t xml:space="preserve">közepesen súlyos – </w:t>
      </w:r>
      <w:r w:rsidR="00435A19" w:rsidRPr="009167C6">
        <w:rPr>
          <w:lang w:val="hu-HU"/>
        </w:rPr>
        <w:t> </w:t>
      </w:r>
      <w:r>
        <w:rPr>
          <w:rFonts w:eastAsia="Times New Roman"/>
          <w:lang w:val="hu-HU"/>
        </w:rPr>
        <w:t>súlyos Crohn-betegségben szenved</w:t>
      </w:r>
      <w:r w:rsidRPr="00435A19">
        <w:rPr>
          <w:rFonts w:eastAsia="Times New Roman"/>
          <w:lang w:val="hu-HU"/>
        </w:rPr>
        <w:t>ő</w:t>
      </w:r>
      <w:r w:rsidR="00067D97">
        <w:rPr>
          <w:rFonts w:eastAsia="Times New Roman"/>
          <w:lang w:val="hu-HU"/>
        </w:rPr>
        <w:t xml:space="preserve"> serdülők</w:t>
      </w:r>
      <w:r w:rsidR="0044419B">
        <w:rPr>
          <w:rFonts w:eastAsia="Times New Roman"/>
          <w:lang w:val="hu-HU"/>
        </w:rPr>
        <w:t xml:space="preserve"> </w:t>
      </w:r>
      <w:r w:rsidR="00067D97">
        <w:rPr>
          <w:rFonts w:eastAsia="Times New Roman"/>
          <w:lang w:val="hu-HU"/>
        </w:rPr>
        <w:t>(</w:t>
      </w:r>
      <w:r w:rsidRPr="00435A19">
        <w:rPr>
          <w:rFonts w:eastAsia="Times New Roman"/>
          <w:lang w:val="hu-HU"/>
        </w:rPr>
        <w:t xml:space="preserve"> 6-</w:t>
      </w:r>
      <w:r w:rsidR="00435A19">
        <w:rPr>
          <w:rFonts w:eastAsia="Times New Roman"/>
          <w:lang w:val="hu-HU"/>
        </w:rPr>
        <w:t xml:space="preserve">tól betöltött </w:t>
      </w:r>
      <w:r w:rsidR="00435A19" w:rsidRPr="00435A19">
        <w:rPr>
          <w:rFonts w:eastAsia="Times New Roman"/>
          <w:lang w:val="hu-HU"/>
        </w:rPr>
        <w:t>1</w:t>
      </w:r>
      <w:r w:rsidR="00435A19">
        <w:rPr>
          <w:rFonts w:eastAsia="Times New Roman"/>
          <w:lang w:val="hu-HU"/>
        </w:rPr>
        <w:t>8</w:t>
      </w:r>
      <w:r w:rsidR="00435A19" w:rsidRPr="00435A19">
        <w:rPr>
          <w:rFonts w:eastAsia="Times New Roman"/>
          <w:lang w:val="hu-HU"/>
        </w:rPr>
        <w:t xml:space="preserve"> </w:t>
      </w:r>
      <w:r w:rsidRPr="00435A19">
        <w:rPr>
          <w:rFonts w:eastAsia="Times New Roman"/>
          <w:lang w:val="hu-HU"/>
        </w:rPr>
        <w:t>éves</w:t>
      </w:r>
      <w:r w:rsidR="00435A19">
        <w:rPr>
          <w:rFonts w:eastAsia="Times New Roman"/>
          <w:lang w:val="hu-HU"/>
        </w:rPr>
        <w:t xml:space="preserve"> korig</w:t>
      </w:r>
      <w:r w:rsidR="00067D97">
        <w:rPr>
          <w:rFonts w:eastAsia="Times New Roman"/>
          <w:lang w:val="hu-HU"/>
        </w:rPr>
        <w:t>)</w:t>
      </w:r>
      <w:r>
        <w:rPr>
          <w:rFonts w:eastAsia="Times New Roman"/>
          <w:lang w:val="hu-HU"/>
        </w:rPr>
        <w:t xml:space="preserve"> kezelésére.</w:t>
      </w:r>
    </w:p>
    <w:p w14:paraId="7B8DCE12" w14:textId="77777777" w:rsidR="00130E8B" w:rsidRDefault="00130E8B">
      <w:pPr>
        <w:spacing w:before="16" w:line="240" w:lineRule="exact"/>
        <w:rPr>
          <w:sz w:val="24"/>
          <w:szCs w:val="24"/>
          <w:lang w:val="hu-HU"/>
        </w:rPr>
      </w:pPr>
    </w:p>
    <w:p w14:paraId="0A2790FD" w14:textId="77777777" w:rsidR="00130E8B" w:rsidRDefault="000405CC">
      <w:pPr>
        <w:pStyle w:val="a3"/>
        <w:rPr>
          <w:lang w:val="hu-HU"/>
        </w:rPr>
      </w:pPr>
      <w:r>
        <w:rPr>
          <w:rFonts w:eastAsia="Times New Roman"/>
          <w:lang w:val="hu-HU"/>
        </w:rPr>
        <w:t>Először más gyógyszereket kaphat. Ha nem reagál megfelelő módon ezekre a gyógyszerekre, akkor Yuflyma-t fog kapni.</w:t>
      </w:r>
    </w:p>
    <w:p w14:paraId="2AF1E48C" w14:textId="77777777" w:rsidR="00130E8B" w:rsidRDefault="00130E8B">
      <w:pPr>
        <w:spacing w:before="15" w:line="240" w:lineRule="exact"/>
        <w:rPr>
          <w:sz w:val="24"/>
          <w:szCs w:val="24"/>
          <w:lang w:val="hu-HU"/>
        </w:rPr>
      </w:pPr>
    </w:p>
    <w:p w14:paraId="1CD98FE6" w14:textId="77777777" w:rsidR="00130E8B" w:rsidRDefault="000405CC">
      <w:pPr>
        <w:pStyle w:val="a3"/>
        <w:rPr>
          <w:b/>
          <w:lang w:val="hu-HU"/>
        </w:rPr>
      </w:pPr>
      <w:r>
        <w:rPr>
          <w:rFonts w:eastAsia="Times New Roman"/>
          <w:b/>
          <w:bCs/>
          <w:lang w:val="hu-HU"/>
        </w:rPr>
        <w:t>Kolitisz ulceróza</w:t>
      </w:r>
    </w:p>
    <w:p w14:paraId="61723781" w14:textId="77777777" w:rsidR="00130E8B" w:rsidRDefault="00130E8B">
      <w:pPr>
        <w:pStyle w:val="a3"/>
        <w:rPr>
          <w:b/>
          <w:lang w:val="hu-HU"/>
        </w:rPr>
      </w:pPr>
    </w:p>
    <w:p w14:paraId="75C83E9B" w14:textId="666617C6" w:rsidR="00130E8B" w:rsidRDefault="000405CC">
      <w:pPr>
        <w:pStyle w:val="a3"/>
        <w:rPr>
          <w:lang w:val="hu-HU"/>
        </w:rPr>
      </w:pPr>
      <w:r>
        <w:rPr>
          <w:rFonts w:eastAsia="Times New Roman"/>
          <w:lang w:val="hu-HU"/>
        </w:rPr>
        <w:t xml:space="preserve">A </w:t>
      </w:r>
      <w:r w:rsidR="0050547A" w:rsidRPr="00167BF3">
        <w:rPr>
          <w:lang w:val="hu-HU"/>
        </w:rPr>
        <w:t xml:space="preserve">kolitisz ulceróza </w:t>
      </w:r>
      <w:r>
        <w:rPr>
          <w:rFonts w:eastAsia="Times New Roman"/>
          <w:lang w:val="hu-HU"/>
        </w:rPr>
        <w:t>a vastagbél gyulladásos betegsége.</w:t>
      </w:r>
    </w:p>
    <w:p w14:paraId="7BDE2ED8" w14:textId="239A49FE" w:rsidR="00EF09AD" w:rsidRDefault="00EF09AD" w:rsidP="00EF09AD">
      <w:pPr>
        <w:keepNext/>
        <w:autoSpaceDE w:val="0"/>
        <w:autoSpaceDN w:val="0"/>
        <w:adjustRightInd w:val="0"/>
        <w:rPr>
          <w:rFonts w:eastAsia="Times New Roman"/>
          <w:lang w:val="hu-HU"/>
        </w:rPr>
      </w:pPr>
    </w:p>
    <w:p w14:paraId="0C97F63A" w14:textId="237BCBEE" w:rsidR="00EF09AD" w:rsidRPr="00EF09AD" w:rsidRDefault="00EF09AD" w:rsidP="00EF09AD">
      <w:pPr>
        <w:keepNext/>
        <w:autoSpaceDE w:val="0"/>
        <w:autoSpaceDN w:val="0"/>
        <w:adjustRightInd w:val="0"/>
        <w:rPr>
          <w:rFonts w:ascii="Times New Roman" w:eastAsia="바탕" w:hAnsi="Times New Roman" w:cs="Times New Roman"/>
          <w:bCs/>
          <w:lang w:val="hu-HU" w:eastAsia="hu-HU"/>
        </w:rPr>
      </w:pPr>
      <w:r w:rsidRPr="00EF09AD">
        <w:rPr>
          <w:rFonts w:ascii="Times New Roman" w:eastAsia="바탕" w:hAnsi="Times New Roman" w:cs="Times New Roman"/>
          <w:bCs/>
          <w:lang w:val="hu-HU" w:eastAsia="hu-HU"/>
        </w:rPr>
        <w:t xml:space="preserve">A </w:t>
      </w:r>
      <w:r>
        <w:rPr>
          <w:rFonts w:ascii="Times New Roman" w:eastAsia="바탕" w:hAnsi="Times New Roman" w:cs="Times New Roman"/>
          <w:bCs/>
          <w:lang w:val="hu-HU" w:eastAsia="hu-HU"/>
        </w:rPr>
        <w:t>Yuflyma</w:t>
      </w:r>
      <w:r w:rsidRPr="00EF09AD">
        <w:rPr>
          <w:rFonts w:ascii="Times New Roman" w:eastAsia="바탕" w:hAnsi="Times New Roman" w:cs="Times New Roman"/>
          <w:bCs/>
          <w:lang w:val="hu-HU" w:eastAsia="hu-HU"/>
        </w:rPr>
        <w:t xml:space="preserve"> alkalmazható</w:t>
      </w:r>
    </w:p>
    <w:p w14:paraId="3CCDC2D9" w14:textId="77777777" w:rsidR="00EF09AD" w:rsidRPr="00EF09AD" w:rsidRDefault="00EF09AD" w:rsidP="00FD05AA">
      <w:pPr>
        <w:keepNext/>
        <w:widowControl/>
        <w:numPr>
          <w:ilvl w:val="0"/>
          <w:numId w:val="51"/>
        </w:numPr>
        <w:suppressAutoHyphens/>
        <w:autoSpaceDE w:val="0"/>
        <w:autoSpaceDN w:val="0"/>
        <w:adjustRightInd w:val="0"/>
        <w:spacing w:line="260" w:lineRule="exact"/>
        <w:rPr>
          <w:rFonts w:ascii="Times New Roman" w:eastAsia="바탕" w:hAnsi="Times New Roman" w:cs="Times New Roman"/>
          <w:lang w:val="hu-HU" w:eastAsia="hu-HU"/>
        </w:rPr>
      </w:pPr>
      <w:r w:rsidRPr="00EF09AD">
        <w:rPr>
          <w:rFonts w:ascii="Times New Roman" w:eastAsia="바탕" w:hAnsi="Times New Roman" w:cs="Times New Roman"/>
          <w:bCs/>
          <w:lang w:val="hu-HU" w:eastAsia="hu-HU"/>
        </w:rPr>
        <w:t>közepesen súlyos</w:t>
      </w:r>
      <w:r w:rsidRPr="00EF09AD">
        <w:rPr>
          <w:rFonts w:ascii="Times New Roman" w:eastAsia="바탕" w:hAnsi="Times New Roman" w:cs="Times New Roman"/>
          <w:bCs/>
          <w:lang w:val="hu-HU" w:eastAsia="hu-HU"/>
        </w:rPr>
        <w:noBreakHyphen/>
        <w:t>súlyos felnőttkori kolitisz ulceróza kezelésére és</w:t>
      </w:r>
    </w:p>
    <w:p w14:paraId="3CB8C604" w14:textId="77777777" w:rsidR="00EF09AD" w:rsidRPr="00EF09AD" w:rsidRDefault="00EF09AD" w:rsidP="00FD05AA">
      <w:pPr>
        <w:keepNext/>
        <w:widowControl/>
        <w:numPr>
          <w:ilvl w:val="0"/>
          <w:numId w:val="51"/>
        </w:numPr>
        <w:suppressAutoHyphens/>
        <w:autoSpaceDE w:val="0"/>
        <w:autoSpaceDN w:val="0"/>
        <w:adjustRightInd w:val="0"/>
        <w:spacing w:line="260" w:lineRule="exact"/>
        <w:rPr>
          <w:rFonts w:ascii="Times New Roman" w:eastAsia="바탕" w:hAnsi="Times New Roman" w:cs="Times New Roman"/>
          <w:bCs/>
          <w:lang w:val="hu-HU" w:eastAsia="hu-HU"/>
        </w:rPr>
      </w:pPr>
      <w:r w:rsidRPr="00EF09AD">
        <w:rPr>
          <w:rFonts w:ascii="Times New Roman" w:eastAsia="바탕" w:hAnsi="Times New Roman" w:cs="Times New Roman"/>
          <w:bCs/>
          <w:lang w:val="hu-HU" w:eastAsia="hu-HU"/>
        </w:rPr>
        <w:t>közepesen súlyos</w:t>
      </w:r>
      <w:r w:rsidRPr="00EF09AD">
        <w:rPr>
          <w:rFonts w:ascii="Times New Roman" w:eastAsia="바탕" w:hAnsi="Times New Roman" w:cs="Times New Roman"/>
          <w:bCs/>
          <w:lang w:val="hu-HU" w:eastAsia="hu-HU"/>
        </w:rPr>
        <w:noBreakHyphen/>
        <w:t>súlyos kolitisz ulceróza kezelésére 6 és 17 éves kor közötti gyermekeknél és serdülőknél.</w:t>
      </w:r>
    </w:p>
    <w:p w14:paraId="07E5D96C" w14:textId="77777777" w:rsidR="00EF09AD" w:rsidRDefault="00EF09AD">
      <w:pPr>
        <w:pStyle w:val="a3"/>
        <w:rPr>
          <w:rFonts w:eastAsia="Times New Roman"/>
          <w:lang w:val="hu-HU"/>
        </w:rPr>
      </w:pPr>
    </w:p>
    <w:p w14:paraId="66D096C5" w14:textId="2DAAFE2B" w:rsidR="00130E8B" w:rsidRDefault="00EF09AD">
      <w:pPr>
        <w:pStyle w:val="a3"/>
        <w:rPr>
          <w:lang w:val="hu-HU"/>
        </w:rPr>
      </w:pPr>
      <w:r w:rsidRPr="004E2591">
        <w:rPr>
          <w:lang w:val="hu-HU"/>
        </w:rPr>
        <w:t xml:space="preserve">Ön először egyéb gyógyszereket kaphat. </w:t>
      </w:r>
      <w:r w:rsidR="0050547A" w:rsidRPr="0050547A">
        <w:rPr>
          <w:lang w:val="hu-HU"/>
        </w:rPr>
        <w:t>Ha ezekre a gyógyszerekre nem reagál megfelelően</w:t>
      </w:r>
      <w:r w:rsidR="000405CC">
        <w:rPr>
          <w:rFonts w:eastAsia="Times New Roman"/>
          <w:lang w:val="hu-HU"/>
        </w:rPr>
        <w:t>, akkor Yuflyma-t fog kapni.</w:t>
      </w:r>
    </w:p>
    <w:p w14:paraId="6B34F48E" w14:textId="77777777" w:rsidR="00130E8B" w:rsidRDefault="00130E8B">
      <w:pPr>
        <w:spacing w:before="15" w:line="240" w:lineRule="exact"/>
        <w:rPr>
          <w:sz w:val="24"/>
          <w:szCs w:val="24"/>
          <w:lang w:val="hu-HU"/>
        </w:rPr>
      </w:pPr>
    </w:p>
    <w:p w14:paraId="6996E87D" w14:textId="77777777" w:rsidR="00130E8B" w:rsidRDefault="000405CC">
      <w:pPr>
        <w:pStyle w:val="a3"/>
        <w:rPr>
          <w:b/>
          <w:lang w:val="hu-HU"/>
        </w:rPr>
      </w:pPr>
      <w:r>
        <w:rPr>
          <w:rFonts w:eastAsia="Times New Roman"/>
          <w:b/>
          <w:bCs/>
          <w:lang w:val="hu-HU"/>
        </w:rPr>
        <w:t>Nem fertőzéses eredetű szemgyulladás (uveitisz)</w:t>
      </w:r>
    </w:p>
    <w:p w14:paraId="5D61FBD2" w14:textId="77777777" w:rsidR="00130E8B" w:rsidRDefault="00130E8B">
      <w:pPr>
        <w:pStyle w:val="a3"/>
        <w:rPr>
          <w:lang w:val="hu-HU"/>
        </w:rPr>
      </w:pPr>
    </w:p>
    <w:p w14:paraId="13067D29" w14:textId="77777777" w:rsidR="00130E8B" w:rsidRDefault="000405CC">
      <w:pPr>
        <w:pStyle w:val="a3"/>
        <w:rPr>
          <w:lang w:val="hu-HU"/>
        </w:rPr>
      </w:pPr>
      <w:r>
        <w:rPr>
          <w:rFonts w:eastAsia="Times New Roman"/>
          <w:lang w:val="hu-HU"/>
        </w:rPr>
        <w:t>A nem fertőzéses eredetű szemgyulladás egy gyulladásos betegség, mely a szem bizonyos részeit érinti. A Yuflyma alkalmazható</w:t>
      </w:r>
    </w:p>
    <w:p w14:paraId="1595EE80" w14:textId="27A54EB7" w:rsidR="00435A19" w:rsidRDefault="004A2986" w:rsidP="00435A19">
      <w:pPr>
        <w:pStyle w:val="a3"/>
        <w:numPr>
          <w:ilvl w:val="1"/>
          <w:numId w:val="4"/>
        </w:numPr>
        <w:ind w:left="660" w:hanging="660"/>
        <w:rPr>
          <w:lang w:val="hu-HU"/>
        </w:rPr>
      </w:pPr>
      <w:r>
        <w:rPr>
          <w:rFonts w:eastAsia="Times New Roman"/>
          <w:lang w:val="hu-HU"/>
        </w:rPr>
        <w:t>f</w:t>
      </w:r>
      <w:r w:rsidR="00435A19">
        <w:rPr>
          <w:rFonts w:eastAsia="Times New Roman"/>
          <w:lang w:val="hu-HU"/>
        </w:rPr>
        <w:t>elnőttkori, nem fertőzéses eredetű szemgyulladás kezelésére, amikor a gyulladás a szem hátsó részét (szemfeneket) érinti</w:t>
      </w:r>
    </w:p>
    <w:p w14:paraId="33EB6B15" w14:textId="77777777" w:rsidR="00435A19" w:rsidRDefault="00435A19" w:rsidP="00435A19">
      <w:pPr>
        <w:pStyle w:val="a3"/>
        <w:numPr>
          <w:ilvl w:val="1"/>
          <w:numId w:val="4"/>
        </w:numPr>
        <w:ind w:left="660" w:hanging="660"/>
        <w:rPr>
          <w:lang w:val="hu-HU"/>
        </w:rPr>
      </w:pPr>
      <w:r>
        <w:rPr>
          <w:rFonts w:eastAsia="Times New Roman"/>
          <w:lang w:val="hu-HU"/>
        </w:rPr>
        <w:t>2 évnél idősebb gyermekeknél a krónikus, nem fertőzéses eredetű szemgyulladás kezelésére, amikor a gyulladás a szem elülső részét érinti</w:t>
      </w:r>
    </w:p>
    <w:p w14:paraId="6977E283" w14:textId="77777777" w:rsidR="00130E8B" w:rsidRDefault="00130E8B">
      <w:pPr>
        <w:pStyle w:val="a3"/>
        <w:rPr>
          <w:lang w:val="hu-HU"/>
        </w:rPr>
      </w:pPr>
    </w:p>
    <w:p w14:paraId="3739AC48" w14:textId="0BC98E9C" w:rsidR="00130E8B" w:rsidRDefault="000405CC">
      <w:pPr>
        <w:pStyle w:val="a3"/>
        <w:rPr>
          <w:lang w:val="hu-HU"/>
        </w:rPr>
      </w:pPr>
      <w:r>
        <w:rPr>
          <w:rFonts w:eastAsia="Times New Roman"/>
          <w:lang w:val="hu-HU"/>
        </w:rPr>
        <w:t xml:space="preserve">A gyulladás látáscsökkenéshez és/vagy a szemben úszkáló homályok (fekete pontok vagy vékony csíkok, melyek a </w:t>
      </w:r>
      <w:r w:rsidR="004A2986" w:rsidRPr="00EA3398">
        <w:rPr>
          <w:rFonts w:eastAsia="Times New Roman"/>
          <w:lang w:val="hu-HU"/>
        </w:rPr>
        <w:t>látótérben</w:t>
      </w:r>
      <w:r w:rsidR="004A2986">
        <w:rPr>
          <w:rFonts w:eastAsia="Times New Roman"/>
          <w:lang w:val="hu-HU"/>
        </w:rPr>
        <w:t xml:space="preserve"> </w:t>
      </w:r>
      <w:r>
        <w:rPr>
          <w:rFonts w:eastAsia="Times New Roman"/>
          <w:lang w:val="hu-HU"/>
        </w:rPr>
        <w:t>mozognak) jelenlétéhez vezethet. A Yuflyma ezt a gyulladást csökkenti.</w:t>
      </w:r>
    </w:p>
    <w:p w14:paraId="3A932730" w14:textId="77777777" w:rsidR="00130E8B" w:rsidRDefault="00130E8B">
      <w:pPr>
        <w:spacing w:before="10" w:line="240" w:lineRule="exact"/>
        <w:rPr>
          <w:sz w:val="24"/>
          <w:szCs w:val="24"/>
          <w:lang w:val="hu-HU"/>
        </w:rPr>
      </w:pPr>
    </w:p>
    <w:p w14:paraId="3A533EE5" w14:textId="77777777" w:rsidR="00130E8B" w:rsidRDefault="000405CC">
      <w:pPr>
        <w:pStyle w:val="a3"/>
        <w:rPr>
          <w:lang w:val="hu-HU"/>
        </w:rPr>
      </w:pPr>
      <w:r>
        <w:rPr>
          <w:rFonts w:eastAsia="Times New Roman"/>
          <w:lang w:val="hu-HU"/>
        </w:rPr>
        <w:t>Először más gyógyszereket kaphat. Ha nem reagál megfelelő módon ezekre a gyógyszerekre, akkor Yuflyma-t fog kapni.</w:t>
      </w:r>
    </w:p>
    <w:p w14:paraId="26A0A498" w14:textId="77777777" w:rsidR="00130E8B" w:rsidRDefault="00130E8B">
      <w:pPr>
        <w:spacing w:before="18" w:line="240" w:lineRule="exact"/>
        <w:rPr>
          <w:rFonts w:ascii="Times New Roman" w:hAnsi="Times New Roman" w:cs="Times New Roman"/>
          <w:b/>
          <w:lang w:val="hu-HU"/>
        </w:rPr>
      </w:pPr>
    </w:p>
    <w:p w14:paraId="7BD7270B" w14:textId="77777777" w:rsidR="00130E8B" w:rsidRDefault="00130E8B">
      <w:pPr>
        <w:spacing w:before="18" w:line="240" w:lineRule="exact"/>
        <w:ind w:left="108"/>
        <w:rPr>
          <w:rFonts w:ascii="Times New Roman" w:hAnsi="Times New Roman" w:cs="Times New Roman"/>
          <w:b/>
          <w:lang w:val="hu-HU"/>
        </w:rPr>
      </w:pPr>
    </w:p>
    <w:p w14:paraId="0801CA4F" w14:textId="77777777" w:rsidR="00130E8B" w:rsidRDefault="000405CC">
      <w:pPr>
        <w:pStyle w:val="a4"/>
        <w:numPr>
          <w:ilvl w:val="0"/>
          <w:numId w:val="32"/>
        </w:numPr>
        <w:spacing w:before="18" w:line="240" w:lineRule="exact"/>
        <w:ind w:left="357" w:hanging="357"/>
        <w:rPr>
          <w:lang w:val="hu-HU"/>
        </w:rPr>
      </w:pPr>
      <w:r>
        <w:rPr>
          <w:rFonts w:ascii="Times New Roman" w:eastAsia="Times New Roman" w:hAnsi="Times New Roman" w:cs="Times New Roman"/>
          <w:b/>
          <w:bCs/>
          <w:lang w:val="hu-HU"/>
        </w:rPr>
        <w:t>Tudnivalók a Yuflyma alkalmazása előtt</w:t>
      </w:r>
    </w:p>
    <w:p w14:paraId="47BAEF2C" w14:textId="77777777" w:rsidR="00130E8B" w:rsidRDefault="00130E8B">
      <w:pPr>
        <w:spacing w:before="18" w:line="240" w:lineRule="exact"/>
        <w:ind w:left="108"/>
        <w:rPr>
          <w:b/>
          <w:bCs/>
          <w:lang w:val="hu-HU"/>
        </w:rPr>
      </w:pPr>
    </w:p>
    <w:p w14:paraId="697646D8" w14:textId="77777777" w:rsidR="00130E8B" w:rsidRDefault="000405CC">
      <w:pPr>
        <w:pStyle w:val="a3"/>
        <w:rPr>
          <w:b/>
          <w:lang w:val="hu-HU"/>
        </w:rPr>
      </w:pPr>
      <w:r>
        <w:rPr>
          <w:rFonts w:eastAsia="Times New Roman"/>
          <w:b/>
          <w:bCs/>
          <w:lang w:val="hu-HU"/>
        </w:rPr>
        <w:t>Ne alkalmazza a Yuflymát:</w:t>
      </w:r>
    </w:p>
    <w:p w14:paraId="7988C0D4" w14:textId="77777777" w:rsidR="00130E8B" w:rsidRDefault="00130E8B">
      <w:pPr>
        <w:pStyle w:val="a3"/>
        <w:rPr>
          <w:b/>
          <w:lang w:val="hu-HU"/>
        </w:rPr>
      </w:pPr>
    </w:p>
    <w:p w14:paraId="0E5A8898" w14:textId="77777777" w:rsidR="00130E8B" w:rsidRDefault="000405CC">
      <w:pPr>
        <w:pStyle w:val="a3"/>
        <w:numPr>
          <w:ilvl w:val="1"/>
          <w:numId w:val="4"/>
        </w:numPr>
        <w:ind w:left="660" w:hanging="660"/>
        <w:rPr>
          <w:lang w:val="hu-HU"/>
        </w:rPr>
      </w:pPr>
      <w:r>
        <w:rPr>
          <w:rFonts w:eastAsia="Times New Roman"/>
          <w:lang w:val="hu-HU"/>
        </w:rPr>
        <w:t>ha allergiás az adalimumabra vagy a gyógyszer (6. pontban felsorolt) egyéb összetevőjére;</w:t>
      </w:r>
    </w:p>
    <w:p w14:paraId="4236E132" w14:textId="77777777" w:rsidR="00130E8B" w:rsidRDefault="00130E8B">
      <w:pPr>
        <w:pStyle w:val="a3"/>
        <w:numPr>
          <w:ilvl w:val="0"/>
          <w:numId w:val="0"/>
        </w:numPr>
        <w:ind w:left="660"/>
        <w:rPr>
          <w:lang w:val="hu-HU"/>
        </w:rPr>
      </w:pPr>
    </w:p>
    <w:p w14:paraId="4E6A1AEC" w14:textId="4E70BF21" w:rsidR="00130E8B" w:rsidRDefault="004A2986">
      <w:pPr>
        <w:pStyle w:val="a3"/>
        <w:numPr>
          <w:ilvl w:val="1"/>
          <w:numId w:val="4"/>
        </w:numPr>
        <w:ind w:left="660" w:hanging="660"/>
        <w:rPr>
          <w:lang w:val="hu-HU"/>
        </w:rPr>
      </w:pPr>
      <w:r>
        <w:rPr>
          <w:rFonts w:eastAsia="Times New Roman"/>
          <w:lang w:val="hu-HU"/>
        </w:rPr>
        <w:t>h</w:t>
      </w:r>
      <w:r w:rsidR="000405CC">
        <w:rPr>
          <w:rFonts w:eastAsia="Times New Roman"/>
          <w:lang w:val="hu-HU"/>
        </w:rPr>
        <w:t>a aktív tuberkulózisban vagy más súlyos fertőzésben szenved (lásd „Figyelmeztetések és óvintézkedések”). Kezelőorvosával feltétlenül közölje, ha bármilyen fertőzésre utaló tünete van, mint p</w:t>
      </w:r>
      <w:r w:rsidR="00E659F6">
        <w:rPr>
          <w:rFonts w:eastAsia="Times New Roman"/>
          <w:lang w:val="hu-HU"/>
        </w:rPr>
        <w:t>éldául</w:t>
      </w:r>
      <w:r w:rsidR="000405CC">
        <w:rPr>
          <w:rFonts w:eastAsia="Times New Roman"/>
          <w:lang w:val="hu-HU"/>
        </w:rPr>
        <w:t xml:space="preserve"> láz, sebek, fáradtságérzés, fogászati problémák.</w:t>
      </w:r>
    </w:p>
    <w:p w14:paraId="5797AED1" w14:textId="77777777" w:rsidR="00130E8B" w:rsidRDefault="00130E8B">
      <w:pPr>
        <w:pStyle w:val="a3"/>
        <w:numPr>
          <w:ilvl w:val="0"/>
          <w:numId w:val="0"/>
        </w:numPr>
        <w:ind w:left="660"/>
        <w:rPr>
          <w:lang w:val="hu-HU"/>
        </w:rPr>
      </w:pPr>
    </w:p>
    <w:p w14:paraId="711A7505" w14:textId="67460418" w:rsidR="00130E8B" w:rsidRDefault="004A2986">
      <w:pPr>
        <w:pStyle w:val="a3"/>
        <w:numPr>
          <w:ilvl w:val="1"/>
          <w:numId w:val="4"/>
        </w:numPr>
        <w:ind w:left="660" w:hanging="660"/>
        <w:rPr>
          <w:lang w:val="hu-HU"/>
        </w:rPr>
      </w:pPr>
      <w:r>
        <w:rPr>
          <w:rFonts w:eastAsia="Times New Roman"/>
          <w:lang w:val="hu-HU"/>
        </w:rPr>
        <w:t>h</w:t>
      </w:r>
      <w:r w:rsidR="000405CC">
        <w:rPr>
          <w:rFonts w:eastAsia="Times New Roman"/>
          <w:lang w:val="hu-HU"/>
        </w:rPr>
        <w:t xml:space="preserve">a Ön közepesen súlyos vagy súlyos szívelégtelenségben szenved. Kezelőorvosával feltétlenül közölje, ha </w:t>
      </w:r>
      <w:r w:rsidRPr="00EA3398">
        <w:rPr>
          <w:rFonts w:eastAsia="Times New Roman" w:hint="eastAsia"/>
          <w:lang w:val="hu-HU"/>
        </w:rPr>
        <w:t>Ö</w:t>
      </w:r>
      <w:r w:rsidRPr="00EA3398">
        <w:rPr>
          <w:rFonts w:eastAsia="Times New Roman"/>
          <w:lang w:val="hu-HU"/>
        </w:rPr>
        <w:t>nnek korábban vagy most fennálló súlyos szívproblémája van</w:t>
      </w:r>
      <w:r w:rsidR="000405CC">
        <w:rPr>
          <w:rFonts w:eastAsia="Times New Roman"/>
          <w:lang w:val="hu-HU"/>
        </w:rPr>
        <w:t xml:space="preserve"> (lásd „Figyelmeztetések és óvintézkedések”).</w:t>
      </w:r>
    </w:p>
    <w:p w14:paraId="1F082CA4" w14:textId="77777777" w:rsidR="00130E8B" w:rsidRDefault="00130E8B">
      <w:pPr>
        <w:spacing w:before="13" w:line="240" w:lineRule="exact"/>
        <w:rPr>
          <w:sz w:val="24"/>
          <w:szCs w:val="24"/>
          <w:lang w:val="hu-HU"/>
        </w:rPr>
      </w:pPr>
    </w:p>
    <w:p w14:paraId="17A551BE" w14:textId="77777777" w:rsidR="00130E8B" w:rsidRDefault="000405CC">
      <w:pPr>
        <w:pStyle w:val="a3"/>
        <w:rPr>
          <w:b/>
          <w:lang w:val="hu-HU"/>
        </w:rPr>
      </w:pPr>
      <w:r>
        <w:rPr>
          <w:rFonts w:eastAsia="Times New Roman"/>
          <w:b/>
          <w:bCs/>
          <w:lang w:val="hu-HU"/>
        </w:rPr>
        <w:t>Figyelmeztetések és óvintézkedések</w:t>
      </w:r>
    </w:p>
    <w:p w14:paraId="3C3DA869" w14:textId="77777777" w:rsidR="00130E8B" w:rsidRDefault="00130E8B">
      <w:pPr>
        <w:spacing w:before="9" w:line="240" w:lineRule="exact"/>
        <w:rPr>
          <w:sz w:val="24"/>
          <w:szCs w:val="24"/>
          <w:lang w:val="hu-HU"/>
        </w:rPr>
      </w:pPr>
    </w:p>
    <w:p w14:paraId="24729B70" w14:textId="77777777" w:rsidR="00130E8B" w:rsidRDefault="000405CC">
      <w:pPr>
        <w:pStyle w:val="a3"/>
        <w:rPr>
          <w:lang w:val="hu-HU"/>
        </w:rPr>
      </w:pPr>
      <w:r>
        <w:rPr>
          <w:rFonts w:eastAsia="Times New Roman"/>
          <w:lang w:val="hu-HU"/>
        </w:rPr>
        <w:t>A Yuflyma alkalmazása előtt beszéljen kezelőorvosával vagy gyógyszerészével</w:t>
      </w:r>
    </w:p>
    <w:p w14:paraId="5BC1E29D" w14:textId="77777777" w:rsidR="00130E8B" w:rsidRDefault="00130E8B">
      <w:pPr>
        <w:pStyle w:val="a3"/>
        <w:rPr>
          <w:lang w:val="hu-HU"/>
        </w:rPr>
      </w:pPr>
    </w:p>
    <w:p w14:paraId="381F9374" w14:textId="77777777" w:rsidR="00130E8B" w:rsidRDefault="000405CC">
      <w:pPr>
        <w:pStyle w:val="a3"/>
        <w:rPr>
          <w:u w:val="single" w:color="000000"/>
          <w:lang w:val="hu-HU"/>
        </w:rPr>
      </w:pPr>
      <w:r>
        <w:rPr>
          <w:rFonts w:eastAsia="Times New Roman"/>
          <w:u w:val="single" w:color="000000"/>
          <w:lang w:val="hu-HU"/>
        </w:rPr>
        <w:t>Allergiás reakciók</w:t>
      </w:r>
    </w:p>
    <w:p w14:paraId="2E688AA1" w14:textId="77777777" w:rsidR="00130E8B" w:rsidRDefault="00130E8B">
      <w:pPr>
        <w:pStyle w:val="a3"/>
        <w:rPr>
          <w:u w:val="single"/>
          <w:lang w:val="hu-HU"/>
        </w:rPr>
      </w:pPr>
    </w:p>
    <w:p w14:paraId="7B9B12E2" w14:textId="2CE08B9D" w:rsidR="00130E8B" w:rsidRDefault="000405CC">
      <w:pPr>
        <w:pStyle w:val="a3"/>
        <w:numPr>
          <w:ilvl w:val="1"/>
          <w:numId w:val="4"/>
        </w:numPr>
        <w:ind w:left="660" w:hanging="660"/>
        <w:rPr>
          <w:lang w:val="hu-HU"/>
        </w:rPr>
      </w:pPr>
      <w:r>
        <w:rPr>
          <w:rFonts w:eastAsia="Times New Roman"/>
          <w:lang w:val="hu-HU"/>
        </w:rPr>
        <w:t xml:space="preserve">Ha olyan allergiás reakciókat észlel, mint mellkasi szorítás, </w:t>
      </w:r>
      <w:r w:rsidR="00966EB2">
        <w:rPr>
          <w:lang w:val="hu-HU"/>
        </w:rPr>
        <w:t>ziháló légzés</w:t>
      </w:r>
      <w:r>
        <w:rPr>
          <w:rFonts w:eastAsia="Times New Roman"/>
          <w:lang w:val="hu-HU"/>
        </w:rPr>
        <w:t>, szédülés, duzzanat vagy viszketés, ne használja tovább a Yuflyma-t, és azonnal forduljon kezelőorvosához, mivel ritka esetekben ezek a reakciók életveszélyesek lehetnek.</w:t>
      </w:r>
    </w:p>
    <w:p w14:paraId="0730647C" w14:textId="77777777" w:rsidR="00130E8B" w:rsidRDefault="00130E8B">
      <w:pPr>
        <w:pStyle w:val="a3"/>
        <w:rPr>
          <w:b/>
          <w:lang w:val="hu-HU"/>
        </w:rPr>
      </w:pPr>
    </w:p>
    <w:p w14:paraId="668BB09A" w14:textId="77777777" w:rsidR="00130E8B" w:rsidRDefault="000405CC">
      <w:pPr>
        <w:pStyle w:val="a3"/>
        <w:rPr>
          <w:u w:val="single"/>
          <w:lang w:val="hu-HU"/>
        </w:rPr>
      </w:pPr>
      <w:r>
        <w:rPr>
          <w:rFonts w:eastAsia="Times New Roman"/>
          <w:u w:val="single"/>
          <w:lang w:val="hu-HU"/>
        </w:rPr>
        <w:t>Fertőzések</w:t>
      </w:r>
    </w:p>
    <w:p w14:paraId="1802EFB2" w14:textId="77777777" w:rsidR="00130E8B" w:rsidRDefault="00130E8B">
      <w:pPr>
        <w:pStyle w:val="a3"/>
        <w:rPr>
          <w:b/>
          <w:lang w:val="hu-HU"/>
        </w:rPr>
      </w:pPr>
    </w:p>
    <w:p w14:paraId="43B23AC8" w14:textId="3D58D157" w:rsidR="00130E8B" w:rsidRDefault="000405CC">
      <w:pPr>
        <w:pStyle w:val="a3"/>
        <w:numPr>
          <w:ilvl w:val="1"/>
          <w:numId w:val="4"/>
        </w:numPr>
        <w:ind w:left="660" w:hanging="660"/>
        <w:rPr>
          <w:lang w:val="hu-HU"/>
        </w:rPr>
      </w:pPr>
      <w:r>
        <w:rPr>
          <w:rFonts w:eastAsia="Times New Roman"/>
          <w:lang w:val="hu-HU"/>
        </w:rPr>
        <w:t>Ha fertőzésben szenved, ideértve a hosszantartó vagy a test egy részét érintő fertőzést (</w:t>
      </w:r>
      <w:r w:rsidR="00E712D7">
        <w:rPr>
          <w:rFonts w:eastAsia="Times New Roman"/>
          <w:lang w:val="hu-HU"/>
        </w:rPr>
        <w:t>például</w:t>
      </w:r>
      <w:r>
        <w:rPr>
          <w:rFonts w:eastAsia="Times New Roman"/>
          <w:lang w:val="hu-HU"/>
        </w:rPr>
        <w:t xml:space="preserve"> lábszárfekély), beszéljen kezelőorvosával a Yuflyma alkalmazása előtt. Ha kétségei vannak, forduljon kezelőorvosához.</w:t>
      </w:r>
    </w:p>
    <w:p w14:paraId="2785F08F" w14:textId="77777777" w:rsidR="00130E8B" w:rsidRDefault="00130E8B">
      <w:pPr>
        <w:pStyle w:val="a3"/>
        <w:rPr>
          <w:lang w:val="hu-HU"/>
        </w:rPr>
      </w:pPr>
    </w:p>
    <w:p w14:paraId="586A78FC" w14:textId="2670110B" w:rsidR="00130E8B" w:rsidRDefault="000405CC">
      <w:pPr>
        <w:pStyle w:val="a3"/>
        <w:numPr>
          <w:ilvl w:val="1"/>
          <w:numId w:val="4"/>
        </w:numPr>
        <w:ind w:left="660" w:hanging="660"/>
        <w:rPr>
          <w:lang w:val="hu-HU"/>
        </w:rPr>
      </w:pPr>
      <w:r>
        <w:rPr>
          <w:rFonts w:eastAsia="Times New Roman"/>
          <w:lang w:val="hu-HU"/>
        </w:rPr>
        <w:t xml:space="preserve">A Yuflyma-kezelés során könnyebben </w:t>
      </w:r>
      <w:r w:rsidR="004A2986" w:rsidRPr="00EA3398">
        <w:rPr>
          <w:rFonts w:eastAsia="Times New Roman"/>
          <w:lang w:val="hu-HU"/>
        </w:rPr>
        <w:t>megfertőződhet</w:t>
      </w:r>
      <w:r>
        <w:rPr>
          <w:rFonts w:eastAsia="Times New Roman"/>
          <w:lang w:val="hu-HU"/>
        </w:rPr>
        <w:t>. Ennek veszélye nagyobb lehet, ha tüdőbetegsége van. Ezek a fertőzések súlyosak lehetnek és közéjük tartozik:</w:t>
      </w:r>
    </w:p>
    <w:p w14:paraId="07B04FFD" w14:textId="77777777" w:rsidR="00130E8B" w:rsidRDefault="000405CC">
      <w:pPr>
        <w:pStyle w:val="a3"/>
        <w:numPr>
          <w:ilvl w:val="1"/>
          <w:numId w:val="4"/>
        </w:numPr>
        <w:ind w:left="660" w:firstLine="49"/>
        <w:rPr>
          <w:lang w:val="hu-HU"/>
        </w:rPr>
      </w:pPr>
      <w:r>
        <w:rPr>
          <w:rFonts w:eastAsia="Times New Roman"/>
          <w:lang w:val="hu-HU"/>
        </w:rPr>
        <w:t>tuberkulózis</w:t>
      </w:r>
    </w:p>
    <w:p w14:paraId="11F95ABB" w14:textId="77777777" w:rsidR="00130E8B" w:rsidRDefault="000405CC">
      <w:pPr>
        <w:pStyle w:val="a3"/>
        <w:numPr>
          <w:ilvl w:val="1"/>
          <w:numId w:val="4"/>
        </w:numPr>
        <w:ind w:left="660" w:firstLine="49"/>
        <w:rPr>
          <w:lang w:val="hu-HU"/>
        </w:rPr>
      </w:pPr>
      <w:r>
        <w:rPr>
          <w:rFonts w:eastAsia="Times New Roman"/>
          <w:lang w:val="hu-HU"/>
        </w:rPr>
        <w:t>vírusok, gombák, paraziták vagy baktériumok okozta fertőzések</w:t>
      </w:r>
    </w:p>
    <w:p w14:paraId="261A65CB" w14:textId="77777777" w:rsidR="00130E8B" w:rsidRDefault="000405CC">
      <w:pPr>
        <w:pStyle w:val="a3"/>
        <w:numPr>
          <w:ilvl w:val="1"/>
          <w:numId w:val="4"/>
        </w:numPr>
        <w:ind w:left="660" w:firstLine="49"/>
        <w:rPr>
          <w:lang w:val="hu-HU"/>
        </w:rPr>
      </w:pPr>
      <w:r>
        <w:rPr>
          <w:rFonts w:eastAsia="Times New Roman"/>
          <w:lang w:val="hu-HU"/>
        </w:rPr>
        <w:t>súlyos fertőzés a vérben (szepszis)</w:t>
      </w:r>
    </w:p>
    <w:p w14:paraId="5DBFD684" w14:textId="77777777" w:rsidR="00130E8B" w:rsidRDefault="00130E8B">
      <w:pPr>
        <w:pStyle w:val="a3"/>
        <w:rPr>
          <w:lang w:val="hu-HU"/>
        </w:rPr>
      </w:pPr>
    </w:p>
    <w:p w14:paraId="23956184" w14:textId="77777777" w:rsidR="00130E8B" w:rsidRDefault="000405CC">
      <w:pPr>
        <w:pStyle w:val="a3"/>
        <w:numPr>
          <w:ilvl w:val="1"/>
          <w:numId w:val="4"/>
        </w:numPr>
        <w:ind w:left="660" w:hanging="660"/>
        <w:rPr>
          <w:lang w:val="hu-HU"/>
        </w:rPr>
      </w:pPr>
      <w:r>
        <w:rPr>
          <w:rFonts w:eastAsia="Times New Roman"/>
          <w:lang w:val="hu-HU"/>
        </w:rPr>
        <w:t>Ritkán ezek a fertőzések életveszélyesek lehetnek. Kezelőorvosával feltétlenül közölje, ha bármilyen fertőzésre utaló tünete van, mint láz, sebek, fáradtságérzés, fogászati problémák. Kezelőorvosa a Yuflyma-kezelés átmeneti felfüggesztését javasolhatja.</w:t>
      </w:r>
    </w:p>
    <w:p w14:paraId="34CADD72" w14:textId="77777777" w:rsidR="00130E8B" w:rsidRDefault="00130E8B">
      <w:pPr>
        <w:pStyle w:val="a3"/>
        <w:rPr>
          <w:lang w:val="hu-HU"/>
        </w:rPr>
      </w:pPr>
    </w:p>
    <w:p w14:paraId="659E25BE" w14:textId="74A874F5" w:rsidR="00130E8B" w:rsidRDefault="000405CC">
      <w:pPr>
        <w:pStyle w:val="a3"/>
        <w:numPr>
          <w:ilvl w:val="1"/>
          <w:numId w:val="4"/>
        </w:numPr>
        <w:ind w:left="660" w:hanging="660"/>
        <w:rPr>
          <w:lang w:val="hu-HU"/>
        </w:rPr>
      </w:pPr>
      <w:r>
        <w:rPr>
          <w:rFonts w:eastAsia="Times New Roman"/>
          <w:lang w:val="hu-HU"/>
        </w:rPr>
        <w:t>Tájékoztassa kezelőorvosát, ha olyan területen él vagy olyan területre utazik, ahol nagyon gyakoriak a gombák okozta fertőzések (p</w:t>
      </w:r>
      <w:r w:rsidR="00966EB2">
        <w:rPr>
          <w:rFonts w:eastAsia="Times New Roman"/>
          <w:lang w:val="hu-HU"/>
        </w:rPr>
        <w:t>éldául</w:t>
      </w:r>
      <w:r>
        <w:rPr>
          <w:rFonts w:eastAsia="Times New Roman"/>
          <w:lang w:val="hu-HU"/>
        </w:rPr>
        <w:t xml:space="preserve"> a hisztoplazmózis, kokcidioidomikózis vagy a blasztomikózis).</w:t>
      </w:r>
    </w:p>
    <w:p w14:paraId="7F1AE73A" w14:textId="77777777" w:rsidR="00130E8B" w:rsidRDefault="00130E8B">
      <w:pPr>
        <w:pStyle w:val="a3"/>
        <w:rPr>
          <w:lang w:val="hu-HU"/>
        </w:rPr>
      </w:pPr>
    </w:p>
    <w:p w14:paraId="462589EA" w14:textId="77777777" w:rsidR="00130E8B" w:rsidRDefault="000405CC">
      <w:pPr>
        <w:pStyle w:val="a3"/>
        <w:numPr>
          <w:ilvl w:val="1"/>
          <w:numId w:val="4"/>
        </w:numPr>
        <w:ind w:left="660" w:hanging="660"/>
        <w:rPr>
          <w:lang w:val="hu-HU"/>
        </w:rPr>
      </w:pPr>
      <w:r>
        <w:rPr>
          <w:rFonts w:eastAsia="Times New Roman"/>
          <w:lang w:val="hu-HU"/>
        </w:rPr>
        <w:t>Tájékoztassa kezelőorvosát, ha visszatérő fertőzései, vagy egyéb olyan betegségei vannak, amelyek fokozzák a fertőzés lehetőségét.</w:t>
      </w:r>
    </w:p>
    <w:p w14:paraId="2928BAF0" w14:textId="77777777" w:rsidR="00130E8B" w:rsidRDefault="00130E8B">
      <w:pPr>
        <w:pStyle w:val="a3"/>
        <w:numPr>
          <w:ilvl w:val="0"/>
          <w:numId w:val="0"/>
        </w:numPr>
        <w:rPr>
          <w:lang w:val="hu-HU"/>
        </w:rPr>
      </w:pPr>
    </w:p>
    <w:p w14:paraId="1A98565E" w14:textId="77777777" w:rsidR="00130E8B" w:rsidRDefault="000405CC">
      <w:pPr>
        <w:pStyle w:val="a3"/>
        <w:numPr>
          <w:ilvl w:val="1"/>
          <w:numId w:val="4"/>
        </w:numPr>
        <w:ind w:left="660" w:hanging="660"/>
        <w:rPr>
          <w:lang w:val="hu-HU"/>
        </w:rPr>
      </w:pPr>
      <w:r>
        <w:rPr>
          <w:rFonts w:eastAsia="Times New Roman"/>
          <w:lang w:val="hu-HU"/>
        </w:rPr>
        <w:t>Ha Ön 65 évnél idősebb, a Yuflyma-kezelés ideje alatt fogékonyabb lehet a fertőzésekre. A Yuflyma-kezelés ideje alatt Önnek és kezelőorvosának különös figyelmet kell fordítania a fertőzések tüneteire. Feltétlenül tájékoztassa kezelőorvosát, ha fertőzésre utaló tünetei vannak, mint például láz, sebek, fáradtságérzés vagy fogászati problémák.</w:t>
      </w:r>
    </w:p>
    <w:p w14:paraId="61360B12" w14:textId="77777777" w:rsidR="00130E8B" w:rsidRDefault="00130E8B">
      <w:pPr>
        <w:spacing w:before="11" w:line="240" w:lineRule="exact"/>
        <w:rPr>
          <w:sz w:val="24"/>
          <w:szCs w:val="24"/>
          <w:lang w:val="hu-HU"/>
        </w:rPr>
      </w:pPr>
    </w:p>
    <w:p w14:paraId="715390D8" w14:textId="77777777" w:rsidR="00130E8B" w:rsidRDefault="000405CC">
      <w:pPr>
        <w:pStyle w:val="a3"/>
        <w:rPr>
          <w:u w:val="single"/>
          <w:lang w:val="hu-HU"/>
        </w:rPr>
      </w:pPr>
      <w:r>
        <w:rPr>
          <w:rFonts w:eastAsia="Times New Roman"/>
          <w:u w:val="single" w:color="000000"/>
          <w:lang w:val="hu-HU"/>
        </w:rPr>
        <w:t>Tuberkulózis</w:t>
      </w:r>
    </w:p>
    <w:p w14:paraId="52C6CB20" w14:textId="77777777" w:rsidR="00130E8B" w:rsidRDefault="00130E8B">
      <w:pPr>
        <w:spacing w:before="12" w:line="240" w:lineRule="exact"/>
        <w:rPr>
          <w:sz w:val="24"/>
          <w:szCs w:val="24"/>
          <w:lang w:val="hu-HU"/>
        </w:rPr>
      </w:pPr>
    </w:p>
    <w:p w14:paraId="3717B6C3" w14:textId="77777777" w:rsidR="000C0BB8" w:rsidRDefault="000C0BB8" w:rsidP="000C0BB8">
      <w:pPr>
        <w:pStyle w:val="a3"/>
        <w:numPr>
          <w:ilvl w:val="1"/>
          <w:numId w:val="4"/>
        </w:numPr>
        <w:ind w:left="660" w:hanging="660"/>
        <w:rPr>
          <w:lang w:val="hu-HU"/>
        </w:rPr>
      </w:pPr>
      <w:r>
        <w:rPr>
          <w:rFonts w:eastAsia="Times New Roman"/>
          <w:lang w:val="hu-HU"/>
        </w:rPr>
        <w:t>Feltétlenül tájékoztassa kezelőorvosát, ha bármikor tuberkulózisban szenvedett vagy közeli kapcsolatban volt valakivel, akinek tuberkulózisa volt. Ha aktív tuberkulózisa van, ne alkalmazza a Yuflyma-t.</w:t>
      </w:r>
    </w:p>
    <w:p w14:paraId="23CB2BBC" w14:textId="112AE6C6" w:rsidR="000C0BB8" w:rsidRDefault="000C0BB8" w:rsidP="000C0BB8">
      <w:pPr>
        <w:pStyle w:val="a3"/>
        <w:numPr>
          <w:ilvl w:val="1"/>
          <w:numId w:val="4"/>
        </w:numPr>
        <w:ind w:left="998" w:hanging="340"/>
        <w:rPr>
          <w:lang w:val="hu-HU"/>
        </w:rPr>
      </w:pPr>
      <w:r>
        <w:rPr>
          <w:rFonts w:eastAsia="Times New Roman"/>
          <w:lang w:val="hu-HU"/>
        </w:rPr>
        <w:t xml:space="preserve">Mivel a Yuflyma-val kezelt betegeknél tuberkulózisos eseteket jelentettek, kezelőorvosa a Yuflyma-kezelés megkezdése előtt ellenőrizni fogja a tuberkulózis jeleit és tüneteit. Részletes orvosi kórelőzmény felvételére és megfelelő szűrővizsgálatokra (mint például mellkasröntgen vizsgálatra és tuberkulin teszt végzésére) kerül sor. A </w:t>
      </w:r>
      <w:r>
        <w:rPr>
          <w:rFonts w:eastAsia="Times New Roman"/>
          <w:b/>
          <w:bCs/>
          <w:lang w:val="hu-HU"/>
        </w:rPr>
        <w:t>Betegkártyán</w:t>
      </w:r>
      <w:r>
        <w:rPr>
          <w:rFonts w:eastAsia="Times New Roman"/>
          <w:lang w:val="hu-HU"/>
        </w:rPr>
        <w:t xml:space="preserve"> a vizsgálatok elvégzésének tényét és eredményét vezetni kell.</w:t>
      </w:r>
    </w:p>
    <w:p w14:paraId="732B175C" w14:textId="77777777" w:rsidR="00130E8B" w:rsidRDefault="000405CC">
      <w:pPr>
        <w:pStyle w:val="a3"/>
        <w:numPr>
          <w:ilvl w:val="1"/>
          <w:numId w:val="4"/>
        </w:numPr>
        <w:ind w:left="998" w:hanging="340"/>
        <w:rPr>
          <w:lang w:val="hu-HU"/>
        </w:rPr>
      </w:pPr>
      <w:r>
        <w:rPr>
          <w:rFonts w:eastAsia="Times New Roman"/>
          <w:lang w:val="hu-HU"/>
        </w:rPr>
        <w:t>A tuberkulózis kialakulhat a kezelés során annak ellenére, hogy Ön tuberkulózis elleni megelőző terápiát kapott.</w:t>
      </w:r>
    </w:p>
    <w:p w14:paraId="572C1DA8" w14:textId="02FEC92E" w:rsidR="00130E8B" w:rsidRDefault="000405CC">
      <w:pPr>
        <w:pStyle w:val="a3"/>
        <w:numPr>
          <w:ilvl w:val="1"/>
          <w:numId w:val="4"/>
        </w:numPr>
        <w:ind w:left="998" w:hanging="340"/>
        <w:rPr>
          <w:lang w:val="hu-HU"/>
        </w:rPr>
      </w:pPr>
      <w:r>
        <w:rPr>
          <w:rFonts w:eastAsia="Times New Roman"/>
          <w:lang w:val="hu-HU"/>
        </w:rPr>
        <w:t>Ha a tuberkulózis tünetei (</w:t>
      </w:r>
      <w:r w:rsidR="00E712D7">
        <w:rPr>
          <w:rFonts w:eastAsia="Times New Roman"/>
          <w:lang w:val="hu-HU"/>
        </w:rPr>
        <w:t>például</w:t>
      </w:r>
      <w:r>
        <w:rPr>
          <w:rFonts w:eastAsia="Times New Roman"/>
          <w:lang w:val="hu-HU"/>
        </w:rPr>
        <w:t xml:space="preserve"> hosszan tartó köhögés, testsúlycsökkenés, levertség, hőemelkedés), vagy más fertőzésre utaló tünetek jelentkeznek a kezelés alatt vagy a kezelést követően, azonnal tájékoztassa kezelőorvosát.</w:t>
      </w:r>
    </w:p>
    <w:p w14:paraId="527A8BF9" w14:textId="77777777" w:rsidR="00130E8B" w:rsidRDefault="00130E8B">
      <w:pPr>
        <w:spacing w:before="11" w:line="240" w:lineRule="exact"/>
        <w:rPr>
          <w:sz w:val="24"/>
          <w:szCs w:val="24"/>
          <w:lang w:val="hu-HU"/>
        </w:rPr>
      </w:pPr>
    </w:p>
    <w:p w14:paraId="4258B669" w14:textId="77777777" w:rsidR="00130E8B" w:rsidRDefault="000405CC">
      <w:pPr>
        <w:pStyle w:val="a3"/>
        <w:rPr>
          <w:u w:val="single"/>
          <w:lang w:val="hu-HU"/>
        </w:rPr>
      </w:pPr>
      <w:r>
        <w:rPr>
          <w:rFonts w:eastAsia="Times New Roman"/>
          <w:u w:val="single" w:color="000000"/>
          <w:lang w:val="hu-HU"/>
        </w:rPr>
        <w:t>Hepatitisz B</w:t>
      </w:r>
    </w:p>
    <w:p w14:paraId="605AA3A6" w14:textId="77777777" w:rsidR="00130E8B" w:rsidRDefault="00130E8B">
      <w:pPr>
        <w:spacing w:before="4" w:line="190" w:lineRule="exact"/>
        <w:rPr>
          <w:sz w:val="19"/>
          <w:szCs w:val="19"/>
          <w:lang w:val="hu-HU"/>
        </w:rPr>
      </w:pPr>
    </w:p>
    <w:p w14:paraId="1044F86A" w14:textId="77777777" w:rsidR="00130E8B" w:rsidRDefault="000405CC">
      <w:pPr>
        <w:pStyle w:val="a3"/>
        <w:numPr>
          <w:ilvl w:val="1"/>
          <w:numId w:val="4"/>
        </w:numPr>
        <w:ind w:left="660" w:hanging="660"/>
        <w:rPr>
          <w:lang w:val="hu-HU"/>
        </w:rPr>
      </w:pPr>
      <w:r>
        <w:rPr>
          <w:rFonts w:eastAsia="Times New Roman"/>
          <w:lang w:val="hu-HU"/>
        </w:rPr>
        <w:t>Tájékoztassa kezelőorvosát, ha Ön hepatitisz B vírus (HBV) -hordozó, netán aktív HBV-fertőzésben szenved, vagy feltételezi, hogy hepatitisz B fertőzés veszélye fenyegetheti.</w:t>
      </w:r>
    </w:p>
    <w:p w14:paraId="40FABD92" w14:textId="77777777" w:rsidR="00130E8B" w:rsidRDefault="000405CC">
      <w:pPr>
        <w:pStyle w:val="a3"/>
        <w:numPr>
          <w:ilvl w:val="1"/>
          <w:numId w:val="4"/>
        </w:numPr>
        <w:ind w:left="998" w:hanging="340"/>
        <w:rPr>
          <w:lang w:val="hu-HU"/>
        </w:rPr>
      </w:pPr>
      <w:r>
        <w:rPr>
          <w:rFonts w:eastAsia="Times New Roman"/>
          <w:lang w:val="hu-HU"/>
        </w:rPr>
        <w:t>Kezelőorvosának HBV-vizsgálatot kell végeznie Önnél. A HBV-t hordozó embereknél a Yuflyma ismét aktiválhatja a vírust.</w:t>
      </w:r>
    </w:p>
    <w:p w14:paraId="6E475351" w14:textId="77777777" w:rsidR="00130E8B" w:rsidRDefault="000405CC">
      <w:pPr>
        <w:pStyle w:val="a3"/>
        <w:numPr>
          <w:ilvl w:val="1"/>
          <w:numId w:val="4"/>
        </w:numPr>
        <w:ind w:left="998" w:hanging="340"/>
        <w:rPr>
          <w:lang w:val="hu-HU"/>
        </w:rPr>
      </w:pPr>
      <w:r>
        <w:rPr>
          <w:rFonts w:eastAsia="Times New Roman"/>
          <w:lang w:val="hu-HU"/>
        </w:rPr>
        <w:t>Egyes ritka esetekben – különösen, ha más, az immunrendszer működését gátló szereket is szed – a HBV ismételt aktiválódása életveszélyes lehet.</w:t>
      </w:r>
    </w:p>
    <w:p w14:paraId="41543CFE" w14:textId="77777777" w:rsidR="00130E8B" w:rsidRDefault="00130E8B">
      <w:pPr>
        <w:spacing w:before="11" w:line="240" w:lineRule="exact"/>
        <w:rPr>
          <w:sz w:val="24"/>
          <w:szCs w:val="24"/>
          <w:lang w:val="hu-HU"/>
        </w:rPr>
      </w:pPr>
    </w:p>
    <w:p w14:paraId="57B4ABC5" w14:textId="77777777" w:rsidR="00130E8B" w:rsidRDefault="000405CC">
      <w:pPr>
        <w:pStyle w:val="a3"/>
        <w:rPr>
          <w:u w:val="single"/>
          <w:lang w:val="hu-HU"/>
        </w:rPr>
      </w:pPr>
      <w:r>
        <w:rPr>
          <w:rFonts w:eastAsia="Times New Roman"/>
          <w:u w:val="single" w:color="000000"/>
          <w:lang w:val="hu-HU"/>
        </w:rPr>
        <w:t>Sebészeti vagy fogászati beavatkozás</w:t>
      </w:r>
    </w:p>
    <w:p w14:paraId="492E9A0E" w14:textId="77777777" w:rsidR="00130E8B" w:rsidRDefault="00130E8B">
      <w:pPr>
        <w:spacing w:before="4" w:line="190" w:lineRule="exact"/>
        <w:rPr>
          <w:sz w:val="19"/>
          <w:szCs w:val="19"/>
          <w:lang w:val="hu-HU"/>
        </w:rPr>
      </w:pPr>
    </w:p>
    <w:p w14:paraId="1BD8DDBC" w14:textId="77777777" w:rsidR="00130E8B" w:rsidRDefault="000405CC">
      <w:pPr>
        <w:pStyle w:val="a3"/>
        <w:numPr>
          <w:ilvl w:val="1"/>
          <w:numId w:val="4"/>
        </w:numPr>
        <w:ind w:left="660" w:hanging="660"/>
        <w:rPr>
          <w:lang w:val="hu-HU"/>
        </w:rPr>
      </w:pPr>
      <w:r>
        <w:rPr>
          <w:rFonts w:eastAsia="Times New Roman"/>
          <w:lang w:val="hu-HU"/>
        </w:rPr>
        <w:t>Ha sebészeti vagy fogászati beavatkozás előtt áll tájékoztassa orvosát, hogy Yuflyma- kezelésben részesül. Kezelőorvosa a kezelés átmeneti felfüggesztését javasolhatja.</w:t>
      </w:r>
    </w:p>
    <w:p w14:paraId="69BF362F" w14:textId="77777777" w:rsidR="00130E8B" w:rsidRDefault="00130E8B">
      <w:pPr>
        <w:spacing w:before="8" w:line="240" w:lineRule="exact"/>
        <w:rPr>
          <w:sz w:val="24"/>
          <w:szCs w:val="24"/>
          <w:lang w:val="hu-HU"/>
        </w:rPr>
      </w:pPr>
    </w:p>
    <w:p w14:paraId="678E8E73" w14:textId="77777777" w:rsidR="00130E8B" w:rsidRDefault="000405CC">
      <w:pPr>
        <w:pStyle w:val="a3"/>
        <w:rPr>
          <w:u w:val="single"/>
          <w:lang w:val="hu-HU"/>
        </w:rPr>
      </w:pPr>
      <w:r>
        <w:rPr>
          <w:rFonts w:eastAsia="Times New Roman"/>
          <w:u w:val="single" w:color="000000"/>
          <w:lang w:val="hu-HU"/>
        </w:rPr>
        <w:t>Demielinizációval járó betegségek</w:t>
      </w:r>
    </w:p>
    <w:p w14:paraId="62FBC8C3" w14:textId="77777777" w:rsidR="00130E8B" w:rsidRDefault="00130E8B">
      <w:pPr>
        <w:spacing w:before="4" w:line="190" w:lineRule="exact"/>
        <w:rPr>
          <w:sz w:val="19"/>
          <w:szCs w:val="19"/>
          <w:lang w:val="hu-HU"/>
        </w:rPr>
      </w:pPr>
    </w:p>
    <w:p w14:paraId="7051CBC3" w14:textId="77777777" w:rsidR="00130E8B" w:rsidRDefault="000405CC">
      <w:pPr>
        <w:pStyle w:val="a3"/>
        <w:numPr>
          <w:ilvl w:val="1"/>
          <w:numId w:val="4"/>
        </w:numPr>
        <w:ind w:left="660" w:hanging="660"/>
        <w:rPr>
          <w:lang w:val="hu-HU"/>
        </w:rPr>
      </w:pPr>
      <w:r>
        <w:rPr>
          <w:rFonts w:eastAsia="Times New Roman"/>
          <w:lang w:val="hu-HU"/>
        </w:rPr>
        <w:lastRenderedPageBreak/>
        <w:t>Ha szklerózis multiplexben, vagy egyéb, az idegrostok velőshüvelyének lebomlásával (demielinizációval) járó betegségben szenved, vagy ilyen típusú betegség alakul ki Önnél, kezelőorvosa dönti el, hogy kaphat-e Yuflyma-kezelést, vagy folytatható-e az Ön esetében. Azonnal tájékoztassa kezelőorvosát, ha olyan tüneteket tapasztal, mint a megváltozott látás, kar- vagy lábgyengeség, illetve zsibbadás vagy bizsergés a test bármelyik részén.</w:t>
      </w:r>
    </w:p>
    <w:p w14:paraId="0D02D966" w14:textId="77777777" w:rsidR="00130E8B" w:rsidRDefault="00130E8B">
      <w:pPr>
        <w:spacing w:before="14" w:line="240" w:lineRule="exact"/>
        <w:rPr>
          <w:sz w:val="24"/>
          <w:szCs w:val="24"/>
          <w:lang w:val="hu-HU"/>
        </w:rPr>
      </w:pPr>
    </w:p>
    <w:p w14:paraId="415AE4B6" w14:textId="77777777" w:rsidR="00130E8B" w:rsidRDefault="000405CC">
      <w:pPr>
        <w:pStyle w:val="a3"/>
        <w:rPr>
          <w:u w:val="single"/>
          <w:lang w:val="hu-HU"/>
        </w:rPr>
      </w:pPr>
      <w:r>
        <w:rPr>
          <w:rFonts w:eastAsia="Times New Roman"/>
          <w:u w:val="single" w:color="000000"/>
          <w:lang w:val="hu-HU"/>
        </w:rPr>
        <w:t>Védőoltások</w:t>
      </w:r>
    </w:p>
    <w:p w14:paraId="5704FEF8" w14:textId="77777777" w:rsidR="00130E8B" w:rsidRDefault="00130E8B">
      <w:pPr>
        <w:spacing w:before="4" w:line="190" w:lineRule="exact"/>
        <w:rPr>
          <w:sz w:val="19"/>
          <w:szCs w:val="19"/>
          <w:lang w:val="hu-HU"/>
        </w:rPr>
      </w:pPr>
    </w:p>
    <w:p w14:paraId="75B65CA9" w14:textId="77777777" w:rsidR="00130E8B" w:rsidRDefault="000405CC">
      <w:pPr>
        <w:pStyle w:val="a3"/>
        <w:numPr>
          <w:ilvl w:val="1"/>
          <w:numId w:val="4"/>
        </w:numPr>
        <w:ind w:left="660" w:hanging="660"/>
        <w:rPr>
          <w:lang w:val="hu-HU"/>
        </w:rPr>
      </w:pPr>
      <w:r>
        <w:rPr>
          <w:rFonts w:eastAsia="Times New Roman"/>
          <w:lang w:val="hu-HU"/>
        </w:rPr>
        <w:t>Yuflyma alkalmazása során bizonyos védőoltások fertőzést okozhatnak, és ezért nem adhatóak.</w:t>
      </w:r>
    </w:p>
    <w:p w14:paraId="700DC729" w14:textId="77777777" w:rsidR="00130E8B" w:rsidRDefault="00130E8B">
      <w:pPr>
        <w:spacing w:before="11" w:line="240" w:lineRule="exact"/>
        <w:rPr>
          <w:sz w:val="24"/>
          <w:szCs w:val="24"/>
          <w:lang w:val="hu-HU"/>
        </w:rPr>
      </w:pPr>
    </w:p>
    <w:p w14:paraId="5B9E7531" w14:textId="77777777" w:rsidR="00130E8B" w:rsidRDefault="000405CC">
      <w:pPr>
        <w:pStyle w:val="a3"/>
        <w:numPr>
          <w:ilvl w:val="1"/>
          <w:numId w:val="4"/>
        </w:numPr>
        <w:ind w:left="998" w:hanging="340"/>
        <w:rPr>
          <w:lang w:val="hu-HU"/>
        </w:rPr>
      </w:pPr>
      <w:r>
        <w:rPr>
          <w:rFonts w:eastAsia="Times New Roman"/>
          <w:lang w:val="hu-HU"/>
        </w:rPr>
        <w:t>Védőoltás adását megelőzően beszéljen kezelőorvosával.</w:t>
      </w:r>
    </w:p>
    <w:p w14:paraId="6902B808" w14:textId="77777777" w:rsidR="00130E8B" w:rsidRDefault="000405CC">
      <w:pPr>
        <w:pStyle w:val="a3"/>
        <w:numPr>
          <w:ilvl w:val="1"/>
          <w:numId w:val="4"/>
        </w:numPr>
        <w:ind w:left="998" w:hanging="340"/>
        <w:rPr>
          <w:lang w:val="hu-HU"/>
        </w:rPr>
      </w:pPr>
      <w:r>
        <w:rPr>
          <w:rFonts w:eastAsia="Times New Roman"/>
          <w:lang w:val="hu-HU"/>
        </w:rPr>
        <w:t>A Yuflyma-kezelés megkezdése előtt javasolt, hogy a gyermekek, ha lehetséges, megkapják az életkoruknak megfelelő összes ütemezett oltást.</w:t>
      </w:r>
    </w:p>
    <w:p w14:paraId="285B05F1" w14:textId="344A8FFD" w:rsidR="00130E8B" w:rsidRDefault="000405CC">
      <w:pPr>
        <w:pStyle w:val="a3"/>
        <w:numPr>
          <w:ilvl w:val="1"/>
          <w:numId w:val="4"/>
        </w:numPr>
        <w:ind w:left="998" w:hanging="340"/>
        <w:rPr>
          <w:lang w:val="hu-HU"/>
        </w:rPr>
      </w:pPr>
      <w:r>
        <w:rPr>
          <w:rFonts w:eastAsia="Times New Roman"/>
          <w:lang w:val="hu-HU"/>
        </w:rPr>
        <w:t xml:space="preserve">Ha a terhessége alatt Yuflyma-t kapott, a kisbabája a terhesség alatt kapott utolsó adag Yuflyma-t követően legfeljebb 5 hónapig nagyobb eséllyel </w:t>
      </w:r>
      <w:r w:rsidR="004A2986" w:rsidRPr="00EA3398">
        <w:rPr>
          <w:rFonts w:eastAsia="Times New Roman"/>
          <w:lang w:val="hu-HU"/>
        </w:rPr>
        <w:t>fertőződhet meg</w:t>
      </w:r>
      <w:r>
        <w:rPr>
          <w:rFonts w:eastAsia="Times New Roman"/>
          <w:lang w:val="hu-HU"/>
        </w:rPr>
        <w:t>. Fontos, hogy elmondja kisbabája kezelőorvosának vagy az őt kezelő egészségügyi személyzetnek, hogy a terhessége alatt Yuflyma-t kapott, így ők el tudják dönteni, hogy kisbabájának mikor kell valamilyen védőoltást kapnia.</w:t>
      </w:r>
    </w:p>
    <w:p w14:paraId="46FFABC4" w14:textId="77777777" w:rsidR="00130E8B" w:rsidRDefault="00130E8B">
      <w:pPr>
        <w:spacing w:before="14" w:line="240" w:lineRule="exact"/>
        <w:rPr>
          <w:sz w:val="24"/>
          <w:szCs w:val="24"/>
          <w:lang w:val="hu-HU"/>
        </w:rPr>
      </w:pPr>
    </w:p>
    <w:p w14:paraId="596D6767" w14:textId="77777777" w:rsidR="00130E8B" w:rsidRDefault="000405CC">
      <w:pPr>
        <w:pStyle w:val="a3"/>
        <w:rPr>
          <w:u w:val="single"/>
          <w:lang w:val="hu-HU"/>
        </w:rPr>
      </w:pPr>
      <w:r>
        <w:rPr>
          <w:rFonts w:eastAsia="Times New Roman"/>
          <w:u w:val="single" w:color="000000"/>
          <w:lang w:val="hu-HU"/>
        </w:rPr>
        <w:t>Szívelégtelenség</w:t>
      </w:r>
    </w:p>
    <w:p w14:paraId="5524B528" w14:textId="77777777" w:rsidR="00130E8B" w:rsidRDefault="00130E8B">
      <w:pPr>
        <w:spacing w:before="4" w:line="190" w:lineRule="exact"/>
        <w:rPr>
          <w:sz w:val="19"/>
          <w:szCs w:val="19"/>
          <w:lang w:val="hu-HU"/>
        </w:rPr>
      </w:pPr>
    </w:p>
    <w:p w14:paraId="7C469818" w14:textId="0378A223" w:rsidR="00130E8B" w:rsidRDefault="000405CC">
      <w:pPr>
        <w:pStyle w:val="a3"/>
        <w:numPr>
          <w:ilvl w:val="1"/>
          <w:numId w:val="4"/>
        </w:numPr>
        <w:ind w:left="660" w:hanging="660"/>
        <w:rPr>
          <w:lang w:val="hu-HU"/>
        </w:rPr>
      </w:pPr>
      <w:r>
        <w:rPr>
          <w:rFonts w:eastAsia="Times New Roman"/>
          <w:lang w:val="hu-HU"/>
        </w:rPr>
        <w:t>Ha Önnek enyhe szívelégtelensége van és Yuflyma-kezelést kap, a szívelégtelenség állapotát orvosának szorosan követnie kell. Fontos, hogy közölje kezelőorvosával, ha súlyos szívbetegsége volt, vagy jelenleg is van. Ha új tünetek kialakulását vagy a szívelégtelenség tüneteinek rosszabbodását észleli (</w:t>
      </w:r>
      <w:r w:rsidR="00E712D7">
        <w:rPr>
          <w:rFonts w:eastAsia="Times New Roman"/>
          <w:lang w:val="hu-HU"/>
        </w:rPr>
        <w:t>például</w:t>
      </w:r>
      <w:r>
        <w:rPr>
          <w:rFonts w:eastAsia="Times New Roman"/>
          <w:lang w:val="hu-HU"/>
        </w:rPr>
        <w:t xml:space="preserve"> légszomj, vagy lábdagadás), azonnal tájékoztassa kezelőorvosát. Kezelőorvosa el fogja dönteni, hogy Ön kaphat-e Yuflyma-t.</w:t>
      </w:r>
    </w:p>
    <w:p w14:paraId="3B45C562" w14:textId="77777777" w:rsidR="00130E8B" w:rsidRDefault="00130E8B">
      <w:pPr>
        <w:spacing w:before="14" w:line="240" w:lineRule="exact"/>
        <w:rPr>
          <w:sz w:val="24"/>
          <w:szCs w:val="24"/>
          <w:lang w:val="hu-HU"/>
        </w:rPr>
      </w:pPr>
    </w:p>
    <w:p w14:paraId="7EB21365" w14:textId="77777777" w:rsidR="00130E8B" w:rsidRDefault="000405CC">
      <w:pPr>
        <w:pStyle w:val="a3"/>
        <w:rPr>
          <w:u w:val="single"/>
          <w:lang w:val="hu-HU"/>
        </w:rPr>
      </w:pPr>
      <w:r>
        <w:rPr>
          <w:rFonts w:eastAsia="Times New Roman"/>
          <w:u w:val="single" w:color="000000"/>
          <w:lang w:val="hu-HU"/>
        </w:rPr>
        <w:t>Láz, véraláfutás, vérzés vagy sápadtság</w:t>
      </w:r>
    </w:p>
    <w:p w14:paraId="109EFEE2" w14:textId="77777777" w:rsidR="00130E8B" w:rsidRDefault="00130E8B">
      <w:pPr>
        <w:spacing w:before="4" w:line="190" w:lineRule="exact"/>
        <w:rPr>
          <w:sz w:val="19"/>
          <w:szCs w:val="19"/>
          <w:lang w:val="hu-HU"/>
        </w:rPr>
      </w:pPr>
    </w:p>
    <w:p w14:paraId="3EA4DAE0" w14:textId="77777777" w:rsidR="00130E8B" w:rsidRDefault="000405CC">
      <w:pPr>
        <w:pStyle w:val="a3"/>
        <w:numPr>
          <w:ilvl w:val="1"/>
          <w:numId w:val="4"/>
        </w:numPr>
        <w:ind w:left="660" w:hanging="660"/>
        <w:rPr>
          <w:lang w:val="hu-HU"/>
        </w:rPr>
      </w:pPr>
      <w:r>
        <w:rPr>
          <w:rFonts w:eastAsia="Times New Roman"/>
          <w:lang w:val="hu-HU"/>
        </w:rPr>
        <w:t>Egyes betegek esetében a szervezet nem termel elég olyan vérsejtet, melyek leküzdenék a fertőzést, vagy segítenének megállítani a vérzést. Kezelőorvosa eldönti, hogy folytassák-e a kezelést. Ha nem múló láza van, vagy könnyen alakul ki véraláfutása vagy vérzik, vagy nagyon sápadtnak látszik, azonnal értesítse kezelőorvosát.</w:t>
      </w:r>
    </w:p>
    <w:p w14:paraId="556D94BF" w14:textId="77777777" w:rsidR="00130E8B" w:rsidRDefault="00130E8B">
      <w:pPr>
        <w:pStyle w:val="a3"/>
        <w:rPr>
          <w:u w:val="single"/>
          <w:lang w:val="hu-HU"/>
        </w:rPr>
      </w:pPr>
    </w:p>
    <w:p w14:paraId="67F04744" w14:textId="77777777" w:rsidR="00130E8B" w:rsidRDefault="000405CC">
      <w:pPr>
        <w:pStyle w:val="a3"/>
        <w:rPr>
          <w:u w:val="single"/>
          <w:lang w:val="hu-HU"/>
        </w:rPr>
      </w:pPr>
      <w:r>
        <w:rPr>
          <w:rFonts w:eastAsia="Times New Roman"/>
          <w:u w:val="single"/>
          <w:lang w:val="hu-HU"/>
        </w:rPr>
        <w:t>Daganatos betegség</w:t>
      </w:r>
    </w:p>
    <w:p w14:paraId="07EADA6B" w14:textId="77777777" w:rsidR="00130E8B" w:rsidRDefault="00130E8B">
      <w:pPr>
        <w:pStyle w:val="a3"/>
        <w:rPr>
          <w:u w:val="single"/>
          <w:lang w:val="hu-HU"/>
        </w:rPr>
      </w:pPr>
    </w:p>
    <w:p w14:paraId="57C9DEC3" w14:textId="2B82B135" w:rsidR="00130E8B" w:rsidRDefault="000405CC">
      <w:pPr>
        <w:pStyle w:val="a3"/>
        <w:numPr>
          <w:ilvl w:val="1"/>
          <w:numId w:val="4"/>
        </w:numPr>
        <w:ind w:left="660" w:hanging="660"/>
        <w:rPr>
          <w:lang w:val="hu-HU"/>
        </w:rPr>
      </w:pPr>
      <w:r>
        <w:rPr>
          <w:rFonts w:eastAsia="Times New Roman"/>
          <w:lang w:val="hu-HU"/>
        </w:rPr>
        <w:t>Nagyon ritkán előfordul, hogy a Yuflyma-t vagy más TNF-</w:t>
      </w:r>
      <w:r w:rsidR="004A2986" w:rsidRPr="00EA3398">
        <w:rPr>
          <w:rFonts w:eastAsia="Times New Roman"/>
          <w:lang w:val="hu-HU"/>
        </w:rPr>
        <w:t>gátló</w:t>
      </w:r>
      <w:r w:rsidR="004A2986">
        <w:rPr>
          <w:rFonts w:eastAsia="Times New Roman"/>
          <w:lang w:val="hu-HU"/>
        </w:rPr>
        <w:t xml:space="preserve"> </w:t>
      </w:r>
      <w:r>
        <w:rPr>
          <w:rFonts w:eastAsia="Times New Roman"/>
          <w:lang w:val="hu-HU"/>
        </w:rPr>
        <w:t>gyógyszert szedő betegeknél bizonyos daganatfajta jelentkezik</w:t>
      </w:r>
    </w:p>
    <w:p w14:paraId="7673B8E7" w14:textId="77777777" w:rsidR="00130E8B" w:rsidRDefault="00130E8B">
      <w:pPr>
        <w:pStyle w:val="a3"/>
        <w:rPr>
          <w:lang w:val="hu-HU"/>
        </w:rPr>
      </w:pPr>
    </w:p>
    <w:p w14:paraId="50895C7E" w14:textId="77777777" w:rsidR="00130E8B" w:rsidRDefault="000405CC">
      <w:pPr>
        <w:pStyle w:val="a3"/>
        <w:numPr>
          <w:ilvl w:val="1"/>
          <w:numId w:val="4"/>
        </w:numPr>
        <w:ind w:left="998" w:hanging="340"/>
        <w:rPr>
          <w:lang w:val="hu-HU"/>
        </w:rPr>
      </w:pPr>
      <w:r>
        <w:rPr>
          <w:rFonts w:eastAsia="Times New Roman"/>
          <w:lang w:val="hu-HU"/>
        </w:rPr>
        <w:t>A hosszú ideje súlyos reumatoid artritiszben szenvedő betegeknek az átlagosnál nagyobb a kockázatuk, hogy limfóma (a nyirokrendszert érintő daganat) vagy leukémia (a csontvelőt, vérképzést érintő daganat) alakul ki.</w:t>
      </w:r>
    </w:p>
    <w:p w14:paraId="40AE413D" w14:textId="77777777" w:rsidR="00130E8B" w:rsidRDefault="000405CC">
      <w:pPr>
        <w:pStyle w:val="a3"/>
        <w:numPr>
          <w:ilvl w:val="1"/>
          <w:numId w:val="4"/>
        </w:numPr>
        <w:ind w:left="998" w:hanging="340"/>
        <w:rPr>
          <w:lang w:val="hu-HU"/>
        </w:rPr>
      </w:pPr>
      <w:r>
        <w:rPr>
          <w:rFonts w:eastAsia="Times New Roman"/>
          <w:lang w:val="hu-HU"/>
        </w:rPr>
        <w:t>Amennyiben Yuflyma-t kap, a limfóma, leukémia és az egyéb daganatos betegségek kialakulásának kockázata fokozódhat. Ritkán a nyirokdaganat (limfóma) egy nem gyakori és súlyos típusát észlelték Yuflyma-val kezelt betegeknél. E betegek közül egyeseket egyidejűleg azatioprinnel, illetve 6- merkaptopurinnal is kezeltek.</w:t>
      </w:r>
    </w:p>
    <w:p w14:paraId="78099779" w14:textId="77777777" w:rsidR="00130E8B" w:rsidRDefault="000405CC">
      <w:pPr>
        <w:pStyle w:val="a3"/>
        <w:numPr>
          <w:ilvl w:val="1"/>
          <w:numId w:val="4"/>
        </w:numPr>
        <w:ind w:left="998" w:hanging="340"/>
        <w:rPr>
          <w:lang w:val="hu-HU"/>
        </w:rPr>
      </w:pPr>
      <w:r>
        <w:rPr>
          <w:rFonts w:eastAsia="Times New Roman"/>
          <w:lang w:val="hu-HU"/>
        </w:rPr>
        <w:t>Tájékoztassa kezelőorvosát, ha a Yuflyma-val egyidejűleg azatioprint vagy 6-merkaptopurint szed.</w:t>
      </w:r>
    </w:p>
    <w:p w14:paraId="230506C1" w14:textId="77777777" w:rsidR="00130E8B" w:rsidRDefault="000405CC">
      <w:pPr>
        <w:pStyle w:val="a3"/>
        <w:numPr>
          <w:ilvl w:val="1"/>
          <w:numId w:val="4"/>
        </w:numPr>
        <w:ind w:left="998" w:hanging="340"/>
        <w:rPr>
          <w:lang w:val="hu-HU"/>
        </w:rPr>
      </w:pPr>
      <w:r>
        <w:rPr>
          <w:rFonts w:eastAsia="Times New Roman"/>
          <w:lang w:val="hu-HU"/>
        </w:rPr>
        <w:t>Esetenként nem melanomás bőrrák kialakulását észlelték Yuflyma-val kezelt betegeken.</w:t>
      </w:r>
    </w:p>
    <w:p w14:paraId="12E0CF17" w14:textId="77777777" w:rsidR="00130E8B" w:rsidRDefault="000405CC">
      <w:pPr>
        <w:pStyle w:val="a3"/>
        <w:numPr>
          <w:ilvl w:val="1"/>
          <w:numId w:val="4"/>
        </w:numPr>
        <w:ind w:left="998" w:hanging="340"/>
        <w:rPr>
          <w:lang w:val="hu-HU"/>
        </w:rPr>
      </w:pPr>
      <w:r>
        <w:rPr>
          <w:rFonts w:eastAsia="Times New Roman"/>
          <w:lang w:val="hu-HU"/>
        </w:rPr>
        <w:t>Ha új bőrelváltozások jelennek meg a kezelés alatt, vagy a meglévők külleme megváltozik, tájékoztassa orvosát.</w:t>
      </w:r>
    </w:p>
    <w:p w14:paraId="557568F1" w14:textId="77777777" w:rsidR="00130E8B" w:rsidRDefault="00130E8B">
      <w:pPr>
        <w:pStyle w:val="a3"/>
        <w:rPr>
          <w:lang w:val="hu-HU"/>
        </w:rPr>
      </w:pPr>
    </w:p>
    <w:p w14:paraId="1447B940" w14:textId="4FD4FEFE" w:rsidR="00130E8B" w:rsidRDefault="000405CC">
      <w:pPr>
        <w:pStyle w:val="a3"/>
        <w:numPr>
          <w:ilvl w:val="1"/>
          <w:numId w:val="4"/>
        </w:numPr>
        <w:ind w:left="660" w:hanging="660"/>
        <w:rPr>
          <w:lang w:val="hu-HU"/>
        </w:rPr>
      </w:pPr>
      <w:r>
        <w:rPr>
          <w:rFonts w:eastAsia="Times New Roman"/>
          <w:lang w:val="hu-HU"/>
        </w:rPr>
        <w:t>Voltak esetek, amikor egy adott tüdőbetegségben (amelyet idült obstruktív tüdőbetegségnek (COPD</w:t>
      </w:r>
      <w:r w:rsidR="005066F2">
        <w:rPr>
          <w:rFonts w:eastAsia="Times New Roman"/>
          <w:lang w:val="hu-HU"/>
        </w:rPr>
        <w:t>)</w:t>
      </w:r>
      <w:r>
        <w:rPr>
          <w:rFonts w:eastAsia="Times New Roman"/>
          <w:lang w:val="hu-HU"/>
        </w:rPr>
        <w:t xml:space="preserve"> neveznek) szenvedő, TNF-gátlóval kezelt betegeken nem limfóma természetű rákos daganatok </w:t>
      </w:r>
      <w:r>
        <w:rPr>
          <w:rFonts w:eastAsia="Times New Roman"/>
          <w:lang w:val="hu-HU"/>
        </w:rPr>
        <w:lastRenderedPageBreak/>
        <w:t>kialakulását észlelték. Ha Ön COPD- b</w:t>
      </w:r>
      <w:r w:rsidR="005066F2">
        <w:rPr>
          <w:rFonts w:eastAsia="Times New Roman"/>
          <w:lang w:val="hu-HU"/>
        </w:rPr>
        <w:t>en</w:t>
      </w:r>
      <w:r>
        <w:rPr>
          <w:rFonts w:eastAsia="Times New Roman"/>
          <w:lang w:val="hu-HU"/>
        </w:rPr>
        <w:t xml:space="preserve"> szenved vagy erős dohányos, kérje kezelőorvosa tanácsát, hogy a TNF- gátlóval végzett kezelés megfelelő- e az Ön számára.</w:t>
      </w:r>
    </w:p>
    <w:p w14:paraId="1E9A7B9B" w14:textId="77777777" w:rsidR="00130E8B" w:rsidRDefault="00130E8B">
      <w:pPr>
        <w:spacing w:before="11" w:line="240" w:lineRule="exact"/>
        <w:rPr>
          <w:sz w:val="24"/>
          <w:szCs w:val="24"/>
          <w:lang w:val="hu-HU"/>
        </w:rPr>
      </w:pPr>
    </w:p>
    <w:p w14:paraId="2784BB5B" w14:textId="77777777" w:rsidR="00130E8B" w:rsidRDefault="000405CC">
      <w:pPr>
        <w:pStyle w:val="a3"/>
        <w:rPr>
          <w:u w:val="single"/>
          <w:lang w:val="hu-HU"/>
        </w:rPr>
      </w:pPr>
      <w:r>
        <w:rPr>
          <w:rFonts w:eastAsia="Times New Roman"/>
          <w:u w:val="single" w:color="000000"/>
          <w:lang w:val="hu-HU"/>
        </w:rPr>
        <w:t>Autoimmun betegség</w:t>
      </w:r>
    </w:p>
    <w:p w14:paraId="2A1467EE" w14:textId="77777777" w:rsidR="00130E8B" w:rsidRDefault="00130E8B">
      <w:pPr>
        <w:spacing w:before="4" w:line="190" w:lineRule="exact"/>
        <w:rPr>
          <w:sz w:val="19"/>
          <w:szCs w:val="19"/>
          <w:lang w:val="hu-HU"/>
        </w:rPr>
      </w:pPr>
    </w:p>
    <w:p w14:paraId="6BE3CF14" w14:textId="39472DB7" w:rsidR="00130E8B" w:rsidRDefault="000405CC">
      <w:pPr>
        <w:pStyle w:val="a3"/>
        <w:numPr>
          <w:ilvl w:val="1"/>
          <w:numId w:val="4"/>
        </w:numPr>
        <w:ind w:left="660" w:hanging="660"/>
        <w:rPr>
          <w:lang w:val="hu-HU"/>
        </w:rPr>
      </w:pPr>
      <w:r>
        <w:rPr>
          <w:rFonts w:eastAsia="Times New Roman"/>
          <w:lang w:val="hu-HU"/>
        </w:rPr>
        <w:t xml:space="preserve">Ritka esetekben a Yuflyma lupusz-szerű </w:t>
      </w:r>
      <w:r w:rsidR="004A2986" w:rsidRPr="00EA3398">
        <w:rPr>
          <w:rFonts w:eastAsia="Times New Roman"/>
          <w:lang w:val="hu-HU"/>
        </w:rPr>
        <w:t>tünetegyüttes</w:t>
      </w:r>
      <w:r w:rsidR="004A2986">
        <w:rPr>
          <w:rFonts w:eastAsia="Times New Roman"/>
          <w:lang w:val="hu-HU"/>
        </w:rPr>
        <w:t xml:space="preserve">t </w:t>
      </w:r>
      <w:r>
        <w:rPr>
          <w:rFonts w:eastAsia="Times New Roman"/>
          <w:lang w:val="hu-HU"/>
        </w:rPr>
        <w:t xml:space="preserve">okozhat. Keresse fel kezelőorvosát, ha olyan tüneteket észlel, mint a tartós, tisztázatlan eredetű </w:t>
      </w:r>
      <w:r w:rsidR="00C64CC5">
        <w:rPr>
          <w:rFonts w:eastAsia="Times New Roman"/>
          <w:lang w:val="hu-HU"/>
        </w:rPr>
        <w:t>bőr</w:t>
      </w:r>
      <w:r>
        <w:rPr>
          <w:rFonts w:eastAsia="Times New Roman"/>
          <w:lang w:val="hu-HU"/>
        </w:rPr>
        <w:t>kiütés, láz, ízületi fájdalom vagy fáradtság</w:t>
      </w:r>
      <w:r w:rsidR="00C64CC5">
        <w:rPr>
          <w:rFonts w:eastAsia="Times New Roman"/>
          <w:lang w:val="hu-HU"/>
        </w:rPr>
        <w:t>.</w:t>
      </w:r>
    </w:p>
    <w:p w14:paraId="1D8C2642" w14:textId="77777777" w:rsidR="00130E8B" w:rsidRDefault="00130E8B">
      <w:pPr>
        <w:spacing w:before="15" w:line="240" w:lineRule="exact"/>
        <w:rPr>
          <w:sz w:val="24"/>
          <w:szCs w:val="24"/>
          <w:lang w:val="hu-HU"/>
        </w:rPr>
      </w:pPr>
    </w:p>
    <w:p w14:paraId="24A46C59" w14:textId="77777777" w:rsidR="00130E8B" w:rsidRPr="007F6442" w:rsidRDefault="000405CC">
      <w:pPr>
        <w:pStyle w:val="a3"/>
        <w:rPr>
          <w:b/>
          <w:lang w:val="hu-HU"/>
        </w:rPr>
      </w:pPr>
      <w:r w:rsidRPr="007F6442">
        <w:rPr>
          <w:rFonts w:eastAsia="Times New Roman"/>
          <w:b/>
          <w:lang w:val="hu-HU"/>
        </w:rPr>
        <w:t>Gyermekek és serdülők</w:t>
      </w:r>
    </w:p>
    <w:p w14:paraId="52DD58EA" w14:textId="77777777" w:rsidR="00130E8B" w:rsidRDefault="00130E8B">
      <w:pPr>
        <w:spacing w:before="10" w:line="240" w:lineRule="exact"/>
        <w:rPr>
          <w:sz w:val="24"/>
          <w:szCs w:val="24"/>
          <w:lang w:val="hu-HU"/>
        </w:rPr>
      </w:pPr>
    </w:p>
    <w:p w14:paraId="10A8E6E5" w14:textId="7AB19E58" w:rsidR="00130E8B" w:rsidRDefault="000405CC">
      <w:pPr>
        <w:pStyle w:val="a3"/>
        <w:numPr>
          <w:ilvl w:val="1"/>
          <w:numId w:val="4"/>
        </w:numPr>
        <w:ind w:left="660" w:hanging="660"/>
        <w:rPr>
          <w:lang w:val="hu-HU"/>
        </w:rPr>
      </w:pPr>
      <w:r>
        <w:rPr>
          <w:rFonts w:eastAsia="Times New Roman"/>
          <w:lang w:val="hu-HU"/>
        </w:rPr>
        <w:t>Védőoltások: ha lehetséges, a gyermeknek</w:t>
      </w:r>
      <w:r w:rsidR="0044419B">
        <w:rPr>
          <w:rFonts w:eastAsia="Times New Roman"/>
          <w:lang w:val="hu-HU"/>
        </w:rPr>
        <w:t xml:space="preserve"> és serdülőkne</w:t>
      </w:r>
      <w:r>
        <w:rPr>
          <w:rFonts w:eastAsia="Times New Roman"/>
          <w:lang w:val="hu-HU"/>
        </w:rPr>
        <w:t xml:space="preserve"> meg kell kapnia az összes esedékes védőoltást a Yuflyma alkalmazásának megkezdése előtt.</w:t>
      </w:r>
    </w:p>
    <w:p w14:paraId="3AAEA985" w14:textId="77777777" w:rsidR="00130E8B" w:rsidRDefault="00130E8B">
      <w:pPr>
        <w:pStyle w:val="a3"/>
        <w:numPr>
          <w:ilvl w:val="0"/>
          <w:numId w:val="0"/>
        </w:numPr>
        <w:rPr>
          <w:lang w:val="hu-HU"/>
        </w:rPr>
      </w:pPr>
    </w:p>
    <w:p w14:paraId="59AA3459" w14:textId="77777777" w:rsidR="00130E8B" w:rsidRDefault="000405CC">
      <w:pPr>
        <w:pStyle w:val="a3"/>
        <w:keepNext/>
        <w:rPr>
          <w:b/>
          <w:lang w:val="hu-HU"/>
        </w:rPr>
      </w:pPr>
      <w:r>
        <w:rPr>
          <w:rFonts w:eastAsia="Times New Roman"/>
          <w:b/>
          <w:bCs/>
          <w:lang w:val="hu-HU"/>
        </w:rPr>
        <w:t>Egyéb gyógyszerek és a Yuflyma</w:t>
      </w:r>
    </w:p>
    <w:p w14:paraId="71A71CC9" w14:textId="77777777" w:rsidR="00130E8B" w:rsidRDefault="00130E8B">
      <w:pPr>
        <w:pStyle w:val="a3"/>
        <w:keepNext/>
        <w:rPr>
          <w:b/>
          <w:lang w:val="hu-HU"/>
        </w:rPr>
      </w:pPr>
    </w:p>
    <w:p w14:paraId="33083EC9" w14:textId="77777777" w:rsidR="00130E8B" w:rsidRDefault="000405CC">
      <w:pPr>
        <w:pStyle w:val="a3"/>
        <w:keepNext/>
        <w:rPr>
          <w:lang w:val="hu-HU"/>
        </w:rPr>
      </w:pPr>
      <w:r>
        <w:rPr>
          <w:rFonts w:eastAsia="Times New Roman"/>
          <w:lang w:val="hu-HU"/>
        </w:rPr>
        <w:t>Feltétlenül tájékoztassa kezelőorvosát vagy gyógyszerészét jelenleg vagy nemrégiben szedett, valamint szedni tervezett egyéb gyógyszereiről. Nem alkalmazhatja a Yuflyma-t, a következő hatóanyagokat tartalmazó gyógyszerekkel, mert fokozódik a súlyos fertőzések kockázata:</w:t>
      </w:r>
    </w:p>
    <w:p w14:paraId="5E5D70EC" w14:textId="77777777" w:rsidR="00130E8B" w:rsidRDefault="00130E8B">
      <w:pPr>
        <w:pStyle w:val="a3"/>
        <w:rPr>
          <w:lang w:val="hu-HU"/>
        </w:rPr>
      </w:pPr>
    </w:p>
    <w:p w14:paraId="41C1E7A6" w14:textId="77777777" w:rsidR="00130E8B" w:rsidRDefault="000405CC">
      <w:pPr>
        <w:pStyle w:val="a3"/>
        <w:numPr>
          <w:ilvl w:val="1"/>
          <w:numId w:val="4"/>
        </w:numPr>
        <w:ind w:left="660" w:hanging="660"/>
        <w:rPr>
          <w:lang w:val="hu-HU"/>
        </w:rPr>
      </w:pPr>
      <w:r>
        <w:rPr>
          <w:rFonts w:eastAsia="Times New Roman"/>
          <w:lang w:val="hu-HU"/>
        </w:rPr>
        <w:t>anakinra</w:t>
      </w:r>
    </w:p>
    <w:p w14:paraId="46E0A3F2" w14:textId="77777777" w:rsidR="00130E8B" w:rsidRDefault="000405CC">
      <w:pPr>
        <w:pStyle w:val="a3"/>
        <w:numPr>
          <w:ilvl w:val="1"/>
          <w:numId w:val="4"/>
        </w:numPr>
        <w:ind w:left="660" w:hanging="660"/>
        <w:rPr>
          <w:lang w:val="hu-HU"/>
        </w:rPr>
      </w:pPr>
      <w:r>
        <w:rPr>
          <w:rFonts w:eastAsia="Times New Roman"/>
          <w:lang w:val="hu-HU"/>
        </w:rPr>
        <w:t>abatacept.</w:t>
      </w:r>
    </w:p>
    <w:p w14:paraId="32FE502F" w14:textId="77777777" w:rsidR="00130E8B" w:rsidRDefault="00130E8B">
      <w:pPr>
        <w:pStyle w:val="a3"/>
        <w:rPr>
          <w:lang w:val="hu-HU"/>
        </w:rPr>
      </w:pPr>
    </w:p>
    <w:p w14:paraId="6156E9AC" w14:textId="77777777" w:rsidR="00130E8B" w:rsidRDefault="000405CC">
      <w:pPr>
        <w:pStyle w:val="a3"/>
        <w:rPr>
          <w:lang w:val="hu-HU"/>
        </w:rPr>
      </w:pPr>
      <w:r>
        <w:rPr>
          <w:rFonts w:eastAsia="Times New Roman"/>
          <w:lang w:val="hu-HU"/>
        </w:rPr>
        <w:t>A Yuflyma együtt alkalmazható:</w:t>
      </w:r>
    </w:p>
    <w:p w14:paraId="5E4F5A14" w14:textId="77777777" w:rsidR="00130E8B" w:rsidRDefault="000405CC">
      <w:pPr>
        <w:pStyle w:val="a3"/>
        <w:numPr>
          <w:ilvl w:val="1"/>
          <w:numId w:val="4"/>
        </w:numPr>
        <w:ind w:left="660" w:hanging="660"/>
        <w:rPr>
          <w:lang w:val="hu-HU"/>
        </w:rPr>
      </w:pPr>
      <w:r>
        <w:rPr>
          <w:rFonts w:eastAsia="Times New Roman"/>
          <w:lang w:val="hu-HU"/>
        </w:rPr>
        <w:t>metotrexáttal</w:t>
      </w:r>
    </w:p>
    <w:p w14:paraId="253F8F01" w14:textId="77777777" w:rsidR="00130E8B" w:rsidRDefault="000405CC">
      <w:pPr>
        <w:pStyle w:val="a3"/>
        <w:numPr>
          <w:ilvl w:val="1"/>
          <w:numId w:val="4"/>
        </w:numPr>
        <w:ind w:left="660" w:hanging="660"/>
        <w:rPr>
          <w:lang w:val="hu-HU"/>
        </w:rPr>
      </w:pPr>
      <w:r>
        <w:rPr>
          <w:rFonts w:eastAsia="Times New Roman"/>
          <w:lang w:val="hu-HU"/>
        </w:rPr>
        <w:t>egyéb, a betegséget befolyásoló reumaellenes szerrel (szulfaszalazin, hidroxiklorokin, leflunomid és arany injekció)</w:t>
      </w:r>
    </w:p>
    <w:p w14:paraId="125DD5C2" w14:textId="13E58566" w:rsidR="00130E8B" w:rsidRDefault="000405CC">
      <w:pPr>
        <w:pStyle w:val="a3"/>
        <w:numPr>
          <w:ilvl w:val="1"/>
          <w:numId w:val="4"/>
        </w:numPr>
        <w:ind w:left="660" w:hanging="660"/>
        <w:rPr>
          <w:lang w:val="hu-HU"/>
        </w:rPr>
      </w:pPr>
      <w:r>
        <w:rPr>
          <w:rFonts w:eastAsia="Times New Roman"/>
          <w:lang w:val="hu-HU"/>
        </w:rPr>
        <w:t>szteroidokkal vagy fájdalomcsillapító készítményekkel, beleértve a nem</w:t>
      </w:r>
      <w:r w:rsidR="0050547A">
        <w:rPr>
          <w:rFonts w:eastAsia="Times New Roman"/>
          <w:lang w:val="hu-HU"/>
        </w:rPr>
        <w:t>-</w:t>
      </w:r>
      <w:r>
        <w:rPr>
          <w:rFonts w:eastAsia="Times New Roman"/>
          <w:lang w:val="hu-HU"/>
        </w:rPr>
        <w:t>szteroid gyulladásgátlókat (NSAID-ket).</w:t>
      </w:r>
    </w:p>
    <w:p w14:paraId="34DE3663" w14:textId="77777777" w:rsidR="00130E8B" w:rsidRDefault="00130E8B">
      <w:pPr>
        <w:pStyle w:val="a3"/>
        <w:rPr>
          <w:lang w:val="hu-HU"/>
        </w:rPr>
      </w:pPr>
    </w:p>
    <w:p w14:paraId="4BD955AC" w14:textId="77777777" w:rsidR="00130E8B" w:rsidRDefault="000405CC">
      <w:pPr>
        <w:pStyle w:val="a3"/>
        <w:rPr>
          <w:lang w:val="hu-HU"/>
        </w:rPr>
      </w:pPr>
      <w:r>
        <w:rPr>
          <w:rFonts w:eastAsia="Times New Roman"/>
          <w:lang w:val="hu-HU"/>
        </w:rPr>
        <w:t>Ha kérdése van, kérdezze meg kezelőorvosát</w:t>
      </w:r>
    </w:p>
    <w:p w14:paraId="6BB87BED" w14:textId="77777777" w:rsidR="00130E8B" w:rsidRDefault="00130E8B">
      <w:pPr>
        <w:spacing w:before="18" w:line="240" w:lineRule="exact"/>
        <w:rPr>
          <w:sz w:val="24"/>
          <w:szCs w:val="24"/>
          <w:lang w:val="hu-HU"/>
        </w:rPr>
      </w:pPr>
    </w:p>
    <w:p w14:paraId="1F772823" w14:textId="77777777" w:rsidR="00130E8B" w:rsidRDefault="000405CC">
      <w:pPr>
        <w:pStyle w:val="a3"/>
        <w:rPr>
          <w:b/>
          <w:lang w:val="hu-HU"/>
        </w:rPr>
      </w:pPr>
      <w:r>
        <w:rPr>
          <w:rFonts w:eastAsia="Times New Roman"/>
          <w:b/>
          <w:bCs/>
          <w:lang w:val="hu-HU"/>
        </w:rPr>
        <w:t>Terhesség és szoptatás</w:t>
      </w:r>
    </w:p>
    <w:p w14:paraId="394B9611" w14:textId="77777777" w:rsidR="00130E8B" w:rsidRDefault="00130E8B">
      <w:pPr>
        <w:spacing w:before="9" w:line="260" w:lineRule="exact"/>
        <w:rPr>
          <w:sz w:val="26"/>
          <w:szCs w:val="26"/>
          <w:lang w:val="hu-HU"/>
        </w:rPr>
      </w:pPr>
    </w:p>
    <w:p w14:paraId="23C8CB5E" w14:textId="0B148025" w:rsidR="00130E8B" w:rsidRDefault="000405CC">
      <w:pPr>
        <w:pStyle w:val="a3"/>
        <w:numPr>
          <w:ilvl w:val="1"/>
          <w:numId w:val="4"/>
        </w:numPr>
        <w:ind w:left="660" w:hanging="660"/>
        <w:rPr>
          <w:lang w:val="hu-HU"/>
        </w:rPr>
      </w:pPr>
      <w:r>
        <w:rPr>
          <w:rFonts w:eastAsia="Times New Roman"/>
          <w:lang w:val="hu-HU"/>
        </w:rPr>
        <w:t xml:space="preserve">A terhesség megelőzése érdekében meg kell fontolnia a megfelelő fogamzásgátlás alkalmazását és az </w:t>
      </w:r>
      <w:r w:rsidR="004A2986" w:rsidRPr="0021748C">
        <w:rPr>
          <w:rFonts w:eastAsia="Times New Roman"/>
          <w:lang w:val="hu-HU"/>
        </w:rPr>
        <w:t>annak</w:t>
      </w:r>
      <w:r w:rsidR="004A2986">
        <w:rPr>
          <w:rFonts w:eastAsia="Times New Roman"/>
          <w:lang w:val="hu-HU"/>
        </w:rPr>
        <w:t xml:space="preserve"> </w:t>
      </w:r>
      <w:r>
        <w:rPr>
          <w:rFonts w:eastAsia="Times New Roman"/>
          <w:lang w:val="hu-HU"/>
        </w:rPr>
        <w:t>folytatását a Yuflyma-val történt utolsó kezelést követően legalább 5 hónapig.</w:t>
      </w:r>
    </w:p>
    <w:p w14:paraId="692E89AC" w14:textId="77777777" w:rsidR="00130E8B" w:rsidRDefault="000405CC">
      <w:pPr>
        <w:pStyle w:val="a3"/>
        <w:numPr>
          <w:ilvl w:val="1"/>
          <w:numId w:val="4"/>
        </w:numPr>
        <w:ind w:left="660" w:hanging="660"/>
        <w:rPr>
          <w:lang w:val="hu-HU"/>
        </w:rPr>
      </w:pPr>
      <w:r>
        <w:rPr>
          <w:rFonts w:eastAsia="Times New Roman"/>
          <w:lang w:val="hu-HU"/>
        </w:rPr>
        <w:t>Ha Ön terhes, ha fennáll Önnél a terhesség lehetősége vagy gyermeket szeretne, a gyógyszer alkalmazása előtt beszéljen kezelőorvosával vagy gyógyszerészével.</w:t>
      </w:r>
    </w:p>
    <w:p w14:paraId="396471FD" w14:textId="77777777" w:rsidR="00130E8B" w:rsidRDefault="000405CC">
      <w:pPr>
        <w:pStyle w:val="a3"/>
        <w:numPr>
          <w:ilvl w:val="1"/>
          <w:numId w:val="4"/>
        </w:numPr>
        <w:ind w:left="660" w:hanging="660"/>
        <w:rPr>
          <w:lang w:val="hu-HU"/>
        </w:rPr>
      </w:pPr>
      <w:r>
        <w:rPr>
          <w:rFonts w:eastAsia="Times New Roman"/>
          <w:lang w:val="hu-HU"/>
        </w:rPr>
        <w:t>A Yuflyma csak akkor alkalmazható terhesség alatt, ha egyértelműen szükséges.</w:t>
      </w:r>
    </w:p>
    <w:p w14:paraId="5D75BCF7" w14:textId="77777777" w:rsidR="00130E8B" w:rsidRDefault="000405CC">
      <w:pPr>
        <w:pStyle w:val="a3"/>
        <w:numPr>
          <w:ilvl w:val="1"/>
          <w:numId w:val="4"/>
        </w:numPr>
        <w:ind w:left="660" w:hanging="660"/>
        <w:rPr>
          <w:lang w:val="hu-HU"/>
        </w:rPr>
      </w:pPr>
      <w:r>
        <w:rPr>
          <w:rFonts w:eastAsia="Times New Roman"/>
          <w:lang w:val="hu-HU"/>
        </w:rPr>
        <w:t>Egy terhes nőkkel végzett klinikai vizsgálat alapján nem volt magasabb a születési rendellenességek kockázata azoknál a nőknél, akik a terhességük alatt Yuflyma-kezelésben részesültek, mint az azonos betegségben szenvedő, Yuflyma-kezelésben nem részesült nőknél.</w:t>
      </w:r>
    </w:p>
    <w:p w14:paraId="08DF4991" w14:textId="77777777" w:rsidR="00130E8B" w:rsidRDefault="000405CC">
      <w:pPr>
        <w:pStyle w:val="a3"/>
        <w:numPr>
          <w:ilvl w:val="1"/>
          <w:numId w:val="4"/>
        </w:numPr>
        <w:ind w:left="660" w:hanging="660"/>
        <w:rPr>
          <w:lang w:val="hu-HU"/>
        </w:rPr>
      </w:pPr>
      <w:r>
        <w:rPr>
          <w:rFonts w:eastAsia="Times New Roman"/>
          <w:lang w:val="hu-HU"/>
        </w:rPr>
        <w:t>Szoptatás alatt a Yuflyma alkalmazható.</w:t>
      </w:r>
    </w:p>
    <w:p w14:paraId="7916007C" w14:textId="77777777" w:rsidR="00130E8B" w:rsidRDefault="000405CC">
      <w:pPr>
        <w:pStyle w:val="a3"/>
        <w:numPr>
          <w:ilvl w:val="1"/>
          <w:numId w:val="4"/>
        </w:numPr>
        <w:ind w:left="660" w:hanging="660"/>
        <w:rPr>
          <w:lang w:val="hu-HU"/>
        </w:rPr>
      </w:pPr>
      <w:r>
        <w:rPr>
          <w:rFonts w:eastAsia="Times New Roman"/>
          <w:lang w:val="hu-HU"/>
        </w:rPr>
        <w:t>Ha a terhessége alatt Yuflyma-t kapott, a kisbabája nagyobb eséllyel kap el valamilyen fertőzést.</w:t>
      </w:r>
    </w:p>
    <w:p w14:paraId="5C1D99D2" w14:textId="77777777" w:rsidR="00130E8B" w:rsidRDefault="000405CC">
      <w:pPr>
        <w:pStyle w:val="a3"/>
        <w:numPr>
          <w:ilvl w:val="1"/>
          <w:numId w:val="4"/>
        </w:numPr>
        <w:ind w:left="660" w:hanging="660"/>
        <w:rPr>
          <w:lang w:val="hu-HU"/>
        </w:rPr>
      </w:pPr>
      <w:r>
        <w:rPr>
          <w:rFonts w:eastAsia="Times New Roman"/>
          <w:lang w:val="hu-HU"/>
        </w:rPr>
        <w:t>Fontos, hogy elmondja kisbabája orvosának vagy az őt kezelő egészségügyi személyzetnek, hogy a terhessége alatt Yuflyma-t kapott, mielőtt a kisbaba bármilyen védőoltást kapna. A védőoltásokról további információt talál a „Figyelmeztetések és óvintézkedések” részben.</w:t>
      </w:r>
    </w:p>
    <w:p w14:paraId="76A2E208" w14:textId="77777777" w:rsidR="00130E8B" w:rsidRDefault="00130E8B">
      <w:pPr>
        <w:spacing w:before="15" w:line="240" w:lineRule="exact"/>
        <w:rPr>
          <w:b/>
          <w:sz w:val="24"/>
          <w:szCs w:val="24"/>
          <w:lang w:val="hu-HU"/>
        </w:rPr>
      </w:pPr>
    </w:p>
    <w:p w14:paraId="61C63774" w14:textId="77777777" w:rsidR="00130E8B" w:rsidRDefault="000405CC">
      <w:pPr>
        <w:pStyle w:val="a3"/>
        <w:rPr>
          <w:b/>
          <w:lang w:val="hu-HU"/>
        </w:rPr>
      </w:pPr>
      <w:r>
        <w:rPr>
          <w:rFonts w:eastAsia="Times New Roman"/>
          <w:b/>
          <w:bCs/>
          <w:lang w:val="hu-HU"/>
        </w:rPr>
        <w:t>A készítmény hatásai a gépjárművezetéshez és a gépek kezeléséhez szükséges képességekre</w:t>
      </w:r>
    </w:p>
    <w:p w14:paraId="0C4A425F" w14:textId="77777777" w:rsidR="00130E8B" w:rsidRDefault="00130E8B">
      <w:pPr>
        <w:spacing w:before="12" w:line="240" w:lineRule="exact"/>
        <w:rPr>
          <w:sz w:val="24"/>
          <w:szCs w:val="24"/>
          <w:lang w:val="hu-HU"/>
        </w:rPr>
      </w:pPr>
    </w:p>
    <w:p w14:paraId="17E0F933" w14:textId="2988D687" w:rsidR="00130E8B" w:rsidRDefault="000405CC">
      <w:pPr>
        <w:pStyle w:val="a3"/>
        <w:rPr>
          <w:lang w:val="hu-HU"/>
        </w:rPr>
      </w:pPr>
      <w:r>
        <w:rPr>
          <w:rFonts w:eastAsia="Times New Roman"/>
          <w:lang w:val="hu-HU"/>
        </w:rPr>
        <w:t>A Yuflyma csak csekély mértékben befolyásolhatja a gépjárművezetéshez, kerékpározáshoz vagy a gépek kezeléséhez szükséges képességeket. A Yuflyma alkalmazását követően előfordulhat olyan érzés, mintha forogna a szoba vagy a tér, továbbá látászavar is előfordulhat</w:t>
      </w:r>
      <w:r w:rsidR="00C77F0E">
        <w:rPr>
          <w:rFonts w:eastAsia="Times New Roman"/>
          <w:lang w:val="hu-HU"/>
        </w:rPr>
        <w:t>.</w:t>
      </w:r>
    </w:p>
    <w:p w14:paraId="2CC4E655" w14:textId="77777777" w:rsidR="00130E8B" w:rsidRDefault="00130E8B">
      <w:pPr>
        <w:pStyle w:val="a3"/>
        <w:rPr>
          <w:lang w:val="hu-HU"/>
        </w:rPr>
      </w:pPr>
    </w:p>
    <w:p w14:paraId="18C50553" w14:textId="6ABFB7E0" w:rsidR="00130E8B" w:rsidRDefault="000405CC">
      <w:pPr>
        <w:pStyle w:val="a3"/>
        <w:rPr>
          <w:b/>
          <w:lang w:val="hu-HU"/>
        </w:rPr>
      </w:pPr>
      <w:r>
        <w:rPr>
          <w:rFonts w:eastAsia="Times New Roman"/>
          <w:b/>
          <w:bCs/>
          <w:lang w:val="hu-HU"/>
        </w:rPr>
        <w:t xml:space="preserve">A </w:t>
      </w:r>
      <w:r w:rsidR="003110EE">
        <w:rPr>
          <w:rFonts w:hint="eastAsia"/>
          <w:b/>
          <w:bCs/>
          <w:lang w:val="hu-HU" w:eastAsia="ko-KR"/>
        </w:rPr>
        <w:t>Yuflyma</w:t>
      </w:r>
      <w:r>
        <w:rPr>
          <w:rFonts w:eastAsia="Times New Roman"/>
          <w:b/>
          <w:bCs/>
          <w:lang w:val="hu-HU"/>
        </w:rPr>
        <w:t xml:space="preserve"> nátriumot tartalmaz</w:t>
      </w:r>
    </w:p>
    <w:p w14:paraId="596A0EB4" w14:textId="77777777" w:rsidR="00130E8B" w:rsidRDefault="00130E8B">
      <w:pPr>
        <w:spacing w:before="12" w:line="240" w:lineRule="exact"/>
        <w:rPr>
          <w:sz w:val="24"/>
          <w:szCs w:val="24"/>
          <w:lang w:val="hu-HU"/>
        </w:rPr>
      </w:pPr>
    </w:p>
    <w:p w14:paraId="54C2E927" w14:textId="2C84CDC1" w:rsidR="00130E8B" w:rsidRDefault="000405CC">
      <w:pPr>
        <w:spacing w:line="200" w:lineRule="exact"/>
        <w:rPr>
          <w:sz w:val="20"/>
          <w:szCs w:val="20"/>
          <w:lang w:val="hu-HU"/>
        </w:rPr>
      </w:pPr>
      <w:r>
        <w:rPr>
          <w:rFonts w:ascii="Times New Roman" w:eastAsia="Times New Roman" w:hAnsi="Times New Roman" w:cs="Times New Roman"/>
          <w:lang w:val="hu-HU"/>
        </w:rPr>
        <w:t xml:space="preserve">Ez a gyógyszer kevesebb mint 1 mmol nátriumot (23 mg) tartalmaz 0,4  ml-es </w:t>
      </w:r>
      <w:r w:rsidR="004A2986" w:rsidRPr="0021748C">
        <w:rPr>
          <w:rFonts w:ascii="Times New Roman" w:eastAsia="Times New Roman" w:hAnsi="Times New Roman" w:cs="Times New Roman"/>
          <w:lang w:val="hu-HU"/>
        </w:rPr>
        <w:t>adagonként</w:t>
      </w:r>
      <w:r>
        <w:rPr>
          <w:rFonts w:ascii="Times New Roman" w:eastAsia="Times New Roman" w:hAnsi="Times New Roman" w:cs="Times New Roman"/>
          <w:lang w:val="hu-HU"/>
        </w:rPr>
        <w:t>, azaz lényegében „nátriummentes”.</w:t>
      </w:r>
    </w:p>
    <w:p w14:paraId="54776E3C" w14:textId="77777777" w:rsidR="00130E8B" w:rsidRDefault="00130E8B">
      <w:pPr>
        <w:spacing w:line="200" w:lineRule="exact"/>
        <w:rPr>
          <w:sz w:val="20"/>
          <w:szCs w:val="20"/>
          <w:lang w:val="hu-HU"/>
        </w:rPr>
      </w:pPr>
    </w:p>
    <w:p w14:paraId="04CCD150" w14:textId="77777777" w:rsidR="00130E8B" w:rsidRDefault="00130E8B">
      <w:pPr>
        <w:spacing w:line="200" w:lineRule="exact"/>
        <w:rPr>
          <w:sz w:val="20"/>
          <w:szCs w:val="20"/>
          <w:lang w:val="hu-HU"/>
        </w:rPr>
      </w:pPr>
    </w:p>
    <w:p w14:paraId="4086918D" w14:textId="5B66DDFB" w:rsidR="00130E8B" w:rsidRDefault="000405CC">
      <w:pPr>
        <w:pStyle w:val="a4"/>
        <w:numPr>
          <w:ilvl w:val="0"/>
          <w:numId w:val="32"/>
        </w:numPr>
        <w:spacing w:before="18" w:line="240" w:lineRule="exact"/>
        <w:ind w:left="357" w:hanging="357"/>
        <w:rPr>
          <w:rFonts w:ascii="Times New Roman" w:hAnsi="Times New Roman" w:cs="Times New Roman"/>
          <w:b/>
          <w:lang w:val="hu-HU"/>
        </w:rPr>
      </w:pPr>
      <w:r>
        <w:rPr>
          <w:rFonts w:ascii="Times New Roman" w:eastAsia="Times New Roman" w:hAnsi="Times New Roman" w:cs="Times New Roman"/>
          <w:b/>
          <w:bCs/>
          <w:lang w:val="hu-HU"/>
        </w:rPr>
        <w:t>Hogyan kell alkalmazni a Yuflyma-t</w:t>
      </w:r>
      <w:r w:rsidR="0032768D">
        <w:rPr>
          <w:rFonts w:ascii="Times New Roman" w:eastAsia="Times New Roman" w:hAnsi="Times New Roman" w:cs="Times New Roman"/>
          <w:b/>
          <w:bCs/>
          <w:lang w:val="hu-HU"/>
        </w:rPr>
        <w:t>?</w:t>
      </w:r>
    </w:p>
    <w:p w14:paraId="058A9D80" w14:textId="77777777" w:rsidR="00130E8B" w:rsidRDefault="00130E8B">
      <w:pPr>
        <w:spacing w:before="9" w:line="240" w:lineRule="exact"/>
        <w:rPr>
          <w:sz w:val="24"/>
          <w:szCs w:val="24"/>
          <w:lang w:val="hu-HU"/>
        </w:rPr>
      </w:pPr>
    </w:p>
    <w:p w14:paraId="31C8F1B8" w14:textId="12D592CA" w:rsidR="00130E8B" w:rsidRDefault="000405CC">
      <w:pPr>
        <w:pStyle w:val="a3"/>
        <w:rPr>
          <w:rFonts w:eastAsia="Times New Roman"/>
          <w:lang w:val="hu-HU"/>
        </w:rPr>
      </w:pPr>
      <w:r>
        <w:rPr>
          <w:rFonts w:eastAsia="Times New Roman"/>
          <w:lang w:val="hu-HU"/>
        </w:rPr>
        <w:t>A gyógyszert mindig a kezelőorvosa vagy gyógyszerésze által elmondottaknak megfelelően alkalmazza. Forduljon orvosához vagy gyógyszerészéhez, ha bizonytalan valamiben.</w:t>
      </w:r>
    </w:p>
    <w:p w14:paraId="266CFF44" w14:textId="77777777" w:rsidR="00E71758" w:rsidRDefault="00E71758">
      <w:pPr>
        <w:pStyle w:val="a3"/>
        <w:rPr>
          <w:lang w:val="hu-HU"/>
        </w:rPr>
      </w:pPr>
    </w:p>
    <w:p w14:paraId="3956D753" w14:textId="42D39E36" w:rsidR="00130E8B" w:rsidRDefault="00E71758">
      <w:pPr>
        <w:pStyle w:val="a3"/>
        <w:rPr>
          <w:lang w:val="hu-HU"/>
        </w:rPr>
      </w:pPr>
      <w:r w:rsidRPr="00633C13">
        <w:rPr>
          <w:lang w:val="hu-HU"/>
        </w:rPr>
        <w:t xml:space="preserve">A </w:t>
      </w:r>
      <w:r w:rsidR="00151C9A" w:rsidRPr="00633C13">
        <w:rPr>
          <w:lang w:val="hu-HU"/>
        </w:rPr>
        <w:t>Yuflyma</w:t>
      </w:r>
      <w:r w:rsidRPr="00633C13">
        <w:rPr>
          <w:lang w:val="hu-HU"/>
        </w:rPr>
        <w:t xml:space="preserve"> javasolt adagját az alábbi táblázat mutatja, alkalmazási terület szerint. Kezelőorvosa más hatáserősségű </w:t>
      </w:r>
      <w:r w:rsidR="00151C9A" w:rsidRPr="00633C13">
        <w:rPr>
          <w:lang w:val="hu-HU"/>
        </w:rPr>
        <w:t>Yuflyma</w:t>
      </w:r>
      <w:r w:rsidRPr="00633C13">
        <w:rPr>
          <w:lang w:val="hu-HU"/>
        </w:rPr>
        <w:t>-t is felírhat, ha Önnek más dózisra van szüksége.</w:t>
      </w:r>
    </w:p>
    <w:p w14:paraId="538F54BB" w14:textId="77777777" w:rsidR="00130E8B" w:rsidRDefault="00130E8B">
      <w:pPr>
        <w:rPr>
          <w:rFonts w:ascii="Times New Roman" w:hAnsi="Times New Roman" w:cs="Times New Roman"/>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130E8B" w:rsidRPr="00BE4D18" w14:paraId="5A7164FE"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24CC9C08" w14:textId="706066D6" w:rsidR="00130E8B" w:rsidRDefault="000405CC">
            <w:pPr>
              <w:pStyle w:val="TableParagraph"/>
              <w:spacing w:line="251"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Reumatoid artritisz, pszoriázisos ízületi gyulladás, spondilitisz ankilopoetika</w:t>
            </w:r>
          </w:p>
          <w:p w14:paraId="588AA88F" w14:textId="77777777" w:rsidR="00130E8B" w:rsidRDefault="000405CC">
            <w:pPr>
              <w:pStyle w:val="TableParagraph"/>
              <w:spacing w:before="1" w:line="252"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spondilitisz ankilopoetikára jellemző röntgeneltérést nem mutató gerincízületi gyulladás (axiális spondiloartritisz)</w:t>
            </w:r>
            <w:r>
              <w:rPr>
                <w:rFonts w:ascii="Times New Roman" w:eastAsia="Times New Roman" w:hAnsi="Times New Roman" w:cs="Times New Roman"/>
                <w:spacing w:val="-1"/>
                <w:lang w:val="hu-HU"/>
              </w:rPr>
              <w:t xml:space="preserve"> </w:t>
            </w:r>
          </w:p>
        </w:tc>
      </w:tr>
      <w:tr w:rsidR="00130E8B" w14:paraId="5D332189" w14:textId="77777777">
        <w:tc>
          <w:tcPr>
            <w:tcW w:w="3096" w:type="dxa"/>
            <w:tcBorders>
              <w:top w:val="single" w:sz="5" w:space="0" w:color="000000"/>
              <w:left w:val="single" w:sz="5" w:space="0" w:color="000000"/>
              <w:bottom w:val="single" w:sz="5" w:space="0" w:color="000000"/>
              <w:right w:val="single" w:sz="5" w:space="0" w:color="000000"/>
            </w:tcBorders>
          </w:tcPr>
          <w:p w14:paraId="4B3C4574"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5" w:space="0" w:color="000000"/>
              <w:bottom w:val="single" w:sz="5" w:space="0" w:color="000000"/>
              <w:right w:val="single" w:sz="5" w:space="0" w:color="000000"/>
            </w:tcBorders>
          </w:tcPr>
          <w:p w14:paraId="019443EF" w14:textId="28C50F95" w:rsidR="00130E8B" w:rsidRDefault="000405CC" w:rsidP="00545FC6">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w:t>
            </w:r>
            <w:r w:rsidR="00BE2389">
              <w:rPr>
                <w:rFonts w:ascii="Times New Roman" w:eastAsia="Times New Roman" w:hAnsi="Times New Roman" w:cs="Times New Roman"/>
                <w:b/>
                <w:bCs/>
                <w:spacing w:val="-1"/>
                <w:lang w:val="hu-HU"/>
              </w:rPr>
              <w:t xml:space="preserve"> </w:t>
            </w:r>
            <w:r>
              <w:rPr>
                <w:rFonts w:ascii="Times New Roman" w:eastAsia="Times New Roman" w:hAnsi="Times New Roman" w:cs="Times New Roman"/>
                <w:b/>
                <w:bCs/>
                <w:lang w:val="hu-HU"/>
              </w:rPr>
              <w:t xml:space="preserve"> alkalmazni?</w:t>
            </w:r>
          </w:p>
        </w:tc>
        <w:tc>
          <w:tcPr>
            <w:tcW w:w="3096" w:type="dxa"/>
            <w:tcBorders>
              <w:top w:val="single" w:sz="5" w:space="0" w:color="000000"/>
              <w:left w:val="single" w:sz="5" w:space="0" w:color="000000"/>
              <w:bottom w:val="single" w:sz="5" w:space="0" w:color="000000"/>
              <w:right w:val="single" w:sz="5" w:space="0" w:color="000000"/>
            </w:tcBorders>
          </w:tcPr>
          <w:p w14:paraId="2FFECE0A"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130E8B" w:rsidRPr="00BE4D18" w14:paraId="0AF02C19" w14:textId="77777777">
        <w:tc>
          <w:tcPr>
            <w:tcW w:w="3096" w:type="dxa"/>
            <w:tcBorders>
              <w:top w:val="single" w:sz="5" w:space="0" w:color="000000"/>
              <w:left w:val="single" w:sz="5" w:space="0" w:color="000000"/>
              <w:bottom w:val="single" w:sz="5" w:space="0" w:color="000000"/>
              <w:right w:val="single" w:sz="5" w:space="0" w:color="000000"/>
            </w:tcBorders>
          </w:tcPr>
          <w:p w14:paraId="0D9A6A30" w14:textId="77777777" w:rsidR="00130E8B" w:rsidRDefault="000405CC">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Felnőttek</w:t>
            </w:r>
          </w:p>
        </w:tc>
        <w:tc>
          <w:tcPr>
            <w:tcW w:w="3096" w:type="dxa"/>
            <w:tcBorders>
              <w:top w:val="single" w:sz="5" w:space="0" w:color="000000"/>
              <w:left w:val="single" w:sz="5" w:space="0" w:color="000000"/>
              <w:bottom w:val="single" w:sz="5" w:space="0" w:color="000000"/>
              <w:right w:val="single" w:sz="5" w:space="0" w:color="000000"/>
            </w:tcBorders>
          </w:tcPr>
          <w:p w14:paraId="77E87453" w14:textId="4B694A6B" w:rsidR="00130E8B" w:rsidRDefault="000405CC">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40 mg </w:t>
            </w:r>
            <w:r w:rsidR="00295548" w:rsidRPr="004F731A">
              <w:rPr>
                <w:rFonts w:ascii="Times New Roman" w:eastAsia="Times New Roman" w:hAnsi="Times New Roman" w:cs="Times New Roman"/>
                <w:lang w:val="hu-HU"/>
              </w:rPr>
              <w:t>kéthetente</w:t>
            </w:r>
          </w:p>
        </w:tc>
        <w:tc>
          <w:tcPr>
            <w:tcW w:w="3096" w:type="dxa"/>
            <w:tcBorders>
              <w:top w:val="single" w:sz="5" w:space="0" w:color="000000"/>
              <w:left w:val="single" w:sz="5" w:space="0" w:color="000000"/>
              <w:bottom w:val="single" w:sz="5" w:space="0" w:color="000000"/>
              <w:right w:val="single" w:sz="5" w:space="0" w:color="000000"/>
            </w:tcBorders>
          </w:tcPr>
          <w:p w14:paraId="2BC37988" w14:textId="77777777" w:rsidR="00130E8B" w:rsidRDefault="000405CC">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Reumatoid artritiszben</w:t>
            </w:r>
          </w:p>
          <w:p w14:paraId="051A271C" w14:textId="533236C8" w:rsidR="00130E8B" w:rsidRDefault="000405CC">
            <w:pPr>
              <w:pStyle w:val="TableParagraph"/>
              <w:spacing w:before="1" w:line="239" w:lineRule="auto"/>
              <w:ind w:left="102" w:right="73"/>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a Yuflyma alkalmazása során a metotrexát-kezelést folytatni kell. Amennyiben az Ön kezelőorvosa a metotrexát adását szükségtelennek tartja, abban az esetben a Yuflyma </w:t>
            </w:r>
            <w:r w:rsidR="00D50B9C">
              <w:rPr>
                <w:rFonts w:ascii="Times New Roman" w:eastAsia="Times New Roman" w:hAnsi="Times New Roman" w:cs="Times New Roman"/>
                <w:spacing w:val="-1"/>
                <w:lang w:val="hu-HU"/>
              </w:rPr>
              <w:t xml:space="preserve">önmagában </w:t>
            </w:r>
            <w:r>
              <w:rPr>
                <w:rFonts w:ascii="Times New Roman" w:eastAsia="Times New Roman" w:hAnsi="Times New Roman" w:cs="Times New Roman"/>
                <w:spacing w:val="-1"/>
                <w:lang w:val="hu-HU"/>
              </w:rPr>
              <w:t>alkalmazható.</w:t>
            </w:r>
          </w:p>
          <w:p w14:paraId="575B0256" w14:textId="77777777" w:rsidR="00130E8B" w:rsidRDefault="00130E8B">
            <w:pPr>
              <w:pStyle w:val="TableParagraph"/>
              <w:spacing w:before="13" w:line="240" w:lineRule="exact"/>
              <w:rPr>
                <w:sz w:val="24"/>
                <w:szCs w:val="24"/>
                <w:lang w:val="hu-HU"/>
              </w:rPr>
            </w:pPr>
          </w:p>
          <w:p w14:paraId="59757AAD" w14:textId="77777777" w:rsidR="00130E8B" w:rsidRDefault="000405CC">
            <w:pPr>
              <w:pStyle w:val="TableParagraph"/>
              <w:ind w:left="102" w:right="127"/>
              <w:rPr>
                <w:rFonts w:ascii="Times New Roman" w:eastAsia="Times New Roman" w:hAnsi="Times New Roman" w:cs="Times New Roman"/>
                <w:lang w:val="hu-HU"/>
              </w:rPr>
            </w:pPr>
            <w:r>
              <w:rPr>
                <w:rFonts w:ascii="Times New Roman" w:eastAsia="Times New Roman" w:hAnsi="Times New Roman" w:cs="Times New Roman"/>
                <w:spacing w:val="-1"/>
                <w:lang w:val="hu-HU"/>
              </w:rPr>
              <w:t>Ha Önnek reumatoid artritisze van és a Yuflyma alkalmazása során nem kap metotrexát-kezelést, abban az esetben kezelőorvosa hetente 40 mg vagy kéthetente 80 mg adalimumab adása mellett dönthet.</w:t>
            </w:r>
          </w:p>
        </w:tc>
      </w:tr>
    </w:tbl>
    <w:p w14:paraId="3AD8681D" w14:textId="77777777" w:rsidR="00130E8B" w:rsidRDefault="00130E8B">
      <w:pPr>
        <w:spacing w:before="12"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130E8B" w14:paraId="4B012AF4"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1B1F00BF" w14:textId="047A9A6C" w:rsidR="00C64CC5" w:rsidRDefault="00245908" w:rsidP="00C64CC5">
            <w:pPr>
              <w:pStyle w:val="TableParagraph"/>
              <w:spacing w:line="250" w:lineRule="exact"/>
              <w:ind w:left="102"/>
              <w:rPr>
                <w:rFonts w:ascii="Times New Roman" w:eastAsia="Times New Roman" w:hAnsi="Times New Roman" w:cs="Times New Roman"/>
                <w:b/>
                <w:bCs/>
                <w:spacing w:val="-1"/>
                <w:lang w:val="hu-HU"/>
              </w:rPr>
            </w:pPr>
            <w:r>
              <w:rPr>
                <w:rFonts w:ascii="Times New Roman" w:hAnsi="Times New Roman" w:cs="Times New Roman"/>
                <w:b/>
                <w:bCs/>
                <w:lang w:val="hu-HU"/>
              </w:rPr>
              <w:t>Poliartikuláris juvenilis idiopátiás artritisz</w:t>
            </w:r>
          </w:p>
          <w:p w14:paraId="0F6C5B8F" w14:textId="6E82DC93" w:rsidR="00130E8B" w:rsidRDefault="00130E8B" w:rsidP="00C64CC5">
            <w:pPr>
              <w:pStyle w:val="TableParagraph"/>
              <w:spacing w:line="250" w:lineRule="exact"/>
              <w:ind w:left="102"/>
              <w:rPr>
                <w:rFonts w:ascii="Times New Roman" w:eastAsia="Times New Roman" w:hAnsi="Times New Roman" w:cs="Times New Roman"/>
                <w:lang w:val="hu-HU"/>
              </w:rPr>
            </w:pPr>
          </w:p>
        </w:tc>
      </w:tr>
      <w:tr w:rsidR="00130E8B" w14:paraId="1EF2C1BF" w14:textId="77777777">
        <w:tc>
          <w:tcPr>
            <w:tcW w:w="3096" w:type="dxa"/>
            <w:tcBorders>
              <w:top w:val="single" w:sz="5" w:space="0" w:color="000000"/>
              <w:left w:val="single" w:sz="5" w:space="0" w:color="000000"/>
              <w:bottom w:val="single" w:sz="5" w:space="0" w:color="000000"/>
              <w:right w:val="single" w:sz="5" w:space="0" w:color="000000"/>
            </w:tcBorders>
          </w:tcPr>
          <w:p w14:paraId="06D9C0B7"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5" w:space="0" w:color="000000"/>
              <w:bottom w:val="single" w:sz="5" w:space="0" w:color="000000"/>
              <w:right w:val="single" w:sz="5" w:space="0" w:color="000000"/>
            </w:tcBorders>
          </w:tcPr>
          <w:p w14:paraId="501C76ED" w14:textId="2AF380D3" w:rsidR="00130E8B" w:rsidRDefault="000405CC" w:rsidP="00545FC6">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w:t>
            </w:r>
            <w:r w:rsidR="00BE2389">
              <w:rPr>
                <w:rFonts w:ascii="Times New Roman" w:eastAsia="Times New Roman" w:hAnsi="Times New Roman" w:cs="Times New Roman"/>
                <w:b/>
                <w:bCs/>
                <w:spacing w:val="-1"/>
                <w:lang w:val="hu-HU"/>
              </w:rPr>
              <w:t xml:space="preserve"> </w:t>
            </w:r>
            <w:r>
              <w:rPr>
                <w:rFonts w:ascii="Times New Roman" w:eastAsia="Times New Roman" w:hAnsi="Times New Roman" w:cs="Times New Roman"/>
                <w:b/>
                <w:bCs/>
                <w:lang w:val="hu-HU"/>
              </w:rPr>
              <w:t xml:space="preserve"> alkalmazni?</w:t>
            </w:r>
          </w:p>
        </w:tc>
        <w:tc>
          <w:tcPr>
            <w:tcW w:w="3096" w:type="dxa"/>
            <w:tcBorders>
              <w:top w:val="single" w:sz="5" w:space="0" w:color="000000"/>
              <w:left w:val="single" w:sz="5" w:space="0" w:color="000000"/>
              <w:bottom w:val="single" w:sz="5" w:space="0" w:color="000000"/>
              <w:right w:val="single" w:sz="5" w:space="0" w:color="000000"/>
            </w:tcBorders>
          </w:tcPr>
          <w:p w14:paraId="6F0B48BF"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130E8B" w14:paraId="45CC1477" w14:textId="77777777">
        <w:tc>
          <w:tcPr>
            <w:tcW w:w="3096" w:type="dxa"/>
            <w:tcBorders>
              <w:top w:val="single" w:sz="5" w:space="0" w:color="000000"/>
              <w:left w:val="single" w:sz="5" w:space="0" w:color="000000"/>
              <w:bottom w:val="single" w:sz="5" w:space="0" w:color="000000"/>
              <w:right w:val="single" w:sz="5" w:space="0" w:color="000000"/>
            </w:tcBorders>
          </w:tcPr>
          <w:p w14:paraId="230559D5" w14:textId="09588BFC" w:rsidR="00130E8B" w:rsidRDefault="00DD2856" w:rsidP="006F5E89">
            <w:pPr>
              <w:pStyle w:val="TableParagraph"/>
              <w:spacing w:line="246" w:lineRule="exact"/>
              <w:ind w:left="102" w:right="57"/>
              <w:rPr>
                <w:rFonts w:ascii="Times New Roman" w:eastAsia="Times New Roman" w:hAnsi="Times New Roman" w:cs="Times New Roman"/>
                <w:lang w:val="hu-HU"/>
              </w:rPr>
            </w:pPr>
            <w:r w:rsidRPr="0029772B">
              <w:rPr>
                <w:rFonts w:ascii="Times New Roman" w:eastAsia="Times New Roman" w:hAnsi="Times New Roman" w:cs="Times New Roman"/>
                <w:spacing w:val="-1"/>
                <w:lang w:val="hu-HU"/>
              </w:rPr>
              <w:t>2 évesnél idősebb, 30 kg vagy annál nagyobb testtömegű gyermekek, serdülők és felnőttek</w:t>
            </w:r>
          </w:p>
        </w:tc>
        <w:tc>
          <w:tcPr>
            <w:tcW w:w="3096" w:type="dxa"/>
            <w:tcBorders>
              <w:top w:val="single" w:sz="5" w:space="0" w:color="000000"/>
              <w:left w:val="single" w:sz="5" w:space="0" w:color="000000"/>
              <w:bottom w:val="single" w:sz="5" w:space="0" w:color="000000"/>
              <w:right w:val="single" w:sz="5" w:space="0" w:color="000000"/>
            </w:tcBorders>
          </w:tcPr>
          <w:p w14:paraId="1F5413A0" w14:textId="668A9FC2" w:rsidR="00130E8B" w:rsidRDefault="000405CC">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40 mg </w:t>
            </w:r>
            <w:r w:rsidR="00295548" w:rsidRPr="004F731A">
              <w:rPr>
                <w:rFonts w:ascii="Times New Roman" w:eastAsia="Times New Roman" w:hAnsi="Times New Roman" w:cs="Times New Roman"/>
                <w:lang w:val="hu-HU"/>
              </w:rPr>
              <w:t>kéthetente</w:t>
            </w:r>
          </w:p>
        </w:tc>
        <w:tc>
          <w:tcPr>
            <w:tcW w:w="3096" w:type="dxa"/>
            <w:tcBorders>
              <w:top w:val="single" w:sz="5" w:space="0" w:color="000000"/>
              <w:left w:val="single" w:sz="5" w:space="0" w:color="000000"/>
              <w:bottom w:val="single" w:sz="5" w:space="0" w:color="000000"/>
              <w:right w:val="single" w:sz="5" w:space="0" w:color="000000"/>
            </w:tcBorders>
          </w:tcPr>
          <w:p w14:paraId="7781B365" w14:textId="63901D18" w:rsidR="00130E8B" w:rsidRDefault="00DD2856">
            <w:pPr>
              <w:pStyle w:val="TableParagraph"/>
              <w:spacing w:line="246" w:lineRule="exact"/>
              <w:ind w:left="102" w:right="57"/>
              <w:rPr>
                <w:rFonts w:ascii="Times New Roman" w:eastAsia="Times New Roman" w:hAnsi="Times New Roman" w:cs="Times New Roman"/>
                <w:lang w:val="hu-HU"/>
              </w:rPr>
            </w:pPr>
            <w:r w:rsidRPr="00D43AE4">
              <w:rPr>
                <w:rFonts w:ascii="Times New Roman" w:eastAsia="Times New Roman" w:hAnsi="Times New Roman" w:cs="Times New Roman"/>
                <w:spacing w:val="-1"/>
                <w:lang w:val="hu-HU"/>
              </w:rPr>
              <w:t>Nincs</w:t>
            </w:r>
          </w:p>
        </w:tc>
      </w:tr>
      <w:tr w:rsidR="00E71758" w14:paraId="67D103B2" w14:textId="77777777">
        <w:tc>
          <w:tcPr>
            <w:tcW w:w="3096" w:type="dxa"/>
            <w:tcBorders>
              <w:top w:val="single" w:sz="5" w:space="0" w:color="000000"/>
              <w:left w:val="single" w:sz="5" w:space="0" w:color="000000"/>
              <w:bottom w:val="single" w:sz="5" w:space="0" w:color="000000"/>
              <w:right w:val="single" w:sz="5" w:space="0" w:color="000000"/>
            </w:tcBorders>
          </w:tcPr>
          <w:p w14:paraId="02E96508" w14:textId="7BF9E827" w:rsidR="00E71758" w:rsidRDefault="00E71758" w:rsidP="00E71758">
            <w:pPr>
              <w:pStyle w:val="TableParagraph"/>
              <w:spacing w:line="246" w:lineRule="exact"/>
              <w:ind w:left="102" w:right="57"/>
              <w:rPr>
                <w:rFonts w:ascii="Times New Roman" w:eastAsia="Times New Roman" w:hAnsi="Times New Roman" w:cs="Times New Roman"/>
                <w:spacing w:val="-1"/>
                <w:lang w:val="hu-HU"/>
              </w:rPr>
            </w:pPr>
            <w:r w:rsidRPr="00167BF3">
              <w:rPr>
                <w:rFonts w:ascii="Times New Roman" w:eastAsia="Times New Roman" w:hAnsi="Times New Roman" w:cs="Times New Roman"/>
                <w:spacing w:val="-1"/>
                <w:lang w:val="hu-HU"/>
              </w:rPr>
              <w:t>2 évesnél idősebb, 10 kg-nál nagyobb, de 30 kg-nál kisebb testtömegű gyermekek és serdülők</w:t>
            </w:r>
          </w:p>
        </w:tc>
        <w:tc>
          <w:tcPr>
            <w:tcW w:w="3096" w:type="dxa"/>
            <w:tcBorders>
              <w:top w:val="single" w:sz="5" w:space="0" w:color="000000"/>
              <w:left w:val="single" w:sz="5" w:space="0" w:color="000000"/>
              <w:bottom w:val="single" w:sz="5" w:space="0" w:color="000000"/>
              <w:right w:val="single" w:sz="5" w:space="0" w:color="000000"/>
            </w:tcBorders>
          </w:tcPr>
          <w:p w14:paraId="4ED59B94" w14:textId="6F1FD59A" w:rsidR="00E71758" w:rsidRDefault="00E71758" w:rsidP="00E71758">
            <w:pPr>
              <w:pStyle w:val="TableParagraph"/>
              <w:spacing w:line="246" w:lineRule="exact"/>
              <w:ind w:left="102" w:right="57"/>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20 mg </w:t>
            </w:r>
            <w:r w:rsidR="00295548" w:rsidRPr="004F731A">
              <w:rPr>
                <w:rFonts w:ascii="Times New Roman" w:eastAsia="Times New Roman" w:hAnsi="Times New Roman" w:cs="Times New Roman"/>
                <w:lang w:val="hu-HU"/>
              </w:rPr>
              <w:t>kéthetente</w:t>
            </w:r>
          </w:p>
        </w:tc>
        <w:tc>
          <w:tcPr>
            <w:tcW w:w="3096" w:type="dxa"/>
            <w:tcBorders>
              <w:top w:val="single" w:sz="5" w:space="0" w:color="000000"/>
              <w:left w:val="single" w:sz="5" w:space="0" w:color="000000"/>
              <w:bottom w:val="single" w:sz="5" w:space="0" w:color="000000"/>
              <w:right w:val="single" w:sz="5" w:space="0" w:color="000000"/>
            </w:tcBorders>
          </w:tcPr>
          <w:p w14:paraId="73BE5508" w14:textId="2AB8FBB6" w:rsidR="00E71758" w:rsidRDefault="00DD2856" w:rsidP="00E71758">
            <w:pPr>
              <w:pStyle w:val="TableParagraph"/>
              <w:spacing w:line="246" w:lineRule="exact"/>
              <w:ind w:left="102" w:right="57"/>
              <w:rPr>
                <w:rFonts w:ascii="Times New Roman" w:eastAsia="Times New Roman" w:hAnsi="Times New Roman" w:cs="Times New Roman"/>
                <w:spacing w:val="-1"/>
                <w:lang w:val="hu-HU"/>
              </w:rPr>
            </w:pPr>
            <w:r w:rsidRPr="00D43AE4">
              <w:rPr>
                <w:rFonts w:ascii="Times New Roman" w:eastAsia="Times New Roman" w:hAnsi="Times New Roman" w:cs="Times New Roman"/>
                <w:spacing w:val="-1"/>
                <w:lang w:val="hu-HU"/>
              </w:rPr>
              <w:t>Nincs</w:t>
            </w:r>
          </w:p>
        </w:tc>
      </w:tr>
    </w:tbl>
    <w:p w14:paraId="4139ECED" w14:textId="77777777" w:rsidR="00130E8B" w:rsidRDefault="00130E8B">
      <w:pPr>
        <w:spacing w:before="10"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245908" w14:paraId="36A8C4F9"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664315D0" w14:textId="693B5850" w:rsidR="00245908" w:rsidRDefault="00245908" w:rsidP="00245908">
            <w:pPr>
              <w:pStyle w:val="TableParagraph"/>
              <w:spacing w:line="252" w:lineRule="exact"/>
              <w:ind w:left="102"/>
              <w:rPr>
                <w:rFonts w:ascii="Times New Roman" w:eastAsia="Times New Roman" w:hAnsi="Times New Roman" w:cs="Times New Roman"/>
                <w:lang w:val="hu-HU"/>
              </w:rPr>
            </w:pPr>
            <w:r>
              <w:rPr>
                <w:rFonts w:ascii="Times New Roman" w:hAnsi="Times New Roman" w:cs="Times New Roman"/>
                <w:b/>
                <w:bCs/>
                <w:lang w:val="hu-HU"/>
              </w:rPr>
              <w:t>Entezitisszel társult artritisz</w:t>
            </w:r>
          </w:p>
        </w:tc>
      </w:tr>
      <w:tr w:rsidR="00245908" w14:paraId="75AE482F" w14:textId="77777777">
        <w:tc>
          <w:tcPr>
            <w:tcW w:w="3096" w:type="dxa"/>
            <w:tcBorders>
              <w:top w:val="single" w:sz="5" w:space="0" w:color="000000"/>
              <w:left w:val="single" w:sz="5" w:space="0" w:color="000000"/>
              <w:bottom w:val="single" w:sz="5" w:space="0" w:color="000000"/>
              <w:right w:val="single" w:sz="5" w:space="0" w:color="000000"/>
            </w:tcBorders>
          </w:tcPr>
          <w:p w14:paraId="03995A54" w14:textId="77777777" w:rsidR="00245908" w:rsidRDefault="00245908" w:rsidP="00245908">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5" w:space="0" w:color="000000"/>
              <w:bottom w:val="single" w:sz="5" w:space="0" w:color="000000"/>
              <w:right w:val="single" w:sz="5" w:space="0" w:color="000000"/>
            </w:tcBorders>
          </w:tcPr>
          <w:p w14:paraId="65FDC657" w14:textId="5AA1F33F" w:rsidR="00245908" w:rsidRDefault="00245908" w:rsidP="00545FC6">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w:t>
            </w:r>
            <w:r w:rsidR="00BE2389">
              <w:rPr>
                <w:rFonts w:ascii="Times New Roman" w:eastAsia="Times New Roman" w:hAnsi="Times New Roman" w:cs="Times New Roman"/>
                <w:b/>
                <w:bCs/>
                <w:spacing w:val="-1"/>
                <w:lang w:val="hu-HU"/>
              </w:rPr>
              <w:t xml:space="preserve"> </w:t>
            </w:r>
            <w:r>
              <w:rPr>
                <w:rFonts w:ascii="Times New Roman" w:eastAsia="Times New Roman" w:hAnsi="Times New Roman" w:cs="Times New Roman"/>
                <w:b/>
                <w:bCs/>
                <w:lang w:val="hu-HU"/>
              </w:rPr>
              <w:t xml:space="preserve"> alkalmazni?</w:t>
            </w:r>
          </w:p>
        </w:tc>
        <w:tc>
          <w:tcPr>
            <w:tcW w:w="3096" w:type="dxa"/>
            <w:tcBorders>
              <w:top w:val="single" w:sz="5" w:space="0" w:color="000000"/>
              <w:left w:val="single" w:sz="5" w:space="0" w:color="000000"/>
              <w:bottom w:val="single" w:sz="5" w:space="0" w:color="000000"/>
              <w:right w:val="single" w:sz="5" w:space="0" w:color="000000"/>
            </w:tcBorders>
          </w:tcPr>
          <w:p w14:paraId="53AED856" w14:textId="77777777" w:rsidR="00245908" w:rsidRDefault="00245908" w:rsidP="00245908">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245908" w14:paraId="490D7ACA" w14:textId="77777777">
        <w:tc>
          <w:tcPr>
            <w:tcW w:w="3096" w:type="dxa"/>
            <w:tcBorders>
              <w:top w:val="single" w:sz="5" w:space="0" w:color="000000"/>
              <w:left w:val="single" w:sz="5" w:space="0" w:color="000000"/>
              <w:bottom w:val="single" w:sz="5" w:space="0" w:color="000000"/>
              <w:right w:val="single" w:sz="5" w:space="0" w:color="000000"/>
            </w:tcBorders>
          </w:tcPr>
          <w:p w14:paraId="349B358F" w14:textId="1E586235" w:rsidR="00245908" w:rsidRDefault="00DD2856" w:rsidP="006F5E89">
            <w:pPr>
              <w:pStyle w:val="TableParagraph"/>
              <w:spacing w:line="246" w:lineRule="exact"/>
              <w:ind w:left="102" w:right="57"/>
              <w:rPr>
                <w:rFonts w:ascii="Times New Roman" w:eastAsia="Times New Roman" w:hAnsi="Times New Roman" w:cs="Times New Roman"/>
                <w:lang w:val="hu-HU"/>
              </w:rPr>
            </w:pPr>
            <w:r w:rsidRPr="00B20081">
              <w:rPr>
                <w:rFonts w:ascii="Times New Roman" w:eastAsia="Times New Roman" w:hAnsi="Times New Roman" w:cs="Times New Roman"/>
                <w:spacing w:val="-1"/>
                <w:lang w:val="hu-HU"/>
              </w:rPr>
              <w:t>6 éves kor feletti,30 kg vagy annál nagyobb testtömegű gyermekek, serdülők és felnőttek</w:t>
            </w:r>
          </w:p>
        </w:tc>
        <w:tc>
          <w:tcPr>
            <w:tcW w:w="3096" w:type="dxa"/>
            <w:tcBorders>
              <w:top w:val="single" w:sz="5" w:space="0" w:color="000000"/>
              <w:left w:val="single" w:sz="5" w:space="0" w:color="000000"/>
              <w:bottom w:val="single" w:sz="5" w:space="0" w:color="000000"/>
              <w:right w:val="single" w:sz="5" w:space="0" w:color="000000"/>
            </w:tcBorders>
          </w:tcPr>
          <w:p w14:paraId="41627096" w14:textId="7B205EAC" w:rsidR="00245908" w:rsidRDefault="00245908" w:rsidP="007C230C">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40 mg </w:t>
            </w:r>
            <w:r w:rsidR="00E37857" w:rsidRPr="004F731A">
              <w:rPr>
                <w:rFonts w:ascii="Times New Roman" w:eastAsia="Times New Roman" w:hAnsi="Times New Roman" w:cs="Times New Roman"/>
                <w:lang w:val="hu-HU"/>
              </w:rPr>
              <w:t>kéthetente</w:t>
            </w:r>
          </w:p>
        </w:tc>
        <w:tc>
          <w:tcPr>
            <w:tcW w:w="3096" w:type="dxa"/>
            <w:tcBorders>
              <w:top w:val="single" w:sz="5" w:space="0" w:color="000000"/>
              <w:left w:val="single" w:sz="5" w:space="0" w:color="000000"/>
              <w:bottom w:val="single" w:sz="5" w:space="0" w:color="000000"/>
              <w:right w:val="single" w:sz="5" w:space="0" w:color="000000"/>
            </w:tcBorders>
          </w:tcPr>
          <w:p w14:paraId="788608D3" w14:textId="355D4AFC" w:rsidR="00245908" w:rsidRDefault="00DD2856" w:rsidP="00245908">
            <w:pPr>
              <w:pStyle w:val="TableParagraph"/>
              <w:spacing w:line="246" w:lineRule="exact"/>
              <w:ind w:left="102" w:right="57"/>
              <w:rPr>
                <w:rFonts w:ascii="Times New Roman" w:eastAsia="Times New Roman" w:hAnsi="Times New Roman" w:cs="Times New Roman"/>
                <w:lang w:val="hu-HU"/>
              </w:rPr>
            </w:pPr>
            <w:r w:rsidRPr="00D43AE4">
              <w:rPr>
                <w:rFonts w:ascii="Times New Roman" w:eastAsia="Times New Roman" w:hAnsi="Times New Roman" w:cs="Times New Roman"/>
                <w:spacing w:val="-1"/>
                <w:lang w:val="hu-HU"/>
              </w:rPr>
              <w:t>Nincs</w:t>
            </w:r>
          </w:p>
        </w:tc>
      </w:tr>
      <w:tr w:rsidR="00E71758" w14:paraId="4B01D4AD" w14:textId="77777777">
        <w:tc>
          <w:tcPr>
            <w:tcW w:w="3096" w:type="dxa"/>
            <w:tcBorders>
              <w:top w:val="single" w:sz="5" w:space="0" w:color="000000"/>
              <w:left w:val="single" w:sz="5" w:space="0" w:color="000000"/>
              <w:bottom w:val="single" w:sz="5" w:space="0" w:color="000000"/>
              <w:right w:val="single" w:sz="5" w:space="0" w:color="000000"/>
            </w:tcBorders>
          </w:tcPr>
          <w:p w14:paraId="5B369F90" w14:textId="0AA0F5BA" w:rsidR="00E71758" w:rsidRDefault="00E71758" w:rsidP="00E71758">
            <w:pPr>
              <w:pStyle w:val="TableParagraph"/>
              <w:spacing w:line="246" w:lineRule="exact"/>
              <w:ind w:left="102" w:right="57"/>
              <w:rPr>
                <w:rFonts w:ascii="Times New Roman" w:eastAsia="Times New Roman" w:hAnsi="Times New Roman" w:cs="Times New Roman"/>
                <w:spacing w:val="-1"/>
                <w:lang w:val="hu-HU"/>
              </w:rPr>
            </w:pPr>
            <w:r w:rsidRPr="00167BF3">
              <w:rPr>
                <w:rFonts w:ascii="Times New Roman" w:eastAsia="Times New Roman" w:hAnsi="Times New Roman" w:cs="Times New Roman"/>
                <w:spacing w:val="-1"/>
                <w:lang w:val="hu-HU"/>
              </w:rPr>
              <w:t xml:space="preserve">6 évesnél idősebb, 15 kg-nál </w:t>
            </w:r>
            <w:r w:rsidRPr="00167BF3">
              <w:rPr>
                <w:rFonts w:ascii="Times New Roman" w:eastAsia="Times New Roman" w:hAnsi="Times New Roman" w:cs="Times New Roman"/>
                <w:spacing w:val="-1"/>
                <w:lang w:val="hu-HU"/>
              </w:rPr>
              <w:lastRenderedPageBreak/>
              <w:t>nagyobb, de 30 kg-nál kisebb testtömegű gyermekek és serdülők</w:t>
            </w:r>
          </w:p>
        </w:tc>
        <w:tc>
          <w:tcPr>
            <w:tcW w:w="3096" w:type="dxa"/>
            <w:tcBorders>
              <w:top w:val="single" w:sz="5" w:space="0" w:color="000000"/>
              <w:left w:val="single" w:sz="5" w:space="0" w:color="000000"/>
              <w:bottom w:val="single" w:sz="5" w:space="0" w:color="000000"/>
              <w:right w:val="single" w:sz="5" w:space="0" w:color="000000"/>
            </w:tcBorders>
          </w:tcPr>
          <w:p w14:paraId="59944229" w14:textId="23DCE7AB" w:rsidR="00E71758" w:rsidRDefault="00604DFB" w:rsidP="00E71758">
            <w:pPr>
              <w:pStyle w:val="TableParagraph"/>
              <w:spacing w:line="246" w:lineRule="exact"/>
              <w:ind w:left="102" w:right="57"/>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lastRenderedPageBreak/>
              <w:t>20</w:t>
            </w:r>
            <w:r w:rsidR="00E71758">
              <w:rPr>
                <w:rFonts w:ascii="Times New Roman" w:eastAsia="Times New Roman" w:hAnsi="Times New Roman" w:cs="Times New Roman"/>
                <w:spacing w:val="-1"/>
                <w:lang w:val="hu-HU"/>
              </w:rPr>
              <w:t xml:space="preserve"> mg </w:t>
            </w:r>
            <w:r w:rsidR="00E37857" w:rsidRPr="004F731A">
              <w:rPr>
                <w:rFonts w:ascii="Times New Roman" w:eastAsia="Times New Roman" w:hAnsi="Times New Roman" w:cs="Times New Roman"/>
                <w:lang w:val="hu-HU"/>
              </w:rPr>
              <w:t>kéthetente</w:t>
            </w:r>
          </w:p>
        </w:tc>
        <w:tc>
          <w:tcPr>
            <w:tcW w:w="3096" w:type="dxa"/>
            <w:tcBorders>
              <w:top w:val="single" w:sz="5" w:space="0" w:color="000000"/>
              <w:left w:val="single" w:sz="5" w:space="0" w:color="000000"/>
              <w:bottom w:val="single" w:sz="5" w:space="0" w:color="000000"/>
              <w:right w:val="single" w:sz="5" w:space="0" w:color="000000"/>
            </w:tcBorders>
          </w:tcPr>
          <w:p w14:paraId="27BAF97C" w14:textId="57126CF4" w:rsidR="00E71758" w:rsidRDefault="00DD2856" w:rsidP="00E71758">
            <w:pPr>
              <w:pStyle w:val="TableParagraph"/>
              <w:spacing w:line="246" w:lineRule="exact"/>
              <w:ind w:left="102" w:right="57"/>
              <w:rPr>
                <w:rFonts w:ascii="Times New Roman" w:eastAsia="Times New Roman" w:hAnsi="Times New Roman" w:cs="Times New Roman"/>
                <w:spacing w:val="-1"/>
                <w:lang w:val="hu-HU"/>
              </w:rPr>
            </w:pPr>
            <w:r w:rsidRPr="00D43AE4">
              <w:rPr>
                <w:rFonts w:ascii="Times New Roman" w:eastAsia="Times New Roman" w:hAnsi="Times New Roman" w:cs="Times New Roman"/>
                <w:spacing w:val="-1"/>
                <w:lang w:val="hu-HU"/>
              </w:rPr>
              <w:t>Nincs</w:t>
            </w:r>
          </w:p>
        </w:tc>
      </w:tr>
    </w:tbl>
    <w:p w14:paraId="252C8634" w14:textId="77777777" w:rsidR="00130E8B" w:rsidRDefault="00130E8B">
      <w:pPr>
        <w:spacing w:before="10"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130E8B" w:rsidRPr="00BE4D18" w14:paraId="08DB5904"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3825452B" w14:textId="77777777" w:rsidR="00130E8B" w:rsidRDefault="000405CC">
            <w:pPr>
              <w:pStyle w:val="TableParagraph"/>
              <w:spacing w:line="252"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Plakkos pikkelysömör</w:t>
            </w:r>
          </w:p>
        </w:tc>
      </w:tr>
      <w:tr w:rsidR="00130E8B" w14:paraId="742B308C" w14:textId="77777777" w:rsidTr="004B23C8">
        <w:tc>
          <w:tcPr>
            <w:tcW w:w="3096" w:type="dxa"/>
            <w:tcBorders>
              <w:top w:val="single" w:sz="6" w:space="0" w:color="000000"/>
              <w:left w:val="single" w:sz="6" w:space="0" w:color="000000"/>
              <w:bottom w:val="single" w:sz="4" w:space="0" w:color="auto"/>
              <w:right w:val="single" w:sz="6" w:space="0" w:color="000000"/>
            </w:tcBorders>
          </w:tcPr>
          <w:p w14:paraId="61F2B27C"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6" w:space="0" w:color="000000"/>
              <w:bottom w:val="single" w:sz="5" w:space="0" w:color="000000"/>
              <w:right w:val="single" w:sz="5" w:space="0" w:color="000000"/>
            </w:tcBorders>
          </w:tcPr>
          <w:p w14:paraId="083DD095" w14:textId="4836B975" w:rsidR="00130E8B" w:rsidRDefault="000405CC" w:rsidP="00545FC6">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w:t>
            </w:r>
            <w:r w:rsidR="007C230C">
              <w:rPr>
                <w:rFonts w:ascii="Times New Roman" w:eastAsia="Times New Roman" w:hAnsi="Times New Roman" w:cs="Times New Roman"/>
                <w:b/>
                <w:bCs/>
                <w:spacing w:val="-1"/>
                <w:lang w:val="hu-HU"/>
              </w:rPr>
              <w:t xml:space="preserve"> </w:t>
            </w:r>
            <w:r>
              <w:rPr>
                <w:rFonts w:ascii="Times New Roman" w:eastAsia="Times New Roman" w:hAnsi="Times New Roman" w:cs="Times New Roman"/>
                <w:b/>
                <w:bCs/>
                <w:lang w:val="hu-HU"/>
              </w:rPr>
              <w:t>alkalmazni?</w:t>
            </w:r>
          </w:p>
        </w:tc>
        <w:tc>
          <w:tcPr>
            <w:tcW w:w="3096" w:type="dxa"/>
            <w:tcBorders>
              <w:top w:val="single" w:sz="5" w:space="0" w:color="000000"/>
              <w:left w:val="single" w:sz="5" w:space="0" w:color="000000"/>
              <w:bottom w:val="single" w:sz="5" w:space="0" w:color="000000"/>
              <w:right w:val="single" w:sz="5" w:space="0" w:color="000000"/>
            </w:tcBorders>
          </w:tcPr>
          <w:p w14:paraId="4677920F"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130E8B" w:rsidRPr="00BE4D18" w14:paraId="7E214D2D" w14:textId="77777777" w:rsidTr="004B23C8">
        <w:tc>
          <w:tcPr>
            <w:tcW w:w="3096" w:type="dxa"/>
            <w:tcBorders>
              <w:top w:val="single" w:sz="4" w:space="0" w:color="auto"/>
              <w:left w:val="single" w:sz="5" w:space="0" w:color="000000"/>
              <w:bottom w:val="single" w:sz="5" w:space="0" w:color="000000"/>
              <w:right w:val="single" w:sz="5" w:space="0" w:color="000000"/>
            </w:tcBorders>
          </w:tcPr>
          <w:p w14:paraId="37F268AA" w14:textId="77777777" w:rsidR="00130E8B" w:rsidRDefault="000405CC">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Felnőttek</w:t>
            </w:r>
          </w:p>
        </w:tc>
        <w:tc>
          <w:tcPr>
            <w:tcW w:w="3096" w:type="dxa"/>
            <w:tcBorders>
              <w:top w:val="single" w:sz="5" w:space="0" w:color="000000"/>
              <w:left w:val="single" w:sz="5" w:space="0" w:color="000000"/>
              <w:bottom w:val="single" w:sz="5" w:space="0" w:color="000000"/>
              <w:right w:val="single" w:sz="5" w:space="0" w:color="000000"/>
            </w:tcBorders>
          </w:tcPr>
          <w:p w14:paraId="245B0FCF" w14:textId="6CB05646" w:rsidR="00130E8B" w:rsidRDefault="000405CC" w:rsidP="006F5E8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A kezdő adag 80 mg (két 40 mg-os</w:t>
            </w:r>
            <w:r w:rsidR="006F5E89">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injekció</w:t>
            </w:r>
            <w:r w:rsidR="00C73957">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 xml:space="preserve">egy napon beadva), amelyet </w:t>
            </w:r>
            <w:r w:rsidR="007C68A6" w:rsidRPr="004F731A">
              <w:rPr>
                <w:rFonts w:ascii="Times New Roman" w:eastAsia="Times New Roman" w:hAnsi="Times New Roman" w:cs="Times New Roman"/>
                <w:lang w:val="hu-HU"/>
              </w:rPr>
              <w:t>kéthetente</w:t>
            </w:r>
            <w:r w:rsidR="007C68A6" w:rsidDel="007C68A6">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adott 40 mg követ a kezdő dózis utáni első héttől kezdve.</w:t>
            </w:r>
          </w:p>
        </w:tc>
        <w:tc>
          <w:tcPr>
            <w:tcW w:w="3096" w:type="dxa"/>
            <w:tcBorders>
              <w:top w:val="single" w:sz="5" w:space="0" w:color="000000"/>
              <w:left w:val="single" w:sz="5" w:space="0" w:color="000000"/>
              <w:bottom w:val="single" w:sz="5" w:space="0" w:color="000000"/>
              <w:right w:val="single" w:sz="5" w:space="0" w:color="000000"/>
            </w:tcBorders>
          </w:tcPr>
          <w:p w14:paraId="6F828B27" w14:textId="69B79CFD" w:rsidR="00130E8B" w:rsidRDefault="000405CC" w:rsidP="006F5E8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Ha Ön nem megfelelően reagál a kezelésre, a kezelőorvosa heti 40 mg-ra vagy kéthetente 80 mg-ra emelheti az adagot.</w:t>
            </w:r>
          </w:p>
        </w:tc>
      </w:tr>
      <w:tr w:rsidR="00130E8B" w14:paraId="1760A0BA" w14:textId="77777777">
        <w:tc>
          <w:tcPr>
            <w:tcW w:w="3096" w:type="dxa"/>
            <w:tcBorders>
              <w:top w:val="single" w:sz="5" w:space="0" w:color="000000"/>
              <w:left w:val="single" w:sz="5" w:space="0" w:color="000000"/>
              <w:bottom w:val="single" w:sz="5" w:space="0" w:color="000000"/>
              <w:right w:val="single" w:sz="5" w:space="0" w:color="000000"/>
            </w:tcBorders>
          </w:tcPr>
          <w:p w14:paraId="70FEE847" w14:textId="43EA9C63" w:rsidR="00130E8B" w:rsidRDefault="000405CC" w:rsidP="00517151">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Gyermekek és serdülők </w:t>
            </w:r>
            <w:r w:rsidR="00C64CC5">
              <w:rPr>
                <w:rFonts w:ascii="Times New Roman" w:eastAsia="Times New Roman" w:hAnsi="Times New Roman" w:cs="Times New Roman"/>
                <w:spacing w:val="-1"/>
                <w:lang w:val="hu-HU"/>
              </w:rPr>
              <w:t>(</w:t>
            </w:r>
            <w:r>
              <w:rPr>
                <w:rFonts w:ascii="Times New Roman" w:eastAsia="Times New Roman" w:hAnsi="Times New Roman" w:cs="Times New Roman"/>
                <w:spacing w:val="-1"/>
                <w:lang w:val="hu-HU"/>
              </w:rPr>
              <w:t>4</w:t>
            </w:r>
            <w:r w:rsidR="00C64CC5">
              <w:rPr>
                <w:rFonts w:ascii="Times New Roman" w:eastAsia="Times New Roman" w:hAnsi="Times New Roman" w:cs="Times New Roman"/>
                <w:spacing w:val="-1"/>
                <w:lang w:val="hu-HU"/>
              </w:rPr>
              <w:t xml:space="preserve">-től betöltött </w:t>
            </w:r>
            <w:r w:rsidR="0037671F">
              <w:rPr>
                <w:rFonts w:ascii="Times New Roman" w:eastAsia="Times New Roman" w:hAnsi="Times New Roman" w:cs="Times New Roman"/>
                <w:spacing w:val="-1"/>
                <w:lang w:val="hu-HU"/>
              </w:rPr>
              <w:t>1</w:t>
            </w:r>
            <w:r w:rsidR="00517151">
              <w:rPr>
                <w:rFonts w:ascii="Times New Roman" w:eastAsia="Times New Roman" w:hAnsi="Times New Roman" w:cs="Times New Roman"/>
                <w:spacing w:val="-1"/>
                <w:lang w:val="hu-HU"/>
              </w:rPr>
              <w:t>8</w:t>
            </w:r>
            <w:r w:rsidR="00FE1415">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év</w:t>
            </w:r>
            <w:r w:rsidR="00C64CC5">
              <w:rPr>
                <w:rFonts w:ascii="Times New Roman" w:eastAsia="Times New Roman" w:hAnsi="Times New Roman" w:cs="Times New Roman"/>
                <w:spacing w:val="-1"/>
                <w:lang w:val="hu-HU"/>
              </w:rPr>
              <w:t>es</w:t>
            </w:r>
            <w:r>
              <w:rPr>
                <w:rFonts w:ascii="Times New Roman" w:eastAsia="Times New Roman" w:hAnsi="Times New Roman" w:cs="Times New Roman"/>
                <w:spacing w:val="-1"/>
                <w:lang w:val="hu-HU"/>
              </w:rPr>
              <w:t xml:space="preserve"> </w:t>
            </w:r>
            <w:r w:rsidR="00C64CC5">
              <w:rPr>
                <w:rFonts w:ascii="Times New Roman" w:eastAsia="Times New Roman" w:hAnsi="Times New Roman" w:cs="Times New Roman"/>
                <w:spacing w:val="-1"/>
                <w:lang w:val="hu-HU"/>
              </w:rPr>
              <w:t>korig)</w:t>
            </w:r>
            <w:r>
              <w:rPr>
                <w:rFonts w:ascii="Times New Roman" w:eastAsia="Times New Roman" w:hAnsi="Times New Roman" w:cs="Times New Roman"/>
                <w:spacing w:val="-1"/>
                <w:lang w:val="hu-HU"/>
              </w:rPr>
              <w:t>, tes</w:t>
            </w:r>
            <w:r w:rsidR="00C64CC5">
              <w:rPr>
                <w:rFonts w:ascii="Times New Roman" w:eastAsia="Times New Roman" w:hAnsi="Times New Roman" w:cs="Times New Roman"/>
                <w:spacing w:val="-1"/>
                <w:lang w:val="hu-HU"/>
              </w:rPr>
              <w:t>t</w:t>
            </w:r>
            <w:r w:rsidR="007C68A6">
              <w:rPr>
                <w:rFonts w:ascii="Times New Roman" w:eastAsia="Times New Roman" w:hAnsi="Times New Roman" w:cs="Times New Roman"/>
                <w:spacing w:val="-1"/>
                <w:lang w:val="hu-HU"/>
              </w:rPr>
              <w:t>tömegük</w:t>
            </w:r>
            <w:r>
              <w:rPr>
                <w:rFonts w:ascii="Times New Roman" w:eastAsia="Times New Roman" w:hAnsi="Times New Roman" w:cs="Times New Roman"/>
                <w:spacing w:val="-1"/>
                <w:lang w:val="hu-HU"/>
              </w:rPr>
              <w:t xml:space="preserve"> 30 kg vagy annál nagyobb</w:t>
            </w:r>
          </w:p>
        </w:tc>
        <w:tc>
          <w:tcPr>
            <w:tcW w:w="3096" w:type="dxa"/>
            <w:tcBorders>
              <w:top w:val="single" w:sz="5" w:space="0" w:color="000000"/>
              <w:left w:val="single" w:sz="5" w:space="0" w:color="000000"/>
              <w:bottom w:val="single" w:sz="5" w:space="0" w:color="000000"/>
              <w:right w:val="single" w:sz="5" w:space="0" w:color="000000"/>
            </w:tcBorders>
          </w:tcPr>
          <w:p w14:paraId="73342C50" w14:textId="19E59305" w:rsidR="00130E8B" w:rsidRDefault="000405CC" w:rsidP="00545FC6">
            <w:pPr>
              <w:pStyle w:val="TableParagraph"/>
              <w:spacing w:line="246" w:lineRule="exact"/>
              <w:ind w:left="102" w:right="57"/>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A kezdő adag 40 mg, amelyet</w:t>
            </w:r>
            <w:r w:rsidR="007C230C">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egy héttel később 40 mg követ.</w:t>
            </w:r>
          </w:p>
          <w:p w14:paraId="3D4B98A3" w14:textId="77777777" w:rsidR="007C230C" w:rsidRDefault="007C230C" w:rsidP="00545FC6">
            <w:pPr>
              <w:pStyle w:val="TableParagraph"/>
              <w:spacing w:line="246" w:lineRule="exact"/>
              <w:ind w:left="102" w:right="57"/>
              <w:rPr>
                <w:rFonts w:ascii="Times New Roman" w:eastAsia="Times New Roman" w:hAnsi="Times New Roman" w:cs="Times New Roman"/>
                <w:spacing w:val="-1"/>
                <w:lang w:val="hu-HU"/>
              </w:rPr>
            </w:pPr>
          </w:p>
          <w:p w14:paraId="3394F811" w14:textId="77777777" w:rsidR="00130E8B" w:rsidRDefault="000405CC">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lang w:val="hu-HU"/>
              </w:rPr>
              <w:t>Ezután a szokásos adag 40</w:t>
            </w:r>
          </w:p>
          <w:p w14:paraId="74FD7984" w14:textId="1A7E5D9B" w:rsidR="00130E8B" w:rsidRDefault="000405CC">
            <w:pPr>
              <w:pStyle w:val="TableParagraph"/>
              <w:spacing w:line="252"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mg </w:t>
            </w:r>
            <w:r w:rsidR="007C68A6" w:rsidRPr="004F731A">
              <w:rPr>
                <w:rFonts w:ascii="Times New Roman" w:eastAsia="Times New Roman" w:hAnsi="Times New Roman" w:cs="Times New Roman"/>
                <w:lang w:val="hu-HU"/>
              </w:rPr>
              <w:t>kéthetente</w:t>
            </w:r>
            <w:r>
              <w:rPr>
                <w:rFonts w:ascii="Times New Roman" w:eastAsia="Times New Roman" w:hAnsi="Times New Roman" w:cs="Times New Roman"/>
                <w:spacing w:val="-1"/>
                <w:lang w:val="hu-HU"/>
              </w:rPr>
              <w:t>.</w:t>
            </w:r>
          </w:p>
        </w:tc>
        <w:tc>
          <w:tcPr>
            <w:tcW w:w="3096" w:type="dxa"/>
            <w:tcBorders>
              <w:top w:val="single" w:sz="5" w:space="0" w:color="000000"/>
              <w:left w:val="single" w:sz="5" w:space="0" w:color="000000"/>
              <w:bottom w:val="single" w:sz="5" w:space="0" w:color="000000"/>
              <w:right w:val="single" w:sz="5" w:space="0" w:color="000000"/>
            </w:tcBorders>
          </w:tcPr>
          <w:p w14:paraId="3B2BB8E3" w14:textId="5D99E780" w:rsidR="00130E8B" w:rsidRDefault="00DD2856">
            <w:pPr>
              <w:pStyle w:val="TableParagraph"/>
              <w:spacing w:line="246" w:lineRule="exact"/>
              <w:ind w:left="102" w:right="57"/>
              <w:rPr>
                <w:rFonts w:ascii="Times New Roman" w:eastAsia="Times New Roman" w:hAnsi="Times New Roman" w:cs="Times New Roman"/>
                <w:lang w:val="hu-HU"/>
              </w:rPr>
            </w:pPr>
            <w:r w:rsidRPr="00D43AE4">
              <w:rPr>
                <w:rFonts w:ascii="Times New Roman" w:eastAsia="Times New Roman" w:hAnsi="Times New Roman" w:cs="Times New Roman"/>
                <w:spacing w:val="-1"/>
                <w:lang w:val="hu-HU"/>
              </w:rPr>
              <w:t>Nincs</w:t>
            </w:r>
          </w:p>
        </w:tc>
      </w:tr>
      <w:tr w:rsidR="00E71758" w14:paraId="34EAF48F" w14:textId="77777777">
        <w:tc>
          <w:tcPr>
            <w:tcW w:w="3096" w:type="dxa"/>
            <w:tcBorders>
              <w:top w:val="single" w:sz="5" w:space="0" w:color="000000"/>
              <w:left w:val="single" w:sz="5" w:space="0" w:color="000000"/>
              <w:bottom w:val="single" w:sz="5" w:space="0" w:color="000000"/>
              <w:right w:val="single" w:sz="5" w:space="0" w:color="000000"/>
            </w:tcBorders>
          </w:tcPr>
          <w:p w14:paraId="2DBB399D" w14:textId="481DA4FE" w:rsidR="00E71758" w:rsidRDefault="007422FE" w:rsidP="00E71758">
            <w:pPr>
              <w:pStyle w:val="TableParagraph"/>
              <w:spacing w:line="246" w:lineRule="exact"/>
              <w:ind w:left="102" w:right="57"/>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4-től betöltött 18 éves korig,</w:t>
            </w:r>
            <w:r w:rsidR="00E71758" w:rsidRPr="00167BF3">
              <w:rPr>
                <w:rFonts w:ascii="Times New Roman" w:eastAsia="Times New Roman" w:hAnsi="Times New Roman" w:cs="Times New Roman"/>
                <w:spacing w:val="-1"/>
                <w:lang w:val="hu-HU"/>
              </w:rPr>
              <w:t xml:space="preserve"> 15 kg-nál nagyobb, de 30 kg-nál kisebb testtömegű gyermekek és serdülők</w:t>
            </w:r>
          </w:p>
        </w:tc>
        <w:tc>
          <w:tcPr>
            <w:tcW w:w="3096" w:type="dxa"/>
            <w:tcBorders>
              <w:top w:val="single" w:sz="5" w:space="0" w:color="000000"/>
              <w:left w:val="single" w:sz="5" w:space="0" w:color="000000"/>
              <w:bottom w:val="single" w:sz="5" w:space="0" w:color="000000"/>
              <w:right w:val="single" w:sz="5" w:space="0" w:color="000000"/>
            </w:tcBorders>
          </w:tcPr>
          <w:p w14:paraId="1FCDC6F1" w14:textId="77777777" w:rsidR="00E71758" w:rsidRPr="00167BF3" w:rsidRDefault="00E71758" w:rsidP="00E71758">
            <w:pPr>
              <w:pStyle w:val="TableParagraph"/>
              <w:spacing w:line="246" w:lineRule="exact"/>
              <w:ind w:left="102" w:right="57"/>
              <w:rPr>
                <w:rFonts w:ascii="Times New Roman" w:eastAsia="Times New Roman" w:hAnsi="Times New Roman" w:cs="Times New Roman"/>
                <w:spacing w:val="-1"/>
                <w:lang w:val="hu-HU"/>
              </w:rPr>
            </w:pPr>
            <w:r w:rsidRPr="00167BF3">
              <w:rPr>
                <w:rFonts w:ascii="Times New Roman" w:eastAsia="Times New Roman" w:hAnsi="Times New Roman" w:cs="Times New Roman"/>
                <w:spacing w:val="-1"/>
                <w:lang w:val="hu-HU"/>
              </w:rPr>
              <w:t>Első alkalommal 20 mg, majd egy héttel később 20 mg.</w:t>
            </w:r>
          </w:p>
          <w:p w14:paraId="3E674661" w14:textId="77777777" w:rsidR="00E71758" w:rsidRPr="00167BF3" w:rsidRDefault="00E71758" w:rsidP="00E71758">
            <w:pPr>
              <w:pStyle w:val="TableParagraph"/>
              <w:spacing w:line="246" w:lineRule="exact"/>
              <w:ind w:left="102" w:right="57"/>
              <w:rPr>
                <w:rFonts w:ascii="Times New Roman" w:eastAsia="Times New Roman" w:hAnsi="Times New Roman" w:cs="Times New Roman"/>
                <w:spacing w:val="-1"/>
                <w:lang w:val="hu-HU"/>
              </w:rPr>
            </w:pPr>
          </w:p>
          <w:p w14:paraId="029E08FE" w14:textId="344F7B91" w:rsidR="00E71758" w:rsidRDefault="00E71758" w:rsidP="00E71758">
            <w:pPr>
              <w:pStyle w:val="TableParagraph"/>
              <w:spacing w:line="246" w:lineRule="exact"/>
              <w:ind w:left="102" w:right="57"/>
              <w:rPr>
                <w:rFonts w:ascii="Times New Roman" w:eastAsia="Times New Roman" w:hAnsi="Times New Roman" w:cs="Times New Roman"/>
                <w:spacing w:val="-1"/>
                <w:lang w:val="hu-HU"/>
              </w:rPr>
            </w:pPr>
            <w:r w:rsidRPr="00167BF3">
              <w:rPr>
                <w:rFonts w:ascii="Times New Roman" w:eastAsia="Times New Roman" w:hAnsi="Times New Roman" w:cs="Times New Roman"/>
                <w:spacing w:val="-1"/>
                <w:lang w:val="hu-HU"/>
              </w:rPr>
              <w:t xml:space="preserve">Ezt követően, a szokásos adag 20 mg </w:t>
            </w:r>
            <w:r w:rsidR="007C68A6" w:rsidRPr="004F731A">
              <w:rPr>
                <w:rFonts w:ascii="Times New Roman" w:eastAsia="Times New Roman" w:hAnsi="Times New Roman" w:cs="Times New Roman"/>
                <w:lang w:val="hu-HU"/>
              </w:rPr>
              <w:t>kéthetente</w:t>
            </w:r>
            <w:r w:rsidRPr="007C68A6">
              <w:rPr>
                <w:rFonts w:ascii="Times New Roman" w:eastAsia="Times New Roman" w:hAnsi="Times New Roman" w:cs="Times New Roman"/>
                <w:spacing w:val="-1"/>
                <w:lang w:val="hu-HU"/>
              </w:rPr>
              <w:t>.</w:t>
            </w:r>
          </w:p>
        </w:tc>
        <w:tc>
          <w:tcPr>
            <w:tcW w:w="3096" w:type="dxa"/>
            <w:tcBorders>
              <w:top w:val="single" w:sz="5" w:space="0" w:color="000000"/>
              <w:left w:val="single" w:sz="5" w:space="0" w:color="000000"/>
              <w:bottom w:val="single" w:sz="5" w:space="0" w:color="000000"/>
              <w:right w:val="single" w:sz="5" w:space="0" w:color="000000"/>
            </w:tcBorders>
          </w:tcPr>
          <w:p w14:paraId="03CB9A4B" w14:textId="7452FEBA" w:rsidR="00E71758" w:rsidRDefault="00DD2856" w:rsidP="00E71758">
            <w:pPr>
              <w:pStyle w:val="TableParagraph"/>
              <w:spacing w:line="246" w:lineRule="exact"/>
              <w:ind w:left="102" w:right="57"/>
              <w:rPr>
                <w:rFonts w:ascii="Times New Roman" w:eastAsia="Times New Roman" w:hAnsi="Times New Roman" w:cs="Times New Roman"/>
                <w:spacing w:val="-1"/>
                <w:lang w:val="hu-HU"/>
              </w:rPr>
            </w:pPr>
            <w:r w:rsidRPr="00D43AE4">
              <w:rPr>
                <w:rFonts w:ascii="Times New Roman" w:eastAsia="Times New Roman" w:hAnsi="Times New Roman" w:cs="Times New Roman"/>
                <w:spacing w:val="-1"/>
                <w:lang w:val="hu-HU"/>
              </w:rPr>
              <w:t>Nincs</w:t>
            </w:r>
          </w:p>
        </w:tc>
      </w:tr>
    </w:tbl>
    <w:p w14:paraId="7102C540" w14:textId="77777777" w:rsidR="00130E8B" w:rsidRDefault="00130E8B">
      <w:pPr>
        <w:spacing w:before="7" w:line="90" w:lineRule="exact"/>
        <w:rPr>
          <w:sz w:val="9"/>
          <w:szCs w:val="9"/>
          <w:lang w:val="hu-HU"/>
        </w:rPr>
      </w:pPr>
    </w:p>
    <w:p w14:paraId="1256259C" w14:textId="77777777" w:rsidR="00130E8B" w:rsidRDefault="00130E8B">
      <w:pPr>
        <w:spacing w:before="10"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245908" w14:paraId="6B731BFA"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0DED80CE" w14:textId="262A1A72" w:rsidR="00245908" w:rsidRDefault="00245908" w:rsidP="00245908">
            <w:pPr>
              <w:pStyle w:val="TableParagraph"/>
              <w:spacing w:line="251" w:lineRule="exact"/>
              <w:ind w:left="102"/>
              <w:rPr>
                <w:rFonts w:ascii="Times New Roman" w:eastAsia="Times New Roman" w:hAnsi="Times New Roman" w:cs="Times New Roman"/>
                <w:lang w:val="hu-HU"/>
              </w:rPr>
            </w:pPr>
            <w:r>
              <w:rPr>
                <w:rFonts w:ascii="Times New Roman" w:hAnsi="Times New Roman" w:cs="Times New Roman"/>
                <w:b/>
                <w:bCs/>
                <w:lang w:val="hu-HU"/>
              </w:rPr>
              <w:t>Hidradenitisz szuppurativa</w:t>
            </w:r>
          </w:p>
        </w:tc>
      </w:tr>
      <w:tr w:rsidR="00245908" w14:paraId="5CF762A6" w14:textId="77777777">
        <w:tc>
          <w:tcPr>
            <w:tcW w:w="3096" w:type="dxa"/>
            <w:tcBorders>
              <w:top w:val="single" w:sz="5" w:space="0" w:color="000000"/>
              <w:left w:val="single" w:sz="5" w:space="0" w:color="000000"/>
              <w:bottom w:val="single" w:sz="5" w:space="0" w:color="000000"/>
              <w:right w:val="single" w:sz="5" w:space="0" w:color="000000"/>
            </w:tcBorders>
          </w:tcPr>
          <w:p w14:paraId="3A05280D" w14:textId="77777777" w:rsidR="00245908" w:rsidRDefault="00245908" w:rsidP="00245908">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5" w:space="0" w:color="000000"/>
              <w:bottom w:val="single" w:sz="5" w:space="0" w:color="000000"/>
              <w:right w:val="single" w:sz="5" w:space="0" w:color="000000"/>
            </w:tcBorders>
          </w:tcPr>
          <w:p w14:paraId="72DE59A7" w14:textId="77777777" w:rsidR="00245908" w:rsidRDefault="00245908" w:rsidP="00245908">
            <w:pPr>
              <w:pStyle w:val="TableParagraph"/>
              <w:spacing w:before="1" w:line="252"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 alkalmazni?</w:t>
            </w:r>
          </w:p>
        </w:tc>
        <w:tc>
          <w:tcPr>
            <w:tcW w:w="3096" w:type="dxa"/>
            <w:tcBorders>
              <w:top w:val="single" w:sz="5" w:space="0" w:color="000000"/>
              <w:left w:val="single" w:sz="5" w:space="0" w:color="000000"/>
              <w:bottom w:val="single" w:sz="5" w:space="0" w:color="000000"/>
              <w:right w:val="single" w:sz="5" w:space="0" w:color="000000"/>
            </w:tcBorders>
          </w:tcPr>
          <w:p w14:paraId="57226130" w14:textId="77777777" w:rsidR="00245908" w:rsidRDefault="00245908" w:rsidP="00245908">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245908" w:rsidRPr="00BE4D18" w14:paraId="56AF715C" w14:textId="77777777">
        <w:tc>
          <w:tcPr>
            <w:tcW w:w="3096" w:type="dxa"/>
            <w:tcBorders>
              <w:top w:val="single" w:sz="5" w:space="0" w:color="000000"/>
              <w:left w:val="single" w:sz="5" w:space="0" w:color="000000"/>
              <w:bottom w:val="single" w:sz="5" w:space="0" w:color="000000"/>
              <w:right w:val="single" w:sz="5" w:space="0" w:color="000000"/>
            </w:tcBorders>
          </w:tcPr>
          <w:p w14:paraId="19906FF2" w14:textId="77777777" w:rsidR="00245908" w:rsidRDefault="00245908" w:rsidP="00245908">
            <w:pPr>
              <w:pStyle w:val="TableParagraph"/>
              <w:spacing w:line="248"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Felnőttek</w:t>
            </w:r>
          </w:p>
        </w:tc>
        <w:tc>
          <w:tcPr>
            <w:tcW w:w="3096" w:type="dxa"/>
            <w:tcBorders>
              <w:top w:val="single" w:sz="5" w:space="0" w:color="000000"/>
              <w:left w:val="single" w:sz="5" w:space="0" w:color="000000"/>
              <w:bottom w:val="single" w:sz="5" w:space="0" w:color="000000"/>
              <w:right w:val="single" w:sz="5" w:space="0" w:color="000000"/>
            </w:tcBorders>
          </w:tcPr>
          <w:p w14:paraId="019A88E8" w14:textId="14348BCA" w:rsidR="00245908" w:rsidRDefault="00245908" w:rsidP="00545FC6">
            <w:pPr>
              <w:pStyle w:val="TableParagraph"/>
              <w:spacing w:line="248"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A kezdő adag 160 mg (négy 40</w:t>
            </w:r>
            <w:r w:rsidR="006F5E89">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mg-osinjekció egyetlen napon, vagy két 40 mg-os injekciók naponta két</w:t>
            </w:r>
            <w:r w:rsidR="007C230C">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egymást követő napon beadva), majd egy 80 mg-os dózis (két 40 mg-os</w:t>
            </w:r>
            <w:r w:rsidR="007C230C">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injekció</w:t>
            </w:r>
            <w:r w:rsidR="00C73957">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egy napon beadva), két héttel később. További két héttel később</w:t>
            </w:r>
            <w:r w:rsidR="007C230C">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később heti 40 mg-os vagy kéthetente 80 mg-os dózissal folytassa,</w:t>
            </w:r>
            <w:r w:rsidR="007C230C">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kezelőorvosának előírása szerint.</w:t>
            </w:r>
          </w:p>
        </w:tc>
        <w:tc>
          <w:tcPr>
            <w:tcW w:w="3096" w:type="dxa"/>
            <w:tcBorders>
              <w:top w:val="single" w:sz="5" w:space="0" w:color="000000"/>
              <w:left w:val="single" w:sz="5" w:space="0" w:color="000000"/>
              <w:bottom w:val="single" w:sz="5" w:space="0" w:color="000000"/>
              <w:right w:val="single" w:sz="5" w:space="0" w:color="000000"/>
            </w:tcBorders>
          </w:tcPr>
          <w:p w14:paraId="59E58F18" w14:textId="2B208776" w:rsidR="00245908" w:rsidRDefault="00245908" w:rsidP="006F5E89">
            <w:pPr>
              <w:pStyle w:val="TableParagraph"/>
              <w:spacing w:line="248"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4"/>
                <w:lang w:val="hu-HU"/>
              </w:rPr>
              <w:t>Javasolt, hogy naponta</w:t>
            </w:r>
            <w:r w:rsidR="006F5E89">
              <w:rPr>
                <w:rFonts w:ascii="Times New Roman" w:eastAsia="Times New Roman" w:hAnsi="Times New Roman" w:cs="Times New Roman"/>
                <w:spacing w:val="-4"/>
                <w:lang w:val="hu-HU"/>
              </w:rPr>
              <w:t xml:space="preserve"> </w:t>
            </w:r>
            <w:r>
              <w:rPr>
                <w:rFonts w:ascii="Times New Roman" w:eastAsia="Times New Roman" w:hAnsi="Times New Roman" w:cs="Times New Roman"/>
                <w:spacing w:val="-1"/>
                <w:lang w:val="hu-HU"/>
              </w:rPr>
              <w:t>használjon fertőtlenítő lemosót az érintett területeken.</w:t>
            </w:r>
          </w:p>
        </w:tc>
      </w:tr>
      <w:tr w:rsidR="00245908" w:rsidRPr="00BE4D18" w14:paraId="264E1B2D" w14:textId="77777777">
        <w:tc>
          <w:tcPr>
            <w:tcW w:w="3096" w:type="dxa"/>
            <w:tcBorders>
              <w:top w:val="single" w:sz="5" w:space="0" w:color="000000"/>
              <w:left w:val="single" w:sz="5" w:space="0" w:color="000000"/>
              <w:bottom w:val="single" w:sz="5" w:space="0" w:color="000000"/>
              <w:right w:val="single" w:sz="5" w:space="0" w:color="000000"/>
            </w:tcBorders>
          </w:tcPr>
          <w:p w14:paraId="76657C45" w14:textId="14BB3E3D" w:rsidR="00245908" w:rsidRDefault="00C64CC5" w:rsidP="00F64D22">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Serdülőknek</w:t>
            </w:r>
            <w:r w:rsidRPr="00DE43E3">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w:t>
            </w:r>
            <w:r w:rsidR="00245908" w:rsidRPr="00DE43E3">
              <w:rPr>
                <w:rFonts w:ascii="Times New Roman" w:eastAsia="Times New Roman" w:hAnsi="Times New Roman" w:cs="Times New Roman"/>
                <w:spacing w:val="-1"/>
                <w:lang w:val="hu-HU"/>
              </w:rPr>
              <w:t>12-</w:t>
            </w:r>
            <w:r w:rsidR="00DE43E3">
              <w:rPr>
                <w:rFonts w:ascii="Times New Roman" w:eastAsia="Times New Roman" w:hAnsi="Times New Roman" w:cs="Times New Roman"/>
                <w:spacing w:val="-1"/>
                <w:lang w:val="hu-HU"/>
              </w:rPr>
              <w:t xml:space="preserve">től betöltött </w:t>
            </w:r>
            <w:r w:rsidR="00FE1415">
              <w:rPr>
                <w:rFonts w:ascii="Times New Roman" w:eastAsia="Times New Roman" w:hAnsi="Times New Roman" w:cs="Times New Roman"/>
                <w:spacing w:val="-1"/>
                <w:lang w:val="hu-HU"/>
              </w:rPr>
              <w:t>1</w:t>
            </w:r>
            <w:r w:rsidR="00F64D22">
              <w:rPr>
                <w:rFonts w:ascii="Times New Roman" w:eastAsia="Times New Roman" w:hAnsi="Times New Roman" w:cs="Times New Roman"/>
                <w:spacing w:val="-1"/>
                <w:lang w:val="hu-HU"/>
              </w:rPr>
              <w:t>8</w:t>
            </w:r>
            <w:r w:rsidR="00FE1415">
              <w:rPr>
                <w:rFonts w:ascii="Times New Roman" w:eastAsia="Times New Roman" w:hAnsi="Times New Roman" w:cs="Times New Roman"/>
                <w:spacing w:val="-1"/>
                <w:lang w:val="hu-HU"/>
              </w:rPr>
              <w:t xml:space="preserve"> </w:t>
            </w:r>
            <w:r w:rsidR="00245908" w:rsidRPr="00DE43E3">
              <w:rPr>
                <w:rFonts w:ascii="Times New Roman" w:eastAsia="Times New Roman" w:hAnsi="Times New Roman" w:cs="Times New Roman"/>
                <w:spacing w:val="-1"/>
                <w:lang w:val="hu-HU"/>
              </w:rPr>
              <w:t>éves</w:t>
            </w:r>
            <w:r w:rsidR="00245908">
              <w:rPr>
                <w:rFonts w:ascii="Times New Roman" w:eastAsia="Times New Roman" w:hAnsi="Times New Roman" w:cs="Times New Roman"/>
                <w:spacing w:val="-1"/>
                <w:lang w:val="hu-HU"/>
              </w:rPr>
              <w:t xml:space="preserve"> </w:t>
            </w:r>
            <w:r w:rsidR="00DE43E3">
              <w:rPr>
                <w:rFonts w:ascii="Times New Roman" w:eastAsia="Times New Roman" w:hAnsi="Times New Roman" w:cs="Times New Roman"/>
                <w:spacing w:val="-1"/>
                <w:lang w:val="hu-HU"/>
              </w:rPr>
              <w:t>korig</w:t>
            </w:r>
            <w:r>
              <w:rPr>
                <w:rFonts w:ascii="Times New Roman" w:eastAsia="Times New Roman" w:hAnsi="Times New Roman" w:cs="Times New Roman"/>
                <w:spacing w:val="-1"/>
                <w:lang w:val="hu-HU"/>
              </w:rPr>
              <w:t>)</w:t>
            </w:r>
            <w:r w:rsidR="00DE43E3">
              <w:rPr>
                <w:rFonts w:ascii="Times New Roman" w:eastAsia="Times New Roman" w:hAnsi="Times New Roman" w:cs="Times New Roman"/>
                <w:spacing w:val="-1"/>
                <w:lang w:val="hu-HU"/>
              </w:rPr>
              <w:t xml:space="preserve"> </w:t>
            </w:r>
            <w:r w:rsidR="0044419B">
              <w:rPr>
                <w:rFonts w:ascii="Times New Roman" w:eastAsia="Times New Roman" w:hAnsi="Times New Roman" w:cs="Times New Roman"/>
                <w:spacing w:val="-1"/>
                <w:lang w:val="hu-HU"/>
              </w:rPr>
              <w:t>testsúlyuk</w:t>
            </w:r>
            <w:r w:rsidR="00245908">
              <w:rPr>
                <w:rFonts w:ascii="Times New Roman" w:eastAsia="Times New Roman" w:hAnsi="Times New Roman" w:cs="Times New Roman"/>
                <w:spacing w:val="-1"/>
                <w:lang w:val="hu-HU"/>
              </w:rPr>
              <w:t xml:space="preserve"> 30 kg vagy annál nagyobb</w:t>
            </w:r>
          </w:p>
        </w:tc>
        <w:tc>
          <w:tcPr>
            <w:tcW w:w="3096" w:type="dxa"/>
            <w:tcBorders>
              <w:top w:val="single" w:sz="5" w:space="0" w:color="000000"/>
              <w:left w:val="single" w:sz="5" w:space="0" w:color="000000"/>
              <w:bottom w:val="single" w:sz="5" w:space="0" w:color="000000"/>
              <w:right w:val="single" w:sz="5" w:space="0" w:color="000000"/>
            </w:tcBorders>
          </w:tcPr>
          <w:p w14:paraId="50BE93EA" w14:textId="6844349A" w:rsidR="00245908" w:rsidRDefault="00245908" w:rsidP="006F5E8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A kezdő adag 80 mg (két 40 mg-os</w:t>
            </w:r>
            <w:r w:rsidR="006F5E89">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injekció</w:t>
            </w:r>
            <w:r w:rsidR="002B2F88">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 xml:space="preserve">egyetlen napon), amelyet egy héttel később </w:t>
            </w:r>
            <w:r w:rsidR="00936BC3" w:rsidRPr="00F46002">
              <w:rPr>
                <w:rFonts w:ascii="Times New Roman" w:eastAsia="Times New Roman" w:hAnsi="Times New Roman" w:cs="Times New Roman"/>
                <w:lang w:val="hu-HU"/>
              </w:rPr>
              <w:t>kéthetente</w:t>
            </w:r>
            <w:r w:rsidR="00936BC3">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adott 40 mg követ.</w:t>
            </w:r>
          </w:p>
        </w:tc>
        <w:tc>
          <w:tcPr>
            <w:tcW w:w="3096" w:type="dxa"/>
            <w:tcBorders>
              <w:top w:val="single" w:sz="5" w:space="0" w:color="000000"/>
              <w:left w:val="single" w:sz="5" w:space="0" w:color="000000"/>
              <w:bottom w:val="single" w:sz="5" w:space="0" w:color="000000"/>
              <w:right w:val="single" w:sz="5" w:space="0" w:color="000000"/>
            </w:tcBorders>
          </w:tcPr>
          <w:p w14:paraId="5F20507E" w14:textId="39FE26D4" w:rsidR="00245908" w:rsidRDefault="00245908" w:rsidP="006F5E8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Ha Ön nem megfelelően reagál</w:t>
            </w:r>
            <w:r w:rsidR="006F5E89">
              <w:rPr>
                <w:rFonts w:ascii="Times New Roman" w:eastAsia="Times New Roman" w:hAnsi="Times New Roman" w:cs="Times New Roman"/>
                <w:spacing w:val="-1"/>
                <w:lang w:val="hu-HU"/>
              </w:rPr>
              <w:t xml:space="preserve"> </w:t>
            </w:r>
            <w:r>
              <w:rPr>
                <w:rFonts w:ascii="Times New Roman" w:eastAsia="Times New Roman" w:hAnsi="Times New Roman" w:cs="Times New Roman"/>
                <w:lang w:val="hu-HU"/>
              </w:rPr>
              <w:t>reagál a kezelésre, a kezelőorvosa heti 40 mg-ra vagy</w:t>
            </w:r>
          </w:p>
          <w:p w14:paraId="75BCD32D" w14:textId="636317FE" w:rsidR="00245908" w:rsidRDefault="00245908" w:rsidP="00245908">
            <w:pPr>
              <w:pStyle w:val="TableParagraph"/>
              <w:spacing w:line="252"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kéthetente 80 mg-ra emelheti az adagot.</w:t>
            </w:r>
            <w:r w:rsidR="006F5E89">
              <w:rPr>
                <w:rFonts w:ascii="Times New Roman" w:eastAsia="Times New Roman" w:hAnsi="Times New Roman" w:cs="Times New Roman"/>
                <w:spacing w:val="-1"/>
                <w:lang w:val="hu-HU"/>
              </w:rPr>
              <w:t xml:space="preserve"> </w:t>
            </w:r>
          </w:p>
          <w:p w14:paraId="67FE6AA5" w14:textId="77777777" w:rsidR="00245908" w:rsidRDefault="00245908" w:rsidP="00245908">
            <w:pPr>
              <w:pStyle w:val="TableParagraph"/>
              <w:spacing w:before="1"/>
              <w:ind w:left="102" w:right="223"/>
              <w:jc w:val="both"/>
              <w:rPr>
                <w:rFonts w:ascii="Times New Roman" w:eastAsia="Times New Roman" w:hAnsi="Times New Roman" w:cs="Times New Roman"/>
                <w:lang w:val="hu-HU"/>
              </w:rPr>
            </w:pPr>
            <w:r>
              <w:rPr>
                <w:rFonts w:ascii="Times New Roman" w:eastAsia="Times New Roman" w:hAnsi="Times New Roman" w:cs="Times New Roman"/>
                <w:spacing w:val="-4"/>
                <w:lang w:val="hu-HU"/>
              </w:rPr>
              <w:t>Javasolt, hogy naponta használjon fertőtlenítő lemosót az érintett területeken.</w:t>
            </w:r>
          </w:p>
        </w:tc>
      </w:tr>
    </w:tbl>
    <w:p w14:paraId="1D756205" w14:textId="77777777" w:rsidR="00130E8B" w:rsidRDefault="00130E8B">
      <w:pPr>
        <w:spacing w:before="10"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130E8B" w14:paraId="5806771B"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3B3E1709" w14:textId="77777777" w:rsidR="00130E8B" w:rsidRDefault="000405CC">
            <w:pPr>
              <w:pStyle w:val="TableParagraph"/>
              <w:spacing w:line="251"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Crohn-betegség</w:t>
            </w:r>
          </w:p>
        </w:tc>
      </w:tr>
      <w:tr w:rsidR="00130E8B" w14:paraId="1F795147" w14:textId="77777777">
        <w:tc>
          <w:tcPr>
            <w:tcW w:w="3096" w:type="dxa"/>
            <w:tcBorders>
              <w:top w:val="single" w:sz="5" w:space="0" w:color="000000"/>
              <w:left w:val="single" w:sz="5" w:space="0" w:color="000000"/>
              <w:bottom w:val="single" w:sz="5" w:space="0" w:color="000000"/>
              <w:right w:val="single" w:sz="5" w:space="0" w:color="000000"/>
            </w:tcBorders>
          </w:tcPr>
          <w:p w14:paraId="0B14218D"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5" w:space="0" w:color="000000"/>
              <w:bottom w:val="single" w:sz="5" w:space="0" w:color="000000"/>
              <w:right w:val="single" w:sz="5" w:space="0" w:color="000000"/>
            </w:tcBorders>
          </w:tcPr>
          <w:p w14:paraId="1E57D06D" w14:textId="77777777" w:rsidR="00130E8B" w:rsidRDefault="000405CC">
            <w:pPr>
              <w:pStyle w:val="TableParagraph"/>
              <w:spacing w:before="1" w:line="252"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 alkalmazni?</w:t>
            </w:r>
          </w:p>
        </w:tc>
        <w:tc>
          <w:tcPr>
            <w:tcW w:w="3096" w:type="dxa"/>
            <w:tcBorders>
              <w:top w:val="single" w:sz="5" w:space="0" w:color="000000"/>
              <w:left w:val="single" w:sz="5" w:space="0" w:color="000000"/>
              <w:bottom w:val="single" w:sz="5" w:space="0" w:color="000000"/>
              <w:right w:val="single" w:sz="5" w:space="0" w:color="000000"/>
            </w:tcBorders>
          </w:tcPr>
          <w:p w14:paraId="29E3B3E6"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130E8B" w:rsidRPr="00BE4D18" w14:paraId="43508A8C" w14:textId="77777777">
        <w:tc>
          <w:tcPr>
            <w:tcW w:w="3096" w:type="dxa"/>
            <w:tcBorders>
              <w:top w:val="single" w:sz="5" w:space="0" w:color="000000"/>
              <w:left w:val="single" w:sz="5" w:space="0" w:color="000000"/>
              <w:bottom w:val="single" w:sz="5" w:space="0" w:color="000000"/>
              <w:right w:val="single" w:sz="5" w:space="0" w:color="000000"/>
            </w:tcBorders>
          </w:tcPr>
          <w:p w14:paraId="22973990" w14:textId="3A7145AC" w:rsidR="00130E8B" w:rsidRDefault="00DD2856" w:rsidP="00D71745">
            <w:pPr>
              <w:pStyle w:val="TableParagraph"/>
              <w:spacing w:line="246" w:lineRule="exact"/>
              <w:ind w:left="102" w:right="57"/>
              <w:rPr>
                <w:rFonts w:ascii="Times New Roman" w:eastAsia="Times New Roman" w:hAnsi="Times New Roman" w:cs="Times New Roman"/>
                <w:lang w:val="hu-HU"/>
              </w:rPr>
            </w:pPr>
            <w:r w:rsidRPr="00941A79">
              <w:rPr>
                <w:rFonts w:ascii="Times New Roman" w:eastAsia="Times New Roman" w:hAnsi="Times New Roman" w:cs="Times New Roman"/>
                <w:lang w:val="hu-HU"/>
              </w:rPr>
              <w:t>6 éves kor feletti, 40 kg-os vagy annál nagyobb testtömegű gyermekek, serdülők és felnőttek</w:t>
            </w:r>
          </w:p>
        </w:tc>
        <w:tc>
          <w:tcPr>
            <w:tcW w:w="3096" w:type="dxa"/>
            <w:tcBorders>
              <w:top w:val="single" w:sz="5" w:space="0" w:color="000000"/>
              <w:left w:val="single" w:sz="5" w:space="0" w:color="000000"/>
              <w:bottom w:val="single" w:sz="5" w:space="0" w:color="000000"/>
              <w:right w:val="single" w:sz="5" w:space="0" w:color="000000"/>
            </w:tcBorders>
          </w:tcPr>
          <w:p w14:paraId="66663019" w14:textId="3DE310D2" w:rsidR="00130E8B" w:rsidRDefault="000405CC" w:rsidP="006F5E8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A kezdő adag 80 mg (két 40 mg-os</w:t>
            </w:r>
            <w:r w:rsidR="006F5E89">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injekció</w:t>
            </w:r>
            <w:r w:rsidR="00C73957">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egy napon beadva), két héttel később 40 mg követ.</w:t>
            </w:r>
          </w:p>
          <w:p w14:paraId="79502265" w14:textId="77777777" w:rsidR="00130E8B" w:rsidRDefault="00130E8B">
            <w:pPr>
              <w:pStyle w:val="TableParagraph"/>
              <w:spacing w:before="11" w:line="240" w:lineRule="exact"/>
              <w:rPr>
                <w:sz w:val="24"/>
                <w:szCs w:val="24"/>
                <w:lang w:val="hu-HU"/>
              </w:rPr>
            </w:pPr>
          </w:p>
          <w:p w14:paraId="12446B70" w14:textId="77777777" w:rsidR="00130E8B" w:rsidRDefault="000405CC">
            <w:pPr>
              <w:pStyle w:val="TableParagraph"/>
              <w:ind w:left="102" w:right="76"/>
              <w:rPr>
                <w:rFonts w:ascii="Times New Roman" w:eastAsia="Times New Roman" w:hAnsi="Times New Roman" w:cs="Times New Roman"/>
                <w:lang w:val="hu-HU"/>
              </w:rPr>
            </w:pPr>
            <w:r>
              <w:rPr>
                <w:rFonts w:ascii="Times New Roman" w:eastAsia="Times New Roman" w:hAnsi="Times New Roman" w:cs="Times New Roman"/>
                <w:spacing w:val="-1"/>
                <w:lang w:val="hu-HU"/>
              </w:rPr>
              <w:lastRenderedPageBreak/>
              <w:t>Ha gyorsabb hatásra van szükség, a kezelőorvos rendelhet egy 160 mg-os kezdő adagot (négy 40 mg-os injekció egyetlen napon, vagy napi két 40 mg-os injekció két egymást követő napon), amelyet két héttel később 80 mg követ (két 40 mg-os injekció egyetlen napon).</w:t>
            </w:r>
          </w:p>
          <w:p w14:paraId="65DA6D25" w14:textId="77777777" w:rsidR="00130E8B" w:rsidRDefault="00130E8B">
            <w:pPr>
              <w:pStyle w:val="TableParagraph"/>
              <w:spacing w:before="17" w:line="240" w:lineRule="exact"/>
              <w:rPr>
                <w:sz w:val="24"/>
                <w:szCs w:val="24"/>
                <w:lang w:val="hu-HU"/>
              </w:rPr>
            </w:pPr>
          </w:p>
          <w:p w14:paraId="079A0CE5" w14:textId="77777777" w:rsidR="00130E8B" w:rsidRDefault="000405CC">
            <w:pPr>
              <w:pStyle w:val="TableParagraph"/>
              <w:spacing w:line="252"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Ezután a szokásos adag 40 mg minden második héten.</w:t>
            </w:r>
          </w:p>
        </w:tc>
        <w:tc>
          <w:tcPr>
            <w:tcW w:w="3096" w:type="dxa"/>
            <w:tcBorders>
              <w:top w:val="single" w:sz="5" w:space="0" w:color="000000"/>
              <w:left w:val="single" w:sz="5" w:space="0" w:color="000000"/>
              <w:bottom w:val="single" w:sz="5" w:space="0" w:color="000000"/>
              <w:right w:val="single" w:sz="5" w:space="0" w:color="000000"/>
            </w:tcBorders>
          </w:tcPr>
          <w:p w14:paraId="1DD30416" w14:textId="0C56A0DF" w:rsidR="00130E8B" w:rsidRDefault="000405CC" w:rsidP="006F5E8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lastRenderedPageBreak/>
              <w:t>Kezelőorvosa heti</w:t>
            </w:r>
            <w:r w:rsidR="006F5E89">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40 mg-ra vagy kéthetente 80 mg-ra emelheti az adagot.</w:t>
            </w:r>
          </w:p>
        </w:tc>
      </w:tr>
      <w:tr w:rsidR="00E71758" w:rsidRPr="00BE4D18" w14:paraId="69BAA80A" w14:textId="77777777">
        <w:tc>
          <w:tcPr>
            <w:tcW w:w="3096" w:type="dxa"/>
            <w:tcBorders>
              <w:top w:val="single" w:sz="5" w:space="0" w:color="000000"/>
              <w:left w:val="single" w:sz="5" w:space="0" w:color="000000"/>
              <w:bottom w:val="single" w:sz="5" w:space="0" w:color="000000"/>
              <w:right w:val="single" w:sz="5" w:space="0" w:color="000000"/>
            </w:tcBorders>
          </w:tcPr>
          <w:p w14:paraId="4F3BE666" w14:textId="1BA2EA5D" w:rsidR="00E71758" w:rsidRDefault="00E71758" w:rsidP="00D71745">
            <w:pPr>
              <w:pStyle w:val="TableParagraph"/>
              <w:spacing w:line="246" w:lineRule="exact"/>
              <w:ind w:left="102" w:right="57"/>
              <w:rPr>
                <w:rFonts w:ascii="Times New Roman" w:eastAsia="Times New Roman" w:hAnsi="Times New Roman" w:cs="Times New Roman"/>
                <w:lang w:val="hu-HU"/>
              </w:rPr>
            </w:pPr>
            <w:r w:rsidRPr="00167BF3">
              <w:rPr>
                <w:rFonts w:ascii="Times New Roman" w:eastAsia="Times New Roman" w:hAnsi="Times New Roman" w:cs="Times New Roman"/>
                <w:lang w:val="hu-HU"/>
              </w:rPr>
              <w:t>6-</w:t>
            </w:r>
            <w:r w:rsidR="00BE1A0B">
              <w:rPr>
                <w:rFonts w:ascii="Times New Roman" w:eastAsia="Times New Roman" w:hAnsi="Times New Roman" w:cs="Times New Roman"/>
                <w:lang w:val="hu-HU"/>
              </w:rPr>
              <w:t>tól</w:t>
            </w:r>
            <w:r w:rsidR="00BE1A0B">
              <w:rPr>
                <w:rFonts w:ascii="Times New Roman" w:eastAsia="Times New Roman" w:hAnsi="Times New Roman" w:cs="Times New Roman"/>
                <w:spacing w:val="-1"/>
                <w:lang w:val="hu-HU"/>
              </w:rPr>
              <w:t xml:space="preserve"> betöltött 18 éves korig</w:t>
            </w:r>
            <w:r w:rsidRPr="00167BF3">
              <w:rPr>
                <w:rFonts w:ascii="Times New Roman" w:eastAsia="Times New Roman" w:hAnsi="Times New Roman" w:cs="Times New Roman"/>
                <w:lang w:val="hu-HU"/>
              </w:rPr>
              <w:t>, 40 kg-nál kisebb testtömegű gyermekek vagy serdülők</w:t>
            </w:r>
          </w:p>
        </w:tc>
        <w:tc>
          <w:tcPr>
            <w:tcW w:w="3096" w:type="dxa"/>
            <w:tcBorders>
              <w:top w:val="single" w:sz="5" w:space="0" w:color="000000"/>
              <w:left w:val="single" w:sz="5" w:space="0" w:color="000000"/>
              <w:bottom w:val="single" w:sz="5" w:space="0" w:color="000000"/>
              <w:right w:val="single" w:sz="5" w:space="0" w:color="000000"/>
            </w:tcBorders>
          </w:tcPr>
          <w:p w14:paraId="25102B45" w14:textId="77777777" w:rsidR="00E71758" w:rsidRPr="00167BF3" w:rsidRDefault="00E71758" w:rsidP="006F5E89">
            <w:pPr>
              <w:pStyle w:val="TableParagraph"/>
              <w:spacing w:line="246" w:lineRule="exact"/>
              <w:ind w:left="102" w:right="57"/>
              <w:rPr>
                <w:rFonts w:ascii="Times New Roman" w:eastAsia="Times New Roman" w:hAnsi="Times New Roman" w:cs="Times New Roman"/>
                <w:lang w:val="hu-HU"/>
              </w:rPr>
            </w:pPr>
            <w:r w:rsidRPr="00167BF3">
              <w:rPr>
                <w:rFonts w:ascii="Times New Roman" w:eastAsia="Times New Roman" w:hAnsi="Times New Roman" w:cs="Times New Roman"/>
                <w:lang w:val="hu-HU"/>
              </w:rPr>
              <w:t>A kezdő adag 40 mg, melyet két héttel később 20 mg követ.</w:t>
            </w:r>
          </w:p>
          <w:p w14:paraId="37B518BC" w14:textId="77777777" w:rsidR="00E71758" w:rsidRPr="00167BF3" w:rsidRDefault="00E71758" w:rsidP="006F5E89">
            <w:pPr>
              <w:pStyle w:val="TableParagraph"/>
              <w:spacing w:line="246" w:lineRule="exact"/>
              <w:ind w:left="102" w:right="57"/>
              <w:rPr>
                <w:rFonts w:ascii="Times New Roman" w:eastAsia="Times New Roman" w:hAnsi="Times New Roman" w:cs="Times New Roman"/>
                <w:lang w:val="hu-HU"/>
              </w:rPr>
            </w:pPr>
          </w:p>
          <w:p w14:paraId="22D525AC" w14:textId="77777777" w:rsidR="00E71758" w:rsidRPr="00167BF3" w:rsidRDefault="00E71758" w:rsidP="006F5E89">
            <w:pPr>
              <w:pStyle w:val="TableParagraph"/>
              <w:spacing w:line="246" w:lineRule="exact"/>
              <w:ind w:left="102" w:right="57"/>
              <w:rPr>
                <w:rFonts w:ascii="Times New Roman" w:eastAsia="Times New Roman" w:hAnsi="Times New Roman" w:cs="Times New Roman"/>
                <w:lang w:val="hu-HU"/>
              </w:rPr>
            </w:pPr>
            <w:r w:rsidRPr="00167BF3">
              <w:rPr>
                <w:rFonts w:ascii="Times New Roman" w:eastAsia="Times New Roman" w:hAnsi="Times New Roman" w:cs="Times New Roman"/>
                <w:lang w:val="hu-HU"/>
              </w:rPr>
              <w:t>Ha gyorsabb hatásra van szükség, a kezelőorvos rendelhet 80 mg-os kezdő adagot (két 40 mg-os injekció egyetlen napon), melyet 2 héttel később 40 mg követ.</w:t>
            </w:r>
          </w:p>
          <w:p w14:paraId="77013599" w14:textId="77777777" w:rsidR="00E71758" w:rsidRPr="00167BF3" w:rsidRDefault="00E71758" w:rsidP="006F5E89">
            <w:pPr>
              <w:pStyle w:val="TableParagraph"/>
              <w:spacing w:line="246" w:lineRule="exact"/>
              <w:ind w:left="102" w:right="57"/>
              <w:rPr>
                <w:rFonts w:ascii="Times New Roman" w:eastAsia="Times New Roman" w:hAnsi="Times New Roman" w:cs="Times New Roman"/>
                <w:lang w:val="hu-HU"/>
              </w:rPr>
            </w:pPr>
          </w:p>
          <w:p w14:paraId="4802BB9C" w14:textId="72A06B21" w:rsidR="00E71758" w:rsidRPr="00167BF3" w:rsidRDefault="00E71758" w:rsidP="006F5E89">
            <w:pPr>
              <w:pStyle w:val="TableParagraph"/>
              <w:spacing w:line="246" w:lineRule="exact"/>
              <w:ind w:left="102" w:right="57"/>
              <w:rPr>
                <w:rFonts w:ascii="Times New Roman" w:eastAsia="Times New Roman" w:hAnsi="Times New Roman" w:cs="Times New Roman"/>
                <w:lang w:val="hu-HU"/>
              </w:rPr>
            </w:pPr>
            <w:r w:rsidRPr="00167BF3">
              <w:rPr>
                <w:rFonts w:ascii="Times New Roman" w:eastAsia="Times New Roman" w:hAnsi="Times New Roman" w:cs="Times New Roman"/>
                <w:lang w:val="hu-HU"/>
              </w:rPr>
              <w:t>Ezután a szokásos adag kéthetente 20 mg.</w:t>
            </w:r>
          </w:p>
        </w:tc>
        <w:tc>
          <w:tcPr>
            <w:tcW w:w="3096" w:type="dxa"/>
            <w:tcBorders>
              <w:top w:val="single" w:sz="5" w:space="0" w:color="000000"/>
              <w:left w:val="single" w:sz="5" w:space="0" w:color="000000"/>
              <w:bottom w:val="single" w:sz="5" w:space="0" w:color="000000"/>
              <w:right w:val="single" w:sz="5" w:space="0" w:color="000000"/>
            </w:tcBorders>
          </w:tcPr>
          <w:p w14:paraId="2BE4205F" w14:textId="30221420" w:rsidR="00E71758" w:rsidRPr="00167BF3" w:rsidRDefault="00E71758" w:rsidP="006F5E89">
            <w:pPr>
              <w:pStyle w:val="TableParagraph"/>
              <w:spacing w:line="246" w:lineRule="exact"/>
              <w:ind w:left="102" w:right="57"/>
              <w:rPr>
                <w:rFonts w:ascii="Times New Roman" w:eastAsia="Times New Roman" w:hAnsi="Times New Roman" w:cs="Times New Roman"/>
                <w:lang w:val="hu-HU"/>
              </w:rPr>
            </w:pPr>
            <w:r w:rsidRPr="00167BF3">
              <w:rPr>
                <w:rFonts w:ascii="Times New Roman" w:eastAsia="Times New Roman" w:hAnsi="Times New Roman" w:cs="Times New Roman"/>
                <w:lang w:val="hu-HU"/>
              </w:rPr>
              <w:t>Kezelőorvosa heti 20 mg-ra emelheti az adagolás gyakoriságát.</w:t>
            </w:r>
          </w:p>
        </w:tc>
      </w:tr>
    </w:tbl>
    <w:p w14:paraId="03DFEC70" w14:textId="77777777" w:rsidR="00130E8B" w:rsidRDefault="00130E8B">
      <w:pPr>
        <w:spacing w:before="7" w:line="90" w:lineRule="exact"/>
        <w:rPr>
          <w:sz w:val="9"/>
          <w:szCs w:val="9"/>
          <w:lang w:val="hu-HU"/>
        </w:rPr>
      </w:pPr>
    </w:p>
    <w:p w14:paraId="407E346B" w14:textId="77777777" w:rsidR="00130E8B" w:rsidRDefault="00130E8B">
      <w:pPr>
        <w:spacing w:before="10"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130E8B" w14:paraId="57FAF951"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44ADBB65" w14:textId="3E1F3C69" w:rsidR="00130E8B" w:rsidRDefault="00245908">
            <w:pPr>
              <w:pStyle w:val="TableParagraph"/>
              <w:spacing w:line="252" w:lineRule="exact"/>
              <w:ind w:left="102"/>
              <w:rPr>
                <w:rFonts w:ascii="Times New Roman" w:eastAsia="Times New Roman" w:hAnsi="Times New Roman" w:cs="Times New Roman"/>
                <w:lang w:val="hu-HU"/>
              </w:rPr>
            </w:pPr>
            <w:r>
              <w:rPr>
                <w:rFonts w:ascii="Times New Roman" w:hAnsi="Times New Roman" w:cs="Times New Roman"/>
                <w:b/>
                <w:bCs/>
                <w:lang w:val="hu-HU"/>
              </w:rPr>
              <w:t>Kolitisz ulceróza</w:t>
            </w:r>
          </w:p>
        </w:tc>
      </w:tr>
      <w:tr w:rsidR="00130E8B" w14:paraId="3D8FF8C5" w14:textId="77777777">
        <w:tc>
          <w:tcPr>
            <w:tcW w:w="3096" w:type="dxa"/>
            <w:tcBorders>
              <w:top w:val="single" w:sz="5" w:space="0" w:color="000000"/>
              <w:left w:val="single" w:sz="5" w:space="0" w:color="000000"/>
              <w:bottom w:val="single" w:sz="5" w:space="0" w:color="000000"/>
              <w:right w:val="single" w:sz="5" w:space="0" w:color="000000"/>
            </w:tcBorders>
          </w:tcPr>
          <w:p w14:paraId="523B7A48"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5" w:space="0" w:color="000000"/>
              <w:bottom w:val="single" w:sz="5" w:space="0" w:color="000000"/>
              <w:right w:val="single" w:sz="5" w:space="0" w:color="000000"/>
            </w:tcBorders>
          </w:tcPr>
          <w:p w14:paraId="7607BA90" w14:textId="745258B2" w:rsidR="00130E8B" w:rsidRDefault="000405CC" w:rsidP="00545FC6">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w:t>
            </w:r>
            <w:r w:rsidR="00452EC2">
              <w:rPr>
                <w:rFonts w:ascii="Times New Roman" w:eastAsia="Times New Roman" w:hAnsi="Times New Roman" w:cs="Times New Roman"/>
                <w:b/>
                <w:bCs/>
                <w:spacing w:val="-1"/>
                <w:lang w:val="hu-HU"/>
              </w:rPr>
              <w:t xml:space="preserve"> </w:t>
            </w:r>
            <w:r>
              <w:rPr>
                <w:rFonts w:ascii="Times New Roman" w:eastAsia="Times New Roman" w:hAnsi="Times New Roman" w:cs="Times New Roman"/>
                <w:b/>
                <w:bCs/>
                <w:lang w:val="hu-HU"/>
              </w:rPr>
              <w:t>alkalmazni?</w:t>
            </w:r>
          </w:p>
        </w:tc>
        <w:tc>
          <w:tcPr>
            <w:tcW w:w="3096" w:type="dxa"/>
            <w:tcBorders>
              <w:top w:val="single" w:sz="5" w:space="0" w:color="000000"/>
              <w:left w:val="single" w:sz="5" w:space="0" w:color="000000"/>
              <w:bottom w:val="single" w:sz="5" w:space="0" w:color="000000"/>
              <w:right w:val="single" w:sz="5" w:space="0" w:color="000000"/>
            </w:tcBorders>
          </w:tcPr>
          <w:p w14:paraId="218D1CA0"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130E8B" w:rsidRPr="00BE4D18" w14:paraId="3B624CCB" w14:textId="77777777">
        <w:tc>
          <w:tcPr>
            <w:tcW w:w="3096" w:type="dxa"/>
            <w:tcBorders>
              <w:top w:val="single" w:sz="5" w:space="0" w:color="000000"/>
              <w:left w:val="single" w:sz="5" w:space="0" w:color="000000"/>
              <w:bottom w:val="single" w:sz="5" w:space="0" w:color="000000"/>
              <w:right w:val="single" w:sz="5" w:space="0" w:color="000000"/>
            </w:tcBorders>
          </w:tcPr>
          <w:p w14:paraId="574784D1" w14:textId="77777777" w:rsidR="00130E8B" w:rsidRDefault="000405CC">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Felnőttek</w:t>
            </w:r>
          </w:p>
        </w:tc>
        <w:tc>
          <w:tcPr>
            <w:tcW w:w="3096" w:type="dxa"/>
            <w:tcBorders>
              <w:top w:val="single" w:sz="5" w:space="0" w:color="000000"/>
              <w:left w:val="single" w:sz="5" w:space="0" w:color="000000"/>
              <w:bottom w:val="single" w:sz="5" w:space="0" w:color="000000"/>
              <w:right w:val="single" w:sz="5" w:space="0" w:color="000000"/>
            </w:tcBorders>
          </w:tcPr>
          <w:p w14:paraId="59ED1FF5" w14:textId="79973D63" w:rsidR="00130E8B" w:rsidRDefault="000405CC" w:rsidP="006F5E8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A kezdő adag 160 mg (négy 40</w:t>
            </w:r>
            <w:r w:rsidR="006F5E89">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mg-osinjekció egyetlen napon, vagy napi két 40 mg-osinjekció két egymást követő napon), amelyet két héttel később 80 mg követ (két 40 mg-osinjekció egyetlen napon).</w:t>
            </w:r>
          </w:p>
          <w:p w14:paraId="78EFE4EC" w14:textId="77777777" w:rsidR="00130E8B" w:rsidRDefault="00130E8B">
            <w:pPr>
              <w:pStyle w:val="TableParagraph"/>
              <w:spacing w:before="17" w:line="240" w:lineRule="exact"/>
              <w:rPr>
                <w:sz w:val="24"/>
                <w:szCs w:val="24"/>
                <w:lang w:val="hu-HU"/>
              </w:rPr>
            </w:pPr>
          </w:p>
          <w:p w14:paraId="262E39A8" w14:textId="77777777" w:rsidR="00130E8B" w:rsidRDefault="000405CC">
            <w:pPr>
              <w:pStyle w:val="TableParagraph"/>
              <w:spacing w:line="252"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Ezután a szokásos adag 40 mg minden második héten.</w:t>
            </w:r>
          </w:p>
        </w:tc>
        <w:tc>
          <w:tcPr>
            <w:tcW w:w="3096" w:type="dxa"/>
            <w:tcBorders>
              <w:top w:val="single" w:sz="5" w:space="0" w:color="000000"/>
              <w:left w:val="single" w:sz="5" w:space="0" w:color="000000"/>
              <w:bottom w:val="single" w:sz="5" w:space="0" w:color="000000"/>
              <w:right w:val="single" w:sz="5" w:space="0" w:color="000000"/>
            </w:tcBorders>
          </w:tcPr>
          <w:p w14:paraId="5666A8B0" w14:textId="77777777" w:rsidR="00130E8B" w:rsidRDefault="000405CC">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Kezelőorvosa heti 40 mg-ra vagy kéthetente 80 mg-ra emelheti az adagot.</w:t>
            </w:r>
          </w:p>
        </w:tc>
      </w:tr>
      <w:tr w:rsidR="0050547A" w:rsidRPr="00F70E6D" w14:paraId="0CAB1CBE" w14:textId="77777777">
        <w:tc>
          <w:tcPr>
            <w:tcW w:w="3096" w:type="dxa"/>
            <w:tcBorders>
              <w:top w:val="single" w:sz="5" w:space="0" w:color="000000"/>
              <w:left w:val="single" w:sz="5" w:space="0" w:color="000000"/>
              <w:bottom w:val="single" w:sz="5" w:space="0" w:color="000000"/>
              <w:right w:val="single" w:sz="5" w:space="0" w:color="000000"/>
            </w:tcBorders>
          </w:tcPr>
          <w:p w14:paraId="16AD8B36" w14:textId="28CCE88F" w:rsidR="0050547A" w:rsidRPr="0050547A" w:rsidRDefault="0050547A" w:rsidP="0050547A">
            <w:pPr>
              <w:pStyle w:val="TableParagraph"/>
              <w:spacing w:line="246" w:lineRule="exact"/>
              <w:ind w:left="102" w:right="57"/>
              <w:rPr>
                <w:rFonts w:ascii="Times New Roman" w:eastAsia="Times New Roman" w:hAnsi="Times New Roman" w:cs="Times New Roman"/>
                <w:spacing w:val="-1"/>
                <w:lang w:val="hu-HU"/>
              </w:rPr>
            </w:pPr>
            <w:r w:rsidRPr="00167BF3">
              <w:rPr>
                <w:rFonts w:ascii="Times New Roman" w:hAnsi="Times New Roman" w:cs="Times New Roman"/>
                <w:lang w:val="hu-HU"/>
              </w:rPr>
              <w:t>6 éves kor feletti, 40 kg</w:t>
            </w:r>
            <w:r w:rsidRPr="00167BF3">
              <w:rPr>
                <w:rFonts w:ascii="Times New Roman" w:hAnsi="Times New Roman" w:cs="Times New Roman"/>
                <w:lang w:val="hu-HU"/>
              </w:rPr>
              <w:noBreakHyphen/>
              <w:t>nál kisebb testtömegű gyermekek és serdülők</w:t>
            </w:r>
          </w:p>
        </w:tc>
        <w:tc>
          <w:tcPr>
            <w:tcW w:w="3096" w:type="dxa"/>
            <w:tcBorders>
              <w:top w:val="single" w:sz="5" w:space="0" w:color="000000"/>
              <w:left w:val="single" w:sz="5" w:space="0" w:color="000000"/>
              <w:bottom w:val="single" w:sz="5" w:space="0" w:color="000000"/>
              <w:right w:val="single" w:sz="5" w:space="0" w:color="000000"/>
            </w:tcBorders>
          </w:tcPr>
          <w:p w14:paraId="58027184" w14:textId="77777777" w:rsidR="0050547A" w:rsidRPr="004E2591" w:rsidRDefault="0050547A" w:rsidP="004A530C">
            <w:pPr>
              <w:pStyle w:val="TableParagraph"/>
              <w:spacing w:line="246" w:lineRule="exact"/>
              <w:ind w:left="102" w:right="57"/>
              <w:rPr>
                <w:rFonts w:ascii="Times New Roman" w:eastAsia="Times New Roman" w:hAnsi="Times New Roman" w:cs="Times New Roman"/>
                <w:spacing w:val="-1"/>
                <w:lang w:val="hu-HU"/>
              </w:rPr>
            </w:pPr>
            <w:r w:rsidRPr="004E2591">
              <w:rPr>
                <w:rFonts w:ascii="Times New Roman" w:eastAsia="Times New Roman" w:hAnsi="Times New Roman" w:cs="Times New Roman"/>
                <w:spacing w:val="-1"/>
                <w:lang w:val="hu-HU"/>
              </w:rPr>
              <w:t>A kezdő adag 80 mg (két 40 mg-os injekció formájában egyetlen napon), melyet két héttel később 40 mg (egy 40 mg-os injekció formájában) követ.</w:t>
            </w:r>
          </w:p>
          <w:p w14:paraId="70C9BE4D" w14:textId="77777777" w:rsidR="0050547A" w:rsidRPr="004E2591" w:rsidRDefault="0050547A" w:rsidP="004A530C">
            <w:pPr>
              <w:pStyle w:val="TableParagraph"/>
              <w:spacing w:line="246" w:lineRule="exact"/>
              <w:ind w:left="102" w:right="57"/>
              <w:rPr>
                <w:rFonts w:ascii="Times New Roman" w:eastAsia="Times New Roman" w:hAnsi="Times New Roman" w:cs="Times New Roman"/>
                <w:spacing w:val="-1"/>
                <w:lang w:val="hu-HU"/>
              </w:rPr>
            </w:pPr>
          </w:p>
          <w:p w14:paraId="1AC2545C" w14:textId="069678A7" w:rsidR="0050547A" w:rsidRPr="0050547A" w:rsidRDefault="0050547A" w:rsidP="004A530C">
            <w:pPr>
              <w:pStyle w:val="TableParagraph"/>
              <w:spacing w:line="246" w:lineRule="exact"/>
              <w:ind w:left="102" w:right="57"/>
              <w:rPr>
                <w:rFonts w:ascii="Times New Roman" w:eastAsia="Times New Roman" w:hAnsi="Times New Roman" w:cs="Times New Roman"/>
                <w:spacing w:val="-1"/>
                <w:lang w:val="hu-HU"/>
              </w:rPr>
            </w:pPr>
            <w:r w:rsidRPr="004E2591">
              <w:rPr>
                <w:rFonts w:ascii="Times New Roman" w:eastAsia="Times New Roman" w:hAnsi="Times New Roman" w:cs="Times New Roman"/>
                <w:spacing w:val="-1"/>
                <w:lang w:val="hu-HU"/>
              </w:rPr>
              <w:t>Ezt követően a szokásos adag 40 mg kéthetente.</w:t>
            </w:r>
          </w:p>
        </w:tc>
        <w:tc>
          <w:tcPr>
            <w:tcW w:w="3096" w:type="dxa"/>
            <w:tcBorders>
              <w:top w:val="single" w:sz="5" w:space="0" w:color="000000"/>
              <w:left w:val="single" w:sz="5" w:space="0" w:color="000000"/>
              <w:bottom w:val="single" w:sz="5" w:space="0" w:color="000000"/>
              <w:right w:val="single" w:sz="5" w:space="0" w:color="000000"/>
            </w:tcBorders>
          </w:tcPr>
          <w:p w14:paraId="2C2B1AAD" w14:textId="2A30ACA9" w:rsidR="0050547A" w:rsidRPr="0050547A" w:rsidRDefault="0050547A" w:rsidP="0050547A">
            <w:pPr>
              <w:pStyle w:val="TableParagraph"/>
              <w:spacing w:line="246" w:lineRule="exact"/>
              <w:ind w:left="102" w:right="57"/>
              <w:rPr>
                <w:rFonts w:ascii="Times New Roman" w:eastAsia="Times New Roman" w:hAnsi="Times New Roman" w:cs="Times New Roman"/>
                <w:spacing w:val="-1"/>
                <w:lang w:val="hu-HU"/>
              </w:rPr>
            </w:pPr>
            <w:r w:rsidRPr="00167BF3">
              <w:rPr>
                <w:rFonts w:ascii="Times New Roman" w:hAnsi="Times New Roman" w:cs="Times New Roman"/>
                <w:lang w:val="hu-HU"/>
              </w:rPr>
              <w:t>A Yuflyma alkalmazását a szokásos adagban kell folytatnia, a 18 éves kor betöltése után is.</w:t>
            </w:r>
          </w:p>
        </w:tc>
      </w:tr>
      <w:tr w:rsidR="0050547A" w:rsidRPr="00F70E6D" w14:paraId="6EFB369D" w14:textId="77777777">
        <w:tc>
          <w:tcPr>
            <w:tcW w:w="3096" w:type="dxa"/>
            <w:tcBorders>
              <w:top w:val="single" w:sz="5" w:space="0" w:color="000000"/>
              <w:left w:val="single" w:sz="5" w:space="0" w:color="000000"/>
              <w:bottom w:val="single" w:sz="5" w:space="0" w:color="000000"/>
              <w:right w:val="single" w:sz="5" w:space="0" w:color="000000"/>
            </w:tcBorders>
          </w:tcPr>
          <w:p w14:paraId="74B9712F" w14:textId="5AB4F768" w:rsidR="0050547A" w:rsidRPr="0050547A" w:rsidRDefault="0050547A" w:rsidP="0050547A">
            <w:pPr>
              <w:pStyle w:val="TableParagraph"/>
              <w:spacing w:line="246" w:lineRule="exact"/>
              <w:ind w:left="102" w:right="57"/>
              <w:rPr>
                <w:rFonts w:ascii="Times New Roman" w:eastAsia="Times New Roman" w:hAnsi="Times New Roman" w:cs="Times New Roman"/>
                <w:spacing w:val="-1"/>
                <w:lang w:val="hu-HU"/>
              </w:rPr>
            </w:pPr>
            <w:r w:rsidRPr="00167BF3">
              <w:rPr>
                <w:rFonts w:ascii="Times New Roman" w:hAnsi="Times New Roman" w:cs="Times New Roman"/>
                <w:lang w:val="hu-HU"/>
              </w:rPr>
              <w:t>6 éves kor feletti, 40 kg</w:t>
            </w:r>
            <w:r w:rsidRPr="00167BF3">
              <w:rPr>
                <w:rFonts w:ascii="Times New Roman" w:hAnsi="Times New Roman" w:cs="Times New Roman"/>
                <w:lang w:val="hu-HU"/>
              </w:rPr>
              <w:noBreakHyphen/>
              <w:t>os vagy annál nagyobb testtömegű gyermekek és serdülők</w:t>
            </w:r>
          </w:p>
        </w:tc>
        <w:tc>
          <w:tcPr>
            <w:tcW w:w="3096" w:type="dxa"/>
            <w:tcBorders>
              <w:top w:val="single" w:sz="5" w:space="0" w:color="000000"/>
              <w:left w:val="single" w:sz="5" w:space="0" w:color="000000"/>
              <w:bottom w:val="single" w:sz="5" w:space="0" w:color="000000"/>
              <w:right w:val="single" w:sz="5" w:space="0" w:color="000000"/>
            </w:tcBorders>
          </w:tcPr>
          <w:p w14:paraId="6B843EB3" w14:textId="77777777" w:rsidR="0050547A" w:rsidRPr="004E2591" w:rsidRDefault="0050547A" w:rsidP="004A530C">
            <w:pPr>
              <w:pStyle w:val="TableParagraph"/>
              <w:spacing w:line="246" w:lineRule="exact"/>
              <w:ind w:left="102" w:right="57"/>
              <w:rPr>
                <w:rFonts w:ascii="Times New Roman" w:eastAsia="Times New Roman" w:hAnsi="Times New Roman" w:cs="Times New Roman"/>
                <w:spacing w:val="-1"/>
                <w:lang w:val="hu-HU"/>
              </w:rPr>
            </w:pPr>
            <w:r w:rsidRPr="004E2591">
              <w:rPr>
                <w:rFonts w:ascii="Times New Roman" w:eastAsia="Times New Roman" w:hAnsi="Times New Roman" w:cs="Times New Roman"/>
                <w:spacing w:val="-1"/>
                <w:lang w:val="hu-HU"/>
              </w:rPr>
              <w:t>A kezdő adag 160 mg (négy 40 mg-os injekció egyetlen napon vagy két 40 mg-os injekció két egymást követő napon), majd két hét múlva 80 mg (két 40 mg-os injekció egyetlen napon).</w:t>
            </w:r>
          </w:p>
          <w:p w14:paraId="4B6644C6" w14:textId="77777777" w:rsidR="0050547A" w:rsidRPr="004E2591" w:rsidRDefault="0050547A" w:rsidP="004A530C">
            <w:pPr>
              <w:pStyle w:val="TableParagraph"/>
              <w:spacing w:line="246" w:lineRule="exact"/>
              <w:ind w:left="102" w:right="57"/>
              <w:rPr>
                <w:rFonts w:ascii="Times New Roman" w:eastAsia="Times New Roman" w:hAnsi="Times New Roman" w:cs="Times New Roman"/>
                <w:spacing w:val="-1"/>
                <w:lang w:val="hu-HU"/>
              </w:rPr>
            </w:pPr>
          </w:p>
          <w:p w14:paraId="093818E1" w14:textId="2D694190" w:rsidR="0050547A" w:rsidRPr="0050547A" w:rsidRDefault="0050547A" w:rsidP="004A530C">
            <w:pPr>
              <w:pStyle w:val="TableParagraph"/>
              <w:spacing w:line="246" w:lineRule="exact"/>
              <w:ind w:left="102" w:right="57"/>
              <w:rPr>
                <w:rFonts w:ascii="Times New Roman" w:eastAsia="Times New Roman" w:hAnsi="Times New Roman" w:cs="Times New Roman"/>
                <w:spacing w:val="-1"/>
                <w:lang w:val="hu-HU"/>
              </w:rPr>
            </w:pPr>
            <w:r w:rsidRPr="004E2591">
              <w:rPr>
                <w:rFonts w:ascii="Times New Roman" w:eastAsia="Times New Roman" w:hAnsi="Times New Roman" w:cs="Times New Roman"/>
                <w:spacing w:val="-1"/>
                <w:lang w:val="hu-HU"/>
              </w:rPr>
              <w:lastRenderedPageBreak/>
              <w:t>Ezt követően a szokásos adag 80 mg kéthetente.</w:t>
            </w:r>
          </w:p>
        </w:tc>
        <w:tc>
          <w:tcPr>
            <w:tcW w:w="3096" w:type="dxa"/>
            <w:tcBorders>
              <w:top w:val="single" w:sz="5" w:space="0" w:color="000000"/>
              <w:left w:val="single" w:sz="5" w:space="0" w:color="000000"/>
              <w:bottom w:val="single" w:sz="5" w:space="0" w:color="000000"/>
              <w:right w:val="single" w:sz="5" w:space="0" w:color="000000"/>
            </w:tcBorders>
          </w:tcPr>
          <w:p w14:paraId="481F2C81" w14:textId="5801864E" w:rsidR="0050547A" w:rsidRPr="0050547A" w:rsidRDefault="0050547A" w:rsidP="0050547A">
            <w:pPr>
              <w:pStyle w:val="TableParagraph"/>
              <w:spacing w:line="246" w:lineRule="exact"/>
              <w:ind w:left="102" w:right="57"/>
              <w:rPr>
                <w:rFonts w:ascii="Times New Roman" w:eastAsia="Times New Roman" w:hAnsi="Times New Roman" w:cs="Times New Roman"/>
                <w:spacing w:val="-1"/>
                <w:lang w:val="hu-HU"/>
              </w:rPr>
            </w:pPr>
            <w:r w:rsidRPr="00167BF3">
              <w:rPr>
                <w:rFonts w:ascii="Times New Roman" w:hAnsi="Times New Roman" w:cs="Times New Roman"/>
                <w:lang w:val="hu-HU"/>
              </w:rPr>
              <w:lastRenderedPageBreak/>
              <w:t>A Yuflyma alkalmazását a szokásos adagban kell folytatnia, a 18 éves kor betöltése után is.</w:t>
            </w:r>
          </w:p>
        </w:tc>
      </w:tr>
    </w:tbl>
    <w:p w14:paraId="4528CDF4" w14:textId="77777777" w:rsidR="00130E8B" w:rsidRDefault="00130E8B">
      <w:pPr>
        <w:spacing w:before="10"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130E8B" w:rsidRPr="00BE4D18" w14:paraId="32530A4B"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4971EB0C" w14:textId="77777777" w:rsidR="00130E8B" w:rsidRDefault="000405CC">
            <w:pPr>
              <w:pStyle w:val="TableParagraph"/>
              <w:spacing w:line="252"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Nem fertőzéses eredetű szemgyulladás (uveitisz)</w:t>
            </w:r>
          </w:p>
        </w:tc>
      </w:tr>
      <w:tr w:rsidR="00130E8B" w14:paraId="22DCFEDC" w14:textId="77777777">
        <w:tc>
          <w:tcPr>
            <w:tcW w:w="3096" w:type="dxa"/>
            <w:tcBorders>
              <w:top w:val="single" w:sz="5" w:space="0" w:color="000000"/>
              <w:left w:val="single" w:sz="5" w:space="0" w:color="000000"/>
              <w:bottom w:val="single" w:sz="5" w:space="0" w:color="000000"/>
              <w:right w:val="single" w:sz="5" w:space="0" w:color="000000"/>
            </w:tcBorders>
          </w:tcPr>
          <w:p w14:paraId="36BEBE68"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5" w:space="0" w:color="000000"/>
              <w:bottom w:val="single" w:sz="5" w:space="0" w:color="000000"/>
              <w:right w:val="single" w:sz="5" w:space="0" w:color="000000"/>
            </w:tcBorders>
          </w:tcPr>
          <w:p w14:paraId="3B2A7B63" w14:textId="1621A312" w:rsidR="00130E8B" w:rsidRDefault="000405CC" w:rsidP="00545FC6">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w:t>
            </w:r>
            <w:r w:rsidR="00452EC2">
              <w:rPr>
                <w:rFonts w:ascii="Times New Roman" w:eastAsia="Times New Roman" w:hAnsi="Times New Roman" w:cs="Times New Roman"/>
                <w:b/>
                <w:bCs/>
                <w:spacing w:val="-1"/>
                <w:lang w:val="hu-HU"/>
              </w:rPr>
              <w:t xml:space="preserve"> </w:t>
            </w:r>
            <w:r>
              <w:rPr>
                <w:rFonts w:ascii="Times New Roman" w:eastAsia="Times New Roman" w:hAnsi="Times New Roman" w:cs="Times New Roman"/>
                <w:b/>
                <w:bCs/>
                <w:lang w:val="hu-HU"/>
              </w:rPr>
              <w:t>alkalmazni?</w:t>
            </w:r>
          </w:p>
        </w:tc>
        <w:tc>
          <w:tcPr>
            <w:tcW w:w="3096" w:type="dxa"/>
            <w:tcBorders>
              <w:top w:val="single" w:sz="5" w:space="0" w:color="000000"/>
              <w:left w:val="single" w:sz="5" w:space="0" w:color="000000"/>
              <w:bottom w:val="single" w:sz="5" w:space="0" w:color="000000"/>
              <w:right w:val="single" w:sz="5" w:space="0" w:color="000000"/>
            </w:tcBorders>
          </w:tcPr>
          <w:p w14:paraId="67CC476D"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130E8B" w14:paraId="0CABBAF0" w14:textId="77777777">
        <w:tc>
          <w:tcPr>
            <w:tcW w:w="3096" w:type="dxa"/>
            <w:tcBorders>
              <w:top w:val="single" w:sz="5" w:space="0" w:color="000000"/>
              <w:left w:val="single" w:sz="5" w:space="0" w:color="000000"/>
              <w:bottom w:val="single" w:sz="5" w:space="0" w:color="000000"/>
              <w:right w:val="single" w:sz="5" w:space="0" w:color="000000"/>
            </w:tcBorders>
          </w:tcPr>
          <w:p w14:paraId="132A04BB" w14:textId="77777777" w:rsidR="00130E8B" w:rsidRDefault="000405CC">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Felnőttek</w:t>
            </w:r>
          </w:p>
        </w:tc>
        <w:tc>
          <w:tcPr>
            <w:tcW w:w="3096" w:type="dxa"/>
            <w:tcBorders>
              <w:top w:val="single" w:sz="5" w:space="0" w:color="000000"/>
              <w:left w:val="single" w:sz="5" w:space="0" w:color="000000"/>
              <w:bottom w:val="single" w:sz="5" w:space="0" w:color="000000"/>
              <w:right w:val="single" w:sz="5" w:space="0" w:color="000000"/>
            </w:tcBorders>
          </w:tcPr>
          <w:p w14:paraId="438B7A2C" w14:textId="2379AD80" w:rsidR="00130E8B" w:rsidRDefault="000405CC" w:rsidP="00545FC6">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A kezdő adag 80 mg (két 40 mg-os</w:t>
            </w:r>
            <w:r w:rsidR="006F5E89">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injekció</w:t>
            </w:r>
            <w:r w:rsidR="002B2F88">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egyetlen napon), majd 40 mg minden második héten,</w:t>
            </w:r>
            <w:r w:rsidR="00452EC2">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a kezdő</w:t>
            </w:r>
            <w:r w:rsidR="006F5E89">
              <w:rPr>
                <w:rFonts w:ascii="Times New Roman" w:eastAsia="Times New Roman" w:hAnsi="Times New Roman" w:cs="Times New Roman"/>
                <w:spacing w:val="-1"/>
                <w:lang w:val="hu-HU"/>
              </w:rPr>
              <w:t xml:space="preserve"> </w:t>
            </w:r>
            <w:r>
              <w:rPr>
                <w:rFonts w:ascii="Times New Roman" w:eastAsia="Times New Roman" w:hAnsi="Times New Roman" w:cs="Times New Roman"/>
                <w:lang w:val="hu-HU"/>
              </w:rPr>
              <w:t>adag után egy héttel indítva.</w:t>
            </w:r>
          </w:p>
        </w:tc>
        <w:tc>
          <w:tcPr>
            <w:tcW w:w="3096" w:type="dxa"/>
            <w:tcBorders>
              <w:top w:val="single" w:sz="5" w:space="0" w:color="000000"/>
              <w:left w:val="single" w:sz="5" w:space="0" w:color="000000"/>
              <w:bottom w:val="single" w:sz="5" w:space="0" w:color="000000"/>
              <w:right w:val="single" w:sz="5" w:space="0" w:color="000000"/>
            </w:tcBorders>
          </w:tcPr>
          <w:p w14:paraId="58DAC64B" w14:textId="2D293F9A" w:rsidR="00130E8B" w:rsidRDefault="00CF6380">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A Yuflyma alkalmazásával egyidejűleg </w:t>
            </w:r>
            <w:r w:rsidR="00DD2856">
              <w:rPr>
                <w:rFonts w:ascii="Times New Roman" w:eastAsia="Times New Roman" w:hAnsi="Times New Roman" w:cs="Times New Roman"/>
                <w:spacing w:val="-1"/>
                <w:lang w:val="hu-HU"/>
              </w:rPr>
              <w:t xml:space="preserve">a </w:t>
            </w:r>
            <w:r w:rsidR="000405CC">
              <w:rPr>
                <w:rFonts w:ascii="Times New Roman" w:eastAsia="Times New Roman" w:hAnsi="Times New Roman" w:cs="Times New Roman"/>
                <w:spacing w:val="-1"/>
                <w:lang w:val="hu-HU"/>
              </w:rPr>
              <w:t xml:space="preserve">kortikoszteroidok vagy egyéb </w:t>
            </w:r>
            <w:r>
              <w:rPr>
                <w:rFonts w:ascii="Times New Roman" w:eastAsia="Times New Roman" w:hAnsi="Times New Roman" w:cs="Times New Roman"/>
                <w:spacing w:val="-1"/>
                <w:lang w:val="hu-HU"/>
              </w:rPr>
              <w:t xml:space="preserve">az immunrendszer működését befolyásoló </w:t>
            </w:r>
            <w:r w:rsidR="000405CC">
              <w:rPr>
                <w:rFonts w:ascii="Times New Roman" w:eastAsia="Times New Roman" w:hAnsi="Times New Roman" w:cs="Times New Roman"/>
                <w:spacing w:val="-1"/>
                <w:lang w:val="hu-HU"/>
              </w:rPr>
              <w:t xml:space="preserve">gyógyszerek alkalmazása </w:t>
            </w:r>
            <w:r>
              <w:rPr>
                <w:rFonts w:ascii="Times New Roman" w:eastAsia="Times New Roman" w:hAnsi="Times New Roman" w:cs="Times New Roman"/>
                <w:spacing w:val="-1"/>
                <w:lang w:val="hu-HU"/>
              </w:rPr>
              <w:t>folytatható</w:t>
            </w:r>
            <w:r w:rsidR="000405CC">
              <w:rPr>
                <w:rFonts w:ascii="Times New Roman" w:eastAsia="Times New Roman" w:hAnsi="Times New Roman" w:cs="Times New Roman"/>
                <w:spacing w:val="-1"/>
                <w:lang w:val="hu-HU"/>
              </w:rPr>
              <w:t>.</w:t>
            </w:r>
          </w:p>
          <w:p w14:paraId="5BF6230E" w14:textId="77777777" w:rsidR="00130E8B" w:rsidRDefault="000405CC">
            <w:pPr>
              <w:pStyle w:val="TableParagraph"/>
              <w:spacing w:before="1"/>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A Yuflyma önmagában is alkalmazható</w:t>
            </w:r>
          </w:p>
        </w:tc>
      </w:tr>
      <w:tr w:rsidR="00E71758" w:rsidRPr="00DD2856" w14:paraId="585F5734" w14:textId="77777777">
        <w:tc>
          <w:tcPr>
            <w:tcW w:w="3096" w:type="dxa"/>
            <w:tcBorders>
              <w:top w:val="single" w:sz="5" w:space="0" w:color="000000"/>
              <w:left w:val="single" w:sz="5" w:space="0" w:color="000000"/>
              <w:bottom w:val="single" w:sz="5" w:space="0" w:color="000000"/>
              <w:right w:val="single" w:sz="5" w:space="0" w:color="000000"/>
            </w:tcBorders>
          </w:tcPr>
          <w:p w14:paraId="7255A84E" w14:textId="42439B09" w:rsidR="00E71758" w:rsidRDefault="00E71758" w:rsidP="00E71758">
            <w:pPr>
              <w:pStyle w:val="TableParagraph"/>
              <w:spacing w:line="246" w:lineRule="exact"/>
              <w:ind w:left="102" w:right="57"/>
              <w:rPr>
                <w:rFonts w:ascii="Times New Roman" w:eastAsia="Times New Roman" w:hAnsi="Times New Roman" w:cs="Times New Roman"/>
                <w:spacing w:val="-1"/>
                <w:lang w:val="hu-HU"/>
              </w:rPr>
            </w:pPr>
            <w:r w:rsidRPr="00167BF3">
              <w:rPr>
                <w:rFonts w:ascii="Times New Roman" w:eastAsia="Times New Roman" w:hAnsi="Times New Roman" w:cs="Times New Roman"/>
                <w:spacing w:val="-1"/>
                <w:lang w:val="hu-HU"/>
              </w:rPr>
              <w:t>2 éves kor feletti, 30 kg-nál kisebb testtömegű gyermekek és serdülők</w:t>
            </w:r>
          </w:p>
        </w:tc>
        <w:tc>
          <w:tcPr>
            <w:tcW w:w="3096" w:type="dxa"/>
            <w:tcBorders>
              <w:top w:val="single" w:sz="5" w:space="0" w:color="000000"/>
              <w:left w:val="single" w:sz="5" w:space="0" w:color="000000"/>
              <w:bottom w:val="single" w:sz="5" w:space="0" w:color="000000"/>
              <w:right w:val="single" w:sz="5" w:space="0" w:color="000000"/>
            </w:tcBorders>
          </w:tcPr>
          <w:p w14:paraId="5B26AB0D" w14:textId="3EB0EA63" w:rsidR="00E71758" w:rsidRDefault="00E71758" w:rsidP="00E71758">
            <w:pPr>
              <w:pStyle w:val="TableParagraph"/>
              <w:spacing w:line="246" w:lineRule="exact"/>
              <w:ind w:left="102" w:right="57"/>
              <w:rPr>
                <w:rFonts w:ascii="Times New Roman" w:eastAsia="Times New Roman" w:hAnsi="Times New Roman" w:cs="Times New Roman"/>
                <w:spacing w:val="-1"/>
                <w:lang w:val="hu-HU"/>
              </w:rPr>
            </w:pPr>
            <w:r>
              <w:rPr>
                <w:rFonts w:ascii="Times New Roman" w:eastAsia="Times New Roman" w:hAnsi="Times New Roman" w:cs="Times New Roman"/>
                <w:lang w:val="hu-HU"/>
              </w:rPr>
              <w:t>20 mg kéthetente</w:t>
            </w:r>
          </w:p>
        </w:tc>
        <w:tc>
          <w:tcPr>
            <w:tcW w:w="3096" w:type="dxa"/>
            <w:tcBorders>
              <w:top w:val="single" w:sz="5" w:space="0" w:color="000000"/>
              <w:left w:val="single" w:sz="5" w:space="0" w:color="000000"/>
              <w:bottom w:val="single" w:sz="5" w:space="0" w:color="000000"/>
              <w:right w:val="single" w:sz="5" w:space="0" w:color="000000"/>
            </w:tcBorders>
          </w:tcPr>
          <w:p w14:paraId="757D0615" w14:textId="268AA004" w:rsidR="00E71758" w:rsidRDefault="00E71758" w:rsidP="00E71758">
            <w:pPr>
              <w:pStyle w:val="TableParagraph"/>
              <w:spacing w:line="246" w:lineRule="exact"/>
              <w:ind w:left="102" w:right="57"/>
              <w:rPr>
                <w:rFonts w:ascii="Times New Roman" w:eastAsia="Times New Roman" w:hAnsi="Times New Roman" w:cs="Times New Roman"/>
                <w:spacing w:val="-1"/>
                <w:lang w:val="hu-HU"/>
              </w:rPr>
            </w:pPr>
            <w:r w:rsidRPr="00167BF3">
              <w:rPr>
                <w:rFonts w:ascii="Times New Roman" w:eastAsia="Times New Roman" w:hAnsi="Times New Roman" w:cs="Times New Roman"/>
                <w:spacing w:val="-1"/>
                <w:lang w:val="hu-HU"/>
              </w:rPr>
              <w:t xml:space="preserve">Kezelőorvosa egy 40 mg-os kezdő </w:t>
            </w:r>
            <w:r w:rsidR="00DD2856" w:rsidRPr="009B3D2C">
              <w:rPr>
                <w:rFonts w:ascii="Times New Roman" w:eastAsia="Times New Roman" w:hAnsi="Times New Roman" w:cs="Times New Roman"/>
                <w:spacing w:val="-1"/>
                <w:lang w:val="hu-HU"/>
              </w:rPr>
              <w:t>adagot</w:t>
            </w:r>
            <w:r w:rsidR="00DD2856">
              <w:rPr>
                <w:rFonts w:ascii="Times New Roman" w:eastAsia="Times New Roman" w:hAnsi="Times New Roman" w:cs="Times New Roman"/>
                <w:spacing w:val="-1"/>
                <w:lang w:val="hu-HU"/>
              </w:rPr>
              <w:t xml:space="preserve"> </w:t>
            </w:r>
            <w:r w:rsidRPr="00167BF3">
              <w:rPr>
                <w:rFonts w:ascii="Times New Roman" w:eastAsia="Times New Roman" w:hAnsi="Times New Roman" w:cs="Times New Roman"/>
                <w:spacing w:val="-1"/>
                <w:lang w:val="hu-HU"/>
              </w:rPr>
              <w:t xml:space="preserve">is felírhat, melyet egy héttel a szokásos, kéthetente 20 mg-os adagolás megkezdése előtt kell beadni. A </w:t>
            </w:r>
            <w:r w:rsidR="00151C9A">
              <w:rPr>
                <w:rFonts w:ascii="Times New Roman" w:eastAsia="Times New Roman" w:hAnsi="Times New Roman" w:cs="Times New Roman"/>
                <w:spacing w:val="-1"/>
                <w:lang w:val="hu-HU"/>
              </w:rPr>
              <w:t>Yuflyma</w:t>
            </w:r>
            <w:r w:rsidRPr="00167BF3">
              <w:rPr>
                <w:rFonts w:ascii="Times New Roman" w:eastAsia="Times New Roman" w:hAnsi="Times New Roman" w:cs="Times New Roman"/>
                <w:spacing w:val="-1"/>
                <w:lang w:val="hu-HU"/>
              </w:rPr>
              <w:t>-t metotrexáttal kombinálva javasolt alkalmazni.</w:t>
            </w:r>
          </w:p>
        </w:tc>
      </w:tr>
      <w:tr w:rsidR="00130E8B" w14:paraId="1E255E96" w14:textId="77777777">
        <w:tc>
          <w:tcPr>
            <w:tcW w:w="3096" w:type="dxa"/>
            <w:tcBorders>
              <w:top w:val="single" w:sz="5" w:space="0" w:color="000000"/>
              <w:left w:val="single" w:sz="5" w:space="0" w:color="000000"/>
              <w:bottom w:val="single" w:sz="5" w:space="0" w:color="000000"/>
              <w:right w:val="single" w:sz="5" w:space="0" w:color="000000"/>
            </w:tcBorders>
          </w:tcPr>
          <w:p w14:paraId="3653D623" w14:textId="5405B346" w:rsidR="00130E8B" w:rsidRDefault="000405CC" w:rsidP="006F5E8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Gyermekek és serdülők</w:t>
            </w:r>
            <w:r w:rsidR="006F5E89">
              <w:rPr>
                <w:rFonts w:ascii="Times New Roman" w:eastAsia="Times New Roman" w:hAnsi="Times New Roman" w:cs="Times New Roman"/>
                <w:spacing w:val="-1"/>
                <w:lang w:val="hu-HU"/>
              </w:rPr>
              <w:t xml:space="preserve"> </w:t>
            </w:r>
            <w:r>
              <w:rPr>
                <w:rFonts w:ascii="Times New Roman" w:eastAsia="Times New Roman" w:hAnsi="Times New Roman" w:cs="Times New Roman"/>
                <w:lang w:val="hu-HU"/>
              </w:rPr>
              <w:t>akik legalább 2 évesek, a test</w:t>
            </w:r>
            <w:r w:rsidR="00BE1A0B">
              <w:rPr>
                <w:rFonts w:ascii="Times New Roman" w:eastAsia="Times New Roman" w:hAnsi="Times New Roman" w:cs="Times New Roman"/>
                <w:lang w:val="hu-HU"/>
              </w:rPr>
              <w:t>tömegük</w:t>
            </w:r>
            <w:r>
              <w:rPr>
                <w:rFonts w:ascii="Times New Roman" w:eastAsia="Times New Roman" w:hAnsi="Times New Roman" w:cs="Times New Roman"/>
                <w:lang w:val="hu-HU"/>
              </w:rPr>
              <w:t xml:space="preserve"> legalább 30 kg</w:t>
            </w:r>
          </w:p>
        </w:tc>
        <w:tc>
          <w:tcPr>
            <w:tcW w:w="3096" w:type="dxa"/>
            <w:tcBorders>
              <w:top w:val="single" w:sz="5" w:space="0" w:color="000000"/>
              <w:left w:val="single" w:sz="5" w:space="0" w:color="000000"/>
              <w:bottom w:val="single" w:sz="5" w:space="0" w:color="000000"/>
              <w:right w:val="single" w:sz="5" w:space="0" w:color="000000"/>
            </w:tcBorders>
          </w:tcPr>
          <w:p w14:paraId="494AD342" w14:textId="77777777" w:rsidR="00130E8B" w:rsidRDefault="000405CC">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lang w:val="hu-HU"/>
              </w:rPr>
              <w:t>40 mg kéthetente</w:t>
            </w:r>
          </w:p>
        </w:tc>
        <w:tc>
          <w:tcPr>
            <w:tcW w:w="3096" w:type="dxa"/>
            <w:tcBorders>
              <w:top w:val="single" w:sz="5" w:space="0" w:color="000000"/>
              <w:left w:val="single" w:sz="5" w:space="0" w:color="000000"/>
              <w:bottom w:val="single" w:sz="5" w:space="0" w:color="000000"/>
              <w:right w:val="single" w:sz="5" w:space="0" w:color="000000"/>
            </w:tcBorders>
          </w:tcPr>
          <w:p w14:paraId="57DB9664" w14:textId="4C66EE8A" w:rsidR="00130E8B" w:rsidRDefault="000405CC" w:rsidP="006F5E8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Kezelőorvosa egy</w:t>
            </w:r>
            <w:r w:rsidR="006F5E89">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80 mg-os kezdő dózist is felírhat, melyet egy héttel a</w:t>
            </w:r>
            <w:r w:rsidR="006F5E89">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szokásos</w:t>
            </w:r>
            <w:r w:rsidR="006F5E89">
              <w:rPr>
                <w:rFonts w:ascii="Times New Roman" w:eastAsia="Times New Roman" w:hAnsi="Times New Roman" w:cs="Times New Roman"/>
                <w:spacing w:val="-1"/>
                <w:lang w:val="hu-HU"/>
              </w:rPr>
              <w:t xml:space="preserve"> </w:t>
            </w:r>
            <w:r>
              <w:rPr>
                <w:rFonts w:ascii="Times New Roman" w:eastAsia="Times New Roman" w:hAnsi="Times New Roman" w:cs="Times New Roman"/>
                <w:lang w:val="hu-HU"/>
              </w:rPr>
              <w:t>kéthetente 40 mg-os adagolás megkezdése előtt kell beadni. A Yuflyma használata a metotrexáttal együtt javasolt.</w:t>
            </w:r>
          </w:p>
        </w:tc>
      </w:tr>
    </w:tbl>
    <w:p w14:paraId="1AAA5552" w14:textId="77777777" w:rsidR="00130E8B" w:rsidRDefault="00130E8B">
      <w:pPr>
        <w:pStyle w:val="a3"/>
        <w:rPr>
          <w:lang w:val="hu-HU"/>
        </w:rPr>
      </w:pPr>
    </w:p>
    <w:p w14:paraId="1397E071" w14:textId="77777777" w:rsidR="00130E8B" w:rsidRDefault="000405CC">
      <w:pPr>
        <w:pStyle w:val="a3"/>
        <w:rPr>
          <w:b/>
          <w:lang w:val="hu-HU"/>
        </w:rPr>
      </w:pPr>
      <w:r>
        <w:rPr>
          <w:rFonts w:eastAsia="Times New Roman"/>
          <w:b/>
          <w:bCs/>
          <w:lang w:val="hu-HU"/>
        </w:rPr>
        <w:t>Az alkalmazással kapcsolatos tudnivalók és az alkalmazás módja</w:t>
      </w:r>
    </w:p>
    <w:p w14:paraId="448A04A0" w14:textId="77777777" w:rsidR="00130E8B" w:rsidRDefault="00130E8B">
      <w:pPr>
        <w:spacing w:before="9" w:line="240" w:lineRule="exact"/>
        <w:rPr>
          <w:sz w:val="24"/>
          <w:szCs w:val="24"/>
          <w:lang w:val="hu-HU"/>
        </w:rPr>
      </w:pPr>
    </w:p>
    <w:p w14:paraId="7DE04317" w14:textId="77777777" w:rsidR="00130E8B" w:rsidRDefault="000405CC">
      <w:pPr>
        <w:pStyle w:val="a3"/>
        <w:rPr>
          <w:lang w:val="hu-HU"/>
        </w:rPr>
      </w:pPr>
      <w:r>
        <w:rPr>
          <w:rFonts w:eastAsia="Times New Roman"/>
          <w:lang w:val="hu-HU"/>
        </w:rPr>
        <w:t>A Yuflyma injekciót a bőr alá (szubkután injekció formájában) kell beadni.</w:t>
      </w:r>
    </w:p>
    <w:p w14:paraId="1F7AC8D0" w14:textId="77777777" w:rsidR="00130E8B" w:rsidRDefault="00130E8B">
      <w:pPr>
        <w:spacing w:before="18" w:line="240" w:lineRule="exact"/>
        <w:rPr>
          <w:sz w:val="24"/>
          <w:szCs w:val="24"/>
          <w:lang w:val="hu-HU"/>
        </w:rPr>
      </w:pPr>
    </w:p>
    <w:p w14:paraId="447685FD" w14:textId="6807814C" w:rsidR="00130E8B" w:rsidRDefault="000405CC">
      <w:pPr>
        <w:pStyle w:val="a3"/>
        <w:rPr>
          <w:rFonts w:eastAsia="Times New Roman"/>
          <w:b/>
          <w:bCs/>
          <w:lang w:val="hu-HU"/>
        </w:rPr>
      </w:pPr>
      <w:r>
        <w:rPr>
          <w:rFonts w:eastAsia="Times New Roman"/>
          <w:b/>
          <w:bCs/>
          <w:lang w:val="hu-HU"/>
        </w:rPr>
        <w:t>A Yuflyma injekció beadásával kapcsolatos részletes útmutatás a 7</w:t>
      </w:r>
      <w:r w:rsidR="00992BD3">
        <w:rPr>
          <w:rFonts w:eastAsia="Times New Roman"/>
          <w:b/>
          <w:bCs/>
          <w:lang w:val="hu-HU"/>
        </w:rPr>
        <w:t xml:space="preserve"> </w:t>
      </w:r>
      <w:r w:rsidR="00DD2856" w:rsidRPr="004C5B28">
        <w:rPr>
          <w:rFonts w:eastAsia="Times New Roman"/>
          <w:b/>
          <w:bCs/>
          <w:lang w:val="hu-HU"/>
        </w:rPr>
        <w:t>“</w:t>
      </w:r>
      <w:r w:rsidR="00992BD3" w:rsidRPr="00992BD3">
        <w:rPr>
          <w:rFonts w:eastAsia="Times New Roman"/>
          <w:b/>
          <w:bCs/>
          <w:lang w:val="hu-HU"/>
        </w:rPr>
        <w:t>Használati utasítás</w:t>
      </w:r>
      <w:r w:rsidR="00DD2856">
        <w:rPr>
          <w:rFonts w:eastAsia="Times New Roman"/>
          <w:b/>
          <w:bCs/>
          <w:lang w:val="hu-HU"/>
        </w:rPr>
        <w:t>”</w:t>
      </w:r>
      <w:r>
        <w:rPr>
          <w:rFonts w:eastAsia="Times New Roman"/>
          <w:b/>
          <w:bCs/>
          <w:lang w:val="hu-HU"/>
        </w:rPr>
        <w:t xml:space="preserve"> című pontban található</w:t>
      </w:r>
    </w:p>
    <w:p w14:paraId="501107AC" w14:textId="74D320CC" w:rsidR="00992BD3" w:rsidRDefault="00992BD3">
      <w:pPr>
        <w:pStyle w:val="a3"/>
        <w:rPr>
          <w:rFonts w:eastAsia="Times New Roman"/>
          <w:b/>
          <w:bCs/>
          <w:lang w:val="hu-HU"/>
        </w:rPr>
      </w:pPr>
    </w:p>
    <w:p w14:paraId="03332B43" w14:textId="77777777" w:rsidR="00130E8B" w:rsidRDefault="000405CC">
      <w:pPr>
        <w:pStyle w:val="a3"/>
        <w:rPr>
          <w:b/>
          <w:lang w:val="hu-HU"/>
        </w:rPr>
      </w:pPr>
      <w:r>
        <w:rPr>
          <w:rFonts w:eastAsia="Times New Roman"/>
          <w:b/>
          <w:bCs/>
          <w:lang w:val="hu-HU"/>
        </w:rPr>
        <w:t>Ha az előírtnál több Yuflyma-t alkalmazott</w:t>
      </w:r>
    </w:p>
    <w:p w14:paraId="5D0F4BF5" w14:textId="77777777" w:rsidR="00130E8B" w:rsidRDefault="00130E8B">
      <w:pPr>
        <w:pStyle w:val="a3"/>
        <w:rPr>
          <w:lang w:val="hu-HU"/>
        </w:rPr>
      </w:pPr>
    </w:p>
    <w:p w14:paraId="2EE1CCB3" w14:textId="77777777" w:rsidR="00130E8B" w:rsidRDefault="000405CC">
      <w:pPr>
        <w:pStyle w:val="a3"/>
        <w:rPr>
          <w:lang w:val="hu-HU"/>
        </w:rPr>
      </w:pPr>
      <w:r>
        <w:rPr>
          <w:rFonts w:eastAsia="Times New Roman"/>
          <w:lang w:val="hu-HU"/>
        </w:rPr>
        <w:t>Ha véletlenül a kezelőorvosa vagy gyógyszerésze által előírtnál gyakrabban alkalmazta a Yuflyma-t, azonnal beszéljen kezelőorvosával vagy gyógyszerészével.Őrizze meg a külső csomagolást, abban az esetben is, ha üres.</w:t>
      </w:r>
    </w:p>
    <w:p w14:paraId="1D76D46E" w14:textId="77777777" w:rsidR="00E91FF7" w:rsidRDefault="00E91FF7">
      <w:pPr>
        <w:spacing w:before="18" w:line="240" w:lineRule="exact"/>
        <w:rPr>
          <w:b/>
          <w:sz w:val="24"/>
          <w:szCs w:val="24"/>
          <w:lang w:val="hu-HU"/>
        </w:rPr>
      </w:pPr>
    </w:p>
    <w:p w14:paraId="11A04E5C" w14:textId="77777777" w:rsidR="00130E8B" w:rsidRDefault="000405CC">
      <w:pPr>
        <w:pStyle w:val="a3"/>
        <w:rPr>
          <w:b/>
          <w:lang w:val="hu-HU"/>
        </w:rPr>
      </w:pPr>
      <w:r>
        <w:rPr>
          <w:rFonts w:eastAsia="Times New Roman"/>
          <w:b/>
          <w:bCs/>
          <w:lang w:val="hu-HU"/>
        </w:rPr>
        <w:t>Ha elfelejtette alkalmazni a Yuflyma-t</w:t>
      </w:r>
    </w:p>
    <w:p w14:paraId="4DEADEBC" w14:textId="77777777" w:rsidR="00130E8B" w:rsidRDefault="00130E8B">
      <w:pPr>
        <w:spacing w:before="9" w:line="240" w:lineRule="exact"/>
        <w:rPr>
          <w:sz w:val="24"/>
          <w:szCs w:val="24"/>
          <w:lang w:val="hu-HU"/>
        </w:rPr>
      </w:pPr>
    </w:p>
    <w:p w14:paraId="466FBECB" w14:textId="02F82B63" w:rsidR="00130E8B" w:rsidRDefault="000405CC">
      <w:pPr>
        <w:pStyle w:val="a3"/>
        <w:rPr>
          <w:lang w:val="hu-HU"/>
        </w:rPr>
      </w:pPr>
      <w:r>
        <w:rPr>
          <w:rFonts w:eastAsia="Times New Roman"/>
          <w:lang w:val="hu-HU"/>
        </w:rPr>
        <w:t xml:space="preserve">Ha elfelejtette beadni az injekciót, adja be a következő Yuflyma adagot rögtön, amikor eszébe jutott. A </w:t>
      </w:r>
      <w:r w:rsidR="00DD2856">
        <w:rPr>
          <w:rFonts w:eastAsia="Times New Roman"/>
          <w:lang w:val="hu-HU"/>
        </w:rPr>
        <w:t>ra</w:t>
      </w:r>
      <w:r>
        <w:rPr>
          <w:rFonts w:eastAsia="Times New Roman"/>
          <w:lang w:val="hu-HU"/>
        </w:rPr>
        <w:t xml:space="preserve">következő adagot az eredeti kezelési terv alapján meghatározott napon alkalmazza, úgy mintha </w:t>
      </w:r>
      <w:r w:rsidR="00DD2856">
        <w:rPr>
          <w:rFonts w:eastAsia="Times New Roman"/>
          <w:lang w:val="hu-HU"/>
        </w:rPr>
        <w:t>a most beadott</w:t>
      </w:r>
      <w:r>
        <w:rPr>
          <w:rFonts w:eastAsia="Times New Roman"/>
          <w:lang w:val="hu-HU"/>
        </w:rPr>
        <w:t xml:space="preserve"> adagot az előírás szerinti időpontban adta volna be.</w:t>
      </w:r>
    </w:p>
    <w:p w14:paraId="47F74C2F" w14:textId="77777777" w:rsidR="00130E8B" w:rsidRDefault="00130E8B">
      <w:pPr>
        <w:spacing w:before="18" w:line="240" w:lineRule="exact"/>
        <w:rPr>
          <w:sz w:val="24"/>
          <w:szCs w:val="24"/>
          <w:lang w:val="hu-HU"/>
        </w:rPr>
      </w:pPr>
    </w:p>
    <w:p w14:paraId="75328A20" w14:textId="77777777" w:rsidR="00130E8B" w:rsidRDefault="000405CC">
      <w:pPr>
        <w:pStyle w:val="a3"/>
        <w:rPr>
          <w:b/>
          <w:lang w:val="hu-HU"/>
        </w:rPr>
      </w:pPr>
      <w:r>
        <w:rPr>
          <w:rFonts w:eastAsia="Times New Roman"/>
          <w:b/>
          <w:bCs/>
          <w:lang w:val="hu-HU"/>
        </w:rPr>
        <w:t>Ha idő előtt abbahagyja a Yuflyma alkalmazását</w:t>
      </w:r>
    </w:p>
    <w:p w14:paraId="2EE9F2C6" w14:textId="77777777" w:rsidR="00130E8B" w:rsidRDefault="00130E8B">
      <w:pPr>
        <w:spacing w:before="6" w:line="240" w:lineRule="exact"/>
        <w:rPr>
          <w:sz w:val="24"/>
          <w:szCs w:val="24"/>
          <w:lang w:val="hu-HU"/>
        </w:rPr>
      </w:pPr>
    </w:p>
    <w:p w14:paraId="6013673A" w14:textId="05A5223A" w:rsidR="00130E8B" w:rsidRDefault="000405CC">
      <w:pPr>
        <w:pStyle w:val="a3"/>
        <w:rPr>
          <w:lang w:val="hu-HU"/>
        </w:rPr>
      </w:pPr>
      <w:r>
        <w:rPr>
          <w:rFonts w:eastAsia="Times New Roman"/>
          <w:lang w:val="hu-HU"/>
        </w:rPr>
        <w:t xml:space="preserve">A </w:t>
      </w:r>
      <w:r w:rsidR="00DD2856" w:rsidRPr="004D41F4">
        <w:rPr>
          <w:rFonts w:eastAsia="Times New Roman"/>
          <w:lang w:val="hu-HU"/>
        </w:rPr>
        <w:t>döntést, hogy abbahagyja</w:t>
      </w:r>
      <w:r>
        <w:rPr>
          <w:rFonts w:eastAsia="Times New Roman"/>
          <w:lang w:val="hu-HU"/>
        </w:rPr>
        <w:t xml:space="preserve"> a Yuflyma alkalmazását, meg kell beszélni</w:t>
      </w:r>
      <w:r w:rsidR="00DD2856">
        <w:rPr>
          <w:rFonts w:eastAsia="Times New Roman"/>
          <w:lang w:val="hu-HU"/>
        </w:rPr>
        <w:t>e</w:t>
      </w:r>
      <w:r>
        <w:rPr>
          <w:rFonts w:eastAsia="Times New Roman"/>
          <w:lang w:val="hu-HU"/>
        </w:rPr>
        <w:t xml:space="preserve"> a kezelőorvosával. Tünetei visszatérhetnek, ha abbahagyja a Yuflyma alkalmazását.</w:t>
      </w:r>
    </w:p>
    <w:p w14:paraId="636BF8FB" w14:textId="77777777" w:rsidR="00130E8B" w:rsidRDefault="00130E8B">
      <w:pPr>
        <w:spacing w:before="12" w:line="240" w:lineRule="exact"/>
        <w:rPr>
          <w:sz w:val="24"/>
          <w:szCs w:val="24"/>
          <w:lang w:val="hu-HU"/>
        </w:rPr>
      </w:pPr>
    </w:p>
    <w:p w14:paraId="403B9804" w14:textId="77777777" w:rsidR="00130E8B" w:rsidRDefault="000405CC">
      <w:pPr>
        <w:pStyle w:val="a3"/>
        <w:rPr>
          <w:lang w:val="hu-HU"/>
        </w:rPr>
      </w:pPr>
      <w:r>
        <w:rPr>
          <w:rFonts w:eastAsia="Times New Roman"/>
          <w:lang w:val="hu-HU"/>
        </w:rPr>
        <w:t xml:space="preserve">Ha bármilyen további kérdése van a gyógyszer alkalmazásával kapcsolatban, kérdezze meg kezelőorvosát </w:t>
      </w:r>
      <w:r>
        <w:rPr>
          <w:rFonts w:eastAsia="Times New Roman"/>
          <w:lang w:val="hu-HU"/>
        </w:rPr>
        <w:lastRenderedPageBreak/>
        <w:t>vagy gyógyszerészét.</w:t>
      </w:r>
    </w:p>
    <w:p w14:paraId="49439B55" w14:textId="77777777" w:rsidR="00130E8B" w:rsidRDefault="00130E8B">
      <w:pPr>
        <w:spacing w:line="110" w:lineRule="exact"/>
        <w:rPr>
          <w:sz w:val="11"/>
          <w:szCs w:val="11"/>
          <w:lang w:val="hu-HU"/>
        </w:rPr>
      </w:pPr>
    </w:p>
    <w:p w14:paraId="41AAE977" w14:textId="77777777" w:rsidR="00130E8B" w:rsidRDefault="00130E8B">
      <w:pPr>
        <w:spacing w:line="200" w:lineRule="exact"/>
        <w:rPr>
          <w:sz w:val="20"/>
          <w:szCs w:val="20"/>
          <w:lang w:val="hu-HU"/>
        </w:rPr>
      </w:pPr>
    </w:p>
    <w:p w14:paraId="54CB4F0C" w14:textId="77777777" w:rsidR="00130E8B" w:rsidRDefault="000405CC">
      <w:pPr>
        <w:pStyle w:val="a4"/>
        <w:numPr>
          <w:ilvl w:val="0"/>
          <w:numId w:val="32"/>
        </w:numPr>
        <w:spacing w:before="18" w:line="240" w:lineRule="exact"/>
        <w:ind w:left="357" w:hanging="357"/>
        <w:rPr>
          <w:rFonts w:ascii="Times New Roman" w:hAnsi="Times New Roman" w:cs="Times New Roman"/>
          <w:b/>
          <w:lang w:val="hu-HU"/>
        </w:rPr>
      </w:pPr>
      <w:r>
        <w:rPr>
          <w:rFonts w:ascii="Times New Roman" w:eastAsia="Times New Roman" w:hAnsi="Times New Roman" w:cs="Times New Roman"/>
          <w:b/>
          <w:bCs/>
          <w:lang w:val="hu-HU"/>
        </w:rPr>
        <w:t>Lehetséges mellékhatások</w:t>
      </w:r>
    </w:p>
    <w:p w14:paraId="16A470E1" w14:textId="77777777" w:rsidR="00130E8B" w:rsidRDefault="00130E8B">
      <w:pPr>
        <w:spacing w:before="12" w:line="240" w:lineRule="exact"/>
        <w:rPr>
          <w:sz w:val="24"/>
          <w:szCs w:val="24"/>
          <w:lang w:val="hu-HU"/>
        </w:rPr>
      </w:pPr>
    </w:p>
    <w:p w14:paraId="3D8B2255" w14:textId="77777777" w:rsidR="00130E8B" w:rsidRDefault="000405CC">
      <w:pPr>
        <w:pStyle w:val="a3"/>
        <w:rPr>
          <w:lang w:val="hu-HU"/>
        </w:rPr>
      </w:pPr>
      <w:r>
        <w:rPr>
          <w:rFonts w:eastAsia="Times New Roman"/>
          <w:lang w:val="hu-HU"/>
        </w:rPr>
        <w:t>Mint minden gyógyszer, így ez a gyógyszer is okozhat mellékhatásokat, amelyek azonban nem mindenkinél jelentkeznek. A legtöbb mellékhatás enyhe vagy közepes fokú. Néhány esetben kezelést igénylő, súlyos mellékhatás is előfordulhat. Mellékhatások az utolsó Yuflyma injekciótkövetően legalább 4 hónapig még bekövetkezhetnek.</w:t>
      </w:r>
    </w:p>
    <w:p w14:paraId="1DB0F25E" w14:textId="77777777" w:rsidR="00130E8B" w:rsidRDefault="00130E8B">
      <w:pPr>
        <w:spacing w:before="15" w:line="240" w:lineRule="exact"/>
        <w:rPr>
          <w:sz w:val="24"/>
          <w:szCs w:val="24"/>
          <w:lang w:val="hu-HU"/>
        </w:rPr>
      </w:pPr>
    </w:p>
    <w:p w14:paraId="284ED1AC" w14:textId="39833025" w:rsidR="00130E8B" w:rsidRDefault="000405CC">
      <w:pPr>
        <w:pStyle w:val="a3"/>
        <w:rPr>
          <w:b/>
          <w:lang w:val="hu-HU"/>
        </w:rPr>
      </w:pPr>
      <w:r>
        <w:rPr>
          <w:rFonts w:eastAsia="Times New Roman"/>
          <w:b/>
          <w:bCs/>
          <w:lang w:val="hu-HU"/>
        </w:rPr>
        <w:t>Közölje azonnal kezelőorvosával, ha az alábbiak közül bármit észlel</w:t>
      </w:r>
    </w:p>
    <w:p w14:paraId="72CE7EEF" w14:textId="77777777" w:rsidR="00130E8B" w:rsidRDefault="00130E8B">
      <w:pPr>
        <w:spacing w:before="10" w:line="240" w:lineRule="exact"/>
        <w:rPr>
          <w:sz w:val="24"/>
          <w:szCs w:val="24"/>
          <w:lang w:val="hu-HU"/>
        </w:rPr>
      </w:pPr>
    </w:p>
    <w:p w14:paraId="76E893A7" w14:textId="77777777" w:rsidR="00130E8B" w:rsidRDefault="000405CC">
      <w:pPr>
        <w:pStyle w:val="a3"/>
        <w:numPr>
          <w:ilvl w:val="0"/>
          <w:numId w:val="15"/>
        </w:numPr>
        <w:ind w:left="660" w:hanging="660"/>
        <w:rPr>
          <w:lang w:val="hu-HU"/>
        </w:rPr>
      </w:pPr>
      <w:r>
        <w:rPr>
          <w:rFonts w:eastAsia="Times New Roman"/>
          <w:lang w:val="hu-HU"/>
        </w:rPr>
        <w:t xml:space="preserve">súlyos </w:t>
      </w:r>
      <w:r w:rsidR="00245908">
        <w:rPr>
          <w:rFonts w:eastAsia="Times New Roman"/>
          <w:lang w:val="hu-HU"/>
        </w:rPr>
        <w:t>bőr</w:t>
      </w:r>
      <w:r>
        <w:rPr>
          <w:rFonts w:eastAsia="Times New Roman"/>
          <w:lang w:val="hu-HU"/>
        </w:rPr>
        <w:t>kiütés, csalánkiütés vagy más allergiára utaló tünet</w:t>
      </w:r>
    </w:p>
    <w:p w14:paraId="53755F2F" w14:textId="673B625C" w:rsidR="00130E8B" w:rsidRDefault="000405CC">
      <w:pPr>
        <w:pStyle w:val="a3"/>
        <w:numPr>
          <w:ilvl w:val="0"/>
          <w:numId w:val="15"/>
        </w:numPr>
        <w:ind w:left="660" w:hanging="660"/>
        <w:rPr>
          <w:lang w:val="hu-HU"/>
        </w:rPr>
      </w:pPr>
      <w:r>
        <w:rPr>
          <w:rFonts w:eastAsia="Times New Roman"/>
          <w:lang w:val="hu-HU"/>
        </w:rPr>
        <w:t xml:space="preserve">duzzanat az arcon, </w:t>
      </w:r>
      <w:proofErr w:type="spellStart"/>
      <w:r w:rsidR="0050547A" w:rsidRPr="00167BF3">
        <w:rPr>
          <w:lang w:val="es-ES"/>
        </w:rPr>
        <w:t>kézen</w:t>
      </w:r>
      <w:proofErr w:type="spellEnd"/>
      <w:r w:rsidR="0050547A" w:rsidRPr="00167BF3">
        <w:rPr>
          <w:lang w:val="es-ES"/>
        </w:rPr>
        <w:t xml:space="preserve"> </w:t>
      </w:r>
      <w:proofErr w:type="spellStart"/>
      <w:r w:rsidR="0050547A" w:rsidRPr="00167BF3">
        <w:rPr>
          <w:lang w:val="es-ES"/>
        </w:rPr>
        <w:t>vagy</w:t>
      </w:r>
      <w:proofErr w:type="spellEnd"/>
      <w:r w:rsidR="0050547A" w:rsidRPr="00167BF3">
        <w:rPr>
          <w:lang w:val="es-ES"/>
        </w:rPr>
        <w:t xml:space="preserve"> </w:t>
      </w:r>
      <w:proofErr w:type="spellStart"/>
      <w:r w:rsidR="0050547A" w:rsidRPr="00167BF3">
        <w:rPr>
          <w:lang w:val="es-ES"/>
        </w:rPr>
        <w:t>lábon</w:t>
      </w:r>
      <w:proofErr w:type="spellEnd"/>
    </w:p>
    <w:p w14:paraId="58D16F1B" w14:textId="77777777" w:rsidR="00130E8B" w:rsidRDefault="000405CC">
      <w:pPr>
        <w:pStyle w:val="a3"/>
        <w:numPr>
          <w:ilvl w:val="0"/>
          <w:numId w:val="15"/>
        </w:numPr>
        <w:ind w:left="660" w:hanging="660"/>
        <w:rPr>
          <w:lang w:val="hu-HU"/>
        </w:rPr>
      </w:pPr>
      <w:r>
        <w:rPr>
          <w:rFonts w:eastAsia="Times New Roman"/>
          <w:lang w:val="hu-HU"/>
        </w:rPr>
        <w:t>nehézlégzés vagy nehézség a nyelés során</w:t>
      </w:r>
    </w:p>
    <w:p w14:paraId="75A04143" w14:textId="77777777" w:rsidR="00130E8B" w:rsidRDefault="000405CC">
      <w:pPr>
        <w:pStyle w:val="a3"/>
        <w:numPr>
          <w:ilvl w:val="0"/>
          <w:numId w:val="15"/>
        </w:numPr>
        <w:ind w:left="660" w:hanging="660"/>
        <w:rPr>
          <w:lang w:val="hu-HU"/>
        </w:rPr>
      </w:pPr>
      <w:r>
        <w:rPr>
          <w:rFonts w:eastAsia="Times New Roman"/>
          <w:lang w:val="hu-HU"/>
        </w:rPr>
        <w:t>megerőltetéskor vagy lefekvéskor jelentkező nehézlégzés, vagy lábdagadás</w:t>
      </w:r>
    </w:p>
    <w:p w14:paraId="1FF49B1B" w14:textId="77777777" w:rsidR="00130E8B" w:rsidRDefault="00130E8B">
      <w:pPr>
        <w:spacing w:before="15" w:line="240" w:lineRule="exact"/>
        <w:rPr>
          <w:sz w:val="24"/>
          <w:szCs w:val="24"/>
          <w:lang w:val="hu-HU"/>
        </w:rPr>
      </w:pPr>
    </w:p>
    <w:p w14:paraId="05EF26B7" w14:textId="78DAC132" w:rsidR="00130E8B" w:rsidRDefault="000405CC">
      <w:pPr>
        <w:pStyle w:val="a3"/>
        <w:rPr>
          <w:b/>
          <w:lang w:val="hu-HU"/>
        </w:rPr>
      </w:pPr>
      <w:r>
        <w:rPr>
          <w:rFonts w:eastAsia="Times New Roman"/>
          <w:b/>
          <w:bCs/>
          <w:lang w:val="hu-HU"/>
        </w:rPr>
        <w:t>Közölje kezelőorvosával amint lehetséges, ha az alábbiak közül bármit észlel</w:t>
      </w:r>
    </w:p>
    <w:p w14:paraId="42ACEE08" w14:textId="77777777" w:rsidR="00130E8B" w:rsidRDefault="00130E8B">
      <w:pPr>
        <w:spacing w:before="10" w:line="240" w:lineRule="exact"/>
        <w:rPr>
          <w:sz w:val="24"/>
          <w:szCs w:val="24"/>
          <w:lang w:val="hu-HU"/>
        </w:rPr>
      </w:pPr>
    </w:p>
    <w:p w14:paraId="7F34818B" w14:textId="77777777" w:rsidR="00130E8B" w:rsidRDefault="000405CC">
      <w:pPr>
        <w:pStyle w:val="a3"/>
        <w:numPr>
          <w:ilvl w:val="0"/>
          <w:numId w:val="15"/>
        </w:numPr>
        <w:ind w:left="660" w:hanging="660"/>
        <w:rPr>
          <w:lang w:val="hu-HU"/>
        </w:rPr>
      </w:pPr>
      <w:r>
        <w:rPr>
          <w:rFonts w:eastAsia="Times New Roman"/>
          <w:lang w:val="hu-HU"/>
        </w:rPr>
        <w:t>fertőzésre utaló tünet, mint láz, gyengeség, sebek, fogászati problémák, vizeléskor jelentkező égő érzés</w:t>
      </w:r>
    </w:p>
    <w:p w14:paraId="1C5AAD21" w14:textId="77777777" w:rsidR="00130E8B" w:rsidRDefault="000405CC">
      <w:pPr>
        <w:pStyle w:val="a3"/>
        <w:numPr>
          <w:ilvl w:val="0"/>
          <w:numId w:val="15"/>
        </w:numPr>
        <w:ind w:left="660" w:hanging="660"/>
        <w:rPr>
          <w:lang w:val="hu-HU"/>
        </w:rPr>
      </w:pPr>
      <w:r>
        <w:rPr>
          <w:rFonts w:eastAsia="Times New Roman"/>
          <w:lang w:val="hu-HU"/>
        </w:rPr>
        <w:t>gyengeség vagy fáradtságérzés</w:t>
      </w:r>
    </w:p>
    <w:p w14:paraId="5DB099BD" w14:textId="77777777" w:rsidR="00130E8B" w:rsidRDefault="000405CC">
      <w:pPr>
        <w:pStyle w:val="a3"/>
        <w:numPr>
          <w:ilvl w:val="0"/>
          <w:numId w:val="15"/>
        </w:numPr>
        <w:ind w:left="660" w:hanging="660"/>
        <w:rPr>
          <w:lang w:val="hu-HU"/>
        </w:rPr>
      </w:pPr>
      <w:r>
        <w:rPr>
          <w:rFonts w:eastAsia="Times New Roman"/>
          <w:lang w:val="hu-HU"/>
        </w:rPr>
        <w:t>köhögés</w:t>
      </w:r>
    </w:p>
    <w:p w14:paraId="5B06BDD4" w14:textId="77777777" w:rsidR="00130E8B" w:rsidRDefault="000405CC">
      <w:pPr>
        <w:pStyle w:val="a3"/>
        <w:numPr>
          <w:ilvl w:val="0"/>
          <w:numId w:val="15"/>
        </w:numPr>
        <w:ind w:left="660" w:hanging="660"/>
        <w:rPr>
          <w:lang w:val="hu-HU"/>
        </w:rPr>
      </w:pPr>
      <w:r>
        <w:rPr>
          <w:rFonts w:eastAsia="Times New Roman"/>
          <w:lang w:val="hu-HU"/>
        </w:rPr>
        <w:t>fülzúgás</w:t>
      </w:r>
    </w:p>
    <w:p w14:paraId="2CAD4383" w14:textId="0EB3B06B" w:rsidR="00130E8B" w:rsidRDefault="003D5CD5">
      <w:pPr>
        <w:pStyle w:val="a3"/>
        <w:numPr>
          <w:ilvl w:val="0"/>
          <w:numId w:val="15"/>
        </w:numPr>
        <w:ind w:left="660" w:hanging="660"/>
        <w:rPr>
          <w:lang w:val="hu-HU"/>
        </w:rPr>
      </w:pPr>
      <w:r>
        <w:rPr>
          <w:rFonts w:eastAsia="Times New Roman"/>
          <w:lang w:val="hu-HU"/>
        </w:rPr>
        <w:t>zsibbadás</w:t>
      </w:r>
    </w:p>
    <w:p w14:paraId="0E03B5BC" w14:textId="77777777" w:rsidR="00130E8B" w:rsidRDefault="000405CC">
      <w:pPr>
        <w:pStyle w:val="a3"/>
        <w:numPr>
          <w:ilvl w:val="0"/>
          <w:numId w:val="15"/>
        </w:numPr>
        <w:ind w:left="660" w:hanging="660"/>
        <w:rPr>
          <w:lang w:val="hu-HU"/>
        </w:rPr>
      </w:pPr>
      <w:r>
        <w:rPr>
          <w:rFonts w:eastAsia="Times New Roman"/>
          <w:lang w:val="hu-HU"/>
        </w:rPr>
        <w:t>kettőslátás</w:t>
      </w:r>
    </w:p>
    <w:p w14:paraId="3F5FA92A" w14:textId="77777777" w:rsidR="00130E8B" w:rsidRDefault="000405CC">
      <w:pPr>
        <w:pStyle w:val="a3"/>
        <w:numPr>
          <w:ilvl w:val="0"/>
          <w:numId w:val="15"/>
        </w:numPr>
        <w:ind w:left="660" w:hanging="660"/>
        <w:rPr>
          <w:lang w:val="hu-HU"/>
        </w:rPr>
      </w:pPr>
      <w:r>
        <w:rPr>
          <w:rFonts w:eastAsia="Times New Roman"/>
          <w:lang w:val="hu-HU"/>
        </w:rPr>
        <w:t>kar- vagy lábgyengeség</w:t>
      </w:r>
    </w:p>
    <w:p w14:paraId="5C3AB109" w14:textId="77777777" w:rsidR="00D71745" w:rsidRDefault="00D71745" w:rsidP="00D71745">
      <w:pPr>
        <w:pStyle w:val="a3"/>
        <w:numPr>
          <w:ilvl w:val="0"/>
          <w:numId w:val="15"/>
        </w:numPr>
        <w:ind w:left="660" w:hanging="660"/>
        <w:rPr>
          <w:lang w:val="hu-HU"/>
        </w:rPr>
      </w:pPr>
      <w:r>
        <w:rPr>
          <w:rFonts w:eastAsia="Times New Roman"/>
          <w:lang w:val="hu-HU"/>
        </w:rPr>
        <w:t>duzzanat vagy nyílt fekély, amelyik nem gyógyúl</w:t>
      </w:r>
    </w:p>
    <w:p w14:paraId="42244A17" w14:textId="77777777" w:rsidR="00130E8B" w:rsidRDefault="000405CC">
      <w:pPr>
        <w:pStyle w:val="a3"/>
        <w:numPr>
          <w:ilvl w:val="0"/>
          <w:numId w:val="15"/>
        </w:numPr>
        <w:ind w:left="660" w:hanging="660"/>
        <w:rPr>
          <w:lang w:val="hu-HU"/>
        </w:rPr>
      </w:pPr>
      <w:r>
        <w:rPr>
          <w:rFonts w:eastAsia="Times New Roman"/>
          <w:lang w:val="hu-HU"/>
        </w:rPr>
        <w:t>vérképzőszervi rendellenességre utaló jelek és tünetek, például tartós láz, véraláfutás, vérzés, sápadtság</w:t>
      </w:r>
    </w:p>
    <w:p w14:paraId="053B262E" w14:textId="77777777" w:rsidR="00130E8B" w:rsidRDefault="00130E8B">
      <w:pPr>
        <w:pStyle w:val="a3"/>
        <w:numPr>
          <w:ilvl w:val="0"/>
          <w:numId w:val="0"/>
        </w:numPr>
        <w:ind w:left="660"/>
        <w:rPr>
          <w:lang w:val="hu-HU"/>
        </w:rPr>
      </w:pPr>
    </w:p>
    <w:p w14:paraId="493473AC" w14:textId="77777777" w:rsidR="00130E8B" w:rsidRDefault="000405CC">
      <w:pPr>
        <w:pStyle w:val="a3"/>
        <w:rPr>
          <w:lang w:val="hu-HU"/>
        </w:rPr>
      </w:pPr>
      <w:r>
        <w:rPr>
          <w:rFonts w:eastAsia="Times New Roman"/>
          <w:lang w:val="hu-HU"/>
        </w:rPr>
        <w:t>A fent leírt tünetek az alábbiakban felsorolt mellékhatások jelei is lehetnek, melyeket a Yuflyma alkalmazása során észleltek:</w:t>
      </w:r>
    </w:p>
    <w:p w14:paraId="7C4679D4" w14:textId="77777777" w:rsidR="00130E8B" w:rsidRDefault="00130E8B">
      <w:pPr>
        <w:spacing w:before="10" w:line="240" w:lineRule="exact"/>
        <w:rPr>
          <w:sz w:val="24"/>
          <w:szCs w:val="24"/>
          <w:lang w:val="hu-HU"/>
        </w:rPr>
      </w:pPr>
    </w:p>
    <w:p w14:paraId="36BCACE2" w14:textId="77777777" w:rsidR="00130E8B" w:rsidRDefault="000405CC">
      <w:pPr>
        <w:pStyle w:val="a3"/>
        <w:rPr>
          <w:lang w:val="hu-HU"/>
        </w:rPr>
      </w:pPr>
      <w:r>
        <w:rPr>
          <w:rFonts w:eastAsia="Times New Roman"/>
          <w:b/>
          <w:bCs/>
          <w:lang w:val="hu-HU"/>
        </w:rPr>
        <w:t xml:space="preserve">Nagyon gyakori </w:t>
      </w:r>
      <w:r>
        <w:rPr>
          <w:rFonts w:eastAsia="Times New Roman"/>
          <w:lang w:val="hu-HU"/>
        </w:rPr>
        <w:t>(10 beteg közül több mint 1-nél kialakuló)</w:t>
      </w:r>
    </w:p>
    <w:p w14:paraId="7F411F1B" w14:textId="77777777" w:rsidR="00130E8B" w:rsidRDefault="00130E8B">
      <w:pPr>
        <w:spacing w:before="14" w:line="240" w:lineRule="exact"/>
        <w:rPr>
          <w:sz w:val="24"/>
          <w:szCs w:val="24"/>
          <w:lang w:val="hu-HU"/>
        </w:rPr>
      </w:pPr>
    </w:p>
    <w:p w14:paraId="00535A2E" w14:textId="77777777" w:rsidR="00130E8B" w:rsidRDefault="000405CC">
      <w:pPr>
        <w:pStyle w:val="a3"/>
        <w:numPr>
          <w:ilvl w:val="0"/>
          <w:numId w:val="15"/>
        </w:numPr>
        <w:ind w:left="660" w:hanging="660"/>
        <w:rPr>
          <w:lang w:val="hu-HU"/>
        </w:rPr>
      </w:pPr>
      <w:r>
        <w:rPr>
          <w:rFonts w:eastAsia="Times New Roman"/>
          <w:lang w:val="hu-HU"/>
        </w:rPr>
        <w:t>helyi reakció az injekció beadásának helyén (beleértve fájdalom, duzzadás, vörösség vagy viszketés)</w:t>
      </w:r>
    </w:p>
    <w:p w14:paraId="18B7447F" w14:textId="77777777" w:rsidR="00130E8B" w:rsidRDefault="000405CC">
      <w:pPr>
        <w:pStyle w:val="a3"/>
        <w:numPr>
          <w:ilvl w:val="0"/>
          <w:numId w:val="15"/>
        </w:numPr>
        <w:ind w:left="660" w:hanging="660"/>
        <w:rPr>
          <w:lang w:val="hu-HU"/>
        </w:rPr>
      </w:pPr>
      <w:r>
        <w:rPr>
          <w:rFonts w:eastAsia="Times New Roman"/>
          <w:lang w:val="hu-HU"/>
        </w:rPr>
        <w:t>légúti fertőzések (beleértve a megfázást, orrfolyást, melléküreg-gyulladást, tüdőgyulladást is</w:t>
      </w:r>
    </w:p>
    <w:p w14:paraId="49CB6EF0" w14:textId="77777777" w:rsidR="00130E8B" w:rsidRDefault="000405CC">
      <w:pPr>
        <w:pStyle w:val="a3"/>
        <w:numPr>
          <w:ilvl w:val="0"/>
          <w:numId w:val="15"/>
        </w:numPr>
        <w:ind w:left="660" w:hanging="660"/>
        <w:rPr>
          <w:lang w:val="hu-HU"/>
        </w:rPr>
      </w:pPr>
      <w:r>
        <w:rPr>
          <w:rFonts w:eastAsia="Times New Roman"/>
          <w:lang w:val="hu-HU"/>
        </w:rPr>
        <w:t>fejfájás</w:t>
      </w:r>
    </w:p>
    <w:p w14:paraId="1C6BDB3E" w14:textId="77777777" w:rsidR="00130E8B" w:rsidRDefault="000405CC">
      <w:pPr>
        <w:pStyle w:val="a3"/>
        <w:numPr>
          <w:ilvl w:val="0"/>
          <w:numId w:val="15"/>
        </w:numPr>
        <w:ind w:left="660" w:hanging="660"/>
        <w:rPr>
          <w:lang w:val="hu-HU"/>
        </w:rPr>
      </w:pPr>
      <w:r>
        <w:rPr>
          <w:rFonts w:eastAsia="Times New Roman"/>
          <w:lang w:val="hu-HU"/>
        </w:rPr>
        <w:t>hasi fájdalom</w:t>
      </w:r>
    </w:p>
    <w:p w14:paraId="70C68E58" w14:textId="77777777" w:rsidR="00130E8B" w:rsidRDefault="000405CC">
      <w:pPr>
        <w:pStyle w:val="a3"/>
        <w:numPr>
          <w:ilvl w:val="0"/>
          <w:numId w:val="15"/>
        </w:numPr>
        <w:ind w:left="660" w:hanging="660"/>
        <w:rPr>
          <w:lang w:val="hu-HU"/>
        </w:rPr>
      </w:pPr>
      <w:r>
        <w:rPr>
          <w:rFonts w:eastAsia="Times New Roman"/>
          <w:lang w:val="hu-HU"/>
        </w:rPr>
        <w:t>hányinger és hányás</w:t>
      </w:r>
    </w:p>
    <w:p w14:paraId="0C4FC859" w14:textId="77777777" w:rsidR="00130E8B" w:rsidRDefault="000405CC">
      <w:pPr>
        <w:pStyle w:val="a3"/>
        <w:numPr>
          <w:ilvl w:val="0"/>
          <w:numId w:val="15"/>
        </w:numPr>
        <w:ind w:left="660" w:hanging="660"/>
        <w:rPr>
          <w:lang w:val="hu-HU"/>
        </w:rPr>
      </w:pPr>
      <w:r>
        <w:rPr>
          <w:rFonts w:eastAsia="Times New Roman"/>
          <w:lang w:val="hu-HU"/>
        </w:rPr>
        <w:t>bőrkiütés</w:t>
      </w:r>
    </w:p>
    <w:p w14:paraId="6BC5B3E7" w14:textId="77777777" w:rsidR="00DC37D0" w:rsidRDefault="00DC37D0" w:rsidP="00DC37D0">
      <w:pPr>
        <w:pStyle w:val="a3"/>
        <w:numPr>
          <w:ilvl w:val="0"/>
          <w:numId w:val="15"/>
        </w:numPr>
        <w:ind w:left="660" w:hanging="660"/>
        <w:rPr>
          <w:lang w:val="hu-HU"/>
        </w:rPr>
      </w:pPr>
      <w:r>
        <w:rPr>
          <w:lang w:val="hu-HU"/>
        </w:rPr>
        <w:t>izomfájdalom.</w:t>
      </w:r>
    </w:p>
    <w:p w14:paraId="2C77907E" w14:textId="77777777" w:rsidR="00130E8B" w:rsidRDefault="00130E8B">
      <w:pPr>
        <w:spacing w:before="9" w:line="220" w:lineRule="exact"/>
        <w:rPr>
          <w:lang w:val="hu-HU"/>
        </w:rPr>
      </w:pPr>
    </w:p>
    <w:p w14:paraId="01EEF211" w14:textId="2B1EB376" w:rsidR="00130E8B" w:rsidRDefault="000405CC">
      <w:pPr>
        <w:pStyle w:val="a3"/>
        <w:rPr>
          <w:lang w:val="hu-HU"/>
        </w:rPr>
      </w:pPr>
      <w:r>
        <w:rPr>
          <w:rFonts w:eastAsia="Times New Roman"/>
          <w:b/>
          <w:bCs/>
          <w:lang w:val="hu-HU"/>
        </w:rPr>
        <w:t xml:space="preserve">Gyakori </w:t>
      </w:r>
      <w:r>
        <w:rPr>
          <w:rFonts w:eastAsia="Times New Roman"/>
          <w:lang w:val="hu-HU"/>
        </w:rPr>
        <w:t xml:space="preserve">(10 beteg közül </w:t>
      </w:r>
      <w:r w:rsidR="00DD2856" w:rsidRPr="004D41F4">
        <w:rPr>
          <w:rFonts w:eastAsia="Times New Roman"/>
          <w:lang w:val="hu-HU"/>
        </w:rPr>
        <w:t>legfeljebb</w:t>
      </w:r>
      <w:r>
        <w:rPr>
          <w:rFonts w:eastAsia="Times New Roman"/>
          <w:lang w:val="hu-HU"/>
        </w:rPr>
        <w:t xml:space="preserve"> 1-nél kialakuló)</w:t>
      </w:r>
    </w:p>
    <w:p w14:paraId="46C923CF" w14:textId="77777777" w:rsidR="00130E8B" w:rsidRDefault="00130E8B">
      <w:pPr>
        <w:spacing w:before="14" w:line="240" w:lineRule="exact"/>
        <w:rPr>
          <w:sz w:val="24"/>
          <w:szCs w:val="24"/>
          <w:lang w:val="hu-HU"/>
        </w:rPr>
      </w:pPr>
    </w:p>
    <w:p w14:paraId="2D6F876E" w14:textId="77777777" w:rsidR="00130E8B" w:rsidRDefault="000405CC">
      <w:pPr>
        <w:pStyle w:val="a3"/>
        <w:numPr>
          <w:ilvl w:val="0"/>
          <w:numId w:val="15"/>
        </w:numPr>
        <w:ind w:left="660" w:hanging="660"/>
        <w:rPr>
          <w:lang w:val="hu-HU"/>
        </w:rPr>
      </w:pPr>
      <w:r>
        <w:rPr>
          <w:rFonts w:eastAsia="Times New Roman"/>
          <w:lang w:val="hu-HU"/>
        </w:rPr>
        <w:t>súlyos fertőzések (beleértve a vérmérgezést és az influenzát is)</w:t>
      </w:r>
    </w:p>
    <w:p w14:paraId="2AAB5F87" w14:textId="77777777" w:rsidR="00130E8B" w:rsidRDefault="000405CC">
      <w:pPr>
        <w:pStyle w:val="a3"/>
        <w:numPr>
          <w:ilvl w:val="0"/>
          <w:numId w:val="15"/>
        </w:numPr>
        <w:ind w:left="660" w:hanging="660"/>
        <w:rPr>
          <w:lang w:val="hu-HU"/>
        </w:rPr>
      </w:pPr>
      <w:r>
        <w:rPr>
          <w:rFonts w:eastAsia="Times New Roman"/>
          <w:lang w:val="hu-HU"/>
        </w:rPr>
        <w:t>bélfertőzések (beleértve a gyomor-bélgyulladást is),</w:t>
      </w:r>
    </w:p>
    <w:p w14:paraId="0B7C8C59" w14:textId="77777777" w:rsidR="00130E8B" w:rsidRDefault="000405CC">
      <w:pPr>
        <w:pStyle w:val="a3"/>
        <w:numPr>
          <w:ilvl w:val="0"/>
          <w:numId w:val="15"/>
        </w:numPr>
        <w:ind w:left="660" w:hanging="660"/>
        <w:rPr>
          <w:lang w:val="hu-HU"/>
        </w:rPr>
      </w:pPr>
      <w:r>
        <w:rPr>
          <w:rFonts w:eastAsia="Times New Roman"/>
          <w:lang w:val="hu-HU"/>
        </w:rPr>
        <w:t>bőrfertőzések (beleértve a kötőszövet-gyulladást és az övsömört is)</w:t>
      </w:r>
    </w:p>
    <w:p w14:paraId="4420DEB1" w14:textId="77777777" w:rsidR="00130E8B" w:rsidRDefault="000405CC">
      <w:pPr>
        <w:pStyle w:val="a3"/>
        <w:numPr>
          <w:ilvl w:val="0"/>
          <w:numId w:val="15"/>
        </w:numPr>
        <w:ind w:left="660" w:hanging="660"/>
        <w:rPr>
          <w:lang w:val="hu-HU"/>
        </w:rPr>
      </w:pPr>
      <w:r>
        <w:rPr>
          <w:rFonts w:eastAsia="Times New Roman"/>
          <w:lang w:val="hu-HU"/>
        </w:rPr>
        <w:t>fülfertőzések</w:t>
      </w:r>
    </w:p>
    <w:p w14:paraId="3C0BF428" w14:textId="77777777" w:rsidR="00130E8B" w:rsidRDefault="000405CC">
      <w:pPr>
        <w:pStyle w:val="a3"/>
        <w:numPr>
          <w:ilvl w:val="0"/>
          <w:numId w:val="15"/>
        </w:numPr>
        <w:ind w:left="660" w:hanging="660"/>
        <w:rPr>
          <w:lang w:val="hu-HU"/>
        </w:rPr>
      </w:pPr>
      <w:r>
        <w:rPr>
          <w:rFonts w:eastAsia="Times New Roman"/>
          <w:lang w:val="hu-HU"/>
        </w:rPr>
        <w:t>szájüregi fertőzések (beleértve a fogfertőzéseket és az ajakherpeszt is)</w:t>
      </w:r>
    </w:p>
    <w:p w14:paraId="31A283CA" w14:textId="77777777" w:rsidR="00130E8B" w:rsidRDefault="000405CC">
      <w:pPr>
        <w:pStyle w:val="a3"/>
        <w:numPr>
          <w:ilvl w:val="0"/>
          <w:numId w:val="15"/>
        </w:numPr>
        <w:ind w:left="660" w:hanging="660"/>
        <w:rPr>
          <w:lang w:val="hu-HU"/>
        </w:rPr>
      </w:pPr>
      <w:r>
        <w:rPr>
          <w:rFonts w:eastAsia="Times New Roman"/>
          <w:lang w:val="hu-HU"/>
        </w:rPr>
        <w:t>nemi szervek fertőzései</w:t>
      </w:r>
    </w:p>
    <w:p w14:paraId="42A6AD61" w14:textId="77777777" w:rsidR="00130E8B" w:rsidRDefault="000405CC">
      <w:pPr>
        <w:pStyle w:val="a3"/>
        <w:numPr>
          <w:ilvl w:val="0"/>
          <w:numId w:val="15"/>
        </w:numPr>
        <w:ind w:left="660" w:hanging="660"/>
        <w:rPr>
          <w:lang w:val="hu-HU"/>
        </w:rPr>
      </w:pPr>
      <w:r>
        <w:rPr>
          <w:rFonts w:eastAsia="Times New Roman"/>
          <w:lang w:val="hu-HU"/>
        </w:rPr>
        <w:t>húgyúti fertőzés</w:t>
      </w:r>
    </w:p>
    <w:p w14:paraId="0F5649A5" w14:textId="77777777" w:rsidR="00130E8B" w:rsidRDefault="000405CC">
      <w:pPr>
        <w:pStyle w:val="a3"/>
        <w:numPr>
          <w:ilvl w:val="0"/>
          <w:numId w:val="15"/>
        </w:numPr>
        <w:ind w:left="660" w:hanging="660"/>
        <w:rPr>
          <w:lang w:val="hu-HU"/>
        </w:rPr>
      </w:pPr>
      <w:r>
        <w:rPr>
          <w:rFonts w:eastAsia="Times New Roman"/>
          <w:lang w:val="hu-HU"/>
        </w:rPr>
        <w:lastRenderedPageBreak/>
        <w:t>gombás fertőzések</w:t>
      </w:r>
    </w:p>
    <w:p w14:paraId="7C53E587" w14:textId="77777777" w:rsidR="00130E8B" w:rsidRDefault="000405CC">
      <w:pPr>
        <w:pStyle w:val="a3"/>
        <w:numPr>
          <w:ilvl w:val="0"/>
          <w:numId w:val="15"/>
        </w:numPr>
        <w:ind w:left="660" w:hanging="660"/>
        <w:rPr>
          <w:lang w:val="hu-HU"/>
        </w:rPr>
      </w:pPr>
      <w:r>
        <w:rPr>
          <w:rFonts w:eastAsia="Times New Roman"/>
          <w:lang w:val="hu-HU"/>
        </w:rPr>
        <w:t>ízületi fertőzések</w:t>
      </w:r>
    </w:p>
    <w:p w14:paraId="39995ACA" w14:textId="77777777" w:rsidR="00130E8B" w:rsidRDefault="000405CC">
      <w:pPr>
        <w:pStyle w:val="a3"/>
        <w:numPr>
          <w:ilvl w:val="0"/>
          <w:numId w:val="15"/>
        </w:numPr>
        <w:ind w:left="660" w:hanging="660"/>
        <w:rPr>
          <w:lang w:val="hu-HU"/>
        </w:rPr>
      </w:pPr>
      <w:r>
        <w:rPr>
          <w:rFonts w:eastAsia="Times New Roman"/>
          <w:lang w:val="hu-HU"/>
        </w:rPr>
        <w:t>jóindulatú daganatok</w:t>
      </w:r>
    </w:p>
    <w:p w14:paraId="4B3CBCD7" w14:textId="77777777" w:rsidR="00130E8B" w:rsidRDefault="000405CC">
      <w:pPr>
        <w:pStyle w:val="a3"/>
        <w:numPr>
          <w:ilvl w:val="0"/>
          <w:numId w:val="15"/>
        </w:numPr>
        <w:ind w:left="660" w:hanging="660"/>
        <w:rPr>
          <w:lang w:val="hu-HU"/>
        </w:rPr>
      </w:pPr>
      <w:r>
        <w:rPr>
          <w:rFonts w:eastAsia="Times New Roman"/>
          <w:lang w:val="hu-HU"/>
        </w:rPr>
        <w:t>bőrrák</w:t>
      </w:r>
    </w:p>
    <w:p w14:paraId="74256C8D" w14:textId="77777777" w:rsidR="00130E8B" w:rsidRDefault="000405CC">
      <w:pPr>
        <w:pStyle w:val="a3"/>
        <w:numPr>
          <w:ilvl w:val="0"/>
          <w:numId w:val="15"/>
        </w:numPr>
        <w:ind w:left="660" w:hanging="660"/>
        <w:rPr>
          <w:lang w:val="hu-HU"/>
        </w:rPr>
      </w:pPr>
      <w:r>
        <w:rPr>
          <w:rFonts w:eastAsia="Times New Roman"/>
          <w:lang w:val="hu-HU"/>
        </w:rPr>
        <w:t>allergiás reakciók (beleértve a szezonális allergiát)</w:t>
      </w:r>
    </w:p>
    <w:p w14:paraId="5AC2655E" w14:textId="77777777" w:rsidR="00130E8B" w:rsidRDefault="000405CC">
      <w:pPr>
        <w:pStyle w:val="a3"/>
        <w:numPr>
          <w:ilvl w:val="0"/>
          <w:numId w:val="15"/>
        </w:numPr>
        <w:ind w:left="660" w:hanging="660"/>
        <w:rPr>
          <w:lang w:val="hu-HU"/>
        </w:rPr>
      </w:pPr>
      <w:r>
        <w:rPr>
          <w:rFonts w:eastAsia="Times New Roman"/>
          <w:lang w:val="hu-HU"/>
        </w:rPr>
        <w:t>kiszáradás</w:t>
      </w:r>
    </w:p>
    <w:p w14:paraId="6EB7A2A2" w14:textId="77777777" w:rsidR="00130E8B" w:rsidRDefault="000405CC">
      <w:pPr>
        <w:pStyle w:val="a3"/>
        <w:numPr>
          <w:ilvl w:val="0"/>
          <w:numId w:val="15"/>
        </w:numPr>
        <w:ind w:left="660" w:hanging="660"/>
        <w:rPr>
          <w:lang w:val="hu-HU"/>
        </w:rPr>
      </w:pPr>
      <w:r>
        <w:rPr>
          <w:rFonts w:eastAsia="Times New Roman"/>
          <w:lang w:val="hu-HU"/>
        </w:rPr>
        <w:t>hangulatváltozás (beleértve a depressziót)</w:t>
      </w:r>
    </w:p>
    <w:p w14:paraId="15E718BD" w14:textId="77777777" w:rsidR="00130E8B" w:rsidRDefault="000405CC">
      <w:pPr>
        <w:pStyle w:val="a3"/>
        <w:numPr>
          <w:ilvl w:val="0"/>
          <w:numId w:val="15"/>
        </w:numPr>
        <w:ind w:left="660" w:hanging="660"/>
        <w:rPr>
          <w:lang w:val="hu-HU"/>
        </w:rPr>
      </w:pPr>
      <w:r>
        <w:rPr>
          <w:rFonts w:eastAsia="Times New Roman"/>
          <w:lang w:val="hu-HU"/>
        </w:rPr>
        <w:t>szorongás</w:t>
      </w:r>
    </w:p>
    <w:p w14:paraId="5DACD61D" w14:textId="77777777" w:rsidR="00130E8B" w:rsidRDefault="000405CC">
      <w:pPr>
        <w:pStyle w:val="a3"/>
        <w:numPr>
          <w:ilvl w:val="0"/>
          <w:numId w:val="15"/>
        </w:numPr>
        <w:ind w:left="660" w:hanging="660"/>
        <w:rPr>
          <w:lang w:val="hu-HU"/>
        </w:rPr>
      </w:pPr>
      <w:r>
        <w:rPr>
          <w:rFonts w:eastAsia="Times New Roman"/>
          <w:lang w:val="hu-HU"/>
        </w:rPr>
        <w:t>álmatlanság</w:t>
      </w:r>
    </w:p>
    <w:p w14:paraId="4A9EED01" w14:textId="77777777" w:rsidR="00130E8B" w:rsidRDefault="000405CC">
      <w:pPr>
        <w:pStyle w:val="a3"/>
        <w:numPr>
          <w:ilvl w:val="0"/>
          <w:numId w:val="15"/>
        </w:numPr>
        <w:ind w:left="660" w:hanging="660"/>
        <w:rPr>
          <w:lang w:val="hu-HU"/>
        </w:rPr>
      </w:pPr>
      <w:r>
        <w:rPr>
          <w:rFonts w:eastAsia="Times New Roman"/>
          <w:lang w:val="hu-HU"/>
        </w:rPr>
        <w:t>érzészavarok, például bizsergés, szurkáló érzés vagy zsibbadás</w:t>
      </w:r>
    </w:p>
    <w:p w14:paraId="4DF70A5E" w14:textId="77777777" w:rsidR="00130E8B" w:rsidRDefault="000405CC">
      <w:pPr>
        <w:pStyle w:val="a3"/>
        <w:numPr>
          <w:ilvl w:val="0"/>
          <w:numId w:val="15"/>
        </w:numPr>
        <w:ind w:left="660" w:hanging="660"/>
        <w:rPr>
          <w:lang w:val="hu-HU"/>
        </w:rPr>
      </w:pPr>
      <w:r>
        <w:rPr>
          <w:rFonts w:eastAsia="Times New Roman"/>
          <w:lang w:val="hu-HU"/>
        </w:rPr>
        <w:t>migrén</w:t>
      </w:r>
    </w:p>
    <w:p w14:paraId="19558B2C" w14:textId="77777777" w:rsidR="00130E8B" w:rsidRDefault="000405CC">
      <w:pPr>
        <w:pStyle w:val="a3"/>
        <w:numPr>
          <w:ilvl w:val="0"/>
          <w:numId w:val="15"/>
        </w:numPr>
        <w:ind w:left="660" w:hanging="660"/>
        <w:rPr>
          <w:lang w:val="hu-HU"/>
        </w:rPr>
      </w:pPr>
      <w:r>
        <w:rPr>
          <w:rFonts w:eastAsia="Times New Roman"/>
          <w:lang w:val="hu-HU"/>
        </w:rPr>
        <w:t>ideggyök nyomási tünetei (beleértve a derékfájdalmat és a lábfájást is)</w:t>
      </w:r>
    </w:p>
    <w:p w14:paraId="01C8D45B" w14:textId="77777777" w:rsidR="00130E8B" w:rsidRDefault="000405CC">
      <w:pPr>
        <w:pStyle w:val="a3"/>
        <w:numPr>
          <w:ilvl w:val="0"/>
          <w:numId w:val="15"/>
        </w:numPr>
        <w:ind w:left="660" w:hanging="660"/>
        <w:rPr>
          <w:lang w:val="hu-HU"/>
        </w:rPr>
      </w:pPr>
      <w:r>
        <w:rPr>
          <w:rFonts w:eastAsia="Times New Roman"/>
          <w:lang w:val="hu-HU"/>
        </w:rPr>
        <w:t>látászavar</w:t>
      </w:r>
    </w:p>
    <w:p w14:paraId="10875179" w14:textId="77777777" w:rsidR="00130E8B" w:rsidRDefault="000405CC">
      <w:pPr>
        <w:pStyle w:val="a3"/>
        <w:numPr>
          <w:ilvl w:val="0"/>
          <w:numId w:val="15"/>
        </w:numPr>
        <w:ind w:left="660" w:hanging="660"/>
        <w:rPr>
          <w:lang w:val="hu-HU"/>
        </w:rPr>
      </w:pPr>
      <w:r>
        <w:rPr>
          <w:rFonts w:eastAsia="Times New Roman"/>
          <w:lang w:val="hu-HU"/>
        </w:rPr>
        <w:t>szemgyulladás</w:t>
      </w:r>
    </w:p>
    <w:p w14:paraId="324D3B18" w14:textId="77777777" w:rsidR="00130E8B" w:rsidRDefault="000405CC">
      <w:pPr>
        <w:pStyle w:val="a3"/>
        <w:numPr>
          <w:ilvl w:val="0"/>
          <w:numId w:val="15"/>
        </w:numPr>
        <w:ind w:left="660" w:hanging="660"/>
        <w:rPr>
          <w:lang w:val="hu-HU"/>
        </w:rPr>
      </w:pPr>
      <w:r>
        <w:rPr>
          <w:rFonts w:eastAsia="Times New Roman"/>
          <w:lang w:val="hu-HU"/>
        </w:rPr>
        <w:t>szemhéj gyulladása és a szem duzzanata</w:t>
      </w:r>
    </w:p>
    <w:p w14:paraId="57E0D1AC" w14:textId="77777777" w:rsidR="00130E8B" w:rsidRDefault="000405CC">
      <w:pPr>
        <w:pStyle w:val="a3"/>
        <w:numPr>
          <w:ilvl w:val="0"/>
          <w:numId w:val="15"/>
        </w:numPr>
        <w:ind w:left="660" w:hanging="660"/>
        <w:rPr>
          <w:lang w:val="hu-HU"/>
        </w:rPr>
      </w:pPr>
      <w:r>
        <w:rPr>
          <w:rFonts w:eastAsia="Times New Roman"/>
          <w:lang w:val="hu-HU"/>
        </w:rPr>
        <w:t>forgó jellegű szédülés (vertigo)</w:t>
      </w:r>
    </w:p>
    <w:p w14:paraId="66D89809" w14:textId="77777777" w:rsidR="00130E8B" w:rsidRDefault="000405CC">
      <w:pPr>
        <w:pStyle w:val="a3"/>
        <w:numPr>
          <w:ilvl w:val="0"/>
          <w:numId w:val="15"/>
        </w:numPr>
        <w:ind w:left="660" w:hanging="660"/>
        <w:rPr>
          <w:lang w:val="hu-HU"/>
        </w:rPr>
      </w:pPr>
      <w:r>
        <w:rPr>
          <w:rFonts w:eastAsia="Times New Roman"/>
          <w:lang w:val="hu-HU"/>
        </w:rPr>
        <w:t>gyors szívverés érzés</w:t>
      </w:r>
    </w:p>
    <w:p w14:paraId="1E4D8855" w14:textId="77777777" w:rsidR="00130E8B" w:rsidRDefault="000405CC">
      <w:pPr>
        <w:pStyle w:val="a3"/>
        <w:numPr>
          <w:ilvl w:val="0"/>
          <w:numId w:val="15"/>
        </w:numPr>
        <w:ind w:left="660" w:hanging="660"/>
        <w:rPr>
          <w:lang w:val="hu-HU"/>
        </w:rPr>
      </w:pPr>
      <w:r>
        <w:rPr>
          <w:rFonts w:eastAsia="Times New Roman"/>
          <w:lang w:val="hu-HU"/>
        </w:rPr>
        <w:t>magas vérnyomás</w:t>
      </w:r>
    </w:p>
    <w:p w14:paraId="1F73F069" w14:textId="77777777" w:rsidR="00130E8B" w:rsidRDefault="000405CC">
      <w:pPr>
        <w:pStyle w:val="a3"/>
        <w:numPr>
          <w:ilvl w:val="0"/>
          <w:numId w:val="15"/>
        </w:numPr>
        <w:ind w:left="660" w:hanging="660"/>
        <w:rPr>
          <w:lang w:val="hu-HU"/>
        </w:rPr>
      </w:pPr>
      <w:r>
        <w:rPr>
          <w:rFonts w:eastAsia="Times New Roman"/>
          <w:lang w:val="hu-HU"/>
        </w:rPr>
        <w:t>kipirulás</w:t>
      </w:r>
    </w:p>
    <w:p w14:paraId="3DDAA338" w14:textId="77777777" w:rsidR="00130E8B" w:rsidRDefault="000405CC">
      <w:pPr>
        <w:pStyle w:val="a3"/>
        <w:numPr>
          <w:ilvl w:val="0"/>
          <w:numId w:val="15"/>
        </w:numPr>
        <w:ind w:left="660" w:hanging="660"/>
        <w:rPr>
          <w:lang w:val="hu-HU"/>
        </w:rPr>
      </w:pPr>
      <w:r>
        <w:rPr>
          <w:rFonts w:eastAsia="Times New Roman"/>
          <w:lang w:val="hu-HU"/>
        </w:rPr>
        <w:t>vérömleny (vérgyülem az ereken kívül)</w:t>
      </w:r>
    </w:p>
    <w:p w14:paraId="07B4623B" w14:textId="77777777" w:rsidR="00130E8B" w:rsidRDefault="000405CC">
      <w:pPr>
        <w:pStyle w:val="a3"/>
        <w:numPr>
          <w:ilvl w:val="0"/>
          <w:numId w:val="15"/>
        </w:numPr>
        <w:ind w:left="660" w:hanging="660"/>
        <w:rPr>
          <w:lang w:val="hu-HU"/>
        </w:rPr>
      </w:pPr>
      <w:r>
        <w:rPr>
          <w:rFonts w:eastAsia="Times New Roman"/>
          <w:lang w:val="hu-HU"/>
        </w:rPr>
        <w:t>köhögés</w:t>
      </w:r>
    </w:p>
    <w:p w14:paraId="2E291E78" w14:textId="77777777" w:rsidR="00130E8B" w:rsidRDefault="000405CC">
      <w:pPr>
        <w:pStyle w:val="a3"/>
        <w:numPr>
          <w:ilvl w:val="0"/>
          <w:numId w:val="15"/>
        </w:numPr>
        <w:ind w:left="660" w:hanging="660"/>
        <w:rPr>
          <w:lang w:val="hu-HU"/>
        </w:rPr>
      </w:pPr>
      <w:r>
        <w:rPr>
          <w:rFonts w:eastAsia="Times New Roman"/>
          <w:lang w:val="hu-HU"/>
        </w:rPr>
        <w:t>asztma</w:t>
      </w:r>
    </w:p>
    <w:p w14:paraId="7A829B6F" w14:textId="77777777" w:rsidR="00130E8B" w:rsidRDefault="000405CC">
      <w:pPr>
        <w:pStyle w:val="a3"/>
        <w:numPr>
          <w:ilvl w:val="0"/>
          <w:numId w:val="15"/>
        </w:numPr>
        <w:ind w:left="660" w:hanging="660"/>
        <w:rPr>
          <w:lang w:val="hu-HU"/>
        </w:rPr>
      </w:pPr>
      <w:r>
        <w:rPr>
          <w:rFonts w:eastAsia="Times New Roman"/>
          <w:lang w:val="hu-HU"/>
        </w:rPr>
        <w:t>légszomj</w:t>
      </w:r>
    </w:p>
    <w:p w14:paraId="7F91FA37" w14:textId="77777777" w:rsidR="00130E8B" w:rsidRDefault="000405CC">
      <w:pPr>
        <w:pStyle w:val="a3"/>
        <w:numPr>
          <w:ilvl w:val="0"/>
          <w:numId w:val="15"/>
        </w:numPr>
        <w:ind w:left="660" w:hanging="660"/>
        <w:rPr>
          <w:lang w:val="hu-HU"/>
        </w:rPr>
      </w:pPr>
      <w:r>
        <w:rPr>
          <w:rFonts w:eastAsia="Times New Roman"/>
          <w:lang w:val="hu-HU"/>
        </w:rPr>
        <w:t>tápcsatorna eredetű vérzés</w:t>
      </w:r>
    </w:p>
    <w:p w14:paraId="1E390ACA" w14:textId="77777777" w:rsidR="00130E8B" w:rsidRDefault="000405CC">
      <w:pPr>
        <w:pStyle w:val="a3"/>
        <w:numPr>
          <w:ilvl w:val="0"/>
          <w:numId w:val="15"/>
        </w:numPr>
        <w:ind w:left="660" w:hanging="660"/>
        <w:rPr>
          <w:lang w:val="hu-HU"/>
        </w:rPr>
      </w:pPr>
      <w:r>
        <w:rPr>
          <w:rFonts w:eastAsia="Times New Roman"/>
          <w:lang w:val="hu-HU"/>
        </w:rPr>
        <w:t>diszpepszia (emésztési zavar, puffadás, gyomorégés)</w:t>
      </w:r>
    </w:p>
    <w:p w14:paraId="0D5FB623" w14:textId="77777777" w:rsidR="00130E8B" w:rsidRDefault="000405CC">
      <w:pPr>
        <w:pStyle w:val="a3"/>
        <w:numPr>
          <w:ilvl w:val="0"/>
          <w:numId w:val="15"/>
        </w:numPr>
        <w:ind w:left="660" w:hanging="660"/>
        <w:rPr>
          <w:lang w:val="hu-HU"/>
        </w:rPr>
      </w:pPr>
      <w:r>
        <w:rPr>
          <w:rFonts w:eastAsia="Times New Roman"/>
          <w:lang w:val="hu-HU"/>
        </w:rPr>
        <w:t>a gyomorsav visszafolyása a nyelőcsőbe</w:t>
      </w:r>
    </w:p>
    <w:p w14:paraId="2BDB0C85" w14:textId="77777777" w:rsidR="00130E8B" w:rsidRDefault="000405CC">
      <w:pPr>
        <w:pStyle w:val="a3"/>
        <w:numPr>
          <w:ilvl w:val="0"/>
          <w:numId w:val="15"/>
        </w:numPr>
        <w:ind w:left="660" w:hanging="660"/>
        <w:rPr>
          <w:lang w:val="hu-HU"/>
        </w:rPr>
      </w:pPr>
      <w:r>
        <w:rPr>
          <w:rFonts w:eastAsia="Times New Roman"/>
          <w:lang w:val="hu-HU"/>
        </w:rPr>
        <w:t>szikka szindróma (beleértve a szemszárazságot és a szájszárazságot)</w:t>
      </w:r>
    </w:p>
    <w:p w14:paraId="0D7C1FD0" w14:textId="77777777" w:rsidR="00130E8B" w:rsidRDefault="000405CC">
      <w:pPr>
        <w:pStyle w:val="a3"/>
        <w:numPr>
          <w:ilvl w:val="0"/>
          <w:numId w:val="15"/>
        </w:numPr>
        <w:ind w:left="660" w:hanging="660"/>
        <w:rPr>
          <w:lang w:val="hu-HU"/>
        </w:rPr>
      </w:pPr>
      <w:r>
        <w:rPr>
          <w:rFonts w:eastAsia="Times New Roman"/>
          <w:lang w:val="hu-HU"/>
        </w:rPr>
        <w:t>viszketés</w:t>
      </w:r>
    </w:p>
    <w:p w14:paraId="6DDD2BB4" w14:textId="77777777" w:rsidR="00130E8B" w:rsidRDefault="000405CC">
      <w:pPr>
        <w:pStyle w:val="a3"/>
        <w:numPr>
          <w:ilvl w:val="0"/>
          <w:numId w:val="15"/>
        </w:numPr>
        <w:ind w:left="660" w:hanging="660"/>
        <w:rPr>
          <w:rFonts w:eastAsia="Times New Roman"/>
          <w:spacing w:val="-1"/>
          <w:lang w:val="hu-HU"/>
        </w:rPr>
      </w:pPr>
      <w:r>
        <w:rPr>
          <w:rFonts w:eastAsia="Times New Roman"/>
          <w:lang w:val="hu-HU"/>
        </w:rPr>
        <w:t>viszkető bőrkiütés</w:t>
      </w:r>
    </w:p>
    <w:p w14:paraId="58E27A9F" w14:textId="77777777" w:rsidR="00130E8B" w:rsidRDefault="000405CC">
      <w:pPr>
        <w:pStyle w:val="a3"/>
        <w:numPr>
          <w:ilvl w:val="0"/>
          <w:numId w:val="15"/>
        </w:numPr>
        <w:ind w:left="660" w:hanging="660"/>
        <w:rPr>
          <w:lang w:val="hu-HU"/>
        </w:rPr>
      </w:pPr>
      <w:r>
        <w:rPr>
          <w:rFonts w:eastAsia="Times New Roman"/>
          <w:lang w:val="hu-HU"/>
        </w:rPr>
        <w:t>véraláfutás</w:t>
      </w:r>
    </w:p>
    <w:p w14:paraId="038704B3" w14:textId="77777777" w:rsidR="00130E8B" w:rsidRDefault="000405CC">
      <w:pPr>
        <w:pStyle w:val="a3"/>
        <w:numPr>
          <w:ilvl w:val="0"/>
          <w:numId w:val="15"/>
        </w:numPr>
        <w:ind w:left="660" w:hanging="660"/>
        <w:rPr>
          <w:lang w:val="hu-HU"/>
        </w:rPr>
      </w:pPr>
      <w:r>
        <w:rPr>
          <w:rFonts w:eastAsia="Times New Roman"/>
          <w:lang w:val="hu-HU"/>
        </w:rPr>
        <w:t>bőrgyulladás (például ekcéma)</w:t>
      </w:r>
    </w:p>
    <w:p w14:paraId="6DCBFFD2" w14:textId="77777777" w:rsidR="00130E8B" w:rsidRDefault="000405CC">
      <w:pPr>
        <w:pStyle w:val="a3"/>
        <w:numPr>
          <w:ilvl w:val="0"/>
          <w:numId w:val="15"/>
        </w:numPr>
        <w:ind w:left="660" w:hanging="660"/>
        <w:rPr>
          <w:lang w:val="hu-HU"/>
        </w:rPr>
      </w:pPr>
      <w:r>
        <w:rPr>
          <w:rFonts w:eastAsia="Times New Roman"/>
          <w:lang w:val="hu-HU"/>
        </w:rPr>
        <w:t>a kéz- és lábujjkörmök töredezése</w:t>
      </w:r>
    </w:p>
    <w:p w14:paraId="46220F5A" w14:textId="77777777" w:rsidR="00130E8B" w:rsidRDefault="000405CC">
      <w:pPr>
        <w:pStyle w:val="a3"/>
        <w:numPr>
          <w:ilvl w:val="0"/>
          <w:numId w:val="15"/>
        </w:numPr>
        <w:ind w:left="660" w:hanging="660"/>
        <w:rPr>
          <w:lang w:val="hu-HU"/>
        </w:rPr>
      </w:pPr>
      <w:r>
        <w:rPr>
          <w:rFonts w:eastAsia="Times New Roman"/>
          <w:lang w:val="hu-HU"/>
        </w:rPr>
        <w:t>fokozott verejtékezés</w:t>
      </w:r>
    </w:p>
    <w:p w14:paraId="23B3D779" w14:textId="77777777" w:rsidR="00130E8B" w:rsidRDefault="000405CC">
      <w:pPr>
        <w:pStyle w:val="a3"/>
        <w:numPr>
          <w:ilvl w:val="0"/>
          <w:numId w:val="15"/>
        </w:numPr>
        <w:ind w:left="660" w:hanging="660"/>
        <w:rPr>
          <w:lang w:val="hu-HU"/>
        </w:rPr>
      </w:pPr>
      <w:r>
        <w:rPr>
          <w:rFonts w:eastAsia="Times New Roman"/>
          <w:lang w:val="hu-HU"/>
        </w:rPr>
        <w:t>hajhullás</w:t>
      </w:r>
    </w:p>
    <w:p w14:paraId="455E0663" w14:textId="77777777" w:rsidR="00130E8B" w:rsidRDefault="000405CC">
      <w:pPr>
        <w:pStyle w:val="a3"/>
        <w:numPr>
          <w:ilvl w:val="0"/>
          <w:numId w:val="15"/>
        </w:numPr>
        <w:ind w:left="660" w:hanging="660"/>
        <w:rPr>
          <w:lang w:val="hu-HU"/>
        </w:rPr>
      </w:pPr>
      <w:r>
        <w:rPr>
          <w:rFonts w:eastAsia="Times New Roman"/>
          <w:lang w:val="hu-HU"/>
        </w:rPr>
        <w:t>pikkelysömör megjelenése vagy rosszabbodása</w:t>
      </w:r>
    </w:p>
    <w:p w14:paraId="4327DE1B" w14:textId="77777777" w:rsidR="00130E8B" w:rsidRDefault="000405CC">
      <w:pPr>
        <w:pStyle w:val="a3"/>
        <w:numPr>
          <w:ilvl w:val="0"/>
          <w:numId w:val="15"/>
        </w:numPr>
        <w:ind w:left="660" w:hanging="660"/>
        <w:rPr>
          <w:lang w:val="hu-HU"/>
        </w:rPr>
      </w:pPr>
      <w:r>
        <w:rPr>
          <w:rFonts w:eastAsia="Times New Roman"/>
          <w:lang w:val="hu-HU"/>
        </w:rPr>
        <w:t>izomgörcsök</w:t>
      </w:r>
    </w:p>
    <w:p w14:paraId="6B8078FD" w14:textId="77777777" w:rsidR="00130E8B" w:rsidRDefault="000405CC">
      <w:pPr>
        <w:pStyle w:val="a3"/>
        <w:numPr>
          <w:ilvl w:val="0"/>
          <w:numId w:val="15"/>
        </w:numPr>
        <w:ind w:left="660" w:hanging="660"/>
        <w:rPr>
          <w:lang w:val="hu-HU"/>
        </w:rPr>
      </w:pPr>
      <w:r>
        <w:rPr>
          <w:rFonts w:eastAsia="Times New Roman"/>
          <w:lang w:val="hu-HU"/>
        </w:rPr>
        <w:t>véres vizelet</w:t>
      </w:r>
    </w:p>
    <w:p w14:paraId="3AAE712E" w14:textId="77777777" w:rsidR="00130E8B" w:rsidRDefault="000405CC">
      <w:pPr>
        <w:pStyle w:val="a3"/>
        <w:numPr>
          <w:ilvl w:val="0"/>
          <w:numId w:val="15"/>
        </w:numPr>
        <w:ind w:left="660" w:hanging="660"/>
        <w:rPr>
          <w:lang w:val="hu-HU"/>
        </w:rPr>
      </w:pPr>
      <w:r>
        <w:rPr>
          <w:rFonts w:eastAsia="Times New Roman"/>
          <w:lang w:val="hu-HU"/>
        </w:rPr>
        <w:t>veseproblémák</w:t>
      </w:r>
    </w:p>
    <w:p w14:paraId="5138C182" w14:textId="77777777" w:rsidR="00130E8B" w:rsidRDefault="000405CC">
      <w:pPr>
        <w:pStyle w:val="a3"/>
        <w:numPr>
          <w:ilvl w:val="0"/>
          <w:numId w:val="15"/>
        </w:numPr>
        <w:ind w:left="660" w:hanging="660"/>
        <w:rPr>
          <w:lang w:val="hu-HU"/>
        </w:rPr>
      </w:pPr>
      <w:r>
        <w:rPr>
          <w:rFonts w:eastAsia="Times New Roman"/>
          <w:lang w:val="hu-HU"/>
        </w:rPr>
        <w:t>mellkasi fájdalom</w:t>
      </w:r>
    </w:p>
    <w:p w14:paraId="0964833A" w14:textId="77777777" w:rsidR="00130E8B" w:rsidRDefault="000405CC">
      <w:pPr>
        <w:pStyle w:val="a3"/>
        <w:numPr>
          <w:ilvl w:val="0"/>
          <w:numId w:val="15"/>
        </w:numPr>
        <w:ind w:left="660" w:hanging="660"/>
        <w:rPr>
          <w:lang w:val="hu-HU"/>
        </w:rPr>
      </w:pPr>
      <w:r>
        <w:rPr>
          <w:rFonts w:eastAsia="Times New Roman"/>
          <w:lang w:val="hu-HU"/>
        </w:rPr>
        <w:t>vizenyő (duzzanat)</w:t>
      </w:r>
    </w:p>
    <w:p w14:paraId="700B0A3B" w14:textId="77777777" w:rsidR="00130E8B" w:rsidRDefault="000405CC">
      <w:pPr>
        <w:pStyle w:val="a3"/>
        <w:numPr>
          <w:ilvl w:val="0"/>
          <w:numId w:val="15"/>
        </w:numPr>
        <w:ind w:left="660" w:hanging="660"/>
        <w:rPr>
          <w:lang w:val="hu-HU"/>
        </w:rPr>
      </w:pPr>
      <w:r>
        <w:rPr>
          <w:rFonts w:eastAsia="Times New Roman"/>
          <w:lang w:val="hu-HU"/>
        </w:rPr>
        <w:t>láz</w:t>
      </w:r>
    </w:p>
    <w:p w14:paraId="7294622E" w14:textId="53D77CAA" w:rsidR="00130E8B" w:rsidRDefault="00DD2856">
      <w:pPr>
        <w:pStyle w:val="a3"/>
        <w:numPr>
          <w:ilvl w:val="0"/>
          <w:numId w:val="15"/>
        </w:numPr>
        <w:ind w:left="660" w:hanging="660"/>
        <w:rPr>
          <w:lang w:val="hu-HU"/>
        </w:rPr>
      </w:pPr>
      <w:r>
        <w:rPr>
          <w:rFonts w:eastAsia="Times New Roman"/>
          <w:lang w:val="hu-HU"/>
        </w:rPr>
        <w:t>a</w:t>
      </w:r>
      <w:r w:rsidR="000405CC">
        <w:rPr>
          <w:rFonts w:eastAsia="Times New Roman"/>
          <w:lang w:val="hu-HU"/>
        </w:rPr>
        <w:t xml:space="preserve"> vérlemezkék számának csökkenése, ami növeli a vérzés vagy véraláfutás kialakulásának kockázatát</w:t>
      </w:r>
    </w:p>
    <w:p w14:paraId="41877C84" w14:textId="77777777" w:rsidR="00130E8B" w:rsidRDefault="000405CC">
      <w:pPr>
        <w:pStyle w:val="a3"/>
        <w:numPr>
          <w:ilvl w:val="0"/>
          <w:numId w:val="15"/>
        </w:numPr>
        <w:ind w:left="660" w:hanging="660"/>
        <w:rPr>
          <w:lang w:val="hu-HU"/>
        </w:rPr>
      </w:pPr>
      <w:r>
        <w:rPr>
          <w:rFonts w:eastAsia="Times New Roman"/>
          <w:lang w:val="hu-HU"/>
        </w:rPr>
        <w:t>csökkent gyógyulási készség</w:t>
      </w:r>
    </w:p>
    <w:p w14:paraId="05C0ACE6" w14:textId="77777777" w:rsidR="00130E8B" w:rsidRDefault="00130E8B">
      <w:pPr>
        <w:spacing w:before="10" w:line="240" w:lineRule="exact"/>
        <w:rPr>
          <w:sz w:val="24"/>
          <w:szCs w:val="24"/>
          <w:lang w:val="hu-HU"/>
        </w:rPr>
      </w:pPr>
    </w:p>
    <w:p w14:paraId="4BB597F8" w14:textId="77777777" w:rsidR="00130E8B" w:rsidRDefault="000405CC">
      <w:pPr>
        <w:rPr>
          <w:rFonts w:ascii="Times New Roman" w:eastAsia="Times New Roman" w:hAnsi="Times New Roman" w:cs="Times New Roman"/>
          <w:lang w:val="hu-HU"/>
        </w:rPr>
      </w:pPr>
      <w:r>
        <w:rPr>
          <w:rFonts w:ascii="Times New Roman" w:eastAsia="Times New Roman" w:hAnsi="Times New Roman" w:cs="Times New Roman"/>
          <w:b/>
          <w:bCs/>
          <w:spacing w:val="-1"/>
          <w:lang w:val="hu-HU"/>
        </w:rPr>
        <w:t xml:space="preserve">Nem gyakori </w:t>
      </w:r>
      <w:r>
        <w:rPr>
          <w:rFonts w:ascii="Times New Roman" w:eastAsia="Times New Roman" w:hAnsi="Times New Roman" w:cs="Times New Roman"/>
          <w:spacing w:val="-1"/>
          <w:lang w:val="hu-HU"/>
        </w:rPr>
        <w:t>(100 beteg közül legfeljebb 1-nél kialakuló)</w:t>
      </w:r>
    </w:p>
    <w:p w14:paraId="1093E993" w14:textId="77777777" w:rsidR="00130E8B" w:rsidRDefault="00130E8B">
      <w:pPr>
        <w:spacing w:before="14" w:line="260" w:lineRule="exact"/>
        <w:rPr>
          <w:sz w:val="26"/>
          <w:szCs w:val="26"/>
          <w:lang w:val="hu-HU"/>
        </w:rPr>
      </w:pPr>
    </w:p>
    <w:p w14:paraId="15747622" w14:textId="0D99A1BA" w:rsidR="00130E8B" w:rsidRDefault="00DC37D0">
      <w:pPr>
        <w:pStyle w:val="a3"/>
        <w:numPr>
          <w:ilvl w:val="0"/>
          <w:numId w:val="15"/>
        </w:numPr>
        <w:ind w:left="660" w:hanging="660"/>
        <w:rPr>
          <w:lang w:val="hu-HU"/>
        </w:rPr>
      </w:pPr>
      <w:r w:rsidRPr="00C17405">
        <w:rPr>
          <w:rFonts w:eastAsia="Times New Roman"/>
          <w:lang w:val="hu-HU"/>
        </w:rPr>
        <w:t>szokatlan</w:t>
      </w:r>
      <w:r w:rsidR="000405CC" w:rsidRPr="00C17405">
        <w:rPr>
          <w:rFonts w:eastAsia="Times New Roman"/>
          <w:lang w:val="hu-HU"/>
        </w:rPr>
        <w:t xml:space="preserve"> f</w:t>
      </w:r>
      <w:r w:rsidR="000405CC" w:rsidRPr="003619B6">
        <w:rPr>
          <w:rFonts w:eastAsia="Times New Roman"/>
          <w:lang w:val="hu-HU"/>
        </w:rPr>
        <w:t>ertőzések</w:t>
      </w:r>
      <w:r w:rsidR="000405CC">
        <w:rPr>
          <w:rFonts w:eastAsia="Times New Roman"/>
          <w:lang w:val="hu-HU"/>
        </w:rPr>
        <w:t xml:space="preserve"> (ezek közé tartozik a tuberkulózis és más, olyan fertőzések, amelyek akkor alakulnak ki, amikor a betegségekkel szembeni ellenállóképesség lecsökken)</w:t>
      </w:r>
    </w:p>
    <w:p w14:paraId="2FE4C600" w14:textId="77777777" w:rsidR="00130E8B" w:rsidRDefault="000405CC">
      <w:pPr>
        <w:pStyle w:val="a3"/>
        <w:numPr>
          <w:ilvl w:val="0"/>
          <w:numId w:val="15"/>
        </w:numPr>
        <w:ind w:left="660" w:hanging="660"/>
        <w:rPr>
          <w:lang w:val="hu-HU"/>
        </w:rPr>
      </w:pPr>
      <w:r>
        <w:rPr>
          <w:rFonts w:eastAsia="Times New Roman"/>
          <w:lang w:val="hu-HU"/>
        </w:rPr>
        <w:t>ideggyógyászati eredetű fertőzések (beleértve a vírusos eredetű agyhártyagyulladást is)</w:t>
      </w:r>
    </w:p>
    <w:p w14:paraId="768CCB0F" w14:textId="77777777" w:rsidR="00130E8B" w:rsidRDefault="000405CC">
      <w:pPr>
        <w:pStyle w:val="a3"/>
        <w:numPr>
          <w:ilvl w:val="0"/>
          <w:numId w:val="15"/>
        </w:numPr>
        <w:ind w:left="660" w:hanging="660"/>
        <w:rPr>
          <w:lang w:val="hu-HU"/>
        </w:rPr>
      </w:pPr>
      <w:r>
        <w:rPr>
          <w:rFonts w:eastAsia="Times New Roman"/>
          <w:lang w:val="hu-HU"/>
        </w:rPr>
        <w:t>szemfertőzések</w:t>
      </w:r>
    </w:p>
    <w:p w14:paraId="1256EF38" w14:textId="77777777" w:rsidR="00130E8B" w:rsidRDefault="000405CC">
      <w:pPr>
        <w:pStyle w:val="a3"/>
        <w:numPr>
          <w:ilvl w:val="0"/>
          <w:numId w:val="15"/>
        </w:numPr>
        <w:ind w:left="660" w:hanging="660"/>
        <w:rPr>
          <w:lang w:val="hu-HU"/>
        </w:rPr>
      </w:pPr>
      <w:r>
        <w:rPr>
          <w:rFonts w:eastAsia="Times New Roman"/>
          <w:lang w:val="hu-HU"/>
        </w:rPr>
        <w:t>baktériumok okozta fertőzések</w:t>
      </w:r>
    </w:p>
    <w:p w14:paraId="2C23F90F" w14:textId="7268A1B7" w:rsidR="00130E8B" w:rsidRDefault="008A4B4E">
      <w:pPr>
        <w:pStyle w:val="a3"/>
        <w:numPr>
          <w:ilvl w:val="0"/>
          <w:numId w:val="15"/>
        </w:numPr>
        <w:ind w:left="660" w:hanging="660"/>
        <w:rPr>
          <w:lang w:val="hu-HU"/>
        </w:rPr>
      </w:pPr>
      <w:r>
        <w:rPr>
          <w:rFonts w:eastAsia="Times New Roman"/>
          <w:lang w:val="hu-HU"/>
        </w:rPr>
        <w:lastRenderedPageBreak/>
        <w:t xml:space="preserve">vastagbélgyulladás és </w:t>
      </w:r>
      <w:r w:rsidR="00DC37D0">
        <w:rPr>
          <w:rFonts w:eastAsia="Times New Roman"/>
          <w:lang w:val="hu-HU"/>
        </w:rPr>
        <w:t xml:space="preserve">fertőzés </w:t>
      </w:r>
      <w:r w:rsidR="000405CC">
        <w:rPr>
          <w:rFonts w:eastAsia="Times New Roman"/>
          <w:lang w:val="hu-HU"/>
        </w:rPr>
        <w:t>(</w:t>
      </w:r>
      <w:r w:rsidR="00DC37D0">
        <w:rPr>
          <w:rFonts w:eastAsia="Times New Roman"/>
          <w:lang w:val="hu-HU"/>
        </w:rPr>
        <w:t>divertikulitisz</w:t>
      </w:r>
      <w:r w:rsidR="0044419B">
        <w:rPr>
          <w:rFonts w:eastAsia="Times New Roman"/>
          <w:lang w:val="hu-HU"/>
        </w:rPr>
        <w:t>)</w:t>
      </w:r>
    </w:p>
    <w:p w14:paraId="7B167363" w14:textId="77777777" w:rsidR="00130E8B" w:rsidRDefault="000405CC">
      <w:pPr>
        <w:pStyle w:val="a3"/>
        <w:numPr>
          <w:ilvl w:val="0"/>
          <w:numId w:val="15"/>
        </w:numPr>
        <w:ind w:left="660" w:hanging="660"/>
        <w:rPr>
          <w:lang w:val="hu-HU"/>
        </w:rPr>
      </w:pPr>
      <w:r>
        <w:rPr>
          <w:rFonts w:eastAsia="Times New Roman"/>
          <w:lang w:val="hu-HU"/>
        </w:rPr>
        <w:t>rák</w:t>
      </w:r>
    </w:p>
    <w:p w14:paraId="27558CFC" w14:textId="77777777" w:rsidR="00130E8B" w:rsidRDefault="000405CC">
      <w:pPr>
        <w:pStyle w:val="a3"/>
        <w:numPr>
          <w:ilvl w:val="0"/>
          <w:numId w:val="15"/>
        </w:numPr>
        <w:ind w:left="660" w:hanging="660"/>
        <w:rPr>
          <w:lang w:val="hu-HU"/>
        </w:rPr>
      </w:pPr>
      <w:r>
        <w:rPr>
          <w:rFonts w:eastAsia="Times New Roman"/>
          <w:lang w:val="hu-HU"/>
        </w:rPr>
        <w:t>rák, amely a nyirokrendszert támadja meg</w:t>
      </w:r>
    </w:p>
    <w:p w14:paraId="180E684E" w14:textId="77777777" w:rsidR="00130E8B" w:rsidRDefault="000405CC">
      <w:pPr>
        <w:pStyle w:val="a3"/>
        <w:numPr>
          <w:ilvl w:val="0"/>
          <w:numId w:val="15"/>
        </w:numPr>
        <w:ind w:left="660" w:hanging="660"/>
        <w:rPr>
          <w:lang w:val="hu-HU"/>
        </w:rPr>
      </w:pPr>
      <w:r>
        <w:rPr>
          <w:rFonts w:eastAsia="Times New Roman"/>
          <w:lang w:val="hu-HU"/>
        </w:rPr>
        <w:t>melanóma</w:t>
      </w:r>
    </w:p>
    <w:p w14:paraId="7BC43A1F" w14:textId="3310D933" w:rsidR="00130E8B" w:rsidRDefault="00DC37D0">
      <w:pPr>
        <w:pStyle w:val="a3"/>
        <w:numPr>
          <w:ilvl w:val="0"/>
          <w:numId w:val="15"/>
        </w:numPr>
        <w:ind w:left="660" w:hanging="660"/>
        <w:rPr>
          <w:lang w:val="hu-HU"/>
        </w:rPr>
      </w:pPr>
      <w:r w:rsidRPr="00DA48CC">
        <w:rPr>
          <w:rFonts w:eastAsia="TimesNewRomanPSMT"/>
          <w:lang w:val="hu-HU"/>
        </w:rPr>
        <w:t>immunrendszeri zavarok</w:t>
      </w:r>
      <w:r w:rsidR="000405CC">
        <w:rPr>
          <w:rFonts w:eastAsia="Times New Roman"/>
          <w:lang w:val="hu-HU"/>
        </w:rPr>
        <w:t>, amelyek érinthetik a tüdőt, a bőrt és a nyirokcsomókat (leggyakrabban szarkoidózisként jelentkezik</w:t>
      </w:r>
    </w:p>
    <w:p w14:paraId="31F6A389" w14:textId="6AB31A33" w:rsidR="00130E8B" w:rsidRDefault="00DC37D0">
      <w:pPr>
        <w:pStyle w:val="a3"/>
        <w:numPr>
          <w:ilvl w:val="0"/>
          <w:numId w:val="15"/>
        </w:numPr>
        <w:ind w:left="660" w:hanging="660"/>
        <w:rPr>
          <w:lang w:val="hu-HU"/>
        </w:rPr>
      </w:pPr>
      <w:r>
        <w:rPr>
          <w:rFonts w:eastAsia="Times New Roman"/>
          <w:lang w:val="hu-HU"/>
        </w:rPr>
        <w:t xml:space="preserve">érgyulladás </w:t>
      </w:r>
      <w:r w:rsidR="000405CC">
        <w:rPr>
          <w:rFonts w:eastAsia="Times New Roman"/>
          <w:lang w:val="hu-HU"/>
        </w:rPr>
        <w:t>(</w:t>
      </w:r>
      <w:r w:rsidR="00965375">
        <w:rPr>
          <w:rFonts w:eastAsia="Times New Roman"/>
          <w:lang w:val="hu-HU"/>
        </w:rPr>
        <w:t>vaszkulitisz</w:t>
      </w:r>
      <w:r w:rsidR="000405CC">
        <w:rPr>
          <w:rFonts w:eastAsia="Times New Roman"/>
          <w:lang w:val="hu-HU"/>
        </w:rPr>
        <w:t>)</w:t>
      </w:r>
    </w:p>
    <w:p w14:paraId="5DEC8460" w14:textId="77777777" w:rsidR="00130E8B" w:rsidRDefault="000405CC">
      <w:pPr>
        <w:pStyle w:val="a3"/>
        <w:numPr>
          <w:ilvl w:val="0"/>
          <w:numId w:val="15"/>
        </w:numPr>
        <w:ind w:left="660" w:hanging="660"/>
        <w:rPr>
          <w:lang w:val="hu-HU"/>
        </w:rPr>
      </w:pPr>
      <w:r>
        <w:rPr>
          <w:rFonts w:eastAsia="Times New Roman"/>
          <w:lang w:val="hu-HU"/>
        </w:rPr>
        <w:t>remegés</w:t>
      </w:r>
    </w:p>
    <w:p w14:paraId="559F4D43" w14:textId="659BBA97" w:rsidR="00130E8B" w:rsidRDefault="00DC37D0">
      <w:pPr>
        <w:pStyle w:val="a3"/>
        <w:numPr>
          <w:ilvl w:val="0"/>
          <w:numId w:val="15"/>
        </w:numPr>
        <w:ind w:left="660" w:hanging="660"/>
        <w:rPr>
          <w:lang w:val="hu-HU"/>
        </w:rPr>
      </w:pPr>
      <w:r>
        <w:rPr>
          <w:rFonts w:eastAsia="Times New Roman"/>
          <w:lang w:val="hu-HU"/>
        </w:rPr>
        <w:t xml:space="preserve">idegbántalom </w:t>
      </w:r>
      <w:r w:rsidR="000405CC">
        <w:rPr>
          <w:rFonts w:eastAsia="Times New Roman"/>
          <w:lang w:val="hu-HU"/>
        </w:rPr>
        <w:t>(</w:t>
      </w:r>
      <w:r>
        <w:rPr>
          <w:rFonts w:eastAsia="Times New Roman"/>
          <w:lang w:val="hu-HU"/>
        </w:rPr>
        <w:t>neuropátia</w:t>
      </w:r>
      <w:r w:rsidR="000405CC">
        <w:rPr>
          <w:rFonts w:eastAsia="Times New Roman"/>
          <w:lang w:val="hu-HU"/>
        </w:rPr>
        <w:t>)</w:t>
      </w:r>
    </w:p>
    <w:p w14:paraId="5B63DCE1" w14:textId="77777777" w:rsidR="00130E8B" w:rsidRDefault="000405CC">
      <w:pPr>
        <w:pStyle w:val="a3"/>
        <w:numPr>
          <w:ilvl w:val="0"/>
          <w:numId w:val="15"/>
        </w:numPr>
        <w:ind w:left="660" w:hanging="660"/>
        <w:rPr>
          <w:lang w:val="hu-HU"/>
        </w:rPr>
      </w:pPr>
      <w:r>
        <w:rPr>
          <w:rFonts w:eastAsia="Times New Roman"/>
          <w:lang w:val="hu-HU"/>
        </w:rPr>
        <w:t>szélütés</w:t>
      </w:r>
    </w:p>
    <w:p w14:paraId="211D7FE7" w14:textId="77777777" w:rsidR="00130E8B" w:rsidRDefault="000405CC">
      <w:pPr>
        <w:pStyle w:val="a3"/>
        <w:numPr>
          <w:ilvl w:val="0"/>
          <w:numId w:val="15"/>
        </w:numPr>
        <w:ind w:left="660" w:hanging="660"/>
        <w:rPr>
          <w:lang w:val="hu-HU"/>
        </w:rPr>
      </w:pPr>
      <w:r>
        <w:rPr>
          <w:rFonts w:eastAsia="Times New Roman"/>
          <w:lang w:val="hu-HU"/>
        </w:rPr>
        <w:t>halláscsökkenés, fülzúgás</w:t>
      </w:r>
    </w:p>
    <w:p w14:paraId="03C0846F" w14:textId="77777777" w:rsidR="00130E8B" w:rsidRDefault="000405CC">
      <w:pPr>
        <w:pStyle w:val="a3"/>
        <w:numPr>
          <w:ilvl w:val="0"/>
          <w:numId w:val="15"/>
        </w:numPr>
        <w:ind w:left="660" w:hanging="660"/>
        <w:rPr>
          <w:lang w:val="hu-HU"/>
        </w:rPr>
      </w:pPr>
      <w:r>
        <w:rPr>
          <w:rFonts w:eastAsia="Times New Roman"/>
          <w:lang w:val="hu-HU"/>
        </w:rPr>
        <w:t>szabálytalan szívverés érzése, mint például kimaradó szívverés</w:t>
      </w:r>
    </w:p>
    <w:p w14:paraId="0BA53CB1" w14:textId="77777777" w:rsidR="00130E8B" w:rsidRDefault="000405CC">
      <w:pPr>
        <w:pStyle w:val="a3"/>
        <w:numPr>
          <w:ilvl w:val="0"/>
          <w:numId w:val="15"/>
        </w:numPr>
        <w:ind w:left="660" w:hanging="660"/>
        <w:rPr>
          <w:lang w:val="hu-HU"/>
        </w:rPr>
      </w:pPr>
      <w:r>
        <w:rPr>
          <w:rFonts w:eastAsia="Times New Roman"/>
          <w:lang w:val="hu-HU"/>
        </w:rPr>
        <w:t>szívproblémák, amelyek például nehézlégzést vagy bokadagadást okozhatnak</w:t>
      </w:r>
    </w:p>
    <w:p w14:paraId="5D1605C6" w14:textId="77777777" w:rsidR="00130E8B" w:rsidRDefault="000405CC">
      <w:pPr>
        <w:pStyle w:val="a3"/>
        <w:numPr>
          <w:ilvl w:val="0"/>
          <w:numId w:val="15"/>
        </w:numPr>
        <w:ind w:left="660" w:hanging="660"/>
        <w:rPr>
          <w:lang w:val="hu-HU"/>
        </w:rPr>
      </w:pPr>
      <w:r>
        <w:rPr>
          <w:rFonts w:eastAsia="Times New Roman"/>
          <w:lang w:val="hu-HU"/>
        </w:rPr>
        <w:t>szívroham</w:t>
      </w:r>
    </w:p>
    <w:p w14:paraId="30E874F7" w14:textId="77777777" w:rsidR="00130E8B" w:rsidRDefault="000405CC">
      <w:pPr>
        <w:pStyle w:val="a3"/>
        <w:numPr>
          <w:ilvl w:val="0"/>
          <w:numId w:val="15"/>
        </w:numPr>
        <w:ind w:left="660" w:hanging="660"/>
        <w:rPr>
          <w:lang w:val="hu-HU"/>
        </w:rPr>
      </w:pPr>
      <w:r>
        <w:rPr>
          <w:rFonts w:eastAsia="Times New Roman"/>
          <w:lang w:val="hu-HU"/>
        </w:rPr>
        <w:t>kiöblösödés valamely nagy ütőérben, gyulladás és vérrögképződes valamelyik vénában, érelzáródás</w:t>
      </w:r>
    </w:p>
    <w:p w14:paraId="60DC011E" w14:textId="0CD6694E" w:rsidR="00130E8B" w:rsidRDefault="000405CC">
      <w:pPr>
        <w:pStyle w:val="a3"/>
        <w:numPr>
          <w:ilvl w:val="0"/>
          <w:numId w:val="15"/>
        </w:numPr>
        <w:ind w:left="660" w:hanging="660"/>
        <w:rPr>
          <w:lang w:val="hu-HU"/>
        </w:rPr>
      </w:pPr>
      <w:r>
        <w:rPr>
          <w:rFonts w:eastAsia="Times New Roman"/>
          <w:lang w:val="hu-HU"/>
        </w:rPr>
        <w:t>nehézlégz</w:t>
      </w:r>
      <w:r w:rsidR="00DD2856">
        <w:rPr>
          <w:rFonts w:eastAsia="Times New Roman"/>
          <w:lang w:val="hu-HU"/>
        </w:rPr>
        <w:t>é</w:t>
      </w:r>
      <w:r>
        <w:rPr>
          <w:rFonts w:eastAsia="Times New Roman"/>
          <w:lang w:val="hu-HU"/>
        </w:rPr>
        <w:t>st okozó tüdőbetegségek (beleértve a gyulladást is)</w:t>
      </w:r>
    </w:p>
    <w:p w14:paraId="7323D07C" w14:textId="77777777" w:rsidR="00130E8B" w:rsidRDefault="000405CC">
      <w:pPr>
        <w:pStyle w:val="a3"/>
        <w:numPr>
          <w:ilvl w:val="0"/>
          <w:numId w:val="15"/>
        </w:numPr>
        <w:ind w:left="660" w:hanging="660"/>
        <w:rPr>
          <w:lang w:val="hu-HU"/>
        </w:rPr>
      </w:pPr>
      <w:r>
        <w:rPr>
          <w:rFonts w:eastAsia="Times New Roman"/>
          <w:lang w:val="hu-HU"/>
        </w:rPr>
        <w:t>tüdőembólia (a tüdőt ellátó ér elzáródása)</w:t>
      </w:r>
    </w:p>
    <w:p w14:paraId="4002172A" w14:textId="1892818C" w:rsidR="00130E8B" w:rsidRDefault="000405CC">
      <w:pPr>
        <w:pStyle w:val="a3"/>
        <w:numPr>
          <w:ilvl w:val="0"/>
          <w:numId w:val="15"/>
        </w:numPr>
        <w:ind w:left="660" w:hanging="660"/>
        <w:rPr>
          <w:lang w:val="hu-HU"/>
        </w:rPr>
      </w:pPr>
      <w:r>
        <w:rPr>
          <w:rFonts w:eastAsia="Times New Roman"/>
          <w:lang w:val="hu-HU"/>
        </w:rPr>
        <w:t xml:space="preserve">pleurális folyadékgyülem (rendellenes folyadékgyülem a </w:t>
      </w:r>
      <w:r w:rsidR="00DD2856" w:rsidRPr="004D41F4">
        <w:rPr>
          <w:rFonts w:eastAsia="Times New Roman"/>
          <w:lang w:val="hu-HU"/>
        </w:rPr>
        <w:t>mellkasi</w:t>
      </w:r>
      <w:r w:rsidR="00DD2856">
        <w:rPr>
          <w:rFonts w:eastAsia="Times New Roman"/>
          <w:lang w:val="hu-HU"/>
        </w:rPr>
        <w:t xml:space="preserve"> </w:t>
      </w:r>
      <w:r>
        <w:rPr>
          <w:rFonts w:eastAsia="Times New Roman"/>
          <w:lang w:val="hu-HU"/>
        </w:rPr>
        <w:t>térben)</w:t>
      </w:r>
    </w:p>
    <w:p w14:paraId="2B3F7250" w14:textId="5EEEE0A0" w:rsidR="00130E8B" w:rsidRDefault="000405CC">
      <w:pPr>
        <w:pStyle w:val="a3"/>
        <w:numPr>
          <w:ilvl w:val="0"/>
          <w:numId w:val="15"/>
        </w:numPr>
        <w:ind w:left="660" w:hanging="660"/>
        <w:rPr>
          <w:lang w:val="hu-HU"/>
        </w:rPr>
      </w:pPr>
      <w:r>
        <w:rPr>
          <w:rFonts w:eastAsia="Times New Roman"/>
          <w:lang w:val="hu-HU"/>
        </w:rPr>
        <w:t>hasnyálmirigy-gyulladás</w:t>
      </w:r>
      <w:r w:rsidR="00DD2856">
        <w:rPr>
          <w:rFonts w:eastAsia="Times New Roman"/>
          <w:lang w:val="hu-HU"/>
        </w:rPr>
        <w:t>,</w:t>
      </w:r>
      <w:r>
        <w:rPr>
          <w:rFonts w:eastAsia="Times New Roman"/>
          <w:lang w:val="hu-HU"/>
        </w:rPr>
        <w:t xml:space="preserve"> ami erős hasi fájdalmat es hátfájást okoz</w:t>
      </w:r>
    </w:p>
    <w:p w14:paraId="3C11288D" w14:textId="77777777" w:rsidR="00130E8B" w:rsidRDefault="000405CC">
      <w:pPr>
        <w:pStyle w:val="a3"/>
        <w:numPr>
          <w:ilvl w:val="0"/>
          <w:numId w:val="15"/>
        </w:numPr>
        <w:ind w:left="660" w:hanging="660"/>
        <w:rPr>
          <w:lang w:val="hu-HU"/>
        </w:rPr>
      </w:pPr>
      <w:r>
        <w:rPr>
          <w:rFonts w:eastAsia="Times New Roman"/>
          <w:lang w:val="hu-HU"/>
        </w:rPr>
        <w:t>nyelési nehézség</w:t>
      </w:r>
    </w:p>
    <w:p w14:paraId="794D799E" w14:textId="77777777" w:rsidR="00130E8B" w:rsidRDefault="000405CC">
      <w:pPr>
        <w:pStyle w:val="a3"/>
        <w:numPr>
          <w:ilvl w:val="0"/>
          <w:numId w:val="15"/>
        </w:numPr>
        <w:ind w:left="660" w:hanging="660"/>
        <w:rPr>
          <w:lang w:val="hu-HU"/>
        </w:rPr>
      </w:pPr>
      <w:r>
        <w:rPr>
          <w:rFonts w:eastAsia="Times New Roman"/>
          <w:lang w:val="hu-HU"/>
        </w:rPr>
        <w:t>az arc feldagadása</w:t>
      </w:r>
    </w:p>
    <w:p w14:paraId="2C3F9EC8" w14:textId="77777777" w:rsidR="00130E8B" w:rsidRDefault="000405CC">
      <w:pPr>
        <w:pStyle w:val="a3"/>
        <w:numPr>
          <w:ilvl w:val="0"/>
          <w:numId w:val="15"/>
        </w:numPr>
        <w:ind w:left="660" w:hanging="660"/>
        <w:rPr>
          <w:lang w:val="hu-HU"/>
        </w:rPr>
      </w:pPr>
      <w:r>
        <w:rPr>
          <w:rFonts w:eastAsia="Times New Roman"/>
          <w:lang w:val="hu-HU"/>
        </w:rPr>
        <w:t>epehólyaggyulladás, epehólyagkő</w:t>
      </w:r>
    </w:p>
    <w:p w14:paraId="1FBB2637" w14:textId="77777777" w:rsidR="00130E8B" w:rsidRDefault="000405CC">
      <w:pPr>
        <w:pStyle w:val="a3"/>
        <w:numPr>
          <w:ilvl w:val="0"/>
          <w:numId w:val="15"/>
        </w:numPr>
        <w:ind w:left="660" w:hanging="660"/>
        <w:rPr>
          <w:lang w:val="hu-HU"/>
        </w:rPr>
      </w:pPr>
      <w:r>
        <w:rPr>
          <w:rFonts w:eastAsia="Times New Roman"/>
          <w:lang w:val="hu-HU"/>
        </w:rPr>
        <w:t>zsírmáj</w:t>
      </w:r>
    </w:p>
    <w:p w14:paraId="69B5D15D" w14:textId="77777777" w:rsidR="00130E8B" w:rsidRDefault="000405CC">
      <w:pPr>
        <w:pStyle w:val="a3"/>
        <w:numPr>
          <w:ilvl w:val="0"/>
          <w:numId w:val="15"/>
        </w:numPr>
        <w:ind w:left="660" w:hanging="660"/>
        <w:rPr>
          <w:lang w:val="hu-HU"/>
        </w:rPr>
      </w:pPr>
      <w:r>
        <w:rPr>
          <w:rFonts w:eastAsia="Times New Roman"/>
          <w:lang w:val="hu-HU"/>
        </w:rPr>
        <w:t>éjszakai verítékezés</w:t>
      </w:r>
    </w:p>
    <w:p w14:paraId="7F2DBE43" w14:textId="2EF6D81B" w:rsidR="00130E8B" w:rsidRDefault="00A02F4B">
      <w:pPr>
        <w:pStyle w:val="a3"/>
        <w:numPr>
          <w:ilvl w:val="0"/>
          <w:numId w:val="15"/>
        </w:numPr>
        <w:ind w:left="660" w:hanging="660"/>
        <w:rPr>
          <w:lang w:val="hu-HU"/>
        </w:rPr>
      </w:pPr>
      <w:r>
        <w:rPr>
          <w:rFonts w:eastAsia="Times New Roman"/>
          <w:lang w:val="hu-HU"/>
        </w:rPr>
        <w:t xml:space="preserve">hegképződés </w:t>
      </w:r>
    </w:p>
    <w:p w14:paraId="18E91C9C" w14:textId="77777777" w:rsidR="00130E8B" w:rsidRDefault="000405CC">
      <w:pPr>
        <w:pStyle w:val="a3"/>
        <w:numPr>
          <w:ilvl w:val="0"/>
          <w:numId w:val="15"/>
        </w:numPr>
        <w:ind w:left="660" w:hanging="660"/>
        <w:rPr>
          <w:lang w:val="hu-HU"/>
        </w:rPr>
      </w:pPr>
      <w:r>
        <w:rPr>
          <w:rFonts w:eastAsia="Times New Roman"/>
          <w:lang w:val="hu-HU"/>
        </w:rPr>
        <w:t>az izomszövet kóros szétesése</w:t>
      </w:r>
    </w:p>
    <w:p w14:paraId="41FB4159" w14:textId="77777777" w:rsidR="00130E8B" w:rsidRDefault="000405CC">
      <w:pPr>
        <w:pStyle w:val="a3"/>
        <w:numPr>
          <w:ilvl w:val="0"/>
          <w:numId w:val="15"/>
        </w:numPr>
        <w:ind w:left="660" w:hanging="660"/>
        <w:rPr>
          <w:rFonts w:eastAsia="Times New Roman"/>
          <w:spacing w:val="-1"/>
          <w:lang w:val="hu-HU"/>
        </w:rPr>
      </w:pPr>
      <w:r>
        <w:rPr>
          <w:rFonts w:eastAsia="Times New Roman"/>
          <w:lang w:val="hu-HU"/>
        </w:rPr>
        <w:t>szisztémás lupusz eritematózusz (beleértve a bőr, a szív, a tüdő, az ízületek és más szervrendszerek gyulladását)</w:t>
      </w:r>
    </w:p>
    <w:p w14:paraId="5F06C168" w14:textId="77777777" w:rsidR="00130E8B" w:rsidRDefault="000405CC">
      <w:pPr>
        <w:pStyle w:val="a3"/>
        <w:numPr>
          <w:ilvl w:val="0"/>
          <w:numId w:val="15"/>
        </w:numPr>
        <w:ind w:left="660" w:hanging="660"/>
        <w:rPr>
          <w:lang w:val="hu-HU"/>
        </w:rPr>
      </w:pPr>
      <w:r>
        <w:rPr>
          <w:rFonts w:eastAsia="Times New Roman"/>
          <w:lang w:val="hu-HU"/>
        </w:rPr>
        <w:t>az alvás megszakadása</w:t>
      </w:r>
    </w:p>
    <w:p w14:paraId="213696F6" w14:textId="77777777" w:rsidR="00130E8B" w:rsidRDefault="000405CC">
      <w:pPr>
        <w:pStyle w:val="a3"/>
        <w:numPr>
          <w:ilvl w:val="0"/>
          <w:numId w:val="15"/>
        </w:numPr>
        <w:ind w:left="660" w:hanging="660"/>
        <w:rPr>
          <w:lang w:val="hu-HU"/>
        </w:rPr>
      </w:pPr>
      <w:r>
        <w:rPr>
          <w:rFonts w:eastAsia="Times New Roman"/>
          <w:lang w:val="hu-HU"/>
        </w:rPr>
        <w:t>merevedési zavar</w:t>
      </w:r>
    </w:p>
    <w:p w14:paraId="464A2F96" w14:textId="77777777" w:rsidR="00130E8B" w:rsidRDefault="000405CC">
      <w:pPr>
        <w:pStyle w:val="a3"/>
        <w:numPr>
          <w:ilvl w:val="0"/>
          <w:numId w:val="15"/>
        </w:numPr>
        <w:ind w:left="660" w:hanging="660"/>
        <w:rPr>
          <w:lang w:val="hu-HU"/>
        </w:rPr>
      </w:pPr>
      <w:r>
        <w:rPr>
          <w:rFonts w:eastAsia="Times New Roman"/>
          <w:lang w:val="hu-HU"/>
        </w:rPr>
        <w:t>gyulladások</w:t>
      </w:r>
    </w:p>
    <w:p w14:paraId="27106DA1" w14:textId="77777777" w:rsidR="00130E8B" w:rsidRDefault="00130E8B">
      <w:pPr>
        <w:spacing w:before="13" w:line="240" w:lineRule="exact"/>
        <w:rPr>
          <w:sz w:val="24"/>
          <w:szCs w:val="24"/>
          <w:lang w:val="hu-HU"/>
        </w:rPr>
      </w:pPr>
    </w:p>
    <w:p w14:paraId="3C4A6EB0" w14:textId="07826C38" w:rsidR="00130E8B" w:rsidRDefault="000405CC">
      <w:pPr>
        <w:pStyle w:val="a3"/>
        <w:rPr>
          <w:lang w:val="hu-HU"/>
        </w:rPr>
      </w:pPr>
      <w:r>
        <w:rPr>
          <w:rFonts w:eastAsia="Times New Roman"/>
          <w:b/>
          <w:bCs/>
          <w:lang w:val="hu-HU"/>
        </w:rPr>
        <w:t xml:space="preserve">Ritka </w:t>
      </w:r>
      <w:r>
        <w:rPr>
          <w:rFonts w:eastAsia="Times New Roman"/>
          <w:lang w:val="hu-HU"/>
        </w:rPr>
        <w:t>(1000 beteg közül legfeljebb 1-nél kialakuló)</w:t>
      </w:r>
    </w:p>
    <w:p w14:paraId="0E852E6E" w14:textId="77777777" w:rsidR="00130E8B" w:rsidRDefault="00130E8B">
      <w:pPr>
        <w:spacing w:before="12" w:line="240" w:lineRule="exact"/>
        <w:rPr>
          <w:sz w:val="24"/>
          <w:szCs w:val="24"/>
          <w:lang w:val="hu-HU"/>
        </w:rPr>
      </w:pPr>
    </w:p>
    <w:p w14:paraId="2652F94B" w14:textId="77777777" w:rsidR="00130E8B" w:rsidRDefault="000405CC">
      <w:pPr>
        <w:pStyle w:val="a3"/>
        <w:numPr>
          <w:ilvl w:val="0"/>
          <w:numId w:val="15"/>
        </w:numPr>
        <w:ind w:left="660" w:hanging="660"/>
        <w:rPr>
          <w:lang w:val="hu-HU"/>
        </w:rPr>
      </w:pPr>
      <w:r>
        <w:rPr>
          <w:rFonts w:eastAsia="Times New Roman"/>
          <w:lang w:val="hu-HU"/>
        </w:rPr>
        <w:t>leukémia (fehérvérűség, a vérképző rendszer daganata, ami a csontvelőt érinti)</w:t>
      </w:r>
    </w:p>
    <w:p w14:paraId="58328916" w14:textId="77777777" w:rsidR="00130E8B" w:rsidRDefault="000405CC">
      <w:pPr>
        <w:pStyle w:val="a3"/>
        <w:numPr>
          <w:ilvl w:val="0"/>
          <w:numId w:val="15"/>
        </w:numPr>
        <w:ind w:left="660" w:hanging="660"/>
        <w:rPr>
          <w:lang w:val="hu-HU"/>
        </w:rPr>
      </w:pPr>
      <w:r>
        <w:rPr>
          <w:rFonts w:eastAsia="Times New Roman"/>
          <w:lang w:val="hu-HU"/>
        </w:rPr>
        <w:t>súlyos, sokkot okozó allergiás reakció</w:t>
      </w:r>
    </w:p>
    <w:p w14:paraId="25C1FED7" w14:textId="77777777" w:rsidR="00130E8B" w:rsidRDefault="000405CC">
      <w:pPr>
        <w:pStyle w:val="a3"/>
        <w:numPr>
          <w:ilvl w:val="0"/>
          <w:numId w:val="15"/>
        </w:numPr>
        <w:ind w:left="660" w:hanging="660"/>
        <w:rPr>
          <w:lang w:val="hu-HU"/>
        </w:rPr>
      </w:pPr>
      <w:r>
        <w:rPr>
          <w:rFonts w:eastAsia="Times New Roman"/>
          <w:lang w:val="hu-HU"/>
        </w:rPr>
        <w:t>szklerózis multiplex</w:t>
      </w:r>
    </w:p>
    <w:p w14:paraId="1E5A3C86" w14:textId="478091C7" w:rsidR="00130E8B" w:rsidRDefault="000405CC">
      <w:pPr>
        <w:pStyle w:val="a3"/>
        <w:numPr>
          <w:ilvl w:val="0"/>
          <w:numId w:val="15"/>
        </w:numPr>
        <w:ind w:left="660" w:hanging="660"/>
        <w:rPr>
          <w:lang w:val="hu-HU"/>
        </w:rPr>
      </w:pPr>
      <w:r>
        <w:rPr>
          <w:rFonts w:eastAsia="Times New Roman"/>
          <w:lang w:val="hu-HU"/>
        </w:rPr>
        <w:t>ideggyógyászati betegségek (</w:t>
      </w:r>
      <w:r w:rsidR="00E712D7">
        <w:rPr>
          <w:rFonts w:eastAsia="Times New Roman"/>
          <w:lang w:val="hu-HU"/>
        </w:rPr>
        <w:t>például</w:t>
      </w:r>
      <w:r>
        <w:rPr>
          <w:rFonts w:eastAsia="Times New Roman"/>
          <w:lang w:val="hu-HU"/>
        </w:rPr>
        <w:t xml:space="preserve"> a látóideg gyulladása vagy Guillain–Barré-</w:t>
      </w:r>
      <w:r w:rsidR="00DD2856" w:rsidRPr="004D41F4">
        <w:rPr>
          <w:rFonts w:eastAsia="Times New Roman"/>
          <w:lang w:val="hu-HU"/>
        </w:rPr>
        <w:t>tünetegyüttes</w:t>
      </w:r>
      <w:r>
        <w:rPr>
          <w:rFonts w:eastAsia="Times New Roman"/>
          <w:lang w:val="hu-HU"/>
        </w:rPr>
        <w:t>, ami izomgyengeséget, érzészavart, a kar</w:t>
      </w:r>
      <w:r w:rsidR="0095248B">
        <w:rPr>
          <w:rFonts w:eastAsia="Times New Roman"/>
          <w:lang w:val="hu-HU"/>
        </w:rPr>
        <w:t>ok</w:t>
      </w:r>
      <w:r>
        <w:rPr>
          <w:rFonts w:eastAsia="Times New Roman"/>
          <w:lang w:val="hu-HU"/>
        </w:rPr>
        <w:t xml:space="preserve"> és a felsőtest zsibbadását okozhatja)</w:t>
      </w:r>
    </w:p>
    <w:p w14:paraId="06D09FEC" w14:textId="77777777" w:rsidR="00130E8B" w:rsidRDefault="000405CC">
      <w:pPr>
        <w:pStyle w:val="a3"/>
        <w:numPr>
          <w:ilvl w:val="0"/>
          <w:numId w:val="15"/>
        </w:numPr>
        <w:ind w:left="660" w:hanging="660"/>
        <w:rPr>
          <w:lang w:val="hu-HU"/>
        </w:rPr>
      </w:pPr>
      <w:r>
        <w:rPr>
          <w:rFonts w:eastAsia="Times New Roman"/>
          <w:lang w:val="hu-HU"/>
        </w:rPr>
        <w:t>szívleállás</w:t>
      </w:r>
    </w:p>
    <w:p w14:paraId="0C93DFE7" w14:textId="77777777" w:rsidR="00130E8B" w:rsidRDefault="000405CC">
      <w:pPr>
        <w:pStyle w:val="a3"/>
        <w:numPr>
          <w:ilvl w:val="0"/>
          <w:numId w:val="15"/>
        </w:numPr>
        <w:ind w:left="660" w:hanging="660"/>
        <w:rPr>
          <w:lang w:val="hu-HU"/>
        </w:rPr>
      </w:pPr>
      <w:r>
        <w:rPr>
          <w:rFonts w:eastAsia="Times New Roman"/>
          <w:lang w:val="hu-HU"/>
        </w:rPr>
        <w:t>tüdőfibrózis (tüdőhegesedés)</w:t>
      </w:r>
    </w:p>
    <w:p w14:paraId="2001591E" w14:textId="0858B043" w:rsidR="00130E8B" w:rsidRDefault="0095248B">
      <w:pPr>
        <w:pStyle w:val="a3"/>
        <w:numPr>
          <w:ilvl w:val="0"/>
          <w:numId w:val="15"/>
        </w:numPr>
        <w:ind w:left="660" w:hanging="660"/>
        <w:rPr>
          <w:lang w:val="hu-HU"/>
        </w:rPr>
      </w:pPr>
      <w:r w:rsidRPr="00545FC6">
        <w:rPr>
          <w:lang w:val="hu-HU"/>
        </w:rPr>
        <w:t>bél átlyukadás</w:t>
      </w:r>
    </w:p>
    <w:p w14:paraId="6EC49037" w14:textId="77777777" w:rsidR="00130E8B" w:rsidRDefault="000405CC">
      <w:pPr>
        <w:pStyle w:val="a3"/>
        <w:numPr>
          <w:ilvl w:val="0"/>
          <w:numId w:val="15"/>
        </w:numPr>
        <w:ind w:left="660" w:hanging="660"/>
        <w:rPr>
          <w:lang w:val="hu-HU"/>
        </w:rPr>
      </w:pPr>
      <w:r>
        <w:rPr>
          <w:rFonts w:eastAsia="Times New Roman"/>
          <w:lang w:val="hu-HU"/>
        </w:rPr>
        <w:t>májgyulladás</w:t>
      </w:r>
    </w:p>
    <w:p w14:paraId="05DD704A" w14:textId="77777777" w:rsidR="00130E8B" w:rsidRDefault="000405CC">
      <w:pPr>
        <w:pStyle w:val="a3"/>
        <w:numPr>
          <w:ilvl w:val="0"/>
          <w:numId w:val="15"/>
        </w:numPr>
        <w:ind w:left="660" w:hanging="660"/>
        <w:rPr>
          <w:lang w:val="hu-HU"/>
        </w:rPr>
      </w:pPr>
      <w:r>
        <w:rPr>
          <w:rFonts w:eastAsia="Times New Roman"/>
          <w:lang w:val="hu-HU"/>
        </w:rPr>
        <w:t>B típusú fertőző májgyulladás kiújulása</w:t>
      </w:r>
    </w:p>
    <w:p w14:paraId="1B29865A" w14:textId="77777777" w:rsidR="00130E8B" w:rsidRDefault="000405CC">
      <w:pPr>
        <w:pStyle w:val="a3"/>
        <w:numPr>
          <w:ilvl w:val="0"/>
          <w:numId w:val="15"/>
        </w:numPr>
        <w:ind w:left="660" w:hanging="660"/>
        <w:rPr>
          <w:lang w:val="hu-HU"/>
        </w:rPr>
      </w:pPr>
      <w:r>
        <w:rPr>
          <w:rFonts w:eastAsia="Times New Roman"/>
          <w:lang w:val="hu-HU"/>
        </w:rPr>
        <w:t>autoimmun májgyulladás (a máj gyulladása, melyet a saját immunrendszer vált ki)</w:t>
      </w:r>
    </w:p>
    <w:p w14:paraId="2313D867" w14:textId="345E8455" w:rsidR="00130E8B" w:rsidRDefault="00DC37D0">
      <w:pPr>
        <w:pStyle w:val="a3"/>
        <w:numPr>
          <w:ilvl w:val="0"/>
          <w:numId w:val="15"/>
        </w:numPr>
        <w:ind w:left="660" w:hanging="660"/>
        <w:rPr>
          <w:lang w:val="hu-HU"/>
        </w:rPr>
      </w:pPr>
      <w:r>
        <w:rPr>
          <w:rFonts w:eastAsia="Times New Roman"/>
          <w:lang w:val="hu-HU"/>
        </w:rPr>
        <w:t xml:space="preserve">a bőrben található erek gyulladása </w:t>
      </w:r>
      <w:r w:rsidR="000405CC">
        <w:rPr>
          <w:rFonts w:eastAsia="Times New Roman"/>
          <w:lang w:val="hu-HU"/>
        </w:rPr>
        <w:t>(</w:t>
      </w:r>
      <w:r w:rsidR="0044419B">
        <w:rPr>
          <w:rFonts w:eastAsia="Times New Roman"/>
          <w:lang w:val="hu-HU"/>
        </w:rPr>
        <w:t>kután vaszkulitisz</w:t>
      </w:r>
      <w:r w:rsidR="000405CC">
        <w:rPr>
          <w:rFonts w:eastAsia="Times New Roman"/>
          <w:lang w:val="hu-HU"/>
        </w:rPr>
        <w:t>)</w:t>
      </w:r>
    </w:p>
    <w:p w14:paraId="4B61B99D" w14:textId="77777777" w:rsidR="00130E8B" w:rsidRDefault="000405CC">
      <w:pPr>
        <w:pStyle w:val="a3"/>
        <w:numPr>
          <w:ilvl w:val="0"/>
          <w:numId w:val="15"/>
        </w:numPr>
        <w:ind w:left="660" w:hanging="660"/>
        <w:rPr>
          <w:lang w:val="hu-HU"/>
        </w:rPr>
      </w:pPr>
      <w:r>
        <w:rPr>
          <w:rFonts w:eastAsia="Times New Roman"/>
          <w:lang w:val="hu-HU"/>
        </w:rPr>
        <w:t>Stevens–Johnson-szindróma (korai tünetei a rossz közérzet, láz, fejfájás és bőrkiütés)</w:t>
      </w:r>
    </w:p>
    <w:p w14:paraId="7F1A9FD6" w14:textId="77777777" w:rsidR="00130E8B" w:rsidRDefault="000405CC">
      <w:pPr>
        <w:pStyle w:val="a3"/>
        <w:numPr>
          <w:ilvl w:val="0"/>
          <w:numId w:val="15"/>
        </w:numPr>
        <w:ind w:left="660" w:hanging="660"/>
        <w:rPr>
          <w:lang w:val="hu-HU"/>
        </w:rPr>
      </w:pPr>
      <w:r>
        <w:rPr>
          <w:rFonts w:eastAsia="Times New Roman"/>
          <w:lang w:val="hu-HU"/>
        </w:rPr>
        <w:t>arcduzzanat, amit allergiás reakció kísér</w:t>
      </w:r>
    </w:p>
    <w:p w14:paraId="3B72D2D9" w14:textId="11E00605" w:rsidR="00130E8B" w:rsidRDefault="00DC37D0">
      <w:pPr>
        <w:pStyle w:val="a3"/>
        <w:numPr>
          <w:ilvl w:val="0"/>
          <w:numId w:val="15"/>
        </w:numPr>
        <w:ind w:left="660" w:hanging="660"/>
        <w:rPr>
          <w:lang w:val="hu-HU"/>
        </w:rPr>
      </w:pPr>
      <w:r>
        <w:rPr>
          <w:rFonts w:eastAsia="Times New Roman"/>
          <w:lang w:val="hu-HU"/>
        </w:rPr>
        <w:t xml:space="preserve">gyulladásos bőrkiütés </w:t>
      </w:r>
      <w:r w:rsidR="000405CC">
        <w:rPr>
          <w:rFonts w:eastAsia="Times New Roman"/>
          <w:lang w:val="hu-HU"/>
        </w:rPr>
        <w:t>(</w:t>
      </w:r>
      <w:r>
        <w:rPr>
          <w:rFonts w:eastAsia="Times New Roman"/>
          <w:lang w:val="hu-HU"/>
        </w:rPr>
        <w:t>eritéma multiforme</w:t>
      </w:r>
      <w:r w:rsidR="0044419B">
        <w:rPr>
          <w:rFonts w:eastAsia="Times New Roman"/>
          <w:lang w:val="hu-HU"/>
        </w:rPr>
        <w:t>)</w:t>
      </w:r>
    </w:p>
    <w:p w14:paraId="3F0F9D48" w14:textId="77777777" w:rsidR="00130E8B" w:rsidRDefault="000405CC">
      <w:pPr>
        <w:pStyle w:val="a3"/>
        <w:numPr>
          <w:ilvl w:val="0"/>
          <w:numId w:val="15"/>
        </w:numPr>
        <w:ind w:left="660" w:hanging="660"/>
        <w:rPr>
          <w:lang w:val="hu-HU"/>
        </w:rPr>
      </w:pPr>
      <w:r>
        <w:rPr>
          <w:rFonts w:eastAsia="Times New Roman"/>
          <w:lang w:val="hu-HU"/>
        </w:rPr>
        <w:t>lupusz-szerű szindróma</w:t>
      </w:r>
    </w:p>
    <w:p w14:paraId="5511B3D0" w14:textId="5764F4A3" w:rsidR="00130E8B" w:rsidRDefault="00DC37D0">
      <w:pPr>
        <w:pStyle w:val="a3"/>
        <w:numPr>
          <w:ilvl w:val="0"/>
          <w:numId w:val="15"/>
        </w:numPr>
        <w:ind w:left="660" w:hanging="660"/>
        <w:rPr>
          <w:lang w:val="hu-HU"/>
        </w:rPr>
      </w:pPr>
      <w:r>
        <w:rPr>
          <w:rFonts w:eastAsia="Times New Roman"/>
          <w:lang w:val="hu-HU"/>
        </w:rPr>
        <w:t xml:space="preserve">helyi bőrduzzanat </w:t>
      </w:r>
      <w:r w:rsidR="000405CC">
        <w:rPr>
          <w:rFonts w:eastAsia="Times New Roman"/>
          <w:lang w:val="hu-HU"/>
        </w:rPr>
        <w:t>(</w:t>
      </w:r>
      <w:r>
        <w:rPr>
          <w:rFonts w:eastAsia="Times New Roman"/>
          <w:lang w:val="hu-HU"/>
        </w:rPr>
        <w:t>angioödéma</w:t>
      </w:r>
      <w:r w:rsidR="000405CC">
        <w:rPr>
          <w:rFonts w:eastAsia="Times New Roman"/>
          <w:lang w:val="hu-HU"/>
        </w:rPr>
        <w:t>)</w:t>
      </w:r>
    </w:p>
    <w:p w14:paraId="232C188B" w14:textId="77777777" w:rsidR="00130E8B" w:rsidRDefault="000405CC">
      <w:pPr>
        <w:pStyle w:val="a3"/>
        <w:numPr>
          <w:ilvl w:val="0"/>
          <w:numId w:val="15"/>
        </w:numPr>
        <w:ind w:left="660" w:hanging="660"/>
        <w:rPr>
          <w:lang w:val="hu-HU"/>
        </w:rPr>
      </w:pPr>
      <w:r>
        <w:rPr>
          <w:rFonts w:eastAsia="Times New Roman"/>
          <w:lang w:val="hu-HU"/>
        </w:rPr>
        <w:lastRenderedPageBreak/>
        <w:t>lichenoid bőrreakció (viszkető, vöröses-lilás bőrkiütés).</w:t>
      </w:r>
    </w:p>
    <w:p w14:paraId="6DB64823" w14:textId="77777777" w:rsidR="00130E8B" w:rsidRDefault="00130E8B">
      <w:pPr>
        <w:spacing w:before="10" w:line="240" w:lineRule="exact"/>
        <w:rPr>
          <w:sz w:val="24"/>
          <w:szCs w:val="24"/>
          <w:lang w:val="hu-HU"/>
        </w:rPr>
      </w:pPr>
    </w:p>
    <w:p w14:paraId="04FA5709" w14:textId="570A0414" w:rsidR="00130E8B" w:rsidRDefault="000405CC">
      <w:pPr>
        <w:pStyle w:val="a3"/>
        <w:rPr>
          <w:lang w:val="hu-HU"/>
        </w:rPr>
      </w:pPr>
      <w:r>
        <w:rPr>
          <w:rFonts w:eastAsia="Times New Roman"/>
          <w:b/>
          <w:bCs/>
          <w:lang w:val="hu-HU"/>
        </w:rPr>
        <w:t>Nem ismert</w:t>
      </w:r>
      <w:r>
        <w:rPr>
          <w:rFonts w:eastAsia="Times New Roman"/>
          <w:lang w:val="hu-HU"/>
        </w:rPr>
        <w:t xml:space="preserve"> (a gyakoriság a rendelkezésre álló adatokból nem állapítható meg)</w:t>
      </w:r>
    </w:p>
    <w:p w14:paraId="12E9B28A" w14:textId="77777777" w:rsidR="00130E8B" w:rsidRDefault="00130E8B">
      <w:pPr>
        <w:spacing w:before="14" w:line="240" w:lineRule="exact"/>
        <w:rPr>
          <w:sz w:val="24"/>
          <w:szCs w:val="24"/>
          <w:lang w:val="hu-HU"/>
        </w:rPr>
      </w:pPr>
    </w:p>
    <w:p w14:paraId="2A730970" w14:textId="77777777" w:rsidR="00130E8B" w:rsidRDefault="000405CC">
      <w:pPr>
        <w:pStyle w:val="a3"/>
        <w:numPr>
          <w:ilvl w:val="0"/>
          <w:numId w:val="15"/>
        </w:numPr>
        <w:ind w:left="660" w:hanging="660"/>
        <w:rPr>
          <w:lang w:val="hu-HU"/>
        </w:rPr>
      </w:pPr>
      <w:r>
        <w:rPr>
          <w:rFonts w:eastAsia="Times New Roman"/>
          <w:lang w:val="hu-HU"/>
        </w:rPr>
        <w:t>hepatoszplénikus T-sejtes limfóma (ritka vérrák, amely gyakran halálos kimenetelű)</w:t>
      </w:r>
    </w:p>
    <w:p w14:paraId="1A3DD519" w14:textId="77777777" w:rsidR="00130E8B" w:rsidRDefault="000405CC">
      <w:pPr>
        <w:pStyle w:val="a3"/>
        <w:numPr>
          <w:ilvl w:val="0"/>
          <w:numId w:val="15"/>
        </w:numPr>
        <w:ind w:left="660" w:hanging="660"/>
        <w:rPr>
          <w:lang w:val="hu-HU"/>
        </w:rPr>
      </w:pPr>
      <w:r>
        <w:rPr>
          <w:rFonts w:eastAsia="Times New Roman"/>
          <w:lang w:val="hu-HU"/>
        </w:rPr>
        <w:t>Merkel-sejtes karcinóma (a bőrrák egyik típusa)</w:t>
      </w:r>
    </w:p>
    <w:p w14:paraId="5124D787" w14:textId="2A6568CB" w:rsidR="00130E8B" w:rsidRDefault="000405CC">
      <w:pPr>
        <w:pStyle w:val="a3"/>
        <w:numPr>
          <w:ilvl w:val="0"/>
          <w:numId w:val="15"/>
        </w:numPr>
        <w:ind w:left="660" w:hanging="660"/>
        <w:rPr>
          <w:lang w:val="hu-HU"/>
        </w:rPr>
      </w:pPr>
      <w:r>
        <w:rPr>
          <w:rFonts w:eastAsia="Times New Roman"/>
          <w:lang w:val="hu-HU"/>
        </w:rPr>
        <w:t xml:space="preserve">Kaposi-szarkóma, egy ritka rák, amely humán herpeszvírus 8-fertőzéssel függ össze. A Kaposi szarkóma leggyakrabban lila </w:t>
      </w:r>
      <w:r w:rsidR="00DD2856" w:rsidRPr="004D41F4">
        <w:rPr>
          <w:rFonts w:eastAsia="Times New Roman"/>
          <w:lang w:val="hu-HU"/>
        </w:rPr>
        <w:t>sérülésként</w:t>
      </w:r>
      <w:r w:rsidR="00DD2856">
        <w:rPr>
          <w:rFonts w:eastAsia="Times New Roman"/>
          <w:lang w:val="hu-HU"/>
        </w:rPr>
        <w:t xml:space="preserve"> </w:t>
      </w:r>
      <w:r>
        <w:rPr>
          <w:rFonts w:eastAsia="Times New Roman"/>
          <w:lang w:val="hu-HU"/>
        </w:rPr>
        <w:t>jelenik meg a bőrön.</w:t>
      </w:r>
    </w:p>
    <w:p w14:paraId="0D6D3FC5" w14:textId="77777777" w:rsidR="00130E8B" w:rsidRDefault="000405CC">
      <w:pPr>
        <w:pStyle w:val="a3"/>
        <w:numPr>
          <w:ilvl w:val="0"/>
          <w:numId w:val="15"/>
        </w:numPr>
        <w:ind w:left="660" w:hanging="660"/>
        <w:rPr>
          <w:lang w:val="hu-HU"/>
        </w:rPr>
      </w:pPr>
      <w:r>
        <w:rPr>
          <w:rFonts w:eastAsia="Times New Roman"/>
          <w:lang w:val="hu-HU"/>
        </w:rPr>
        <w:t>májelégtelenség</w:t>
      </w:r>
    </w:p>
    <w:p w14:paraId="3334275C" w14:textId="0994670E" w:rsidR="00130E8B" w:rsidRPr="00526958" w:rsidRDefault="000405CC">
      <w:pPr>
        <w:pStyle w:val="a3"/>
        <w:numPr>
          <w:ilvl w:val="0"/>
          <w:numId w:val="15"/>
        </w:numPr>
        <w:ind w:left="660" w:hanging="660"/>
        <w:rPr>
          <w:lang w:val="hu-HU"/>
        </w:rPr>
      </w:pPr>
      <w:r>
        <w:rPr>
          <w:rFonts w:eastAsia="Times New Roman"/>
          <w:lang w:val="hu-HU"/>
        </w:rPr>
        <w:t>dermatomiozitisz nevű betegség (izomgyengeséghez társult bőrkiütés formájában jelentkezik) súlyosbodása</w:t>
      </w:r>
    </w:p>
    <w:p w14:paraId="1D4239D0" w14:textId="0F7203FF" w:rsidR="00ED0DD9" w:rsidRDefault="00DD2856" w:rsidP="00526958">
      <w:pPr>
        <w:pStyle w:val="a3"/>
        <w:numPr>
          <w:ilvl w:val="0"/>
          <w:numId w:val="15"/>
        </w:numPr>
        <w:ind w:left="660" w:hanging="660"/>
        <w:rPr>
          <w:lang w:val="hu-HU"/>
        </w:rPr>
      </w:pPr>
      <w:r>
        <w:rPr>
          <w:rFonts w:eastAsia="Times New Roman"/>
          <w:lang w:val="hu-HU"/>
        </w:rPr>
        <w:t>t</w:t>
      </w:r>
      <w:r w:rsidR="00ED0DD9" w:rsidRPr="00526958">
        <w:rPr>
          <w:rFonts w:eastAsia="Times New Roman"/>
          <w:lang w:val="hu-HU"/>
        </w:rPr>
        <w:t>est</w:t>
      </w:r>
      <w:r w:rsidR="003F5D6E">
        <w:rPr>
          <w:rFonts w:eastAsia="Times New Roman"/>
          <w:lang w:val="hu-HU"/>
        </w:rPr>
        <w:t>tömeg</w:t>
      </w:r>
      <w:r w:rsidR="00ED0DD9" w:rsidRPr="00526958">
        <w:rPr>
          <w:rFonts w:eastAsia="Times New Roman"/>
          <w:lang w:val="hu-HU"/>
        </w:rPr>
        <w:t>növekedés (a legtöbb betegnél ez kismértékű volt)</w:t>
      </w:r>
    </w:p>
    <w:p w14:paraId="72D6B023" w14:textId="77777777" w:rsidR="00130E8B" w:rsidRDefault="00130E8B">
      <w:pPr>
        <w:pStyle w:val="a3"/>
        <w:numPr>
          <w:ilvl w:val="0"/>
          <w:numId w:val="0"/>
        </w:numPr>
        <w:rPr>
          <w:lang w:val="hu-HU"/>
        </w:rPr>
      </w:pPr>
    </w:p>
    <w:p w14:paraId="31302600" w14:textId="77777777" w:rsidR="00130E8B" w:rsidRDefault="000405CC">
      <w:pPr>
        <w:pStyle w:val="a3"/>
        <w:rPr>
          <w:lang w:val="hu-HU"/>
        </w:rPr>
      </w:pPr>
      <w:r>
        <w:rPr>
          <w:rFonts w:eastAsia="Times New Roman"/>
          <w:lang w:val="hu-HU"/>
        </w:rPr>
        <w:t>A Yuflyma alkalmazása során észlelt némelyik mellékhatás nem okoz tüneteket, és lehet, hogy csak vérvizsgálattal deríthető ki. Ezek köze tartozik:</w:t>
      </w:r>
    </w:p>
    <w:p w14:paraId="1F2EAE6F" w14:textId="77777777" w:rsidR="00130E8B" w:rsidRDefault="00130E8B">
      <w:pPr>
        <w:pStyle w:val="a3"/>
        <w:rPr>
          <w:lang w:val="hu-HU"/>
        </w:rPr>
      </w:pPr>
    </w:p>
    <w:p w14:paraId="5CE6A965" w14:textId="241015B8" w:rsidR="00130E8B" w:rsidRDefault="000405CC">
      <w:pPr>
        <w:pStyle w:val="a3"/>
        <w:rPr>
          <w:rFonts w:eastAsia="Times New Roman"/>
          <w:lang w:val="hu-HU"/>
        </w:rPr>
      </w:pPr>
      <w:r>
        <w:rPr>
          <w:rFonts w:eastAsia="Times New Roman"/>
          <w:b/>
          <w:bCs/>
          <w:spacing w:val="-1"/>
          <w:lang w:val="hu-HU"/>
        </w:rPr>
        <w:t xml:space="preserve">Nagyon gyakori </w:t>
      </w:r>
      <w:r>
        <w:rPr>
          <w:rFonts w:eastAsia="Times New Roman"/>
          <w:spacing w:val="-1"/>
          <w:lang w:val="hu-HU"/>
        </w:rPr>
        <w:t xml:space="preserve">(10 beteg közül </w:t>
      </w:r>
      <w:r w:rsidR="00DD2856" w:rsidRPr="004D41F4">
        <w:rPr>
          <w:rFonts w:eastAsia="Times New Roman"/>
          <w:lang w:val="hu-HU"/>
        </w:rPr>
        <w:t>legfeljebb</w:t>
      </w:r>
      <w:r>
        <w:rPr>
          <w:rFonts w:eastAsia="Times New Roman"/>
          <w:spacing w:val="-1"/>
          <w:lang w:val="hu-HU"/>
        </w:rPr>
        <w:t xml:space="preserve"> 1-nél kialakuló)</w:t>
      </w:r>
    </w:p>
    <w:p w14:paraId="17FD7610" w14:textId="77777777" w:rsidR="00130E8B" w:rsidRDefault="00130E8B">
      <w:pPr>
        <w:pStyle w:val="a3"/>
        <w:rPr>
          <w:lang w:val="hu-HU"/>
        </w:rPr>
      </w:pPr>
    </w:p>
    <w:p w14:paraId="71A70CA4" w14:textId="181E03A5" w:rsidR="00130E8B" w:rsidRDefault="00DD2856">
      <w:pPr>
        <w:pStyle w:val="a3"/>
        <w:numPr>
          <w:ilvl w:val="0"/>
          <w:numId w:val="15"/>
        </w:numPr>
        <w:ind w:left="660" w:hanging="660"/>
        <w:rPr>
          <w:lang w:val="hu-HU"/>
        </w:rPr>
      </w:pPr>
      <w:r>
        <w:rPr>
          <w:rFonts w:eastAsia="Times New Roman"/>
          <w:lang w:val="hu-HU"/>
        </w:rPr>
        <w:t xml:space="preserve">magas </w:t>
      </w:r>
      <w:r w:rsidR="000405CC">
        <w:rPr>
          <w:rFonts w:eastAsia="Times New Roman"/>
          <w:lang w:val="hu-HU"/>
        </w:rPr>
        <w:t>fehérvérsejtszám</w:t>
      </w:r>
    </w:p>
    <w:p w14:paraId="309CDEB3" w14:textId="77777777" w:rsidR="00130E8B" w:rsidRDefault="000405CC">
      <w:pPr>
        <w:pStyle w:val="a3"/>
        <w:numPr>
          <w:ilvl w:val="0"/>
          <w:numId w:val="15"/>
        </w:numPr>
        <w:ind w:left="660" w:hanging="660"/>
        <w:rPr>
          <w:lang w:val="hu-HU"/>
        </w:rPr>
      </w:pPr>
      <w:r>
        <w:rPr>
          <w:rFonts w:eastAsia="Times New Roman"/>
          <w:lang w:val="hu-HU"/>
        </w:rPr>
        <w:t>alacsony fehérvértestszám</w:t>
      </w:r>
    </w:p>
    <w:p w14:paraId="0D183AE5" w14:textId="77777777" w:rsidR="00130E8B" w:rsidRDefault="000405CC">
      <w:pPr>
        <w:pStyle w:val="a3"/>
        <w:numPr>
          <w:ilvl w:val="0"/>
          <w:numId w:val="15"/>
        </w:numPr>
        <w:ind w:left="660" w:hanging="660"/>
        <w:rPr>
          <w:lang w:val="hu-HU"/>
        </w:rPr>
      </w:pPr>
      <w:r>
        <w:rPr>
          <w:rFonts w:eastAsia="Times New Roman"/>
          <w:lang w:val="hu-HU"/>
        </w:rPr>
        <w:t>a vérzsírszint emelkedése</w:t>
      </w:r>
    </w:p>
    <w:p w14:paraId="759809B4" w14:textId="77777777" w:rsidR="00130E8B" w:rsidRDefault="000405CC">
      <w:pPr>
        <w:pStyle w:val="a3"/>
        <w:numPr>
          <w:ilvl w:val="0"/>
          <w:numId w:val="15"/>
        </w:numPr>
        <w:ind w:left="660" w:hanging="660"/>
        <w:rPr>
          <w:lang w:val="hu-HU"/>
        </w:rPr>
      </w:pPr>
      <w:r>
        <w:rPr>
          <w:rFonts w:eastAsia="Times New Roman"/>
          <w:lang w:val="hu-HU"/>
        </w:rPr>
        <w:t>emelkedett májenzimszintek</w:t>
      </w:r>
    </w:p>
    <w:p w14:paraId="64B9262A" w14:textId="77777777" w:rsidR="00130E8B" w:rsidRDefault="00130E8B">
      <w:pPr>
        <w:spacing w:before="10" w:line="240" w:lineRule="exact"/>
        <w:rPr>
          <w:sz w:val="24"/>
          <w:szCs w:val="24"/>
          <w:lang w:val="hu-HU"/>
        </w:rPr>
      </w:pPr>
    </w:p>
    <w:p w14:paraId="2DFA0921" w14:textId="77777777" w:rsidR="00130E8B" w:rsidRDefault="000405CC">
      <w:pPr>
        <w:pStyle w:val="a3"/>
        <w:rPr>
          <w:lang w:val="hu-HU"/>
        </w:rPr>
      </w:pPr>
      <w:r>
        <w:rPr>
          <w:rFonts w:eastAsia="Times New Roman"/>
          <w:b/>
          <w:bCs/>
          <w:lang w:val="hu-HU"/>
        </w:rPr>
        <w:t xml:space="preserve">Gyakori </w:t>
      </w:r>
      <w:r>
        <w:rPr>
          <w:rFonts w:eastAsia="Times New Roman"/>
          <w:lang w:val="hu-HU"/>
        </w:rPr>
        <w:t>(10 beteg közül több mint 1-nél kialakuló)</w:t>
      </w:r>
    </w:p>
    <w:p w14:paraId="6C3CF1BB" w14:textId="77777777" w:rsidR="00130E8B" w:rsidRDefault="00130E8B">
      <w:pPr>
        <w:spacing w:before="14" w:line="240" w:lineRule="exact"/>
        <w:rPr>
          <w:sz w:val="24"/>
          <w:szCs w:val="24"/>
          <w:lang w:val="hu-HU"/>
        </w:rPr>
      </w:pPr>
    </w:p>
    <w:p w14:paraId="79127C5B" w14:textId="77777777" w:rsidR="00130E8B" w:rsidRDefault="000405CC">
      <w:pPr>
        <w:pStyle w:val="a3"/>
        <w:numPr>
          <w:ilvl w:val="0"/>
          <w:numId w:val="15"/>
        </w:numPr>
        <w:ind w:left="660" w:hanging="660"/>
        <w:rPr>
          <w:lang w:val="hu-HU"/>
        </w:rPr>
      </w:pPr>
      <w:r>
        <w:rPr>
          <w:rFonts w:eastAsia="Times New Roman"/>
          <w:lang w:val="hu-HU"/>
        </w:rPr>
        <w:t>alacsony fehérvérsejtszám</w:t>
      </w:r>
    </w:p>
    <w:p w14:paraId="55399EC7" w14:textId="77777777" w:rsidR="00130E8B" w:rsidRDefault="000405CC">
      <w:pPr>
        <w:pStyle w:val="a3"/>
        <w:numPr>
          <w:ilvl w:val="0"/>
          <w:numId w:val="15"/>
        </w:numPr>
        <w:ind w:left="660" w:hanging="660"/>
        <w:rPr>
          <w:lang w:val="hu-HU"/>
        </w:rPr>
      </w:pPr>
      <w:r>
        <w:rPr>
          <w:rFonts w:eastAsia="Times New Roman"/>
          <w:lang w:val="hu-HU"/>
        </w:rPr>
        <w:t>alacsony vérlemezkeszám</w:t>
      </w:r>
    </w:p>
    <w:p w14:paraId="1E8D0B8A" w14:textId="77777777" w:rsidR="00130E8B" w:rsidRDefault="000405CC">
      <w:pPr>
        <w:pStyle w:val="a3"/>
        <w:numPr>
          <w:ilvl w:val="0"/>
          <w:numId w:val="15"/>
        </w:numPr>
        <w:ind w:left="660" w:hanging="660"/>
        <w:rPr>
          <w:lang w:val="hu-HU"/>
        </w:rPr>
      </w:pPr>
      <w:r>
        <w:rPr>
          <w:rFonts w:eastAsia="Times New Roman"/>
          <w:lang w:val="hu-HU"/>
        </w:rPr>
        <w:t>emelkedett húgysavszint a vérben</w:t>
      </w:r>
    </w:p>
    <w:p w14:paraId="24007F68" w14:textId="364B5E90" w:rsidR="00130E8B" w:rsidRDefault="00DC37D0">
      <w:pPr>
        <w:pStyle w:val="a3"/>
        <w:numPr>
          <w:ilvl w:val="0"/>
          <w:numId w:val="15"/>
        </w:numPr>
        <w:ind w:left="660" w:hanging="660"/>
        <w:rPr>
          <w:lang w:val="hu-HU"/>
        </w:rPr>
      </w:pPr>
      <w:r>
        <w:rPr>
          <w:lang w:val="hu-HU"/>
        </w:rPr>
        <w:t>kóro</w:t>
      </w:r>
      <w:r w:rsidR="000405CC">
        <w:rPr>
          <w:rFonts w:eastAsia="Times New Roman"/>
          <w:lang w:val="hu-HU"/>
        </w:rPr>
        <w:t>s nátriumszint a vérben</w:t>
      </w:r>
    </w:p>
    <w:p w14:paraId="42247D31" w14:textId="77777777" w:rsidR="00130E8B" w:rsidRDefault="000405CC">
      <w:pPr>
        <w:pStyle w:val="a3"/>
        <w:numPr>
          <w:ilvl w:val="0"/>
          <w:numId w:val="15"/>
        </w:numPr>
        <w:ind w:left="660" w:hanging="660"/>
        <w:rPr>
          <w:lang w:val="hu-HU"/>
        </w:rPr>
      </w:pPr>
      <w:r>
        <w:rPr>
          <w:rFonts w:eastAsia="Times New Roman"/>
          <w:lang w:val="hu-HU"/>
        </w:rPr>
        <w:t>alacsony kalciumszint a vérben</w:t>
      </w:r>
    </w:p>
    <w:p w14:paraId="0CE3946D" w14:textId="77777777" w:rsidR="00130E8B" w:rsidRDefault="000405CC">
      <w:pPr>
        <w:pStyle w:val="a3"/>
        <w:numPr>
          <w:ilvl w:val="0"/>
          <w:numId w:val="15"/>
        </w:numPr>
        <w:ind w:left="660" w:hanging="660"/>
        <w:rPr>
          <w:lang w:val="hu-HU"/>
        </w:rPr>
      </w:pPr>
      <w:r>
        <w:rPr>
          <w:rFonts w:eastAsia="Times New Roman"/>
          <w:lang w:val="hu-HU"/>
        </w:rPr>
        <w:t>alacsony foszfátszint a vérben</w:t>
      </w:r>
    </w:p>
    <w:p w14:paraId="11C1C1FD" w14:textId="77777777" w:rsidR="00130E8B" w:rsidRDefault="000405CC">
      <w:pPr>
        <w:pStyle w:val="a3"/>
        <w:numPr>
          <w:ilvl w:val="0"/>
          <w:numId w:val="15"/>
        </w:numPr>
        <w:ind w:left="660" w:hanging="660"/>
        <w:rPr>
          <w:lang w:val="hu-HU"/>
        </w:rPr>
      </w:pPr>
      <w:r>
        <w:rPr>
          <w:rFonts w:eastAsia="Times New Roman"/>
          <w:lang w:val="hu-HU"/>
        </w:rPr>
        <w:t>magas vércukorszint</w:t>
      </w:r>
    </w:p>
    <w:p w14:paraId="513BB6B7" w14:textId="77777777" w:rsidR="00130E8B" w:rsidRDefault="000405CC">
      <w:pPr>
        <w:pStyle w:val="a3"/>
        <w:numPr>
          <w:ilvl w:val="0"/>
          <w:numId w:val="15"/>
        </w:numPr>
        <w:ind w:left="660" w:hanging="660"/>
        <w:rPr>
          <w:lang w:val="hu-HU"/>
        </w:rPr>
      </w:pPr>
      <w:r>
        <w:rPr>
          <w:rFonts w:eastAsia="Times New Roman"/>
          <w:lang w:val="hu-HU"/>
        </w:rPr>
        <w:t>magas laktát-dehidrogenáz-szint a vérben</w:t>
      </w:r>
    </w:p>
    <w:p w14:paraId="7ADD5FF8" w14:textId="77777777" w:rsidR="00130E8B" w:rsidRDefault="000405CC">
      <w:pPr>
        <w:pStyle w:val="a3"/>
        <w:numPr>
          <w:ilvl w:val="0"/>
          <w:numId w:val="15"/>
        </w:numPr>
        <w:ind w:left="660" w:hanging="660"/>
        <w:rPr>
          <w:lang w:val="hu-HU"/>
        </w:rPr>
      </w:pPr>
      <w:r>
        <w:rPr>
          <w:rFonts w:eastAsia="Times New Roman"/>
          <w:lang w:val="hu-HU"/>
        </w:rPr>
        <w:t>autoantitestek megjelenése a vérben</w:t>
      </w:r>
    </w:p>
    <w:p w14:paraId="19B7B6F7" w14:textId="77777777" w:rsidR="00130E8B" w:rsidRDefault="000405CC">
      <w:pPr>
        <w:pStyle w:val="a3"/>
        <w:numPr>
          <w:ilvl w:val="0"/>
          <w:numId w:val="15"/>
        </w:numPr>
        <w:ind w:left="660" w:hanging="660"/>
        <w:rPr>
          <w:lang w:val="hu-HU"/>
        </w:rPr>
      </w:pPr>
      <w:r>
        <w:rPr>
          <w:rFonts w:eastAsia="Times New Roman"/>
          <w:lang w:val="hu-HU"/>
        </w:rPr>
        <w:t>alacsony káliumszint a vérben</w:t>
      </w:r>
    </w:p>
    <w:p w14:paraId="37F2DD99" w14:textId="77777777" w:rsidR="00130E8B" w:rsidRDefault="00130E8B">
      <w:pPr>
        <w:spacing w:before="13" w:line="240" w:lineRule="exact"/>
        <w:rPr>
          <w:sz w:val="24"/>
          <w:szCs w:val="24"/>
          <w:lang w:val="hu-HU"/>
        </w:rPr>
      </w:pPr>
    </w:p>
    <w:p w14:paraId="7B2C1570" w14:textId="77777777" w:rsidR="00130E8B" w:rsidRDefault="000405CC">
      <w:pPr>
        <w:rPr>
          <w:rFonts w:ascii="Times New Roman" w:eastAsia="Times New Roman" w:hAnsi="Times New Roman" w:cs="Times New Roman"/>
          <w:lang w:val="hu-HU"/>
        </w:rPr>
      </w:pPr>
      <w:r>
        <w:rPr>
          <w:rFonts w:ascii="Times New Roman" w:eastAsia="Times New Roman" w:hAnsi="Times New Roman" w:cs="Times New Roman"/>
          <w:b/>
          <w:bCs/>
          <w:spacing w:val="-1"/>
          <w:lang w:val="hu-HU"/>
        </w:rPr>
        <w:t xml:space="preserve">Nem gyakori </w:t>
      </w:r>
      <w:r>
        <w:rPr>
          <w:rFonts w:ascii="Times New Roman" w:eastAsia="Times New Roman" w:hAnsi="Times New Roman" w:cs="Times New Roman"/>
          <w:spacing w:val="-1"/>
          <w:lang w:val="hu-HU"/>
        </w:rPr>
        <w:t>(100 beteg közül legfeljebb 1-nél kialakuló)</w:t>
      </w:r>
    </w:p>
    <w:p w14:paraId="653F683D" w14:textId="77777777" w:rsidR="00130E8B" w:rsidRDefault="00130E8B">
      <w:pPr>
        <w:spacing w:before="12" w:line="240" w:lineRule="exact"/>
        <w:rPr>
          <w:sz w:val="24"/>
          <w:szCs w:val="24"/>
          <w:lang w:val="hu-HU"/>
        </w:rPr>
      </w:pPr>
    </w:p>
    <w:p w14:paraId="4C8EE46B" w14:textId="77777777" w:rsidR="00130E8B" w:rsidRDefault="000405CC">
      <w:pPr>
        <w:pStyle w:val="a3"/>
        <w:numPr>
          <w:ilvl w:val="0"/>
          <w:numId w:val="15"/>
        </w:numPr>
        <w:ind w:left="660" w:hanging="660"/>
        <w:rPr>
          <w:lang w:val="hu-HU"/>
        </w:rPr>
      </w:pPr>
      <w:r>
        <w:rPr>
          <w:rFonts w:eastAsia="Times New Roman"/>
          <w:lang w:val="hu-HU"/>
        </w:rPr>
        <w:t>emelkedett bilirubinszint (májfunkciós vizsgálati eredmény)</w:t>
      </w:r>
    </w:p>
    <w:p w14:paraId="20DDCB2B" w14:textId="77777777" w:rsidR="00130E8B" w:rsidRDefault="00130E8B">
      <w:pPr>
        <w:spacing w:before="13" w:line="240" w:lineRule="exact"/>
        <w:rPr>
          <w:sz w:val="24"/>
          <w:szCs w:val="24"/>
          <w:lang w:val="hu-HU"/>
        </w:rPr>
      </w:pPr>
    </w:p>
    <w:p w14:paraId="77C7F27B" w14:textId="0477985A" w:rsidR="00130E8B" w:rsidRDefault="000405CC">
      <w:pPr>
        <w:pStyle w:val="a3"/>
        <w:rPr>
          <w:lang w:val="hu-HU"/>
        </w:rPr>
      </w:pPr>
      <w:r>
        <w:rPr>
          <w:rFonts w:eastAsia="Times New Roman"/>
          <w:b/>
          <w:bCs/>
          <w:lang w:val="hu-HU"/>
        </w:rPr>
        <w:t xml:space="preserve">Ritka </w:t>
      </w:r>
      <w:r>
        <w:rPr>
          <w:rFonts w:eastAsia="Times New Roman"/>
          <w:lang w:val="hu-HU"/>
        </w:rPr>
        <w:t>(1000 beteg közül legfeljebb 1-nél kialakuló)</w:t>
      </w:r>
    </w:p>
    <w:p w14:paraId="4CAE4BEC" w14:textId="77777777" w:rsidR="00130E8B" w:rsidRDefault="00130E8B">
      <w:pPr>
        <w:spacing w:before="14" w:line="240" w:lineRule="exact"/>
        <w:rPr>
          <w:sz w:val="24"/>
          <w:szCs w:val="24"/>
          <w:lang w:val="hu-HU"/>
        </w:rPr>
      </w:pPr>
    </w:p>
    <w:p w14:paraId="55A384A9" w14:textId="77777777" w:rsidR="00130E8B" w:rsidRDefault="000405CC">
      <w:pPr>
        <w:pStyle w:val="a3"/>
        <w:numPr>
          <w:ilvl w:val="0"/>
          <w:numId w:val="15"/>
        </w:numPr>
        <w:ind w:left="660" w:hanging="660"/>
        <w:rPr>
          <w:lang w:val="hu-HU"/>
        </w:rPr>
      </w:pPr>
      <w:r>
        <w:rPr>
          <w:rFonts w:eastAsia="Times New Roman"/>
          <w:lang w:val="hu-HU"/>
        </w:rPr>
        <w:t>alacsony fehérvérsejtszám, vörösvértestszám és vérlemezkeszám</w:t>
      </w:r>
    </w:p>
    <w:p w14:paraId="7D251EC2" w14:textId="77777777" w:rsidR="00130E8B" w:rsidRDefault="00130E8B">
      <w:pPr>
        <w:spacing w:before="15" w:line="240" w:lineRule="exact"/>
        <w:rPr>
          <w:sz w:val="24"/>
          <w:szCs w:val="24"/>
          <w:lang w:val="hu-HU"/>
        </w:rPr>
      </w:pPr>
    </w:p>
    <w:p w14:paraId="1419F0BD" w14:textId="77777777" w:rsidR="00130E8B" w:rsidRDefault="000405CC">
      <w:pPr>
        <w:pStyle w:val="a3"/>
        <w:rPr>
          <w:b/>
          <w:lang w:val="hu-HU"/>
        </w:rPr>
      </w:pPr>
      <w:r>
        <w:rPr>
          <w:rFonts w:eastAsia="Times New Roman"/>
          <w:b/>
          <w:bCs/>
          <w:lang w:val="hu-HU"/>
        </w:rPr>
        <w:t>Mellékhatások bejelentése</w:t>
      </w:r>
    </w:p>
    <w:p w14:paraId="42354AAB" w14:textId="77777777" w:rsidR="00130E8B" w:rsidRDefault="00130E8B">
      <w:pPr>
        <w:pStyle w:val="a3"/>
        <w:rPr>
          <w:sz w:val="10"/>
          <w:szCs w:val="10"/>
          <w:lang w:val="hu-HU"/>
        </w:rPr>
      </w:pPr>
    </w:p>
    <w:p w14:paraId="117E4AF4" w14:textId="77777777" w:rsidR="00130E8B" w:rsidRDefault="000405CC">
      <w:pPr>
        <w:pStyle w:val="a3"/>
        <w:rPr>
          <w:lang w:val="hu-HU"/>
        </w:rPr>
      </w:pPr>
      <w:r>
        <w:rPr>
          <w:rFonts w:eastAsia="Times New Roman"/>
          <w:lang w:val="hu-HU"/>
        </w:rPr>
        <w:t xml:space="preserve">Ha Önnél bármilyen mellékhatás jelentkezik, tájékoztassa kezelőorvosát, vagy gyógyszerészét. Ez a betegtájékoztatóban fel nem sorolt bármilyen lehetséges mellékhatásra is vonatkozik. A mellékhatásokat közvetlenül a hatóság részére is bejelentheti </w:t>
      </w:r>
      <w:r w:rsidRPr="000405CC">
        <w:rPr>
          <w:rFonts w:eastAsia="Times New Roman"/>
          <w:highlight w:val="lightGray"/>
          <w:lang w:val="hu-HU"/>
        </w:rPr>
        <w:t xml:space="preserve">az </w:t>
      </w:r>
      <w:hyperlink r:id="rId24" w:history="1">
        <w:r w:rsidRPr="000405CC">
          <w:rPr>
            <w:rFonts w:eastAsia="Times New Roman"/>
            <w:color w:val="0000FF"/>
            <w:highlight w:val="lightGray"/>
            <w:u w:val="single"/>
            <w:lang w:val="hu-HU"/>
          </w:rPr>
          <w:t>V. függelékben</w:t>
        </w:r>
      </w:hyperlink>
      <w:r w:rsidRPr="000405CC">
        <w:rPr>
          <w:rFonts w:eastAsia="Times New Roman"/>
          <w:highlight w:val="lightGray"/>
          <w:lang w:val="hu-HU"/>
        </w:rPr>
        <w:t xml:space="preserve"> található elérhetőségeken keresztül</w:t>
      </w:r>
      <w:r>
        <w:rPr>
          <w:rFonts w:eastAsia="Times New Roman"/>
          <w:lang w:val="hu-HU"/>
        </w:rPr>
        <w:t>. A mellékhatások bejelentésével Ön is hozzájárulhat ahhoz, hogy minél több információ álljon rendelkezésre a gyógyszer biztonságos alkalmazásával kapcsolatban.</w:t>
      </w:r>
    </w:p>
    <w:p w14:paraId="350E3B66" w14:textId="77777777" w:rsidR="00130E8B" w:rsidRDefault="00130E8B">
      <w:pPr>
        <w:spacing w:line="200" w:lineRule="exact"/>
        <w:rPr>
          <w:sz w:val="20"/>
          <w:szCs w:val="20"/>
          <w:lang w:val="hu-HU"/>
        </w:rPr>
      </w:pPr>
    </w:p>
    <w:p w14:paraId="7E0979D7" w14:textId="77777777" w:rsidR="00130E8B" w:rsidRDefault="00130E8B">
      <w:pPr>
        <w:spacing w:line="200" w:lineRule="exact"/>
        <w:rPr>
          <w:sz w:val="20"/>
          <w:szCs w:val="20"/>
          <w:lang w:val="hu-HU"/>
        </w:rPr>
      </w:pPr>
    </w:p>
    <w:p w14:paraId="4C941960" w14:textId="77777777" w:rsidR="00130E8B" w:rsidRDefault="000405CC">
      <w:pPr>
        <w:pStyle w:val="a4"/>
        <w:numPr>
          <w:ilvl w:val="0"/>
          <w:numId w:val="32"/>
        </w:numPr>
        <w:spacing w:before="18" w:line="240" w:lineRule="exact"/>
        <w:ind w:hanging="468"/>
        <w:rPr>
          <w:rFonts w:ascii="Times New Roman" w:hAnsi="Times New Roman" w:cs="Times New Roman"/>
          <w:b/>
          <w:lang w:val="hu-HU"/>
        </w:rPr>
      </w:pPr>
      <w:r>
        <w:rPr>
          <w:rFonts w:ascii="Times New Roman" w:eastAsia="Times New Roman" w:hAnsi="Times New Roman" w:cs="Times New Roman"/>
          <w:b/>
          <w:bCs/>
          <w:lang w:val="hu-HU"/>
        </w:rPr>
        <w:t>Hogyan kell a Yuflyma-t tárolni?</w:t>
      </w:r>
    </w:p>
    <w:p w14:paraId="689E63D8" w14:textId="77777777" w:rsidR="00130E8B" w:rsidRDefault="00130E8B">
      <w:pPr>
        <w:pStyle w:val="a3"/>
        <w:rPr>
          <w:lang w:val="hu-HU"/>
        </w:rPr>
      </w:pPr>
    </w:p>
    <w:p w14:paraId="1F694BDC" w14:textId="77777777" w:rsidR="00130E8B" w:rsidRDefault="000405CC">
      <w:pPr>
        <w:pStyle w:val="a3"/>
        <w:rPr>
          <w:lang w:val="hu-HU"/>
        </w:rPr>
      </w:pPr>
      <w:r>
        <w:rPr>
          <w:rFonts w:eastAsia="Times New Roman"/>
          <w:lang w:val="hu-HU"/>
        </w:rPr>
        <w:t>A gyógyszer gyermekektől elzárva tartandó.</w:t>
      </w:r>
    </w:p>
    <w:p w14:paraId="258FEA1A" w14:textId="77777777" w:rsidR="00130E8B" w:rsidRDefault="00130E8B">
      <w:pPr>
        <w:pStyle w:val="a3"/>
        <w:rPr>
          <w:lang w:val="hu-HU"/>
        </w:rPr>
      </w:pPr>
    </w:p>
    <w:p w14:paraId="1D149D3F" w14:textId="77777777" w:rsidR="00130E8B" w:rsidRDefault="000405CC">
      <w:pPr>
        <w:pStyle w:val="a3"/>
        <w:rPr>
          <w:lang w:val="hu-HU"/>
        </w:rPr>
      </w:pPr>
      <w:r>
        <w:rPr>
          <w:rFonts w:eastAsia="Times New Roman"/>
          <w:lang w:val="hu-HU"/>
        </w:rPr>
        <w:t>A címkén és a dobozon feltüntetett lejárati idő után (EXP) ne alkalmazza ezt a gyógyszert.</w:t>
      </w:r>
    </w:p>
    <w:p w14:paraId="3AE13D66" w14:textId="77777777" w:rsidR="00130E8B" w:rsidRDefault="00130E8B">
      <w:pPr>
        <w:pStyle w:val="a3"/>
        <w:rPr>
          <w:lang w:val="hu-HU"/>
        </w:rPr>
      </w:pPr>
    </w:p>
    <w:p w14:paraId="6DFD3EC7" w14:textId="77777777" w:rsidR="00130E8B" w:rsidRDefault="000405CC">
      <w:pPr>
        <w:pStyle w:val="a3"/>
        <w:rPr>
          <w:lang w:val="hu-HU"/>
        </w:rPr>
      </w:pPr>
      <w:r>
        <w:rPr>
          <w:rFonts w:eastAsia="Times New Roman"/>
          <w:lang w:val="hu-HU"/>
        </w:rPr>
        <w:t>Hűtőszekrényben tárolandó (2C – 8C). Nem fagyasztható!</w:t>
      </w:r>
    </w:p>
    <w:p w14:paraId="275E587F" w14:textId="77777777" w:rsidR="00130E8B" w:rsidRDefault="00130E8B">
      <w:pPr>
        <w:pStyle w:val="a3"/>
        <w:rPr>
          <w:lang w:val="hu-HU"/>
        </w:rPr>
      </w:pPr>
    </w:p>
    <w:p w14:paraId="6975D1E2" w14:textId="77777777" w:rsidR="00130E8B" w:rsidRDefault="000405CC">
      <w:pPr>
        <w:pStyle w:val="a3"/>
        <w:rPr>
          <w:lang w:val="hu-HU"/>
        </w:rPr>
      </w:pPr>
      <w:r>
        <w:rPr>
          <w:rFonts w:eastAsia="Times New Roman"/>
          <w:lang w:val="hu-HU"/>
        </w:rPr>
        <w:t>A fénytől való védelem érdekében az</w:t>
      </w:r>
      <w:r w:rsidR="00C17405">
        <w:rPr>
          <w:rFonts w:eastAsia="Times New Roman"/>
          <w:lang w:val="hu-HU"/>
        </w:rPr>
        <w:t xml:space="preserve"> </w:t>
      </w:r>
      <w:r>
        <w:rPr>
          <w:rFonts w:eastAsia="Times New Roman"/>
          <w:lang w:val="hu-HU"/>
        </w:rPr>
        <w:t xml:space="preserve">előretöltött fecskendő </w:t>
      </w:r>
      <w:r w:rsidRPr="000405CC">
        <w:rPr>
          <w:rFonts w:eastAsia="Times New Roman"/>
          <w:highlight w:val="lightGray"/>
          <w:lang w:val="hu-HU"/>
        </w:rPr>
        <w:t>a tűvédővel</w:t>
      </w:r>
      <w:r>
        <w:rPr>
          <w:rFonts w:eastAsia="Times New Roman"/>
          <w:lang w:val="hu-HU"/>
        </w:rPr>
        <w:t xml:space="preserve"> az eredeti dobozban tárolandó.</w:t>
      </w:r>
    </w:p>
    <w:p w14:paraId="6801AB75" w14:textId="77777777" w:rsidR="00130E8B" w:rsidRDefault="00130E8B">
      <w:pPr>
        <w:spacing w:before="13" w:line="240" w:lineRule="exact"/>
        <w:rPr>
          <w:sz w:val="24"/>
          <w:szCs w:val="24"/>
          <w:lang w:val="hu-HU"/>
        </w:rPr>
      </w:pPr>
    </w:p>
    <w:p w14:paraId="231B97F9" w14:textId="77777777" w:rsidR="00130E8B" w:rsidRDefault="000405CC">
      <w:pPr>
        <w:pStyle w:val="a3"/>
        <w:rPr>
          <w:lang w:val="hu-HU"/>
        </w:rPr>
      </w:pPr>
      <w:r>
        <w:rPr>
          <w:rFonts w:eastAsia="Times New Roman"/>
          <w:lang w:val="hu-HU"/>
        </w:rPr>
        <w:t>További tárolási lehetőség:</w:t>
      </w:r>
    </w:p>
    <w:p w14:paraId="74A1F795" w14:textId="77777777" w:rsidR="00130E8B" w:rsidRDefault="00130E8B">
      <w:pPr>
        <w:spacing w:before="14" w:line="240" w:lineRule="exact"/>
        <w:rPr>
          <w:sz w:val="24"/>
          <w:szCs w:val="24"/>
          <w:lang w:val="hu-HU"/>
        </w:rPr>
      </w:pPr>
    </w:p>
    <w:p w14:paraId="04A3FDF4" w14:textId="527E9593" w:rsidR="00130E8B" w:rsidRDefault="000405CC">
      <w:pPr>
        <w:pStyle w:val="a3"/>
        <w:rPr>
          <w:lang w:val="hu-HU"/>
        </w:rPr>
      </w:pPr>
      <w:r>
        <w:rPr>
          <w:rFonts w:eastAsia="Times New Roman"/>
          <w:lang w:val="hu-HU"/>
        </w:rPr>
        <w:t xml:space="preserve">Amennyiben szükséges (például utazás alatt), </w:t>
      </w:r>
      <w:r w:rsidR="00DD2856">
        <w:rPr>
          <w:rFonts w:eastAsia="Times New Roman"/>
          <w:lang w:val="hu-HU"/>
        </w:rPr>
        <w:t>a</w:t>
      </w:r>
      <w:r>
        <w:rPr>
          <w:rFonts w:eastAsia="Times New Roman"/>
          <w:lang w:val="hu-HU"/>
        </w:rPr>
        <w:t xml:space="preserve"> Yuflyma előretöltött fecskendő </w:t>
      </w:r>
      <w:r w:rsidRPr="000405CC">
        <w:rPr>
          <w:rFonts w:eastAsia="Times New Roman"/>
          <w:highlight w:val="lightGray"/>
          <w:lang w:val="hu-HU"/>
        </w:rPr>
        <w:t>a tűvédővel</w:t>
      </w:r>
      <w:r>
        <w:rPr>
          <w:rFonts w:eastAsia="Times New Roman"/>
          <w:lang w:val="hu-HU"/>
        </w:rPr>
        <w:t xml:space="preserve"> szobahőmérsékleten (legfeljebb 25 °C-on) maximum </w:t>
      </w:r>
      <w:r w:rsidR="005F473D">
        <w:rPr>
          <w:rFonts w:eastAsia="Times New Roman"/>
          <w:lang w:val="hu-HU"/>
        </w:rPr>
        <w:t xml:space="preserve">31 </w:t>
      </w:r>
      <w:r>
        <w:rPr>
          <w:rFonts w:eastAsia="Times New Roman"/>
          <w:lang w:val="hu-HU"/>
        </w:rPr>
        <w:t xml:space="preserve">napig tárolható. A fénytől való védelmet biztosítani kell. Miután kivette a hűtőszekrényből a szobahőmérsékletű tároláshoz, afecskendőt </w:t>
      </w:r>
      <w:r w:rsidR="005F473D">
        <w:rPr>
          <w:rFonts w:eastAsia="Times New Roman"/>
          <w:lang w:val="hu-HU"/>
        </w:rPr>
        <w:t>31</w:t>
      </w:r>
      <w:r w:rsidR="005F473D">
        <w:rPr>
          <w:rFonts w:eastAsia="Times New Roman"/>
          <w:b/>
          <w:bCs/>
          <w:lang w:val="hu-HU"/>
        </w:rPr>
        <w:t xml:space="preserve"> </w:t>
      </w:r>
      <w:r>
        <w:rPr>
          <w:rFonts w:eastAsia="Times New Roman"/>
          <w:b/>
          <w:bCs/>
          <w:lang w:val="hu-HU"/>
        </w:rPr>
        <w:t>napon belül fel kell használni, vagy meg kell semmisíteni</w:t>
      </w:r>
      <w:r>
        <w:rPr>
          <w:rFonts w:eastAsia="Times New Roman"/>
          <w:lang w:val="hu-HU"/>
        </w:rPr>
        <w:t>, még akkor is, ha visszatette a hűtőszekrénybe.</w:t>
      </w:r>
    </w:p>
    <w:p w14:paraId="22521FA2" w14:textId="77777777" w:rsidR="00130E8B" w:rsidRDefault="00130E8B">
      <w:pPr>
        <w:spacing w:before="17" w:line="240" w:lineRule="exact"/>
        <w:rPr>
          <w:sz w:val="24"/>
          <w:szCs w:val="24"/>
          <w:lang w:val="hu-HU"/>
        </w:rPr>
      </w:pPr>
    </w:p>
    <w:p w14:paraId="439440D9" w14:textId="77777777" w:rsidR="00130E8B" w:rsidRDefault="000405CC">
      <w:pPr>
        <w:pStyle w:val="a3"/>
        <w:rPr>
          <w:lang w:val="hu-HU"/>
        </w:rPr>
      </w:pPr>
      <w:r>
        <w:rPr>
          <w:rFonts w:eastAsia="Times New Roman"/>
          <w:lang w:val="hu-HU"/>
        </w:rPr>
        <w:t xml:space="preserve">Jegyezze fel, hogy mikor vette ki először afecskendőt a hűtőszekrényből, és azt a dátumot is, ami után azt meg kell </w:t>
      </w:r>
      <w:r w:rsidR="00E3525F">
        <w:rPr>
          <w:rFonts w:eastAsia="Times New Roman"/>
          <w:lang w:val="hu-HU"/>
        </w:rPr>
        <w:t xml:space="preserve">ezt </w:t>
      </w:r>
      <w:r>
        <w:rPr>
          <w:rFonts w:eastAsia="Times New Roman"/>
          <w:lang w:val="hu-HU"/>
        </w:rPr>
        <w:t>semmisíteni</w:t>
      </w:r>
    </w:p>
    <w:p w14:paraId="2988AB1C" w14:textId="77777777" w:rsidR="00130E8B" w:rsidRDefault="00130E8B">
      <w:pPr>
        <w:spacing w:before="14" w:line="240" w:lineRule="exact"/>
        <w:rPr>
          <w:sz w:val="24"/>
          <w:szCs w:val="24"/>
          <w:lang w:val="hu-HU"/>
        </w:rPr>
      </w:pPr>
    </w:p>
    <w:p w14:paraId="7B1928AF" w14:textId="77777777" w:rsidR="00130E8B" w:rsidRDefault="000405CC">
      <w:pPr>
        <w:pStyle w:val="a3"/>
        <w:rPr>
          <w:lang w:val="hu-HU"/>
        </w:rPr>
      </w:pPr>
      <w:r>
        <w:rPr>
          <w:rFonts w:eastAsia="Times New Roman"/>
          <w:lang w:val="hu-HU"/>
        </w:rPr>
        <w:t>Semmilyen gyógyszert ne dobjon a szennyvízbe vagy a háztartási hulladékba. Kérdezze meg gyógyszerészét, hogy mit tegyen a már nem használt gyógyszereivel. Ezek az intézkedések elősegítik a környezet védelmét.</w:t>
      </w:r>
    </w:p>
    <w:p w14:paraId="0F3AC7C6" w14:textId="77777777" w:rsidR="00130E8B" w:rsidRDefault="00130E8B">
      <w:pPr>
        <w:pStyle w:val="a4"/>
        <w:spacing w:before="18" w:line="240" w:lineRule="exact"/>
        <w:ind w:left="468"/>
        <w:rPr>
          <w:rFonts w:ascii="Times New Roman" w:hAnsi="Times New Roman" w:cs="Times New Roman"/>
          <w:b/>
          <w:lang w:val="hu-HU"/>
        </w:rPr>
      </w:pPr>
    </w:p>
    <w:p w14:paraId="5D0EB6B1" w14:textId="77777777" w:rsidR="00130E8B" w:rsidRDefault="00130E8B">
      <w:pPr>
        <w:spacing w:before="18" w:line="240" w:lineRule="exact"/>
        <w:rPr>
          <w:rFonts w:ascii="Times New Roman" w:hAnsi="Times New Roman" w:cs="Times New Roman"/>
          <w:b/>
          <w:lang w:val="hu-HU"/>
        </w:rPr>
      </w:pPr>
    </w:p>
    <w:p w14:paraId="1883943F" w14:textId="77777777" w:rsidR="00130E8B" w:rsidRDefault="000405CC">
      <w:pPr>
        <w:pStyle w:val="a4"/>
        <w:numPr>
          <w:ilvl w:val="0"/>
          <w:numId w:val="32"/>
        </w:numPr>
        <w:spacing w:before="18" w:line="240" w:lineRule="exact"/>
        <w:ind w:hanging="468"/>
        <w:rPr>
          <w:rFonts w:ascii="Times New Roman" w:hAnsi="Times New Roman" w:cs="Times New Roman"/>
          <w:b/>
          <w:lang w:val="hu-HU"/>
        </w:rPr>
      </w:pPr>
      <w:r>
        <w:rPr>
          <w:rFonts w:ascii="Times New Roman" w:eastAsia="Times New Roman" w:hAnsi="Times New Roman" w:cs="Times New Roman"/>
          <w:b/>
          <w:bCs/>
          <w:lang w:val="hu-HU"/>
        </w:rPr>
        <w:t>A csomagolás tartalma és egyéb információk</w:t>
      </w:r>
    </w:p>
    <w:p w14:paraId="0ADAF69A" w14:textId="77777777" w:rsidR="00130E8B" w:rsidRDefault="00130E8B">
      <w:pPr>
        <w:pStyle w:val="a4"/>
        <w:spacing w:before="18" w:line="240" w:lineRule="exact"/>
        <w:ind w:left="468"/>
        <w:rPr>
          <w:rFonts w:ascii="Times New Roman" w:hAnsi="Times New Roman" w:cs="Times New Roman"/>
          <w:b/>
          <w:lang w:val="hu-HU"/>
        </w:rPr>
      </w:pPr>
    </w:p>
    <w:p w14:paraId="0D3330E3" w14:textId="77777777" w:rsidR="00130E8B" w:rsidRDefault="000405CC">
      <w:pPr>
        <w:spacing w:before="18" w:line="240" w:lineRule="exact"/>
        <w:rPr>
          <w:rFonts w:ascii="Times New Roman" w:hAnsi="Times New Roman" w:cs="Times New Roman"/>
          <w:b/>
          <w:lang w:val="hu-HU"/>
        </w:rPr>
      </w:pPr>
      <w:r>
        <w:rPr>
          <w:rFonts w:ascii="Times New Roman" w:eastAsia="Times New Roman" w:hAnsi="Times New Roman" w:cs="Times New Roman"/>
          <w:b/>
          <w:bCs/>
          <w:lang w:val="hu-HU"/>
        </w:rPr>
        <w:t>Mit tartalmaz a Yuflyma?</w:t>
      </w:r>
    </w:p>
    <w:p w14:paraId="7FE73E1E" w14:textId="77777777" w:rsidR="00130E8B" w:rsidRDefault="00130E8B">
      <w:pPr>
        <w:spacing w:before="18" w:line="240" w:lineRule="exact"/>
        <w:rPr>
          <w:rFonts w:ascii="Times New Roman" w:hAnsi="Times New Roman" w:cs="Times New Roman"/>
          <w:b/>
          <w:lang w:val="hu-HU"/>
        </w:rPr>
      </w:pPr>
    </w:p>
    <w:p w14:paraId="6546F3F1" w14:textId="77777777" w:rsidR="00130E8B" w:rsidRDefault="000405CC">
      <w:pPr>
        <w:pStyle w:val="a3"/>
        <w:rPr>
          <w:lang w:val="hu-HU"/>
        </w:rPr>
      </w:pPr>
      <w:r>
        <w:rPr>
          <w:rFonts w:eastAsia="Times New Roman"/>
          <w:lang w:val="hu-HU"/>
        </w:rPr>
        <w:t>A készítmény hatóanyaga adalimumab.</w:t>
      </w:r>
    </w:p>
    <w:p w14:paraId="6E0945E1" w14:textId="77777777" w:rsidR="00130E8B" w:rsidRDefault="000405CC">
      <w:pPr>
        <w:pStyle w:val="a3"/>
        <w:rPr>
          <w:lang w:val="hu-HU"/>
        </w:rPr>
      </w:pPr>
      <w:r>
        <w:rPr>
          <w:rFonts w:eastAsia="Times New Roman"/>
          <w:lang w:val="hu-HU"/>
        </w:rPr>
        <w:t>Egyéb összetevők: ecetsav, nátrium acetát trihidrát, glicin, poliszorbát 80 és injekcióhoz való víz.</w:t>
      </w:r>
    </w:p>
    <w:p w14:paraId="74CAC711" w14:textId="77777777" w:rsidR="00130E8B" w:rsidRDefault="00130E8B">
      <w:pPr>
        <w:pStyle w:val="a3"/>
        <w:rPr>
          <w:lang w:val="hu-HU"/>
        </w:rPr>
      </w:pPr>
    </w:p>
    <w:p w14:paraId="2243BA9C" w14:textId="77777777" w:rsidR="00130E8B" w:rsidRDefault="000405CC">
      <w:pPr>
        <w:pStyle w:val="a3"/>
        <w:rPr>
          <w:b/>
          <w:lang w:val="hu-HU"/>
        </w:rPr>
      </w:pPr>
      <w:r>
        <w:rPr>
          <w:rFonts w:eastAsia="Times New Roman"/>
          <w:b/>
          <w:bCs/>
          <w:lang w:val="hu-HU"/>
        </w:rPr>
        <w:t xml:space="preserve">Milyen a Yuflyma </w:t>
      </w:r>
      <w:r w:rsidRPr="000405CC">
        <w:rPr>
          <w:rFonts w:eastAsia="Times New Roman"/>
          <w:b/>
          <w:bCs/>
          <w:highlight w:val="lightGray"/>
          <w:lang w:val="hu-HU"/>
        </w:rPr>
        <w:t>tűvédővel</w:t>
      </w:r>
      <w:r>
        <w:rPr>
          <w:rFonts w:eastAsia="Times New Roman"/>
          <w:b/>
          <w:bCs/>
          <w:lang w:val="hu-HU"/>
        </w:rPr>
        <w:t xml:space="preserve"> ellátott előretöltött fecskendő külleme és mit tartalmaz a csomagolás?</w:t>
      </w:r>
    </w:p>
    <w:p w14:paraId="1B5AA7A6" w14:textId="77777777" w:rsidR="00130E8B" w:rsidRDefault="00130E8B">
      <w:pPr>
        <w:spacing w:before="12" w:line="240" w:lineRule="exact"/>
        <w:rPr>
          <w:sz w:val="24"/>
          <w:szCs w:val="24"/>
          <w:lang w:val="hu-HU"/>
        </w:rPr>
      </w:pPr>
    </w:p>
    <w:p w14:paraId="7FDE4EE3" w14:textId="77777777" w:rsidR="00130E8B" w:rsidRDefault="000405CC">
      <w:pPr>
        <w:pStyle w:val="a3"/>
        <w:rPr>
          <w:lang w:val="hu-HU"/>
        </w:rPr>
      </w:pPr>
      <w:r>
        <w:rPr>
          <w:rFonts w:eastAsia="Times New Roman"/>
          <w:lang w:val="hu-HU"/>
        </w:rPr>
        <w:t xml:space="preserve">40 mg-os Yuflyma oldatos injekció </w:t>
      </w:r>
      <w:r w:rsidRPr="000405CC">
        <w:rPr>
          <w:rFonts w:eastAsia="Times New Roman"/>
          <w:highlight w:val="lightGray"/>
          <w:lang w:val="hu-HU"/>
        </w:rPr>
        <w:t>tűvédővel</w:t>
      </w:r>
      <w:r>
        <w:rPr>
          <w:rFonts w:eastAsia="Times New Roman"/>
          <w:lang w:val="hu-HU"/>
        </w:rPr>
        <w:t xml:space="preserve"> ellátott előretöltött fecskendőben 40 mg adalimumabot tartalmazó 0.4 ml steriloldat formájában kerül forgalomba.</w:t>
      </w:r>
    </w:p>
    <w:p w14:paraId="0E855487" w14:textId="77777777" w:rsidR="00130E8B" w:rsidRDefault="00130E8B">
      <w:pPr>
        <w:spacing w:before="11" w:line="240" w:lineRule="exact"/>
        <w:rPr>
          <w:sz w:val="24"/>
          <w:szCs w:val="24"/>
          <w:lang w:val="hu-HU"/>
        </w:rPr>
      </w:pPr>
    </w:p>
    <w:p w14:paraId="2C086E79" w14:textId="5D3D10ED" w:rsidR="00130E8B" w:rsidRDefault="000405CC">
      <w:pPr>
        <w:pStyle w:val="a3"/>
        <w:rPr>
          <w:lang w:val="hu-HU"/>
        </w:rPr>
      </w:pPr>
      <w:r>
        <w:rPr>
          <w:rFonts w:eastAsia="Times New Roman"/>
          <w:lang w:val="hu-HU"/>
        </w:rPr>
        <w:t>A Yuflyma előretöltött fecskendő adalimumab oldatot tartalmazó üvegfecskendő. Az 1 db előretöltött fecskendőt tartalmazó csomagoláshoz 2 db alkoholos törlőkendőt (1 pótkendőt) mellékelünk. A 2, 4 és 6 db előretöltött fecskendőt tartalmazó csomagolás esetén mindegyik előretöltött fecskendőhöz 1 db alkoholos törlőkendőt mellékelünk.</w:t>
      </w:r>
    </w:p>
    <w:p w14:paraId="5A82F0F8" w14:textId="77777777" w:rsidR="00130E8B" w:rsidRDefault="00130E8B">
      <w:pPr>
        <w:pStyle w:val="a3"/>
        <w:rPr>
          <w:lang w:val="hu-HU"/>
        </w:rPr>
      </w:pPr>
    </w:p>
    <w:p w14:paraId="6C635234" w14:textId="77777777" w:rsidR="00130E8B" w:rsidRDefault="000405CC">
      <w:pPr>
        <w:pStyle w:val="a3"/>
        <w:rPr>
          <w:lang w:val="hu-HU"/>
        </w:rPr>
      </w:pPr>
      <w:r w:rsidRPr="000405CC">
        <w:rPr>
          <w:rFonts w:eastAsia="Times New Roman"/>
          <w:highlight w:val="lightGray"/>
          <w:lang w:val="hu-HU"/>
        </w:rPr>
        <w:t>A Yuflyma előretöltött fecskendő egy tűvédővel ellátott üvegfecskendő, amely adalimumab oldatot tartalmaz. Az 1 db tűvédővel ellátott előretöltött fecskendőt tartalmazó csomagoláshoz 2 db alkoholos törlőkendőt (1 pótkendőt) mellékelünk. A 2, 4 és 6 db tűvédővel ellátott előretöltött fecskendőt tartalmazó csomagolás esetén mindegyik előretöltött fecskendőhöz 1 db alkoholos törlőkendőt mellékelünk.</w:t>
      </w:r>
    </w:p>
    <w:p w14:paraId="39557540" w14:textId="77777777" w:rsidR="00130E8B" w:rsidRDefault="00130E8B">
      <w:pPr>
        <w:spacing w:before="10" w:line="240" w:lineRule="exact"/>
        <w:rPr>
          <w:sz w:val="24"/>
          <w:szCs w:val="24"/>
          <w:lang w:val="hu-HU"/>
        </w:rPr>
      </w:pPr>
    </w:p>
    <w:p w14:paraId="1E7FE282" w14:textId="77777777" w:rsidR="00130E8B" w:rsidRDefault="000405CC">
      <w:pPr>
        <w:pStyle w:val="a3"/>
        <w:rPr>
          <w:lang w:val="hu-HU"/>
        </w:rPr>
      </w:pPr>
      <w:r>
        <w:rPr>
          <w:rFonts w:eastAsia="Times New Roman"/>
          <w:lang w:val="hu-HU"/>
        </w:rPr>
        <w:t>Nem feltétlenül mindegyik kiszerelés kerül kereskedelmi forgalomba.</w:t>
      </w:r>
    </w:p>
    <w:p w14:paraId="2B2148EE" w14:textId="77777777" w:rsidR="00130E8B" w:rsidRDefault="00130E8B">
      <w:pPr>
        <w:spacing w:before="13" w:line="240" w:lineRule="exact"/>
        <w:rPr>
          <w:sz w:val="24"/>
          <w:szCs w:val="24"/>
          <w:lang w:val="hu-HU"/>
        </w:rPr>
      </w:pPr>
    </w:p>
    <w:p w14:paraId="36F792AD" w14:textId="77777777" w:rsidR="00130E8B" w:rsidRDefault="000405CC">
      <w:pPr>
        <w:pStyle w:val="a3"/>
        <w:rPr>
          <w:lang w:val="hu-HU"/>
        </w:rPr>
      </w:pPr>
      <w:r>
        <w:rPr>
          <w:rFonts w:eastAsia="Times New Roman"/>
          <w:lang w:val="hu-HU"/>
        </w:rPr>
        <w:t>A Yuflymaelőretöltött fecskendőben és/vagyelőretöltött injekciós toll kiszerelésben elérhető.</w:t>
      </w:r>
    </w:p>
    <w:p w14:paraId="52C2C3E0" w14:textId="77777777" w:rsidR="00130E8B" w:rsidRDefault="00130E8B">
      <w:pPr>
        <w:spacing w:before="18" w:line="240" w:lineRule="exact"/>
        <w:rPr>
          <w:sz w:val="24"/>
          <w:szCs w:val="24"/>
          <w:lang w:val="hu-HU"/>
        </w:rPr>
      </w:pPr>
    </w:p>
    <w:p w14:paraId="14E137BA" w14:textId="77777777" w:rsidR="00130E8B" w:rsidRDefault="000405CC" w:rsidP="002C78FA">
      <w:pPr>
        <w:pStyle w:val="a3"/>
        <w:keepNext/>
        <w:keepLines/>
        <w:rPr>
          <w:b/>
          <w:lang w:val="hu-HU"/>
        </w:rPr>
      </w:pPr>
      <w:r>
        <w:rPr>
          <w:rFonts w:eastAsia="Times New Roman"/>
          <w:b/>
          <w:bCs/>
          <w:lang w:val="hu-HU"/>
        </w:rPr>
        <w:lastRenderedPageBreak/>
        <w:t>A forgalomba hozatali engedély jogosultja</w:t>
      </w:r>
    </w:p>
    <w:p w14:paraId="1F239BC3" w14:textId="77777777" w:rsidR="00130E8B" w:rsidRDefault="00130E8B" w:rsidP="002C78FA">
      <w:pPr>
        <w:keepNext/>
        <w:keepLines/>
        <w:spacing w:before="12" w:line="240" w:lineRule="exact"/>
        <w:rPr>
          <w:sz w:val="24"/>
          <w:szCs w:val="24"/>
          <w:lang w:val="hu-HU"/>
        </w:rPr>
      </w:pPr>
    </w:p>
    <w:p w14:paraId="341B3C5E" w14:textId="77777777" w:rsidR="00130E8B" w:rsidRDefault="000405CC" w:rsidP="002C78FA">
      <w:pPr>
        <w:pStyle w:val="a3"/>
        <w:keepNext/>
        <w:keepLines/>
        <w:rPr>
          <w:lang w:val="hu-HU"/>
        </w:rPr>
      </w:pPr>
      <w:r>
        <w:rPr>
          <w:lang w:val="hu-HU"/>
        </w:rPr>
        <w:t xml:space="preserve">Celltrion Healthcare Hungary Kft. </w:t>
      </w:r>
    </w:p>
    <w:p w14:paraId="13E7A24A" w14:textId="77777777" w:rsidR="00130E8B" w:rsidRDefault="000405CC" w:rsidP="002C78FA">
      <w:pPr>
        <w:pStyle w:val="a3"/>
        <w:keepNext/>
        <w:keepLines/>
        <w:rPr>
          <w:lang w:val="hu-HU"/>
        </w:rPr>
      </w:pPr>
      <w:r>
        <w:rPr>
          <w:lang w:val="hu-HU"/>
        </w:rPr>
        <w:t>1062 Budapest</w:t>
      </w:r>
    </w:p>
    <w:p w14:paraId="3849B6F1" w14:textId="77777777" w:rsidR="00130E8B" w:rsidRDefault="000405CC" w:rsidP="002C78FA">
      <w:pPr>
        <w:pStyle w:val="a3"/>
        <w:keepNext/>
        <w:keepLines/>
        <w:rPr>
          <w:lang w:val="hu-HU"/>
        </w:rPr>
      </w:pPr>
      <w:r>
        <w:rPr>
          <w:lang w:val="hu-HU"/>
        </w:rPr>
        <w:t>Váci út 1-3. WestEnd Office Building B torony</w:t>
      </w:r>
    </w:p>
    <w:p w14:paraId="7EFC0F04" w14:textId="77777777" w:rsidR="00130E8B" w:rsidRDefault="000405CC" w:rsidP="002C78FA">
      <w:pPr>
        <w:pStyle w:val="a3"/>
        <w:keepNext/>
        <w:keepLines/>
        <w:rPr>
          <w:lang w:val="hu-HU"/>
        </w:rPr>
      </w:pPr>
      <w:r>
        <w:rPr>
          <w:rFonts w:eastAsia="Times New Roman"/>
          <w:lang w:val="hu-HU"/>
        </w:rPr>
        <w:t>Magyarország</w:t>
      </w:r>
    </w:p>
    <w:p w14:paraId="26D919FF" w14:textId="77777777" w:rsidR="00130E8B" w:rsidRDefault="00130E8B">
      <w:pPr>
        <w:spacing w:before="15" w:line="240" w:lineRule="exact"/>
        <w:rPr>
          <w:b/>
          <w:sz w:val="24"/>
          <w:szCs w:val="24"/>
          <w:lang w:val="hu-HU"/>
        </w:rPr>
      </w:pPr>
    </w:p>
    <w:p w14:paraId="71C703C1" w14:textId="77777777" w:rsidR="00130E8B" w:rsidRDefault="000405CC">
      <w:pPr>
        <w:pStyle w:val="a3"/>
        <w:rPr>
          <w:b/>
          <w:lang w:val="hu-HU"/>
        </w:rPr>
      </w:pPr>
      <w:r>
        <w:rPr>
          <w:rFonts w:eastAsia="Times New Roman"/>
          <w:b/>
          <w:bCs/>
          <w:lang w:val="hu-HU"/>
        </w:rPr>
        <w:t>Gyártó</w:t>
      </w:r>
    </w:p>
    <w:p w14:paraId="7AE8052F" w14:textId="77777777" w:rsidR="00130E8B" w:rsidRDefault="00130E8B">
      <w:pPr>
        <w:spacing w:before="12" w:line="240" w:lineRule="exact"/>
        <w:rPr>
          <w:b/>
          <w:sz w:val="24"/>
          <w:szCs w:val="24"/>
          <w:lang w:val="hu-HU"/>
        </w:rPr>
      </w:pPr>
    </w:p>
    <w:p w14:paraId="321BE8DE" w14:textId="6B9A34F5" w:rsidR="00130E8B" w:rsidRPr="002C78FA" w:rsidDel="002C78FA" w:rsidRDefault="000405CC">
      <w:pPr>
        <w:pStyle w:val="a3"/>
        <w:rPr>
          <w:del w:id="48" w:author="만든 이"/>
          <w:lang w:val="hu-HU"/>
        </w:rPr>
      </w:pPr>
      <w:del w:id="49" w:author="만든 이">
        <w:r w:rsidRPr="002C78FA" w:rsidDel="002C78FA">
          <w:rPr>
            <w:lang w:val="hu-HU"/>
          </w:rPr>
          <w:delText>Millmount Healthcare Ltd.</w:delText>
        </w:r>
      </w:del>
    </w:p>
    <w:p w14:paraId="73C14BCF" w14:textId="7B1610D5" w:rsidR="00130E8B" w:rsidRPr="002C78FA" w:rsidDel="002C78FA" w:rsidRDefault="000405CC">
      <w:pPr>
        <w:pStyle w:val="a3"/>
        <w:rPr>
          <w:del w:id="50" w:author="만든 이"/>
          <w:lang w:val="hu-HU"/>
        </w:rPr>
      </w:pPr>
      <w:del w:id="51" w:author="만든 이">
        <w:r w:rsidRPr="002C78FA" w:rsidDel="002C78FA">
          <w:rPr>
            <w:lang w:val="hu-HU"/>
          </w:rPr>
          <w:delText>Block 7</w:delText>
        </w:r>
      </w:del>
    </w:p>
    <w:p w14:paraId="5986491F" w14:textId="0187CB54" w:rsidR="00130E8B" w:rsidRPr="002C78FA" w:rsidDel="002C78FA" w:rsidRDefault="000405CC">
      <w:pPr>
        <w:pStyle w:val="a3"/>
        <w:rPr>
          <w:del w:id="52" w:author="만든 이"/>
          <w:lang w:val="hu-HU"/>
        </w:rPr>
      </w:pPr>
      <w:del w:id="53" w:author="만든 이">
        <w:r w:rsidRPr="002C78FA" w:rsidDel="002C78FA">
          <w:rPr>
            <w:lang w:val="hu-HU"/>
          </w:rPr>
          <w:delText xml:space="preserve">City North Business Campus </w:delText>
        </w:r>
      </w:del>
    </w:p>
    <w:p w14:paraId="0FB00D18" w14:textId="1D56EE37" w:rsidR="00130E8B" w:rsidRPr="002C78FA" w:rsidDel="002C78FA" w:rsidRDefault="000405CC">
      <w:pPr>
        <w:pStyle w:val="a3"/>
        <w:rPr>
          <w:del w:id="54" w:author="만든 이"/>
          <w:lang w:val="hu-HU"/>
        </w:rPr>
      </w:pPr>
      <w:del w:id="55" w:author="만든 이">
        <w:r w:rsidRPr="002C78FA" w:rsidDel="002C78FA">
          <w:rPr>
            <w:lang w:val="hu-HU"/>
          </w:rPr>
          <w:delText>Stamullen, Co. Meath K32 YD60</w:delText>
        </w:r>
      </w:del>
    </w:p>
    <w:p w14:paraId="6FF31B98" w14:textId="5B3F4E15" w:rsidR="00130E8B" w:rsidRPr="002C78FA" w:rsidDel="002C78FA" w:rsidRDefault="000405CC">
      <w:pPr>
        <w:pStyle w:val="a3"/>
        <w:rPr>
          <w:del w:id="56" w:author="만든 이"/>
          <w:lang w:val="hu-HU"/>
        </w:rPr>
      </w:pPr>
      <w:del w:id="57" w:author="만든 이">
        <w:r w:rsidRPr="002C78FA" w:rsidDel="002C78FA">
          <w:rPr>
            <w:rFonts w:eastAsia="Times New Roman"/>
            <w:lang w:val="hu-HU"/>
          </w:rPr>
          <w:delText>Írország</w:delText>
        </w:r>
      </w:del>
    </w:p>
    <w:p w14:paraId="5C769A2B" w14:textId="26A35E29" w:rsidR="00130E8B" w:rsidRPr="002C78FA" w:rsidDel="002C78FA" w:rsidRDefault="00130E8B">
      <w:pPr>
        <w:spacing w:before="14" w:line="240" w:lineRule="exact"/>
        <w:rPr>
          <w:del w:id="58" w:author="만든 이"/>
          <w:sz w:val="24"/>
          <w:szCs w:val="24"/>
          <w:lang w:val="hu-HU"/>
        </w:rPr>
      </w:pPr>
    </w:p>
    <w:p w14:paraId="578F2B7D" w14:textId="77777777" w:rsidR="002C78FA" w:rsidRPr="007D68C5" w:rsidRDefault="002C78FA" w:rsidP="002C78FA">
      <w:pPr>
        <w:spacing w:before="10" w:line="240" w:lineRule="exact"/>
        <w:rPr>
          <w:moveTo w:id="59" w:author="만든 이" w16du:dateUtc="2025-09-09T05:36:00Z"/>
          <w:rFonts w:ascii="Times New Roman" w:eastAsia="Times New Roman" w:hAnsi="Times New Roman" w:cs="Times New Roman"/>
          <w:lang w:val="fr-CA"/>
        </w:rPr>
      </w:pPr>
      <w:moveToRangeStart w:id="60" w:author="만든 이" w:name="move208320992"/>
      <w:proofErr w:type="spellStart"/>
      <w:moveTo w:id="61" w:author="만든 이" w16du:dateUtc="2025-09-09T05:36:00Z">
        <w:r w:rsidRPr="007D68C5">
          <w:rPr>
            <w:rFonts w:ascii="Times New Roman" w:eastAsia="Times New Roman" w:hAnsi="Times New Roman" w:cs="Times New Roman"/>
            <w:lang w:val="fr-CA"/>
          </w:rPr>
          <w:t>Nuvisan</w:t>
        </w:r>
        <w:proofErr w:type="spellEnd"/>
        <w:r w:rsidRPr="007D68C5">
          <w:rPr>
            <w:rFonts w:ascii="Times New Roman" w:eastAsia="Times New Roman" w:hAnsi="Times New Roman" w:cs="Times New Roman"/>
            <w:lang w:val="fr-CA"/>
          </w:rPr>
          <w:t xml:space="preserve"> France SARL</w:t>
        </w:r>
      </w:moveTo>
    </w:p>
    <w:p w14:paraId="2A8433E0" w14:textId="77777777" w:rsidR="002C78FA" w:rsidRPr="007D68C5" w:rsidRDefault="002C78FA" w:rsidP="002C78FA">
      <w:pPr>
        <w:spacing w:before="10" w:line="240" w:lineRule="exact"/>
        <w:rPr>
          <w:moveTo w:id="62" w:author="만든 이" w16du:dateUtc="2025-09-09T05:36:00Z"/>
          <w:rFonts w:ascii="Times New Roman" w:hAnsi="Times New Roman" w:cs="Times New Roman"/>
          <w:lang w:val="fr-CA" w:eastAsia="ko-KR"/>
        </w:rPr>
      </w:pPr>
      <w:moveTo w:id="63" w:author="만든 이" w16du:dateUtc="2025-09-09T05:36:00Z">
        <w:r w:rsidRPr="007D68C5">
          <w:rPr>
            <w:rFonts w:ascii="Times New Roman" w:eastAsia="Times New Roman" w:hAnsi="Times New Roman" w:cs="Times New Roman"/>
            <w:lang w:val="fr-CA"/>
          </w:rPr>
          <w:t>2400, Route des Colles</w:t>
        </w:r>
      </w:moveTo>
    </w:p>
    <w:p w14:paraId="2CC6ED92" w14:textId="77777777" w:rsidR="002C78FA" w:rsidRPr="002C78FA" w:rsidRDefault="002C78FA" w:rsidP="002C78FA">
      <w:pPr>
        <w:spacing w:before="10" w:line="240" w:lineRule="exact"/>
        <w:rPr>
          <w:moveTo w:id="64" w:author="만든 이" w16du:dateUtc="2025-09-09T05:36:00Z"/>
          <w:rFonts w:ascii="Times New Roman" w:hAnsi="Times New Roman" w:cs="Times New Roman"/>
          <w:lang w:eastAsia="ko-KR"/>
        </w:rPr>
      </w:pPr>
      <w:moveTo w:id="65" w:author="만든 이" w16du:dateUtc="2025-09-09T05:36:00Z">
        <w:r w:rsidRPr="002C78FA">
          <w:rPr>
            <w:rFonts w:ascii="Times New Roman" w:eastAsia="Times New Roman" w:hAnsi="Times New Roman" w:cs="Times New Roman"/>
          </w:rPr>
          <w:t xml:space="preserve">06410, </w:t>
        </w:r>
        <w:proofErr w:type="spellStart"/>
        <w:r w:rsidRPr="002C78FA">
          <w:rPr>
            <w:rFonts w:ascii="Times New Roman" w:eastAsia="Times New Roman" w:hAnsi="Times New Roman" w:cs="Times New Roman"/>
          </w:rPr>
          <w:t>Biot</w:t>
        </w:r>
        <w:proofErr w:type="spellEnd"/>
      </w:moveTo>
    </w:p>
    <w:p w14:paraId="6694C1AB" w14:textId="77777777" w:rsidR="002C78FA" w:rsidRPr="002C78FA" w:rsidRDefault="002C78FA" w:rsidP="002C78FA">
      <w:pPr>
        <w:autoSpaceDE w:val="0"/>
        <w:autoSpaceDN w:val="0"/>
        <w:adjustRightInd w:val="0"/>
        <w:rPr>
          <w:moveTo w:id="66" w:author="만든 이" w16du:dateUtc="2025-09-09T05:36:00Z"/>
          <w:rFonts w:ascii="Times New Roman" w:eastAsia="Times New Roman" w:hAnsi="Times New Roman" w:cs="Times New Roman"/>
        </w:rPr>
      </w:pPr>
      <w:proofErr w:type="spellStart"/>
      <w:moveTo w:id="67" w:author="만든 이" w16du:dateUtc="2025-09-09T05:36:00Z">
        <w:r w:rsidRPr="002C78FA">
          <w:rPr>
            <w:rFonts w:ascii="Times New Roman" w:eastAsia="Times New Roman" w:hAnsi="Times New Roman" w:cs="Times New Roman"/>
          </w:rPr>
          <w:t>Franciaország</w:t>
        </w:r>
        <w:proofErr w:type="spellEnd"/>
      </w:moveTo>
    </w:p>
    <w:p w14:paraId="73D6AFD5" w14:textId="77777777" w:rsidR="002C78FA" w:rsidRPr="002C78FA" w:rsidRDefault="002C78FA" w:rsidP="002C78FA">
      <w:pPr>
        <w:pStyle w:val="a3"/>
        <w:rPr>
          <w:moveTo w:id="68" w:author="만든 이" w16du:dateUtc="2025-09-09T05:36:00Z"/>
        </w:rPr>
      </w:pPr>
    </w:p>
    <w:moveToRangeEnd w:id="60"/>
    <w:p w14:paraId="63F8DDC8" w14:textId="77777777" w:rsidR="003D6213" w:rsidRPr="00167BF3" w:rsidRDefault="003D6213" w:rsidP="003D6213">
      <w:pPr>
        <w:spacing w:before="10" w:line="240" w:lineRule="exact"/>
        <w:rPr>
          <w:rFonts w:ascii="Times New Roman" w:eastAsia="Times New Roman" w:hAnsi="Times New Roman" w:cs="Times New Roman"/>
          <w:shd w:val="pct15" w:color="auto" w:fill="FFFFFF"/>
          <w:lang w:val="es-ES"/>
        </w:rPr>
      </w:pPr>
      <w:proofErr w:type="spellStart"/>
      <w:r w:rsidRPr="00167BF3">
        <w:rPr>
          <w:rFonts w:ascii="Times New Roman" w:eastAsia="Times New Roman" w:hAnsi="Times New Roman" w:cs="Times New Roman"/>
          <w:shd w:val="pct15" w:color="auto" w:fill="FFFFFF"/>
          <w:lang w:val="es-ES"/>
        </w:rPr>
        <w:t>Nuvisan</w:t>
      </w:r>
      <w:proofErr w:type="spellEnd"/>
      <w:r w:rsidRPr="00167BF3">
        <w:rPr>
          <w:rFonts w:ascii="Times New Roman" w:eastAsia="Times New Roman" w:hAnsi="Times New Roman" w:cs="Times New Roman"/>
          <w:shd w:val="pct15" w:color="auto" w:fill="FFFFFF"/>
          <w:lang w:val="es-ES"/>
        </w:rPr>
        <w:t xml:space="preserve"> </w:t>
      </w:r>
      <w:proofErr w:type="spellStart"/>
      <w:r w:rsidRPr="00167BF3">
        <w:rPr>
          <w:rFonts w:ascii="Times New Roman" w:eastAsia="Times New Roman" w:hAnsi="Times New Roman" w:cs="Times New Roman"/>
          <w:shd w:val="pct15" w:color="auto" w:fill="FFFFFF"/>
          <w:lang w:val="es-ES"/>
        </w:rPr>
        <w:t>GmbH</w:t>
      </w:r>
      <w:proofErr w:type="spellEnd"/>
    </w:p>
    <w:p w14:paraId="5D613352" w14:textId="4A9A60D9" w:rsidR="003D6213" w:rsidRPr="004537E9" w:rsidRDefault="003D6213" w:rsidP="003D6213">
      <w:pPr>
        <w:spacing w:before="10" w:line="240" w:lineRule="exact"/>
        <w:rPr>
          <w:rFonts w:ascii="Times New Roman" w:hAnsi="Times New Roman" w:cs="Times New Roman"/>
          <w:shd w:val="pct15" w:color="auto" w:fill="FFFFFF"/>
          <w:lang w:val="es-ES" w:eastAsia="ko-KR"/>
        </w:rPr>
      </w:pPr>
      <w:proofErr w:type="spellStart"/>
      <w:r w:rsidRPr="00167BF3">
        <w:rPr>
          <w:rFonts w:ascii="Times New Roman" w:eastAsia="Times New Roman" w:hAnsi="Times New Roman" w:cs="Times New Roman"/>
          <w:shd w:val="pct15" w:color="auto" w:fill="FFFFFF"/>
          <w:lang w:val="es-ES"/>
        </w:rPr>
        <w:t>Wegenerstraße</w:t>
      </w:r>
      <w:proofErr w:type="spellEnd"/>
      <w:r w:rsidRPr="00167BF3">
        <w:rPr>
          <w:rFonts w:ascii="Times New Roman" w:eastAsia="Times New Roman" w:hAnsi="Times New Roman" w:cs="Times New Roman"/>
          <w:shd w:val="pct15" w:color="auto" w:fill="FFFFFF"/>
          <w:lang w:val="es-ES"/>
        </w:rPr>
        <w:t xml:space="preserve"> 13</w:t>
      </w:r>
    </w:p>
    <w:p w14:paraId="74FABFAE" w14:textId="274C710B" w:rsidR="003D6213" w:rsidRPr="004537E9" w:rsidRDefault="003D6213" w:rsidP="003D6213">
      <w:pPr>
        <w:spacing w:before="10" w:line="240" w:lineRule="exact"/>
        <w:rPr>
          <w:rFonts w:ascii="Times New Roman" w:hAnsi="Times New Roman" w:cs="Times New Roman"/>
          <w:shd w:val="pct15" w:color="auto" w:fill="FFFFFF"/>
          <w:lang w:val="es-ES" w:eastAsia="ko-KR"/>
        </w:rPr>
      </w:pPr>
      <w:r w:rsidRPr="00167BF3">
        <w:rPr>
          <w:rFonts w:ascii="Times New Roman" w:eastAsia="Times New Roman" w:hAnsi="Times New Roman" w:cs="Times New Roman"/>
          <w:shd w:val="pct15" w:color="auto" w:fill="FFFFFF"/>
          <w:lang w:val="es-ES"/>
        </w:rPr>
        <w:t xml:space="preserve">89231 </w:t>
      </w:r>
      <w:proofErr w:type="spellStart"/>
      <w:r w:rsidRPr="00167BF3">
        <w:rPr>
          <w:rFonts w:ascii="Times New Roman" w:eastAsia="Times New Roman" w:hAnsi="Times New Roman" w:cs="Times New Roman"/>
          <w:shd w:val="pct15" w:color="auto" w:fill="FFFFFF"/>
          <w:lang w:val="es-ES"/>
        </w:rPr>
        <w:t>Neu</w:t>
      </w:r>
      <w:proofErr w:type="spellEnd"/>
      <w:r w:rsidR="004537E9">
        <w:rPr>
          <w:rFonts w:ascii="Times New Roman" w:hAnsi="Times New Roman" w:cs="Times New Roman" w:hint="eastAsia"/>
          <w:shd w:val="pct15" w:color="auto" w:fill="FFFFFF"/>
          <w:lang w:val="es-ES" w:eastAsia="ko-KR"/>
        </w:rPr>
        <w:t>-</w:t>
      </w:r>
      <w:r w:rsidRPr="00167BF3">
        <w:rPr>
          <w:rFonts w:ascii="Times New Roman" w:eastAsia="Times New Roman" w:hAnsi="Times New Roman" w:cs="Times New Roman"/>
          <w:shd w:val="pct15" w:color="auto" w:fill="FFFFFF"/>
          <w:lang w:val="es-ES"/>
        </w:rPr>
        <w:t>Ulm</w:t>
      </w:r>
    </w:p>
    <w:p w14:paraId="52986FD2" w14:textId="77777777" w:rsidR="003D6213" w:rsidRPr="00167BF3" w:rsidRDefault="003D6213" w:rsidP="003D6213">
      <w:pPr>
        <w:spacing w:before="10" w:line="240" w:lineRule="exact"/>
        <w:rPr>
          <w:rFonts w:ascii="Times New Roman" w:eastAsia="Times New Roman" w:hAnsi="Times New Roman" w:cs="Times New Roman"/>
          <w:shd w:val="pct15" w:color="auto" w:fill="FFFFFF"/>
          <w:lang w:val="es-ES"/>
        </w:rPr>
      </w:pPr>
      <w:proofErr w:type="spellStart"/>
      <w:r w:rsidRPr="00167BF3">
        <w:rPr>
          <w:rFonts w:ascii="Times New Roman" w:eastAsia="Times New Roman" w:hAnsi="Times New Roman" w:cs="Times New Roman"/>
          <w:shd w:val="pct15" w:color="auto" w:fill="FFFFFF"/>
          <w:lang w:val="es-ES"/>
        </w:rPr>
        <w:t>Németország</w:t>
      </w:r>
      <w:proofErr w:type="spellEnd"/>
    </w:p>
    <w:p w14:paraId="3D069DA3" w14:textId="77777777" w:rsidR="003D6213" w:rsidRPr="00167BF3" w:rsidRDefault="003D6213" w:rsidP="003D6213">
      <w:pPr>
        <w:spacing w:before="10" w:line="240" w:lineRule="exact"/>
        <w:rPr>
          <w:rFonts w:ascii="Times New Roman" w:eastAsia="Times New Roman" w:hAnsi="Times New Roman" w:cs="Times New Roman"/>
          <w:shd w:val="pct15" w:color="auto" w:fill="FFFFFF"/>
          <w:lang w:val="es-ES"/>
        </w:rPr>
      </w:pPr>
    </w:p>
    <w:p w14:paraId="41DA4198" w14:textId="70F7D052" w:rsidR="003D6213" w:rsidRPr="00167BF3" w:rsidDel="002C78FA" w:rsidRDefault="003D6213" w:rsidP="003D6213">
      <w:pPr>
        <w:spacing w:before="10" w:line="240" w:lineRule="exact"/>
        <w:rPr>
          <w:moveFrom w:id="69" w:author="만든 이" w16du:dateUtc="2025-09-09T05:36:00Z"/>
          <w:rFonts w:ascii="Times New Roman" w:eastAsia="Times New Roman" w:hAnsi="Times New Roman" w:cs="Times New Roman"/>
          <w:shd w:val="pct15" w:color="auto" w:fill="FFFFFF"/>
        </w:rPr>
      </w:pPr>
      <w:moveFromRangeStart w:id="70" w:author="만든 이" w:name="move208320992"/>
      <w:moveFrom w:id="71" w:author="만든 이" w16du:dateUtc="2025-09-09T05:36:00Z">
        <w:r w:rsidRPr="00167BF3" w:rsidDel="002C78FA">
          <w:rPr>
            <w:rFonts w:ascii="Times New Roman" w:eastAsia="Times New Roman" w:hAnsi="Times New Roman" w:cs="Times New Roman"/>
            <w:shd w:val="pct15" w:color="auto" w:fill="FFFFFF"/>
          </w:rPr>
          <w:t>Nuvisan France SARL</w:t>
        </w:r>
      </w:moveFrom>
    </w:p>
    <w:p w14:paraId="6D1333B7" w14:textId="0C26CDEB" w:rsidR="003D6213" w:rsidRPr="004537E9" w:rsidDel="002C78FA" w:rsidRDefault="003D6213" w:rsidP="003D6213">
      <w:pPr>
        <w:spacing w:before="10" w:line="240" w:lineRule="exact"/>
        <w:rPr>
          <w:moveFrom w:id="72" w:author="만든 이" w16du:dateUtc="2025-09-09T05:36:00Z"/>
          <w:rFonts w:ascii="Times New Roman" w:hAnsi="Times New Roman" w:cs="Times New Roman"/>
          <w:shd w:val="pct15" w:color="auto" w:fill="FFFFFF"/>
          <w:lang w:eastAsia="ko-KR"/>
        </w:rPr>
      </w:pPr>
      <w:moveFrom w:id="73" w:author="만든 이" w16du:dateUtc="2025-09-09T05:36:00Z">
        <w:r w:rsidRPr="00167BF3" w:rsidDel="002C78FA">
          <w:rPr>
            <w:rFonts w:ascii="Times New Roman" w:eastAsia="Times New Roman" w:hAnsi="Times New Roman" w:cs="Times New Roman"/>
            <w:shd w:val="pct15" w:color="auto" w:fill="FFFFFF"/>
          </w:rPr>
          <w:t>2400, Route des Colles</w:t>
        </w:r>
      </w:moveFrom>
    </w:p>
    <w:p w14:paraId="14B3E8F9" w14:textId="398EDF9C" w:rsidR="003D6213" w:rsidRPr="004537E9" w:rsidDel="002C78FA" w:rsidRDefault="003D6213" w:rsidP="003D6213">
      <w:pPr>
        <w:spacing w:before="10" w:line="240" w:lineRule="exact"/>
        <w:rPr>
          <w:moveFrom w:id="74" w:author="만든 이" w16du:dateUtc="2025-09-09T05:36:00Z"/>
          <w:rFonts w:ascii="Times New Roman" w:hAnsi="Times New Roman" w:cs="Times New Roman"/>
          <w:shd w:val="pct15" w:color="auto" w:fill="FFFFFF"/>
          <w:lang w:eastAsia="ko-KR"/>
        </w:rPr>
      </w:pPr>
      <w:moveFrom w:id="75" w:author="만든 이" w16du:dateUtc="2025-09-09T05:36:00Z">
        <w:r w:rsidRPr="00167BF3" w:rsidDel="002C78FA">
          <w:rPr>
            <w:rFonts w:ascii="Times New Roman" w:eastAsia="Times New Roman" w:hAnsi="Times New Roman" w:cs="Times New Roman"/>
            <w:shd w:val="pct15" w:color="auto" w:fill="FFFFFF"/>
          </w:rPr>
          <w:t>06410, Biot</w:t>
        </w:r>
      </w:moveFrom>
    </w:p>
    <w:p w14:paraId="54FD44BD" w14:textId="64DDDA73" w:rsidR="003D6213" w:rsidRPr="00167BF3" w:rsidDel="002C78FA" w:rsidRDefault="003D6213" w:rsidP="003D6213">
      <w:pPr>
        <w:autoSpaceDE w:val="0"/>
        <w:autoSpaceDN w:val="0"/>
        <w:adjustRightInd w:val="0"/>
        <w:rPr>
          <w:moveFrom w:id="76" w:author="만든 이" w16du:dateUtc="2025-09-09T05:36:00Z"/>
          <w:rFonts w:ascii="Times New Roman" w:eastAsia="Times New Roman" w:hAnsi="Times New Roman" w:cs="Times New Roman"/>
          <w:shd w:val="pct15" w:color="auto" w:fill="FFFFFF"/>
        </w:rPr>
      </w:pPr>
      <w:moveFrom w:id="77" w:author="만든 이" w16du:dateUtc="2025-09-09T05:36:00Z">
        <w:r w:rsidRPr="00167BF3" w:rsidDel="002C78FA">
          <w:rPr>
            <w:rFonts w:ascii="Times New Roman" w:eastAsia="Times New Roman" w:hAnsi="Times New Roman" w:cs="Times New Roman"/>
            <w:shd w:val="pct15" w:color="auto" w:fill="FFFFFF"/>
          </w:rPr>
          <w:t>Franciaország</w:t>
        </w:r>
      </w:moveFrom>
    </w:p>
    <w:p w14:paraId="31A867FA" w14:textId="2E125A33" w:rsidR="007A3DE2" w:rsidRPr="00167BF3" w:rsidDel="002C78FA" w:rsidRDefault="007A3DE2" w:rsidP="007A3DE2">
      <w:pPr>
        <w:pStyle w:val="a3"/>
        <w:rPr>
          <w:moveFrom w:id="78" w:author="만든 이" w16du:dateUtc="2025-09-09T05:36:00Z"/>
          <w:shd w:val="pct15" w:color="auto" w:fill="FFFFFF"/>
        </w:rPr>
      </w:pPr>
    </w:p>
    <w:moveFromRangeEnd w:id="70"/>
    <w:p w14:paraId="24A9A722" w14:textId="77777777" w:rsidR="007A3DE2" w:rsidRPr="007D68C5" w:rsidRDefault="007A3DE2" w:rsidP="007A3DE2">
      <w:pPr>
        <w:pStyle w:val="a3"/>
        <w:rPr>
          <w:shd w:val="pct15" w:color="auto" w:fill="FFFFFF"/>
        </w:rPr>
      </w:pPr>
      <w:r w:rsidRPr="007D68C5">
        <w:rPr>
          <w:shd w:val="pct15" w:color="auto" w:fill="FFFFFF"/>
        </w:rPr>
        <w:t>Midas Pharma GmbH</w:t>
      </w:r>
    </w:p>
    <w:p w14:paraId="1B7D7781" w14:textId="315571B1" w:rsidR="007A3DE2" w:rsidRPr="007D68C5" w:rsidRDefault="007A3DE2" w:rsidP="007A3DE2">
      <w:pPr>
        <w:pStyle w:val="a3"/>
        <w:rPr>
          <w:shd w:val="pct15" w:color="auto" w:fill="FFFFFF"/>
        </w:rPr>
      </w:pPr>
      <w:proofErr w:type="spellStart"/>
      <w:r w:rsidRPr="007D68C5">
        <w:rPr>
          <w:shd w:val="pct15" w:color="auto" w:fill="FFFFFF"/>
        </w:rPr>
        <w:t>Rheinstr</w:t>
      </w:r>
      <w:proofErr w:type="spellEnd"/>
      <w:r w:rsidRPr="007D68C5">
        <w:rPr>
          <w:shd w:val="pct15" w:color="auto" w:fill="FFFFFF"/>
        </w:rPr>
        <w:t>. 49</w:t>
      </w:r>
    </w:p>
    <w:p w14:paraId="375E5386" w14:textId="2DC95E85" w:rsidR="007A3DE2" w:rsidRPr="007D68C5" w:rsidRDefault="007A3DE2" w:rsidP="007A3DE2">
      <w:pPr>
        <w:pStyle w:val="a3"/>
        <w:rPr>
          <w:shd w:val="pct15" w:color="auto" w:fill="FFFFFF"/>
        </w:rPr>
      </w:pPr>
      <w:r w:rsidRPr="007D68C5">
        <w:rPr>
          <w:shd w:val="pct15" w:color="auto" w:fill="FFFFFF"/>
        </w:rPr>
        <w:t>55218 Ingelheim</w:t>
      </w:r>
    </w:p>
    <w:p w14:paraId="38B71658" w14:textId="77777777" w:rsidR="007A3DE2" w:rsidRPr="007D68C5" w:rsidRDefault="007A3DE2" w:rsidP="007A3DE2">
      <w:pPr>
        <w:pStyle w:val="a3"/>
        <w:rPr>
          <w:shd w:val="pct15" w:color="auto" w:fill="FFFFFF"/>
        </w:rPr>
      </w:pPr>
      <w:proofErr w:type="spellStart"/>
      <w:r w:rsidRPr="007D68C5">
        <w:rPr>
          <w:shd w:val="pct15" w:color="auto" w:fill="FFFFFF"/>
        </w:rPr>
        <w:t>Németország</w:t>
      </w:r>
      <w:proofErr w:type="spellEnd"/>
    </w:p>
    <w:p w14:paraId="62E0FF90" w14:textId="77777777" w:rsidR="007A3DE2" w:rsidRPr="007D68C5" w:rsidRDefault="007A3DE2" w:rsidP="007A3DE2">
      <w:pPr>
        <w:pStyle w:val="a3"/>
        <w:rPr>
          <w:shd w:val="pct15" w:color="auto" w:fill="FFFFFF"/>
        </w:rPr>
      </w:pPr>
    </w:p>
    <w:p w14:paraId="6CB93018" w14:textId="72309FC4" w:rsidR="007A3DE2" w:rsidRPr="00167BF3" w:rsidRDefault="007A3DE2" w:rsidP="007A3DE2">
      <w:pPr>
        <w:pStyle w:val="a3"/>
        <w:rPr>
          <w:shd w:val="pct15" w:color="auto" w:fill="FFFFFF"/>
          <w:lang w:val="fr-FR"/>
        </w:rPr>
      </w:pPr>
      <w:r w:rsidRPr="00167BF3">
        <w:rPr>
          <w:shd w:val="pct15" w:color="auto" w:fill="FFFFFF"/>
          <w:lang w:val="fr-FR"/>
        </w:rPr>
        <w:t>KYMOS S.L.</w:t>
      </w:r>
    </w:p>
    <w:p w14:paraId="1777016E" w14:textId="1CDD918D" w:rsidR="007A3DE2" w:rsidRPr="00167BF3" w:rsidRDefault="007A3DE2" w:rsidP="007A3DE2">
      <w:pPr>
        <w:pStyle w:val="a3"/>
        <w:rPr>
          <w:shd w:val="pct15" w:color="auto" w:fill="FFFFFF"/>
          <w:lang w:val="fr-FR"/>
        </w:rPr>
      </w:pPr>
      <w:r w:rsidRPr="00167BF3">
        <w:rPr>
          <w:shd w:val="pct15" w:color="auto" w:fill="FFFFFF"/>
          <w:lang w:val="fr-FR"/>
        </w:rPr>
        <w:t xml:space="preserve">Ronda Can </w:t>
      </w:r>
      <w:proofErr w:type="spellStart"/>
      <w:r w:rsidRPr="00167BF3">
        <w:rPr>
          <w:shd w:val="pct15" w:color="auto" w:fill="FFFFFF"/>
          <w:lang w:val="fr-FR"/>
        </w:rPr>
        <w:t>Fatjó</w:t>
      </w:r>
      <w:proofErr w:type="spellEnd"/>
      <w:r w:rsidRPr="00167BF3">
        <w:rPr>
          <w:shd w:val="pct15" w:color="auto" w:fill="FFFFFF"/>
          <w:lang w:val="fr-FR"/>
        </w:rPr>
        <w:t>, 7B.</w:t>
      </w:r>
    </w:p>
    <w:p w14:paraId="4B7EA46A" w14:textId="10C1E8CF" w:rsidR="007A3DE2" w:rsidRPr="00167BF3" w:rsidRDefault="007A3DE2" w:rsidP="007A3DE2">
      <w:pPr>
        <w:pStyle w:val="a3"/>
        <w:rPr>
          <w:shd w:val="pct15" w:color="auto" w:fill="FFFFFF"/>
          <w:lang w:val="fr-FR"/>
        </w:rPr>
      </w:pPr>
      <w:r w:rsidRPr="00167BF3">
        <w:rPr>
          <w:shd w:val="pct15" w:color="auto" w:fill="FFFFFF"/>
          <w:lang w:val="fr-FR"/>
        </w:rPr>
        <w:t xml:space="preserve">08290 </w:t>
      </w:r>
      <w:proofErr w:type="spellStart"/>
      <w:r w:rsidRPr="00167BF3">
        <w:rPr>
          <w:shd w:val="pct15" w:color="auto" w:fill="FFFFFF"/>
          <w:lang w:val="fr-FR"/>
        </w:rPr>
        <w:t>Cerdanyola</w:t>
      </w:r>
      <w:proofErr w:type="spellEnd"/>
      <w:r w:rsidRPr="00167BF3">
        <w:rPr>
          <w:shd w:val="pct15" w:color="auto" w:fill="FFFFFF"/>
          <w:lang w:val="fr-FR"/>
        </w:rPr>
        <w:t xml:space="preserve"> </w:t>
      </w:r>
      <w:proofErr w:type="spellStart"/>
      <w:r w:rsidRPr="00167BF3">
        <w:rPr>
          <w:shd w:val="pct15" w:color="auto" w:fill="FFFFFF"/>
          <w:lang w:val="fr-FR"/>
        </w:rPr>
        <w:t>del</w:t>
      </w:r>
      <w:proofErr w:type="spellEnd"/>
      <w:r w:rsidRPr="00167BF3">
        <w:rPr>
          <w:shd w:val="pct15" w:color="auto" w:fill="FFFFFF"/>
          <w:lang w:val="fr-FR"/>
        </w:rPr>
        <w:t xml:space="preserve"> Vallès</w:t>
      </w:r>
    </w:p>
    <w:p w14:paraId="54764CF9" w14:textId="2977BE8D" w:rsidR="007A3DE2" w:rsidRPr="00167BF3" w:rsidRDefault="007A3DE2" w:rsidP="007A3DE2">
      <w:pPr>
        <w:pStyle w:val="a3"/>
        <w:rPr>
          <w:shd w:val="pct15" w:color="auto" w:fill="FFFFFF"/>
          <w:lang w:val="fr-FR"/>
        </w:rPr>
      </w:pPr>
      <w:r w:rsidRPr="00167BF3">
        <w:rPr>
          <w:shd w:val="pct15" w:color="auto" w:fill="FFFFFF"/>
          <w:lang w:val="fr-FR"/>
        </w:rPr>
        <w:t>Barcelona</w:t>
      </w:r>
    </w:p>
    <w:p w14:paraId="5973DDD3" w14:textId="77777777" w:rsidR="007A3DE2" w:rsidRPr="00167BF3" w:rsidRDefault="007A3DE2" w:rsidP="007A3DE2">
      <w:pPr>
        <w:pStyle w:val="a3"/>
        <w:rPr>
          <w:shd w:val="pct15" w:color="auto" w:fill="FFFFFF"/>
          <w:lang w:val="fr-FR"/>
        </w:rPr>
      </w:pPr>
      <w:proofErr w:type="spellStart"/>
      <w:r w:rsidRPr="00167BF3">
        <w:rPr>
          <w:shd w:val="pct15" w:color="auto" w:fill="FFFFFF"/>
          <w:lang w:val="fr-FR"/>
        </w:rPr>
        <w:t>Spanyolország</w:t>
      </w:r>
      <w:proofErr w:type="spellEnd"/>
    </w:p>
    <w:p w14:paraId="4A0CB141" w14:textId="77777777" w:rsidR="003D6213" w:rsidRPr="00644E8D" w:rsidRDefault="003D6213">
      <w:pPr>
        <w:spacing w:before="14" w:line="240" w:lineRule="exact"/>
        <w:rPr>
          <w:sz w:val="24"/>
          <w:szCs w:val="24"/>
          <w:lang w:val="fr-FR"/>
        </w:rPr>
      </w:pPr>
    </w:p>
    <w:p w14:paraId="4D053884" w14:textId="77777777" w:rsidR="00130E8B" w:rsidRDefault="000405CC">
      <w:pPr>
        <w:pStyle w:val="a3"/>
        <w:rPr>
          <w:lang w:val="hu-HU"/>
        </w:rPr>
      </w:pPr>
      <w:r>
        <w:rPr>
          <w:rFonts w:eastAsia="Times New Roman"/>
          <w:lang w:val="hu-HU"/>
        </w:rPr>
        <w:t>A készítményhez kapcsolódó további kérdéseivel forduljon a forgalomba hozatali engedély jogosultjának helyi képviseletéhez:</w:t>
      </w:r>
    </w:p>
    <w:p w14:paraId="5C55F213" w14:textId="77777777" w:rsidR="00130E8B" w:rsidRDefault="00130E8B">
      <w:pPr>
        <w:numPr>
          <w:ilvl w:val="12"/>
          <w:numId w:val="0"/>
        </w:numPr>
        <w:ind w:right="-2"/>
        <w:rPr>
          <w:rFonts w:ascii="Times New Roman" w:hAnsi="Times New Roman" w:cs="Times New Roman"/>
          <w:b/>
          <w:noProof/>
          <w:lang w:val="hu-HU"/>
        </w:rPr>
      </w:pPr>
    </w:p>
    <w:tbl>
      <w:tblPr>
        <w:tblW w:w="5000" w:type="pct"/>
        <w:tblLook w:val="04A0" w:firstRow="1" w:lastRow="0" w:firstColumn="1" w:lastColumn="0" w:noHBand="0" w:noVBand="1"/>
      </w:tblPr>
      <w:tblGrid>
        <w:gridCol w:w="4800"/>
        <w:gridCol w:w="4800"/>
      </w:tblGrid>
      <w:tr w:rsidR="00130E8B" w14:paraId="2A12AFEB" w14:textId="77777777">
        <w:tc>
          <w:tcPr>
            <w:tcW w:w="2500" w:type="pct"/>
            <w:hideMark/>
          </w:tcPr>
          <w:p w14:paraId="68349FBD" w14:textId="77777777" w:rsidR="00130E8B" w:rsidRDefault="000405CC">
            <w:pPr>
              <w:rPr>
                <w:rFonts w:ascii="Times New Roman" w:hAnsi="Times New Roman" w:cs="Times New Roman"/>
                <w:b/>
                <w:noProof/>
                <w:lang w:val="hu-HU" w:eastAsia="fr-FR"/>
              </w:rPr>
            </w:pPr>
            <w:r>
              <w:rPr>
                <w:rFonts w:ascii="Times New Roman" w:eastAsia="맑은 고딕" w:hAnsi="Times New Roman" w:cs="Times New Roman"/>
                <w:b/>
                <w:noProof/>
                <w:lang w:val="hu-HU" w:eastAsia="fr-FR"/>
              </w:rPr>
              <w:t>België/Belgique/Belgien</w:t>
            </w:r>
          </w:p>
          <w:p w14:paraId="45E0F186" w14:textId="77777777" w:rsidR="00130E8B" w:rsidRDefault="000405CC">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Belgium BVBA</w:t>
            </w:r>
          </w:p>
          <w:p w14:paraId="619E6FAE" w14:textId="77777777" w:rsidR="00130E8B" w:rsidRDefault="000405CC">
            <w:pPr>
              <w:rPr>
                <w:rFonts w:ascii="Times New Roman" w:eastAsia="맑은 고딕" w:hAnsi="Times New Roman" w:cs="Times New Roman"/>
                <w:noProof/>
                <w:lang w:val="hu-HU" w:eastAsia="ko-KR"/>
              </w:rPr>
            </w:pPr>
            <w:r>
              <w:rPr>
                <w:rFonts w:ascii="Times New Roman" w:eastAsia="맑은 고딕" w:hAnsi="Times New Roman" w:cs="Times New Roman"/>
                <w:noProof/>
                <w:lang w:val="hu-HU" w:eastAsia="fr-FR"/>
              </w:rPr>
              <w:t>Tél/Tel: + 32 1528 7418</w:t>
            </w:r>
          </w:p>
        </w:tc>
        <w:tc>
          <w:tcPr>
            <w:tcW w:w="2500" w:type="pct"/>
          </w:tcPr>
          <w:p w14:paraId="162F436D" w14:textId="77777777" w:rsidR="00130E8B" w:rsidRDefault="000405CC">
            <w:pPr>
              <w:tabs>
                <w:tab w:val="left" w:pos="-720"/>
              </w:tabs>
              <w:suppressAutoHyphens/>
              <w:rPr>
                <w:rFonts w:ascii="Times New Roman" w:hAnsi="Times New Roman" w:cs="Times New Roman"/>
                <w:b/>
                <w:noProof/>
                <w:lang w:val="hu-HU" w:eastAsia="fr-FR"/>
              </w:rPr>
            </w:pPr>
            <w:r>
              <w:rPr>
                <w:rFonts w:ascii="Times New Roman" w:hAnsi="Times New Roman" w:cs="Times New Roman"/>
                <w:b/>
                <w:noProof/>
                <w:lang w:val="hu-HU" w:eastAsia="fr-FR"/>
              </w:rPr>
              <w:t>Lietuva</w:t>
            </w:r>
          </w:p>
          <w:p w14:paraId="74BD687A" w14:textId="77777777" w:rsidR="00120A76" w:rsidRDefault="00120A76" w:rsidP="00120A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260DB8B4" w14:textId="13E032DE" w:rsidR="00220E63" w:rsidRDefault="00220E63" w:rsidP="00120A76">
            <w:pPr>
              <w:tabs>
                <w:tab w:val="left" w:pos="-720"/>
              </w:tabs>
              <w:suppressAutoHyphens/>
              <w:rPr>
                <w:rFonts w:ascii="Times New Roman" w:hAnsi="Times New Roman" w:cs="Times New Roman"/>
                <w:noProof/>
                <w:lang w:val="hu-HU" w:eastAsia="fr-FR"/>
              </w:rPr>
            </w:pPr>
            <w:r w:rsidRPr="00220E63">
              <w:rPr>
                <w:rFonts w:ascii="Times New Roman" w:eastAsia="맑은 고딕" w:hAnsi="Times New Roman" w:cs="Times New Roman"/>
                <w:noProof/>
                <w:lang w:eastAsia="fr-FR"/>
              </w:rPr>
              <w:t xml:space="preserve">Tel.: </w:t>
            </w:r>
            <w:r w:rsidR="00120A76">
              <w:rPr>
                <w:rFonts w:ascii="Times New Roman" w:eastAsia="맑은 고딕" w:hAnsi="Times New Roman" w:cs="Times New Roman"/>
                <w:noProof/>
                <w:lang w:eastAsia="fr-FR"/>
              </w:rPr>
              <w:t>+36 1 231 0493</w:t>
            </w:r>
          </w:p>
          <w:p w14:paraId="2A44BCFB" w14:textId="77777777" w:rsidR="00130E8B" w:rsidRPr="00120A76" w:rsidRDefault="00130E8B">
            <w:pPr>
              <w:autoSpaceDE w:val="0"/>
              <w:autoSpaceDN w:val="0"/>
              <w:adjustRightInd w:val="0"/>
              <w:rPr>
                <w:rFonts w:ascii="Times New Roman" w:hAnsi="Times New Roman" w:cs="Times New Roman"/>
                <w:noProof/>
                <w:lang w:val="hu-HU" w:eastAsia="fr-FR"/>
              </w:rPr>
            </w:pPr>
          </w:p>
        </w:tc>
      </w:tr>
      <w:tr w:rsidR="00130E8B" w14:paraId="01926C46" w14:textId="77777777">
        <w:trPr>
          <w:trHeight w:val="619"/>
        </w:trPr>
        <w:tc>
          <w:tcPr>
            <w:tcW w:w="2500" w:type="pct"/>
          </w:tcPr>
          <w:p w14:paraId="29F38FD5" w14:textId="77777777" w:rsidR="00130E8B" w:rsidRDefault="000405CC">
            <w:pPr>
              <w:rPr>
                <w:rFonts w:ascii="Times New Roman" w:eastAsia="맑은 고딕" w:hAnsi="Times New Roman" w:cs="Times New Roman"/>
                <w:b/>
                <w:noProof/>
                <w:lang w:val="hu-HU" w:eastAsia="fr-FR"/>
              </w:rPr>
            </w:pPr>
            <w:r>
              <w:rPr>
                <w:rFonts w:ascii="Times New Roman" w:hAnsi="Times New Roman" w:cs="Times New Roman"/>
                <w:b/>
                <w:bCs/>
                <w:lang w:val="hu-HU"/>
              </w:rPr>
              <w:t>България</w:t>
            </w:r>
          </w:p>
          <w:p w14:paraId="0651BF99" w14:textId="77777777" w:rsidR="00120A76" w:rsidRDefault="00120A76" w:rsidP="00120A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2025C11D" w14:textId="77777777" w:rsidR="00130E8B" w:rsidRDefault="00520ED3">
            <w:pPr>
              <w:rPr>
                <w:rFonts w:ascii="Times New Roman" w:eastAsia="맑은 고딕" w:hAnsi="Times New Roman" w:cs="Times New Roman"/>
                <w:noProof/>
                <w:lang w:eastAsia="fr-FR"/>
              </w:rPr>
            </w:pPr>
            <w:r w:rsidRPr="00520ED3">
              <w:rPr>
                <w:rFonts w:ascii="Times New Roman" w:eastAsia="맑은 고딕" w:hAnsi="Times New Roman" w:cs="Times New Roman"/>
                <w:noProof/>
                <w:lang w:eastAsia="fr-FR"/>
              </w:rPr>
              <w:t xml:space="preserve">Teл.: </w:t>
            </w:r>
            <w:r w:rsidR="00120A76">
              <w:rPr>
                <w:rFonts w:ascii="Times New Roman" w:eastAsia="맑은 고딕" w:hAnsi="Times New Roman" w:cs="Times New Roman"/>
                <w:noProof/>
                <w:lang w:eastAsia="fr-FR"/>
              </w:rPr>
              <w:t>+36 1 231 0493</w:t>
            </w:r>
          </w:p>
          <w:p w14:paraId="5FA66993" w14:textId="20C2E999" w:rsidR="00BE4D18" w:rsidRPr="00120A76" w:rsidRDefault="00BE4D18">
            <w:pPr>
              <w:rPr>
                <w:rFonts w:ascii="Times New Roman" w:hAnsi="Times New Roman" w:cs="Times New Roman"/>
                <w:noProof/>
                <w:lang w:val="hu-HU" w:eastAsia="fr-FR"/>
              </w:rPr>
            </w:pPr>
          </w:p>
        </w:tc>
        <w:tc>
          <w:tcPr>
            <w:tcW w:w="2500" w:type="pct"/>
            <w:hideMark/>
          </w:tcPr>
          <w:p w14:paraId="0E2D244A" w14:textId="77777777" w:rsidR="00130E8B" w:rsidRDefault="000405CC">
            <w:pPr>
              <w:tabs>
                <w:tab w:val="left" w:pos="-720"/>
              </w:tabs>
              <w:suppressAutoHyphens/>
              <w:rPr>
                <w:rFonts w:ascii="Times New Roman" w:hAnsi="Times New Roman" w:cs="Times New Roman"/>
                <w:noProof/>
                <w:lang w:val="hu-HU" w:eastAsia="fr-FR"/>
              </w:rPr>
            </w:pPr>
            <w:r>
              <w:rPr>
                <w:rFonts w:ascii="Times New Roman" w:eastAsia="맑은 고딕" w:hAnsi="Times New Roman" w:cs="Times New Roman"/>
                <w:b/>
                <w:noProof/>
                <w:lang w:val="hu-HU" w:eastAsia="fr-FR"/>
              </w:rPr>
              <w:t>Luxembourg/Luxemburg</w:t>
            </w:r>
          </w:p>
          <w:p w14:paraId="74D5F655" w14:textId="77777777" w:rsidR="00130E8B" w:rsidRDefault="000405CC">
            <w:pPr>
              <w:tabs>
                <w:tab w:val="left" w:pos="-720"/>
              </w:tabs>
              <w:suppressAutoHyphens/>
              <w:rPr>
                <w:rFonts w:ascii="Times New Roman" w:eastAsia="맑은 고딕" w:hAnsi="Times New Roman" w:cs="Times New Roman"/>
                <w:iCs/>
                <w:noProof/>
                <w:lang w:val="hu-HU" w:eastAsia="fr-FR"/>
              </w:rPr>
            </w:pPr>
            <w:r>
              <w:rPr>
                <w:rFonts w:ascii="Times New Roman" w:eastAsia="맑은 고딕" w:hAnsi="Times New Roman" w:cs="Times New Roman"/>
                <w:iCs/>
                <w:noProof/>
                <w:lang w:val="hu-HU" w:eastAsia="fr-FR"/>
              </w:rPr>
              <w:t>Celltrion Healthcare Belgium BVBA</w:t>
            </w:r>
          </w:p>
          <w:p w14:paraId="2A185825" w14:textId="77777777" w:rsidR="00130E8B" w:rsidRDefault="000405CC">
            <w:pPr>
              <w:tabs>
                <w:tab w:val="left" w:pos="-720"/>
              </w:tabs>
              <w:suppressAutoHyphens/>
              <w:rPr>
                <w:rFonts w:ascii="Times New Roman" w:eastAsia="맑은 고딕" w:hAnsi="Times New Roman" w:cs="Times New Roman"/>
                <w:iCs/>
                <w:noProof/>
                <w:lang w:val="hu-HU" w:eastAsia="fr-FR"/>
              </w:rPr>
            </w:pPr>
            <w:r>
              <w:rPr>
                <w:rFonts w:ascii="Times New Roman" w:eastAsia="맑은 고딕" w:hAnsi="Times New Roman" w:cs="Times New Roman"/>
                <w:noProof/>
                <w:lang w:val="hu-HU" w:eastAsia="fr-FR"/>
              </w:rPr>
              <w:t xml:space="preserve">Tél/Tel: </w:t>
            </w:r>
            <w:r>
              <w:rPr>
                <w:rFonts w:ascii="Times New Roman" w:eastAsia="맑은 고딕" w:hAnsi="Times New Roman" w:cs="Times New Roman"/>
                <w:iCs/>
                <w:noProof/>
                <w:lang w:val="hu-HU" w:eastAsia="fr-FR"/>
              </w:rPr>
              <w:t>+ 32 1528 7418</w:t>
            </w:r>
          </w:p>
          <w:p w14:paraId="4F5817B5" w14:textId="7773A1EF" w:rsidR="00220E63" w:rsidRDefault="00220E63">
            <w:pPr>
              <w:tabs>
                <w:tab w:val="left" w:pos="-720"/>
              </w:tabs>
              <w:suppressAutoHyphens/>
              <w:rPr>
                <w:rFonts w:ascii="Times New Roman" w:eastAsia="맑은 고딕" w:hAnsi="Times New Roman" w:cs="Times New Roman"/>
                <w:lang w:val="hu-HU" w:eastAsia="ko-KR"/>
              </w:rPr>
            </w:pPr>
          </w:p>
        </w:tc>
      </w:tr>
      <w:tr w:rsidR="00130E8B" w14:paraId="140B20C2" w14:textId="77777777">
        <w:tc>
          <w:tcPr>
            <w:tcW w:w="2500" w:type="pct"/>
            <w:hideMark/>
          </w:tcPr>
          <w:p w14:paraId="69507405" w14:textId="77777777" w:rsidR="00130E8B" w:rsidRDefault="000405CC">
            <w:pPr>
              <w:tabs>
                <w:tab w:val="left" w:pos="-720"/>
              </w:tabs>
              <w:suppressAutoHyphens/>
              <w:rPr>
                <w:rFonts w:ascii="Times New Roman" w:eastAsia="맑은 고딕" w:hAnsi="Times New Roman" w:cs="Times New Roman"/>
                <w:b/>
                <w:noProof/>
                <w:lang w:val="hu-HU" w:eastAsia="fr-FR"/>
              </w:rPr>
            </w:pPr>
            <w:r>
              <w:rPr>
                <w:rFonts w:ascii="Times New Roman" w:eastAsia="맑은 고딕" w:hAnsi="Times New Roman" w:cs="Times New Roman"/>
                <w:b/>
                <w:noProof/>
                <w:lang w:val="hu-HU" w:eastAsia="fr-FR"/>
              </w:rPr>
              <w:t>Česká republika</w:t>
            </w:r>
          </w:p>
          <w:p w14:paraId="5E96BC03" w14:textId="77777777" w:rsidR="00120A76" w:rsidRDefault="00120A76" w:rsidP="00120A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18162B9C" w14:textId="729269AB" w:rsidR="00130E8B" w:rsidRPr="00120A76" w:rsidRDefault="00BE43AD">
            <w:pPr>
              <w:tabs>
                <w:tab w:val="left" w:pos="-720"/>
              </w:tabs>
              <w:suppressAutoHyphens/>
              <w:rPr>
                <w:rFonts w:ascii="Times New Roman" w:hAnsi="Times New Roman" w:cs="Times New Roman"/>
                <w:noProof/>
                <w:lang w:val="hu-HU" w:eastAsia="fr-FR"/>
              </w:rPr>
            </w:pPr>
            <w:r w:rsidRPr="00BE43AD">
              <w:rPr>
                <w:rFonts w:ascii="Times New Roman" w:eastAsia="맑은 고딕" w:hAnsi="Times New Roman" w:cs="Times New Roman"/>
                <w:noProof/>
                <w:lang w:eastAsia="fr-FR"/>
              </w:rPr>
              <w:lastRenderedPageBreak/>
              <w:t xml:space="preserve">Tel: </w:t>
            </w:r>
            <w:r w:rsidR="00120A76">
              <w:rPr>
                <w:rFonts w:ascii="Times New Roman" w:eastAsia="맑은 고딕" w:hAnsi="Times New Roman" w:cs="Times New Roman"/>
                <w:noProof/>
                <w:lang w:eastAsia="fr-FR"/>
              </w:rPr>
              <w:t>+36 1 231 0493</w:t>
            </w:r>
          </w:p>
        </w:tc>
        <w:tc>
          <w:tcPr>
            <w:tcW w:w="2500" w:type="pct"/>
          </w:tcPr>
          <w:p w14:paraId="2593C56F" w14:textId="77777777" w:rsidR="00130E8B" w:rsidRDefault="000405CC">
            <w:pPr>
              <w:rPr>
                <w:rFonts w:ascii="Times New Roman" w:eastAsia="맑은 고딕" w:hAnsi="Times New Roman" w:cs="Times New Roman"/>
                <w:b/>
                <w:noProof/>
                <w:lang w:val="hu-HU" w:eastAsia="fr-FR"/>
              </w:rPr>
            </w:pPr>
            <w:r>
              <w:rPr>
                <w:rFonts w:ascii="Times New Roman" w:hAnsi="Times New Roman" w:cs="Times New Roman"/>
                <w:b/>
                <w:noProof/>
                <w:lang w:val="hu-HU"/>
              </w:rPr>
              <w:lastRenderedPageBreak/>
              <w:t>Magyarország</w:t>
            </w:r>
          </w:p>
          <w:p w14:paraId="3E2B4260" w14:textId="77777777" w:rsidR="00120A76" w:rsidRDefault="00120A76" w:rsidP="00120A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55E5925A" w14:textId="170A5686" w:rsidR="00220E63" w:rsidRDefault="00BE43AD" w:rsidP="00120A76">
            <w:pPr>
              <w:rPr>
                <w:rFonts w:ascii="Times New Roman" w:eastAsia="맑은 고딕" w:hAnsi="Times New Roman" w:cs="Times New Roman"/>
                <w:noProof/>
                <w:lang w:val="hu-HU" w:eastAsia="fr-FR"/>
              </w:rPr>
            </w:pPr>
            <w:r w:rsidRPr="00BE43AD">
              <w:rPr>
                <w:rFonts w:ascii="Times New Roman" w:eastAsia="맑은 고딕" w:hAnsi="Times New Roman" w:cs="Times New Roman"/>
                <w:noProof/>
                <w:lang w:eastAsia="fr-FR"/>
              </w:rPr>
              <w:lastRenderedPageBreak/>
              <w:t xml:space="preserve">Tel.: </w:t>
            </w:r>
            <w:r w:rsidR="00120A76">
              <w:rPr>
                <w:rFonts w:ascii="Times New Roman" w:eastAsia="맑은 고딕" w:hAnsi="Times New Roman" w:cs="Times New Roman"/>
                <w:noProof/>
                <w:lang w:eastAsia="fr-FR"/>
              </w:rPr>
              <w:t>+36 1 231 0493</w:t>
            </w:r>
          </w:p>
          <w:p w14:paraId="0B13DCD2" w14:textId="77777777" w:rsidR="00130E8B" w:rsidRPr="00120A76" w:rsidRDefault="00130E8B">
            <w:pPr>
              <w:rPr>
                <w:rFonts w:ascii="Times New Roman" w:eastAsia="맑은 고딕" w:hAnsi="Times New Roman" w:cs="Times New Roman"/>
                <w:noProof/>
                <w:lang w:val="hu-HU" w:eastAsia="ko-KR"/>
              </w:rPr>
            </w:pPr>
          </w:p>
        </w:tc>
      </w:tr>
      <w:tr w:rsidR="00130E8B" w14:paraId="4445FCAE" w14:textId="77777777">
        <w:tc>
          <w:tcPr>
            <w:tcW w:w="2500" w:type="pct"/>
            <w:hideMark/>
          </w:tcPr>
          <w:p w14:paraId="09F47C5C" w14:textId="77777777" w:rsidR="00130E8B" w:rsidRDefault="000405CC">
            <w:pPr>
              <w:tabs>
                <w:tab w:val="left" w:pos="-720"/>
              </w:tabs>
              <w:suppressAutoHyphens/>
              <w:rPr>
                <w:rFonts w:ascii="Times New Roman" w:hAnsi="Times New Roman" w:cs="Times New Roman"/>
                <w:b/>
                <w:bCs/>
                <w:i/>
                <w:iCs/>
                <w:noProof/>
                <w:lang w:val="hu-HU" w:eastAsia="fr-FR"/>
              </w:rPr>
            </w:pPr>
            <w:r>
              <w:rPr>
                <w:rFonts w:ascii="Times New Roman" w:hAnsi="Times New Roman" w:cs="Times New Roman"/>
                <w:b/>
                <w:noProof/>
                <w:lang w:val="hu-HU"/>
              </w:rPr>
              <w:lastRenderedPageBreak/>
              <w:t>Danmark</w:t>
            </w:r>
          </w:p>
          <w:p w14:paraId="03538CA6" w14:textId="77777777" w:rsidR="00130E8B" w:rsidRDefault="000405CC">
            <w:pPr>
              <w:tabs>
                <w:tab w:val="left" w:pos="-720"/>
              </w:tabs>
              <w:suppressAutoHyphen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Hungary Kft.</w:t>
            </w:r>
          </w:p>
          <w:p w14:paraId="37476AC3" w14:textId="77777777" w:rsidR="00130E8B" w:rsidRDefault="000405CC">
            <w:pPr>
              <w:tabs>
                <w:tab w:val="left" w:pos="-720"/>
              </w:tabs>
              <w:suppressAutoHyphen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Tlf: +36 1 231 0493</w:t>
            </w:r>
          </w:p>
        </w:tc>
        <w:tc>
          <w:tcPr>
            <w:tcW w:w="2500" w:type="pct"/>
          </w:tcPr>
          <w:p w14:paraId="49D785FF" w14:textId="77777777" w:rsidR="00130E8B" w:rsidRDefault="000405CC">
            <w:pPr>
              <w:rPr>
                <w:rFonts w:ascii="Times New Roman" w:hAnsi="Times New Roman" w:cs="Times New Roman"/>
                <w:noProof/>
                <w:lang w:val="hu-HU" w:eastAsia="fr-FR"/>
              </w:rPr>
            </w:pPr>
            <w:r>
              <w:rPr>
                <w:rFonts w:ascii="Times New Roman" w:eastAsia="맑은 고딕" w:hAnsi="Times New Roman" w:cs="Times New Roman"/>
                <w:b/>
                <w:noProof/>
                <w:lang w:val="hu-HU" w:eastAsia="fr-FR"/>
              </w:rPr>
              <w:t>Malta</w:t>
            </w:r>
          </w:p>
          <w:p w14:paraId="6C3C593B" w14:textId="2F7875F4" w:rsidR="00130E8B" w:rsidRDefault="00BB53E6">
            <w:pPr>
              <w:tabs>
                <w:tab w:val="left" w:pos="-720"/>
              </w:tabs>
              <w:suppressAutoHyphens/>
              <w:rPr>
                <w:rFonts w:ascii="Times New Roman" w:eastAsia="맑은 고딕" w:hAnsi="Times New Roman" w:cs="Times New Roman"/>
                <w:noProof/>
                <w:lang w:val="hu-HU" w:eastAsia="fr-FR"/>
              </w:rPr>
            </w:pPr>
            <w:r w:rsidRPr="00BB53E6">
              <w:rPr>
                <w:rFonts w:ascii="Times New Roman" w:eastAsia="맑은 고딕" w:hAnsi="Times New Roman" w:cs="Times New Roman"/>
                <w:noProof/>
                <w:lang w:val="hu-HU" w:eastAsia="fr-FR"/>
              </w:rPr>
              <w:t>Mint Health Ltd.</w:t>
            </w:r>
          </w:p>
          <w:p w14:paraId="62382537" w14:textId="3B51EFC0" w:rsidR="00130E8B" w:rsidRDefault="000405CC">
            <w:pPr>
              <w:rPr>
                <w:rFonts w:ascii="Times New Roman" w:eastAsia="맑은 고딕" w:hAnsi="Times New Roman" w:cs="Times New Roman"/>
                <w:noProof/>
                <w:lang w:val="hu-HU" w:eastAsia="ko-KR"/>
              </w:rPr>
            </w:pPr>
            <w:r>
              <w:rPr>
                <w:rFonts w:ascii="Times New Roman" w:eastAsia="맑은 고딕" w:hAnsi="Times New Roman" w:cs="Times New Roman"/>
                <w:noProof/>
                <w:lang w:val="hu-HU" w:eastAsia="fr-FR"/>
              </w:rPr>
              <w:t xml:space="preserve">Tel: +356 </w:t>
            </w:r>
            <w:r w:rsidR="00BB53E6" w:rsidRPr="00BB53E6">
              <w:rPr>
                <w:rFonts w:ascii="Times New Roman" w:eastAsia="맑은 고딕" w:hAnsi="Times New Roman" w:cs="Times New Roman"/>
                <w:noProof/>
                <w:lang w:val="hu-HU" w:eastAsia="fr-FR"/>
              </w:rPr>
              <w:t>2093 9800</w:t>
            </w:r>
          </w:p>
          <w:p w14:paraId="1EF8A7B1" w14:textId="77777777" w:rsidR="00130E8B" w:rsidRDefault="00130E8B">
            <w:pPr>
              <w:rPr>
                <w:rFonts w:ascii="Times New Roman" w:eastAsia="맑은 고딕" w:hAnsi="Times New Roman" w:cs="Times New Roman"/>
                <w:noProof/>
                <w:lang w:val="hu-HU" w:eastAsia="ko-KR"/>
              </w:rPr>
            </w:pPr>
          </w:p>
        </w:tc>
      </w:tr>
      <w:tr w:rsidR="00130E8B" w14:paraId="6BC8DD5E" w14:textId="77777777">
        <w:tc>
          <w:tcPr>
            <w:tcW w:w="2500" w:type="pct"/>
            <w:hideMark/>
          </w:tcPr>
          <w:p w14:paraId="4BFB6EB6" w14:textId="77777777" w:rsidR="00130E8B" w:rsidRDefault="000405CC">
            <w:pPr>
              <w:rPr>
                <w:rFonts w:ascii="Times New Roman" w:hAnsi="Times New Roman" w:cs="Times New Roman"/>
                <w:b/>
                <w:noProof/>
                <w:lang w:val="hu-HU" w:eastAsia="fr-FR"/>
              </w:rPr>
            </w:pPr>
            <w:r>
              <w:rPr>
                <w:rFonts w:ascii="Times New Roman" w:eastAsia="맑은 고딕" w:hAnsi="Times New Roman" w:cs="Times New Roman"/>
                <w:b/>
                <w:noProof/>
                <w:lang w:val="hu-HU" w:eastAsia="fr-FR"/>
              </w:rPr>
              <w:t>Deutschland</w:t>
            </w:r>
          </w:p>
          <w:p w14:paraId="50F862FF" w14:textId="77777777" w:rsidR="005F70F2" w:rsidRDefault="005F70F2" w:rsidP="005F70F2">
            <w:pPr>
              <w:rPr>
                <w:rFonts w:ascii="Times New Roman" w:hAnsi="Times New Roman" w:cs="Times New Roman"/>
                <w:noProof/>
                <w:lang w:eastAsia="ko-KR"/>
              </w:rPr>
            </w:pPr>
            <w:r>
              <w:rPr>
                <w:rFonts w:ascii="Times New Roman" w:hAnsi="Times New Roman" w:cs="Times New Roman"/>
                <w:noProof/>
                <w:lang w:eastAsia="ko-KR"/>
              </w:rPr>
              <w:t xml:space="preserve">Celltrion Healthcare Deutschland GmbH </w:t>
            </w:r>
          </w:p>
          <w:p w14:paraId="63FAB171" w14:textId="57FE0BFA" w:rsidR="005F70F2" w:rsidRDefault="005F70F2" w:rsidP="005F70F2">
            <w:pPr>
              <w:rPr>
                <w:rFonts w:ascii="Times New Roman" w:eastAsia="맑은 고딕" w:hAnsi="Times New Roman" w:cs="Times New Roman"/>
                <w:noProof/>
                <w:lang w:eastAsia="ko-KR"/>
              </w:rPr>
            </w:pPr>
            <w:r>
              <w:rPr>
                <w:rFonts w:ascii="Times New Roman" w:hAnsi="Times New Roman" w:cs="Times New Roman"/>
                <w:noProof/>
                <w:lang w:eastAsia="ko-KR"/>
              </w:rPr>
              <w:t>T</w:t>
            </w:r>
            <w:r w:rsidR="008D7BD6">
              <w:rPr>
                <w:rFonts w:ascii="Times New Roman" w:hAnsi="Times New Roman" w:cs="Times New Roman" w:hint="eastAsia"/>
                <w:lang w:eastAsia="ko-KR"/>
              </w:rPr>
              <w:t>e</w:t>
            </w:r>
            <w:r>
              <w:rPr>
                <w:rFonts w:ascii="Times New Roman" w:hAnsi="Times New Roman" w:cs="Times New Roman"/>
                <w:noProof/>
                <w:lang w:eastAsia="ko-KR"/>
              </w:rPr>
              <w:t>l.: +49 (0)</w:t>
            </w:r>
            <w:r w:rsidR="00AB1B26">
              <w:rPr>
                <w:rFonts w:ascii="Times New Roman" w:hAnsi="Times New Roman" w:cs="Times New Roman"/>
                <w:noProof/>
                <w:lang w:eastAsia="ko-KR"/>
              </w:rPr>
              <w:t>30 346494150</w:t>
            </w:r>
          </w:p>
          <w:p w14:paraId="23762FF8" w14:textId="77777777" w:rsidR="005F70F2" w:rsidRDefault="005F70F2" w:rsidP="005F70F2">
            <w:pPr>
              <w:rPr>
                <w:rFonts w:ascii="Times New Roman" w:eastAsia="맑은 고딕" w:hAnsi="Times New Roman" w:cs="Times New Roman"/>
                <w:noProof/>
                <w:lang w:eastAsia="ko-KR"/>
              </w:rPr>
            </w:pPr>
            <w:hyperlink r:id="rId25" w:history="1">
              <w:r>
                <w:rPr>
                  <w:rStyle w:val="ad"/>
                  <w:rFonts w:ascii="Times New Roman" w:eastAsia="맑은 고딕" w:hAnsi="Times New Roman" w:cs="Times New Roman"/>
                  <w:noProof/>
                  <w:lang w:eastAsia="ko-KR"/>
                </w:rPr>
                <w:t>infoDE@celltrionhc.com</w:t>
              </w:r>
            </w:hyperlink>
          </w:p>
          <w:p w14:paraId="633C84DF" w14:textId="77777777" w:rsidR="00130E8B" w:rsidRDefault="00130E8B">
            <w:pPr>
              <w:tabs>
                <w:tab w:val="left" w:pos="-720"/>
              </w:tabs>
              <w:suppressAutoHyphens/>
              <w:rPr>
                <w:rFonts w:ascii="Times New Roman" w:eastAsia="맑은 고딕" w:hAnsi="Times New Roman" w:cs="Times New Roman"/>
                <w:noProof/>
                <w:lang w:val="hu-HU" w:eastAsia="fr-FR"/>
              </w:rPr>
            </w:pPr>
          </w:p>
        </w:tc>
        <w:tc>
          <w:tcPr>
            <w:tcW w:w="2500" w:type="pct"/>
          </w:tcPr>
          <w:p w14:paraId="23C24464" w14:textId="77777777" w:rsidR="00130E8B" w:rsidRDefault="000405CC">
            <w:pPr>
              <w:rPr>
                <w:rFonts w:ascii="Times New Roman" w:hAnsi="Times New Roman" w:cs="Times New Roman"/>
                <w:noProof/>
                <w:lang w:val="hu-HU" w:eastAsia="fr-FR"/>
              </w:rPr>
            </w:pPr>
            <w:r>
              <w:rPr>
                <w:rFonts w:ascii="Times New Roman" w:eastAsia="맑은 고딕" w:hAnsi="Times New Roman" w:cs="Times New Roman"/>
                <w:b/>
                <w:noProof/>
                <w:lang w:val="hu-HU" w:eastAsia="fr-FR"/>
              </w:rPr>
              <w:t>Nederland</w:t>
            </w:r>
          </w:p>
          <w:p w14:paraId="6EC680F3" w14:textId="77777777" w:rsidR="00130E8B" w:rsidRDefault="000405CC">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Netherlands B.V.</w:t>
            </w:r>
          </w:p>
          <w:p w14:paraId="504DD533" w14:textId="77777777" w:rsidR="00130E8B" w:rsidRDefault="000405CC">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Tel: + 31 20 888 7300</w:t>
            </w:r>
          </w:p>
          <w:p w14:paraId="54F8E728" w14:textId="77777777" w:rsidR="00130E8B" w:rsidRDefault="00130E8B">
            <w:pPr>
              <w:rPr>
                <w:rFonts w:ascii="Times New Roman" w:eastAsia="맑은 고딕" w:hAnsi="Times New Roman" w:cs="Times New Roman"/>
                <w:noProof/>
                <w:lang w:val="hu-HU" w:eastAsia="fr-FR"/>
              </w:rPr>
            </w:pPr>
          </w:p>
        </w:tc>
      </w:tr>
      <w:tr w:rsidR="00130E8B" w14:paraId="7C78F7F3" w14:textId="77777777">
        <w:tc>
          <w:tcPr>
            <w:tcW w:w="2500" w:type="pct"/>
            <w:hideMark/>
          </w:tcPr>
          <w:p w14:paraId="13E1584F" w14:textId="77777777" w:rsidR="00130E8B" w:rsidRDefault="000405CC" w:rsidP="002C78FA">
            <w:pPr>
              <w:keepNext/>
              <w:keepLines/>
              <w:tabs>
                <w:tab w:val="left" w:pos="-720"/>
                <w:tab w:val="left" w:pos="4536"/>
              </w:tabs>
              <w:suppressAutoHyphens/>
              <w:rPr>
                <w:rFonts w:ascii="Times New Roman" w:hAnsi="Times New Roman" w:cs="Times New Roman"/>
                <w:b/>
                <w:noProof/>
                <w:lang w:val="hu-HU" w:eastAsia="fr-FR"/>
              </w:rPr>
            </w:pPr>
            <w:r>
              <w:rPr>
                <w:rFonts w:ascii="Times New Roman" w:eastAsia="맑은 고딕" w:hAnsi="Times New Roman" w:cs="Times New Roman"/>
                <w:b/>
                <w:noProof/>
                <w:lang w:val="hu-HU" w:eastAsia="fr-FR"/>
              </w:rPr>
              <w:t>Eesti</w:t>
            </w:r>
          </w:p>
          <w:p w14:paraId="47059D99" w14:textId="77777777" w:rsidR="00130E8B" w:rsidRDefault="000405CC" w:rsidP="002C78FA">
            <w:pPr>
              <w:keepNext/>
              <w:keepLine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Hungary Kft.</w:t>
            </w:r>
          </w:p>
          <w:p w14:paraId="3D7BDAB0" w14:textId="77777777" w:rsidR="00130E8B" w:rsidRDefault="000405CC" w:rsidP="002C78FA">
            <w:pPr>
              <w:keepNext/>
              <w:keepLines/>
              <w:tabs>
                <w:tab w:val="left" w:pos="-720"/>
              </w:tabs>
              <w:suppressAutoHyphen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Tel: +36 1 231 0493</w:t>
            </w:r>
          </w:p>
          <w:p w14:paraId="53815F30" w14:textId="77777777" w:rsidR="00130E8B" w:rsidRDefault="00130E8B" w:rsidP="002C78FA">
            <w:pPr>
              <w:keepNext/>
              <w:keepLines/>
              <w:tabs>
                <w:tab w:val="left" w:pos="-720"/>
              </w:tabs>
              <w:suppressAutoHyphens/>
              <w:rPr>
                <w:rFonts w:ascii="Times New Roman" w:eastAsia="맑은 고딕" w:hAnsi="Times New Roman" w:cs="Times New Roman"/>
                <w:noProof/>
                <w:lang w:val="hu-HU" w:eastAsia="ko-KR"/>
              </w:rPr>
            </w:pPr>
          </w:p>
        </w:tc>
        <w:tc>
          <w:tcPr>
            <w:tcW w:w="2500" w:type="pct"/>
          </w:tcPr>
          <w:p w14:paraId="252D98B2" w14:textId="77777777" w:rsidR="00130E8B" w:rsidRDefault="000405CC" w:rsidP="002C78FA">
            <w:pPr>
              <w:keepNext/>
              <w:keepLines/>
              <w:tabs>
                <w:tab w:val="left" w:pos="-720"/>
              </w:tabs>
              <w:suppressAutoHyphens/>
              <w:rPr>
                <w:rFonts w:ascii="Times New Roman" w:hAnsi="Times New Roman" w:cs="Times New Roman"/>
                <w:noProof/>
                <w:lang w:val="hu-HU" w:eastAsia="fr-FR"/>
              </w:rPr>
            </w:pPr>
            <w:r>
              <w:rPr>
                <w:rFonts w:ascii="Times New Roman" w:eastAsia="맑은 고딕" w:hAnsi="Times New Roman" w:cs="Times New Roman"/>
                <w:b/>
                <w:noProof/>
                <w:lang w:val="hu-HU" w:eastAsia="fr-FR"/>
              </w:rPr>
              <w:t>Norge</w:t>
            </w:r>
          </w:p>
          <w:p w14:paraId="6147997D" w14:textId="77777777" w:rsidR="00130E8B" w:rsidRDefault="000405CC" w:rsidP="002C78FA">
            <w:pPr>
              <w:keepNext/>
              <w:keepLine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Hungary Kft.</w:t>
            </w:r>
          </w:p>
          <w:p w14:paraId="12D82C6D" w14:textId="77777777" w:rsidR="00130E8B" w:rsidRDefault="000405CC" w:rsidP="002C78FA">
            <w:pPr>
              <w:keepNext/>
              <w:keepLines/>
              <w:tabs>
                <w:tab w:val="left" w:pos="-720"/>
              </w:tabs>
              <w:suppressAutoHyphen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Tlf: +36 1 231 0493</w:t>
            </w:r>
          </w:p>
          <w:p w14:paraId="0A2D072D" w14:textId="77777777" w:rsidR="00130E8B" w:rsidRDefault="00130E8B" w:rsidP="002C78FA">
            <w:pPr>
              <w:keepNext/>
              <w:keepLines/>
              <w:tabs>
                <w:tab w:val="left" w:pos="-720"/>
              </w:tabs>
              <w:suppressAutoHyphens/>
              <w:rPr>
                <w:rFonts w:ascii="Times New Roman" w:eastAsia="맑은 고딕" w:hAnsi="Times New Roman" w:cs="Times New Roman"/>
                <w:noProof/>
                <w:lang w:val="hu-HU" w:eastAsia="ko-KR"/>
              </w:rPr>
            </w:pPr>
          </w:p>
        </w:tc>
      </w:tr>
      <w:tr w:rsidR="00130E8B" w14:paraId="66BFDC05" w14:textId="77777777">
        <w:tc>
          <w:tcPr>
            <w:tcW w:w="2500" w:type="pct"/>
            <w:hideMark/>
          </w:tcPr>
          <w:p w14:paraId="47CD24BB" w14:textId="77777777" w:rsidR="00130E8B" w:rsidRDefault="000405CC" w:rsidP="002C78FA">
            <w:pPr>
              <w:keepNext/>
              <w:keepLines/>
              <w:rPr>
                <w:rFonts w:ascii="Times New Roman" w:hAnsi="Times New Roman" w:cs="Times New Roman"/>
                <w:noProof/>
                <w:lang w:val="hu-HU" w:eastAsia="fr-FR"/>
              </w:rPr>
            </w:pPr>
            <w:r>
              <w:rPr>
                <w:rFonts w:ascii="Times New Roman" w:hAnsi="Times New Roman" w:cs="Times New Roman"/>
                <w:b/>
                <w:noProof/>
                <w:lang w:val="hu-HU"/>
              </w:rPr>
              <w:t>España</w:t>
            </w:r>
          </w:p>
          <w:p w14:paraId="2406F2BA" w14:textId="77777777" w:rsidR="00130E8B" w:rsidRDefault="000405CC" w:rsidP="002C78FA">
            <w:pPr>
              <w:keepNext/>
              <w:keepLine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Kern Pharma, S.L.</w:t>
            </w:r>
          </w:p>
          <w:p w14:paraId="399A866A" w14:textId="77777777" w:rsidR="00130E8B" w:rsidRDefault="000405CC" w:rsidP="002C78FA">
            <w:pPr>
              <w:keepNext/>
              <w:keepLine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Tel: +34 93 700 2525</w:t>
            </w:r>
          </w:p>
          <w:p w14:paraId="782356DD" w14:textId="77777777" w:rsidR="00130E8B" w:rsidRDefault="00130E8B" w:rsidP="002C78FA">
            <w:pPr>
              <w:keepNext/>
              <w:keepLines/>
              <w:rPr>
                <w:rFonts w:ascii="Times New Roman" w:hAnsi="Times New Roman" w:cs="Times New Roman"/>
                <w:b/>
                <w:noProof/>
                <w:lang w:val="hu-HU" w:eastAsia="fr-FR"/>
              </w:rPr>
            </w:pPr>
          </w:p>
        </w:tc>
        <w:tc>
          <w:tcPr>
            <w:tcW w:w="2500" w:type="pct"/>
          </w:tcPr>
          <w:p w14:paraId="7EC84BA0" w14:textId="77777777" w:rsidR="00130E8B" w:rsidRDefault="000405CC" w:rsidP="002C78FA">
            <w:pPr>
              <w:keepNext/>
              <w:keepLines/>
              <w:rPr>
                <w:rFonts w:ascii="Times New Roman" w:hAnsi="Times New Roman" w:cs="Times New Roman"/>
                <w:noProof/>
                <w:lang w:val="hu-HU" w:eastAsia="fr-FR"/>
              </w:rPr>
            </w:pPr>
            <w:r>
              <w:rPr>
                <w:rFonts w:ascii="Times New Roman" w:hAnsi="Times New Roman" w:cs="Times New Roman"/>
                <w:b/>
                <w:noProof/>
                <w:lang w:val="hu-HU"/>
              </w:rPr>
              <w:t>Österreich</w:t>
            </w:r>
          </w:p>
          <w:p w14:paraId="650A3654" w14:textId="77777777" w:rsidR="00130E8B" w:rsidRDefault="000405CC" w:rsidP="002C78FA">
            <w:pPr>
              <w:keepNext/>
              <w:keepLines/>
              <w:rPr>
                <w:rFonts w:ascii="Times New Roman" w:eastAsia="맑은 고딕" w:hAnsi="Times New Roman" w:cs="Times New Roman"/>
                <w:noProof/>
                <w:lang w:val="hu-HU" w:eastAsia="ko-KR"/>
              </w:rPr>
            </w:pPr>
            <w:r>
              <w:rPr>
                <w:rFonts w:ascii="Times New Roman" w:eastAsia="맑은 고딕" w:hAnsi="Times New Roman" w:cs="Times New Roman"/>
                <w:noProof/>
                <w:lang w:val="hu-HU" w:eastAsia="fr-FR"/>
              </w:rPr>
              <w:t>Astro-Pharma GmbH</w:t>
            </w:r>
          </w:p>
          <w:p w14:paraId="53D3226F" w14:textId="77777777" w:rsidR="00130E8B" w:rsidRDefault="000405CC" w:rsidP="002C78FA">
            <w:pPr>
              <w:keepNext/>
              <w:keepLines/>
              <w:tabs>
                <w:tab w:val="left" w:pos="-720"/>
              </w:tabs>
              <w:suppressAutoHyphen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Tel: +43 1 97 99 860</w:t>
            </w:r>
          </w:p>
          <w:p w14:paraId="65DCE812" w14:textId="77777777" w:rsidR="00130E8B" w:rsidRDefault="00130E8B" w:rsidP="002C78FA">
            <w:pPr>
              <w:keepNext/>
              <w:keepLines/>
              <w:tabs>
                <w:tab w:val="left" w:pos="-720"/>
              </w:tabs>
              <w:suppressAutoHyphens/>
              <w:rPr>
                <w:rFonts w:ascii="Times New Roman" w:hAnsi="Times New Roman" w:cs="Times New Roman"/>
                <w:noProof/>
                <w:lang w:val="hu-HU" w:eastAsia="fr-FR"/>
              </w:rPr>
            </w:pPr>
          </w:p>
        </w:tc>
      </w:tr>
      <w:tr w:rsidR="00130E8B" w14:paraId="1C2D9E59" w14:textId="77777777">
        <w:tc>
          <w:tcPr>
            <w:tcW w:w="2500" w:type="pct"/>
          </w:tcPr>
          <w:p w14:paraId="696891B7" w14:textId="77777777" w:rsidR="00130E8B" w:rsidRDefault="000405CC">
            <w:pPr>
              <w:rPr>
                <w:rFonts w:ascii="Times New Roman" w:hAnsi="Times New Roman" w:cs="Times New Roman"/>
                <w:b/>
                <w:noProof/>
                <w:lang w:val="hu-HU" w:eastAsia="fr-FR"/>
              </w:rPr>
            </w:pPr>
            <w:r>
              <w:rPr>
                <w:rFonts w:ascii="Times New Roman" w:hAnsi="Times New Roman" w:cs="Times New Roman"/>
                <w:b/>
                <w:noProof/>
                <w:lang w:val="hu-HU" w:eastAsia="fr-FR"/>
              </w:rPr>
              <w:t>Ελλάδα</w:t>
            </w:r>
          </w:p>
          <w:p w14:paraId="6BAB1AE1" w14:textId="77777777" w:rsidR="00130E8B" w:rsidRDefault="000405CC">
            <w:pPr>
              <w:rPr>
                <w:rFonts w:ascii="Times New Roman" w:hAnsi="Times New Roman" w:cs="Times New Roman"/>
                <w:noProof/>
                <w:lang w:val="hu-HU" w:eastAsia="fr-FR"/>
              </w:rPr>
            </w:pPr>
            <w:r>
              <w:rPr>
                <w:rFonts w:ascii="Times New Roman" w:hAnsi="Times New Roman" w:cs="Times New Roman"/>
                <w:noProof/>
                <w:lang w:val="hu-HU" w:eastAsia="fr-FR"/>
              </w:rPr>
              <w:t>ΒΙΑΝΕΞ Α.Ε.</w:t>
            </w:r>
          </w:p>
          <w:p w14:paraId="1E331E2E" w14:textId="19A61E8E" w:rsidR="00130E8B" w:rsidRDefault="000405CC">
            <w:pPr>
              <w:rPr>
                <w:rFonts w:ascii="Times New Roman" w:hAnsi="Times New Roman" w:cs="Times New Roman"/>
                <w:noProof/>
                <w:lang w:val="hu-HU" w:eastAsia="fr-FR"/>
              </w:rPr>
            </w:pPr>
            <w:r>
              <w:rPr>
                <w:rFonts w:ascii="Times New Roman" w:hAnsi="Times New Roman" w:cs="Times New Roman"/>
                <w:noProof/>
                <w:lang w:val="hu-HU" w:eastAsia="fr-FR"/>
              </w:rPr>
              <w:t>Τηλ: +30 210 8009111</w:t>
            </w:r>
          </w:p>
          <w:p w14:paraId="2A1988AE" w14:textId="77777777" w:rsidR="00130E8B" w:rsidRDefault="00130E8B">
            <w:pPr>
              <w:rPr>
                <w:rFonts w:ascii="Times New Roman" w:eastAsia="맑은 고딕" w:hAnsi="Times New Roman" w:cs="Times New Roman"/>
                <w:noProof/>
                <w:lang w:val="hu-HU" w:eastAsia="fr-FR"/>
              </w:rPr>
            </w:pPr>
          </w:p>
        </w:tc>
        <w:tc>
          <w:tcPr>
            <w:tcW w:w="2500" w:type="pct"/>
          </w:tcPr>
          <w:p w14:paraId="309D3701" w14:textId="77777777" w:rsidR="00130E8B" w:rsidRDefault="000405CC">
            <w:pPr>
              <w:rPr>
                <w:rFonts w:ascii="Times New Roman" w:eastAsia="맑은 고딕" w:hAnsi="Times New Roman" w:cs="Times New Roman"/>
                <w:b/>
                <w:noProof/>
                <w:lang w:val="hu-HU" w:eastAsia="fr-FR"/>
              </w:rPr>
            </w:pPr>
            <w:r>
              <w:rPr>
                <w:rFonts w:ascii="Times New Roman" w:eastAsia="맑은 고딕" w:hAnsi="Times New Roman" w:cs="Times New Roman"/>
                <w:b/>
                <w:noProof/>
                <w:lang w:val="hu-HU" w:eastAsia="fr-FR"/>
              </w:rPr>
              <w:t>Polska</w:t>
            </w:r>
          </w:p>
          <w:p w14:paraId="38A8678C" w14:textId="77777777" w:rsidR="00120A76" w:rsidRDefault="00120A76" w:rsidP="00120A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3EDF6B8C" w14:textId="57F8EFBB" w:rsidR="00130E8B" w:rsidRPr="00120A76" w:rsidRDefault="00B84AAE">
            <w:pPr>
              <w:rPr>
                <w:rFonts w:ascii="Times New Roman" w:hAnsi="Times New Roman" w:cs="Times New Roman"/>
                <w:b/>
                <w:noProof/>
                <w:lang w:val="hu-HU"/>
              </w:rPr>
            </w:pPr>
            <w:r w:rsidRPr="00BE43AD">
              <w:rPr>
                <w:rFonts w:ascii="Times New Roman" w:eastAsia="맑은 고딕" w:hAnsi="Times New Roman" w:cs="Times New Roman"/>
                <w:noProof/>
                <w:lang w:eastAsia="fr-FR"/>
              </w:rPr>
              <w:t xml:space="preserve">Tel.: </w:t>
            </w:r>
            <w:r w:rsidR="00120A76">
              <w:rPr>
                <w:rFonts w:ascii="Times New Roman" w:eastAsia="맑은 고딕" w:hAnsi="Times New Roman" w:cs="Times New Roman"/>
                <w:noProof/>
                <w:lang w:eastAsia="fr-FR"/>
              </w:rPr>
              <w:t>+36 1 231 0493</w:t>
            </w:r>
          </w:p>
        </w:tc>
      </w:tr>
      <w:tr w:rsidR="00887453" w:rsidRPr="00BE4D18" w14:paraId="7FDA828E" w14:textId="77777777">
        <w:tc>
          <w:tcPr>
            <w:tcW w:w="2500" w:type="pct"/>
          </w:tcPr>
          <w:p w14:paraId="1D20708F" w14:textId="77777777" w:rsidR="00887453" w:rsidRDefault="00887453" w:rsidP="00887453">
            <w:pPr>
              <w:rPr>
                <w:rFonts w:ascii="Times New Roman" w:hAnsi="Times New Roman" w:cs="Times New Roman"/>
                <w:b/>
                <w:noProof/>
                <w:lang w:val="hu-HU" w:eastAsia="ko-KR"/>
              </w:rPr>
            </w:pPr>
            <w:r>
              <w:rPr>
                <w:rFonts w:ascii="Times New Roman" w:hAnsi="Times New Roman" w:cs="Times New Roman"/>
                <w:b/>
                <w:noProof/>
                <w:lang w:val="hu-HU" w:eastAsia="ko-KR"/>
              </w:rPr>
              <w:t>France</w:t>
            </w:r>
          </w:p>
          <w:p w14:paraId="008AE895" w14:textId="516777FC" w:rsidR="00887453" w:rsidRDefault="00887453" w:rsidP="00887453">
            <w:pPr>
              <w:rPr>
                <w:rFonts w:ascii="Times New Roman" w:hAnsi="Times New Roman" w:cs="Times New Roman"/>
                <w:noProof/>
                <w:lang w:val="hu-HU" w:eastAsia="ko-KR"/>
              </w:rPr>
            </w:pPr>
            <w:r w:rsidRPr="00BB53E6">
              <w:rPr>
                <w:rFonts w:ascii="Times New Roman" w:hAnsi="Times New Roman" w:cs="Times New Roman"/>
                <w:noProof/>
                <w:lang w:val="hu-HU" w:eastAsia="ko-KR"/>
              </w:rPr>
              <w:t>Celltrion Healthcare France SAS</w:t>
            </w:r>
          </w:p>
          <w:p w14:paraId="6C094C4E" w14:textId="77777777" w:rsidR="00887453" w:rsidRDefault="00887453" w:rsidP="00887453">
            <w:pPr>
              <w:rPr>
                <w:rFonts w:ascii="Times New Roman" w:eastAsia="맑은 고딕" w:hAnsi="Times New Roman" w:cs="Times New Roman"/>
                <w:noProof/>
                <w:lang w:val="hu-HU" w:eastAsia="ko-KR"/>
              </w:rPr>
            </w:pPr>
            <w:r>
              <w:rPr>
                <w:rFonts w:ascii="Times New Roman" w:hAnsi="Times New Roman" w:cs="Times New Roman"/>
                <w:noProof/>
                <w:lang w:val="hu-HU" w:eastAsia="ko-KR"/>
              </w:rPr>
              <w:t>T</w:t>
            </w:r>
            <w:r>
              <w:rPr>
                <w:rFonts w:ascii="Times New Roman" w:hAnsi="Times New Roman" w:cs="Times New Roman"/>
                <w:lang w:val="hu-HU"/>
              </w:rPr>
              <w:t>é</w:t>
            </w:r>
            <w:r>
              <w:rPr>
                <w:rFonts w:ascii="Times New Roman" w:hAnsi="Times New Roman" w:cs="Times New Roman"/>
                <w:noProof/>
                <w:lang w:val="hu-HU" w:eastAsia="ko-KR"/>
              </w:rPr>
              <w:t>l.: +33 (0)1 71 25 27 00</w:t>
            </w:r>
          </w:p>
          <w:p w14:paraId="3BC144AC" w14:textId="77777777" w:rsidR="00887453" w:rsidRDefault="00887453" w:rsidP="00887453">
            <w:pPr>
              <w:rPr>
                <w:rFonts w:ascii="Times New Roman" w:eastAsia="맑은 고딕" w:hAnsi="Times New Roman" w:cs="Times New Roman"/>
                <w:noProof/>
                <w:lang w:val="hu-HU" w:eastAsia="fr-FR"/>
              </w:rPr>
            </w:pPr>
          </w:p>
        </w:tc>
        <w:tc>
          <w:tcPr>
            <w:tcW w:w="2500" w:type="pct"/>
          </w:tcPr>
          <w:p w14:paraId="5A2C7C3C" w14:textId="77777777" w:rsidR="00887453" w:rsidRPr="002F72A3" w:rsidRDefault="00887453" w:rsidP="00887453">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77A6E4D5" w14:textId="66B6C4F7" w:rsidR="00887453" w:rsidRDefault="00887453" w:rsidP="00887453">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58A5B3D1" w14:textId="0CAF2EDF" w:rsidR="00887453" w:rsidRPr="009C0F1B" w:rsidRDefault="00887453" w:rsidP="00887453">
            <w:pPr>
              <w:rPr>
                <w:rFonts w:ascii="Times New Roman" w:eastAsia="맑은 고딕" w:hAnsi="Times New Roman" w:cs="Times New Roman"/>
                <w:noProof/>
                <w:lang w:val="fr-CA" w:eastAsia="fr-FR"/>
              </w:rPr>
            </w:pPr>
            <w:r w:rsidRPr="009C0F1B">
              <w:rPr>
                <w:rFonts w:ascii="Times New Roman" w:eastAsia="맑은 고딕" w:hAnsi="Times New Roman" w:cs="Times New Roman"/>
                <w:noProof/>
                <w:lang w:val="fr-CA" w:eastAsia="fr-FR"/>
              </w:rPr>
              <w:t>Tel: +351 21 936 8542</w:t>
            </w:r>
          </w:p>
          <w:p w14:paraId="391F4658" w14:textId="77777777" w:rsidR="00887453" w:rsidRDefault="00887453" w:rsidP="00887453">
            <w:pPr>
              <w:rPr>
                <w:rFonts w:ascii="Times New Roman" w:hAnsi="Times New Roman" w:cs="Times New Roman"/>
                <w:b/>
                <w:noProof/>
                <w:lang w:val="hu-HU"/>
              </w:rPr>
            </w:pPr>
          </w:p>
        </w:tc>
      </w:tr>
      <w:tr w:rsidR="00130E8B" w14:paraId="4C0B2507" w14:textId="77777777">
        <w:tc>
          <w:tcPr>
            <w:tcW w:w="2500" w:type="pct"/>
          </w:tcPr>
          <w:p w14:paraId="7CCF8F59" w14:textId="77777777" w:rsidR="00130E8B" w:rsidRDefault="000405CC">
            <w:pPr>
              <w:rPr>
                <w:rFonts w:ascii="Times New Roman" w:hAnsi="Times New Roman" w:cs="Times New Roman"/>
                <w:b/>
                <w:noProof/>
                <w:lang w:val="hu-HU" w:eastAsia="ko-KR"/>
              </w:rPr>
            </w:pPr>
            <w:r>
              <w:rPr>
                <w:rFonts w:ascii="Times New Roman" w:hAnsi="Times New Roman" w:cs="Times New Roman"/>
                <w:b/>
                <w:noProof/>
                <w:lang w:val="hu-HU" w:eastAsia="ko-KR"/>
              </w:rPr>
              <w:t>Hrvatska</w:t>
            </w:r>
          </w:p>
          <w:p w14:paraId="41BB3CA6" w14:textId="77777777" w:rsidR="00130E8B" w:rsidRDefault="000405CC">
            <w:pPr>
              <w:rPr>
                <w:rFonts w:ascii="Times New Roman" w:hAnsi="Times New Roman" w:cs="Times New Roman"/>
                <w:noProof/>
                <w:lang w:val="hu-HU" w:eastAsia="ko-KR"/>
              </w:rPr>
            </w:pPr>
            <w:r>
              <w:rPr>
                <w:rFonts w:ascii="Times New Roman" w:hAnsi="Times New Roman" w:cs="Times New Roman"/>
                <w:noProof/>
                <w:lang w:val="hu-HU" w:eastAsia="ko-KR"/>
              </w:rPr>
              <w:t>Oktal Pharma d.o.o.</w:t>
            </w:r>
          </w:p>
          <w:p w14:paraId="471274C3" w14:textId="77777777" w:rsidR="00130E8B" w:rsidRDefault="000405CC">
            <w:pPr>
              <w:rPr>
                <w:rFonts w:ascii="Times New Roman" w:hAnsi="Times New Roman" w:cs="Times New Roman"/>
                <w:noProof/>
                <w:lang w:val="hu-HU" w:eastAsia="ko-KR"/>
              </w:rPr>
            </w:pPr>
            <w:r>
              <w:rPr>
                <w:rFonts w:ascii="Times New Roman" w:hAnsi="Times New Roman" w:cs="Times New Roman"/>
                <w:noProof/>
                <w:lang w:val="hu-HU" w:eastAsia="ko-KR"/>
              </w:rPr>
              <w:t>Tel: +385 1 6595 777</w:t>
            </w:r>
          </w:p>
          <w:p w14:paraId="2A16291E" w14:textId="77777777" w:rsidR="00130E8B" w:rsidRDefault="00130E8B">
            <w:pPr>
              <w:rPr>
                <w:rFonts w:ascii="Times New Roman" w:eastAsia="맑은 고딕" w:hAnsi="Times New Roman" w:cs="Times New Roman"/>
                <w:noProof/>
                <w:lang w:val="hu-HU" w:eastAsia="fr-FR"/>
              </w:rPr>
            </w:pPr>
          </w:p>
        </w:tc>
        <w:tc>
          <w:tcPr>
            <w:tcW w:w="2500" w:type="pct"/>
          </w:tcPr>
          <w:p w14:paraId="2F343A4B" w14:textId="77777777" w:rsidR="00130E8B" w:rsidRDefault="000405CC">
            <w:pPr>
              <w:tabs>
                <w:tab w:val="left" w:pos="-720"/>
              </w:tabs>
              <w:suppressAutoHyphens/>
              <w:rPr>
                <w:rFonts w:ascii="Times New Roman" w:eastAsia="맑은 고딕" w:hAnsi="Times New Roman" w:cs="Times New Roman"/>
                <w:b/>
                <w:noProof/>
                <w:lang w:val="hu-HU" w:eastAsia="fr-FR"/>
              </w:rPr>
            </w:pPr>
            <w:r>
              <w:rPr>
                <w:rFonts w:ascii="Times New Roman" w:hAnsi="Times New Roman" w:cs="Times New Roman"/>
                <w:b/>
                <w:noProof/>
                <w:lang w:val="hu-HU"/>
              </w:rPr>
              <w:t>România</w:t>
            </w:r>
          </w:p>
          <w:p w14:paraId="077C598E" w14:textId="77777777" w:rsidR="00120A76" w:rsidRDefault="00120A76" w:rsidP="00120A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397EAEF8" w14:textId="1BD54446" w:rsidR="00130E8B" w:rsidRPr="00120A76" w:rsidRDefault="00B84AAE">
            <w:pPr>
              <w:rPr>
                <w:rFonts w:ascii="Times New Roman" w:hAnsi="Times New Roman" w:cs="Times New Roman"/>
                <w:b/>
                <w:noProof/>
                <w:lang w:val="hu-HU"/>
              </w:rPr>
            </w:pPr>
            <w:r w:rsidRPr="00BE43AD">
              <w:rPr>
                <w:rFonts w:ascii="Times New Roman" w:eastAsia="맑은 고딕" w:hAnsi="Times New Roman" w:cs="Times New Roman"/>
                <w:noProof/>
                <w:lang w:eastAsia="fr-FR"/>
              </w:rPr>
              <w:t xml:space="preserve">Tel: </w:t>
            </w:r>
            <w:r w:rsidR="00120A76">
              <w:rPr>
                <w:rFonts w:ascii="Times New Roman" w:eastAsia="맑은 고딕" w:hAnsi="Times New Roman" w:cs="Times New Roman"/>
                <w:noProof/>
                <w:lang w:eastAsia="fr-FR"/>
              </w:rPr>
              <w:t>+36 1 231 0493</w:t>
            </w:r>
          </w:p>
        </w:tc>
      </w:tr>
      <w:tr w:rsidR="00130E8B" w14:paraId="0CF8ADBD" w14:textId="77777777">
        <w:tc>
          <w:tcPr>
            <w:tcW w:w="2500" w:type="pct"/>
          </w:tcPr>
          <w:p w14:paraId="62985B94" w14:textId="77777777" w:rsidR="00130E8B" w:rsidRDefault="000405CC">
            <w:pPr>
              <w:tabs>
                <w:tab w:val="left" w:pos="-720"/>
              </w:tabs>
              <w:suppressAutoHyphens/>
              <w:rPr>
                <w:rFonts w:ascii="Times New Roman" w:hAnsi="Times New Roman" w:cs="Times New Roman"/>
                <w:noProof/>
                <w:lang w:val="hu-HU" w:eastAsia="fr-FR"/>
              </w:rPr>
            </w:pPr>
            <w:r>
              <w:rPr>
                <w:rFonts w:ascii="Times New Roman" w:eastAsia="맑은 고딕" w:hAnsi="Times New Roman" w:cs="Times New Roman"/>
                <w:b/>
                <w:noProof/>
                <w:lang w:val="hu-HU" w:eastAsia="fr-FR"/>
              </w:rPr>
              <w:t>Ireland</w:t>
            </w:r>
          </w:p>
          <w:p w14:paraId="09FE1509" w14:textId="77777777" w:rsidR="00130E8B" w:rsidRDefault="000405CC">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Ireland Limited</w:t>
            </w:r>
          </w:p>
          <w:p w14:paraId="7379ACB2" w14:textId="77777777" w:rsidR="00130E8B" w:rsidRDefault="000405CC">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Tel: +353 1 223 4026</w:t>
            </w:r>
          </w:p>
          <w:p w14:paraId="1DE30BDF" w14:textId="77777777" w:rsidR="00130E8B" w:rsidRDefault="00130E8B">
            <w:pPr>
              <w:rPr>
                <w:rFonts w:ascii="Times New Roman" w:eastAsia="맑은 고딕" w:hAnsi="Times New Roman" w:cs="Times New Roman"/>
                <w:noProof/>
                <w:lang w:val="hu-HU" w:eastAsia="fr-FR"/>
              </w:rPr>
            </w:pPr>
          </w:p>
        </w:tc>
        <w:tc>
          <w:tcPr>
            <w:tcW w:w="2500" w:type="pct"/>
          </w:tcPr>
          <w:p w14:paraId="2A4B305F" w14:textId="77777777" w:rsidR="00130E8B" w:rsidRDefault="000405CC">
            <w:pPr>
              <w:rPr>
                <w:rFonts w:ascii="Times New Roman" w:eastAsia="맑은 고딕" w:hAnsi="Times New Roman" w:cs="Times New Roman"/>
                <w:b/>
                <w:noProof/>
                <w:lang w:val="hu-HU" w:eastAsia="fr-FR"/>
              </w:rPr>
            </w:pPr>
            <w:r>
              <w:rPr>
                <w:rFonts w:ascii="Times New Roman" w:eastAsia="맑은 고딕" w:hAnsi="Times New Roman" w:cs="Times New Roman"/>
                <w:b/>
                <w:noProof/>
                <w:lang w:val="hu-HU" w:eastAsia="fr-FR"/>
              </w:rPr>
              <w:t>Slovenija</w:t>
            </w:r>
          </w:p>
          <w:p w14:paraId="218B757E" w14:textId="77777777" w:rsidR="00130E8B" w:rsidRDefault="000405CC">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OPH Oktal Pharma d.o.o.</w:t>
            </w:r>
          </w:p>
          <w:p w14:paraId="7E273976" w14:textId="77777777" w:rsidR="00130E8B" w:rsidRDefault="000405CC">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Tel.: +386 1 519 29 22</w:t>
            </w:r>
          </w:p>
          <w:p w14:paraId="41D46A24" w14:textId="77777777" w:rsidR="00130E8B" w:rsidRDefault="00130E8B">
            <w:pPr>
              <w:rPr>
                <w:rFonts w:ascii="Times New Roman" w:hAnsi="Times New Roman" w:cs="Times New Roman"/>
                <w:b/>
                <w:noProof/>
                <w:lang w:val="hu-HU"/>
              </w:rPr>
            </w:pPr>
          </w:p>
        </w:tc>
      </w:tr>
      <w:tr w:rsidR="00130E8B" w14:paraId="231273EC" w14:textId="77777777">
        <w:tc>
          <w:tcPr>
            <w:tcW w:w="2500" w:type="pct"/>
          </w:tcPr>
          <w:p w14:paraId="3B2DEA27" w14:textId="77777777" w:rsidR="00130E8B" w:rsidRDefault="000405CC">
            <w:pPr>
              <w:rPr>
                <w:rFonts w:ascii="Times New Roman" w:eastAsia="맑은 고딕" w:hAnsi="Times New Roman" w:cs="Times New Roman"/>
                <w:noProof/>
                <w:lang w:val="hu-HU" w:eastAsia="fr-FR"/>
              </w:rPr>
            </w:pPr>
            <w:r>
              <w:rPr>
                <w:rFonts w:ascii="Times New Roman" w:eastAsia="맑은 고딕" w:hAnsi="Times New Roman" w:cs="Times New Roman"/>
                <w:b/>
                <w:noProof/>
                <w:lang w:val="hu-HU" w:eastAsia="fr-FR"/>
              </w:rPr>
              <w:t>Ísland</w:t>
            </w:r>
          </w:p>
          <w:p w14:paraId="6B7CA060" w14:textId="77777777" w:rsidR="00130E8B" w:rsidRDefault="000405CC">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Hungary Kft.</w:t>
            </w:r>
          </w:p>
          <w:p w14:paraId="27216449" w14:textId="77777777" w:rsidR="00130E8B" w:rsidRDefault="000405CC">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Sími: +36 1 231 0493</w:t>
            </w:r>
          </w:p>
        </w:tc>
        <w:tc>
          <w:tcPr>
            <w:tcW w:w="2500" w:type="pct"/>
          </w:tcPr>
          <w:p w14:paraId="4710FD17" w14:textId="77777777" w:rsidR="00130E8B" w:rsidRDefault="000405CC">
            <w:pPr>
              <w:rPr>
                <w:rFonts w:ascii="Times New Roman" w:eastAsia="맑은 고딕" w:hAnsi="Times New Roman" w:cs="Times New Roman"/>
                <w:b/>
                <w:noProof/>
                <w:lang w:val="hu-HU" w:eastAsia="fr-FR"/>
              </w:rPr>
            </w:pPr>
            <w:r>
              <w:rPr>
                <w:rFonts w:ascii="Times New Roman" w:hAnsi="Times New Roman" w:cs="Times New Roman"/>
                <w:b/>
                <w:noProof/>
                <w:lang w:val="hu-HU"/>
              </w:rPr>
              <w:t>Slovenská republika</w:t>
            </w:r>
          </w:p>
          <w:p w14:paraId="615EB93D" w14:textId="77777777" w:rsidR="00120A76" w:rsidRDefault="00120A76" w:rsidP="00120A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250CE47D" w14:textId="6D73A92D" w:rsidR="00B84AAE" w:rsidRDefault="00B84AAE" w:rsidP="00120A76">
            <w:pPr>
              <w:rPr>
                <w:rFonts w:ascii="Times New Roman" w:eastAsia="맑은 고딕" w:hAnsi="Times New Roman" w:cs="Times New Roman"/>
                <w:b/>
                <w:noProof/>
                <w:lang w:val="hu-HU" w:eastAsia="fr-FR"/>
              </w:rPr>
            </w:pPr>
            <w:r w:rsidRPr="00BE43AD">
              <w:rPr>
                <w:rFonts w:ascii="Times New Roman" w:eastAsia="맑은 고딕" w:hAnsi="Times New Roman" w:cs="Times New Roman"/>
                <w:noProof/>
                <w:lang w:eastAsia="fr-FR"/>
              </w:rPr>
              <w:t xml:space="preserve">Tel: </w:t>
            </w:r>
            <w:r w:rsidR="00120A76">
              <w:rPr>
                <w:rFonts w:ascii="Times New Roman" w:eastAsia="맑은 고딕" w:hAnsi="Times New Roman" w:cs="Times New Roman"/>
                <w:noProof/>
                <w:lang w:eastAsia="fr-FR"/>
              </w:rPr>
              <w:t>+36 1 231 0493</w:t>
            </w:r>
          </w:p>
          <w:p w14:paraId="36B39972" w14:textId="77777777" w:rsidR="00130E8B" w:rsidRPr="00120A76" w:rsidRDefault="00130E8B">
            <w:pPr>
              <w:rPr>
                <w:rFonts w:ascii="Times New Roman" w:eastAsia="맑은 고딕" w:hAnsi="Times New Roman" w:cs="Times New Roman"/>
                <w:b/>
                <w:noProof/>
                <w:lang w:val="hu-HU" w:eastAsia="fr-FR"/>
              </w:rPr>
            </w:pPr>
          </w:p>
        </w:tc>
      </w:tr>
      <w:tr w:rsidR="00130E8B" w14:paraId="1C0E60C7" w14:textId="77777777">
        <w:tc>
          <w:tcPr>
            <w:tcW w:w="2500" w:type="pct"/>
          </w:tcPr>
          <w:p w14:paraId="15F5DF7B" w14:textId="77777777" w:rsidR="00130E8B" w:rsidRDefault="000405CC">
            <w:pPr>
              <w:rPr>
                <w:rFonts w:ascii="Times New Roman" w:hAnsi="Times New Roman" w:cs="Times New Roman"/>
                <w:noProof/>
                <w:lang w:val="hu-HU" w:eastAsia="fr-FR"/>
              </w:rPr>
            </w:pPr>
            <w:r>
              <w:rPr>
                <w:rFonts w:ascii="Times New Roman" w:eastAsia="맑은 고딕" w:hAnsi="Times New Roman" w:cs="Times New Roman"/>
                <w:b/>
                <w:noProof/>
                <w:lang w:val="hu-HU" w:eastAsia="fr-FR"/>
              </w:rPr>
              <w:t>Italia</w:t>
            </w:r>
          </w:p>
          <w:p w14:paraId="148B34BF" w14:textId="151DC890" w:rsidR="00130E8B" w:rsidRDefault="000405CC">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Italy S.</w:t>
            </w:r>
            <w:r w:rsidR="00BB53E6">
              <w:rPr>
                <w:rFonts w:ascii="Times New Roman" w:eastAsia="맑은 고딕" w:hAnsi="Times New Roman" w:cs="Times New Roman"/>
                <w:noProof/>
                <w:lang w:val="hu-HU" w:eastAsia="fr-FR"/>
              </w:rPr>
              <w:t>r</w:t>
            </w:r>
            <w:r>
              <w:rPr>
                <w:rFonts w:ascii="Times New Roman" w:eastAsia="맑은 고딕" w:hAnsi="Times New Roman" w:cs="Times New Roman"/>
                <w:noProof/>
                <w:lang w:val="hu-HU" w:eastAsia="fr-FR"/>
              </w:rPr>
              <w:t>.</w:t>
            </w:r>
            <w:r w:rsidR="00BB53E6">
              <w:rPr>
                <w:rFonts w:ascii="Times New Roman" w:eastAsia="맑은 고딕" w:hAnsi="Times New Roman" w:cs="Times New Roman"/>
                <w:noProof/>
                <w:lang w:val="hu-HU" w:eastAsia="fr-FR"/>
              </w:rPr>
              <w:t>l</w:t>
            </w:r>
            <w:r>
              <w:rPr>
                <w:rFonts w:ascii="Times New Roman" w:eastAsia="맑은 고딕" w:hAnsi="Times New Roman" w:cs="Times New Roman"/>
                <w:noProof/>
                <w:lang w:val="hu-HU" w:eastAsia="fr-FR"/>
              </w:rPr>
              <w:t>.</w:t>
            </w:r>
          </w:p>
          <w:p w14:paraId="3B734CAB" w14:textId="03843461" w:rsidR="00130E8B" w:rsidRDefault="000405CC">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 xml:space="preserve">Tel: +39 </w:t>
            </w:r>
            <w:r w:rsidR="00BB53E6" w:rsidRPr="00BB53E6">
              <w:rPr>
                <w:rFonts w:ascii="Times New Roman" w:eastAsia="맑은 고딕" w:hAnsi="Times New Roman" w:cs="Times New Roman"/>
                <w:noProof/>
                <w:lang w:val="hu-HU" w:eastAsia="fr-FR"/>
              </w:rPr>
              <w:t>02</w:t>
            </w:r>
            <w:r w:rsidR="00903402">
              <w:rPr>
                <w:rFonts w:ascii="Times New Roman" w:eastAsia="맑은 고딕" w:hAnsi="Times New Roman" w:cs="Times New Roman"/>
                <w:noProof/>
                <w:lang w:val="hu-HU" w:eastAsia="fr-FR"/>
              </w:rPr>
              <w:t xml:space="preserve"> </w:t>
            </w:r>
            <w:r w:rsidR="00BB53E6" w:rsidRPr="00BB53E6">
              <w:rPr>
                <w:rFonts w:ascii="Times New Roman" w:eastAsia="맑은 고딕" w:hAnsi="Times New Roman" w:cs="Times New Roman"/>
                <w:noProof/>
                <w:lang w:val="hu-HU" w:eastAsia="fr-FR"/>
              </w:rPr>
              <w:t>47927040</w:t>
            </w:r>
          </w:p>
          <w:p w14:paraId="51510853" w14:textId="77777777" w:rsidR="00130E8B" w:rsidRDefault="00130E8B">
            <w:pPr>
              <w:rPr>
                <w:rFonts w:ascii="Times New Roman" w:eastAsia="맑은 고딕" w:hAnsi="Times New Roman" w:cs="Times New Roman"/>
                <w:noProof/>
                <w:lang w:val="hu-HU" w:eastAsia="fr-FR"/>
              </w:rPr>
            </w:pPr>
          </w:p>
        </w:tc>
        <w:tc>
          <w:tcPr>
            <w:tcW w:w="2500" w:type="pct"/>
          </w:tcPr>
          <w:p w14:paraId="2CB92794" w14:textId="77777777" w:rsidR="00130E8B" w:rsidRDefault="000405CC">
            <w:pPr>
              <w:rPr>
                <w:rFonts w:ascii="Times New Roman" w:hAnsi="Times New Roman" w:cs="Times New Roman"/>
                <w:noProof/>
                <w:lang w:val="hu-HU" w:eastAsia="fr-FR"/>
              </w:rPr>
            </w:pPr>
            <w:r>
              <w:rPr>
                <w:rFonts w:ascii="Times New Roman" w:eastAsia="맑은 고딕" w:hAnsi="Times New Roman" w:cs="Times New Roman"/>
                <w:b/>
                <w:noProof/>
                <w:lang w:val="hu-HU" w:eastAsia="fr-FR"/>
              </w:rPr>
              <w:t>Suomi/Finland</w:t>
            </w:r>
          </w:p>
          <w:p w14:paraId="6CCA7798" w14:textId="77777777" w:rsidR="00903402" w:rsidRPr="00F15659" w:rsidRDefault="00903402" w:rsidP="00903402">
            <w:pPr>
              <w:tabs>
                <w:tab w:val="left" w:pos="-720"/>
              </w:tabs>
              <w:suppressAutoHyphens/>
              <w:rPr>
                <w:rFonts w:ascii="Times New Roman" w:eastAsia="맑은 고딕" w:hAnsi="Times New Roman" w:cs="Times New Roman"/>
                <w:noProof/>
                <w:lang w:val="hu-HU" w:eastAsia="fr-FR"/>
              </w:rPr>
            </w:pPr>
            <w:r w:rsidRPr="00F15659">
              <w:rPr>
                <w:rFonts w:ascii="Times New Roman" w:eastAsia="맑은 고딕" w:hAnsi="Times New Roman" w:cs="Times New Roman"/>
                <w:noProof/>
                <w:lang w:val="hu-HU" w:eastAsia="fr-FR"/>
              </w:rPr>
              <w:t xml:space="preserve">Celltrion Healthcare Finland Oy. </w:t>
            </w:r>
          </w:p>
          <w:p w14:paraId="0F6BD481" w14:textId="58A2E36B" w:rsidR="00130E8B" w:rsidRDefault="00903402">
            <w:pPr>
              <w:autoSpaceDE w:val="0"/>
              <w:autoSpaceDN w:val="0"/>
              <w:adjustRightInd w:val="0"/>
              <w:rPr>
                <w:rFonts w:ascii="Times New Roman" w:eastAsia="맑은 고딕" w:hAnsi="Times New Roman" w:cs="Times New Roman"/>
                <w:noProof/>
                <w:lang w:val="hu-HU" w:eastAsia="fr-FR"/>
              </w:rPr>
            </w:pPr>
            <w:r w:rsidRPr="00F15659">
              <w:rPr>
                <w:rFonts w:ascii="Times New Roman" w:eastAsia="맑은 고딕" w:hAnsi="Times New Roman" w:cs="Times New Roman"/>
                <w:noProof/>
                <w:lang w:val="hu-HU" w:eastAsia="fr-FR"/>
              </w:rPr>
              <w:t>Puh/Tel: +358 29 170 7755</w:t>
            </w:r>
          </w:p>
          <w:p w14:paraId="36C41961" w14:textId="77777777" w:rsidR="00130E8B" w:rsidRDefault="00130E8B">
            <w:pPr>
              <w:autoSpaceDE w:val="0"/>
              <w:autoSpaceDN w:val="0"/>
              <w:adjustRightInd w:val="0"/>
              <w:rPr>
                <w:rFonts w:ascii="Times New Roman" w:eastAsia="맑은 고딕" w:hAnsi="Times New Roman" w:cs="Times New Roman"/>
                <w:noProof/>
                <w:lang w:val="hu-HU" w:eastAsia="ko-KR"/>
              </w:rPr>
            </w:pPr>
          </w:p>
        </w:tc>
      </w:tr>
      <w:tr w:rsidR="00130E8B" w14:paraId="6B5A83C3" w14:textId="77777777">
        <w:tc>
          <w:tcPr>
            <w:tcW w:w="2500" w:type="pct"/>
          </w:tcPr>
          <w:p w14:paraId="6EA37128" w14:textId="77777777" w:rsidR="00130E8B" w:rsidRDefault="000405CC">
            <w:pPr>
              <w:tabs>
                <w:tab w:val="left" w:pos="-720"/>
              </w:tabs>
              <w:suppressAutoHyphens/>
              <w:rPr>
                <w:rFonts w:ascii="Times New Roman" w:hAnsi="Times New Roman" w:cs="Times New Roman"/>
                <w:b/>
                <w:bCs/>
                <w:noProof/>
                <w:lang w:val="hu-HU" w:eastAsia="fr-FR"/>
              </w:rPr>
            </w:pPr>
            <w:r>
              <w:rPr>
                <w:rFonts w:ascii="Times New Roman" w:hAnsi="Times New Roman" w:cs="Times New Roman"/>
                <w:b/>
                <w:noProof/>
                <w:lang w:val="hu-HU"/>
              </w:rPr>
              <w:t>Κύπρος</w:t>
            </w:r>
          </w:p>
          <w:p w14:paraId="0F38F496" w14:textId="77777777" w:rsidR="00130E8B" w:rsidRDefault="000405CC">
            <w:pPr>
              <w:tabs>
                <w:tab w:val="left" w:pos="-720"/>
              </w:tabs>
              <w:suppressAutoHyphens/>
              <w:rPr>
                <w:rFonts w:ascii="Times New Roman" w:eastAsia="맑은 고딕" w:hAnsi="Times New Roman" w:cs="Times New Roman"/>
                <w:noProof/>
                <w:lang w:val="hu-HU" w:eastAsia="ko-KR"/>
              </w:rPr>
            </w:pPr>
            <w:r>
              <w:rPr>
                <w:rFonts w:ascii="Times New Roman" w:eastAsia="맑은 고딕" w:hAnsi="Times New Roman" w:cs="Times New Roman"/>
                <w:noProof/>
                <w:lang w:val="hu-HU" w:eastAsia="fr-FR"/>
              </w:rPr>
              <w:t>C. A. Papaellinas Ltd</w:t>
            </w:r>
          </w:p>
          <w:p w14:paraId="170BC515" w14:textId="77777777" w:rsidR="00130E8B" w:rsidRDefault="000405CC">
            <w:pPr>
              <w:autoSpaceDE w:val="0"/>
              <w:autoSpaceDN w:val="0"/>
              <w:adjustRightInd w:val="0"/>
              <w:rPr>
                <w:rFonts w:ascii="Times New Roman" w:eastAsia="맑은 고딕" w:hAnsi="Times New Roman" w:cs="Times New Roman"/>
                <w:b/>
                <w:bCs/>
                <w:lang w:val="hu-HU" w:eastAsia="fr-FR"/>
              </w:rPr>
            </w:pPr>
            <w:r>
              <w:rPr>
                <w:rFonts w:ascii="Times New Roman" w:hAnsi="Times New Roman" w:cs="Times New Roman"/>
                <w:noProof/>
                <w:lang w:val="hu-HU"/>
              </w:rPr>
              <w:t xml:space="preserve">Τηλ: </w:t>
            </w:r>
            <w:r>
              <w:rPr>
                <w:rFonts w:ascii="Times New Roman" w:eastAsia="맑은 고딕" w:hAnsi="Times New Roman" w:cs="Times New Roman"/>
                <w:noProof/>
                <w:lang w:val="hu-HU" w:eastAsia="fr-FR"/>
              </w:rPr>
              <w:t>+357 22741741</w:t>
            </w:r>
          </w:p>
          <w:p w14:paraId="39947F03" w14:textId="77777777" w:rsidR="00130E8B" w:rsidRDefault="00130E8B">
            <w:pPr>
              <w:autoSpaceDE w:val="0"/>
              <w:autoSpaceDN w:val="0"/>
              <w:adjustRightInd w:val="0"/>
              <w:rPr>
                <w:rFonts w:ascii="Times New Roman" w:eastAsia="맑은 고딕" w:hAnsi="Times New Roman" w:cs="Times New Roman"/>
                <w:b/>
                <w:noProof/>
                <w:lang w:val="hu-HU" w:eastAsia="fr-FR"/>
              </w:rPr>
            </w:pPr>
          </w:p>
        </w:tc>
        <w:tc>
          <w:tcPr>
            <w:tcW w:w="2500" w:type="pct"/>
          </w:tcPr>
          <w:p w14:paraId="3BECB030" w14:textId="77777777" w:rsidR="00887453" w:rsidRPr="000D7F4B" w:rsidRDefault="00887453" w:rsidP="00887453">
            <w:pPr>
              <w:tabs>
                <w:tab w:val="left" w:pos="-720"/>
              </w:tabs>
              <w:suppressAutoHyphens/>
              <w:rPr>
                <w:rFonts w:ascii="Times New Roman" w:hAnsi="Times New Roman" w:cs="Times New Roman"/>
                <w:b/>
                <w:noProof/>
                <w:lang w:eastAsia="fr-FR"/>
              </w:rPr>
            </w:pPr>
            <w:r w:rsidRPr="000D7F4B">
              <w:rPr>
                <w:rFonts w:ascii="Times New Roman" w:hAnsi="Times New Roman" w:cs="Times New Roman"/>
                <w:b/>
                <w:noProof/>
              </w:rPr>
              <w:t>Sverige</w:t>
            </w:r>
          </w:p>
          <w:p w14:paraId="0494124E" w14:textId="6EBBDDC1" w:rsidR="00887453" w:rsidRPr="000D7F4B" w:rsidRDefault="00887453" w:rsidP="00887453">
            <w:pPr>
              <w:tabs>
                <w:tab w:val="left" w:pos="-720"/>
              </w:tabs>
              <w:suppressAutoHyphens/>
              <w:rPr>
                <w:rFonts w:ascii="Times New Roman" w:eastAsia="맑은 고딕" w:hAnsi="Times New Roman" w:cs="Times New Roman"/>
                <w:noProof/>
                <w:lang w:eastAsia="ko-KR"/>
              </w:rPr>
            </w:pPr>
            <w:r w:rsidRPr="000D7F4B">
              <w:rPr>
                <w:rFonts w:ascii="Times New Roman" w:eastAsia="맑은 고딕" w:hAnsi="Times New Roman" w:cs="Times New Roman"/>
                <w:noProof/>
                <w:lang w:eastAsia="ko-KR"/>
              </w:rPr>
              <w:t>Celltrion Sweden AB</w:t>
            </w:r>
          </w:p>
          <w:p w14:paraId="3F8F0052" w14:textId="77777777" w:rsidR="00887453" w:rsidRPr="000D7F4B" w:rsidRDefault="00887453" w:rsidP="00887453">
            <w:pPr>
              <w:tabs>
                <w:tab w:val="left" w:pos="-720"/>
              </w:tabs>
              <w:suppressAutoHyphens/>
              <w:rPr>
                <w:rFonts w:ascii="Times New Roman" w:eastAsia="맑은 고딕" w:hAnsi="Times New Roman" w:cs="Times New Roman"/>
                <w:bCs/>
                <w:noProof/>
                <w:u w:val="single"/>
                <w:lang w:eastAsia="ko-KR"/>
              </w:rPr>
            </w:pPr>
            <w:hyperlink r:id="rId26" w:history="1">
              <w:r w:rsidRPr="009C0F1B">
                <w:rPr>
                  <w:rStyle w:val="ad"/>
                  <w:rFonts w:ascii="Times New Roman" w:eastAsia="맑은 고딕" w:hAnsi="Times New Roman" w:cs="Times New Roman"/>
                  <w:noProof/>
                  <w:lang w:eastAsia="ko-KR"/>
                </w:rPr>
                <w:t>contact_se@celltrionhc.com</w:t>
              </w:r>
            </w:hyperlink>
          </w:p>
          <w:p w14:paraId="3964CEB3" w14:textId="37CFDA0B" w:rsidR="00130E8B" w:rsidRPr="00887453" w:rsidRDefault="00130E8B">
            <w:pPr>
              <w:tabs>
                <w:tab w:val="left" w:pos="-720"/>
              </w:tabs>
              <w:suppressAutoHyphens/>
              <w:rPr>
                <w:rFonts w:ascii="Times New Roman" w:eastAsia="맑은 고딕" w:hAnsi="Times New Roman" w:cs="Times New Roman"/>
                <w:b/>
                <w:noProof/>
                <w:lang w:eastAsia="fr-FR"/>
              </w:rPr>
            </w:pPr>
          </w:p>
        </w:tc>
      </w:tr>
      <w:tr w:rsidR="00130E8B" w14:paraId="3DC16484" w14:textId="77777777">
        <w:tc>
          <w:tcPr>
            <w:tcW w:w="2500" w:type="pct"/>
          </w:tcPr>
          <w:p w14:paraId="0A7DCEC6" w14:textId="77777777" w:rsidR="00130E8B" w:rsidRDefault="000405CC">
            <w:pPr>
              <w:rPr>
                <w:rFonts w:ascii="Times New Roman" w:eastAsia="맑은 고딕" w:hAnsi="Times New Roman" w:cs="Times New Roman"/>
                <w:b/>
                <w:noProof/>
                <w:lang w:val="hu-HU" w:eastAsia="fr-FR"/>
              </w:rPr>
            </w:pPr>
            <w:r>
              <w:rPr>
                <w:rFonts w:ascii="Times New Roman" w:eastAsia="맑은 고딕" w:hAnsi="Times New Roman" w:cs="Times New Roman"/>
                <w:b/>
                <w:noProof/>
                <w:lang w:val="hu-HU" w:eastAsia="fr-FR"/>
              </w:rPr>
              <w:t>Latvija</w:t>
            </w:r>
          </w:p>
          <w:p w14:paraId="31E3B786" w14:textId="77777777" w:rsidR="00120A76" w:rsidRDefault="00120A76" w:rsidP="00120A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76B76425" w14:textId="366D7158" w:rsidR="00130E8B" w:rsidRPr="00120A76" w:rsidRDefault="00607BBF">
            <w:pPr>
              <w:autoSpaceDE w:val="0"/>
              <w:autoSpaceDN w:val="0"/>
              <w:adjustRightInd w:val="0"/>
              <w:rPr>
                <w:rFonts w:ascii="Times New Roman" w:eastAsia="맑은 고딕" w:hAnsi="Times New Roman" w:cs="Times New Roman"/>
                <w:b/>
                <w:bCs/>
                <w:lang w:val="hu-HU" w:eastAsia="fr-FR"/>
              </w:rPr>
            </w:pPr>
            <w:r w:rsidRPr="00607BBF">
              <w:rPr>
                <w:rFonts w:ascii="Times New Roman" w:eastAsia="맑은 고딕" w:hAnsi="Times New Roman" w:cs="Times New Roman"/>
                <w:noProof/>
                <w:lang w:eastAsia="fr-FR"/>
              </w:rPr>
              <w:t xml:space="preserve">Tālr.: </w:t>
            </w:r>
            <w:r w:rsidR="00120A76">
              <w:rPr>
                <w:rFonts w:ascii="Times New Roman" w:eastAsia="맑은 고딕" w:hAnsi="Times New Roman" w:cs="Times New Roman"/>
                <w:noProof/>
                <w:lang w:eastAsia="fr-FR"/>
              </w:rPr>
              <w:t>+36 1 231 0493</w:t>
            </w:r>
          </w:p>
        </w:tc>
        <w:tc>
          <w:tcPr>
            <w:tcW w:w="2500" w:type="pct"/>
          </w:tcPr>
          <w:p w14:paraId="4C1787CB" w14:textId="77777777" w:rsidR="00130E8B" w:rsidRDefault="00130E8B" w:rsidP="00DD2719">
            <w:pPr>
              <w:tabs>
                <w:tab w:val="left" w:pos="-720"/>
              </w:tabs>
              <w:suppressAutoHyphens/>
              <w:rPr>
                <w:rFonts w:ascii="Times New Roman" w:eastAsia="맑은 고딕" w:hAnsi="Times New Roman" w:cs="Times New Roman"/>
                <w:b/>
                <w:noProof/>
                <w:lang w:val="hu-HU" w:eastAsia="fr-FR"/>
              </w:rPr>
            </w:pPr>
          </w:p>
        </w:tc>
      </w:tr>
    </w:tbl>
    <w:p w14:paraId="3F39F9C4" w14:textId="77777777" w:rsidR="00130E8B" w:rsidRDefault="00130E8B">
      <w:pPr>
        <w:numPr>
          <w:ilvl w:val="12"/>
          <w:numId w:val="0"/>
        </w:numPr>
        <w:rPr>
          <w:rFonts w:ascii="Times New Roman" w:hAnsi="Times New Roman" w:cs="Times New Roman"/>
          <w:b/>
          <w:noProof/>
          <w:lang w:val="hu-HU"/>
        </w:rPr>
      </w:pPr>
    </w:p>
    <w:p w14:paraId="2E2F9791" w14:textId="77777777" w:rsidR="00130E8B" w:rsidRDefault="00130E8B">
      <w:pPr>
        <w:numPr>
          <w:ilvl w:val="12"/>
          <w:numId w:val="0"/>
        </w:numPr>
        <w:rPr>
          <w:rFonts w:ascii="Times New Roman" w:hAnsi="Times New Roman" w:cs="Times New Roman"/>
          <w:b/>
          <w:noProof/>
          <w:lang w:val="hu-HU"/>
        </w:rPr>
      </w:pPr>
    </w:p>
    <w:p w14:paraId="72D65477" w14:textId="77777777" w:rsidR="00130E8B" w:rsidRDefault="000405CC">
      <w:pPr>
        <w:numPr>
          <w:ilvl w:val="12"/>
          <w:numId w:val="0"/>
        </w:numPr>
        <w:rPr>
          <w:rFonts w:ascii="Times New Roman" w:eastAsia="맑은 고딕" w:hAnsi="Times New Roman" w:cs="Times New Roman"/>
          <w:noProof/>
          <w:lang w:val="hu-HU" w:eastAsia="ko-KR"/>
        </w:rPr>
      </w:pPr>
      <w:r>
        <w:rPr>
          <w:rFonts w:ascii="Times New Roman" w:eastAsia="Times New Roman" w:hAnsi="Times New Roman" w:cs="Times New Roman"/>
          <w:b/>
          <w:bCs/>
          <w:noProof/>
          <w:lang w:val="hu-HU"/>
        </w:rPr>
        <w:t>A betegtájékoztató legutóbbi felülvizsgálatának dátuma:</w:t>
      </w:r>
    </w:p>
    <w:p w14:paraId="23733B50" w14:textId="77777777" w:rsidR="00130E8B" w:rsidRDefault="00130E8B">
      <w:pPr>
        <w:numPr>
          <w:ilvl w:val="12"/>
          <w:numId w:val="0"/>
        </w:numPr>
        <w:rPr>
          <w:rFonts w:ascii="Times New Roman" w:hAnsi="Times New Roman" w:cs="Times New Roman"/>
          <w:noProof/>
          <w:lang w:val="hu-HU"/>
        </w:rPr>
      </w:pPr>
    </w:p>
    <w:p w14:paraId="16B73D10" w14:textId="77777777" w:rsidR="00130E8B" w:rsidRDefault="000405CC">
      <w:pPr>
        <w:numPr>
          <w:ilvl w:val="12"/>
          <w:numId w:val="0"/>
        </w:numPr>
        <w:rPr>
          <w:rFonts w:ascii="Times New Roman" w:hAnsi="Times New Roman" w:cs="Times New Roman"/>
          <w:b/>
          <w:noProof/>
          <w:lang w:val="hu-HU"/>
        </w:rPr>
      </w:pPr>
      <w:r>
        <w:rPr>
          <w:rFonts w:ascii="Times New Roman" w:eastAsia="Times New Roman" w:hAnsi="Times New Roman" w:cs="Times New Roman"/>
          <w:b/>
          <w:bCs/>
          <w:noProof/>
          <w:lang w:val="hu-HU"/>
        </w:rPr>
        <w:t>Egyéb információforrások</w:t>
      </w:r>
    </w:p>
    <w:p w14:paraId="0EAE4FDB" w14:textId="77777777" w:rsidR="00130E8B" w:rsidRDefault="00130E8B">
      <w:pPr>
        <w:pStyle w:val="a3"/>
        <w:rPr>
          <w:lang w:val="hu-HU"/>
        </w:rPr>
      </w:pPr>
    </w:p>
    <w:p w14:paraId="503A2B25" w14:textId="77777777" w:rsidR="00130E8B" w:rsidRDefault="000405CC">
      <w:pPr>
        <w:numPr>
          <w:ilvl w:val="12"/>
          <w:numId w:val="0"/>
        </w:numPr>
        <w:rPr>
          <w:rFonts w:ascii="Times New Roman" w:eastAsia="맑은 고딕" w:hAnsi="Times New Roman" w:cs="Times New Roman"/>
          <w:noProof/>
          <w:color w:val="0000FF"/>
          <w:lang w:val="hu-HU" w:eastAsia="ko-KR"/>
        </w:rPr>
      </w:pPr>
      <w:r>
        <w:rPr>
          <w:rFonts w:ascii="Times New Roman" w:eastAsia="Times New Roman" w:hAnsi="Times New Roman" w:cs="Times New Roman"/>
          <w:lang w:val="hu-HU"/>
        </w:rPr>
        <w:t>A gyógyszerről részletes információ az Európai Gyógyszerügynökség internetes honlapján (</w:t>
      </w:r>
      <w:r>
        <w:fldChar w:fldCharType="begin"/>
      </w:r>
      <w:r w:rsidRPr="00BE4D18">
        <w:rPr>
          <w:lang w:val="hu-HU"/>
        </w:rPr>
        <w:instrText>HYPERLINK "http://www.ema.europa.eu"</w:instrText>
      </w:r>
      <w:r>
        <w:fldChar w:fldCharType="separate"/>
      </w:r>
      <w:r w:rsidRPr="000405CC">
        <w:rPr>
          <w:rStyle w:val="ad"/>
          <w:rFonts w:ascii="Times New Roman" w:eastAsia="Times New Roman" w:hAnsi="Times New Roman" w:cs="Times New Roman"/>
          <w:lang w:val="hu-HU"/>
        </w:rPr>
        <w:t>http://www.ema.europa.eu</w:t>
      </w:r>
      <w:r>
        <w:fldChar w:fldCharType="end"/>
      </w:r>
      <w:r>
        <w:rPr>
          <w:rFonts w:ascii="Times New Roman" w:eastAsia="Times New Roman" w:hAnsi="Times New Roman" w:cs="Times New Roman"/>
          <w:lang w:val="hu-HU"/>
        </w:rPr>
        <w:t>) található.</w:t>
      </w:r>
    </w:p>
    <w:p w14:paraId="6296192F" w14:textId="77777777" w:rsidR="00130E8B" w:rsidRDefault="00130E8B">
      <w:pPr>
        <w:spacing w:before="4" w:line="100" w:lineRule="exact"/>
        <w:rPr>
          <w:sz w:val="10"/>
          <w:szCs w:val="10"/>
          <w:lang w:val="hu-HU"/>
        </w:rPr>
      </w:pPr>
    </w:p>
    <w:p w14:paraId="33510BBF" w14:textId="77777777" w:rsidR="00130E8B" w:rsidRDefault="00130E8B">
      <w:pPr>
        <w:spacing w:line="200" w:lineRule="exact"/>
        <w:rPr>
          <w:b/>
          <w:sz w:val="20"/>
          <w:szCs w:val="20"/>
          <w:lang w:val="hu-HU"/>
        </w:rPr>
      </w:pPr>
    </w:p>
    <w:p w14:paraId="473C78E6" w14:textId="77777777" w:rsidR="00130E8B" w:rsidRDefault="00130E8B">
      <w:pPr>
        <w:spacing w:line="200" w:lineRule="exact"/>
        <w:rPr>
          <w:b/>
          <w:sz w:val="20"/>
          <w:szCs w:val="20"/>
          <w:lang w:val="hu-HU"/>
        </w:rPr>
      </w:pPr>
    </w:p>
    <w:p w14:paraId="75F6F993" w14:textId="77777777" w:rsidR="00130E8B" w:rsidRPr="003619B6" w:rsidRDefault="000405CC">
      <w:pPr>
        <w:pStyle w:val="a4"/>
        <w:numPr>
          <w:ilvl w:val="0"/>
          <w:numId w:val="32"/>
        </w:numPr>
        <w:spacing w:before="18" w:line="240" w:lineRule="exact"/>
        <w:ind w:hanging="468"/>
        <w:rPr>
          <w:rFonts w:ascii="Times New Roman" w:eastAsia="Times New Roman" w:hAnsi="Times New Roman" w:cs="Times New Roman"/>
          <w:b/>
          <w:lang w:val="hu-HU"/>
        </w:rPr>
      </w:pPr>
      <w:r w:rsidRPr="003619B6">
        <w:rPr>
          <w:rFonts w:ascii="Times New Roman" w:eastAsia="Times New Roman" w:hAnsi="Times New Roman" w:cs="Times New Roman"/>
          <w:b/>
          <w:bCs/>
          <w:spacing w:val="-1"/>
          <w:lang w:val="hu-HU"/>
        </w:rPr>
        <w:t>Használati utasítás</w:t>
      </w:r>
    </w:p>
    <w:p w14:paraId="1ED17D6E" w14:textId="77777777" w:rsidR="00130E8B" w:rsidRDefault="00130E8B">
      <w:pPr>
        <w:spacing w:before="9" w:line="260" w:lineRule="exact"/>
        <w:rPr>
          <w:b/>
          <w:sz w:val="26"/>
          <w:szCs w:val="26"/>
          <w:lang w:val="hu-HU"/>
        </w:rPr>
      </w:pPr>
    </w:p>
    <w:p w14:paraId="65C5B6B5" w14:textId="77777777" w:rsidR="00130E8B" w:rsidRDefault="000405CC">
      <w:pPr>
        <w:pStyle w:val="a3"/>
        <w:numPr>
          <w:ilvl w:val="1"/>
          <w:numId w:val="4"/>
        </w:numPr>
        <w:ind w:left="660" w:hanging="660"/>
        <w:rPr>
          <w:lang w:val="hu-HU"/>
        </w:rPr>
      </w:pPr>
      <w:r>
        <w:rPr>
          <w:rFonts w:eastAsia="Times New Roman"/>
          <w:lang w:val="hu-HU"/>
        </w:rPr>
        <w:t>A következő útmutató elmagyarázza, hogyan kell beadnia magának Yuflyma-t szubkután injekcióbanaz előretöltött fecskendő használatával.. Kérjük, figyelmesen olvassa el az útmutatót, és kövesse lépésről-lépésre.</w:t>
      </w:r>
    </w:p>
    <w:p w14:paraId="6CFF1E1C" w14:textId="77777777" w:rsidR="00130E8B" w:rsidRDefault="00130E8B">
      <w:pPr>
        <w:pStyle w:val="a3"/>
        <w:rPr>
          <w:lang w:val="hu-HU"/>
        </w:rPr>
      </w:pPr>
    </w:p>
    <w:p w14:paraId="123308A4" w14:textId="77777777" w:rsidR="00130E8B" w:rsidRDefault="000405CC">
      <w:pPr>
        <w:pStyle w:val="a3"/>
        <w:numPr>
          <w:ilvl w:val="1"/>
          <w:numId w:val="4"/>
        </w:numPr>
        <w:ind w:left="660" w:hanging="660"/>
        <w:rPr>
          <w:lang w:val="hu-HU"/>
        </w:rPr>
      </w:pPr>
      <w:r>
        <w:rPr>
          <w:rFonts w:eastAsia="Times New Roman"/>
          <w:lang w:val="hu-HU"/>
        </w:rPr>
        <w:t>Az öninjekciózás technikáját meg fogja Önnek tanítani kezelőorvosa, a gondozását végző egészségügyi szakember vagy a gyógyszerész.</w:t>
      </w:r>
    </w:p>
    <w:p w14:paraId="4ADF47C8" w14:textId="77777777" w:rsidR="00130E8B" w:rsidRDefault="00130E8B">
      <w:pPr>
        <w:pStyle w:val="a3"/>
        <w:rPr>
          <w:lang w:val="hu-HU"/>
        </w:rPr>
      </w:pPr>
    </w:p>
    <w:p w14:paraId="72D19314" w14:textId="77777777" w:rsidR="00130E8B" w:rsidRDefault="000405CC">
      <w:pPr>
        <w:pStyle w:val="a3"/>
        <w:numPr>
          <w:ilvl w:val="1"/>
          <w:numId w:val="4"/>
        </w:numPr>
        <w:ind w:left="660" w:hanging="660"/>
        <w:rPr>
          <w:lang w:val="hu-HU"/>
        </w:rPr>
      </w:pPr>
      <w:r>
        <w:rPr>
          <w:rFonts w:eastAsia="Times New Roman"/>
          <w:b/>
          <w:bCs/>
          <w:lang w:val="hu-HU"/>
        </w:rPr>
        <w:t>Ne</w:t>
      </w:r>
      <w:r>
        <w:rPr>
          <w:rFonts w:eastAsia="Times New Roman"/>
          <w:lang w:val="hu-HU"/>
        </w:rPr>
        <w:t xml:space="preserve"> próbálja meg beadni magának az injekciót, amíg nem biztos abban, hogy megértette, hogyan kell előkészíteni és beadni az injekciót.</w:t>
      </w:r>
    </w:p>
    <w:p w14:paraId="6D0454C8" w14:textId="77777777" w:rsidR="00130E8B" w:rsidRDefault="00130E8B">
      <w:pPr>
        <w:pStyle w:val="a3"/>
        <w:rPr>
          <w:lang w:val="hu-HU"/>
        </w:rPr>
      </w:pPr>
    </w:p>
    <w:p w14:paraId="5A3579DC" w14:textId="77777777" w:rsidR="00130E8B" w:rsidRDefault="000405CC">
      <w:pPr>
        <w:pStyle w:val="a3"/>
        <w:numPr>
          <w:ilvl w:val="1"/>
          <w:numId w:val="4"/>
        </w:numPr>
        <w:ind w:left="660" w:hanging="660"/>
        <w:rPr>
          <w:lang w:val="hu-HU"/>
        </w:rPr>
      </w:pPr>
      <w:r>
        <w:rPr>
          <w:rFonts w:eastAsia="Times New Roman"/>
          <w:lang w:val="hu-HU"/>
        </w:rPr>
        <w:t>A megfelelő betanítás után az injekciót beadhatja saját magának vagy beadhatja Önnek valaki más, például egy családtag vagy barát.</w:t>
      </w:r>
    </w:p>
    <w:p w14:paraId="5090DAD7" w14:textId="77777777" w:rsidR="00130E8B" w:rsidRDefault="00130E8B">
      <w:pPr>
        <w:pStyle w:val="a3"/>
        <w:rPr>
          <w:lang w:val="hu-HU"/>
        </w:rPr>
      </w:pPr>
    </w:p>
    <w:p w14:paraId="602855DA" w14:textId="7B1C6698" w:rsidR="00130E8B" w:rsidRDefault="000405CC">
      <w:pPr>
        <w:pStyle w:val="a3"/>
        <w:numPr>
          <w:ilvl w:val="1"/>
          <w:numId w:val="4"/>
        </w:numPr>
        <w:ind w:left="660" w:hanging="660"/>
        <w:rPr>
          <w:lang w:val="hu-HU"/>
        </w:rPr>
      </w:pPr>
      <w:r>
        <w:rPr>
          <w:rFonts w:eastAsia="Times New Roman"/>
          <w:lang w:val="hu-HU"/>
        </w:rPr>
        <w:t>Mindegyik előretöltött fecskendőt csak egy injekcióhoz szabad használni</w:t>
      </w:r>
    </w:p>
    <w:p w14:paraId="06726DAE" w14:textId="77777777" w:rsidR="00130E8B" w:rsidRDefault="00130E8B">
      <w:pPr>
        <w:rPr>
          <w:rFonts w:ascii="Times New Roman" w:hAnsi="Times New Roman" w:cs="Times New Roman"/>
          <w:lang w:val="hu-HU"/>
        </w:rPr>
      </w:pPr>
    </w:p>
    <w:p w14:paraId="18C07FCA" w14:textId="77777777" w:rsidR="00130E8B" w:rsidRDefault="00130E8B">
      <w:pPr>
        <w:pStyle w:val="a3"/>
        <w:numPr>
          <w:ilvl w:val="0"/>
          <w:numId w:val="0"/>
        </w:numPr>
        <w:rPr>
          <w:lang w:val="hu-HU"/>
        </w:rPr>
      </w:pPr>
    </w:p>
    <w:p w14:paraId="13DFD9C9" w14:textId="77777777" w:rsidR="00452EC2" w:rsidRDefault="00452EC2">
      <w:pPr>
        <w:rPr>
          <w:rFonts w:ascii="Times New Roman" w:eastAsia="Times New Roman" w:hAnsi="Times New Roman" w:cs="Times New Roman"/>
          <w:b/>
          <w:bCs/>
          <w:lang w:val="hu-HU"/>
        </w:rPr>
      </w:pPr>
      <w:r>
        <w:rPr>
          <w:rFonts w:eastAsia="Times New Roman"/>
          <w:b/>
          <w:bCs/>
          <w:lang w:val="hu-HU"/>
        </w:rPr>
        <w:br w:type="page"/>
      </w:r>
    </w:p>
    <w:p w14:paraId="60A78E9F" w14:textId="32AC37A7" w:rsidR="000F68B5" w:rsidRPr="001E2F31" w:rsidRDefault="00265077">
      <w:pPr>
        <w:pStyle w:val="a3"/>
        <w:rPr>
          <w:rFonts w:eastAsia="Times New Roman"/>
          <w:b/>
          <w:lang w:val="hu-HU"/>
        </w:rPr>
      </w:pPr>
      <w:r w:rsidRPr="004B23C8">
        <w:rPr>
          <w:rFonts w:eastAsia="Times New Roman"/>
          <w:b/>
          <w:bCs/>
          <w:lang w:val="hu-HU"/>
        </w:rPr>
        <w:lastRenderedPageBreak/>
        <w:t>Yuflyma</w:t>
      </w:r>
      <w:r w:rsidRPr="001E2F31" w:rsidDel="00265077">
        <w:rPr>
          <w:rFonts w:eastAsia="Times New Roman"/>
          <w:b/>
          <w:lang w:val="hu-HU"/>
        </w:rPr>
        <w:t xml:space="preserve"> </w:t>
      </w:r>
      <w:r w:rsidR="000405CC" w:rsidRPr="001E2F31">
        <w:rPr>
          <w:rFonts w:eastAsia="Times New Roman"/>
          <w:b/>
          <w:lang w:val="hu-HU"/>
        </w:rPr>
        <w:t>előretöltött injekciós fecskendő</w:t>
      </w:r>
    </w:p>
    <w:p w14:paraId="2C7FEA8E" w14:textId="700E60A4" w:rsidR="00130E8B" w:rsidRDefault="000F68B5">
      <w:pPr>
        <w:spacing w:before="13" w:line="240" w:lineRule="exact"/>
        <w:rPr>
          <w:sz w:val="24"/>
          <w:szCs w:val="24"/>
          <w:lang w:val="hu-HU"/>
        </w:rPr>
      </w:pPr>
      <w:r w:rsidRPr="000F68B5">
        <w:rPr>
          <w:noProof/>
          <w:sz w:val="24"/>
          <w:szCs w:val="24"/>
          <w:lang w:eastAsia="ko-KR"/>
        </w:rPr>
        <w:drawing>
          <wp:anchor distT="0" distB="0" distL="114300" distR="114300" simplePos="0" relativeHeight="251658260" behindDoc="0" locked="0" layoutInCell="1" allowOverlap="0" wp14:anchorId="4ED1661B" wp14:editId="4C64C9DC">
            <wp:simplePos x="0" y="0"/>
            <wp:positionH relativeFrom="column">
              <wp:posOffset>1075267</wp:posOffset>
            </wp:positionH>
            <wp:positionV relativeFrom="paragraph">
              <wp:posOffset>193675</wp:posOffset>
            </wp:positionV>
            <wp:extent cx="3167380" cy="3455670"/>
            <wp:effectExtent l="0" t="0" r="0" b="0"/>
            <wp:wrapTopAndBottom/>
            <wp:docPr id="170"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그림 4"/>
                    <pic:cNvPicPr>
                      <a:picLocks noChangeAspect="1"/>
                    </pic:cNvPicPr>
                  </pic:nvPicPr>
                  <pic:blipFill rotWithShape="1">
                    <a:blip r:embed="rId27" cstate="print">
                      <a:extLst>
                        <a:ext uri="{28A0092B-C50C-407E-A947-70E740481C1C}">
                          <a14:useLocalDpi xmlns:a14="http://schemas.microsoft.com/office/drawing/2010/main" val="0"/>
                        </a:ext>
                      </a:extLst>
                    </a:blip>
                    <a:srcRect/>
                    <a:stretch/>
                  </pic:blipFill>
                  <pic:spPr>
                    <a:xfrm>
                      <a:off x="0" y="0"/>
                      <a:ext cx="3167380" cy="3455670"/>
                    </a:xfrm>
                    <a:prstGeom prst="rect">
                      <a:avLst/>
                    </a:prstGeom>
                  </pic:spPr>
                </pic:pic>
              </a:graphicData>
            </a:graphic>
            <wp14:sizeRelH relativeFrom="margin">
              <wp14:pctWidth>0</wp14:pctWidth>
            </wp14:sizeRelH>
            <wp14:sizeRelV relativeFrom="margin">
              <wp14:pctHeight>0</wp14:pctHeight>
            </wp14:sizeRelV>
          </wp:anchor>
        </w:drawing>
      </w:r>
    </w:p>
    <w:p w14:paraId="7C242F14" w14:textId="77777777" w:rsidR="00130E8B" w:rsidRDefault="000405CC">
      <w:pPr>
        <w:spacing w:before="10" w:line="240" w:lineRule="exact"/>
        <w:ind w:left="5040" w:firstLineChars="450" w:firstLine="901"/>
        <w:rPr>
          <w:rFonts w:ascii="Times New Roman" w:hAnsi="Times New Roman" w:cs="Times New Roman"/>
          <w:b/>
          <w:sz w:val="20"/>
          <w:szCs w:val="24"/>
          <w:lang w:val="hu-HU" w:eastAsia="ko-KR"/>
        </w:rPr>
      </w:pPr>
      <w:r>
        <w:rPr>
          <w:rFonts w:ascii="Times New Roman" w:eastAsia="Times New Roman" w:hAnsi="Times New Roman" w:cs="Times New Roman"/>
          <w:b/>
          <w:bCs/>
          <w:sz w:val="20"/>
          <w:szCs w:val="20"/>
          <w:lang w:val="hu-HU" w:eastAsia="ko-KR"/>
        </w:rPr>
        <w:t>A. ábra</w:t>
      </w:r>
    </w:p>
    <w:p w14:paraId="132F10AC" w14:textId="77777777" w:rsidR="00130E8B" w:rsidRDefault="00130E8B">
      <w:pPr>
        <w:spacing w:before="10" w:line="240" w:lineRule="exact"/>
        <w:rPr>
          <w:sz w:val="24"/>
          <w:szCs w:val="24"/>
          <w:lang w:val="hu-HU"/>
        </w:rPr>
      </w:pPr>
    </w:p>
    <w:p w14:paraId="0F9F5A73" w14:textId="77777777" w:rsidR="00130E8B" w:rsidRDefault="000405CC">
      <w:pPr>
        <w:pStyle w:val="a3"/>
        <w:rPr>
          <w:b/>
          <w:lang w:val="hu-HU"/>
        </w:rPr>
      </w:pPr>
      <w:r>
        <w:rPr>
          <w:rFonts w:eastAsia="Times New Roman"/>
          <w:b/>
          <w:bCs/>
          <w:lang w:val="hu-HU"/>
        </w:rPr>
        <w:t>Az előretöltött fecskendőt ne használja újra, ha:</w:t>
      </w:r>
    </w:p>
    <w:p w14:paraId="6F5D9796" w14:textId="5E736C4E" w:rsidR="00130E8B" w:rsidRDefault="000405CC">
      <w:pPr>
        <w:pStyle w:val="a3"/>
        <w:numPr>
          <w:ilvl w:val="1"/>
          <w:numId w:val="3"/>
        </w:numPr>
        <w:ind w:left="660" w:hanging="660"/>
        <w:rPr>
          <w:lang w:val="hu-HU"/>
        </w:rPr>
      </w:pPr>
      <w:r>
        <w:rPr>
          <w:rFonts w:eastAsia="Times New Roman"/>
          <w:lang w:val="hu-HU"/>
        </w:rPr>
        <w:t>megrepedt vagy sérült</w:t>
      </w:r>
      <w:r w:rsidR="00027D55">
        <w:rPr>
          <w:rFonts w:eastAsia="Times New Roman"/>
          <w:lang w:val="hu-HU"/>
        </w:rPr>
        <w:t>.</w:t>
      </w:r>
    </w:p>
    <w:p w14:paraId="748D3CF7" w14:textId="77777777" w:rsidR="00130E8B" w:rsidRPr="00FB6A69" w:rsidRDefault="000405CC">
      <w:pPr>
        <w:pStyle w:val="a3"/>
        <w:numPr>
          <w:ilvl w:val="1"/>
          <w:numId w:val="3"/>
        </w:numPr>
        <w:ind w:left="660" w:hanging="660"/>
        <w:rPr>
          <w:lang w:val="hu-HU"/>
        </w:rPr>
      </w:pPr>
      <w:r>
        <w:rPr>
          <w:rFonts w:eastAsia="Times New Roman"/>
          <w:lang w:val="hu-HU"/>
        </w:rPr>
        <w:t>a lejárati idő lejárt.</w:t>
      </w:r>
    </w:p>
    <w:p w14:paraId="0E48120D" w14:textId="2199B245" w:rsidR="00027D55" w:rsidRDefault="00027D55">
      <w:pPr>
        <w:pStyle w:val="a3"/>
        <w:numPr>
          <w:ilvl w:val="1"/>
          <w:numId w:val="3"/>
        </w:numPr>
        <w:ind w:left="660" w:hanging="660"/>
        <w:rPr>
          <w:lang w:val="hu-HU"/>
        </w:rPr>
      </w:pPr>
      <w:proofErr w:type="spellStart"/>
      <w:r>
        <w:t>kemény</w:t>
      </w:r>
      <w:proofErr w:type="spellEnd"/>
      <w:r>
        <w:t xml:space="preserve"> </w:t>
      </w:r>
      <w:proofErr w:type="spellStart"/>
      <w:r>
        <w:t>felületre</w:t>
      </w:r>
      <w:proofErr w:type="spellEnd"/>
      <w:r>
        <w:t xml:space="preserve"> </w:t>
      </w:r>
      <w:proofErr w:type="spellStart"/>
      <w:r>
        <w:t>ejtette</w:t>
      </w:r>
      <w:proofErr w:type="spellEnd"/>
      <w:r>
        <w:t>.</w:t>
      </w:r>
    </w:p>
    <w:p w14:paraId="6968CA16" w14:textId="77777777" w:rsidR="00130E8B" w:rsidRDefault="00130E8B">
      <w:pPr>
        <w:pStyle w:val="Default"/>
        <w:numPr>
          <w:ilvl w:val="2"/>
          <w:numId w:val="20"/>
        </w:numPr>
        <w:ind w:left="360"/>
        <w:rPr>
          <w:color w:val="211D1E"/>
          <w:sz w:val="20"/>
          <w:szCs w:val="20"/>
          <w:lang w:val="hu-HU"/>
        </w:rPr>
      </w:pPr>
    </w:p>
    <w:p w14:paraId="741D9FA8" w14:textId="0F2DFC26" w:rsidR="00130E8B" w:rsidRDefault="000405CC">
      <w:pPr>
        <w:pStyle w:val="a3"/>
        <w:rPr>
          <w:b/>
          <w:lang w:val="hu-HU"/>
        </w:rPr>
      </w:pPr>
      <w:r>
        <w:rPr>
          <w:rFonts w:eastAsia="Times New Roman"/>
          <w:b/>
          <w:bCs/>
          <w:lang w:val="hu-HU"/>
        </w:rPr>
        <w:t>A tűvédő tokot ne távolítsa el, csak közvetlenül az injekció beadása előtt. A Yuflyma gyermekektől elzárva tartandó</w:t>
      </w:r>
      <w:r w:rsidR="00265077">
        <w:rPr>
          <w:rFonts w:eastAsia="Times New Roman"/>
          <w:b/>
          <w:bCs/>
          <w:lang w:val="hu-HU"/>
        </w:rPr>
        <w:t>.</w:t>
      </w:r>
    </w:p>
    <w:p w14:paraId="2F82DEED" w14:textId="475C2C67" w:rsidR="00130E8B" w:rsidRDefault="00130E8B">
      <w:pPr>
        <w:rPr>
          <w:rFonts w:ascii="Times New Roman" w:hAnsi="Times New Roman" w:cs="Times New Roman"/>
          <w:lang w:val="hu-HU"/>
        </w:rPr>
      </w:pPr>
    </w:p>
    <w:tbl>
      <w:tblPr>
        <w:tblStyle w:val="ac"/>
        <w:tblpPr w:leftFromText="142" w:rightFromText="142" w:vertAnchor="text" w:horzAnchor="margin" w:tblpY="67"/>
        <w:tblW w:w="9634" w:type="dxa"/>
        <w:tblLook w:val="04A0" w:firstRow="1" w:lastRow="0" w:firstColumn="1" w:lastColumn="0" w:noHBand="0" w:noVBand="1"/>
      </w:tblPr>
      <w:tblGrid>
        <w:gridCol w:w="9634"/>
      </w:tblGrid>
      <w:tr w:rsidR="00130E8B" w:rsidRPr="00BE4D18" w14:paraId="44ED7B96" w14:textId="77777777" w:rsidTr="0054408A">
        <w:trPr>
          <w:trHeight w:val="2684"/>
        </w:trPr>
        <w:tc>
          <w:tcPr>
            <w:tcW w:w="9634" w:type="dxa"/>
          </w:tcPr>
          <w:p w14:paraId="4AAEFD58" w14:textId="77777777" w:rsidR="00130E8B" w:rsidRDefault="00130E8B" w:rsidP="0054408A">
            <w:pPr>
              <w:pStyle w:val="a3"/>
              <w:numPr>
                <w:ilvl w:val="0"/>
                <w:numId w:val="0"/>
              </w:numPr>
              <w:ind w:left="580"/>
              <w:rPr>
                <w:lang w:val="hu-HU"/>
              </w:rPr>
            </w:pPr>
          </w:p>
          <w:p w14:paraId="3639EB3E" w14:textId="77777777" w:rsidR="00130E8B" w:rsidRPr="001E2F31" w:rsidRDefault="000405CC" w:rsidP="0054408A">
            <w:pPr>
              <w:pStyle w:val="a3"/>
              <w:numPr>
                <w:ilvl w:val="0"/>
                <w:numId w:val="21"/>
              </w:numPr>
              <w:ind w:leftChars="100" w:left="580"/>
              <w:rPr>
                <w:b/>
                <w:lang w:val="hu-HU"/>
              </w:rPr>
            </w:pPr>
            <w:r w:rsidRPr="00265077">
              <w:rPr>
                <w:rFonts w:eastAsia="Times New Roman"/>
                <w:b/>
                <w:bCs/>
                <w:lang w:val="hu-HU"/>
              </w:rPr>
              <w:t>Készítse elő az injekció</w:t>
            </w:r>
            <w:r w:rsidRPr="001E2F31">
              <w:rPr>
                <w:rFonts w:eastAsia="Times New Roman"/>
                <w:b/>
                <w:lang w:val="hu-HU"/>
              </w:rPr>
              <w:t xml:space="preserve"> beadásához szükséges eszközöket.</w:t>
            </w:r>
          </w:p>
          <w:p w14:paraId="67026DEE" w14:textId="77777777" w:rsidR="00130E8B" w:rsidRDefault="00130E8B" w:rsidP="0054408A">
            <w:pPr>
              <w:pStyle w:val="a3"/>
              <w:numPr>
                <w:ilvl w:val="0"/>
                <w:numId w:val="0"/>
              </w:numPr>
              <w:ind w:left="580"/>
              <w:rPr>
                <w:lang w:val="hu-HU"/>
              </w:rPr>
            </w:pPr>
          </w:p>
          <w:p w14:paraId="63403D71" w14:textId="722EF254" w:rsidR="00130E8B" w:rsidRDefault="000405CC" w:rsidP="0054408A">
            <w:pPr>
              <w:pStyle w:val="a3"/>
              <w:ind w:leftChars="100" w:left="440" w:hangingChars="100" w:hanging="220"/>
              <w:rPr>
                <w:lang w:val="hu-HU" w:eastAsia="ko-KR"/>
              </w:rPr>
            </w:pPr>
            <w:r>
              <w:rPr>
                <w:rFonts w:eastAsia="Times New Roman"/>
                <w:b/>
                <w:bCs/>
                <w:lang w:val="hu-HU" w:eastAsia="ko-KR"/>
              </w:rPr>
              <w:t xml:space="preserve">a. </w:t>
            </w:r>
            <w:r>
              <w:rPr>
                <w:rFonts w:eastAsia="Times New Roman"/>
                <w:lang w:val="hu-HU" w:eastAsia="ko-KR"/>
              </w:rPr>
              <w:t xml:space="preserve">Készítse elő a szükséges eszközöket egy tiszta, </w:t>
            </w:r>
            <w:r w:rsidR="0044419B">
              <w:rPr>
                <w:rFonts w:eastAsia="Times New Roman"/>
                <w:lang w:val="hu-HU" w:eastAsia="ko-KR"/>
              </w:rPr>
              <w:t xml:space="preserve">síma </w:t>
            </w:r>
            <w:r>
              <w:rPr>
                <w:rFonts w:eastAsia="Times New Roman"/>
                <w:lang w:val="hu-HU" w:eastAsia="ko-KR"/>
              </w:rPr>
              <w:t>felületen, például az asztalon vagy a konyhapulton:</w:t>
            </w:r>
          </w:p>
          <w:p w14:paraId="32820D2A" w14:textId="77777777" w:rsidR="00130E8B" w:rsidRDefault="000405CC" w:rsidP="0054408A">
            <w:pPr>
              <w:pStyle w:val="a3"/>
              <w:ind w:leftChars="100" w:left="220"/>
              <w:rPr>
                <w:lang w:val="hu-HU" w:eastAsia="ko-KR"/>
              </w:rPr>
            </w:pPr>
            <w:r>
              <w:rPr>
                <w:rFonts w:eastAsia="Times New Roman"/>
                <w:b/>
                <w:bCs/>
                <w:lang w:val="hu-HU" w:eastAsia="ko-KR"/>
              </w:rPr>
              <w:t xml:space="preserve">b. </w:t>
            </w:r>
            <w:r>
              <w:rPr>
                <w:rFonts w:eastAsia="Times New Roman"/>
                <w:lang w:val="hu-HU" w:eastAsia="ko-KR"/>
              </w:rPr>
              <w:t>Vegyen ki 1 előretöltött fecskendőt a hűtőszekrényben tárolt dobozból.</w:t>
            </w:r>
          </w:p>
          <w:p w14:paraId="423FDA6D" w14:textId="51E8E8AA" w:rsidR="00130E8B" w:rsidRDefault="000405CC" w:rsidP="0054408A">
            <w:pPr>
              <w:pStyle w:val="a3"/>
              <w:ind w:leftChars="300" w:left="770" w:rightChars="100" w:right="220" w:hangingChars="50" w:hanging="110"/>
              <w:rPr>
                <w:lang w:val="hu-HU" w:eastAsia="ko-KR"/>
              </w:rPr>
            </w:pPr>
            <w:r>
              <w:rPr>
                <w:rFonts w:ascii="맑은 고딕" w:eastAsia="맑은 고딕" w:hAnsi="맑은 고딕"/>
                <w:lang w:val="hu-HU" w:eastAsia="ko-KR"/>
              </w:rPr>
              <w:t>•</w:t>
            </w:r>
            <w:r w:rsidR="00265077">
              <w:rPr>
                <w:rFonts w:ascii="맑은 고딕" w:eastAsia="맑은 고딕" w:hAnsi="맑은 고딕"/>
                <w:lang w:val="hu-HU" w:eastAsia="ko-KR"/>
              </w:rPr>
              <w:t xml:space="preserve"> </w:t>
            </w:r>
            <w:r>
              <w:rPr>
                <w:rFonts w:eastAsia="Times New Roman"/>
                <w:lang w:val="hu-HU" w:eastAsia="ko-KR"/>
              </w:rPr>
              <w:t>Az előretöltött fecskendő</w:t>
            </w:r>
            <w:r>
              <w:rPr>
                <w:rFonts w:ascii="맑은 고딕" w:eastAsia="맑은 고딕" w:hAnsi="맑은 고딕"/>
                <w:lang w:val="hu-HU" w:eastAsia="ko-KR"/>
              </w:rPr>
              <w:t xml:space="preserve"> </w:t>
            </w:r>
            <w:r>
              <w:rPr>
                <w:rFonts w:eastAsia="Times New Roman"/>
                <w:lang w:val="hu-HU" w:eastAsia="ko-KR"/>
              </w:rPr>
              <w:t>testét fogja meg, ami</w:t>
            </w:r>
            <w:r w:rsidRPr="00265077">
              <w:rPr>
                <w:rFonts w:eastAsia="Times New Roman"/>
                <w:lang w:val="hu-HU" w:eastAsia="ko-KR"/>
              </w:rPr>
              <w:t xml:space="preserve">kor </w:t>
            </w:r>
            <w:r w:rsidRPr="001E2F31">
              <w:rPr>
                <w:rFonts w:eastAsia="Times New Roman"/>
                <w:bCs/>
                <w:lang w:val="hu-HU" w:eastAsia="ko-KR"/>
              </w:rPr>
              <w:t>kiveszi a dobozból</w:t>
            </w:r>
            <w:r>
              <w:rPr>
                <w:rFonts w:eastAsia="Times New Roman"/>
                <w:b/>
                <w:bCs/>
                <w:lang w:val="hu-HU" w:eastAsia="ko-KR"/>
              </w:rPr>
              <w:t xml:space="preserve">. Ne </w:t>
            </w:r>
            <w:r>
              <w:rPr>
                <w:rFonts w:eastAsia="Times New Roman"/>
                <w:lang w:val="hu-HU" w:eastAsia="ko-KR"/>
              </w:rPr>
              <w:t>érintse meg a dugattyút.</w:t>
            </w:r>
          </w:p>
          <w:p w14:paraId="26AB5D18" w14:textId="77777777" w:rsidR="00130E8B" w:rsidRDefault="000405CC" w:rsidP="0054408A">
            <w:pPr>
              <w:pStyle w:val="a3"/>
              <w:ind w:leftChars="100" w:left="220"/>
              <w:rPr>
                <w:lang w:val="hu-HU" w:eastAsia="ko-KR"/>
              </w:rPr>
            </w:pPr>
            <w:r>
              <w:rPr>
                <w:rFonts w:eastAsia="Times New Roman"/>
                <w:b/>
                <w:bCs/>
                <w:lang w:val="hu-HU" w:eastAsia="ko-KR"/>
              </w:rPr>
              <w:t xml:space="preserve">c. </w:t>
            </w:r>
            <w:r w:rsidRPr="001E2F31">
              <w:rPr>
                <w:rFonts w:eastAsia="Times New Roman"/>
                <w:bCs/>
                <w:lang w:val="hu-HU" w:eastAsia="ko-KR"/>
              </w:rPr>
              <w:t>B</w:t>
            </w:r>
            <w:r w:rsidRPr="00265077">
              <w:rPr>
                <w:rFonts w:eastAsia="Times New Roman"/>
                <w:lang w:val="hu-HU" w:eastAsia="ko-KR"/>
              </w:rPr>
              <w:t>iz</w:t>
            </w:r>
            <w:r>
              <w:rPr>
                <w:rFonts w:eastAsia="Times New Roman"/>
                <w:lang w:val="hu-HU" w:eastAsia="ko-KR"/>
              </w:rPr>
              <w:t>onyosodjon meg róla, hogy Önnél vannak a következők:</w:t>
            </w:r>
          </w:p>
          <w:p w14:paraId="171F1EDD" w14:textId="77777777" w:rsidR="00130E8B" w:rsidRDefault="000405CC" w:rsidP="0054408A">
            <w:pPr>
              <w:pStyle w:val="a3"/>
              <w:ind w:left="720"/>
              <w:rPr>
                <w:lang w:val="hu-HU" w:eastAsia="ko-KR"/>
              </w:rPr>
            </w:pPr>
            <w:r>
              <w:rPr>
                <w:rFonts w:eastAsia="Times New Roman"/>
                <w:lang w:val="hu-HU" w:eastAsia="ko-KR"/>
              </w:rPr>
              <w:t>- Előretöltött fecskendő</w:t>
            </w:r>
          </w:p>
          <w:p w14:paraId="1FEFC028" w14:textId="77777777" w:rsidR="00130E8B" w:rsidRDefault="000405CC" w:rsidP="0054408A">
            <w:pPr>
              <w:pStyle w:val="a3"/>
              <w:spacing w:after="120"/>
              <w:ind w:left="720"/>
              <w:rPr>
                <w:lang w:val="hu-HU" w:eastAsia="ko-KR"/>
              </w:rPr>
            </w:pPr>
            <w:r>
              <w:rPr>
                <w:rFonts w:eastAsia="Times New Roman"/>
                <w:lang w:val="hu-HU" w:eastAsia="ko-KR"/>
              </w:rPr>
              <w:t>- Alkoholos törlő</w:t>
            </w:r>
          </w:p>
          <w:p w14:paraId="4BAB7707" w14:textId="77777777" w:rsidR="00130E8B" w:rsidRDefault="000405CC" w:rsidP="0054408A">
            <w:pPr>
              <w:pStyle w:val="a3"/>
              <w:ind w:left="720"/>
              <w:rPr>
                <w:b/>
                <w:lang w:val="hu-HU" w:eastAsia="ko-KR"/>
              </w:rPr>
            </w:pPr>
            <w:r>
              <w:rPr>
                <w:rFonts w:eastAsia="Times New Roman"/>
                <w:b/>
                <w:bCs/>
                <w:lang w:val="hu-HU" w:eastAsia="ko-KR"/>
              </w:rPr>
              <w:t>A doboz nem tartalmazza:</w:t>
            </w:r>
          </w:p>
          <w:p w14:paraId="0C021FBD" w14:textId="77777777" w:rsidR="00130E8B" w:rsidRDefault="000405CC" w:rsidP="0054408A">
            <w:pPr>
              <w:pStyle w:val="a3"/>
              <w:ind w:left="720"/>
              <w:rPr>
                <w:lang w:val="hu-HU" w:eastAsia="ko-KR"/>
              </w:rPr>
            </w:pPr>
            <w:r>
              <w:rPr>
                <w:rFonts w:eastAsia="Times New Roman"/>
                <w:lang w:val="hu-HU" w:eastAsia="ko-KR"/>
              </w:rPr>
              <w:t>- Vattacsomó vagy géz</w:t>
            </w:r>
          </w:p>
          <w:p w14:paraId="4888411E" w14:textId="77777777" w:rsidR="00130E8B" w:rsidRDefault="000405CC" w:rsidP="0054408A">
            <w:pPr>
              <w:pStyle w:val="a3"/>
              <w:ind w:left="720"/>
              <w:rPr>
                <w:lang w:val="hu-HU" w:eastAsia="ko-KR"/>
              </w:rPr>
            </w:pPr>
            <w:r>
              <w:rPr>
                <w:rFonts w:eastAsia="Times New Roman"/>
                <w:lang w:val="hu-HU" w:eastAsia="ko-KR"/>
              </w:rPr>
              <w:t>- Ragtapasz</w:t>
            </w:r>
          </w:p>
          <w:p w14:paraId="2E37033A" w14:textId="77777777" w:rsidR="00130E8B" w:rsidRDefault="000405CC" w:rsidP="0054408A">
            <w:pPr>
              <w:pStyle w:val="a3"/>
              <w:ind w:left="720"/>
              <w:rPr>
                <w:lang w:val="hu-HU" w:eastAsia="ko-KR"/>
              </w:rPr>
            </w:pPr>
            <w:r>
              <w:rPr>
                <w:rFonts w:eastAsia="Times New Roman"/>
                <w:lang w:val="hu-HU" w:eastAsia="ko-KR"/>
              </w:rPr>
              <w:t>- Éles tárgyak tárolására szolgáló tartály</w:t>
            </w:r>
          </w:p>
          <w:p w14:paraId="0F838E0E" w14:textId="77777777" w:rsidR="00130E8B" w:rsidRDefault="00130E8B" w:rsidP="0054408A">
            <w:pPr>
              <w:ind w:left="224" w:right="1248"/>
              <w:rPr>
                <w:rFonts w:ascii="Times New Roman" w:eastAsia="Times New Roman" w:hAnsi="Times New Roman" w:cs="Times New Roman"/>
                <w:b/>
                <w:bCs/>
                <w:spacing w:val="-1"/>
                <w:lang w:val="hu-HU"/>
              </w:rPr>
            </w:pPr>
          </w:p>
        </w:tc>
      </w:tr>
      <w:tr w:rsidR="00130E8B" w14:paraId="32A91F13" w14:textId="77777777" w:rsidTr="0054408A">
        <w:trPr>
          <w:trHeight w:val="3969"/>
        </w:trPr>
        <w:tc>
          <w:tcPr>
            <w:tcW w:w="9634" w:type="dxa"/>
          </w:tcPr>
          <w:p w14:paraId="65AB14CA" w14:textId="0E136705" w:rsidR="00130E8B" w:rsidRDefault="00E91FF7" w:rsidP="0054408A">
            <w:pPr>
              <w:ind w:left="224" w:right="1248"/>
              <w:rPr>
                <w:lang w:val="hu-HU" w:eastAsia="ko-KR"/>
              </w:rPr>
            </w:pPr>
            <w:r>
              <w:rPr>
                <w:noProof/>
                <w:lang w:eastAsia="ko-KR"/>
              </w:rPr>
              <w:lastRenderedPageBreak/>
              <mc:AlternateContent>
                <mc:Choice Requires="wpg">
                  <w:drawing>
                    <wp:anchor distT="0" distB="0" distL="114300" distR="114300" simplePos="0" relativeHeight="251658261" behindDoc="0" locked="0" layoutInCell="1" allowOverlap="1" wp14:anchorId="73B3343B" wp14:editId="7D468CBE">
                      <wp:simplePos x="0" y="0"/>
                      <wp:positionH relativeFrom="column">
                        <wp:posOffset>-17780</wp:posOffset>
                      </wp:positionH>
                      <wp:positionV relativeFrom="paragraph">
                        <wp:posOffset>182880</wp:posOffset>
                      </wp:positionV>
                      <wp:extent cx="1997075" cy="2656840"/>
                      <wp:effectExtent l="0" t="0" r="3175" b="0"/>
                      <wp:wrapSquare wrapText="bothSides"/>
                      <wp:docPr id="181" name="그룹 181"/>
                      <wp:cNvGraphicFramePr/>
                      <a:graphic xmlns:a="http://schemas.openxmlformats.org/drawingml/2006/main">
                        <a:graphicData uri="http://schemas.microsoft.com/office/word/2010/wordprocessingGroup">
                          <wpg:wgp>
                            <wpg:cNvGrpSpPr/>
                            <wpg:grpSpPr>
                              <a:xfrm>
                                <a:off x="0" y="0"/>
                                <a:ext cx="1997075" cy="2656840"/>
                                <a:chOff x="0" y="0"/>
                                <a:chExt cx="1675721" cy="2189596"/>
                              </a:xfrm>
                            </wpg:grpSpPr>
                            <wps:wsp>
                              <wps:cNvPr id="137" name="Text Box 38"/>
                              <wps:cNvSpPr txBox="1"/>
                              <wps:spPr>
                                <a:xfrm>
                                  <a:off x="955963" y="2043546"/>
                                  <a:ext cx="719758" cy="146050"/>
                                </a:xfrm>
                                <a:prstGeom prst="rect">
                                  <a:avLst/>
                                </a:prstGeom>
                                <a:solidFill>
                                  <a:prstClr val="white"/>
                                </a:solidFill>
                                <a:ln>
                                  <a:noFill/>
                                </a:ln>
                              </wps:spPr>
                              <wps:txbx>
                                <w:txbxContent>
                                  <w:p w14:paraId="42240CCF"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lang w:val="hu-HU"/>
                                      </w:rPr>
                                      <w:t> B. ábra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72" name="그림 5"/>
                                <pic:cNvPicPr>
                                  <a:picLocks noChangeAspect="1"/>
                                </pic:cNvPicPr>
                              </pic:nvPicPr>
                              <pic:blipFill rotWithShape="1">
                                <a:blip r:embed="rId28" cstate="print">
                                  <a:extLst>
                                    <a:ext uri="{28A0092B-C50C-407E-A947-70E740481C1C}">
                                      <a14:useLocalDpi xmlns:a14="http://schemas.microsoft.com/office/drawing/2010/main" val="0"/>
                                    </a:ext>
                                  </a:extLst>
                                </a:blip>
                                <a:srcRect/>
                                <a:stretch/>
                              </pic:blipFill>
                              <pic:spPr>
                                <a:xfrm>
                                  <a:off x="0" y="0"/>
                                  <a:ext cx="1673860" cy="20447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3B3343B" id="그룹 181" o:spid="_x0000_s1026" style="position:absolute;left:0;text-align:left;margin-left:-1.4pt;margin-top:14.4pt;width:157.25pt;height:209.2pt;z-index:251658261;mso-width-relative:margin;mso-height-relative:margin" coordsize="16757,21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">
                      <v:shapetype id="_x0000_t202" coordsize="21600,21600" o:spt="202" path="m,l,21600r21600,l21600,xe">
                        <v:stroke joinstyle="miter"/>
                        <v:path gradientshapeok="t" o:connecttype="rect"/>
                      </v:shapetype>
                      <v:shape id="Text Box 38" o:spid="_x0000_s1027" type="#_x0000_t202" style="position:absolute;left:9559;top:20435;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" stroked="f">
                        <v:textbox inset="0,0,0,0">
                          <w:txbxContent>
                            <w:p w14:paraId="42240CCF"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lang w:val="hu-HU"/>
                                </w:rPr>
                                <w:t> B. ábra</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그림 5" o:spid="_x0000_s1028" type="#_x0000_t75" style="position:absolute;width:16738;height:20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">
                        <v:imagedata r:id="rId29" o:title=""/>
                      </v:shape>
                      <w10:wrap type="square"/>
                    </v:group>
                  </w:pict>
                </mc:Fallback>
              </mc:AlternateContent>
            </w:r>
            <w:r w:rsidR="00265077">
              <w:rPr>
                <w:rFonts w:hint="eastAsia"/>
                <w:lang w:val="hu-HU" w:eastAsia="ko-KR"/>
              </w:rPr>
              <w:t xml:space="preserve"> </w:t>
            </w:r>
          </w:p>
          <w:p w14:paraId="6F49676A" w14:textId="796445AD" w:rsidR="00130E8B" w:rsidRDefault="00130E8B" w:rsidP="0054408A">
            <w:pPr>
              <w:pStyle w:val="a3"/>
              <w:rPr>
                <w:lang w:val="hu-HU"/>
              </w:rPr>
            </w:pPr>
          </w:p>
          <w:p w14:paraId="6E114C22" w14:textId="77777777" w:rsidR="00130E8B" w:rsidRPr="00265077" w:rsidRDefault="000405CC" w:rsidP="0054408A">
            <w:pPr>
              <w:pStyle w:val="a3"/>
              <w:numPr>
                <w:ilvl w:val="0"/>
                <w:numId w:val="21"/>
              </w:numPr>
              <w:ind w:leftChars="100" w:left="580"/>
              <w:rPr>
                <w:b/>
                <w:lang w:val="hu-HU"/>
              </w:rPr>
            </w:pPr>
            <w:r w:rsidRPr="00265077">
              <w:rPr>
                <w:rFonts w:eastAsia="Times New Roman"/>
                <w:b/>
                <w:bCs/>
                <w:lang w:val="hu-HU"/>
              </w:rPr>
              <w:t xml:space="preserve">Vizsgálja meg az előretöltött </w:t>
            </w:r>
            <w:r w:rsidRPr="001E2F31">
              <w:rPr>
                <w:rFonts w:eastAsia="Times New Roman"/>
                <w:b/>
                <w:lang w:val="hu-HU"/>
              </w:rPr>
              <w:t>fecskendőt</w:t>
            </w:r>
          </w:p>
          <w:p w14:paraId="28A2B3A8" w14:textId="77777777" w:rsidR="00130E8B" w:rsidRDefault="00130E8B" w:rsidP="0054408A">
            <w:pPr>
              <w:pStyle w:val="a3"/>
              <w:numPr>
                <w:ilvl w:val="0"/>
                <w:numId w:val="0"/>
              </w:numPr>
              <w:ind w:left="580"/>
              <w:rPr>
                <w:lang w:val="hu-HU"/>
              </w:rPr>
            </w:pPr>
          </w:p>
          <w:p w14:paraId="04D2FEE3" w14:textId="4963DB02" w:rsidR="00130E8B" w:rsidRPr="001E2F31" w:rsidRDefault="000405CC" w:rsidP="0054408A">
            <w:pPr>
              <w:pStyle w:val="a3"/>
              <w:rPr>
                <w:rFonts w:eastAsia="Times New Roman"/>
                <w:lang w:val="hu-HU" w:eastAsia="ko-KR"/>
              </w:rPr>
            </w:pPr>
            <w:r>
              <w:rPr>
                <w:rFonts w:eastAsia="Times New Roman"/>
                <w:b/>
                <w:bCs/>
                <w:lang w:val="hu-HU" w:eastAsia="ko-KR"/>
              </w:rPr>
              <w:t>a</w:t>
            </w:r>
            <w:r>
              <w:rPr>
                <w:rFonts w:eastAsia="Times New Roman"/>
                <w:lang w:val="hu-HU" w:eastAsia="ko-KR"/>
              </w:rPr>
              <w:t>. Győződjön meg arról, hogy a megfelelő gyógyszert (Yuflyma) és</w:t>
            </w:r>
            <w:r w:rsidR="00265077">
              <w:rPr>
                <w:rFonts w:eastAsia="Times New Roman"/>
                <w:lang w:val="hu-HU" w:eastAsia="ko-KR"/>
              </w:rPr>
              <w:t xml:space="preserve"> </w:t>
            </w:r>
            <w:r>
              <w:rPr>
                <w:rFonts w:eastAsia="Times New Roman"/>
                <w:lang w:val="hu-HU" w:eastAsia="ko-KR"/>
              </w:rPr>
              <w:t xml:space="preserve"> </w:t>
            </w:r>
            <w:r w:rsidR="00265077">
              <w:rPr>
                <w:rFonts w:eastAsia="Times New Roman"/>
                <w:lang w:val="hu-HU" w:eastAsia="ko-KR"/>
              </w:rPr>
              <w:t xml:space="preserve"> </w:t>
            </w:r>
            <w:r>
              <w:rPr>
                <w:rFonts w:eastAsia="Times New Roman"/>
                <w:lang w:val="hu-HU" w:eastAsia="ko-KR"/>
              </w:rPr>
              <w:t>adagot kapta.</w:t>
            </w:r>
          </w:p>
          <w:p w14:paraId="2D890F8D" w14:textId="18F1D471" w:rsidR="00130E8B" w:rsidRDefault="000405CC" w:rsidP="0054408A">
            <w:pPr>
              <w:pStyle w:val="a3"/>
              <w:rPr>
                <w:lang w:val="hu-HU" w:eastAsia="ko-KR"/>
              </w:rPr>
            </w:pPr>
            <w:r>
              <w:rPr>
                <w:rFonts w:eastAsia="Times New Roman"/>
                <w:b/>
                <w:bCs/>
                <w:lang w:val="hu-HU" w:eastAsia="ko-KR"/>
              </w:rPr>
              <w:t>b</w:t>
            </w:r>
            <w:r>
              <w:rPr>
                <w:rFonts w:eastAsia="Times New Roman"/>
                <w:lang w:val="hu-HU" w:eastAsia="ko-KR"/>
              </w:rPr>
              <w:t>. Nézze meg az előretöltött fecskendőt, és ellenőrizze, hogy nincs-e megrepedve vagy megsérülve.</w:t>
            </w:r>
          </w:p>
          <w:p w14:paraId="7E2659D4" w14:textId="646BFC37" w:rsidR="00130E8B" w:rsidRDefault="000405CC" w:rsidP="0054408A">
            <w:pPr>
              <w:pStyle w:val="a3"/>
              <w:rPr>
                <w:lang w:val="hu-HU" w:eastAsia="ko-KR"/>
              </w:rPr>
            </w:pPr>
            <w:r>
              <w:rPr>
                <w:rFonts w:eastAsia="Times New Roman"/>
                <w:b/>
                <w:bCs/>
                <w:lang w:val="hu-HU" w:eastAsia="ko-KR"/>
              </w:rPr>
              <w:t>c</w:t>
            </w:r>
            <w:r>
              <w:rPr>
                <w:rFonts w:eastAsia="Times New Roman"/>
                <w:lang w:val="hu-HU" w:eastAsia="ko-KR"/>
              </w:rPr>
              <w:t>. Ellenőrizze az előretöltött fecskendő</w:t>
            </w:r>
            <w:r w:rsidR="0044419B">
              <w:rPr>
                <w:rFonts w:eastAsia="Times New Roman"/>
                <w:lang w:val="hu-HU" w:eastAsia="ko-KR"/>
              </w:rPr>
              <w:t xml:space="preserve"> </w:t>
            </w:r>
            <w:r>
              <w:rPr>
                <w:rFonts w:eastAsia="Times New Roman"/>
                <w:lang w:val="hu-HU" w:eastAsia="ko-KR"/>
              </w:rPr>
              <w:t>címkéjén található lejárati dátumot .</w:t>
            </w:r>
          </w:p>
          <w:p w14:paraId="60EF18F5" w14:textId="106FAC73" w:rsidR="00130E8B" w:rsidRDefault="000405CC" w:rsidP="0054408A">
            <w:pPr>
              <w:pStyle w:val="Default"/>
              <w:rPr>
                <w:lang w:val="hu-HU"/>
              </w:rPr>
            </w:pPr>
            <w:r>
              <w:rPr>
                <w:lang w:val="hu-HU"/>
              </w:rPr>
              <w:t xml:space="preserve"> </w:t>
            </w:r>
          </w:p>
          <w:p w14:paraId="4F9D4B2A" w14:textId="77777777" w:rsidR="0044419B" w:rsidRDefault="0044419B" w:rsidP="0054408A">
            <w:pPr>
              <w:pStyle w:val="Default"/>
              <w:rPr>
                <w:b/>
                <w:lang w:val="hu-HU" w:eastAsia="ko-KR"/>
              </w:rPr>
            </w:pPr>
          </w:p>
          <w:p w14:paraId="60597421" w14:textId="77777777" w:rsidR="00130E8B" w:rsidRPr="00010223" w:rsidRDefault="000405CC" w:rsidP="0054408A">
            <w:pPr>
              <w:pStyle w:val="a3"/>
              <w:numPr>
                <w:ilvl w:val="0"/>
                <w:numId w:val="0"/>
              </w:numPr>
              <w:rPr>
                <w:lang w:val="hu-HU" w:eastAsia="ko-KR"/>
              </w:rPr>
            </w:pPr>
            <w:r w:rsidRPr="001E2F31">
              <w:rPr>
                <w:rFonts w:eastAsia="Times New Roman"/>
                <w:bCs/>
                <w:lang w:val="hu-HU" w:eastAsia="ko-KR"/>
              </w:rPr>
              <w:t>Az</w:t>
            </w:r>
            <w:r w:rsidR="0044419B" w:rsidRPr="001E2F31">
              <w:rPr>
                <w:rFonts w:eastAsia="Times New Roman"/>
                <w:bCs/>
                <w:lang w:val="hu-HU" w:eastAsia="ko-KR"/>
              </w:rPr>
              <w:t xml:space="preserve"> </w:t>
            </w:r>
            <w:r w:rsidRPr="001E2F31">
              <w:rPr>
                <w:rFonts w:eastAsia="Times New Roman"/>
                <w:bCs/>
                <w:lang w:val="hu-HU" w:eastAsia="ko-KR"/>
              </w:rPr>
              <w:t xml:space="preserve">előretöltött fecskendőt </w:t>
            </w:r>
            <w:r w:rsidRPr="00010223">
              <w:rPr>
                <w:rFonts w:eastAsia="Times New Roman"/>
                <w:b/>
                <w:bCs/>
                <w:lang w:val="hu-HU" w:eastAsia="ko-KR"/>
              </w:rPr>
              <w:t>ne</w:t>
            </w:r>
            <w:r w:rsidRPr="001E2F31">
              <w:rPr>
                <w:rFonts w:eastAsia="Times New Roman"/>
                <w:bCs/>
                <w:lang w:val="hu-HU" w:eastAsia="ko-KR"/>
              </w:rPr>
              <w:t xml:space="preserve"> használja újra, ha:</w:t>
            </w:r>
          </w:p>
          <w:p w14:paraId="1D98E3CE" w14:textId="321A78F4" w:rsidR="00027D55" w:rsidRPr="00FB6A69" w:rsidRDefault="000405CC" w:rsidP="0054408A">
            <w:pPr>
              <w:pStyle w:val="a3"/>
              <w:numPr>
                <w:ilvl w:val="2"/>
                <w:numId w:val="38"/>
              </w:numPr>
              <w:ind w:left="567" w:hanging="567"/>
              <w:rPr>
                <w:lang w:val="hu-HU" w:eastAsia="ko-KR"/>
              </w:rPr>
            </w:pPr>
            <w:r>
              <w:rPr>
                <w:rFonts w:eastAsia="Times New Roman"/>
                <w:lang w:val="hu-HU" w:eastAsia="ko-KR"/>
              </w:rPr>
              <w:t>megrepedt vagy sérül</w:t>
            </w:r>
            <w:r w:rsidR="00AA69B1">
              <w:rPr>
                <w:rFonts w:eastAsia="Times New Roman"/>
                <w:lang w:val="hu-HU" w:eastAsia="ko-KR"/>
              </w:rPr>
              <w:t>t</w:t>
            </w:r>
            <w:r w:rsidR="00027D55">
              <w:rPr>
                <w:rFonts w:eastAsia="Times New Roman"/>
                <w:lang w:val="hu-HU" w:eastAsia="ko-KR"/>
              </w:rPr>
              <w:t>.</w:t>
            </w:r>
          </w:p>
          <w:p w14:paraId="62C90914" w14:textId="39FF98E2" w:rsidR="00130E8B" w:rsidRPr="00FB6A69" w:rsidRDefault="0044419B" w:rsidP="0054408A">
            <w:pPr>
              <w:pStyle w:val="a3"/>
              <w:numPr>
                <w:ilvl w:val="2"/>
                <w:numId w:val="38"/>
              </w:numPr>
              <w:ind w:left="567" w:hanging="567"/>
              <w:rPr>
                <w:lang w:val="hu-HU" w:eastAsia="ko-KR"/>
              </w:rPr>
            </w:pPr>
            <w:r>
              <w:rPr>
                <w:rFonts w:eastAsia="Times New Roman"/>
                <w:lang w:val="hu-HU" w:eastAsia="ko-KR"/>
              </w:rPr>
              <w:t xml:space="preserve">a </w:t>
            </w:r>
            <w:r w:rsidR="000405CC">
              <w:rPr>
                <w:rFonts w:eastAsia="Times New Roman"/>
                <w:lang w:val="hu-HU" w:eastAsia="ko-KR"/>
              </w:rPr>
              <w:t>lejárati idő lejárt.</w:t>
            </w:r>
          </w:p>
          <w:p w14:paraId="6D4DDBCE" w14:textId="3D12C484" w:rsidR="00027D55" w:rsidRDefault="00027D55" w:rsidP="0054408A">
            <w:pPr>
              <w:pStyle w:val="a3"/>
              <w:numPr>
                <w:ilvl w:val="2"/>
                <w:numId w:val="38"/>
              </w:numPr>
              <w:ind w:left="567" w:hanging="567"/>
              <w:rPr>
                <w:lang w:val="hu-HU" w:eastAsia="ko-KR"/>
              </w:rPr>
            </w:pPr>
            <w:proofErr w:type="spellStart"/>
            <w:r>
              <w:t>kemény</w:t>
            </w:r>
            <w:proofErr w:type="spellEnd"/>
            <w:r>
              <w:t xml:space="preserve"> </w:t>
            </w:r>
            <w:proofErr w:type="spellStart"/>
            <w:r>
              <w:t>felületre</w:t>
            </w:r>
            <w:proofErr w:type="spellEnd"/>
            <w:r>
              <w:t xml:space="preserve"> </w:t>
            </w:r>
            <w:proofErr w:type="spellStart"/>
            <w:r>
              <w:t>ejtette</w:t>
            </w:r>
            <w:proofErr w:type="spellEnd"/>
            <w:r>
              <w:t>.</w:t>
            </w:r>
          </w:p>
          <w:p w14:paraId="556E1E1B" w14:textId="77777777" w:rsidR="00130E8B" w:rsidRDefault="00130E8B" w:rsidP="0054408A">
            <w:pPr>
              <w:pStyle w:val="Default"/>
              <w:rPr>
                <w:color w:val="211D1E"/>
                <w:sz w:val="20"/>
                <w:szCs w:val="20"/>
                <w:lang w:val="hu-HU"/>
              </w:rPr>
            </w:pPr>
          </w:p>
          <w:p w14:paraId="7C85C37A" w14:textId="6951F659" w:rsidR="00130E8B" w:rsidRDefault="00130E8B" w:rsidP="0054408A">
            <w:pPr>
              <w:ind w:right="1248"/>
              <w:rPr>
                <w:rFonts w:ascii="Times New Roman" w:eastAsia="Times New Roman" w:hAnsi="Times New Roman" w:cs="Times New Roman"/>
                <w:b/>
                <w:bCs/>
                <w:lang w:val="hu-HU"/>
              </w:rPr>
            </w:pPr>
          </w:p>
        </w:tc>
      </w:tr>
      <w:tr w:rsidR="00130E8B" w14:paraId="6725213C" w14:textId="77777777" w:rsidTr="0054408A">
        <w:trPr>
          <w:trHeight w:val="4535"/>
        </w:trPr>
        <w:tc>
          <w:tcPr>
            <w:tcW w:w="9634" w:type="dxa"/>
          </w:tcPr>
          <w:p w14:paraId="1D19EA34" w14:textId="171ED4A0" w:rsidR="00130E8B" w:rsidRDefault="00130E8B" w:rsidP="0054408A">
            <w:pPr>
              <w:pStyle w:val="a3"/>
              <w:rPr>
                <w:lang w:val="hu-HU" w:eastAsia="ko-KR"/>
              </w:rPr>
            </w:pPr>
          </w:p>
          <w:p w14:paraId="063A9F9E" w14:textId="14CFCED3" w:rsidR="00130E8B" w:rsidRDefault="00780EA4" w:rsidP="0054408A">
            <w:pPr>
              <w:pStyle w:val="a3"/>
              <w:rPr>
                <w:lang w:val="hu-HU"/>
              </w:rPr>
            </w:pPr>
            <w:r>
              <w:rPr>
                <w:rFonts w:eastAsia="Times New Roman"/>
                <w:b/>
                <w:bCs/>
                <w:noProof/>
                <w:lang w:eastAsia="ko-KR"/>
              </w:rPr>
              <mc:AlternateContent>
                <mc:Choice Requires="wpg">
                  <w:drawing>
                    <wp:anchor distT="0" distB="0" distL="114300" distR="114300" simplePos="0" relativeHeight="251658244" behindDoc="0" locked="0" layoutInCell="1" allowOverlap="1" wp14:anchorId="481F97A6" wp14:editId="097F01A5">
                      <wp:simplePos x="0" y="0"/>
                      <wp:positionH relativeFrom="column">
                        <wp:posOffset>-65405</wp:posOffset>
                      </wp:positionH>
                      <wp:positionV relativeFrom="paragraph">
                        <wp:posOffset>48895</wp:posOffset>
                      </wp:positionV>
                      <wp:extent cx="2052955" cy="2654300"/>
                      <wp:effectExtent l="0" t="0" r="4445" b="0"/>
                      <wp:wrapSquare wrapText="bothSides"/>
                      <wp:docPr id="132" name="그룹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2955" cy="2654300"/>
                                <a:chOff x="0" y="0"/>
                                <a:chExt cx="2171700" cy="2800350"/>
                              </a:xfrm>
                            </wpg:grpSpPr>
                            <pic:pic xmlns:pic="http://schemas.openxmlformats.org/drawingml/2006/picture">
                              <pic:nvPicPr>
                                <pic:cNvPr id="3964" name="그림 3964"/>
                                <pic:cNvPicPr>
                                  <a:picLocks noChangeAspect="1"/>
                                </pic:cNvPicPr>
                              </pic:nvPicPr>
                              <pic:blipFill>
                                <a:blip r:embed="rId30" cstate="print">
                                  <a:extLst>
                                    <a:ext uri="{28A0092B-C50C-407E-A947-70E740481C1C}">
                                      <a14:useLocalDpi xmlns:a14="http://schemas.microsoft.com/office/drawing/2010/main" val="0"/>
                                    </a:ext>
                                  </a:extLst>
                                </a:blip>
                                <a:srcRect l="-1" r="870"/>
                                <a:stretch>
                                  <a:fillRect/>
                                </a:stretch>
                              </pic:blipFill>
                              <pic:spPr bwMode="auto">
                                <a:xfrm>
                                  <a:off x="0" y="0"/>
                                  <a:ext cx="2171700" cy="2663825"/>
                                </a:xfrm>
                                <a:prstGeom prst="rect">
                                  <a:avLst/>
                                </a:prstGeom>
                                <a:noFill/>
                                <a:ln>
                                  <a:noFill/>
                                </a:ln>
                                <a:extLst>
                                  <a:ext uri="{53640926-AAD7-44D8-BBD7-CCE9431645EC}">
                                    <a14:shadowObscured xmlns:a14="http://schemas.microsoft.com/office/drawing/2010/main"/>
                                  </a:ext>
                                </a:extLst>
                              </pic:spPr>
                            </pic:pic>
                            <wps:wsp>
                              <wps:cNvPr id="133" name="Text Box 41"/>
                              <wps:cNvSpPr txBox="1"/>
                              <wps:spPr>
                                <a:xfrm>
                                  <a:off x="1447800" y="2654300"/>
                                  <a:ext cx="719758" cy="146050"/>
                                </a:xfrm>
                                <a:prstGeom prst="rect">
                                  <a:avLst/>
                                </a:prstGeom>
                                <a:solidFill>
                                  <a:prstClr val="white"/>
                                </a:solidFill>
                                <a:ln>
                                  <a:noFill/>
                                </a:ln>
                              </wps:spPr>
                              <wps:txbx>
                                <w:txbxContent>
                                  <w:p w14:paraId="54942008"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C. </w:t>
                                    </w:r>
                                    <w:r>
                                      <w:rPr>
                                        <w:rFonts w:ascii="Times New Roman" w:eastAsia="Times New Roman" w:hAnsi="Times New Roman" w:cs="Times New Roman"/>
                                        <w:lang w:val="hu-HU"/>
                                      </w:rPr>
                                      <w:t>ábra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81F97A6" id="그룹 42" o:spid="_x0000_s1029" style="position:absolute;margin-left:-5.15pt;margin-top:3.85pt;width:161.65pt;height:209pt;z-index:251658244" coordsize="21717,280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">
                      <v:shape id="그림 3964" o:spid="_x0000_s1030" type="#_x0000_t75" style="position:absolute;width:21717;height:26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">
                        <v:imagedata r:id="rId31" o:title="" cropleft="-1f" cropright="570f"/>
                      </v:shape>
                      <v:shape id="Text Box 41" o:spid="_x0000_s1031" type="#_x0000_t202" style="position:absolute;left:14478;top:2654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" stroked="f">
                        <v:textbox inset="0,0,0,0">
                          <w:txbxContent>
                            <w:p w14:paraId="54942008"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C. </w:t>
                              </w:r>
                              <w:r>
                                <w:rPr>
                                  <w:rFonts w:ascii="Times New Roman" w:eastAsia="Times New Roman" w:hAnsi="Times New Roman" w:cs="Times New Roman"/>
                                  <w:lang w:val="hu-HU"/>
                                </w:rPr>
                                <w:t>ábra</w:t>
                              </w:r>
                            </w:p>
                          </w:txbxContent>
                        </v:textbox>
                      </v:shape>
                      <w10:wrap type="square"/>
                    </v:group>
                  </w:pict>
                </mc:Fallback>
              </mc:AlternateContent>
            </w:r>
          </w:p>
          <w:p w14:paraId="120A11E5" w14:textId="680B0E3E" w:rsidR="00130E8B" w:rsidRDefault="000405CC" w:rsidP="0054408A">
            <w:pPr>
              <w:pStyle w:val="a3"/>
              <w:numPr>
                <w:ilvl w:val="0"/>
                <w:numId w:val="21"/>
              </w:numPr>
              <w:rPr>
                <w:b/>
                <w:lang w:val="hu-HU"/>
              </w:rPr>
            </w:pPr>
            <w:r>
              <w:rPr>
                <w:rFonts w:eastAsia="Times New Roman"/>
                <w:b/>
                <w:bCs/>
                <w:lang w:val="hu-HU"/>
              </w:rPr>
              <w:t>Vizsgálja meg a gyógyszert</w:t>
            </w:r>
          </w:p>
          <w:p w14:paraId="275D3916" w14:textId="754B3A7A" w:rsidR="00130E8B" w:rsidRDefault="00130E8B" w:rsidP="0054408A">
            <w:pPr>
              <w:ind w:right="1248"/>
              <w:rPr>
                <w:rFonts w:ascii="Times New Roman" w:eastAsia="Times New Roman" w:hAnsi="Times New Roman" w:cs="Times New Roman"/>
                <w:b/>
                <w:bCs/>
                <w:lang w:val="hu-HU"/>
              </w:rPr>
            </w:pPr>
          </w:p>
          <w:p w14:paraId="3E63D1FD" w14:textId="67204155" w:rsidR="00130E8B" w:rsidRDefault="000405CC" w:rsidP="0054408A">
            <w:pPr>
              <w:pStyle w:val="a3"/>
              <w:rPr>
                <w:lang w:val="hu-HU" w:eastAsia="ko-KR"/>
              </w:rPr>
            </w:pPr>
            <w:r>
              <w:rPr>
                <w:rFonts w:eastAsia="Times New Roman"/>
                <w:b/>
                <w:bCs/>
                <w:lang w:val="hu-HU" w:eastAsia="ko-KR"/>
              </w:rPr>
              <w:t>a</w:t>
            </w:r>
            <w:r>
              <w:rPr>
                <w:rFonts w:eastAsia="Times New Roman"/>
                <w:lang w:val="hu-HU" w:eastAsia="ko-KR"/>
              </w:rPr>
              <w:t>. Ellenőrizze a gyógyszert, bizonyosodjon meg róla, hogy a folyadék tiszta, színtelen vagy halványbarna, részecskéktől mentes.</w:t>
            </w:r>
          </w:p>
          <w:p w14:paraId="167BBE50" w14:textId="2F8E9C04" w:rsidR="00130E8B" w:rsidRDefault="00130E8B" w:rsidP="0054408A">
            <w:pPr>
              <w:pStyle w:val="a3"/>
              <w:numPr>
                <w:ilvl w:val="0"/>
                <w:numId w:val="0"/>
              </w:numPr>
              <w:tabs>
                <w:tab w:val="left" w:pos="3861"/>
              </w:tabs>
              <w:rPr>
                <w:lang w:val="hu-HU"/>
              </w:rPr>
            </w:pPr>
          </w:p>
          <w:p w14:paraId="2440D004" w14:textId="2564A4B1" w:rsidR="00130E8B" w:rsidRDefault="000405CC" w:rsidP="0054408A">
            <w:pPr>
              <w:pStyle w:val="a3"/>
              <w:numPr>
                <w:ilvl w:val="0"/>
                <w:numId w:val="39"/>
              </w:numPr>
              <w:ind w:left="4230" w:hanging="4230"/>
              <w:rPr>
                <w:lang w:val="hu-HU"/>
              </w:rPr>
            </w:pPr>
            <w:r>
              <w:rPr>
                <w:rFonts w:eastAsia="Times New Roman"/>
                <w:b/>
                <w:bCs/>
                <w:lang w:val="hu-HU"/>
              </w:rPr>
              <w:t>Ne</w:t>
            </w:r>
            <w:r>
              <w:rPr>
                <w:rFonts w:eastAsia="Times New Roman"/>
                <w:lang w:val="hu-HU"/>
              </w:rPr>
              <w:t xml:space="preserve"> használja az előretöltött fecskendőt, ha a folyadék elszíneződött (sárga vagy sötétbarna), zavaros vagy részecskéket tartalmaz.</w:t>
            </w:r>
          </w:p>
          <w:p w14:paraId="6578F1D5" w14:textId="77777777" w:rsidR="00130E8B" w:rsidRDefault="00130E8B" w:rsidP="0054408A">
            <w:pPr>
              <w:pStyle w:val="a3"/>
              <w:numPr>
                <w:ilvl w:val="0"/>
                <w:numId w:val="0"/>
              </w:numPr>
              <w:rPr>
                <w:lang w:val="hu-HU"/>
              </w:rPr>
            </w:pPr>
          </w:p>
          <w:p w14:paraId="6BE2640C" w14:textId="77777777" w:rsidR="00130E8B" w:rsidRDefault="000405CC" w:rsidP="0054408A">
            <w:pPr>
              <w:pStyle w:val="a3"/>
              <w:numPr>
                <w:ilvl w:val="0"/>
                <w:numId w:val="16"/>
              </w:numPr>
              <w:ind w:left="4236" w:hanging="4236"/>
              <w:rPr>
                <w:b/>
                <w:bCs/>
                <w:lang w:val="hu-HU"/>
              </w:rPr>
            </w:pPr>
            <w:r>
              <w:rPr>
                <w:rFonts w:eastAsia="Times New Roman"/>
                <w:lang w:val="hu-HU"/>
              </w:rPr>
              <w:t>Előfordulhat, hogy légbuborékokat lát a folyadékban. Ez normális jelenség.</w:t>
            </w:r>
          </w:p>
        </w:tc>
      </w:tr>
      <w:tr w:rsidR="00130E8B" w:rsidRPr="00BE4D18" w14:paraId="0F1476F5" w14:textId="77777777" w:rsidTr="0054408A">
        <w:trPr>
          <w:trHeight w:val="4706"/>
        </w:trPr>
        <w:tc>
          <w:tcPr>
            <w:tcW w:w="9634" w:type="dxa"/>
          </w:tcPr>
          <w:p w14:paraId="1678E4D3" w14:textId="22B1240E" w:rsidR="00130E8B" w:rsidRDefault="0054408A" w:rsidP="0054408A">
            <w:pPr>
              <w:ind w:right="1248"/>
              <w:rPr>
                <w:rFonts w:ascii="Times New Roman" w:eastAsia="Times New Roman" w:hAnsi="Times New Roman" w:cs="Times New Roman"/>
                <w:b/>
                <w:bCs/>
                <w:spacing w:val="-1"/>
                <w:lang w:val="hu-HU"/>
              </w:rPr>
            </w:pPr>
            <w:r>
              <w:rPr>
                <w:rFonts w:ascii="Times New Roman" w:eastAsia="Times New Roman" w:hAnsi="Times New Roman" w:cs="Times New Roman"/>
                <w:bCs/>
                <w:noProof/>
                <w:lang w:eastAsia="ko-KR"/>
              </w:rPr>
              <w:lastRenderedPageBreak/>
              <mc:AlternateContent>
                <mc:Choice Requires="wpg">
                  <w:drawing>
                    <wp:anchor distT="0" distB="0" distL="114300" distR="114300" simplePos="0" relativeHeight="251658262" behindDoc="0" locked="0" layoutInCell="1" allowOverlap="1" wp14:anchorId="6E2D575A" wp14:editId="640D620D">
                      <wp:simplePos x="0" y="0"/>
                      <wp:positionH relativeFrom="column">
                        <wp:posOffset>-8890</wp:posOffset>
                      </wp:positionH>
                      <wp:positionV relativeFrom="paragraph">
                        <wp:posOffset>161290</wp:posOffset>
                      </wp:positionV>
                      <wp:extent cx="1985645" cy="2717165"/>
                      <wp:effectExtent l="0" t="0" r="0" b="6985"/>
                      <wp:wrapSquare wrapText="bothSides"/>
                      <wp:docPr id="180" name="그룹 180"/>
                      <wp:cNvGraphicFramePr/>
                      <a:graphic xmlns:a="http://schemas.openxmlformats.org/drawingml/2006/main">
                        <a:graphicData uri="http://schemas.microsoft.com/office/word/2010/wordprocessingGroup">
                          <wpg:wgp>
                            <wpg:cNvGrpSpPr/>
                            <wpg:grpSpPr>
                              <a:xfrm>
                                <a:off x="0" y="0"/>
                                <a:ext cx="1985645" cy="2717165"/>
                                <a:chOff x="0" y="0"/>
                                <a:chExt cx="2211705" cy="2910032"/>
                              </a:xfrm>
                            </wpg:grpSpPr>
                            <wps:wsp>
                              <wps:cNvPr id="131" name="Text Box 43"/>
                              <wps:cNvSpPr txBox="1"/>
                              <wps:spPr>
                                <a:xfrm>
                                  <a:off x="1482437" y="2763982"/>
                                  <a:ext cx="719758" cy="146050"/>
                                </a:xfrm>
                                <a:prstGeom prst="rect">
                                  <a:avLst/>
                                </a:prstGeom>
                                <a:solidFill>
                                  <a:prstClr val="white"/>
                                </a:solidFill>
                                <a:ln>
                                  <a:noFill/>
                                </a:ln>
                              </wps:spPr>
                              <wps:txbx>
                                <w:txbxContent>
                                  <w:p w14:paraId="29326A79"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lang w:val="hu-HU"/>
                                      </w:rPr>
                                      <w:t> </w:t>
                                    </w:r>
                                    <w:r>
                                      <w:rPr>
                                        <w:rFonts w:ascii="Times New Roman" w:eastAsia="Times New Roman" w:hAnsi="Times New Roman" w:cs="Times New Roman"/>
                                        <w:lang w:val="hu-HU"/>
                                      </w:rPr>
                                      <w:t xml:space="preserve">D. </w:t>
                                    </w:r>
                                    <w:r>
                                      <w:rPr>
                                        <w:rFonts w:ascii="Times New Roman" w:eastAsia="Times New Roman" w:hAnsi="Times New Roman" w:cs="Times New Roman"/>
                                        <w:lang w:val="hu-HU"/>
                                      </w:rPr>
                                      <w:t>ábra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73" name="그림 6"/>
                                <pic:cNvPicPr>
                                  <a:picLocks noChangeAspect="1"/>
                                </pic:cNvPicPr>
                              </pic:nvPicPr>
                              <pic:blipFill rotWithShape="1">
                                <a:blip r:embed="rId32" cstate="print">
                                  <a:extLst>
                                    <a:ext uri="{28A0092B-C50C-407E-A947-70E740481C1C}">
                                      <a14:useLocalDpi xmlns:a14="http://schemas.microsoft.com/office/drawing/2010/main" val="0"/>
                                    </a:ext>
                                  </a:extLst>
                                </a:blip>
                                <a:srcRect/>
                                <a:stretch/>
                              </pic:blipFill>
                              <pic:spPr>
                                <a:xfrm>
                                  <a:off x="0" y="0"/>
                                  <a:ext cx="2211705" cy="2712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E2D575A" id="그룹 180" o:spid="_x0000_s1032" style="position:absolute;margin-left:-.7pt;margin-top:12.7pt;width:156.35pt;height:213.95pt;z-index:251658262;mso-width-relative:margin;mso-height-relative:margin" coordsize="22117,29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">
                      <v:shape id="Text Box 43" o:spid="_x0000_s1033" type="#_x0000_t202" style="position:absolute;left:14824;top:2763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" stroked="f">
                        <v:textbox inset="0,0,0,0">
                          <w:txbxContent>
                            <w:p w14:paraId="29326A79"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lang w:val="hu-HU"/>
                                </w:rPr>
                                <w:t> </w:t>
                              </w:r>
                              <w:r>
                                <w:rPr>
                                  <w:rFonts w:ascii="Times New Roman" w:eastAsia="Times New Roman" w:hAnsi="Times New Roman" w:cs="Times New Roman"/>
                                  <w:lang w:val="hu-HU"/>
                                </w:rPr>
                                <w:t xml:space="preserve">D. </w:t>
                              </w:r>
                              <w:r>
                                <w:rPr>
                                  <w:rFonts w:ascii="Times New Roman" w:eastAsia="Times New Roman" w:hAnsi="Times New Roman" w:cs="Times New Roman"/>
                                  <w:lang w:val="hu-HU"/>
                                </w:rPr>
                                <w:t>ábra</w:t>
                              </w:r>
                            </w:p>
                          </w:txbxContent>
                        </v:textbox>
                      </v:shape>
                      <v:shape id="그림 6" o:spid="_x0000_s1034" type="#_x0000_t75" style="position:absolute;width:22117;height:27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">
                        <v:imagedata r:id="rId33" o:title=""/>
                      </v:shape>
                      <w10:wrap type="square"/>
                    </v:group>
                  </w:pict>
                </mc:Fallback>
              </mc:AlternateContent>
            </w:r>
          </w:p>
          <w:p w14:paraId="36EF26F4" w14:textId="7EFA76D6" w:rsidR="00130E8B" w:rsidRDefault="0054408A" w:rsidP="0054408A">
            <w:pPr>
              <w:ind w:right="1248"/>
              <w:rPr>
                <w:rFonts w:ascii="Times New Roman" w:eastAsia="Times New Roman" w:hAnsi="Times New Roman" w:cs="Times New Roman"/>
                <w:bCs/>
                <w:lang w:val="hu-HU"/>
              </w:rPr>
            </w:pPr>
            <w:r>
              <w:rPr>
                <w:rFonts w:eastAsia="Times New Roman"/>
                <w:noProof/>
                <w:sz w:val="20"/>
                <w:szCs w:val="20"/>
                <w:lang w:eastAsia="ko-KR"/>
              </w:rPr>
              <mc:AlternateContent>
                <mc:Choice Requires="wps">
                  <w:drawing>
                    <wp:anchor distT="0" distB="0" distL="114300" distR="114300" simplePos="0" relativeHeight="251658256" behindDoc="0" locked="0" layoutInCell="1" allowOverlap="1" wp14:anchorId="5D044B71" wp14:editId="4D823E75">
                      <wp:simplePos x="0" y="0"/>
                      <wp:positionH relativeFrom="column">
                        <wp:posOffset>1044599</wp:posOffset>
                      </wp:positionH>
                      <wp:positionV relativeFrom="paragraph">
                        <wp:posOffset>103265</wp:posOffset>
                      </wp:positionV>
                      <wp:extent cx="858520" cy="1041400"/>
                      <wp:effectExtent l="0" t="0" r="0" b="0"/>
                      <wp:wrapNone/>
                      <wp:docPr id="128"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8520" cy="1041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49A1763" w14:textId="77777777" w:rsidR="004A2986" w:rsidRDefault="004A2986">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hu-HU"/>
                                    </w:rPr>
                                    <w:t xml:space="preserve">15 </w:t>
                                  </w:r>
                                  <w:r>
                                    <w:rPr>
                                      <w:rFonts w:ascii="Times New Roman" w:eastAsia="Times New Roman" w:hAnsi="Times New Roman" w:cs="Times New Roman"/>
                                      <w:b/>
                                      <w:bCs/>
                                      <w:sz w:val="28"/>
                                      <w:szCs w:val="28"/>
                                      <w:lang w:val="hu-HU"/>
                                    </w:rPr>
                                    <w:t>– 30 perc</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D044B71" id="Text Box 120" o:spid="_x0000_s1035" type="#_x0000_t202" style="position:absolute;margin-left:82.25pt;margin-top:8.15pt;width:67.6pt;height:82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" fillcolor="white [3212]" stroked="f" strokeweight=".5pt">
                      <v:textbox inset="0,0,0,0">
                        <w:txbxContent>
                          <w:p w14:paraId="349A1763" w14:textId="77777777" w:rsidR="004A2986" w:rsidRDefault="004A2986">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hu-HU"/>
                              </w:rPr>
                              <w:t xml:space="preserve">15 </w:t>
                            </w:r>
                            <w:r>
                              <w:rPr>
                                <w:rFonts w:ascii="Times New Roman" w:eastAsia="Times New Roman" w:hAnsi="Times New Roman" w:cs="Times New Roman"/>
                                <w:b/>
                                <w:bCs/>
                                <w:sz w:val="28"/>
                                <w:szCs w:val="28"/>
                                <w:lang w:val="hu-HU"/>
                              </w:rPr>
                              <w:t>– 30 perc</w:t>
                            </w:r>
                          </w:p>
                        </w:txbxContent>
                      </v:textbox>
                    </v:shape>
                  </w:pict>
                </mc:Fallback>
              </mc:AlternateContent>
            </w:r>
          </w:p>
          <w:p w14:paraId="0FB6303E" w14:textId="1F4247C1" w:rsidR="00130E8B" w:rsidRDefault="00130E8B" w:rsidP="0054408A">
            <w:pPr>
              <w:ind w:right="1248"/>
              <w:rPr>
                <w:rFonts w:ascii="Times New Roman" w:eastAsia="Times New Roman" w:hAnsi="Times New Roman" w:cs="Times New Roman"/>
                <w:bCs/>
                <w:lang w:val="hu-HU"/>
              </w:rPr>
            </w:pPr>
          </w:p>
          <w:p w14:paraId="5B656694" w14:textId="1CAEF505" w:rsidR="00130E8B" w:rsidRDefault="000405CC" w:rsidP="0054408A">
            <w:pPr>
              <w:pStyle w:val="a3"/>
              <w:numPr>
                <w:ilvl w:val="0"/>
                <w:numId w:val="21"/>
              </w:numPr>
              <w:rPr>
                <w:b/>
                <w:lang w:val="hu-HU"/>
              </w:rPr>
            </w:pPr>
            <w:r>
              <w:rPr>
                <w:rFonts w:eastAsia="Times New Roman"/>
                <w:b/>
                <w:bCs/>
                <w:lang w:val="hu-HU"/>
              </w:rPr>
              <w:t xml:space="preserve">Várjon 15-30 percet </w:t>
            </w:r>
          </w:p>
          <w:p w14:paraId="5C1D3479" w14:textId="4BD47402" w:rsidR="00130E8B" w:rsidRDefault="00130E8B" w:rsidP="0054408A">
            <w:pPr>
              <w:pStyle w:val="a3"/>
              <w:numPr>
                <w:ilvl w:val="0"/>
                <w:numId w:val="0"/>
              </w:numPr>
              <w:ind w:left="471"/>
              <w:rPr>
                <w:b/>
                <w:lang w:val="hu-HU"/>
              </w:rPr>
            </w:pPr>
          </w:p>
          <w:p w14:paraId="6772F7B2" w14:textId="60F8D23C" w:rsidR="00130E8B" w:rsidRDefault="000405CC" w:rsidP="0054408A">
            <w:pPr>
              <w:pStyle w:val="a3"/>
              <w:rPr>
                <w:lang w:val="hu-HU"/>
              </w:rPr>
            </w:pPr>
            <w:r>
              <w:rPr>
                <w:rFonts w:eastAsia="Times New Roman"/>
                <w:b/>
                <w:bCs/>
                <w:lang w:val="hu-HU"/>
              </w:rPr>
              <w:t>a</w:t>
            </w:r>
            <w:r>
              <w:rPr>
                <w:rFonts w:eastAsia="Times New Roman"/>
                <w:lang w:val="hu-HU"/>
              </w:rPr>
              <w:t>. Hagyja az előretöltött fecskendőt szobahőmérsékleten</w:t>
            </w:r>
            <w:r w:rsidR="004A2785">
              <w:rPr>
                <w:rFonts w:eastAsia="Times New Roman"/>
                <w:lang w:val="hu-HU"/>
              </w:rPr>
              <w:t xml:space="preserve"> felmelegedni </w:t>
            </w:r>
            <w:r>
              <w:rPr>
                <w:rFonts w:eastAsia="Times New Roman"/>
                <w:lang w:val="hu-HU"/>
              </w:rPr>
              <w:t>15-–30 percig</w:t>
            </w:r>
            <w:r w:rsidR="00402685">
              <w:rPr>
                <w:rFonts w:eastAsia="Times New Roman"/>
                <w:lang w:val="hu-HU"/>
              </w:rPr>
              <w:t>.</w:t>
            </w:r>
          </w:p>
          <w:p w14:paraId="40955D87" w14:textId="77777777" w:rsidR="00130E8B" w:rsidRDefault="00130E8B" w:rsidP="0054408A">
            <w:pPr>
              <w:pStyle w:val="Default"/>
              <w:rPr>
                <w:color w:val="211D1E"/>
                <w:sz w:val="20"/>
                <w:szCs w:val="20"/>
                <w:lang w:val="hu-HU"/>
              </w:rPr>
            </w:pPr>
          </w:p>
          <w:p w14:paraId="3D31D32B" w14:textId="4076E9FF" w:rsidR="00130E8B" w:rsidRDefault="000405CC" w:rsidP="0054408A">
            <w:pPr>
              <w:pStyle w:val="a3"/>
              <w:numPr>
                <w:ilvl w:val="0"/>
                <w:numId w:val="40"/>
              </w:numPr>
              <w:ind w:left="4100" w:hanging="4100"/>
              <w:rPr>
                <w:rFonts w:eastAsia="Times New Roman" w:cstheme="minorBidi"/>
                <w:lang w:val="hu-HU"/>
              </w:rPr>
            </w:pPr>
            <w:r>
              <w:rPr>
                <w:rFonts w:eastAsia="Times New Roman"/>
                <w:b/>
                <w:bCs/>
                <w:lang w:val="hu-HU"/>
              </w:rPr>
              <w:t>Ne</w:t>
            </w:r>
            <w:r>
              <w:rPr>
                <w:rFonts w:eastAsia="Times New Roman"/>
                <w:lang w:val="hu-HU"/>
              </w:rPr>
              <w:t xml:space="preserve"> melegítse az előretöltött fecskendőt </w:t>
            </w:r>
            <w:r w:rsidR="00A962A3">
              <w:rPr>
                <w:rFonts w:eastAsia="Times New Roman"/>
                <w:lang w:val="hu-HU"/>
              </w:rPr>
              <w:t xml:space="preserve">más </w:t>
            </w:r>
            <w:r>
              <w:rPr>
                <w:rFonts w:eastAsia="Times New Roman"/>
                <w:lang w:val="hu-HU"/>
              </w:rPr>
              <w:t xml:space="preserve">hőforrás </w:t>
            </w:r>
            <w:r w:rsidR="009E581D">
              <w:rPr>
                <w:rFonts w:eastAsia="Times New Roman"/>
                <w:lang w:val="hu-HU"/>
              </w:rPr>
              <w:t>alkalmazásával</w:t>
            </w:r>
            <w:r w:rsidR="00102D33">
              <w:rPr>
                <w:rFonts w:eastAsia="Times New Roman"/>
                <w:lang w:val="hu-HU"/>
              </w:rPr>
              <w:t>,</w:t>
            </w:r>
            <w:r w:rsidR="00A962A3">
              <w:rPr>
                <w:rFonts w:eastAsia="Times New Roman"/>
                <w:lang w:val="hu-HU"/>
              </w:rPr>
              <w:t xml:space="preserve"> </w:t>
            </w:r>
            <w:r>
              <w:rPr>
                <w:rFonts w:eastAsia="Times New Roman"/>
                <w:lang w:val="hu-HU"/>
              </w:rPr>
              <w:t>például forró víz vagy mikrohullámú sütő.</w:t>
            </w:r>
          </w:p>
          <w:p w14:paraId="3B7EEB45" w14:textId="1B05AED6" w:rsidR="00130E8B" w:rsidRDefault="00130E8B" w:rsidP="0054408A">
            <w:pPr>
              <w:pStyle w:val="a3"/>
              <w:numPr>
                <w:ilvl w:val="0"/>
                <w:numId w:val="0"/>
              </w:numPr>
              <w:ind w:firstLineChars="250" w:firstLine="550"/>
              <w:rPr>
                <w:rFonts w:eastAsia="Times New Roman" w:cstheme="minorBidi"/>
                <w:lang w:val="hu-HU"/>
              </w:rPr>
            </w:pPr>
          </w:p>
        </w:tc>
      </w:tr>
    </w:tbl>
    <w:tbl>
      <w:tblPr>
        <w:tblStyle w:val="ac"/>
        <w:tblW w:w="0" w:type="auto"/>
        <w:tblLook w:val="04A0" w:firstRow="1" w:lastRow="0" w:firstColumn="1" w:lastColumn="0" w:noHBand="0" w:noVBand="1"/>
      </w:tblPr>
      <w:tblGrid>
        <w:gridCol w:w="9550"/>
      </w:tblGrid>
      <w:tr w:rsidR="00130E8B" w:rsidRPr="00BE4D18" w14:paraId="1B357D9D" w14:textId="77777777">
        <w:trPr>
          <w:trHeight w:val="5933"/>
        </w:trPr>
        <w:tc>
          <w:tcPr>
            <w:tcW w:w="9550" w:type="dxa"/>
          </w:tcPr>
          <w:p w14:paraId="1F245405" w14:textId="77777777" w:rsidR="00130E8B" w:rsidRDefault="00130E8B">
            <w:pPr>
              <w:ind w:left="224" w:right="1248"/>
              <w:rPr>
                <w:rFonts w:ascii="Times New Roman" w:eastAsia="Times New Roman" w:hAnsi="Times New Roman" w:cs="Times New Roman"/>
                <w:b/>
                <w:bCs/>
                <w:spacing w:val="-1"/>
                <w:lang w:val="hu-HU"/>
              </w:rPr>
            </w:pPr>
          </w:p>
          <w:p w14:paraId="4FB81470" w14:textId="4470FFA7" w:rsidR="00130E8B" w:rsidRDefault="00130E8B">
            <w:pPr>
              <w:ind w:right="1248"/>
              <w:rPr>
                <w:lang w:val="hu-HU"/>
              </w:rPr>
            </w:pPr>
          </w:p>
          <w:p w14:paraId="63F4F79C" w14:textId="2CFBB3C1" w:rsidR="00130E8B" w:rsidRDefault="00B11505">
            <w:pPr>
              <w:ind w:right="1248"/>
              <w:rPr>
                <w:lang w:val="hu-HU"/>
              </w:rPr>
            </w:pPr>
            <w:r>
              <w:rPr>
                <w:noProof/>
                <w:lang w:eastAsia="ko-KR"/>
              </w:rPr>
              <mc:AlternateContent>
                <mc:Choice Requires="wpg">
                  <w:drawing>
                    <wp:anchor distT="0" distB="0" distL="114300" distR="114300" simplePos="0" relativeHeight="251658263" behindDoc="0" locked="0" layoutInCell="1" allowOverlap="1" wp14:anchorId="637C71BB" wp14:editId="7DD7A2A6">
                      <wp:simplePos x="0" y="0"/>
                      <wp:positionH relativeFrom="column">
                        <wp:posOffset>17145</wp:posOffset>
                      </wp:positionH>
                      <wp:positionV relativeFrom="paragraph">
                        <wp:posOffset>41275</wp:posOffset>
                      </wp:positionV>
                      <wp:extent cx="2147570" cy="3709035"/>
                      <wp:effectExtent l="0" t="0" r="5080" b="5715"/>
                      <wp:wrapSquare wrapText="bothSides"/>
                      <wp:docPr id="179" name="그룹 179"/>
                      <wp:cNvGraphicFramePr/>
                      <a:graphic xmlns:a="http://schemas.openxmlformats.org/drawingml/2006/main">
                        <a:graphicData uri="http://schemas.microsoft.com/office/word/2010/wordprocessingGroup">
                          <wpg:wgp>
                            <wpg:cNvGrpSpPr/>
                            <wpg:grpSpPr>
                              <a:xfrm>
                                <a:off x="0" y="0"/>
                                <a:ext cx="2147570" cy="3709035"/>
                                <a:chOff x="0" y="0"/>
                                <a:chExt cx="1848748" cy="3221712"/>
                              </a:xfrm>
                            </wpg:grpSpPr>
                            <wps:wsp>
                              <wps:cNvPr id="126" name="Text Box 45"/>
                              <wps:cNvSpPr txBox="1">
                                <a:spLocks noChangeArrowheads="1"/>
                              </wps:cNvSpPr>
                              <wps:spPr bwMode="auto">
                                <a:xfrm>
                                  <a:off x="1129145" y="3075710"/>
                                  <a:ext cx="719603" cy="1460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005FF5"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E </w:t>
                                    </w:r>
                                    <w:r>
                                      <w:rPr>
                                        <w:rFonts w:ascii="Times New Roman" w:eastAsia="Times New Roman" w:hAnsi="Times New Roman" w:cs="Times New Roman"/>
                                        <w:lang w:val="hu-HU"/>
                                      </w:rPr>
                                      <w:t>ábra</w:t>
                                    </w:r>
                                  </w:p>
                                </w:txbxContent>
                              </wps:txbx>
                              <wps:bodyPr rot="0" vert="horz" wrap="square" lIns="0" tIns="0" rIns="0" bIns="0" anchor="t" anchorCtr="0" upright="1">
                                <a:noAutofit/>
                              </wps:bodyPr>
                            </wps:wsp>
                            <pic:pic xmlns:pic="http://schemas.openxmlformats.org/drawingml/2006/picture">
                              <pic:nvPicPr>
                                <pic:cNvPr id="174" name="그림 7"/>
                                <pic:cNvPicPr>
                                  <a:picLocks noChangeAspect="1"/>
                                </pic:cNvPicPr>
                              </pic:nvPicPr>
                              <pic:blipFill rotWithShape="1">
                                <a:blip r:embed="rId34" cstate="print">
                                  <a:extLst>
                                    <a:ext uri="{28A0092B-C50C-407E-A947-70E740481C1C}">
                                      <a14:useLocalDpi xmlns:a14="http://schemas.microsoft.com/office/drawing/2010/main" val="0"/>
                                    </a:ext>
                                  </a:extLst>
                                </a:blip>
                                <a:srcRect/>
                                <a:stretch/>
                              </pic:blipFill>
                              <pic:spPr>
                                <a:xfrm>
                                  <a:off x="0" y="0"/>
                                  <a:ext cx="1843405" cy="30778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37C71BB" id="그룹 179" o:spid="_x0000_s1036" style="position:absolute;margin-left:1.35pt;margin-top:3.25pt;width:169.1pt;height:292.05pt;z-index:251658263;mso-width-relative:margin;mso-height-relative:margin" coordsize="18487,32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">
                      <v:shape id="Text Box 45" o:spid="_x0000_s1037" type="#_x0000_t202" style="position:absolute;left:11291;top:30757;width:7196;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" stroked="f">
                        <v:textbox inset="0,0,0,0">
                          <w:txbxContent>
                            <w:p w14:paraId="48005FF5"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E </w:t>
                              </w:r>
                              <w:r>
                                <w:rPr>
                                  <w:rFonts w:ascii="Times New Roman" w:eastAsia="Times New Roman" w:hAnsi="Times New Roman" w:cs="Times New Roman"/>
                                  <w:lang w:val="hu-HU"/>
                                </w:rPr>
                                <w:t>ábra</w:t>
                              </w:r>
                            </w:p>
                          </w:txbxContent>
                        </v:textbox>
                      </v:shape>
                      <v:shape id="그림 7" o:spid="_x0000_s1038" type="#_x0000_t75" style="position:absolute;width:18434;height:30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">
                        <v:imagedata r:id="rId35" o:title=""/>
                      </v:shape>
                      <w10:wrap type="square"/>
                    </v:group>
                  </w:pict>
                </mc:Fallback>
              </mc:AlternateContent>
            </w:r>
          </w:p>
          <w:p w14:paraId="47CBFD3A" w14:textId="77777777" w:rsidR="00130E8B" w:rsidRDefault="000405CC">
            <w:pPr>
              <w:pStyle w:val="a3"/>
              <w:numPr>
                <w:ilvl w:val="0"/>
                <w:numId w:val="21"/>
              </w:numPr>
              <w:rPr>
                <w:rFonts w:cstheme="minorBidi"/>
                <w:b/>
                <w:lang w:val="hu-HU"/>
              </w:rPr>
            </w:pPr>
            <w:r>
              <w:rPr>
                <w:rFonts w:eastAsia="Times New Roman" w:cs="Arial"/>
                <w:b/>
                <w:bCs/>
                <w:lang w:val="hu-HU"/>
              </w:rPr>
              <w:t xml:space="preserve">Válassza ki </w:t>
            </w:r>
            <w:r>
              <w:rPr>
                <w:rFonts w:eastAsia="Times New Roman"/>
                <w:b/>
                <w:bCs/>
                <w:lang w:val="hu-HU"/>
              </w:rPr>
              <w:t>a megfelelő injekció beadási helyet</w:t>
            </w:r>
          </w:p>
          <w:p w14:paraId="77BE86F0" w14:textId="77777777" w:rsidR="00130E8B" w:rsidRDefault="00130E8B">
            <w:pPr>
              <w:pStyle w:val="a3"/>
              <w:rPr>
                <w:lang w:val="hu-HU"/>
              </w:rPr>
            </w:pPr>
          </w:p>
          <w:p w14:paraId="634BA277" w14:textId="77777777" w:rsidR="00130E8B" w:rsidRDefault="000405CC">
            <w:pPr>
              <w:pStyle w:val="a3"/>
              <w:rPr>
                <w:lang w:val="hu-HU"/>
              </w:rPr>
            </w:pPr>
            <w:r>
              <w:rPr>
                <w:rFonts w:eastAsia="Times New Roman"/>
                <w:b/>
                <w:bCs/>
                <w:lang w:val="hu-HU"/>
              </w:rPr>
              <w:t xml:space="preserve">a. </w:t>
            </w:r>
            <w:r w:rsidRPr="001E2F31">
              <w:rPr>
                <w:rFonts w:eastAsia="Times New Roman"/>
                <w:bCs/>
                <w:lang w:val="hu-HU"/>
              </w:rPr>
              <w:t>B</w:t>
            </w:r>
            <w:r w:rsidRPr="00010223">
              <w:rPr>
                <w:rFonts w:eastAsia="Times New Roman"/>
                <w:lang w:val="hu-HU"/>
              </w:rPr>
              <w:t>e</w:t>
            </w:r>
            <w:r>
              <w:rPr>
                <w:rFonts w:eastAsia="Times New Roman"/>
                <w:lang w:val="hu-HU"/>
              </w:rPr>
              <w:t>adhatja az injekciót:</w:t>
            </w:r>
          </w:p>
          <w:p w14:paraId="67A4A40B" w14:textId="77777777" w:rsidR="00130E8B" w:rsidRDefault="000405CC">
            <w:pPr>
              <w:pStyle w:val="a3"/>
              <w:rPr>
                <w:lang w:val="hu-HU"/>
              </w:rPr>
            </w:pPr>
            <w:r>
              <w:rPr>
                <w:rFonts w:eastAsia="Times New Roman"/>
                <w:lang w:val="hu-HU"/>
              </w:rPr>
              <w:t>- a comb elülső részébe.</w:t>
            </w:r>
          </w:p>
          <w:p w14:paraId="32361AA8" w14:textId="468830CD" w:rsidR="00130E8B" w:rsidRDefault="000405CC">
            <w:pPr>
              <w:pStyle w:val="a3"/>
              <w:rPr>
                <w:lang w:val="hu-HU"/>
              </w:rPr>
            </w:pPr>
            <w:r>
              <w:rPr>
                <w:rFonts w:eastAsia="Times New Roman"/>
                <w:lang w:val="hu-HU"/>
              </w:rPr>
              <w:t xml:space="preserve">- a hasába, </w:t>
            </w:r>
            <w:r w:rsidRPr="00FC2FC3">
              <w:rPr>
                <w:rFonts w:eastAsia="Times New Roman"/>
                <w:lang w:val="hu-HU"/>
              </w:rPr>
              <w:t>kivéve</w:t>
            </w:r>
            <w:r>
              <w:rPr>
                <w:rFonts w:eastAsia="Times New Roman"/>
                <w:lang w:val="hu-HU"/>
              </w:rPr>
              <w:t xml:space="preserve"> a </w:t>
            </w:r>
            <w:r w:rsidR="001D360B">
              <w:rPr>
                <w:rFonts w:eastAsia="Times New Roman"/>
                <w:lang w:val="hu-HU"/>
              </w:rPr>
              <w:t>köldök körüli 5 cm-es területet.</w:t>
            </w:r>
          </w:p>
          <w:p w14:paraId="60A95EA5" w14:textId="77777777" w:rsidR="00130E8B" w:rsidRDefault="000405CC">
            <w:pPr>
              <w:pStyle w:val="a3"/>
              <w:rPr>
                <w:lang w:val="hu-HU"/>
              </w:rPr>
            </w:pPr>
            <w:r>
              <w:rPr>
                <w:rFonts w:eastAsia="Times New Roman"/>
                <w:lang w:val="hu-HU"/>
              </w:rPr>
              <w:t>- a felkar külső részébe (KIZÁRÓLAG akkor, ha Ön gondozó).</w:t>
            </w:r>
          </w:p>
          <w:p w14:paraId="5CA0C1F2" w14:textId="77777777" w:rsidR="00130E8B" w:rsidRDefault="00130E8B">
            <w:pPr>
              <w:pStyle w:val="a3"/>
              <w:rPr>
                <w:lang w:val="hu-HU"/>
              </w:rPr>
            </w:pPr>
          </w:p>
          <w:p w14:paraId="1E3D513C" w14:textId="65E86DD6" w:rsidR="00130E8B" w:rsidRDefault="000405CC" w:rsidP="000405CC">
            <w:pPr>
              <w:pStyle w:val="a3"/>
              <w:numPr>
                <w:ilvl w:val="0"/>
                <w:numId w:val="17"/>
              </w:numPr>
              <w:ind w:left="3449" w:hanging="3449"/>
              <w:rPr>
                <w:lang w:val="hu-HU"/>
              </w:rPr>
            </w:pPr>
            <w:r>
              <w:rPr>
                <w:rFonts w:eastAsia="Times New Roman"/>
                <w:b/>
                <w:bCs/>
                <w:lang w:val="hu-HU"/>
              </w:rPr>
              <w:t>Ne</w:t>
            </w:r>
            <w:r>
              <w:rPr>
                <w:rFonts w:eastAsia="Times New Roman"/>
                <w:lang w:val="hu-HU"/>
              </w:rPr>
              <w:t xml:space="preserve"> adja be az injekciót olyan bőr</w:t>
            </w:r>
            <w:r w:rsidR="001D360B">
              <w:rPr>
                <w:rFonts w:eastAsia="Times New Roman"/>
                <w:lang w:val="hu-HU"/>
              </w:rPr>
              <w:t>területbe</w:t>
            </w:r>
            <w:r>
              <w:rPr>
                <w:rFonts w:eastAsia="Times New Roman"/>
                <w:lang w:val="hu-HU"/>
              </w:rPr>
              <w:t xml:space="preserve">, amely </w:t>
            </w:r>
            <w:r w:rsidR="001D360B">
              <w:rPr>
                <w:rFonts w:eastAsia="Times New Roman"/>
                <w:lang w:val="hu-HU"/>
              </w:rPr>
              <w:t xml:space="preserve">kevesebb mint </w:t>
            </w:r>
            <w:r>
              <w:rPr>
                <w:rFonts w:eastAsia="Times New Roman"/>
                <w:lang w:val="hu-HU"/>
              </w:rPr>
              <w:t xml:space="preserve">5 cm-re </w:t>
            </w:r>
            <w:r w:rsidR="00D70906">
              <w:rPr>
                <w:rFonts w:eastAsia="Times New Roman"/>
                <w:lang w:val="hu-HU"/>
              </w:rPr>
              <w:t xml:space="preserve">található </w:t>
            </w:r>
            <w:r>
              <w:rPr>
                <w:rFonts w:eastAsia="Times New Roman"/>
                <w:lang w:val="hu-HU"/>
              </w:rPr>
              <w:t>a köldöktől vagy bepirosodott, kemény, érzékeny, sérült, véraláfutásos vagy heges.</w:t>
            </w:r>
          </w:p>
          <w:p w14:paraId="316228FD" w14:textId="77777777" w:rsidR="00130E8B" w:rsidRDefault="000405CC" w:rsidP="000405CC">
            <w:pPr>
              <w:pStyle w:val="a3"/>
              <w:numPr>
                <w:ilvl w:val="0"/>
                <w:numId w:val="17"/>
              </w:numPr>
              <w:ind w:left="3449" w:hanging="3449"/>
              <w:rPr>
                <w:lang w:val="hu-HU"/>
              </w:rPr>
            </w:pPr>
            <w:r>
              <w:rPr>
                <w:rFonts w:eastAsia="Times New Roman"/>
                <w:lang w:val="hu-HU"/>
              </w:rPr>
              <w:t xml:space="preserve">Ha pikkelysömörben szenved, </w:t>
            </w:r>
            <w:r>
              <w:rPr>
                <w:rFonts w:eastAsia="Times New Roman"/>
                <w:b/>
                <w:bCs/>
                <w:lang w:val="hu-HU"/>
              </w:rPr>
              <w:t>ne</w:t>
            </w:r>
            <w:r>
              <w:rPr>
                <w:rFonts w:eastAsia="Times New Roman"/>
                <w:lang w:val="hu-HU"/>
              </w:rPr>
              <w:t xml:space="preserve"> adja be közvetlenül az injekciót kiemelkedő, megvastagodott, piros vagy pikkelyesen hámló foltok, illetve bőrelváltozások területén.</w:t>
            </w:r>
          </w:p>
          <w:p w14:paraId="1DCB429C" w14:textId="20CA86E8" w:rsidR="00130E8B" w:rsidRDefault="000405CC" w:rsidP="000405CC">
            <w:pPr>
              <w:pStyle w:val="a3"/>
              <w:numPr>
                <w:ilvl w:val="0"/>
                <w:numId w:val="17"/>
              </w:numPr>
              <w:ind w:left="3449" w:hanging="3449"/>
              <w:rPr>
                <w:lang w:val="hu-HU"/>
              </w:rPr>
            </w:pPr>
            <w:r>
              <w:rPr>
                <w:rFonts w:eastAsia="Times New Roman"/>
                <w:b/>
                <w:bCs/>
                <w:lang w:val="hu-HU"/>
              </w:rPr>
              <w:t>Ne</w:t>
            </w:r>
            <w:r>
              <w:rPr>
                <w:rFonts w:eastAsia="Times New Roman"/>
                <w:lang w:val="hu-HU"/>
              </w:rPr>
              <w:t xml:space="preserve"> ruhán keresztül adja be az injekciót</w:t>
            </w:r>
          </w:p>
          <w:p w14:paraId="19C72634" w14:textId="309C33ED" w:rsidR="00130E8B" w:rsidRDefault="00130E8B">
            <w:pPr>
              <w:pStyle w:val="a3"/>
              <w:rPr>
                <w:lang w:val="hu-HU"/>
              </w:rPr>
            </w:pPr>
          </w:p>
          <w:p w14:paraId="08114FF7" w14:textId="170BB441" w:rsidR="00130E8B" w:rsidRDefault="000405CC">
            <w:pPr>
              <w:pStyle w:val="a3"/>
              <w:rPr>
                <w:lang w:val="hu-HU"/>
              </w:rPr>
            </w:pPr>
            <w:r>
              <w:rPr>
                <w:rFonts w:eastAsia="Times New Roman"/>
                <w:b/>
                <w:bCs/>
                <w:lang w:val="hu-HU"/>
              </w:rPr>
              <w:t xml:space="preserve">b. </w:t>
            </w:r>
            <w:r>
              <w:rPr>
                <w:rFonts w:eastAsia="Times New Roman"/>
                <w:lang w:val="hu-HU"/>
              </w:rPr>
              <w:t>Minden alkalommal, amikor injekciót ad be, váltogassa az injekció beadásának helyét. Mindegyik  új injekció beadási helynek legalább 3 cm-re kell lennie az előzőleg beadott injekció beadási helyétől.</w:t>
            </w:r>
          </w:p>
        </w:tc>
      </w:tr>
      <w:tr w:rsidR="00130E8B" w:rsidRPr="00BE4D18" w14:paraId="49B0A1F6" w14:textId="77777777">
        <w:trPr>
          <w:trHeight w:val="5945"/>
        </w:trPr>
        <w:tc>
          <w:tcPr>
            <w:tcW w:w="9550" w:type="dxa"/>
          </w:tcPr>
          <w:p w14:paraId="6E20C36E" w14:textId="77777777" w:rsidR="00130E8B" w:rsidRDefault="00130E8B">
            <w:pPr>
              <w:pStyle w:val="1"/>
              <w:spacing w:before="76"/>
              <w:ind w:left="0" w:right="2736"/>
              <w:rPr>
                <w:rFonts w:eastAsiaTheme="minorEastAsia"/>
                <w:lang w:val="hu-HU" w:eastAsia="ko-KR"/>
              </w:rPr>
            </w:pPr>
          </w:p>
          <w:p w14:paraId="79F6332A" w14:textId="77777777" w:rsidR="00130E8B" w:rsidRDefault="00A66FEF">
            <w:pPr>
              <w:pStyle w:val="1"/>
              <w:spacing w:before="76"/>
              <w:ind w:left="0" w:right="2736"/>
              <w:rPr>
                <w:rFonts w:eastAsiaTheme="minorEastAsia"/>
                <w:lang w:val="hu-HU" w:eastAsia="ko-KR"/>
              </w:rPr>
            </w:pPr>
            <w:r>
              <w:rPr>
                <w:rFonts w:eastAsiaTheme="minorEastAsia"/>
                <w:noProof/>
                <w:lang w:eastAsia="ko-KR"/>
              </w:rPr>
              <mc:AlternateContent>
                <mc:Choice Requires="wpg">
                  <w:drawing>
                    <wp:anchor distT="0" distB="0" distL="114300" distR="114300" simplePos="0" relativeHeight="251658245" behindDoc="0" locked="0" layoutInCell="1" allowOverlap="1" wp14:anchorId="5EF215DC" wp14:editId="1CC55CE7">
                      <wp:simplePos x="0" y="0"/>
                      <wp:positionH relativeFrom="column">
                        <wp:posOffset>-17780</wp:posOffset>
                      </wp:positionH>
                      <wp:positionV relativeFrom="paragraph">
                        <wp:posOffset>98425</wp:posOffset>
                      </wp:positionV>
                      <wp:extent cx="2175510" cy="2872105"/>
                      <wp:effectExtent l="0" t="0" r="0" b="4445"/>
                      <wp:wrapSquare wrapText="bothSides"/>
                      <wp:docPr id="108" name="그룹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75510" cy="2872105"/>
                                <a:chOff x="0" y="0"/>
                                <a:chExt cx="2407920" cy="3092450"/>
                              </a:xfrm>
                            </wpg:grpSpPr>
                            <pic:pic xmlns:pic="http://schemas.openxmlformats.org/drawingml/2006/picture">
                              <pic:nvPicPr>
                                <pic:cNvPr id="109" name="그림 59"/>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110" name="Text Box 47"/>
                              <wps:cNvSpPr txBox="1"/>
                              <wps:spPr>
                                <a:xfrm>
                                  <a:off x="1670050" y="2946400"/>
                                  <a:ext cx="719758" cy="146050"/>
                                </a:xfrm>
                                <a:prstGeom prst="rect">
                                  <a:avLst/>
                                </a:prstGeom>
                                <a:solidFill>
                                  <a:prstClr val="white"/>
                                </a:solidFill>
                                <a:ln>
                                  <a:noFill/>
                                </a:ln>
                              </wps:spPr>
                              <wps:txbx>
                                <w:txbxContent>
                                  <w:p w14:paraId="1C686261"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F. </w:t>
                                    </w:r>
                                    <w:r>
                                      <w:rPr>
                                        <w:rFonts w:ascii="Times New Roman" w:eastAsia="Times New Roman" w:hAnsi="Times New Roman" w:cs="Times New Roman"/>
                                        <w:lang w:val="hu-HU"/>
                                      </w:rPr>
                                      <w:t>ábra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EF215DC" id="그룹 48" o:spid="_x0000_s1039" style="position:absolute;margin-left:-1.4pt;margin-top:7.75pt;width:171.3pt;height:226.15pt;z-index:251658245"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">
                      <v:shape id="그림 59" o:spid="_x0000_s1040"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">
                        <v:imagedata r:id="rId37" o:title=""/>
                      </v:shape>
                      <v:shape id="Text Box 47" o:spid="_x0000_s1041"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" stroked="f">
                        <v:textbox inset="0,0,0,0">
                          <w:txbxContent>
                            <w:p w14:paraId="1C686261"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F. </w:t>
                              </w:r>
                              <w:r>
                                <w:rPr>
                                  <w:rFonts w:ascii="Times New Roman" w:eastAsia="Times New Roman" w:hAnsi="Times New Roman" w:cs="Times New Roman"/>
                                  <w:lang w:val="hu-HU"/>
                                </w:rPr>
                                <w:t>ábra</w:t>
                              </w:r>
                            </w:p>
                          </w:txbxContent>
                        </v:textbox>
                      </v:shape>
                      <w10:wrap type="square"/>
                    </v:group>
                  </w:pict>
                </mc:Fallback>
              </mc:AlternateContent>
            </w:r>
          </w:p>
          <w:p w14:paraId="7515DB26" w14:textId="77777777" w:rsidR="00130E8B" w:rsidRDefault="000405CC">
            <w:pPr>
              <w:pStyle w:val="a3"/>
              <w:numPr>
                <w:ilvl w:val="0"/>
                <w:numId w:val="21"/>
              </w:numPr>
              <w:rPr>
                <w:lang w:val="hu-HU"/>
              </w:rPr>
            </w:pPr>
            <w:r>
              <w:rPr>
                <w:rFonts w:eastAsia="Times New Roman"/>
                <w:b/>
                <w:bCs/>
                <w:lang w:val="hu-HU"/>
              </w:rPr>
              <w:t>Mosson kezet</w:t>
            </w:r>
          </w:p>
          <w:p w14:paraId="62853B9C" w14:textId="77777777" w:rsidR="00130E8B" w:rsidRDefault="00130E8B">
            <w:pPr>
              <w:pStyle w:val="a3"/>
              <w:numPr>
                <w:ilvl w:val="0"/>
                <w:numId w:val="0"/>
              </w:numPr>
              <w:ind w:left="471"/>
              <w:rPr>
                <w:lang w:val="hu-HU"/>
              </w:rPr>
            </w:pPr>
          </w:p>
          <w:p w14:paraId="2C4CC4C9" w14:textId="77777777" w:rsidR="006F7144" w:rsidRDefault="006F7144" w:rsidP="00FD05AA">
            <w:pPr>
              <w:pStyle w:val="a3"/>
              <w:numPr>
                <w:ilvl w:val="0"/>
                <w:numId w:val="46"/>
              </w:numPr>
              <w:ind w:left="4590" w:hanging="4275"/>
              <w:rPr>
                <w:lang w:val="hu-HU"/>
              </w:rPr>
            </w:pPr>
            <w:r>
              <w:rPr>
                <w:lang w:val="hu-HU"/>
              </w:rPr>
              <w:t>Alaposan mossa meg a kezét szappannal és vízzel, és szárítsa meg.</w:t>
            </w:r>
          </w:p>
          <w:p w14:paraId="0B06EBEF" w14:textId="77777777" w:rsidR="00130E8B" w:rsidRDefault="00130E8B">
            <w:pPr>
              <w:pStyle w:val="a3"/>
              <w:rPr>
                <w:lang w:val="hu-HU"/>
              </w:rPr>
            </w:pPr>
          </w:p>
          <w:p w14:paraId="2395ECF8" w14:textId="77777777" w:rsidR="00130E8B" w:rsidRDefault="00130E8B">
            <w:pPr>
              <w:spacing w:line="252" w:lineRule="exact"/>
              <w:rPr>
                <w:lang w:val="hu-HU"/>
              </w:rPr>
            </w:pPr>
          </w:p>
        </w:tc>
      </w:tr>
      <w:tr w:rsidR="00130E8B" w:rsidRPr="00BE4D18" w14:paraId="03F27EA5" w14:textId="77777777">
        <w:trPr>
          <w:trHeight w:val="5945"/>
        </w:trPr>
        <w:tc>
          <w:tcPr>
            <w:tcW w:w="9550" w:type="dxa"/>
          </w:tcPr>
          <w:p w14:paraId="1842393B" w14:textId="77777777" w:rsidR="00130E8B" w:rsidRDefault="00130E8B">
            <w:pPr>
              <w:ind w:left="104"/>
              <w:rPr>
                <w:rFonts w:asciiTheme="majorBidi" w:eastAsia="Times New Roman" w:hAnsiTheme="majorBidi" w:cstheme="majorBidi"/>
                <w:b/>
                <w:bCs/>
                <w:spacing w:val="-1"/>
                <w:lang w:val="hu-HU"/>
              </w:rPr>
            </w:pPr>
          </w:p>
          <w:p w14:paraId="3F9A3E43" w14:textId="77777777" w:rsidR="00130E8B" w:rsidRDefault="00130E8B">
            <w:pPr>
              <w:pStyle w:val="a3"/>
              <w:rPr>
                <w:rFonts w:asciiTheme="majorBidi" w:hAnsiTheme="majorBidi" w:cstheme="majorBidi"/>
                <w:lang w:val="hu-HU"/>
              </w:rPr>
            </w:pPr>
          </w:p>
          <w:p w14:paraId="1B53622A" w14:textId="77777777" w:rsidR="00130E8B" w:rsidRDefault="00A66FEF">
            <w:pPr>
              <w:pStyle w:val="a3"/>
              <w:rPr>
                <w:rFonts w:asciiTheme="majorBidi" w:hAnsiTheme="majorBidi" w:cstheme="majorBidi"/>
                <w:lang w:val="hu-HU"/>
              </w:rPr>
            </w:pPr>
            <w:r>
              <w:rPr>
                <w:rFonts w:asciiTheme="majorBidi" w:hAnsiTheme="majorBidi" w:cstheme="majorBidi"/>
                <w:noProof/>
                <w:lang w:eastAsia="ko-KR"/>
              </w:rPr>
              <mc:AlternateContent>
                <mc:Choice Requires="wpg">
                  <w:drawing>
                    <wp:anchor distT="0" distB="0" distL="114300" distR="114300" simplePos="0" relativeHeight="251658246" behindDoc="0" locked="0" layoutInCell="1" allowOverlap="1" wp14:anchorId="396B28E0" wp14:editId="5FA1D21B">
                      <wp:simplePos x="0" y="0"/>
                      <wp:positionH relativeFrom="column">
                        <wp:posOffset>74295</wp:posOffset>
                      </wp:positionH>
                      <wp:positionV relativeFrom="paragraph">
                        <wp:posOffset>139065</wp:posOffset>
                      </wp:positionV>
                      <wp:extent cx="2256155" cy="2921000"/>
                      <wp:effectExtent l="0" t="0" r="0" b="0"/>
                      <wp:wrapSquare wrapText="bothSides"/>
                      <wp:docPr id="105" name="그룹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56155" cy="2921000"/>
                                <a:chOff x="0" y="0"/>
                                <a:chExt cx="2256458" cy="2921000"/>
                              </a:xfrm>
                            </wpg:grpSpPr>
                            <pic:pic xmlns:pic="http://schemas.openxmlformats.org/drawingml/2006/picture">
                              <pic:nvPicPr>
                                <pic:cNvPr id="106" name="그림 13"/>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107" name="Text Box 49"/>
                              <wps:cNvSpPr txBox="1"/>
                              <wps:spPr>
                                <a:xfrm>
                                  <a:off x="1536700" y="2774950"/>
                                  <a:ext cx="719758" cy="146050"/>
                                </a:xfrm>
                                <a:prstGeom prst="rect">
                                  <a:avLst/>
                                </a:prstGeom>
                                <a:solidFill>
                                  <a:prstClr val="white"/>
                                </a:solidFill>
                                <a:ln>
                                  <a:noFill/>
                                </a:ln>
                              </wps:spPr>
                              <wps:txbx>
                                <w:txbxContent>
                                  <w:p w14:paraId="7D6343B5"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G. </w:t>
                                    </w:r>
                                    <w:r>
                                      <w:rPr>
                                        <w:rFonts w:ascii="Times New Roman" w:eastAsia="Times New Roman" w:hAnsi="Times New Roman" w:cs="Times New Roman"/>
                                        <w:lang w:val="hu-HU"/>
                                      </w:rPr>
                                      <w:t>ábra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396B28E0" id="그룹 51" o:spid="_x0000_s1042" style="position:absolute;margin-left:5.85pt;margin-top:10.95pt;width:177.65pt;height:230pt;z-index:251658246"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">
                      <v:shape id="그림 13" o:spid="_x0000_s1043"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">
                        <v:imagedata r:id="rId39" o:title=""/>
                      </v:shape>
                      <v:shape id="Text Box 49" o:spid="_x0000_s1044"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" stroked="f">
                        <v:textbox style="mso-fit-shape-to-text:t" inset="0,0,0,0">
                          <w:txbxContent>
                            <w:p w14:paraId="7D6343B5"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G. </w:t>
                              </w:r>
                              <w:r>
                                <w:rPr>
                                  <w:rFonts w:ascii="Times New Roman" w:eastAsia="Times New Roman" w:hAnsi="Times New Roman" w:cs="Times New Roman"/>
                                  <w:lang w:val="hu-HU"/>
                                </w:rPr>
                                <w:t>ábra</w:t>
                              </w:r>
                            </w:p>
                          </w:txbxContent>
                        </v:textbox>
                      </v:shape>
                      <w10:wrap type="square"/>
                    </v:group>
                  </w:pict>
                </mc:Fallback>
              </mc:AlternateContent>
            </w:r>
          </w:p>
          <w:p w14:paraId="68E9A638" w14:textId="77777777" w:rsidR="00130E8B" w:rsidRDefault="00130E8B">
            <w:pPr>
              <w:pStyle w:val="a3"/>
              <w:rPr>
                <w:rFonts w:asciiTheme="majorBidi" w:hAnsiTheme="majorBidi" w:cstheme="majorBidi"/>
                <w:lang w:val="hu-HU"/>
              </w:rPr>
            </w:pPr>
          </w:p>
          <w:p w14:paraId="669A9EB0" w14:textId="77777777" w:rsidR="00130E8B" w:rsidRDefault="000405CC">
            <w:pPr>
              <w:pStyle w:val="a3"/>
              <w:numPr>
                <w:ilvl w:val="0"/>
                <w:numId w:val="21"/>
              </w:numPr>
              <w:rPr>
                <w:rFonts w:asciiTheme="majorBidi" w:hAnsiTheme="majorBidi" w:cstheme="majorBidi"/>
                <w:b/>
                <w:lang w:val="hu-HU"/>
              </w:rPr>
            </w:pPr>
            <w:r>
              <w:rPr>
                <w:rFonts w:asciiTheme="majorBidi" w:eastAsia="Times New Roman" w:hAnsiTheme="majorBidi" w:cstheme="majorBidi"/>
                <w:b/>
                <w:bCs/>
                <w:lang w:val="hu-HU"/>
              </w:rPr>
              <w:t>Tisztítsa meg az injekció beadási helyét</w:t>
            </w:r>
          </w:p>
          <w:p w14:paraId="54C6B8CD" w14:textId="77777777" w:rsidR="00130E8B" w:rsidRDefault="00130E8B">
            <w:pPr>
              <w:pStyle w:val="a3"/>
              <w:rPr>
                <w:rFonts w:asciiTheme="majorBidi" w:hAnsiTheme="majorBidi" w:cstheme="majorBidi"/>
                <w:lang w:val="hu-HU"/>
              </w:rPr>
            </w:pPr>
          </w:p>
          <w:p w14:paraId="66AC7BC5" w14:textId="47DCF93F" w:rsidR="00130E8B" w:rsidRDefault="000405CC">
            <w:pPr>
              <w:pStyle w:val="a3"/>
              <w:numPr>
                <w:ilvl w:val="0"/>
                <w:numId w:val="0"/>
              </w:numPr>
              <w:ind w:left="720"/>
              <w:rPr>
                <w:rFonts w:asciiTheme="majorBidi" w:hAnsiTheme="majorBidi" w:cstheme="majorBidi"/>
                <w:lang w:val="hu-HU"/>
              </w:rPr>
            </w:pPr>
            <w:r>
              <w:rPr>
                <w:rFonts w:asciiTheme="majorBidi" w:eastAsia="Times New Roman" w:hAnsiTheme="majorBidi" w:cstheme="majorBidi"/>
                <w:b/>
                <w:bCs/>
                <w:lang w:val="hu-HU"/>
              </w:rPr>
              <w:t xml:space="preserve">a. </w:t>
            </w:r>
            <w:r w:rsidR="006F7144" w:rsidRPr="00DA48CC">
              <w:rPr>
                <w:rFonts w:eastAsia="TimesNewRomanPSMT"/>
                <w:lang w:val="hu-HU"/>
              </w:rPr>
              <w:t>T</w:t>
            </w:r>
            <w:r w:rsidR="006F7144" w:rsidRPr="00DA48CC">
              <w:rPr>
                <w:rFonts w:eastAsia="TimesNewRomanPSMT" w:hint="eastAsia"/>
                <w:lang w:val="hu-HU"/>
              </w:rPr>
              <w:t>ö</w:t>
            </w:r>
            <w:r w:rsidR="006F7144" w:rsidRPr="00DA48CC">
              <w:rPr>
                <w:rFonts w:eastAsia="TimesNewRomanPSMT"/>
                <w:lang w:val="hu-HU"/>
              </w:rPr>
              <w:t>r</w:t>
            </w:r>
            <w:r w:rsidR="006F7144" w:rsidRPr="00DA48CC">
              <w:rPr>
                <w:rFonts w:eastAsia="TimesNewRomanPSMT" w:hint="eastAsia"/>
                <w:lang w:val="hu-HU"/>
              </w:rPr>
              <w:t>ö</w:t>
            </w:r>
            <w:r w:rsidR="006F7144" w:rsidRPr="00DA48CC">
              <w:rPr>
                <w:rFonts w:eastAsia="TimesNewRomanPSMT"/>
                <w:lang w:val="hu-HU"/>
              </w:rPr>
              <w:t>lje le a</w:t>
            </w:r>
            <w:r w:rsidR="006F7144">
              <w:rPr>
                <w:rFonts w:asciiTheme="majorBidi" w:eastAsia="Times New Roman" w:hAnsiTheme="majorBidi" w:cstheme="majorBidi"/>
                <w:lang w:val="hu-HU"/>
              </w:rPr>
              <w:t xml:space="preserve"> </w:t>
            </w:r>
            <w:r>
              <w:rPr>
                <w:rFonts w:asciiTheme="majorBidi" w:eastAsia="Times New Roman" w:hAnsiTheme="majorBidi" w:cstheme="majorBidi"/>
                <w:lang w:val="hu-HU"/>
              </w:rPr>
              <w:t>az injekció beadási helyét alkoholos törlővel körkörös mozdulattal.</w:t>
            </w:r>
          </w:p>
          <w:p w14:paraId="0215129B" w14:textId="77777777" w:rsidR="00130E8B" w:rsidRDefault="000405CC">
            <w:pPr>
              <w:pStyle w:val="a3"/>
              <w:rPr>
                <w:rFonts w:asciiTheme="majorBidi" w:hAnsiTheme="majorBidi" w:cstheme="majorBidi"/>
                <w:lang w:val="hu-HU"/>
              </w:rPr>
            </w:pPr>
            <w:r>
              <w:rPr>
                <w:rFonts w:asciiTheme="majorBidi" w:eastAsia="Times New Roman" w:hAnsiTheme="majorBidi" w:cstheme="majorBidi"/>
                <w:b/>
                <w:bCs/>
                <w:lang w:val="hu-HU"/>
              </w:rPr>
              <w:t xml:space="preserve">b. </w:t>
            </w:r>
            <w:r>
              <w:rPr>
                <w:rFonts w:asciiTheme="majorBidi" w:eastAsia="Times New Roman" w:hAnsiTheme="majorBidi" w:cstheme="majorBidi"/>
                <w:lang w:val="hu-HU"/>
              </w:rPr>
              <w:t>Az injekció beadása előtt hagyja a bőrt megszáradni.</w:t>
            </w:r>
          </w:p>
          <w:p w14:paraId="7D777635" w14:textId="77777777" w:rsidR="00130E8B" w:rsidRDefault="00130E8B">
            <w:pPr>
              <w:pStyle w:val="a3"/>
              <w:rPr>
                <w:rFonts w:asciiTheme="majorBidi" w:hAnsiTheme="majorBidi" w:cstheme="majorBidi"/>
                <w:lang w:val="hu-HU"/>
              </w:rPr>
            </w:pPr>
          </w:p>
          <w:p w14:paraId="6AFECE68" w14:textId="77777777" w:rsidR="00130E8B" w:rsidRDefault="00130E8B">
            <w:pPr>
              <w:pStyle w:val="a3"/>
              <w:rPr>
                <w:rFonts w:asciiTheme="majorBidi" w:hAnsiTheme="majorBidi" w:cstheme="majorBidi"/>
                <w:lang w:val="hu-HU"/>
              </w:rPr>
            </w:pPr>
          </w:p>
          <w:p w14:paraId="4C4165FD" w14:textId="77777777" w:rsidR="00130E8B" w:rsidRDefault="000405CC">
            <w:pPr>
              <w:rPr>
                <w:rFonts w:asciiTheme="majorBidi" w:hAnsiTheme="majorBidi" w:cstheme="majorBidi"/>
                <w:lang w:val="hu-HU"/>
              </w:rPr>
            </w:pPr>
            <w:r>
              <w:rPr>
                <w:rFonts w:asciiTheme="majorBidi" w:eastAsia="맑은 고딕" w:hAnsiTheme="majorBidi" w:cstheme="majorBidi"/>
                <w:lang w:val="hu-HU"/>
              </w:rPr>
              <w:t>•</w:t>
            </w:r>
            <w:r>
              <w:rPr>
                <w:rFonts w:asciiTheme="majorBidi" w:eastAsia="Calibri" w:hAnsiTheme="majorBidi" w:cstheme="majorBidi"/>
                <w:lang w:val="hu-HU"/>
              </w:rPr>
              <w:t xml:space="preserve"> Az injekció beadása előtt </w:t>
            </w:r>
            <w:r>
              <w:rPr>
                <w:rFonts w:asciiTheme="majorBidi" w:eastAsia="Times New Roman" w:hAnsiTheme="majorBidi" w:cstheme="majorBidi"/>
                <w:b/>
                <w:bCs/>
                <w:lang w:val="hu-HU"/>
              </w:rPr>
              <w:t>ne</w:t>
            </w:r>
            <w:r>
              <w:rPr>
                <w:rFonts w:asciiTheme="majorBidi" w:eastAsia="Times New Roman" w:hAnsiTheme="majorBidi" w:cstheme="majorBidi"/>
                <w:lang w:val="hu-HU"/>
              </w:rPr>
              <w:t xml:space="preserve"> fújjon rá vagy érintse meg újra azinjekció beadásának helyét.</w:t>
            </w:r>
          </w:p>
        </w:tc>
      </w:tr>
      <w:tr w:rsidR="0054408A" w:rsidRPr="00BE4D18" w14:paraId="7A4E8324" w14:textId="77777777">
        <w:trPr>
          <w:trHeight w:val="5945"/>
        </w:trPr>
        <w:tc>
          <w:tcPr>
            <w:tcW w:w="9550" w:type="dxa"/>
          </w:tcPr>
          <w:p w14:paraId="102BE4B9" w14:textId="77777777" w:rsidR="0054408A" w:rsidRDefault="0054408A" w:rsidP="0054408A">
            <w:pPr>
              <w:pStyle w:val="Default"/>
              <w:rPr>
                <w:lang w:val="hu-HU"/>
              </w:rPr>
            </w:pPr>
          </w:p>
          <w:p w14:paraId="7EF2585B" w14:textId="77777777" w:rsidR="0054408A" w:rsidRDefault="0054408A" w:rsidP="0054408A">
            <w:pPr>
              <w:pStyle w:val="Default"/>
              <w:rPr>
                <w:lang w:val="hu-HU"/>
              </w:rPr>
            </w:pPr>
            <w:r>
              <w:rPr>
                <w:noProof/>
                <w:lang w:eastAsia="ko-KR"/>
              </w:rPr>
              <mc:AlternateContent>
                <mc:Choice Requires="wpg">
                  <w:drawing>
                    <wp:anchor distT="0" distB="0" distL="114300" distR="114300" simplePos="0" relativeHeight="251658323" behindDoc="0" locked="0" layoutInCell="1" allowOverlap="1" wp14:anchorId="52F66CEE" wp14:editId="52BDD342">
                      <wp:simplePos x="0" y="0"/>
                      <wp:positionH relativeFrom="column">
                        <wp:posOffset>48895</wp:posOffset>
                      </wp:positionH>
                      <wp:positionV relativeFrom="paragraph">
                        <wp:posOffset>76835</wp:posOffset>
                      </wp:positionV>
                      <wp:extent cx="2370455" cy="3054350"/>
                      <wp:effectExtent l="0" t="635" r="3175" b="2540"/>
                      <wp:wrapSquare wrapText="bothSides"/>
                      <wp:docPr id="6" name="그룹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0455" cy="3054350"/>
                                <a:chOff x="0" y="0"/>
                                <a:chExt cx="23704" cy="30543"/>
                              </a:xfrm>
                            </wpg:grpSpPr>
                            <pic:pic xmlns:pic="http://schemas.openxmlformats.org/drawingml/2006/picture">
                              <pic:nvPicPr>
                                <pic:cNvPr id="155" name="그림 61"/>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704" cy="29070"/>
                                </a:xfrm>
                                <a:prstGeom prst="rect">
                                  <a:avLst/>
                                </a:prstGeom>
                                <a:noFill/>
                                <a:extLst>
                                  <a:ext uri="{909E8E84-426E-40DD-AFC4-6F175D3DCCD1}">
                                    <a14:hiddenFill xmlns:a14="http://schemas.microsoft.com/office/drawing/2010/main">
                                      <a:solidFill>
                                        <a:srgbClr val="FFFFFF"/>
                                      </a:solidFill>
                                    </a14:hiddenFill>
                                  </a:ext>
                                </a:extLst>
                              </pic:spPr>
                            </pic:pic>
                            <wps:wsp>
                              <wps:cNvPr id="159" name="Text Box 52"/>
                              <wps:cNvSpPr txBox="1">
                                <a:spLocks noChangeArrowheads="1"/>
                              </wps:cNvSpPr>
                              <wps:spPr bwMode="auto">
                                <a:xfrm>
                                  <a:off x="16129" y="29083"/>
                                  <a:ext cx="7197" cy="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5CE9A1" w14:textId="77777777" w:rsidR="004A2986" w:rsidRDefault="004A2986" w:rsidP="0054408A">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H. </w:t>
                                    </w:r>
                                    <w:r>
                                      <w:rPr>
                                        <w:rFonts w:ascii="Times New Roman" w:eastAsia="Times New Roman" w:hAnsi="Times New Roman" w:cs="Times New Roman"/>
                                        <w:lang w:val="hu-HU"/>
                                      </w:rPr>
                                      <w:t>ábra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52F66CEE" id="그룹 53" o:spid="_x0000_s1045" style="position:absolute;margin-left:3.85pt;margin-top:6.05pt;width:186.65pt;height:240.5pt;z-index:251658323" coordsize="23704,305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">
                      <v:shape id="그림 61" o:spid="_x0000_s1046" type="#_x0000_t75" style="position:absolute;width:23704;height:2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">
                        <v:imagedata r:id="rId41" o:title=""/>
                      </v:shape>
                      <v:shape id="Text Box 52" o:spid="_x0000_s1047" type="#_x0000_t202" style="position:absolute;left:16129;top:2908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" stroked="f">
                        <v:textbox style="mso-fit-shape-to-text:t" inset="0,0,0,0">
                          <w:txbxContent>
                            <w:p w14:paraId="4B5CE9A1" w14:textId="77777777" w:rsidR="004A2986" w:rsidRDefault="004A2986" w:rsidP="0054408A">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H. </w:t>
                              </w:r>
                              <w:r>
                                <w:rPr>
                                  <w:rFonts w:ascii="Times New Roman" w:eastAsia="Times New Roman" w:hAnsi="Times New Roman" w:cs="Times New Roman"/>
                                  <w:lang w:val="hu-HU"/>
                                </w:rPr>
                                <w:t>ábra</w:t>
                              </w:r>
                            </w:p>
                          </w:txbxContent>
                        </v:textbox>
                      </v:shape>
                      <w10:wrap type="square"/>
                    </v:group>
                  </w:pict>
                </mc:Fallback>
              </mc:AlternateContent>
            </w:r>
          </w:p>
          <w:p w14:paraId="3234A261" w14:textId="77777777" w:rsidR="0054408A" w:rsidRDefault="0054408A" w:rsidP="0054408A">
            <w:pPr>
              <w:pStyle w:val="a3"/>
              <w:numPr>
                <w:ilvl w:val="0"/>
                <w:numId w:val="21"/>
              </w:numPr>
              <w:rPr>
                <w:lang w:val="hu-HU"/>
              </w:rPr>
            </w:pPr>
            <w:r>
              <w:rPr>
                <w:rFonts w:eastAsia="Times New Roman"/>
                <w:b/>
                <w:bCs/>
                <w:lang w:val="hu-HU"/>
              </w:rPr>
              <w:t>Vegye le a tűvédő tokot</w:t>
            </w:r>
          </w:p>
          <w:p w14:paraId="28463EE1" w14:textId="77777777" w:rsidR="0054408A" w:rsidRDefault="0054408A" w:rsidP="0054408A">
            <w:pPr>
              <w:pStyle w:val="a3"/>
              <w:numPr>
                <w:ilvl w:val="0"/>
                <w:numId w:val="0"/>
              </w:numPr>
              <w:ind w:left="471"/>
              <w:rPr>
                <w:lang w:val="hu-HU"/>
              </w:rPr>
            </w:pPr>
          </w:p>
          <w:p w14:paraId="29E6F6D6" w14:textId="77777777" w:rsidR="0054408A" w:rsidRDefault="0054408A" w:rsidP="0054408A">
            <w:pPr>
              <w:pStyle w:val="a3"/>
              <w:rPr>
                <w:lang w:val="hu-HU"/>
              </w:rPr>
            </w:pPr>
            <w:r>
              <w:rPr>
                <w:rFonts w:eastAsia="Times New Roman"/>
                <w:b/>
                <w:bCs/>
                <w:lang w:val="hu-HU"/>
              </w:rPr>
              <w:t>a</w:t>
            </w:r>
            <w:r>
              <w:rPr>
                <w:rFonts w:eastAsia="Times New Roman"/>
                <w:lang w:val="hu-HU"/>
              </w:rPr>
              <w:t>. Vegye le a tűvédő tokot miközben az előretöltött fecskendő testét az egyik kezével tartja. Óvatosan húzza le a tűvédő tokot a másik kezével.</w:t>
            </w:r>
          </w:p>
          <w:p w14:paraId="1C9832F5" w14:textId="77777777" w:rsidR="0054408A" w:rsidRDefault="0054408A" w:rsidP="0054408A">
            <w:pPr>
              <w:pStyle w:val="a3"/>
              <w:rPr>
                <w:lang w:val="hu-HU"/>
              </w:rPr>
            </w:pPr>
          </w:p>
          <w:p w14:paraId="15E791DC" w14:textId="77777777" w:rsidR="0054408A" w:rsidRDefault="0054408A" w:rsidP="0054408A">
            <w:pPr>
              <w:pStyle w:val="a3"/>
              <w:numPr>
                <w:ilvl w:val="0"/>
                <w:numId w:val="18"/>
              </w:numPr>
              <w:ind w:left="4326" w:hanging="4326"/>
              <w:rPr>
                <w:lang w:val="hu-HU"/>
              </w:rPr>
            </w:pPr>
            <w:r>
              <w:rPr>
                <w:rFonts w:eastAsia="Times New Roman"/>
                <w:b/>
                <w:bCs/>
                <w:lang w:val="hu-HU"/>
              </w:rPr>
              <w:t>Ne</w:t>
            </w:r>
            <w:r>
              <w:rPr>
                <w:rFonts w:eastAsia="Times New Roman"/>
                <w:lang w:val="hu-HU"/>
              </w:rPr>
              <w:t xml:space="preserve"> vegye le a tokot, amíg készen nem áll az injekció beadására</w:t>
            </w:r>
          </w:p>
          <w:p w14:paraId="6FD368E1" w14:textId="77777777" w:rsidR="0054408A" w:rsidRDefault="0054408A" w:rsidP="0054408A">
            <w:pPr>
              <w:pStyle w:val="a3"/>
              <w:numPr>
                <w:ilvl w:val="0"/>
                <w:numId w:val="0"/>
              </w:numPr>
              <w:ind w:left="1384"/>
              <w:rPr>
                <w:lang w:val="hu-HU"/>
              </w:rPr>
            </w:pPr>
          </w:p>
          <w:p w14:paraId="1C6B7647" w14:textId="77777777" w:rsidR="0054408A" w:rsidRDefault="0054408A" w:rsidP="0054408A">
            <w:pPr>
              <w:pStyle w:val="a3"/>
              <w:numPr>
                <w:ilvl w:val="0"/>
                <w:numId w:val="18"/>
              </w:numPr>
              <w:ind w:left="4326" w:hanging="4326"/>
              <w:rPr>
                <w:lang w:val="hu-HU"/>
              </w:rPr>
            </w:pPr>
            <w:r>
              <w:rPr>
                <w:rFonts w:eastAsia="Times New Roman"/>
                <w:b/>
                <w:bCs/>
                <w:lang w:val="hu-HU"/>
              </w:rPr>
              <w:t>Ne</w:t>
            </w:r>
            <w:r>
              <w:rPr>
                <w:rFonts w:eastAsia="Times New Roman"/>
                <w:lang w:val="hu-HU"/>
              </w:rPr>
              <w:t xml:space="preserve"> érintse meg a dugattyút. Ebben az esetben tűszúrásos sérülés következhet be.</w:t>
            </w:r>
            <w:r>
              <w:rPr>
                <w:rFonts w:eastAsia="Times New Roman"/>
                <w:b/>
                <w:bCs/>
                <w:lang w:val="hu-HU"/>
              </w:rPr>
              <w:t xml:space="preserve"> </w:t>
            </w:r>
          </w:p>
          <w:p w14:paraId="61A5430E" w14:textId="77777777" w:rsidR="0054408A" w:rsidRDefault="0054408A" w:rsidP="0054408A">
            <w:pPr>
              <w:pStyle w:val="a4"/>
              <w:rPr>
                <w:lang w:val="hu-HU"/>
              </w:rPr>
            </w:pPr>
          </w:p>
          <w:p w14:paraId="1C0A51F2" w14:textId="3BB55A42" w:rsidR="0054408A" w:rsidRPr="004C5B28" w:rsidRDefault="0054408A" w:rsidP="0054408A">
            <w:pPr>
              <w:pStyle w:val="a3"/>
              <w:numPr>
                <w:ilvl w:val="0"/>
                <w:numId w:val="18"/>
              </w:numPr>
              <w:ind w:left="4326" w:hanging="4326"/>
              <w:rPr>
                <w:lang w:val="hu-HU"/>
              </w:rPr>
            </w:pPr>
            <w:r>
              <w:rPr>
                <w:rFonts w:eastAsia="Times New Roman"/>
                <w:b/>
                <w:bCs/>
                <w:lang w:val="hu-HU"/>
              </w:rPr>
              <w:t>Ne</w:t>
            </w:r>
            <w:r>
              <w:rPr>
                <w:rFonts w:eastAsia="Times New Roman"/>
                <w:lang w:val="hu-HU"/>
              </w:rPr>
              <w:t xml:space="preserve"> rakja vissza a tűvédő tokot az előretöltött fecskendőre. Azonnal dobja a tokot az éles tárgyak tárolására szolgáló tartályba.</w:t>
            </w:r>
          </w:p>
          <w:p w14:paraId="5A4ADCF1" w14:textId="77777777" w:rsidR="00903402" w:rsidRDefault="00903402" w:rsidP="004C5B28">
            <w:pPr>
              <w:pStyle w:val="a4"/>
              <w:rPr>
                <w:lang w:val="hu-HU"/>
              </w:rPr>
            </w:pPr>
          </w:p>
          <w:p w14:paraId="37546DDE" w14:textId="1FD3FAAC" w:rsidR="00903402" w:rsidRDefault="00903402" w:rsidP="0054408A">
            <w:pPr>
              <w:pStyle w:val="a3"/>
              <w:numPr>
                <w:ilvl w:val="0"/>
                <w:numId w:val="18"/>
              </w:numPr>
              <w:ind w:left="4326" w:hanging="4326"/>
              <w:rPr>
                <w:lang w:val="hu-HU"/>
              </w:rPr>
            </w:pPr>
            <w:r w:rsidRPr="00903402">
              <w:rPr>
                <w:lang w:val="hu-HU"/>
              </w:rPr>
              <w:t>Normális, ha lát néhány csepp folyadékot kijönni a tűből</w:t>
            </w:r>
            <w:r>
              <w:rPr>
                <w:lang w:val="hu-HU"/>
              </w:rPr>
              <w:t>.</w:t>
            </w:r>
          </w:p>
          <w:p w14:paraId="22FDB67C" w14:textId="77777777" w:rsidR="0054408A" w:rsidRPr="0054408A" w:rsidRDefault="0054408A">
            <w:pPr>
              <w:ind w:left="104"/>
              <w:rPr>
                <w:rFonts w:asciiTheme="majorBidi" w:eastAsia="Times New Roman" w:hAnsiTheme="majorBidi" w:cstheme="majorBidi"/>
                <w:b/>
                <w:bCs/>
                <w:spacing w:val="-1"/>
                <w:lang w:val="hu-HU"/>
              </w:rPr>
            </w:pPr>
          </w:p>
        </w:tc>
      </w:tr>
    </w:tbl>
    <w:p w14:paraId="08F12A5B" w14:textId="77777777" w:rsidR="00130E8B" w:rsidRDefault="00130E8B">
      <w:pPr>
        <w:spacing w:line="252" w:lineRule="exact"/>
        <w:rPr>
          <w:lang w:val="hu-HU"/>
        </w:rPr>
      </w:pPr>
    </w:p>
    <w:p w14:paraId="26F29131" w14:textId="77777777" w:rsidR="00130E8B" w:rsidRDefault="00130E8B">
      <w:pPr>
        <w:spacing w:before="9" w:line="110" w:lineRule="exact"/>
        <w:rPr>
          <w:sz w:val="20"/>
          <w:szCs w:val="20"/>
          <w:lang w:val="hu-HU"/>
        </w:rPr>
      </w:pPr>
    </w:p>
    <w:tbl>
      <w:tblPr>
        <w:tblStyle w:val="ac"/>
        <w:tblW w:w="0" w:type="auto"/>
        <w:tblLook w:val="04A0" w:firstRow="1" w:lastRow="0" w:firstColumn="1" w:lastColumn="0" w:noHBand="0" w:noVBand="1"/>
      </w:tblPr>
      <w:tblGrid>
        <w:gridCol w:w="9209"/>
      </w:tblGrid>
      <w:tr w:rsidR="00130E8B" w:rsidRPr="00BE4D18" w14:paraId="2362C278" w14:textId="77777777">
        <w:trPr>
          <w:trHeight w:val="6650"/>
        </w:trPr>
        <w:tc>
          <w:tcPr>
            <w:tcW w:w="9209" w:type="dxa"/>
          </w:tcPr>
          <w:p w14:paraId="7F23C6BC" w14:textId="25BDDB0F" w:rsidR="00130E8B" w:rsidRDefault="00130E8B">
            <w:pPr>
              <w:ind w:left="104"/>
              <w:rPr>
                <w:rFonts w:ascii="Times New Roman" w:eastAsia="Times New Roman" w:hAnsi="Times New Roman" w:cs="Times New Roman"/>
                <w:lang w:val="hu-HU"/>
              </w:rPr>
            </w:pPr>
          </w:p>
          <w:p w14:paraId="1A8C231E" w14:textId="16812C0A" w:rsidR="00130E8B" w:rsidRDefault="00B11505">
            <w:pPr>
              <w:pStyle w:val="1"/>
              <w:spacing w:before="76"/>
              <w:ind w:left="0" w:right="2736"/>
              <w:rPr>
                <w:rFonts w:eastAsiaTheme="minorEastAsia"/>
                <w:lang w:val="hu-HU" w:eastAsia="ko-KR"/>
              </w:rPr>
            </w:pPr>
            <w:r>
              <w:rPr>
                <w:rFonts w:eastAsiaTheme="minorEastAsia"/>
                <w:noProof/>
                <w:lang w:eastAsia="ko-KR"/>
              </w:rPr>
              <mc:AlternateContent>
                <mc:Choice Requires="wpg">
                  <w:drawing>
                    <wp:anchor distT="0" distB="0" distL="114300" distR="114300" simplePos="0" relativeHeight="251658264" behindDoc="0" locked="0" layoutInCell="1" allowOverlap="1" wp14:anchorId="12D7F46B" wp14:editId="2E16E836">
                      <wp:simplePos x="0" y="0"/>
                      <wp:positionH relativeFrom="column">
                        <wp:posOffset>148763</wp:posOffset>
                      </wp:positionH>
                      <wp:positionV relativeFrom="paragraph">
                        <wp:posOffset>192059</wp:posOffset>
                      </wp:positionV>
                      <wp:extent cx="2167255" cy="3762038"/>
                      <wp:effectExtent l="0" t="0" r="4445" b="0"/>
                      <wp:wrapSquare wrapText="bothSides"/>
                      <wp:docPr id="177" name="그룹 177"/>
                      <wp:cNvGraphicFramePr/>
                      <a:graphic xmlns:a="http://schemas.openxmlformats.org/drawingml/2006/main">
                        <a:graphicData uri="http://schemas.microsoft.com/office/word/2010/wordprocessingGroup">
                          <wpg:wgp>
                            <wpg:cNvGrpSpPr/>
                            <wpg:grpSpPr>
                              <a:xfrm>
                                <a:off x="0" y="0"/>
                                <a:ext cx="2167255" cy="3762038"/>
                                <a:chOff x="0" y="0"/>
                                <a:chExt cx="2167255" cy="3762038"/>
                              </a:xfrm>
                            </wpg:grpSpPr>
                            <wps:wsp>
                              <wps:cNvPr id="101" name="Text Box 55"/>
                              <wps:cNvSpPr txBox="1">
                                <a:spLocks noChangeArrowheads="1"/>
                              </wps:cNvSpPr>
                              <wps:spPr bwMode="auto">
                                <a:xfrm>
                                  <a:off x="1433946" y="3616036"/>
                                  <a:ext cx="719808" cy="1460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6F3FD6"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I. </w:t>
                                    </w:r>
                                    <w:r>
                                      <w:rPr>
                                        <w:rFonts w:ascii="Times New Roman" w:eastAsia="Times New Roman" w:hAnsi="Times New Roman" w:cs="Times New Roman"/>
                                        <w:lang w:val="hu-HU"/>
                                      </w:rPr>
                                      <w:t>ábra</w:t>
                                    </w:r>
                                  </w:p>
                                </w:txbxContent>
                              </wps:txbx>
                              <wps:bodyPr rot="0" vert="horz" wrap="square" lIns="0" tIns="0" rIns="0" bIns="0" anchor="t" anchorCtr="0" upright="1">
                                <a:spAutoFit/>
                              </wps:bodyPr>
                            </wps:wsp>
                            <pic:pic xmlns:pic="http://schemas.openxmlformats.org/drawingml/2006/picture">
                              <pic:nvPicPr>
                                <pic:cNvPr id="176" name="그림 8"/>
                                <pic:cNvPicPr>
                                  <a:picLocks noChangeAspect="1"/>
                                </pic:cNvPicPr>
                              </pic:nvPicPr>
                              <pic:blipFill rotWithShape="1">
                                <a:blip r:embed="rId42" cstate="print">
                                  <a:extLst>
                                    <a:ext uri="{28A0092B-C50C-407E-A947-70E740481C1C}">
                                      <a14:useLocalDpi xmlns:a14="http://schemas.microsoft.com/office/drawing/2010/main" val="0"/>
                                    </a:ext>
                                  </a:extLst>
                                </a:blip>
                                <a:srcRect/>
                                <a:stretch/>
                              </pic:blipFill>
                              <pic:spPr>
                                <a:xfrm>
                                  <a:off x="0" y="0"/>
                                  <a:ext cx="2167255" cy="3606800"/>
                                </a:xfrm>
                                <a:prstGeom prst="rect">
                                  <a:avLst/>
                                </a:prstGeom>
                              </pic:spPr>
                            </pic:pic>
                          </wpg:wgp>
                        </a:graphicData>
                      </a:graphic>
                    </wp:anchor>
                  </w:drawing>
                </mc:Choice>
                <mc:Fallback>
                  <w:pict>
                    <v:group w14:anchorId="12D7F46B" id="그룹 177" o:spid="_x0000_s1048" style="position:absolute;margin-left:11.7pt;margin-top:15.1pt;width:170.65pt;height:296.2pt;z-index:251658264" coordsize="21672,37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">
                      <v:shape id="Text Box 55" o:spid="_x0000_s1049" type="#_x0000_t202" style="position:absolute;left:14339;top:36160;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" stroked="f">
                        <v:textbox style="mso-fit-shape-to-text:t" inset="0,0,0,0">
                          <w:txbxContent>
                            <w:p w14:paraId="166F3FD6"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I. </w:t>
                              </w:r>
                              <w:r>
                                <w:rPr>
                                  <w:rFonts w:ascii="Times New Roman" w:eastAsia="Times New Roman" w:hAnsi="Times New Roman" w:cs="Times New Roman"/>
                                  <w:lang w:val="hu-HU"/>
                                </w:rPr>
                                <w:t>ábra</w:t>
                              </w:r>
                            </w:p>
                          </w:txbxContent>
                        </v:textbox>
                      </v:shape>
                      <v:shape id="그림 8" o:spid="_x0000_s1050" type="#_x0000_t75" style="position:absolute;width:21672;height:3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">
                        <v:imagedata r:id="rId43" o:title=""/>
                      </v:shape>
                      <w10:wrap type="square"/>
                    </v:group>
                  </w:pict>
                </mc:Fallback>
              </mc:AlternateContent>
            </w:r>
          </w:p>
          <w:p w14:paraId="0D2C0374" w14:textId="5E544144" w:rsidR="00130E8B" w:rsidRDefault="000405CC">
            <w:pPr>
              <w:pStyle w:val="a3"/>
              <w:numPr>
                <w:ilvl w:val="0"/>
                <w:numId w:val="21"/>
              </w:numPr>
              <w:ind w:left="4320" w:hanging="4209"/>
              <w:rPr>
                <w:b/>
                <w:lang w:val="hu-HU"/>
              </w:rPr>
            </w:pPr>
            <w:r>
              <w:rPr>
                <w:rFonts w:eastAsia="Times New Roman"/>
                <w:b/>
                <w:bCs/>
                <w:lang w:val="hu-HU"/>
              </w:rPr>
              <w:t xml:space="preserve">Helyezze az előretöltött fecskendőt az injekció beadási helyére </w:t>
            </w:r>
          </w:p>
          <w:p w14:paraId="6C8D2C8A" w14:textId="77777777" w:rsidR="00130E8B" w:rsidRDefault="00130E8B">
            <w:pPr>
              <w:pStyle w:val="a3"/>
              <w:numPr>
                <w:ilvl w:val="0"/>
                <w:numId w:val="0"/>
              </w:numPr>
              <w:ind w:left="111"/>
              <w:rPr>
                <w:b/>
                <w:lang w:val="hu-HU"/>
              </w:rPr>
            </w:pPr>
          </w:p>
          <w:p w14:paraId="7EF29B32" w14:textId="4F63E5C0" w:rsidR="00130E8B" w:rsidRDefault="000405CC">
            <w:pPr>
              <w:pStyle w:val="a3"/>
              <w:numPr>
                <w:ilvl w:val="0"/>
                <w:numId w:val="0"/>
              </w:numPr>
              <w:ind w:left="720"/>
              <w:rPr>
                <w:lang w:val="hu-HU"/>
              </w:rPr>
            </w:pPr>
            <w:r>
              <w:rPr>
                <w:rFonts w:eastAsia="Times New Roman"/>
                <w:b/>
                <w:bCs/>
                <w:lang w:val="hu-HU"/>
              </w:rPr>
              <w:t xml:space="preserve">a. </w:t>
            </w:r>
            <w:r>
              <w:rPr>
                <w:rFonts w:eastAsia="Times New Roman"/>
                <w:lang w:val="hu-HU"/>
              </w:rPr>
              <w:t>Óvatosan csípje össze a bőrredőt az injekció beadásának helyén egy kézzel.</w:t>
            </w:r>
          </w:p>
          <w:p w14:paraId="3C38D11D" w14:textId="77777777" w:rsidR="00130E8B" w:rsidRDefault="00130E8B">
            <w:pPr>
              <w:pStyle w:val="a3"/>
              <w:rPr>
                <w:lang w:val="hu-HU"/>
              </w:rPr>
            </w:pPr>
          </w:p>
          <w:p w14:paraId="6ABB1A6D" w14:textId="6158A85D" w:rsidR="00130E8B" w:rsidRDefault="000405CC">
            <w:pPr>
              <w:pStyle w:val="a3"/>
              <w:rPr>
                <w:lang w:val="hu-HU"/>
              </w:rPr>
            </w:pPr>
            <w:r>
              <w:rPr>
                <w:rFonts w:eastAsia="Times New Roman"/>
                <w:b/>
                <w:bCs/>
                <w:lang w:val="hu-HU"/>
              </w:rPr>
              <w:t>b</w:t>
            </w:r>
            <w:r>
              <w:rPr>
                <w:rFonts w:eastAsia="Times New Roman"/>
                <w:lang w:val="hu-HU"/>
              </w:rPr>
              <w:t>. Az előretöltött  fecskendőt a a fecskendő testénél fogva, szúrja be a tűt teljesen a bőrredőbe 45 fokos szögben, gyors és rövid mozdulattal.</w:t>
            </w:r>
          </w:p>
          <w:p w14:paraId="26F1C016" w14:textId="213FEFBF" w:rsidR="00130E8B" w:rsidRDefault="00130E8B">
            <w:pPr>
              <w:pStyle w:val="a3"/>
              <w:rPr>
                <w:lang w:val="hu-HU"/>
              </w:rPr>
            </w:pPr>
          </w:p>
        </w:tc>
      </w:tr>
      <w:tr w:rsidR="00130E8B" w:rsidRPr="00BE4D18" w14:paraId="49C559E4" w14:textId="77777777">
        <w:trPr>
          <w:trHeight w:val="6066"/>
        </w:trPr>
        <w:tc>
          <w:tcPr>
            <w:tcW w:w="9209" w:type="dxa"/>
          </w:tcPr>
          <w:p w14:paraId="1ECB2B18" w14:textId="77777777" w:rsidR="00130E8B" w:rsidRDefault="00130E8B">
            <w:pPr>
              <w:ind w:left="104"/>
              <w:rPr>
                <w:rFonts w:ascii="Times New Roman" w:eastAsia="Times New Roman" w:hAnsi="Times New Roman" w:cs="Times New Roman"/>
                <w:b/>
                <w:bCs/>
                <w:spacing w:val="-1"/>
                <w:lang w:val="hu-HU"/>
              </w:rPr>
            </w:pPr>
          </w:p>
          <w:p w14:paraId="734105B7" w14:textId="29078EEC" w:rsidR="00130E8B" w:rsidRDefault="0054408A">
            <w:pPr>
              <w:ind w:left="104"/>
              <w:rPr>
                <w:rFonts w:ascii="Times New Roman" w:eastAsia="Times New Roman" w:hAnsi="Times New Roman" w:cs="Times New Roman"/>
                <w:lang w:val="hu-HU"/>
              </w:rPr>
            </w:pPr>
            <w:r>
              <w:rPr>
                <w:noProof/>
                <w:lang w:eastAsia="ko-KR"/>
              </w:rPr>
              <mc:AlternateContent>
                <mc:Choice Requires="wpg">
                  <w:drawing>
                    <wp:anchor distT="0" distB="0" distL="114300" distR="114300" simplePos="0" relativeHeight="251658247" behindDoc="0" locked="0" layoutInCell="1" allowOverlap="1" wp14:anchorId="372A08C1" wp14:editId="3287020F">
                      <wp:simplePos x="0" y="0"/>
                      <wp:positionH relativeFrom="column">
                        <wp:posOffset>66345</wp:posOffset>
                      </wp:positionH>
                      <wp:positionV relativeFrom="paragraph">
                        <wp:posOffset>43144</wp:posOffset>
                      </wp:positionV>
                      <wp:extent cx="2186305" cy="2724150"/>
                      <wp:effectExtent l="0" t="3175" r="0" b="0"/>
                      <wp:wrapSquare wrapText="bothSides"/>
                      <wp:docPr id="96" name="그룹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6305" cy="2724150"/>
                                <a:chOff x="0" y="0"/>
                                <a:chExt cx="21866" cy="27241"/>
                              </a:xfrm>
                            </wpg:grpSpPr>
                            <pic:pic xmlns:pic="http://schemas.openxmlformats.org/drawingml/2006/picture">
                              <pic:nvPicPr>
                                <pic:cNvPr id="97" name="그림 76"/>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850" cy="25819"/>
                                </a:xfrm>
                                <a:prstGeom prst="rect">
                                  <a:avLst/>
                                </a:prstGeom>
                                <a:noFill/>
                                <a:extLst>
                                  <a:ext uri="{909E8E84-426E-40DD-AFC4-6F175D3DCCD1}">
                                    <a14:hiddenFill xmlns:a14="http://schemas.microsoft.com/office/drawing/2010/main">
                                      <a:solidFill>
                                        <a:srgbClr val="FFFFFF"/>
                                      </a:solidFill>
                                    </a14:hiddenFill>
                                  </a:ext>
                                </a:extLst>
                              </pic:spPr>
                            </pic:pic>
                            <wps:wsp>
                              <wps:cNvPr id="98" name="Text Box 58"/>
                              <wps:cNvSpPr txBox="1">
                                <a:spLocks noChangeArrowheads="1"/>
                              </wps:cNvSpPr>
                              <wps:spPr bwMode="auto">
                                <a:xfrm>
                                  <a:off x="14668" y="25781"/>
                                  <a:ext cx="7198" cy="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D536F7"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J. </w:t>
                                    </w:r>
                                    <w:r>
                                      <w:rPr>
                                        <w:rFonts w:ascii="Times New Roman" w:eastAsia="Times New Roman" w:hAnsi="Times New Roman" w:cs="Times New Roman"/>
                                        <w:lang w:val="hu-HU"/>
                                      </w:rPr>
                                      <w:t>ábra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372A08C1" id="그룹 60" o:spid="_x0000_s1051" style="position:absolute;left:0;text-align:left;margin-left:5.2pt;margin-top:3.4pt;width:172.15pt;height:214.5pt;z-index:251658247" coordsize="21866,272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">
                      <v:shape id="그림 76" o:spid="_x0000_s1052" type="#_x0000_t75" style="position:absolute;width:21850;height:25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">
                        <v:imagedata r:id="rId45" o:title=""/>
                      </v:shape>
                      <v:shape id="Text Box 58" o:spid="_x0000_s1053" type="#_x0000_t202" style="position:absolute;left:14668;top:25781;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" stroked="f">
                        <v:textbox style="mso-fit-shape-to-text:t" inset="0,0,0,0">
                          <w:txbxContent>
                            <w:p w14:paraId="25D536F7"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J. </w:t>
                              </w:r>
                              <w:r>
                                <w:rPr>
                                  <w:rFonts w:ascii="Times New Roman" w:eastAsia="Times New Roman" w:hAnsi="Times New Roman" w:cs="Times New Roman"/>
                                  <w:lang w:val="hu-HU"/>
                                </w:rPr>
                                <w:t>ábra</w:t>
                              </w:r>
                            </w:p>
                          </w:txbxContent>
                        </v:textbox>
                      </v:shape>
                      <w10:wrap type="square"/>
                    </v:group>
                  </w:pict>
                </mc:Fallback>
              </mc:AlternateContent>
            </w:r>
          </w:p>
          <w:p w14:paraId="331D8E6D" w14:textId="77777777" w:rsidR="00130E8B" w:rsidRDefault="00130E8B">
            <w:pPr>
              <w:pStyle w:val="Default"/>
              <w:rPr>
                <w:lang w:val="hu-HU"/>
              </w:rPr>
            </w:pPr>
          </w:p>
          <w:p w14:paraId="0FEDCB5C" w14:textId="77777777" w:rsidR="00130E8B" w:rsidRPr="001E2F31" w:rsidRDefault="000405CC">
            <w:pPr>
              <w:pStyle w:val="a3"/>
              <w:numPr>
                <w:ilvl w:val="0"/>
                <w:numId w:val="21"/>
              </w:numPr>
              <w:rPr>
                <w:b/>
                <w:lang w:val="hu-HU"/>
              </w:rPr>
            </w:pPr>
            <w:r w:rsidRPr="00010223">
              <w:rPr>
                <w:rFonts w:eastAsia="Times New Roman"/>
                <w:b/>
                <w:bCs/>
                <w:lang w:val="hu-HU"/>
              </w:rPr>
              <w:t xml:space="preserve">Az </w:t>
            </w:r>
            <w:r w:rsidRPr="001E2F31">
              <w:rPr>
                <w:rFonts w:eastAsia="Times New Roman"/>
                <w:b/>
                <w:lang w:val="hu-HU"/>
              </w:rPr>
              <w:t>injekció beadása</w:t>
            </w:r>
          </w:p>
          <w:p w14:paraId="309F4125" w14:textId="77777777" w:rsidR="00130E8B" w:rsidRDefault="00130E8B">
            <w:pPr>
              <w:pStyle w:val="a3"/>
              <w:rPr>
                <w:lang w:val="hu-HU"/>
              </w:rPr>
            </w:pPr>
          </w:p>
          <w:p w14:paraId="6892EF2C" w14:textId="74163EF6" w:rsidR="00130E8B" w:rsidRDefault="000405CC">
            <w:pPr>
              <w:pStyle w:val="a3"/>
              <w:ind w:left="4230" w:hanging="4230"/>
              <w:rPr>
                <w:lang w:val="hu-HU"/>
              </w:rPr>
            </w:pPr>
            <w:r>
              <w:rPr>
                <w:rFonts w:eastAsia="Times New Roman"/>
                <w:b/>
                <w:bCs/>
                <w:lang w:val="hu-HU"/>
              </w:rPr>
              <w:t xml:space="preserve">     a. </w:t>
            </w:r>
            <w:r w:rsidRPr="001E2F31">
              <w:rPr>
                <w:rFonts w:eastAsia="Times New Roman"/>
                <w:bCs/>
                <w:lang w:val="hu-HU"/>
              </w:rPr>
              <w:t>A</w:t>
            </w:r>
            <w:r w:rsidRPr="00010223">
              <w:rPr>
                <w:rFonts w:eastAsia="Times New Roman"/>
                <w:lang w:val="hu-HU"/>
              </w:rPr>
              <w:t xml:space="preserve"> </w:t>
            </w:r>
            <w:r>
              <w:rPr>
                <w:rFonts w:eastAsia="Times New Roman"/>
                <w:lang w:val="hu-HU"/>
              </w:rPr>
              <w:t xml:space="preserve">tű </w:t>
            </w:r>
            <w:r w:rsidR="006F7144">
              <w:rPr>
                <w:rFonts w:eastAsia="Times New Roman"/>
                <w:lang w:val="hu-HU"/>
              </w:rPr>
              <w:t>beszúrása</w:t>
            </w:r>
            <w:r>
              <w:rPr>
                <w:rFonts w:eastAsia="Times New Roman"/>
                <w:lang w:val="hu-HU"/>
              </w:rPr>
              <w:t xml:space="preserve"> után engedje el az összecsípett bőrt.</w:t>
            </w:r>
          </w:p>
          <w:p w14:paraId="67EE56CE" w14:textId="77777777" w:rsidR="00130E8B" w:rsidRDefault="000405CC">
            <w:pPr>
              <w:pStyle w:val="a3"/>
              <w:ind w:left="4230" w:hanging="4230"/>
              <w:rPr>
                <w:lang w:val="hu-HU"/>
              </w:rPr>
            </w:pPr>
            <w:r>
              <w:rPr>
                <w:rFonts w:eastAsia="Times New Roman"/>
                <w:b/>
                <w:bCs/>
                <w:lang w:val="hu-HU"/>
              </w:rPr>
              <w:t xml:space="preserve">     b.</w:t>
            </w:r>
            <w:r w:rsidRPr="001E2F31">
              <w:rPr>
                <w:rFonts w:eastAsia="Times New Roman"/>
                <w:bCs/>
                <w:lang w:val="hu-HU"/>
              </w:rPr>
              <w:t xml:space="preserve"> L</w:t>
            </w:r>
            <w:r>
              <w:rPr>
                <w:rFonts w:eastAsia="Times New Roman"/>
                <w:lang w:val="hu-HU"/>
              </w:rPr>
              <w:t xml:space="preserve">assan nyomja le teljesen a dugattyút, </w:t>
            </w:r>
            <w:r w:rsidR="00145F36">
              <w:rPr>
                <w:rFonts w:eastAsia="Times New Roman"/>
                <w:lang w:val="hu-HU"/>
              </w:rPr>
              <w:t xml:space="preserve">mindaddig </w:t>
            </w:r>
            <w:r>
              <w:rPr>
                <w:rFonts w:eastAsia="Times New Roman"/>
                <w:lang w:val="hu-HU"/>
              </w:rPr>
              <w:t>amíg az összes folyadékot befecskendezi, és a fecskendő kiürül.</w:t>
            </w:r>
          </w:p>
          <w:p w14:paraId="3D850549" w14:textId="77777777" w:rsidR="00130E8B" w:rsidRDefault="00130E8B">
            <w:pPr>
              <w:pStyle w:val="a3"/>
              <w:rPr>
                <w:lang w:val="hu-HU"/>
              </w:rPr>
            </w:pPr>
          </w:p>
          <w:p w14:paraId="3328A34D" w14:textId="77777777" w:rsidR="00130E8B" w:rsidRDefault="00130E8B">
            <w:pPr>
              <w:pStyle w:val="a3"/>
              <w:rPr>
                <w:lang w:val="hu-HU"/>
              </w:rPr>
            </w:pPr>
          </w:p>
          <w:p w14:paraId="390D9C63" w14:textId="77777777" w:rsidR="00130E8B" w:rsidRDefault="000405CC">
            <w:pPr>
              <w:pStyle w:val="a3"/>
              <w:rPr>
                <w:rFonts w:asciiTheme="majorBidi" w:hAnsiTheme="majorBidi" w:cstheme="majorBidi"/>
                <w:lang w:val="hu-HU"/>
              </w:rPr>
            </w:pPr>
            <w:r>
              <w:rPr>
                <w:rFonts w:asciiTheme="majorBidi" w:eastAsia="맑은 고딕" w:hAnsiTheme="majorBidi" w:cstheme="majorBidi"/>
                <w:lang w:val="hu-HU"/>
              </w:rPr>
              <w:t>•</w:t>
            </w:r>
            <w:r>
              <w:rPr>
                <w:rFonts w:asciiTheme="majorBidi" w:eastAsia="Times New Roman" w:hAnsiTheme="majorBidi" w:cstheme="majorBidi"/>
                <w:lang w:val="hu-HU"/>
              </w:rPr>
              <w:t xml:space="preserve"> </w:t>
            </w:r>
            <w:r w:rsidRPr="001E2F31">
              <w:rPr>
                <w:rFonts w:asciiTheme="majorBidi" w:eastAsia="Times New Roman" w:hAnsiTheme="majorBidi" w:cstheme="majorBidi"/>
                <w:bCs/>
                <w:lang w:val="hu-HU"/>
              </w:rPr>
              <w:t>Az</w:t>
            </w:r>
            <w:r>
              <w:rPr>
                <w:rFonts w:asciiTheme="majorBidi" w:eastAsia="Times New Roman" w:hAnsiTheme="majorBidi" w:cstheme="majorBidi"/>
                <w:b/>
                <w:bCs/>
                <w:lang w:val="hu-HU"/>
              </w:rPr>
              <w:t xml:space="preserve"> </w:t>
            </w:r>
            <w:r>
              <w:rPr>
                <w:rFonts w:asciiTheme="majorBidi" w:eastAsia="맑은 고딕" w:hAnsiTheme="majorBidi" w:cstheme="majorBidi"/>
                <w:lang w:val="hu-HU"/>
              </w:rPr>
              <w:t xml:space="preserve">injekció beadása után </w:t>
            </w:r>
            <w:r w:rsidRPr="001E2F31">
              <w:rPr>
                <w:rFonts w:asciiTheme="majorBidi" w:eastAsia="맑은 고딕" w:hAnsiTheme="majorBidi" w:cstheme="majorBidi"/>
                <w:b/>
                <w:lang w:val="hu-HU"/>
              </w:rPr>
              <w:t>ne</w:t>
            </w:r>
            <w:r>
              <w:rPr>
                <w:rFonts w:asciiTheme="majorBidi" w:eastAsia="Times New Roman" w:hAnsiTheme="majorBidi" w:cstheme="majorBidi"/>
                <w:lang w:val="hu-HU"/>
              </w:rPr>
              <w:t xml:space="preserve"> változtassa meg az előretöltött fecskendő helyzetét.</w:t>
            </w:r>
          </w:p>
          <w:p w14:paraId="5A354C84" w14:textId="77777777" w:rsidR="00130E8B" w:rsidRDefault="000405CC">
            <w:pPr>
              <w:pStyle w:val="a3"/>
              <w:rPr>
                <w:lang w:val="hu-HU" w:eastAsia="ko-KR"/>
              </w:rPr>
            </w:pPr>
            <w:r>
              <w:rPr>
                <w:color w:val="211D1E"/>
                <w:sz w:val="20"/>
                <w:szCs w:val="20"/>
                <w:lang w:val="hu-HU"/>
              </w:rPr>
              <w:t xml:space="preserve"> </w:t>
            </w:r>
          </w:p>
        </w:tc>
      </w:tr>
      <w:tr w:rsidR="00130E8B" w:rsidRPr="00BE4D18" w14:paraId="0A202F2B" w14:textId="77777777">
        <w:trPr>
          <w:trHeight w:val="5374"/>
        </w:trPr>
        <w:tc>
          <w:tcPr>
            <w:tcW w:w="9209" w:type="dxa"/>
          </w:tcPr>
          <w:p w14:paraId="331655EC" w14:textId="77777777" w:rsidR="00130E8B" w:rsidRDefault="00130E8B">
            <w:pPr>
              <w:ind w:left="104"/>
              <w:rPr>
                <w:rFonts w:asciiTheme="majorBidi" w:eastAsia="Times New Roman" w:hAnsiTheme="majorBidi" w:cstheme="majorBidi"/>
                <w:b/>
                <w:bCs/>
                <w:spacing w:val="-1"/>
                <w:lang w:val="hu-HU"/>
              </w:rPr>
            </w:pPr>
          </w:p>
          <w:p w14:paraId="7AEB0D42" w14:textId="77777777" w:rsidR="00130E8B" w:rsidRDefault="00130E8B">
            <w:pPr>
              <w:rPr>
                <w:rFonts w:asciiTheme="majorBidi" w:eastAsia="Times New Roman" w:hAnsiTheme="majorBidi" w:cstheme="majorBidi"/>
                <w:lang w:val="hu-HU"/>
              </w:rPr>
            </w:pPr>
          </w:p>
          <w:p w14:paraId="2668849B" w14:textId="0DDD8180" w:rsidR="00130E8B" w:rsidRDefault="00010223">
            <w:pPr>
              <w:pStyle w:val="a3"/>
              <w:rPr>
                <w:rFonts w:asciiTheme="majorBidi" w:hAnsiTheme="majorBidi" w:cstheme="majorBidi"/>
                <w:lang w:val="hu-HU"/>
              </w:rPr>
            </w:pPr>
            <w:r>
              <w:rPr>
                <w:rFonts w:asciiTheme="majorBidi" w:hAnsiTheme="majorBidi" w:cstheme="majorBidi"/>
                <w:noProof/>
                <w:lang w:eastAsia="ko-KR"/>
              </w:rPr>
              <mc:AlternateContent>
                <mc:Choice Requires="wpg">
                  <w:drawing>
                    <wp:anchor distT="0" distB="0" distL="114300" distR="114300" simplePos="0" relativeHeight="251658255" behindDoc="0" locked="0" layoutInCell="1" allowOverlap="1" wp14:anchorId="05BDC965" wp14:editId="6AEB7105">
                      <wp:simplePos x="0" y="0"/>
                      <wp:positionH relativeFrom="column">
                        <wp:posOffset>70485</wp:posOffset>
                      </wp:positionH>
                      <wp:positionV relativeFrom="paragraph">
                        <wp:posOffset>66040</wp:posOffset>
                      </wp:positionV>
                      <wp:extent cx="2159635" cy="2881630"/>
                      <wp:effectExtent l="19050" t="19050" r="12065" b="0"/>
                      <wp:wrapSquare wrapText="bothSides"/>
                      <wp:docPr id="169" name="그룹 169"/>
                      <wp:cNvGraphicFramePr/>
                      <a:graphic xmlns:a="http://schemas.openxmlformats.org/drawingml/2006/main">
                        <a:graphicData uri="http://schemas.microsoft.com/office/word/2010/wordprocessingGroup">
                          <wpg:wgp>
                            <wpg:cNvGrpSpPr/>
                            <wpg:grpSpPr>
                              <a:xfrm>
                                <a:off x="0" y="0"/>
                                <a:ext cx="2159635" cy="2881630"/>
                                <a:chOff x="0" y="0"/>
                                <a:chExt cx="2159635" cy="2881630"/>
                              </a:xfrm>
                            </wpg:grpSpPr>
                            <wps:wsp>
                              <wps:cNvPr id="95" name="Text Box 62"/>
                              <wps:cNvSpPr txBox="1">
                                <a:spLocks/>
                              </wps:cNvSpPr>
                              <wps:spPr>
                                <a:xfrm>
                                  <a:off x="1440180" y="2735580"/>
                                  <a:ext cx="719455" cy="146050"/>
                                </a:xfrm>
                                <a:prstGeom prst="rect">
                                  <a:avLst/>
                                </a:prstGeom>
                                <a:solidFill>
                                  <a:prstClr val="white"/>
                                </a:solidFill>
                                <a:ln>
                                  <a:noFill/>
                                </a:ln>
                              </wps:spPr>
                              <wps:txbx>
                                <w:txbxContent>
                                  <w:p w14:paraId="4542FC09"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K. </w:t>
                                    </w:r>
                                    <w:r>
                                      <w:rPr>
                                        <w:rFonts w:ascii="Times New Roman" w:eastAsia="Times New Roman" w:hAnsi="Times New Roman" w:cs="Times New Roman"/>
                                        <w:lang w:val="hu-HU"/>
                                      </w:rPr>
                                      <w:t xml:space="preserve">ábra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50" name="그림 50"/>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59635" cy="2666365"/>
                                </a:xfrm>
                                <a:prstGeom prst="rect">
                                  <a:avLst/>
                                </a:prstGeom>
                                <a:ln w="12700">
                                  <a:solidFill>
                                    <a:schemeClr val="tx1">
                                      <a:lumMod val="65000"/>
                                      <a:lumOff val="35000"/>
                                    </a:schemeClr>
                                  </a:solidFill>
                                </a:ln>
                              </pic:spPr>
                            </pic:pic>
                          </wpg:wgp>
                        </a:graphicData>
                      </a:graphic>
                    </wp:anchor>
                  </w:drawing>
                </mc:Choice>
                <mc:Fallback>
                  <w:pict>
                    <v:group w14:anchorId="05BDC965" id="그룹 169" o:spid="_x0000_s1054" style="position:absolute;margin-left:5.55pt;margin-top:5.2pt;width:170.05pt;height:226.9pt;z-index:251658255" coordsize="21596,288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">
                      <v:shape id="Text Box 62" o:spid="_x0000_s1055" type="#_x0000_t202" style="position:absolute;left:14401;top:27355;width:7195;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" stroked="f">
                        <v:textbox style="mso-fit-shape-to-text:t" inset="0,0,0,0">
                          <w:txbxContent>
                            <w:p w14:paraId="4542FC09"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K. </w:t>
                              </w:r>
                              <w:r>
                                <w:rPr>
                                  <w:rFonts w:ascii="Times New Roman" w:eastAsia="Times New Roman" w:hAnsi="Times New Roman" w:cs="Times New Roman"/>
                                  <w:lang w:val="hu-HU"/>
                                </w:rPr>
                                <w:t xml:space="preserve">ábra </w:t>
                              </w:r>
                            </w:p>
                          </w:txbxContent>
                        </v:textbox>
                      </v:shape>
                      <v:shape id="그림 50" o:spid="_x0000_s1056" type="#_x0000_t75" style="position:absolute;width:21596;height:26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" stroked="t" strokecolor="#5a5a5a [2109]" strokeweight="1pt">
                        <v:imagedata r:id="rId47" o:title=""/>
                        <v:path arrowok="t"/>
                      </v:shape>
                      <w10:wrap type="square"/>
                    </v:group>
                  </w:pict>
                </mc:Fallback>
              </mc:AlternateContent>
            </w:r>
          </w:p>
          <w:p w14:paraId="12B3E9E1" w14:textId="328D74ED" w:rsidR="00130E8B" w:rsidRDefault="00CE2937">
            <w:pPr>
              <w:pStyle w:val="a3"/>
              <w:numPr>
                <w:ilvl w:val="0"/>
                <w:numId w:val="21"/>
              </w:numPr>
              <w:ind w:left="4320" w:hanging="4209"/>
              <w:rPr>
                <w:rFonts w:asciiTheme="majorBidi" w:hAnsiTheme="majorBidi" w:cstheme="majorBidi"/>
                <w:b/>
                <w:lang w:val="hu-HU"/>
              </w:rPr>
            </w:pPr>
            <w:r>
              <w:rPr>
                <w:rFonts w:asciiTheme="majorBidi" w:eastAsia="Times New Roman" w:hAnsiTheme="majorBidi" w:cstheme="majorBidi"/>
                <w:b/>
                <w:bCs/>
                <w:lang w:val="hu-HU"/>
              </w:rPr>
              <w:t xml:space="preserve">Huzza ki </w:t>
            </w:r>
            <w:r w:rsidR="000405CC">
              <w:rPr>
                <w:rFonts w:asciiTheme="majorBidi" w:eastAsia="Times New Roman" w:hAnsiTheme="majorBidi" w:cstheme="majorBidi"/>
                <w:b/>
                <w:bCs/>
                <w:lang w:val="hu-HU"/>
              </w:rPr>
              <w:t>az előretöltött fecskendőt az injekció</w:t>
            </w:r>
            <w:r w:rsidR="00181C0C">
              <w:rPr>
                <w:rFonts w:asciiTheme="majorBidi" w:eastAsia="Times New Roman" w:hAnsiTheme="majorBidi" w:cstheme="majorBidi"/>
                <w:b/>
                <w:bCs/>
                <w:lang w:val="hu-HU"/>
              </w:rPr>
              <w:t xml:space="preserve"> </w:t>
            </w:r>
            <w:r w:rsidR="000405CC">
              <w:rPr>
                <w:rFonts w:asciiTheme="majorBidi" w:eastAsia="Times New Roman" w:hAnsiTheme="majorBidi" w:cstheme="majorBidi"/>
                <w:b/>
                <w:bCs/>
                <w:lang w:val="hu-HU"/>
              </w:rPr>
              <w:t>beadásának helyéről és lássa el az injekció beadásának helyét</w:t>
            </w:r>
          </w:p>
          <w:p w14:paraId="1B201FBA" w14:textId="77777777" w:rsidR="00130E8B" w:rsidRDefault="00130E8B">
            <w:pPr>
              <w:pStyle w:val="a3"/>
              <w:numPr>
                <w:ilvl w:val="0"/>
                <w:numId w:val="0"/>
              </w:numPr>
              <w:ind w:left="471"/>
              <w:rPr>
                <w:rFonts w:asciiTheme="majorBidi" w:hAnsiTheme="majorBidi" w:cstheme="majorBidi"/>
                <w:b/>
                <w:lang w:val="hu-HU"/>
              </w:rPr>
            </w:pPr>
          </w:p>
          <w:p w14:paraId="3A6DE4E2" w14:textId="77CB86A7" w:rsidR="00130E8B" w:rsidRDefault="000405CC" w:rsidP="00FD05AA">
            <w:pPr>
              <w:pStyle w:val="a3"/>
              <w:numPr>
                <w:ilvl w:val="0"/>
                <w:numId w:val="45"/>
              </w:numPr>
              <w:ind w:left="4410" w:hanging="4095"/>
              <w:rPr>
                <w:rFonts w:asciiTheme="majorBidi" w:hAnsiTheme="majorBidi" w:cstheme="majorBidi"/>
                <w:lang w:val="hu-HU"/>
              </w:rPr>
            </w:pPr>
            <w:r>
              <w:rPr>
                <w:rFonts w:asciiTheme="majorBidi" w:eastAsia="Times New Roman" w:hAnsiTheme="majorBidi" w:cstheme="majorBidi"/>
                <w:lang w:val="hu-HU"/>
              </w:rPr>
              <w:t>Miután az előretöltött fecskendő kiürült, távolítsa el az előretöltött fecskendőt a bőréből, ügyelve arra, hogy ugyanolyan szögben húzza ki, mint amilyen szögben beleszúrta.</w:t>
            </w:r>
          </w:p>
          <w:p w14:paraId="24F2826D" w14:textId="55F9BDB6" w:rsidR="00130E8B" w:rsidRDefault="000405CC" w:rsidP="00FD05AA">
            <w:pPr>
              <w:pStyle w:val="a3"/>
              <w:numPr>
                <w:ilvl w:val="0"/>
                <w:numId w:val="45"/>
              </w:numPr>
              <w:ind w:left="4410" w:hanging="4095"/>
              <w:rPr>
                <w:rFonts w:asciiTheme="majorBidi" w:eastAsia="Times New Roman" w:hAnsiTheme="majorBidi" w:cstheme="majorBidi"/>
                <w:lang w:val="hu-HU"/>
              </w:rPr>
            </w:pPr>
            <w:r>
              <w:rPr>
                <w:rFonts w:asciiTheme="majorBidi" w:eastAsia="Times New Roman" w:hAnsiTheme="majorBidi" w:cstheme="majorBidi"/>
                <w:lang w:val="hu-HU"/>
              </w:rPr>
              <w:t>Lássa el az injekció beadásának helyét óvatosan, nyomjon egy vattacsomót vagy gézdarabot a beadási helyre, ne dörzsölje, ha szükséges, használjon ragtapaszt. Csekély vérzés előfordulhat.</w:t>
            </w:r>
          </w:p>
          <w:p w14:paraId="5275D1FB" w14:textId="77777777" w:rsidR="00130E8B" w:rsidRDefault="000405CC">
            <w:pPr>
              <w:pStyle w:val="a3"/>
              <w:rPr>
                <w:rFonts w:asciiTheme="majorBidi" w:hAnsiTheme="majorBidi" w:cstheme="majorBidi"/>
                <w:lang w:val="hu-HU"/>
              </w:rPr>
            </w:pPr>
            <w:r>
              <w:rPr>
                <w:rFonts w:asciiTheme="majorBidi" w:hAnsiTheme="majorBidi" w:cstheme="majorBidi"/>
                <w:lang w:val="hu-HU"/>
              </w:rPr>
              <w:t xml:space="preserve"> </w:t>
            </w:r>
          </w:p>
          <w:p w14:paraId="0D05758F" w14:textId="77777777" w:rsidR="00130E8B" w:rsidRDefault="000405CC">
            <w:pPr>
              <w:pStyle w:val="a3"/>
              <w:rPr>
                <w:rFonts w:asciiTheme="majorBidi" w:hAnsiTheme="majorBidi" w:cstheme="majorBidi"/>
                <w:lang w:val="hu-HU"/>
              </w:rPr>
            </w:pPr>
            <w:r>
              <w:rPr>
                <w:rFonts w:asciiTheme="majorBidi" w:eastAsia="맑은 고딕" w:hAnsiTheme="majorBidi" w:cstheme="majorBidi"/>
                <w:lang w:val="hu-HU"/>
              </w:rPr>
              <w:t>•</w:t>
            </w:r>
            <w:r>
              <w:rPr>
                <w:rFonts w:asciiTheme="majorBidi" w:eastAsia="Times New Roman" w:hAnsiTheme="majorBidi" w:cstheme="majorBidi"/>
                <w:lang w:val="hu-HU"/>
              </w:rPr>
              <w:t xml:space="preserve"> </w:t>
            </w:r>
            <w:r>
              <w:rPr>
                <w:rFonts w:asciiTheme="majorBidi" w:eastAsia="Times New Roman" w:hAnsiTheme="majorBidi" w:cstheme="majorBidi"/>
                <w:b/>
                <w:bCs/>
                <w:lang w:val="hu-HU"/>
              </w:rPr>
              <w:t>Ne</w:t>
            </w:r>
            <w:r>
              <w:rPr>
                <w:rFonts w:asciiTheme="majorBidi" w:eastAsia="Times New Roman" w:hAnsiTheme="majorBidi" w:cstheme="majorBidi"/>
                <w:lang w:val="hu-HU"/>
              </w:rPr>
              <w:t xml:space="preserve"> használja újra azelőretöltött fecskendőt.</w:t>
            </w:r>
          </w:p>
          <w:p w14:paraId="257BAD97" w14:textId="20BECA38" w:rsidR="00130E8B" w:rsidRDefault="000405CC">
            <w:pPr>
              <w:pStyle w:val="a3"/>
              <w:rPr>
                <w:rFonts w:asciiTheme="majorBidi" w:hAnsiTheme="majorBidi" w:cstheme="majorBidi"/>
                <w:lang w:val="hu-HU"/>
              </w:rPr>
            </w:pPr>
            <w:r>
              <w:rPr>
                <w:rFonts w:asciiTheme="majorBidi" w:eastAsia="맑은 고딕" w:hAnsiTheme="majorBidi" w:cstheme="majorBidi"/>
                <w:lang w:val="hu-HU"/>
              </w:rPr>
              <w:t>•</w:t>
            </w:r>
            <w:r>
              <w:rPr>
                <w:rFonts w:asciiTheme="majorBidi" w:eastAsia="Times New Roman" w:hAnsiTheme="majorBidi" w:cstheme="majorBidi"/>
                <w:lang w:val="hu-HU"/>
              </w:rPr>
              <w:t xml:space="preserve"> </w:t>
            </w:r>
            <w:r>
              <w:rPr>
                <w:rFonts w:asciiTheme="majorBidi" w:eastAsia="Times New Roman" w:hAnsiTheme="majorBidi" w:cstheme="majorBidi"/>
                <w:b/>
                <w:bCs/>
                <w:lang w:val="hu-HU"/>
              </w:rPr>
              <w:t xml:space="preserve">Ne </w:t>
            </w:r>
            <w:r>
              <w:rPr>
                <w:rFonts w:asciiTheme="majorBidi" w:eastAsia="Times New Roman" w:hAnsiTheme="majorBidi" w:cstheme="majorBidi"/>
                <w:lang w:val="hu-HU"/>
              </w:rPr>
              <w:t>érintse meg vagy tegye vissza a tűre a tűvédő tokot.</w:t>
            </w:r>
          </w:p>
          <w:p w14:paraId="14BF4E01" w14:textId="51BA265B" w:rsidR="00130E8B" w:rsidRDefault="000405CC">
            <w:pPr>
              <w:pStyle w:val="a3"/>
              <w:rPr>
                <w:rFonts w:asciiTheme="majorBidi" w:hAnsiTheme="majorBidi" w:cstheme="majorBidi"/>
                <w:lang w:val="hu-HU"/>
              </w:rPr>
            </w:pPr>
            <w:r>
              <w:rPr>
                <w:rFonts w:asciiTheme="majorBidi" w:eastAsia="맑은 고딕" w:hAnsiTheme="majorBidi" w:cstheme="majorBidi"/>
                <w:lang w:val="hu-HU"/>
              </w:rPr>
              <w:t>•</w:t>
            </w:r>
            <w:r w:rsidR="00010223">
              <w:rPr>
                <w:rFonts w:asciiTheme="majorBidi" w:eastAsia="맑은 고딕" w:hAnsiTheme="majorBidi" w:cstheme="majorBidi"/>
                <w:lang w:val="hu-HU"/>
              </w:rPr>
              <w:t xml:space="preserve"> </w:t>
            </w:r>
            <w:r>
              <w:rPr>
                <w:rFonts w:asciiTheme="majorBidi" w:eastAsia="맑은 고딕" w:hAnsiTheme="majorBidi" w:cstheme="majorBidi"/>
                <w:b/>
                <w:bCs/>
                <w:lang w:val="hu-HU"/>
              </w:rPr>
              <w:t xml:space="preserve">Ne </w:t>
            </w:r>
            <w:r>
              <w:rPr>
                <w:rFonts w:asciiTheme="majorBidi" w:eastAsia="맑은 고딕" w:hAnsiTheme="majorBidi" w:cstheme="majorBidi"/>
                <w:lang w:val="hu-HU"/>
              </w:rPr>
              <w:t xml:space="preserve">dörzsölje az </w:t>
            </w:r>
            <w:r>
              <w:rPr>
                <w:rFonts w:asciiTheme="majorBidi" w:eastAsia="Times New Roman" w:hAnsiTheme="majorBidi" w:cstheme="majorBidi"/>
                <w:lang w:val="hu-HU"/>
              </w:rPr>
              <w:t xml:space="preserve">injekció </w:t>
            </w:r>
            <w:r>
              <w:rPr>
                <w:rFonts w:asciiTheme="majorBidi" w:eastAsia="맑은 고딕" w:hAnsiTheme="majorBidi" w:cstheme="majorBidi"/>
                <w:lang w:val="hu-HU"/>
              </w:rPr>
              <w:t xml:space="preserve">beadásának </w:t>
            </w:r>
            <w:r>
              <w:rPr>
                <w:rFonts w:asciiTheme="majorBidi" w:eastAsia="Times New Roman" w:hAnsiTheme="majorBidi" w:cstheme="majorBidi"/>
                <w:lang w:val="hu-HU"/>
              </w:rPr>
              <w:t>helyét</w:t>
            </w:r>
            <w:r>
              <w:rPr>
                <w:rFonts w:asciiTheme="majorBidi" w:eastAsia="맑은 고딕" w:hAnsiTheme="majorBidi" w:cstheme="majorBidi"/>
                <w:lang w:val="hu-HU"/>
              </w:rPr>
              <w:t>.</w:t>
            </w:r>
          </w:p>
        </w:tc>
      </w:tr>
      <w:tr w:rsidR="00130E8B" w:rsidRPr="00BE4D18" w14:paraId="009F1AD8" w14:textId="77777777">
        <w:trPr>
          <w:trHeight w:val="5380"/>
        </w:trPr>
        <w:tc>
          <w:tcPr>
            <w:tcW w:w="9209" w:type="dxa"/>
          </w:tcPr>
          <w:p w14:paraId="0FBE3DF2" w14:textId="77777777" w:rsidR="00130E8B" w:rsidRDefault="00130E8B">
            <w:pPr>
              <w:ind w:left="104"/>
              <w:rPr>
                <w:rFonts w:ascii="Times New Roman" w:eastAsia="Times New Roman" w:hAnsi="Times New Roman" w:cs="Times New Roman"/>
                <w:b/>
                <w:bCs/>
                <w:spacing w:val="-1"/>
                <w:lang w:val="hu-HU"/>
              </w:rPr>
            </w:pPr>
          </w:p>
          <w:p w14:paraId="105B1EAB" w14:textId="45EF5FA4" w:rsidR="00130E8B" w:rsidRDefault="00010223">
            <w:pPr>
              <w:pStyle w:val="a3"/>
              <w:rPr>
                <w:lang w:val="hu-HU"/>
              </w:rPr>
            </w:pPr>
            <w:r>
              <w:rPr>
                <w:noProof/>
                <w:lang w:eastAsia="ko-KR"/>
              </w:rPr>
              <mc:AlternateContent>
                <mc:Choice Requires="wpg">
                  <w:drawing>
                    <wp:anchor distT="0" distB="0" distL="114300" distR="114300" simplePos="0" relativeHeight="251658254" behindDoc="0" locked="0" layoutInCell="1" allowOverlap="1" wp14:anchorId="0B34E0B0" wp14:editId="655BCB98">
                      <wp:simplePos x="0" y="0"/>
                      <wp:positionH relativeFrom="column">
                        <wp:posOffset>1905</wp:posOffset>
                      </wp:positionH>
                      <wp:positionV relativeFrom="paragraph">
                        <wp:posOffset>160655</wp:posOffset>
                      </wp:positionV>
                      <wp:extent cx="2123440" cy="2782570"/>
                      <wp:effectExtent l="19050" t="19050" r="10160" b="0"/>
                      <wp:wrapSquare wrapText="bothSides"/>
                      <wp:docPr id="171" name="그룹 171"/>
                      <wp:cNvGraphicFramePr/>
                      <a:graphic xmlns:a="http://schemas.openxmlformats.org/drawingml/2006/main">
                        <a:graphicData uri="http://schemas.microsoft.com/office/word/2010/wordprocessingGroup">
                          <wpg:wgp>
                            <wpg:cNvGrpSpPr/>
                            <wpg:grpSpPr>
                              <a:xfrm>
                                <a:off x="0" y="0"/>
                                <a:ext cx="2123440" cy="2782570"/>
                                <a:chOff x="0" y="0"/>
                                <a:chExt cx="2123440" cy="2782570"/>
                              </a:xfrm>
                            </wpg:grpSpPr>
                            <wps:wsp>
                              <wps:cNvPr id="94" name="Text Box 64"/>
                              <wps:cNvSpPr txBox="1">
                                <a:spLocks/>
                              </wps:cNvSpPr>
                              <wps:spPr>
                                <a:xfrm>
                                  <a:off x="1402080" y="2636520"/>
                                  <a:ext cx="719455" cy="146050"/>
                                </a:xfrm>
                                <a:prstGeom prst="rect">
                                  <a:avLst/>
                                </a:prstGeom>
                                <a:solidFill>
                                  <a:prstClr val="white"/>
                                </a:solidFill>
                                <a:ln>
                                  <a:noFill/>
                                </a:ln>
                              </wps:spPr>
                              <wps:txbx>
                                <w:txbxContent>
                                  <w:p w14:paraId="66F349DF" w14:textId="19E6E0F4"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L. </w:t>
                                    </w:r>
                                    <w:r>
                                      <w:rPr>
                                        <w:rFonts w:ascii="Times New Roman" w:eastAsia="Times New Roman" w:hAnsi="Times New Roman" w:cs="Times New Roman"/>
                                        <w:lang w:val="hu-HU"/>
                                      </w:rPr>
                                      <w:t>Ábra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30" name="그림 130"/>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23440" cy="2606675"/>
                                </a:xfrm>
                                <a:prstGeom prst="rect">
                                  <a:avLst/>
                                </a:prstGeom>
                                <a:ln w="12700">
                                  <a:solidFill>
                                    <a:schemeClr val="tx1">
                                      <a:lumMod val="65000"/>
                                      <a:lumOff val="35000"/>
                                    </a:schemeClr>
                                  </a:solidFill>
                                </a:ln>
                              </pic:spPr>
                            </pic:pic>
                          </wpg:wgp>
                        </a:graphicData>
                      </a:graphic>
                    </wp:anchor>
                  </w:drawing>
                </mc:Choice>
                <mc:Fallback>
                  <w:pict>
                    <v:group w14:anchorId="0B34E0B0" id="그룹 171" o:spid="_x0000_s1057" style="position:absolute;margin-left:.15pt;margin-top:12.65pt;width:167.2pt;height:219.1pt;z-index:251658254" coordsize="21234,278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">
                      <v:shape id="Text Box 64" o:spid="_x0000_s1058" type="#_x0000_t202" style="position:absolute;left:14020;top:26365;width:7195;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" stroked="f">
                        <v:textbox style="mso-fit-shape-to-text:t" inset="0,0,0,0">
                          <w:txbxContent>
                            <w:p w14:paraId="66F349DF" w14:textId="19E6E0F4"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L. </w:t>
                              </w:r>
                              <w:r>
                                <w:rPr>
                                  <w:rFonts w:ascii="Times New Roman" w:eastAsia="Times New Roman" w:hAnsi="Times New Roman" w:cs="Times New Roman"/>
                                  <w:lang w:val="hu-HU"/>
                                </w:rPr>
                                <w:t>Ábra</w:t>
                              </w:r>
                            </w:p>
                          </w:txbxContent>
                        </v:textbox>
                      </v:shape>
                      <v:shape id="그림 130" o:spid="_x0000_s1059" type="#_x0000_t75" style="position:absolute;width:21234;height:26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" stroked="t" strokecolor="#5a5a5a [2109]" strokeweight="1pt">
                        <v:imagedata r:id="rId49" o:title=""/>
                        <v:path arrowok="t"/>
                      </v:shape>
                      <w10:wrap type="square"/>
                    </v:group>
                  </w:pict>
                </mc:Fallback>
              </mc:AlternateContent>
            </w:r>
          </w:p>
          <w:p w14:paraId="12B450FA" w14:textId="0DFCCA65" w:rsidR="00130E8B" w:rsidRDefault="00130E8B">
            <w:pPr>
              <w:pStyle w:val="a3"/>
              <w:rPr>
                <w:lang w:val="hu-HU"/>
              </w:rPr>
            </w:pPr>
          </w:p>
          <w:p w14:paraId="2A934BE8" w14:textId="77777777" w:rsidR="00130E8B" w:rsidRPr="00010223" w:rsidRDefault="000405CC">
            <w:pPr>
              <w:pStyle w:val="a3"/>
              <w:numPr>
                <w:ilvl w:val="0"/>
                <w:numId w:val="21"/>
              </w:numPr>
              <w:rPr>
                <w:b/>
                <w:lang w:val="hu-HU"/>
              </w:rPr>
            </w:pPr>
            <w:r w:rsidRPr="00010223">
              <w:rPr>
                <w:rFonts w:eastAsia="Times New Roman"/>
                <w:b/>
                <w:bCs/>
                <w:lang w:val="hu-HU"/>
              </w:rPr>
              <w:t xml:space="preserve">Az előretöltött </w:t>
            </w:r>
            <w:r w:rsidRPr="001E2F31">
              <w:rPr>
                <w:rFonts w:eastAsia="Times New Roman"/>
                <w:b/>
                <w:lang w:val="hu-HU"/>
              </w:rPr>
              <w:t>fecskendő eldobása.</w:t>
            </w:r>
          </w:p>
          <w:p w14:paraId="6FD3C8E3" w14:textId="77777777" w:rsidR="00130E8B" w:rsidRDefault="000405CC">
            <w:pPr>
              <w:pStyle w:val="a3"/>
              <w:ind w:left="3960" w:hanging="3960"/>
              <w:rPr>
                <w:b/>
                <w:lang w:val="hu-HU"/>
              </w:rPr>
            </w:pPr>
            <w:r>
              <w:rPr>
                <w:rFonts w:ascii="맑은 고딕" w:eastAsia="맑은 고딕" w:hAnsi="맑은 고딕"/>
                <w:lang w:val="hu-HU"/>
              </w:rPr>
              <w:t>•</w:t>
            </w:r>
            <w:r>
              <w:rPr>
                <w:rFonts w:eastAsia="Times New Roman"/>
                <w:lang w:val="hu-HU"/>
              </w:rPr>
              <w:tab/>
            </w:r>
            <w:r>
              <w:rPr>
                <w:rFonts w:eastAsia="Times New Roman"/>
                <w:b/>
                <w:bCs/>
                <w:lang w:val="hu-HU"/>
              </w:rPr>
              <w:t>Ne</w:t>
            </w:r>
            <w:r>
              <w:rPr>
                <w:rFonts w:eastAsia="Times New Roman"/>
                <w:lang w:val="hu-HU"/>
              </w:rPr>
              <w:t xml:space="preserve"> rakja vissza a tűvédő tokot az előretöltött fecskendőre.</w:t>
            </w:r>
          </w:p>
          <w:p w14:paraId="2ACEA2DA" w14:textId="77777777" w:rsidR="00130E8B" w:rsidRDefault="000405CC" w:rsidP="001E2F31">
            <w:pPr>
              <w:pStyle w:val="a3"/>
              <w:numPr>
                <w:ilvl w:val="0"/>
                <w:numId w:val="0"/>
              </w:numPr>
              <w:ind w:left="3969"/>
              <w:rPr>
                <w:lang w:val="hu-HU"/>
              </w:rPr>
            </w:pPr>
            <w:r>
              <w:rPr>
                <w:rFonts w:eastAsia="Times New Roman"/>
                <w:b/>
                <w:bCs/>
                <w:lang w:val="hu-HU"/>
              </w:rPr>
              <w:t xml:space="preserve">a. </w:t>
            </w:r>
            <w:r>
              <w:rPr>
                <w:rFonts w:eastAsia="Times New Roman"/>
                <w:lang w:val="hu-HU"/>
              </w:rPr>
              <w:t>Dobja a használt előretöltött fecskendőt</w:t>
            </w:r>
          </w:p>
          <w:p w14:paraId="544A5EBC" w14:textId="77777777" w:rsidR="00130E8B" w:rsidRDefault="000405CC" w:rsidP="001E2F31">
            <w:pPr>
              <w:pStyle w:val="a3"/>
              <w:ind w:left="3969"/>
              <w:rPr>
                <w:lang w:val="hu-HU"/>
              </w:rPr>
            </w:pPr>
            <w:r>
              <w:rPr>
                <w:rFonts w:eastAsia="Times New Roman"/>
                <w:lang w:val="hu-HU"/>
              </w:rPr>
              <w:t>az éles tárgyak tárolására szolgáló speciális tartályba a kezelőorvosa gyógyszerésze vagy a gondozását végző egészségügyi szakember utasításai szerint.</w:t>
            </w:r>
          </w:p>
          <w:p w14:paraId="48002861" w14:textId="5344E1EF" w:rsidR="00130E8B" w:rsidRDefault="000405CC" w:rsidP="001E2F31">
            <w:pPr>
              <w:pStyle w:val="a3"/>
              <w:ind w:left="3969"/>
              <w:rPr>
                <w:lang w:val="hu-HU"/>
              </w:rPr>
            </w:pPr>
            <w:r>
              <w:rPr>
                <w:rFonts w:eastAsia="Times New Roman"/>
                <w:b/>
                <w:bCs/>
                <w:lang w:val="hu-HU"/>
              </w:rPr>
              <w:t>b.</w:t>
            </w:r>
            <w:r w:rsidRPr="001E2F31">
              <w:rPr>
                <w:rFonts w:eastAsia="Times New Roman"/>
                <w:bCs/>
                <w:lang w:val="hu-HU"/>
              </w:rPr>
              <w:t xml:space="preserve"> A</w:t>
            </w:r>
            <w:r w:rsidRPr="00010223">
              <w:rPr>
                <w:rFonts w:eastAsia="Times New Roman"/>
                <w:lang w:val="hu-HU"/>
              </w:rPr>
              <w:t>z</w:t>
            </w:r>
            <w:r>
              <w:rPr>
                <w:rFonts w:eastAsia="Times New Roman"/>
                <w:lang w:val="hu-HU"/>
              </w:rPr>
              <w:t xml:space="preserve"> alkoholos törlőt és a csomagolás</w:t>
            </w:r>
            <w:r w:rsidR="009F451D">
              <w:rPr>
                <w:rFonts w:eastAsia="Times New Roman"/>
                <w:lang w:val="hu-HU"/>
              </w:rPr>
              <w:t xml:space="preserve">t </w:t>
            </w:r>
            <w:r>
              <w:rPr>
                <w:rFonts w:eastAsia="Times New Roman"/>
                <w:lang w:val="hu-HU"/>
              </w:rPr>
              <w:t>a háztartási hulladékba helyezheti.</w:t>
            </w:r>
          </w:p>
          <w:p w14:paraId="4919DDF7" w14:textId="77777777" w:rsidR="00130E8B" w:rsidRDefault="000405CC">
            <w:pPr>
              <w:pStyle w:val="a3"/>
              <w:ind w:left="3960" w:hanging="3960"/>
              <w:rPr>
                <w:lang w:val="hu-HU"/>
              </w:rPr>
            </w:pPr>
            <w:r>
              <w:rPr>
                <w:rFonts w:ascii="맑은 고딕" w:eastAsia="맑은 고딕" w:hAnsi="맑은 고딕"/>
                <w:lang w:val="hu-HU"/>
              </w:rPr>
              <w:t>•</w:t>
            </w:r>
            <w:r>
              <w:rPr>
                <w:rFonts w:eastAsia="Times New Roman"/>
                <w:lang w:val="hu-HU"/>
              </w:rPr>
              <w:tab/>
              <w:t>Az előretöltött fecskendőt és a külön, éles tárgyak tárolására szolgáló speciális tartályt a gyermekek elől elzárva kell tartani.</w:t>
            </w:r>
          </w:p>
          <w:p w14:paraId="00652693" w14:textId="77777777" w:rsidR="00130E8B" w:rsidRDefault="00130E8B">
            <w:pPr>
              <w:pStyle w:val="a3"/>
              <w:rPr>
                <w:lang w:val="hu-HU"/>
              </w:rPr>
            </w:pPr>
          </w:p>
          <w:p w14:paraId="438580B6" w14:textId="77777777" w:rsidR="00130E8B" w:rsidRDefault="00130E8B">
            <w:pPr>
              <w:pStyle w:val="a3"/>
              <w:rPr>
                <w:lang w:val="hu-HU"/>
              </w:rPr>
            </w:pPr>
          </w:p>
          <w:p w14:paraId="73A79F81" w14:textId="1AA58C00" w:rsidR="00130E8B" w:rsidRDefault="00130E8B">
            <w:pPr>
              <w:pStyle w:val="a3"/>
              <w:rPr>
                <w:spacing w:val="-1"/>
                <w:lang w:val="hu-HU"/>
              </w:rPr>
            </w:pPr>
          </w:p>
        </w:tc>
      </w:tr>
    </w:tbl>
    <w:p w14:paraId="72D5710F" w14:textId="77777777" w:rsidR="00130E8B" w:rsidRDefault="00130E8B">
      <w:pPr>
        <w:spacing w:line="241" w:lineRule="auto"/>
        <w:rPr>
          <w:lang w:val="hu-HU"/>
        </w:rPr>
      </w:pPr>
    </w:p>
    <w:p w14:paraId="015F4D2E" w14:textId="77777777" w:rsidR="00130E8B" w:rsidRDefault="000405CC">
      <w:pPr>
        <w:rPr>
          <w:lang w:val="hu-HU"/>
        </w:rPr>
      </w:pPr>
      <w:r>
        <w:rPr>
          <w:lang w:val="hu-HU"/>
        </w:rPr>
        <w:br w:type="page"/>
      </w:r>
    </w:p>
    <w:p w14:paraId="40209EF9" w14:textId="77777777" w:rsidR="00130E8B" w:rsidRDefault="00130E8B">
      <w:pPr>
        <w:numPr>
          <w:ilvl w:val="12"/>
          <w:numId w:val="0"/>
        </w:numPr>
        <w:rPr>
          <w:rFonts w:ascii="Times New Roman" w:hAnsi="Times New Roman" w:cs="Times New Roman"/>
          <w:b/>
          <w:noProof/>
          <w:lang w:val="hu-HU"/>
        </w:rPr>
      </w:pPr>
    </w:p>
    <w:p w14:paraId="3E7F9851" w14:textId="77777777" w:rsidR="00130E8B" w:rsidRDefault="00130E8B">
      <w:pPr>
        <w:spacing w:before="17" w:line="240" w:lineRule="exact"/>
        <w:rPr>
          <w:sz w:val="24"/>
          <w:szCs w:val="24"/>
          <w:lang w:val="hu-HU"/>
        </w:rPr>
      </w:pPr>
    </w:p>
    <w:p w14:paraId="400322E8" w14:textId="1D318F70" w:rsidR="00130E8B" w:rsidRDefault="000405CC">
      <w:pPr>
        <w:pStyle w:val="a3"/>
        <w:rPr>
          <w:b/>
          <w:lang w:val="hu-HU"/>
        </w:rPr>
      </w:pPr>
      <w:r w:rsidRPr="000405CC">
        <w:rPr>
          <w:rFonts w:eastAsia="Times New Roman"/>
          <w:b/>
          <w:bCs/>
          <w:highlight w:val="lightGray"/>
          <w:lang w:val="hu-HU"/>
        </w:rPr>
        <w:t>Yuflyma előretöltött injekciós fecskendő tűvédővel</w:t>
      </w:r>
    </w:p>
    <w:p w14:paraId="5DE160B3" w14:textId="1FF23376" w:rsidR="00B11505" w:rsidRDefault="00B11505">
      <w:pPr>
        <w:pStyle w:val="a3"/>
        <w:rPr>
          <w:lang w:val="hu-HU"/>
        </w:rPr>
      </w:pPr>
      <w:r w:rsidRPr="00B11505">
        <w:rPr>
          <w:rFonts w:eastAsia="Times New Roman"/>
          <w:b/>
          <w:bCs/>
          <w:noProof/>
          <w:sz w:val="20"/>
          <w:szCs w:val="20"/>
          <w:lang w:eastAsia="ko-KR"/>
        </w:rPr>
        <w:drawing>
          <wp:anchor distT="0" distB="0" distL="114300" distR="114300" simplePos="0" relativeHeight="251658265" behindDoc="0" locked="0" layoutInCell="1" allowOverlap="1" wp14:anchorId="209DC846" wp14:editId="0D9E6CF3">
            <wp:simplePos x="0" y="0"/>
            <wp:positionH relativeFrom="column">
              <wp:posOffset>1136650</wp:posOffset>
            </wp:positionH>
            <wp:positionV relativeFrom="paragraph">
              <wp:posOffset>208915</wp:posOffset>
            </wp:positionV>
            <wp:extent cx="4021455" cy="3686175"/>
            <wp:effectExtent l="0" t="0" r="0" b="9525"/>
            <wp:wrapTopAndBottom/>
            <wp:docPr id="182"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그림 9"/>
                    <pic:cNvPicPr>
                      <a:picLocks noChangeAspect="1"/>
                    </pic:cNvPicPr>
                  </pic:nvPicPr>
                  <pic:blipFill rotWithShape="1">
                    <a:blip r:embed="rId50" cstate="print">
                      <a:extLst>
                        <a:ext uri="{28A0092B-C50C-407E-A947-70E740481C1C}">
                          <a14:useLocalDpi xmlns:a14="http://schemas.microsoft.com/office/drawing/2010/main" val="0"/>
                        </a:ext>
                      </a:extLst>
                    </a:blip>
                    <a:srcRect/>
                    <a:stretch/>
                  </pic:blipFill>
                  <pic:spPr>
                    <a:xfrm>
                      <a:off x="0" y="0"/>
                      <a:ext cx="4021455" cy="3686175"/>
                    </a:xfrm>
                    <a:prstGeom prst="rect">
                      <a:avLst/>
                    </a:prstGeom>
                  </pic:spPr>
                </pic:pic>
              </a:graphicData>
            </a:graphic>
            <wp14:sizeRelH relativeFrom="page">
              <wp14:pctWidth>0</wp14:pctWidth>
            </wp14:sizeRelH>
            <wp14:sizeRelV relativeFrom="page">
              <wp14:pctHeight>0</wp14:pctHeight>
            </wp14:sizeRelV>
          </wp:anchor>
        </w:drawing>
      </w:r>
    </w:p>
    <w:p w14:paraId="06DDA441" w14:textId="30CB9B96" w:rsidR="00130E8B" w:rsidRDefault="000405CC">
      <w:pPr>
        <w:spacing w:before="10" w:line="240" w:lineRule="exact"/>
        <w:ind w:left="6480" w:firstLineChars="500" w:firstLine="1001"/>
        <w:rPr>
          <w:rFonts w:ascii="Times New Roman" w:hAnsi="Times New Roman" w:cs="Times New Roman"/>
          <w:b/>
          <w:sz w:val="20"/>
          <w:szCs w:val="24"/>
          <w:lang w:val="hu-HU" w:eastAsia="ko-KR"/>
        </w:rPr>
      </w:pPr>
      <w:r w:rsidRPr="00543C3D">
        <w:rPr>
          <w:rFonts w:ascii="Times New Roman" w:eastAsia="Times New Roman" w:hAnsi="Times New Roman" w:cs="Times New Roman"/>
          <w:b/>
          <w:bCs/>
          <w:sz w:val="20"/>
          <w:szCs w:val="20"/>
          <w:highlight w:val="lightGray"/>
          <w:lang w:val="hu-HU" w:eastAsia="ko-KR"/>
        </w:rPr>
        <w:t>A. ábra</w:t>
      </w:r>
    </w:p>
    <w:p w14:paraId="7FF309E1" w14:textId="77777777" w:rsidR="00130E8B" w:rsidRDefault="00130E8B">
      <w:pPr>
        <w:spacing w:before="10" w:line="240" w:lineRule="exact"/>
        <w:rPr>
          <w:sz w:val="24"/>
          <w:szCs w:val="24"/>
          <w:lang w:val="hu-HU"/>
        </w:rPr>
      </w:pPr>
    </w:p>
    <w:p w14:paraId="29CF0CC1" w14:textId="77777777" w:rsidR="00130E8B" w:rsidRPr="004B23C8" w:rsidRDefault="000405CC">
      <w:pPr>
        <w:pStyle w:val="a3"/>
        <w:rPr>
          <w:b/>
          <w:highlight w:val="lightGray"/>
          <w:lang w:val="hu-HU"/>
        </w:rPr>
      </w:pPr>
      <w:r w:rsidRPr="004B23C8">
        <w:rPr>
          <w:rFonts w:eastAsia="Times New Roman"/>
          <w:b/>
          <w:bCs/>
          <w:highlight w:val="lightGray"/>
          <w:lang w:val="hu-HU"/>
        </w:rPr>
        <w:t>Azelőretöltött fecskendőt ne használja fel, ha:</w:t>
      </w:r>
    </w:p>
    <w:p w14:paraId="07290017" w14:textId="0E0E78E8" w:rsidR="00130E8B" w:rsidRPr="004B23C8" w:rsidRDefault="000405CC">
      <w:pPr>
        <w:pStyle w:val="a3"/>
        <w:numPr>
          <w:ilvl w:val="1"/>
          <w:numId w:val="23"/>
        </w:numPr>
        <w:ind w:left="660" w:hanging="660"/>
        <w:rPr>
          <w:highlight w:val="lightGray"/>
          <w:lang w:val="hu-HU"/>
        </w:rPr>
      </w:pPr>
      <w:r w:rsidRPr="004B23C8">
        <w:rPr>
          <w:rFonts w:eastAsia="Times New Roman"/>
          <w:highlight w:val="lightGray"/>
          <w:lang w:val="hu-HU"/>
        </w:rPr>
        <w:t>megrepedt vagy sérült</w:t>
      </w:r>
      <w:r w:rsidR="00027D55">
        <w:rPr>
          <w:rFonts w:eastAsia="Times New Roman"/>
          <w:highlight w:val="lightGray"/>
          <w:lang w:val="hu-HU"/>
        </w:rPr>
        <w:t>.</w:t>
      </w:r>
    </w:p>
    <w:p w14:paraId="4AF519C4" w14:textId="77777777" w:rsidR="00130E8B" w:rsidRPr="00027D55" w:rsidRDefault="000405CC">
      <w:pPr>
        <w:pStyle w:val="a3"/>
        <w:numPr>
          <w:ilvl w:val="1"/>
          <w:numId w:val="23"/>
        </w:numPr>
        <w:ind w:left="660" w:hanging="660"/>
        <w:rPr>
          <w:rFonts w:eastAsia="Times New Roman"/>
          <w:highlight w:val="lightGray"/>
          <w:lang w:val="hu-HU"/>
        </w:rPr>
      </w:pPr>
      <w:r w:rsidRPr="004B23C8">
        <w:rPr>
          <w:rFonts w:eastAsia="Times New Roman"/>
          <w:highlight w:val="lightGray"/>
          <w:lang w:val="hu-HU"/>
        </w:rPr>
        <w:t>a lejárati idő lejárt.</w:t>
      </w:r>
    </w:p>
    <w:p w14:paraId="47EF2CAC" w14:textId="061DD2CD" w:rsidR="00027D55" w:rsidRPr="004B23C8" w:rsidRDefault="00027D55">
      <w:pPr>
        <w:pStyle w:val="a3"/>
        <w:numPr>
          <w:ilvl w:val="1"/>
          <w:numId w:val="23"/>
        </w:numPr>
        <w:ind w:left="660" w:hanging="660"/>
        <w:rPr>
          <w:highlight w:val="lightGray"/>
          <w:lang w:val="hu-HU"/>
        </w:rPr>
      </w:pPr>
      <w:r w:rsidRPr="00FB6A69">
        <w:rPr>
          <w:rFonts w:eastAsia="Times New Roman"/>
          <w:highlight w:val="lightGray"/>
          <w:lang w:val="hu-HU"/>
        </w:rPr>
        <w:t>kemény felületre ejtette.</w:t>
      </w:r>
    </w:p>
    <w:p w14:paraId="37EA62DF" w14:textId="77777777" w:rsidR="00130E8B" w:rsidRPr="004B23C8" w:rsidRDefault="00130E8B">
      <w:pPr>
        <w:pStyle w:val="Default"/>
        <w:numPr>
          <w:ilvl w:val="2"/>
          <w:numId w:val="20"/>
        </w:numPr>
        <w:ind w:left="360"/>
        <w:rPr>
          <w:color w:val="211D1E"/>
          <w:sz w:val="20"/>
          <w:szCs w:val="20"/>
          <w:highlight w:val="lightGray"/>
          <w:lang w:val="hu-HU"/>
        </w:rPr>
      </w:pPr>
    </w:p>
    <w:p w14:paraId="35DFE9B7" w14:textId="61752ED5" w:rsidR="00130E8B" w:rsidRDefault="000405CC">
      <w:pPr>
        <w:pStyle w:val="a3"/>
        <w:rPr>
          <w:b/>
          <w:lang w:val="hu-HU"/>
        </w:rPr>
      </w:pPr>
      <w:r w:rsidRPr="004B23C8">
        <w:rPr>
          <w:rFonts w:eastAsia="Times New Roman"/>
          <w:b/>
          <w:bCs/>
          <w:highlight w:val="lightGray"/>
          <w:lang w:val="hu-HU"/>
        </w:rPr>
        <w:t>A tűvédő tokot ne távolítsa el, csak közvetlenül az injekció beadása előtt. A Yuflyma gyermekektől elzárva tartandó</w:t>
      </w:r>
      <w:r w:rsidR="00E91FF7">
        <w:rPr>
          <w:rFonts w:eastAsia="Times New Roman"/>
          <w:b/>
          <w:bCs/>
          <w:highlight w:val="lightGray"/>
          <w:lang w:val="hu-HU"/>
        </w:rPr>
        <w:t>.</w:t>
      </w:r>
    </w:p>
    <w:p w14:paraId="6A15F01D" w14:textId="3F8FC807" w:rsidR="00130E8B" w:rsidRDefault="00130E8B">
      <w:pPr>
        <w:rPr>
          <w:rFonts w:ascii="Times New Roman" w:eastAsia="Times New Roman" w:hAnsi="Times New Roman"/>
          <w:b/>
          <w:bCs/>
          <w:spacing w:val="-1"/>
          <w:lang w:val="hu-HU"/>
        </w:rPr>
      </w:pPr>
    </w:p>
    <w:tbl>
      <w:tblPr>
        <w:tblStyle w:val="ac"/>
        <w:tblW w:w="0" w:type="auto"/>
        <w:tblLook w:val="04A0" w:firstRow="1" w:lastRow="0" w:firstColumn="1" w:lastColumn="0" w:noHBand="0" w:noVBand="1"/>
      </w:tblPr>
      <w:tblGrid>
        <w:gridCol w:w="9550"/>
      </w:tblGrid>
      <w:tr w:rsidR="00130E8B" w:rsidRPr="00BE4D18" w14:paraId="107C2B68" w14:textId="77777777" w:rsidTr="00FB6A69">
        <w:trPr>
          <w:trHeight w:val="416"/>
        </w:trPr>
        <w:tc>
          <w:tcPr>
            <w:tcW w:w="9550" w:type="dxa"/>
          </w:tcPr>
          <w:p w14:paraId="66A9722F" w14:textId="77777777" w:rsidR="00130E8B" w:rsidRPr="000405CC" w:rsidRDefault="00130E8B">
            <w:pPr>
              <w:ind w:left="224" w:right="1248"/>
              <w:rPr>
                <w:rFonts w:ascii="Times New Roman" w:eastAsia="Times New Roman" w:hAnsi="Times New Roman" w:cs="Times New Roman"/>
                <w:b/>
                <w:bCs/>
                <w:spacing w:val="-1"/>
                <w:highlight w:val="lightGray"/>
                <w:lang w:val="hu-HU"/>
              </w:rPr>
            </w:pPr>
          </w:p>
          <w:p w14:paraId="0D8E5343" w14:textId="77777777" w:rsidR="00130E8B" w:rsidRPr="000405CC" w:rsidRDefault="00130E8B">
            <w:pPr>
              <w:spacing w:before="9" w:line="240" w:lineRule="exact"/>
              <w:rPr>
                <w:sz w:val="24"/>
                <w:szCs w:val="24"/>
                <w:highlight w:val="lightGray"/>
                <w:lang w:val="hu-HU"/>
              </w:rPr>
            </w:pPr>
          </w:p>
          <w:p w14:paraId="281CF12E" w14:textId="77777777" w:rsidR="00130E8B" w:rsidRPr="00010223" w:rsidRDefault="000405CC">
            <w:pPr>
              <w:pStyle w:val="a3"/>
              <w:numPr>
                <w:ilvl w:val="0"/>
                <w:numId w:val="22"/>
              </w:numPr>
              <w:ind w:leftChars="100" w:left="580"/>
              <w:rPr>
                <w:b/>
                <w:highlight w:val="lightGray"/>
                <w:lang w:val="hu-HU"/>
              </w:rPr>
            </w:pPr>
            <w:r w:rsidRPr="00010223">
              <w:rPr>
                <w:rFonts w:eastAsia="Times New Roman"/>
                <w:b/>
                <w:bCs/>
                <w:highlight w:val="lightGray"/>
                <w:lang w:val="hu-HU"/>
              </w:rPr>
              <w:t xml:space="preserve">Készítse elő az </w:t>
            </w:r>
            <w:r w:rsidRPr="001E2F31">
              <w:rPr>
                <w:rFonts w:eastAsia="Times New Roman"/>
                <w:b/>
                <w:highlight w:val="lightGray"/>
                <w:lang w:val="hu-HU"/>
              </w:rPr>
              <w:t>injekció beadásához szükséges eszközöket.</w:t>
            </w:r>
          </w:p>
          <w:p w14:paraId="795D4241" w14:textId="77777777" w:rsidR="00130E8B" w:rsidRPr="000405CC" w:rsidRDefault="00130E8B">
            <w:pPr>
              <w:pStyle w:val="a3"/>
              <w:numPr>
                <w:ilvl w:val="0"/>
                <w:numId w:val="0"/>
              </w:numPr>
              <w:ind w:left="580"/>
              <w:rPr>
                <w:b/>
                <w:highlight w:val="lightGray"/>
                <w:lang w:val="hu-HU"/>
              </w:rPr>
            </w:pPr>
          </w:p>
          <w:p w14:paraId="09C3C1EF" w14:textId="67929644" w:rsidR="00130E8B" w:rsidRPr="000405CC" w:rsidRDefault="000405CC" w:rsidP="001E2F31">
            <w:pPr>
              <w:pStyle w:val="a3"/>
              <w:ind w:leftChars="100" w:left="771" w:hangingChars="250" w:hanging="551"/>
              <w:rPr>
                <w:highlight w:val="lightGray"/>
                <w:lang w:val="hu-HU" w:eastAsia="ko-KR"/>
              </w:rPr>
            </w:pPr>
            <w:r w:rsidRPr="000405CC">
              <w:rPr>
                <w:rFonts w:eastAsia="Times New Roman"/>
                <w:b/>
                <w:bCs/>
                <w:highlight w:val="lightGray"/>
                <w:lang w:val="hu-HU" w:eastAsia="ko-KR"/>
              </w:rPr>
              <w:t xml:space="preserve">      a. </w:t>
            </w:r>
            <w:r w:rsidRPr="001E2F31">
              <w:rPr>
                <w:rFonts w:eastAsia="Times New Roman"/>
                <w:bCs/>
                <w:highlight w:val="lightGray"/>
                <w:lang w:val="hu-HU" w:eastAsia="ko-KR"/>
              </w:rPr>
              <w:t>K</w:t>
            </w:r>
            <w:r w:rsidRPr="000405CC">
              <w:rPr>
                <w:rFonts w:eastAsia="Times New Roman"/>
                <w:highlight w:val="lightGray"/>
                <w:lang w:val="hu-HU" w:eastAsia="ko-KR"/>
              </w:rPr>
              <w:t xml:space="preserve">észítse elő a szükséges eszközöket egy tiszta, </w:t>
            </w:r>
            <w:r w:rsidR="00144AFB">
              <w:rPr>
                <w:rFonts w:eastAsia="Times New Roman"/>
                <w:highlight w:val="lightGray"/>
                <w:lang w:val="hu-HU" w:eastAsia="ko-KR"/>
              </w:rPr>
              <w:t>síma</w:t>
            </w:r>
            <w:r w:rsidR="00144AFB" w:rsidRPr="000405CC">
              <w:rPr>
                <w:rFonts w:eastAsia="Times New Roman"/>
                <w:highlight w:val="lightGray"/>
                <w:lang w:val="hu-HU" w:eastAsia="ko-KR"/>
              </w:rPr>
              <w:t xml:space="preserve"> </w:t>
            </w:r>
            <w:r w:rsidRPr="000405CC">
              <w:rPr>
                <w:rFonts w:eastAsia="Times New Roman"/>
                <w:highlight w:val="lightGray"/>
                <w:lang w:val="hu-HU" w:eastAsia="ko-KR"/>
              </w:rPr>
              <w:t>felületen, például az asztalon vagy a konyhapulton:</w:t>
            </w:r>
          </w:p>
          <w:p w14:paraId="35F3AD4A" w14:textId="77777777" w:rsidR="00130E8B" w:rsidRPr="000405CC" w:rsidRDefault="000405CC">
            <w:pPr>
              <w:pStyle w:val="a3"/>
              <w:ind w:leftChars="100" w:left="220"/>
              <w:rPr>
                <w:highlight w:val="lightGray"/>
                <w:lang w:val="hu-HU" w:eastAsia="ko-KR"/>
              </w:rPr>
            </w:pPr>
            <w:r w:rsidRPr="000405CC">
              <w:rPr>
                <w:rFonts w:eastAsia="Times New Roman"/>
                <w:b/>
                <w:bCs/>
                <w:highlight w:val="lightGray"/>
                <w:lang w:val="hu-HU" w:eastAsia="ko-KR"/>
              </w:rPr>
              <w:t xml:space="preserve">     b. </w:t>
            </w:r>
            <w:r w:rsidRPr="000405CC">
              <w:rPr>
                <w:rFonts w:eastAsia="Times New Roman"/>
                <w:highlight w:val="lightGray"/>
                <w:lang w:val="hu-HU" w:eastAsia="ko-KR"/>
              </w:rPr>
              <w:t>Vegyen ki 1 előretöltött fecskendőt a hűtőszekrényben tárolt dobozból.</w:t>
            </w:r>
          </w:p>
          <w:p w14:paraId="604BC3F3" w14:textId="7D9B9653" w:rsidR="00130E8B" w:rsidRPr="000405CC" w:rsidRDefault="000405CC" w:rsidP="001E2F31">
            <w:pPr>
              <w:pStyle w:val="a3"/>
              <w:ind w:leftChars="350" w:left="990" w:rightChars="100" w:right="220" w:hangingChars="100" w:hanging="220"/>
              <w:rPr>
                <w:highlight w:val="lightGray"/>
                <w:lang w:val="hu-HU" w:eastAsia="ko-KR"/>
              </w:rPr>
            </w:pPr>
            <w:r w:rsidRPr="000405CC">
              <w:rPr>
                <w:rFonts w:ascii="맑은 고딕" w:eastAsia="맑은 고딕" w:hAnsi="맑은 고딕"/>
                <w:highlight w:val="lightGray"/>
                <w:lang w:val="hu-HU" w:eastAsia="ko-KR"/>
              </w:rPr>
              <w:t>•</w:t>
            </w:r>
            <w:r w:rsidR="00010223">
              <w:rPr>
                <w:rFonts w:ascii="맑은 고딕" w:eastAsia="맑은 고딕" w:hAnsi="맑은 고딕"/>
                <w:highlight w:val="lightGray"/>
                <w:lang w:val="hu-HU" w:eastAsia="ko-KR"/>
              </w:rPr>
              <w:t xml:space="preserve">  </w:t>
            </w:r>
            <w:r w:rsidRPr="000405CC">
              <w:rPr>
                <w:rFonts w:eastAsia="Times New Roman"/>
                <w:highlight w:val="lightGray"/>
                <w:lang w:val="hu-HU" w:eastAsia="ko-KR"/>
              </w:rPr>
              <w:t>Az előretöltött fecskendő testét fogja meg, amiko</w:t>
            </w:r>
            <w:r w:rsidRPr="00010223">
              <w:rPr>
                <w:rFonts w:eastAsia="Times New Roman"/>
                <w:highlight w:val="lightGray"/>
                <w:lang w:val="hu-HU" w:eastAsia="ko-KR"/>
              </w:rPr>
              <w:t>r</w:t>
            </w:r>
            <w:r w:rsidRPr="001E2F31">
              <w:rPr>
                <w:rFonts w:eastAsia="Times New Roman"/>
                <w:bCs/>
                <w:highlight w:val="lightGray"/>
                <w:lang w:val="hu-HU" w:eastAsia="ko-KR"/>
              </w:rPr>
              <w:t xml:space="preserve"> kiveszi a dobozból.</w:t>
            </w:r>
            <w:r w:rsidRPr="000405CC">
              <w:rPr>
                <w:rFonts w:eastAsia="Times New Roman"/>
                <w:b/>
                <w:bCs/>
                <w:highlight w:val="lightGray"/>
                <w:lang w:val="hu-HU" w:eastAsia="ko-KR"/>
              </w:rPr>
              <w:t xml:space="preserve"> Ne </w:t>
            </w:r>
            <w:r w:rsidRPr="000405CC">
              <w:rPr>
                <w:rFonts w:eastAsia="Times New Roman"/>
                <w:highlight w:val="lightGray"/>
                <w:lang w:val="hu-HU" w:eastAsia="ko-KR"/>
              </w:rPr>
              <w:t>érintse meg a dugattyút.</w:t>
            </w:r>
          </w:p>
          <w:p w14:paraId="55A939D6" w14:textId="77777777" w:rsidR="00130E8B" w:rsidRPr="000405CC" w:rsidRDefault="000405CC">
            <w:pPr>
              <w:pStyle w:val="a3"/>
              <w:ind w:leftChars="100" w:left="220"/>
              <w:rPr>
                <w:highlight w:val="lightGray"/>
                <w:lang w:val="hu-HU" w:eastAsia="ko-KR"/>
              </w:rPr>
            </w:pPr>
            <w:r w:rsidRPr="000405CC">
              <w:rPr>
                <w:rFonts w:eastAsia="Times New Roman"/>
                <w:b/>
                <w:bCs/>
                <w:highlight w:val="lightGray"/>
                <w:lang w:val="hu-HU" w:eastAsia="ko-KR"/>
              </w:rPr>
              <w:t xml:space="preserve">    c. B</w:t>
            </w:r>
            <w:r w:rsidRPr="000405CC">
              <w:rPr>
                <w:rFonts w:eastAsia="Times New Roman"/>
                <w:highlight w:val="lightGray"/>
                <w:lang w:val="hu-HU" w:eastAsia="ko-KR"/>
              </w:rPr>
              <w:t>izonyosodjon meg róla, hogy Önnél vannak a következők:</w:t>
            </w:r>
          </w:p>
          <w:p w14:paraId="581CAA8C" w14:textId="77777777" w:rsidR="00130E8B" w:rsidRPr="000405CC" w:rsidRDefault="000405CC">
            <w:pPr>
              <w:pStyle w:val="a3"/>
              <w:ind w:leftChars="337" w:left="741"/>
              <w:rPr>
                <w:highlight w:val="lightGray"/>
                <w:lang w:val="hu-HU" w:eastAsia="ko-KR"/>
              </w:rPr>
            </w:pPr>
            <w:r w:rsidRPr="000405CC">
              <w:rPr>
                <w:rFonts w:eastAsia="Times New Roman"/>
                <w:highlight w:val="lightGray"/>
                <w:lang w:val="hu-HU" w:eastAsia="ko-KR"/>
              </w:rPr>
              <w:t>- Előretöltött fecskendő</w:t>
            </w:r>
          </w:p>
          <w:p w14:paraId="5EC79499" w14:textId="77777777" w:rsidR="00130E8B" w:rsidRPr="000405CC" w:rsidRDefault="000405CC">
            <w:pPr>
              <w:pStyle w:val="a3"/>
              <w:ind w:leftChars="337" w:left="1264" w:hanging="523"/>
              <w:rPr>
                <w:highlight w:val="lightGray"/>
                <w:lang w:val="hu-HU" w:eastAsia="ko-KR"/>
              </w:rPr>
            </w:pPr>
            <w:r w:rsidRPr="000405CC">
              <w:rPr>
                <w:rFonts w:eastAsia="Times New Roman"/>
                <w:highlight w:val="lightGray"/>
                <w:lang w:val="hu-HU" w:eastAsia="ko-KR"/>
              </w:rPr>
              <w:t>- Alkoholos törlő</w:t>
            </w:r>
          </w:p>
          <w:p w14:paraId="299CA652" w14:textId="77777777" w:rsidR="00130E8B" w:rsidRPr="000405CC" w:rsidRDefault="00130E8B">
            <w:pPr>
              <w:pStyle w:val="a3"/>
              <w:ind w:leftChars="337" w:left="1264" w:hanging="523"/>
              <w:rPr>
                <w:highlight w:val="lightGray"/>
                <w:lang w:val="hu-HU" w:eastAsia="ko-KR"/>
              </w:rPr>
            </w:pPr>
          </w:p>
          <w:p w14:paraId="79A5717A" w14:textId="77777777" w:rsidR="00130E8B" w:rsidRPr="000405CC" w:rsidRDefault="000405CC">
            <w:pPr>
              <w:pStyle w:val="a3"/>
              <w:ind w:left="720"/>
              <w:rPr>
                <w:b/>
                <w:highlight w:val="lightGray"/>
                <w:lang w:val="hu-HU" w:eastAsia="ko-KR"/>
              </w:rPr>
            </w:pPr>
            <w:r w:rsidRPr="000405CC">
              <w:rPr>
                <w:rFonts w:eastAsia="Times New Roman"/>
                <w:b/>
                <w:bCs/>
                <w:highlight w:val="lightGray"/>
                <w:lang w:val="hu-HU" w:eastAsia="ko-KR"/>
              </w:rPr>
              <w:t>A doboz nem tartalmazza:</w:t>
            </w:r>
          </w:p>
          <w:p w14:paraId="5AFF3F6B" w14:textId="77777777" w:rsidR="00130E8B" w:rsidRPr="000405CC" w:rsidRDefault="000405CC">
            <w:pPr>
              <w:pStyle w:val="a3"/>
              <w:ind w:left="720"/>
              <w:rPr>
                <w:highlight w:val="lightGray"/>
                <w:lang w:val="hu-HU" w:eastAsia="ko-KR"/>
              </w:rPr>
            </w:pPr>
            <w:r w:rsidRPr="000405CC">
              <w:rPr>
                <w:rFonts w:eastAsia="Times New Roman"/>
                <w:highlight w:val="lightGray"/>
                <w:lang w:val="hu-HU" w:eastAsia="ko-KR"/>
              </w:rPr>
              <w:t>- Vattacsomó vagy géz</w:t>
            </w:r>
          </w:p>
          <w:p w14:paraId="0D30CD82" w14:textId="77777777" w:rsidR="00130E8B" w:rsidRPr="000405CC" w:rsidRDefault="000405CC">
            <w:pPr>
              <w:pStyle w:val="a3"/>
              <w:ind w:left="720"/>
              <w:rPr>
                <w:highlight w:val="lightGray"/>
                <w:lang w:val="hu-HU" w:eastAsia="ko-KR"/>
              </w:rPr>
            </w:pPr>
            <w:r w:rsidRPr="000405CC">
              <w:rPr>
                <w:rFonts w:eastAsia="Times New Roman"/>
                <w:highlight w:val="lightGray"/>
                <w:lang w:val="hu-HU" w:eastAsia="ko-KR"/>
              </w:rPr>
              <w:t>- Ragtapasz</w:t>
            </w:r>
          </w:p>
          <w:p w14:paraId="24489B57" w14:textId="77777777" w:rsidR="00130E8B" w:rsidRPr="000405CC" w:rsidRDefault="000405CC">
            <w:pPr>
              <w:pStyle w:val="a3"/>
              <w:ind w:left="720"/>
              <w:rPr>
                <w:highlight w:val="lightGray"/>
                <w:lang w:val="hu-HU" w:eastAsia="ko-KR"/>
              </w:rPr>
            </w:pPr>
            <w:r w:rsidRPr="000405CC">
              <w:rPr>
                <w:rFonts w:eastAsia="Times New Roman"/>
                <w:highlight w:val="lightGray"/>
                <w:lang w:val="hu-HU" w:eastAsia="ko-KR"/>
              </w:rPr>
              <w:lastRenderedPageBreak/>
              <w:t>- Éles tárgyak tárolására szolgáló tartály</w:t>
            </w:r>
          </w:p>
        </w:tc>
      </w:tr>
      <w:tr w:rsidR="00130E8B" w14:paraId="37B96647" w14:textId="77777777" w:rsidTr="0054408A">
        <w:trPr>
          <w:trHeight w:val="4535"/>
        </w:trPr>
        <w:tc>
          <w:tcPr>
            <w:tcW w:w="9550" w:type="dxa"/>
          </w:tcPr>
          <w:p w14:paraId="0699DD3F" w14:textId="77777777" w:rsidR="00130E8B" w:rsidRPr="000405CC" w:rsidRDefault="00130E8B">
            <w:pPr>
              <w:ind w:left="224" w:right="1248"/>
              <w:rPr>
                <w:rFonts w:ascii="Times New Roman" w:eastAsia="Times New Roman" w:hAnsi="Times New Roman" w:cs="Times New Roman"/>
                <w:b/>
                <w:bCs/>
                <w:spacing w:val="-1"/>
                <w:highlight w:val="lightGray"/>
                <w:lang w:val="hu-HU"/>
              </w:rPr>
            </w:pPr>
          </w:p>
          <w:p w14:paraId="57C970A8" w14:textId="1245826C" w:rsidR="00130E8B" w:rsidRPr="000405CC" w:rsidRDefault="00B11505">
            <w:pPr>
              <w:pStyle w:val="a3"/>
              <w:rPr>
                <w:highlight w:val="lightGray"/>
                <w:lang w:val="hu-HU"/>
              </w:rPr>
            </w:pPr>
            <w:r>
              <w:rPr>
                <w:noProof/>
                <w:lang w:eastAsia="ko-KR"/>
              </w:rPr>
              <mc:AlternateContent>
                <mc:Choice Requires="wpg">
                  <w:drawing>
                    <wp:anchor distT="0" distB="0" distL="114300" distR="114300" simplePos="0" relativeHeight="251658266" behindDoc="1" locked="0" layoutInCell="1" allowOverlap="1" wp14:anchorId="6298A8CC" wp14:editId="0BCA5583">
                      <wp:simplePos x="0" y="0"/>
                      <wp:positionH relativeFrom="column">
                        <wp:posOffset>120650</wp:posOffset>
                      </wp:positionH>
                      <wp:positionV relativeFrom="paragraph">
                        <wp:posOffset>151765</wp:posOffset>
                      </wp:positionV>
                      <wp:extent cx="1906270" cy="2527300"/>
                      <wp:effectExtent l="0" t="0" r="0" b="6350"/>
                      <wp:wrapTight wrapText="bothSides">
                        <wp:wrapPolygon edited="0">
                          <wp:start x="0" y="0"/>
                          <wp:lineTo x="0" y="20352"/>
                          <wp:lineTo x="14462" y="20840"/>
                          <wp:lineTo x="14462" y="21491"/>
                          <wp:lineTo x="21370" y="21491"/>
                          <wp:lineTo x="21370" y="0"/>
                          <wp:lineTo x="0" y="0"/>
                        </wp:wrapPolygon>
                      </wp:wrapTight>
                      <wp:docPr id="1026" name="그룹 1026"/>
                      <wp:cNvGraphicFramePr/>
                      <a:graphic xmlns:a="http://schemas.openxmlformats.org/drawingml/2006/main">
                        <a:graphicData uri="http://schemas.microsoft.com/office/word/2010/wordprocessingGroup">
                          <wpg:wgp>
                            <wpg:cNvGrpSpPr/>
                            <wpg:grpSpPr>
                              <a:xfrm>
                                <a:off x="0" y="0"/>
                                <a:ext cx="1906270" cy="2527300"/>
                                <a:chOff x="0" y="0"/>
                                <a:chExt cx="2312937" cy="3007013"/>
                              </a:xfrm>
                            </wpg:grpSpPr>
                            <wps:wsp>
                              <wps:cNvPr id="75" name="Text Box 66"/>
                              <wps:cNvSpPr txBox="1"/>
                              <wps:spPr>
                                <a:xfrm>
                                  <a:off x="1593273" y="2860963"/>
                                  <a:ext cx="719664" cy="146050"/>
                                </a:xfrm>
                                <a:prstGeom prst="rect">
                                  <a:avLst/>
                                </a:prstGeom>
                                <a:solidFill>
                                  <a:prstClr val="white"/>
                                </a:solidFill>
                                <a:ln>
                                  <a:noFill/>
                                </a:ln>
                              </wps:spPr>
                              <wps:txbx>
                                <w:txbxContent>
                                  <w:p w14:paraId="217E7B19"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w:t>
                                    </w:r>
                                    <w:r>
                                      <w:rPr>
                                        <w:rFonts w:ascii="Times New Roman" w:eastAsia="Times New Roman" w:hAnsi="Times New Roman" w:cs="Times New Roman"/>
                                        <w:highlight w:val="lightGray"/>
                                        <w:lang w:val="hu-HU"/>
                                      </w:rPr>
                                      <w:t xml:space="preserve">B. </w:t>
                                    </w:r>
                                    <w:r>
                                      <w:rPr>
                                        <w:rFonts w:ascii="Times New Roman" w:eastAsia="Times New Roman" w:hAnsi="Times New Roman" w:cs="Times New Roman"/>
                                        <w:highlight w:val="lightGray"/>
                                        <w:lang w:val="hu-HU"/>
                                      </w:rPr>
                                      <w:t>ábra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83" name="그림 10"/>
                                <pic:cNvPicPr>
                                  <a:picLocks noChangeAspect="1"/>
                                </pic:cNvPicPr>
                              </pic:nvPicPr>
                              <pic:blipFill rotWithShape="1">
                                <a:blip r:embed="rId51" cstate="print">
                                  <a:extLst>
                                    <a:ext uri="{28A0092B-C50C-407E-A947-70E740481C1C}">
                                      <a14:useLocalDpi xmlns:a14="http://schemas.microsoft.com/office/drawing/2010/main" val="0"/>
                                    </a:ext>
                                  </a:extLst>
                                </a:blip>
                                <a:srcRect/>
                                <a:stretch/>
                              </pic:blipFill>
                              <pic:spPr>
                                <a:xfrm>
                                  <a:off x="0" y="0"/>
                                  <a:ext cx="2308860" cy="28327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98A8CC" id="그룹 1026" o:spid="_x0000_s1060" style="position:absolute;margin-left:9.5pt;margin-top:11.95pt;width:150.1pt;height:199pt;z-index:-251658214;mso-width-relative:margin;mso-height-relative:margin" coordsize="23129,30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">
                      <v:shape id="Text Box 66" o:spid="_x0000_s1061" type="#_x0000_t202" style="position:absolute;left:15932;top:2860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" stroked="f">
                        <v:textbox inset="0,0,0,0">
                          <w:txbxContent>
                            <w:p w14:paraId="217E7B19"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w:t>
                              </w:r>
                              <w:r>
                                <w:rPr>
                                  <w:rFonts w:ascii="Times New Roman" w:eastAsia="Times New Roman" w:hAnsi="Times New Roman" w:cs="Times New Roman"/>
                                  <w:highlight w:val="lightGray"/>
                                  <w:lang w:val="hu-HU"/>
                                </w:rPr>
                                <w:t xml:space="preserve">B. </w:t>
                              </w:r>
                              <w:r>
                                <w:rPr>
                                  <w:rFonts w:ascii="Times New Roman" w:eastAsia="Times New Roman" w:hAnsi="Times New Roman" w:cs="Times New Roman"/>
                                  <w:highlight w:val="lightGray"/>
                                  <w:lang w:val="hu-HU"/>
                                </w:rPr>
                                <w:t>ábra</w:t>
                              </w:r>
                            </w:p>
                          </w:txbxContent>
                        </v:textbox>
                      </v:shape>
                      <v:shape id="그림 10" o:spid="_x0000_s1062" type="#_x0000_t75" style="position:absolute;width:23088;height:28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">
                        <v:imagedata r:id="rId52" o:title=""/>
                      </v:shape>
                      <w10:wrap type="tight"/>
                    </v:group>
                  </w:pict>
                </mc:Fallback>
              </mc:AlternateContent>
            </w:r>
          </w:p>
          <w:p w14:paraId="65F3D4C4" w14:textId="54E2F65F" w:rsidR="00130E8B" w:rsidRPr="000405CC" w:rsidRDefault="00130E8B">
            <w:pPr>
              <w:pStyle w:val="a3"/>
              <w:rPr>
                <w:highlight w:val="lightGray"/>
                <w:lang w:val="hu-HU"/>
              </w:rPr>
            </w:pPr>
          </w:p>
          <w:p w14:paraId="56364715" w14:textId="77777777" w:rsidR="00130E8B" w:rsidRPr="00010223" w:rsidRDefault="000405CC">
            <w:pPr>
              <w:pStyle w:val="a3"/>
              <w:numPr>
                <w:ilvl w:val="0"/>
                <w:numId w:val="22"/>
              </w:numPr>
              <w:rPr>
                <w:b/>
                <w:highlight w:val="lightGray"/>
                <w:lang w:val="hu-HU"/>
              </w:rPr>
            </w:pPr>
            <w:r w:rsidRPr="001E2F31">
              <w:rPr>
                <w:rFonts w:eastAsia="Times New Roman"/>
                <w:b/>
                <w:highlight w:val="lightGray"/>
                <w:lang w:val="hu-HU"/>
              </w:rPr>
              <w:t xml:space="preserve">Vizsgálja meg az </w:t>
            </w:r>
            <w:r w:rsidRPr="00010223">
              <w:rPr>
                <w:rFonts w:eastAsia="Times New Roman"/>
                <w:b/>
                <w:bCs/>
                <w:highlight w:val="lightGray"/>
                <w:lang w:val="hu-HU"/>
              </w:rPr>
              <w:t xml:space="preserve">előretöltött </w:t>
            </w:r>
            <w:r w:rsidRPr="001E2F31">
              <w:rPr>
                <w:rFonts w:eastAsia="Times New Roman"/>
                <w:b/>
                <w:highlight w:val="lightGray"/>
                <w:lang w:val="hu-HU"/>
              </w:rPr>
              <w:t>fecskendőt</w:t>
            </w:r>
          </w:p>
          <w:p w14:paraId="7B51CF56" w14:textId="77777777" w:rsidR="00130E8B" w:rsidRPr="000405CC" w:rsidRDefault="00130E8B">
            <w:pPr>
              <w:pStyle w:val="a3"/>
              <w:numPr>
                <w:ilvl w:val="0"/>
                <w:numId w:val="0"/>
              </w:numPr>
              <w:ind w:left="471"/>
              <w:rPr>
                <w:b/>
                <w:highlight w:val="lightGray"/>
                <w:lang w:val="hu-HU"/>
              </w:rPr>
            </w:pPr>
          </w:p>
          <w:p w14:paraId="0C8C06DD" w14:textId="4235417A" w:rsidR="00130E8B" w:rsidRPr="000405CC" w:rsidRDefault="000405CC">
            <w:pPr>
              <w:pStyle w:val="a3"/>
              <w:numPr>
                <w:ilvl w:val="0"/>
                <w:numId w:val="0"/>
              </w:numPr>
              <w:ind w:left="675"/>
              <w:rPr>
                <w:highlight w:val="lightGray"/>
                <w:lang w:val="hu-HU" w:eastAsia="ko-KR"/>
              </w:rPr>
            </w:pPr>
            <w:r w:rsidRPr="000405CC">
              <w:rPr>
                <w:rFonts w:eastAsia="Times New Roman"/>
                <w:b/>
                <w:bCs/>
                <w:highlight w:val="lightGray"/>
                <w:lang w:val="hu-HU" w:eastAsia="ko-KR"/>
              </w:rPr>
              <w:t xml:space="preserve">a. </w:t>
            </w:r>
            <w:r w:rsidRPr="000405CC">
              <w:rPr>
                <w:rFonts w:eastAsia="Times New Roman"/>
                <w:highlight w:val="lightGray"/>
                <w:lang w:val="hu-HU" w:eastAsia="ko-KR"/>
              </w:rPr>
              <w:t>Győződjön meg arról, hogy a megfelelő gyógyszert (Yuflyma) és adagot kapta.</w:t>
            </w:r>
          </w:p>
          <w:p w14:paraId="72F0000F" w14:textId="77777777" w:rsidR="00130E8B" w:rsidRPr="000405CC" w:rsidRDefault="000405CC">
            <w:pPr>
              <w:pStyle w:val="a3"/>
              <w:rPr>
                <w:highlight w:val="lightGray"/>
                <w:lang w:val="hu-HU" w:eastAsia="ko-KR"/>
              </w:rPr>
            </w:pPr>
            <w:r w:rsidRPr="000405CC">
              <w:rPr>
                <w:rFonts w:eastAsia="Times New Roman"/>
                <w:b/>
                <w:bCs/>
                <w:highlight w:val="lightGray"/>
                <w:lang w:val="hu-HU" w:eastAsia="ko-KR"/>
              </w:rPr>
              <w:t xml:space="preserve">b. </w:t>
            </w:r>
            <w:r w:rsidRPr="001E2F31">
              <w:rPr>
                <w:rFonts w:eastAsia="Times New Roman"/>
                <w:bCs/>
                <w:highlight w:val="lightGray"/>
                <w:lang w:val="hu-HU" w:eastAsia="ko-KR"/>
              </w:rPr>
              <w:t>N</w:t>
            </w:r>
            <w:r w:rsidRPr="00010223">
              <w:rPr>
                <w:rFonts w:eastAsia="Times New Roman"/>
                <w:highlight w:val="lightGray"/>
                <w:lang w:val="hu-HU" w:eastAsia="ko-KR"/>
              </w:rPr>
              <w:t>é</w:t>
            </w:r>
            <w:r w:rsidRPr="000405CC">
              <w:rPr>
                <w:rFonts w:eastAsia="Times New Roman"/>
                <w:highlight w:val="lightGray"/>
                <w:lang w:val="hu-HU" w:eastAsia="ko-KR"/>
              </w:rPr>
              <w:t>zze meg az előretöltött fecskendőt, és ellenőrizze, hogy nincs-e megrepedve vagy megsérülve.</w:t>
            </w:r>
          </w:p>
          <w:p w14:paraId="7C3F2CFE" w14:textId="77777777" w:rsidR="00130E8B" w:rsidRPr="000405CC" w:rsidRDefault="000405CC">
            <w:pPr>
              <w:pStyle w:val="a3"/>
              <w:rPr>
                <w:highlight w:val="lightGray"/>
                <w:lang w:val="hu-HU" w:eastAsia="ko-KR"/>
              </w:rPr>
            </w:pPr>
            <w:r w:rsidRPr="000405CC">
              <w:rPr>
                <w:rFonts w:eastAsia="Times New Roman"/>
                <w:b/>
                <w:bCs/>
                <w:highlight w:val="lightGray"/>
                <w:lang w:val="hu-HU" w:eastAsia="ko-KR"/>
              </w:rPr>
              <w:t xml:space="preserve">c. </w:t>
            </w:r>
            <w:r w:rsidRPr="001E2F31">
              <w:rPr>
                <w:rFonts w:eastAsia="Times New Roman"/>
                <w:bCs/>
                <w:highlight w:val="lightGray"/>
                <w:lang w:val="hu-HU" w:eastAsia="ko-KR"/>
              </w:rPr>
              <w:t>E</w:t>
            </w:r>
            <w:r w:rsidRPr="00010223">
              <w:rPr>
                <w:rFonts w:eastAsia="Times New Roman"/>
                <w:highlight w:val="lightGray"/>
                <w:lang w:val="hu-HU" w:eastAsia="ko-KR"/>
              </w:rPr>
              <w:t>l</w:t>
            </w:r>
            <w:r w:rsidRPr="000405CC">
              <w:rPr>
                <w:rFonts w:eastAsia="Times New Roman"/>
                <w:highlight w:val="lightGray"/>
                <w:lang w:val="hu-HU" w:eastAsia="ko-KR"/>
              </w:rPr>
              <w:t>lenőrizze az előretöltött fecskendő címkéjén található lejárati dátumot.</w:t>
            </w:r>
          </w:p>
          <w:p w14:paraId="1EADFBB2" w14:textId="3C9EF90A" w:rsidR="00130E8B" w:rsidRPr="000405CC" w:rsidRDefault="00130E8B">
            <w:pPr>
              <w:pStyle w:val="a3"/>
              <w:rPr>
                <w:highlight w:val="lightGray"/>
                <w:lang w:val="hu-HU" w:eastAsia="ko-KR"/>
              </w:rPr>
            </w:pPr>
          </w:p>
          <w:p w14:paraId="139D930A" w14:textId="33661579" w:rsidR="00130E8B" w:rsidRPr="000405CC" w:rsidRDefault="00130E8B">
            <w:pPr>
              <w:spacing w:line="260" w:lineRule="exact"/>
              <w:rPr>
                <w:sz w:val="26"/>
                <w:szCs w:val="26"/>
                <w:highlight w:val="lightGray"/>
                <w:lang w:val="hu-HU"/>
              </w:rPr>
            </w:pPr>
          </w:p>
          <w:p w14:paraId="1F1EA307" w14:textId="3A980BD3" w:rsidR="00130E8B" w:rsidRPr="00010223" w:rsidRDefault="000405CC">
            <w:pPr>
              <w:pStyle w:val="a3"/>
              <w:numPr>
                <w:ilvl w:val="0"/>
                <w:numId w:val="0"/>
              </w:numPr>
              <w:rPr>
                <w:highlight w:val="lightGray"/>
                <w:lang w:val="hu-HU" w:eastAsia="ko-KR"/>
              </w:rPr>
            </w:pPr>
            <w:r w:rsidRPr="001E2F31">
              <w:rPr>
                <w:rFonts w:eastAsia="Times New Roman"/>
                <w:bCs/>
                <w:highlight w:val="lightGray"/>
                <w:lang w:val="hu-HU" w:eastAsia="ko-KR"/>
              </w:rPr>
              <w:t xml:space="preserve">Azelőretöltött fecskendőt </w:t>
            </w:r>
            <w:r w:rsidRPr="00010223">
              <w:rPr>
                <w:rFonts w:eastAsia="Times New Roman"/>
                <w:b/>
                <w:bCs/>
                <w:highlight w:val="lightGray"/>
                <w:lang w:val="hu-HU" w:eastAsia="ko-KR"/>
              </w:rPr>
              <w:t>ne</w:t>
            </w:r>
            <w:r w:rsidRPr="001E2F31">
              <w:rPr>
                <w:rFonts w:eastAsia="Times New Roman"/>
                <w:bCs/>
                <w:highlight w:val="lightGray"/>
                <w:lang w:val="hu-HU" w:eastAsia="ko-KR"/>
              </w:rPr>
              <w:t xml:space="preserve"> használja újra, ha:</w:t>
            </w:r>
          </w:p>
          <w:p w14:paraId="75610673" w14:textId="0D0EDBAF" w:rsidR="00130E8B" w:rsidRPr="000405CC" w:rsidRDefault="000405CC">
            <w:pPr>
              <w:pStyle w:val="a3"/>
              <w:numPr>
                <w:ilvl w:val="2"/>
                <w:numId w:val="38"/>
              </w:numPr>
              <w:rPr>
                <w:sz w:val="26"/>
                <w:szCs w:val="26"/>
                <w:highlight w:val="lightGray"/>
                <w:lang w:val="hu-HU"/>
              </w:rPr>
            </w:pPr>
            <w:r w:rsidRPr="000405CC">
              <w:rPr>
                <w:rFonts w:eastAsia="Times New Roman"/>
                <w:highlight w:val="lightGray"/>
                <w:lang w:val="hu-HU" w:eastAsia="ko-KR"/>
              </w:rPr>
              <w:t>megrepedt vagy sérült</w:t>
            </w:r>
            <w:r w:rsidR="00027D55">
              <w:rPr>
                <w:rFonts w:eastAsia="Times New Roman"/>
                <w:highlight w:val="lightGray"/>
                <w:lang w:val="hu-HU" w:eastAsia="ko-KR"/>
              </w:rPr>
              <w:t>.</w:t>
            </w:r>
          </w:p>
          <w:p w14:paraId="2C33068C" w14:textId="77777777" w:rsidR="00130E8B" w:rsidRPr="00027D55" w:rsidRDefault="000405CC">
            <w:pPr>
              <w:pStyle w:val="a3"/>
              <w:numPr>
                <w:ilvl w:val="2"/>
                <w:numId w:val="38"/>
              </w:numPr>
              <w:rPr>
                <w:rFonts w:eastAsia="Times New Roman"/>
                <w:highlight w:val="lightGray"/>
                <w:lang w:val="hu-HU" w:eastAsia="ko-KR"/>
              </w:rPr>
            </w:pPr>
            <w:r w:rsidRPr="000405CC">
              <w:rPr>
                <w:rFonts w:eastAsia="Times New Roman"/>
                <w:highlight w:val="lightGray"/>
                <w:lang w:val="hu-HU" w:eastAsia="ko-KR"/>
              </w:rPr>
              <w:t xml:space="preserve">a lejárati dátum lejárt. </w:t>
            </w:r>
          </w:p>
          <w:p w14:paraId="264171D9" w14:textId="5C47A756" w:rsidR="00027D55" w:rsidRPr="000405CC" w:rsidRDefault="00027D55">
            <w:pPr>
              <w:pStyle w:val="a3"/>
              <w:numPr>
                <w:ilvl w:val="2"/>
                <w:numId w:val="38"/>
              </w:numPr>
              <w:rPr>
                <w:sz w:val="26"/>
                <w:szCs w:val="26"/>
                <w:highlight w:val="lightGray"/>
                <w:lang w:val="hu-HU"/>
              </w:rPr>
            </w:pPr>
            <w:r w:rsidRPr="00FB6A69">
              <w:rPr>
                <w:rFonts w:eastAsia="Times New Roman"/>
                <w:highlight w:val="lightGray"/>
                <w:lang w:val="hu-HU" w:eastAsia="ko-KR"/>
              </w:rPr>
              <w:t>kemény felületre ejtette.</w:t>
            </w:r>
          </w:p>
        </w:tc>
      </w:tr>
      <w:tr w:rsidR="00130E8B" w:rsidRPr="000405CC" w14:paraId="0169537F" w14:textId="77777777" w:rsidTr="0054408A">
        <w:trPr>
          <w:trHeight w:val="4422"/>
        </w:trPr>
        <w:tc>
          <w:tcPr>
            <w:tcW w:w="9550" w:type="dxa"/>
          </w:tcPr>
          <w:p w14:paraId="5E958077" w14:textId="77777777" w:rsidR="00130E8B" w:rsidRDefault="00130E8B">
            <w:pPr>
              <w:spacing w:line="260" w:lineRule="exact"/>
              <w:rPr>
                <w:sz w:val="26"/>
                <w:szCs w:val="26"/>
                <w:lang w:val="hu-HU"/>
              </w:rPr>
            </w:pPr>
          </w:p>
          <w:p w14:paraId="286E4ACB" w14:textId="220F67EC" w:rsidR="00130E8B" w:rsidRDefault="0054408A">
            <w:pPr>
              <w:spacing w:line="260" w:lineRule="exact"/>
              <w:rPr>
                <w:rFonts w:ascii="Times New Roman" w:eastAsia="Times New Roman" w:hAnsi="Times New Roman" w:cs="Times New Roman"/>
                <w:b/>
                <w:bCs/>
                <w:spacing w:val="-1"/>
                <w:lang w:val="hu-HU"/>
              </w:rPr>
            </w:pPr>
            <w:r>
              <w:rPr>
                <w:noProof/>
                <w:sz w:val="26"/>
                <w:szCs w:val="26"/>
                <w:highlight w:val="lightGray"/>
                <w:lang w:eastAsia="ko-KR"/>
              </w:rPr>
              <mc:AlternateContent>
                <mc:Choice Requires="wpg">
                  <w:drawing>
                    <wp:anchor distT="0" distB="0" distL="114300" distR="114300" simplePos="0" relativeHeight="251658248" behindDoc="0" locked="0" layoutInCell="1" allowOverlap="1" wp14:anchorId="22F5C559" wp14:editId="6F04AED2">
                      <wp:simplePos x="0" y="0"/>
                      <wp:positionH relativeFrom="column">
                        <wp:posOffset>77470</wp:posOffset>
                      </wp:positionH>
                      <wp:positionV relativeFrom="paragraph">
                        <wp:posOffset>47625</wp:posOffset>
                      </wp:positionV>
                      <wp:extent cx="2009775" cy="2656840"/>
                      <wp:effectExtent l="0" t="0" r="9525" b="0"/>
                      <wp:wrapSquare wrapText="bothSides"/>
                      <wp:docPr id="71" name="그룹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9775" cy="2656840"/>
                                <a:chOff x="0" y="0"/>
                                <a:chExt cx="22310" cy="28067"/>
                              </a:xfrm>
                            </wpg:grpSpPr>
                            <pic:pic xmlns:pic="http://schemas.openxmlformats.org/drawingml/2006/picture">
                              <pic:nvPicPr>
                                <pic:cNvPr id="72" name="그림 92"/>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307" cy="26917"/>
                                </a:xfrm>
                                <a:prstGeom prst="rect">
                                  <a:avLst/>
                                </a:prstGeom>
                                <a:noFill/>
                                <a:extLst>
                                  <a:ext uri="{909E8E84-426E-40DD-AFC4-6F175D3DCCD1}">
                                    <a14:hiddenFill xmlns:a14="http://schemas.microsoft.com/office/drawing/2010/main">
                                      <a:solidFill>
                                        <a:srgbClr val="FFFFFF"/>
                                      </a:solidFill>
                                    </a14:hiddenFill>
                                  </a:ext>
                                </a:extLst>
                              </pic:spPr>
                            </pic:pic>
                            <wps:wsp>
                              <wps:cNvPr id="73" name="Text Box 68"/>
                              <wps:cNvSpPr txBox="1">
                                <a:spLocks noChangeArrowheads="1"/>
                              </wps:cNvSpPr>
                              <wps:spPr bwMode="auto">
                                <a:xfrm>
                                  <a:off x="15113" y="26606"/>
                                  <a:ext cx="7197" cy="14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EF8318"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C. </w:t>
                                    </w:r>
                                    <w:r>
                                      <w:rPr>
                                        <w:rFonts w:ascii="Times New Roman" w:eastAsia="Times New Roman" w:hAnsi="Times New Roman" w:cs="Times New Roman"/>
                                        <w:highlight w:val="lightGray"/>
                                        <w:lang w:val="hu-HU"/>
                                      </w:rPr>
                                      <w:t>ábra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F5C559" id="그룹 69" o:spid="_x0000_s1063" style="position:absolute;margin-left:6.1pt;margin-top:3.75pt;width:158.25pt;height:209.2pt;z-index:251658248" coordsize="22310,2806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">
                      <v:shape id="그림 92" o:spid="_x0000_s1064" type="#_x0000_t75" style="position:absolute;width:22307;height:26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">
                        <v:imagedata r:id="rId54" o:title=""/>
                      </v:shape>
                      <v:shape id="Text Box 68" o:spid="_x0000_s1065" type="#_x0000_t202" style="position:absolute;left:15113;top:26606;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" stroked="f">
                        <v:textbox inset="0,0,0,0">
                          <w:txbxContent>
                            <w:p w14:paraId="6FEF8318"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C. </w:t>
                              </w:r>
                              <w:r>
                                <w:rPr>
                                  <w:rFonts w:ascii="Times New Roman" w:eastAsia="Times New Roman" w:hAnsi="Times New Roman" w:cs="Times New Roman"/>
                                  <w:highlight w:val="lightGray"/>
                                  <w:lang w:val="hu-HU"/>
                                </w:rPr>
                                <w:t>ábra</w:t>
                              </w:r>
                            </w:p>
                          </w:txbxContent>
                        </v:textbox>
                      </v:shape>
                      <w10:wrap type="square"/>
                    </v:group>
                  </w:pict>
                </mc:Fallback>
              </mc:AlternateContent>
            </w:r>
          </w:p>
          <w:p w14:paraId="2A38275D" w14:textId="67C6FC25" w:rsidR="00130E8B" w:rsidRDefault="00130E8B">
            <w:pPr>
              <w:spacing w:line="260" w:lineRule="exact"/>
              <w:rPr>
                <w:sz w:val="26"/>
                <w:szCs w:val="26"/>
                <w:lang w:val="hu-HU"/>
              </w:rPr>
            </w:pPr>
          </w:p>
          <w:p w14:paraId="474AD78D" w14:textId="7DCFA58F" w:rsidR="00130E8B" w:rsidRPr="000405CC" w:rsidRDefault="00130E8B">
            <w:pPr>
              <w:spacing w:line="260" w:lineRule="exact"/>
              <w:rPr>
                <w:sz w:val="26"/>
                <w:szCs w:val="26"/>
                <w:highlight w:val="lightGray"/>
                <w:lang w:val="hu-HU"/>
              </w:rPr>
            </w:pPr>
          </w:p>
          <w:p w14:paraId="1D3C21FA" w14:textId="77777777" w:rsidR="00130E8B" w:rsidRPr="000405CC" w:rsidRDefault="000405CC">
            <w:pPr>
              <w:pStyle w:val="a3"/>
              <w:numPr>
                <w:ilvl w:val="0"/>
                <w:numId w:val="22"/>
              </w:numPr>
              <w:rPr>
                <w:b/>
                <w:highlight w:val="lightGray"/>
                <w:lang w:val="hu-HU" w:eastAsia="ko-KR"/>
              </w:rPr>
            </w:pPr>
            <w:r w:rsidRPr="000405CC">
              <w:rPr>
                <w:rFonts w:eastAsia="Times New Roman"/>
                <w:b/>
                <w:bCs/>
                <w:highlight w:val="lightGray"/>
                <w:lang w:val="hu-HU"/>
              </w:rPr>
              <w:t>Vizsgálja meg a gyógyszert</w:t>
            </w:r>
          </w:p>
          <w:p w14:paraId="26F040EC" w14:textId="77777777" w:rsidR="00130E8B" w:rsidRPr="000405CC" w:rsidRDefault="00130E8B">
            <w:pPr>
              <w:pStyle w:val="a3"/>
              <w:rPr>
                <w:b/>
                <w:highlight w:val="lightGray"/>
                <w:lang w:val="hu-HU" w:eastAsia="ko-KR"/>
              </w:rPr>
            </w:pPr>
          </w:p>
          <w:p w14:paraId="69F7740D" w14:textId="77777777" w:rsidR="00130E8B" w:rsidRPr="000405CC" w:rsidRDefault="000405CC">
            <w:pPr>
              <w:pStyle w:val="a3"/>
              <w:ind w:left="4410" w:hanging="4410"/>
              <w:rPr>
                <w:highlight w:val="lightGray"/>
                <w:lang w:val="hu-HU" w:eastAsia="ko-KR"/>
              </w:rPr>
            </w:pPr>
            <w:r w:rsidRPr="000405CC">
              <w:rPr>
                <w:rFonts w:eastAsia="Times New Roman"/>
                <w:b/>
                <w:bCs/>
                <w:highlight w:val="lightGray"/>
                <w:lang w:val="hu-HU" w:eastAsia="ko-KR"/>
              </w:rPr>
              <w:t xml:space="preserve">      a. </w:t>
            </w:r>
            <w:r w:rsidRPr="001E2F31">
              <w:rPr>
                <w:rFonts w:eastAsia="Times New Roman"/>
                <w:bCs/>
                <w:highlight w:val="lightGray"/>
                <w:lang w:val="hu-HU" w:eastAsia="ko-KR"/>
              </w:rPr>
              <w:t>E</w:t>
            </w:r>
            <w:r w:rsidRPr="00010223">
              <w:rPr>
                <w:rFonts w:eastAsia="Times New Roman"/>
                <w:highlight w:val="lightGray"/>
                <w:lang w:val="hu-HU" w:eastAsia="ko-KR"/>
              </w:rPr>
              <w:t>l</w:t>
            </w:r>
            <w:r w:rsidRPr="000405CC">
              <w:rPr>
                <w:rFonts w:eastAsia="Times New Roman"/>
                <w:highlight w:val="lightGray"/>
                <w:lang w:val="hu-HU" w:eastAsia="ko-KR"/>
              </w:rPr>
              <w:t>lenőrizze a gyógyszert, bizonyosodjon meg róla, hogy a folyadék tiszta, színtelen vagy halványbarna, részecskéktől mentes.</w:t>
            </w:r>
          </w:p>
          <w:p w14:paraId="552BFA27" w14:textId="77777777" w:rsidR="00130E8B" w:rsidRPr="000405CC" w:rsidRDefault="000405CC">
            <w:pPr>
              <w:pStyle w:val="a3"/>
              <w:rPr>
                <w:sz w:val="26"/>
                <w:szCs w:val="26"/>
                <w:highlight w:val="lightGray"/>
                <w:lang w:val="hu-HU"/>
              </w:rPr>
            </w:pPr>
            <w:r w:rsidRPr="000405CC">
              <w:rPr>
                <w:highlight w:val="lightGray"/>
                <w:lang w:val="hu-HU" w:eastAsia="ko-KR"/>
              </w:rPr>
              <w:t>.</w:t>
            </w:r>
          </w:p>
          <w:p w14:paraId="1328856F" w14:textId="68C2F50D" w:rsidR="00130E8B" w:rsidRPr="000405CC" w:rsidRDefault="000405CC" w:rsidP="000405CC">
            <w:pPr>
              <w:pStyle w:val="a3"/>
              <w:numPr>
                <w:ilvl w:val="0"/>
                <w:numId w:val="16"/>
              </w:numPr>
              <w:ind w:left="4236" w:hanging="4236"/>
              <w:rPr>
                <w:highlight w:val="lightGray"/>
                <w:lang w:val="hu-HU"/>
              </w:rPr>
            </w:pPr>
            <w:r w:rsidRPr="000405CC">
              <w:rPr>
                <w:rFonts w:eastAsia="Times New Roman"/>
                <w:b/>
                <w:bCs/>
                <w:highlight w:val="lightGray"/>
                <w:lang w:val="hu-HU"/>
              </w:rPr>
              <w:t>Ne</w:t>
            </w:r>
            <w:r w:rsidRPr="000405CC">
              <w:rPr>
                <w:rFonts w:eastAsia="Times New Roman"/>
                <w:highlight w:val="lightGray"/>
                <w:lang w:val="hu-HU"/>
              </w:rPr>
              <w:t xml:space="preserve"> használja az előretöltött fecskendőt, ha a folyadék elszíneződött (sárga vagy sötétbarna), zavaros vagy részecskéket tartalmaz.</w:t>
            </w:r>
          </w:p>
          <w:p w14:paraId="1493AFF2" w14:textId="77777777" w:rsidR="00130E8B" w:rsidRPr="000405CC" w:rsidRDefault="00130E8B">
            <w:pPr>
              <w:pStyle w:val="a3"/>
              <w:numPr>
                <w:ilvl w:val="0"/>
                <w:numId w:val="0"/>
              </w:numPr>
              <w:rPr>
                <w:highlight w:val="lightGray"/>
                <w:lang w:val="hu-HU"/>
              </w:rPr>
            </w:pPr>
          </w:p>
          <w:p w14:paraId="00D1885F" w14:textId="77777777" w:rsidR="00130E8B" w:rsidRPr="000405CC" w:rsidRDefault="000405CC" w:rsidP="000405CC">
            <w:pPr>
              <w:pStyle w:val="a3"/>
              <w:numPr>
                <w:ilvl w:val="0"/>
                <w:numId w:val="16"/>
              </w:numPr>
              <w:ind w:left="4236" w:hanging="4236"/>
              <w:rPr>
                <w:sz w:val="26"/>
                <w:szCs w:val="26"/>
                <w:highlight w:val="lightGray"/>
                <w:lang w:val="hu-HU"/>
              </w:rPr>
            </w:pPr>
            <w:r w:rsidRPr="000405CC">
              <w:rPr>
                <w:rFonts w:eastAsia="Times New Roman"/>
                <w:highlight w:val="lightGray"/>
                <w:lang w:val="hu-HU"/>
              </w:rPr>
              <w:t>Előfordulhat, hogy légbuborékokat lát a folyadékban. Ez normális jelenség.</w:t>
            </w:r>
          </w:p>
        </w:tc>
      </w:tr>
    </w:tbl>
    <w:p w14:paraId="40B4DE58" w14:textId="66E2FA4A" w:rsidR="00130E8B" w:rsidRPr="000405CC" w:rsidRDefault="00130E8B">
      <w:pPr>
        <w:spacing w:line="260" w:lineRule="exact"/>
        <w:rPr>
          <w:sz w:val="26"/>
          <w:szCs w:val="26"/>
          <w:highlight w:val="lightGray"/>
          <w:lang w:val="hu-HU"/>
        </w:rPr>
      </w:pPr>
    </w:p>
    <w:tbl>
      <w:tblPr>
        <w:tblStyle w:val="ac"/>
        <w:tblW w:w="0" w:type="auto"/>
        <w:tblLook w:val="04A0" w:firstRow="1" w:lastRow="0" w:firstColumn="1" w:lastColumn="0" w:noHBand="0" w:noVBand="1"/>
      </w:tblPr>
      <w:tblGrid>
        <w:gridCol w:w="9550"/>
      </w:tblGrid>
      <w:tr w:rsidR="00130E8B" w:rsidRPr="00BE4D18" w14:paraId="7559698D" w14:textId="77777777" w:rsidTr="0054408A">
        <w:trPr>
          <w:trHeight w:val="4479"/>
        </w:trPr>
        <w:tc>
          <w:tcPr>
            <w:tcW w:w="9550" w:type="dxa"/>
          </w:tcPr>
          <w:p w14:paraId="75C2A593" w14:textId="473686D5" w:rsidR="00130E8B" w:rsidRPr="000405CC" w:rsidRDefault="0054408A">
            <w:pPr>
              <w:ind w:left="224" w:right="1248"/>
              <w:rPr>
                <w:rFonts w:asciiTheme="majorBidi" w:eastAsia="Times New Roman" w:hAnsiTheme="majorBidi" w:cstheme="majorBidi"/>
                <w:b/>
                <w:bCs/>
                <w:spacing w:val="-1"/>
                <w:highlight w:val="lightGray"/>
                <w:lang w:val="hu-HU"/>
              </w:rPr>
            </w:pPr>
            <w:r>
              <w:rPr>
                <w:rFonts w:asciiTheme="majorBidi" w:eastAsia="Times New Roman" w:hAnsiTheme="majorBidi" w:cstheme="majorBidi"/>
                <w:noProof/>
                <w:sz w:val="20"/>
                <w:szCs w:val="20"/>
                <w:lang w:eastAsia="ko-KR"/>
              </w:rPr>
              <w:lastRenderedPageBreak/>
              <mc:AlternateContent>
                <mc:Choice Requires="wpg">
                  <w:drawing>
                    <wp:anchor distT="0" distB="0" distL="114300" distR="114300" simplePos="0" relativeHeight="251658280" behindDoc="0" locked="0" layoutInCell="1" allowOverlap="1" wp14:anchorId="00B87A9B" wp14:editId="09AE4755">
                      <wp:simplePos x="0" y="0"/>
                      <wp:positionH relativeFrom="column">
                        <wp:posOffset>77470</wp:posOffset>
                      </wp:positionH>
                      <wp:positionV relativeFrom="paragraph">
                        <wp:posOffset>142240</wp:posOffset>
                      </wp:positionV>
                      <wp:extent cx="2009775" cy="2604770"/>
                      <wp:effectExtent l="0" t="0" r="9525" b="5080"/>
                      <wp:wrapSquare wrapText="bothSides"/>
                      <wp:docPr id="1061" name="그룹 1061"/>
                      <wp:cNvGraphicFramePr/>
                      <a:graphic xmlns:a="http://schemas.openxmlformats.org/drawingml/2006/main">
                        <a:graphicData uri="http://schemas.microsoft.com/office/word/2010/wordprocessingGroup">
                          <wpg:wgp>
                            <wpg:cNvGrpSpPr/>
                            <wpg:grpSpPr>
                              <a:xfrm>
                                <a:off x="0" y="0"/>
                                <a:ext cx="2009775" cy="2604770"/>
                                <a:chOff x="0" y="0"/>
                                <a:chExt cx="2169795" cy="2863900"/>
                              </a:xfrm>
                            </wpg:grpSpPr>
                            <pic:pic xmlns:pic="http://schemas.openxmlformats.org/drawingml/2006/picture">
                              <pic:nvPicPr>
                                <pic:cNvPr id="185" name="그림 11"/>
                                <pic:cNvPicPr>
                                  <a:picLocks noChangeAspect="1"/>
                                </pic:cNvPicPr>
                              </pic:nvPicPr>
                              <pic:blipFill rotWithShape="1">
                                <a:blip r:embed="rId55" cstate="print">
                                  <a:extLst>
                                    <a:ext uri="{28A0092B-C50C-407E-A947-70E740481C1C}">
                                      <a14:useLocalDpi xmlns:a14="http://schemas.microsoft.com/office/drawing/2010/main" val="0"/>
                                    </a:ext>
                                  </a:extLst>
                                </a:blip>
                                <a:srcRect/>
                                <a:stretch/>
                              </pic:blipFill>
                              <pic:spPr>
                                <a:xfrm>
                                  <a:off x="0" y="0"/>
                                  <a:ext cx="2169795" cy="2656205"/>
                                </a:xfrm>
                                <a:prstGeom prst="rect">
                                  <a:avLst/>
                                </a:prstGeom>
                              </pic:spPr>
                            </pic:pic>
                            <wps:wsp>
                              <wps:cNvPr id="1060" name="Text Box 68"/>
                              <wps:cNvSpPr txBox="1">
                                <a:spLocks noChangeArrowheads="1"/>
                              </wps:cNvSpPr>
                              <wps:spPr bwMode="auto">
                                <a:xfrm>
                                  <a:off x="1405466" y="2717800"/>
                                  <a:ext cx="719621" cy="146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E5BEBE" w14:textId="3D66CD88" w:rsidR="004A2986" w:rsidRDefault="004A2986" w:rsidP="00E91FF7">
                                    <w:pPr>
                                      <w:pStyle w:val="af0"/>
                                      <w:jc w:val="right"/>
                                      <w:rPr>
                                        <w:rFonts w:ascii="Times New Roman" w:hAnsi="Times New Roman" w:cs="Times New Roman"/>
                                        <w:noProof/>
                                        <w:spacing w:val="-1"/>
                                      </w:rPr>
                                    </w:pPr>
                                    <w:r>
                                      <w:rPr>
                                        <w:rFonts w:ascii="Times New Roman" w:hAnsi="Times New Roman" w:cs="Times New Roman" w:hint="eastAsia"/>
                                        <w:highlight w:val="lightGray"/>
                                        <w:lang w:val="hu-HU" w:eastAsia="ko-KR"/>
                                      </w:rPr>
                                      <w:t>D</w:t>
                                    </w:r>
                                    <w:r>
                                      <w:rPr>
                                        <w:rFonts w:ascii="Times New Roman" w:eastAsia="Times New Roman" w:hAnsi="Times New Roman" w:cs="Times New Roman"/>
                                        <w:highlight w:val="lightGray"/>
                                        <w:lang w:val="hu-HU"/>
                                      </w:rPr>
                                      <w:t xml:space="preserve">. </w:t>
                                    </w:r>
                                    <w:r>
                                      <w:rPr>
                                        <w:rFonts w:ascii="Times New Roman" w:eastAsia="Times New Roman" w:hAnsi="Times New Roman" w:cs="Times New Roman"/>
                                        <w:highlight w:val="lightGray"/>
                                        <w:lang w:val="hu-HU"/>
                                      </w:rPr>
                                      <w:t>ábra</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0B87A9B" id="그룹 1061" o:spid="_x0000_s1066" style="position:absolute;left:0;text-align:left;margin-left:6.1pt;margin-top:11.2pt;width:158.25pt;height:205.1pt;z-index:251658280;mso-width-relative:margin;mso-height-relative:margin" coordsize="21697,286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">
                      <v:shape id="그림 11" o:spid="_x0000_s1067" type="#_x0000_t75" style="position:absolute;width:21697;height:26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">
                        <v:imagedata r:id="rId56" o:title=""/>
                      </v:shape>
                      <v:shape id="Text Box 68" o:spid="_x0000_s1068" type="#_x0000_t202" style="position:absolute;left:14054;top:27178;width:7196;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" stroked="f">
                        <v:textbox inset="0,0,0,0">
                          <w:txbxContent>
                            <w:p w14:paraId="75E5BEBE" w14:textId="3D66CD88" w:rsidR="004A2986" w:rsidRDefault="004A2986" w:rsidP="00E91FF7">
                              <w:pPr>
                                <w:pStyle w:val="af0"/>
                                <w:jc w:val="right"/>
                                <w:rPr>
                                  <w:rFonts w:ascii="Times New Roman" w:hAnsi="Times New Roman" w:cs="Times New Roman"/>
                                  <w:noProof/>
                                  <w:spacing w:val="-1"/>
                                </w:rPr>
                              </w:pPr>
                              <w:r>
                                <w:rPr>
                                  <w:rFonts w:ascii="Times New Roman" w:hAnsi="Times New Roman" w:cs="Times New Roman" w:hint="eastAsia"/>
                                  <w:highlight w:val="lightGray"/>
                                  <w:lang w:val="hu-HU" w:eastAsia="ko-KR"/>
                                </w:rPr>
                                <w:t>D</w:t>
                              </w:r>
                              <w:r>
                                <w:rPr>
                                  <w:rFonts w:ascii="Times New Roman" w:eastAsia="Times New Roman" w:hAnsi="Times New Roman" w:cs="Times New Roman"/>
                                  <w:highlight w:val="lightGray"/>
                                  <w:lang w:val="hu-HU"/>
                                </w:rPr>
                                <w:t xml:space="preserve">. </w:t>
                              </w:r>
                              <w:r>
                                <w:rPr>
                                  <w:rFonts w:ascii="Times New Roman" w:eastAsia="Times New Roman" w:hAnsi="Times New Roman" w:cs="Times New Roman"/>
                                  <w:highlight w:val="lightGray"/>
                                  <w:lang w:val="hu-HU"/>
                                </w:rPr>
                                <w:t>ábra</w:t>
                              </w:r>
                            </w:p>
                          </w:txbxContent>
                        </v:textbox>
                      </v:shape>
                      <w10:wrap type="square"/>
                    </v:group>
                  </w:pict>
                </mc:Fallback>
              </mc:AlternateContent>
            </w:r>
          </w:p>
          <w:p w14:paraId="4E75B759" w14:textId="7EC42E70" w:rsidR="00130E8B" w:rsidRPr="000405CC" w:rsidRDefault="00130E8B">
            <w:pPr>
              <w:spacing w:line="260" w:lineRule="exact"/>
              <w:rPr>
                <w:rFonts w:asciiTheme="majorBidi" w:hAnsiTheme="majorBidi" w:cstheme="majorBidi"/>
                <w:sz w:val="26"/>
                <w:szCs w:val="26"/>
                <w:highlight w:val="lightGray"/>
                <w:lang w:val="hu-HU"/>
              </w:rPr>
            </w:pPr>
          </w:p>
          <w:p w14:paraId="1507AD92" w14:textId="493E8A60" w:rsidR="00130E8B" w:rsidRPr="000405CC" w:rsidRDefault="000405CC">
            <w:pPr>
              <w:pStyle w:val="a3"/>
              <w:numPr>
                <w:ilvl w:val="0"/>
                <w:numId w:val="22"/>
              </w:numPr>
              <w:rPr>
                <w:rFonts w:asciiTheme="majorBidi" w:hAnsiTheme="majorBidi" w:cstheme="majorBidi"/>
                <w:b/>
                <w:highlight w:val="lightGray"/>
                <w:lang w:val="hu-HU"/>
              </w:rPr>
            </w:pPr>
            <w:r w:rsidRPr="000405CC">
              <w:rPr>
                <w:rFonts w:asciiTheme="majorBidi" w:eastAsia="Times New Roman" w:hAnsiTheme="majorBidi" w:cstheme="majorBidi"/>
                <w:b/>
                <w:bCs/>
                <w:highlight w:val="lightGray"/>
                <w:lang w:val="hu-HU"/>
              </w:rPr>
              <w:t xml:space="preserve">Várjon 15-30 percet </w:t>
            </w:r>
          </w:p>
          <w:p w14:paraId="629A8484" w14:textId="77777777" w:rsidR="00130E8B" w:rsidRPr="000405CC" w:rsidRDefault="000405CC">
            <w:pPr>
              <w:pStyle w:val="Default"/>
              <w:rPr>
                <w:rFonts w:asciiTheme="majorBidi" w:hAnsiTheme="majorBidi" w:cstheme="majorBidi"/>
                <w:highlight w:val="lightGray"/>
                <w:lang w:val="hu-HU"/>
              </w:rPr>
            </w:pPr>
            <w:r w:rsidRPr="000405CC">
              <w:rPr>
                <w:rFonts w:asciiTheme="majorBidi" w:hAnsiTheme="majorBidi" w:cstheme="majorBidi"/>
                <w:highlight w:val="lightGray"/>
                <w:lang w:val="hu-HU"/>
              </w:rPr>
              <w:t xml:space="preserve"> </w:t>
            </w:r>
          </w:p>
          <w:p w14:paraId="5CDAAAEC" w14:textId="05F89445" w:rsidR="00130E8B" w:rsidRPr="000405CC" w:rsidRDefault="000405CC">
            <w:pPr>
              <w:pStyle w:val="a3"/>
              <w:ind w:left="4320" w:hanging="4320"/>
              <w:rPr>
                <w:rFonts w:asciiTheme="majorBidi" w:hAnsiTheme="majorBidi" w:cstheme="majorBidi"/>
                <w:highlight w:val="lightGray"/>
                <w:lang w:val="hu-HU"/>
              </w:rPr>
            </w:pPr>
            <w:r w:rsidRPr="000405CC">
              <w:rPr>
                <w:rFonts w:asciiTheme="majorBidi" w:eastAsia="Times New Roman" w:hAnsiTheme="majorBidi" w:cstheme="majorBidi"/>
                <w:b/>
                <w:bCs/>
                <w:highlight w:val="lightGray"/>
                <w:lang w:val="hu-HU"/>
              </w:rPr>
              <w:t xml:space="preserve">      a. </w:t>
            </w:r>
            <w:r w:rsidRPr="001E2F31">
              <w:rPr>
                <w:rFonts w:asciiTheme="majorBidi" w:eastAsia="Times New Roman" w:hAnsiTheme="majorBidi" w:cstheme="majorBidi"/>
                <w:bCs/>
                <w:highlight w:val="lightGray"/>
                <w:lang w:val="hu-HU"/>
              </w:rPr>
              <w:t>H</w:t>
            </w:r>
            <w:r w:rsidRPr="00010223">
              <w:rPr>
                <w:rFonts w:asciiTheme="majorBidi" w:eastAsia="Times New Roman" w:hAnsiTheme="majorBidi" w:cstheme="majorBidi"/>
                <w:highlight w:val="lightGray"/>
                <w:lang w:val="hu-HU"/>
              </w:rPr>
              <w:t>a</w:t>
            </w:r>
            <w:r w:rsidRPr="000405CC">
              <w:rPr>
                <w:rFonts w:asciiTheme="majorBidi" w:eastAsia="Times New Roman" w:hAnsiTheme="majorBidi" w:cstheme="majorBidi"/>
                <w:highlight w:val="lightGray"/>
                <w:lang w:val="hu-HU"/>
              </w:rPr>
              <w:t xml:space="preserve">gyja az előretöltött fecskendőt szobahőmérsékleten </w:t>
            </w:r>
            <w:r w:rsidR="0010457A">
              <w:rPr>
                <w:rFonts w:asciiTheme="majorBidi" w:eastAsia="Times New Roman" w:hAnsiTheme="majorBidi" w:cstheme="majorBidi"/>
                <w:highlight w:val="lightGray"/>
                <w:lang w:val="hu-HU"/>
              </w:rPr>
              <w:t xml:space="preserve">felmelegedni </w:t>
            </w:r>
            <w:r w:rsidRPr="000405CC">
              <w:rPr>
                <w:rFonts w:asciiTheme="majorBidi" w:eastAsia="Times New Roman" w:hAnsiTheme="majorBidi" w:cstheme="majorBidi"/>
                <w:highlight w:val="lightGray"/>
                <w:lang w:val="hu-HU"/>
              </w:rPr>
              <w:t>15–30 percig</w:t>
            </w:r>
            <w:r w:rsidR="0010457A">
              <w:rPr>
                <w:rFonts w:asciiTheme="majorBidi" w:eastAsia="Times New Roman" w:hAnsiTheme="majorBidi" w:cstheme="majorBidi"/>
                <w:highlight w:val="lightGray"/>
                <w:lang w:val="hu-HU"/>
              </w:rPr>
              <w:t>.</w:t>
            </w:r>
          </w:p>
          <w:p w14:paraId="4BDBF9F3" w14:textId="77777777" w:rsidR="00130E8B" w:rsidRPr="000405CC" w:rsidRDefault="00130E8B">
            <w:pPr>
              <w:pStyle w:val="Default"/>
              <w:rPr>
                <w:rFonts w:asciiTheme="majorBidi" w:hAnsiTheme="majorBidi" w:cstheme="majorBidi"/>
                <w:color w:val="211D1E"/>
                <w:sz w:val="20"/>
                <w:szCs w:val="20"/>
                <w:highlight w:val="lightGray"/>
                <w:lang w:val="hu-HU"/>
              </w:rPr>
            </w:pPr>
          </w:p>
          <w:p w14:paraId="5110AD6D" w14:textId="77777777" w:rsidR="00130E8B" w:rsidRPr="000405CC" w:rsidRDefault="00130E8B">
            <w:pPr>
              <w:pStyle w:val="a3"/>
              <w:numPr>
                <w:ilvl w:val="0"/>
                <w:numId w:val="0"/>
              </w:numPr>
              <w:tabs>
                <w:tab w:val="left" w:pos="3861"/>
              </w:tabs>
              <w:ind w:left="911"/>
              <w:rPr>
                <w:rFonts w:asciiTheme="majorBidi" w:hAnsiTheme="majorBidi" w:cstheme="majorBidi"/>
                <w:b/>
                <w:highlight w:val="lightGray"/>
                <w:lang w:val="hu-HU"/>
              </w:rPr>
            </w:pPr>
          </w:p>
          <w:p w14:paraId="07DA19C0" w14:textId="3B0237EA" w:rsidR="00130E8B" w:rsidRPr="000405CC" w:rsidRDefault="000405CC" w:rsidP="000405CC">
            <w:pPr>
              <w:pStyle w:val="a3"/>
              <w:numPr>
                <w:ilvl w:val="0"/>
                <w:numId w:val="40"/>
              </w:numPr>
              <w:ind w:left="4100" w:hanging="4100"/>
              <w:rPr>
                <w:rFonts w:asciiTheme="majorBidi" w:eastAsia="Times New Roman" w:hAnsiTheme="majorBidi" w:cstheme="majorBidi"/>
                <w:highlight w:val="lightGray"/>
                <w:lang w:val="hu-HU"/>
              </w:rPr>
            </w:pPr>
            <w:r w:rsidRPr="000405CC">
              <w:rPr>
                <w:rFonts w:asciiTheme="majorBidi" w:eastAsia="Times New Roman" w:hAnsiTheme="majorBidi" w:cstheme="majorBidi"/>
                <w:b/>
                <w:bCs/>
                <w:highlight w:val="lightGray"/>
                <w:lang w:val="hu-HU"/>
              </w:rPr>
              <w:t>Ne</w:t>
            </w:r>
            <w:r w:rsidRPr="000405CC">
              <w:rPr>
                <w:rFonts w:asciiTheme="majorBidi" w:eastAsia="Times New Roman" w:hAnsiTheme="majorBidi" w:cstheme="majorBidi"/>
                <w:highlight w:val="lightGray"/>
                <w:lang w:val="hu-HU"/>
              </w:rPr>
              <w:t xml:space="preserve"> melegítse az előretöltött fecskendőt</w:t>
            </w:r>
            <w:r w:rsidR="0010457A">
              <w:rPr>
                <w:rFonts w:asciiTheme="majorBidi" w:eastAsia="Times New Roman" w:hAnsiTheme="majorBidi" w:cstheme="majorBidi"/>
                <w:highlight w:val="lightGray"/>
                <w:lang w:val="hu-HU"/>
              </w:rPr>
              <w:t xml:space="preserve"> más</w:t>
            </w:r>
            <w:r w:rsidRPr="000405CC">
              <w:rPr>
                <w:rFonts w:asciiTheme="majorBidi" w:eastAsia="Times New Roman" w:hAnsiTheme="majorBidi" w:cstheme="majorBidi"/>
                <w:highlight w:val="lightGray"/>
                <w:lang w:val="hu-HU"/>
              </w:rPr>
              <w:t xml:space="preserve"> hőforrások</w:t>
            </w:r>
            <w:r w:rsidR="0010457A">
              <w:rPr>
                <w:rFonts w:asciiTheme="majorBidi" w:eastAsia="Times New Roman" w:hAnsiTheme="majorBidi" w:cstheme="majorBidi"/>
                <w:highlight w:val="lightGray"/>
                <w:lang w:val="hu-HU"/>
              </w:rPr>
              <w:t xml:space="preserve"> alkalmazásával</w:t>
            </w:r>
            <w:r w:rsidRPr="000405CC">
              <w:rPr>
                <w:rFonts w:asciiTheme="majorBidi" w:eastAsia="Times New Roman" w:hAnsiTheme="majorBidi" w:cstheme="majorBidi"/>
                <w:highlight w:val="lightGray"/>
                <w:lang w:val="hu-HU"/>
              </w:rPr>
              <w:t xml:space="preserve"> </w:t>
            </w:r>
            <w:r w:rsidRPr="000405CC">
              <w:rPr>
                <w:rFonts w:asciiTheme="majorBidi" w:eastAsia="Calibri" w:hAnsiTheme="majorBidi" w:cstheme="majorBidi"/>
                <w:highlight w:val="lightGray"/>
                <w:lang w:val="hu-HU"/>
              </w:rPr>
              <w:t>például forró víz vagy mikrohullámú sütő</w:t>
            </w:r>
            <w:r w:rsidR="0010457A">
              <w:rPr>
                <w:rFonts w:asciiTheme="majorBidi" w:eastAsia="Times New Roman" w:hAnsiTheme="majorBidi" w:cstheme="majorBidi"/>
                <w:sz w:val="20"/>
                <w:szCs w:val="20"/>
                <w:highlight w:val="lightGray"/>
                <w:lang w:val="hu-HU"/>
              </w:rPr>
              <w:t>.</w:t>
            </w:r>
          </w:p>
          <w:p w14:paraId="64B070F0" w14:textId="77777777" w:rsidR="00130E8B" w:rsidRDefault="00130E8B">
            <w:pPr>
              <w:spacing w:line="260" w:lineRule="exact"/>
              <w:ind w:firstLineChars="250" w:firstLine="650"/>
              <w:rPr>
                <w:rFonts w:asciiTheme="majorBidi" w:hAnsiTheme="majorBidi" w:cstheme="majorBidi"/>
                <w:sz w:val="26"/>
                <w:szCs w:val="26"/>
                <w:lang w:val="hu-HU"/>
              </w:rPr>
            </w:pPr>
          </w:p>
          <w:p w14:paraId="02A707F8" w14:textId="5F27D284" w:rsidR="00E91FF7" w:rsidRDefault="00E91FF7">
            <w:pPr>
              <w:spacing w:line="260" w:lineRule="exact"/>
              <w:ind w:firstLineChars="250" w:firstLine="650"/>
              <w:rPr>
                <w:rFonts w:asciiTheme="majorBidi" w:hAnsiTheme="majorBidi" w:cstheme="majorBidi"/>
                <w:sz w:val="26"/>
                <w:szCs w:val="26"/>
                <w:lang w:val="hu-HU"/>
              </w:rPr>
            </w:pPr>
          </w:p>
          <w:p w14:paraId="376A0619" w14:textId="77777777" w:rsidR="00E91FF7" w:rsidRDefault="00E91FF7">
            <w:pPr>
              <w:spacing w:line="260" w:lineRule="exact"/>
              <w:ind w:firstLineChars="250" w:firstLine="650"/>
              <w:rPr>
                <w:rFonts w:asciiTheme="majorBidi" w:hAnsiTheme="majorBidi" w:cstheme="majorBidi"/>
                <w:sz w:val="26"/>
                <w:szCs w:val="26"/>
                <w:lang w:val="hu-HU"/>
              </w:rPr>
            </w:pPr>
          </w:p>
          <w:p w14:paraId="551A847C" w14:textId="7DDA3682" w:rsidR="00E91FF7" w:rsidRDefault="00E91FF7">
            <w:pPr>
              <w:spacing w:line="260" w:lineRule="exact"/>
              <w:ind w:firstLineChars="250" w:firstLine="650"/>
              <w:rPr>
                <w:rFonts w:asciiTheme="majorBidi" w:hAnsiTheme="majorBidi" w:cstheme="majorBidi"/>
                <w:sz w:val="26"/>
                <w:szCs w:val="26"/>
                <w:lang w:val="hu-HU"/>
              </w:rPr>
            </w:pPr>
          </w:p>
        </w:tc>
      </w:tr>
      <w:tr w:rsidR="00130E8B" w:rsidRPr="00BE4D18" w14:paraId="6AD30E09" w14:textId="77777777" w:rsidTr="0054408A">
        <w:trPr>
          <w:trHeight w:val="6939"/>
        </w:trPr>
        <w:tc>
          <w:tcPr>
            <w:tcW w:w="9550" w:type="dxa"/>
          </w:tcPr>
          <w:p w14:paraId="023344A1" w14:textId="77777777" w:rsidR="00130E8B" w:rsidRDefault="00130E8B">
            <w:pPr>
              <w:ind w:left="224" w:right="1248"/>
              <w:rPr>
                <w:rFonts w:ascii="Times New Roman" w:eastAsia="Times New Roman" w:hAnsi="Times New Roman" w:cs="Times New Roman"/>
                <w:b/>
                <w:bCs/>
                <w:spacing w:val="-1"/>
                <w:lang w:val="hu-HU"/>
              </w:rPr>
            </w:pPr>
          </w:p>
          <w:p w14:paraId="03DC9874" w14:textId="4D00BAA4" w:rsidR="00130E8B" w:rsidRDefault="00010223">
            <w:pPr>
              <w:spacing w:line="260" w:lineRule="exact"/>
              <w:rPr>
                <w:lang w:val="hu-HU" w:eastAsia="ko-KR"/>
              </w:rPr>
            </w:pPr>
            <w:r>
              <w:rPr>
                <w:rFonts w:hint="eastAsia"/>
                <w:lang w:val="hu-HU" w:eastAsia="ko-KR"/>
              </w:rPr>
              <w:t xml:space="preserve">      </w:t>
            </w:r>
          </w:p>
          <w:p w14:paraId="40D143F4" w14:textId="2C4C2297" w:rsidR="00130E8B" w:rsidRPr="000405CC" w:rsidRDefault="00B11505">
            <w:pPr>
              <w:pStyle w:val="a4"/>
              <w:ind w:left="471"/>
              <w:rPr>
                <w:rFonts w:ascii="Times New Roman" w:eastAsia="Times New Roman" w:hAnsi="Times New Roman" w:cs="Times New Roman"/>
                <w:spacing w:val="-1"/>
                <w:highlight w:val="lightGray"/>
                <w:lang w:val="hu-HU"/>
              </w:rPr>
            </w:pPr>
            <w:r>
              <w:rPr>
                <w:rFonts w:ascii="Times New Roman" w:eastAsia="Times New Roman" w:hAnsi="Times New Roman" w:cs="Times New Roman"/>
                <w:noProof/>
                <w:spacing w:val="-1"/>
                <w:lang w:eastAsia="ko-KR"/>
              </w:rPr>
              <mc:AlternateContent>
                <mc:Choice Requires="wpg">
                  <w:drawing>
                    <wp:anchor distT="0" distB="0" distL="114300" distR="114300" simplePos="0" relativeHeight="251658267" behindDoc="1" locked="0" layoutInCell="1" allowOverlap="1" wp14:anchorId="7AEEA31C" wp14:editId="198426F7">
                      <wp:simplePos x="0" y="0"/>
                      <wp:positionH relativeFrom="column">
                        <wp:posOffset>111760</wp:posOffset>
                      </wp:positionH>
                      <wp:positionV relativeFrom="paragraph">
                        <wp:posOffset>81280</wp:posOffset>
                      </wp:positionV>
                      <wp:extent cx="2216785" cy="3907155"/>
                      <wp:effectExtent l="0" t="0" r="0" b="0"/>
                      <wp:wrapTight wrapText="bothSides">
                        <wp:wrapPolygon edited="0">
                          <wp:start x="0" y="0"/>
                          <wp:lineTo x="0" y="20536"/>
                          <wp:lineTo x="13736" y="21484"/>
                          <wp:lineTo x="21346" y="21484"/>
                          <wp:lineTo x="21346" y="0"/>
                          <wp:lineTo x="0" y="0"/>
                        </wp:wrapPolygon>
                      </wp:wrapTight>
                      <wp:docPr id="190" name="그룹 190"/>
                      <wp:cNvGraphicFramePr/>
                      <a:graphic xmlns:a="http://schemas.openxmlformats.org/drawingml/2006/main">
                        <a:graphicData uri="http://schemas.microsoft.com/office/word/2010/wordprocessingGroup">
                          <wpg:wgp>
                            <wpg:cNvGrpSpPr/>
                            <wpg:grpSpPr>
                              <a:xfrm>
                                <a:off x="0" y="0"/>
                                <a:ext cx="2216785" cy="3907155"/>
                                <a:chOff x="0" y="0"/>
                                <a:chExt cx="2097958" cy="3720573"/>
                              </a:xfrm>
                            </wpg:grpSpPr>
                            <wps:wsp>
                              <wps:cNvPr id="67" name="Text Box 72"/>
                              <wps:cNvSpPr txBox="1">
                                <a:spLocks noChangeArrowheads="1"/>
                              </wps:cNvSpPr>
                              <wps:spPr bwMode="auto">
                                <a:xfrm>
                                  <a:off x="1378527" y="3574473"/>
                                  <a:ext cx="719431" cy="146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72D117"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E </w:t>
                                    </w:r>
                                    <w:r>
                                      <w:rPr>
                                        <w:rFonts w:ascii="Times New Roman" w:eastAsia="Times New Roman" w:hAnsi="Times New Roman" w:cs="Times New Roman"/>
                                        <w:highlight w:val="lightGray"/>
                                        <w:lang w:val="hu-HU"/>
                                      </w:rPr>
                                      <w:t>ábra</w:t>
                                    </w:r>
                                  </w:p>
                                </w:txbxContent>
                              </wps:txbx>
                              <wps:bodyPr rot="0" vert="horz" wrap="square" lIns="0" tIns="0" rIns="0" bIns="0" anchor="t" anchorCtr="0" upright="1">
                                <a:noAutofit/>
                              </wps:bodyPr>
                            </wps:wsp>
                            <pic:pic xmlns:pic="http://schemas.openxmlformats.org/drawingml/2006/picture">
                              <pic:nvPicPr>
                                <pic:cNvPr id="186" name="그림 13"/>
                                <pic:cNvPicPr>
                                  <a:picLocks noChangeAspect="1"/>
                                </pic:cNvPicPr>
                              </pic:nvPicPr>
                              <pic:blipFill rotWithShape="1">
                                <a:blip r:embed="rId57" cstate="print">
                                  <a:extLst>
                                    <a:ext uri="{28A0092B-C50C-407E-A947-70E740481C1C}">
                                      <a14:useLocalDpi xmlns:a14="http://schemas.microsoft.com/office/drawing/2010/main" val="0"/>
                                    </a:ext>
                                  </a:extLst>
                                </a:blip>
                                <a:srcRect/>
                                <a:stretch/>
                              </pic:blipFill>
                              <pic:spPr>
                                <a:xfrm>
                                  <a:off x="0" y="0"/>
                                  <a:ext cx="2096770" cy="35382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AEEA31C" id="그룹 190" o:spid="_x0000_s1069" style="position:absolute;left:0;text-align:left;margin-left:8.8pt;margin-top:6.4pt;width:174.55pt;height:307.65pt;z-index:-251658213;mso-width-relative:margin;mso-height-relative:margin" coordsize="20979,37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">
                      <v:shape id="Text Box 72" o:spid="_x0000_s1070" type="#_x0000_t202" style="position:absolute;left:13785;top:35744;width:719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" stroked="f">
                        <v:textbox inset="0,0,0,0">
                          <w:txbxContent>
                            <w:p w14:paraId="0472D117"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E </w:t>
                              </w:r>
                              <w:r>
                                <w:rPr>
                                  <w:rFonts w:ascii="Times New Roman" w:eastAsia="Times New Roman" w:hAnsi="Times New Roman" w:cs="Times New Roman"/>
                                  <w:highlight w:val="lightGray"/>
                                  <w:lang w:val="hu-HU"/>
                                </w:rPr>
                                <w:t>ábra</w:t>
                              </w:r>
                            </w:p>
                          </w:txbxContent>
                        </v:textbox>
                      </v:shape>
                      <v:shape id="그림 13" o:spid="_x0000_s1071" type="#_x0000_t75" style="position:absolute;width:20967;height:35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">
                        <v:imagedata r:id="rId58" o:title=""/>
                      </v:shape>
                      <w10:wrap type="tight"/>
                    </v:group>
                  </w:pict>
                </mc:Fallback>
              </mc:AlternateContent>
            </w:r>
          </w:p>
          <w:p w14:paraId="3728BFBF" w14:textId="06F098DC" w:rsidR="00130E8B" w:rsidRPr="000405CC" w:rsidRDefault="000405CC">
            <w:pPr>
              <w:pStyle w:val="a4"/>
              <w:numPr>
                <w:ilvl w:val="0"/>
                <w:numId w:val="22"/>
              </w:numPr>
              <w:rPr>
                <w:rFonts w:ascii="Times New Roman" w:eastAsia="Times New Roman" w:hAnsi="Times New Roman" w:cs="Times New Roman"/>
                <w:b/>
                <w:spacing w:val="-1"/>
                <w:highlight w:val="lightGray"/>
                <w:lang w:val="hu-HU"/>
              </w:rPr>
            </w:pPr>
            <w:r w:rsidRPr="000405CC">
              <w:rPr>
                <w:rFonts w:ascii="Times New Roman" w:eastAsia="Times New Roman" w:hAnsi="Times New Roman" w:cs="Times New Roman"/>
                <w:b/>
                <w:bCs/>
                <w:spacing w:val="-1"/>
                <w:highlight w:val="lightGray"/>
                <w:lang w:val="hu-HU"/>
              </w:rPr>
              <w:t>Válassza ki a megfelelő injekció   beadási helyet</w:t>
            </w:r>
          </w:p>
          <w:p w14:paraId="3150E452" w14:textId="38EA5873" w:rsidR="00130E8B" w:rsidRPr="000405CC" w:rsidRDefault="00130E8B">
            <w:pPr>
              <w:pStyle w:val="a3"/>
              <w:rPr>
                <w:highlight w:val="lightGray"/>
                <w:lang w:val="hu-HU"/>
              </w:rPr>
            </w:pPr>
          </w:p>
          <w:p w14:paraId="0753E0C7" w14:textId="7CC1CA61" w:rsidR="00130E8B" w:rsidRPr="000405CC" w:rsidRDefault="000405CC">
            <w:pPr>
              <w:pStyle w:val="a3"/>
              <w:rPr>
                <w:highlight w:val="lightGray"/>
                <w:lang w:val="hu-HU"/>
              </w:rPr>
            </w:pPr>
            <w:r w:rsidRPr="000405CC">
              <w:rPr>
                <w:rFonts w:eastAsia="Times New Roman"/>
                <w:b/>
                <w:bCs/>
                <w:highlight w:val="lightGray"/>
                <w:lang w:val="hu-HU"/>
              </w:rPr>
              <w:t xml:space="preserve">       a. </w:t>
            </w:r>
            <w:r w:rsidRPr="000405CC">
              <w:rPr>
                <w:rFonts w:eastAsia="Times New Roman"/>
                <w:highlight w:val="lightGray"/>
                <w:lang w:val="hu-HU"/>
              </w:rPr>
              <w:t>Beadhatja az injekciót:</w:t>
            </w:r>
          </w:p>
          <w:p w14:paraId="37E2F49B" w14:textId="77777777" w:rsidR="00130E8B" w:rsidRPr="000405CC" w:rsidRDefault="000405CC" w:rsidP="001E2F31">
            <w:pPr>
              <w:pStyle w:val="a3"/>
              <w:ind w:firstLineChars="300" w:firstLine="660"/>
              <w:rPr>
                <w:highlight w:val="lightGray"/>
                <w:lang w:val="hu-HU"/>
              </w:rPr>
            </w:pPr>
            <w:r w:rsidRPr="000405CC">
              <w:rPr>
                <w:rFonts w:eastAsia="Times New Roman"/>
                <w:highlight w:val="lightGray"/>
                <w:lang w:val="hu-HU"/>
              </w:rPr>
              <w:t>- a comb elülső részébe.</w:t>
            </w:r>
          </w:p>
          <w:p w14:paraId="18CEAEA2" w14:textId="77777777" w:rsidR="00130E8B" w:rsidRPr="000405CC" w:rsidRDefault="000405CC" w:rsidP="001E2F31">
            <w:pPr>
              <w:pStyle w:val="a3"/>
              <w:ind w:firstLineChars="300" w:firstLine="660"/>
              <w:rPr>
                <w:highlight w:val="lightGray"/>
                <w:lang w:val="hu-HU"/>
              </w:rPr>
            </w:pPr>
            <w:r w:rsidRPr="000405CC">
              <w:rPr>
                <w:rFonts w:eastAsia="Times New Roman"/>
                <w:highlight w:val="lightGray"/>
                <w:lang w:val="hu-HU"/>
              </w:rPr>
              <w:t>- a hasába, kivéve a köldököt.</w:t>
            </w:r>
          </w:p>
          <w:p w14:paraId="72A2B818" w14:textId="77777777" w:rsidR="00010223" w:rsidRDefault="000405CC" w:rsidP="001E2F31">
            <w:pPr>
              <w:pStyle w:val="a3"/>
              <w:ind w:firstLineChars="300" w:firstLine="660"/>
              <w:rPr>
                <w:rFonts w:eastAsia="Times New Roman"/>
                <w:highlight w:val="lightGray"/>
                <w:lang w:val="hu-HU"/>
              </w:rPr>
            </w:pPr>
            <w:r w:rsidRPr="000405CC">
              <w:rPr>
                <w:rFonts w:eastAsia="Times New Roman"/>
                <w:highlight w:val="lightGray"/>
                <w:lang w:val="hu-HU"/>
              </w:rPr>
              <w:t xml:space="preserve">- a felkar külső részébe (KIZÁRÓLAG akkor, ha Ön </w:t>
            </w:r>
            <w:r w:rsidR="00010223">
              <w:rPr>
                <w:rFonts w:eastAsia="Times New Roman"/>
                <w:highlight w:val="lightGray"/>
                <w:lang w:val="hu-HU"/>
              </w:rPr>
              <w:t xml:space="preserve">     </w:t>
            </w:r>
          </w:p>
          <w:p w14:paraId="4C0E4BE7" w14:textId="60AD47A7" w:rsidR="00130E8B" w:rsidRPr="000405CC" w:rsidRDefault="000405CC" w:rsidP="001E2F31">
            <w:pPr>
              <w:pStyle w:val="a3"/>
              <w:ind w:firstLineChars="350" w:firstLine="770"/>
              <w:rPr>
                <w:highlight w:val="lightGray"/>
                <w:lang w:val="hu-HU"/>
              </w:rPr>
            </w:pPr>
            <w:r w:rsidRPr="000405CC">
              <w:rPr>
                <w:rFonts w:eastAsia="Times New Roman"/>
                <w:highlight w:val="lightGray"/>
                <w:lang w:val="hu-HU"/>
              </w:rPr>
              <w:t>gondozó).</w:t>
            </w:r>
          </w:p>
          <w:p w14:paraId="5B82A898" w14:textId="11C52C41" w:rsidR="00130E8B" w:rsidRPr="000405CC" w:rsidRDefault="00130E8B">
            <w:pPr>
              <w:pStyle w:val="a3"/>
              <w:rPr>
                <w:highlight w:val="lightGray"/>
                <w:lang w:val="hu-HU"/>
              </w:rPr>
            </w:pPr>
          </w:p>
          <w:p w14:paraId="3E8ABA97" w14:textId="272ED117" w:rsidR="00130E8B" w:rsidRPr="000405CC" w:rsidRDefault="000405CC" w:rsidP="000405CC">
            <w:pPr>
              <w:pStyle w:val="a3"/>
              <w:numPr>
                <w:ilvl w:val="0"/>
                <w:numId w:val="17"/>
              </w:numPr>
              <w:ind w:left="3899" w:hanging="3899"/>
              <w:rPr>
                <w:highlight w:val="lightGray"/>
                <w:lang w:val="hu-HU"/>
              </w:rPr>
            </w:pPr>
            <w:r w:rsidRPr="000405CC">
              <w:rPr>
                <w:rFonts w:eastAsia="Times New Roman"/>
                <w:b/>
                <w:bCs/>
                <w:highlight w:val="lightGray"/>
                <w:lang w:val="hu-HU"/>
              </w:rPr>
              <w:t>Ne</w:t>
            </w:r>
            <w:r w:rsidRPr="000405CC">
              <w:rPr>
                <w:rFonts w:eastAsia="Times New Roman"/>
                <w:highlight w:val="lightGray"/>
                <w:lang w:val="hu-HU"/>
              </w:rPr>
              <w:t xml:space="preserve"> adja be az injekciót </w:t>
            </w:r>
            <w:r w:rsidRPr="009167C6">
              <w:rPr>
                <w:rFonts w:eastAsia="Times New Roman"/>
                <w:lang w:val="hu-HU"/>
              </w:rPr>
              <w:t>olyan bőr</w:t>
            </w:r>
            <w:r w:rsidR="007331BA">
              <w:rPr>
                <w:rFonts w:eastAsia="Times New Roman"/>
                <w:lang w:val="hu-HU"/>
              </w:rPr>
              <w:t>területbe</w:t>
            </w:r>
            <w:r w:rsidRPr="000405CC">
              <w:rPr>
                <w:rFonts w:eastAsia="Times New Roman"/>
                <w:highlight w:val="lightGray"/>
                <w:lang w:val="hu-HU"/>
              </w:rPr>
              <w:t xml:space="preserve"> amely </w:t>
            </w:r>
            <w:r w:rsidR="007331BA">
              <w:rPr>
                <w:rFonts w:eastAsia="Times New Roman"/>
                <w:highlight w:val="lightGray"/>
                <w:lang w:val="hu-HU"/>
              </w:rPr>
              <w:t xml:space="preserve">kevesebb </w:t>
            </w:r>
            <w:r w:rsidR="00BA71BE">
              <w:rPr>
                <w:rFonts w:eastAsia="Times New Roman"/>
                <w:highlight w:val="lightGray"/>
                <w:lang w:val="hu-HU"/>
              </w:rPr>
              <w:t xml:space="preserve">mint </w:t>
            </w:r>
            <w:r w:rsidRPr="000405CC">
              <w:rPr>
                <w:rFonts w:eastAsia="Times New Roman"/>
                <w:highlight w:val="lightGray"/>
                <w:lang w:val="hu-HU"/>
              </w:rPr>
              <w:t xml:space="preserve">5 cm-re </w:t>
            </w:r>
            <w:r w:rsidR="006F7529">
              <w:rPr>
                <w:rFonts w:eastAsia="Times New Roman"/>
                <w:highlight w:val="lightGray"/>
                <w:lang w:val="hu-HU"/>
              </w:rPr>
              <w:t>található</w:t>
            </w:r>
            <w:r w:rsidR="006F7529" w:rsidRPr="000405CC">
              <w:rPr>
                <w:rFonts w:eastAsia="Times New Roman"/>
                <w:highlight w:val="lightGray"/>
                <w:lang w:val="hu-HU"/>
              </w:rPr>
              <w:t xml:space="preserve"> </w:t>
            </w:r>
            <w:r w:rsidRPr="000405CC">
              <w:rPr>
                <w:rFonts w:eastAsia="Times New Roman"/>
                <w:highlight w:val="lightGray"/>
                <w:lang w:val="hu-HU"/>
              </w:rPr>
              <w:t>a köldöktől</w:t>
            </w:r>
            <w:r w:rsidR="006123D2">
              <w:rPr>
                <w:rFonts w:eastAsia="Times New Roman"/>
                <w:highlight w:val="lightGray"/>
                <w:lang w:val="hu-HU"/>
              </w:rPr>
              <w:t>,</w:t>
            </w:r>
            <w:r w:rsidRPr="000405CC">
              <w:rPr>
                <w:rFonts w:eastAsia="Times New Roman"/>
                <w:highlight w:val="lightGray"/>
                <w:lang w:val="hu-HU"/>
              </w:rPr>
              <w:t xml:space="preserve"> vagy bepirosodott, kemény, érzékeny, sérült, véraláfutásos vagy heges.</w:t>
            </w:r>
          </w:p>
          <w:p w14:paraId="6B2517DB" w14:textId="77777777" w:rsidR="00130E8B" w:rsidRPr="000405CC" w:rsidRDefault="000405CC" w:rsidP="000405CC">
            <w:pPr>
              <w:pStyle w:val="a3"/>
              <w:numPr>
                <w:ilvl w:val="0"/>
                <w:numId w:val="17"/>
              </w:numPr>
              <w:ind w:left="3899" w:hanging="3899"/>
              <w:rPr>
                <w:highlight w:val="lightGray"/>
                <w:lang w:val="hu-HU"/>
              </w:rPr>
            </w:pPr>
            <w:r w:rsidRPr="000405CC">
              <w:rPr>
                <w:rFonts w:eastAsia="Times New Roman"/>
                <w:highlight w:val="lightGray"/>
                <w:lang w:val="hu-HU"/>
              </w:rPr>
              <w:t xml:space="preserve">Ha pikkelysömörben szenved, </w:t>
            </w:r>
            <w:r w:rsidRPr="000405CC">
              <w:rPr>
                <w:rFonts w:eastAsia="Times New Roman"/>
                <w:b/>
                <w:bCs/>
                <w:highlight w:val="lightGray"/>
                <w:lang w:val="hu-HU"/>
              </w:rPr>
              <w:t>ne</w:t>
            </w:r>
            <w:r w:rsidRPr="000405CC">
              <w:rPr>
                <w:rFonts w:eastAsia="Times New Roman"/>
                <w:highlight w:val="lightGray"/>
                <w:lang w:val="hu-HU"/>
              </w:rPr>
              <w:t xml:space="preserve"> adja be közvetlenül az injekciót kiemelkedő, megvastagodott, piros vagy pikkelyesen hámló foltok, illetve bőrelváltozások területén.</w:t>
            </w:r>
          </w:p>
          <w:p w14:paraId="09112712" w14:textId="77777777" w:rsidR="00130E8B" w:rsidRPr="000405CC" w:rsidRDefault="000405CC" w:rsidP="000405CC">
            <w:pPr>
              <w:pStyle w:val="a3"/>
              <w:numPr>
                <w:ilvl w:val="0"/>
                <w:numId w:val="17"/>
              </w:numPr>
              <w:ind w:left="3899" w:hanging="3899"/>
              <w:rPr>
                <w:highlight w:val="lightGray"/>
                <w:lang w:val="hu-HU"/>
              </w:rPr>
            </w:pPr>
            <w:r w:rsidRPr="000405CC">
              <w:rPr>
                <w:rFonts w:eastAsia="Times New Roman"/>
                <w:b/>
                <w:bCs/>
                <w:highlight w:val="lightGray"/>
                <w:lang w:val="hu-HU"/>
              </w:rPr>
              <w:t>Ne</w:t>
            </w:r>
            <w:r w:rsidRPr="000405CC">
              <w:rPr>
                <w:rFonts w:eastAsia="Times New Roman"/>
                <w:highlight w:val="lightGray"/>
                <w:lang w:val="hu-HU"/>
              </w:rPr>
              <w:t xml:space="preserve"> ruhán keresztül adja be az injekciót</w:t>
            </w:r>
          </w:p>
          <w:p w14:paraId="7214906A" w14:textId="2FFB45BC" w:rsidR="00130E8B" w:rsidRPr="000405CC" w:rsidRDefault="00130E8B">
            <w:pPr>
              <w:pStyle w:val="a3"/>
              <w:numPr>
                <w:ilvl w:val="0"/>
                <w:numId w:val="0"/>
              </w:numPr>
              <w:ind w:left="911"/>
              <w:rPr>
                <w:highlight w:val="lightGray"/>
                <w:lang w:val="hu-HU"/>
              </w:rPr>
            </w:pPr>
          </w:p>
          <w:p w14:paraId="19F5192A" w14:textId="4A181860" w:rsidR="00130E8B" w:rsidRDefault="00B11505">
            <w:pPr>
              <w:pStyle w:val="a3"/>
              <w:ind w:left="4050" w:hanging="4050"/>
              <w:rPr>
                <w:sz w:val="26"/>
                <w:szCs w:val="26"/>
                <w:lang w:val="hu-HU"/>
              </w:rPr>
            </w:pPr>
            <w:r>
              <w:rPr>
                <w:rFonts w:eastAsia="Times New Roman"/>
                <w:noProof/>
                <w:sz w:val="20"/>
                <w:szCs w:val="20"/>
                <w:highlight w:val="lightGray"/>
                <w:lang w:eastAsia="ko-KR"/>
              </w:rPr>
              <mc:AlternateContent>
                <mc:Choice Requires="wps">
                  <w:drawing>
                    <wp:anchor distT="0" distB="0" distL="114300" distR="114300" simplePos="0" relativeHeight="251658258" behindDoc="0" locked="0" layoutInCell="1" allowOverlap="1" wp14:anchorId="102C28F9" wp14:editId="066F4986">
                      <wp:simplePos x="0" y="0"/>
                      <wp:positionH relativeFrom="column">
                        <wp:posOffset>723265</wp:posOffset>
                      </wp:positionH>
                      <wp:positionV relativeFrom="paragraph">
                        <wp:posOffset>178435</wp:posOffset>
                      </wp:positionV>
                      <wp:extent cx="1391920" cy="787400"/>
                      <wp:effectExtent l="0" t="0" r="0" b="0"/>
                      <wp:wrapNone/>
                      <wp:docPr id="12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1920" cy="787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D08004" w14:textId="77777777" w:rsidR="004A2986" w:rsidRDefault="004A2986">
                                  <w:pPr>
                                    <w:rPr>
                                      <w:rFonts w:asciiTheme="majorBidi" w:hAnsiTheme="majorBidi" w:cstheme="majorBidi"/>
                                      <w:b/>
                                      <w:bCs/>
                                      <w:sz w:val="20"/>
                                      <w:szCs w:val="20"/>
                                    </w:rPr>
                                  </w:pPr>
                                  <w:r>
                                    <w:rPr>
                                      <w:rFonts w:ascii="Times New Roman" w:eastAsia="Times New Roman" w:hAnsi="Times New Roman" w:cs="Times New Roman"/>
                                      <w:b/>
                                      <w:bCs/>
                                      <w:sz w:val="20"/>
                                      <w:szCs w:val="20"/>
                                      <w:lang w:val="hu-HU"/>
                                    </w:rPr>
                                    <w:t xml:space="preserve">KIZÁRÓLAG </w:t>
                                  </w:r>
                                  <w:r>
                                    <w:rPr>
                                      <w:rFonts w:ascii="Times New Roman" w:eastAsia="Times New Roman" w:hAnsi="Times New Roman" w:cs="Times New Roman"/>
                                      <w:b/>
                                      <w:bCs/>
                                      <w:sz w:val="20"/>
                                      <w:szCs w:val="20"/>
                                      <w:lang w:val="hu-HU"/>
                                    </w:rPr>
                                    <w:t>gondozó esetén</w:t>
                                  </w:r>
                                </w:p>
                                <w:p w14:paraId="4DCBC237" w14:textId="77777777" w:rsidR="004A2986" w:rsidRDefault="004A2986">
                                  <w:pPr>
                                    <w:rPr>
                                      <w:rFonts w:asciiTheme="majorBidi" w:hAnsiTheme="majorBidi" w:cstheme="majorBidi"/>
                                      <w:b/>
                                      <w:bCs/>
                                      <w:sz w:val="10"/>
                                      <w:szCs w:val="10"/>
                                    </w:rPr>
                                  </w:pPr>
                                </w:p>
                                <w:p w14:paraId="1CE68AA1" w14:textId="77777777" w:rsidR="004A2986" w:rsidRDefault="004A2986">
                                  <w:pPr>
                                    <w:rPr>
                                      <w:rFonts w:asciiTheme="majorBidi" w:hAnsiTheme="majorBidi" w:cstheme="majorBidi"/>
                                      <w:b/>
                                      <w:bCs/>
                                      <w:sz w:val="20"/>
                                      <w:szCs w:val="20"/>
                                    </w:rPr>
                                  </w:pPr>
                                  <w:r>
                                    <w:rPr>
                                      <w:rFonts w:ascii="Times New Roman" w:eastAsia="Times New Roman" w:hAnsi="Times New Roman" w:cs="Times New Roman"/>
                                      <w:b/>
                                      <w:bCs/>
                                      <w:sz w:val="20"/>
                                      <w:szCs w:val="20"/>
                                      <w:lang w:val="hu-HU"/>
                                    </w:rPr>
                                    <w:t xml:space="preserve">Öninjekciózás és gondozó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C28F9" id="Text Box 127" o:spid="_x0000_s1072" type="#_x0000_t202" style="position:absolute;left:0;text-align:left;margin-left:56.95pt;margin-top:14.05pt;width:109.6pt;height:62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" fillcolor="white [3212]" stroked="f" strokeweight=".5pt">
                      <v:textbox inset="0,0,0,0">
                        <w:txbxContent>
                          <w:p w14:paraId="04D08004" w14:textId="77777777" w:rsidR="004A2986" w:rsidRDefault="004A2986">
                            <w:pPr>
                              <w:rPr>
                                <w:rFonts w:asciiTheme="majorBidi" w:hAnsiTheme="majorBidi" w:cstheme="majorBidi"/>
                                <w:b/>
                                <w:bCs/>
                                <w:sz w:val="20"/>
                                <w:szCs w:val="20"/>
                              </w:rPr>
                            </w:pPr>
                            <w:r>
                              <w:rPr>
                                <w:rFonts w:ascii="Times New Roman" w:eastAsia="Times New Roman" w:hAnsi="Times New Roman" w:cs="Times New Roman"/>
                                <w:b/>
                                <w:bCs/>
                                <w:sz w:val="20"/>
                                <w:szCs w:val="20"/>
                                <w:lang w:val="hu-HU"/>
                              </w:rPr>
                              <w:t xml:space="preserve">KIZÁRÓLAG </w:t>
                            </w:r>
                            <w:r>
                              <w:rPr>
                                <w:rFonts w:ascii="Times New Roman" w:eastAsia="Times New Roman" w:hAnsi="Times New Roman" w:cs="Times New Roman"/>
                                <w:b/>
                                <w:bCs/>
                                <w:sz w:val="20"/>
                                <w:szCs w:val="20"/>
                                <w:lang w:val="hu-HU"/>
                              </w:rPr>
                              <w:t>gondozó esetén</w:t>
                            </w:r>
                          </w:p>
                          <w:p w14:paraId="4DCBC237" w14:textId="77777777" w:rsidR="004A2986" w:rsidRDefault="004A2986">
                            <w:pPr>
                              <w:rPr>
                                <w:rFonts w:asciiTheme="majorBidi" w:hAnsiTheme="majorBidi" w:cstheme="majorBidi"/>
                                <w:b/>
                                <w:bCs/>
                                <w:sz w:val="10"/>
                                <w:szCs w:val="10"/>
                              </w:rPr>
                            </w:pPr>
                          </w:p>
                          <w:p w14:paraId="1CE68AA1" w14:textId="77777777" w:rsidR="004A2986" w:rsidRDefault="004A2986">
                            <w:pPr>
                              <w:rPr>
                                <w:rFonts w:asciiTheme="majorBidi" w:hAnsiTheme="majorBidi" w:cstheme="majorBidi"/>
                                <w:b/>
                                <w:bCs/>
                                <w:sz w:val="20"/>
                                <w:szCs w:val="20"/>
                              </w:rPr>
                            </w:pPr>
                            <w:r>
                              <w:rPr>
                                <w:rFonts w:ascii="Times New Roman" w:eastAsia="Times New Roman" w:hAnsi="Times New Roman" w:cs="Times New Roman"/>
                                <w:b/>
                                <w:bCs/>
                                <w:sz w:val="20"/>
                                <w:szCs w:val="20"/>
                                <w:lang w:val="hu-HU"/>
                              </w:rPr>
                              <w:t xml:space="preserve">Öninjekciózás és gondozó </w:t>
                            </w:r>
                          </w:p>
                        </w:txbxContent>
                      </v:textbox>
                    </v:shape>
                  </w:pict>
                </mc:Fallback>
              </mc:AlternateContent>
            </w:r>
            <w:r w:rsidR="000405CC" w:rsidRPr="000405CC">
              <w:rPr>
                <w:rFonts w:eastAsia="Times New Roman"/>
                <w:b/>
                <w:bCs/>
                <w:highlight w:val="lightGray"/>
                <w:lang w:val="hu-HU"/>
              </w:rPr>
              <w:t xml:space="preserve">   b. </w:t>
            </w:r>
            <w:r w:rsidR="000405CC" w:rsidRPr="001E2F31">
              <w:rPr>
                <w:rFonts w:eastAsia="Times New Roman"/>
                <w:bCs/>
                <w:highlight w:val="lightGray"/>
                <w:lang w:val="hu-HU"/>
              </w:rPr>
              <w:t>M</w:t>
            </w:r>
            <w:r w:rsidR="000405CC" w:rsidRPr="00010223">
              <w:rPr>
                <w:rFonts w:eastAsia="Times New Roman"/>
                <w:highlight w:val="lightGray"/>
                <w:lang w:val="hu-HU"/>
              </w:rPr>
              <w:t>in</w:t>
            </w:r>
            <w:r w:rsidR="000405CC" w:rsidRPr="000405CC">
              <w:rPr>
                <w:rFonts w:eastAsia="Times New Roman"/>
                <w:highlight w:val="lightGray"/>
                <w:lang w:val="hu-HU"/>
              </w:rPr>
              <w:t>den alkalommal, amikor injekciót ad be, váltogassa az injekció beadásának helyét. Minden új injekció beadási helynek legalább 3 cm-re kell lennie az előzőleg beadott injekció beadási helyétől.</w:t>
            </w:r>
          </w:p>
        </w:tc>
      </w:tr>
      <w:tr w:rsidR="00130E8B" w:rsidRPr="0050426A" w14:paraId="7A7938B8" w14:textId="77777777" w:rsidTr="0054408A">
        <w:trPr>
          <w:trHeight w:val="4989"/>
        </w:trPr>
        <w:tc>
          <w:tcPr>
            <w:tcW w:w="9550" w:type="dxa"/>
          </w:tcPr>
          <w:p w14:paraId="6D096E9A" w14:textId="05DA7646" w:rsidR="00130E8B" w:rsidRPr="000405CC" w:rsidRDefault="0054408A">
            <w:pPr>
              <w:pStyle w:val="a3"/>
              <w:rPr>
                <w:highlight w:val="lightGray"/>
                <w:lang w:val="hu-HU" w:eastAsia="ko-KR"/>
              </w:rPr>
            </w:pPr>
            <w:r>
              <w:rPr>
                <w:noProof/>
                <w:lang w:eastAsia="ko-KR"/>
              </w:rPr>
              <w:lastRenderedPageBreak/>
              <mc:AlternateContent>
                <mc:Choice Requires="wpg">
                  <w:drawing>
                    <wp:anchor distT="0" distB="0" distL="114300" distR="114300" simplePos="0" relativeHeight="251658276" behindDoc="0" locked="0" layoutInCell="1" allowOverlap="1" wp14:anchorId="3AF277FF" wp14:editId="69759EA6">
                      <wp:simplePos x="0" y="0"/>
                      <wp:positionH relativeFrom="column">
                        <wp:posOffset>-26035</wp:posOffset>
                      </wp:positionH>
                      <wp:positionV relativeFrom="paragraph">
                        <wp:posOffset>191770</wp:posOffset>
                      </wp:positionV>
                      <wp:extent cx="2156460" cy="2951480"/>
                      <wp:effectExtent l="0" t="0" r="0" b="1270"/>
                      <wp:wrapSquare wrapText="bothSides"/>
                      <wp:docPr id="175" name="그룹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56460" cy="2951480"/>
                                <a:chOff x="0" y="0"/>
                                <a:chExt cx="2407920" cy="3092450"/>
                              </a:xfrm>
                            </wpg:grpSpPr>
                            <pic:pic xmlns:pic="http://schemas.openxmlformats.org/drawingml/2006/picture">
                              <pic:nvPicPr>
                                <pic:cNvPr id="184" name="그림 59"/>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1024" name="Text Box 47"/>
                              <wps:cNvSpPr txBox="1"/>
                              <wps:spPr>
                                <a:xfrm>
                                  <a:off x="1670050" y="2946400"/>
                                  <a:ext cx="719758" cy="146050"/>
                                </a:xfrm>
                                <a:prstGeom prst="rect">
                                  <a:avLst/>
                                </a:prstGeom>
                                <a:solidFill>
                                  <a:prstClr val="white"/>
                                </a:solidFill>
                                <a:ln>
                                  <a:noFill/>
                                </a:ln>
                              </wps:spPr>
                              <wps:txbx>
                                <w:txbxContent>
                                  <w:p w14:paraId="48185182" w14:textId="77777777" w:rsidR="004A2986" w:rsidRDefault="004A2986" w:rsidP="005D79EA">
                                    <w:pPr>
                                      <w:pStyle w:val="af0"/>
                                      <w:jc w:val="right"/>
                                      <w:rPr>
                                        <w:rFonts w:ascii="Times New Roman" w:hAnsi="Times New Roman" w:cs="Times New Roman"/>
                                        <w:noProof/>
                                        <w:spacing w:val="-1"/>
                                      </w:rPr>
                                    </w:pPr>
                                    <w:r w:rsidRPr="004B23C8">
                                      <w:rPr>
                                        <w:rFonts w:ascii="Times New Roman" w:eastAsia="Times New Roman" w:hAnsi="Times New Roman" w:cs="Times New Roman"/>
                                        <w:highlight w:val="lightGray"/>
                                        <w:lang w:val="hu-HU"/>
                                      </w:rPr>
                                      <w:t xml:space="preserve">F. </w:t>
                                    </w:r>
                                    <w:r w:rsidRPr="004B23C8">
                                      <w:rPr>
                                        <w:rFonts w:ascii="Times New Roman" w:eastAsia="Times New Roman" w:hAnsi="Times New Roman" w:cs="Times New Roman"/>
                                        <w:highlight w:val="lightGray"/>
                                        <w:lang w:val="hu-HU"/>
                                      </w:rPr>
                                      <w:t>ábra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AF277FF" id="_x0000_s1073" style="position:absolute;margin-left:-2.05pt;margin-top:15.1pt;width:169.8pt;height:232.4pt;z-index:251658276"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icyVu6kcEeDMAADPRj&#10;IIvHmRxf9PMFtsSWMAADLQayeJzJW7qRwR4MwAAM9GMgi8eZHF/08wW2xJYwAAMtBrJ4nMlbupHB&#10;HgzAAA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">
                      <v:shape id="그림 59" o:spid="_x0000_s1074"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">
                        <v:imagedata r:id="rId37" o:title=""/>
                      </v:shape>
                      <v:shape id="Text Box 47" o:spid="_x0000_s1075"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" stroked="f">
                        <v:textbox inset="0,0,0,0">
                          <w:txbxContent>
                            <w:p w14:paraId="48185182" w14:textId="77777777" w:rsidR="004A2986" w:rsidRDefault="004A2986" w:rsidP="005D79EA">
                              <w:pPr>
                                <w:pStyle w:val="af0"/>
                                <w:jc w:val="right"/>
                                <w:rPr>
                                  <w:rFonts w:ascii="Times New Roman" w:hAnsi="Times New Roman" w:cs="Times New Roman"/>
                                  <w:noProof/>
                                  <w:spacing w:val="-1"/>
                                </w:rPr>
                              </w:pPr>
                              <w:r w:rsidRPr="004B23C8">
                                <w:rPr>
                                  <w:rFonts w:ascii="Times New Roman" w:eastAsia="Times New Roman" w:hAnsi="Times New Roman" w:cs="Times New Roman"/>
                                  <w:highlight w:val="lightGray"/>
                                  <w:lang w:val="hu-HU"/>
                                </w:rPr>
                                <w:t xml:space="preserve">F. </w:t>
                              </w:r>
                              <w:r w:rsidRPr="004B23C8">
                                <w:rPr>
                                  <w:rFonts w:ascii="Times New Roman" w:eastAsia="Times New Roman" w:hAnsi="Times New Roman" w:cs="Times New Roman"/>
                                  <w:highlight w:val="lightGray"/>
                                  <w:lang w:val="hu-HU"/>
                                </w:rPr>
                                <w:t>ábra</w:t>
                              </w:r>
                            </w:p>
                          </w:txbxContent>
                        </v:textbox>
                      </v:shape>
                      <w10:wrap type="square"/>
                    </v:group>
                  </w:pict>
                </mc:Fallback>
              </mc:AlternateContent>
            </w:r>
          </w:p>
          <w:p w14:paraId="73480DA4" w14:textId="1CAF22E5" w:rsidR="00130E8B" w:rsidRPr="000405CC" w:rsidRDefault="00010223">
            <w:pPr>
              <w:pStyle w:val="1"/>
              <w:spacing w:before="76"/>
              <w:ind w:left="0" w:right="2736"/>
              <w:rPr>
                <w:rFonts w:eastAsiaTheme="minorEastAsia"/>
                <w:highlight w:val="lightGray"/>
                <w:lang w:val="hu-HU" w:eastAsia="ko-KR"/>
              </w:rPr>
            </w:pPr>
            <w:r>
              <w:rPr>
                <w:rFonts w:eastAsiaTheme="minorEastAsia" w:cs="Times New Roman" w:hint="eastAsia"/>
                <w:spacing w:val="-1"/>
                <w:highlight w:val="lightGray"/>
                <w:lang w:val="hu-HU" w:eastAsia="ko-KR"/>
              </w:rPr>
              <w:t xml:space="preserve">  </w:t>
            </w:r>
          </w:p>
          <w:p w14:paraId="2E40387A" w14:textId="77777777" w:rsidR="00130E8B" w:rsidRPr="000405CC" w:rsidRDefault="000405CC">
            <w:pPr>
              <w:pStyle w:val="a3"/>
              <w:numPr>
                <w:ilvl w:val="0"/>
                <w:numId w:val="22"/>
              </w:numPr>
              <w:rPr>
                <w:b/>
                <w:highlight w:val="lightGray"/>
                <w:lang w:val="hu-HU"/>
              </w:rPr>
            </w:pPr>
            <w:r w:rsidRPr="000405CC">
              <w:rPr>
                <w:rFonts w:eastAsia="Times New Roman"/>
                <w:b/>
                <w:bCs/>
                <w:highlight w:val="lightGray"/>
                <w:lang w:val="hu-HU"/>
              </w:rPr>
              <w:t>Mosson kezet</w:t>
            </w:r>
          </w:p>
          <w:p w14:paraId="70C3695F" w14:textId="77777777" w:rsidR="00130E8B" w:rsidRPr="000405CC" w:rsidRDefault="00130E8B">
            <w:pPr>
              <w:pStyle w:val="a3"/>
              <w:rPr>
                <w:highlight w:val="lightGray"/>
                <w:lang w:val="hu-HU"/>
              </w:rPr>
            </w:pPr>
          </w:p>
          <w:p w14:paraId="3B932810" w14:textId="092B1E86" w:rsidR="00010223" w:rsidRDefault="00B4601D" w:rsidP="00FD05AA">
            <w:pPr>
              <w:pStyle w:val="a3"/>
              <w:numPr>
                <w:ilvl w:val="0"/>
                <w:numId w:val="47"/>
              </w:numPr>
              <w:rPr>
                <w:rFonts w:eastAsia="Times New Roman"/>
                <w:highlight w:val="lightGray"/>
                <w:lang w:val="hu-HU"/>
              </w:rPr>
            </w:pPr>
            <w:r w:rsidRPr="001E2F31">
              <w:rPr>
                <w:rFonts w:eastAsia="Times New Roman"/>
                <w:bCs/>
                <w:highlight w:val="lightGray"/>
                <w:lang w:val="hu-HU"/>
              </w:rPr>
              <w:t>Alaposan m</w:t>
            </w:r>
            <w:r w:rsidRPr="001E2F31">
              <w:rPr>
                <w:rFonts w:eastAsia="Times New Roman"/>
                <w:highlight w:val="lightGray"/>
                <w:lang w:val="hu-HU"/>
              </w:rPr>
              <w:t xml:space="preserve">ossa meg a </w:t>
            </w:r>
            <w:r w:rsidR="000405CC" w:rsidRPr="001E2F31">
              <w:rPr>
                <w:rFonts w:eastAsia="Times New Roman"/>
                <w:highlight w:val="lightGray"/>
                <w:lang w:val="hu-HU"/>
              </w:rPr>
              <w:t>kez</w:t>
            </w:r>
            <w:r w:rsidRPr="001E2F31">
              <w:rPr>
                <w:rFonts w:eastAsia="Times New Roman"/>
                <w:highlight w:val="lightGray"/>
                <w:lang w:val="hu-HU"/>
              </w:rPr>
              <w:t>ét</w:t>
            </w:r>
            <w:r w:rsidR="000405CC" w:rsidRPr="001E2F31">
              <w:rPr>
                <w:rFonts w:eastAsia="Times New Roman"/>
                <w:highlight w:val="lightGray"/>
                <w:lang w:val="hu-HU"/>
              </w:rPr>
              <w:t xml:space="preserve"> szappan</w:t>
            </w:r>
            <w:r w:rsidRPr="001E2F31">
              <w:rPr>
                <w:rFonts w:eastAsia="Times New Roman"/>
                <w:highlight w:val="lightGray"/>
                <w:lang w:val="hu-HU"/>
              </w:rPr>
              <w:t>al és</w:t>
            </w:r>
            <w:r w:rsidR="000405CC" w:rsidRPr="001E2F31">
              <w:rPr>
                <w:rFonts w:eastAsia="Times New Roman"/>
                <w:highlight w:val="lightGray"/>
                <w:lang w:val="hu-HU"/>
              </w:rPr>
              <w:t xml:space="preserve"> vízzel és </w:t>
            </w:r>
          </w:p>
          <w:p w14:paraId="13AE658A" w14:textId="563EBD5D" w:rsidR="00130E8B" w:rsidRPr="001E2F31" w:rsidRDefault="000405CC" w:rsidP="001E2F31">
            <w:pPr>
              <w:pStyle w:val="a3"/>
              <w:numPr>
                <w:ilvl w:val="0"/>
                <w:numId w:val="0"/>
              </w:numPr>
              <w:ind w:left="108"/>
              <w:rPr>
                <w:highlight w:val="lightGray"/>
                <w:lang w:val="hu-HU"/>
              </w:rPr>
            </w:pPr>
            <w:r w:rsidRPr="001E2F31">
              <w:rPr>
                <w:rFonts w:eastAsia="Times New Roman"/>
                <w:highlight w:val="lightGray"/>
                <w:lang w:val="hu-HU"/>
              </w:rPr>
              <w:t>szárítsa meg.</w:t>
            </w:r>
          </w:p>
          <w:p w14:paraId="247A14B5" w14:textId="77777777" w:rsidR="00130E8B" w:rsidRPr="000405CC" w:rsidRDefault="00130E8B">
            <w:pPr>
              <w:pStyle w:val="1"/>
              <w:spacing w:before="76"/>
              <w:ind w:left="0" w:right="2736"/>
              <w:rPr>
                <w:rFonts w:eastAsiaTheme="minorEastAsia"/>
                <w:highlight w:val="lightGray"/>
                <w:lang w:val="hu-HU" w:eastAsia="ko-KR"/>
              </w:rPr>
            </w:pPr>
          </w:p>
        </w:tc>
      </w:tr>
      <w:tr w:rsidR="00130E8B" w:rsidRPr="00BE4D18" w14:paraId="0288DA0A" w14:textId="77777777" w:rsidTr="0054408A">
        <w:trPr>
          <w:trHeight w:val="5201"/>
        </w:trPr>
        <w:tc>
          <w:tcPr>
            <w:tcW w:w="9550" w:type="dxa"/>
          </w:tcPr>
          <w:p w14:paraId="1781EA4D" w14:textId="77777777" w:rsidR="00130E8B" w:rsidRPr="000405CC" w:rsidRDefault="00130E8B">
            <w:pPr>
              <w:ind w:left="104"/>
              <w:rPr>
                <w:rFonts w:asciiTheme="majorBidi" w:eastAsia="Times New Roman" w:hAnsiTheme="majorBidi" w:cstheme="majorBidi"/>
                <w:b/>
                <w:bCs/>
                <w:spacing w:val="-1"/>
                <w:highlight w:val="lightGray"/>
                <w:lang w:val="hu-HU"/>
              </w:rPr>
            </w:pPr>
          </w:p>
          <w:p w14:paraId="6E063E66" w14:textId="77777777" w:rsidR="00130E8B" w:rsidRPr="000405CC" w:rsidRDefault="00130E8B">
            <w:pPr>
              <w:ind w:left="104"/>
              <w:rPr>
                <w:rFonts w:asciiTheme="majorBidi" w:eastAsia="Times New Roman" w:hAnsiTheme="majorBidi" w:cstheme="majorBidi"/>
                <w:highlight w:val="lightGray"/>
                <w:lang w:val="hu-HU"/>
              </w:rPr>
            </w:pPr>
          </w:p>
          <w:p w14:paraId="0094B244" w14:textId="77777777" w:rsidR="00130E8B" w:rsidRPr="000405CC" w:rsidRDefault="00A66FEF">
            <w:pPr>
              <w:pStyle w:val="a3"/>
              <w:numPr>
                <w:ilvl w:val="0"/>
                <w:numId w:val="22"/>
              </w:numPr>
              <w:rPr>
                <w:rFonts w:asciiTheme="majorBidi" w:hAnsiTheme="majorBidi" w:cstheme="majorBidi"/>
                <w:b/>
                <w:highlight w:val="lightGray"/>
                <w:lang w:val="hu-HU"/>
              </w:rPr>
            </w:pPr>
            <w:r>
              <w:rPr>
                <w:rFonts w:asciiTheme="majorBidi" w:hAnsiTheme="majorBidi" w:cstheme="majorBidi"/>
                <w:b/>
                <w:noProof/>
                <w:highlight w:val="lightGray"/>
                <w:lang w:eastAsia="ko-KR"/>
              </w:rPr>
              <mc:AlternateContent>
                <mc:Choice Requires="wpg">
                  <w:drawing>
                    <wp:anchor distT="0" distB="0" distL="114300" distR="114300" simplePos="0" relativeHeight="251658249" behindDoc="0" locked="0" layoutInCell="1" allowOverlap="1" wp14:anchorId="5E7CC6CE" wp14:editId="6D4B191E">
                      <wp:simplePos x="0" y="0"/>
                      <wp:positionH relativeFrom="column">
                        <wp:posOffset>10795</wp:posOffset>
                      </wp:positionH>
                      <wp:positionV relativeFrom="paragraph">
                        <wp:posOffset>31115</wp:posOffset>
                      </wp:positionV>
                      <wp:extent cx="2256155" cy="2901950"/>
                      <wp:effectExtent l="0" t="0" r="3175" b="3175"/>
                      <wp:wrapSquare wrapText="bothSides"/>
                      <wp:docPr id="59" name="그룹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6155" cy="2901950"/>
                                <a:chOff x="0" y="0"/>
                                <a:chExt cx="22564" cy="29019"/>
                              </a:xfrm>
                            </wpg:grpSpPr>
                            <pic:pic xmlns:pic="http://schemas.openxmlformats.org/drawingml/2006/picture">
                              <pic:nvPicPr>
                                <pic:cNvPr id="60" name="그림 4012"/>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555" cy="27647"/>
                                </a:xfrm>
                                <a:prstGeom prst="rect">
                                  <a:avLst/>
                                </a:prstGeom>
                                <a:noFill/>
                                <a:extLst>
                                  <a:ext uri="{909E8E84-426E-40DD-AFC4-6F175D3DCCD1}">
                                    <a14:hiddenFill xmlns:a14="http://schemas.microsoft.com/office/drawing/2010/main">
                                      <a:solidFill>
                                        <a:srgbClr val="FFFFFF"/>
                                      </a:solidFill>
                                    </a14:hiddenFill>
                                  </a:ext>
                                </a:extLst>
                              </pic:spPr>
                            </pic:pic>
                            <wps:wsp>
                              <wps:cNvPr id="61" name="Text Box 78"/>
                              <wps:cNvSpPr txBox="1">
                                <a:spLocks noChangeArrowheads="1"/>
                              </wps:cNvSpPr>
                              <wps:spPr bwMode="auto">
                                <a:xfrm>
                                  <a:off x="15367" y="27559"/>
                                  <a:ext cx="7197" cy="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2C15B8"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G </w:t>
                                    </w:r>
                                    <w:r>
                                      <w:rPr>
                                        <w:rFonts w:ascii="Times New Roman" w:eastAsia="Times New Roman" w:hAnsi="Times New Roman" w:cs="Times New Roman"/>
                                        <w:highlight w:val="lightGray"/>
                                        <w:lang w:val="hu-HU"/>
                                      </w:rPr>
                                      <w:t>ábra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5E7CC6CE" id="그룹 86" o:spid="_x0000_s1076" style="position:absolute;left:0;text-align:left;margin-left:.85pt;margin-top:2.45pt;width:177.65pt;height:228.5pt;z-index:251658249" coordsize="22564,290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">
                      <v:shape id="그림 4012" o:spid="_x0000_s1077"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">
                        <v:imagedata r:id="rId39" o:title=""/>
                      </v:shape>
                      <v:shape id="_x0000_s1078" type="#_x0000_t202" style="position:absolute;left:15367;top:27559;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" stroked="f">
                        <v:textbox style="mso-fit-shape-to-text:t" inset="0,0,0,0">
                          <w:txbxContent>
                            <w:p w14:paraId="542C15B8"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G </w:t>
                              </w:r>
                              <w:r>
                                <w:rPr>
                                  <w:rFonts w:ascii="Times New Roman" w:eastAsia="Times New Roman" w:hAnsi="Times New Roman" w:cs="Times New Roman"/>
                                  <w:highlight w:val="lightGray"/>
                                  <w:lang w:val="hu-HU"/>
                                </w:rPr>
                                <w:t>ábra</w:t>
                              </w:r>
                            </w:p>
                          </w:txbxContent>
                        </v:textbox>
                      </v:shape>
                      <w10:wrap type="square"/>
                    </v:group>
                  </w:pict>
                </mc:Fallback>
              </mc:AlternateContent>
            </w:r>
            <w:r w:rsidR="000405CC" w:rsidRPr="000405CC">
              <w:rPr>
                <w:rFonts w:asciiTheme="majorBidi" w:eastAsia="Times New Roman" w:hAnsiTheme="majorBidi" w:cstheme="majorBidi"/>
                <w:b/>
                <w:bCs/>
                <w:highlight w:val="lightGray"/>
                <w:lang w:val="hu-HU"/>
              </w:rPr>
              <w:t>Tisztítsa meg az injekció beadási helyét</w:t>
            </w:r>
          </w:p>
          <w:p w14:paraId="63877AB2" w14:textId="77777777" w:rsidR="00130E8B" w:rsidRPr="000405CC" w:rsidRDefault="00130E8B">
            <w:pPr>
              <w:pStyle w:val="a3"/>
              <w:numPr>
                <w:ilvl w:val="0"/>
                <w:numId w:val="0"/>
              </w:numPr>
              <w:ind w:left="471"/>
              <w:rPr>
                <w:rFonts w:asciiTheme="majorBidi" w:hAnsiTheme="majorBidi" w:cstheme="majorBidi"/>
                <w:b/>
                <w:highlight w:val="lightGray"/>
                <w:lang w:val="hu-HU"/>
              </w:rPr>
            </w:pPr>
          </w:p>
          <w:p w14:paraId="5F7AEE02" w14:textId="3FF38BF3" w:rsidR="00130E8B" w:rsidRPr="000405CC" w:rsidRDefault="000405CC" w:rsidP="001E2F31">
            <w:pPr>
              <w:pStyle w:val="a3"/>
              <w:ind w:left="4139" w:hanging="4139"/>
              <w:rPr>
                <w:rFonts w:asciiTheme="majorBidi" w:hAnsiTheme="majorBidi" w:cstheme="majorBidi"/>
                <w:highlight w:val="lightGray"/>
                <w:lang w:val="hu-HU"/>
              </w:rPr>
            </w:pPr>
            <w:r w:rsidRPr="000405CC">
              <w:rPr>
                <w:rFonts w:asciiTheme="majorBidi" w:eastAsia="Times New Roman" w:hAnsiTheme="majorBidi" w:cstheme="majorBidi"/>
                <w:b/>
                <w:bCs/>
                <w:highlight w:val="lightGray"/>
                <w:lang w:val="hu-HU"/>
              </w:rPr>
              <w:t xml:space="preserve">  a.</w:t>
            </w:r>
            <w:r w:rsidRPr="001E2F31">
              <w:rPr>
                <w:rFonts w:asciiTheme="majorBidi" w:eastAsia="Times New Roman" w:hAnsiTheme="majorBidi" w:cstheme="majorBidi"/>
                <w:bCs/>
                <w:highlight w:val="lightGray"/>
                <w:lang w:val="hu-HU"/>
              </w:rPr>
              <w:t xml:space="preserve"> </w:t>
            </w:r>
            <w:r w:rsidR="00010223">
              <w:rPr>
                <w:rFonts w:asciiTheme="majorBidi" w:eastAsia="Times New Roman" w:hAnsiTheme="majorBidi" w:cstheme="majorBidi"/>
                <w:bCs/>
                <w:highlight w:val="lightGray"/>
                <w:lang w:val="hu-HU"/>
              </w:rPr>
              <w:t xml:space="preserve"> </w:t>
            </w:r>
            <w:r w:rsidRPr="001E2F31">
              <w:rPr>
                <w:rFonts w:asciiTheme="majorBidi" w:eastAsia="Times New Roman" w:hAnsiTheme="majorBidi" w:cstheme="majorBidi"/>
                <w:bCs/>
                <w:highlight w:val="lightGray"/>
                <w:lang w:val="hu-HU"/>
              </w:rPr>
              <w:t>T</w:t>
            </w:r>
            <w:r w:rsidRPr="000405CC">
              <w:rPr>
                <w:rFonts w:asciiTheme="majorBidi" w:eastAsia="Times New Roman" w:hAnsiTheme="majorBidi" w:cstheme="majorBidi"/>
                <w:highlight w:val="lightGray"/>
                <w:lang w:val="hu-HU"/>
              </w:rPr>
              <w:t xml:space="preserve">isztítsa meg az injekció beadási helyét alkoholos </w:t>
            </w:r>
            <w:r w:rsidR="00010223">
              <w:rPr>
                <w:rFonts w:asciiTheme="majorBidi" w:eastAsia="Times New Roman" w:hAnsiTheme="majorBidi" w:cstheme="majorBidi"/>
                <w:highlight w:val="lightGray"/>
                <w:lang w:val="hu-HU"/>
              </w:rPr>
              <w:t xml:space="preserve">  </w:t>
            </w:r>
            <w:r w:rsidRPr="000405CC">
              <w:rPr>
                <w:rFonts w:asciiTheme="majorBidi" w:eastAsia="Times New Roman" w:hAnsiTheme="majorBidi" w:cstheme="majorBidi"/>
                <w:highlight w:val="lightGray"/>
                <w:lang w:val="hu-HU"/>
              </w:rPr>
              <w:t>törlő</w:t>
            </w:r>
            <w:r w:rsidR="00222050">
              <w:rPr>
                <w:rFonts w:asciiTheme="majorBidi" w:eastAsia="Times New Roman" w:hAnsiTheme="majorBidi" w:cstheme="majorBidi"/>
                <w:highlight w:val="lightGray"/>
                <w:lang w:val="hu-HU"/>
              </w:rPr>
              <w:t xml:space="preserve"> segítségével</w:t>
            </w:r>
            <w:r w:rsidRPr="000405CC">
              <w:rPr>
                <w:rFonts w:asciiTheme="majorBidi" w:eastAsia="Times New Roman" w:hAnsiTheme="majorBidi" w:cstheme="majorBidi"/>
                <w:highlight w:val="lightGray"/>
                <w:lang w:val="hu-HU"/>
              </w:rPr>
              <w:t xml:space="preserve"> körkörös mozdulattal.</w:t>
            </w:r>
          </w:p>
          <w:p w14:paraId="0A09A4E3" w14:textId="77777777" w:rsidR="00130E8B" w:rsidRPr="000405CC" w:rsidRDefault="000405CC">
            <w:pPr>
              <w:pStyle w:val="a3"/>
              <w:ind w:left="4050" w:hanging="4050"/>
              <w:rPr>
                <w:rFonts w:asciiTheme="majorBidi" w:hAnsiTheme="majorBidi" w:cstheme="majorBidi"/>
                <w:highlight w:val="lightGray"/>
                <w:lang w:val="hu-HU"/>
              </w:rPr>
            </w:pPr>
            <w:r w:rsidRPr="000405CC">
              <w:rPr>
                <w:rFonts w:asciiTheme="majorBidi" w:eastAsia="Times New Roman" w:hAnsiTheme="majorBidi" w:cstheme="majorBidi"/>
                <w:b/>
                <w:bCs/>
                <w:highlight w:val="lightGray"/>
                <w:lang w:val="hu-HU"/>
              </w:rPr>
              <w:t xml:space="preserve">   b. </w:t>
            </w:r>
            <w:r w:rsidRPr="001E2F31">
              <w:rPr>
                <w:rFonts w:asciiTheme="majorBidi" w:eastAsia="Times New Roman" w:hAnsiTheme="majorBidi" w:cstheme="majorBidi"/>
                <w:bCs/>
                <w:highlight w:val="lightGray"/>
                <w:lang w:val="hu-HU"/>
              </w:rPr>
              <w:t>A</w:t>
            </w:r>
            <w:r w:rsidRPr="00010223">
              <w:rPr>
                <w:rFonts w:asciiTheme="majorBidi" w:eastAsia="Times New Roman" w:hAnsiTheme="majorBidi" w:cstheme="majorBidi"/>
                <w:highlight w:val="lightGray"/>
                <w:lang w:val="hu-HU"/>
              </w:rPr>
              <w:t>z</w:t>
            </w:r>
            <w:r w:rsidRPr="000405CC">
              <w:rPr>
                <w:rFonts w:asciiTheme="majorBidi" w:eastAsia="Times New Roman" w:hAnsiTheme="majorBidi" w:cstheme="majorBidi"/>
                <w:highlight w:val="lightGray"/>
                <w:lang w:val="hu-HU"/>
              </w:rPr>
              <w:t xml:space="preserve"> injekció beadása előtt hagyja a bőrt megszáradni.</w:t>
            </w:r>
          </w:p>
          <w:p w14:paraId="2F0749FE" w14:textId="77777777" w:rsidR="00130E8B" w:rsidRPr="000405CC" w:rsidRDefault="00130E8B">
            <w:pPr>
              <w:pStyle w:val="a3"/>
              <w:rPr>
                <w:rFonts w:asciiTheme="majorBidi" w:hAnsiTheme="majorBidi" w:cstheme="majorBidi"/>
                <w:highlight w:val="lightGray"/>
                <w:lang w:val="hu-HU"/>
              </w:rPr>
            </w:pPr>
          </w:p>
          <w:p w14:paraId="45AE7196" w14:textId="77777777" w:rsidR="00130E8B" w:rsidRPr="000405CC" w:rsidRDefault="00130E8B">
            <w:pPr>
              <w:pStyle w:val="a3"/>
              <w:rPr>
                <w:rFonts w:asciiTheme="majorBidi" w:hAnsiTheme="majorBidi" w:cstheme="majorBidi"/>
                <w:highlight w:val="lightGray"/>
                <w:lang w:val="hu-HU"/>
              </w:rPr>
            </w:pPr>
          </w:p>
          <w:p w14:paraId="504858F0" w14:textId="77777777" w:rsidR="00130E8B" w:rsidRPr="000405CC" w:rsidRDefault="000405CC">
            <w:pPr>
              <w:pStyle w:val="a3"/>
              <w:rPr>
                <w:rFonts w:asciiTheme="majorBidi" w:hAnsiTheme="majorBidi" w:cstheme="majorBidi"/>
                <w:highlight w:val="lightGray"/>
                <w:lang w:val="hu-HU" w:eastAsia="ko-KR"/>
              </w:rPr>
            </w:pPr>
            <w:r w:rsidRPr="000405CC">
              <w:rPr>
                <w:rFonts w:asciiTheme="majorBidi" w:eastAsia="맑은 고딕" w:hAnsiTheme="majorBidi" w:cstheme="majorBidi"/>
                <w:b/>
                <w:bCs/>
                <w:highlight w:val="lightGray"/>
                <w:lang w:val="hu-HU"/>
              </w:rPr>
              <w:t>•</w:t>
            </w:r>
            <w:r w:rsidRPr="000405CC">
              <w:rPr>
                <w:rFonts w:asciiTheme="majorBidi" w:eastAsia="Times New Roman" w:hAnsiTheme="majorBidi" w:cstheme="majorBidi"/>
                <w:b/>
                <w:bCs/>
                <w:highlight w:val="lightGray"/>
                <w:lang w:val="hu-HU"/>
              </w:rPr>
              <w:t xml:space="preserve"> </w:t>
            </w:r>
            <w:r w:rsidRPr="001E2F31">
              <w:rPr>
                <w:rFonts w:asciiTheme="majorBidi" w:eastAsia="Times New Roman" w:hAnsiTheme="majorBidi" w:cstheme="majorBidi"/>
                <w:bCs/>
                <w:highlight w:val="lightGray"/>
                <w:lang w:val="hu-HU"/>
              </w:rPr>
              <w:t xml:space="preserve">Az </w:t>
            </w:r>
            <w:r w:rsidRPr="000405CC">
              <w:rPr>
                <w:rFonts w:asciiTheme="majorBidi" w:eastAsia="맑은 고딕" w:hAnsiTheme="majorBidi" w:cstheme="majorBidi"/>
                <w:highlight w:val="lightGray"/>
                <w:lang w:val="hu-HU"/>
              </w:rPr>
              <w:t>injekció beadása előtt ne</w:t>
            </w:r>
            <w:r w:rsidRPr="000405CC">
              <w:rPr>
                <w:rFonts w:asciiTheme="majorBidi" w:eastAsia="Times New Roman" w:hAnsiTheme="majorBidi" w:cstheme="majorBidi"/>
                <w:highlight w:val="lightGray"/>
                <w:lang w:val="hu-HU"/>
              </w:rPr>
              <w:t xml:space="preserve"> fújjon rá vagy érintse meg újra az injekció beadásának helyét.</w:t>
            </w:r>
          </w:p>
        </w:tc>
      </w:tr>
      <w:tr w:rsidR="00130E8B" w:rsidRPr="00BE4D18" w14:paraId="50F4EDE7" w14:textId="77777777" w:rsidTr="0054408A">
        <w:trPr>
          <w:trHeight w:val="4941"/>
        </w:trPr>
        <w:tc>
          <w:tcPr>
            <w:tcW w:w="9550" w:type="dxa"/>
          </w:tcPr>
          <w:p w14:paraId="6B53AF78" w14:textId="77AFCA20" w:rsidR="00130E8B" w:rsidRPr="000405CC" w:rsidRDefault="0054408A" w:rsidP="004C5B28">
            <w:pPr>
              <w:pStyle w:val="a3"/>
              <w:numPr>
                <w:ilvl w:val="0"/>
                <w:numId w:val="22"/>
              </w:numPr>
              <w:ind w:left="4410" w:hanging="4299"/>
              <w:rPr>
                <w:b/>
                <w:highlight w:val="lightGray"/>
                <w:lang w:val="hu-HU"/>
              </w:rPr>
            </w:pPr>
            <w:r>
              <w:rPr>
                <w:rFonts w:ascii="Arial" w:hAnsi="Arial" w:cs="Arial"/>
                <w:noProof/>
                <w:color w:val="000000"/>
                <w:sz w:val="24"/>
                <w:szCs w:val="24"/>
                <w:highlight w:val="lightGray"/>
                <w:lang w:eastAsia="ko-KR"/>
              </w:rPr>
              <w:lastRenderedPageBreak/>
              <mc:AlternateContent>
                <mc:Choice Requires="wpg">
                  <w:drawing>
                    <wp:anchor distT="0" distB="0" distL="114300" distR="114300" simplePos="0" relativeHeight="251658250" behindDoc="0" locked="0" layoutInCell="1" allowOverlap="1" wp14:anchorId="03B6DBE6" wp14:editId="654BDA7E">
                      <wp:simplePos x="0" y="0"/>
                      <wp:positionH relativeFrom="column">
                        <wp:posOffset>17145</wp:posOffset>
                      </wp:positionH>
                      <wp:positionV relativeFrom="paragraph">
                        <wp:posOffset>19685</wp:posOffset>
                      </wp:positionV>
                      <wp:extent cx="2245995" cy="2717800"/>
                      <wp:effectExtent l="0" t="0" r="1905" b="6350"/>
                      <wp:wrapSquare wrapText="bothSides"/>
                      <wp:docPr id="56" name="그룹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5995" cy="2717800"/>
                                <a:chOff x="0" y="0"/>
                                <a:chExt cx="22469" cy="27178"/>
                              </a:xfrm>
                            </wpg:grpSpPr>
                            <pic:pic xmlns:pic="http://schemas.openxmlformats.org/drawingml/2006/picture">
                              <pic:nvPicPr>
                                <pic:cNvPr id="57" name="그림 4023"/>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469" cy="25825"/>
                                </a:xfrm>
                                <a:prstGeom prst="rect">
                                  <a:avLst/>
                                </a:prstGeom>
                                <a:noFill/>
                                <a:extLst>
                                  <a:ext uri="{909E8E84-426E-40DD-AFC4-6F175D3DCCD1}">
                                    <a14:hiddenFill xmlns:a14="http://schemas.microsoft.com/office/drawing/2010/main">
                                      <a:solidFill>
                                        <a:srgbClr val="FFFFFF"/>
                                      </a:solidFill>
                                    </a14:hiddenFill>
                                  </a:ext>
                                </a:extLst>
                              </pic:spPr>
                            </pic:pic>
                            <wps:wsp>
                              <wps:cNvPr id="58" name="Text Box 88"/>
                              <wps:cNvSpPr txBox="1">
                                <a:spLocks noChangeArrowheads="1"/>
                              </wps:cNvSpPr>
                              <wps:spPr bwMode="auto">
                                <a:xfrm>
                                  <a:off x="14414" y="25717"/>
                                  <a:ext cx="7198" cy="14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23D6ED"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H. </w:t>
                                    </w:r>
                                    <w:r>
                                      <w:rPr>
                                        <w:rFonts w:ascii="Times New Roman" w:eastAsia="Times New Roman" w:hAnsi="Times New Roman" w:cs="Times New Roman"/>
                                        <w:highlight w:val="lightGray"/>
                                        <w:lang w:val="hu-HU"/>
                                      </w:rPr>
                                      <w:t>ábra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03B6DBE6" id="그룹 90" o:spid="_x0000_s1079" style="position:absolute;left:0;text-align:left;margin-left:1.35pt;margin-top:1.55pt;width:176.85pt;height:214pt;z-index:251658250" coordsize="22469,271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">
                      <v:shape id="그림 4023" o:spid="_x0000_s1080" type="#_x0000_t75" style="position:absolute;width:22469;height:25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">
                        <v:imagedata r:id="rId60" o:title=""/>
                      </v:shape>
                      <v:shape id="Text Box 88" o:spid="_x0000_s1081" type="#_x0000_t202" style="position:absolute;left:14414;top:25717;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" stroked="f">
                        <v:textbox style="mso-fit-shape-to-text:t" inset="0,0,0,0">
                          <w:txbxContent>
                            <w:p w14:paraId="4723D6ED"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H. </w:t>
                              </w:r>
                              <w:r>
                                <w:rPr>
                                  <w:rFonts w:ascii="Times New Roman" w:eastAsia="Times New Roman" w:hAnsi="Times New Roman" w:cs="Times New Roman"/>
                                  <w:highlight w:val="lightGray"/>
                                  <w:lang w:val="hu-HU"/>
                                </w:rPr>
                                <w:t>ábra</w:t>
                              </w:r>
                            </w:p>
                          </w:txbxContent>
                        </v:textbox>
                      </v:shape>
                      <w10:wrap type="square"/>
                    </v:group>
                  </w:pict>
                </mc:Fallback>
              </mc:AlternateContent>
            </w:r>
            <w:r w:rsidR="000405CC" w:rsidRPr="000405CC">
              <w:rPr>
                <w:rFonts w:eastAsia="Times New Roman"/>
                <w:b/>
                <w:bCs/>
                <w:highlight w:val="lightGray"/>
                <w:lang w:val="hu-HU"/>
              </w:rPr>
              <w:t>Vegye le a tűvédő tokot</w:t>
            </w:r>
          </w:p>
          <w:p w14:paraId="047F84AF" w14:textId="77777777" w:rsidR="00130E8B" w:rsidRPr="000405CC" w:rsidRDefault="00130E8B">
            <w:pPr>
              <w:pStyle w:val="a3"/>
              <w:rPr>
                <w:b/>
                <w:highlight w:val="lightGray"/>
                <w:lang w:val="hu-HU"/>
              </w:rPr>
            </w:pPr>
          </w:p>
          <w:p w14:paraId="2B11EB3E" w14:textId="77777777" w:rsidR="00130E8B" w:rsidRPr="000405CC" w:rsidRDefault="000405CC">
            <w:pPr>
              <w:pStyle w:val="a3"/>
              <w:ind w:left="4050" w:hanging="4050"/>
              <w:rPr>
                <w:highlight w:val="lightGray"/>
                <w:lang w:val="hu-HU"/>
              </w:rPr>
            </w:pPr>
            <w:r w:rsidRPr="000405CC">
              <w:rPr>
                <w:rFonts w:eastAsia="Times New Roman"/>
                <w:b/>
                <w:bCs/>
                <w:highlight w:val="lightGray"/>
                <w:lang w:val="hu-HU"/>
              </w:rPr>
              <w:t xml:space="preserve"> </w:t>
            </w:r>
            <w:r w:rsidRPr="000405CC">
              <w:rPr>
                <w:rFonts w:eastAsia="Times New Roman"/>
                <w:highlight w:val="lightGray"/>
                <w:lang w:val="hu-HU"/>
              </w:rPr>
              <w:t xml:space="preserve"> </w:t>
            </w:r>
            <w:r w:rsidRPr="000405CC">
              <w:rPr>
                <w:rFonts w:eastAsia="Times New Roman"/>
                <w:b/>
                <w:bCs/>
                <w:highlight w:val="lightGray"/>
                <w:lang w:val="hu-HU"/>
              </w:rPr>
              <w:t xml:space="preserve">  a.</w:t>
            </w:r>
            <w:r w:rsidRPr="000405CC">
              <w:rPr>
                <w:rFonts w:eastAsia="Times New Roman"/>
                <w:highlight w:val="lightGray"/>
                <w:lang w:val="hu-HU"/>
              </w:rPr>
              <w:t xml:space="preserve"> Az előretöltött fecskendő testét az egyik kezével tartva vegye le a tűvédő tokot.</w:t>
            </w:r>
            <w:r w:rsidR="006123D2">
              <w:rPr>
                <w:rFonts w:eastAsia="Times New Roman"/>
                <w:highlight w:val="lightGray"/>
                <w:lang w:val="hu-HU"/>
              </w:rPr>
              <w:t xml:space="preserve"> </w:t>
            </w:r>
            <w:r w:rsidRPr="000405CC">
              <w:rPr>
                <w:rFonts w:eastAsia="Times New Roman"/>
                <w:highlight w:val="lightGray"/>
                <w:lang w:val="hu-HU"/>
              </w:rPr>
              <w:t>Óvatosan húzza le a tűvédő tokot a másik kezével.</w:t>
            </w:r>
          </w:p>
          <w:p w14:paraId="697A6FCE" w14:textId="77777777" w:rsidR="00130E8B" w:rsidRPr="000405CC" w:rsidRDefault="000405CC">
            <w:pPr>
              <w:pStyle w:val="a3"/>
              <w:numPr>
                <w:ilvl w:val="0"/>
                <w:numId w:val="0"/>
              </w:numPr>
              <w:ind w:left="1384"/>
              <w:rPr>
                <w:highlight w:val="lightGray"/>
                <w:lang w:val="hu-HU"/>
              </w:rPr>
            </w:pPr>
            <w:r w:rsidRPr="000405CC">
              <w:rPr>
                <w:b/>
                <w:highlight w:val="lightGray"/>
                <w:lang w:val="hu-HU"/>
              </w:rPr>
              <w:t xml:space="preserve"> </w:t>
            </w:r>
          </w:p>
          <w:p w14:paraId="19201A37" w14:textId="77777777" w:rsidR="00130E8B" w:rsidRPr="000405CC" w:rsidRDefault="000405CC" w:rsidP="000405CC">
            <w:pPr>
              <w:pStyle w:val="a3"/>
              <w:numPr>
                <w:ilvl w:val="0"/>
                <w:numId w:val="16"/>
              </w:numPr>
              <w:ind w:left="3966" w:hanging="3966"/>
              <w:rPr>
                <w:highlight w:val="lightGray"/>
                <w:lang w:val="hu-HU"/>
              </w:rPr>
            </w:pPr>
            <w:r w:rsidRPr="000405CC">
              <w:rPr>
                <w:rFonts w:eastAsia="Times New Roman"/>
                <w:b/>
                <w:bCs/>
                <w:highlight w:val="lightGray"/>
                <w:lang w:val="hu-HU"/>
              </w:rPr>
              <w:t>Ne</w:t>
            </w:r>
            <w:r w:rsidRPr="000405CC">
              <w:rPr>
                <w:rFonts w:eastAsia="Times New Roman"/>
                <w:highlight w:val="lightGray"/>
                <w:lang w:val="hu-HU"/>
              </w:rPr>
              <w:t xml:space="preserve"> vegye le a tokot, amíg készen nem áll az injekció beadására</w:t>
            </w:r>
          </w:p>
          <w:p w14:paraId="7F9A646D" w14:textId="77777777" w:rsidR="00130E8B" w:rsidRPr="000405CC" w:rsidRDefault="00130E8B">
            <w:pPr>
              <w:pStyle w:val="a3"/>
              <w:numPr>
                <w:ilvl w:val="0"/>
                <w:numId w:val="0"/>
              </w:numPr>
              <w:ind w:left="1384"/>
              <w:rPr>
                <w:highlight w:val="lightGray"/>
                <w:lang w:val="hu-HU"/>
              </w:rPr>
            </w:pPr>
          </w:p>
          <w:p w14:paraId="610BAF7E" w14:textId="7D4CCA15" w:rsidR="00130E8B" w:rsidRPr="000405CC" w:rsidRDefault="000405CC" w:rsidP="000405CC">
            <w:pPr>
              <w:pStyle w:val="a3"/>
              <w:numPr>
                <w:ilvl w:val="0"/>
                <w:numId w:val="16"/>
              </w:numPr>
              <w:ind w:left="3966" w:hanging="3966"/>
              <w:rPr>
                <w:highlight w:val="lightGray"/>
                <w:lang w:val="hu-HU"/>
              </w:rPr>
            </w:pPr>
            <w:r w:rsidRPr="000405CC">
              <w:rPr>
                <w:rFonts w:eastAsia="Times New Roman"/>
                <w:b/>
                <w:bCs/>
                <w:highlight w:val="lightGray"/>
                <w:lang w:val="hu-HU"/>
              </w:rPr>
              <w:t xml:space="preserve">Ne </w:t>
            </w:r>
            <w:r w:rsidRPr="000405CC">
              <w:rPr>
                <w:rFonts w:eastAsia="Times New Roman"/>
                <w:highlight w:val="lightGray"/>
                <w:lang w:val="hu-HU"/>
              </w:rPr>
              <w:t>érintse meg a dugattyút. Ebben az esetben tűszúrásos sérülés következhet be.</w:t>
            </w:r>
            <w:r w:rsidRPr="000405CC">
              <w:rPr>
                <w:rFonts w:eastAsia="Times New Roman"/>
                <w:b/>
                <w:bCs/>
                <w:highlight w:val="lightGray"/>
                <w:lang w:val="hu-HU"/>
              </w:rPr>
              <w:t xml:space="preserve"> </w:t>
            </w:r>
          </w:p>
          <w:p w14:paraId="18586565" w14:textId="77777777" w:rsidR="00130E8B" w:rsidRPr="000405CC" w:rsidRDefault="00130E8B">
            <w:pPr>
              <w:pStyle w:val="a4"/>
              <w:rPr>
                <w:highlight w:val="lightGray"/>
                <w:lang w:val="hu-HU"/>
              </w:rPr>
            </w:pPr>
          </w:p>
          <w:p w14:paraId="5E0A29CE" w14:textId="77777777" w:rsidR="00130E8B" w:rsidRPr="004C5B28" w:rsidRDefault="000405CC" w:rsidP="000405CC">
            <w:pPr>
              <w:pStyle w:val="a3"/>
              <w:numPr>
                <w:ilvl w:val="0"/>
                <w:numId w:val="16"/>
              </w:numPr>
              <w:ind w:left="3966" w:hanging="3966"/>
              <w:rPr>
                <w:highlight w:val="lightGray"/>
                <w:lang w:val="hu-HU"/>
              </w:rPr>
            </w:pPr>
            <w:r w:rsidRPr="000405CC">
              <w:rPr>
                <w:rFonts w:eastAsia="Times New Roman"/>
                <w:b/>
                <w:bCs/>
                <w:highlight w:val="lightGray"/>
                <w:lang w:val="hu-HU"/>
              </w:rPr>
              <w:t>Ne</w:t>
            </w:r>
            <w:r w:rsidRPr="000405CC">
              <w:rPr>
                <w:rFonts w:eastAsia="Times New Roman"/>
                <w:highlight w:val="lightGray"/>
                <w:lang w:val="hu-HU"/>
              </w:rPr>
              <w:t xml:space="preserve"> rakja vissza a tűvédő tokot az</w:t>
            </w:r>
            <w:r w:rsidR="006123D2">
              <w:rPr>
                <w:rFonts w:eastAsia="Times New Roman"/>
                <w:highlight w:val="lightGray"/>
                <w:lang w:val="hu-HU"/>
              </w:rPr>
              <w:t xml:space="preserve"> </w:t>
            </w:r>
            <w:r w:rsidRPr="000405CC">
              <w:rPr>
                <w:rFonts w:eastAsia="Times New Roman"/>
                <w:highlight w:val="lightGray"/>
                <w:lang w:val="hu-HU"/>
              </w:rPr>
              <w:t>előretöltött fecskendőre. Azonnal dobja a tokot az éles tárgyak tárolására szolgáló tartályba.</w:t>
            </w:r>
          </w:p>
          <w:p w14:paraId="7AF8B0E9" w14:textId="77777777" w:rsidR="00903402" w:rsidRDefault="00903402" w:rsidP="004C5B28">
            <w:pPr>
              <w:pStyle w:val="a4"/>
              <w:rPr>
                <w:highlight w:val="lightGray"/>
                <w:lang w:val="hu-HU"/>
              </w:rPr>
            </w:pPr>
          </w:p>
          <w:p w14:paraId="12368765" w14:textId="0F3C5DD2" w:rsidR="00903402" w:rsidRPr="000405CC" w:rsidRDefault="00903402" w:rsidP="000405CC">
            <w:pPr>
              <w:pStyle w:val="a3"/>
              <w:numPr>
                <w:ilvl w:val="0"/>
                <w:numId w:val="16"/>
              </w:numPr>
              <w:ind w:left="3966" w:hanging="3966"/>
              <w:rPr>
                <w:highlight w:val="lightGray"/>
                <w:lang w:val="hu-HU"/>
              </w:rPr>
            </w:pPr>
            <w:r w:rsidRPr="00903402">
              <w:rPr>
                <w:highlight w:val="lightGray"/>
                <w:lang w:val="hu-HU"/>
              </w:rPr>
              <w:t>Normális, ha lát néhány csepp folyadékot kijönni a tűből</w:t>
            </w:r>
            <w:r>
              <w:rPr>
                <w:highlight w:val="lightGray"/>
                <w:lang w:val="hu-HU"/>
              </w:rPr>
              <w:t>.</w:t>
            </w:r>
          </w:p>
        </w:tc>
      </w:tr>
      <w:tr w:rsidR="00130E8B" w:rsidRPr="00BE4D18" w14:paraId="20AC421A" w14:textId="77777777" w:rsidTr="0054408A">
        <w:trPr>
          <w:trHeight w:val="7028"/>
        </w:trPr>
        <w:tc>
          <w:tcPr>
            <w:tcW w:w="9550" w:type="dxa"/>
          </w:tcPr>
          <w:p w14:paraId="5F57AA4E" w14:textId="77777777" w:rsidR="00130E8B" w:rsidRPr="001E2F31" w:rsidRDefault="00130E8B">
            <w:pPr>
              <w:ind w:left="104"/>
              <w:rPr>
                <w:rFonts w:ascii="Times New Roman" w:hAnsi="Times New Roman" w:cs="Times New Roman"/>
                <w:b/>
                <w:bCs/>
                <w:spacing w:val="-1"/>
                <w:highlight w:val="lightGray"/>
                <w:lang w:val="hu-HU" w:eastAsia="ko-KR"/>
              </w:rPr>
            </w:pPr>
          </w:p>
          <w:p w14:paraId="412D680C" w14:textId="05F17B8C" w:rsidR="00130E8B" w:rsidRPr="000405CC" w:rsidRDefault="00B11505">
            <w:pPr>
              <w:pStyle w:val="1"/>
              <w:spacing w:before="76"/>
              <w:ind w:left="0" w:right="2736"/>
              <w:rPr>
                <w:rFonts w:eastAsiaTheme="minorEastAsia"/>
                <w:highlight w:val="lightGray"/>
                <w:lang w:val="hu-HU" w:eastAsia="ko-KR"/>
              </w:rPr>
            </w:pPr>
            <w:r>
              <w:rPr>
                <w:rFonts w:eastAsiaTheme="minorEastAsia"/>
                <w:noProof/>
                <w:lang w:eastAsia="ko-KR"/>
              </w:rPr>
              <mc:AlternateContent>
                <mc:Choice Requires="wpg">
                  <w:drawing>
                    <wp:anchor distT="0" distB="0" distL="114300" distR="114300" simplePos="0" relativeHeight="251658268" behindDoc="1" locked="0" layoutInCell="1" allowOverlap="1" wp14:anchorId="6571B018" wp14:editId="4F3E064A">
                      <wp:simplePos x="0" y="0"/>
                      <wp:positionH relativeFrom="column">
                        <wp:posOffset>72563</wp:posOffset>
                      </wp:positionH>
                      <wp:positionV relativeFrom="paragraph">
                        <wp:posOffset>144665</wp:posOffset>
                      </wp:positionV>
                      <wp:extent cx="2288540" cy="4018347"/>
                      <wp:effectExtent l="0" t="0" r="0" b="1270"/>
                      <wp:wrapTight wrapText="bothSides">
                        <wp:wrapPolygon edited="0">
                          <wp:start x="0" y="0"/>
                          <wp:lineTo x="0" y="20480"/>
                          <wp:lineTo x="14384" y="21300"/>
                          <wp:lineTo x="14384" y="21504"/>
                          <wp:lineTo x="21396" y="21504"/>
                          <wp:lineTo x="21396" y="0"/>
                          <wp:lineTo x="0" y="0"/>
                        </wp:wrapPolygon>
                      </wp:wrapTight>
                      <wp:docPr id="189" name="그룹 189"/>
                      <wp:cNvGraphicFramePr/>
                      <a:graphic xmlns:a="http://schemas.openxmlformats.org/drawingml/2006/main">
                        <a:graphicData uri="http://schemas.microsoft.com/office/word/2010/wordprocessingGroup">
                          <wpg:wgp>
                            <wpg:cNvGrpSpPr/>
                            <wpg:grpSpPr>
                              <a:xfrm>
                                <a:off x="0" y="0"/>
                                <a:ext cx="2288540" cy="4018347"/>
                                <a:chOff x="0" y="0"/>
                                <a:chExt cx="2288540" cy="4018347"/>
                              </a:xfrm>
                            </wpg:grpSpPr>
                            <wps:wsp>
                              <wps:cNvPr id="55" name="Text Box 93"/>
                              <wps:cNvSpPr txBox="1">
                                <a:spLocks noChangeArrowheads="1"/>
                              </wps:cNvSpPr>
                              <wps:spPr bwMode="auto">
                                <a:xfrm>
                                  <a:off x="1565564" y="3872345"/>
                                  <a:ext cx="719803" cy="1460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417CE8"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I. </w:t>
                                    </w:r>
                                    <w:r>
                                      <w:rPr>
                                        <w:rFonts w:ascii="Times New Roman" w:eastAsia="Times New Roman" w:hAnsi="Times New Roman" w:cs="Times New Roman"/>
                                        <w:highlight w:val="lightGray"/>
                                        <w:lang w:val="hu-HU"/>
                                      </w:rPr>
                                      <w:t>ábra</w:t>
                                    </w:r>
                                  </w:p>
                                </w:txbxContent>
                              </wps:txbx>
                              <wps:bodyPr rot="0" vert="horz" wrap="square" lIns="0" tIns="0" rIns="0" bIns="0" anchor="t" anchorCtr="0" upright="1">
                                <a:spAutoFit/>
                              </wps:bodyPr>
                            </wps:wsp>
                            <pic:pic xmlns:pic="http://schemas.openxmlformats.org/drawingml/2006/picture">
                              <pic:nvPicPr>
                                <pic:cNvPr id="188" name="그림 14"/>
                                <pic:cNvPicPr>
                                  <a:picLocks noChangeAspect="1"/>
                                </pic:cNvPicPr>
                              </pic:nvPicPr>
                              <pic:blipFill rotWithShape="1">
                                <a:blip r:embed="rId61" cstate="print">
                                  <a:extLst>
                                    <a:ext uri="{28A0092B-C50C-407E-A947-70E740481C1C}">
                                      <a14:useLocalDpi xmlns:a14="http://schemas.microsoft.com/office/drawing/2010/main" val="0"/>
                                    </a:ext>
                                  </a:extLst>
                                </a:blip>
                                <a:srcRect/>
                                <a:stretch/>
                              </pic:blipFill>
                              <pic:spPr>
                                <a:xfrm>
                                  <a:off x="0" y="0"/>
                                  <a:ext cx="2288540" cy="3808730"/>
                                </a:xfrm>
                                <a:prstGeom prst="rect">
                                  <a:avLst/>
                                </a:prstGeom>
                              </pic:spPr>
                            </pic:pic>
                          </wpg:wgp>
                        </a:graphicData>
                      </a:graphic>
                    </wp:anchor>
                  </w:drawing>
                </mc:Choice>
                <mc:Fallback>
                  <w:pict>
                    <v:group w14:anchorId="6571B018" id="그룹 189" o:spid="_x0000_s1082" style="position:absolute;margin-left:5.7pt;margin-top:11.4pt;width:180.2pt;height:316.4pt;z-index:-251658212" coordsize="22885,401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">
                      <v:shape id="Text Box 93" o:spid="_x0000_s1083" type="#_x0000_t202" style="position:absolute;left:15655;top:38723;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" stroked="f">
                        <v:textbox style="mso-fit-shape-to-text:t" inset="0,0,0,0">
                          <w:txbxContent>
                            <w:p w14:paraId="23417CE8"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I. </w:t>
                              </w:r>
                              <w:r>
                                <w:rPr>
                                  <w:rFonts w:ascii="Times New Roman" w:eastAsia="Times New Roman" w:hAnsi="Times New Roman" w:cs="Times New Roman"/>
                                  <w:highlight w:val="lightGray"/>
                                  <w:lang w:val="hu-HU"/>
                                </w:rPr>
                                <w:t>ábra</w:t>
                              </w:r>
                            </w:p>
                          </w:txbxContent>
                        </v:textbox>
                      </v:shape>
                      <v:shape id="그림 14" o:spid="_x0000_s1084" type="#_x0000_t75" style="position:absolute;width:22885;height:38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">
                        <v:imagedata r:id="rId62" o:title=""/>
                      </v:shape>
                      <w10:wrap type="tight"/>
                    </v:group>
                  </w:pict>
                </mc:Fallback>
              </mc:AlternateContent>
            </w:r>
          </w:p>
          <w:p w14:paraId="05FD7BEA" w14:textId="4C3505A5" w:rsidR="00130E8B" w:rsidRPr="000405CC" w:rsidRDefault="000405CC">
            <w:pPr>
              <w:pStyle w:val="a3"/>
              <w:numPr>
                <w:ilvl w:val="0"/>
                <w:numId w:val="22"/>
              </w:numPr>
              <w:ind w:left="4410" w:hanging="4299"/>
              <w:rPr>
                <w:b/>
                <w:highlight w:val="lightGray"/>
                <w:lang w:val="hu-HU"/>
              </w:rPr>
            </w:pPr>
            <w:r w:rsidRPr="000405CC">
              <w:rPr>
                <w:rFonts w:eastAsia="Times New Roman"/>
                <w:b/>
                <w:bCs/>
                <w:highlight w:val="lightGray"/>
                <w:lang w:val="hu-HU"/>
              </w:rPr>
              <w:t xml:space="preserve">Helyezze az előretöltött fecskendőt az injekció beadási helyére </w:t>
            </w:r>
          </w:p>
          <w:p w14:paraId="68877488" w14:textId="77777777" w:rsidR="00130E8B" w:rsidRPr="000405CC" w:rsidRDefault="00130E8B">
            <w:pPr>
              <w:pStyle w:val="a3"/>
              <w:numPr>
                <w:ilvl w:val="0"/>
                <w:numId w:val="0"/>
              </w:numPr>
              <w:ind w:left="471"/>
              <w:rPr>
                <w:b/>
                <w:highlight w:val="lightGray"/>
                <w:lang w:val="hu-HU"/>
              </w:rPr>
            </w:pPr>
          </w:p>
          <w:p w14:paraId="57324558" w14:textId="29265F76" w:rsidR="00010223" w:rsidRDefault="000405CC" w:rsidP="00FD05AA">
            <w:pPr>
              <w:pStyle w:val="a3"/>
              <w:numPr>
                <w:ilvl w:val="0"/>
                <w:numId w:val="48"/>
              </w:numPr>
              <w:rPr>
                <w:rFonts w:eastAsia="Times New Roman"/>
                <w:highlight w:val="lightGray"/>
                <w:lang w:val="hu-HU"/>
              </w:rPr>
            </w:pPr>
            <w:r w:rsidRPr="000405CC">
              <w:rPr>
                <w:rFonts w:eastAsia="Times New Roman"/>
                <w:highlight w:val="lightGray"/>
                <w:lang w:val="hu-HU"/>
              </w:rPr>
              <w:t xml:space="preserve">Óvatosan csípje össze a bőrredőt az injekció </w:t>
            </w:r>
          </w:p>
          <w:p w14:paraId="2F8E6BE9" w14:textId="3CFD17A7" w:rsidR="00130E8B" w:rsidRPr="00010223" w:rsidRDefault="000405CC" w:rsidP="001E2F31">
            <w:pPr>
              <w:pStyle w:val="a3"/>
              <w:numPr>
                <w:ilvl w:val="0"/>
                <w:numId w:val="0"/>
              </w:numPr>
              <w:rPr>
                <w:highlight w:val="lightGray"/>
                <w:lang w:val="hu-HU"/>
              </w:rPr>
            </w:pPr>
            <w:r w:rsidRPr="00010223">
              <w:rPr>
                <w:rFonts w:eastAsia="Times New Roman"/>
                <w:highlight w:val="lightGray"/>
                <w:lang w:val="hu-HU"/>
              </w:rPr>
              <w:t>beadásának helyén egy kézzel.</w:t>
            </w:r>
          </w:p>
          <w:p w14:paraId="05CE8FB5" w14:textId="77777777" w:rsidR="00130E8B" w:rsidRPr="000405CC" w:rsidRDefault="00130E8B">
            <w:pPr>
              <w:pStyle w:val="a3"/>
              <w:rPr>
                <w:highlight w:val="lightGray"/>
                <w:lang w:val="hu-HU"/>
              </w:rPr>
            </w:pPr>
          </w:p>
          <w:p w14:paraId="606BBFDC" w14:textId="28B2C7DB" w:rsidR="00130E8B" w:rsidRPr="000405CC" w:rsidRDefault="000405CC" w:rsidP="00FD05AA">
            <w:pPr>
              <w:pStyle w:val="a3"/>
              <w:numPr>
                <w:ilvl w:val="0"/>
                <w:numId w:val="48"/>
              </w:numPr>
              <w:rPr>
                <w:highlight w:val="lightGray"/>
                <w:lang w:val="hu-HU" w:eastAsia="ko-KR"/>
              </w:rPr>
            </w:pPr>
            <w:r w:rsidRPr="001E2F31">
              <w:rPr>
                <w:rFonts w:eastAsia="Times New Roman"/>
                <w:highlight w:val="lightGray"/>
                <w:lang w:val="hu-HU"/>
              </w:rPr>
              <w:t>A</w:t>
            </w:r>
            <w:r w:rsidRPr="00010223">
              <w:rPr>
                <w:rFonts w:eastAsia="Times New Roman"/>
                <w:highlight w:val="lightGray"/>
                <w:lang w:val="hu-HU"/>
              </w:rPr>
              <w:t>z</w:t>
            </w:r>
            <w:r w:rsidRPr="000405CC">
              <w:rPr>
                <w:rFonts w:eastAsia="Times New Roman"/>
                <w:highlight w:val="lightGray"/>
                <w:lang w:val="hu-HU"/>
              </w:rPr>
              <w:t xml:space="preserve"> előretöltött </w:t>
            </w:r>
            <w:r w:rsidRPr="009167C6">
              <w:rPr>
                <w:rFonts w:eastAsia="Times New Roman"/>
                <w:lang w:val="hu-HU"/>
              </w:rPr>
              <w:t>fecskendő</w:t>
            </w:r>
            <w:r w:rsidR="00AA69B1">
              <w:rPr>
                <w:rFonts w:eastAsia="Times New Roman"/>
                <w:lang w:val="hu-HU"/>
              </w:rPr>
              <w:t>vel</w:t>
            </w:r>
            <w:r w:rsidRPr="009167C6">
              <w:rPr>
                <w:rFonts w:eastAsia="Times New Roman"/>
                <w:lang w:val="hu-HU"/>
              </w:rPr>
              <w:t xml:space="preserve"> </w:t>
            </w:r>
            <w:r w:rsidRPr="000405CC">
              <w:rPr>
                <w:rFonts w:eastAsia="Times New Roman"/>
                <w:highlight w:val="lightGray"/>
                <w:lang w:val="hu-HU"/>
              </w:rPr>
              <w:t>szúrja be be a tűt teljesen a</w:t>
            </w:r>
            <w:r w:rsidR="00AA69B1" w:rsidRPr="00064A81">
              <w:rPr>
                <w:rFonts w:eastAsia="Times New Roman"/>
                <w:lang w:val="hu-HU"/>
              </w:rPr>
              <w:t xml:space="preserve"> test</w:t>
            </w:r>
            <w:r w:rsidR="00AA69B1">
              <w:rPr>
                <w:rFonts w:eastAsia="Times New Roman"/>
                <w:lang w:val="hu-HU"/>
              </w:rPr>
              <w:t xml:space="preserve">felületi </w:t>
            </w:r>
            <w:r w:rsidRPr="000405CC">
              <w:rPr>
                <w:rFonts w:eastAsia="Times New Roman"/>
                <w:highlight w:val="lightGray"/>
                <w:lang w:val="hu-HU"/>
              </w:rPr>
              <w:t>bőrredőbe 45 fokos szögben, gyors és rövid mozdulattal</w:t>
            </w:r>
          </w:p>
        </w:tc>
      </w:tr>
      <w:tr w:rsidR="00130E8B" w:rsidRPr="00BE4D18" w14:paraId="4386FCC4" w14:textId="77777777" w:rsidTr="0054408A">
        <w:trPr>
          <w:trHeight w:val="6293"/>
        </w:trPr>
        <w:tc>
          <w:tcPr>
            <w:tcW w:w="9550" w:type="dxa"/>
          </w:tcPr>
          <w:p w14:paraId="0B70977F" w14:textId="77777777" w:rsidR="00130E8B" w:rsidRPr="000405CC" w:rsidRDefault="00130E8B">
            <w:pPr>
              <w:ind w:left="104"/>
              <w:rPr>
                <w:rFonts w:ascii="Times New Roman" w:eastAsia="Times New Roman" w:hAnsi="Times New Roman" w:cs="Times New Roman"/>
                <w:b/>
                <w:bCs/>
                <w:spacing w:val="-1"/>
                <w:highlight w:val="lightGray"/>
                <w:lang w:val="hu-HU"/>
              </w:rPr>
            </w:pPr>
          </w:p>
          <w:p w14:paraId="79709184" w14:textId="77777777" w:rsidR="00130E8B" w:rsidRPr="000405CC" w:rsidRDefault="00130E8B">
            <w:pPr>
              <w:pStyle w:val="1"/>
              <w:spacing w:before="76"/>
              <w:ind w:left="0" w:right="2736"/>
              <w:rPr>
                <w:rFonts w:eastAsiaTheme="minorEastAsia"/>
                <w:highlight w:val="lightGray"/>
                <w:lang w:val="hu-HU" w:eastAsia="ko-KR"/>
              </w:rPr>
            </w:pPr>
          </w:p>
          <w:p w14:paraId="6E8B5F80" w14:textId="77777777" w:rsidR="00130E8B" w:rsidRPr="000405CC" w:rsidRDefault="00A66FEF">
            <w:pPr>
              <w:pStyle w:val="Default"/>
              <w:rPr>
                <w:highlight w:val="lightGray"/>
                <w:lang w:val="hu-HU"/>
              </w:rPr>
            </w:pPr>
            <w:r>
              <w:rPr>
                <w:noProof/>
                <w:highlight w:val="lightGray"/>
                <w:lang w:eastAsia="ko-KR"/>
              </w:rPr>
              <mc:AlternateContent>
                <mc:Choice Requires="wpg">
                  <w:drawing>
                    <wp:anchor distT="0" distB="0" distL="114300" distR="114300" simplePos="0" relativeHeight="251658251" behindDoc="0" locked="0" layoutInCell="1" allowOverlap="1" wp14:anchorId="775EBD7E" wp14:editId="5E79A405">
                      <wp:simplePos x="0" y="0"/>
                      <wp:positionH relativeFrom="column">
                        <wp:posOffset>34290</wp:posOffset>
                      </wp:positionH>
                      <wp:positionV relativeFrom="paragraph">
                        <wp:posOffset>45720</wp:posOffset>
                      </wp:positionV>
                      <wp:extent cx="2268220" cy="2958465"/>
                      <wp:effectExtent l="0" t="0" r="0" b="0"/>
                      <wp:wrapSquare wrapText="bothSides"/>
                      <wp:docPr id="48" name="그룹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8220" cy="2958465"/>
                                <a:chOff x="0" y="0"/>
                                <a:chExt cx="28019" cy="35560"/>
                              </a:xfrm>
                            </wpg:grpSpPr>
                            <pic:pic xmlns:pic="http://schemas.openxmlformats.org/drawingml/2006/picture">
                              <pic:nvPicPr>
                                <pic:cNvPr id="49" name="그림 4025"/>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016" cy="34118"/>
                                </a:xfrm>
                                <a:prstGeom prst="rect">
                                  <a:avLst/>
                                </a:prstGeom>
                                <a:noFill/>
                                <a:extLst>
                                  <a:ext uri="{909E8E84-426E-40DD-AFC4-6F175D3DCCD1}">
                                    <a14:hiddenFill xmlns:a14="http://schemas.microsoft.com/office/drawing/2010/main">
                                      <a:solidFill>
                                        <a:srgbClr val="FFFFFF"/>
                                      </a:solidFill>
                                    </a14:hiddenFill>
                                  </a:ext>
                                </a:extLst>
                              </pic:spPr>
                            </pic:pic>
                            <wps:wsp>
                              <wps:cNvPr id="51" name="Text Box 96"/>
                              <wps:cNvSpPr txBox="1">
                                <a:spLocks noChangeArrowheads="1"/>
                              </wps:cNvSpPr>
                              <wps:spPr bwMode="auto">
                                <a:xfrm>
                                  <a:off x="20821" y="34099"/>
                                  <a:ext cx="7198" cy="14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0AE0D8" w14:textId="3AF97CC3"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J. </w:t>
                                    </w:r>
                                    <w:r>
                                      <w:rPr>
                                        <w:rFonts w:ascii="Times New Roman" w:eastAsia="Times New Roman" w:hAnsi="Times New Roman" w:cs="Times New Roman"/>
                                        <w:highlight w:val="lightGray"/>
                                        <w:lang w:val="hu-HU"/>
                                      </w:rPr>
                                      <w:t>ábra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5EBD7E" id="그룹 97" o:spid="_x0000_s1085" style="position:absolute;margin-left:2.7pt;margin-top:3.6pt;width:178.6pt;height:232.95pt;z-index:251658251" coordsize="28019,355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">
                      <v:shape id="그림 4025" o:spid="_x0000_s1086" type="#_x0000_t75" style="position:absolute;width:28016;height:34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">
                        <v:imagedata r:id="rId64" o:title=""/>
                      </v:shape>
                      <v:shape id="Text Box 96" o:spid="_x0000_s1087" type="#_x0000_t202" style="position:absolute;left:20821;top:34099;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" stroked="f">
                        <v:textbox inset="0,0,0,0">
                          <w:txbxContent>
                            <w:p w14:paraId="0E0AE0D8" w14:textId="3AF97CC3"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J. </w:t>
                              </w:r>
                              <w:r>
                                <w:rPr>
                                  <w:rFonts w:ascii="Times New Roman" w:eastAsia="Times New Roman" w:hAnsi="Times New Roman" w:cs="Times New Roman"/>
                                  <w:highlight w:val="lightGray"/>
                                  <w:lang w:val="hu-HU"/>
                                </w:rPr>
                                <w:t>ábra</w:t>
                              </w:r>
                            </w:p>
                          </w:txbxContent>
                        </v:textbox>
                      </v:shape>
                      <w10:wrap type="square"/>
                    </v:group>
                  </w:pict>
                </mc:Fallback>
              </mc:AlternateContent>
            </w:r>
          </w:p>
          <w:p w14:paraId="73DB96BA" w14:textId="77777777" w:rsidR="00130E8B" w:rsidRPr="00010223" w:rsidRDefault="000405CC">
            <w:pPr>
              <w:pStyle w:val="a3"/>
              <w:numPr>
                <w:ilvl w:val="0"/>
                <w:numId w:val="22"/>
              </w:numPr>
              <w:rPr>
                <w:b/>
                <w:highlight w:val="lightGray"/>
                <w:lang w:val="hu-HU"/>
              </w:rPr>
            </w:pPr>
            <w:r w:rsidRPr="00010223">
              <w:rPr>
                <w:rFonts w:eastAsia="Times New Roman"/>
                <w:b/>
                <w:bCs/>
                <w:highlight w:val="lightGray"/>
                <w:lang w:val="hu-HU"/>
              </w:rPr>
              <w:t xml:space="preserve">Az  </w:t>
            </w:r>
            <w:r w:rsidRPr="001E2F31">
              <w:rPr>
                <w:rFonts w:eastAsia="Times New Roman"/>
                <w:b/>
                <w:highlight w:val="lightGray"/>
                <w:lang w:val="hu-HU"/>
              </w:rPr>
              <w:t>injekció beadása</w:t>
            </w:r>
          </w:p>
          <w:p w14:paraId="4A3246B2" w14:textId="77777777" w:rsidR="00130E8B" w:rsidRPr="000405CC" w:rsidRDefault="00130E8B">
            <w:pPr>
              <w:pStyle w:val="a3"/>
              <w:rPr>
                <w:highlight w:val="lightGray"/>
                <w:lang w:val="hu-HU"/>
              </w:rPr>
            </w:pPr>
          </w:p>
          <w:p w14:paraId="05CEEE83" w14:textId="6DA9F319" w:rsidR="00130E8B" w:rsidRPr="000405CC" w:rsidRDefault="000405CC">
            <w:pPr>
              <w:pStyle w:val="a3"/>
              <w:ind w:left="5130" w:hanging="5130"/>
              <w:rPr>
                <w:highlight w:val="lightGray"/>
                <w:lang w:val="hu-HU"/>
              </w:rPr>
            </w:pPr>
            <w:r w:rsidRPr="000405CC">
              <w:rPr>
                <w:rFonts w:eastAsia="Times New Roman"/>
                <w:b/>
                <w:bCs/>
                <w:highlight w:val="lightGray"/>
                <w:lang w:val="hu-HU"/>
              </w:rPr>
              <w:t xml:space="preserve">     a. </w:t>
            </w:r>
            <w:r w:rsidRPr="001E2F31">
              <w:rPr>
                <w:rFonts w:eastAsia="Times New Roman"/>
                <w:bCs/>
                <w:highlight w:val="lightGray"/>
                <w:lang w:val="hu-HU"/>
              </w:rPr>
              <w:t>A</w:t>
            </w:r>
            <w:r w:rsidRPr="00010223">
              <w:rPr>
                <w:rFonts w:eastAsia="Times New Roman"/>
                <w:highlight w:val="lightGray"/>
                <w:lang w:val="hu-HU"/>
              </w:rPr>
              <w:t xml:space="preserve"> </w:t>
            </w:r>
            <w:r w:rsidRPr="000405CC">
              <w:rPr>
                <w:rFonts w:eastAsia="Times New Roman"/>
                <w:highlight w:val="lightGray"/>
                <w:lang w:val="hu-HU"/>
              </w:rPr>
              <w:t xml:space="preserve">tű </w:t>
            </w:r>
            <w:r w:rsidR="0046327F">
              <w:rPr>
                <w:rFonts w:eastAsia="Times New Roman"/>
                <w:highlight w:val="lightGray"/>
                <w:lang w:val="hu-HU"/>
              </w:rPr>
              <w:t>beszúrása</w:t>
            </w:r>
            <w:r w:rsidR="0046327F" w:rsidRPr="000405CC">
              <w:rPr>
                <w:rFonts w:eastAsia="Times New Roman"/>
                <w:highlight w:val="lightGray"/>
                <w:lang w:val="hu-HU"/>
              </w:rPr>
              <w:t xml:space="preserve"> </w:t>
            </w:r>
            <w:r w:rsidRPr="000405CC">
              <w:rPr>
                <w:rFonts w:eastAsia="Times New Roman"/>
                <w:highlight w:val="lightGray"/>
                <w:lang w:val="hu-HU"/>
              </w:rPr>
              <w:t>után engedje el az összecsípett bőrt.</w:t>
            </w:r>
          </w:p>
          <w:p w14:paraId="6EA0D4E1" w14:textId="2BDFFE6B" w:rsidR="00130E8B" w:rsidRPr="000405CC" w:rsidRDefault="000405CC">
            <w:pPr>
              <w:pStyle w:val="a3"/>
              <w:ind w:left="5130" w:hanging="5130"/>
              <w:rPr>
                <w:highlight w:val="lightGray"/>
                <w:lang w:val="hu-HU"/>
              </w:rPr>
            </w:pPr>
            <w:r w:rsidRPr="000405CC">
              <w:rPr>
                <w:rFonts w:eastAsia="Times New Roman"/>
                <w:b/>
                <w:bCs/>
                <w:highlight w:val="lightGray"/>
                <w:lang w:val="hu-HU"/>
              </w:rPr>
              <w:t xml:space="preserve">     b. </w:t>
            </w:r>
            <w:r w:rsidRPr="001E2F31">
              <w:rPr>
                <w:rFonts w:eastAsia="Times New Roman"/>
                <w:bCs/>
                <w:highlight w:val="lightGray"/>
                <w:lang w:val="hu-HU"/>
              </w:rPr>
              <w:t>L</w:t>
            </w:r>
            <w:r w:rsidRPr="000405CC">
              <w:rPr>
                <w:rFonts w:eastAsia="Times New Roman"/>
                <w:highlight w:val="lightGray"/>
                <w:lang w:val="hu-HU"/>
              </w:rPr>
              <w:t xml:space="preserve">assan nyomja le teljesen a dugattyút, </w:t>
            </w:r>
            <w:r w:rsidR="00244F77">
              <w:rPr>
                <w:rFonts w:eastAsia="Times New Roman"/>
                <w:highlight w:val="lightGray"/>
                <w:lang w:val="hu-HU"/>
              </w:rPr>
              <w:t>mindaddig</w:t>
            </w:r>
            <w:r w:rsidRPr="000405CC">
              <w:rPr>
                <w:rFonts w:eastAsia="Times New Roman"/>
                <w:highlight w:val="lightGray"/>
                <w:lang w:val="hu-HU"/>
              </w:rPr>
              <w:t xml:space="preserve"> amíg az összes folyadékot be nem fecskendezte és a fecskendő kiürült.</w:t>
            </w:r>
          </w:p>
          <w:p w14:paraId="2B13ABE8" w14:textId="77777777" w:rsidR="00130E8B" w:rsidRPr="000405CC" w:rsidRDefault="00130E8B">
            <w:pPr>
              <w:pStyle w:val="a3"/>
              <w:rPr>
                <w:highlight w:val="lightGray"/>
                <w:lang w:val="hu-HU"/>
              </w:rPr>
            </w:pPr>
          </w:p>
          <w:p w14:paraId="2CB6B9FA" w14:textId="77777777" w:rsidR="00130E8B" w:rsidRPr="000405CC" w:rsidRDefault="00130E8B">
            <w:pPr>
              <w:pStyle w:val="a3"/>
              <w:rPr>
                <w:highlight w:val="lightGray"/>
                <w:lang w:val="hu-HU"/>
              </w:rPr>
            </w:pPr>
          </w:p>
          <w:p w14:paraId="78828DCD" w14:textId="4B301DEC" w:rsidR="00130E8B" w:rsidRPr="000405CC" w:rsidRDefault="000405CC">
            <w:pPr>
              <w:pStyle w:val="a3"/>
              <w:rPr>
                <w:highlight w:val="lightGray"/>
                <w:lang w:val="hu-HU"/>
              </w:rPr>
            </w:pPr>
            <w:r w:rsidRPr="009167C6">
              <w:rPr>
                <w:rFonts w:eastAsia="맑은 고딕"/>
                <w:highlight w:val="lightGray"/>
                <w:lang w:val="hu-HU"/>
              </w:rPr>
              <w:t>•</w:t>
            </w:r>
            <w:r w:rsidRPr="00222050">
              <w:rPr>
                <w:rFonts w:eastAsia="Times New Roman"/>
                <w:highlight w:val="lightGray"/>
                <w:lang w:val="hu-HU"/>
              </w:rPr>
              <w:t xml:space="preserve"> </w:t>
            </w:r>
            <w:r w:rsidRPr="001E2F31">
              <w:rPr>
                <w:rFonts w:eastAsia="Times New Roman"/>
                <w:bCs/>
                <w:highlight w:val="lightGray"/>
                <w:lang w:val="hu-HU"/>
              </w:rPr>
              <w:t xml:space="preserve">Az </w:t>
            </w:r>
            <w:r w:rsidRPr="009167C6">
              <w:rPr>
                <w:rFonts w:eastAsia="맑은 고딕"/>
                <w:highlight w:val="lightGray"/>
                <w:lang w:val="hu-HU"/>
              </w:rPr>
              <w:t xml:space="preserve">injekció beadása után </w:t>
            </w:r>
            <w:r w:rsidRPr="001E2F31">
              <w:rPr>
                <w:rFonts w:eastAsia="맑은 고딕"/>
                <w:b/>
                <w:highlight w:val="lightGray"/>
                <w:lang w:val="hu-HU"/>
              </w:rPr>
              <w:t>ne</w:t>
            </w:r>
            <w:r w:rsidRPr="00222050">
              <w:rPr>
                <w:rFonts w:eastAsia="Times New Roman"/>
                <w:highlight w:val="lightGray"/>
                <w:lang w:val="hu-HU"/>
              </w:rPr>
              <w:t xml:space="preserve"> változtassa meg az előretöltött fecskendő helyzetét</w:t>
            </w:r>
            <w:r w:rsidRPr="000405CC">
              <w:rPr>
                <w:rFonts w:eastAsia="Times New Roman"/>
                <w:highlight w:val="lightGray"/>
                <w:lang w:val="hu-HU"/>
              </w:rPr>
              <w:t>.</w:t>
            </w:r>
            <w:r w:rsidRPr="000405CC">
              <w:rPr>
                <w:highlight w:val="lightGray"/>
                <w:lang w:val="hu-HU"/>
              </w:rPr>
              <w:t xml:space="preserve"> </w:t>
            </w:r>
          </w:p>
        </w:tc>
      </w:tr>
      <w:tr w:rsidR="00130E8B" w:rsidRPr="00BE4D18" w14:paraId="3E0A3293" w14:textId="77777777" w:rsidTr="0054408A">
        <w:trPr>
          <w:trHeight w:val="6520"/>
        </w:trPr>
        <w:tc>
          <w:tcPr>
            <w:tcW w:w="9550" w:type="dxa"/>
          </w:tcPr>
          <w:p w14:paraId="2C9BB875" w14:textId="77777777" w:rsidR="00130E8B" w:rsidRPr="000405CC" w:rsidRDefault="000405CC">
            <w:pPr>
              <w:ind w:left="104"/>
              <w:rPr>
                <w:rFonts w:ascii="Times New Roman" w:eastAsia="Times New Roman" w:hAnsi="Times New Roman" w:cs="Times New Roman"/>
                <w:b/>
                <w:bCs/>
                <w:spacing w:val="-1"/>
                <w:highlight w:val="lightGray"/>
                <w:lang w:val="hu-HU"/>
              </w:rPr>
            </w:pPr>
            <w:r w:rsidRPr="000405CC">
              <w:rPr>
                <w:rFonts w:ascii="Times New Roman" w:eastAsia="Times New Roman" w:hAnsi="Times New Roman" w:cs="Times New Roman"/>
                <w:b/>
                <w:bCs/>
                <w:spacing w:val="-1"/>
                <w:highlight w:val="lightGray"/>
                <w:lang w:val="hu-HU"/>
              </w:rPr>
              <w:t xml:space="preserve"> </w:t>
            </w:r>
          </w:p>
          <w:p w14:paraId="6D001E64" w14:textId="77777777" w:rsidR="00130E8B" w:rsidRPr="000405CC" w:rsidRDefault="00130E8B">
            <w:pPr>
              <w:ind w:left="104"/>
              <w:rPr>
                <w:rFonts w:ascii="Times New Roman" w:eastAsia="Times New Roman" w:hAnsi="Times New Roman" w:cs="Times New Roman"/>
                <w:b/>
                <w:bCs/>
                <w:spacing w:val="-1"/>
                <w:highlight w:val="lightGray"/>
                <w:lang w:val="hu-HU"/>
              </w:rPr>
            </w:pPr>
          </w:p>
          <w:p w14:paraId="389AE3E1" w14:textId="77777777" w:rsidR="00130E8B" w:rsidRPr="000405CC" w:rsidRDefault="00130E8B">
            <w:pPr>
              <w:ind w:left="104"/>
              <w:rPr>
                <w:rFonts w:ascii="Times New Roman" w:eastAsia="Times New Roman" w:hAnsi="Times New Roman" w:cs="Times New Roman"/>
                <w:highlight w:val="lightGray"/>
                <w:lang w:val="hu-HU"/>
              </w:rPr>
            </w:pPr>
          </w:p>
          <w:p w14:paraId="29250AD4" w14:textId="77777777" w:rsidR="00130E8B" w:rsidRPr="000405CC" w:rsidRDefault="00A66FEF">
            <w:pPr>
              <w:pStyle w:val="a3"/>
              <w:rPr>
                <w:highlight w:val="lightGray"/>
                <w:lang w:val="hu-HU"/>
              </w:rPr>
            </w:pPr>
            <w:r>
              <w:rPr>
                <w:noProof/>
                <w:highlight w:val="lightGray"/>
                <w:lang w:eastAsia="ko-KR"/>
              </w:rPr>
              <mc:AlternateContent>
                <mc:Choice Requires="wpg">
                  <w:drawing>
                    <wp:anchor distT="0" distB="0" distL="114300" distR="114300" simplePos="0" relativeHeight="251658252" behindDoc="0" locked="0" layoutInCell="1" allowOverlap="1" wp14:anchorId="60601BD3" wp14:editId="3533C1A5">
                      <wp:simplePos x="0" y="0"/>
                      <wp:positionH relativeFrom="column">
                        <wp:posOffset>51435</wp:posOffset>
                      </wp:positionH>
                      <wp:positionV relativeFrom="paragraph">
                        <wp:posOffset>11430</wp:posOffset>
                      </wp:positionV>
                      <wp:extent cx="2569845" cy="3429000"/>
                      <wp:effectExtent l="0" t="0" r="1905" b="0"/>
                      <wp:wrapSquare wrapText="bothSides"/>
                      <wp:docPr id="45" name="그룹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9845" cy="3429000"/>
                                <a:chOff x="0" y="0"/>
                                <a:chExt cx="27962" cy="35369"/>
                              </a:xfrm>
                            </wpg:grpSpPr>
                            <pic:pic xmlns:pic="http://schemas.openxmlformats.org/drawingml/2006/picture">
                              <pic:nvPicPr>
                                <pic:cNvPr id="46" name="그림 4026"/>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940" cy="34290"/>
                                </a:xfrm>
                                <a:prstGeom prst="rect">
                                  <a:avLst/>
                                </a:prstGeom>
                                <a:noFill/>
                                <a:extLst>
                                  <a:ext uri="{909E8E84-426E-40DD-AFC4-6F175D3DCCD1}">
                                    <a14:hiddenFill xmlns:a14="http://schemas.microsoft.com/office/drawing/2010/main">
                                      <a:solidFill>
                                        <a:srgbClr val="FFFFFF"/>
                                      </a:solidFill>
                                    </a14:hiddenFill>
                                  </a:ext>
                                </a:extLst>
                              </pic:spPr>
                            </pic:pic>
                            <wps:wsp>
                              <wps:cNvPr id="47" name="Text Box 99"/>
                              <wps:cNvSpPr txBox="1">
                                <a:spLocks noChangeArrowheads="1"/>
                              </wps:cNvSpPr>
                              <wps:spPr bwMode="auto">
                                <a:xfrm>
                                  <a:off x="20764" y="33909"/>
                                  <a:ext cx="7198" cy="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9B3017"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K. </w:t>
                                    </w:r>
                                    <w:r>
                                      <w:rPr>
                                        <w:rFonts w:ascii="Times New Roman" w:eastAsia="Times New Roman" w:hAnsi="Times New Roman" w:cs="Times New Roman"/>
                                        <w:highlight w:val="lightGray"/>
                                        <w:lang w:val="hu-HU"/>
                                      </w:rPr>
                                      <w:t xml:space="preserve">ábra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601BD3" id="그룹 100" o:spid="_x0000_s1088" style="position:absolute;margin-left:4.05pt;margin-top:.9pt;width:202.35pt;height:270pt;z-index:251658252" coordsize="27962,3536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">
                      <v:shape id="그림 4026" o:spid="_x0000_s1089" type="#_x0000_t75" style="position:absolute;width:27940;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">
                        <v:imagedata r:id="rId66" o:title=""/>
                      </v:shape>
                      <v:shape id="Text Box 99" o:spid="_x0000_s1090" type="#_x0000_t202" style="position:absolute;left:20764;top:33909;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" stroked="f">
                        <v:textbox inset="0,0,0,0">
                          <w:txbxContent>
                            <w:p w14:paraId="5A9B3017" w14:textId="77777777" w:rsidR="004A2986" w:rsidRDefault="004A2986">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K. </w:t>
                              </w:r>
                              <w:r>
                                <w:rPr>
                                  <w:rFonts w:ascii="Times New Roman" w:eastAsia="Times New Roman" w:hAnsi="Times New Roman" w:cs="Times New Roman"/>
                                  <w:highlight w:val="lightGray"/>
                                  <w:lang w:val="hu-HU"/>
                                </w:rPr>
                                <w:t xml:space="preserve">ábra </w:t>
                              </w:r>
                            </w:p>
                          </w:txbxContent>
                        </v:textbox>
                      </v:shape>
                      <w10:wrap type="square"/>
                    </v:group>
                  </w:pict>
                </mc:Fallback>
              </mc:AlternateContent>
            </w:r>
          </w:p>
          <w:p w14:paraId="0D1D2390" w14:textId="52E15184" w:rsidR="00130E8B" w:rsidRPr="009167C6" w:rsidRDefault="004D7188">
            <w:pPr>
              <w:pStyle w:val="a3"/>
              <w:numPr>
                <w:ilvl w:val="0"/>
                <w:numId w:val="22"/>
              </w:numPr>
              <w:ind w:left="5220" w:hanging="5109"/>
              <w:rPr>
                <w:b/>
                <w:highlight w:val="lightGray"/>
                <w:lang w:val="hu-HU"/>
              </w:rPr>
            </w:pPr>
            <w:r>
              <w:rPr>
                <w:rFonts w:eastAsia="Times New Roman"/>
                <w:b/>
                <w:bCs/>
                <w:highlight w:val="lightGray"/>
                <w:lang w:val="hu-HU"/>
              </w:rPr>
              <w:t>Húzza ki</w:t>
            </w:r>
            <w:r w:rsidR="000405CC" w:rsidRPr="000405CC">
              <w:rPr>
                <w:rFonts w:eastAsia="Times New Roman"/>
                <w:b/>
                <w:bCs/>
                <w:highlight w:val="lightGray"/>
                <w:lang w:val="hu-HU"/>
              </w:rPr>
              <w:t xml:space="preserve"> az előretöltött fecskendőt az injekció beadási helyéről, és</w:t>
            </w:r>
            <w:r w:rsidR="000405CC" w:rsidRPr="000405CC">
              <w:rPr>
                <w:rFonts w:eastAsia="Times New Roman"/>
                <w:highlight w:val="lightGray"/>
                <w:lang w:val="hu-HU"/>
              </w:rPr>
              <w:t xml:space="preserve"> </w:t>
            </w:r>
            <w:r w:rsidR="000405CC" w:rsidRPr="000405CC">
              <w:rPr>
                <w:rFonts w:eastAsia="Times New Roman"/>
                <w:b/>
                <w:bCs/>
                <w:highlight w:val="lightGray"/>
                <w:lang w:val="hu-HU"/>
              </w:rPr>
              <w:t xml:space="preserve">lássa el az </w:t>
            </w:r>
            <w:r w:rsidR="000405CC" w:rsidRPr="004D7188">
              <w:rPr>
                <w:rFonts w:eastAsia="Times New Roman"/>
                <w:b/>
                <w:bCs/>
                <w:highlight w:val="lightGray"/>
                <w:lang w:val="hu-HU"/>
              </w:rPr>
              <w:t xml:space="preserve">injekció beadási </w:t>
            </w:r>
            <w:r w:rsidR="000405CC" w:rsidRPr="009167C6">
              <w:rPr>
                <w:rFonts w:eastAsia="Times New Roman"/>
                <w:b/>
                <w:highlight w:val="lightGray"/>
                <w:lang w:val="hu-HU"/>
              </w:rPr>
              <w:t>helyét.</w:t>
            </w:r>
          </w:p>
          <w:p w14:paraId="31E9F5CC" w14:textId="77777777" w:rsidR="00130E8B" w:rsidRPr="000405CC" w:rsidRDefault="00130E8B">
            <w:pPr>
              <w:pStyle w:val="a3"/>
              <w:numPr>
                <w:ilvl w:val="0"/>
                <w:numId w:val="0"/>
              </w:numPr>
              <w:ind w:left="471"/>
              <w:rPr>
                <w:highlight w:val="lightGray"/>
                <w:lang w:val="hu-HU"/>
              </w:rPr>
            </w:pPr>
          </w:p>
          <w:p w14:paraId="77876C92" w14:textId="77777777" w:rsidR="00130E8B" w:rsidRPr="000405CC" w:rsidRDefault="000405CC">
            <w:pPr>
              <w:pStyle w:val="a3"/>
              <w:ind w:left="5220" w:hanging="5220"/>
              <w:rPr>
                <w:highlight w:val="lightGray"/>
                <w:lang w:val="hu-HU"/>
              </w:rPr>
            </w:pPr>
            <w:r w:rsidRPr="000405CC">
              <w:rPr>
                <w:rFonts w:eastAsia="Times New Roman"/>
                <w:b/>
                <w:bCs/>
                <w:highlight w:val="lightGray"/>
                <w:lang w:val="hu-HU"/>
              </w:rPr>
              <w:t xml:space="preserve">      a. M</w:t>
            </w:r>
            <w:r w:rsidRPr="000405CC">
              <w:rPr>
                <w:rFonts w:eastAsia="Times New Roman"/>
                <w:highlight w:val="lightGray"/>
                <w:lang w:val="hu-HU"/>
              </w:rPr>
              <w:t>iután az előretöltött fecskendő kiürült,</w:t>
            </w:r>
            <w:r w:rsidRPr="000405CC">
              <w:rPr>
                <w:highlight w:val="lightGray"/>
                <w:lang w:val="hu-HU"/>
              </w:rPr>
              <w:t xml:space="preserve"> </w:t>
            </w:r>
            <w:r w:rsidRPr="000405CC">
              <w:rPr>
                <w:rFonts w:eastAsia="Times New Roman"/>
                <w:highlight w:val="lightGray"/>
                <w:lang w:val="hu-HU"/>
              </w:rPr>
              <w:t>lassan emelje fel hüvelykujját a</w:t>
            </w:r>
            <w:r w:rsidRPr="000405CC">
              <w:rPr>
                <w:highlight w:val="lightGray"/>
                <w:lang w:val="hu-HU"/>
              </w:rPr>
              <w:t xml:space="preserve"> </w:t>
            </w:r>
            <w:r w:rsidRPr="000405CC">
              <w:rPr>
                <w:rFonts w:eastAsia="Times New Roman"/>
                <w:highlight w:val="lightGray"/>
                <w:lang w:val="hu-HU"/>
              </w:rPr>
              <w:t>dugattyúról, amíg a tűt teljesen</w:t>
            </w:r>
            <w:r w:rsidRPr="000405CC">
              <w:rPr>
                <w:highlight w:val="lightGray"/>
                <w:lang w:val="hu-HU"/>
              </w:rPr>
              <w:t xml:space="preserve"> </w:t>
            </w:r>
            <w:r w:rsidRPr="000405CC">
              <w:rPr>
                <w:rFonts w:eastAsia="Times New Roman"/>
                <w:highlight w:val="lightGray"/>
                <w:lang w:val="hu-HU"/>
              </w:rPr>
              <w:t>lefedi a tűvédő.</w:t>
            </w:r>
          </w:p>
          <w:p w14:paraId="215D1899" w14:textId="77777777" w:rsidR="00130E8B" w:rsidRPr="000405CC" w:rsidRDefault="000405CC">
            <w:pPr>
              <w:pStyle w:val="a3"/>
              <w:ind w:left="5220" w:hanging="5220"/>
              <w:rPr>
                <w:highlight w:val="lightGray"/>
                <w:lang w:val="hu-HU"/>
              </w:rPr>
            </w:pPr>
            <w:r w:rsidRPr="000405CC">
              <w:rPr>
                <w:rFonts w:eastAsia="Times New Roman"/>
                <w:b/>
                <w:bCs/>
                <w:highlight w:val="lightGray"/>
                <w:lang w:val="hu-HU"/>
              </w:rPr>
              <w:t xml:space="preserve">      b. L</w:t>
            </w:r>
            <w:r w:rsidRPr="000405CC">
              <w:rPr>
                <w:rFonts w:eastAsia="Times New Roman"/>
                <w:highlight w:val="lightGray"/>
                <w:lang w:val="hu-HU"/>
              </w:rPr>
              <w:t xml:space="preserve">ássa el az injekció beadásának helyét óvatosan, nyomjon vattacsomót vagy gézdarabot a beadási helyre, </w:t>
            </w:r>
            <w:r w:rsidR="004D7188">
              <w:rPr>
                <w:rFonts w:eastAsia="Times New Roman"/>
                <w:highlight w:val="lightGray"/>
                <w:lang w:val="hu-HU"/>
              </w:rPr>
              <w:t xml:space="preserve">de </w:t>
            </w:r>
            <w:r w:rsidRPr="000405CC">
              <w:rPr>
                <w:rFonts w:eastAsia="Times New Roman"/>
                <w:highlight w:val="lightGray"/>
                <w:lang w:val="hu-HU"/>
              </w:rPr>
              <w:t>ne dörzsölje, használjon ragtapaszt, ha szükséges. Vérzés</w:t>
            </w:r>
            <w:r w:rsidR="004D7188">
              <w:rPr>
                <w:rFonts w:eastAsia="Times New Roman"/>
                <w:highlight w:val="lightGray"/>
                <w:lang w:val="hu-HU"/>
              </w:rPr>
              <w:t xml:space="preserve"> is</w:t>
            </w:r>
            <w:r w:rsidRPr="000405CC">
              <w:rPr>
                <w:highlight w:val="lightGray"/>
                <w:lang w:val="hu-HU"/>
              </w:rPr>
              <w:t xml:space="preserve"> </w:t>
            </w:r>
            <w:r w:rsidRPr="000405CC">
              <w:rPr>
                <w:rFonts w:eastAsia="Times New Roman"/>
                <w:highlight w:val="lightGray"/>
                <w:lang w:val="hu-HU"/>
              </w:rPr>
              <w:t>előfordulhat.</w:t>
            </w:r>
          </w:p>
          <w:p w14:paraId="0B856D4B" w14:textId="77777777" w:rsidR="00130E8B" w:rsidRPr="000405CC" w:rsidRDefault="00130E8B">
            <w:pPr>
              <w:pStyle w:val="a3"/>
              <w:rPr>
                <w:highlight w:val="lightGray"/>
                <w:lang w:val="hu-HU"/>
              </w:rPr>
            </w:pPr>
          </w:p>
          <w:p w14:paraId="18BE8335" w14:textId="77777777" w:rsidR="00130E8B" w:rsidRPr="000405CC" w:rsidRDefault="00130E8B">
            <w:pPr>
              <w:pStyle w:val="a3"/>
              <w:rPr>
                <w:highlight w:val="lightGray"/>
                <w:lang w:val="hu-HU"/>
              </w:rPr>
            </w:pPr>
          </w:p>
          <w:p w14:paraId="5FBC3B21" w14:textId="77777777" w:rsidR="00130E8B" w:rsidRPr="000405CC" w:rsidRDefault="000405CC">
            <w:pPr>
              <w:pStyle w:val="a3"/>
              <w:rPr>
                <w:highlight w:val="lightGray"/>
                <w:lang w:val="hu-HU"/>
              </w:rPr>
            </w:pPr>
            <w:r w:rsidRPr="000405CC">
              <w:rPr>
                <w:rFonts w:ascii="맑은 고딕" w:eastAsia="맑은 고딕" w:hAnsi="맑은 고딕"/>
                <w:highlight w:val="lightGray"/>
                <w:lang w:val="hu-HU"/>
              </w:rPr>
              <w:t>•</w:t>
            </w:r>
            <w:r w:rsidRPr="000405CC">
              <w:rPr>
                <w:rFonts w:eastAsia="Times New Roman"/>
                <w:highlight w:val="lightGray"/>
                <w:lang w:val="hu-HU"/>
              </w:rPr>
              <w:t xml:space="preserve"> </w:t>
            </w:r>
            <w:r w:rsidRPr="000405CC">
              <w:rPr>
                <w:rFonts w:eastAsia="Times New Roman"/>
                <w:b/>
                <w:bCs/>
                <w:highlight w:val="lightGray"/>
                <w:lang w:val="hu-HU"/>
              </w:rPr>
              <w:t>Ne</w:t>
            </w:r>
            <w:r w:rsidRPr="000405CC">
              <w:rPr>
                <w:rFonts w:eastAsia="Times New Roman"/>
                <w:highlight w:val="lightGray"/>
                <w:lang w:val="hu-HU"/>
              </w:rPr>
              <w:t xml:space="preserve"> használja újra az</w:t>
            </w:r>
            <w:r w:rsidR="00244F77">
              <w:rPr>
                <w:rFonts w:eastAsia="Times New Roman"/>
                <w:highlight w:val="lightGray"/>
                <w:lang w:val="hu-HU"/>
              </w:rPr>
              <w:t xml:space="preserve"> </w:t>
            </w:r>
            <w:r w:rsidRPr="000405CC">
              <w:rPr>
                <w:rFonts w:eastAsia="Times New Roman"/>
                <w:highlight w:val="lightGray"/>
                <w:lang w:val="hu-HU"/>
              </w:rPr>
              <w:t>előretöltött fecskendőt.</w:t>
            </w:r>
          </w:p>
          <w:p w14:paraId="533547A4" w14:textId="290119F5" w:rsidR="00130E8B" w:rsidRPr="000405CC" w:rsidRDefault="000405CC">
            <w:pPr>
              <w:pStyle w:val="a3"/>
              <w:rPr>
                <w:b/>
                <w:bCs/>
                <w:spacing w:val="-1"/>
                <w:highlight w:val="lightGray"/>
                <w:lang w:val="hu-HU"/>
              </w:rPr>
            </w:pPr>
            <w:r w:rsidRPr="000405CC">
              <w:rPr>
                <w:rFonts w:ascii="맑은 고딕" w:eastAsia="맑은 고딕" w:hAnsi="맑은 고딕"/>
                <w:b/>
                <w:bCs/>
                <w:highlight w:val="lightGray"/>
                <w:lang w:val="hu-HU"/>
              </w:rPr>
              <w:t>•</w:t>
            </w:r>
            <w:r w:rsidR="00010223">
              <w:rPr>
                <w:rFonts w:ascii="맑은 고딕" w:eastAsia="맑은 고딕" w:hAnsi="맑은 고딕"/>
                <w:b/>
                <w:bCs/>
                <w:highlight w:val="lightGray"/>
                <w:lang w:val="hu-HU"/>
              </w:rPr>
              <w:t xml:space="preserve"> </w:t>
            </w:r>
            <w:r w:rsidRPr="000405CC">
              <w:rPr>
                <w:rFonts w:eastAsia="Times New Roman"/>
                <w:b/>
                <w:bCs/>
                <w:highlight w:val="lightGray"/>
                <w:lang w:val="hu-HU"/>
              </w:rPr>
              <w:t>Ne</w:t>
            </w:r>
            <w:r w:rsidRPr="000405CC">
              <w:rPr>
                <w:rFonts w:eastAsia="Times New Roman"/>
                <w:highlight w:val="lightGray"/>
                <w:lang w:val="hu-HU"/>
              </w:rPr>
              <w:t xml:space="preserve"> dörzsölje az injekció beadásának helyét.</w:t>
            </w:r>
          </w:p>
        </w:tc>
      </w:tr>
      <w:tr w:rsidR="00130E8B" w:rsidRPr="00BE4D18" w14:paraId="3366F8AC" w14:textId="77777777" w:rsidTr="0054408A">
        <w:trPr>
          <w:trHeight w:val="6372"/>
        </w:trPr>
        <w:tc>
          <w:tcPr>
            <w:tcW w:w="9550" w:type="dxa"/>
          </w:tcPr>
          <w:p w14:paraId="2842FCA2" w14:textId="77777777" w:rsidR="00130E8B" w:rsidRDefault="00130E8B">
            <w:pPr>
              <w:ind w:left="104"/>
              <w:rPr>
                <w:rFonts w:ascii="Times New Roman" w:eastAsia="Times New Roman" w:hAnsi="Times New Roman" w:cs="Times New Roman"/>
                <w:b/>
                <w:bCs/>
                <w:spacing w:val="-1"/>
                <w:lang w:val="hu-HU"/>
              </w:rPr>
            </w:pPr>
          </w:p>
          <w:p w14:paraId="2CE2946A" w14:textId="77777777" w:rsidR="00130E8B" w:rsidRDefault="00130E8B">
            <w:pPr>
              <w:pStyle w:val="a3"/>
              <w:rPr>
                <w:lang w:val="hu-HU"/>
              </w:rPr>
            </w:pPr>
          </w:p>
          <w:p w14:paraId="0B647DE1" w14:textId="77777777" w:rsidR="00130E8B" w:rsidRDefault="00A66FEF">
            <w:pPr>
              <w:pStyle w:val="a3"/>
              <w:rPr>
                <w:lang w:val="hu-HU"/>
              </w:rPr>
            </w:pPr>
            <w:r>
              <w:rPr>
                <w:noProof/>
                <w:lang w:eastAsia="ko-KR"/>
              </w:rPr>
              <mc:AlternateContent>
                <mc:Choice Requires="wpg">
                  <w:drawing>
                    <wp:anchor distT="0" distB="0" distL="114300" distR="114300" simplePos="0" relativeHeight="251658253" behindDoc="0" locked="0" layoutInCell="1" allowOverlap="1" wp14:anchorId="580B637D" wp14:editId="43FA60C5">
                      <wp:simplePos x="0" y="0"/>
                      <wp:positionH relativeFrom="column">
                        <wp:posOffset>34290</wp:posOffset>
                      </wp:positionH>
                      <wp:positionV relativeFrom="paragraph">
                        <wp:posOffset>106045</wp:posOffset>
                      </wp:positionV>
                      <wp:extent cx="2587625" cy="3312160"/>
                      <wp:effectExtent l="0" t="0" r="3175" b="2540"/>
                      <wp:wrapSquare wrapText="bothSides"/>
                      <wp:docPr id="42" name="그룹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7625" cy="3312160"/>
                                <a:chOff x="0" y="0"/>
                                <a:chExt cx="28276" cy="35496"/>
                              </a:xfrm>
                            </wpg:grpSpPr>
                            <pic:pic xmlns:pic="http://schemas.openxmlformats.org/drawingml/2006/picture">
                              <pic:nvPicPr>
                                <pic:cNvPr id="43" name="그림 4027"/>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276" cy="34036"/>
                                </a:xfrm>
                                <a:prstGeom prst="rect">
                                  <a:avLst/>
                                </a:prstGeom>
                                <a:noFill/>
                                <a:extLst>
                                  <a:ext uri="{909E8E84-426E-40DD-AFC4-6F175D3DCCD1}">
                                    <a14:hiddenFill xmlns:a14="http://schemas.microsoft.com/office/drawing/2010/main">
                                      <a:solidFill>
                                        <a:srgbClr val="FFFFFF"/>
                                      </a:solidFill>
                                    </a14:hiddenFill>
                                  </a:ext>
                                </a:extLst>
                              </pic:spPr>
                            </pic:pic>
                            <wps:wsp>
                              <wps:cNvPr id="44" name="Text Box 101"/>
                              <wps:cNvSpPr txBox="1">
                                <a:spLocks noChangeArrowheads="1"/>
                              </wps:cNvSpPr>
                              <wps:spPr bwMode="auto">
                                <a:xfrm>
                                  <a:off x="21078" y="34036"/>
                                  <a:ext cx="7195" cy="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2B5252" w14:textId="04599549" w:rsidR="004A2986" w:rsidRDefault="004A2986">
                                    <w:pPr>
                                      <w:pStyle w:val="af0"/>
                                      <w:jc w:val="right"/>
                                      <w:rPr>
                                        <w:rFonts w:ascii="Times New Roman" w:hAnsi="Times New Roman" w:cs="Times New Roman"/>
                                        <w:noProof/>
                                        <w:spacing w:val="-1"/>
                                      </w:rPr>
                                    </w:pPr>
                                    <w:r>
                                      <w:rPr>
                                        <w:rFonts w:ascii="Times New Roman" w:hAnsi="Times New Roman" w:cs="Times New Roman" w:hint="eastAsia"/>
                                        <w:highlight w:val="lightGray"/>
                                        <w:lang w:val="hu-HU" w:eastAsia="ko-KR"/>
                                      </w:rPr>
                                      <w:t xml:space="preserve">L. </w:t>
                                    </w:r>
                                    <w:r>
                                      <w:rPr>
                                        <w:rFonts w:ascii="Times New Roman" w:eastAsia="Times New Roman" w:hAnsi="Times New Roman" w:cs="Times New Roman"/>
                                        <w:highlight w:val="lightGray"/>
                                        <w:lang w:val="hu-HU"/>
                                      </w:rPr>
                                      <w:t>ábra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0B637D" id="그룹 102" o:spid="_x0000_s1091" style="position:absolute;margin-left:2.7pt;margin-top:8.35pt;width:203.75pt;height:260.8pt;z-index:251658253" coordsize="28276,3549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">
                      <v:shape id="그림 4027" o:spid="_x0000_s1092" type="#_x0000_t75" style="position:absolute;width:28276;height:34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">
                        <v:imagedata r:id="rId68" o:title=""/>
                      </v:shape>
                      <v:shape id="Text Box 101" o:spid="_x0000_s1093" type="#_x0000_t202" style="position:absolute;left:21078;top:34036;width:7195;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" stroked="f">
                        <v:textbox inset="0,0,0,0">
                          <w:txbxContent>
                            <w:p w14:paraId="652B5252" w14:textId="04599549" w:rsidR="004A2986" w:rsidRDefault="004A2986">
                              <w:pPr>
                                <w:pStyle w:val="af0"/>
                                <w:jc w:val="right"/>
                                <w:rPr>
                                  <w:rFonts w:ascii="Times New Roman" w:hAnsi="Times New Roman" w:cs="Times New Roman"/>
                                  <w:noProof/>
                                  <w:spacing w:val="-1"/>
                                </w:rPr>
                              </w:pPr>
                              <w:r>
                                <w:rPr>
                                  <w:rFonts w:ascii="Times New Roman" w:hAnsi="Times New Roman" w:cs="Times New Roman" w:hint="eastAsia"/>
                                  <w:highlight w:val="lightGray"/>
                                  <w:lang w:val="hu-HU" w:eastAsia="ko-KR"/>
                                </w:rPr>
                                <w:t xml:space="preserve">L. </w:t>
                              </w:r>
                              <w:r>
                                <w:rPr>
                                  <w:rFonts w:ascii="Times New Roman" w:eastAsia="Times New Roman" w:hAnsi="Times New Roman" w:cs="Times New Roman"/>
                                  <w:highlight w:val="lightGray"/>
                                  <w:lang w:val="hu-HU"/>
                                </w:rPr>
                                <w:t>ábra</w:t>
                              </w:r>
                            </w:p>
                          </w:txbxContent>
                        </v:textbox>
                      </v:shape>
                      <w10:wrap type="square"/>
                    </v:group>
                  </w:pict>
                </mc:Fallback>
              </mc:AlternateContent>
            </w:r>
          </w:p>
          <w:p w14:paraId="293DCC46" w14:textId="77777777" w:rsidR="00130E8B" w:rsidRDefault="00130E8B">
            <w:pPr>
              <w:pStyle w:val="a3"/>
              <w:rPr>
                <w:lang w:val="hu-HU"/>
              </w:rPr>
            </w:pPr>
          </w:p>
          <w:p w14:paraId="42D2615C" w14:textId="77777777" w:rsidR="00130E8B" w:rsidRPr="00010223" w:rsidRDefault="000405CC">
            <w:pPr>
              <w:pStyle w:val="a3"/>
              <w:numPr>
                <w:ilvl w:val="0"/>
                <w:numId w:val="22"/>
              </w:numPr>
              <w:rPr>
                <w:b/>
                <w:highlight w:val="lightGray"/>
                <w:lang w:val="hu-HU"/>
              </w:rPr>
            </w:pPr>
            <w:r w:rsidRPr="00010223">
              <w:rPr>
                <w:rFonts w:eastAsia="Times New Roman"/>
                <w:b/>
                <w:bCs/>
                <w:highlight w:val="lightGray"/>
                <w:lang w:val="hu-HU"/>
              </w:rPr>
              <w:t xml:space="preserve">Azelőretöltött </w:t>
            </w:r>
            <w:r w:rsidRPr="001E2F31">
              <w:rPr>
                <w:rFonts w:eastAsia="Times New Roman"/>
                <w:b/>
                <w:highlight w:val="lightGray"/>
                <w:lang w:val="hu-HU"/>
              </w:rPr>
              <w:t>fecskendő eldobása.</w:t>
            </w:r>
          </w:p>
          <w:p w14:paraId="1BEDEEA6" w14:textId="77777777" w:rsidR="00130E8B" w:rsidRPr="000405CC" w:rsidRDefault="00130E8B">
            <w:pPr>
              <w:pStyle w:val="a3"/>
              <w:rPr>
                <w:highlight w:val="lightGray"/>
                <w:lang w:val="hu-HU"/>
              </w:rPr>
            </w:pPr>
          </w:p>
          <w:p w14:paraId="11E9232F" w14:textId="2A4DA026" w:rsidR="00130E8B" w:rsidRPr="000405CC" w:rsidRDefault="000405CC">
            <w:pPr>
              <w:pStyle w:val="a3"/>
              <w:ind w:left="5310" w:hanging="5310"/>
              <w:rPr>
                <w:highlight w:val="lightGray"/>
                <w:lang w:val="hu-HU"/>
              </w:rPr>
            </w:pPr>
            <w:r w:rsidRPr="000405CC">
              <w:rPr>
                <w:rFonts w:eastAsia="Times New Roman"/>
                <w:b/>
                <w:bCs/>
                <w:highlight w:val="lightGray"/>
                <w:lang w:val="hu-HU"/>
              </w:rPr>
              <w:t xml:space="preserve">        a.</w:t>
            </w:r>
            <w:r w:rsidRPr="001E2F31">
              <w:rPr>
                <w:rFonts w:eastAsia="Times New Roman"/>
                <w:bCs/>
                <w:highlight w:val="lightGray"/>
                <w:lang w:val="hu-HU"/>
              </w:rPr>
              <w:t xml:space="preserve"> D</w:t>
            </w:r>
            <w:r w:rsidRPr="000405CC">
              <w:rPr>
                <w:rFonts w:eastAsia="Times New Roman"/>
                <w:highlight w:val="lightGray"/>
                <w:lang w:val="hu-HU"/>
              </w:rPr>
              <w:t>obja a használt előretöltött fecskendőt</w:t>
            </w:r>
            <w:r w:rsidRPr="000405CC">
              <w:rPr>
                <w:highlight w:val="lightGray"/>
                <w:lang w:val="hu-HU"/>
              </w:rPr>
              <w:t xml:space="preserve"> </w:t>
            </w:r>
            <w:r w:rsidRPr="000405CC">
              <w:rPr>
                <w:rFonts w:eastAsia="Times New Roman"/>
                <w:highlight w:val="lightGray"/>
                <w:lang w:val="hu-HU"/>
              </w:rPr>
              <w:t>speciális éles tárgyak tárolására szolgáló tartályba</w:t>
            </w:r>
            <w:r w:rsidR="00D50D5D">
              <w:rPr>
                <w:rFonts w:eastAsia="Times New Roman"/>
                <w:highlight w:val="lightGray"/>
                <w:lang w:val="hu-HU"/>
              </w:rPr>
              <w:t>,</w:t>
            </w:r>
            <w:r w:rsidRPr="000405CC">
              <w:rPr>
                <w:highlight w:val="lightGray"/>
                <w:lang w:val="hu-HU"/>
              </w:rPr>
              <w:t xml:space="preserve"> </w:t>
            </w:r>
            <w:r w:rsidRPr="000405CC">
              <w:rPr>
                <w:rFonts w:eastAsia="Times New Roman"/>
                <w:highlight w:val="lightGray"/>
                <w:lang w:val="hu-HU"/>
              </w:rPr>
              <w:t>a kezelőorvosa, a gondozását végző egészségügyi szakember vagy</w:t>
            </w:r>
            <w:r w:rsidRPr="000405CC">
              <w:rPr>
                <w:highlight w:val="lightGray"/>
                <w:lang w:val="hu-HU"/>
              </w:rPr>
              <w:t xml:space="preserve"> </w:t>
            </w:r>
            <w:r w:rsidRPr="000405CC">
              <w:rPr>
                <w:rFonts w:eastAsia="Times New Roman"/>
                <w:highlight w:val="lightGray"/>
                <w:lang w:val="hu-HU"/>
              </w:rPr>
              <w:t>gyógyszerész utasításai szerint.</w:t>
            </w:r>
          </w:p>
          <w:p w14:paraId="37F7837D" w14:textId="77777777" w:rsidR="00130E8B" w:rsidRPr="000405CC" w:rsidRDefault="00130E8B">
            <w:pPr>
              <w:pStyle w:val="a3"/>
              <w:rPr>
                <w:highlight w:val="lightGray"/>
                <w:lang w:val="hu-HU"/>
              </w:rPr>
            </w:pPr>
          </w:p>
          <w:p w14:paraId="2D7C1BD7" w14:textId="77777777" w:rsidR="00130E8B" w:rsidRPr="000405CC" w:rsidRDefault="000405CC">
            <w:pPr>
              <w:pStyle w:val="a3"/>
              <w:ind w:left="5310" w:hanging="5310"/>
              <w:rPr>
                <w:b/>
                <w:highlight w:val="lightGray"/>
                <w:lang w:val="hu-HU"/>
              </w:rPr>
            </w:pPr>
            <w:r w:rsidRPr="000405CC">
              <w:rPr>
                <w:rFonts w:eastAsia="Times New Roman"/>
                <w:b/>
                <w:bCs/>
                <w:highlight w:val="lightGray"/>
                <w:lang w:val="hu-HU"/>
              </w:rPr>
              <w:t xml:space="preserve">        b. </w:t>
            </w:r>
            <w:r w:rsidRPr="001E2F31">
              <w:rPr>
                <w:rFonts w:eastAsia="Times New Roman"/>
                <w:bCs/>
                <w:highlight w:val="lightGray"/>
                <w:lang w:val="hu-HU"/>
              </w:rPr>
              <w:t>A</w:t>
            </w:r>
            <w:r w:rsidRPr="000405CC">
              <w:rPr>
                <w:rFonts w:eastAsia="Times New Roman"/>
                <w:highlight w:val="lightGray"/>
                <w:lang w:val="hu-HU"/>
              </w:rPr>
              <w:t>z alkoholos törlőt és a csomagolást a háztartási hulladékba helyezheti.</w:t>
            </w:r>
          </w:p>
          <w:p w14:paraId="0D44E13F" w14:textId="77777777" w:rsidR="00130E8B" w:rsidRPr="000405CC" w:rsidRDefault="00130E8B">
            <w:pPr>
              <w:pStyle w:val="a3"/>
              <w:rPr>
                <w:b/>
                <w:highlight w:val="lightGray"/>
                <w:lang w:val="hu-HU"/>
              </w:rPr>
            </w:pPr>
          </w:p>
          <w:p w14:paraId="2681F512" w14:textId="77777777" w:rsidR="00130E8B" w:rsidRPr="000405CC" w:rsidRDefault="000405CC" w:rsidP="000405CC">
            <w:pPr>
              <w:pStyle w:val="a3"/>
              <w:numPr>
                <w:ilvl w:val="0"/>
                <w:numId w:val="17"/>
              </w:numPr>
              <w:ind w:left="4979" w:hanging="4979"/>
              <w:rPr>
                <w:highlight w:val="lightGray"/>
                <w:lang w:val="hu-HU"/>
              </w:rPr>
            </w:pPr>
            <w:r w:rsidRPr="000405CC">
              <w:rPr>
                <w:rFonts w:eastAsia="Times New Roman"/>
                <w:highlight w:val="lightGray"/>
                <w:lang w:val="hu-HU"/>
              </w:rPr>
              <w:t>Mindig tartsa az</w:t>
            </w:r>
            <w:r w:rsidR="00244F77">
              <w:rPr>
                <w:rFonts w:eastAsia="Times New Roman"/>
                <w:highlight w:val="lightGray"/>
                <w:lang w:val="hu-HU"/>
              </w:rPr>
              <w:t xml:space="preserve"> </w:t>
            </w:r>
            <w:r w:rsidRPr="000405CC">
              <w:rPr>
                <w:rFonts w:eastAsia="Times New Roman"/>
                <w:highlight w:val="lightGray"/>
                <w:lang w:val="hu-HU"/>
              </w:rPr>
              <w:t>előretöltött fecskendőt és a külön, az éles tárgyak tárolására szolgáló speciális tartályt gyermekektől elzárva.</w:t>
            </w:r>
          </w:p>
          <w:p w14:paraId="62A37C71" w14:textId="77777777" w:rsidR="00130E8B" w:rsidRDefault="00130E8B">
            <w:pPr>
              <w:pStyle w:val="a3"/>
              <w:rPr>
                <w:lang w:val="hu-HU"/>
              </w:rPr>
            </w:pPr>
          </w:p>
          <w:p w14:paraId="34E9F124" w14:textId="77777777" w:rsidR="00130E8B" w:rsidRDefault="00130E8B">
            <w:pPr>
              <w:pStyle w:val="a3"/>
              <w:rPr>
                <w:lang w:val="hu-HU"/>
              </w:rPr>
            </w:pPr>
          </w:p>
          <w:p w14:paraId="0DD4AFBF" w14:textId="77777777" w:rsidR="00130E8B" w:rsidRDefault="00130E8B">
            <w:pPr>
              <w:pStyle w:val="a3"/>
              <w:rPr>
                <w:b/>
                <w:bCs/>
                <w:spacing w:val="-1"/>
                <w:lang w:val="hu-HU" w:eastAsia="ko-KR"/>
              </w:rPr>
            </w:pPr>
          </w:p>
        </w:tc>
      </w:tr>
    </w:tbl>
    <w:p w14:paraId="105EA080" w14:textId="77777777" w:rsidR="00130E8B" w:rsidRDefault="00130E8B">
      <w:pPr>
        <w:spacing w:line="241" w:lineRule="auto"/>
        <w:rPr>
          <w:lang w:val="hu-HU" w:eastAsia="ko-KR"/>
        </w:rPr>
      </w:pPr>
    </w:p>
    <w:p w14:paraId="194002F4" w14:textId="77777777" w:rsidR="00130E8B" w:rsidRDefault="000405CC">
      <w:pPr>
        <w:rPr>
          <w:lang w:val="hu-HU" w:eastAsia="ko-KR"/>
        </w:rPr>
      </w:pPr>
      <w:r>
        <w:rPr>
          <w:lang w:val="hu-HU" w:eastAsia="ko-KR"/>
        </w:rPr>
        <w:br w:type="page"/>
      </w:r>
    </w:p>
    <w:p w14:paraId="47BE03D0" w14:textId="77777777" w:rsidR="00130E8B" w:rsidRDefault="000405CC">
      <w:pPr>
        <w:ind w:left="2350" w:right="2268"/>
        <w:jc w:val="center"/>
        <w:rPr>
          <w:rFonts w:ascii="Times New Roman" w:eastAsia="Times New Roman" w:hAnsi="Times New Roman" w:cs="Times New Roman"/>
          <w:b/>
          <w:bCs/>
          <w:lang w:val="hu-HU"/>
        </w:rPr>
      </w:pPr>
      <w:r>
        <w:rPr>
          <w:rFonts w:ascii="Times New Roman" w:eastAsia="Times New Roman" w:hAnsi="Times New Roman" w:cs="Times New Roman"/>
          <w:b/>
          <w:bCs/>
          <w:lang w:val="hu-HU"/>
        </w:rPr>
        <w:lastRenderedPageBreak/>
        <w:t>Betegtájékoztató:Információk a felhasználó számára</w:t>
      </w:r>
    </w:p>
    <w:p w14:paraId="5FA50CBD" w14:textId="77777777" w:rsidR="00130E8B" w:rsidRDefault="00130E8B">
      <w:pPr>
        <w:spacing w:before="13" w:line="240" w:lineRule="exact"/>
        <w:rPr>
          <w:sz w:val="24"/>
          <w:szCs w:val="24"/>
          <w:lang w:val="hu-HU"/>
        </w:rPr>
      </w:pPr>
    </w:p>
    <w:p w14:paraId="59E6A81E" w14:textId="77777777" w:rsidR="00130E8B" w:rsidRDefault="000405CC" w:rsidP="001E2F31">
      <w:pPr>
        <w:jc w:val="center"/>
        <w:rPr>
          <w:rFonts w:ascii="Times New Roman" w:eastAsia="Times New Roman" w:hAnsi="Times New Roman" w:cs="Times New Roman"/>
          <w:lang w:val="hu-HU"/>
        </w:rPr>
      </w:pPr>
      <w:r>
        <w:rPr>
          <w:rFonts w:ascii="Times New Roman" w:eastAsia="Times New Roman" w:hAnsi="Times New Roman" w:cs="Times New Roman"/>
          <w:b/>
          <w:bCs/>
          <w:lang w:val="hu-HU"/>
        </w:rPr>
        <w:t>Yuflyma 40 mg oldatos injekció előretöltött injekciós tollban</w:t>
      </w:r>
    </w:p>
    <w:p w14:paraId="00CC719A" w14:textId="77777777" w:rsidR="00130E8B" w:rsidRDefault="000405CC">
      <w:pPr>
        <w:pStyle w:val="a3"/>
        <w:jc w:val="center"/>
        <w:rPr>
          <w:lang w:val="hu-HU"/>
        </w:rPr>
      </w:pPr>
      <w:r>
        <w:rPr>
          <w:rFonts w:eastAsia="Times New Roman"/>
          <w:lang w:val="hu-HU"/>
        </w:rPr>
        <w:t>adalimumab</w:t>
      </w:r>
    </w:p>
    <w:p w14:paraId="3E2EC73C" w14:textId="77777777" w:rsidR="00130E8B" w:rsidRDefault="00130E8B">
      <w:pPr>
        <w:spacing w:before="18" w:line="240" w:lineRule="exact"/>
        <w:rPr>
          <w:sz w:val="24"/>
          <w:szCs w:val="24"/>
          <w:lang w:val="hu-HU"/>
        </w:rPr>
      </w:pPr>
    </w:p>
    <w:p w14:paraId="239E1BAC" w14:textId="77777777" w:rsidR="00130E8B" w:rsidRDefault="000405CC">
      <w:pPr>
        <w:spacing w:before="18" w:line="240" w:lineRule="exact"/>
        <w:ind w:left="108"/>
        <w:rPr>
          <w:sz w:val="24"/>
          <w:szCs w:val="24"/>
          <w:lang w:val="hu-HU"/>
        </w:rPr>
      </w:pPr>
      <w:r>
        <w:rPr>
          <w:rFonts w:ascii="Times New Roman" w:hAnsi="Times New Roman" w:cs="Times New Roman"/>
          <w:noProof/>
          <w:lang w:eastAsia="ko-KR"/>
        </w:rPr>
        <w:drawing>
          <wp:inline distT="0" distB="0" distL="0" distR="0" wp14:anchorId="0CBAD928" wp14:editId="40BA6A27">
            <wp:extent cx="203200" cy="169545"/>
            <wp:effectExtent l="0" t="0" r="6350" b="1905"/>
            <wp:docPr id="33" name="그림 33"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98365"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Pr>
          <w:rFonts w:ascii="Times New Roman" w:eastAsia="Times New Roman" w:hAnsi="Times New Roman" w:cs="Times New Roman"/>
          <w:lang w:val="hu-HU"/>
        </w:rPr>
        <w:t>Ez a gyógyszer fokozott felügyelet alatt áll,mely lehetővé teszi az új gyógyszerbiztonsági információk gyors azonosítását. Ehhez Ön is hozzájárulhat a tudomására jutó bármilyen mellékhatás bejelentésével. A mellékhatások jelentésének módjairól a 4. pont végén (Mellékhatások bejelentése) talál további tájékoztatást.</w:t>
      </w:r>
    </w:p>
    <w:p w14:paraId="03985062" w14:textId="77777777" w:rsidR="00130E8B" w:rsidRDefault="00130E8B">
      <w:pPr>
        <w:spacing w:before="18" w:line="240" w:lineRule="exact"/>
        <w:rPr>
          <w:sz w:val="24"/>
          <w:szCs w:val="24"/>
          <w:lang w:val="hu-HU"/>
        </w:rPr>
      </w:pPr>
    </w:p>
    <w:p w14:paraId="05506A3D" w14:textId="77777777" w:rsidR="00130E8B" w:rsidRDefault="000405CC">
      <w:pPr>
        <w:spacing w:before="18" w:line="240" w:lineRule="exact"/>
        <w:ind w:left="108"/>
        <w:rPr>
          <w:rFonts w:ascii="Times New Roman" w:hAnsi="Times New Roman" w:cs="Times New Roman"/>
          <w:b/>
          <w:lang w:val="hu-HU"/>
        </w:rPr>
      </w:pPr>
      <w:r>
        <w:rPr>
          <w:rFonts w:ascii="Times New Roman" w:eastAsia="Times New Roman" w:hAnsi="Times New Roman" w:cs="Times New Roman"/>
          <w:b/>
          <w:bCs/>
          <w:lang w:val="hu-HU"/>
        </w:rPr>
        <w:t>Mielőtt elkezdi alkalmazni ezt a gyógyszert, olvassa el figyelmesen az alábbi betegtájékoztatót, mert az Ön számára fontos információkat tartalmaz.</w:t>
      </w:r>
    </w:p>
    <w:p w14:paraId="79086732" w14:textId="77777777" w:rsidR="00130E8B" w:rsidRDefault="000405CC">
      <w:pPr>
        <w:pStyle w:val="a3"/>
        <w:numPr>
          <w:ilvl w:val="0"/>
          <w:numId w:val="5"/>
        </w:numPr>
        <w:ind w:left="660" w:hanging="660"/>
        <w:rPr>
          <w:lang w:val="hu-HU"/>
        </w:rPr>
      </w:pPr>
      <w:r>
        <w:rPr>
          <w:rFonts w:eastAsia="Times New Roman"/>
          <w:lang w:val="hu-HU"/>
        </w:rPr>
        <w:t>Tartsa meg a betegtájékoztatót,mert a benne szereplő információkra a későbbiekben is szüksége lehet.</w:t>
      </w:r>
    </w:p>
    <w:p w14:paraId="526BDC7A" w14:textId="4EA4582E" w:rsidR="00130E8B" w:rsidRDefault="000405CC">
      <w:pPr>
        <w:pStyle w:val="a3"/>
        <w:numPr>
          <w:ilvl w:val="0"/>
          <w:numId w:val="5"/>
        </w:numPr>
        <w:ind w:left="660" w:hanging="660"/>
        <w:rPr>
          <w:lang w:val="hu-HU"/>
        </w:rPr>
      </w:pPr>
      <w:r>
        <w:rPr>
          <w:rFonts w:eastAsia="Times New Roman"/>
          <w:lang w:val="hu-HU"/>
        </w:rPr>
        <w:t>Kezelőorvosától egy</w:t>
      </w:r>
      <w:r>
        <w:rPr>
          <w:rFonts w:eastAsia="Times New Roman"/>
          <w:b/>
          <w:bCs/>
          <w:lang w:val="hu-HU"/>
        </w:rPr>
        <w:t xml:space="preserve"> Betegkártyát </w:t>
      </w:r>
      <w:r>
        <w:rPr>
          <w:rFonts w:eastAsia="Times New Roman"/>
          <w:lang w:val="hu-HU"/>
        </w:rPr>
        <w:t xml:space="preserve">is fog kapni fontos biztonsági információkkal, amit a Yuflyma alkalmazása előtt és a Yuflyma-val történő kezelés során is figyelembe kell venni. </w:t>
      </w:r>
      <w:r w:rsidR="00AB29E3" w:rsidRPr="003664D3">
        <w:rPr>
          <w:color w:val="000000"/>
          <w:lang w:val="hu-HU"/>
        </w:rPr>
        <w:t xml:space="preserve">Tartsa magánál ezt a </w:t>
      </w:r>
      <w:r w:rsidR="00AB29E3" w:rsidRPr="003664D3">
        <w:rPr>
          <w:b/>
          <w:color w:val="000000"/>
          <w:lang w:val="hu-HU"/>
        </w:rPr>
        <w:t>Betegkártyát</w:t>
      </w:r>
      <w:r w:rsidR="00AB29E3" w:rsidRPr="003664D3">
        <w:rPr>
          <w:color w:val="000000"/>
          <w:lang w:val="hu-HU"/>
        </w:rPr>
        <w:t xml:space="preserve"> a kezelés ideje alatt és az Ön (vagy a gyermeke) utolsó </w:t>
      </w:r>
      <w:r w:rsidR="00AB29E3" w:rsidRPr="003664D3">
        <w:rPr>
          <w:rFonts w:eastAsia="Times New Roman"/>
          <w:lang w:val="hu-HU"/>
        </w:rPr>
        <w:t>Yuflyma</w:t>
      </w:r>
      <w:r w:rsidR="00AB29E3" w:rsidRPr="003664D3">
        <w:rPr>
          <w:color w:val="000000"/>
          <w:lang w:val="hu-HU"/>
        </w:rPr>
        <w:t xml:space="preserve"> injekciójától számított 4 hónapon keresztül. </w:t>
      </w:r>
    </w:p>
    <w:p w14:paraId="0EF62324" w14:textId="77777777" w:rsidR="00130E8B" w:rsidRDefault="000405CC">
      <w:pPr>
        <w:pStyle w:val="a3"/>
        <w:numPr>
          <w:ilvl w:val="0"/>
          <w:numId w:val="5"/>
        </w:numPr>
        <w:ind w:left="660" w:hanging="660"/>
        <w:rPr>
          <w:lang w:val="hu-HU"/>
        </w:rPr>
      </w:pPr>
      <w:r>
        <w:rPr>
          <w:rFonts w:eastAsia="Times New Roman"/>
          <w:lang w:val="hu-HU"/>
        </w:rPr>
        <w:t>További kérdéseivel forduljon kezelőorvosához vagy gyógyszerészéhez.</w:t>
      </w:r>
    </w:p>
    <w:p w14:paraId="13AEE85C" w14:textId="77777777" w:rsidR="00130E8B" w:rsidRDefault="000405CC">
      <w:pPr>
        <w:pStyle w:val="a3"/>
        <w:numPr>
          <w:ilvl w:val="0"/>
          <w:numId w:val="5"/>
        </w:numPr>
        <w:ind w:left="660" w:hanging="660"/>
        <w:rPr>
          <w:lang w:val="hu-HU"/>
        </w:rPr>
      </w:pPr>
      <w:r>
        <w:rPr>
          <w:rFonts w:eastAsia="Times New Roman"/>
          <w:lang w:val="hu-HU"/>
        </w:rPr>
        <w:t>Ezt a gyógyszert az orvos kizárólag Önnek írta fel. Ne adja át a készítményt másnak,mert számára ártalmas lehet még abban az esetben is, ha a betegsége tünetei az Önéhez hasonlók.</w:t>
      </w:r>
    </w:p>
    <w:p w14:paraId="3814C174" w14:textId="77777777" w:rsidR="00130E8B" w:rsidRDefault="000405CC">
      <w:pPr>
        <w:pStyle w:val="a3"/>
        <w:numPr>
          <w:ilvl w:val="0"/>
          <w:numId w:val="5"/>
        </w:numPr>
        <w:ind w:left="660" w:hanging="660"/>
        <w:rPr>
          <w:lang w:val="hu-HU"/>
        </w:rPr>
      </w:pPr>
      <w:r>
        <w:rPr>
          <w:rFonts w:eastAsia="Times New Roman"/>
          <w:lang w:val="hu-HU"/>
        </w:rPr>
        <w:t>Ha Önnél bármilyen mellékhatás jelentkezik, tájékoztassa kezelőorvosát, vagy gyógyszerészét. Ez a betegtájékoztatóban fel nem sorolt bármilyen lehetséges mellékhatásra is vonatkozik. Lásd 4. pont.</w:t>
      </w:r>
    </w:p>
    <w:p w14:paraId="0F4E432E" w14:textId="77777777" w:rsidR="00130E8B" w:rsidRDefault="00130E8B">
      <w:pPr>
        <w:pStyle w:val="a3"/>
        <w:rPr>
          <w:lang w:val="hu-HU"/>
        </w:rPr>
      </w:pPr>
    </w:p>
    <w:p w14:paraId="4873EC7D" w14:textId="77777777" w:rsidR="00130E8B" w:rsidRDefault="000405CC">
      <w:pPr>
        <w:pStyle w:val="a3"/>
        <w:rPr>
          <w:b/>
          <w:lang w:val="hu-HU"/>
        </w:rPr>
      </w:pPr>
      <w:r>
        <w:rPr>
          <w:rFonts w:eastAsia="Times New Roman"/>
          <w:b/>
          <w:bCs/>
          <w:lang w:val="hu-HU"/>
        </w:rPr>
        <w:t>A betegtájékoztató tartalma</w:t>
      </w:r>
    </w:p>
    <w:p w14:paraId="22445AC4" w14:textId="77777777" w:rsidR="00130E8B" w:rsidRDefault="000405CC">
      <w:pPr>
        <w:pStyle w:val="a3"/>
        <w:numPr>
          <w:ilvl w:val="0"/>
          <w:numId w:val="36"/>
        </w:numPr>
        <w:ind w:hanging="760"/>
        <w:rPr>
          <w:lang w:val="hu-HU"/>
        </w:rPr>
      </w:pPr>
      <w:r>
        <w:rPr>
          <w:rFonts w:eastAsia="Times New Roman"/>
          <w:lang w:val="hu-HU"/>
        </w:rPr>
        <w:t>Milyen típusú gyógyszer a Yuflyma és milyen betegségek esetén alkalmazható?</w:t>
      </w:r>
    </w:p>
    <w:p w14:paraId="335AE580" w14:textId="77777777" w:rsidR="00130E8B" w:rsidRDefault="000405CC">
      <w:pPr>
        <w:pStyle w:val="a3"/>
        <w:numPr>
          <w:ilvl w:val="0"/>
          <w:numId w:val="36"/>
        </w:numPr>
        <w:ind w:hanging="760"/>
        <w:rPr>
          <w:lang w:val="hu-HU"/>
        </w:rPr>
      </w:pPr>
      <w:r>
        <w:rPr>
          <w:rFonts w:eastAsia="Times New Roman"/>
          <w:lang w:val="hu-HU"/>
        </w:rPr>
        <w:t>Tudnivalók a Yuflyma alkalmazása előtt</w:t>
      </w:r>
    </w:p>
    <w:p w14:paraId="4123203D" w14:textId="77777777" w:rsidR="00130E8B" w:rsidRDefault="000405CC">
      <w:pPr>
        <w:pStyle w:val="a3"/>
        <w:numPr>
          <w:ilvl w:val="0"/>
          <w:numId w:val="36"/>
        </w:numPr>
        <w:ind w:hanging="760"/>
        <w:rPr>
          <w:lang w:val="hu-HU"/>
        </w:rPr>
      </w:pPr>
      <w:r>
        <w:rPr>
          <w:rFonts w:eastAsia="Times New Roman"/>
          <w:lang w:val="hu-HU"/>
        </w:rPr>
        <w:t>Hogyan kell alkalmazni a Yuflyma-t?</w:t>
      </w:r>
    </w:p>
    <w:p w14:paraId="7B989B99" w14:textId="77777777" w:rsidR="00130E8B" w:rsidRDefault="000405CC">
      <w:pPr>
        <w:pStyle w:val="a3"/>
        <w:numPr>
          <w:ilvl w:val="0"/>
          <w:numId w:val="36"/>
        </w:numPr>
        <w:ind w:hanging="760"/>
        <w:rPr>
          <w:lang w:val="hu-HU"/>
        </w:rPr>
      </w:pPr>
      <w:r>
        <w:rPr>
          <w:rFonts w:eastAsia="Times New Roman"/>
          <w:lang w:val="hu-HU"/>
        </w:rPr>
        <w:t>Lehetséges mellékhatások</w:t>
      </w:r>
    </w:p>
    <w:p w14:paraId="28963BD0" w14:textId="77777777" w:rsidR="00130E8B" w:rsidRDefault="000405CC">
      <w:pPr>
        <w:pStyle w:val="a3"/>
        <w:numPr>
          <w:ilvl w:val="0"/>
          <w:numId w:val="36"/>
        </w:numPr>
        <w:ind w:hanging="760"/>
        <w:rPr>
          <w:lang w:val="hu-HU"/>
        </w:rPr>
      </w:pPr>
      <w:r>
        <w:rPr>
          <w:rFonts w:eastAsia="Times New Roman"/>
          <w:lang w:val="hu-HU"/>
        </w:rPr>
        <w:t>Hogyan kell a Yuflyma-t tárolni?</w:t>
      </w:r>
    </w:p>
    <w:p w14:paraId="26815E86" w14:textId="77777777" w:rsidR="00130E8B" w:rsidRDefault="000405CC">
      <w:pPr>
        <w:pStyle w:val="a3"/>
        <w:numPr>
          <w:ilvl w:val="0"/>
          <w:numId w:val="36"/>
        </w:numPr>
        <w:ind w:hanging="760"/>
        <w:rPr>
          <w:lang w:val="hu-HU"/>
        </w:rPr>
      </w:pPr>
      <w:r>
        <w:rPr>
          <w:rFonts w:eastAsia="Times New Roman"/>
          <w:lang w:val="hu-HU"/>
        </w:rPr>
        <w:t>A csomagolás tartalma és egyéb információk</w:t>
      </w:r>
    </w:p>
    <w:p w14:paraId="4C140ADA" w14:textId="77777777" w:rsidR="00130E8B" w:rsidRDefault="000405CC">
      <w:pPr>
        <w:pStyle w:val="a3"/>
        <w:numPr>
          <w:ilvl w:val="0"/>
          <w:numId w:val="36"/>
        </w:numPr>
        <w:ind w:hanging="760"/>
        <w:rPr>
          <w:lang w:val="hu-HU"/>
        </w:rPr>
      </w:pPr>
      <w:r>
        <w:rPr>
          <w:rFonts w:eastAsia="Times New Roman"/>
          <w:lang w:val="hu-HU"/>
        </w:rPr>
        <w:t>Használati utasítás</w:t>
      </w:r>
    </w:p>
    <w:p w14:paraId="37F134AC" w14:textId="77777777" w:rsidR="00130E8B" w:rsidRDefault="00130E8B">
      <w:pPr>
        <w:spacing w:line="200" w:lineRule="exact"/>
        <w:rPr>
          <w:sz w:val="20"/>
          <w:szCs w:val="20"/>
          <w:lang w:val="hu-HU"/>
        </w:rPr>
      </w:pPr>
    </w:p>
    <w:p w14:paraId="3B7E7E68" w14:textId="77777777" w:rsidR="00130E8B" w:rsidRDefault="00130E8B">
      <w:pPr>
        <w:spacing w:line="200" w:lineRule="exact"/>
        <w:rPr>
          <w:sz w:val="20"/>
          <w:szCs w:val="20"/>
          <w:lang w:val="hu-HU"/>
        </w:rPr>
      </w:pPr>
    </w:p>
    <w:p w14:paraId="7EC4200A" w14:textId="77777777" w:rsidR="00130E8B" w:rsidRDefault="000405CC">
      <w:pPr>
        <w:pStyle w:val="a4"/>
        <w:numPr>
          <w:ilvl w:val="0"/>
          <w:numId w:val="37"/>
        </w:numPr>
        <w:spacing w:line="240" w:lineRule="exact"/>
        <w:ind w:left="357" w:hanging="357"/>
        <w:rPr>
          <w:rFonts w:ascii="Times New Roman" w:hAnsi="Times New Roman" w:cs="Times New Roman"/>
          <w:b/>
          <w:lang w:val="hu-HU"/>
        </w:rPr>
      </w:pPr>
      <w:r>
        <w:rPr>
          <w:rFonts w:ascii="Times New Roman" w:eastAsia="Times New Roman" w:hAnsi="Times New Roman" w:cs="Times New Roman"/>
          <w:b/>
          <w:bCs/>
          <w:lang w:val="hu-HU"/>
        </w:rPr>
        <w:t>Milyen típusú gyógyszer a Yuflyma és milyen betegségek esetén alkalmazható?</w:t>
      </w:r>
    </w:p>
    <w:p w14:paraId="450E0BAE" w14:textId="77777777" w:rsidR="00130E8B" w:rsidRDefault="00130E8B">
      <w:pPr>
        <w:spacing w:line="240" w:lineRule="exact"/>
        <w:rPr>
          <w:rFonts w:ascii="Times New Roman" w:hAnsi="Times New Roman" w:cs="Times New Roman"/>
          <w:b/>
          <w:lang w:val="hu-HU"/>
        </w:rPr>
      </w:pPr>
    </w:p>
    <w:p w14:paraId="46E2E95A" w14:textId="77777777" w:rsidR="00130E8B" w:rsidRDefault="000405CC">
      <w:pPr>
        <w:pStyle w:val="a3"/>
        <w:rPr>
          <w:lang w:val="hu-HU"/>
        </w:rPr>
      </w:pPr>
      <w:r>
        <w:rPr>
          <w:rFonts w:eastAsia="Times New Roman"/>
          <w:lang w:val="hu-HU"/>
        </w:rPr>
        <w:t>A Yuflyma hatóanyaga az adalimumab, amely a szervezet immunrendszerére (védekező rendszerére) ható gyógyszer.</w:t>
      </w:r>
    </w:p>
    <w:p w14:paraId="0A1F050E" w14:textId="77777777" w:rsidR="00130E8B" w:rsidRDefault="00130E8B">
      <w:pPr>
        <w:pStyle w:val="a3"/>
        <w:rPr>
          <w:lang w:val="hu-HU"/>
        </w:rPr>
      </w:pPr>
    </w:p>
    <w:p w14:paraId="63119804" w14:textId="77777777" w:rsidR="00130E8B" w:rsidRDefault="000405CC">
      <w:pPr>
        <w:pStyle w:val="a3"/>
        <w:rPr>
          <w:lang w:val="hu-HU"/>
        </w:rPr>
      </w:pPr>
      <w:r>
        <w:rPr>
          <w:rFonts w:eastAsia="Times New Roman"/>
          <w:lang w:val="hu-HU"/>
        </w:rPr>
        <w:t>A Yuflyma a következő gyulladásos betegségek kezelésére szolgál:</w:t>
      </w:r>
    </w:p>
    <w:p w14:paraId="3501B88E" w14:textId="77777777" w:rsidR="00130E8B" w:rsidRDefault="000405CC">
      <w:pPr>
        <w:pStyle w:val="a3"/>
        <w:numPr>
          <w:ilvl w:val="0"/>
          <w:numId w:val="5"/>
        </w:numPr>
        <w:ind w:left="660" w:hanging="660"/>
        <w:rPr>
          <w:lang w:val="hu-HU"/>
        </w:rPr>
      </w:pPr>
      <w:r>
        <w:rPr>
          <w:rFonts w:eastAsia="Times New Roman"/>
          <w:lang w:val="hu-HU"/>
        </w:rPr>
        <w:t>Reumás ízületi gyulladás (reumatoid artritisz)</w:t>
      </w:r>
    </w:p>
    <w:p w14:paraId="1E11F708" w14:textId="77777777" w:rsidR="00130E8B" w:rsidRDefault="000405CC">
      <w:pPr>
        <w:pStyle w:val="a3"/>
        <w:numPr>
          <w:ilvl w:val="0"/>
          <w:numId w:val="5"/>
        </w:numPr>
        <w:ind w:left="660" w:hanging="660"/>
        <w:rPr>
          <w:lang w:val="hu-HU"/>
        </w:rPr>
      </w:pPr>
      <w:r>
        <w:rPr>
          <w:rFonts w:eastAsia="Times New Roman"/>
          <w:lang w:val="hu-HU"/>
        </w:rPr>
        <w:t>Gyermekkori ismeretlen eredetű sokízületi gyulladás (poliartikuláris juvenilis idiopátiás artritisz)</w:t>
      </w:r>
    </w:p>
    <w:p w14:paraId="323EA069" w14:textId="0D17E251" w:rsidR="00130E8B" w:rsidRDefault="000405CC">
      <w:pPr>
        <w:pStyle w:val="a3"/>
        <w:numPr>
          <w:ilvl w:val="0"/>
          <w:numId w:val="5"/>
        </w:numPr>
        <w:ind w:left="660" w:hanging="660"/>
        <w:rPr>
          <w:lang w:val="hu-HU"/>
        </w:rPr>
      </w:pPr>
      <w:r>
        <w:rPr>
          <w:rFonts w:eastAsia="Times New Roman"/>
          <w:lang w:val="hu-HU"/>
        </w:rPr>
        <w:t>Az ín</w:t>
      </w:r>
      <w:r w:rsidR="00C4148F">
        <w:rPr>
          <w:rFonts w:eastAsia="Times New Roman"/>
          <w:lang w:val="hu-HU"/>
        </w:rPr>
        <w:t>á</w:t>
      </w:r>
      <w:r>
        <w:rPr>
          <w:rFonts w:eastAsia="Times New Roman"/>
          <w:lang w:val="hu-HU"/>
        </w:rPr>
        <w:t>k tapadási helyein</w:t>
      </w:r>
      <w:r w:rsidR="00C4148F">
        <w:rPr>
          <w:rFonts w:eastAsia="Times New Roman"/>
          <w:lang w:val="hu-HU"/>
        </w:rPr>
        <w:t>é</w:t>
      </w:r>
      <w:r>
        <w:rPr>
          <w:rFonts w:eastAsia="Times New Roman"/>
          <w:lang w:val="hu-HU"/>
        </w:rPr>
        <w:t>k gyulladásos elváltozásával társult reumás ízületi gyulladás (entezitisszel társult artritisz)</w:t>
      </w:r>
    </w:p>
    <w:p w14:paraId="279C9FF5" w14:textId="77777777" w:rsidR="00130E8B" w:rsidRDefault="000405CC">
      <w:pPr>
        <w:pStyle w:val="a3"/>
        <w:numPr>
          <w:ilvl w:val="0"/>
          <w:numId w:val="5"/>
        </w:numPr>
        <w:ind w:left="660" w:hanging="660"/>
        <w:rPr>
          <w:lang w:val="hu-HU"/>
        </w:rPr>
      </w:pPr>
      <w:r>
        <w:rPr>
          <w:rFonts w:eastAsia="Times New Roman"/>
          <w:lang w:val="hu-HU"/>
        </w:rPr>
        <w:t>A csigolyák összecsontosodásával járó kisízületi gyulladás (spondilitisz ankilopoetika)</w:t>
      </w:r>
    </w:p>
    <w:p w14:paraId="3EB13C3E" w14:textId="77777777" w:rsidR="00130E8B" w:rsidRDefault="000405CC">
      <w:pPr>
        <w:pStyle w:val="a3"/>
        <w:numPr>
          <w:ilvl w:val="0"/>
          <w:numId w:val="5"/>
        </w:numPr>
        <w:ind w:left="660" w:hanging="660"/>
        <w:rPr>
          <w:lang w:val="hu-HU"/>
        </w:rPr>
      </w:pPr>
      <w:r>
        <w:rPr>
          <w:rFonts w:eastAsia="Times New Roman"/>
          <w:lang w:val="hu-HU"/>
        </w:rPr>
        <w:t>Spondilitisz ankilopoetikára jellemző röntgeneltérést nem mutató gerincízületi gyulladás (axiális spondiloartritisz)</w:t>
      </w:r>
    </w:p>
    <w:p w14:paraId="3060DFE1" w14:textId="77777777" w:rsidR="00130E8B" w:rsidRDefault="000405CC">
      <w:pPr>
        <w:pStyle w:val="a3"/>
        <w:numPr>
          <w:ilvl w:val="0"/>
          <w:numId w:val="5"/>
        </w:numPr>
        <w:ind w:left="660" w:hanging="660"/>
        <w:rPr>
          <w:lang w:val="hu-HU"/>
        </w:rPr>
      </w:pPr>
      <w:r>
        <w:rPr>
          <w:rFonts w:eastAsia="Times New Roman"/>
          <w:lang w:val="hu-HU"/>
        </w:rPr>
        <w:t>Pikkelysömörrel járó ízületi gyulladás (artritisz pszoriatika)</w:t>
      </w:r>
    </w:p>
    <w:p w14:paraId="0F798DE9" w14:textId="77777777" w:rsidR="00130E8B" w:rsidRDefault="000405CC">
      <w:pPr>
        <w:pStyle w:val="a3"/>
        <w:numPr>
          <w:ilvl w:val="0"/>
          <w:numId w:val="5"/>
        </w:numPr>
        <w:ind w:left="660" w:hanging="660"/>
        <w:rPr>
          <w:lang w:val="hu-HU"/>
        </w:rPr>
      </w:pPr>
      <w:r>
        <w:rPr>
          <w:rFonts w:eastAsia="Times New Roman"/>
          <w:lang w:val="hu-HU"/>
        </w:rPr>
        <w:t>Plakkos pikkelysömör</w:t>
      </w:r>
    </w:p>
    <w:p w14:paraId="4545EEF3" w14:textId="77777777" w:rsidR="00130E8B" w:rsidRDefault="000405CC">
      <w:pPr>
        <w:pStyle w:val="a3"/>
        <w:numPr>
          <w:ilvl w:val="0"/>
          <w:numId w:val="5"/>
        </w:numPr>
        <w:ind w:left="660" w:hanging="660"/>
        <w:rPr>
          <w:lang w:val="hu-HU"/>
        </w:rPr>
      </w:pPr>
      <w:r>
        <w:rPr>
          <w:rFonts w:eastAsia="Times New Roman"/>
          <w:lang w:val="hu-HU"/>
        </w:rPr>
        <w:t>Gennyes verejtékmirigy-gyulladás (hidradenitisz szuppuratíva)</w:t>
      </w:r>
    </w:p>
    <w:p w14:paraId="26ECA8CF" w14:textId="77777777" w:rsidR="00130E8B" w:rsidRDefault="000405CC">
      <w:pPr>
        <w:pStyle w:val="a3"/>
        <w:numPr>
          <w:ilvl w:val="0"/>
          <w:numId w:val="5"/>
        </w:numPr>
        <w:ind w:left="660" w:hanging="660"/>
        <w:rPr>
          <w:lang w:val="hu-HU"/>
        </w:rPr>
      </w:pPr>
      <w:r>
        <w:rPr>
          <w:rFonts w:eastAsia="Times New Roman"/>
          <w:lang w:val="hu-HU"/>
        </w:rPr>
        <w:t>A bélfal minden rétegére kiterjedő, nem fertőzéses eredetű gyulladás (Crohn-betegség)</w:t>
      </w:r>
    </w:p>
    <w:p w14:paraId="6014E071" w14:textId="77777777" w:rsidR="00130E8B" w:rsidRDefault="000405CC">
      <w:pPr>
        <w:pStyle w:val="a3"/>
        <w:numPr>
          <w:ilvl w:val="0"/>
          <w:numId w:val="5"/>
        </w:numPr>
        <w:ind w:left="660" w:hanging="660"/>
        <w:rPr>
          <w:lang w:val="hu-HU"/>
        </w:rPr>
      </w:pPr>
      <w:r>
        <w:rPr>
          <w:rFonts w:eastAsia="Times New Roman"/>
          <w:lang w:val="hu-HU"/>
        </w:rPr>
        <w:t>Nem fertőzéses eredetű, kifekélyesedő vastagbélgyulladás (kolitisz ulceróza)</w:t>
      </w:r>
    </w:p>
    <w:p w14:paraId="1BF347B0" w14:textId="77777777" w:rsidR="00130E8B" w:rsidRDefault="000405CC">
      <w:pPr>
        <w:pStyle w:val="a3"/>
        <w:numPr>
          <w:ilvl w:val="0"/>
          <w:numId w:val="5"/>
        </w:numPr>
        <w:ind w:left="660" w:hanging="660"/>
        <w:rPr>
          <w:lang w:val="hu-HU"/>
        </w:rPr>
      </w:pPr>
      <w:r>
        <w:rPr>
          <w:rFonts w:eastAsia="Times New Roman"/>
          <w:lang w:val="hu-HU"/>
        </w:rPr>
        <w:t>Nem fertőzéses eredetű szemgyulladás (uveitisz)</w:t>
      </w:r>
    </w:p>
    <w:p w14:paraId="5F11EF58" w14:textId="77777777" w:rsidR="00130E8B" w:rsidRDefault="00130E8B">
      <w:pPr>
        <w:spacing w:before="10" w:line="240" w:lineRule="exact"/>
        <w:rPr>
          <w:sz w:val="24"/>
          <w:szCs w:val="24"/>
          <w:lang w:val="hu-HU"/>
        </w:rPr>
      </w:pPr>
    </w:p>
    <w:p w14:paraId="4E17FCF4" w14:textId="77777777" w:rsidR="00130E8B" w:rsidRDefault="000405CC">
      <w:pPr>
        <w:pStyle w:val="a3"/>
        <w:rPr>
          <w:lang w:val="hu-HU"/>
        </w:rPr>
      </w:pPr>
      <w:r>
        <w:rPr>
          <w:rFonts w:eastAsia="Times New Roman"/>
          <w:lang w:val="hu-HU"/>
        </w:rPr>
        <w:lastRenderedPageBreak/>
        <w:t>A Yuflyma hatóanyaga, az adalimumab egy emberi monoklonális antitest (ellenanyag). A monoklonális antitestek fehérjék, amelyek speciális célponthoz kötődnek a szervezetben.</w:t>
      </w:r>
    </w:p>
    <w:p w14:paraId="094FEB65" w14:textId="77777777" w:rsidR="00130E8B" w:rsidRDefault="00130E8B">
      <w:pPr>
        <w:spacing w:before="16" w:line="240" w:lineRule="exact"/>
        <w:rPr>
          <w:sz w:val="24"/>
          <w:szCs w:val="24"/>
          <w:lang w:val="hu-HU"/>
        </w:rPr>
      </w:pPr>
    </w:p>
    <w:p w14:paraId="5A06317F" w14:textId="56B58BDE" w:rsidR="00130E8B" w:rsidRDefault="000405CC">
      <w:pPr>
        <w:pStyle w:val="a3"/>
        <w:rPr>
          <w:lang w:val="hu-HU"/>
        </w:rPr>
      </w:pPr>
      <w:r>
        <w:rPr>
          <w:rFonts w:eastAsia="Times New Roman"/>
          <w:lang w:val="hu-HU"/>
        </w:rPr>
        <w:t xml:space="preserve">Az adalimumab célpontja a tumor nekrózis faktor (TNFα) nevű fehérje, mely az immun (védekező) rendszer működésében vesz részt, és a fent felsorolt gyulladásos betegségekben megnövekedett mennyiségben van jelen. A TNFα-hoz való kötődéssel a Yuflyma csökkenti </w:t>
      </w:r>
      <w:r w:rsidR="000530AA">
        <w:rPr>
          <w:lang w:val="hu-HU"/>
        </w:rPr>
        <w:t>a gyulladást ezen betegségekben</w:t>
      </w:r>
      <w:r>
        <w:rPr>
          <w:rFonts w:eastAsia="Times New Roman"/>
          <w:lang w:val="hu-HU"/>
        </w:rPr>
        <w:t>.</w:t>
      </w:r>
    </w:p>
    <w:p w14:paraId="3AA5AAA1" w14:textId="77777777" w:rsidR="00130E8B" w:rsidRDefault="00130E8B">
      <w:pPr>
        <w:pStyle w:val="a3"/>
        <w:rPr>
          <w:lang w:val="hu-HU"/>
        </w:rPr>
      </w:pPr>
    </w:p>
    <w:p w14:paraId="008FC5FF" w14:textId="77777777" w:rsidR="004E6E1D" w:rsidRPr="00167BF3" w:rsidRDefault="004E6E1D" w:rsidP="004E6E1D">
      <w:pPr>
        <w:ind w:right="-2"/>
        <w:rPr>
          <w:rFonts w:ascii="Times New Roman" w:hAnsi="Times New Roman" w:cs="Times New Roman"/>
          <w:b/>
          <w:u w:val="single"/>
          <w:lang w:val="hu-HU"/>
        </w:rPr>
      </w:pPr>
      <w:r w:rsidRPr="00167BF3">
        <w:rPr>
          <w:rFonts w:ascii="Times New Roman" w:hAnsi="Times New Roman" w:cs="Times New Roman"/>
          <w:b/>
          <w:u w:val="single"/>
          <w:lang w:val="hu-HU"/>
        </w:rPr>
        <w:t>Reumatoid artritisz</w:t>
      </w:r>
    </w:p>
    <w:p w14:paraId="1CE0CABA" w14:textId="77777777" w:rsidR="00130E8B" w:rsidRDefault="00130E8B">
      <w:pPr>
        <w:pStyle w:val="a3"/>
        <w:rPr>
          <w:u w:val="single"/>
          <w:lang w:val="hu-HU"/>
        </w:rPr>
      </w:pPr>
    </w:p>
    <w:p w14:paraId="76CDFEE5" w14:textId="77777777" w:rsidR="00130E8B" w:rsidRDefault="000405CC">
      <w:pPr>
        <w:pStyle w:val="a3"/>
        <w:rPr>
          <w:lang w:val="hu-HU"/>
        </w:rPr>
      </w:pPr>
      <w:r>
        <w:rPr>
          <w:rFonts w:eastAsia="Times New Roman"/>
          <w:lang w:val="hu-HU"/>
        </w:rPr>
        <w:t>A reumatoid artritisz az ízületek gyulladásos betegsége.</w:t>
      </w:r>
    </w:p>
    <w:p w14:paraId="57B89E06" w14:textId="77777777" w:rsidR="00130E8B" w:rsidRDefault="00130E8B">
      <w:pPr>
        <w:spacing w:before="11" w:line="240" w:lineRule="exact"/>
        <w:rPr>
          <w:sz w:val="24"/>
          <w:szCs w:val="24"/>
          <w:lang w:val="hu-HU"/>
        </w:rPr>
      </w:pPr>
    </w:p>
    <w:p w14:paraId="609333F4" w14:textId="0A75F157" w:rsidR="00130E8B" w:rsidRDefault="000405CC">
      <w:pPr>
        <w:pStyle w:val="a3"/>
        <w:rPr>
          <w:lang w:val="hu-HU"/>
        </w:rPr>
      </w:pPr>
      <w:r>
        <w:rPr>
          <w:rFonts w:eastAsia="Times New Roman"/>
          <w:lang w:val="hu-HU"/>
        </w:rPr>
        <w:t>A Yuflyma közepesen súlyos - súlyos felnőttkori reumatoid arthritisz kezelésére alkalmazható.Ön először egyéb betegséget módosító gyógyszereket (</w:t>
      </w:r>
      <w:r w:rsidR="00E712D7">
        <w:rPr>
          <w:rFonts w:eastAsia="Times New Roman"/>
          <w:lang w:val="hu-HU"/>
        </w:rPr>
        <w:t>például</w:t>
      </w:r>
      <w:r>
        <w:rPr>
          <w:rFonts w:eastAsia="Times New Roman"/>
          <w:lang w:val="hu-HU"/>
        </w:rPr>
        <w:t xml:space="preserve"> metotrexátot) kaphat. </w:t>
      </w:r>
      <w:r w:rsidR="00741526">
        <w:rPr>
          <w:lang w:val="hu-HU"/>
        </w:rPr>
        <w:t>Abban az esetben hanem reagál</w:t>
      </w:r>
      <w:r>
        <w:rPr>
          <w:rFonts w:eastAsia="Times New Roman"/>
          <w:lang w:val="hu-HU"/>
        </w:rPr>
        <w:t xml:space="preserve"> megfelelő módon ezekre a gyógyszerekre, akkor Yuflyma-t fog kapni.</w:t>
      </w:r>
    </w:p>
    <w:p w14:paraId="0A3D0770" w14:textId="77777777" w:rsidR="00130E8B" w:rsidRDefault="00130E8B">
      <w:pPr>
        <w:spacing w:before="17" w:line="240" w:lineRule="exact"/>
        <w:rPr>
          <w:sz w:val="24"/>
          <w:szCs w:val="24"/>
          <w:lang w:val="hu-HU"/>
        </w:rPr>
      </w:pPr>
    </w:p>
    <w:p w14:paraId="62530776" w14:textId="0E17D35C" w:rsidR="00130E8B" w:rsidRDefault="000405CC">
      <w:pPr>
        <w:pStyle w:val="a3"/>
        <w:rPr>
          <w:lang w:val="hu-HU"/>
        </w:rPr>
      </w:pPr>
      <w:r>
        <w:rPr>
          <w:rFonts w:eastAsia="Times New Roman"/>
          <w:lang w:val="hu-HU"/>
        </w:rPr>
        <w:t>A Yuflyma</w:t>
      </w:r>
      <w:r w:rsidR="00C4148F">
        <w:rPr>
          <w:rFonts w:eastAsia="Times New Roman"/>
          <w:lang w:val="hu-HU"/>
        </w:rPr>
        <w:t xml:space="preserve"> </w:t>
      </w:r>
      <w:r w:rsidR="00C4148F" w:rsidRPr="00B81FCD">
        <w:rPr>
          <w:rFonts w:eastAsia="Times New Roman"/>
          <w:lang w:val="hu-HU"/>
        </w:rPr>
        <w:t>használható</w:t>
      </w:r>
      <w:r w:rsidR="00C4148F" w:rsidRPr="003E5268">
        <w:rPr>
          <w:rFonts w:eastAsia="Times New Roman"/>
          <w:lang w:val="hu-HU"/>
        </w:rPr>
        <w:t xml:space="preserve"> </w:t>
      </w:r>
      <w:r>
        <w:rPr>
          <w:rFonts w:eastAsia="Times New Roman"/>
          <w:lang w:val="hu-HU"/>
        </w:rPr>
        <w:t>súlyos, aktív és súlyosbodó reumatoid artritiszben előzetes metotrexát-kezelés nélkül.</w:t>
      </w:r>
    </w:p>
    <w:p w14:paraId="2652276A" w14:textId="77777777" w:rsidR="00130E8B" w:rsidRDefault="00130E8B">
      <w:pPr>
        <w:spacing w:before="11" w:line="240" w:lineRule="exact"/>
        <w:rPr>
          <w:sz w:val="24"/>
          <w:szCs w:val="24"/>
          <w:lang w:val="hu-HU"/>
        </w:rPr>
      </w:pPr>
    </w:p>
    <w:p w14:paraId="38BED66A" w14:textId="77777777" w:rsidR="00130E8B" w:rsidRDefault="000405CC">
      <w:pPr>
        <w:pStyle w:val="a3"/>
        <w:rPr>
          <w:lang w:val="hu-HU"/>
        </w:rPr>
      </w:pPr>
      <w:r>
        <w:rPr>
          <w:rFonts w:eastAsia="Times New Roman"/>
          <w:lang w:val="hu-HU"/>
        </w:rPr>
        <w:t>A Yuflyma lelassítja a gyulladásos betegség okozta ízületi károsodást és segíti a szabadabb mozgást.</w:t>
      </w:r>
    </w:p>
    <w:p w14:paraId="0C34703C" w14:textId="77777777" w:rsidR="00130E8B" w:rsidRDefault="00130E8B">
      <w:pPr>
        <w:spacing w:before="10" w:line="240" w:lineRule="exact"/>
        <w:rPr>
          <w:sz w:val="24"/>
          <w:szCs w:val="24"/>
          <w:lang w:val="hu-HU"/>
        </w:rPr>
      </w:pPr>
    </w:p>
    <w:p w14:paraId="52C26B76" w14:textId="431417E9" w:rsidR="00130E8B" w:rsidRDefault="000405CC">
      <w:pPr>
        <w:pStyle w:val="a3"/>
        <w:rPr>
          <w:lang w:val="hu-HU"/>
        </w:rPr>
      </w:pPr>
      <w:r>
        <w:rPr>
          <w:rFonts w:eastAsia="Times New Roman"/>
          <w:lang w:val="hu-HU"/>
        </w:rPr>
        <w:t>Az Ön kezelőorvosa fogja eldönteni, hogy a Yuflym</w:t>
      </w:r>
      <w:r w:rsidR="00C4148F">
        <w:rPr>
          <w:rFonts w:eastAsia="Times New Roman"/>
          <w:lang w:val="hu-HU"/>
        </w:rPr>
        <w:t>á</w:t>
      </w:r>
      <w:r>
        <w:rPr>
          <w:rFonts w:eastAsia="Times New Roman"/>
          <w:lang w:val="hu-HU"/>
        </w:rPr>
        <w:t>-t metotrexáttal együtt, vagy önmagában alkalmazza</w:t>
      </w:r>
      <w:r w:rsidR="00383065">
        <w:rPr>
          <w:rFonts w:eastAsia="Times New Roman"/>
          <w:lang w:val="hu-HU"/>
        </w:rPr>
        <w:t xml:space="preserve"> Önnél.</w:t>
      </w:r>
    </w:p>
    <w:p w14:paraId="07A17A84" w14:textId="77777777" w:rsidR="00130E8B" w:rsidRDefault="00130E8B">
      <w:pPr>
        <w:spacing w:before="18" w:line="240" w:lineRule="exact"/>
        <w:rPr>
          <w:sz w:val="24"/>
          <w:szCs w:val="24"/>
          <w:lang w:val="hu-HU"/>
        </w:rPr>
      </w:pPr>
    </w:p>
    <w:p w14:paraId="58E5DBF7" w14:textId="609C9B2B" w:rsidR="00130E8B" w:rsidRPr="00EF41CE" w:rsidRDefault="003E2CCF">
      <w:pPr>
        <w:pStyle w:val="a3"/>
        <w:rPr>
          <w:b/>
          <w:lang w:val="hu-HU"/>
        </w:rPr>
      </w:pPr>
      <w:r w:rsidRPr="004B23C8">
        <w:rPr>
          <w:rFonts w:eastAsia="TimesNewRomanPSMT"/>
          <w:b/>
          <w:lang w:val="hu-HU"/>
        </w:rPr>
        <w:t>Poliartikuláris juvenilis idiopátiás artritisz</w:t>
      </w:r>
    </w:p>
    <w:p w14:paraId="05346D8C" w14:textId="77777777" w:rsidR="00130E8B" w:rsidRDefault="00130E8B">
      <w:pPr>
        <w:spacing w:before="9" w:line="240" w:lineRule="exact"/>
        <w:rPr>
          <w:sz w:val="24"/>
          <w:szCs w:val="24"/>
          <w:lang w:val="hu-HU"/>
        </w:rPr>
      </w:pPr>
    </w:p>
    <w:p w14:paraId="475B4D08" w14:textId="77777777" w:rsidR="00130E8B" w:rsidRDefault="000405CC">
      <w:pPr>
        <w:pStyle w:val="a3"/>
        <w:rPr>
          <w:lang w:val="hu-HU"/>
        </w:rPr>
      </w:pPr>
      <w:r>
        <w:rPr>
          <w:rFonts w:eastAsia="Times New Roman"/>
          <w:lang w:val="hu-HU"/>
        </w:rPr>
        <w:t>A gyermekkori ismeretlen eredetű sokízületi gyulladás az ízületek gyulladásos betegsége.</w:t>
      </w:r>
    </w:p>
    <w:p w14:paraId="14A6F617" w14:textId="77777777" w:rsidR="00130E8B" w:rsidRDefault="00130E8B">
      <w:pPr>
        <w:spacing w:before="13" w:line="240" w:lineRule="exact"/>
        <w:rPr>
          <w:sz w:val="24"/>
          <w:szCs w:val="24"/>
          <w:lang w:val="hu-HU"/>
        </w:rPr>
      </w:pPr>
    </w:p>
    <w:p w14:paraId="643B7D16" w14:textId="74E614EA" w:rsidR="00130E8B" w:rsidRDefault="000405CC">
      <w:pPr>
        <w:pStyle w:val="a3"/>
        <w:rPr>
          <w:lang w:val="hu-HU"/>
        </w:rPr>
      </w:pPr>
      <w:r>
        <w:rPr>
          <w:rFonts w:eastAsia="Times New Roman"/>
          <w:lang w:val="hu-HU"/>
        </w:rPr>
        <w:t xml:space="preserve">A Yuflyma legalább 2 éves kortól alkalmazható a gyermekkori ismeretlen eredetű sokízületi gyulladás kezelésére. </w:t>
      </w:r>
      <w:r w:rsidR="00C4148F" w:rsidRPr="00DD4231">
        <w:rPr>
          <w:rFonts w:eastAsia="Times New Roman"/>
          <w:lang w:val="hu-HU"/>
        </w:rPr>
        <w:t>Gyermeke</w:t>
      </w:r>
      <w:r w:rsidR="00C4148F">
        <w:rPr>
          <w:rFonts w:eastAsia="Times New Roman"/>
          <w:lang w:val="hu-HU"/>
        </w:rPr>
        <w:t xml:space="preserve"> </w:t>
      </w:r>
      <w:r>
        <w:rPr>
          <w:rFonts w:eastAsia="Times New Roman"/>
          <w:lang w:val="hu-HU"/>
        </w:rPr>
        <w:t>először egyéb betegséget módosító gyógyszereket (</w:t>
      </w:r>
      <w:r w:rsidR="00E712D7">
        <w:rPr>
          <w:rFonts w:eastAsia="Times New Roman"/>
          <w:lang w:val="hu-HU"/>
        </w:rPr>
        <w:t>például</w:t>
      </w:r>
      <w:r>
        <w:rPr>
          <w:rFonts w:eastAsia="Times New Roman"/>
          <w:lang w:val="hu-HU"/>
        </w:rPr>
        <w:t xml:space="preserve"> metotrexátot) kaphat. Ha nem reagál megfelelő módon ezekre a gyógyszerekre, akkor Yuflyma-t fog kapni.</w:t>
      </w:r>
    </w:p>
    <w:p w14:paraId="593A9FB0" w14:textId="77777777" w:rsidR="00130E8B" w:rsidRDefault="00130E8B">
      <w:pPr>
        <w:spacing w:before="13" w:line="240" w:lineRule="exact"/>
        <w:rPr>
          <w:sz w:val="24"/>
          <w:szCs w:val="24"/>
          <w:lang w:val="hu-HU"/>
        </w:rPr>
      </w:pPr>
    </w:p>
    <w:p w14:paraId="390D15F4" w14:textId="39BD5BF4" w:rsidR="00130E8B" w:rsidRDefault="00C4148F">
      <w:pPr>
        <w:pStyle w:val="a3"/>
        <w:rPr>
          <w:lang w:val="hu-HU"/>
        </w:rPr>
      </w:pPr>
      <w:r w:rsidRPr="00DD4231">
        <w:rPr>
          <w:rFonts w:eastAsia="Times New Roman"/>
          <w:lang w:val="hu-HU"/>
        </w:rPr>
        <w:t>Gyermeke</w:t>
      </w:r>
      <w:r>
        <w:rPr>
          <w:rFonts w:eastAsia="Times New Roman"/>
          <w:lang w:val="hu-HU"/>
        </w:rPr>
        <w:t xml:space="preserve"> </w:t>
      </w:r>
      <w:r w:rsidR="000405CC">
        <w:rPr>
          <w:rFonts w:eastAsia="Times New Roman"/>
          <w:lang w:val="hu-HU"/>
        </w:rPr>
        <w:t xml:space="preserve"> kezelőorvosa fogja eldönteni, hogy a Yuflyma-t metotrexáttal együtt, vagy önmagában alkalmazza</w:t>
      </w:r>
    </w:p>
    <w:p w14:paraId="46100483" w14:textId="77777777" w:rsidR="00130E8B" w:rsidRDefault="00130E8B">
      <w:pPr>
        <w:spacing w:before="16" w:line="240" w:lineRule="exact"/>
        <w:rPr>
          <w:sz w:val="24"/>
          <w:szCs w:val="24"/>
          <w:lang w:val="hu-HU"/>
        </w:rPr>
      </w:pPr>
    </w:p>
    <w:p w14:paraId="6F89EB61" w14:textId="77777777" w:rsidR="003E2CCF" w:rsidRDefault="003E2CCF">
      <w:pPr>
        <w:spacing w:before="9" w:line="240" w:lineRule="exact"/>
        <w:rPr>
          <w:rFonts w:ascii="Times New Roman" w:hAnsi="Times New Roman" w:cs="Times New Roman"/>
          <w:b/>
          <w:lang w:val="hu-HU"/>
        </w:rPr>
      </w:pPr>
      <w:r w:rsidRPr="009167C6">
        <w:rPr>
          <w:rFonts w:ascii="Times New Roman" w:hAnsi="Times New Roman" w:cs="Times New Roman"/>
          <w:b/>
          <w:lang w:val="hu-HU"/>
        </w:rPr>
        <w:t>Entezitisszel társult</w:t>
      </w:r>
      <w:r w:rsidRPr="009167C6">
        <w:rPr>
          <w:rFonts w:ascii="Times New Roman" w:eastAsia="Times New Roman" w:hAnsi="Times New Roman" w:cs="Times New Roman"/>
          <w:b/>
          <w:bCs/>
          <w:lang w:val="hu-HU"/>
        </w:rPr>
        <w:t xml:space="preserve"> </w:t>
      </w:r>
      <w:r w:rsidRPr="009167C6">
        <w:rPr>
          <w:rFonts w:ascii="Times New Roman" w:hAnsi="Times New Roman" w:cs="Times New Roman"/>
          <w:b/>
          <w:lang w:val="hu-HU"/>
        </w:rPr>
        <w:t>artritisz</w:t>
      </w:r>
    </w:p>
    <w:p w14:paraId="451D6A25" w14:textId="77777777" w:rsidR="00130E8B" w:rsidRPr="009167C6" w:rsidRDefault="00130E8B">
      <w:pPr>
        <w:spacing w:before="9" w:line="240" w:lineRule="exact"/>
        <w:rPr>
          <w:rFonts w:ascii="Times New Roman" w:hAnsi="Times New Roman" w:cs="Times New Roman"/>
          <w:sz w:val="24"/>
          <w:szCs w:val="24"/>
          <w:lang w:val="hu-HU"/>
        </w:rPr>
      </w:pPr>
    </w:p>
    <w:p w14:paraId="147DEDCD" w14:textId="307D7EBA" w:rsidR="00130E8B" w:rsidRDefault="000405CC">
      <w:pPr>
        <w:pStyle w:val="a3"/>
        <w:rPr>
          <w:lang w:val="hu-HU"/>
        </w:rPr>
      </w:pPr>
      <w:r>
        <w:rPr>
          <w:rFonts w:eastAsia="Times New Roman"/>
          <w:lang w:val="hu-HU"/>
        </w:rPr>
        <w:t xml:space="preserve">Az </w:t>
      </w:r>
      <w:r w:rsidR="00C4148F" w:rsidRPr="004D169D">
        <w:rPr>
          <w:rFonts w:eastAsia="Times New Roman"/>
          <w:lang w:val="hu-HU"/>
        </w:rPr>
        <w:t>inak</w:t>
      </w:r>
      <w:r w:rsidR="00C4148F">
        <w:rPr>
          <w:rFonts w:eastAsia="Times New Roman"/>
          <w:lang w:val="hu-HU"/>
        </w:rPr>
        <w:t xml:space="preserve"> </w:t>
      </w:r>
      <w:r>
        <w:rPr>
          <w:rFonts w:eastAsia="Times New Roman"/>
          <w:lang w:val="hu-HU"/>
        </w:rPr>
        <w:t>tapadási helyeinek gyulladásos elváltozásával társult reumás ízületi gyulladás az ízületek gyulladásos betegsége.</w:t>
      </w:r>
    </w:p>
    <w:p w14:paraId="3E189B94" w14:textId="77777777" w:rsidR="00130E8B" w:rsidRDefault="00130E8B">
      <w:pPr>
        <w:spacing w:before="10" w:line="240" w:lineRule="exact"/>
        <w:rPr>
          <w:sz w:val="24"/>
          <w:szCs w:val="24"/>
          <w:lang w:val="hu-HU"/>
        </w:rPr>
      </w:pPr>
    </w:p>
    <w:p w14:paraId="511548E4" w14:textId="777FDCF1" w:rsidR="00130E8B" w:rsidRDefault="000405CC">
      <w:pPr>
        <w:pStyle w:val="a3"/>
        <w:rPr>
          <w:lang w:val="hu-HU"/>
        </w:rPr>
      </w:pPr>
      <w:r>
        <w:rPr>
          <w:rFonts w:eastAsia="Times New Roman"/>
          <w:lang w:val="hu-HU"/>
        </w:rPr>
        <w:t xml:space="preserve">A Yuflyma legalább 6 éves kortól alkalmazható az </w:t>
      </w:r>
      <w:r w:rsidR="00C4148F" w:rsidRPr="004D169D">
        <w:rPr>
          <w:rFonts w:eastAsia="Times New Roman"/>
          <w:lang w:val="hu-HU"/>
        </w:rPr>
        <w:t>inak</w:t>
      </w:r>
      <w:r w:rsidR="00C4148F">
        <w:rPr>
          <w:rFonts w:eastAsia="Times New Roman"/>
          <w:lang w:val="hu-HU"/>
        </w:rPr>
        <w:t xml:space="preserve"> </w:t>
      </w:r>
      <w:r>
        <w:rPr>
          <w:rFonts w:eastAsia="Times New Roman"/>
          <w:lang w:val="hu-HU"/>
        </w:rPr>
        <w:t xml:space="preserve">tapadási </w:t>
      </w:r>
      <w:r w:rsidR="00C4148F" w:rsidRPr="002211D8">
        <w:rPr>
          <w:rFonts w:eastAsia="Times New Roman"/>
          <w:lang w:val="hu-HU"/>
        </w:rPr>
        <w:t>helyének</w:t>
      </w:r>
      <w:r w:rsidR="00C4148F">
        <w:rPr>
          <w:rFonts w:eastAsia="Times New Roman"/>
          <w:lang w:val="hu-HU"/>
        </w:rPr>
        <w:t xml:space="preserve"> </w:t>
      </w:r>
      <w:r>
        <w:rPr>
          <w:rFonts w:eastAsia="Times New Roman"/>
          <w:lang w:val="hu-HU"/>
        </w:rPr>
        <w:t xml:space="preserve">gyulladásos elváltozásával társult reumás ízületi gyulladás kezelésére. </w:t>
      </w:r>
      <w:r w:rsidR="00C4148F" w:rsidRPr="00693922">
        <w:rPr>
          <w:rFonts w:eastAsia="Times New Roman" w:hint="eastAsia"/>
          <w:lang w:val="hu-HU"/>
        </w:rPr>
        <w:t>Ö</w:t>
      </w:r>
      <w:r w:rsidR="00C4148F" w:rsidRPr="00693922">
        <w:rPr>
          <w:rFonts w:eastAsia="Times New Roman"/>
          <w:lang w:val="hu-HU"/>
        </w:rPr>
        <w:t>n vagy gyermek</w:t>
      </w:r>
      <w:r w:rsidR="00C4148F">
        <w:rPr>
          <w:rFonts w:eastAsia="Times New Roman"/>
          <w:lang w:val="hu-HU"/>
        </w:rPr>
        <w:t xml:space="preserve"> </w:t>
      </w:r>
      <w:r>
        <w:rPr>
          <w:rFonts w:eastAsia="Times New Roman"/>
          <w:lang w:val="hu-HU"/>
        </w:rPr>
        <w:t>először egyéb betegséget módosító gyógyszereket (</w:t>
      </w:r>
      <w:r w:rsidR="00E712D7">
        <w:rPr>
          <w:rFonts w:eastAsia="Times New Roman"/>
          <w:lang w:val="hu-HU"/>
        </w:rPr>
        <w:t>például</w:t>
      </w:r>
      <w:r>
        <w:rPr>
          <w:rFonts w:eastAsia="Times New Roman"/>
          <w:lang w:val="hu-HU"/>
        </w:rPr>
        <w:t xml:space="preserve"> metotrexátot) kaphat. Ha nem reagál megfelelő módon ezekre a gyógyszerekre, akkor </w:t>
      </w:r>
      <w:r w:rsidR="00A150A2">
        <w:rPr>
          <w:rFonts w:eastAsia="Times New Roman"/>
          <w:lang w:val="hu-HU"/>
        </w:rPr>
        <w:t>Yuflym</w:t>
      </w:r>
      <w:r w:rsidR="00C4148F">
        <w:rPr>
          <w:rFonts w:eastAsia="Times New Roman"/>
          <w:lang w:val="hu-HU"/>
        </w:rPr>
        <w:t>a</w:t>
      </w:r>
      <w:r>
        <w:rPr>
          <w:rFonts w:eastAsia="Times New Roman"/>
          <w:lang w:val="hu-HU"/>
        </w:rPr>
        <w:t>-t fog kapni.</w:t>
      </w:r>
    </w:p>
    <w:p w14:paraId="389A41A6" w14:textId="77777777" w:rsidR="00130E8B" w:rsidRDefault="00130E8B">
      <w:pPr>
        <w:spacing w:before="2" w:line="260" w:lineRule="exact"/>
        <w:rPr>
          <w:sz w:val="26"/>
          <w:szCs w:val="26"/>
          <w:lang w:val="hu-HU"/>
        </w:rPr>
      </w:pPr>
    </w:p>
    <w:p w14:paraId="10D54996" w14:textId="77777777" w:rsidR="00130E8B" w:rsidRDefault="000405CC">
      <w:pPr>
        <w:pStyle w:val="a3"/>
        <w:rPr>
          <w:b/>
          <w:lang w:val="hu-HU"/>
        </w:rPr>
      </w:pPr>
      <w:r>
        <w:rPr>
          <w:rFonts w:eastAsia="Times New Roman"/>
          <w:b/>
          <w:bCs/>
          <w:lang w:val="hu-HU"/>
        </w:rPr>
        <w:t>Spondilitisz ankilopoetika és spondilitisz ankilopoetikára jellemző röntgeneltérést nem mutató gerincízületi gyulladás (axiális spondiloartritisz)</w:t>
      </w:r>
    </w:p>
    <w:p w14:paraId="6174AF85" w14:textId="77777777" w:rsidR="00130E8B" w:rsidRDefault="00130E8B">
      <w:pPr>
        <w:spacing w:before="6" w:line="240" w:lineRule="exact"/>
        <w:rPr>
          <w:sz w:val="24"/>
          <w:szCs w:val="24"/>
          <w:lang w:val="hu-HU"/>
        </w:rPr>
      </w:pPr>
    </w:p>
    <w:p w14:paraId="547E6BB7" w14:textId="77777777" w:rsidR="00130E8B" w:rsidRDefault="000405CC">
      <w:pPr>
        <w:pStyle w:val="a3"/>
        <w:rPr>
          <w:lang w:val="hu-HU"/>
        </w:rPr>
      </w:pPr>
      <w:r>
        <w:rPr>
          <w:rFonts w:eastAsia="Times New Roman"/>
          <w:lang w:val="hu-HU"/>
        </w:rPr>
        <w:t>A spondilitisz ankilopoetika és a spondilitisz ankilopoetikára jellemző röntgeneltérést nem mutató gerincízületi gyulladás (axiális spondiloartritisz) a gerincoszlop gyulladással járó betegsége.</w:t>
      </w:r>
    </w:p>
    <w:p w14:paraId="10F722A0" w14:textId="77777777" w:rsidR="00130E8B" w:rsidRDefault="00130E8B">
      <w:pPr>
        <w:spacing w:before="10" w:line="240" w:lineRule="exact"/>
        <w:rPr>
          <w:sz w:val="24"/>
          <w:szCs w:val="24"/>
          <w:lang w:val="hu-HU"/>
        </w:rPr>
      </w:pPr>
    </w:p>
    <w:p w14:paraId="73F8111D" w14:textId="77777777" w:rsidR="00130E8B" w:rsidRDefault="000405CC">
      <w:pPr>
        <w:pStyle w:val="a3"/>
        <w:rPr>
          <w:lang w:val="hu-HU"/>
        </w:rPr>
      </w:pPr>
      <w:r>
        <w:rPr>
          <w:rFonts w:eastAsia="Times New Roman"/>
          <w:lang w:val="hu-HU"/>
        </w:rPr>
        <w:t>A Yuflyma felnőttkori spondilitisz ankilopoetika és spondilitisz ankilopoetikára jellemző röntgeneltérést nem mutató gerincízületi gyulladás (axiális spondiloartritisz) kezelésére alkalmazható. Először más gyógyszereket kaphat. Ha nem reagál megfelelő módon ezekre a gyógyszerekre, akkor Yuflyma-t fog kapni.</w:t>
      </w:r>
    </w:p>
    <w:p w14:paraId="0EB58032" w14:textId="77777777" w:rsidR="00130E8B" w:rsidRDefault="00130E8B">
      <w:pPr>
        <w:spacing w:before="18" w:line="240" w:lineRule="exact"/>
        <w:rPr>
          <w:sz w:val="24"/>
          <w:szCs w:val="24"/>
          <w:lang w:val="hu-HU"/>
        </w:rPr>
      </w:pPr>
    </w:p>
    <w:p w14:paraId="7EC25B3A" w14:textId="0F41D94F" w:rsidR="00130E8B" w:rsidRDefault="003E2CCF">
      <w:pPr>
        <w:pStyle w:val="a3"/>
        <w:rPr>
          <w:lang w:val="hu-HU"/>
        </w:rPr>
      </w:pPr>
      <w:r w:rsidRPr="00DA48CC">
        <w:rPr>
          <w:b/>
          <w:lang w:val="hu-HU"/>
        </w:rPr>
        <w:lastRenderedPageBreak/>
        <w:t>Artritisz pszoriatika</w:t>
      </w:r>
    </w:p>
    <w:p w14:paraId="0132BB2F" w14:textId="77777777" w:rsidR="00130E8B" w:rsidRDefault="000405CC">
      <w:pPr>
        <w:pStyle w:val="a3"/>
        <w:rPr>
          <w:lang w:val="hu-HU"/>
        </w:rPr>
      </w:pPr>
      <w:r>
        <w:rPr>
          <w:rFonts w:eastAsia="Times New Roman"/>
          <w:lang w:val="hu-HU"/>
        </w:rPr>
        <w:t>Az artritisz pszoriatika az ízületek olyan gyulladásos betegsége, amely általában pikkelysömörrel társul.</w:t>
      </w:r>
    </w:p>
    <w:p w14:paraId="124397F9" w14:textId="77777777" w:rsidR="00130E8B" w:rsidRDefault="00130E8B">
      <w:pPr>
        <w:spacing w:before="11" w:line="240" w:lineRule="exact"/>
        <w:rPr>
          <w:sz w:val="24"/>
          <w:szCs w:val="24"/>
          <w:lang w:val="hu-HU"/>
        </w:rPr>
      </w:pPr>
    </w:p>
    <w:p w14:paraId="4629F124" w14:textId="6C3A6218" w:rsidR="00130E8B" w:rsidRDefault="000405CC">
      <w:pPr>
        <w:pStyle w:val="a3"/>
        <w:rPr>
          <w:lang w:val="hu-HU"/>
        </w:rPr>
      </w:pPr>
      <w:r>
        <w:rPr>
          <w:rFonts w:eastAsia="Times New Roman"/>
          <w:lang w:val="hu-HU"/>
        </w:rPr>
        <w:t xml:space="preserve">A Yuflyma a felnőttkori artritisz pszoriatika kezelésére alkalmazható. A Yuflyma lelassítja a betegség okozta ízületi károsodást és segíti a szabadabb mozgást. Először más gyógyszereket kaphat. Ha nem reagál megfelelő módon ezekre a gyógyszerekre, akkor </w:t>
      </w:r>
      <w:r w:rsidR="00A150A2">
        <w:rPr>
          <w:rFonts w:eastAsia="Times New Roman"/>
          <w:lang w:val="hu-HU"/>
        </w:rPr>
        <w:t>Yuflymá</w:t>
      </w:r>
      <w:r>
        <w:rPr>
          <w:rFonts w:eastAsia="Times New Roman"/>
          <w:lang w:val="hu-HU"/>
        </w:rPr>
        <w:t>-t fog kapni.</w:t>
      </w:r>
    </w:p>
    <w:p w14:paraId="5214D492" w14:textId="77777777" w:rsidR="00130E8B" w:rsidRDefault="00130E8B">
      <w:pPr>
        <w:pStyle w:val="a3"/>
        <w:rPr>
          <w:b/>
          <w:lang w:val="hu-HU"/>
        </w:rPr>
      </w:pPr>
    </w:p>
    <w:p w14:paraId="042BC926" w14:textId="77777777" w:rsidR="00130E8B" w:rsidRDefault="000405CC">
      <w:pPr>
        <w:pStyle w:val="a3"/>
        <w:rPr>
          <w:b/>
          <w:lang w:val="hu-HU"/>
        </w:rPr>
      </w:pPr>
      <w:r>
        <w:rPr>
          <w:rFonts w:eastAsia="Times New Roman"/>
          <w:b/>
          <w:bCs/>
          <w:lang w:val="hu-HU"/>
        </w:rPr>
        <w:t>Plakkos pikkelysömör</w:t>
      </w:r>
    </w:p>
    <w:p w14:paraId="1ED05DB2" w14:textId="77777777" w:rsidR="00130E8B" w:rsidRDefault="00130E8B">
      <w:pPr>
        <w:spacing w:before="9" w:line="240" w:lineRule="exact"/>
        <w:rPr>
          <w:sz w:val="24"/>
          <w:szCs w:val="24"/>
          <w:lang w:val="hu-HU"/>
        </w:rPr>
      </w:pPr>
    </w:p>
    <w:p w14:paraId="3AA7338E" w14:textId="77777777" w:rsidR="00130E8B" w:rsidRDefault="000405CC">
      <w:pPr>
        <w:pStyle w:val="a3"/>
        <w:rPr>
          <w:lang w:val="hu-HU"/>
        </w:rPr>
      </w:pPr>
      <w:r>
        <w:rPr>
          <w:rFonts w:eastAsia="Times New Roman"/>
          <w:lang w:val="hu-HU"/>
        </w:rPr>
        <w:t>A plakkos pszoriázis egy gyulladásos bőrbetegség, amely ezüstös pikkelyekkel borított piros, hámló, kérges foltokat okoz a bőrön. A plakkos pszoriázis a körmöket is érintheti, a köröm töredezését, megvastagodását, a körömágytól való elválását okozva, ami fájdalmas lehet.</w:t>
      </w:r>
    </w:p>
    <w:p w14:paraId="3B71A9C6" w14:textId="77777777" w:rsidR="00130E8B" w:rsidRDefault="00130E8B">
      <w:pPr>
        <w:spacing w:before="13" w:line="240" w:lineRule="exact"/>
        <w:rPr>
          <w:sz w:val="24"/>
          <w:szCs w:val="24"/>
          <w:lang w:val="hu-HU"/>
        </w:rPr>
      </w:pPr>
    </w:p>
    <w:p w14:paraId="128AECF2" w14:textId="77777777" w:rsidR="00130E8B" w:rsidRDefault="000405CC">
      <w:pPr>
        <w:pStyle w:val="a3"/>
        <w:rPr>
          <w:lang w:val="hu-HU"/>
        </w:rPr>
      </w:pPr>
      <w:r>
        <w:rPr>
          <w:rFonts w:eastAsia="Times New Roman"/>
          <w:lang w:val="hu-HU"/>
        </w:rPr>
        <w:t>A Yuflyma alkalmazható</w:t>
      </w:r>
    </w:p>
    <w:p w14:paraId="76B0B57C" w14:textId="77777777" w:rsidR="00130E8B" w:rsidRDefault="000405CC">
      <w:pPr>
        <w:pStyle w:val="a3"/>
        <w:numPr>
          <w:ilvl w:val="1"/>
          <w:numId w:val="4"/>
        </w:numPr>
        <w:ind w:left="660" w:hanging="660"/>
        <w:rPr>
          <w:lang w:val="hu-HU"/>
        </w:rPr>
      </w:pPr>
      <w:r>
        <w:rPr>
          <w:rFonts w:eastAsia="Times New Roman"/>
          <w:lang w:val="hu-HU"/>
        </w:rPr>
        <w:t>a közepesen súlyos vagy súlyos felnőttkori krónikus plakkos pszoriázis kezelésére,</w:t>
      </w:r>
    </w:p>
    <w:p w14:paraId="742F5160" w14:textId="1C665743" w:rsidR="00130E8B" w:rsidRDefault="000405CC">
      <w:pPr>
        <w:pStyle w:val="a3"/>
        <w:numPr>
          <w:ilvl w:val="1"/>
          <w:numId w:val="4"/>
        </w:numPr>
        <w:ind w:left="660" w:hanging="660"/>
        <w:rPr>
          <w:lang w:val="hu-HU"/>
        </w:rPr>
      </w:pPr>
      <w:r>
        <w:rPr>
          <w:rFonts w:eastAsia="Times New Roman"/>
          <w:lang w:val="hu-HU"/>
        </w:rPr>
        <w:t>továbbá súlyos plakkos pszoriázisban szenvedő</w:t>
      </w:r>
      <w:r w:rsidRPr="004E6E1D">
        <w:rPr>
          <w:rFonts w:eastAsia="Times New Roman"/>
          <w:lang w:val="hu-HU"/>
        </w:rPr>
        <w:t xml:space="preserve">, </w:t>
      </w:r>
      <w:r w:rsidR="0040557B">
        <w:rPr>
          <w:rFonts w:eastAsia="Times New Roman"/>
          <w:lang w:val="hu-HU"/>
        </w:rPr>
        <w:t>4-től betöltött 18 éves kor</w:t>
      </w:r>
      <w:r w:rsidR="00633EF3" w:rsidRPr="005D58A4">
        <w:rPr>
          <w:rFonts w:eastAsia="Times New Roman"/>
          <w:lang w:val="hu-HU"/>
        </w:rPr>
        <w:t>ig</w:t>
      </w:r>
      <w:r>
        <w:rPr>
          <w:rFonts w:eastAsia="Times New Roman"/>
          <w:lang w:val="hu-HU"/>
        </w:rPr>
        <w:t xml:space="preserve"> gyermekeknél és serdülőknél,</w:t>
      </w:r>
    </w:p>
    <w:p w14:paraId="5651CF7A" w14:textId="77777777" w:rsidR="00130E8B" w:rsidRDefault="000405CC">
      <w:pPr>
        <w:pStyle w:val="a3"/>
        <w:numPr>
          <w:ilvl w:val="1"/>
          <w:numId w:val="4"/>
        </w:numPr>
        <w:ind w:left="660" w:hanging="660"/>
        <w:rPr>
          <w:rFonts w:eastAsia="Times New Roman"/>
          <w:lang w:val="hu-HU"/>
        </w:rPr>
      </w:pPr>
      <w:r>
        <w:rPr>
          <w:rFonts w:eastAsia="Times New Roman"/>
          <w:lang w:val="hu-HU"/>
        </w:rPr>
        <w:t>akiknél a helyi kezelés és a fényterápiák nem használtak, vagy nem alkalmazhatóak</w:t>
      </w:r>
      <w:r w:rsidR="00A150A2">
        <w:rPr>
          <w:rFonts w:eastAsia="Times New Roman"/>
          <w:lang w:val="hu-HU"/>
        </w:rPr>
        <w:t>.</w:t>
      </w:r>
    </w:p>
    <w:p w14:paraId="1B91620D" w14:textId="77777777" w:rsidR="00130E8B" w:rsidRDefault="00130E8B">
      <w:pPr>
        <w:spacing w:before="15" w:line="240" w:lineRule="exact"/>
        <w:rPr>
          <w:sz w:val="24"/>
          <w:szCs w:val="24"/>
          <w:lang w:val="hu-HU"/>
        </w:rPr>
      </w:pPr>
    </w:p>
    <w:p w14:paraId="336B4153" w14:textId="77777777" w:rsidR="00EE7C0C" w:rsidRDefault="00EE7C0C" w:rsidP="00EE7C0C">
      <w:pPr>
        <w:spacing w:before="9" w:line="240" w:lineRule="exact"/>
        <w:rPr>
          <w:rFonts w:ascii="Times New Roman" w:eastAsia="TimesNewRomanPSMT" w:hAnsi="Times New Roman" w:cs="Times New Roman"/>
          <w:b/>
          <w:lang w:val="hu-HU"/>
        </w:rPr>
      </w:pPr>
      <w:r w:rsidRPr="00DA48CC">
        <w:rPr>
          <w:rFonts w:ascii="Times New Roman" w:eastAsia="TimesNewRomanPSMT" w:hAnsi="Times New Roman" w:cs="Times New Roman"/>
          <w:b/>
          <w:lang w:val="hu-HU"/>
        </w:rPr>
        <w:t>Hidradenitisz szuppurativa</w:t>
      </w:r>
    </w:p>
    <w:p w14:paraId="3E9CD047" w14:textId="77777777" w:rsidR="00130E8B" w:rsidRDefault="00130E8B">
      <w:pPr>
        <w:spacing w:before="9" w:line="240" w:lineRule="exact"/>
        <w:rPr>
          <w:sz w:val="24"/>
          <w:szCs w:val="24"/>
          <w:lang w:val="hu-HU"/>
        </w:rPr>
      </w:pPr>
    </w:p>
    <w:p w14:paraId="20EF07A4" w14:textId="11D7A94A" w:rsidR="00130E8B" w:rsidRDefault="000405CC">
      <w:pPr>
        <w:pStyle w:val="a3"/>
        <w:rPr>
          <w:lang w:val="hu-HU"/>
        </w:rPr>
      </w:pPr>
      <w:r>
        <w:rPr>
          <w:rFonts w:eastAsia="Times New Roman"/>
          <w:lang w:val="hu-HU"/>
        </w:rPr>
        <w:t xml:space="preserve">A hidradenitisz szuppuratíva (más néven </w:t>
      </w:r>
      <w:r w:rsidR="00EE7C0C">
        <w:rPr>
          <w:rFonts w:eastAsia="Times New Roman"/>
          <w:lang w:val="hu-HU"/>
        </w:rPr>
        <w:t xml:space="preserve">fordított </w:t>
      </w:r>
      <w:r>
        <w:rPr>
          <w:rFonts w:eastAsia="Times New Roman"/>
          <w:lang w:val="hu-HU"/>
        </w:rPr>
        <w:t xml:space="preserve">akne) egy </w:t>
      </w:r>
      <w:r w:rsidR="00EE7C0C">
        <w:rPr>
          <w:rFonts w:eastAsia="Times New Roman"/>
          <w:lang w:val="hu-HU"/>
        </w:rPr>
        <w:t>hosszú lefolyású</w:t>
      </w:r>
      <w:r>
        <w:rPr>
          <w:rFonts w:eastAsia="Times New Roman"/>
          <w:lang w:val="hu-HU"/>
        </w:rPr>
        <w:t xml:space="preserve"> és gyakran fájdalmas, gyulladásos bőrbetegség. A tünetek közé tartozhatnak a bőr alatti gócok (csomók) és tályogok (kelések), melyekből genny szivároghat. Ez leggyakrabban a bőr bizonyos területein jelenik meg, </w:t>
      </w:r>
      <w:r w:rsidR="00E712D7">
        <w:rPr>
          <w:rFonts w:eastAsia="Times New Roman"/>
          <w:lang w:val="hu-HU"/>
        </w:rPr>
        <w:t>például</w:t>
      </w:r>
      <w:r>
        <w:rPr>
          <w:rFonts w:eastAsia="Times New Roman"/>
          <w:lang w:val="hu-HU"/>
        </w:rPr>
        <w:t xml:space="preserve"> </w:t>
      </w:r>
      <w:hyperlink r:id="rId69" w:history="1">
        <w:r>
          <w:rPr>
            <w:rFonts w:eastAsia="Times New Roman"/>
            <w:lang w:val="hu-HU"/>
          </w:rPr>
          <w:t xml:space="preserve">a mellek alatt, </w:t>
        </w:r>
      </w:hyperlink>
      <w:r>
        <w:rPr>
          <w:rFonts w:eastAsia="Times New Roman"/>
          <w:lang w:val="hu-HU"/>
        </w:rPr>
        <w:t>hónaljban, a combok belső felszínén, lágyékon és fenéken. Hegesedés is előfordulhat az érintett területeken.</w:t>
      </w:r>
    </w:p>
    <w:p w14:paraId="0D04DBDF" w14:textId="77777777" w:rsidR="00130E8B" w:rsidRDefault="00130E8B">
      <w:pPr>
        <w:spacing w:before="13" w:line="240" w:lineRule="exact"/>
        <w:rPr>
          <w:sz w:val="24"/>
          <w:szCs w:val="24"/>
          <w:lang w:val="hu-HU"/>
        </w:rPr>
      </w:pPr>
    </w:p>
    <w:p w14:paraId="0E73C3D2" w14:textId="77777777" w:rsidR="00130E8B" w:rsidRDefault="000405CC">
      <w:pPr>
        <w:pStyle w:val="a3"/>
        <w:rPr>
          <w:lang w:val="hu-HU"/>
        </w:rPr>
      </w:pPr>
      <w:r>
        <w:rPr>
          <w:rFonts w:eastAsia="Times New Roman"/>
          <w:lang w:val="hu-HU"/>
        </w:rPr>
        <w:t>A Yuflyma alkalmazható</w:t>
      </w:r>
    </w:p>
    <w:p w14:paraId="0A2BFF8C" w14:textId="77777777" w:rsidR="00130E8B" w:rsidRDefault="000405CC">
      <w:pPr>
        <w:pStyle w:val="a3"/>
        <w:numPr>
          <w:ilvl w:val="1"/>
          <w:numId w:val="4"/>
        </w:numPr>
        <w:ind w:left="660" w:hanging="660"/>
        <w:rPr>
          <w:lang w:val="hu-HU"/>
        </w:rPr>
      </w:pPr>
      <w:r>
        <w:rPr>
          <w:rFonts w:eastAsia="Times New Roman"/>
          <w:lang w:val="hu-HU"/>
        </w:rPr>
        <w:t>közepesen súlyos – súlyos hidradenitisz szuppurativában szenvedő felnőttek</w:t>
      </w:r>
    </w:p>
    <w:p w14:paraId="54F7506F" w14:textId="4F7CC3EF" w:rsidR="00130E8B" w:rsidRPr="004B23C8" w:rsidRDefault="000405CC">
      <w:pPr>
        <w:pStyle w:val="a3"/>
        <w:numPr>
          <w:ilvl w:val="1"/>
          <w:numId w:val="4"/>
        </w:numPr>
        <w:ind w:left="660" w:hanging="660"/>
        <w:rPr>
          <w:color w:val="000000" w:themeColor="text1"/>
          <w:lang w:val="hu-HU"/>
        </w:rPr>
      </w:pPr>
      <w:r>
        <w:rPr>
          <w:rFonts w:eastAsia="Times New Roman"/>
          <w:lang w:val="hu-HU"/>
        </w:rPr>
        <w:t xml:space="preserve">közepesen súlyos – súlyos hidradenitisz szuppurativában szenvedő </w:t>
      </w:r>
      <w:r w:rsidR="00633EF3" w:rsidRPr="004B23C8">
        <w:rPr>
          <w:rFonts w:eastAsia="Times New Roman"/>
          <w:color w:val="000000" w:themeColor="text1"/>
          <w:lang w:val="hu-HU"/>
        </w:rPr>
        <w:t xml:space="preserve">serdülők (12-től betöltött </w:t>
      </w:r>
      <w:r w:rsidR="00AE0D26">
        <w:rPr>
          <w:rFonts w:eastAsia="Times New Roman"/>
          <w:color w:val="000000" w:themeColor="text1"/>
          <w:lang w:val="hu-HU"/>
        </w:rPr>
        <w:t>1</w:t>
      </w:r>
      <w:r w:rsidR="005D4167">
        <w:rPr>
          <w:rFonts w:eastAsia="Times New Roman"/>
          <w:color w:val="000000" w:themeColor="text1"/>
          <w:lang w:val="hu-HU"/>
        </w:rPr>
        <w:t>8</w:t>
      </w:r>
      <w:r w:rsidR="00633EF3" w:rsidRPr="004B23C8">
        <w:rPr>
          <w:rFonts w:eastAsia="Times New Roman"/>
          <w:color w:val="000000" w:themeColor="text1"/>
          <w:lang w:val="hu-HU"/>
        </w:rPr>
        <w:t xml:space="preserve"> éves korig) </w:t>
      </w:r>
      <w:r w:rsidRPr="004B23C8">
        <w:rPr>
          <w:rFonts w:eastAsia="Times New Roman"/>
          <w:color w:val="000000" w:themeColor="text1"/>
          <w:lang w:val="hu-HU"/>
        </w:rPr>
        <w:t>kezelésére.</w:t>
      </w:r>
    </w:p>
    <w:p w14:paraId="2ED5A378" w14:textId="77777777" w:rsidR="00130E8B" w:rsidRPr="004B23C8" w:rsidRDefault="00130E8B">
      <w:pPr>
        <w:spacing w:before="10" w:line="240" w:lineRule="exact"/>
        <w:rPr>
          <w:color w:val="000000" w:themeColor="text1"/>
          <w:sz w:val="24"/>
          <w:szCs w:val="24"/>
          <w:lang w:val="hu-HU"/>
        </w:rPr>
      </w:pPr>
    </w:p>
    <w:p w14:paraId="54ECF0B5" w14:textId="3CFC5E54" w:rsidR="00130E8B" w:rsidRPr="004B23C8" w:rsidRDefault="000405CC">
      <w:pPr>
        <w:pStyle w:val="a3"/>
        <w:rPr>
          <w:color w:val="000000" w:themeColor="text1"/>
          <w:lang w:val="hu-HU"/>
        </w:rPr>
      </w:pPr>
      <w:r w:rsidRPr="004B23C8">
        <w:rPr>
          <w:rFonts w:eastAsia="Times New Roman"/>
          <w:color w:val="000000" w:themeColor="text1"/>
          <w:lang w:val="hu-HU"/>
        </w:rPr>
        <w:t xml:space="preserve">Yuflyma </w:t>
      </w:r>
      <w:r w:rsidR="00446061" w:rsidRPr="004B23C8">
        <w:rPr>
          <w:rFonts w:eastAsia="Times New Roman"/>
          <w:color w:val="000000" w:themeColor="text1"/>
          <w:lang w:val="hu-HU"/>
        </w:rPr>
        <w:t xml:space="preserve">csökkenti </w:t>
      </w:r>
      <w:r w:rsidRPr="004B23C8">
        <w:rPr>
          <w:rFonts w:eastAsia="Times New Roman"/>
          <w:color w:val="000000" w:themeColor="text1"/>
          <w:lang w:val="hu-HU"/>
        </w:rPr>
        <w:t xml:space="preserve">a csomók és tályogok számát és </w:t>
      </w:r>
      <w:r w:rsidR="00EE7C0C" w:rsidRPr="004B23C8">
        <w:rPr>
          <w:rFonts w:eastAsia="Times New Roman"/>
          <w:color w:val="000000" w:themeColor="text1"/>
          <w:lang w:val="hu-HU"/>
        </w:rPr>
        <w:t xml:space="preserve">enyhítheti </w:t>
      </w:r>
      <w:r w:rsidRPr="004B23C8">
        <w:rPr>
          <w:rFonts w:eastAsia="Times New Roman"/>
          <w:color w:val="000000" w:themeColor="text1"/>
          <w:lang w:val="hu-HU"/>
        </w:rPr>
        <w:t>a fájdalmat, ami gyakran jár együtt a betegséggel. Először más gyógyszerekek</w:t>
      </w:r>
      <w:r w:rsidR="00EE7C0C" w:rsidRPr="004B23C8">
        <w:rPr>
          <w:rFonts w:eastAsia="Times New Roman"/>
          <w:color w:val="000000" w:themeColor="text1"/>
          <w:lang w:val="hu-HU"/>
        </w:rPr>
        <w:t>kel kezelhetik.</w:t>
      </w:r>
      <w:r w:rsidRPr="004B23C8">
        <w:rPr>
          <w:rFonts w:eastAsia="Times New Roman"/>
          <w:color w:val="000000" w:themeColor="text1"/>
          <w:lang w:val="hu-HU"/>
        </w:rPr>
        <w:t xml:space="preserve">Ha nem reagál megfelelő módon ezekre a gyógyszerekre, akkor </w:t>
      </w:r>
      <w:r w:rsidR="00A150A2" w:rsidRPr="004B23C8">
        <w:rPr>
          <w:rFonts w:eastAsia="Times New Roman"/>
          <w:color w:val="000000" w:themeColor="text1"/>
          <w:lang w:val="hu-HU"/>
        </w:rPr>
        <w:t>Yuflymá</w:t>
      </w:r>
      <w:r w:rsidRPr="004B23C8">
        <w:rPr>
          <w:rFonts w:eastAsia="Times New Roman"/>
          <w:color w:val="000000" w:themeColor="text1"/>
          <w:lang w:val="hu-HU"/>
        </w:rPr>
        <w:t>-t fog kapni.</w:t>
      </w:r>
    </w:p>
    <w:p w14:paraId="20DB3FD9" w14:textId="77777777" w:rsidR="00130E8B" w:rsidRPr="004B23C8" w:rsidRDefault="00130E8B">
      <w:pPr>
        <w:spacing w:before="18" w:line="240" w:lineRule="exact"/>
        <w:rPr>
          <w:color w:val="000000" w:themeColor="text1"/>
          <w:sz w:val="24"/>
          <w:szCs w:val="24"/>
          <w:lang w:val="hu-HU"/>
        </w:rPr>
      </w:pPr>
    </w:p>
    <w:p w14:paraId="162D377C" w14:textId="77777777" w:rsidR="00130E8B" w:rsidRPr="004B23C8" w:rsidRDefault="000405CC">
      <w:pPr>
        <w:pStyle w:val="a3"/>
        <w:rPr>
          <w:b/>
          <w:color w:val="000000" w:themeColor="text1"/>
          <w:lang w:val="hu-HU"/>
        </w:rPr>
      </w:pPr>
      <w:r w:rsidRPr="004B23C8">
        <w:rPr>
          <w:rFonts w:eastAsia="Times New Roman"/>
          <w:b/>
          <w:bCs/>
          <w:color w:val="000000" w:themeColor="text1"/>
          <w:lang w:val="hu-HU"/>
        </w:rPr>
        <w:t>Crohn-betegség</w:t>
      </w:r>
    </w:p>
    <w:p w14:paraId="5FB646BE" w14:textId="77777777" w:rsidR="00130E8B" w:rsidRPr="004B23C8" w:rsidRDefault="00130E8B">
      <w:pPr>
        <w:pStyle w:val="a3"/>
        <w:rPr>
          <w:color w:val="000000" w:themeColor="text1"/>
          <w:u w:val="single"/>
          <w:lang w:val="hu-HU"/>
        </w:rPr>
      </w:pPr>
    </w:p>
    <w:p w14:paraId="6EC4D7CA" w14:textId="7F4C0B53" w:rsidR="00130E8B" w:rsidRPr="004B23C8" w:rsidRDefault="000405CC">
      <w:pPr>
        <w:pStyle w:val="a3"/>
        <w:rPr>
          <w:color w:val="000000" w:themeColor="text1"/>
          <w:lang w:val="hu-HU"/>
        </w:rPr>
      </w:pPr>
      <w:r w:rsidRPr="004B23C8">
        <w:rPr>
          <w:rFonts w:eastAsia="Times New Roman"/>
          <w:color w:val="000000" w:themeColor="text1"/>
          <w:lang w:val="hu-HU"/>
        </w:rPr>
        <w:t xml:space="preserve">A Crohn-betegség </w:t>
      </w:r>
      <w:r w:rsidR="00C4148F">
        <w:rPr>
          <w:rFonts w:eastAsia="Times New Roman"/>
          <w:color w:val="000000" w:themeColor="text1"/>
          <w:lang w:val="hu-HU"/>
        </w:rPr>
        <w:t xml:space="preserve">a </w:t>
      </w:r>
      <w:r w:rsidRPr="004B23C8">
        <w:rPr>
          <w:rFonts w:eastAsia="Times New Roman"/>
          <w:color w:val="000000" w:themeColor="text1"/>
          <w:lang w:val="hu-HU"/>
        </w:rPr>
        <w:t>az</w:t>
      </w:r>
      <w:r w:rsidR="00BB4C3C" w:rsidRPr="004B23C8">
        <w:rPr>
          <w:color w:val="000000" w:themeColor="text1"/>
          <w:lang w:val="hu-HU"/>
        </w:rPr>
        <w:t xml:space="preserve"> vékonybél gyulladásos betegsége</w:t>
      </w:r>
      <w:r w:rsidRPr="004B23C8">
        <w:rPr>
          <w:rFonts w:eastAsia="Times New Roman"/>
          <w:color w:val="000000" w:themeColor="text1"/>
          <w:lang w:val="hu-HU"/>
        </w:rPr>
        <w:t>. A Yuflyma alkalmazható</w:t>
      </w:r>
    </w:p>
    <w:p w14:paraId="10974863" w14:textId="77777777" w:rsidR="00130E8B" w:rsidRPr="004B23C8" w:rsidRDefault="000405CC">
      <w:pPr>
        <w:pStyle w:val="a3"/>
        <w:numPr>
          <w:ilvl w:val="1"/>
          <w:numId w:val="4"/>
        </w:numPr>
        <w:ind w:left="660" w:hanging="660"/>
        <w:rPr>
          <w:color w:val="000000" w:themeColor="text1"/>
          <w:lang w:val="hu-HU"/>
        </w:rPr>
      </w:pPr>
      <w:r w:rsidRPr="004B23C8">
        <w:rPr>
          <w:rFonts w:eastAsia="Times New Roman"/>
          <w:color w:val="000000" w:themeColor="text1"/>
          <w:lang w:val="hu-HU"/>
        </w:rPr>
        <w:t>közepesen súlyos – súlyos Crohn-betegségben szenvedő felnőttek és</w:t>
      </w:r>
    </w:p>
    <w:p w14:paraId="16C0B5F0" w14:textId="0F4A7552" w:rsidR="00130E8B" w:rsidRPr="004B23C8" w:rsidRDefault="000405CC">
      <w:pPr>
        <w:pStyle w:val="a3"/>
        <w:numPr>
          <w:ilvl w:val="1"/>
          <w:numId w:val="4"/>
        </w:numPr>
        <w:ind w:left="660" w:hanging="660"/>
        <w:rPr>
          <w:color w:val="000000" w:themeColor="text1"/>
          <w:lang w:val="hu-HU"/>
        </w:rPr>
      </w:pPr>
      <w:r w:rsidRPr="004B23C8">
        <w:rPr>
          <w:rFonts w:eastAsia="Times New Roman"/>
          <w:color w:val="000000" w:themeColor="text1"/>
          <w:lang w:val="hu-HU"/>
        </w:rPr>
        <w:t xml:space="preserve">közepesen súlyos – súlyos Crohn-betegségben szenvedő </w:t>
      </w:r>
      <w:r w:rsidR="00446061" w:rsidRPr="004B23C8">
        <w:rPr>
          <w:rFonts w:eastAsia="Times New Roman"/>
          <w:color w:val="000000" w:themeColor="text1"/>
          <w:lang w:val="hu-HU"/>
        </w:rPr>
        <w:t>serdülők</w:t>
      </w:r>
      <w:r w:rsidR="004B6343" w:rsidRPr="004B23C8">
        <w:rPr>
          <w:rFonts w:eastAsia="Times New Roman"/>
          <w:color w:val="000000" w:themeColor="text1"/>
          <w:lang w:val="hu-HU"/>
        </w:rPr>
        <w:t xml:space="preserve"> </w:t>
      </w:r>
      <w:r w:rsidR="00446061" w:rsidRPr="004B23C8">
        <w:rPr>
          <w:rFonts w:eastAsia="Times New Roman"/>
          <w:color w:val="000000" w:themeColor="text1"/>
          <w:lang w:val="hu-HU"/>
        </w:rPr>
        <w:t>( 6-tól betöltött 18 éves korig)</w:t>
      </w:r>
      <w:r w:rsidRPr="004B23C8">
        <w:rPr>
          <w:rFonts w:eastAsia="Times New Roman"/>
          <w:color w:val="000000" w:themeColor="text1"/>
          <w:lang w:val="hu-HU"/>
        </w:rPr>
        <w:t>.</w:t>
      </w:r>
    </w:p>
    <w:p w14:paraId="7A1085F6" w14:textId="77777777" w:rsidR="00130E8B" w:rsidRPr="004B23C8" w:rsidRDefault="00130E8B">
      <w:pPr>
        <w:spacing w:before="16" w:line="240" w:lineRule="exact"/>
        <w:rPr>
          <w:color w:val="000000" w:themeColor="text1"/>
          <w:sz w:val="24"/>
          <w:szCs w:val="24"/>
          <w:lang w:val="hu-HU"/>
        </w:rPr>
      </w:pPr>
    </w:p>
    <w:p w14:paraId="66F01D09" w14:textId="6E58FF52" w:rsidR="00130E8B" w:rsidRDefault="00BB4C3C">
      <w:pPr>
        <w:pStyle w:val="a3"/>
        <w:rPr>
          <w:lang w:val="hu-HU"/>
        </w:rPr>
      </w:pPr>
      <w:r>
        <w:rPr>
          <w:rFonts w:eastAsia="Times New Roman"/>
          <w:lang w:val="hu-HU"/>
        </w:rPr>
        <w:t>Ön e</w:t>
      </w:r>
      <w:r w:rsidR="000405CC">
        <w:rPr>
          <w:rFonts w:eastAsia="Times New Roman"/>
          <w:lang w:val="hu-HU"/>
        </w:rPr>
        <w:t xml:space="preserve">lőször más gyógyszereket kaphat. Ha nem reagál megfelelő módon ezekre a gyógyszerekre, akkor </w:t>
      </w:r>
      <w:r w:rsidR="00A150A2">
        <w:rPr>
          <w:rFonts w:eastAsia="Times New Roman"/>
          <w:lang w:val="hu-HU"/>
        </w:rPr>
        <w:t>Yuflymá</w:t>
      </w:r>
      <w:r w:rsidR="000405CC">
        <w:rPr>
          <w:rFonts w:eastAsia="Times New Roman"/>
          <w:lang w:val="hu-HU"/>
        </w:rPr>
        <w:t>-t fog kapni.</w:t>
      </w:r>
    </w:p>
    <w:p w14:paraId="2496C70D" w14:textId="77777777" w:rsidR="00130E8B" w:rsidRDefault="00130E8B">
      <w:pPr>
        <w:spacing w:before="15" w:line="240" w:lineRule="exact"/>
        <w:rPr>
          <w:sz w:val="24"/>
          <w:szCs w:val="24"/>
          <w:lang w:val="hu-HU"/>
        </w:rPr>
      </w:pPr>
    </w:p>
    <w:p w14:paraId="475EFCF6" w14:textId="4A4DC132" w:rsidR="00130E8B" w:rsidRPr="0002589E" w:rsidRDefault="00BB4C3C">
      <w:pPr>
        <w:pStyle w:val="a3"/>
        <w:rPr>
          <w:b/>
          <w:lang w:val="hu-HU"/>
        </w:rPr>
      </w:pPr>
      <w:r w:rsidRPr="009167C6">
        <w:rPr>
          <w:b/>
          <w:lang w:val="hu-HU"/>
        </w:rPr>
        <w:t>Kolitisz ulceróza</w:t>
      </w:r>
      <w:r w:rsidRPr="0002589E" w:rsidDel="00BB4C3C">
        <w:rPr>
          <w:rFonts w:eastAsia="Times New Roman"/>
          <w:b/>
          <w:bCs/>
          <w:lang w:val="hu-HU"/>
        </w:rPr>
        <w:t xml:space="preserve"> </w:t>
      </w:r>
    </w:p>
    <w:p w14:paraId="221B4EE6" w14:textId="77777777" w:rsidR="00130E8B" w:rsidRDefault="00130E8B">
      <w:pPr>
        <w:pStyle w:val="a3"/>
        <w:rPr>
          <w:b/>
          <w:lang w:val="hu-HU"/>
        </w:rPr>
      </w:pPr>
    </w:p>
    <w:p w14:paraId="581561C8" w14:textId="6C90D242" w:rsidR="0050547A" w:rsidRDefault="0050547A" w:rsidP="0050547A">
      <w:pPr>
        <w:pStyle w:val="a3"/>
        <w:rPr>
          <w:lang w:val="hu-HU"/>
        </w:rPr>
      </w:pPr>
      <w:r>
        <w:rPr>
          <w:rFonts w:eastAsia="Times New Roman"/>
          <w:lang w:val="hu-HU"/>
        </w:rPr>
        <w:t xml:space="preserve">A </w:t>
      </w:r>
      <w:r w:rsidRPr="00167BF3">
        <w:rPr>
          <w:lang w:val="hu-HU"/>
        </w:rPr>
        <w:t xml:space="preserve">kolitisz ulceróza </w:t>
      </w:r>
      <w:r>
        <w:rPr>
          <w:rFonts w:eastAsia="Times New Roman"/>
          <w:lang w:val="hu-HU"/>
        </w:rPr>
        <w:t>a vastagbél gyulladásos betegsége.</w:t>
      </w:r>
    </w:p>
    <w:p w14:paraId="263D416E" w14:textId="43F88DAA" w:rsidR="0050547A" w:rsidRDefault="0050547A" w:rsidP="0050547A">
      <w:pPr>
        <w:keepNext/>
        <w:autoSpaceDE w:val="0"/>
        <w:autoSpaceDN w:val="0"/>
        <w:adjustRightInd w:val="0"/>
        <w:rPr>
          <w:rFonts w:eastAsia="Times New Roman"/>
          <w:lang w:val="hu-HU"/>
        </w:rPr>
      </w:pPr>
    </w:p>
    <w:p w14:paraId="1703E0F8" w14:textId="77777777" w:rsidR="0050547A" w:rsidRPr="00EF09AD" w:rsidRDefault="0050547A" w:rsidP="0050547A">
      <w:pPr>
        <w:keepNext/>
        <w:autoSpaceDE w:val="0"/>
        <w:autoSpaceDN w:val="0"/>
        <w:adjustRightInd w:val="0"/>
        <w:rPr>
          <w:rFonts w:ascii="Times New Roman" w:eastAsia="바탕" w:hAnsi="Times New Roman" w:cs="Times New Roman"/>
          <w:bCs/>
          <w:lang w:val="hu-HU" w:eastAsia="hu-HU"/>
        </w:rPr>
      </w:pPr>
      <w:r w:rsidRPr="00EF09AD">
        <w:rPr>
          <w:rFonts w:ascii="Times New Roman" w:eastAsia="바탕" w:hAnsi="Times New Roman" w:cs="Times New Roman"/>
          <w:bCs/>
          <w:lang w:val="hu-HU" w:eastAsia="hu-HU"/>
        </w:rPr>
        <w:t xml:space="preserve">A </w:t>
      </w:r>
      <w:r>
        <w:rPr>
          <w:rFonts w:ascii="Times New Roman" w:eastAsia="바탕" w:hAnsi="Times New Roman" w:cs="Times New Roman"/>
          <w:bCs/>
          <w:lang w:val="hu-HU" w:eastAsia="hu-HU"/>
        </w:rPr>
        <w:t>Yuflyma</w:t>
      </w:r>
      <w:r w:rsidRPr="00EF09AD">
        <w:rPr>
          <w:rFonts w:ascii="Times New Roman" w:eastAsia="바탕" w:hAnsi="Times New Roman" w:cs="Times New Roman"/>
          <w:bCs/>
          <w:lang w:val="hu-HU" w:eastAsia="hu-HU"/>
        </w:rPr>
        <w:t xml:space="preserve"> alkalmazható</w:t>
      </w:r>
    </w:p>
    <w:p w14:paraId="0ADA52ED" w14:textId="77777777" w:rsidR="0050547A" w:rsidRPr="00EF09AD" w:rsidRDefault="0050547A" w:rsidP="00FD05AA">
      <w:pPr>
        <w:keepNext/>
        <w:widowControl/>
        <w:numPr>
          <w:ilvl w:val="0"/>
          <w:numId w:val="51"/>
        </w:numPr>
        <w:suppressAutoHyphens/>
        <w:autoSpaceDE w:val="0"/>
        <w:autoSpaceDN w:val="0"/>
        <w:adjustRightInd w:val="0"/>
        <w:spacing w:line="260" w:lineRule="exact"/>
        <w:rPr>
          <w:rFonts w:ascii="Times New Roman" w:eastAsia="바탕" w:hAnsi="Times New Roman" w:cs="Times New Roman"/>
          <w:lang w:val="hu-HU" w:eastAsia="hu-HU"/>
        </w:rPr>
      </w:pPr>
      <w:r w:rsidRPr="00EF09AD">
        <w:rPr>
          <w:rFonts w:ascii="Times New Roman" w:eastAsia="바탕" w:hAnsi="Times New Roman" w:cs="Times New Roman"/>
          <w:bCs/>
          <w:lang w:val="hu-HU" w:eastAsia="hu-HU"/>
        </w:rPr>
        <w:t>közepesen súlyos</w:t>
      </w:r>
      <w:r w:rsidRPr="00EF09AD">
        <w:rPr>
          <w:rFonts w:ascii="Times New Roman" w:eastAsia="바탕" w:hAnsi="Times New Roman" w:cs="Times New Roman"/>
          <w:bCs/>
          <w:lang w:val="hu-HU" w:eastAsia="hu-HU"/>
        </w:rPr>
        <w:noBreakHyphen/>
        <w:t>súlyos felnőttkori kolitisz ulceróza kezelésére és</w:t>
      </w:r>
    </w:p>
    <w:p w14:paraId="74AC16DA" w14:textId="77777777" w:rsidR="0050547A" w:rsidRPr="00EF09AD" w:rsidRDefault="0050547A" w:rsidP="00FD05AA">
      <w:pPr>
        <w:keepNext/>
        <w:widowControl/>
        <w:numPr>
          <w:ilvl w:val="0"/>
          <w:numId w:val="51"/>
        </w:numPr>
        <w:suppressAutoHyphens/>
        <w:autoSpaceDE w:val="0"/>
        <w:autoSpaceDN w:val="0"/>
        <w:adjustRightInd w:val="0"/>
        <w:spacing w:line="260" w:lineRule="exact"/>
        <w:rPr>
          <w:rFonts w:ascii="Times New Roman" w:eastAsia="바탕" w:hAnsi="Times New Roman" w:cs="Times New Roman"/>
          <w:bCs/>
          <w:lang w:val="hu-HU" w:eastAsia="hu-HU"/>
        </w:rPr>
      </w:pPr>
      <w:r w:rsidRPr="00EF09AD">
        <w:rPr>
          <w:rFonts w:ascii="Times New Roman" w:eastAsia="바탕" w:hAnsi="Times New Roman" w:cs="Times New Roman"/>
          <w:bCs/>
          <w:lang w:val="hu-HU" w:eastAsia="hu-HU"/>
        </w:rPr>
        <w:t>közepesen súlyos</w:t>
      </w:r>
      <w:r w:rsidRPr="00EF09AD">
        <w:rPr>
          <w:rFonts w:ascii="Times New Roman" w:eastAsia="바탕" w:hAnsi="Times New Roman" w:cs="Times New Roman"/>
          <w:bCs/>
          <w:lang w:val="hu-HU" w:eastAsia="hu-HU"/>
        </w:rPr>
        <w:noBreakHyphen/>
        <w:t>súlyos kolitisz ulceróza kezelésére 6 és 17 éves kor közötti gyermekeknél és serdülőknél.</w:t>
      </w:r>
    </w:p>
    <w:p w14:paraId="08F59159" w14:textId="77777777" w:rsidR="0050547A" w:rsidRDefault="0050547A" w:rsidP="0050547A">
      <w:pPr>
        <w:pStyle w:val="a3"/>
        <w:rPr>
          <w:rFonts w:eastAsia="Times New Roman"/>
          <w:lang w:val="hu-HU"/>
        </w:rPr>
      </w:pPr>
    </w:p>
    <w:p w14:paraId="4FD5C964" w14:textId="13F1ED08" w:rsidR="0050547A" w:rsidRDefault="0050547A" w:rsidP="0050547A">
      <w:pPr>
        <w:pStyle w:val="a3"/>
        <w:rPr>
          <w:lang w:val="hu-HU"/>
        </w:rPr>
      </w:pPr>
      <w:r w:rsidRPr="004E2591">
        <w:rPr>
          <w:lang w:val="hu-HU"/>
        </w:rPr>
        <w:lastRenderedPageBreak/>
        <w:t xml:space="preserve">Ön először egyéb gyógyszereket kaphat. </w:t>
      </w:r>
      <w:r w:rsidRPr="0050547A">
        <w:rPr>
          <w:lang w:val="hu-HU"/>
        </w:rPr>
        <w:t>Ha ezekre a gyógyszerekre nem reagál megfelelően</w:t>
      </w:r>
      <w:r>
        <w:rPr>
          <w:rFonts w:eastAsia="Times New Roman"/>
          <w:lang w:val="hu-HU"/>
        </w:rPr>
        <w:t>, akkor Yuflyma-t fog kapni.</w:t>
      </w:r>
    </w:p>
    <w:p w14:paraId="73C3BD87" w14:textId="77777777" w:rsidR="00130E8B" w:rsidRPr="0050547A" w:rsidRDefault="00130E8B">
      <w:pPr>
        <w:spacing w:before="15" w:line="240" w:lineRule="exact"/>
        <w:rPr>
          <w:sz w:val="24"/>
          <w:szCs w:val="24"/>
          <w:lang w:val="hu-HU"/>
        </w:rPr>
      </w:pPr>
    </w:p>
    <w:p w14:paraId="374ADE7A" w14:textId="77777777" w:rsidR="00130E8B" w:rsidRDefault="000405CC">
      <w:pPr>
        <w:pStyle w:val="a3"/>
        <w:rPr>
          <w:b/>
          <w:lang w:val="hu-HU"/>
        </w:rPr>
      </w:pPr>
      <w:r>
        <w:rPr>
          <w:rFonts w:eastAsia="Times New Roman"/>
          <w:b/>
          <w:bCs/>
          <w:lang w:val="hu-HU"/>
        </w:rPr>
        <w:t>Nem fertőzéses eredetű szemgyulladás (uveitisz)</w:t>
      </w:r>
    </w:p>
    <w:p w14:paraId="4E45C0AA" w14:textId="77777777" w:rsidR="00130E8B" w:rsidRDefault="00130E8B">
      <w:pPr>
        <w:pStyle w:val="a3"/>
        <w:rPr>
          <w:lang w:val="hu-HU"/>
        </w:rPr>
      </w:pPr>
    </w:p>
    <w:p w14:paraId="64FD2B7F" w14:textId="36467F4D" w:rsidR="00130E8B" w:rsidRPr="009167C6" w:rsidRDefault="000405CC">
      <w:pPr>
        <w:pStyle w:val="a3"/>
        <w:rPr>
          <w:rFonts w:eastAsia="TimesNewRomanPSMT"/>
          <w:lang w:val="hu-HU"/>
        </w:rPr>
      </w:pPr>
      <w:r>
        <w:rPr>
          <w:rFonts w:eastAsia="Times New Roman"/>
          <w:lang w:val="hu-HU"/>
        </w:rPr>
        <w:t xml:space="preserve">A nem fertőzéses eredetű szemgyulladás </w:t>
      </w:r>
      <w:r w:rsidR="00BB4C3C" w:rsidRPr="004A1EF4">
        <w:rPr>
          <w:rFonts w:eastAsia="Times New Roman"/>
          <w:lang w:val="hu-HU"/>
        </w:rPr>
        <w:t xml:space="preserve">a </w:t>
      </w:r>
      <w:r w:rsidR="00BB4C3C" w:rsidRPr="00DA48CC">
        <w:rPr>
          <w:rFonts w:eastAsia="TimesNewRomanPSMT"/>
          <w:lang w:val="hu-HU"/>
        </w:rPr>
        <w:t>szem bizonyos részeit érintő gyulladásos betegség</w:t>
      </w:r>
      <w:r>
        <w:rPr>
          <w:rFonts w:eastAsia="Times New Roman"/>
          <w:lang w:val="hu-HU"/>
        </w:rPr>
        <w:t>. A Yuflyma alkalmazható</w:t>
      </w:r>
    </w:p>
    <w:p w14:paraId="5F7A9CFF" w14:textId="235B6012" w:rsidR="0002589E" w:rsidRPr="00CE42DC" w:rsidRDefault="00C4148F" w:rsidP="00FD05AA">
      <w:pPr>
        <w:keepNext/>
        <w:widowControl/>
        <w:numPr>
          <w:ilvl w:val="0"/>
          <w:numId w:val="51"/>
        </w:numPr>
        <w:suppressAutoHyphens/>
        <w:autoSpaceDE w:val="0"/>
        <w:autoSpaceDN w:val="0"/>
        <w:adjustRightInd w:val="0"/>
        <w:spacing w:line="260" w:lineRule="exact"/>
        <w:rPr>
          <w:rFonts w:ascii="Times New Roman" w:eastAsia="바탕" w:hAnsi="Times New Roman" w:cs="Times New Roman"/>
          <w:bCs/>
          <w:lang w:val="hu-HU" w:eastAsia="hu-HU"/>
        </w:rPr>
      </w:pPr>
      <w:r>
        <w:rPr>
          <w:rFonts w:ascii="Times New Roman" w:eastAsia="바탕" w:hAnsi="Times New Roman" w:cs="Times New Roman"/>
          <w:bCs/>
          <w:lang w:val="hu-HU" w:eastAsia="ko-KR"/>
        </w:rPr>
        <w:t>f</w:t>
      </w:r>
      <w:r w:rsidR="0002589E" w:rsidRPr="00CE42DC">
        <w:rPr>
          <w:rFonts w:ascii="Times New Roman" w:eastAsia="바탕" w:hAnsi="Times New Roman" w:cs="Times New Roman"/>
          <w:bCs/>
          <w:lang w:val="hu-HU" w:eastAsia="hu-HU"/>
        </w:rPr>
        <w:t>elnőttkori, nem fertőzéses eredetű szemgyulladás kezelésére, amikor a gyulladás a szemfeneket érinti</w:t>
      </w:r>
    </w:p>
    <w:p w14:paraId="7DE5D81F" w14:textId="77777777" w:rsidR="0002589E" w:rsidRPr="009167C6" w:rsidRDefault="0002589E" w:rsidP="00FD05AA">
      <w:pPr>
        <w:keepNext/>
        <w:widowControl/>
        <w:numPr>
          <w:ilvl w:val="0"/>
          <w:numId w:val="51"/>
        </w:numPr>
        <w:suppressAutoHyphens/>
        <w:autoSpaceDE w:val="0"/>
        <w:autoSpaceDN w:val="0"/>
        <w:adjustRightInd w:val="0"/>
        <w:spacing w:line="260" w:lineRule="exact"/>
        <w:rPr>
          <w:rFonts w:ascii="Times New Roman" w:hAnsi="Times New Roman" w:cs="Times New Roman"/>
          <w:lang w:val="hu-HU"/>
        </w:rPr>
      </w:pPr>
      <w:r w:rsidRPr="00CE42DC">
        <w:rPr>
          <w:rFonts w:ascii="Times New Roman" w:eastAsia="바탕" w:hAnsi="Times New Roman" w:cs="Times New Roman"/>
          <w:bCs/>
          <w:lang w:val="hu-HU" w:eastAsia="hu-HU"/>
        </w:rPr>
        <w:t>2 évnél idősebb gyermekeknél a krónikus, nem fertőzéses eredetű szemgyulladás kezelésére, amikor a gyulladás a szem elülső részét érinti.</w:t>
      </w:r>
    </w:p>
    <w:p w14:paraId="1879B4C1" w14:textId="77777777" w:rsidR="00130E8B" w:rsidRDefault="00130E8B">
      <w:pPr>
        <w:pStyle w:val="a3"/>
        <w:rPr>
          <w:lang w:val="hu-HU"/>
        </w:rPr>
      </w:pPr>
    </w:p>
    <w:p w14:paraId="1017FD39" w14:textId="03816231" w:rsidR="00130E8B" w:rsidRDefault="000405CC">
      <w:pPr>
        <w:pStyle w:val="a3"/>
        <w:rPr>
          <w:lang w:val="hu-HU"/>
        </w:rPr>
      </w:pPr>
      <w:r>
        <w:rPr>
          <w:rFonts w:eastAsia="Times New Roman"/>
          <w:lang w:val="hu-HU"/>
        </w:rPr>
        <w:t xml:space="preserve">A gyulladás látáscsökkenéshez és/vagy a szemben úszkáló homályok (fekete pontok vagy vékony csíkok, melyek a </w:t>
      </w:r>
      <w:r w:rsidR="00C4148F" w:rsidRPr="005A6F51">
        <w:rPr>
          <w:rFonts w:eastAsia="Times New Roman"/>
          <w:lang w:val="hu-HU"/>
        </w:rPr>
        <w:t>látótérben</w:t>
      </w:r>
      <w:r w:rsidR="00C4148F">
        <w:rPr>
          <w:rFonts w:eastAsia="Times New Roman"/>
          <w:lang w:val="hu-HU"/>
        </w:rPr>
        <w:t xml:space="preserve"> </w:t>
      </w:r>
      <w:r>
        <w:rPr>
          <w:rFonts w:eastAsia="Times New Roman"/>
          <w:lang w:val="hu-HU"/>
        </w:rPr>
        <w:t>mozognak) jelenlétéhez vezethet. A Yuflyma ezt a gyulladást csökkenti.</w:t>
      </w:r>
    </w:p>
    <w:p w14:paraId="035A3486" w14:textId="77777777" w:rsidR="00130E8B" w:rsidRDefault="00130E8B">
      <w:pPr>
        <w:spacing w:before="10" w:line="240" w:lineRule="exact"/>
        <w:rPr>
          <w:sz w:val="24"/>
          <w:szCs w:val="24"/>
          <w:lang w:val="hu-HU"/>
        </w:rPr>
      </w:pPr>
    </w:p>
    <w:p w14:paraId="369DB0BA" w14:textId="77777777" w:rsidR="00130E8B" w:rsidRDefault="000405CC">
      <w:pPr>
        <w:pStyle w:val="a3"/>
        <w:rPr>
          <w:lang w:val="hu-HU"/>
        </w:rPr>
      </w:pPr>
      <w:r>
        <w:rPr>
          <w:rFonts w:eastAsia="Times New Roman"/>
          <w:lang w:val="hu-HU"/>
        </w:rPr>
        <w:t>Először más gyógyszereket kaphat. Ha nem reagál megfelelő módon ezekre a gyógyszerekre, akkor Yuflyma-t fog kapni.</w:t>
      </w:r>
    </w:p>
    <w:p w14:paraId="5A91A450" w14:textId="77777777" w:rsidR="00130E8B" w:rsidRDefault="00130E8B">
      <w:pPr>
        <w:spacing w:before="18" w:line="240" w:lineRule="exact"/>
        <w:rPr>
          <w:rFonts w:ascii="Times New Roman" w:hAnsi="Times New Roman" w:cs="Times New Roman"/>
          <w:b/>
          <w:lang w:val="hu-HU"/>
        </w:rPr>
      </w:pPr>
    </w:p>
    <w:p w14:paraId="20597B9D" w14:textId="77777777" w:rsidR="00130E8B" w:rsidRDefault="00130E8B">
      <w:pPr>
        <w:spacing w:before="18" w:line="240" w:lineRule="exact"/>
        <w:ind w:left="108"/>
        <w:rPr>
          <w:rFonts w:ascii="Times New Roman" w:hAnsi="Times New Roman" w:cs="Times New Roman"/>
          <w:b/>
          <w:lang w:val="hu-HU"/>
        </w:rPr>
      </w:pPr>
    </w:p>
    <w:p w14:paraId="23E7F4C1" w14:textId="77777777" w:rsidR="00130E8B" w:rsidRDefault="000405CC">
      <w:pPr>
        <w:pStyle w:val="a4"/>
        <w:numPr>
          <w:ilvl w:val="0"/>
          <w:numId w:val="37"/>
        </w:numPr>
        <w:spacing w:line="240" w:lineRule="exact"/>
        <w:ind w:hanging="468"/>
        <w:rPr>
          <w:lang w:val="hu-HU"/>
        </w:rPr>
      </w:pPr>
      <w:r>
        <w:rPr>
          <w:rFonts w:ascii="Times New Roman" w:eastAsia="Times New Roman" w:hAnsi="Times New Roman" w:cs="Times New Roman"/>
          <w:b/>
          <w:bCs/>
          <w:lang w:val="hu-HU"/>
        </w:rPr>
        <w:t>Tudnivalók a Yuflyma alkalmazása előtt</w:t>
      </w:r>
    </w:p>
    <w:p w14:paraId="14A544DE" w14:textId="77777777" w:rsidR="00130E8B" w:rsidRDefault="00130E8B">
      <w:pPr>
        <w:spacing w:before="18" w:line="240" w:lineRule="exact"/>
        <w:ind w:left="108"/>
        <w:rPr>
          <w:b/>
          <w:bCs/>
          <w:lang w:val="hu-HU"/>
        </w:rPr>
      </w:pPr>
    </w:p>
    <w:p w14:paraId="234FA755" w14:textId="77777777" w:rsidR="00130E8B" w:rsidRDefault="000405CC">
      <w:pPr>
        <w:pStyle w:val="a3"/>
        <w:rPr>
          <w:b/>
          <w:lang w:val="hu-HU"/>
        </w:rPr>
      </w:pPr>
      <w:r>
        <w:rPr>
          <w:rFonts w:eastAsia="Times New Roman"/>
          <w:b/>
          <w:bCs/>
          <w:lang w:val="hu-HU"/>
        </w:rPr>
        <w:t>Ne alkalmazza a Yuflymát:</w:t>
      </w:r>
    </w:p>
    <w:p w14:paraId="41D32193" w14:textId="77777777" w:rsidR="00130E8B" w:rsidRDefault="00130E8B">
      <w:pPr>
        <w:pStyle w:val="a3"/>
        <w:rPr>
          <w:b/>
          <w:lang w:val="hu-HU"/>
        </w:rPr>
      </w:pPr>
    </w:p>
    <w:p w14:paraId="5BBBD8FF" w14:textId="77777777" w:rsidR="00130E8B" w:rsidRDefault="000405CC">
      <w:pPr>
        <w:pStyle w:val="a3"/>
        <w:numPr>
          <w:ilvl w:val="1"/>
          <w:numId w:val="4"/>
        </w:numPr>
        <w:ind w:left="660" w:hanging="660"/>
        <w:rPr>
          <w:lang w:val="hu-HU"/>
        </w:rPr>
      </w:pPr>
      <w:r>
        <w:rPr>
          <w:rFonts w:eastAsia="Times New Roman"/>
          <w:lang w:val="hu-HU"/>
        </w:rPr>
        <w:t>ha allergiás az adalimumabra vagy a gyógyszer (6. pontban felsorolt) egyéb összetevőjére;</w:t>
      </w:r>
    </w:p>
    <w:p w14:paraId="50808B3F" w14:textId="77777777" w:rsidR="00130E8B" w:rsidRDefault="00130E8B">
      <w:pPr>
        <w:pStyle w:val="a3"/>
        <w:numPr>
          <w:ilvl w:val="0"/>
          <w:numId w:val="0"/>
        </w:numPr>
        <w:ind w:left="660"/>
        <w:rPr>
          <w:lang w:val="hu-HU"/>
        </w:rPr>
      </w:pPr>
    </w:p>
    <w:p w14:paraId="6E6ADD34" w14:textId="15A0A880" w:rsidR="00130E8B" w:rsidRDefault="00C4148F">
      <w:pPr>
        <w:pStyle w:val="a3"/>
        <w:numPr>
          <w:ilvl w:val="1"/>
          <w:numId w:val="4"/>
        </w:numPr>
        <w:ind w:left="660" w:hanging="660"/>
        <w:rPr>
          <w:lang w:val="hu-HU"/>
        </w:rPr>
      </w:pPr>
      <w:r>
        <w:rPr>
          <w:rFonts w:eastAsia="Times New Roman"/>
          <w:lang w:val="hu-HU"/>
        </w:rPr>
        <w:t>h</w:t>
      </w:r>
      <w:r w:rsidR="000405CC">
        <w:rPr>
          <w:rFonts w:eastAsia="Times New Roman"/>
          <w:lang w:val="hu-HU"/>
        </w:rPr>
        <w:t>a aktív tuberkulózisban vagy más súlyos fertőzésben szenved (lásd „Figyelmeztetések és óvintézkedések”). Kezelőorvosával feltétlenül közölje, ha bármilyen fertőzésre utaló tünete van, mint p</w:t>
      </w:r>
      <w:r w:rsidR="006A0123">
        <w:rPr>
          <w:rFonts w:eastAsia="Times New Roman"/>
          <w:lang w:val="hu-HU"/>
        </w:rPr>
        <w:t>éldául</w:t>
      </w:r>
      <w:r w:rsidR="000405CC">
        <w:rPr>
          <w:rFonts w:eastAsia="Times New Roman"/>
          <w:lang w:val="hu-HU"/>
        </w:rPr>
        <w:t xml:space="preserve"> láz, sebek, fáradtságérzés, fogászati problémák.</w:t>
      </w:r>
    </w:p>
    <w:p w14:paraId="14B5149F" w14:textId="77777777" w:rsidR="00130E8B" w:rsidRDefault="00130E8B">
      <w:pPr>
        <w:pStyle w:val="a3"/>
        <w:numPr>
          <w:ilvl w:val="0"/>
          <w:numId w:val="0"/>
        </w:numPr>
        <w:ind w:left="660"/>
        <w:rPr>
          <w:lang w:val="hu-HU"/>
        </w:rPr>
      </w:pPr>
    </w:p>
    <w:p w14:paraId="01E4CDA4" w14:textId="5EC666B4" w:rsidR="00130E8B" w:rsidRDefault="00C4148F">
      <w:pPr>
        <w:pStyle w:val="a3"/>
        <w:numPr>
          <w:ilvl w:val="1"/>
          <w:numId w:val="4"/>
        </w:numPr>
        <w:ind w:left="660" w:hanging="660"/>
        <w:rPr>
          <w:lang w:val="hu-HU"/>
        </w:rPr>
      </w:pPr>
      <w:r>
        <w:rPr>
          <w:rFonts w:eastAsia="Times New Roman"/>
          <w:lang w:val="hu-HU"/>
        </w:rPr>
        <w:t>h</w:t>
      </w:r>
      <w:r w:rsidR="000405CC">
        <w:rPr>
          <w:rFonts w:eastAsia="Times New Roman"/>
          <w:lang w:val="hu-HU"/>
        </w:rPr>
        <w:t xml:space="preserve">a Ön közepesen súlyos vagy súlyos szívelégtelenségben szenved. Kezelőorvosával feltétlenül közölje, ha Önnek </w:t>
      </w:r>
      <w:r w:rsidRPr="00664C6D">
        <w:rPr>
          <w:rFonts w:eastAsia="Times New Roman"/>
          <w:lang w:val="hu-HU"/>
        </w:rPr>
        <w:t>korábban</w:t>
      </w:r>
      <w:r w:rsidR="000405CC">
        <w:rPr>
          <w:rFonts w:eastAsia="Times New Roman"/>
          <w:lang w:val="hu-HU"/>
        </w:rPr>
        <w:t xml:space="preserve"> vagy </w:t>
      </w:r>
      <w:r>
        <w:rPr>
          <w:rFonts w:eastAsia="Times New Roman"/>
          <w:lang w:val="hu-HU"/>
        </w:rPr>
        <w:t xml:space="preserve">most </w:t>
      </w:r>
      <w:r w:rsidRPr="00664C6D">
        <w:rPr>
          <w:rFonts w:eastAsia="Times New Roman"/>
          <w:lang w:val="hu-HU"/>
        </w:rPr>
        <w:t>fennálló</w:t>
      </w:r>
      <w:r>
        <w:rPr>
          <w:rFonts w:eastAsia="Times New Roman"/>
          <w:lang w:val="hu-HU"/>
        </w:rPr>
        <w:t xml:space="preserve"> </w:t>
      </w:r>
      <w:r w:rsidR="000405CC">
        <w:rPr>
          <w:rFonts w:eastAsia="Times New Roman"/>
          <w:lang w:val="hu-HU"/>
        </w:rPr>
        <w:t>súlyos szívproblémája (lásd „Figyelmeztetések és óvintézkedések”).</w:t>
      </w:r>
    </w:p>
    <w:p w14:paraId="41B1B0B2" w14:textId="77777777" w:rsidR="00130E8B" w:rsidRDefault="00130E8B">
      <w:pPr>
        <w:spacing w:before="13" w:line="240" w:lineRule="exact"/>
        <w:rPr>
          <w:sz w:val="24"/>
          <w:szCs w:val="24"/>
          <w:lang w:val="hu-HU"/>
        </w:rPr>
      </w:pPr>
    </w:p>
    <w:p w14:paraId="58D46545" w14:textId="77777777" w:rsidR="00130E8B" w:rsidRDefault="000405CC">
      <w:pPr>
        <w:pStyle w:val="a3"/>
        <w:rPr>
          <w:b/>
          <w:lang w:val="hu-HU"/>
        </w:rPr>
      </w:pPr>
      <w:r>
        <w:rPr>
          <w:rFonts w:eastAsia="Times New Roman"/>
          <w:b/>
          <w:bCs/>
          <w:lang w:val="hu-HU"/>
        </w:rPr>
        <w:t>Figyelmeztetések és óvintézkedések</w:t>
      </w:r>
    </w:p>
    <w:p w14:paraId="673DF948" w14:textId="77777777" w:rsidR="00130E8B" w:rsidRDefault="00130E8B">
      <w:pPr>
        <w:spacing w:before="9" w:line="240" w:lineRule="exact"/>
        <w:rPr>
          <w:sz w:val="24"/>
          <w:szCs w:val="24"/>
          <w:lang w:val="hu-HU"/>
        </w:rPr>
      </w:pPr>
    </w:p>
    <w:p w14:paraId="4F912A9A" w14:textId="77777777" w:rsidR="00130E8B" w:rsidRDefault="000405CC">
      <w:pPr>
        <w:pStyle w:val="a3"/>
        <w:rPr>
          <w:lang w:val="hu-HU"/>
        </w:rPr>
      </w:pPr>
      <w:r>
        <w:rPr>
          <w:rFonts w:eastAsia="Times New Roman"/>
          <w:lang w:val="hu-HU"/>
        </w:rPr>
        <w:t>A Yuflyma alkalmazása előtt beszéljen kezelőorvosával vagy gyógyszerészével</w:t>
      </w:r>
    </w:p>
    <w:p w14:paraId="0F1C41EC" w14:textId="77777777" w:rsidR="00130E8B" w:rsidRDefault="00130E8B">
      <w:pPr>
        <w:pStyle w:val="a3"/>
        <w:rPr>
          <w:lang w:val="hu-HU"/>
        </w:rPr>
      </w:pPr>
    </w:p>
    <w:p w14:paraId="4A19A465" w14:textId="77777777" w:rsidR="00130E8B" w:rsidRDefault="000405CC">
      <w:pPr>
        <w:pStyle w:val="a3"/>
        <w:rPr>
          <w:u w:val="single" w:color="000000"/>
          <w:lang w:val="hu-HU"/>
        </w:rPr>
      </w:pPr>
      <w:r>
        <w:rPr>
          <w:rFonts w:eastAsia="Times New Roman"/>
          <w:u w:val="single" w:color="000000"/>
          <w:lang w:val="hu-HU"/>
        </w:rPr>
        <w:t>Allergiás reakciók</w:t>
      </w:r>
    </w:p>
    <w:p w14:paraId="54C4903B" w14:textId="77777777" w:rsidR="00130E8B" w:rsidRDefault="00130E8B">
      <w:pPr>
        <w:pStyle w:val="a3"/>
        <w:rPr>
          <w:u w:val="single"/>
          <w:lang w:val="hu-HU"/>
        </w:rPr>
      </w:pPr>
    </w:p>
    <w:p w14:paraId="13DE0399" w14:textId="4BD433F8" w:rsidR="00130E8B" w:rsidRDefault="000405CC">
      <w:pPr>
        <w:pStyle w:val="a3"/>
        <w:numPr>
          <w:ilvl w:val="1"/>
          <w:numId w:val="4"/>
        </w:numPr>
        <w:ind w:left="660" w:hanging="660"/>
        <w:rPr>
          <w:lang w:val="hu-HU"/>
        </w:rPr>
      </w:pPr>
      <w:r>
        <w:rPr>
          <w:rFonts w:eastAsia="Times New Roman"/>
          <w:lang w:val="hu-HU"/>
        </w:rPr>
        <w:t xml:space="preserve">Ha olyan allergiás reakciókat észlel, mint mellkasi szorítás, </w:t>
      </w:r>
      <w:r w:rsidR="00DB3CCA">
        <w:rPr>
          <w:lang w:val="hu-HU"/>
        </w:rPr>
        <w:t>ziháló légzés</w:t>
      </w:r>
      <w:r>
        <w:rPr>
          <w:rFonts w:eastAsia="Times New Roman"/>
          <w:lang w:val="hu-HU"/>
        </w:rPr>
        <w:t xml:space="preserve">, szédülés, duzzanat vagy viszketés, ne használja tovább a </w:t>
      </w:r>
      <w:r w:rsidR="00A150A2">
        <w:rPr>
          <w:rFonts w:eastAsia="Times New Roman"/>
          <w:lang w:val="hu-HU"/>
        </w:rPr>
        <w:t>Yuflymá</w:t>
      </w:r>
      <w:r>
        <w:rPr>
          <w:rFonts w:eastAsia="Times New Roman"/>
          <w:lang w:val="hu-HU"/>
        </w:rPr>
        <w:t>-t, és azonnal forduljon kezelőorvosához, mivel ritka esetekben ezek a reakciók életveszélyesek lehetnek.</w:t>
      </w:r>
    </w:p>
    <w:p w14:paraId="473CC818" w14:textId="77777777" w:rsidR="00130E8B" w:rsidRDefault="00130E8B">
      <w:pPr>
        <w:pStyle w:val="a3"/>
        <w:rPr>
          <w:b/>
          <w:lang w:val="hu-HU"/>
        </w:rPr>
      </w:pPr>
    </w:p>
    <w:p w14:paraId="01D50D73" w14:textId="77777777" w:rsidR="00130E8B" w:rsidRDefault="000405CC">
      <w:pPr>
        <w:pStyle w:val="a3"/>
        <w:rPr>
          <w:u w:val="single"/>
          <w:lang w:val="hu-HU"/>
        </w:rPr>
      </w:pPr>
      <w:r>
        <w:rPr>
          <w:rFonts w:eastAsia="Times New Roman"/>
          <w:u w:val="single"/>
          <w:lang w:val="hu-HU"/>
        </w:rPr>
        <w:t>Fertőzések</w:t>
      </w:r>
    </w:p>
    <w:p w14:paraId="6571A840" w14:textId="77777777" w:rsidR="00130E8B" w:rsidRDefault="00130E8B">
      <w:pPr>
        <w:pStyle w:val="a3"/>
        <w:rPr>
          <w:b/>
          <w:lang w:val="hu-HU"/>
        </w:rPr>
      </w:pPr>
    </w:p>
    <w:p w14:paraId="54509749" w14:textId="26DA834B" w:rsidR="00130E8B" w:rsidRDefault="000405CC">
      <w:pPr>
        <w:pStyle w:val="a3"/>
        <w:numPr>
          <w:ilvl w:val="1"/>
          <w:numId w:val="4"/>
        </w:numPr>
        <w:ind w:left="660" w:hanging="660"/>
        <w:rPr>
          <w:lang w:val="hu-HU"/>
        </w:rPr>
      </w:pPr>
      <w:r>
        <w:rPr>
          <w:rFonts w:eastAsia="Times New Roman"/>
          <w:lang w:val="hu-HU"/>
        </w:rPr>
        <w:t>Ha fertőzésben szenved, ideértve a hosszantartó vagy a test egy részét érintő fertőzést (</w:t>
      </w:r>
      <w:r w:rsidR="00E712D7">
        <w:rPr>
          <w:rFonts w:eastAsia="Times New Roman"/>
          <w:lang w:val="hu-HU"/>
        </w:rPr>
        <w:t>például</w:t>
      </w:r>
      <w:r>
        <w:rPr>
          <w:rFonts w:eastAsia="Times New Roman"/>
          <w:lang w:val="hu-HU"/>
        </w:rPr>
        <w:t xml:space="preserve"> lábszárfekély), beszéljen kezelőorvosával a Yuflyma alkalmazása előtt. Ha kétségei vannak, forduljon kezelőorvosához.</w:t>
      </w:r>
    </w:p>
    <w:p w14:paraId="32C8BBEA" w14:textId="77777777" w:rsidR="00130E8B" w:rsidRDefault="00130E8B">
      <w:pPr>
        <w:pStyle w:val="a3"/>
        <w:rPr>
          <w:lang w:val="hu-HU"/>
        </w:rPr>
      </w:pPr>
    </w:p>
    <w:p w14:paraId="59DDC52A" w14:textId="62E458B6" w:rsidR="00130E8B" w:rsidRDefault="000405CC">
      <w:pPr>
        <w:pStyle w:val="a3"/>
        <w:numPr>
          <w:ilvl w:val="1"/>
          <w:numId w:val="4"/>
        </w:numPr>
        <w:ind w:left="660" w:hanging="660"/>
        <w:rPr>
          <w:lang w:val="hu-HU"/>
        </w:rPr>
      </w:pPr>
      <w:r>
        <w:rPr>
          <w:rFonts w:eastAsia="Times New Roman"/>
          <w:lang w:val="hu-HU"/>
        </w:rPr>
        <w:t xml:space="preserve">A Yuflyma-kezelés során könnyebben </w:t>
      </w:r>
      <w:r w:rsidR="00C4148F" w:rsidRPr="0019185C">
        <w:rPr>
          <w:rFonts w:eastAsia="Times New Roman"/>
          <w:lang w:val="hu-HU"/>
        </w:rPr>
        <w:t>megfertőződhet</w:t>
      </w:r>
      <w:r>
        <w:rPr>
          <w:rFonts w:eastAsia="Times New Roman"/>
          <w:lang w:val="hu-HU"/>
        </w:rPr>
        <w:t>. Ennek veszélye nagyobb lehet, ha tüdőbetegsége van. Ezek a fertőzések súlyosak lehetnek és közéjük tartozik:</w:t>
      </w:r>
    </w:p>
    <w:p w14:paraId="2BE1CF33" w14:textId="77777777" w:rsidR="00130E8B" w:rsidRDefault="000405CC">
      <w:pPr>
        <w:pStyle w:val="a3"/>
        <w:numPr>
          <w:ilvl w:val="1"/>
          <w:numId w:val="4"/>
        </w:numPr>
        <w:ind w:left="660" w:firstLine="49"/>
        <w:rPr>
          <w:lang w:val="hu-HU"/>
        </w:rPr>
      </w:pPr>
      <w:r>
        <w:rPr>
          <w:rFonts w:eastAsia="Times New Roman"/>
          <w:lang w:val="hu-HU"/>
        </w:rPr>
        <w:t>tuberkulózis</w:t>
      </w:r>
    </w:p>
    <w:p w14:paraId="10D6A36F" w14:textId="77777777" w:rsidR="00130E8B" w:rsidRDefault="000405CC">
      <w:pPr>
        <w:pStyle w:val="a3"/>
        <w:numPr>
          <w:ilvl w:val="1"/>
          <w:numId w:val="4"/>
        </w:numPr>
        <w:ind w:left="660" w:firstLine="49"/>
        <w:rPr>
          <w:lang w:val="hu-HU"/>
        </w:rPr>
      </w:pPr>
      <w:r>
        <w:rPr>
          <w:rFonts w:eastAsia="Times New Roman"/>
          <w:lang w:val="hu-HU"/>
        </w:rPr>
        <w:t>vírusok, gombák, paraziták vagy baktériumok okozta fertőzések</w:t>
      </w:r>
    </w:p>
    <w:p w14:paraId="15488CE1" w14:textId="77777777" w:rsidR="00130E8B" w:rsidRDefault="000405CC">
      <w:pPr>
        <w:pStyle w:val="a3"/>
        <w:numPr>
          <w:ilvl w:val="1"/>
          <w:numId w:val="4"/>
        </w:numPr>
        <w:ind w:left="660" w:firstLine="49"/>
        <w:rPr>
          <w:lang w:val="hu-HU"/>
        </w:rPr>
      </w:pPr>
      <w:r>
        <w:rPr>
          <w:rFonts w:eastAsia="Times New Roman"/>
          <w:lang w:val="hu-HU"/>
        </w:rPr>
        <w:t>súlyos fertőzés a vérben (szepszis)</w:t>
      </w:r>
    </w:p>
    <w:p w14:paraId="1B514605" w14:textId="77777777" w:rsidR="00130E8B" w:rsidRDefault="00130E8B">
      <w:pPr>
        <w:pStyle w:val="a3"/>
        <w:rPr>
          <w:lang w:val="hu-HU"/>
        </w:rPr>
      </w:pPr>
    </w:p>
    <w:p w14:paraId="17F7DCB9" w14:textId="77777777" w:rsidR="00130E8B" w:rsidRDefault="000405CC">
      <w:pPr>
        <w:pStyle w:val="a3"/>
        <w:numPr>
          <w:ilvl w:val="0"/>
          <w:numId w:val="0"/>
        </w:numPr>
        <w:ind w:left="660"/>
        <w:rPr>
          <w:lang w:val="hu-HU"/>
        </w:rPr>
      </w:pPr>
      <w:r>
        <w:rPr>
          <w:rFonts w:eastAsia="Times New Roman"/>
          <w:lang w:val="hu-HU"/>
        </w:rPr>
        <w:t>Ritkán ezek a fertőzések életveszélyesek lehetnek. Kezelőorvosával feltétlenül közölje, ha bármilyen fertőzésre utaló tünete van, mint láz, sebek, fáradtságérzés, fogászati problémák. Kezelőorvosa a Yuflyma-kezelés átmeneti felfüggesztését javasolhatja.</w:t>
      </w:r>
    </w:p>
    <w:p w14:paraId="1ADB73CF" w14:textId="77777777" w:rsidR="00130E8B" w:rsidRDefault="00130E8B">
      <w:pPr>
        <w:pStyle w:val="a3"/>
        <w:rPr>
          <w:lang w:val="hu-HU"/>
        </w:rPr>
      </w:pPr>
    </w:p>
    <w:p w14:paraId="6FF6946D" w14:textId="1340E4AE" w:rsidR="00130E8B" w:rsidRDefault="000405CC">
      <w:pPr>
        <w:pStyle w:val="a3"/>
        <w:numPr>
          <w:ilvl w:val="1"/>
          <w:numId w:val="4"/>
        </w:numPr>
        <w:ind w:left="660" w:hanging="660"/>
        <w:rPr>
          <w:lang w:val="hu-HU"/>
        </w:rPr>
      </w:pPr>
      <w:r>
        <w:rPr>
          <w:rFonts w:eastAsia="Times New Roman"/>
          <w:lang w:val="hu-HU"/>
        </w:rPr>
        <w:t>Tájékoztassa kezelőorvosát, ha olyan területen él vagy olyan területre utazik, ahol nagyon gyakoriak a gombák okozta fertőzések (p</w:t>
      </w:r>
      <w:r w:rsidR="006A0123">
        <w:rPr>
          <w:rFonts w:eastAsia="Times New Roman"/>
          <w:lang w:val="hu-HU"/>
        </w:rPr>
        <w:t>éldául</w:t>
      </w:r>
      <w:r>
        <w:rPr>
          <w:rFonts w:eastAsia="Times New Roman"/>
          <w:lang w:val="hu-HU"/>
        </w:rPr>
        <w:t xml:space="preserve"> a hisztoplazmózis, kokcidioidomikózis vagy a blasztomikózis).</w:t>
      </w:r>
    </w:p>
    <w:p w14:paraId="61A91DB2" w14:textId="77777777" w:rsidR="00130E8B" w:rsidRDefault="00130E8B">
      <w:pPr>
        <w:pStyle w:val="a3"/>
        <w:rPr>
          <w:lang w:val="hu-HU"/>
        </w:rPr>
      </w:pPr>
    </w:p>
    <w:p w14:paraId="2FE5187F" w14:textId="77777777" w:rsidR="00130E8B" w:rsidRDefault="000405CC">
      <w:pPr>
        <w:pStyle w:val="a3"/>
        <w:numPr>
          <w:ilvl w:val="1"/>
          <w:numId w:val="4"/>
        </w:numPr>
        <w:ind w:left="660" w:hanging="660"/>
        <w:rPr>
          <w:lang w:val="hu-HU"/>
        </w:rPr>
      </w:pPr>
      <w:r>
        <w:rPr>
          <w:rFonts w:eastAsia="Times New Roman"/>
          <w:lang w:val="hu-HU"/>
        </w:rPr>
        <w:t>Tájékoztassa kezelőorvosát, ha visszatérő fertőzései, vagy egyéb olyan betegségei vannak, amelyek fokozzák a fertőzés lehetőségét.</w:t>
      </w:r>
    </w:p>
    <w:p w14:paraId="02E98A05" w14:textId="77777777" w:rsidR="00130E8B" w:rsidRDefault="00130E8B">
      <w:pPr>
        <w:pStyle w:val="a3"/>
        <w:numPr>
          <w:ilvl w:val="0"/>
          <w:numId w:val="0"/>
        </w:numPr>
        <w:rPr>
          <w:lang w:val="hu-HU"/>
        </w:rPr>
      </w:pPr>
    </w:p>
    <w:p w14:paraId="5460990A" w14:textId="77777777" w:rsidR="00130E8B" w:rsidRDefault="000405CC">
      <w:pPr>
        <w:pStyle w:val="a3"/>
        <w:numPr>
          <w:ilvl w:val="1"/>
          <w:numId w:val="4"/>
        </w:numPr>
        <w:ind w:left="660" w:hanging="660"/>
        <w:rPr>
          <w:lang w:val="hu-HU"/>
        </w:rPr>
      </w:pPr>
      <w:r>
        <w:rPr>
          <w:rFonts w:eastAsia="Times New Roman"/>
          <w:lang w:val="hu-HU"/>
        </w:rPr>
        <w:t>Ha Ön 65 évnél idősebb, a Yuflyma-kezelés ideje alatt fogékonyabb lehet a fertőzésekre. A Yuflyma-kezelés ideje alatt Önnek és kezelőorvosának különös figyelmet kell fordítania a fertőzések tüneteire. Feltétlenül tájékoztassa kezelőorvosát, ha fertőzésre utaló tünetei vannak, mint például láz, sebek, fáradtságérzés vagy fogászati problémák.</w:t>
      </w:r>
    </w:p>
    <w:p w14:paraId="18DBE975" w14:textId="77777777" w:rsidR="00130E8B" w:rsidRDefault="00130E8B">
      <w:pPr>
        <w:spacing w:before="11" w:line="240" w:lineRule="exact"/>
        <w:rPr>
          <w:sz w:val="24"/>
          <w:szCs w:val="24"/>
          <w:lang w:val="hu-HU"/>
        </w:rPr>
      </w:pPr>
    </w:p>
    <w:p w14:paraId="03C531E3" w14:textId="77777777" w:rsidR="00D71745" w:rsidRPr="00D71745" w:rsidRDefault="00D71745" w:rsidP="00D71745">
      <w:pPr>
        <w:pStyle w:val="a3"/>
        <w:rPr>
          <w:u w:val="single"/>
          <w:lang w:val="hu-HU"/>
        </w:rPr>
      </w:pPr>
      <w:r w:rsidRPr="00545FC6">
        <w:rPr>
          <w:rFonts w:eastAsia="Times New Roman"/>
          <w:u w:val="single"/>
          <w:lang w:val="hu-HU"/>
        </w:rPr>
        <w:t>Tuberkulózis</w:t>
      </w:r>
    </w:p>
    <w:p w14:paraId="29DDE080" w14:textId="77777777" w:rsidR="00130E8B" w:rsidRDefault="00130E8B">
      <w:pPr>
        <w:spacing w:before="4" w:line="190" w:lineRule="exact"/>
        <w:rPr>
          <w:sz w:val="19"/>
          <w:szCs w:val="19"/>
          <w:lang w:val="hu-HU"/>
        </w:rPr>
      </w:pPr>
    </w:p>
    <w:p w14:paraId="04E07F03" w14:textId="77777777" w:rsidR="00130E8B" w:rsidRDefault="000405CC">
      <w:pPr>
        <w:pStyle w:val="a3"/>
        <w:numPr>
          <w:ilvl w:val="1"/>
          <w:numId w:val="4"/>
        </w:numPr>
        <w:ind w:left="660" w:hanging="660"/>
        <w:rPr>
          <w:lang w:val="hu-HU"/>
        </w:rPr>
      </w:pPr>
      <w:r>
        <w:rPr>
          <w:rFonts w:eastAsia="Times New Roman"/>
          <w:lang w:val="hu-HU"/>
        </w:rPr>
        <w:t>Feltétlenül tájékoztassa kezelőorvosát, ha bármikor tuberkulózisban szenvedett vagy közeli kapcsolatban volt valakivel, akinek tuberkulózisa volt. Ha aktív tuberkulózisa van, ne alkalmazza a Yuflyma-t.</w:t>
      </w:r>
    </w:p>
    <w:p w14:paraId="33755A93" w14:textId="36CE2A80" w:rsidR="00130E8B" w:rsidRDefault="000405CC">
      <w:pPr>
        <w:pStyle w:val="a3"/>
        <w:numPr>
          <w:ilvl w:val="1"/>
          <w:numId w:val="4"/>
        </w:numPr>
        <w:ind w:left="998" w:hanging="340"/>
        <w:rPr>
          <w:lang w:val="hu-HU"/>
        </w:rPr>
      </w:pPr>
      <w:r>
        <w:rPr>
          <w:rFonts w:eastAsia="Times New Roman"/>
          <w:lang w:val="hu-HU"/>
        </w:rPr>
        <w:t xml:space="preserve">Mivel a Yuflyma-val kezelt betegeknél tuberkulózisos eseteket jelentettek, kezelőorvosa a Yuflyma-kezelés megkezdése előtt ellenőrizni fogja a tuberkulózis jeleit és tüneteit. Részletes orvosi kórelőzmény felvételére és megfelelő szűrővizsgálatokra (mint </w:t>
      </w:r>
      <w:r w:rsidR="00E712D7">
        <w:rPr>
          <w:rFonts w:eastAsia="Times New Roman"/>
          <w:lang w:val="hu-HU"/>
        </w:rPr>
        <w:t>például</w:t>
      </w:r>
      <w:r>
        <w:rPr>
          <w:rFonts w:eastAsia="Times New Roman"/>
          <w:lang w:val="hu-HU"/>
        </w:rPr>
        <w:t xml:space="preserve"> mellkasröntgen vizsgálatra és tuberkulin teszt végzésére) kerül sor. A </w:t>
      </w:r>
      <w:r>
        <w:rPr>
          <w:rFonts w:eastAsia="Times New Roman"/>
          <w:b/>
          <w:bCs/>
          <w:lang w:val="hu-HU"/>
        </w:rPr>
        <w:t>Betege kártyán</w:t>
      </w:r>
      <w:r>
        <w:rPr>
          <w:rFonts w:eastAsia="Times New Roman"/>
          <w:lang w:val="hu-HU"/>
        </w:rPr>
        <w:t xml:space="preserve"> a vizsgálatok elvégzésének tényét és eredményét vezetni kell.</w:t>
      </w:r>
    </w:p>
    <w:p w14:paraId="382093FE" w14:textId="77777777" w:rsidR="00130E8B" w:rsidRDefault="000405CC">
      <w:pPr>
        <w:pStyle w:val="a3"/>
        <w:numPr>
          <w:ilvl w:val="1"/>
          <w:numId w:val="4"/>
        </w:numPr>
        <w:ind w:left="998" w:hanging="340"/>
        <w:rPr>
          <w:lang w:val="hu-HU"/>
        </w:rPr>
      </w:pPr>
      <w:r>
        <w:rPr>
          <w:rFonts w:eastAsia="Times New Roman"/>
          <w:lang w:val="hu-HU"/>
        </w:rPr>
        <w:t>A tuberkulózis kialakulhat a kezelés során annak ellenére, hogy Ön tuberkulózis elleni megelőző terápiát kapott.</w:t>
      </w:r>
    </w:p>
    <w:p w14:paraId="54DA41E7" w14:textId="18696FD0" w:rsidR="00130E8B" w:rsidRDefault="000405CC">
      <w:pPr>
        <w:pStyle w:val="a3"/>
        <w:numPr>
          <w:ilvl w:val="1"/>
          <w:numId w:val="4"/>
        </w:numPr>
        <w:ind w:left="998" w:hanging="340"/>
        <w:rPr>
          <w:lang w:val="hu-HU"/>
        </w:rPr>
      </w:pPr>
      <w:r>
        <w:rPr>
          <w:rFonts w:eastAsia="Times New Roman"/>
          <w:lang w:val="hu-HU"/>
        </w:rPr>
        <w:t>Ha a tuberkulózis tünetei (</w:t>
      </w:r>
      <w:r w:rsidR="00E712D7">
        <w:rPr>
          <w:rFonts w:eastAsia="Times New Roman"/>
          <w:lang w:val="hu-HU"/>
        </w:rPr>
        <w:t>például</w:t>
      </w:r>
      <w:r>
        <w:rPr>
          <w:rFonts w:eastAsia="Times New Roman"/>
          <w:lang w:val="hu-HU"/>
        </w:rPr>
        <w:t xml:space="preserve"> hosszan tartó köhögés, testsúlycsökkenés, levertség, hőemelkedés), vagy más fertőzésre utaló tünetek jelentkeznek a kezelés alatt vagy a kezelést követően, azonnal tájékoztassa kezelőorvosát.</w:t>
      </w:r>
    </w:p>
    <w:p w14:paraId="541F1176" w14:textId="77777777" w:rsidR="00130E8B" w:rsidRDefault="00130E8B">
      <w:pPr>
        <w:spacing w:before="11" w:line="240" w:lineRule="exact"/>
        <w:rPr>
          <w:sz w:val="24"/>
          <w:szCs w:val="24"/>
          <w:lang w:val="hu-HU"/>
        </w:rPr>
      </w:pPr>
    </w:p>
    <w:p w14:paraId="46EDADD7" w14:textId="77777777" w:rsidR="00130E8B" w:rsidRDefault="000405CC">
      <w:pPr>
        <w:pStyle w:val="a3"/>
        <w:rPr>
          <w:u w:val="single"/>
          <w:lang w:val="hu-HU"/>
        </w:rPr>
      </w:pPr>
      <w:r>
        <w:rPr>
          <w:rFonts w:eastAsia="Times New Roman"/>
          <w:u w:val="single" w:color="000000"/>
          <w:lang w:val="hu-HU"/>
        </w:rPr>
        <w:t>Hepatitisz B</w:t>
      </w:r>
    </w:p>
    <w:p w14:paraId="2732E002" w14:textId="77777777" w:rsidR="00130E8B" w:rsidRDefault="00130E8B">
      <w:pPr>
        <w:spacing w:before="4" w:line="190" w:lineRule="exact"/>
        <w:rPr>
          <w:sz w:val="19"/>
          <w:szCs w:val="19"/>
          <w:lang w:val="hu-HU"/>
        </w:rPr>
      </w:pPr>
    </w:p>
    <w:p w14:paraId="65C86A77" w14:textId="77777777" w:rsidR="00130E8B" w:rsidRDefault="000405CC">
      <w:pPr>
        <w:pStyle w:val="a3"/>
        <w:numPr>
          <w:ilvl w:val="1"/>
          <w:numId w:val="4"/>
        </w:numPr>
        <w:ind w:left="660" w:hanging="660"/>
        <w:rPr>
          <w:lang w:val="hu-HU"/>
        </w:rPr>
      </w:pPr>
      <w:r>
        <w:rPr>
          <w:rFonts w:eastAsia="Times New Roman"/>
          <w:lang w:val="hu-HU"/>
        </w:rPr>
        <w:t>Tájékoztassa kezelőorvosát, ha Ön hepatitisz B vírus (HBV) -hordozó, netán aktív HBV-fertőzésben szenved, vagy feltételezi, hogy hepatitisz B fertőzés veszélye fenyegetheti.</w:t>
      </w:r>
    </w:p>
    <w:p w14:paraId="54A94AD8" w14:textId="77777777" w:rsidR="00130E8B" w:rsidRDefault="000405CC">
      <w:pPr>
        <w:pStyle w:val="a3"/>
        <w:numPr>
          <w:ilvl w:val="1"/>
          <w:numId w:val="4"/>
        </w:numPr>
        <w:ind w:left="998" w:hanging="340"/>
        <w:rPr>
          <w:lang w:val="hu-HU"/>
        </w:rPr>
      </w:pPr>
      <w:r>
        <w:rPr>
          <w:rFonts w:eastAsia="Times New Roman"/>
          <w:lang w:val="hu-HU"/>
        </w:rPr>
        <w:t>Kezelőorvosának HBV-vizsgálatot kell végeznie Önnél. A HBV-t hordozó embereknél a Yuflyma ismét aktiválhatja a vírust.</w:t>
      </w:r>
    </w:p>
    <w:p w14:paraId="7DA924B8" w14:textId="77777777" w:rsidR="00130E8B" w:rsidRDefault="000405CC">
      <w:pPr>
        <w:pStyle w:val="a3"/>
        <w:numPr>
          <w:ilvl w:val="1"/>
          <w:numId w:val="4"/>
        </w:numPr>
        <w:ind w:left="998" w:hanging="340"/>
        <w:rPr>
          <w:lang w:val="hu-HU"/>
        </w:rPr>
      </w:pPr>
      <w:r>
        <w:rPr>
          <w:rFonts w:eastAsia="Times New Roman"/>
          <w:lang w:val="hu-HU"/>
        </w:rPr>
        <w:t>Egyes ritka esetekben – különösen</w:t>
      </w:r>
      <w:r w:rsidR="00E712D7">
        <w:rPr>
          <w:rFonts w:eastAsia="Times New Roman"/>
          <w:lang w:val="hu-HU"/>
        </w:rPr>
        <w:t>,</w:t>
      </w:r>
      <w:r>
        <w:rPr>
          <w:rFonts w:eastAsia="Times New Roman"/>
          <w:lang w:val="hu-HU"/>
        </w:rPr>
        <w:t xml:space="preserve"> ha más, az immunrendszer működését gátló szereket is szed – a HBV ismételt aktiválódása életveszélyes lehet.</w:t>
      </w:r>
    </w:p>
    <w:p w14:paraId="5CF2A865" w14:textId="77777777" w:rsidR="00130E8B" w:rsidRDefault="00130E8B">
      <w:pPr>
        <w:spacing w:before="11" w:line="240" w:lineRule="exact"/>
        <w:rPr>
          <w:sz w:val="24"/>
          <w:szCs w:val="24"/>
          <w:lang w:val="hu-HU"/>
        </w:rPr>
      </w:pPr>
    </w:p>
    <w:p w14:paraId="643306C7" w14:textId="77777777" w:rsidR="00130E8B" w:rsidRDefault="000405CC">
      <w:pPr>
        <w:pStyle w:val="a3"/>
        <w:rPr>
          <w:u w:val="single"/>
          <w:lang w:val="hu-HU"/>
        </w:rPr>
      </w:pPr>
      <w:r>
        <w:rPr>
          <w:rFonts w:eastAsia="Times New Roman"/>
          <w:u w:val="single" w:color="000000"/>
          <w:lang w:val="hu-HU"/>
        </w:rPr>
        <w:t>Sebészeti vagy fogászati beavatkozás</w:t>
      </w:r>
    </w:p>
    <w:p w14:paraId="1497E334" w14:textId="77777777" w:rsidR="00130E8B" w:rsidRDefault="00130E8B">
      <w:pPr>
        <w:spacing w:before="4" w:line="190" w:lineRule="exact"/>
        <w:rPr>
          <w:sz w:val="19"/>
          <w:szCs w:val="19"/>
          <w:lang w:val="hu-HU"/>
        </w:rPr>
      </w:pPr>
    </w:p>
    <w:p w14:paraId="21F3EC61" w14:textId="77777777" w:rsidR="00130E8B" w:rsidRDefault="000405CC">
      <w:pPr>
        <w:pStyle w:val="a3"/>
        <w:numPr>
          <w:ilvl w:val="1"/>
          <w:numId w:val="4"/>
        </w:numPr>
        <w:ind w:left="660" w:hanging="660"/>
        <w:rPr>
          <w:lang w:val="hu-HU"/>
        </w:rPr>
      </w:pPr>
      <w:r>
        <w:rPr>
          <w:rFonts w:eastAsia="Times New Roman"/>
          <w:lang w:val="hu-HU"/>
        </w:rPr>
        <w:t>Ha sebészeti vagy fogászati beavatkozás előtt áll tájékoztassa orvosát, hogy Yuflyma- kezelésben részesül. Kezelőorvosa a kezelés átmeneti felfüggesztését javasolhatja.</w:t>
      </w:r>
    </w:p>
    <w:p w14:paraId="25BFF857" w14:textId="77777777" w:rsidR="00130E8B" w:rsidRDefault="00130E8B">
      <w:pPr>
        <w:spacing w:before="8" w:line="240" w:lineRule="exact"/>
        <w:rPr>
          <w:sz w:val="24"/>
          <w:szCs w:val="24"/>
          <w:lang w:val="hu-HU"/>
        </w:rPr>
      </w:pPr>
    </w:p>
    <w:p w14:paraId="50A6F6CC" w14:textId="77777777" w:rsidR="00130E8B" w:rsidRDefault="000405CC">
      <w:pPr>
        <w:pStyle w:val="a3"/>
        <w:rPr>
          <w:u w:val="single"/>
          <w:lang w:val="hu-HU"/>
        </w:rPr>
      </w:pPr>
      <w:r>
        <w:rPr>
          <w:rFonts w:eastAsia="Times New Roman"/>
          <w:u w:val="single" w:color="000000"/>
          <w:lang w:val="hu-HU"/>
        </w:rPr>
        <w:t>Demielinizációval járó betegségek</w:t>
      </w:r>
    </w:p>
    <w:p w14:paraId="3056DE1B" w14:textId="77777777" w:rsidR="00130E8B" w:rsidRDefault="00130E8B">
      <w:pPr>
        <w:spacing w:before="4" w:line="190" w:lineRule="exact"/>
        <w:rPr>
          <w:sz w:val="19"/>
          <w:szCs w:val="19"/>
          <w:lang w:val="hu-HU"/>
        </w:rPr>
      </w:pPr>
    </w:p>
    <w:p w14:paraId="0F937E2A" w14:textId="77777777" w:rsidR="00130E8B" w:rsidRDefault="000405CC">
      <w:pPr>
        <w:pStyle w:val="a3"/>
        <w:numPr>
          <w:ilvl w:val="1"/>
          <w:numId w:val="4"/>
        </w:numPr>
        <w:ind w:left="660" w:hanging="660"/>
        <w:rPr>
          <w:lang w:val="hu-HU"/>
        </w:rPr>
      </w:pPr>
      <w:r>
        <w:rPr>
          <w:rFonts w:eastAsia="Times New Roman"/>
          <w:lang w:val="hu-HU"/>
        </w:rPr>
        <w:t>Ha szklerózis multiplexben, vagy egyéb, az idegrostok velőshüvelyének lebomlásával (demielinizációval) járó betegségben szenved, vagy ilyen típusú betegség alakul ki Önnél, kezelőorvosa dönti el, hogy kaphat-e Yuflyma-kezelést, vagy folytatható-e az Ön esetében. Azonnal tájékoztassa kezelőorvosát, ha olyan tüneteket tapasztal, mint a megváltozott látás, kar- vagy lábgyengeség, illetve zsibbadás vagy bizsergés a test bármelyik részén.</w:t>
      </w:r>
    </w:p>
    <w:p w14:paraId="285BC842" w14:textId="77777777" w:rsidR="00130E8B" w:rsidRDefault="00130E8B">
      <w:pPr>
        <w:spacing w:before="14" w:line="240" w:lineRule="exact"/>
        <w:rPr>
          <w:sz w:val="24"/>
          <w:szCs w:val="24"/>
          <w:lang w:val="hu-HU"/>
        </w:rPr>
      </w:pPr>
    </w:p>
    <w:p w14:paraId="641E4BE3" w14:textId="77777777" w:rsidR="00130E8B" w:rsidRDefault="000405CC">
      <w:pPr>
        <w:pStyle w:val="a3"/>
        <w:rPr>
          <w:u w:val="single"/>
          <w:lang w:val="hu-HU"/>
        </w:rPr>
      </w:pPr>
      <w:r>
        <w:rPr>
          <w:rFonts w:eastAsia="Times New Roman"/>
          <w:u w:val="single" w:color="000000"/>
          <w:lang w:val="hu-HU"/>
        </w:rPr>
        <w:lastRenderedPageBreak/>
        <w:t>Védőoltások</w:t>
      </w:r>
    </w:p>
    <w:p w14:paraId="79524157" w14:textId="77777777" w:rsidR="00130E8B" w:rsidRDefault="00130E8B">
      <w:pPr>
        <w:spacing w:before="4" w:line="190" w:lineRule="exact"/>
        <w:rPr>
          <w:sz w:val="19"/>
          <w:szCs w:val="19"/>
          <w:lang w:val="hu-HU"/>
        </w:rPr>
      </w:pPr>
    </w:p>
    <w:p w14:paraId="63A1ACCD" w14:textId="77777777" w:rsidR="00130E8B" w:rsidRDefault="000405CC">
      <w:pPr>
        <w:pStyle w:val="a3"/>
        <w:numPr>
          <w:ilvl w:val="1"/>
          <w:numId w:val="4"/>
        </w:numPr>
        <w:ind w:left="660" w:hanging="660"/>
        <w:rPr>
          <w:lang w:val="hu-HU"/>
        </w:rPr>
      </w:pPr>
      <w:r>
        <w:rPr>
          <w:rFonts w:eastAsia="Times New Roman"/>
          <w:lang w:val="hu-HU"/>
        </w:rPr>
        <w:t>Yuflyma alkalmazása során bizonyos védőoltások fertőzést okozhatnak, és ezért nem adhatóak.</w:t>
      </w:r>
    </w:p>
    <w:p w14:paraId="4C6F1A99" w14:textId="77777777" w:rsidR="00130E8B" w:rsidRDefault="00130E8B">
      <w:pPr>
        <w:spacing w:before="11" w:line="240" w:lineRule="exact"/>
        <w:rPr>
          <w:sz w:val="24"/>
          <w:szCs w:val="24"/>
          <w:lang w:val="hu-HU"/>
        </w:rPr>
      </w:pPr>
    </w:p>
    <w:p w14:paraId="5D5C4F86" w14:textId="77777777" w:rsidR="00130E8B" w:rsidRDefault="000405CC">
      <w:pPr>
        <w:pStyle w:val="a3"/>
        <w:numPr>
          <w:ilvl w:val="1"/>
          <w:numId w:val="4"/>
        </w:numPr>
        <w:ind w:left="998" w:hanging="340"/>
        <w:rPr>
          <w:lang w:val="hu-HU"/>
        </w:rPr>
      </w:pPr>
      <w:r>
        <w:rPr>
          <w:rFonts w:eastAsia="Times New Roman"/>
          <w:lang w:val="hu-HU"/>
        </w:rPr>
        <w:t>Védőoltás adását megelőzően beszéljen kezelőorvosával.</w:t>
      </w:r>
    </w:p>
    <w:p w14:paraId="3963AFC1" w14:textId="77777777" w:rsidR="00130E8B" w:rsidRDefault="000405CC">
      <w:pPr>
        <w:pStyle w:val="a3"/>
        <w:numPr>
          <w:ilvl w:val="1"/>
          <w:numId w:val="4"/>
        </w:numPr>
        <w:ind w:left="998" w:hanging="340"/>
        <w:rPr>
          <w:lang w:val="hu-HU"/>
        </w:rPr>
      </w:pPr>
      <w:r>
        <w:rPr>
          <w:rFonts w:eastAsia="Times New Roman"/>
          <w:lang w:val="hu-HU"/>
        </w:rPr>
        <w:t>A Yuflyma-kezelés megkezdése előtt javasolt, hogy a gyermekek, ha lehetséges, megkapják az életkoruknak megfelelő összes ütemezett oltást.</w:t>
      </w:r>
    </w:p>
    <w:p w14:paraId="405A646B" w14:textId="6D2C22E5" w:rsidR="00130E8B" w:rsidRDefault="000405CC">
      <w:pPr>
        <w:pStyle w:val="a3"/>
        <w:numPr>
          <w:ilvl w:val="1"/>
          <w:numId w:val="4"/>
        </w:numPr>
        <w:ind w:left="998" w:hanging="340"/>
        <w:rPr>
          <w:lang w:val="hu-HU"/>
        </w:rPr>
      </w:pPr>
      <w:r>
        <w:rPr>
          <w:rFonts w:eastAsia="Times New Roman"/>
          <w:lang w:val="hu-HU"/>
        </w:rPr>
        <w:t xml:space="preserve">Ha a terhessége alatt </w:t>
      </w:r>
      <w:r w:rsidR="00A150A2">
        <w:rPr>
          <w:rFonts w:eastAsia="Times New Roman"/>
          <w:lang w:val="hu-HU"/>
        </w:rPr>
        <w:t>Yuflymá</w:t>
      </w:r>
      <w:r>
        <w:rPr>
          <w:rFonts w:eastAsia="Times New Roman"/>
          <w:lang w:val="hu-HU"/>
        </w:rPr>
        <w:t xml:space="preserve">-t kapott, a kisbabája a terhesség alatt kapott utolsó adag Yuflyma-t követően legfeljebb 5 hónapig nagyobb eséllyel </w:t>
      </w:r>
      <w:r w:rsidR="00C4148F" w:rsidRPr="0022589B">
        <w:rPr>
          <w:rFonts w:eastAsia="Times New Roman"/>
          <w:lang w:val="hu-HU"/>
        </w:rPr>
        <w:t>fertőződhet meg</w:t>
      </w:r>
      <w:r>
        <w:rPr>
          <w:rFonts w:eastAsia="Times New Roman"/>
          <w:lang w:val="hu-HU"/>
        </w:rPr>
        <w:t>. Fontos, hogy elmondja kisbabája kezelőorvosának vagy az őt kezelő egészségügyi személyzetnek, hogy a terhessége alatt Yuflyma-t kapott, így ők el tudják dönteni, hogy kisbabájának mikor kell valamilyen védőoltást kapnia.</w:t>
      </w:r>
    </w:p>
    <w:p w14:paraId="66CB2686" w14:textId="77777777" w:rsidR="00130E8B" w:rsidRDefault="00130E8B">
      <w:pPr>
        <w:spacing w:before="14" w:line="240" w:lineRule="exact"/>
        <w:rPr>
          <w:sz w:val="24"/>
          <w:szCs w:val="24"/>
          <w:lang w:val="hu-HU"/>
        </w:rPr>
      </w:pPr>
    </w:p>
    <w:p w14:paraId="1A91D1BA" w14:textId="77777777" w:rsidR="00130E8B" w:rsidRDefault="000405CC">
      <w:pPr>
        <w:pStyle w:val="a3"/>
        <w:rPr>
          <w:u w:val="single"/>
          <w:lang w:val="hu-HU"/>
        </w:rPr>
      </w:pPr>
      <w:r>
        <w:rPr>
          <w:rFonts w:eastAsia="Times New Roman"/>
          <w:u w:val="single" w:color="000000"/>
          <w:lang w:val="hu-HU"/>
        </w:rPr>
        <w:t>Szívelégtelenség</w:t>
      </w:r>
    </w:p>
    <w:p w14:paraId="67278763" w14:textId="77777777" w:rsidR="00130E8B" w:rsidRDefault="00130E8B">
      <w:pPr>
        <w:spacing w:before="4" w:line="190" w:lineRule="exact"/>
        <w:rPr>
          <w:sz w:val="19"/>
          <w:szCs w:val="19"/>
          <w:lang w:val="hu-HU"/>
        </w:rPr>
      </w:pPr>
    </w:p>
    <w:p w14:paraId="7281D15B" w14:textId="514390CB" w:rsidR="00130E8B" w:rsidRDefault="000405CC">
      <w:pPr>
        <w:pStyle w:val="a3"/>
        <w:numPr>
          <w:ilvl w:val="1"/>
          <w:numId w:val="4"/>
        </w:numPr>
        <w:ind w:left="660" w:hanging="660"/>
        <w:rPr>
          <w:lang w:val="hu-HU"/>
        </w:rPr>
      </w:pPr>
      <w:r>
        <w:rPr>
          <w:rFonts w:eastAsia="Times New Roman"/>
          <w:lang w:val="hu-HU"/>
        </w:rPr>
        <w:t>Ha Önnek enyhe szívelégtelensége van és Yuflyma-kezelést kap, a szívelégtelenség állapotát orvosának szorosan követnie kell. Fontos, hogy közölje kezelőorvosával, ha súlyos szívbetegsége volt, vagy jelenleg is van. Ha új tünetek kialakulását vagy a szívelégtelenség tüneteinek rosszabbodását észleli (</w:t>
      </w:r>
      <w:r w:rsidR="00E712D7">
        <w:rPr>
          <w:rFonts w:eastAsia="Times New Roman"/>
          <w:lang w:val="hu-HU"/>
        </w:rPr>
        <w:t>például</w:t>
      </w:r>
      <w:r>
        <w:rPr>
          <w:rFonts w:eastAsia="Times New Roman"/>
          <w:lang w:val="hu-HU"/>
        </w:rPr>
        <w:t xml:space="preserve"> légszomj, vagy lábdagadás), azonnal tájékoztassa kezelőorvosát. Kezelőorvosa el fogja dönteni, hogy Ön kaphat-e </w:t>
      </w:r>
      <w:r w:rsidR="0072550D">
        <w:rPr>
          <w:rFonts w:eastAsia="Times New Roman"/>
          <w:lang w:val="hu-HU"/>
        </w:rPr>
        <w:t>Yuflym</w:t>
      </w:r>
      <w:r w:rsidR="00C4148F">
        <w:rPr>
          <w:rFonts w:eastAsia="Times New Roman"/>
          <w:lang w:val="hu-HU"/>
        </w:rPr>
        <w:t>a</w:t>
      </w:r>
      <w:r>
        <w:rPr>
          <w:rFonts w:eastAsia="Times New Roman"/>
          <w:lang w:val="hu-HU"/>
        </w:rPr>
        <w:t>-t.</w:t>
      </w:r>
    </w:p>
    <w:p w14:paraId="79497B94" w14:textId="77777777" w:rsidR="00130E8B" w:rsidRDefault="00130E8B">
      <w:pPr>
        <w:spacing w:before="14" w:line="240" w:lineRule="exact"/>
        <w:rPr>
          <w:sz w:val="24"/>
          <w:szCs w:val="24"/>
          <w:lang w:val="hu-HU"/>
        </w:rPr>
      </w:pPr>
    </w:p>
    <w:p w14:paraId="1316CFC9" w14:textId="77777777" w:rsidR="00130E8B" w:rsidRDefault="000405CC">
      <w:pPr>
        <w:pStyle w:val="a3"/>
        <w:rPr>
          <w:u w:val="single"/>
          <w:lang w:val="hu-HU"/>
        </w:rPr>
      </w:pPr>
      <w:r>
        <w:rPr>
          <w:rFonts w:eastAsia="Times New Roman"/>
          <w:u w:val="single" w:color="000000"/>
          <w:lang w:val="hu-HU"/>
        </w:rPr>
        <w:t>Láz, véraláfutás, vérzés vagy sápadtság</w:t>
      </w:r>
    </w:p>
    <w:p w14:paraId="6D2DFE99" w14:textId="77777777" w:rsidR="00130E8B" w:rsidRDefault="00130E8B">
      <w:pPr>
        <w:spacing w:before="4" w:line="190" w:lineRule="exact"/>
        <w:rPr>
          <w:sz w:val="19"/>
          <w:szCs w:val="19"/>
          <w:lang w:val="hu-HU"/>
        </w:rPr>
      </w:pPr>
    </w:p>
    <w:p w14:paraId="188D36B6" w14:textId="77777777" w:rsidR="00130E8B" w:rsidRDefault="000405CC">
      <w:pPr>
        <w:pStyle w:val="a3"/>
        <w:numPr>
          <w:ilvl w:val="1"/>
          <w:numId w:val="4"/>
        </w:numPr>
        <w:ind w:left="660" w:hanging="660"/>
        <w:rPr>
          <w:lang w:val="hu-HU"/>
        </w:rPr>
      </w:pPr>
      <w:r>
        <w:rPr>
          <w:rFonts w:eastAsia="Times New Roman"/>
          <w:lang w:val="hu-HU"/>
        </w:rPr>
        <w:t>Egyes betegek esetében a szervezet nem termel elég olyan vérsejtet, melyek leküzdenék a fertőzést, vagy segítenének megállítani a vérzést. Kezelőorvosa eldönti, hogy folytassák-e a kezelést. Ha nem múló láza van, vagy könnyen alakul ki véraláfutása vagy vérzik, vagy nagyon sápadtnak látszik, azonnal értesítse kezelőorvosát.</w:t>
      </w:r>
    </w:p>
    <w:p w14:paraId="7C7892CB" w14:textId="77777777" w:rsidR="00130E8B" w:rsidRDefault="00130E8B">
      <w:pPr>
        <w:pStyle w:val="a3"/>
        <w:rPr>
          <w:u w:val="single"/>
          <w:lang w:val="hu-HU"/>
        </w:rPr>
      </w:pPr>
    </w:p>
    <w:p w14:paraId="38A47C2B" w14:textId="77777777" w:rsidR="00130E8B" w:rsidRDefault="000405CC">
      <w:pPr>
        <w:pStyle w:val="a3"/>
        <w:rPr>
          <w:u w:val="single"/>
          <w:lang w:val="hu-HU"/>
        </w:rPr>
      </w:pPr>
      <w:r>
        <w:rPr>
          <w:rFonts w:eastAsia="Times New Roman"/>
          <w:u w:val="single"/>
          <w:lang w:val="hu-HU"/>
        </w:rPr>
        <w:t>Daganatos betegség</w:t>
      </w:r>
    </w:p>
    <w:p w14:paraId="193C525E" w14:textId="77777777" w:rsidR="00130E8B" w:rsidRDefault="00130E8B">
      <w:pPr>
        <w:pStyle w:val="a3"/>
        <w:rPr>
          <w:u w:val="single"/>
          <w:lang w:val="hu-HU"/>
        </w:rPr>
      </w:pPr>
    </w:p>
    <w:p w14:paraId="3A30A455" w14:textId="2816A147" w:rsidR="00130E8B" w:rsidRDefault="000405CC">
      <w:pPr>
        <w:pStyle w:val="a3"/>
        <w:numPr>
          <w:ilvl w:val="1"/>
          <w:numId w:val="4"/>
        </w:numPr>
        <w:ind w:left="660" w:hanging="660"/>
        <w:rPr>
          <w:lang w:val="hu-HU"/>
        </w:rPr>
      </w:pPr>
      <w:r>
        <w:rPr>
          <w:rFonts w:eastAsia="Times New Roman"/>
          <w:lang w:val="hu-HU"/>
        </w:rPr>
        <w:t xml:space="preserve">Nagyon ritkán előfordul, hogy a </w:t>
      </w:r>
      <w:r w:rsidR="00A150A2">
        <w:rPr>
          <w:rFonts w:eastAsia="Times New Roman"/>
          <w:lang w:val="hu-HU"/>
        </w:rPr>
        <w:t>Yuflymá</w:t>
      </w:r>
      <w:r>
        <w:rPr>
          <w:rFonts w:eastAsia="Times New Roman"/>
          <w:lang w:val="hu-HU"/>
        </w:rPr>
        <w:t>-t vagy más TNF-</w:t>
      </w:r>
      <w:r w:rsidR="00C4148F" w:rsidRPr="00C4148F">
        <w:rPr>
          <w:rFonts w:eastAsia="Times New Roman"/>
          <w:lang w:val="hu-HU"/>
        </w:rPr>
        <w:t xml:space="preserve"> </w:t>
      </w:r>
      <w:r w:rsidR="00C4148F" w:rsidRPr="005560AB">
        <w:rPr>
          <w:rFonts w:eastAsia="Times New Roman"/>
          <w:lang w:val="hu-HU"/>
        </w:rPr>
        <w:t>gátló</w:t>
      </w:r>
      <w:r w:rsidR="00C4148F">
        <w:rPr>
          <w:rFonts w:eastAsia="Times New Roman"/>
          <w:lang w:val="hu-HU"/>
        </w:rPr>
        <w:t xml:space="preserve"> </w:t>
      </w:r>
      <w:r>
        <w:rPr>
          <w:rFonts w:eastAsia="Times New Roman"/>
          <w:lang w:val="hu-HU"/>
        </w:rPr>
        <w:t>gyógyszert szedő betegeknél bizonyos daganatfajta jelentkezik</w:t>
      </w:r>
      <w:r w:rsidR="00300DE8">
        <w:rPr>
          <w:rFonts w:eastAsia="Times New Roman"/>
          <w:lang w:val="hu-HU"/>
        </w:rPr>
        <w:t>.</w:t>
      </w:r>
    </w:p>
    <w:p w14:paraId="771D35F4" w14:textId="77777777" w:rsidR="00130E8B" w:rsidRDefault="00130E8B">
      <w:pPr>
        <w:pStyle w:val="a3"/>
        <w:rPr>
          <w:lang w:val="hu-HU"/>
        </w:rPr>
      </w:pPr>
    </w:p>
    <w:p w14:paraId="36ABD31E" w14:textId="77777777" w:rsidR="00130E8B" w:rsidRDefault="000405CC">
      <w:pPr>
        <w:pStyle w:val="a3"/>
        <w:numPr>
          <w:ilvl w:val="1"/>
          <w:numId w:val="4"/>
        </w:numPr>
        <w:ind w:left="998" w:hanging="340"/>
        <w:rPr>
          <w:lang w:val="hu-HU"/>
        </w:rPr>
      </w:pPr>
      <w:r>
        <w:rPr>
          <w:rFonts w:eastAsia="Times New Roman"/>
          <w:lang w:val="hu-HU"/>
        </w:rPr>
        <w:t>A hosszú ideje súlyos reumatoid artritiszben szenvedő betegeknek az átlagosnál nagyobb a kockázatuk, hogy limfóma (a nyirokrendszert érintő daganat) vagy leukémia (a csontvelőt, vérképzést érintő daganat) alakul ki.</w:t>
      </w:r>
    </w:p>
    <w:p w14:paraId="78CEFAF0" w14:textId="7699AD3C" w:rsidR="00130E8B" w:rsidRDefault="000405CC">
      <w:pPr>
        <w:pStyle w:val="a3"/>
        <w:numPr>
          <w:ilvl w:val="1"/>
          <w:numId w:val="4"/>
        </w:numPr>
        <w:ind w:left="998" w:hanging="340"/>
        <w:rPr>
          <w:lang w:val="hu-HU"/>
        </w:rPr>
      </w:pPr>
      <w:r>
        <w:rPr>
          <w:rFonts w:eastAsia="Times New Roman"/>
          <w:lang w:val="hu-HU"/>
        </w:rPr>
        <w:t xml:space="preserve">Amennyiben Yuflyma-t kap, a limfóma, leukémia és az egyéb daganatos betegségek kialakulásának kockázata fokozódhat. Ritkán a nyirokdaganat (limfóma) egy nem gyakori és súlyos típusát észlelték </w:t>
      </w:r>
      <w:r w:rsidR="00A150A2">
        <w:rPr>
          <w:rFonts w:eastAsia="Times New Roman"/>
          <w:lang w:val="hu-HU"/>
        </w:rPr>
        <w:t>Yuflymá</w:t>
      </w:r>
      <w:r>
        <w:rPr>
          <w:rFonts w:eastAsia="Times New Roman"/>
          <w:lang w:val="hu-HU"/>
        </w:rPr>
        <w:t>-val kezelt betegeknél. E betegek közül egyeseket egyidejűleg azatioprinnel, illetve 6- merkaptopurinnal is kezeltek.</w:t>
      </w:r>
    </w:p>
    <w:p w14:paraId="377DCF9C" w14:textId="0735D8FE" w:rsidR="00130E8B" w:rsidRDefault="000405CC">
      <w:pPr>
        <w:pStyle w:val="a3"/>
        <w:numPr>
          <w:ilvl w:val="1"/>
          <w:numId w:val="4"/>
        </w:numPr>
        <w:ind w:left="998" w:hanging="340"/>
        <w:rPr>
          <w:lang w:val="hu-HU"/>
        </w:rPr>
      </w:pPr>
      <w:r>
        <w:rPr>
          <w:rFonts w:eastAsia="Times New Roman"/>
          <w:lang w:val="hu-HU"/>
        </w:rPr>
        <w:t xml:space="preserve">Tájékoztassa kezelőorvosát, ha a </w:t>
      </w:r>
      <w:r w:rsidR="00A150A2">
        <w:rPr>
          <w:rFonts w:eastAsia="Times New Roman"/>
          <w:lang w:val="hu-HU"/>
        </w:rPr>
        <w:t>Yuflymá</w:t>
      </w:r>
      <w:r>
        <w:rPr>
          <w:rFonts w:eastAsia="Times New Roman"/>
          <w:lang w:val="hu-HU"/>
        </w:rPr>
        <w:t xml:space="preserve">-val egyidejűleg azatioprint vagy </w:t>
      </w:r>
      <w:r w:rsidR="00C4148F" w:rsidRPr="001961FA">
        <w:rPr>
          <w:rFonts w:eastAsia="Times New Roman"/>
          <w:lang w:val="hu-HU"/>
        </w:rPr>
        <w:t>6-merkapto-purint</w:t>
      </w:r>
      <w:r w:rsidR="00C4148F">
        <w:rPr>
          <w:rFonts w:eastAsia="Times New Roman"/>
          <w:lang w:val="hu-HU"/>
        </w:rPr>
        <w:t xml:space="preserve"> </w:t>
      </w:r>
      <w:r>
        <w:rPr>
          <w:rFonts w:eastAsia="Times New Roman"/>
          <w:lang w:val="hu-HU"/>
        </w:rPr>
        <w:t xml:space="preserve"> szed.</w:t>
      </w:r>
    </w:p>
    <w:p w14:paraId="7092686A" w14:textId="5ADB325D" w:rsidR="00130E8B" w:rsidRDefault="000405CC">
      <w:pPr>
        <w:pStyle w:val="a3"/>
        <w:numPr>
          <w:ilvl w:val="1"/>
          <w:numId w:val="4"/>
        </w:numPr>
        <w:ind w:left="998" w:hanging="340"/>
        <w:rPr>
          <w:lang w:val="hu-HU"/>
        </w:rPr>
      </w:pPr>
      <w:r>
        <w:rPr>
          <w:rFonts w:eastAsia="Times New Roman"/>
          <w:lang w:val="hu-HU"/>
        </w:rPr>
        <w:t xml:space="preserve">Esetenként nem melanomás bőrrák kialakulását észlelték </w:t>
      </w:r>
      <w:r w:rsidR="00A150A2">
        <w:rPr>
          <w:rFonts w:eastAsia="Times New Roman"/>
          <w:lang w:val="hu-HU"/>
        </w:rPr>
        <w:t>Yuflymá</w:t>
      </w:r>
      <w:r>
        <w:rPr>
          <w:rFonts w:eastAsia="Times New Roman"/>
          <w:lang w:val="hu-HU"/>
        </w:rPr>
        <w:t>-val kezelt betegeken.</w:t>
      </w:r>
    </w:p>
    <w:p w14:paraId="3BBC950E" w14:textId="77777777" w:rsidR="00130E8B" w:rsidRDefault="000405CC">
      <w:pPr>
        <w:pStyle w:val="a3"/>
        <w:numPr>
          <w:ilvl w:val="1"/>
          <w:numId w:val="4"/>
        </w:numPr>
        <w:ind w:left="998" w:hanging="340"/>
        <w:rPr>
          <w:lang w:val="hu-HU"/>
        </w:rPr>
      </w:pPr>
      <w:r>
        <w:rPr>
          <w:rFonts w:eastAsia="Times New Roman"/>
          <w:lang w:val="hu-HU"/>
        </w:rPr>
        <w:t>Ha új bőrelváltozások jelennek meg a kezelés alatt, vagy a meglévők külleme megváltozik, tájékoztassa orvosát.</w:t>
      </w:r>
    </w:p>
    <w:p w14:paraId="4CAF1F50" w14:textId="77777777" w:rsidR="00130E8B" w:rsidRDefault="00130E8B">
      <w:pPr>
        <w:pStyle w:val="a3"/>
        <w:rPr>
          <w:lang w:val="hu-HU"/>
        </w:rPr>
      </w:pPr>
    </w:p>
    <w:p w14:paraId="7551291C" w14:textId="4D48BE66" w:rsidR="00130E8B" w:rsidRDefault="00D71745">
      <w:pPr>
        <w:pStyle w:val="a3"/>
        <w:numPr>
          <w:ilvl w:val="1"/>
          <w:numId w:val="4"/>
        </w:numPr>
        <w:ind w:left="660" w:hanging="660"/>
        <w:rPr>
          <w:lang w:val="hu-HU"/>
        </w:rPr>
      </w:pPr>
      <w:r>
        <w:rPr>
          <w:rFonts w:eastAsia="Times New Roman"/>
          <w:lang w:val="hu-HU"/>
        </w:rPr>
        <w:t>Voltak esetek</w:t>
      </w:r>
      <w:r w:rsidR="000405CC">
        <w:rPr>
          <w:rFonts w:eastAsia="Times New Roman"/>
          <w:lang w:val="hu-HU"/>
        </w:rPr>
        <w:t>, amikor egy adott tüdőbetegségben (</w:t>
      </w:r>
      <w:r w:rsidR="00BE2389">
        <w:rPr>
          <w:rFonts w:eastAsia="Times New Roman"/>
          <w:lang w:val="hu-HU"/>
        </w:rPr>
        <w:t xml:space="preserve">amelyet </w:t>
      </w:r>
      <w:r w:rsidR="000405CC">
        <w:rPr>
          <w:rFonts w:eastAsia="Times New Roman"/>
          <w:lang w:val="hu-HU"/>
        </w:rPr>
        <w:t xml:space="preserve">idült obstruktív tüdőbetegség </w:t>
      </w:r>
      <w:r w:rsidR="00BE2389">
        <w:rPr>
          <w:rFonts w:eastAsia="Times New Roman"/>
          <w:lang w:val="hu-HU"/>
        </w:rPr>
        <w:t>(</w:t>
      </w:r>
      <w:r w:rsidR="004B6343">
        <w:rPr>
          <w:rFonts w:eastAsia="Times New Roman"/>
          <w:lang w:val="hu-HU"/>
        </w:rPr>
        <w:t>C</w:t>
      </w:r>
      <w:r w:rsidR="000405CC">
        <w:rPr>
          <w:rFonts w:eastAsia="Times New Roman"/>
          <w:lang w:val="hu-HU"/>
        </w:rPr>
        <w:t>OP</w:t>
      </w:r>
      <w:r w:rsidR="004B6343">
        <w:rPr>
          <w:rFonts w:eastAsia="Times New Roman"/>
          <w:lang w:val="hu-HU"/>
        </w:rPr>
        <w:t xml:space="preserve">D) </w:t>
      </w:r>
      <w:r w:rsidR="00BE2389">
        <w:rPr>
          <w:rFonts w:eastAsia="Times New Roman"/>
          <w:lang w:val="hu-HU"/>
        </w:rPr>
        <w:t xml:space="preserve">neveznek) szenvedő, </w:t>
      </w:r>
      <w:r w:rsidR="000405CC">
        <w:rPr>
          <w:rFonts w:eastAsia="Times New Roman"/>
          <w:lang w:val="hu-HU"/>
        </w:rPr>
        <w:t>TNF- gátlóval kezelt betegeken nem limfóma természetű rákos daganatok kialakulását észlelték. Ha Ön COPD-</w:t>
      </w:r>
      <w:r w:rsidR="00BE2389">
        <w:rPr>
          <w:rFonts w:eastAsia="Times New Roman"/>
          <w:lang w:val="hu-HU"/>
        </w:rPr>
        <w:t>ben</w:t>
      </w:r>
      <w:r w:rsidR="000405CC">
        <w:rPr>
          <w:rFonts w:eastAsia="Times New Roman"/>
          <w:lang w:val="hu-HU"/>
        </w:rPr>
        <w:t xml:space="preserve"> szenved vagy erős dohányos, kérje kezelőorvosa tanácsát, hogy a TNF- gátlóval végzett kezelés megfelelő- e az Ön számára.</w:t>
      </w:r>
    </w:p>
    <w:p w14:paraId="45A30A56" w14:textId="77777777" w:rsidR="00130E8B" w:rsidRPr="00BE2389" w:rsidRDefault="00130E8B">
      <w:pPr>
        <w:spacing w:before="11" w:line="240" w:lineRule="exact"/>
        <w:rPr>
          <w:sz w:val="24"/>
          <w:szCs w:val="24"/>
          <w:lang w:val="hu-HU"/>
        </w:rPr>
      </w:pPr>
    </w:p>
    <w:p w14:paraId="1AD06621" w14:textId="77777777" w:rsidR="00130E8B" w:rsidRDefault="000405CC">
      <w:pPr>
        <w:pStyle w:val="a3"/>
        <w:rPr>
          <w:u w:val="single"/>
          <w:lang w:val="hu-HU"/>
        </w:rPr>
      </w:pPr>
      <w:r>
        <w:rPr>
          <w:rFonts w:eastAsia="Times New Roman"/>
          <w:u w:val="single" w:color="000000"/>
          <w:lang w:val="hu-HU"/>
        </w:rPr>
        <w:t>Autoimmun betegség</w:t>
      </w:r>
    </w:p>
    <w:p w14:paraId="47EAAE25" w14:textId="77777777" w:rsidR="00130E8B" w:rsidRDefault="00130E8B">
      <w:pPr>
        <w:spacing w:before="4" w:line="190" w:lineRule="exact"/>
        <w:rPr>
          <w:sz w:val="19"/>
          <w:szCs w:val="19"/>
          <w:lang w:val="hu-HU"/>
        </w:rPr>
      </w:pPr>
    </w:p>
    <w:p w14:paraId="11279716" w14:textId="37D24497" w:rsidR="00130E8B" w:rsidRDefault="000405CC">
      <w:pPr>
        <w:pStyle w:val="a3"/>
        <w:numPr>
          <w:ilvl w:val="1"/>
          <w:numId w:val="4"/>
        </w:numPr>
        <w:ind w:left="660" w:hanging="660"/>
        <w:rPr>
          <w:lang w:val="hu-HU"/>
        </w:rPr>
      </w:pPr>
      <w:r>
        <w:rPr>
          <w:rFonts w:eastAsia="Times New Roman"/>
          <w:lang w:val="hu-HU"/>
        </w:rPr>
        <w:t xml:space="preserve">Ritka esetekben a Yuflyma lupusz-szerű </w:t>
      </w:r>
      <w:r w:rsidR="00C4148F" w:rsidRPr="00431BC5">
        <w:rPr>
          <w:rFonts w:eastAsia="Times New Roman"/>
          <w:lang w:val="hu-HU"/>
        </w:rPr>
        <w:t>tünetegyüttest</w:t>
      </w:r>
      <w:r w:rsidR="00C4148F">
        <w:rPr>
          <w:rFonts w:eastAsia="Times New Roman"/>
          <w:lang w:val="hu-HU"/>
        </w:rPr>
        <w:t xml:space="preserve"> </w:t>
      </w:r>
      <w:r>
        <w:rPr>
          <w:rFonts w:eastAsia="Times New Roman"/>
          <w:lang w:val="hu-HU"/>
        </w:rPr>
        <w:t xml:space="preserve">okozhat. Keresse fel kezelőorvosát, ha olyan </w:t>
      </w:r>
      <w:r>
        <w:rPr>
          <w:rFonts w:eastAsia="Times New Roman"/>
          <w:lang w:val="hu-HU"/>
        </w:rPr>
        <w:lastRenderedPageBreak/>
        <w:t>tüneteket észlel, mint a tartós, tisztázatlan eredetű kiütés, láz, ízületi fájdalom vagy fáradtság</w:t>
      </w:r>
    </w:p>
    <w:p w14:paraId="36DBF212" w14:textId="77777777" w:rsidR="00130E8B" w:rsidRDefault="00130E8B">
      <w:pPr>
        <w:spacing w:before="15" w:line="240" w:lineRule="exact"/>
        <w:rPr>
          <w:sz w:val="24"/>
          <w:szCs w:val="24"/>
          <w:lang w:val="hu-HU"/>
        </w:rPr>
      </w:pPr>
    </w:p>
    <w:p w14:paraId="2EE27688" w14:textId="77777777" w:rsidR="00130E8B" w:rsidRDefault="000405CC">
      <w:pPr>
        <w:pStyle w:val="a3"/>
        <w:rPr>
          <w:b/>
          <w:lang w:val="hu-HU"/>
        </w:rPr>
      </w:pPr>
      <w:r>
        <w:rPr>
          <w:rFonts w:eastAsia="Times New Roman"/>
          <w:b/>
          <w:bCs/>
          <w:lang w:val="hu-HU"/>
        </w:rPr>
        <w:t>Gyermekek és serdülők</w:t>
      </w:r>
    </w:p>
    <w:p w14:paraId="40E9F8A7" w14:textId="77777777" w:rsidR="00130E8B" w:rsidRDefault="00130E8B">
      <w:pPr>
        <w:spacing w:before="10" w:line="240" w:lineRule="exact"/>
        <w:rPr>
          <w:sz w:val="24"/>
          <w:szCs w:val="24"/>
          <w:lang w:val="hu-HU"/>
        </w:rPr>
      </w:pPr>
    </w:p>
    <w:p w14:paraId="6AF4EFD0" w14:textId="77777777" w:rsidR="00130E8B" w:rsidRDefault="000405CC">
      <w:pPr>
        <w:pStyle w:val="a3"/>
        <w:numPr>
          <w:ilvl w:val="1"/>
          <w:numId w:val="4"/>
        </w:numPr>
        <w:ind w:left="660" w:hanging="660"/>
        <w:rPr>
          <w:lang w:val="hu-HU"/>
        </w:rPr>
      </w:pPr>
      <w:r>
        <w:rPr>
          <w:rFonts w:eastAsia="Times New Roman"/>
          <w:lang w:val="hu-HU"/>
        </w:rPr>
        <w:t>Védőoltások: ha lehetséges, a gyermeknek</w:t>
      </w:r>
      <w:r w:rsidR="006F2A99">
        <w:rPr>
          <w:rFonts w:eastAsia="Times New Roman"/>
          <w:lang w:val="hu-HU"/>
        </w:rPr>
        <w:t xml:space="preserve"> és serdülőknek</w:t>
      </w:r>
      <w:r>
        <w:rPr>
          <w:rFonts w:eastAsia="Times New Roman"/>
          <w:lang w:val="hu-HU"/>
        </w:rPr>
        <w:t xml:space="preserve"> meg kell kapnia az összes esedékes védőoltást a Yuflyma alkalmazásának megkezdése előtt.</w:t>
      </w:r>
    </w:p>
    <w:p w14:paraId="51A0F3E6" w14:textId="77777777" w:rsidR="00130E8B" w:rsidRDefault="00130E8B">
      <w:pPr>
        <w:pStyle w:val="a3"/>
        <w:rPr>
          <w:b/>
          <w:lang w:val="hu-HU"/>
        </w:rPr>
      </w:pPr>
    </w:p>
    <w:p w14:paraId="26B9A9C7" w14:textId="757F7554" w:rsidR="00130E8B" w:rsidRDefault="000405CC">
      <w:pPr>
        <w:pStyle w:val="a3"/>
        <w:rPr>
          <w:b/>
          <w:lang w:val="hu-HU"/>
        </w:rPr>
      </w:pPr>
      <w:r>
        <w:rPr>
          <w:rFonts w:eastAsia="Times New Roman"/>
          <w:b/>
          <w:bCs/>
          <w:lang w:val="hu-HU"/>
        </w:rPr>
        <w:t>Egyéb gyógyszerek és a Yuflyma</w:t>
      </w:r>
    </w:p>
    <w:p w14:paraId="3BB30E5C" w14:textId="77777777" w:rsidR="00130E8B" w:rsidRDefault="00130E8B">
      <w:pPr>
        <w:pStyle w:val="a3"/>
        <w:rPr>
          <w:b/>
          <w:lang w:val="hu-HU"/>
        </w:rPr>
      </w:pPr>
    </w:p>
    <w:p w14:paraId="6B43CC9D" w14:textId="6B262FB5" w:rsidR="00130E8B" w:rsidRDefault="000405CC">
      <w:pPr>
        <w:pStyle w:val="a3"/>
        <w:rPr>
          <w:lang w:val="hu-HU"/>
        </w:rPr>
      </w:pPr>
      <w:r>
        <w:rPr>
          <w:rFonts w:eastAsia="Times New Roman"/>
          <w:lang w:val="hu-HU"/>
        </w:rPr>
        <w:t xml:space="preserve">Feltétlenül tájékoztassa kezelőorvosát vagy gyógyszerészét </w:t>
      </w:r>
      <w:r w:rsidR="00C4148F">
        <w:rPr>
          <w:rFonts w:eastAsia="Times New Roman"/>
          <w:lang w:val="hu-HU"/>
        </w:rPr>
        <w:t xml:space="preserve">a </w:t>
      </w:r>
      <w:r>
        <w:rPr>
          <w:rFonts w:eastAsia="Times New Roman"/>
          <w:lang w:val="hu-HU"/>
        </w:rPr>
        <w:t xml:space="preserve">jelenleg vagy nemrégiben szedett, valamint szedni tervezett egyéb gyógyszereiről. Nem alkalmazhatja a </w:t>
      </w:r>
      <w:r w:rsidR="00E712D7">
        <w:rPr>
          <w:rFonts w:eastAsia="Times New Roman"/>
          <w:lang w:val="hu-HU"/>
        </w:rPr>
        <w:t>Yuflymá</w:t>
      </w:r>
      <w:r>
        <w:rPr>
          <w:rFonts w:eastAsia="Times New Roman"/>
          <w:lang w:val="hu-HU"/>
        </w:rPr>
        <w:t>-t, a következő hatóanyagokat tartalmazó gyógyszerekkel</w:t>
      </w:r>
      <w:r w:rsidR="00C4148F" w:rsidRPr="00C4148F">
        <w:rPr>
          <w:rFonts w:eastAsia="Times New Roman"/>
          <w:lang w:val="hu-HU"/>
        </w:rPr>
        <w:t xml:space="preserve"> </w:t>
      </w:r>
      <w:r w:rsidR="00C4148F" w:rsidRPr="00194A8F">
        <w:rPr>
          <w:rFonts w:eastAsia="Times New Roman"/>
          <w:lang w:val="hu-HU"/>
        </w:rPr>
        <w:t>együtt</w:t>
      </w:r>
      <w:r>
        <w:rPr>
          <w:rFonts w:eastAsia="Times New Roman"/>
          <w:lang w:val="hu-HU"/>
        </w:rPr>
        <w:t>, mert fokozódik</w:t>
      </w:r>
      <w:r w:rsidR="00BE2389">
        <w:rPr>
          <w:rFonts w:eastAsia="Times New Roman"/>
          <w:lang w:val="hu-HU"/>
        </w:rPr>
        <w:t xml:space="preserve"> </w:t>
      </w:r>
      <w:r>
        <w:rPr>
          <w:rFonts w:eastAsia="Times New Roman"/>
          <w:lang w:val="hu-HU"/>
        </w:rPr>
        <w:t>a súlyos fertőzések kockázata:</w:t>
      </w:r>
    </w:p>
    <w:p w14:paraId="230D89C4" w14:textId="77777777" w:rsidR="00130E8B" w:rsidRDefault="00130E8B">
      <w:pPr>
        <w:pStyle w:val="a3"/>
        <w:rPr>
          <w:lang w:val="hu-HU"/>
        </w:rPr>
      </w:pPr>
    </w:p>
    <w:p w14:paraId="596AD8E0" w14:textId="77777777" w:rsidR="00130E8B" w:rsidRDefault="000405CC">
      <w:pPr>
        <w:pStyle w:val="a3"/>
        <w:numPr>
          <w:ilvl w:val="1"/>
          <w:numId w:val="4"/>
        </w:numPr>
        <w:ind w:left="660" w:hanging="660"/>
        <w:rPr>
          <w:lang w:val="hu-HU"/>
        </w:rPr>
      </w:pPr>
      <w:r>
        <w:rPr>
          <w:rFonts w:eastAsia="Times New Roman"/>
          <w:lang w:val="hu-HU"/>
        </w:rPr>
        <w:t>anakinra</w:t>
      </w:r>
    </w:p>
    <w:p w14:paraId="730EFDD0" w14:textId="77777777" w:rsidR="00130E8B" w:rsidRDefault="000405CC">
      <w:pPr>
        <w:pStyle w:val="a3"/>
        <w:numPr>
          <w:ilvl w:val="1"/>
          <w:numId w:val="4"/>
        </w:numPr>
        <w:ind w:left="660" w:hanging="660"/>
        <w:rPr>
          <w:lang w:val="hu-HU"/>
        </w:rPr>
      </w:pPr>
      <w:r>
        <w:rPr>
          <w:rFonts w:eastAsia="Times New Roman"/>
          <w:lang w:val="hu-HU"/>
        </w:rPr>
        <w:t>abatacept.</w:t>
      </w:r>
    </w:p>
    <w:p w14:paraId="212BF8BE" w14:textId="77777777" w:rsidR="00130E8B" w:rsidRDefault="00130E8B">
      <w:pPr>
        <w:pStyle w:val="a3"/>
        <w:rPr>
          <w:lang w:val="hu-HU"/>
        </w:rPr>
      </w:pPr>
    </w:p>
    <w:p w14:paraId="2EF26552" w14:textId="77777777" w:rsidR="00130E8B" w:rsidRDefault="000405CC">
      <w:pPr>
        <w:pStyle w:val="a3"/>
        <w:rPr>
          <w:lang w:val="hu-HU"/>
        </w:rPr>
      </w:pPr>
      <w:r>
        <w:rPr>
          <w:rFonts w:eastAsia="Times New Roman"/>
          <w:lang w:val="hu-HU"/>
        </w:rPr>
        <w:t>A Yuflyma együtt alkalmazható:</w:t>
      </w:r>
    </w:p>
    <w:p w14:paraId="2425BB87" w14:textId="77777777" w:rsidR="00130E8B" w:rsidRDefault="000405CC">
      <w:pPr>
        <w:pStyle w:val="a3"/>
        <w:numPr>
          <w:ilvl w:val="1"/>
          <w:numId w:val="4"/>
        </w:numPr>
        <w:ind w:left="660" w:hanging="660"/>
        <w:rPr>
          <w:lang w:val="hu-HU"/>
        </w:rPr>
      </w:pPr>
      <w:r>
        <w:rPr>
          <w:rFonts w:eastAsia="Times New Roman"/>
          <w:lang w:val="hu-HU"/>
        </w:rPr>
        <w:t>metotrexáttal</w:t>
      </w:r>
    </w:p>
    <w:p w14:paraId="5698017C" w14:textId="77777777" w:rsidR="00130E8B" w:rsidRDefault="000405CC">
      <w:pPr>
        <w:pStyle w:val="a3"/>
        <w:numPr>
          <w:ilvl w:val="1"/>
          <w:numId w:val="4"/>
        </w:numPr>
        <w:ind w:left="660" w:hanging="660"/>
        <w:rPr>
          <w:lang w:val="hu-HU"/>
        </w:rPr>
      </w:pPr>
      <w:r>
        <w:rPr>
          <w:rFonts w:eastAsia="Times New Roman"/>
          <w:lang w:val="hu-HU"/>
        </w:rPr>
        <w:t>egyéb, a betegséget befolyásoló reumaellenes szerrel (szulfaszalazin, hidroxiklorokin, leflunomid és arany injekció)</w:t>
      </w:r>
    </w:p>
    <w:p w14:paraId="207DCAEA" w14:textId="6DF23DA0" w:rsidR="00130E8B" w:rsidRDefault="000405CC">
      <w:pPr>
        <w:pStyle w:val="a3"/>
        <w:numPr>
          <w:ilvl w:val="1"/>
          <w:numId w:val="4"/>
        </w:numPr>
        <w:ind w:left="660" w:hanging="660"/>
        <w:rPr>
          <w:lang w:val="hu-HU"/>
        </w:rPr>
      </w:pPr>
      <w:r>
        <w:rPr>
          <w:rFonts w:eastAsia="Times New Roman"/>
          <w:lang w:val="hu-HU"/>
        </w:rPr>
        <w:t>szteroidokkal vagy fájdalomcsillapító készítményekkel, beleértve a nem</w:t>
      </w:r>
      <w:r w:rsidR="0050547A">
        <w:rPr>
          <w:rFonts w:eastAsia="Times New Roman"/>
          <w:lang w:val="hu-HU"/>
        </w:rPr>
        <w:t>-</w:t>
      </w:r>
      <w:r>
        <w:rPr>
          <w:rFonts w:eastAsia="Times New Roman"/>
          <w:lang w:val="hu-HU"/>
        </w:rPr>
        <w:t>szteroid gyulladásgátlókat (NSAID-ket).</w:t>
      </w:r>
    </w:p>
    <w:p w14:paraId="14DE36D2" w14:textId="77777777" w:rsidR="00130E8B" w:rsidRDefault="00130E8B">
      <w:pPr>
        <w:pStyle w:val="a3"/>
        <w:rPr>
          <w:lang w:val="hu-HU"/>
        </w:rPr>
      </w:pPr>
    </w:p>
    <w:p w14:paraId="2BE9D887" w14:textId="77777777" w:rsidR="00130E8B" w:rsidRDefault="000405CC">
      <w:pPr>
        <w:pStyle w:val="a3"/>
        <w:rPr>
          <w:lang w:val="hu-HU"/>
        </w:rPr>
      </w:pPr>
      <w:r>
        <w:rPr>
          <w:rFonts w:eastAsia="Times New Roman"/>
          <w:lang w:val="hu-HU"/>
        </w:rPr>
        <w:t>Ha kérdése van, kérdezze meg kezelőorvosát</w:t>
      </w:r>
      <w:r w:rsidR="00283566">
        <w:rPr>
          <w:rFonts w:eastAsia="Times New Roman"/>
          <w:lang w:val="hu-HU"/>
        </w:rPr>
        <w:t>.</w:t>
      </w:r>
    </w:p>
    <w:p w14:paraId="45247C66" w14:textId="77777777" w:rsidR="00130E8B" w:rsidRDefault="00130E8B">
      <w:pPr>
        <w:spacing w:before="18" w:line="240" w:lineRule="exact"/>
        <w:rPr>
          <w:sz w:val="24"/>
          <w:szCs w:val="24"/>
          <w:lang w:val="hu-HU"/>
        </w:rPr>
      </w:pPr>
    </w:p>
    <w:p w14:paraId="23C5283A" w14:textId="77777777" w:rsidR="00130E8B" w:rsidRDefault="000405CC">
      <w:pPr>
        <w:pStyle w:val="a3"/>
        <w:rPr>
          <w:b/>
          <w:lang w:val="hu-HU"/>
        </w:rPr>
      </w:pPr>
      <w:r>
        <w:rPr>
          <w:rFonts w:eastAsia="Times New Roman"/>
          <w:b/>
          <w:bCs/>
          <w:lang w:val="hu-HU"/>
        </w:rPr>
        <w:t>Terhesség és szoptatás</w:t>
      </w:r>
    </w:p>
    <w:p w14:paraId="5DA5045F" w14:textId="77777777" w:rsidR="00130E8B" w:rsidRDefault="00130E8B">
      <w:pPr>
        <w:spacing w:before="9" w:line="260" w:lineRule="exact"/>
        <w:rPr>
          <w:sz w:val="26"/>
          <w:szCs w:val="26"/>
          <w:lang w:val="hu-HU"/>
        </w:rPr>
      </w:pPr>
    </w:p>
    <w:p w14:paraId="1EA59F68" w14:textId="189E372A" w:rsidR="00130E8B" w:rsidRDefault="000405CC">
      <w:pPr>
        <w:pStyle w:val="a3"/>
        <w:numPr>
          <w:ilvl w:val="1"/>
          <w:numId w:val="4"/>
        </w:numPr>
        <w:ind w:left="660" w:hanging="660"/>
        <w:rPr>
          <w:lang w:val="hu-HU"/>
        </w:rPr>
      </w:pPr>
      <w:r>
        <w:rPr>
          <w:rFonts w:eastAsia="Times New Roman"/>
          <w:lang w:val="hu-HU"/>
        </w:rPr>
        <w:t xml:space="preserve">A terhesség megelőzése érdekében meg kell fontolnia a megfelelő fogamzásgátlás alkalmazását és </w:t>
      </w:r>
      <w:r w:rsidR="00C4148F" w:rsidRPr="00105A2E">
        <w:rPr>
          <w:rFonts w:eastAsia="Times New Roman"/>
          <w:lang w:val="hu-HU"/>
        </w:rPr>
        <w:t xml:space="preserve">annak </w:t>
      </w:r>
      <w:r>
        <w:rPr>
          <w:rFonts w:eastAsia="Times New Roman"/>
          <w:lang w:val="hu-HU"/>
        </w:rPr>
        <w:t>folytatását a Yuflyma-val történt utolsó kezelést követően legalább 5 hónapig.</w:t>
      </w:r>
    </w:p>
    <w:p w14:paraId="52E12C07" w14:textId="77777777" w:rsidR="00130E8B" w:rsidRDefault="000405CC">
      <w:pPr>
        <w:pStyle w:val="a3"/>
        <w:numPr>
          <w:ilvl w:val="1"/>
          <w:numId w:val="4"/>
        </w:numPr>
        <w:ind w:left="660" w:hanging="660"/>
        <w:rPr>
          <w:lang w:val="hu-HU"/>
        </w:rPr>
      </w:pPr>
      <w:r>
        <w:rPr>
          <w:rFonts w:eastAsia="Times New Roman"/>
          <w:lang w:val="hu-HU"/>
        </w:rPr>
        <w:t>Ha Ön terhes, ha fennáll Önnél a terhesség lehetősége vagy gyermeket szeretne, a gyógyszer alkalmazása előtt beszéljen kezelőorvosával vagy gyógyszerészével.</w:t>
      </w:r>
    </w:p>
    <w:p w14:paraId="2362DAD1" w14:textId="77777777" w:rsidR="00130E8B" w:rsidRDefault="000405CC">
      <w:pPr>
        <w:pStyle w:val="a3"/>
        <w:numPr>
          <w:ilvl w:val="1"/>
          <w:numId w:val="4"/>
        </w:numPr>
        <w:ind w:left="660" w:hanging="660"/>
        <w:rPr>
          <w:lang w:val="hu-HU"/>
        </w:rPr>
      </w:pPr>
      <w:r>
        <w:rPr>
          <w:rFonts w:eastAsia="Times New Roman"/>
          <w:lang w:val="hu-HU"/>
        </w:rPr>
        <w:t>A Yuflyma csak akkor alkalmazható terhesség alatt, ha egyértelműen szükséges.</w:t>
      </w:r>
    </w:p>
    <w:p w14:paraId="22714856" w14:textId="77777777" w:rsidR="00130E8B" w:rsidRDefault="000405CC">
      <w:pPr>
        <w:pStyle w:val="a3"/>
        <w:numPr>
          <w:ilvl w:val="1"/>
          <w:numId w:val="4"/>
        </w:numPr>
        <w:ind w:left="660" w:hanging="660"/>
        <w:rPr>
          <w:lang w:val="hu-HU"/>
        </w:rPr>
      </w:pPr>
      <w:r>
        <w:rPr>
          <w:rFonts w:eastAsia="Times New Roman"/>
          <w:lang w:val="hu-HU"/>
        </w:rPr>
        <w:t>Egy terhes nőkkel végzett klinikai vizsgálat alapján nem volt magasabb a születési rendellenességek kockázata azoknál a nőknél, akik a terhességük alatt Yuflyma-kezelésben részesültek, mint az azonos betegségben szenvedő, Yuflyma-kezelésben nem részesült nőknél.</w:t>
      </w:r>
    </w:p>
    <w:p w14:paraId="6EF0DEDC" w14:textId="77777777" w:rsidR="00130E8B" w:rsidRDefault="000405CC">
      <w:pPr>
        <w:pStyle w:val="a3"/>
        <w:numPr>
          <w:ilvl w:val="1"/>
          <w:numId w:val="4"/>
        </w:numPr>
        <w:ind w:left="660" w:hanging="660"/>
        <w:rPr>
          <w:lang w:val="hu-HU"/>
        </w:rPr>
      </w:pPr>
      <w:r>
        <w:rPr>
          <w:rFonts w:eastAsia="Times New Roman"/>
          <w:lang w:val="hu-HU"/>
        </w:rPr>
        <w:t>Szoptatás alatt a Yuflyma alkalmazható.</w:t>
      </w:r>
    </w:p>
    <w:p w14:paraId="29A29309" w14:textId="77777777" w:rsidR="00130E8B" w:rsidRDefault="000405CC">
      <w:pPr>
        <w:pStyle w:val="a3"/>
        <w:numPr>
          <w:ilvl w:val="1"/>
          <w:numId w:val="4"/>
        </w:numPr>
        <w:ind w:left="660" w:hanging="660"/>
        <w:rPr>
          <w:lang w:val="hu-HU"/>
        </w:rPr>
      </w:pPr>
      <w:r>
        <w:rPr>
          <w:rFonts w:eastAsia="Times New Roman"/>
          <w:lang w:val="hu-HU"/>
        </w:rPr>
        <w:t>Ha a terhessége alatt Yuflyma-t kapott, a kisbabája nagyobb eséllyel kap el valamilyen fertőzést.</w:t>
      </w:r>
    </w:p>
    <w:p w14:paraId="5CEF9683" w14:textId="77777777" w:rsidR="00130E8B" w:rsidRDefault="000405CC">
      <w:pPr>
        <w:pStyle w:val="a3"/>
        <w:numPr>
          <w:ilvl w:val="1"/>
          <w:numId w:val="4"/>
        </w:numPr>
        <w:ind w:left="660" w:hanging="660"/>
        <w:rPr>
          <w:lang w:val="hu-HU"/>
        </w:rPr>
      </w:pPr>
      <w:r>
        <w:rPr>
          <w:rFonts w:eastAsia="Times New Roman"/>
          <w:lang w:val="hu-HU"/>
        </w:rPr>
        <w:t>Fontos, hogy elmondja kisbabája orvosának vagy az őt kezelő egészségügyi személyzetnek, hogy a terhessége alatt Yuflyma-t kapott, mielőtt a kisbaba bármilyen védőoltást kapna. A védőoltásokról további információt talál a „Figyelmeztetések és óvintézkedések” részben.</w:t>
      </w:r>
    </w:p>
    <w:p w14:paraId="6E6DFC0D" w14:textId="77777777" w:rsidR="00130E8B" w:rsidRDefault="00130E8B">
      <w:pPr>
        <w:spacing w:before="15" w:line="240" w:lineRule="exact"/>
        <w:rPr>
          <w:b/>
          <w:sz w:val="24"/>
          <w:szCs w:val="24"/>
          <w:lang w:val="hu-HU"/>
        </w:rPr>
      </w:pPr>
    </w:p>
    <w:p w14:paraId="0C6B5E1C" w14:textId="77777777" w:rsidR="00130E8B" w:rsidRDefault="000405CC">
      <w:pPr>
        <w:pStyle w:val="a3"/>
        <w:rPr>
          <w:b/>
          <w:lang w:val="hu-HU"/>
        </w:rPr>
      </w:pPr>
      <w:r>
        <w:rPr>
          <w:rFonts w:eastAsia="Times New Roman"/>
          <w:b/>
          <w:bCs/>
          <w:lang w:val="hu-HU"/>
        </w:rPr>
        <w:t>A készítmény hatásai a gépjárművezetéshez és a gépek kezeléséhez szükséges képességekre</w:t>
      </w:r>
    </w:p>
    <w:p w14:paraId="0E06147E" w14:textId="77777777" w:rsidR="00130E8B" w:rsidRDefault="00130E8B">
      <w:pPr>
        <w:spacing w:before="12" w:line="240" w:lineRule="exact"/>
        <w:rPr>
          <w:sz w:val="24"/>
          <w:szCs w:val="24"/>
          <w:lang w:val="hu-HU"/>
        </w:rPr>
      </w:pPr>
    </w:p>
    <w:p w14:paraId="1A4CE1B8" w14:textId="019AC6F9" w:rsidR="00130E8B" w:rsidRDefault="000405CC">
      <w:pPr>
        <w:pStyle w:val="a3"/>
        <w:rPr>
          <w:lang w:val="hu-HU"/>
        </w:rPr>
      </w:pPr>
      <w:r>
        <w:rPr>
          <w:rFonts w:eastAsia="Times New Roman"/>
          <w:lang w:val="hu-HU"/>
        </w:rPr>
        <w:t>A Yuflyma csak csekély mértékben befolyásolhatja a gépjárművezetéshez, kerékpározáshoz vagy a gépek kezeléséhez szükséges képességeket. A Yuflyma alkalmazását követően előfordulhat olyan érzés, mintha forogna a szoba vagy a tér, továbbá látászavar is előfordulhat</w:t>
      </w:r>
      <w:r w:rsidR="00C77F0E">
        <w:rPr>
          <w:rFonts w:eastAsia="Times New Roman"/>
          <w:lang w:val="hu-HU"/>
        </w:rPr>
        <w:t>.</w:t>
      </w:r>
    </w:p>
    <w:p w14:paraId="127C0F50" w14:textId="77777777" w:rsidR="00130E8B" w:rsidRDefault="00130E8B">
      <w:pPr>
        <w:spacing w:line="200" w:lineRule="exact"/>
        <w:rPr>
          <w:sz w:val="20"/>
          <w:szCs w:val="20"/>
          <w:lang w:val="hu-HU"/>
        </w:rPr>
      </w:pPr>
    </w:p>
    <w:p w14:paraId="3C641DC5" w14:textId="3B9098DF" w:rsidR="00130E8B" w:rsidRDefault="000405CC">
      <w:pPr>
        <w:pStyle w:val="a3"/>
        <w:rPr>
          <w:b/>
          <w:lang w:val="hu-HU"/>
        </w:rPr>
      </w:pPr>
      <w:r>
        <w:rPr>
          <w:rFonts w:eastAsia="Times New Roman"/>
          <w:b/>
          <w:bCs/>
          <w:lang w:val="hu-HU"/>
        </w:rPr>
        <w:t>A</w:t>
      </w:r>
      <w:r w:rsidR="006136D3">
        <w:rPr>
          <w:rFonts w:hint="eastAsia"/>
          <w:b/>
          <w:bCs/>
          <w:lang w:val="hu-HU" w:eastAsia="ko-KR"/>
        </w:rPr>
        <w:t>Yuflyma</w:t>
      </w:r>
      <w:r>
        <w:rPr>
          <w:rFonts w:eastAsia="Times New Roman"/>
          <w:b/>
          <w:bCs/>
          <w:lang w:val="hu-HU"/>
        </w:rPr>
        <w:t xml:space="preserve"> nátriumot tartalmaz</w:t>
      </w:r>
    </w:p>
    <w:p w14:paraId="67D6E0C3" w14:textId="77777777" w:rsidR="00130E8B" w:rsidRDefault="00130E8B">
      <w:pPr>
        <w:spacing w:before="12" w:line="240" w:lineRule="exact"/>
        <w:rPr>
          <w:sz w:val="24"/>
          <w:szCs w:val="24"/>
          <w:lang w:val="hu-HU"/>
        </w:rPr>
      </w:pPr>
    </w:p>
    <w:p w14:paraId="39797CA5" w14:textId="08B705BA" w:rsidR="00130E8B" w:rsidRDefault="000405CC">
      <w:pPr>
        <w:spacing w:line="200" w:lineRule="exact"/>
        <w:rPr>
          <w:sz w:val="20"/>
          <w:szCs w:val="20"/>
          <w:lang w:val="hu-HU"/>
        </w:rPr>
      </w:pPr>
      <w:r>
        <w:rPr>
          <w:rFonts w:ascii="Times New Roman" w:eastAsia="Times New Roman" w:hAnsi="Times New Roman" w:cs="Times New Roman"/>
          <w:lang w:val="hu-HU"/>
        </w:rPr>
        <w:t xml:space="preserve">Ez a gyógyszer kevesebb mint 1 mmol nátriumot (23 mg) tartalmaz 0,4  ml-es </w:t>
      </w:r>
      <w:r w:rsidR="00C4148F" w:rsidRPr="00105A2E">
        <w:rPr>
          <w:rFonts w:ascii="Times New Roman" w:eastAsia="Times New Roman" w:hAnsi="Times New Roman" w:cs="Times New Roman"/>
          <w:lang w:val="hu-HU"/>
        </w:rPr>
        <w:t>adagonként</w:t>
      </w:r>
      <w:r>
        <w:rPr>
          <w:rFonts w:ascii="Times New Roman" w:eastAsia="Times New Roman" w:hAnsi="Times New Roman" w:cs="Times New Roman"/>
          <w:lang w:val="hu-HU"/>
        </w:rPr>
        <w:t>, azaz lényegében „nátriummentes”.</w:t>
      </w:r>
    </w:p>
    <w:p w14:paraId="04AF9DB0" w14:textId="77777777" w:rsidR="00130E8B" w:rsidRDefault="00130E8B">
      <w:pPr>
        <w:spacing w:line="200" w:lineRule="exact"/>
        <w:rPr>
          <w:sz w:val="20"/>
          <w:szCs w:val="20"/>
          <w:lang w:val="hu-HU"/>
        </w:rPr>
      </w:pPr>
    </w:p>
    <w:p w14:paraId="604110F3" w14:textId="77777777" w:rsidR="00130E8B" w:rsidRDefault="00130E8B">
      <w:pPr>
        <w:spacing w:line="200" w:lineRule="exact"/>
        <w:rPr>
          <w:sz w:val="20"/>
          <w:szCs w:val="20"/>
          <w:lang w:val="hu-HU"/>
        </w:rPr>
      </w:pPr>
    </w:p>
    <w:p w14:paraId="3B3413F8" w14:textId="68B728D5" w:rsidR="00130E8B" w:rsidRDefault="000405CC">
      <w:pPr>
        <w:pStyle w:val="a4"/>
        <w:numPr>
          <w:ilvl w:val="0"/>
          <w:numId w:val="37"/>
        </w:numPr>
        <w:spacing w:line="240" w:lineRule="exact"/>
        <w:ind w:hanging="468"/>
        <w:rPr>
          <w:rFonts w:ascii="Times New Roman" w:hAnsi="Times New Roman" w:cs="Times New Roman"/>
          <w:b/>
          <w:lang w:val="hu-HU"/>
        </w:rPr>
      </w:pPr>
      <w:r>
        <w:rPr>
          <w:rFonts w:ascii="Times New Roman" w:eastAsia="Times New Roman" w:hAnsi="Times New Roman" w:cs="Times New Roman"/>
          <w:b/>
          <w:bCs/>
          <w:lang w:val="hu-HU"/>
        </w:rPr>
        <w:t>Hogyan kell alkalmazni a Yuflyma-t</w:t>
      </w:r>
      <w:r w:rsidR="0032768D">
        <w:rPr>
          <w:rFonts w:ascii="Times New Roman" w:eastAsia="Times New Roman" w:hAnsi="Times New Roman" w:cs="Times New Roman"/>
          <w:b/>
          <w:bCs/>
          <w:lang w:val="hu-HU"/>
        </w:rPr>
        <w:t>?</w:t>
      </w:r>
    </w:p>
    <w:p w14:paraId="57EED4D4" w14:textId="77777777" w:rsidR="00130E8B" w:rsidRDefault="00130E8B">
      <w:pPr>
        <w:spacing w:before="9" w:line="240" w:lineRule="exact"/>
        <w:rPr>
          <w:sz w:val="24"/>
          <w:szCs w:val="24"/>
          <w:lang w:val="hu-HU"/>
        </w:rPr>
      </w:pPr>
    </w:p>
    <w:p w14:paraId="0067AAA7" w14:textId="77777777" w:rsidR="00130E8B" w:rsidRDefault="000405CC">
      <w:pPr>
        <w:pStyle w:val="a3"/>
        <w:rPr>
          <w:lang w:val="hu-HU"/>
        </w:rPr>
      </w:pPr>
      <w:r>
        <w:rPr>
          <w:rFonts w:eastAsia="Times New Roman"/>
          <w:lang w:val="hu-HU"/>
        </w:rPr>
        <w:t>A gyógyszert mindig a kezelőorvosa vagy gyógyszerésze által elmondottaknak megfelelően alkalmazza. Forduljon orvosához vagy gyógyszerészéhez, ha bizonytalan valamiben.</w:t>
      </w:r>
    </w:p>
    <w:p w14:paraId="42BA22D7" w14:textId="77777777" w:rsidR="00E71758" w:rsidRDefault="00E71758" w:rsidP="00E71758">
      <w:pPr>
        <w:pStyle w:val="a3"/>
        <w:rPr>
          <w:lang w:val="hu-HU"/>
        </w:rPr>
      </w:pPr>
    </w:p>
    <w:p w14:paraId="3F6F1E74" w14:textId="1E96BC5A" w:rsidR="00130E8B" w:rsidRDefault="00E71758">
      <w:pPr>
        <w:pStyle w:val="a3"/>
        <w:rPr>
          <w:rFonts w:eastAsia="Times New Roman"/>
          <w:lang w:val="hu-HU"/>
        </w:rPr>
      </w:pPr>
      <w:r w:rsidRPr="00167BF3">
        <w:rPr>
          <w:lang w:val="hu-HU"/>
        </w:rPr>
        <w:t xml:space="preserve">A </w:t>
      </w:r>
      <w:r w:rsidR="00151C9A" w:rsidRPr="00167BF3">
        <w:rPr>
          <w:lang w:val="hu-HU"/>
        </w:rPr>
        <w:t>Yuflyma</w:t>
      </w:r>
      <w:r w:rsidRPr="00167BF3">
        <w:rPr>
          <w:lang w:val="hu-HU"/>
        </w:rPr>
        <w:t xml:space="preserve"> javasolt adagját az alábbi táblázat mutatja, alkalmazási terület szerint. Kezelőorvosa más hatáserősségű </w:t>
      </w:r>
      <w:r w:rsidR="00151C9A" w:rsidRPr="00167BF3">
        <w:rPr>
          <w:lang w:val="hu-HU"/>
        </w:rPr>
        <w:t>Yuflyma</w:t>
      </w:r>
      <w:r w:rsidRPr="00167BF3">
        <w:rPr>
          <w:lang w:val="hu-HU"/>
        </w:rPr>
        <w:t>-t is felírhat, ha Önnek más dózisra van szüksége.</w:t>
      </w:r>
    </w:p>
    <w:p w14:paraId="30444B90" w14:textId="77777777" w:rsidR="00E71758" w:rsidRDefault="00E71758">
      <w:pPr>
        <w:pStyle w:val="a3"/>
        <w:rPr>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130E8B" w:rsidRPr="00BE4D18" w14:paraId="5531E538"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431B2707" w14:textId="77777777" w:rsidR="00130E8B" w:rsidRDefault="000405CC">
            <w:pPr>
              <w:pStyle w:val="TableParagraph"/>
              <w:spacing w:line="251"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Reumatoid artritisz, pszoriázisos ízületi gyulladás, spondilitisz ankilopoetika</w:t>
            </w:r>
          </w:p>
          <w:p w14:paraId="03B516A2" w14:textId="77777777" w:rsidR="00130E8B" w:rsidRDefault="000405CC">
            <w:pPr>
              <w:pStyle w:val="TableParagraph"/>
              <w:spacing w:before="1" w:line="252"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spondilitisz ankilopoetikára jellemző röntgeneltérést nem mutató gerincízületi gyulladás (axiális spondiloartritisz)</w:t>
            </w:r>
          </w:p>
        </w:tc>
      </w:tr>
      <w:tr w:rsidR="00130E8B" w14:paraId="4AC4B969" w14:textId="77777777">
        <w:tc>
          <w:tcPr>
            <w:tcW w:w="3096" w:type="dxa"/>
            <w:tcBorders>
              <w:top w:val="single" w:sz="5" w:space="0" w:color="000000"/>
              <w:left w:val="single" w:sz="5" w:space="0" w:color="000000"/>
              <w:bottom w:val="single" w:sz="5" w:space="0" w:color="000000"/>
              <w:right w:val="single" w:sz="5" w:space="0" w:color="000000"/>
            </w:tcBorders>
          </w:tcPr>
          <w:p w14:paraId="7633812A"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5" w:space="0" w:color="000000"/>
              <w:bottom w:val="single" w:sz="5" w:space="0" w:color="000000"/>
              <w:right w:val="single" w:sz="5" w:space="0" w:color="000000"/>
            </w:tcBorders>
          </w:tcPr>
          <w:p w14:paraId="5E60D1AF" w14:textId="09EA6B58" w:rsidR="00130E8B" w:rsidRDefault="000405CC" w:rsidP="00545FC6">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w:t>
            </w:r>
            <w:r w:rsidR="00BE2389">
              <w:rPr>
                <w:rFonts w:ascii="Times New Roman" w:eastAsia="Times New Roman" w:hAnsi="Times New Roman" w:cs="Times New Roman"/>
                <w:b/>
                <w:bCs/>
                <w:spacing w:val="-1"/>
                <w:lang w:val="hu-HU"/>
              </w:rPr>
              <w:t xml:space="preserve"> </w:t>
            </w:r>
            <w:r>
              <w:rPr>
                <w:rFonts w:ascii="Times New Roman" w:eastAsia="Times New Roman" w:hAnsi="Times New Roman" w:cs="Times New Roman"/>
                <w:b/>
                <w:bCs/>
                <w:lang w:val="hu-HU"/>
              </w:rPr>
              <w:t>alkalmazni?</w:t>
            </w:r>
          </w:p>
        </w:tc>
        <w:tc>
          <w:tcPr>
            <w:tcW w:w="3096" w:type="dxa"/>
            <w:tcBorders>
              <w:top w:val="single" w:sz="5" w:space="0" w:color="000000"/>
              <w:left w:val="single" w:sz="5" w:space="0" w:color="000000"/>
              <w:bottom w:val="single" w:sz="5" w:space="0" w:color="000000"/>
              <w:right w:val="single" w:sz="5" w:space="0" w:color="000000"/>
            </w:tcBorders>
          </w:tcPr>
          <w:p w14:paraId="43590FEC"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130E8B" w:rsidRPr="00BE4D18" w14:paraId="7282F263" w14:textId="77777777">
        <w:tc>
          <w:tcPr>
            <w:tcW w:w="3096" w:type="dxa"/>
            <w:tcBorders>
              <w:top w:val="single" w:sz="5" w:space="0" w:color="000000"/>
              <w:left w:val="single" w:sz="5" w:space="0" w:color="000000"/>
              <w:bottom w:val="single" w:sz="5" w:space="0" w:color="000000"/>
              <w:right w:val="single" w:sz="5" w:space="0" w:color="000000"/>
            </w:tcBorders>
          </w:tcPr>
          <w:p w14:paraId="7809C177" w14:textId="77777777" w:rsidR="00130E8B" w:rsidRDefault="000405CC">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Felnőttek</w:t>
            </w:r>
          </w:p>
        </w:tc>
        <w:tc>
          <w:tcPr>
            <w:tcW w:w="3096" w:type="dxa"/>
            <w:tcBorders>
              <w:top w:val="single" w:sz="5" w:space="0" w:color="000000"/>
              <w:left w:val="single" w:sz="5" w:space="0" w:color="000000"/>
              <w:bottom w:val="single" w:sz="5" w:space="0" w:color="000000"/>
              <w:right w:val="single" w:sz="5" w:space="0" w:color="000000"/>
            </w:tcBorders>
          </w:tcPr>
          <w:p w14:paraId="294FE7A5" w14:textId="67A8B7FB" w:rsidR="00130E8B" w:rsidRDefault="005C539D" w:rsidP="00225A61">
            <w:pPr>
              <w:pStyle w:val="TableParagraph"/>
              <w:spacing w:line="246" w:lineRule="exact"/>
              <w:ind w:left="102" w:right="57"/>
              <w:rPr>
                <w:rFonts w:ascii="Times New Roman" w:eastAsia="Times New Roman" w:hAnsi="Times New Roman" w:cs="Times New Roman"/>
                <w:lang w:val="hu-HU"/>
              </w:rPr>
            </w:pPr>
            <w:r w:rsidRPr="005D58A4">
              <w:rPr>
                <w:rFonts w:ascii="Times New Roman" w:eastAsia="Times New Roman" w:hAnsi="Times New Roman" w:cs="Times New Roman"/>
                <w:spacing w:val="-1"/>
                <w:lang w:val="hu-HU"/>
              </w:rPr>
              <w:t xml:space="preserve">40 mg </w:t>
            </w:r>
            <w:r w:rsidR="00225A61">
              <w:rPr>
                <w:rFonts w:ascii="Times New Roman" w:hAnsi="Times New Roman" w:cs="Times New Roman"/>
                <w:lang w:val="hu-HU"/>
              </w:rPr>
              <w:t>kéthetente</w:t>
            </w:r>
          </w:p>
        </w:tc>
        <w:tc>
          <w:tcPr>
            <w:tcW w:w="3096" w:type="dxa"/>
            <w:tcBorders>
              <w:top w:val="single" w:sz="5" w:space="0" w:color="000000"/>
              <w:left w:val="single" w:sz="5" w:space="0" w:color="000000"/>
              <w:bottom w:val="single" w:sz="5" w:space="0" w:color="000000"/>
              <w:right w:val="single" w:sz="5" w:space="0" w:color="000000"/>
            </w:tcBorders>
          </w:tcPr>
          <w:p w14:paraId="797670B1" w14:textId="77777777" w:rsidR="00130E8B" w:rsidRDefault="000405CC">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Reumatoid artritiszben</w:t>
            </w:r>
          </w:p>
          <w:p w14:paraId="4FCE28A4" w14:textId="70635E46" w:rsidR="00130E8B" w:rsidRDefault="000405CC">
            <w:pPr>
              <w:pStyle w:val="TableParagraph"/>
              <w:spacing w:before="1" w:line="239" w:lineRule="auto"/>
              <w:ind w:left="102" w:right="73"/>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a Yuflyma alkalmazása során a metotrexát-kezelést folytatni kell. Amennyiben az Ön kezelőorvosa a metotrexát adását szükségtelennek tartja, abban az esetben a Yuflyma </w:t>
            </w:r>
            <w:r w:rsidR="00C4148F" w:rsidRPr="00575ED4">
              <w:rPr>
                <w:rFonts w:ascii="Times New Roman" w:eastAsia="Times New Roman" w:hAnsi="Times New Roman" w:cs="Times New Roman" w:hint="eastAsia"/>
                <w:spacing w:val="-1"/>
                <w:lang w:val="hu-HU"/>
              </w:rPr>
              <w:t>ö</w:t>
            </w:r>
            <w:r w:rsidR="00C4148F" w:rsidRPr="00575ED4">
              <w:rPr>
                <w:rFonts w:ascii="Times New Roman" w:eastAsia="Times New Roman" w:hAnsi="Times New Roman" w:cs="Times New Roman"/>
                <w:spacing w:val="-1"/>
                <w:lang w:val="hu-HU"/>
              </w:rPr>
              <w:t xml:space="preserve">nmagában </w:t>
            </w:r>
            <w:r>
              <w:rPr>
                <w:rFonts w:ascii="Times New Roman" w:eastAsia="Times New Roman" w:hAnsi="Times New Roman" w:cs="Times New Roman"/>
                <w:spacing w:val="-1"/>
                <w:lang w:val="hu-HU"/>
              </w:rPr>
              <w:t>alkalmazható.</w:t>
            </w:r>
          </w:p>
          <w:p w14:paraId="32F9FC9D" w14:textId="77777777" w:rsidR="00130E8B" w:rsidRDefault="00130E8B">
            <w:pPr>
              <w:pStyle w:val="TableParagraph"/>
              <w:spacing w:before="13" w:line="240" w:lineRule="exact"/>
              <w:rPr>
                <w:sz w:val="24"/>
                <w:szCs w:val="24"/>
                <w:lang w:val="hu-HU"/>
              </w:rPr>
            </w:pPr>
          </w:p>
          <w:p w14:paraId="3B5CCF21" w14:textId="77777777" w:rsidR="00130E8B" w:rsidRDefault="000405CC">
            <w:pPr>
              <w:pStyle w:val="TableParagraph"/>
              <w:ind w:left="102" w:right="127"/>
              <w:rPr>
                <w:rFonts w:ascii="Times New Roman" w:eastAsia="Times New Roman" w:hAnsi="Times New Roman" w:cs="Times New Roman"/>
                <w:lang w:val="hu-HU"/>
              </w:rPr>
            </w:pPr>
            <w:r>
              <w:rPr>
                <w:rFonts w:ascii="Times New Roman" w:eastAsia="Times New Roman" w:hAnsi="Times New Roman" w:cs="Times New Roman"/>
                <w:spacing w:val="-1"/>
                <w:lang w:val="hu-HU"/>
              </w:rPr>
              <w:t>Ha Önnek reumatoid artritisze van és a Yuflyma alkalmazása során nem kap metotrexát-kezelést, abban az esetben kezelőorvosa hetente 40 mg vagy kéthetente 80 mg adalimumab adása mellett dönthet.</w:t>
            </w:r>
          </w:p>
        </w:tc>
      </w:tr>
    </w:tbl>
    <w:p w14:paraId="2499B228" w14:textId="77777777" w:rsidR="00130E8B" w:rsidRDefault="00130E8B">
      <w:pPr>
        <w:spacing w:before="12"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130E8B" w14:paraId="3F11D415"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37547B7A" w14:textId="032D3D45" w:rsidR="00130E8B" w:rsidRDefault="000C6F40">
            <w:pPr>
              <w:pStyle w:val="TableParagraph"/>
              <w:spacing w:line="250" w:lineRule="exact"/>
              <w:ind w:left="102"/>
              <w:rPr>
                <w:rFonts w:ascii="Times New Roman" w:eastAsia="Times New Roman" w:hAnsi="Times New Roman" w:cs="Times New Roman"/>
                <w:lang w:val="hu-HU"/>
              </w:rPr>
            </w:pPr>
            <w:r w:rsidRPr="00F15192">
              <w:rPr>
                <w:rFonts w:ascii="Times New Roman" w:hAnsi="Times New Roman" w:cs="Times New Roman"/>
                <w:b/>
                <w:lang w:val="hu-HU"/>
              </w:rPr>
              <w:t>Poliartikuláris</w:t>
            </w:r>
            <w:r w:rsidRPr="00F15192">
              <w:rPr>
                <w:rFonts w:ascii="Times New Roman" w:eastAsia="Times New Roman" w:hAnsi="Times New Roman" w:cs="Times New Roman"/>
                <w:b/>
                <w:bCs/>
                <w:lang w:val="hu-HU"/>
              </w:rPr>
              <w:t xml:space="preserve"> juvenilis idiopathiás arthritis</w:t>
            </w:r>
          </w:p>
        </w:tc>
      </w:tr>
      <w:tr w:rsidR="00130E8B" w14:paraId="70E6E54F" w14:textId="77777777">
        <w:tc>
          <w:tcPr>
            <w:tcW w:w="3096" w:type="dxa"/>
            <w:tcBorders>
              <w:top w:val="single" w:sz="5" w:space="0" w:color="000000"/>
              <w:left w:val="single" w:sz="5" w:space="0" w:color="000000"/>
              <w:bottom w:val="single" w:sz="5" w:space="0" w:color="000000"/>
              <w:right w:val="single" w:sz="5" w:space="0" w:color="000000"/>
            </w:tcBorders>
          </w:tcPr>
          <w:p w14:paraId="2A01FE86"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5" w:space="0" w:color="000000"/>
              <w:bottom w:val="single" w:sz="5" w:space="0" w:color="000000"/>
              <w:right w:val="single" w:sz="5" w:space="0" w:color="000000"/>
            </w:tcBorders>
          </w:tcPr>
          <w:p w14:paraId="4E59914F" w14:textId="0124BA48" w:rsidR="00130E8B" w:rsidRDefault="000405CC" w:rsidP="00545FC6">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w:t>
            </w:r>
            <w:r w:rsidR="00BE2389">
              <w:rPr>
                <w:rFonts w:ascii="Times New Roman" w:eastAsia="Times New Roman" w:hAnsi="Times New Roman" w:cs="Times New Roman"/>
                <w:b/>
                <w:bCs/>
                <w:spacing w:val="-1"/>
                <w:lang w:val="hu-HU"/>
              </w:rPr>
              <w:t xml:space="preserve"> </w:t>
            </w:r>
            <w:r>
              <w:rPr>
                <w:rFonts w:ascii="Times New Roman" w:eastAsia="Times New Roman" w:hAnsi="Times New Roman" w:cs="Times New Roman"/>
                <w:b/>
                <w:bCs/>
                <w:lang w:val="hu-HU"/>
              </w:rPr>
              <w:t>alkalmazni?</w:t>
            </w:r>
          </w:p>
        </w:tc>
        <w:tc>
          <w:tcPr>
            <w:tcW w:w="3096" w:type="dxa"/>
            <w:tcBorders>
              <w:top w:val="single" w:sz="5" w:space="0" w:color="000000"/>
              <w:left w:val="single" w:sz="5" w:space="0" w:color="000000"/>
              <w:bottom w:val="single" w:sz="5" w:space="0" w:color="000000"/>
              <w:right w:val="single" w:sz="5" w:space="0" w:color="000000"/>
            </w:tcBorders>
          </w:tcPr>
          <w:p w14:paraId="5D285F8F"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130E8B" w14:paraId="1CA68EE5" w14:textId="77777777">
        <w:tc>
          <w:tcPr>
            <w:tcW w:w="3096" w:type="dxa"/>
            <w:tcBorders>
              <w:top w:val="single" w:sz="5" w:space="0" w:color="000000"/>
              <w:left w:val="single" w:sz="5" w:space="0" w:color="000000"/>
              <w:bottom w:val="single" w:sz="5" w:space="0" w:color="000000"/>
              <w:right w:val="single" w:sz="5" w:space="0" w:color="000000"/>
            </w:tcBorders>
          </w:tcPr>
          <w:p w14:paraId="1AD554C6" w14:textId="2F8A9486" w:rsidR="00130E8B" w:rsidRDefault="00C4148F" w:rsidP="00167BF3">
            <w:pPr>
              <w:pStyle w:val="TableParagraph"/>
              <w:spacing w:line="246" w:lineRule="exact"/>
              <w:ind w:left="102" w:right="57"/>
              <w:rPr>
                <w:rFonts w:ascii="Times New Roman" w:eastAsia="Times New Roman" w:hAnsi="Times New Roman" w:cs="Times New Roman"/>
                <w:lang w:val="hu-HU"/>
              </w:rPr>
            </w:pPr>
            <w:r w:rsidRPr="00F967AD">
              <w:rPr>
                <w:rFonts w:ascii="Times New Roman" w:eastAsia="Times New Roman" w:hAnsi="Times New Roman" w:cs="Times New Roman"/>
                <w:spacing w:val="-1"/>
                <w:lang w:val="hu-HU"/>
              </w:rPr>
              <w:t>2 évesnél idősebb, 30 kg vagy annál nagyobb testtömegű gyermekek, serdülők és felnőttek</w:t>
            </w:r>
          </w:p>
        </w:tc>
        <w:tc>
          <w:tcPr>
            <w:tcW w:w="3096" w:type="dxa"/>
            <w:tcBorders>
              <w:top w:val="single" w:sz="5" w:space="0" w:color="000000"/>
              <w:left w:val="single" w:sz="5" w:space="0" w:color="000000"/>
              <w:bottom w:val="single" w:sz="5" w:space="0" w:color="000000"/>
              <w:right w:val="single" w:sz="5" w:space="0" w:color="000000"/>
            </w:tcBorders>
          </w:tcPr>
          <w:p w14:paraId="0521E954" w14:textId="4EA71563" w:rsidR="00130E8B" w:rsidRDefault="000405CC" w:rsidP="007C230C">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40 mg </w:t>
            </w:r>
            <w:r w:rsidR="00E66FFB">
              <w:rPr>
                <w:rFonts w:ascii="Times New Roman" w:hAnsi="Times New Roman" w:cs="Times New Roman"/>
                <w:lang w:val="hu-HU"/>
              </w:rPr>
              <w:t>kéthetente</w:t>
            </w:r>
          </w:p>
        </w:tc>
        <w:tc>
          <w:tcPr>
            <w:tcW w:w="3096" w:type="dxa"/>
            <w:tcBorders>
              <w:top w:val="single" w:sz="5" w:space="0" w:color="000000"/>
              <w:left w:val="single" w:sz="5" w:space="0" w:color="000000"/>
              <w:bottom w:val="single" w:sz="5" w:space="0" w:color="000000"/>
              <w:right w:val="single" w:sz="5" w:space="0" w:color="000000"/>
            </w:tcBorders>
          </w:tcPr>
          <w:p w14:paraId="0100F43E" w14:textId="64AC15F5" w:rsidR="00130E8B" w:rsidRDefault="00C4148F">
            <w:pPr>
              <w:pStyle w:val="TableParagraph"/>
              <w:spacing w:line="246" w:lineRule="exact"/>
              <w:ind w:left="102" w:right="57"/>
              <w:rPr>
                <w:rFonts w:ascii="Times New Roman" w:eastAsia="Times New Roman" w:hAnsi="Times New Roman" w:cs="Times New Roman"/>
                <w:lang w:val="hu-HU"/>
              </w:rPr>
            </w:pPr>
            <w:r w:rsidRPr="00D43AE4">
              <w:rPr>
                <w:rFonts w:ascii="Times New Roman" w:eastAsia="Times New Roman" w:hAnsi="Times New Roman" w:cs="Times New Roman"/>
                <w:spacing w:val="-1"/>
                <w:lang w:val="hu-HU"/>
              </w:rPr>
              <w:t>Nincs</w:t>
            </w:r>
          </w:p>
        </w:tc>
      </w:tr>
      <w:tr w:rsidR="00604DFB" w14:paraId="491F2C7A" w14:textId="77777777">
        <w:tc>
          <w:tcPr>
            <w:tcW w:w="3096" w:type="dxa"/>
            <w:tcBorders>
              <w:top w:val="single" w:sz="5" w:space="0" w:color="000000"/>
              <w:left w:val="single" w:sz="5" w:space="0" w:color="000000"/>
              <w:bottom w:val="single" w:sz="5" w:space="0" w:color="000000"/>
              <w:right w:val="single" w:sz="5" w:space="0" w:color="000000"/>
            </w:tcBorders>
          </w:tcPr>
          <w:p w14:paraId="7A187A4E" w14:textId="701A8D36" w:rsidR="00604DFB" w:rsidRDefault="00604DFB" w:rsidP="00604DFB">
            <w:pPr>
              <w:pStyle w:val="TableParagraph"/>
              <w:spacing w:line="246" w:lineRule="exact"/>
              <w:ind w:left="102" w:right="57"/>
              <w:rPr>
                <w:rFonts w:ascii="Times New Roman" w:eastAsia="Times New Roman" w:hAnsi="Times New Roman" w:cs="Times New Roman"/>
                <w:spacing w:val="-1"/>
                <w:lang w:val="hu-HU"/>
              </w:rPr>
            </w:pPr>
            <w:r w:rsidRPr="001E41EB">
              <w:rPr>
                <w:rFonts w:ascii="Times New Roman" w:eastAsia="Times New Roman" w:hAnsi="Times New Roman" w:cs="Times New Roman"/>
                <w:spacing w:val="-1"/>
                <w:lang w:val="hu-HU"/>
              </w:rPr>
              <w:t>2 évesnél idősebb, 10 kg-nál nagyobb, de 30 kg-nál kisebb testtömegű gyermekek és serdülők</w:t>
            </w:r>
          </w:p>
        </w:tc>
        <w:tc>
          <w:tcPr>
            <w:tcW w:w="3096" w:type="dxa"/>
            <w:tcBorders>
              <w:top w:val="single" w:sz="5" w:space="0" w:color="000000"/>
              <w:left w:val="single" w:sz="5" w:space="0" w:color="000000"/>
              <w:bottom w:val="single" w:sz="5" w:space="0" w:color="000000"/>
              <w:right w:val="single" w:sz="5" w:space="0" w:color="000000"/>
            </w:tcBorders>
          </w:tcPr>
          <w:p w14:paraId="18190DEE" w14:textId="7AEC64CE" w:rsidR="00604DFB" w:rsidRDefault="00604DFB" w:rsidP="00604DFB">
            <w:pPr>
              <w:pStyle w:val="TableParagraph"/>
              <w:spacing w:line="246" w:lineRule="exact"/>
              <w:ind w:left="102" w:right="57"/>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20 mg </w:t>
            </w:r>
            <w:r w:rsidR="00E66FFB">
              <w:rPr>
                <w:rFonts w:ascii="Times New Roman" w:hAnsi="Times New Roman" w:cs="Times New Roman"/>
                <w:lang w:val="hu-HU"/>
              </w:rPr>
              <w:t>kéthetente</w:t>
            </w:r>
          </w:p>
        </w:tc>
        <w:tc>
          <w:tcPr>
            <w:tcW w:w="3096" w:type="dxa"/>
            <w:tcBorders>
              <w:top w:val="single" w:sz="5" w:space="0" w:color="000000"/>
              <w:left w:val="single" w:sz="5" w:space="0" w:color="000000"/>
              <w:bottom w:val="single" w:sz="5" w:space="0" w:color="000000"/>
              <w:right w:val="single" w:sz="5" w:space="0" w:color="000000"/>
            </w:tcBorders>
          </w:tcPr>
          <w:p w14:paraId="1438263A" w14:textId="38D345A0" w:rsidR="00604DFB" w:rsidRDefault="00C4148F" w:rsidP="00604DFB">
            <w:pPr>
              <w:pStyle w:val="TableParagraph"/>
              <w:spacing w:line="246" w:lineRule="exact"/>
              <w:ind w:left="102" w:right="57"/>
              <w:rPr>
                <w:rFonts w:ascii="Times New Roman" w:eastAsia="Times New Roman" w:hAnsi="Times New Roman" w:cs="Times New Roman"/>
                <w:spacing w:val="-1"/>
                <w:lang w:val="hu-HU"/>
              </w:rPr>
            </w:pPr>
            <w:r w:rsidRPr="00D43AE4">
              <w:rPr>
                <w:rFonts w:ascii="Times New Roman" w:eastAsia="Times New Roman" w:hAnsi="Times New Roman" w:cs="Times New Roman"/>
                <w:spacing w:val="-1"/>
                <w:lang w:val="hu-HU"/>
              </w:rPr>
              <w:t>Nincs</w:t>
            </w:r>
          </w:p>
        </w:tc>
      </w:tr>
    </w:tbl>
    <w:p w14:paraId="3CC4ACA7" w14:textId="77777777" w:rsidR="00130E8B" w:rsidRDefault="00130E8B">
      <w:pPr>
        <w:spacing w:before="10"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130E8B" w14:paraId="52B3BE01"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60205041" w14:textId="36041BA6" w:rsidR="00130E8B" w:rsidRDefault="00D81770">
            <w:pPr>
              <w:pStyle w:val="TableParagraph"/>
              <w:spacing w:line="252" w:lineRule="exact"/>
              <w:ind w:left="102"/>
              <w:rPr>
                <w:rFonts w:ascii="Times New Roman" w:eastAsia="Times New Roman" w:hAnsi="Times New Roman" w:cs="Times New Roman"/>
                <w:lang w:val="hu-HU"/>
              </w:rPr>
            </w:pPr>
            <w:r w:rsidRPr="005D58A4">
              <w:rPr>
                <w:rFonts w:ascii="Times New Roman" w:hAnsi="Times New Roman" w:cs="Times New Roman"/>
                <w:b/>
                <w:bCs/>
                <w:lang w:val="hu-HU"/>
              </w:rPr>
              <w:t>Entezitisszel társult artritisz</w:t>
            </w:r>
          </w:p>
        </w:tc>
      </w:tr>
      <w:tr w:rsidR="00130E8B" w14:paraId="41BBD63C" w14:textId="77777777">
        <w:tc>
          <w:tcPr>
            <w:tcW w:w="3096" w:type="dxa"/>
            <w:tcBorders>
              <w:top w:val="single" w:sz="5" w:space="0" w:color="000000"/>
              <w:left w:val="single" w:sz="5" w:space="0" w:color="000000"/>
              <w:bottom w:val="single" w:sz="5" w:space="0" w:color="000000"/>
              <w:right w:val="single" w:sz="5" w:space="0" w:color="000000"/>
            </w:tcBorders>
          </w:tcPr>
          <w:p w14:paraId="548D17E2"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5" w:space="0" w:color="000000"/>
              <w:bottom w:val="single" w:sz="5" w:space="0" w:color="000000"/>
              <w:right w:val="single" w:sz="5" w:space="0" w:color="000000"/>
            </w:tcBorders>
          </w:tcPr>
          <w:p w14:paraId="23D86DE7" w14:textId="4845FD44" w:rsidR="00130E8B" w:rsidRDefault="000405CC" w:rsidP="00545FC6">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w:t>
            </w:r>
            <w:r w:rsidR="00BE2389">
              <w:rPr>
                <w:rFonts w:ascii="Times New Roman" w:eastAsia="Times New Roman" w:hAnsi="Times New Roman" w:cs="Times New Roman"/>
                <w:b/>
                <w:bCs/>
                <w:spacing w:val="-1"/>
                <w:lang w:val="hu-HU"/>
              </w:rPr>
              <w:t xml:space="preserve"> </w:t>
            </w:r>
            <w:r>
              <w:rPr>
                <w:rFonts w:ascii="Times New Roman" w:eastAsia="Times New Roman" w:hAnsi="Times New Roman" w:cs="Times New Roman"/>
                <w:b/>
                <w:bCs/>
                <w:lang w:val="hu-HU"/>
              </w:rPr>
              <w:t>alkalmazni?</w:t>
            </w:r>
          </w:p>
        </w:tc>
        <w:tc>
          <w:tcPr>
            <w:tcW w:w="3096" w:type="dxa"/>
            <w:tcBorders>
              <w:top w:val="single" w:sz="5" w:space="0" w:color="000000"/>
              <w:left w:val="single" w:sz="5" w:space="0" w:color="000000"/>
              <w:bottom w:val="single" w:sz="5" w:space="0" w:color="000000"/>
              <w:right w:val="single" w:sz="5" w:space="0" w:color="000000"/>
            </w:tcBorders>
          </w:tcPr>
          <w:p w14:paraId="40FCEA78"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130E8B" w14:paraId="4085BC57" w14:textId="77777777">
        <w:tc>
          <w:tcPr>
            <w:tcW w:w="3096" w:type="dxa"/>
            <w:tcBorders>
              <w:top w:val="single" w:sz="5" w:space="0" w:color="000000"/>
              <w:left w:val="single" w:sz="5" w:space="0" w:color="000000"/>
              <w:bottom w:val="single" w:sz="5" w:space="0" w:color="000000"/>
              <w:right w:val="single" w:sz="5" w:space="0" w:color="000000"/>
            </w:tcBorders>
          </w:tcPr>
          <w:p w14:paraId="22C807C7" w14:textId="45B81A46" w:rsidR="00130E8B" w:rsidRDefault="00C4148F" w:rsidP="00167BF3">
            <w:pPr>
              <w:pStyle w:val="TableParagraph"/>
              <w:spacing w:line="246" w:lineRule="exact"/>
              <w:ind w:left="102" w:right="57"/>
              <w:rPr>
                <w:rFonts w:ascii="Times New Roman" w:eastAsia="Times New Roman" w:hAnsi="Times New Roman" w:cs="Times New Roman"/>
                <w:lang w:val="hu-HU"/>
              </w:rPr>
            </w:pPr>
            <w:r w:rsidRPr="00D43AE4">
              <w:rPr>
                <w:rFonts w:ascii="Times New Roman" w:eastAsia="Times New Roman" w:hAnsi="Times New Roman" w:cs="Times New Roman"/>
                <w:spacing w:val="-1"/>
                <w:lang w:val="hu-HU"/>
              </w:rPr>
              <w:t>6 éves kor feletti,30 kg vagy annál nagyobb testtömegű gyermekek, serdülők és felnőttek</w:t>
            </w:r>
          </w:p>
        </w:tc>
        <w:tc>
          <w:tcPr>
            <w:tcW w:w="3096" w:type="dxa"/>
            <w:tcBorders>
              <w:top w:val="single" w:sz="5" w:space="0" w:color="000000"/>
              <w:left w:val="single" w:sz="5" w:space="0" w:color="000000"/>
              <w:bottom w:val="single" w:sz="5" w:space="0" w:color="000000"/>
              <w:right w:val="single" w:sz="5" w:space="0" w:color="000000"/>
            </w:tcBorders>
          </w:tcPr>
          <w:p w14:paraId="6EDF2585" w14:textId="242A8580" w:rsidR="00130E8B" w:rsidRDefault="000405CC">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40 mg </w:t>
            </w:r>
            <w:r w:rsidR="00E66FFB">
              <w:rPr>
                <w:rFonts w:ascii="Times New Roman" w:hAnsi="Times New Roman" w:cs="Times New Roman"/>
                <w:lang w:val="hu-HU"/>
              </w:rPr>
              <w:t>kéthetente</w:t>
            </w:r>
          </w:p>
        </w:tc>
        <w:tc>
          <w:tcPr>
            <w:tcW w:w="3096" w:type="dxa"/>
            <w:tcBorders>
              <w:top w:val="single" w:sz="5" w:space="0" w:color="000000"/>
              <w:left w:val="single" w:sz="5" w:space="0" w:color="000000"/>
              <w:bottom w:val="single" w:sz="5" w:space="0" w:color="000000"/>
              <w:right w:val="single" w:sz="5" w:space="0" w:color="000000"/>
            </w:tcBorders>
          </w:tcPr>
          <w:p w14:paraId="01AF636B" w14:textId="784B6CF6" w:rsidR="00130E8B" w:rsidRDefault="00C4148F">
            <w:pPr>
              <w:pStyle w:val="TableParagraph"/>
              <w:spacing w:line="246" w:lineRule="exact"/>
              <w:ind w:left="102" w:right="57"/>
              <w:rPr>
                <w:rFonts w:ascii="Times New Roman" w:eastAsia="Times New Roman" w:hAnsi="Times New Roman" w:cs="Times New Roman"/>
                <w:lang w:val="hu-HU"/>
              </w:rPr>
            </w:pPr>
            <w:r w:rsidRPr="00D43AE4">
              <w:rPr>
                <w:rFonts w:ascii="Times New Roman" w:eastAsia="Times New Roman" w:hAnsi="Times New Roman" w:cs="Times New Roman"/>
                <w:spacing w:val="-1"/>
                <w:lang w:val="hu-HU"/>
              </w:rPr>
              <w:t>Nincs</w:t>
            </w:r>
          </w:p>
        </w:tc>
      </w:tr>
      <w:tr w:rsidR="00604DFB" w14:paraId="26749995" w14:textId="77777777">
        <w:tc>
          <w:tcPr>
            <w:tcW w:w="3096" w:type="dxa"/>
            <w:tcBorders>
              <w:top w:val="single" w:sz="5" w:space="0" w:color="000000"/>
              <w:left w:val="single" w:sz="5" w:space="0" w:color="000000"/>
              <w:bottom w:val="single" w:sz="5" w:space="0" w:color="000000"/>
              <w:right w:val="single" w:sz="5" w:space="0" w:color="000000"/>
            </w:tcBorders>
          </w:tcPr>
          <w:p w14:paraId="6033280A" w14:textId="0D4CC9F2" w:rsidR="00604DFB" w:rsidRDefault="00604DFB" w:rsidP="00604DFB">
            <w:pPr>
              <w:pStyle w:val="TableParagraph"/>
              <w:spacing w:line="246" w:lineRule="exact"/>
              <w:ind w:left="102" w:right="57"/>
              <w:rPr>
                <w:rFonts w:ascii="Times New Roman" w:eastAsia="Times New Roman" w:hAnsi="Times New Roman" w:cs="Times New Roman"/>
                <w:spacing w:val="-1"/>
                <w:lang w:val="hu-HU"/>
              </w:rPr>
            </w:pPr>
            <w:r w:rsidRPr="001E41EB">
              <w:rPr>
                <w:rFonts w:ascii="Times New Roman" w:eastAsia="Times New Roman" w:hAnsi="Times New Roman" w:cs="Times New Roman"/>
                <w:spacing w:val="-1"/>
                <w:lang w:val="hu-HU"/>
              </w:rPr>
              <w:t>6 évesnél idősebb, 15 kg-nál nagyobb, de 30 kg-nál kisebb testtömegű gyermekek és serdülők</w:t>
            </w:r>
          </w:p>
        </w:tc>
        <w:tc>
          <w:tcPr>
            <w:tcW w:w="3096" w:type="dxa"/>
            <w:tcBorders>
              <w:top w:val="single" w:sz="5" w:space="0" w:color="000000"/>
              <w:left w:val="single" w:sz="5" w:space="0" w:color="000000"/>
              <w:bottom w:val="single" w:sz="5" w:space="0" w:color="000000"/>
              <w:right w:val="single" w:sz="5" w:space="0" w:color="000000"/>
            </w:tcBorders>
          </w:tcPr>
          <w:p w14:paraId="2593E30C" w14:textId="0E5045A3" w:rsidR="00604DFB" w:rsidRDefault="00604DFB" w:rsidP="00604DFB">
            <w:pPr>
              <w:pStyle w:val="TableParagraph"/>
              <w:spacing w:line="246" w:lineRule="exact"/>
              <w:ind w:left="102" w:right="57"/>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20 mg </w:t>
            </w:r>
            <w:r w:rsidR="00E66FFB">
              <w:rPr>
                <w:rFonts w:ascii="Times New Roman" w:hAnsi="Times New Roman" w:cs="Times New Roman"/>
                <w:lang w:val="hu-HU"/>
              </w:rPr>
              <w:t>kéthetente</w:t>
            </w:r>
          </w:p>
        </w:tc>
        <w:tc>
          <w:tcPr>
            <w:tcW w:w="3096" w:type="dxa"/>
            <w:tcBorders>
              <w:top w:val="single" w:sz="5" w:space="0" w:color="000000"/>
              <w:left w:val="single" w:sz="5" w:space="0" w:color="000000"/>
              <w:bottom w:val="single" w:sz="5" w:space="0" w:color="000000"/>
              <w:right w:val="single" w:sz="5" w:space="0" w:color="000000"/>
            </w:tcBorders>
          </w:tcPr>
          <w:p w14:paraId="357A0DEA" w14:textId="00A00066" w:rsidR="00604DFB" w:rsidRDefault="00C4148F" w:rsidP="00604DFB">
            <w:pPr>
              <w:pStyle w:val="TableParagraph"/>
              <w:spacing w:line="246" w:lineRule="exact"/>
              <w:ind w:left="102" w:right="57"/>
              <w:rPr>
                <w:rFonts w:ascii="Times New Roman" w:eastAsia="Times New Roman" w:hAnsi="Times New Roman" w:cs="Times New Roman"/>
                <w:spacing w:val="-1"/>
                <w:lang w:val="hu-HU"/>
              </w:rPr>
            </w:pPr>
            <w:r w:rsidRPr="00D43AE4">
              <w:rPr>
                <w:rFonts w:ascii="Times New Roman" w:eastAsia="Times New Roman" w:hAnsi="Times New Roman" w:cs="Times New Roman"/>
                <w:spacing w:val="-1"/>
                <w:lang w:val="hu-HU"/>
              </w:rPr>
              <w:t>Nincs</w:t>
            </w:r>
          </w:p>
        </w:tc>
      </w:tr>
    </w:tbl>
    <w:p w14:paraId="65971F7C" w14:textId="77777777" w:rsidR="00130E8B" w:rsidRDefault="00130E8B">
      <w:pPr>
        <w:spacing w:before="10"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130E8B" w:rsidRPr="00BE4D18" w14:paraId="1A7A54F8"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719FCCA2" w14:textId="77777777" w:rsidR="00130E8B" w:rsidRDefault="000405CC">
            <w:pPr>
              <w:pStyle w:val="TableParagraph"/>
              <w:spacing w:line="252"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Plakkos pikkelysömör</w:t>
            </w:r>
          </w:p>
        </w:tc>
      </w:tr>
      <w:tr w:rsidR="00130E8B" w14:paraId="7E73A5EC" w14:textId="77777777">
        <w:tc>
          <w:tcPr>
            <w:tcW w:w="3096" w:type="dxa"/>
            <w:tcBorders>
              <w:top w:val="single" w:sz="5" w:space="0" w:color="000000"/>
              <w:left w:val="single" w:sz="5" w:space="0" w:color="000000"/>
              <w:bottom w:val="single" w:sz="5" w:space="0" w:color="000000"/>
              <w:right w:val="single" w:sz="5" w:space="0" w:color="000000"/>
            </w:tcBorders>
          </w:tcPr>
          <w:p w14:paraId="621A7A25"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5" w:space="0" w:color="000000"/>
              <w:bottom w:val="single" w:sz="5" w:space="0" w:color="000000"/>
              <w:right w:val="single" w:sz="5" w:space="0" w:color="000000"/>
            </w:tcBorders>
          </w:tcPr>
          <w:p w14:paraId="46B99EA5" w14:textId="4011E4A2" w:rsidR="00130E8B" w:rsidRDefault="000405CC" w:rsidP="00545FC6">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 xml:space="preserve">Milyen adagot és milyen </w:t>
            </w:r>
            <w:r>
              <w:rPr>
                <w:rFonts w:ascii="Times New Roman" w:eastAsia="Times New Roman" w:hAnsi="Times New Roman" w:cs="Times New Roman"/>
                <w:b/>
                <w:bCs/>
                <w:spacing w:val="-1"/>
                <w:lang w:val="hu-HU"/>
              </w:rPr>
              <w:lastRenderedPageBreak/>
              <w:t>gyakran kell</w:t>
            </w:r>
            <w:r w:rsidR="00BE2389">
              <w:rPr>
                <w:rFonts w:ascii="Times New Roman" w:eastAsia="Times New Roman" w:hAnsi="Times New Roman" w:cs="Times New Roman"/>
                <w:b/>
                <w:bCs/>
                <w:spacing w:val="-1"/>
                <w:lang w:val="hu-HU"/>
              </w:rPr>
              <w:t xml:space="preserve"> </w:t>
            </w:r>
            <w:r>
              <w:rPr>
                <w:rFonts w:ascii="Times New Roman" w:eastAsia="Times New Roman" w:hAnsi="Times New Roman" w:cs="Times New Roman"/>
                <w:b/>
                <w:bCs/>
                <w:lang w:val="hu-HU"/>
              </w:rPr>
              <w:t>alkalmazni?</w:t>
            </w:r>
          </w:p>
        </w:tc>
        <w:tc>
          <w:tcPr>
            <w:tcW w:w="3096" w:type="dxa"/>
            <w:tcBorders>
              <w:top w:val="single" w:sz="5" w:space="0" w:color="000000"/>
              <w:left w:val="single" w:sz="5" w:space="0" w:color="000000"/>
              <w:bottom w:val="single" w:sz="5" w:space="0" w:color="000000"/>
              <w:right w:val="single" w:sz="5" w:space="0" w:color="000000"/>
            </w:tcBorders>
          </w:tcPr>
          <w:p w14:paraId="5A07F5F5"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lastRenderedPageBreak/>
              <w:t>Megjegyzések</w:t>
            </w:r>
          </w:p>
        </w:tc>
      </w:tr>
      <w:tr w:rsidR="00130E8B" w:rsidRPr="00BE4D18" w14:paraId="145B7242" w14:textId="77777777">
        <w:tc>
          <w:tcPr>
            <w:tcW w:w="3096" w:type="dxa"/>
            <w:tcBorders>
              <w:top w:val="single" w:sz="5" w:space="0" w:color="000000"/>
              <w:left w:val="single" w:sz="5" w:space="0" w:color="000000"/>
              <w:bottom w:val="single" w:sz="5" w:space="0" w:color="000000"/>
              <w:right w:val="single" w:sz="5" w:space="0" w:color="000000"/>
            </w:tcBorders>
          </w:tcPr>
          <w:p w14:paraId="35B13A7B" w14:textId="77777777" w:rsidR="00130E8B" w:rsidRDefault="000405CC">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Felnőttek</w:t>
            </w:r>
          </w:p>
        </w:tc>
        <w:tc>
          <w:tcPr>
            <w:tcW w:w="3096" w:type="dxa"/>
            <w:tcBorders>
              <w:top w:val="single" w:sz="5" w:space="0" w:color="000000"/>
              <w:left w:val="single" w:sz="5" w:space="0" w:color="000000"/>
              <w:bottom w:val="single" w:sz="5" w:space="0" w:color="000000"/>
              <w:right w:val="single" w:sz="5" w:space="0" w:color="000000"/>
            </w:tcBorders>
          </w:tcPr>
          <w:p w14:paraId="61518AE6" w14:textId="388C324A" w:rsidR="00130E8B" w:rsidRDefault="000405CC" w:rsidP="00545FC6">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A kezdő adag 80 mg (két 40 mg-os</w:t>
            </w:r>
            <w:r w:rsidR="00BE2389">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injekció</w:t>
            </w:r>
            <w:r w:rsidR="00C73957">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 xml:space="preserve">egy napon beadva), amelyet </w:t>
            </w:r>
            <w:r w:rsidR="002C33E9">
              <w:rPr>
                <w:rFonts w:ascii="Times New Roman" w:hAnsi="Times New Roman" w:cs="Times New Roman"/>
                <w:lang w:val="hu-HU"/>
              </w:rPr>
              <w:t>kéthetente</w:t>
            </w:r>
            <w:r w:rsidR="002C33E9">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adott 40 mg követ a kezdő dózis utáni első héttől kezdve.</w:t>
            </w:r>
          </w:p>
        </w:tc>
        <w:tc>
          <w:tcPr>
            <w:tcW w:w="3096" w:type="dxa"/>
            <w:tcBorders>
              <w:top w:val="single" w:sz="5" w:space="0" w:color="000000"/>
              <w:left w:val="single" w:sz="5" w:space="0" w:color="000000"/>
              <w:bottom w:val="single" w:sz="5" w:space="0" w:color="000000"/>
              <w:right w:val="single" w:sz="5" w:space="0" w:color="000000"/>
            </w:tcBorders>
          </w:tcPr>
          <w:p w14:paraId="104A92DE" w14:textId="77777777" w:rsidR="00130E8B" w:rsidRDefault="000405CC">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Ha Ön nem megfelelően reagál</w:t>
            </w:r>
          </w:p>
          <w:p w14:paraId="17F1050D" w14:textId="77777777" w:rsidR="00130E8B" w:rsidRDefault="000405CC">
            <w:pPr>
              <w:pStyle w:val="TableParagraph"/>
              <w:spacing w:before="1" w:line="239" w:lineRule="auto"/>
              <w:ind w:left="102" w:right="193"/>
              <w:rPr>
                <w:rFonts w:ascii="Times New Roman" w:eastAsia="Times New Roman" w:hAnsi="Times New Roman" w:cs="Times New Roman"/>
                <w:lang w:val="hu-HU"/>
              </w:rPr>
            </w:pPr>
            <w:r>
              <w:rPr>
                <w:rFonts w:ascii="Times New Roman" w:eastAsia="Times New Roman" w:hAnsi="Times New Roman" w:cs="Times New Roman"/>
                <w:spacing w:val="-1"/>
                <w:lang w:val="hu-HU"/>
              </w:rPr>
              <w:t>a kezelésre, a kezelőorvosa heti 40 mg-ra vagy kéthetente 80 mg-ra emelheti az adagot.</w:t>
            </w:r>
          </w:p>
        </w:tc>
      </w:tr>
      <w:tr w:rsidR="00130E8B" w14:paraId="15F4F093" w14:textId="77777777">
        <w:tc>
          <w:tcPr>
            <w:tcW w:w="3096" w:type="dxa"/>
            <w:tcBorders>
              <w:top w:val="single" w:sz="5" w:space="0" w:color="000000"/>
              <w:left w:val="single" w:sz="5" w:space="0" w:color="000000"/>
              <w:bottom w:val="single" w:sz="5" w:space="0" w:color="000000"/>
              <w:right w:val="single" w:sz="5" w:space="0" w:color="000000"/>
            </w:tcBorders>
          </w:tcPr>
          <w:p w14:paraId="588B7E22" w14:textId="68D07E4E" w:rsidR="00211C4E" w:rsidRDefault="000405CC" w:rsidP="009167C6">
            <w:pPr>
              <w:pStyle w:val="TableParagraph"/>
              <w:spacing w:line="246" w:lineRule="exact"/>
              <w:ind w:left="102" w:right="57"/>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Gyermekek és serdülők </w:t>
            </w:r>
            <w:r w:rsidR="002A0218">
              <w:rPr>
                <w:rFonts w:ascii="Times New Roman" w:eastAsia="Times New Roman" w:hAnsi="Times New Roman" w:cs="Times New Roman"/>
                <w:spacing w:val="-1"/>
                <w:lang w:val="hu-HU"/>
              </w:rPr>
              <w:t>(</w:t>
            </w:r>
            <w:r>
              <w:rPr>
                <w:rFonts w:ascii="Times New Roman" w:eastAsia="Times New Roman" w:hAnsi="Times New Roman" w:cs="Times New Roman"/>
                <w:spacing w:val="-1"/>
                <w:lang w:val="hu-HU"/>
              </w:rPr>
              <w:t>4</w:t>
            </w:r>
            <w:r w:rsidR="002A0218">
              <w:rPr>
                <w:rFonts w:ascii="Times New Roman" w:eastAsia="Times New Roman" w:hAnsi="Times New Roman" w:cs="Times New Roman"/>
                <w:spacing w:val="-1"/>
                <w:lang w:val="hu-HU"/>
              </w:rPr>
              <w:t xml:space="preserve">-től betöltött </w:t>
            </w:r>
            <w:r w:rsidR="007F2DF9">
              <w:rPr>
                <w:rFonts w:ascii="Times New Roman" w:eastAsia="Times New Roman" w:hAnsi="Times New Roman" w:cs="Times New Roman"/>
                <w:spacing w:val="-1"/>
                <w:lang w:val="hu-HU"/>
              </w:rPr>
              <w:t>1</w:t>
            </w:r>
            <w:r w:rsidR="00114E2E">
              <w:rPr>
                <w:rFonts w:ascii="Times New Roman" w:eastAsia="Times New Roman" w:hAnsi="Times New Roman" w:cs="Times New Roman"/>
                <w:spacing w:val="-1"/>
                <w:lang w:val="hu-HU"/>
              </w:rPr>
              <w:t xml:space="preserve">8 </w:t>
            </w:r>
            <w:r>
              <w:rPr>
                <w:rFonts w:ascii="Times New Roman" w:eastAsia="Times New Roman" w:hAnsi="Times New Roman" w:cs="Times New Roman"/>
                <w:spacing w:val="-1"/>
                <w:lang w:val="hu-HU"/>
              </w:rPr>
              <w:t>év</w:t>
            </w:r>
            <w:r w:rsidR="002A0218">
              <w:rPr>
                <w:rFonts w:ascii="Times New Roman" w:eastAsia="Times New Roman" w:hAnsi="Times New Roman" w:cs="Times New Roman"/>
                <w:spacing w:val="-1"/>
                <w:lang w:val="hu-HU"/>
              </w:rPr>
              <w:t>es</w:t>
            </w:r>
            <w:r>
              <w:rPr>
                <w:rFonts w:ascii="Times New Roman" w:eastAsia="Times New Roman" w:hAnsi="Times New Roman" w:cs="Times New Roman"/>
                <w:spacing w:val="-1"/>
                <w:lang w:val="hu-HU"/>
              </w:rPr>
              <w:t xml:space="preserve"> </w:t>
            </w:r>
            <w:r w:rsidR="002A0218">
              <w:rPr>
                <w:rFonts w:ascii="Times New Roman" w:eastAsia="Times New Roman" w:hAnsi="Times New Roman" w:cs="Times New Roman"/>
                <w:spacing w:val="-1"/>
                <w:lang w:val="hu-HU"/>
              </w:rPr>
              <w:t>korig)</w:t>
            </w:r>
            <w:r>
              <w:rPr>
                <w:rFonts w:ascii="Times New Roman" w:eastAsia="Times New Roman" w:hAnsi="Times New Roman" w:cs="Times New Roman"/>
                <w:spacing w:val="-1"/>
                <w:lang w:val="hu-HU"/>
              </w:rPr>
              <w:t>,</w:t>
            </w:r>
          </w:p>
          <w:p w14:paraId="7A72BA36" w14:textId="5556B59A" w:rsidR="00130E8B" w:rsidRDefault="00211C4E">
            <w:pPr>
              <w:pStyle w:val="TableParagraph"/>
              <w:spacing w:before="1" w:line="254" w:lineRule="exact"/>
              <w:ind w:left="102" w:right="55"/>
              <w:rPr>
                <w:rFonts w:ascii="Times New Roman" w:eastAsia="Times New Roman" w:hAnsi="Times New Roman" w:cs="Times New Roman"/>
                <w:lang w:val="hu-HU"/>
              </w:rPr>
            </w:pPr>
            <w:r>
              <w:rPr>
                <w:rFonts w:ascii="Times New Roman" w:eastAsia="Times New Roman" w:hAnsi="Times New Roman" w:cs="Times New Roman"/>
                <w:lang w:val="hu-HU"/>
              </w:rPr>
              <w:t>testsúlyuk</w:t>
            </w:r>
            <w:r w:rsidR="000405CC">
              <w:rPr>
                <w:rFonts w:ascii="Times New Roman" w:eastAsia="Times New Roman" w:hAnsi="Times New Roman" w:cs="Times New Roman"/>
                <w:spacing w:val="-1"/>
                <w:lang w:val="hu-HU"/>
              </w:rPr>
              <w:t xml:space="preserve"> 30 kg vagy annál nagyobb</w:t>
            </w:r>
          </w:p>
        </w:tc>
        <w:tc>
          <w:tcPr>
            <w:tcW w:w="3096" w:type="dxa"/>
            <w:tcBorders>
              <w:top w:val="single" w:sz="5" w:space="0" w:color="000000"/>
              <w:left w:val="single" w:sz="5" w:space="0" w:color="000000"/>
              <w:bottom w:val="single" w:sz="5" w:space="0" w:color="000000"/>
              <w:right w:val="single" w:sz="5" w:space="0" w:color="000000"/>
            </w:tcBorders>
          </w:tcPr>
          <w:p w14:paraId="2EDF8378" w14:textId="0F9F7F09" w:rsidR="00130E8B" w:rsidRDefault="000405CC" w:rsidP="00545FC6">
            <w:pPr>
              <w:pStyle w:val="TableParagraph"/>
              <w:spacing w:line="246" w:lineRule="exact"/>
              <w:ind w:left="102" w:right="57"/>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A kezdő adag 40 mg, amelyet</w:t>
            </w:r>
            <w:r w:rsidR="00BE2389">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egy héttel később 40 mg követ.</w:t>
            </w:r>
          </w:p>
          <w:p w14:paraId="74D92481" w14:textId="77777777" w:rsidR="00604DFB" w:rsidRDefault="00604DFB" w:rsidP="00545FC6">
            <w:pPr>
              <w:pStyle w:val="TableParagraph"/>
              <w:spacing w:line="246" w:lineRule="exact"/>
              <w:ind w:left="102" w:right="57"/>
              <w:rPr>
                <w:rFonts w:ascii="Times New Roman" w:eastAsia="Times New Roman" w:hAnsi="Times New Roman" w:cs="Times New Roman"/>
                <w:spacing w:val="-1"/>
                <w:lang w:val="hu-HU"/>
              </w:rPr>
            </w:pPr>
          </w:p>
          <w:p w14:paraId="4FC371E7" w14:textId="77777777" w:rsidR="00130E8B" w:rsidRDefault="000405CC">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lang w:val="hu-HU"/>
              </w:rPr>
              <w:t>Ezután a szokásos adag 40</w:t>
            </w:r>
          </w:p>
          <w:p w14:paraId="17F5868F" w14:textId="757223EF" w:rsidR="00130E8B" w:rsidRDefault="000405CC">
            <w:pPr>
              <w:pStyle w:val="TableParagraph"/>
              <w:spacing w:line="252"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mg </w:t>
            </w:r>
            <w:r w:rsidR="00B2123A">
              <w:rPr>
                <w:rFonts w:ascii="Times New Roman" w:hAnsi="Times New Roman" w:cs="Times New Roman"/>
                <w:lang w:val="hu-HU"/>
              </w:rPr>
              <w:t>kéthetente</w:t>
            </w:r>
            <w:r>
              <w:rPr>
                <w:rFonts w:ascii="Times New Roman" w:eastAsia="Times New Roman" w:hAnsi="Times New Roman" w:cs="Times New Roman"/>
                <w:spacing w:val="-1"/>
                <w:lang w:val="hu-HU"/>
              </w:rPr>
              <w:t>.</w:t>
            </w:r>
          </w:p>
        </w:tc>
        <w:tc>
          <w:tcPr>
            <w:tcW w:w="3096" w:type="dxa"/>
            <w:tcBorders>
              <w:top w:val="single" w:sz="5" w:space="0" w:color="000000"/>
              <w:left w:val="single" w:sz="5" w:space="0" w:color="000000"/>
              <w:bottom w:val="single" w:sz="5" w:space="0" w:color="000000"/>
              <w:right w:val="single" w:sz="5" w:space="0" w:color="000000"/>
            </w:tcBorders>
          </w:tcPr>
          <w:p w14:paraId="4137D50B" w14:textId="37EF4F1E" w:rsidR="00130E8B" w:rsidRDefault="00C4148F">
            <w:pPr>
              <w:pStyle w:val="TableParagraph"/>
              <w:spacing w:line="246" w:lineRule="exact"/>
              <w:ind w:left="102" w:right="57"/>
              <w:rPr>
                <w:rFonts w:ascii="Times New Roman" w:eastAsia="Times New Roman" w:hAnsi="Times New Roman" w:cs="Times New Roman"/>
                <w:lang w:val="hu-HU"/>
              </w:rPr>
            </w:pPr>
            <w:r w:rsidRPr="00D43AE4">
              <w:rPr>
                <w:rFonts w:ascii="Times New Roman" w:eastAsia="Times New Roman" w:hAnsi="Times New Roman" w:cs="Times New Roman"/>
                <w:spacing w:val="-1"/>
                <w:lang w:val="hu-HU"/>
              </w:rPr>
              <w:t>Nincs</w:t>
            </w:r>
          </w:p>
        </w:tc>
      </w:tr>
      <w:tr w:rsidR="00604DFB" w14:paraId="14A29E1E" w14:textId="77777777">
        <w:tc>
          <w:tcPr>
            <w:tcW w:w="3096" w:type="dxa"/>
            <w:tcBorders>
              <w:top w:val="single" w:sz="5" w:space="0" w:color="000000"/>
              <w:left w:val="single" w:sz="5" w:space="0" w:color="000000"/>
              <w:bottom w:val="single" w:sz="5" w:space="0" w:color="000000"/>
              <w:right w:val="single" w:sz="5" w:space="0" w:color="000000"/>
            </w:tcBorders>
          </w:tcPr>
          <w:p w14:paraId="77A7144F" w14:textId="2A91249D" w:rsidR="00604DFB" w:rsidRDefault="00604DFB" w:rsidP="00604DFB">
            <w:pPr>
              <w:pStyle w:val="TableParagraph"/>
              <w:spacing w:line="246" w:lineRule="exact"/>
              <w:ind w:left="102" w:right="57"/>
              <w:rPr>
                <w:rFonts w:ascii="Times New Roman" w:eastAsia="Times New Roman" w:hAnsi="Times New Roman" w:cs="Times New Roman"/>
                <w:spacing w:val="-1"/>
                <w:lang w:val="hu-HU"/>
              </w:rPr>
            </w:pPr>
            <w:r w:rsidRPr="001E41EB">
              <w:rPr>
                <w:rFonts w:ascii="Times New Roman" w:eastAsia="Times New Roman" w:hAnsi="Times New Roman" w:cs="Times New Roman"/>
                <w:spacing w:val="-1"/>
                <w:lang w:val="hu-HU"/>
              </w:rPr>
              <w:t>4-17 éves kor közötti, 15 kg-nál nagyobb, de 30 kg-nál kisebb testtömegű gyermekek és serdülők</w:t>
            </w:r>
          </w:p>
        </w:tc>
        <w:tc>
          <w:tcPr>
            <w:tcW w:w="3096" w:type="dxa"/>
            <w:tcBorders>
              <w:top w:val="single" w:sz="5" w:space="0" w:color="000000"/>
              <w:left w:val="single" w:sz="5" w:space="0" w:color="000000"/>
              <w:bottom w:val="single" w:sz="5" w:space="0" w:color="000000"/>
              <w:right w:val="single" w:sz="5" w:space="0" w:color="000000"/>
            </w:tcBorders>
          </w:tcPr>
          <w:p w14:paraId="1D365555" w14:textId="77777777" w:rsidR="00604DFB" w:rsidRPr="001E41EB" w:rsidRDefault="00604DFB" w:rsidP="00604DFB">
            <w:pPr>
              <w:pStyle w:val="TableParagraph"/>
              <w:spacing w:line="246" w:lineRule="exact"/>
              <w:ind w:left="102" w:right="57"/>
              <w:rPr>
                <w:rFonts w:ascii="Times New Roman" w:eastAsia="Times New Roman" w:hAnsi="Times New Roman" w:cs="Times New Roman"/>
                <w:spacing w:val="-1"/>
                <w:lang w:val="hu-HU"/>
              </w:rPr>
            </w:pPr>
            <w:r w:rsidRPr="001E41EB">
              <w:rPr>
                <w:rFonts w:ascii="Times New Roman" w:eastAsia="Times New Roman" w:hAnsi="Times New Roman" w:cs="Times New Roman"/>
                <w:spacing w:val="-1"/>
                <w:lang w:val="hu-HU"/>
              </w:rPr>
              <w:t>Első alkalommal 20 mg, majd egy héttel később 20 mg.</w:t>
            </w:r>
          </w:p>
          <w:p w14:paraId="48745D7E" w14:textId="77777777" w:rsidR="00604DFB" w:rsidRPr="001E41EB" w:rsidRDefault="00604DFB" w:rsidP="00604DFB">
            <w:pPr>
              <w:pStyle w:val="TableParagraph"/>
              <w:spacing w:line="246" w:lineRule="exact"/>
              <w:ind w:left="102" w:right="57"/>
              <w:rPr>
                <w:rFonts w:ascii="Times New Roman" w:eastAsia="Times New Roman" w:hAnsi="Times New Roman" w:cs="Times New Roman"/>
                <w:spacing w:val="-1"/>
                <w:lang w:val="hu-HU"/>
              </w:rPr>
            </w:pPr>
          </w:p>
          <w:p w14:paraId="5FC3161B" w14:textId="36D98CF9" w:rsidR="00604DFB" w:rsidRDefault="00604DFB" w:rsidP="00604DFB">
            <w:pPr>
              <w:pStyle w:val="TableParagraph"/>
              <w:spacing w:line="246" w:lineRule="exact"/>
              <w:ind w:left="102" w:right="57"/>
              <w:rPr>
                <w:rFonts w:ascii="Times New Roman" w:eastAsia="Times New Roman" w:hAnsi="Times New Roman" w:cs="Times New Roman"/>
                <w:spacing w:val="-1"/>
                <w:lang w:val="hu-HU"/>
              </w:rPr>
            </w:pPr>
            <w:r w:rsidRPr="001E41EB">
              <w:rPr>
                <w:rFonts w:ascii="Times New Roman" w:eastAsia="Times New Roman" w:hAnsi="Times New Roman" w:cs="Times New Roman"/>
                <w:spacing w:val="-1"/>
                <w:lang w:val="hu-HU"/>
              </w:rPr>
              <w:t xml:space="preserve">Ezt követően, a szokásos adag 20 mg </w:t>
            </w:r>
            <w:r w:rsidR="00B2123A">
              <w:rPr>
                <w:rFonts w:ascii="Times New Roman" w:hAnsi="Times New Roman" w:cs="Times New Roman"/>
                <w:lang w:val="hu-HU"/>
              </w:rPr>
              <w:t>kéthetente</w:t>
            </w:r>
            <w:r w:rsidRPr="001E41EB">
              <w:rPr>
                <w:rFonts w:ascii="Times New Roman" w:eastAsia="Times New Roman" w:hAnsi="Times New Roman" w:cs="Times New Roman"/>
                <w:spacing w:val="-1"/>
                <w:lang w:val="hu-HU"/>
              </w:rPr>
              <w:t>.</w:t>
            </w:r>
          </w:p>
        </w:tc>
        <w:tc>
          <w:tcPr>
            <w:tcW w:w="3096" w:type="dxa"/>
            <w:tcBorders>
              <w:top w:val="single" w:sz="5" w:space="0" w:color="000000"/>
              <w:left w:val="single" w:sz="5" w:space="0" w:color="000000"/>
              <w:bottom w:val="single" w:sz="5" w:space="0" w:color="000000"/>
              <w:right w:val="single" w:sz="5" w:space="0" w:color="000000"/>
            </w:tcBorders>
          </w:tcPr>
          <w:p w14:paraId="5A33E9F1" w14:textId="72BAFCB6" w:rsidR="00604DFB" w:rsidRDefault="00C4148F" w:rsidP="00604DFB">
            <w:pPr>
              <w:pStyle w:val="TableParagraph"/>
              <w:spacing w:line="246" w:lineRule="exact"/>
              <w:ind w:left="102" w:right="57"/>
              <w:rPr>
                <w:rFonts w:ascii="Times New Roman" w:eastAsia="Times New Roman" w:hAnsi="Times New Roman" w:cs="Times New Roman"/>
                <w:spacing w:val="-1"/>
                <w:lang w:val="hu-HU"/>
              </w:rPr>
            </w:pPr>
            <w:r w:rsidRPr="00D43AE4">
              <w:rPr>
                <w:rFonts w:ascii="Times New Roman" w:eastAsia="Times New Roman" w:hAnsi="Times New Roman" w:cs="Times New Roman"/>
                <w:spacing w:val="-1"/>
                <w:lang w:val="hu-HU"/>
              </w:rPr>
              <w:t>Nincs</w:t>
            </w:r>
          </w:p>
        </w:tc>
      </w:tr>
    </w:tbl>
    <w:p w14:paraId="70BDE841" w14:textId="77777777" w:rsidR="00130E8B" w:rsidRDefault="00130E8B">
      <w:pPr>
        <w:spacing w:before="7" w:line="90" w:lineRule="exact"/>
        <w:rPr>
          <w:sz w:val="9"/>
          <w:szCs w:val="9"/>
          <w:lang w:val="hu-HU"/>
        </w:rPr>
      </w:pPr>
    </w:p>
    <w:p w14:paraId="4083EFF0" w14:textId="77777777" w:rsidR="00130E8B" w:rsidRDefault="00130E8B">
      <w:pPr>
        <w:spacing w:before="10"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130E8B" w14:paraId="196982C5"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20989A70" w14:textId="7A81C449" w:rsidR="00130E8B" w:rsidRDefault="000C6F40">
            <w:pPr>
              <w:pStyle w:val="TableParagraph"/>
              <w:spacing w:line="251" w:lineRule="exact"/>
              <w:ind w:left="102"/>
              <w:rPr>
                <w:rFonts w:ascii="Times New Roman" w:eastAsia="Times New Roman" w:hAnsi="Times New Roman" w:cs="Times New Roman"/>
                <w:lang w:val="hu-HU"/>
              </w:rPr>
            </w:pPr>
            <w:r w:rsidRPr="008A092B">
              <w:rPr>
                <w:rFonts w:ascii="Times New Roman" w:eastAsia="TimesNewRomanPSMT" w:hAnsi="Times New Roman" w:cs="Times New Roman"/>
                <w:b/>
                <w:lang w:val="hu-HU"/>
              </w:rPr>
              <w:t>Hidradenitisz szuppurativa</w:t>
            </w:r>
          </w:p>
        </w:tc>
      </w:tr>
      <w:tr w:rsidR="00130E8B" w14:paraId="33C17F76" w14:textId="77777777">
        <w:tc>
          <w:tcPr>
            <w:tcW w:w="3096" w:type="dxa"/>
            <w:tcBorders>
              <w:top w:val="single" w:sz="5" w:space="0" w:color="000000"/>
              <w:left w:val="single" w:sz="5" w:space="0" w:color="000000"/>
              <w:bottom w:val="single" w:sz="5" w:space="0" w:color="000000"/>
              <w:right w:val="single" w:sz="5" w:space="0" w:color="000000"/>
            </w:tcBorders>
          </w:tcPr>
          <w:p w14:paraId="7FCA8F5D"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5" w:space="0" w:color="000000"/>
              <w:bottom w:val="single" w:sz="5" w:space="0" w:color="000000"/>
              <w:right w:val="single" w:sz="5" w:space="0" w:color="000000"/>
            </w:tcBorders>
          </w:tcPr>
          <w:p w14:paraId="18EACDC9" w14:textId="77777777" w:rsidR="00130E8B" w:rsidRDefault="000405CC">
            <w:pPr>
              <w:pStyle w:val="TableParagraph"/>
              <w:spacing w:before="1" w:line="252"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 alkalmazni?</w:t>
            </w:r>
          </w:p>
        </w:tc>
        <w:tc>
          <w:tcPr>
            <w:tcW w:w="3096" w:type="dxa"/>
            <w:tcBorders>
              <w:top w:val="single" w:sz="5" w:space="0" w:color="000000"/>
              <w:left w:val="single" w:sz="5" w:space="0" w:color="000000"/>
              <w:bottom w:val="single" w:sz="5" w:space="0" w:color="000000"/>
              <w:right w:val="single" w:sz="5" w:space="0" w:color="000000"/>
            </w:tcBorders>
          </w:tcPr>
          <w:p w14:paraId="02E55A2F"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130E8B" w:rsidRPr="00BE4D18" w14:paraId="4C4052CE" w14:textId="77777777">
        <w:tc>
          <w:tcPr>
            <w:tcW w:w="3096" w:type="dxa"/>
            <w:tcBorders>
              <w:top w:val="single" w:sz="5" w:space="0" w:color="000000"/>
              <w:left w:val="single" w:sz="5" w:space="0" w:color="000000"/>
              <w:bottom w:val="single" w:sz="5" w:space="0" w:color="000000"/>
              <w:right w:val="single" w:sz="5" w:space="0" w:color="000000"/>
            </w:tcBorders>
          </w:tcPr>
          <w:p w14:paraId="2143A92A" w14:textId="77777777" w:rsidR="00130E8B" w:rsidRDefault="000405CC">
            <w:pPr>
              <w:pStyle w:val="TableParagraph"/>
              <w:spacing w:line="248"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Felnőttek</w:t>
            </w:r>
          </w:p>
        </w:tc>
        <w:tc>
          <w:tcPr>
            <w:tcW w:w="3096" w:type="dxa"/>
            <w:tcBorders>
              <w:top w:val="single" w:sz="5" w:space="0" w:color="000000"/>
              <w:left w:val="single" w:sz="5" w:space="0" w:color="000000"/>
              <w:bottom w:val="single" w:sz="5" w:space="0" w:color="000000"/>
              <w:right w:val="single" w:sz="5" w:space="0" w:color="000000"/>
            </w:tcBorders>
          </w:tcPr>
          <w:p w14:paraId="3BBD6BD4" w14:textId="77777777" w:rsidR="00130E8B" w:rsidRDefault="000405CC">
            <w:pPr>
              <w:pStyle w:val="TableParagraph"/>
              <w:spacing w:line="248"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A kezdő adag 160 mg (négy 40</w:t>
            </w:r>
          </w:p>
          <w:p w14:paraId="4021FDD7" w14:textId="2CCAEFB4" w:rsidR="00130E8B" w:rsidRDefault="000405CC" w:rsidP="00545FC6">
            <w:pPr>
              <w:pStyle w:val="TableParagraph"/>
              <w:spacing w:before="3" w:line="252" w:lineRule="exact"/>
              <w:ind w:left="102" w:right="73"/>
              <w:rPr>
                <w:rFonts w:ascii="Times New Roman" w:eastAsia="Times New Roman" w:hAnsi="Times New Roman" w:cs="Times New Roman"/>
                <w:lang w:val="hu-HU"/>
              </w:rPr>
            </w:pPr>
            <w:r>
              <w:rPr>
                <w:rFonts w:ascii="Times New Roman" w:eastAsia="Times New Roman" w:hAnsi="Times New Roman" w:cs="Times New Roman"/>
                <w:spacing w:val="-1"/>
                <w:lang w:val="hu-HU"/>
              </w:rPr>
              <w:t>mg-osinjekció egyetlen napon, vagy két 40 mg-os injekciók naponta két</w:t>
            </w:r>
            <w:r w:rsidR="00BE2389">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egymást követő napon beadva), majd egy 80 mg-os dózis (két 40 mg-os</w:t>
            </w:r>
            <w:r w:rsidR="00BE2389">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injekció</w:t>
            </w:r>
            <w:r w:rsidR="00C73957">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egy napon beadva), két héttel később. További két héttel később</w:t>
            </w:r>
            <w:r w:rsidR="00BE2389">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később heti 40 mg-os vagy kéthetente 80 mg-os dózissal folytassa, kezelőorvosának előírása szerint.</w:t>
            </w:r>
          </w:p>
        </w:tc>
        <w:tc>
          <w:tcPr>
            <w:tcW w:w="3096" w:type="dxa"/>
            <w:tcBorders>
              <w:top w:val="single" w:sz="5" w:space="0" w:color="000000"/>
              <w:left w:val="single" w:sz="5" w:space="0" w:color="000000"/>
              <w:bottom w:val="single" w:sz="5" w:space="0" w:color="000000"/>
              <w:right w:val="single" w:sz="5" w:space="0" w:color="000000"/>
            </w:tcBorders>
          </w:tcPr>
          <w:p w14:paraId="7313E67C" w14:textId="77777777" w:rsidR="00130E8B" w:rsidRDefault="000405CC">
            <w:pPr>
              <w:pStyle w:val="TableParagraph"/>
              <w:spacing w:line="248"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4"/>
                <w:lang w:val="hu-HU"/>
              </w:rPr>
              <w:t>Javasolt, hogy naponta</w:t>
            </w:r>
          </w:p>
          <w:p w14:paraId="5D7E2AE4" w14:textId="77777777" w:rsidR="00130E8B" w:rsidRDefault="000405CC">
            <w:pPr>
              <w:pStyle w:val="TableParagraph"/>
              <w:spacing w:before="3" w:line="252"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használjon fertőtlenítő lemosót az érintett területeken.</w:t>
            </w:r>
          </w:p>
        </w:tc>
      </w:tr>
      <w:tr w:rsidR="00130E8B" w:rsidRPr="00BE4D18" w14:paraId="57477AA5" w14:textId="77777777">
        <w:tc>
          <w:tcPr>
            <w:tcW w:w="3096" w:type="dxa"/>
            <w:tcBorders>
              <w:top w:val="single" w:sz="5" w:space="0" w:color="000000"/>
              <w:left w:val="single" w:sz="5" w:space="0" w:color="000000"/>
              <w:bottom w:val="single" w:sz="5" w:space="0" w:color="000000"/>
              <w:right w:val="single" w:sz="5" w:space="0" w:color="000000"/>
            </w:tcBorders>
          </w:tcPr>
          <w:p w14:paraId="019C4A6D" w14:textId="1BD96F8A" w:rsidR="00130E8B" w:rsidRDefault="00211C4E" w:rsidP="00545FC6">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S</w:t>
            </w:r>
            <w:r w:rsidRPr="00211C4E">
              <w:rPr>
                <w:rFonts w:ascii="Times New Roman" w:eastAsia="Times New Roman" w:hAnsi="Times New Roman" w:cs="Times New Roman"/>
                <w:spacing w:val="-1"/>
                <w:lang w:val="hu-HU"/>
              </w:rPr>
              <w:t xml:space="preserve">erdülők </w:t>
            </w:r>
            <w:r>
              <w:rPr>
                <w:rFonts w:ascii="Times New Roman" w:eastAsia="Times New Roman" w:hAnsi="Times New Roman" w:cs="Times New Roman"/>
                <w:spacing w:val="-1"/>
                <w:lang w:val="hu-HU"/>
              </w:rPr>
              <w:t>(</w:t>
            </w:r>
            <w:r w:rsidR="000405CC" w:rsidRPr="00211C4E">
              <w:rPr>
                <w:rFonts w:ascii="Times New Roman" w:eastAsia="Times New Roman" w:hAnsi="Times New Roman" w:cs="Times New Roman"/>
                <w:spacing w:val="-1"/>
                <w:lang w:val="hu-HU"/>
              </w:rPr>
              <w:t>12-</w:t>
            </w:r>
            <w:r>
              <w:rPr>
                <w:rFonts w:ascii="Times New Roman" w:eastAsia="Times New Roman" w:hAnsi="Times New Roman" w:cs="Times New Roman"/>
                <w:spacing w:val="-1"/>
                <w:lang w:val="hu-HU"/>
              </w:rPr>
              <w:t>től betöltött</w:t>
            </w:r>
            <w:r w:rsidR="00B624E0">
              <w:rPr>
                <w:rFonts w:ascii="Times New Roman" w:eastAsia="Times New Roman" w:hAnsi="Times New Roman" w:cs="Times New Roman"/>
                <w:spacing w:val="-1"/>
                <w:lang w:val="hu-HU"/>
              </w:rPr>
              <w:t xml:space="preserve"> </w:t>
            </w:r>
            <w:r w:rsidR="00AE0D26">
              <w:rPr>
                <w:rFonts w:ascii="Times New Roman" w:eastAsia="Times New Roman" w:hAnsi="Times New Roman" w:cs="Times New Roman"/>
                <w:spacing w:val="-1"/>
                <w:lang w:val="hu-HU"/>
              </w:rPr>
              <w:t>1</w:t>
            </w:r>
            <w:r w:rsidR="00CE6359">
              <w:rPr>
                <w:rFonts w:ascii="Times New Roman" w:eastAsia="Times New Roman" w:hAnsi="Times New Roman" w:cs="Times New Roman"/>
                <w:spacing w:val="-1"/>
                <w:lang w:val="hu-HU"/>
              </w:rPr>
              <w:t xml:space="preserve">8 </w:t>
            </w:r>
            <w:r w:rsidR="000405CC" w:rsidRPr="00211C4E">
              <w:rPr>
                <w:rFonts w:ascii="Times New Roman" w:eastAsia="Times New Roman" w:hAnsi="Times New Roman" w:cs="Times New Roman"/>
                <w:spacing w:val="-1"/>
                <w:lang w:val="hu-HU"/>
              </w:rPr>
              <w:t>éves</w:t>
            </w:r>
            <w:r>
              <w:rPr>
                <w:rFonts w:ascii="Times New Roman" w:eastAsia="Times New Roman" w:hAnsi="Times New Roman" w:cs="Times New Roman"/>
                <w:spacing w:val="-1"/>
                <w:lang w:val="hu-HU"/>
              </w:rPr>
              <w:t xml:space="preserve"> korig)</w:t>
            </w:r>
            <w:r w:rsidR="000405CC" w:rsidRPr="00211C4E">
              <w:rPr>
                <w:rFonts w:ascii="Times New Roman" w:eastAsia="Times New Roman" w:hAnsi="Times New Roman" w:cs="Times New Roman"/>
                <w:spacing w:val="-1"/>
                <w:lang w:val="hu-HU"/>
              </w:rPr>
              <w:t xml:space="preserve"> </w:t>
            </w:r>
            <w:r>
              <w:rPr>
                <w:rFonts w:ascii="Times New Roman" w:eastAsia="Times New Roman" w:hAnsi="Times New Roman" w:cs="Times New Roman"/>
                <w:lang w:val="hu-HU"/>
              </w:rPr>
              <w:t>testsúlyuk</w:t>
            </w:r>
            <w:r w:rsidR="000405CC">
              <w:rPr>
                <w:rFonts w:ascii="Times New Roman" w:eastAsia="Times New Roman" w:hAnsi="Times New Roman" w:cs="Times New Roman"/>
                <w:spacing w:val="-1"/>
                <w:lang w:val="hu-HU"/>
              </w:rPr>
              <w:t xml:space="preserve"> 30 kg vagy annál nagyobb</w:t>
            </w:r>
            <w:r>
              <w:rPr>
                <w:rFonts w:ascii="Times New Roman" w:eastAsia="Times New Roman" w:hAnsi="Times New Roman" w:cs="Times New Roman"/>
                <w:spacing w:val="-1"/>
                <w:lang w:val="hu-HU"/>
              </w:rPr>
              <w:t xml:space="preserve"> </w:t>
            </w:r>
          </w:p>
        </w:tc>
        <w:tc>
          <w:tcPr>
            <w:tcW w:w="3096" w:type="dxa"/>
            <w:tcBorders>
              <w:top w:val="single" w:sz="5" w:space="0" w:color="000000"/>
              <w:left w:val="single" w:sz="5" w:space="0" w:color="000000"/>
              <w:bottom w:val="single" w:sz="5" w:space="0" w:color="000000"/>
              <w:right w:val="single" w:sz="5" w:space="0" w:color="000000"/>
            </w:tcBorders>
          </w:tcPr>
          <w:p w14:paraId="21E51715" w14:textId="5301FDC1" w:rsidR="00130E8B" w:rsidRDefault="000405CC" w:rsidP="00545FC6">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A kezdő adag 80 mg (két 40 mg-os</w:t>
            </w:r>
            <w:r w:rsidR="00BE2389">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injekció</w:t>
            </w:r>
            <w:r w:rsidR="002B2F88">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 xml:space="preserve">egyetlen napon), amelyet egy héttel később </w:t>
            </w:r>
            <w:r w:rsidR="00292787">
              <w:rPr>
                <w:rFonts w:ascii="Times New Roman" w:hAnsi="Times New Roman" w:cs="Times New Roman"/>
                <w:lang w:val="hu-HU"/>
              </w:rPr>
              <w:t>kéthetente</w:t>
            </w:r>
            <w:r w:rsidR="00292787">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adott 40 mg követ.</w:t>
            </w:r>
          </w:p>
        </w:tc>
        <w:tc>
          <w:tcPr>
            <w:tcW w:w="3096" w:type="dxa"/>
            <w:tcBorders>
              <w:top w:val="single" w:sz="5" w:space="0" w:color="000000"/>
              <w:left w:val="single" w:sz="5" w:space="0" w:color="000000"/>
              <w:bottom w:val="single" w:sz="5" w:space="0" w:color="000000"/>
              <w:right w:val="single" w:sz="5" w:space="0" w:color="000000"/>
            </w:tcBorders>
          </w:tcPr>
          <w:p w14:paraId="38D2D017" w14:textId="6F53D895" w:rsidR="00604DFB" w:rsidRDefault="000405CC" w:rsidP="00167BF3">
            <w:pPr>
              <w:pStyle w:val="TableParagraph"/>
              <w:spacing w:line="246" w:lineRule="exact"/>
              <w:ind w:left="102" w:right="57"/>
              <w:rPr>
                <w:rFonts w:ascii="Times New Roman" w:eastAsia="Times New Roman" w:hAnsi="Times New Roman" w:cs="Times New Roman"/>
                <w:spacing w:val="-4"/>
                <w:lang w:val="hu-HU"/>
              </w:rPr>
            </w:pPr>
            <w:r>
              <w:rPr>
                <w:rFonts w:ascii="Times New Roman" w:eastAsia="Times New Roman" w:hAnsi="Times New Roman" w:cs="Times New Roman"/>
                <w:spacing w:val="-1"/>
                <w:lang w:val="hu-HU"/>
              </w:rPr>
              <w:t xml:space="preserve">Ha Ön nem megfelelően </w:t>
            </w:r>
            <w:r>
              <w:rPr>
                <w:rFonts w:ascii="Times New Roman" w:eastAsia="Times New Roman" w:hAnsi="Times New Roman" w:cs="Times New Roman"/>
                <w:lang w:val="hu-HU"/>
              </w:rPr>
              <w:t>reagál a kezelésre, a kezelőorvosa heti 40 mg-ra vagy</w:t>
            </w:r>
            <w:r w:rsidR="00BE2389">
              <w:rPr>
                <w:rFonts w:ascii="Times New Roman" w:eastAsia="Times New Roman" w:hAnsi="Times New Roman" w:cs="Times New Roman"/>
                <w:lang w:val="hu-HU"/>
              </w:rPr>
              <w:t xml:space="preserve"> </w:t>
            </w:r>
            <w:r>
              <w:rPr>
                <w:rFonts w:ascii="Times New Roman" w:eastAsia="Times New Roman" w:hAnsi="Times New Roman" w:cs="Times New Roman"/>
                <w:spacing w:val="-1"/>
                <w:lang w:val="hu-HU"/>
              </w:rPr>
              <w:t>kéthetente 80 mg-ra emelheti az adagot.</w:t>
            </w:r>
          </w:p>
          <w:p w14:paraId="47EFD83D" w14:textId="3C699055" w:rsidR="00130E8B" w:rsidRDefault="000405CC" w:rsidP="00167BF3">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4"/>
                <w:lang w:val="hu-HU"/>
              </w:rPr>
              <w:t>Javasolt, hogy naponta használjon fertőtlenítő lemosót az érintett területeken.</w:t>
            </w:r>
          </w:p>
        </w:tc>
      </w:tr>
    </w:tbl>
    <w:p w14:paraId="6C38E7A7" w14:textId="77777777" w:rsidR="00130E8B" w:rsidRDefault="00130E8B">
      <w:pPr>
        <w:spacing w:before="10"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130E8B" w14:paraId="6D3DF63F"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5E1BD818" w14:textId="77777777" w:rsidR="00130E8B" w:rsidRDefault="000405CC">
            <w:pPr>
              <w:pStyle w:val="TableParagraph"/>
              <w:spacing w:line="251"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Crohn-betegség</w:t>
            </w:r>
          </w:p>
        </w:tc>
      </w:tr>
      <w:tr w:rsidR="00130E8B" w14:paraId="213347A9" w14:textId="77777777">
        <w:tc>
          <w:tcPr>
            <w:tcW w:w="3096" w:type="dxa"/>
            <w:tcBorders>
              <w:top w:val="single" w:sz="5" w:space="0" w:color="000000"/>
              <w:left w:val="single" w:sz="5" w:space="0" w:color="000000"/>
              <w:bottom w:val="single" w:sz="5" w:space="0" w:color="000000"/>
              <w:right w:val="single" w:sz="5" w:space="0" w:color="000000"/>
            </w:tcBorders>
          </w:tcPr>
          <w:p w14:paraId="7D1CAD71"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5" w:space="0" w:color="000000"/>
              <w:bottom w:val="single" w:sz="5" w:space="0" w:color="000000"/>
              <w:right w:val="single" w:sz="5" w:space="0" w:color="000000"/>
            </w:tcBorders>
          </w:tcPr>
          <w:p w14:paraId="5036D13E" w14:textId="77777777" w:rsidR="00130E8B" w:rsidRDefault="000405CC">
            <w:pPr>
              <w:pStyle w:val="TableParagraph"/>
              <w:spacing w:before="1" w:line="252"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 alkalmazni?</w:t>
            </w:r>
          </w:p>
        </w:tc>
        <w:tc>
          <w:tcPr>
            <w:tcW w:w="3096" w:type="dxa"/>
            <w:tcBorders>
              <w:top w:val="single" w:sz="5" w:space="0" w:color="000000"/>
              <w:left w:val="single" w:sz="5" w:space="0" w:color="000000"/>
              <w:bottom w:val="single" w:sz="5" w:space="0" w:color="000000"/>
              <w:right w:val="single" w:sz="5" w:space="0" w:color="000000"/>
            </w:tcBorders>
          </w:tcPr>
          <w:p w14:paraId="620627D7"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130E8B" w:rsidRPr="00BE4D18" w14:paraId="07CB2502" w14:textId="77777777">
        <w:tc>
          <w:tcPr>
            <w:tcW w:w="3096" w:type="dxa"/>
            <w:tcBorders>
              <w:top w:val="single" w:sz="5" w:space="0" w:color="000000"/>
              <w:left w:val="single" w:sz="5" w:space="0" w:color="000000"/>
              <w:bottom w:val="single" w:sz="5" w:space="0" w:color="000000"/>
              <w:right w:val="single" w:sz="5" w:space="0" w:color="000000"/>
            </w:tcBorders>
          </w:tcPr>
          <w:p w14:paraId="06F13740" w14:textId="4D446030" w:rsidR="00130E8B" w:rsidRDefault="00C4148F" w:rsidP="00545FC6">
            <w:pPr>
              <w:pStyle w:val="TableParagraph"/>
              <w:spacing w:line="246" w:lineRule="exact"/>
              <w:ind w:left="102" w:right="57"/>
              <w:rPr>
                <w:rFonts w:ascii="Times New Roman" w:eastAsia="Times New Roman" w:hAnsi="Times New Roman" w:cs="Times New Roman"/>
                <w:lang w:val="hu-HU"/>
              </w:rPr>
            </w:pPr>
            <w:r w:rsidRPr="00F967AD">
              <w:rPr>
                <w:rFonts w:ascii="Times New Roman" w:eastAsia="Times New Roman" w:hAnsi="Times New Roman" w:cs="Times New Roman"/>
                <w:lang w:val="hu-HU"/>
              </w:rPr>
              <w:t>6 éves kor feletti, 40 kg-os vagy annál nagyobb testtömegű gyermekek, serdülők és felnőttek</w:t>
            </w:r>
          </w:p>
        </w:tc>
        <w:tc>
          <w:tcPr>
            <w:tcW w:w="3096" w:type="dxa"/>
            <w:tcBorders>
              <w:top w:val="single" w:sz="5" w:space="0" w:color="000000"/>
              <w:left w:val="single" w:sz="5" w:space="0" w:color="000000"/>
              <w:bottom w:val="single" w:sz="5" w:space="0" w:color="000000"/>
              <w:right w:val="single" w:sz="5" w:space="0" w:color="000000"/>
            </w:tcBorders>
          </w:tcPr>
          <w:p w14:paraId="53C6BC09" w14:textId="669235B0" w:rsidR="00130E8B" w:rsidRDefault="000405CC" w:rsidP="00545FC6">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A kezdő adag 80 mg (két 40 mg-os</w:t>
            </w:r>
            <w:r w:rsidR="00452EC2">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injekció</w:t>
            </w:r>
            <w:r w:rsidR="00C73957">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egy napon beadva), két héttel később 40 mg követ.</w:t>
            </w:r>
          </w:p>
          <w:p w14:paraId="0A2878D1" w14:textId="77777777" w:rsidR="00130E8B" w:rsidRDefault="00130E8B">
            <w:pPr>
              <w:pStyle w:val="TableParagraph"/>
              <w:spacing w:before="11" w:line="240" w:lineRule="exact"/>
              <w:rPr>
                <w:sz w:val="24"/>
                <w:szCs w:val="24"/>
                <w:lang w:val="hu-HU"/>
              </w:rPr>
            </w:pPr>
          </w:p>
          <w:p w14:paraId="4DAFB1B5" w14:textId="0E3BEFEF" w:rsidR="00130E8B" w:rsidRDefault="000405CC">
            <w:pPr>
              <w:pStyle w:val="TableParagraph"/>
              <w:ind w:left="102" w:right="76"/>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Ha gyorsabb hatásra van szükség, a kezelőorvos rendelhet egy 160 mg-os kezdő adagot (négy 40 mg-os injekció egyetlen napon, vagy napi két 40 mg-os injekció két egymást követő napon), amelyet két héttel </w:t>
            </w:r>
            <w:r>
              <w:rPr>
                <w:rFonts w:ascii="Times New Roman" w:eastAsia="Times New Roman" w:hAnsi="Times New Roman" w:cs="Times New Roman"/>
                <w:spacing w:val="-1"/>
                <w:lang w:val="hu-HU"/>
              </w:rPr>
              <w:lastRenderedPageBreak/>
              <w:t>később 80 mg követ (két 40 mg-os injekció egyetlen napon).</w:t>
            </w:r>
          </w:p>
          <w:p w14:paraId="6841470A" w14:textId="77777777" w:rsidR="00130E8B" w:rsidRDefault="00130E8B">
            <w:pPr>
              <w:pStyle w:val="TableParagraph"/>
              <w:spacing w:before="17" w:line="240" w:lineRule="exact"/>
              <w:rPr>
                <w:sz w:val="24"/>
                <w:szCs w:val="24"/>
                <w:lang w:val="hu-HU"/>
              </w:rPr>
            </w:pPr>
          </w:p>
          <w:p w14:paraId="2B4F461E" w14:textId="0E70B207" w:rsidR="00130E8B" w:rsidRDefault="000405CC">
            <w:pPr>
              <w:pStyle w:val="TableParagraph"/>
              <w:spacing w:line="252"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Ezután a szokásos adag 40 mg </w:t>
            </w:r>
            <w:r w:rsidR="00944244">
              <w:rPr>
                <w:rFonts w:ascii="Times New Roman" w:hAnsi="Times New Roman" w:cs="Times New Roman"/>
                <w:lang w:val="hu-HU"/>
              </w:rPr>
              <w:t>kéthetente</w:t>
            </w:r>
            <w:r>
              <w:rPr>
                <w:rFonts w:ascii="Times New Roman" w:eastAsia="Times New Roman" w:hAnsi="Times New Roman" w:cs="Times New Roman"/>
                <w:spacing w:val="-1"/>
                <w:lang w:val="hu-HU"/>
              </w:rPr>
              <w:t>.</w:t>
            </w:r>
          </w:p>
        </w:tc>
        <w:tc>
          <w:tcPr>
            <w:tcW w:w="3096" w:type="dxa"/>
            <w:tcBorders>
              <w:top w:val="single" w:sz="5" w:space="0" w:color="000000"/>
              <w:left w:val="single" w:sz="5" w:space="0" w:color="000000"/>
              <w:bottom w:val="single" w:sz="5" w:space="0" w:color="000000"/>
              <w:right w:val="single" w:sz="5" w:space="0" w:color="000000"/>
            </w:tcBorders>
          </w:tcPr>
          <w:p w14:paraId="41AC3DC9" w14:textId="122293BB" w:rsidR="00130E8B" w:rsidRDefault="000405CC" w:rsidP="00545FC6">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lastRenderedPageBreak/>
              <w:t>Kezelőorvosa heti</w:t>
            </w:r>
            <w:r w:rsidR="00BE2389">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40 mg-ra vagy kéthetente 80 mg-ra emelheti az adagot.</w:t>
            </w:r>
          </w:p>
        </w:tc>
      </w:tr>
      <w:tr w:rsidR="00604DFB" w:rsidRPr="00BE4D18" w14:paraId="06B8D5B9" w14:textId="77777777">
        <w:tc>
          <w:tcPr>
            <w:tcW w:w="3096" w:type="dxa"/>
            <w:tcBorders>
              <w:top w:val="single" w:sz="5" w:space="0" w:color="000000"/>
              <w:left w:val="single" w:sz="5" w:space="0" w:color="000000"/>
              <w:bottom w:val="single" w:sz="5" w:space="0" w:color="000000"/>
              <w:right w:val="single" w:sz="5" w:space="0" w:color="000000"/>
            </w:tcBorders>
          </w:tcPr>
          <w:p w14:paraId="4D470E50" w14:textId="14C0F404" w:rsidR="00604DFB" w:rsidRDefault="00604DFB" w:rsidP="00604DFB">
            <w:pPr>
              <w:pStyle w:val="TableParagraph"/>
              <w:spacing w:line="246" w:lineRule="exact"/>
              <w:ind w:left="102" w:right="57"/>
              <w:rPr>
                <w:rFonts w:ascii="Times New Roman" w:eastAsia="Times New Roman" w:hAnsi="Times New Roman" w:cs="Times New Roman"/>
                <w:lang w:val="hu-HU"/>
              </w:rPr>
            </w:pPr>
            <w:r w:rsidRPr="001E41EB">
              <w:rPr>
                <w:rFonts w:ascii="Times New Roman" w:eastAsia="Times New Roman" w:hAnsi="Times New Roman" w:cs="Times New Roman"/>
                <w:lang w:val="hu-HU"/>
              </w:rPr>
              <w:t>6-17 év közötti, 40 kg-nál kisebb testtömegű gyermekek vagy serdülők</w:t>
            </w:r>
          </w:p>
        </w:tc>
        <w:tc>
          <w:tcPr>
            <w:tcW w:w="3096" w:type="dxa"/>
            <w:tcBorders>
              <w:top w:val="single" w:sz="5" w:space="0" w:color="000000"/>
              <w:left w:val="single" w:sz="5" w:space="0" w:color="000000"/>
              <w:bottom w:val="single" w:sz="5" w:space="0" w:color="000000"/>
              <w:right w:val="single" w:sz="5" w:space="0" w:color="000000"/>
            </w:tcBorders>
          </w:tcPr>
          <w:p w14:paraId="495E02B0" w14:textId="77777777" w:rsidR="00604DFB" w:rsidRPr="001E41EB" w:rsidRDefault="00604DFB" w:rsidP="00604DFB">
            <w:pPr>
              <w:pStyle w:val="TableParagraph"/>
              <w:spacing w:line="246" w:lineRule="exact"/>
              <w:ind w:left="102" w:right="57"/>
              <w:rPr>
                <w:rFonts w:ascii="Times New Roman" w:eastAsia="Times New Roman" w:hAnsi="Times New Roman" w:cs="Times New Roman"/>
                <w:lang w:val="hu-HU"/>
              </w:rPr>
            </w:pPr>
            <w:r w:rsidRPr="001E41EB">
              <w:rPr>
                <w:rFonts w:ascii="Times New Roman" w:eastAsia="Times New Roman" w:hAnsi="Times New Roman" w:cs="Times New Roman"/>
                <w:lang w:val="hu-HU"/>
              </w:rPr>
              <w:t>A kezdő adag 40 mg, melyet két héttel később 20 mg követ.</w:t>
            </w:r>
          </w:p>
          <w:p w14:paraId="3699ED7C" w14:textId="77777777" w:rsidR="00604DFB" w:rsidRPr="001E41EB" w:rsidRDefault="00604DFB" w:rsidP="00604DFB">
            <w:pPr>
              <w:pStyle w:val="TableParagraph"/>
              <w:spacing w:line="246" w:lineRule="exact"/>
              <w:ind w:left="102" w:right="57"/>
              <w:rPr>
                <w:rFonts w:ascii="Times New Roman" w:eastAsia="Times New Roman" w:hAnsi="Times New Roman" w:cs="Times New Roman"/>
                <w:lang w:val="hu-HU"/>
              </w:rPr>
            </w:pPr>
          </w:p>
          <w:p w14:paraId="4A3875D4" w14:textId="77777777" w:rsidR="00604DFB" w:rsidRPr="001E41EB" w:rsidRDefault="00604DFB" w:rsidP="00604DFB">
            <w:pPr>
              <w:pStyle w:val="TableParagraph"/>
              <w:spacing w:line="246" w:lineRule="exact"/>
              <w:ind w:left="102" w:right="57"/>
              <w:rPr>
                <w:rFonts w:ascii="Times New Roman" w:eastAsia="Times New Roman" w:hAnsi="Times New Roman" w:cs="Times New Roman"/>
                <w:lang w:val="hu-HU"/>
              </w:rPr>
            </w:pPr>
            <w:r w:rsidRPr="001E41EB">
              <w:rPr>
                <w:rFonts w:ascii="Times New Roman" w:eastAsia="Times New Roman" w:hAnsi="Times New Roman" w:cs="Times New Roman"/>
                <w:lang w:val="hu-HU"/>
              </w:rPr>
              <w:t>Ha gyorsabb hatásra van szükség, a kezelőorvos rendelhet 80 mg-os kezdő adagot (két 40 mg-os injekció egyetlen napon), melyet 2 héttel később 40 mg követ.</w:t>
            </w:r>
          </w:p>
          <w:p w14:paraId="730D204D" w14:textId="77777777" w:rsidR="00604DFB" w:rsidRPr="001E41EB" w:rsidRDefault="00604DFB" w:rsidP="00604DFB">
            <w:pPr>
              <w:pStyle w:val="TableParagraph"/>
              <w:spacing w:line="246" w:lineRule="exact"/>
              <w:ind w:left="102" w:right="57"/>
              <w:rPr>
                <w:rFonts w:ascii="Times New Roman" w:eastAsia="Times New Roman" w:hAnsi="Times New Roman" w:cs="Times New Roman"/>
                <w:lang w:val="hu-HU"/>
              </w:rPr>
            </w:pPr>
          </w:p>
          <w:p w14:paraId="39FCF78B" w14:textId="599D2574" w:rsidR="00604DFB" w:rsidRDefault="00604DFB" w:rsidP="00604DFB">
            <w:pPr>
              <w:pStyle w:val="TableParagraph"/>
              <w:spacing w:line="246" w:lineRule="exact"/>
              <w:ind w:left="102" w:right="57"/>
              <w:rPr>
                <w:rFonts w:ascii="Times New Roman" w:eastAsia="Times New Roman" w:hAnsi="Times New Roman" w:cs="Times New Roman"/>
                <w:spacing w:val="-1"/>
                <w:lang w:val="hu-HU"/>
              </w:rPr>
            </w:pPr>
            <w:r w:rsidRPr="001E41EB">
              <w:rPr>
                <w:rFonts w:ascii="Times New Roman" w:eastAsia="Times New Roman" w:hAnsi="Times New Roman" w:cs="Times New Roman"/>
                <w:lang w:val="hu-HU"/>
              </w:rPr>
              <w:t>Ezután a szokásos adag kéthetente 20 mg.</w:t>
            </w:r>
          </w:p>
        </w:tc>
        <w:tc>
          <w:tcPr>
            <w:tcW w:w="3096" w:type="dxa"/>
            <w:tcBorders>
              <w:top w:val="single" w:sz="5" w:space="0" w:color="000000"/>
              <w:left w:val="single" w:sz="5" w:space="0" w:color="000000"/>
              <w:bottom w:val="single" w:sz="5" w:space="0" w:color="000000"/>
              <w:right w:val="single" w:sz="5" w:space="0" w:color="000000"/>
            </w:tcBorders>
          </w:tcPr>
          <w:p w14:paraId="38B1593A" w14:textId="7CB2BA2A" w:rsidR="00604DFB" w:rsidRDefault="00604DFB" w:rsidP="00604DFB">
            <w:pPr>
              <w:pStyle w:val="TableParagraph"/>
              <w:spacing w:line="246" w:lineRule="exact"/>
              <w:ind w:left="102" w:right="57"/>
              <w:rPr>
                <w:rFonts w:ascii="Times New Roman" w:eastAsia="Times New Roman" w:hAnsi="Times New Roman" w:cs="Times New Roman"/>
                <w:spacing w:val="-1"/>
                <w:lang w:val="hu-HU"/>
              </w:rPr>
            </w:pPr>
            <w:r w:rsidRPr="001E41EB">
              <w:rPr>
                <w:rFonts w:ascii="Times New Roman" w:eastAsia="Times New Roman" w:hAnsi="Times New Roman" w:cs="Times New Roman"/>
                <w:lang w:val="hu-HU"/>
              </w:rPr>
              <w:t>Kezelőorvosa heti 20 mg-ra emelheti az adagolás gyakoriságát.</w:t>
            </w:r>
          </w:p>
        </w:tc>
      </w:tr>
    </w:tbl>
    <w:p w14:paraId="1757812A" w14:textId="77777777" w:rsidR="00130E8B" w:rsidRDefault="00130E8B">
      <w:pPr>
        <w:spacing w:before="7" w:line="90" w:lineRule="exact"/>
        <w:rPr>
          <w:sz w:val="9"/>
          <w:szCs w:val="9"/>
          <w:lang w:val="hu-HU"/>
        </w:rPr>
      </w:pPr>
    </w:p>
    <w:p w14:paraId="7271ED69" w14:textId="77777777" w:rsidR="00211C4E" w:rsidRDefault="00211C4E">
      <w:pPr>
        <w:spacing w:before="10"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130E8B" w14:paraId="0196D7D3"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17ADCCCF" w14:textId="538A2AE6" w:rsidR="00130E8B" w:rsidRDefault="000C6F40" w:rsidP="00D71745">
            <w:pPr>
              <w:pStyle w:val="TableParagraph"/>
              <w:spacing w:line="252"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Kolitisz ulcer</w:t>
            </w:r>
            <w:r w:rsidR="00D71745">
              <w:rPr>
                <w:rFonts w:ascii="Times New Roman" w:eastAsia="Times New Roman" w:hAnsi="Times New Roman" w:cs="Times New Roman"/>
                <w:b/>
                <w:bCs/>
                <w:spacing w:val="-1"/>
                <w:lang w:val="hu-HU"/>
              </w:rPr>
              <w:t>ó</w:t>
            </w:r>
            <w:r>
              <w:rPr>
                <w:rFonts w:ascii="Times New Roman" w:eastAsia="Times New Roman" w:hAnsi="Times New Roman" w:cs="Times New Roman"/>
                <w:b/>
                <w:bCs/>
                <w:spacing w:val="-1"/>
                <w:lang w:val="hu-HU"/>
              </w:rPr>
              <w:t>za</w:t>
            </w:r>
          </w:p>
        </w:tc>
      </w:tr>
      <w:tr w:rsidR="00130E8B" w14:paraId="14C35D74" w14:textId="77777777">
        <w:tc>
          <w:tcPr>
            <w:tcW w:w="3096" w:type="dxa"/>
            <w:tcBorders>
              <w:top w:val="single" w:sz="5" w:space="0" w:color="000000"/>
              <w:left w:val="single" w:sz="5" w:space="0" w:color="000000"/>
              <w:bottom w:val="single" w:sz="5" w:space="0" w:color="000000"/>
              <w:right w:val="single" w:sz="5" w:space="0" w:color="000000"/>
            </w:tcBorders>
          </w:tcPr>
          <w:p w14:paraId="12E27D17"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5" w:space="0" w:color="000000"/>
              <w:bottom w:val="single" w:sz="5" w:space="0" w:color="000000"/>
              <w:right w:val="single" w:sz="5" w:space="0" w:color="000000"/>
            </w:tcBorders>
          </w:tcPr>
          <w:p w14:paraId="2562BF00" w14:textId="769C9BB5" w:rsidR="00130E8B" w:rsidRDefault="000405CC" w:rsidP="00545FC6">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w:t>
            </w:r>
            <w:r w:rsidR="00452EC2">
              <w:rPr>
                <w:rFonts w:ascii="Times New Roman" w:eastAsia="Times New Roman" w:hAnsi="Times New Roman" w:cs="Times New Roman"/>
                <w:b/>
                <w:bCs/>
                <w:spacing w:val="-1"/>
                <w:lang w:val="hu-HU"/>
              </w:rPr>
              <w:t xml:space="preserve"> </w:t>
            </w:r>
            <w:r>
              <w:rPr>
                <w:rFonts w:ascii="Times New Roman" w:eastAsia="Times New Roman" w:hAnsi="Times New Roman" w:cs="Times New Roman"/>
                <w:b/>
                <w:bCs/>
                <w:lang w:val="hu-HU"/>
              </w:rPr>
              <w:t>alkalmazni?</w:t>
            </w:r>
          </w:p>
        </w:tc>
        <w:tc>
          <w:tcPr>
            <w:tcW w:w="3096" w:type="dxa"/>
            <w:tcBorders>
              <w:top w:val="single" w:sz="5" w:space="0" w:color="000000"/>
              <w:left w:val="single" w:sz="5" w:space="0" w:color="000000"/>
              <w:bottom w:val="single" w:sz="5" w:space="0" w:color="000000"/>
              <w:right w:val="single" w:sz="5" w:space="0" w:color="000000"/>
            </w:tcBorders>
          </w:tcPr>
          <w:p w14:paraId="58461C95"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130E8B" w:rsidRPr="00BE4D18" w14:paraId="275F8089" w14:textId="77777777">
        <w:tc>
          <w:tcPr>
            <w:tcW w:w="3096" w:type="dxa"/>
            <w:tcBorders>
              <w:top w:val="single" w:sz="5" w:space="0" w:color="000000"/>
              <w:left w:val="single" w:sz="5" w:space="0" w:color="000000"/>
              <w:bottom w:val="single" w:sz="5" w:space="0" w:color="000000"/>
              <w:right w:val="single" w:sz="5" w:space="0" w:color="000000"/>
            </w:tcBorders>
          </w:tcPr>
          <w:p w14:paraId="25E4FAB7" w14:textId="77777777" w:rsidR="00130E8B" w:rsidRDefault="000405CC">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Felnőttek</w:t>
            </w:r>
          </w:p>
        </w:tc>
        <w:tc>
          <w:tcPr>
            <w:tcW w:w="3096" w:type="dxa"/>
            <w:tcBorders>
              <w:top w:val="single" w:sz="5" w:space="0" w:color="000000"/>
              <w:left w:val="single" w:sz="5" w:space="0" w:color="000000"/>
              <w:bottom w:val="single" w:sz="5" w:space="0" w:color="000000"/>
              <w:right w:val="single" w:sz="5" w:space="0" w:color="000000"/>
            </w:tcBorders>
          </w:tcPr>
          <w:p w14:paraId="5C731492" w14:textId="77777777" w:rsidR="00130E8B" w:rsidRDefault="000405CC">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A kezdő adag 160 mg (négy 40</w:t>
            </w:r>
          </w:p>
          <w:p w14:paraId="45E919ED" w14:textId="77777777" w:rsidR="00130E8B" w:rsidRDefault="000405CC">
            <w:pPr>
              <w:pStyle w:val="TableParagraph"/>
              <w:spacing w:before="1" w:line="239" w:lineRule="auto"/>
              <w:ind w:left="102" w:right="73"/>
              <w:rPr>
                <w:rFonts w:ascii="Times New Roman" w:eastAsia="Times New Roman" w:hAnsi="Times New Roman" w:cs="Times New Roman"/>
                <w:lang w:val="hu-HU"/>
              </w:rPr>
            </w:pPr>
            <w:r>
              <w:rPr>
                <w:rFonts w:ascii="Times New Roman" w:eastAsia="Times New Roman" w:hAnsi="Times New Roman" w:cs="Times New Roman"/>
                <w:spacing w:val="-1"/>
                <w:lang w:val="hu-HU"/>
              </w:rPr>
              <w:t>mg-osinjekció egyetlen napon, vagy napi két 40 mg-osinjekció két egymást követő napon), amelyet két héttel később 80 mg követ (két 40 mg-osinjekció egyetlen napon).</w:t>
            </w:r>
          </w:p>
          <w:p w14:paraId="1A9480BA" w14:textId="77777777" w:rsidR="00130E8B" w:rsidRDefault="00130E8B">
            <w:pPr>
              <w:pStyle w:val="TableParagraph"/>
              <w:spacing w:before="17" w:line="240" w:lineRule="exact"/>
              <w:rPr>
                <w:sz w:val="24"/>
                <w:szCs w:val="24"/>
                <w:lang w:val="hu-HU"/>
              </w:rPr>
            </w:pPr>
          </w:p>
          <w:p w14:paraId="4E1B1B10" w14:textId="146A7303" w:rsidR="00130E8B" w:rsidRDefault="000405CC">
            <w:pPr>
              <w:pStyle w:val="TableParagraph"/>
              <w:spacing w:line="252"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Ezután a szokásos adag 40 mg </w:t>
            </w:r>
            <w:r w:rsidR="00944244">
              <w:rPr>
                <w:rFonts w:ascii="Times New Roman" w:hAnsi="Times New Roman" w:cs="Times New Roman"/>
                <w:lang w:val="hu-HU"/>
              </w:rPr>
              <w:t>kéthetente</w:t>
            </w:r>
            <w:r>
              <w:rPr>
                <w:rFonts w:ascii="Times New Roman" w:eastAsia="Times New Roman" w:hAnsi="Times New Roman" w:cs="Times New Roman"/>
                <w:spacing w:val="-1"/>
                <w:lang w:val="hu-HU"/>
              </w:rPr>
              <w:t>.</w:t>
            </w:r>
          </w:p>
        </w:tc>
        <w:tc>
          <w:tcPr>
            <w:tcW w:w="3096" w:type="dxa"/>
            <w:tcBorders>
              <w:top w:val="single" w:sz="5" w:space="0" w:color="000000"/>
              <w:left w:val="single" w:sz="5" w:space="0" w:color="000000"/>
              <w:bottom w:val="single" w:sz="5" w:space="0" w:color="000000"/>
              <w:right w:val="single" w:sz="5" w:space="0" w:color="000000"/>
            </w:tcBorders>
          </w:tcPr>
          <w:p w14:paraId="2F889F99" w14:textId="710E6D01" w:rsidR="00130E8B" w:rsidRDefault="000405CC" w:rsidP="00545FC6">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Kezelőorvosa heti</w:t>
            </w:r>
            <w:r w:rsidR="00BE2389">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40 mg-ra vagy kéthetente 80 mg-ra emelheti az adagot.</w:t>
            </w:r>
          </w:p>
        </w:tc>
      </w:tr>
      <w:tr w:rsidR="0050547A" w:rsidRPr="00D436BA" w14:paraId="5F431CE0" w14:textId="77777777">
        <w:tc>
          <w:tcPr>
            <w:tcW w:w="3096" w:type="dxa"/>
            <w:tcBorders>
              <w:top w:val="single" w:sz="5" w:space="0" w:color="000000"/>
              <w:left w:val="single" w:sz="5" w:space="0" w:color="000000"/>
              <w:bottom w:val="single" w:sz="5" w:space="0" w:color="000000"/>
              <w:right w:val="single" w:sz="5" w:space="0" w:color="000000"/>
            </w:tcBorders>
          </w:tcPr>
          <w:p w14:paraId="2A502635" w14:textId="16930FFF" w:rsidR="0050547A" w:rsidRDefault="0050547A" w:rsidP="0050547A">
            <w:pPr>
              <w:pStyle w:val="TableParagraph"/>
              <w:spacing w:line="246" w:lineRule="exact"/>
              <w:ind w:left="102" w:right="57"/>
              <w:rPr>
                <w:rFonts w:ascii="Times New Roman" w:eastAsia="Times New Roman" w:hAnsi="Times New Roman" w:cs="Times New Roman"/>
                <w:spacing w:val="-1"/>
                <w:lang w:val="hu-HU"/>
              </w:rPr>
            </w:pPr>
            <w:r w:rsidRPr="00167BF3">
              <w:rPr>
                <w:rFonts w:ascii="Times New Roman" w:hAnsi="Times New Roman" w:cs="Times New Roman"/>
                <w:lang w:val="hu-HU"/>
              </w:rPr>
              <w:t>6 éves kor feletti, 40 kg</w:t>
            </w:r>
            <w:r w:rsidRPr="00167BF3">
              <w:rPr>
                <w:rFonts w:ascii="Times New Roman" w:hAnsi="Times New Roman" w:cs="Times New Roman"/>
                <w:lang w:val="hu-HU"/>
              </w:rPr>
              <w:noBreakHyphen/>
              <w:t>nál kisebb testtömegű gyermekek és serdülők</w:t>
            </w:r>
          </w:p>
        </w:tc>
        <w:tc>
          <w:tcPr>
            <w:tcW w:w="3096" w:type="dxa"/>
            <w:tcBorders>
              <w:top w:val="single" w:sz="5" w:space="0" w:color="000000"/>
              <w:left w:val="single" w:sz="5" w:space="0" w:color="000000"/>
              <w:bottom w:val="single" w:sz="5" w:space="0" w:color="000000"/>
              <w:right w:val="single" w:sz="5" w:space="0" w:color="000000"/>
            </w:tcBorders>
          </w:tcPr>
          <w:p w14:paraId="22D954DF" w14:textId="77777777" w:rsidR="0050547A" w:rsidRPr="004E2591" w:rsidRDefault="0050547A" w:rsidP="004E2591">
            <w:pPr>
              <w:pStyle w:val="TableParagraph"/>
              <w:spacing w:line="246" w:lineRule="exact"/>
              <w:ind w:left="102" w:right="57"/>
              <w:rPr>
                <w:rFonts w:ascii="Times New Roman" w:eastAsia="Times New Roman" w:hAnsi="Times New Roman" w:cs="Times New Roman"/>
                <w:spacing w:val="-1"/>
                <w:lang w:val="hu-HU"/>
              </w:rPr>
            </w:pPr>
            <w:r w:rsidRPr="004E2591">
              <w:rPr>
                <w:rFonts w:ascii="Times New Roman" w:eastAsia="Times New Roman" w:hAnsi="Times New Roman" w:cs="Times New Roman"/>
                <w:spacing w:val="-1"/>
                <w:lang w:val="hu-HU"/>
              </w:rPr>
              <w:t>A kezdő adag 80 mg (két 40 mg-os injekció formájában egyetlen napon), melyet két héttel később 40 mg (egy 40 mg-os injekció formájában) követ.</w:t>
            </w:r>
          </w:p>
          <w:p w14:paraId="0699C170" w14:textId="77777777" w:rsidR="0050547A" w:rsidRPr="004E2591" w:rsidRDefault="0050547A" w:rsidP="004E2591">
            <w:pPr>
              <w:pStyle w:val="TableParagraph"/>
              <w:spacing w:line="246" w:lineRule="exact"/>
              <w:ind w:left="102" w:right="57"/>
              <w:rPr>
                <w:rFonts w:ascii="Times New Roman" w:eastAsia="Times New Roman" w:hAnsi="Times New Roman" w:cs="Times New Roman"/>
                <w:spacing w:val="-1"/>
                <w:lang w:val="hu-HU"/>
              </w:rPr>
            </w:pPr>
          </w:p>
          <w:p w14:paraId="5FD67EF1" w14:textId="539E91AB" w:rsidR="0050547A" w:rsidRDefault="0050547A" w:rsidP="00DF4CC5">
            <w:pPr>
              <w:pStyle w:val="TableParagraph"/>
              <w:spacing w:line="246" w:lineRule="exact"/>
              <w:ind w:left="102" w:right="57"/>
              <w:rPr>
                <w:rFonts w:ascii="Times New Roman" w:eastAsia="Times New Roman" w:hAnsi="Times New Roman" w:cs="Times New Roman"/>
                <w:spacing w:val="-1"/>
                <w:lang w:val="hu-HU"/>
              </w:rPr>
            </w:pPr>
            <w:r w:rsidRPr="004E2591">
              <w:rPr>
                <w:rFonts w:ascii="Times New Roman" w:eastAsia="Times New Roman" w:hAnsi="Times New Roman" w:cs="Times New Roman"/>
                <w:spacing w:val="-1"/>
                <w:lang w:val="hu-HU"/>
              </w:rPr>
              <w:t>Ezt követően a szokásos adag 40 mg kéthetente.</w:t>
            </w:r>
          </w:p>
        </w:tc>
        <w:tc>
          <w:tcPr>
            <w:tcW w:w="3096" w:type="dxa"/>
            <w:tcBorders>
              <w:top w:val="single" w:sz="5" w:space="0" w:color="000000"/>
              <w:left w:val="single" w:sz="5" w:space="0" w:color="000000"/>
              <w:bottom w:val="single" w:sz="5" w:space="0" w:color="000000"/>
              <w:right w:val="single" w:sz="5" w:space="0" w:color="000000"/>
            </w:tcBorders>
          </w:tcPr>
          <w:p w14:paraId="42D0CC87" w14:textId="05473EDE" w:rsidR="0050547A" w:rsidRDefault="0050547A" w:rsidP="00DF4CC5">
            <w:pPr>
              <w:pStyle w:val="TableParagraph"/>
              <w:spacing w:line="246" w:lineRule="exact"/>
              <w:ind w:left="102" w:right="57"/>
              <w:rPr>
                <w:rFonts w:ascii="Times New Roman" w:eastAsia="Times New Roman" w:hAnsi="Times New Roman" w:cs="Times New Roman"/>
                <w:spacing w:val="-1"/>
                <w:lang w:val="hu-HU"/>
              </w:rPr>
            </w:pPr>
            <w:r w:rsidRPr="004E2591">
              <w:rPr>
                <w:rFonts w:ascii="Times New Roman" w:eastAsia="Times New Roman" w:hAnsi="Times New Roman" w:cs="Times New Roman"/>
                <w:spacing w:val="-1"/>
                <w:lang w:val="hu-HU"/>
              </w:rPr>
              <w:t>A Yuflyma alkalmazását a szokásos adagban kell folytatnia, a 18 éves kor betöltése után is.</w:t>
            </w:r>
          </w:p>
        </w:tc>
      </w:tr>
      <w:tr w:rsidR="0050547A" w:rsidRPr="00D436BA" w14:paraId="78806534" w14:textId="77777777">
        <w:tc>
          <w:tcPr>
            <w:tcW w:w="3096" w:type="dxa"/>
            <w:tcBorders>
              <w:top w:val="single" w:sz="5" w:space="0" w:color="000000"/>
              <w:left w:val="single" w:sz="5" w:space="0" w:color="000000"/>
              <w:bottom w:val="single" w:sz="5" w:space="0" w:color="000000"/>
              <w:right w:val="single" w:sz="5" w:space="0" w:color="000000"/>
            </w:tcBorders>
          </w:tcPr>
          <w:p w14:paraId="040044AB" w14:textId="194373C9" w:rsidR="0050547A" w:rsidRDefault="0050547A" w:rsidP="0050547A">
            <w:pPr>
              <w:pStyle w:val="TableParagraph"/>
              <w:spacing w:line="246" w:lineRule="exact"/>
              <w:ind w:left="102" w:right="57"/>
              <w:rPr>
                <w:rFonts w:ascii="Times New Roman" w:eastAsia="Times New Roman" w:hAnsi="Times New Roman" w:cs="Times New Roman"/>
                <w:spacing w:val="-1"/>
                <w:lang w:val="hu-HU"/>
              </w:rPr>
            </w:pPr>
            <w:r w:rsidRPr="00167BF3">
              <w:rPr>
                <w:rFonts w:ascii="Times New Roman" w:hAnsi="Times New Roman" w:cs="Times New Roman"/>
                <w:lang w:val="hu-HU"/>
              </w:rPr>
              <w:t>6 éves kor feletti, 40 kg</w:t>
            </w:r>
            <w:r w:rsidRPr="00167BF3">
              <w:rPr>
                <w:rFonts w:ascii="Times New Roman" w:hAnsi="Times New Roman" w:cs="Times New Roman"/>
                <w:lang w:val="hu-HU"/>
              </w:rPr>
              <w:noBreakHyphen/>
              <w:t>os vagy annál nagyobb testtömegű gyermekek és serdülők</w:t>
            </w:r>
          </w:p>
        </w:tc>
        <w:tc>
          <w:tcPr>
            <w:tcW w:w="3096" w:type="dxa"/>
            <w:tcBorders>
              <w:top w:val="single" w:sz="5" w:space="0" w:color="000000"/>
              <w:left w:val="single" w:sz="5" w:space="0" w:color="000000"/>
              <w:bottom w:val="single" w:sz="5" w:space="0" w:color="000000"/>
              <w:right w:val="single" w:sz="5" w:space="0" w:color="000000"/>
            </w:tcBorders>
          </w:tcPr>
          <w:p w14:paraId="4BBDB525" w14:textId="77777777" w:rsidR="0050547A" w:rsidRPr="004E2591" w:rsidRDefault="0050547A" w:rsidP="004E2591">
            <w:pPr>
              <w:pStyle w:val="TableParagraph"/>
              <w:spacing w:line="246" w:lineRule="exact"/>
              <w:ind w:left="102" w:right="57"/>
              <w:rPr>
                <w:rFonts w:ascii="Times New Roman" w:eastAsia="Times New Roman" w:hAnsi="Times New Roman" w:cs="Times New Roman"/>
                <w:spacing w:val="-1"/>
                <w:lang w:val="hu-HU"/>
              </w:rPr>
            </w:pPr>
            <w:r w:rsidRPr="004E2591">
              <w:rPr>
                <w:rFonts w:ascii="Times New Roman" w:eastAsia="Times New Roman" w:hAnsi="Times New Roman" w:cs="Times New Roman"/>
                <w:spacing w:val="-1"/>
                <w:lang w:val="hu-HU"/>
              </w:rPr>
              <w:t>A kezdő adag 160 mg (négy 40 mg-os injekció egyetlen napon vagy két 40 mg-os injekció két egymást követő napon), majd két hét múlva 80 mg (két 40 mg-os injekció egyetlen napon).</w:t>
            </w:r>
          </w:p>
          <w:p w14:paraId="47DB1F16" w14:textId="77777777" w:rsidR="0050547A" w:rsidRPr="004E2591" w:rsidRDefault="0050547A" w:rsidP="004E2591">
            <w:pPr>
              <w:pStyle w:val="TableParagraph"/>
              <w:spacing w:line="246" w:lineRule="exact"/>
              <w:ind w:left="102" w:right="57"/>
              <w:rPr>
                <w:rFonts w:ascii="Times New Roman" w:eastAsia="Times New Roman" w:hAnsi="Times New Roman" w:cs="Times New Roman"/>
                <w:spacing w:val="-1"/>
                <w:lang w:val="hu-HU"/>
              </w:rPr>
            </w:pPr>
          </w:p>
          <w:p w14:paraId="19570B92" w14:textId="3C44763E" w:rsidR="0050547A" w:rsidRDefault="0050547A" w:rsidP="00DF4CC5">
            <w:pPr>
              <w:pStyle w:val="TableParagraph"/>
              <w:spacing w:line="246" w:lineRule="exact"/>
              <w:ind w:left="102" w:right="57"/>
              <w:rPr>
                <w:rFonts w:ascii="Times New Roman" w:eastAsia="Times New Roman" w:hAnsi="Times New Roman" w:cs="Times New Roman"/>
                <w:spacing w:val="-1"/>
                <w:lang w:val="hu-HU"/>
              </w:rPr>
            </w:pPr>
            <w:r w:rsidRPr="004E2591">
              <w:rPr>
                <w:rFonts w:ascii="Times New Roman" w:eastAsia="Times New Roman" w:hAnsi="Times New Roman" w:cs="Times New Roman"/>
                <w:spacing w:val="-1"/>
                <w:lang w:val="hu-HU"/>
              </w:rPr>
              <w:t>Ezt követően a szokásos adag 80 mg kéthetente.</w:t>
            </w:r>
          </w:p>
        </w:tc>
        <w:tc>
          <w:tcPr>
            <w:tcW w:w="3096" w:type="dxa"/>
            <w:tcBorders>
              <w:top w:val="single" w:sz="5" w:space="0" w:color="000000"/>
              <w:left w:val="single" w:sz="5" w:space="0" w:color="000000"/>
              <w:bottom w:val="single" w:sz="5" w:space="0" w:color="000000"/>
              <w:right w:val="single" w:sz="5" w:space="0" w:color="000000"/>
            </w:tcBorders>
          </w:tcPr>
          <w:p w14:paraId="3B63A366" w14:textId="29790DE7" w:rsidR="0050547A" w:rsidRDefault="0050547A" w:rsidP="00DF4CC5">
            <w:pPr>
              <w:pStyle w:val="TableParagraph"/>
              <w:spacing w:line="246" w:lineRule="exact"/>
              <w:ind w:left="102" w:right="57"/>
              <w:rPr>
                <w:rFonts w:ascii="Times New Roman" w:eastAsia="Times New Roman" w:hAnsi="Times New Roman" w:cs="Times New Roman"/>
                <w:spacing w:val="-1"/>
                <w:lang w:val="hu-HU"/>
              </w:rPr>
            </w:pPr>
            <w:r w:rsidRPr="004E2591">
              <w:rPr>
                <w:rFonts w:ascii="Times New Roman" w:eastAsia="Times New Roman" w:hAnsi="Times New Roman" w:cs="Times New Roman"/>
                <w:spacing w:val="-1"/>
                <w:lang w:val="hu-HU"/>
              </w:rPr>
              <w:t>A Yuflyma alkalmazását a szokásos adagban kell folytatnia, a 18 éves kor betöltése után is.</w:t>
            </w:r>
          </w:p>
        </w:tc>
      </w:tr>
    </w:tbl>
    <w:p w14:paraId="15D2BF7B" w14:textId="77777777" w:rsidR="00130E8B" w:rsidRDefault="00130E8B">
      <w:pPr>
        <w:spacing w:before="10"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130E8B" w:rsidRPr="00BE4D18" w14:paraId="52127329"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51089A40" w14:textId="77777777" w:rsidR="00130E8B" w:rsidRDefault="000405CC">
            <w:pPr>
              <w:pStyle w:val="TableParagraph"/>
              <w:spacing w:line="252"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Nem fertőzéses eredetű szemgyulladás (uveitisz)</w:t>
            </w:r>
          </w:p>
        </w:tc>
      </w:tr>
      <w:tr w:rsidR="00130E8B" w14:paraId="3027390C" w14:textId="77777777">
        <w:tc>
          <w:tcPr>
            <w:tcW w:w="3096" w:type="dxa"/>
            <w:tcBorders>
              <w:top w:val="single" w:sz="5" w:space="0" w:color="000000"/>
              <w:left w:val="single" w:sz="5" w:space="0" w:color="000000"/>
              <w:bottom w:val="single" w:sz="5" w:space="0" w:color="000000"/>
              <w:right w:val="single" w:sz="5" w:space="0" w:color="000000"/>
            </w:tcBorders>
          </w:tcPr>
          <w:p w14:paraId="28D8CF40"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5" w:space="0" w:color="000000"/>
              <w:bottom w:val="single" w:sz="5" w:space="0" w:color="000000"/>
              <w:right w:val="single" w:sz="5" w:space="0" w:color="000000"/>
            </w:tcBorders>
          </w:tcPr>
          <w:p w14:paraId="5A362199" w14:textId="5178C21D" w:rsidR="00130E8B" w:rsidRDefault="000405CC" w:rsidP="00545FC6">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w:t>
            </w:r>
            <w:r w:rsidR="00BE2389">
              <w:rPr>
                <w:rFonts w:ascii="Times New Roman" w:eastAsia="Times New Roman" w:hAnsi="Times New Roman" w:cs="Times New Roman"/>
                <w:b/>
                <w:bCs/>
                <w:spacing w:val="-1"/>
                <w:lang w:val="hu-HU"/>
              </w:rPr>
              <w:t xml:space="preserve"> </w:t>
            </w:r>
            <w:r>
              <w:rPr>
                <w:rFonts w:ascii="Times New Roman" w:eastAsia="Times New Roman" w:hAnsi="Times New Roman" w:cs="Times New Roman"/>
                <w:b/>
                <w:bCs/>
                <w:lang w:val="hu-HU"/>
              </w:rPr>
              <w:t>alkalmazni?</w:t>
            </w:r>
          </w:p>
        </w:tc>
        <w:tc>
          <w:tcPr>
            <w:tcW w:w="3096" w:type="dxa"/>
            <w:tcBorders>
              <w:top w:val="single" w:sz="5" w:space="0" w:color="000000"/>
              <w:left w:val="single" w:sz="5" w:space="0" w:color="000000"/>
              <w:bottom w:val="single" w:sz="5" w:space="0" w:color="000000"/>
              <w:right w:val="single" w:sz="5" w:space="0" w:color="000000"/>
            </w:tcBorders>
          </w:tcPr>
          <w:p w14:paraId="69B3C205" w14:textId="77777777" w:rsidR="00130E8B" w:rsidRDefault="000405CC">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130E8B" w14:paraId="612950CE" w14:textId="77777777">
        <w:tc>
          <w:tcPr>
            <w:tcW w:w="3096" w:type="dxa"/>
            <w:tcBorders>
              <w:top w:val="single" w:sz="5" w:space="0" w:color="000000"/>
              <w:left w:val="single" w:sz="5" w:space="0" w:color="000000"/>
              <w:bottom w:val="single" w:sz="5" w:space="0" w:color="000000"/>
              <w:right w:val="single" w:sz="5" w:space="0" w:color="000000"/>
            </w:tcBorders>
          </w:tcPr>
          <w:p w14:paraId="6BC4452B" w14:textId="77777777" w:rsidR="00130E8B" w:rsidRDefault="000405CC">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Felnőttek</w:t>
            </w:r>
          </w:p>
        </w:tc>
        <w:tc>
          <w:tcPr>
            <w:tcW w:w="3096" w:type="dxa"/>
            <w:tcBorders>
              <w:top w:val="single" w:sz="5" w:space="0" w:color="000000"/>
              <w:left w:val="single" w:sz="5" w:space="0" w:color="000000"/>
              <w:bottom w:val="single" w:sz="5" w:space="0" w:color="000000"/>
              <w:right w:val="single" w:sz="5" w:space="0" w:color="000000"/>
            </w:tcBorders>
          </w:tcPr>
          <w:p w14:paraId="477CF1DA" w14:textId="52CB03F8" w:rsidR="00130E8B" w:rsidRDefault="000405CC" w:rsidP="00545FC6">
            <w:pPr>
              <w:pStyle w:val="TableParagraph"/>
              <w:spacing w:line="249"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A kezdő adag 80 mg (két 40 mg-</w:t>
            </w:r>
            <w:r>
              <w:rPr>
                <w:rFonts w:ascii="Times New Roman" w:eastAsia="Times New Roman" w:hAnsi="Times New Roman" w:cs="Times New Roman"/>
                <w:spacing w:val="-1"/>
                <w:lang w:val="hu-HU"/>
              </w:rPr>
              <w:lastRenderedPageBreak/>
              <w:t>os</w:t>
            </w:r>
            <w:r w:rsidR="00BE2389">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 xml:space="preserve">injekcióegyetlen napon), majd 40 mg </w:t>
            </w:r>
            <w:r w:rsidR="00944244">
              <w:rPr>
                <w:rFonts w:ascii="Times New Roman" w:hAnsi="Times New Roman" w:cs="Times New Roman"/>
                <w:lang w:val="hu-HU"/>
              </w:rPr>
              <w:t>kéthetente</w:t>
            </w:r>
            <w:r>
              <w:rPr>
                <w:rFonts w:ascii="Times New Roman" w:eastAsia="Times New Roman" w:hAnsi="Times New Roman" w:cs="Times New Roman"/>
                <w:spacing w:val="-1"/>
                <w:lang w:val="hu-HU"/>
              </w:rPr>
              <w:t>,</w:t>
            </w:r>
            <w:r w:rsidR="00BE2389">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a kezdő</w:t>
            </w:r>
            <w:r w:rsidR="00BE2389">
              <w:rPr>
                <w:rFonts w:ascii="Times New Roman" w:eastAsia="Times New Roman" w:hAnsi="Times New Roman" w:cs="Times New Roman"/>
                <w:spacing w:val="-1"/>
                <w:lang w:val="hu-HU"/>
              </w:rPr>
              <w:t xml:space="preserve"> </w:t>
            </w:r>
            <w:r>
              <w:rPr>
                <w:rFonts w:ascii="Times New Roman" w:eastAsia="Times New Roman" w:hAnsi="Times New Roman" w:cs="Times New Roman"/>
                <w:lang w:val="hu-HU"/>
              </w:rPr>
              <w:t>adag után egy héttel indítva.</w:t>
            </w:r>
          </w:p>
        </w:tc>
        <w:tc>
          <w:tcPr>
            <w:tcW w:w="3096" w:type="dxa"/>
            <w:tcBorders>
              <w:top w:val="single" w:sz="5" w:space="0" w:color="000000"/>
              <w:left w:val="single" w:sz="5" w:space="0" w:color="000000"/>
              <w:bottom w:val="single" w:sz="5" w:space="0" w:color="000000"/>
              <w:right w:val="single" w:sz="5" w:space="0" w:color="000000"/>
            </w:tcBorders>
          </w:tcPr>
          <w:p w14:paraId="1F5700BA" w14:textId="77777777" w:rsidR="00130E8B" w:rsidRDefault="000405CC">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lastRenderedPageBreak/>
              <w:t xml:space="preserve">A Yuflyma alkalmazásával </w:t>
            </w:r>
            <w:r>
              <w:rPr>
                <w:rFonts w:ascii="Times New Roman" w:eastAsia="Times New Roman" w:hAnsi="Times New Roman" w:cs="Times New Roman"/>
                <w:spacing w:val="-1"/>
                <w:lang w:val="hu-HU"/>
              </w:rPr>
              <w:lastRenderedPageBreak/>
              <w:t>egyidejűleg kortikoszteroidok</w:t>
            </w:r>
          </w:p>
          <w:p w14:paraId="59AFCE32" w14:textId="7044F5D3" w:rsidR="00130E8B" w:rsidRDefault="000405CC" w:rsidP="00545FC6">
            <w:pPr>
              <w:pStyle w:val="TableParagraph"/>
              <w:spacing w:before="1" w:line="254" w:lineRule="exact"/>
              <w:ind w:left="102" w:right="76"/>
              <w:rPr>
                <w:rFonts w:ascii="Times New Roman" w:eastAsia="Times New Roman" w:hAnsi="Times New Roman" w:cs="Times New Roman"/>
                <w:lang w:val="hu-HU"/>
              </w:rPr>
            </w:pPr>
            <w:r>
              <w:rPr>
                <w:rFonts w:ascii="Times New Roman" w:eastAsia="Times New Roman" w:hAnsi="Times New Roman" w:cs="Times New Roman"/>
                <w:spacing w:val="-1"/>
                <w:lang w:val="hu-HU"/>
              </w:rPr>
              <w:t>vagy egyéb, az immunrendszer működését befolyásoló gyógyszerek alkalmazása folytatható.</w:t>
            </w:r>
          </w:p>
          <w:p w14:paraId="48863EF0" w14:textId="77777777" w:rsidR="00130E8B" w:rsidRDefault="000405CC">
            <w:pPr>
              <w:pStyle w:val="TableParagraph"/>
              <w:spacing w:before="1"/>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A Yuflyma önmagában is alkalmazható</w:t>
            </w:r>
          </w:p>
        </w:tc>
      </w:tr>
      <w:tr w:rsidR="00604DFB" w14:paraId="7755291E" w14:textId="77777777">
        <w:tc>
          <w:tcPr>
            <w:tcW w:w="3096" w:type="dxa"/>
            <w:tcBorders>
              <w:top w:val="single" w:sz="5" w:space="0" w:color="000000"/>
              <w:left w:val="single" w:sz="5" w:space="0" w:color="000000"/>
              <w:bottom w:val="single" w:sz="5" w:space="0" w:color="000000"/>
              <w:right w:val="single" w:sz="5" w:space="0" w:color="000000"/>
            </w:tcBorders>
          </w:tcPr>
          <w:p w14:paraId="19E3E26F" w14:textId="0DD5C0A1" w:rsidR="00604DFB" w:rsidRDefault="00604DFB" w:rsidP="00604DFB">
            <w:pPr>
              <w:pStyle w:val="TableParagraph"/>
              <w:spacing w:line="246" w:lineRule="exact"/>
              <w:ind w:left="102" w:right="57"/>
              <w:rPr>
                <w:rFonts w:ascii="Times New Roman" w:eastAsia="Times New Roman" w:hAnsi="Times New Roman" w:cs="Times New Roman"/>
                <w:spacing w:val="-1"/>
                <w:lang w:val="hu-HU"/>
              </w:rPr>
            </w:pPr>
            <w:r w:rsidRPr="00167BF3">
              <w:rPr>
                <w:rFonts w:ascii="Times New Roman" w:eastAsia="Times New Roman" w:hAnsi="Times New Roman" w:cs="Times New Roman"/>
                <w:spacing w:val="-1"/>
                <w:lang w:val="hu-HU"/>
              </w:rPr>
              <w:lastRenderedPageBreak/>
              <w:t>2 éves kor feletti, 30 kg-nál kisebb testtömegű gyermekek és serdülők</w:t>
            </w:r>
          </w:p>
        </w:tc>
        <w:tc>
          <w:tcPr>
            <w:tcW w:w="3096" w:type="dxa"/>
            <w:tcBorders>
              <w:top w:val="single" w:sz="5" w:space="0" w:color="000000"/>
              <w:left w:val="single" w:sz="5" w:space="0" w:color="000000"/>
              <w:bottom w:val="single" w:sz="5" w:space="0" w:color="000000"/>
              <w:right w:val="single" w:sz="5" w:space="0" w:color="000000"/>
            </w:tcBorders>
          </w:tcPr>
          <w:p w14:paraId="567280BC" w14:textId="5ADAF853" w:rsidR="00604DFB" w:rsidRPr="00167BF3" w:rsidRDefault="00604DFB" w:rsidP="00604DFB">
            <w:pPr>
              <w:pStyle w:val="TableParagraph"/>
              <w:spacing w:line="246" w:lineRule="exact"/>
              <w:ind w:left="102" w:right="57"/>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20</w:t>
            </w:r>
            <w:r w:rsidRPr="00167BF3">
              <w:rPr>
                <w:rFonts w:ascii="Times New Roman" w:eastAsia="Times New Roman" w:hAnsi="Times New Roman" w:cs="Times New Roman"/>
                <w:spacing w:val="-1"/>
                <w:lang w:val="hu-HU"/>
              </w:rPr>
              <w:t xml:space="preserve"> mg kéthetente</w:t>
            </w:r>
          </w:p>
        </w:tc>
        <w:tc>
          <w:tcPr>
            <w:tcW w:w="3096" w:type="dxa"/>
            <w:tcBorders>
              <w:top w:val="single" w:sz="5" w:space="0" w:color="000000"/>
              <w:left w:val="single" w:sz="5" w:space="0" w:color="000000"/>
              <w:bottom w:val="single" w:sz="5" w:space="0" w:color="000000"/>
              <w:right w:val="single" w:sz="5" w:space="0" w:color="000000"/>
            </w:tcBorders>
          </w:tcPr>
          <w:p w14:paraId="01C17FEC" w14:textId="417E483B" w:rsidR="00604DFB" w:rsidRDefault="00604DFB" w:rsidP="00604DFB">
            <w:pPr>
              <w:pStyle w:val="TableParagraph"/>
              <w:spacing w:line="246" w:lineRule="exact"/>
              <w:ind w:left="102" w:right="57"/>
              <w:rPr>
                <w:rFonts w:ascii="Times New Roman" w:eastAsia="Times New Roman" w:hAnsi="Times New Roman" w:cs="Times New Roman"/>
                <w:spacing w:val="-1"/>
                <w:lang w:val="hu-HU"/>
              </w:rPr>
            </w:pPr>
            <w:r w:rsidRPr="00167BF3">
              <w:rPr>
                <w:rFonts w:ascii="Times New Roman" w:eastAsia="Times New Roman" w:hAnsi="Times New Roman" w:cs="Times New Roman"/>
                <w:spacing w:val="-1"/>
                <w:lang w:val="hu-HU"/>
              </w:rPr>
              <w:t xml:space="preserve">Kezelőorvosa egy 40 mg-os kezdő dózist is felírhat, melyet egy héttel a szokásos, kéthetente 20 mg-os adagolás megkezdése előtt kell beadni. A </w:t>
            </w:r>
            <w:r w:rsidR="00151C9A">
              <w:rPr>
                <w:rFonts w:ascii="Times New Roman" w:eastAsia="Times New Roman" w:hAnsi="Times New Roman" w:cs="Times New Roman"/>
                <w:spacing w:val="-1"/>
                <w:lang w:val="hu-HU"/>
              </w:rPr>
              <w:t>Yuflyma</w:t>
            </w:r>
            <w:r w:rsidRPr="00167BF3">
              <w:rPr>
                <w:rFonts w:ascii="Times New Roman" w:eastAsia="Times New Roman" w:hAnsi="Times New Roman" w:cs="Times New Roman"/>
                <w:spacing w:val="-1"/>
                <w:lang w:val="hu-HU"/>
              </w:rPr>
              <w:t>-t metotrexáttal kombinálva javasolt alkalmazni.</w:t>
            </w:r>
          </w:p>
        </w:tc>
      </w:tr>
      <w:tr w:rsidR="00604DFB" w14:paraId="2569BDFA" w14:textId="77777777">
        <w:tc>
          <w:tcPr>
            <w:tcW w:w="3096" w:type="dxa"/>
            <w:tcBorders>
              <w:top w:val="single" w:sz="5" w:space="0" w:color="000000"/>
              <w:left w:val="single" w:sz="5" w:space="0" w:color="000000"/>
              <w:bottom w:val="single" w:sz="5" w:space="0" w:color="000000"/>
              <w:right w:val="single" w:sz="5" w:space="0" w:color="000000"/>
            </w:tcBorders>
          </w:tcPr>
          <w:p w14:paraId="090DE3F4" w14:textId="77777777" w:rsidR="00604DFB" w:rsidRDefault="00604DFB" w:rsidP="00604DFB">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Gyermekek és serdülők</w:t>
            </w:r>
          </w:p>
          <w:p w14:paraId="74EEB771" w14:textId="77777777" w:rsidR="00604DFB" w:rsidRDefault="00604DFB" w:rsidP="00604DFB">
            <w:pPr>
              <w:pStyle w:val="TableParagraph"/>
              <w:spacing w:before="1" w:line="254" w:lineRule="exact"/>
              <w:ind w:left="102" w:right="168"/>
              <w:rPr>
                <w:rFonts w:ascii="Times New Roman" w:eastAsia="Times New Roman" w:hAnsi="Times New Roman" w:cs="Times New Roman"/>
                <w:lang w:val="hu-HU"/>
              </w:rPr>
            </w:pPr>
            <w:r>
              <w:rPr>
                <w:rFonts w:ascii="Times New Roman" w:eastAsia="Times New Roman" w:hAnsi="Times New Roman" w:cs="Times New Roman"/>
                <w:lang w:val="hu-HU"/>
              </w:rPr>
              <w:t>akik legalább 2 évesek, a testsúlyuk legalább 30 kg</w:t>
            </w:r>
          </w:p>
        </w:tc>
        <w:tc>
          <w:tcPr>
            <w:tcW w:w="3096" w:type="dxa"/>
            <w:tcBorders>
              <w:top w:val="single" w:sz="5" w:space="0" w:color="000000"/>
              <w:left w:val="single" w:sz="5" w:space="0" w:color="000000"/>
              <w:bottom w:val="single" w:sz="5" w:space="0" w:color="000000"/>
              <w:right w:val="single" w:sz="5" w:space="0" w:color="000000"/>
            </w:tcBorders>
          </w:tcPr>
          <w:p w14:paraId="050065E9" w14:textId="77777777" w:rsidR="00604DFB" w:rsidRDefault="00604DFB" w:rsidP="00604DFB">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lang w:val="hu-HU"/>
              </w:rPr>
              <w:t>40 mg kéthetente</w:t>
            </w:r>
          </w:p>
        </w:tc>
        <w:tc>
          <w:tcPr>
            <w:tcW w:w="3096" w:type="dxa"/>
            <w:tcBorders>
              <w:top w:val="single" w:sz="5" w:space="0" w:color="000000"/>
              <w:left w:val="single" w:sz="5" w:space="0" w:color="000000"/>
              <w:bottom w:val="single" w:sz="5" w:space="0" w:color="000000"/>
              <w:right w:val="single" w:sz="5" w:space="0" w:color="000000"/>
            </w:tcBorders>
          </w:tcPr>
          <w:p w14:paraId="63E6B990" w14:textId="40A23AB6" w:rsidR="00604DFB" w:rsidRDefault="00604DFB" w:rsidP="00604DFB">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Kezelőorvosa egy 80 mg-os kezdő dózist is felírhat, melyet egy héttel a szokásos </w:t>
            </w:r>
            <w:r>
              <w:rPr>
                <w:rFonts w:ascii="Times New Roman" w:eastAsia="Times New Roman" w:hAnsi="Times New Roman" w:cs="Times New Roman"/>
                <w:lang w:val="hu-HU"/>
              </w:rPr>
              <w:t>kéthetente 40 mg-os adagolás megkezdése előtt kell beadni. A Yuflyma használata a metotrexáttal együtt javasolt.</w:t>
            </w:r>
          </w:p>
        </w:tc>
      </w:tr>
    </w:tbl>
    <w:p w14:paraId="64A9F28A" w14:textId="77777777" w:rsidR="00130E8B" w:rsidRDefault="00130E8B">
      <w:pPr>
        <w:pStyle w:val="a3"/>
        <w:rPr>
          <w:lang w:val="hu-HU"/>
        </w:rPr>
      </w:pPr>
    </w:p>
    <w:p w14:paraId="66CA865A" w14:textId="77777777" w:rsidR="00130E8B" w:rsidRDefault="000405CC">
      <w:pPr>
        <w:pStyle w:val="a3"/>
        <w:rPr>
          <w:b/>
          <w:lang w:val="hu-HU"/>
        </w:rPr>
      </w:pPr>
      <w:r>
        <w:rPr>
          <w:rFonts w:eastAsia="Times New Roman"/>
          <w:b/>
          <w:bCs/>
          <w:lang w:val="hu-HU"/>
        </w:rPr>
        <w:t>Az alkalmazással kapcsolatos tudnivalók és az alkalmazás módja</w:t>
      </w:r>
    </w:p>
    <w:p w14:paraId="02910BF5" w14:textId="77777777" w:rsidR="00130E8B" w:rsidRDefault="00130E8B">
      <w:pPr>
        <w:spacing w:before="9" w:line="240" w:lineRule="exact"/>
        <w:rPr>
          <w:sz w:val="24"/>
          <w:szCs w:val="24"/>
          <w:lang w:val="hu-HU"/>
        </w:rPr>
      </w:pPr>
    </w:p>
    <w:p w14:paraId="118460A4" w14:textId="77777777" w:rsidR="00130E8B" w:rsidRDefault="000405CC">
      <w:pPr>
        <w:pStyle w:val="a3"/>
        <w:rPr>
          <w:lang w:val="hu-HU"/>
        </w:rPr>
      </w:pPr>
      <w:r>
        <w:rPr>
          <w:rFonts w:eastAsia="Times New Roman"/>
          <w:lang w:val="hu-HU"/>
        </w:rPr>
        <w:t>A Yuflyma injekciót a bőr alá (szubkután injekció formájában) kell beadni.</w:t>
      </w:r>
    </w:p>
    <w:p w14:paraId="1E7C349F" w14:textId="77777777" w:rsidR="00130E8B" w:rsidRDefault="00130E8B">
      <w:pPr>
        <w:spacing w:before="18" w:line="240" w:lineRule="exact"/>
        <w:rPr>
          <w:sz w:val="24"/>
          <w:szCs w:val="24"/>
          <w:lang w:val="hu-HU"/>
        </w:rPr>
      </w:pPr>
    </w:p>
    <w:p w14:paraId="1DFB755B" w14:textId="300F7A49" w:rsidR="00130E8B" w:rsidRDefault="000405CC">
      <w:pPr>
        <w:pStyle w:val="a3"/>
        <w:rPr>
          <w:rFonts w:eastAsia="Times New Roman"/>
          <w:b/>
          <w:bCs/>
          <w:lang w:val="hu-HU"/>
        </w:rPr>
      </w:pPr>
      <w:r>
        <w:rPr>
          <w:rFonts w:eastAsia="Times New Roman"/>
          <w:b/>
          <w:bCs/>
          <w:lang w:val="hu-HU"/>
        </w:rPr>
        <w:t>A Yuflyma injekció beadásával kapcsolatos részletes útmutatás a 7</w:t>
      </w:r>
      <w:r w:rsidR="00C4148F">
        <w:rPr>
          <w:rFonts w:eastAsia="Times New Roman"/>
          <w:b/>
          <w:bCs/>
          <w:lang w:val="hu-HU"/>
        </w:rPr>
        <w:t>.</w:t>
      </w:r>
      <w:r w:rsidR="00992BD3">
        <w:rPr>
          <w:rFonts w:eastAsia="Times New Roman"/>
          <w:b/>
          <w:bCs/>
          <w:lang w:val="hu-HU"/>
        </w:rPr>
        <w:t xml:space="preserve"> </w:t>
      </w:r>
      <w:r w:rsidR="00C4148F" w:rsidRPr="004C5B28">
        <w:rPr>
          <w:rStyle w:val="ui-provider"/>
          <w:b/>
          <w:bCs/>
          <w:lang w:val="hu-HU"/>
        </w:rPr>
        <w:t>“</w:t>
      </w:r>
      <w:r w:rsidR="00992BD3" w:rsidRPr="00992BD3">
        <w:rPr>
          <w:rFonts w:eastAsia="Times New Roman"/>
          <w:b/>
          <w:bCs/>
          <w:lang w:val="hu-HU"/>
        </w:rPr>
        <w:t>Használati utasítás</w:t>
      </w:r>
      <w:r w:rsidR="00C4148F">
        <w:rPr>
          <w:rFonts w:eastAsia="Times New Roman"/>
          <w:b/>
          <w:bCs/>
          <w:lang w:val="hu-HU"/>
        </w:rPr>
        <w:t>”</w:t>
      </w:r>
      <w:r>
        <w:rPr>
          <w:rFonts w:eastAsia="Times New Roman"/>
          <w:b/>
          <w:bCs/>
          <w:lang w:val="hu-HU"/>
        </w:rPr>
        <w:t xml:space="preserve"> című pontban található</w:t>
      </w:r>
    </w:p>
    <w:p w14:paraId="52D1E35F" w14:textId="77777777" w:rsidR="00130E8B" w:rsidRDefault="00130E8B">
      <w:pPr>
        <w:pStyle w:val="a3"/>
        <w:rPr>
          <w:b/>
          <w:lang w:val="hu-HU"/>
        </w:rPr>
      </w:pPr>
    </w:p>
    <w:p w14:paraId="590CA002" w14:textId="77777777" w:rsidR="00130E8B" w:rsidRDefault="000405CC">
      <w:pPr>
        <w:pStyle w:val="a3"/>
        <w:rPr>
          <w:b/>
          <w:lang w:val="hu-HU"/>
        </w:rPr>
      </w:pPr>
      <w:r>
        <w:rPr>
          <w:rFonts w:eastAsia="Times New Roman"/>
          <w:b/>
          <w:bCs/>
          <w:lang w:val="hu-HU"/>
        </w:rPr>
        <w:t>Ha az előírtnál több Yuflyma-t alkalmazott</w:t>
      </w:r>
    </w:p>
    <w:p w14:paraId="5463472A" w14:textId="77777777" w:rsidR="00130E8B" w:rsidRDefault="00130E8B">
      <w:pPr>
        <w:pStyle w:val="a3"/>
        <w:rPr>
          <w:lang w:val="hu-HU"/>
        </w:rPr>
      </w:pPr>
    </w:p>
    <w:p w14:paraId="7FADF94F" w14:textId="5CD3158A" w:rsidR="00130E8B" w:rsidRDefault="000405CC">
      <w:pPr>
        <w:pStyle w:val="a3"/>
        <w:rPr>
          <w:lang w:val="hu-HU"/>
        </w:rPr>
      </w:pPr>
      <w:r>
        <w:rPr>
          <w:rFonts w:eastAsia="Times New Roman"/>
          <w:lang w:val="hu-HU"/>
        </w:rPr>
        <w:t>Ha véletlenül a kezelőorvosa vagy gyógyszerésze által előírtnál gyakrabban alkalmazta a Yuflyma-t, azonnal beszéljen kezelőorvosával vagy gyógyszerészével Őrizze meg a külső csomagolást, abban az esetben is, ha üres.</w:t>
      </w:r>
    </w:p>
    <w:p w14:paraId="504250D9" w14:textId="77777777" w:rsidR="00130E8B" w:rsidRDefault="00130E8B">
      <w:pPr>
        <w:spacing w:before="18" w:line="240" w:lineRule="exact"/>
        <w:rPr>
          <w:b/>
          <w:sz w:val="24"/>
          <w:szCs w:val="24"/>
          <w:lang w:val="hu-HU"/>
        </w:rPr>
      </w:pPr>
    </w:p>
    <w:p w14:paraId="1B246622" w14:textId="77777777" w:rsidR="00130E8B" w:rsidRDefault="000405CC">
      <w:pPr>
        <w:pStyle w:val="a3"/>
        <w:rPr>
          <w:b/>
          <w:lang w:val="hu-HU"/>
        </w:rPr>
      </w:pPr>
      <w:r>
        <w:rPr>
          <w:rFonts w:eastAsia="Times New Roman"/>
          <w:b/>
          <w:bCs/>
          <w:lang w:val="hu-HU"/>
        </w:rPr>
        <w:t>Ha elfelejtette alkalmazni a Yuflyma-t</w:t>
      </w:r>
    </w:p>
    <w:p w14:paraId="5E6EDCE6" w14:textId="77777777" w:rsidR="00130E8B" w:rsidRDefault="00130E8B">
      <w:pPr>
        <w:spacing w:before="9" w:line="240" w:lineRule="exact"/>
        <w:rPr>
          <w:sz w:val="24"/>
          <w:szCs w:val="24"/>
          <w:lang w:val="hu-HU"/>
        </w:rPr>
      </w:pPr>
    </w:p>
    <w:p w14:paraId="5E1D4662" w14:textId="77777777" w:rsidR="00130E8B" w:rsidRDefault="000405CC">
      <w:pPr>
        <w:pStyle w:val="a3"/>
        <w:rPr>
          <w:lang w:val="hu-HU"/>
        </w:rPr>
      </w:pPr>
      <w:r>
        <w:rPr>
          <w:rFonts w:eastAsia="Times New Roman"/>
          <w:lang w:val="hu-HU"/>
        </w:rPr>
        <w:t>Ha elfelejtette beadni az injekciót, adja be a következő Yuflyma adagot rögtön, amikor eszébe jutott. A következő adagot az eredeti kezelési terv alapján meghatározott napon alkalmazza, úgy mintha az előző adagot az előírás szerinti időpontban adta volna be.</w:t>
      </w:r>
    </w:p>
    <w:p w14:paraId="24220DD9" w14:textId="77777777" w:rsidR="00130E8B" w:rsidRDefault="00130E8B">
      <w:pPr>
        <w:spacing w:before="18" w:line="240" w:lineRule="exact"/>
        <w:rPr>
          <w:sz w:val="24"/>
          <w:szCs w:val="24"/>
          <w:lang w:val="hu-HU"/>
        </w:rPr>
      </w:pPr>
    </w:p>
    <w:p w14:paraId="4979F50E" w14:textId="77777777" w:rsidR="00130E8B" w:rsidRDefault="000405CC">
      <w:pPr>
        <w:pStyle w:val="a3"/>
        <w:rPr>
          <w:b/>
          <w:lang w:val="hu-HU"/>
        </w:rPr>
      </w:pPr>
      <w:r>
        <w:rPr>
          <w:rFonts w:eastAsia="Times New Roman"/>
          <w:b/>
          <w:bCs/>
          <w:lang w:val="hu-HU"/>
        </w:rPr>
        <w:t>Ha idő előtt abbahagyja a Yuflyma alkalmazását</w:t>
      </w:r>
    </w:p>
    <w:p w14:paraId="66BAEEE7" w14:textId="77777777" w:rsidR="00130E8B" w:rsidRDefault="00130E8B">
      <w:pPr>
        <w:spacing w:before="6" w:line="240" w:lineRule="exact"/>
        <w:rPr>
          <w:sz w:val="24"/>
          <w:szCs w:val="24"/>
          <w:lang w:val="hu-HU"/>
        </w:rPr>
      </w:pPr>
    </w:p>
    <w:p w14:paraId="2C6C0570" w14:textId="77777777" w:rsidR="00130E8B" w:rsidRDefault="000405CC">
      <w:pPr>
        <w:pStyle w:val="a3"/>
        <w:rPr>
          <w:lang w:val="hu-HU"/>
        </w:rPr>
      </w:pPr>
      <w:r>
        <w:rPr>
          <w:rFonts w:eastAsia="Times New Roman"/>
          <w:lang w:val="hu-HU"/>
        </w:rPr>
        <w:t>A döntés, hogy hagyja abba a Yuflyma alkalmazását, meg kell beszélni a kezelőorvosával. Tünetei visszatérhetnek, ha abbahagyja a Yuflyma alkalmazását.</w:t>
      </w:r>
    </w:p>
    <w:p w14:paraId="47195448" w14:textId="77777777" w:rsidR="00130E8B" w:rsidRDefault="00130E8B">
      <w:pPr>
        <w:spacing w:before="12" w:line="240" w:lineRule="exact"/>
        <w:rPr>
          <w:sz w:val="24"/>
          <w:szCs w:val="24"/>
          <w:lang w:val="hu-HU"/>
        </w:rPr>
      </w:pPr>
    </w:p>
    <w:p w14:paraId="31C329A5" w14:textId="77777777" w:rsidR="00130E8B" w:rsidRDefault="000405CC">
      <w:pPr>
        <w:pStyle w:val="a3"/>
        <w:rPr>
          <w:lang w:val="hu-HU"/>
        </w:rPr>
      </w:pPr>
      <w:r>
        <w:rPr>
          <w:rFonts w:eastAsia="Times New Roman"/>
          <w:lang w:val="hu-HU"/>
        </w:rPr>
        <w:t>Ha bármilyen további kérdése van a gyógyszer alkalmazásával kapcsolatban, kérdezze meg kezelőorvosát vagy gyógyszerészét.</w:t>
      </w:r>
    </w:p>
    <w:p w14:paraId="27217077" w14:textId="77777777" w:rsidR="00130E8B" w:rsidRDefault="00130E8B">
      <w:pPr>
        <w:spacing w:line="110" w:lineRule="exact"/>
        <w:rPr>
          <w:sz w:val="11"/>
          <w:szCs w:val="11"/>
          <w:lang w:val="hu-HU"/>
        </w:rPr>
      </w:pPr>
    </w:p>
    <w:p w14:paraId="48E450AF" w14:textId="77777777" w:rsidR="00130E8B" w:rsidRDefault="00130E8B">
      <w:pPr>
        <w:spacing w:line="200" w:lineRule="exact"/>
        <w:rPr>
          <w:sz w:val="20"/>
          <w:szCs w:val="20"/>
          <w:lang w:val="hu-HU"/>
        </w:rPr>
      </w:pPr>
    </w:p>
    <w:p w14:paraId="79F8200A" w14:textId="77777777" w:rsidR="00130E8B" w:rsidRDefault="00130E8B">
      <w:pPr>
        <w:spacing w:line="200" w:lineRule="exact"/>
        <w:rPr>
          <w:sz w:val="20"/>
          <w:szCs w:val="20"/>
          <w:lang w:val="hu-HU"/>
        </w:rPr>
      </w:pPr>
    </w:p>
    <w:p w14:paraId="3EF21100" w14:textId="77777777" w:rsidR="00130E8B" w:rsidRDefault="000405CC">
      <w:pPr>
        <w:pStyle w:val="a4"/>
        <w:numPr>
          <w:ilvl w:val="0"/>
          <w:numId w:val="37"/>
        </w:numPr>
        <w:spacing w:line="240" w:lineRule="exact"/>
        <w:ind w:hanging="468"/>
        <w:rPr>
          <w:rFonts w:ascii="Times New Roman" w:hAnsi="Times New Roman" w:cs="Times New Roman"/>
          <w:b/>
          <w:lang w:val="hu-HU"/>
        </w:rPr>
      </w:pPr>
      <w:r>
        <w:rPr>
          <w:rFonts w:ascii="Times New Roman" w:eastAsia="Times New Roman" w:hAnsi="Times New Roman" w:cs="Times New Roman"/>
          <w:b/>
          <w:bCs/>
          <w:lang w:val="hu-HU"/>
        </w:rPr>
        <w:t>Lehetséges mellékhatások</w:t>
      </w:r>
    </w:p>
    <w:p w14:paraId="67830018" w14:textId="77777777" w:rsidR="00130E8B" w:rsidRDefault="00130E8B">
      <w:pPr>
        <w:spacing w:before="12" w:line="240" w:lineRule="exact"/>
        <w:rPr>
          <w:sz w:val="24"/>
          <w:szCs w:val="24"/>
          <w:lang w:val="hu-HU"/>
        </w:rPr>
      </w:pPr>
    </w:p>
    <w:p w14:paraId="27A7836B" w14:textId="77777777" w:rsidR="00130E8B" w:rsidRDefault="000405CC">
      <w:pPr>
        <w:pStyle w:val="a3"/>
        <w:rPr>
          <w:lang w:val="hu-HU"/>
        </w:rPr>
      </w:pPr>
      <w:r>
        <w:rPr>
          <w:rFonts w:eastAsia="Times New Roman"/>
          <w:lang w:val="hu-HU"/>
        </w:rPr>
        <w:t xml:space="preserve">Mint minden gyógyszer, így ez a gyógyszer is okozhat mellékhatásokat, amelyek azonban nem mindenkinél jelentkeznek. A legtöbb mellékhatás enyhe vagy közepes fokú. Néhány esetben kezelést igénylő, súlyos </w:t>
      </w:r>
      <w:r>
        <w:rPr>
          <w:rFonts w:eastAsia="Times New Roman"/>
          <w:lang w:val="hu-HU"/>
        </w:rPr>
        <w:lastRenderedPageBreak/>
        <w:t>mellékhatás is előfordulhat. Mellékhatások az utolsó Yuflyma injekciótkövetően legalább 4 hónapig még bekövetkezhetnek.</w:t>
      </w:r>
    </w:p>
    <w:p w14:paraId="60696C85" w14:textId="77777777" w:rsidR="00130E8B" w:rsidRDefault="00130E8B">
      <w:pPr>
        <w:spacing w:before="15" w:line="240" w:lineRule="exact"/>
        <w:rPr>
          <w:sz w:val="24"/>
          <w:szCs w:val="24"/>
          <w:lang w:val="hu-HU"/>
        </w:rPr>
      </w:pPr>
    </w:p>
    <w:p w14:paraId="4775238D" w14:textId="77777777" w:rsidR="00130E8B" w:rsidRDefault="000405CC">
      <w:pPr>
        <w:pStyle w:val="a3"/>
        <w:rPr>
          <w:b/>
          <w:lang w:val="hu-HU"/>
        </w:rPr>
      </w:pPr>
      <w:r>
        <w:rPr>
          <w:rFonts w:eastAsia="Times New Roman"/>
          <w:b/>
          <w:bCs/>
          <w:lang w:val="hu-HU"/>
        </w:rPr>
        <w:t>Közölje azonnal kezelőorvosával, ha az alábbiak közül bármit észlel</w:t>
      </w:r>
    </w:p>
    <w:p w14:paraId="73E1AE03" w14:textId="77777777" w:rsidR="00130E8B" w:rsidRDefault="00130E8B">
      <w:pPr>
        <w:spacing w:before="10" w:line="240" w:lineRule="exact"/>
        <w:rPr>
          <w:sz w:val="24"/>
          <w:szCs w:val="24"/>
          <w:lang w:val="hu-HU"/>
        </w:rPr>
      </w:pPr>
    </w:p>
    <w:p w14:paraId="33DDA878" w14:textId="77777777" w:rsidR="00130E8B" w:rsidRDefault="000405CC">
      <w:pPr>
        <w:pStyle w:val="a3"/>
        <w:numPr>
          <w:ilvl w:val="0"/>
          <w:numId w:val="15"/>
        </w:numPr>
        <w:ind w:left="660" w:hanging="660"/>
        <w:rPr>
          <w:lang w:val="hu-HU"/>
        </w:rPr>
      </w:pPr>
      <w:r>
        <w:rPr>
          <w:rFonts w:eastAsia="Times New Roman"/>
          <w:lang w:val="hu-HU"/>
        </w:rPr>
        <w:t xml:space="preserve">súlyos </w:t>
      </w:r>
      <w:r w:rsidR="000C6F40">
        <w:rPr>
          <w:rFonts w:eastAsia="Times New Roman"/>
          <w:lang w:val="hu-HU"/>
        </w:rPr>
        <w:t>bőr</w:t>
      </w:r>
      <w:r>
        <w:rPr>
          <w:rFonts w:eastAsia="Times New Roman"/>
          <w:lang w:val="hu-HU"/>
        </w:rPr>
        <w:t>kiütés, csalánkiütés vagy más allergiára utaló tünet</w:t>
      </w:r>
    </w:p>
    <w:p w14:paraId="5994D557" w14:textId="431EFF4F" w:rsidR="00130E8B" w:rsidRDefault="000405CC">
      <w:pPr>
        <w:pStyle w:val="a3"/>
        <w:numPr>
          <w:ilvl w:val="0"/>
          <w:numId w:val="15"/>
        </w:numPr>
        <w:ind w:left="660" w:hanging="660"/>
        <w:rPr>
          <w:lang w:val="hu-HU"/>
        </w:rPr>
      </w:pPr>
      <w:r>
        <w:rPr>
          <w:rFonts w:eastAsia="Times New Roman"/>
          <w:lang w:val="hu-HU"/>
        </w:rPr>
        <w:t xml:space="preserve">duzzanat az arcon, </w:t>
      </w:r>
      <w:proofErr w:type="spellStart"/>
      <w:r w:rsidR="004A530C" w:rsidRPr="00167BF3">
        <w:rPr>
          <w:lang w:val="es-ES"/>
        </w:rPr>
        <w:t>kézen</w:t>
      </w:r>
      <w:proofErr w:type="spellEnd"/>
      <w:r w:rsidR="004A530C" w:rsidRPr="00167BF3">
        <w:rPr>
          <w:lang w:val="es-ES"/>
        </w:rPr>
        <w:t xml:space="preserve"> </w:t>
      </w:r>
      <w:proofErr w:type="spellStart"/>
      <w:r w:rsidR="004A530C" w:rsidRPr="00167BF3">
        <w:rPr>
          <w:lang w:val="es-ES"/>
        </w:rPr>
        <w:t>vagy</w:t>
      </w:r>
      <w:proofErr w:type="spellEnd"/>
      <w:r w:rsidR="004A530C" w:rsidRPr="00167BF3">
        <w:rPr>
          <w:lang w:val="es-ES"/>
        </w:rPr>
        <w:t xml:space="preserve"> </w:t>
      </w:r>
      <w:proofErr w:type="spellStart"/>
      <w:r w:rsidR="004A530C" w:rsidRPr="00167BF3">
        <w:rPr>
          <w:lang w:val="es-ES"/>
        </w:rPr>
        <w:t>lábon</w:t>
      </w:r>
      <w:proofErr w:type="spellEnd"/>
    </w:p>
    <w:p w14:paraId="3DC94AF7" w14:textId="77777777" w:rsidR="00130E8B" w:rsidRDefault="000405CC">
      <w:pPr>
        <w:pStyle w:val="a3"/>
        <w:numPr>
          <w:ilvl w:val="0"/>
          <w:numId w:val="15"/>
        </w:numPr>
        <w:ind w:left="660" w:hanging="660"/>
        <w:rPr>
          <w:lang w:val="hu-HU"/>
        </w:rPr>
      </w:pPr>
      <w:r>
        <w:rPr>
          <w:rFonts w:eastAsia="Times New Roman"/>
          <w:lang w:val="hu-HU"/>
        </w:rPr>
        <w:t>nehézlégzés vagy nehézség a nyelés során</w:t>
      </w:r>
    </w:p>
    <w:p w14:paraId="6E4DAFD5" w14:textId="77777777" w:rsidR="00130E8B" w:rsidRDefault="000405CC">
      <w:pPr>
        <w:pStyle w:val="a3"/>
        <w:numPr>
          <w:ilvl w:val="0"/>
          <w:numId w:val="15"/>
        </w:numPr>
        <w:ind w:left="660" w:hanging="660"/>
        <w:rPr>
          <w:lang w:val="hu-HU"/>
        </w:rPr>
      </w:pPr>
      <w:r>
        <w:rPr>
          <w:rFonts w:eastAsia="Times New Roman"/>
          <w:lang w:val="hu-HU"/>
        </w:rPr>
        <w:t>megerőltetéskor vagy lefekvéskor jelentkező nehézlégzés, vagy lábdagadás</w:t>
      </w:r>
    </w:p>
    <w:p w14:paraId="355F70DF" w14:textId="77777777" w:rsidR="00130E8B" w:rsidRDefault="00130E8B">
      <w:pPr>
        <w:spacing w:before="15" w:line="240" w:lineRule="exact"/>
        <w:rPr>
          <w:sz w:val="24"/>
          <w:szCs w:val="24"/>
          <w:lang w:val="hu-HU"/>
        </w:rPr>
      </w:pPr>
    </w:p>
    <w:p w14:paraId="2979E378" w14:textId="77777777" w:rsidR="00130E8B" w:rsidRDefault="000405CC">
      <w:pPr>
        <w:pStyle w:val="a3"/>
        <w:rPr>
          <w:b/>
          <w:lang w:val="hu-HU"/>
        </w:rPr>
      </w:pPr>
      <w:r>
        <w:rPr>
          <w:rFonts w:eastAsia="Times New Roman"/>
          <w:b/>
          <w:bCs/>
          <w:lang w:val="hu-HU"/>
        </w:rPr>
        <w:t>Közölje kezelőorvosával amint lehetséges, ha az alábbiak közül bármit észlel</w:t>
      </w:r>
    </w:p>
    <w:p w14:paraId="44183EDF" w14:textId="77777777" w:rsidR="00130E8B" w:rsidRDefault="00130E8B">
      <w:pPr>
        <w:spacing w:before="10" w:line="240" w:lineRule="exact"/>
        <w:rPr>
          <w:sz w:val="24"/>
          <w:szCs w:val="24"/>
          <w:lang w:val="hu-HU"/>
        </w:rPr>
      </w:pPr>
    </w:p>
    <w:p w14:paraId="7130C767" w14:textId="77777777" w:rsidR="00130E8B" w:rsidRDefault="000405CC">
      <w:pPr>
        <w:pStyle w:val="a3"/>
        <w:numPr>
          <w:ilvl w:val="0"/>
          <w:numId w:val="15"/>
        </w:numPr>
        <w:ind w:left="660" w:hanging="660"/>
        <w:rPr>
          <w:lang w:val="hu-HU"/>
        </w:rPr>
      </w:pPr>
      <w:r>
        <w:rPr>
          <w:rFonts w:eastAsia="Times New Roman"/>
          <w:lang w:val="hu-HU"/>
        </w:rPr>
        <w:t>fertőzésre utaló tünet, mint láz, gyengeség, sebek, fogászati problémák, vizeléskor jelentkező égő érzés</w:t>
      </w:r>
    </w:p>
    <w:p w14:paraId="775EA4D0" w14:textId="77777777" w:rsidR="00130E8B" w:rsidRDefault="000405CC">
      <w:pPr>
        <w:pStyle w:val="a3"/>
        <w:numPr>
          <w:ilvl w:val="0"/>
          <w:numId w:val="15"/>
        </w:numPr>
        <w:ind w:left="660" w:hanging="660"/>
        <w:rPr>
          <w:lang w:val="hu-HU"/>
        </w:rPr>
      </w:pPr>
      <w:r>
        <w:rPr>
          <w:rFonts w:eastAsia="Times New Roman"/>
          <w:lang w:val="hu-HU"/>
        </w:rPr>
        <w:t>gyengeség vagy fáradtságérzés</w:t>
      </w:r>
    </w:p>
    <w:p w14:paraId="04E5BD12" w14:textId="77777777" w:rsidR="00130E8B" w:rsidRDefault="000405CC">
      <w:pPr>
        <w:pStyle w:val="a3"/>
        <w:numPr>
          <w:ilvl w:val="0"/>
          <w:numId w:val="15"/>
        </w:numPr>
        <w:ind w:left="660" w:hanging="660"/>
        <w:rPr>
          <w:lang w:val="hu-HU"/>
        </w:rPr>
      </w:pPr>
      <w:r>
        <w:rPr>
          <w:rFonts w:eastAsia="Times New Roman"/>
          <w:lang w:val="hu-HU"/>
        </w:rPr>
        <w:t>köhögés</w:t>
      </w:r>
    </w:p>
    <w:p w14:paraId="7C93189A" w14:textId="77777777" w:rsidR="00130E8B" w:rsidRDefault="000405CC">
      <w:pPr>
        <w:pStyle w:val="a3"/>
        <w:numPr>
          <w:ilvl w:val="0"/>
          <w:numId w:val="15"/>
        </w:numPr>
        <w:ind w:left="660" w:hanging="660"/>
        <w:rPr>
          <w:lang w:val="hu-HU"/>
        </w:rPr>
      </w:pPr>
      <w:r>
        <w:rPr>
          <w:rFonts w:eastAsia="Times New Roman"/>
          <w:lang w:val="hu-HU"/>
        </w:rPr>
        <w:t>fülzúgás</w:t>
      </w:r>
    </w:p>
    <w:p w14:paraId="3223CD93" w14:textId="360554B6" w:rsidR="00130E8B" w:rsidRDefault="008D6BE0">
      <w:pPr>
        <w:pStyle w:val="a3"/>
        <w:numPr>
          <w:ilvl w:val="0"/>
          <w:numId w:val="15"/>
        </w:numPr>
        <w:ind w:left="660" w:hanging="660"/>
        <w:rPr>
          <w:lang w:val="hu-HU"/>
        </w:rPr>
      </w:pPr>
      <w:r>
        <w:rPr>
          <w:rFonts w:eastAsia="Times New Roman"/>
          <w:lang w:val="hu-HU"/>
        </w:rPr>
        <w:t>zsibbadás</w:t>
      </w:r>
    </w:p>
    <w:p w14:paraId="22923D2C" w14:textId="77777777" w:rsidR="00130E8B" w:rsidRDefault="000405CC">
      <w:pPr>
        <w:pStyle w:val="a3"/>
        <w:numPr>
          <w:ilvl w:val="0"/>
          <w:numId w:val="15"/>
        </w:numPr>
        <w:ind w:left="660" w:hanging="660"/>
        <w:rPr>
          <w:lang w:val="hu-HU"/>
        </w:rPr>
      </w:pPr>
      <w:r>
        <w:rPr>
          <w:rFonts w:eastAsia="Times New Roman"/>
          <w:lang w:val="hu-HU"/>
        </w:rPr>
        <w:t>kettőslátás</w:t>
      </w:r>
    </w:p>
    <w:p w14:paraId="5F41805F" w14:textId="77777777" w:rsidR="00130E8B" w:rsidRDefault="000405CC">
      <w:pPr>
        <w:pStyle w:val="a3"/>
        <w:numPr>
          <w:ilvl w:val="0"/>
          <w:numId w:val="15"/>
        </w:numPr>
        <w:ind w:left="660" w:hanging="660"/>
        <w:rPr>
          <w:lang w:val="hu-HU"/>
        </w:rPr>
      </w:pPr>
      <w:r>
        <w:rPr>
          <w:rFonts w:eastAsia="Times New Roman"/>
          <w:lang w:val="hu-HU"/>
        </w:rPr>
        <w:t>kar- vagy lábgyengeség</w:t>
      </w:r>
    </w:p>
    <w:p w14:paraId="6EE6AFF9" w14:textId="2AB3328F" w:rsidR="00130E8B" w:rsidRDefault="008D6BE0">
      <w:pPr>
        <w:pStyle w:val="a3"/>
        <w:numPr>
          <w:ilvl w:val="0"/>
          <w:numId w:val="15"/>
        </w:numPr>
        <w:ind w:left="660" w:hanging="660"/>
        <w:rPr>
          <w:lang w:val="hu-HU"/>
        </w:rPr>
      </w:pPr>
      <w:r>
        <w:rPr>
          <w:rFonts w:eastAsia="Times New Roman"/>
          <w:lang w:val="hu-HU"/>
        </w:rPr>
        <w:t>duzzanat vagy nyílt fekély, amelyik nem gyógy</w:t>
      </w:r>
      <w:r w:rsidR="00F00292">
        <w:rPr>
          <w:rFonts w:eastAsia="Times New Roman"/>
          <w:lang w:val="hu-HU"/>
        </w:rPr>
        <w:t>ú</w:t>
      </w:r>
      <w:r>
        <w:rPr>
          <w:rFonts w:eastAsia="Times New Roman"/>
          <w:lang w:val="hu-HU"/>
        </w:rPr>
        <w:t>l</w:t>
      </w:r>
    </w:p>
    <w:p w14:paraId="22F9E024" w14:textId="77777777" w:rsidR="00130E8B" w:rsidRDefault="000405CC">
      <w:pPr>
        <w:pStyle w:val="a3"/>
        <w:numPr>
          <w:ilvl w:val="0"/>
          <w:numId w:val="15"/>
        </w:numPr>
        <w:ind w:left="660" w:hanging="660"/>
        <w:rPr>
          <w:lang w:val="hu-HU"/>
        </w:rPr>
      </w:pPr>
      <w:r>
        <w:rPr>
          <w:rFonts w:eastAsia="Times New Roman"/>
          <w:lang w:val="hu-HU"/>
        </w:rPr>
        <w:t>vérképzőszervi rendellenességre utaló jelek és tünetek, például tartós láz, véraláfutás, vérzés, sápadtság</w:t>
      </w:r>
    </w:p>
    <w:p w14:paraId="67188225" w14:textId="77777777" w:rsidR="00130E8B" w:rsidRDefault="00130E8B">
      <w:pPr>
        <w:pStyle w:val="a3"/>
        <w:numPr>
          <w:ilvl w:val="0"/>
          <w:numId w:val="0"/>
        </w:numPr>
        <w:ind w:left="660"/>
        <w:rPr>
          <w:lang w:val="hu-HU"/>
        </w:rPr>
      </w:pPr>
    </w:p>
    <w:p w14:paraId="3245A0B5" w14:textId="77777777" w:rsidR="00130E8B" w:rsidRDefault="000405CC">
      <w:pPr>
        <w:pStyle w:val="a3"/>
        <w:rPr>
          <w:lang w:val="hu-HU"/>
        </w:rPr>
      </w:pPr>
      <w:r>
        <w:rPr>
          <w:rFonts w:eastAsia="Times New Roman"/>
          <w:lang w:val="hu-HU"/>
        </w:rPr>
        <w:t>A fent leírt tünetek az alábbiakban felsorolt mellékhatások jelei is lehetnek, melyeket a Yuflyma alkalmazása során észleltek:</w:t>
      </w:r>
    </w:p>
    <w:p w14:paraId="3432FC5F" w14:textId="77777777" w:rsidR="00130E8B" w:rsidRDefault="00130E8B">
      <w:pPr>
        <w:spacing w:before="10" w:line="240" w:lineRule="exact"/>
        <w:rPr>
          <w:sz w:val="24"/>
          <w:szCs w:val="24"/>
          <w:lang w:val="hu-HU"/>
        </w:rPr>
      </w:pPr>
    </w:p>
    <w:p w14:paraId="2308A054" w14:textId="77777777" w:rsidR="00130E8B" w:rsidRDefault="000405CC">
      <w:pPr>
        <w:pStyle w:val="a3"/>
        <w:rPr>
          <w:lang w:val="hu-HU"/>
        </w:rPr>
      </w:pPr>
      <w:r>
        <w:rPr>
          <w:rFonts w:eastAsia="Times New Roman"/>
          <w:b/>
          <w:bCs/>
          <w:lang w:val="hu-HU"/>
        </w:rPr>
        <w:t xml:space="preserve">Nagyon gyakori </w:t>
      </w:r>
      <w:r>
        <w:rPr>
          <w:rFonts w:eastAsia="Times New Roman"/>
          <w:lang w:val="hu-HU"/>
        </w:rPr>
        <w:t>(10 beteg közül több mint 1-nél kialakuló)</w:t>
      </w:r>
    </w:p>
    <w:p w14:paraId="1CFB8BDD" w14:textId="77777777" w:rsidR="00130E8B" w:rsidRDefault="00130E8B">
      <w:pPr>
        <w:spacing w:before="14" w:line="240" w:lineRule="exact"/>
        <w:rPr>
          <w:sz w:val="24"/>
          <w:szCs w:val="24"/>
          <w:lang w:val="hu-HU"/>
        </w:rPr>
      </w:pPr>
    </w:p>
    <w:p w14:paraId="79314C7D" w14:textId="77777777" w:rsidR="00130E8B" w:rsidRDefault="000405CC">
      <w:pPr>
        <w:pStyle w:val="a3"/>
        <w:numPr>
          <w:ilvl w:val="0"/>
          <w:numId w:val="15"/>
        </w:numPr>
        <w:ind w:left="660" w:hanging="660"/>
        <w:rPr>
          <w:lang w:val="hu-HU"/>
        </w:rPr>
      </w:pPr>
      <w:r>
        <w:rPr>
          <w:rFonts w:eastAsia="Times New Roman"/>
          <w:lang w:val="hu-HU"/>
        </w:rPr>
        <w:t>helyi reakció az injekció beadásának helyén (beleértve fájdalom, duzzadás, vörösség vagy viszketés)</w:t>
      </w:r>
    </w:p>
    <w:p w14:paraId="735041E1" w14:textId="77777777" w:rsidR="00130E8B" w:rsidRDefault="000405CC">
      <w:pPr>
        <w:pStyle w:val="a3"/>
        <w:numPr>
          <w:ilvl w:val="0"/>
          <w:numId w:val="15"/>
        </w:numPr>
        <w:ind w:left="660" w:hanging="660"/>
        <w:rPr>
          <w:lang w:val="hu-HU"/>
        </w:rPr>
      </w:pPr>
      <w:r>
        <w:rPr>
          <w:rFonts w:eastAsia="Times New Roman"/>
          <w:lang w:val="hu-HU"/>
        </w:rPr>
        <w:t>légúti fertőzések (beleértve a megfázást, orrfolyást, melléküreg-gyulladást, tüdőgyulladást is</w:t>
      </w:r>
    </w:p>
    <w:p w14:paraId="68FC5949" w14:textId="77777777" w:rsidR="00130E8B" w:rsidRDefault="000405CC">
      <w:pPr>
        <w:pStyle w:val="a3"/>
        <w:numPr>
          <w:ilvl w:val="0"/>
          <w:numId w:val="15"/>
        </w:numPr>
        <w:ind w:left="660" w:hanging="660"/>
        <w:rPr>
          <w:lang w:val="hu-HU"/>
        </w:rPr>
      </w:pPr>
      <w:r>
        <w:rPr>
          <w:rFonts w:eastAsia="Times New Roman"/>
          <w:lang w:val="hu-HU"/>
        </w:rPr>
        <w:t>fejfájás</w:t>
      </w:r>
    </w:p>
    <w:p w14:paraId="33FA2BCC" w14:textId="77777777" w:rsidR="00130E8B" w:rsidRDefault="000405CC">
      <w:pPr>
        <w:pStyle w:val="a3"/>
        <w:numPr>
          <w:ilvl w:val="0"/>
          <w:numId w:val="15"/>
        </w:numPr>
        <w:ind w:left="660" w:hanging="660"/>
        <w:rPr>
          <w:lang w:val="hu-HU"/>
        </w:rPr>
      </w:pPr>
      <w:r>
        <w:rPr>
          <w:rFonts w:eastAsia="Times New Roman"/>
          <w:lang w:val="hu-HU"/>
        </w:rPr>
        <w:t>hasi fájdalom</w:t>
      </w:r>
    </w:p>
    <w:p w14:paraId="1F6F08A1" w14:textId="77777777" w:rsidR="00130E8B" w:rsidRDefault="000405CC">
      <w:pPr>
        <w:pStyle w:val="a3"/>
        <w:numPr>
          <w:ilvl w:val="0"/>
          <w:numId w:val="15"/>
        </w:numPr>
        <w:ind w:left="660" w:hanging="660"/>
        <w:rPr>
          <w:lang w:val="hu-HU"/>
        </w:rPr>
      </w:pPr>
      <w:r>
        <w:rPr>
          <w:rFonts w:eastAsia="Times New Roman"/>
          <w:lang w:val="hu-HU"/>
        </w:rPr>
        <w:t>hányinger és hányás</w:t>
      </w:r>
    </w:p>
    <w:p w14:paraId="01AAC1F6" w14:textId="77777777" w:rsidR="00130E8B" w:rsidRDefault="000405CC">
      <w:pPr>
        <w:pStyle w:val="a3"/>
        <w:numPr>
          <w:ilvl w:val="0"/>
          <w:numId w:val="15"/>
        </w:numPr>
        <w:ind w:left="660" w:hanging="660"/>
        <w:rPr>
          <w:lang w:val="hu-HU"/>
        </w:rPr>
      </w:pPr>
      <w:r>
        <w:rPr>
          <w:rFonts w:eastAsia="Times New Roman"/>
          <w:lang w:val="hu-HU"/>
        </w:rPr>
        <w:t>bőrkiütés</w:t>
      </w:r>
    </w:p>
    <w:p w14:paraId="37F19410" w14:textId="699E6E9D" w:rsidR="00130E8B" w:rsidRPr="003A2D67" w:rsidRDefault="00CD4099">
      <w:pPr>
        <w:pStyle w:val="a3"/>
        <w:numPr>
          <w:ilvl w:val="0"/>
          <w:numId w:val="15"/>
        </w:numPr>
        <w:ind w:left="660" w:hanging="660"/>
        <w:rPr>
          <w:lang w:val="hu-HU"/>
        </w:rPr>
      </w:pPr>
      <w:r w:rsidRPr="004B23C8">
        <w:rPr>
          <w:color w:val="000000" w:themeColor="text1"/>
          <w:lang w:val="hu-HU"/>
        </w:rPr>
        <w:t>izomfájdalom.</w:t>
      </w:r>
    </w:p>
    <w:p w14:paraId="49CA06A6" w14:textId="77777777" w:rsidR="00130E8B" w:rsidRDefault="00130E8B">
      <w:pPr>
        <w:spacing w:before="9" w:line="220" w:lineRule="exact"/>
        <w:rPr>
          <w:lang w:val="hu-HU"/>
        </w:rPr>
      </w:pPr>
    </w:p>
    <w:p w14:paraId="666DEA2A" w14:textId="28EE32DD" w:rsidR="00130E8B" w:rsidRDefault="000405CC">
      <w:pPr>
        <w:pStyle w:val="a3"/>
        <w:rPr>
          <w:lang w:val="hu-HU"/>
        </w:rPr>
      </w:pPr>
      <w:r>
        <w:rPr>
          <w:rFonts w:eastAsia="Times New Roman"/>
          <w:b/>
          <w:bCs/>
          <w:lang w:val="hu-HU"/>
        </w:rPr>
        <w:t xml:space="preserve">Gyakori </w:t>
      </w:r>
      <w:r>
        <w:rPr>
          <w:rFonts w:eastAsia="Times New Roman"/>
          <w:lang w:val="hu-HU"/>
        </w:rPr>
        <w:t xml:space="preserve">(10 beteg közül </w:t>
      </w:r>
      <w:r w:rsidR="00C4148F" w:rsidRPr="008D6BF1">
        <w:rPr>
          <w:rFonts w:eastAsia="Times New Roman"/>
          <w:lang w:val="hu-HU"/>
        </w:rPr>
        <w:t>beszélnie</w:t>
      </w:r>
      <w:r w:rsidR="00C4148F">
        <w:rPr>
          <w:rFonts w:eastAsia="Times New Roman"/>
          <w:lang w:val="hu-HU"/>
        </w:rPr>
        <w:t xml:space="preserve"> </w:t>
      </w:r>
      <w:r>
        <w:rPr>
          <w:rFonts w:eastAsia="Times New Roman"/>
          <w:lang w:val="hu-HU"/>
        </w:rPr>
        <w:t>1-nél kialakuló)</w:t>
      </w:r>
    </w:p>
    <w:p w14:paraId="21BD41A0" w14:textId="77777777" w:rsidR="00130E8B" w:rsidRDefault="00130E8B">
      <w:pPr>
        <w:spacing w:before="14" w:line="240" w:lineRule="exact"/>
        <w:rPr>
          <w:sz w:val="24"/>
          <w:szCs w:val="24"/>
          <w:lang w:val="hu-HU"/>
        </w:rPr>
      </w:pPr>
    </w:p>
    <w:p w14:paraId="748B4DF8" w14:textId="77777777" w:rsidR="00130E8B" w:rsidRDefault="000405CC">
      <w:pPr>
        <w:pStyle w:val="a3"/>
        <w:numPr>
          <w:ilvl w:val="0"/>
          <w:numId w:val="15"/>
        </w:numPr>
        <w:ind w:left="660" w:hanging="660"/>
        <w:rPr>
          <w:lang w:val="hu-HU"/>
        </w:rPr>
      </w:pPr>
      <w:r>
        <w:rPr>
          <w:rFonts w:eastAsia="Times New Roman"/>
          <w:lang w:val="hu-HU"/>
        </w:rPr>
        <w:t>súlyos fertőzések (beleértve a vérmérgezést és az influenzát is)</w:t>
      </w:r>
    </w:p>
    <w:p w14:paraId="1F3B21CD" w14:textId="77777777" w:rsidR="00130E8B" w:rsidRDefault="000405CC">
      <w:pPr>
        <w:pStyle w:val="a3"/>
        <w:numPr>
          <w:ilvl w:val="0"/>
          <w:numId w:val="15"/>
        </w:numPr>
        <w:ind w:left="660" w:hanging="660"/>
        <w:rPr>
          <w:lang w:val="hu-HU"/>
        </w:rPr>
      </w:pPr>
      <w:r>
        <w:rPr>
          <w:rFonts w:eastAsia="Times New Roman"/>
          <w:lang w:val="hu-HU"/>
        </w:rPr>
        <w:t>bélfertőzések (beleértve a gyomor-bélgyulladást is),</w:t>
      </w:r>
    </w:p>
    <w:p w14:paraId="3A8C6EF1" w14:textId="77777777" w:rsidR="00130E8B" w:rsidRDefault="000405CC">
      <w:pPr>
        <w:pStyle w:val="a3"/>
        <w:numPr>
          <w:ilvl w:val="0"/>
          <w:numId w:val="15"/>
        </w:numPr>
        <w:ind w:left="660" w:hanging="660"/>
        <w:rPr>
          <w:lang w:val="hu-HU"/>
        </w:rPr>
      </w:pPr>
      <w:r>
        <w:rPr>
          <w:rFonts w:eastAsia="Times New Roman"/>
          <w:lang w:val="hu-HU"/>
        </w:rPr>
        <w:t>bőrfertőzések (beleértve a kötőszövet-gyulladást és az övsömört is)</w:t>
      </w:r>
    </w:p>
    <w:p w14:paraId="3888F99B" w14:textId="77777777" w:rsidR="00130E8B" w:rsidRDefault="000405CC">
      <w:pPr>
        <w:pStyle w:val="a3"/>
        <w:numPr>
          <w:ilvl w:val="0"/>
          <w:numId w:val="15"/>
        </w:numPr>
        <w:ind w:left="660" w:hanging="660"/>
        <w:rPr>
          <w:lang w:val="hu-HU"/>
        </w:rPr>
      </w:pPr>
      <w:r>
        <w:rPr>
          <w:rFonts w:eastAsia="Times New Roman"/>
          <w:lang w:val="hu-HU"/>
        </w:rPr>
        <w:t>fülfertőzések</w:t>
      </w:r>
    </w:p>
    <w:p w14:paraId="79DC71EB" w14:textId="77777777" w:rsidR="00130E8B" w:rsidRDefault="000405CC">
      <w:pPr>
        <w:pStyle w:val="a3"/>
        <w:numPr>
          <w:ilvl w:val="0"/>
          <w:numId w:val="15"/>
        </w:numPr>
        <w:ind w:left="660" w:hanging="660"/>
        <w:rPr>
          <w:lang w:val="hu-HU"/>
        </w:rPr>
      </w:pPr>
      <w:r>
        <w:rPr>
          <w:rFonts w:eastAsia="Times New Roman"/>
          <w:lang w:val="hu-HU"/>
        </w:rPr>
        <w:t>szájüregi fertőzések (beleértve a fogfertőzéseket és az ajakherpeszt is)</w:t>
      </w:r>
    </w:p>
    <w:p w14:paraId="190B3092" w14:textId="77777777" w:rsidR="00130E8B" w:rsidRDefault="000405CC">
      <w:pPr>
        <w:pStyle w:val="a3"/>
        <w:numPr>
          <w:ilvl w:val="0"/>
          <w:numId w:val="15"/>
        </w:numPr>
        <w:ind w:left="660" w:hanging="660"/>
        <w:rPr>
          <w:lang w:val="hu-HU"/>
        </w:rPr>
      </w:pPr>
      <w:r>
        <w:rPr>
          <w:rFonts w:eastAsia="Times New Roman"/>
          <w:lang w:val="hu-HU"/>
        </w:rPr>
        <w:t>nemi szervek fertőzései</w:t>
      </w:r>
    </w:p>
    <w:p w14:paraId="5D530F9A" w14:textId="77777777" w:rsidR="00130E8B" w:rsidRDefault="000405CC">
      <w:pPr>
        <w:pStyle w:val="a3"/>
        <w:numPr>
          <w:ilvl w:val="0"/>
          <w:numId w:val="15"/>
        </w:numPr>
        <w:ind w:left="660" w:hanging="660"/>
        <w:rPr>
          <w:lang w:val="hu-HU"/>
        </w:rPr>
      </w:pPr>
      <w:r>
        <w:rPr>
          <w:rFonts w:eastAsia="Times New Roman"/>
          <w:lang w:val="hu-HU"/>
        </w:rPr>
        <w:t>húgyúti fertőzés</w:t>
      </w:r>
    </w:p>
    <w:p w14:paraId="568A7A7C" w14:textId="77777777" w:rsidR="00130E8B" w:rsidRDefault="000405CC">
      <w:pPr>
        <w:pStyle w:val="a3"/>
        <w:numPr>
          <w:ilvl w:val="0"/>
          <w:numId w:val="15"/>
        </w:numPr>
        <w:ind w:left="660" w:hanging="660"/>
        <w:rPr>
          <w:lang w:val="hu-HU"/>
        </w:rPr>
      </w:pPr>
      <w:r>
        <w:rPr>
          <w:rFonts w:eastAsia="Times New Roman"/>
          <w:lang w:val="hu-HU"/>
        </w:rPr>
        <w:t>gombás fertőzések</w:t>
      </w:r>
    </w:p>
    <w:p w14:paraId="1989C456" w14:textId="1D7F1E4E" w:rsidR="00130E8B" w:rsidRDefault="000405CC">
      <w:pPr>
        <w:pStyle w:val="a3"/>
        <w:numPr>
          <w:ilvl w:val="0"/>
          <w:numId w:val="15"/>
        </w:numPr>
        <w:ind w:left="660" w:hanging="660"/>
        <w:rPr>
          <w:lang w:val="hu-HU"/>
        </w:rPr>
      </w:pPr>
      <w:r>
        <w:rPr>
          <w:rFonts w:eastAsia="Times New Roman"/>
          <w:lang w:val="hu-HU"/>
        </w:rPr>
        <w:t>ízület</w:t>
      </w:r>
      <w:r w:rsidR="00A02F4B">
        <w:rPr>
          <w:rFonts w:eastAsia="Times New Roman"/>
          <w:lang w:val="hu-HU"/>
        </w:rPr>
        <w:t>i</w:t>
      </w:r>
      <w:r>
        <w:rPr>
          <w:rFonts w:eastAsia="Times New Roman"/>
          <w:lang w:val="hu-HU"/>
        </w:rPr>
        <w:t xml:space="preserve"> fertőzések</w:t>
      </w:r>
    </w:p>
    <w:p w14:paraId="553DD030" w14:textId="77777777" w:rsidR="00130E8B" w:rsidRDefault="000405CC">
      <w:pPr>
        <w:pStyle w:val="a3"/>
        <w:numPr>
          <w:ilvl w:val="0"/>
          <w:numId w:val="15"/>
        </w:numPr>
        <w:ind w:left="660" w:hanging="660"/>
        <w:rPr>
          <w:lang w:val="hu-HU"/>
        </w:rPr>
      </w:pPr>
      <w:r>
        <w:rPr>
          <w:rFonts w:eastAsia="Times New Roman"/>
          <w:lang w:val="hu-HU"/>
        </w:rPr>
        <w:t>jóindulatú daganatok</w:t>
      </w:r>
    </w:p>
    <w:p w14:paraId="3F689D13" w14:textId="77777777" w:rsidR="00130E8B" w:rsidRDefault="000405CC">
      <w:pPr>
        <w:pStyle w:val="a3"/>
        <w:numPr>
          <w:ilvl w:val="0"/>
          <w:numId w:val="15"/>
        </w:numPr>
        <w:ind w:left="660" w:hanging="660"/>
        <w:rPr>
          <w:lang w:val="hu-HU"/>
        </w:rPr>
      </w:pPr>
      <w:r>
        <w:rPr>
          <w:rFonts w:eastAsia="Times New Roman"/>
          <w:lang w:val="hu-HU"/>
        </w:rPr>
        <w:t>bőrrák</w:t>
      </w:r>
    </w:p>
    <w:p w14:paraId="2B5EC15D" w14:textId="77777777" w:rsidR="00130E8B" w:rsidRDefault="000405CC">
      <w:pPr>
        <w:pStyle w:val="a3"/>
        <w:numPr>
          <w:ilvl w:val="0"/>
          <w:numId w:val="15"/>
        </w:numPr>
        <w:ind w:left="660" w:hanging="660"/>
        <w:rPr>
          <w:lang w:val="hu-HU"/>
        </w:rPr>
      </w:pPr>
      <w:r>
        <w:rPr>
          <w:rFonts w:eastAsia="Times New Roman"/>
          <w:lang w:val="hu-HU"/>
        </w:rPr>
        <w:t>allergiás reakciók (beleértve a szezonális allergiát)</w:t>
      </w:r>
    </w:p>
    <w:p w14:paraId="6D2CCFFE" w14:textId="77777777" w:rsidR="00130E8B" w:rsidRDefault="000405CC">
      <w:pPr>
        <w:pStyle w:val="a3"/>
        <w:numPr>
          <w:ilvl w:val="0"/>
          <w:numId w:val="15"/>
        </w:numPr>
        <w:ind w:left="660" w:hanging="660"/>
        <w:rPr>
          <w:lang w:val="hu-HU"/>
        </w:rPr>
      </w:pPr>
      <w:r>
        <w:rPr>
          <w:rFonts w:eastAsia="Times New Roman"/>
          <w:lang w:val="hu-HU"/>
        </w:rPr>
        <w:t>kiszáradás</w:t>
      </w:r>
    </w:p>
    <w:p w14:paraId="6B3440DA" w14:textId="77777777" w:rsidR="00130E8B" w:rsidRDefault="000405CC">
      <w:pPr>
        <w:pStyle w:val="a3"/>
        <w:numPr>
          <w:ilvl w:val="0"/>
          <w:numId w:val="15"/>
        </w:numPr>
        <w:ind w:left="660" w:hanging="660"/>
        <w:rPr>
          <w:lang w:val="hu-HU"/>
        </w:rPr>
      </w:pPr>
      <w:r>
        <w:rPr>
          <w:rFonts w:eastAsia="Times New Roman"/>
          <w:lang w:val="hu-HU"/>
        </w:rPr>
        <w:lastRenderedPageBreak/>
        <w:t>hangulatváltozás (beleértve a depressziót)</w:t>
      </w:r>
    </w:p>
    <w:p w14:paraId="4EA8D585" w14:textId="77777777" w:rsidR="00130E8B" w:rsidRDefault="000405CC">
      <w:pPr>
        <w:pStyle w:val="a3"/>
        <w:numPr>
          <w:ilvl w:val="0"/>
          <w:numId w:val="15"/>
        </w:numPr>
        <w:ind w:left="660" w:hanging="660"/>
        <w:rPr>
          <w:lang w:val="hu-HU"/>
        </w:rPr>
      </w:pPr>
      <w:r>
        <w:rPr>
          <w:rFonts w:eastAsia="Times New Roman"/>
          <w:lang w:val="hu-HU"/>
        </w:rPr>
        <w:t>szorongás</w:t>
      </w:r>
    </w:p>
    <w:p w14:paraId="3E141F91" w14:textId="77777777" w:rsidR="00130E8B" w:rsidRDefault="000405CC">
      <w:pPr>
        <w:pStyle w:val="a3"/>
        <w:numPr>
          <w:ilvl w:val="0"/>
          <w:numId w:val="15"/>
        </w:numPr>
        <w:ind w:left="660" w:hanging="660"/>
        <w:rPr>
          <w:lang w:val="hu-HU"/>
        </w:rPr>
      </w:pPr>
      <w:r>
        <w:rPr>
          <w:rFonts w:eastAsia="Times New Roman"/>
          <w:lang w:val="hu-HU"/>
        </w:rPr>
        <w:t>álmatlanság</w:t>
      </w:r>
    </w:p>
    <w:p w14:paraId="250BC5C2" w14:textId="77777777" w:rsidR="00130E8B" w:rsidRDefault="000405CC">
      <w:pPr>
        <w:pStyle w:val="a3"/>
        <w:numPr>
          <w:ilvl w:val="0"/>
          <w:numId w:val="15"/>
        </w:numPr>
        <w:ind w:left="660" w:hanging="660"/>
        <w:rPr>
          <w:lang w:val="hu-HU"/>
        </w:rPr>
      </w:pPr>
      <w:r>
        <w:rPr>
          <w:rFonts w:eastAsia="Times New Roman"/>
          <w:lang w:val="hu-HU"/>
        </w:rPr>
        <w:t>érzészavarok, például bizsergés, szurkáló érzés vagy zsibbadás</w:t>
      </w:r>
    </w:p>
    <w:p w14:paraId="4FAE7346" w14:textId="77777777" w:rsidR="00130E8B" w:rsidRDefault="000405CC">
      <w:pPr>
        <w:pStyle w:val="a3"/>
        <w:numPr>
          <w:ilvl w:val="0"/>
          <w:numId w:val="15"/>
        </w:numPr>
        <w:ind w:left="660" w:hanging="660"/>
        <w:rPr>
          <w:lang w:val="hu-HU"/>
        </w:rPr>
      </w:pPr>
      <w:r>
        <w:rPr>
          <w:rFonts w:eastAsia="Times New Roman"/>
          <w:lang w:val="hu-HU"/>
        </w:rPr>
        <w:t>migrén</w:t>
      </w:r>
    </w:p>
    <w:p w14:paraId="72892F6D" w14:textId="77777777" w:rsidR="00130E8B" w:rsidRDefault="000405CC">
      <w:pPr>
        <w:pStyle w:val="a3"/>
        <w:numPr>
          <w:ilvl w:val="0"/>
          <w:numId w:val="15"/>
        </w:numPr>
        <w:ind w:left="660" w:hanging="660"/>
        <w:rPr>
          <w:lang w:val="hu-HU"/>
        </w:rPr>
      </w:pPr>
      <w:r>
        <w:rPr>
          <w:rFonts w:eastAsia="Times New Roman"/>
          <w:lang w:val="hu-HU"/>
        </w:rPr>
        <w:t>ideggyök nyomási tünetei (beleértve a derékfájdalmat és a lábfájást is)</w:t>
      </w:r>
    </w:p>
    <w:p w14:paraId="13ED5120" w14:textId="77777777" w:rsidR="00130E8B" w:rsidRDefault="000405CC">
      <w:pPr>
        <w:pStyle w:val="a3"/>
        <w:numPr>
          <w:ilvl w:val="0"/>
          <w:numId w:val="15"/>
        </w:numPr>
        <w:ind w:left="660" w:hanging="660"/>
        <w:rPr>
          <w:lang w:val="hu-HU"/>
        </w:rPr>
      </w:pPr>
      <w:r>
        <w:rPr>
          <w:rFonts w:eastAsia="Times New Roman"/>
          <w:lang w:val="hu-HU"/>
        </w:rPr>
        <w:t>látászavar</w:t>
      </w:r>
    </w:p>
    <w:p w14:paraId="124DFB17" w14:textId="77777777" w:rsidR="00130E8B" w:rsidRDefault="000405CC">
      <w:pPr>
        <w:pStyle w:val="a3"/>
        <w:numPr>
          <w:ilvl w:val="0"/>
          <w:numId w:val="15"/>
        </w:numPr>
        <w:ind w:left="660" w:hanging="660"/>
        <w:rPr>
          <w:lang w:val="hu-HU"/>
        </w:rPr>
      </w:pPr>
      <w:r>
        <w:rPr>
          <w:rFonts w:eastAsia="Times New Roman"/>
          <w:lang w:val="hu-HU"/>
        </w:rPr>
        <w:t>szemgyulladás</w:t>
      </w:r>
    </w:p>
    <w:p w14:paraId="54A65940" w14:textId="77777777" w:rsidR="00130E8B" w:rsidRDefault="000405CC">
      <w:pPr>
        <w:pStyle w:val="a3"/>
        <w:numPr>
          <w:ilvl w:val="0"/>
          <w:numId w:val="15"/>
        </w:numPr>
        <w:ind w:left="660" w:hanging="660"/>
        <w:rPr>
          <w:lang w:val="hu-HU"/>
        </w:rPr>
      </w:pPr>
      <w:r>
        <w:rPr>
          <w:rFonts w:eastAsia="Times New Roman"/>
          <w:lang w:val="hu-HU"/>
        </w:rPr>
        <w:t>szemhéj gyulladása és a szem duzzanata</w:t>
      </w:r>
    </w:p>
    <w:p w14:paraId="0CBAD96D" w14:textId="77777777" w:rsidR="00130E8B" w:rsidRDefault="000405CC">
      <w:pPr>
        <w:pStyle w:val="a3"/>
        <w:numPr>
          <w:ilvl w:val="0"/>
          <w:numId w:val="15"/>
        </w:numPr>
        <w:ind w:left="660" w:hanging="660"/>
        <w:rPr>
          <w:lang w:val="hu-HU"/>
        </w:rPr>
      </w:pPr>
      <w:r>
        <w:rPr>
          <w:rFonts w:eastAsia="Times New Roman"/>
          <w:lang w:val="hu-HU"/>
        </w:rPr>
        <w:t>forgó jellegű szédülés (vertigo)</w:t>
      </w:r>
    </w:p>
    <w:p w14:paraId="7733D0A8" w14:textId="77777777" w:rsidR="00130E8B" w:rsidRDefault="000405CC">
      <w:pPr>
        <w:pStyle w:val="a3"/>
        <w:numPr>
          <w:ilvl w:val="0"/>
          <w:numId w:val="15"/>
        </w:numPr>
        <w:ind w:left="660" w:hanging="660"/>
        <w:rPr>
          <w:lang w:val="hu-HU"/>
        </w:rPr>
      </w:pPr>
      <w:r>
        <w:rPr>
          <w:rFonts w:eastAsia="Times New Roman"/>
          <w:lang w:val="hu-HU"/>
        </w:rPr>
        <w:t>gyors szívverés érzés</w:t>
      </w:r>
    </w:p>
    <w:p w14:paraId="19D8C7BA" w14:textId="77777777" w:rsidR="00130E8B" w:rsidRDefault="000405CC">
      <w:pPr>
        <w:pStyle w:val="a3"/>
        <w:numPr>
          <w:ilvl w:val="0"/>
          <w:numId w:val="15"/>
        </w:numPr>
        <w:ind w:left="660" w:hanging="660"/>
        <w:rPr>
          <w:lang w:val="hu-HU"/>
        </w:rPr>
      </w:pPr>
      <w:r>
        <w:rPr>
          <w:rFonts w:eastAsia="Times New Roman"/>
          <w:lang w:val="hu-HU"/>
        </w:rPr>
        <w:t>magas vérnyomás</w:t>
      </w:r>
    </w:p>
    <w:p w14:paraId="2C72E671" w14:textId="77777777" w:rsidR="00130E8B" w:rsidRDefault="000405CC">
      <w:pPr>
        <w:pStyle w:val="a3"/>
        <w:numPr>
          <w:ilvl w:val="0"/>
          <w:numId w:val="15"/>
        </w:numPr>
        <w:ind w:left="660" w:hanging="660"/>
        <w:rPr>
          <w:lang w:val="hu-HU"/>
        </w:rPr>
      </w:pPr>
      <w:r>
        <w:rPr>
          <w:rFonts w:eastAsia="Times New Roman"/>
          <w:lang w:val="hu-HU"/>
        </w:rPr>
        <w:t>kipirulás</w:t>
      </w:r>
    </w:p>
    <w:p w14:paraId="4EFF358C" w14:textId="77777777" w:rsidR="00130E8B" w:rsidRDefault="000405CC">
      <w:pPr>
        <w:pStyle w:val="a3"/>
        <w:numPr>
          <w:ilvl w:val="0"/>
          <w:numId w:val="15"/>
        </w:numPr>
        <w:ind w:left="660" w:hanging="660"/>
        <w:rPr>
          <w:lang w:val="hu-HU"/>
        </w:rPr>
      </w:pPr>
      <w:r>
        <w:rPr>
          <w:rFonts w:eastAsia="Times New Roman"/>
          <w:lang w:val="hu-HU"/>
        </w:rPr>
        <w:t>vérömleny (vérgyülem az ereken kívül)</w:t>
      </w:r>
    </w:p>
    <w:p w14:paraId="2FB6140D" w14:textId="77777777" w:rsidR="00130E8B" w:rsidRDefault="000405CC">
      <w:pPr>
        <w:pStyle w:val="a3"/>
        <w:numPr>
          <w:ilvl w:val="0"/>
          <w:numId w:val="15"/>
        </w:numPr>
        <w:ind w:left="660" w:hanging="660"/>
        <w:rPr>
          <w:lang w:val="hu-HU"/>
        </w:rPr>
      </w:pPr>
      <w:r>
        <w:rPr>
          <w:rFonts w:eastAsia="Times New Roman"/>
          <w:lang w:val="hu-HU"/>
        </w:rPr>
        <w:t>köhögés</w:t>
      </w:r>
    </w:p>
    <w:p w14:paraId="772C088B" w14:textId="77777777" w:rsidR="00130E8B" w:rsidRDefault="000405CC">
      <w:pPr>
        <w:pStyle w:val="a3"/>
        <w:numPr>
          <w:ilvl w:val="0"/>
          <w:numId w:val="15"/>
        </w:numPr>
        <w:ind w:left="660" w:hanging="660"/>
        <w:rPr>
          <w:lang w:val="hu-HU"/>
        </w:rPr>
      </w:pPr>
      <w:r>
        <w:rPr>
          <w:rFonts w:eastAsia="Times New Roman"/>
          <w:lang w:val="hu-HU"/>
        </w:rPr>
        <w:t>asztma</w:t>
      </w:r>
    </w:p>
    <w:p w14:paraId="6F50A3D2" w14:textId="77777777" w:rsidR="00130E8B" w:rsidRDefault="000405CC">
      <w:pPr>
        <w:pStyle w:val="a3"/>
        <w:numPr>
          <w:ilvl w:val="0"/>
          <w:numId w:val="15"/>
        </w:numPr>
        <w:ind w:left="660" w:hanging="660"/>
        <w:rPr>
          <w:lang w:val="hu-HU"/>
        </w:rPr>
      </w:pPr>
      <w:r>
        <w:rPr>
          <w:rFonts w:eastAsia="Times New Roman"/>
          <w:lang w:val="hu-HU"/>
        </w:rPr>
        <w:t>légszomj</w:t>
      </w:r>
    </w:p>
    <w:p w14:paraId="03A99BB7" w14:textId="77777777" w:rsidR="00130E8B" w:rsidRDefault="000405CC">
      <w:pPr>
        <w:pStyle w:val="a3"/>
        <w:numPr>
          <w:ilvl w:val="0"/>
          <w:numId w:val="15"/>
        </w:numPr>
        <w:ind w:left="660" w:hanging="660"/>
        <w:rPr>
          <w:lang w:val="hu-HU"/>
        </w:rPr>
      </w:pPr>
      <w:r>
        <w:rPr>
          <w:rFonts w:eastAsia="Times New Roman"/>
          <w:lang w:val="hu-HU"/>
        </w:rPr>
        <w:t>tápcsatorna eredetű vérzés</w:t>
      </w:r>
    </w:p>
    <w:p w14:paraId="1CC768AA" w14:textId="77777777" w:rsidR="00130E8B" w:rsidRDefault="000405CC">
      <w:pPr>
        <w:pStyle w:val="a3"/>
        <w:numPr>
          <w:ilvl w:val="0"/>
          <w:numId w:val="15"/>
        </w:numPr>
        <w:ind w:left="660" w:hanging="660"/>
        <w:rPr>
          <w:lang w:val="hu-HU"/>
        </w:rPr>
      </w:pPr>
      <w:r>
        <w:rPr>
          <w:rFonts w:eastAsia="Times New Roman"/>
          <w:lang w:val="hu-HU"/>
        </w:rPr>
        <w:t>diszpepszia (emésztési zavar, puffadás, gyomorégés)</w:t>
      </w:r>
    </w:p>
    <w:p w14:paraId="2907098A" w14:textId="77777777" w:rsidR="00130E8B" w:rsidRDefault="000405CC">
      <w:pPr>
        <w:pStyle w:val="a3"/>
        <w:numPr>
          <w:ilvl w:val="0"/>
          <w:numId w:val="15"/>
        </w:numPr>
        <w:ind w:left="660" w:hanging="660"/>
        <w:rPr>
          <w:lang w:val="hu-HU"/>
        </w:rPr>
      </w:pPr>
      <w:r>
        <w:rPr>
          <w:rFonts w:eastAsia="Times New Roman"/>
          <w:lang w:val="hu-HU"/>
        </w:rPr>
        <w:t>a gyomorsav visszafolyása a nyelőcsőbe</w:t>
      </w:r>
    </w:p>
    <w:p w14:paraId="0E05CD6D" w14:textId="77777777" w:rsidR="00130E8B" w:rsidRDefault="000405CC">
      <w:pPr>
        <w:pStyle w:val="a3"/>
        <w:numPr>
          <w:ilvl w:val="0"/>
          <w:numId w:val="15"/>
        </w:numPr>
        <w:ind w:left="660" w:hanging="660"/>
        <w:rPr>
          <w:lang w:val="hu-HU"/>
        </w:rPr>
      </w:pPr>
      <w:r>
        <w:rPr>
          <w:rFonts w:eastAsia="Times New Roman"/>
          <w:lang w:val="hu-HU"/>
        </w:rPr>
        <w:t>szikka szindróma (beleértve a szemszárazságot és a szájszárazságot)</w:t>
      </w:r>
    </w:p>
    <w:p w14:paraId="0FA67D5B" w14:textId="77777777" w:rsidR="00130E8B" w:rsidRDefault="000405CC">
      <w:pPr>
        <w:pStyle w:val="a3"/>
        <w:numPr>
          <w:ilvl w:val="0"/>
          <w:numId w:val="15"/>
        </w:numPr>
        <w:ind w:left="660" w:hanging="660"/>
        <w:rPr>
          <w:lang w:val="hu-HU"/>
        </w:rPr>
      </w:pPr>
      <w:r>
        <w:rPr>
          <w:rFonts w:eastAsia="Times New Roman"/>
          <w:lang w:val="hu-HU"/>
        </w:rPr>
        <w:t>viszketés</w:t>
      </w:r>
    </w:p>
    <w:p w14:paraId="0123CCBA" w14:textId="77777777" w:rsidR="00130E8B" w:rsidRDefault="000405CC">
      <w:pPr>
        <w:pStyle w:val="a3"/>
        <w:numPr>
          <w:ilvl w:val="0"/>
          <w:numId w:val="15"/>
        </w:numPr>
        <w:ind w:left="660" w:hanging="660"/>
        <w:rPr>
          <w:rFonts w:eastAsia="Times New Roman"/>
          <w:spacing w:val="-1"/>
          <w:lang w:val="hu-HU"/>
        </w:rPr>
      </w:pPr>
      <w:r>
        <w:rPr>
          <w:rFonts w:eastAsia="Times New Roman"/>
          <w:lang w:val="hu-HU"/>
        </w:rPr>
        <w:t>viszkető bőrkiütés</w:t>
      </w:r>
    </w:p>
    <w:p w14:paraId="5571A5AE" w14:textId="77777777" w:rsidR="00130E8B" w:rsidRDefault="000405CC">
      <w:pPr>
        <w:pStyle w:val="a3"/>
        <w:numPr>
          <w:ilvl w:val="0"/>
          <w:numId w:val="15"/>
        </w:numPr>
        <w:ind w:left="660" w:hanging="660"/>
        <w:rPr>
          <w:lang w:val="hu-HU"/>
        </w:rPr>
      </w:pPr>
      <w:r>
        <w:rPr>
          <w:rFonts w:eastAsia="Times New Roman"/>
          <w:lang w:val="hu-HU"/>
        </w:rPr>
        <w:t>véraláfutás</w:t>
      </w:r>
    </w:p>
    <w:p w14:paraId="03EDE134" w14:textId="77777777" w:rsidR="00130E8B" w:rsidRDefault="000405CC">
      <w:pPr>
        <w:pStyle w:val="a3"/>
        <w:numPr>
          <w:ilvl w:val="0"/>
          <w:numId w:val="15"/>
        </w:numPr>
        <w:ind w:left="660" w:hanging="660"/>
        <w:rPr>
          <w:lang w:val="hu-HU"/>
        </w:rPr>
      </w:pPr>
      <w:r>
        <w:rPr>
          <w:rFonts w:eastAsia="Times New Roman"/>
          <w:lang w:val="hu-HU"/>
        </w:rPr>
        <w:t>bőrgyulladás (például ekcéma)</w:t>
      </w:r>
    </w:p>
    <w:p w14:paraId="57E5306D" w14:textId="77777777" w:rsidR="00130E8B" w:rsidRDefault="000405CC">
      <w:pPr>
        <w:pStyle w:val="a3"/>
        <w:numPr>
          <w:ilvl w:val="0"/>
          <w:numId w:val="15"/>
        </w:numPr>
        <w:ind w:left="660" w:hanging="660"/>
        <w:rPr>
          <w:lang w:val="hu-HU"/>
        </w:rPr>
      </w:pPr>
      <w:r>
        <w:rPr>
          <w:rFonts w:eastAsia="Times New Roman"/>
          <w:lang w:val="hu-HU"/>
        </w:rPr>
        <w:t>a kéz- és lábujjkörmök töredezése</w:t>
      </w:r>
    </w:p>
    <w:p w14:paraId="0E7FA9B5" w14:textId="77777777" w:rsidR="00130E8B" w:rsidRDefault="000405CC">
      <w:pPr>
        <w:pStyle w:val="a3"/>
        <w:numPr>
          <w:ilvl w:val="0"/>
          <w:numId w:val="15"/>
        </w:numPr>
        <w:ind w:left="660" w:hanging="660"/>
        <w:rPr>
          <w:lang w:val="hu-HU"/>
        </w:rPr>
      </w:pPr>
      <w:r>
        <w:rPr>
          <w:rFonts w:eastAsia="Times New Roman"/>
          <w:lang w:val="hu-HU"/>
        </w:rPr>
        <w:t>fokozott verejtékezés</w:t>
      </w:r>
    </w:p>
    <w:p w14:paraId="529E2BA4" w14:textId="77777777" w:rsidR="00130E8B" w:rsidRDefault="000405CC">
      <w:pPr>
        <w:pStyle w:val="a3"/>
        <w:numPr>
          <w:ilvl w:val="0"/>
          <w:numId w:val="15"/>
        </w:numPr>
        <w:ind w:left="660" w:hanging="660"/>
        <w:rPr>
          <w:lang w:val="hu-HU"/>
        </w:rPr>
      </w:pPr>
      <w:r>
        <w:rPr>
          <w:rFonts w:eastAsia="Times New Roman"/>
          <w:lang w:val="hu-HU"/>
        </w:rPr>
        <w:t>hajhullás</w:t>
      </w:r>
    </w:p>
    <w:p w14:paraId="18FD16D6" w14:textId="77777777" w:rsidR="00130E8B" w:rsidRDefault="000405CC">
      <w:pPr>
        <w:pStyle w:val="a3"/>
        <w:numPr>
          <w:ilvl w:val="0"/>
          <w:numId w:val="15"/>
        </w:numPr>
        <w:ind w:left="660" w:hanging="660"/>
        <w:rPr>
          <w:lang w:val="hu-HU"/>
        </w:rPr>
      </w:pPr>
      <w:r>
        <w:rPr>
          <w:rFonts w:eastAsia="Times New Roman"/>
          <w:lang w:val="hu-HU"/>
        </w:rPr>
        <w:t>pikkelysömör megjelenése vagy rosszabbodása</w:t>
      </w:r>
    </w:p>
    <w:p w14:paraId="4061C491" w14:textId="77777777" w:rsidR="00130E8B" w:rsidRDefault="000405CC">
      <w:pPr>
        <w:pStyle w:val="a3"/>
        <w:numPr>
          <w:ilvl w:val="0"/>
          <w:numId w:val="15"/>
        </w:numPr>
        <w:ind w:left="660" w:hanging="660"/>
        <w:rPr>
          <w:lang w:val="hu-HU"/>
        </w:rPr>
      </w:pPr>
      <w:r>
        <w:rPr>
          <w:rFonts w:eastAsia="Times New Roman"/>
          <w:lang w:val="hu-HU"/>
        </w:rPr>
        <w:t>izomgörcsök</w:t>
      </w:r>
    </w:p>
    <w:p w14:paraId="01BECAB1" w14:textId="77777777" w:rsidR="00130E8B" w:rsidRDefault="000405CC">
      <w:pPr>
        <w:pStyle w:val="a3"/>
        <w:numPr>
          <w:ilvl w:val="0"/>
          <w:numId w:val="15"/>
        </w:numPr>
        <w:ind w:left="660" w:hanging="660"/>
        <w:rPr>
          <w:lang w:val="hu-HU"/>
        </w:rPr>
      </w:pPr>
      <w:r>
        <w:rPr>
          <w:rFonts w:eastAsia="Times New Roman"/>
          <w:lang w:val="hu-HU"/>
        </w:rPr>
        <w:t>véres vizelet</w:t>
      </w:r>
    </w:p>
    <w:p w14:paraId="0F729DE1" w14:textId="77777777" w:rsidR="00130E8B" w:rsidRDefault="000405CC">
      <w:pPr>
        <w:pStyle w:val="a3"/>
        <w:numPr>
          <w:ilvl w:val="0"/>
          <w:numId w:val="15"/>
        </w:numPr>
        <w:ind w:left="660" w:hanging="660"/>
        <w:rPr>
          <w:lang w:val="hu-HU"/>
        </w:rPr>
      </w:pPr>
      <w:r>
        <w:rPr>
          <w:rFonts w:eastAsia="Times New Roman"/>
          <w:lang w:val="hu-HU"/>
        </w:rPr>
        <w:t>veseproblémák</w:t>
      </w:r>
    </w:p>
    <w:p w14:paraId="3B1F6F59" w14:textId="77777777" w:rsidR="00130E8B" w:rsidRDefault="000405CC">
      <w:pPr>
        <w:pStyle w:val="a3"/>
        <w:numPr>
          <w:ilvl w:val="0"/>
          <w:numId w:val="15"/>
        </w:numPr>
        <w:ind w:left="660" w:hanging="660"/>
        <w:rPr>
          <w:lang w:val="hu-HU"/>
        </w:rPr>
      </w:pPr>
      <w:r>
        <w:rPr>
          <w:rFonts w:eastAsia="Times New Roman"/>
          <w:lang w:val="hu-HU"/>
        </w:rPr>
        <w:t>mellkasi fájdalom</w:t>
      </w:r>
    </w:p>
    <w:p w14:paraId="3FFF7310" w14:textId="77777777" w:rsidR="00130E8B" w:rsidRDefault="000405CC">
      <w:pPr>
        <w:pStyle w:val="a3"/>
        <w:numPr>
          <w:ilvl w:val="0"/>
          <w:numId w:val="15"/>
        </w:numPr>
        <w:ind w:left="660" w:hanging="660"/>
        <w:rPr>
          <w:lang w:val="hu-HU"/>
        </w:rPr>
      </w:pPr>
      <w:r>
        <w:rPr>
          <w:rFonts w:eastAsia="Times New Roman"/>
          <w:lang w:val="hu-HU"/>
        </w:rPr>
        <w:t>vizenyő (duzzanat)</w:t>
      </w:r>
    </w:p>
    <w:p w14:paraId="45EDFC76" w14:textId="77777777" w:rsidR="00130E8B" w:rsidRDefault="000405CC">
      <w:pPr>
        <w:pStyle w:val="a3"/>
        <w:numPr>
          <w:ilvl w:val="0"/>
          <w:numId w:val="15"/>
        </w:numPr>
        <w:ind w:left="660" w:hanging="660"/>
        <w:rPr>
          <w:lang w:val="hu-HU"/>
        </w:rPr>
      </w:pPr>
      <w:r>
        <w:rPr>
          <w:rFonts w:eastAsia="Times New Roman"/>
          <w:lang w:val="hu-HU"/>
        </w:rPr>
        <w:t>láz</w:t>
      </w:r>
    </w:p>
    <w:p w14:paraId="55FB17ED" w14:textId="5522190F" w:rsidR="00130E8B" w:rsidRDefault="00C4148F">
      <w:pPr>
        <w:pStyle w:val="a3"/>
        <w:numPr>
          <w:ilvl w:val="0"/>
          <w:numId w:val="15"/>
        </w:numPr>
        <w:ind w:left="660" w:hanging="660"/>
        <w:rPr>
          <w:lang w:val="hu-HU"/>
        </w:rPr>
      </w:pPr>
      <w:r>
        <w:rPr>
          <w:rFonts w:eastAsia="Times New Roman"/>
          <w:lang w:val="hu-HU"/>
        </w:rPr>
        <w:t xml:space="preserve">a </w:t>
      </w:r>
      <w:r w:rsidR="000405CC">
        <w:rPr>
          <w:rFonts w:eastAsia="Times New Roman"/>
          <w:lang w:val="hu-HU"/>
        </w:rPr>
        <w:t>vérlemezkék számának csökkenése, ami növeli a vérzés vagy véraláfutás kialakulásának kockázatát</w:t>
      </w:r>
    </w:p>
    <w:p w14:paraId="1CD1CFDE" w14:textId="77777777" w:rsidR="00130E8B" w:rsidRDefault="000405CC">
      <w:pPr>
        <w:pStyle w:val="a3"/>
        <w:numPr>
          <w:ilvl w:val="0"/>
          <w:numId w:val="15"/>
        </w:numPr>
        <w:ind w:left="660" w:hanging="660"/>
        <w:rPr>
          <w:lang w:val="hu-HU"/>
        </w:rPr>
      </w:pPr>
      <w:r>
        <w:rPr>
          <w:rFonts w:eastAsia="Times New Roman"/>
          <w:lang w:val="hu-HU"/>
        </w:rPr>
        <w:t>csökkent gyógyulási készség</w:t>
      </w:r>
    </w:p>
    <w:p w14:paraId="38203949" w14:textId="77777777" w:rsidR="00130E8B" w:rsidRDefault="00130E8B">
      <w:pPr>
        <w:spacing w:before="10" w:line="240" w:lineRule="exact"/>
        <w:rPr>
          <w:sz w:val="24"/>
          <w:szCs w:val="24"/>
          <w:lang w:val="hu-HU"/>
        </w:rPr>
      </w:pPr>
    </w:p>
    <w:p w14:paraId="474283DB" w14:textId="77777777" w:rsidR="00130E8B" w:rsidRDefault="000405CC">
      <w:pPr>
        <w:pStyle w:val="a3"/>
        <w:rPr>
          <w:lang w:val="hu-HU"/>
        </w:rPr>
      </w:pPr>
      <w:r>
        <w:rPr>
          <w:rFonts w:eastAsia="Times New Roman"/>
          <w:b/>
          <w:bCs/>
          <w:lang w:val="hu-HU"/>
        </w:rPr>
        <w:t xml:space="preserve">Nem gyakori </w:t>
      </w:r>
      <w:r>
        <w:rPr>
          <w:rFonts w:eastAsia="Times New Roman"/>
          <w:lang w:val="hu-HU"/>
        </w:rPr>
        <w:t>(100 beteg közül legfeljebb 1-nél kialakuló)</w:t>
      </w:r>
    </w:p>
    <w:p w14:paraId="5DC93655" w14:textId="77777777" w:rsidR="00130E8B" w:rsidRPr="004B23C8" w:rsidRDefault="00130E8B">
      <w:pPr>
        <w:spacing w:before="14" w:line="260" w:lineRule="exact"/>
        <w:rPr>
          <w:color w:val="000000" w:themeColor="text1"/>
          <w:sz w:val="26"/>
          <w:szCs w:val="26"/>
          <w:lang w:val="hu-HU"/>
        </w:rPr>
      </w:pPr>
    </w:p>
    <w:p w14:paraId="0B36498D" w14:textId="7E066AF4" w:rsidR="00130E8B" w:rsidRDefault="00FA1A03">
      <w:pPr>
        <w:pStyle w:val="a3"/>
        <w:numPr>
          <w:ilvl w:val="0"/>
          <w:numId w:val="15"/>
        </w:numPr>
        <w:ind w:left="660" w:hanging="660"/>
        <w:rPr>
          <w:lang w:val="hu-HU"/>
        </w:rPr>
      </w:pPr>
      <w:r w:rsidRPr="004B23C8">
        <w:rPr>
          <w:rFonts w:eastAsia="Times New Roman"/>
          <w:color w:val="000000" w:themeColor="text1"/>
          <w:lang w:val="hu-HU"/>
        </w:rPr>
        <w:t xml:space="preserve">szokatlan </w:t>
      </w:r>
      <w:r w:rsidR="000405CC" w:rsidRPr="004B23C8">
        <w:rPr>
          <w:rFonts w:eastAsia="Times New Roman"/>
          <w:color w:val="000000" w:themeColor="text1"/>
          <w:lang w:val="hu-HU"/>
        </w:rPr>
        <w:t>a</w:t>
      </w:r>
      <w:r w:rsidR="000405CC">
        <w:rPr>
          <w:rFonts w:eastAsia="Times New Roman"/>
          <w:lang w:val="hu-HU"/>
        </w:rPr>
        <w:t xml:space="preserve"> fertőzések (ezek közé tartozik a tuberkulózis és más, olyan fertőzések, amelyek akkor alakulnak ki, amikor a betegségekkel szembeni ellenállóképesség lecsökken)</w:t>
      </w:r>
    </w:p>
    <w:p w14:paraId="3CB06490" w14:textId="77777777" w:rsidR="00130E8B" w:rsidRDefault="000405CC">
      <w:pPr>
        <w:pStyle w:val="a3"/>
        <w:numPr>
          <w:ilvl w:val="0"/>
          <w:numId w:val="15"/>
        </w:numPr>
        <w:ind w:left="660" w:hanging="660"/>
        <w:rPr>
          <w:lang w:val="hu-HU"/>
        </w:rPr>
      </w:pPr>
      <w:r>
        <w:rPr>
          <w:rFonts w:eastAsia="Times New Roman"/>
          <w:lang w:val="hu-HU"/>
        </w:rPr>
        <w:t>ideggyógyászati eredetű fertőzések (beleértve a vírusos eredetű agyhártyagyulladást is)</w:t>
      </w:r>
    </w:p>
    <w:p w14:paraId="560EC6F2" w14:textId="77777777" w:rsidR="00130E8B" w:rsidRDefault="000405CC">
      <w:pPr>
        <w:pStyle w:val="a3"/>
        <w:numPr>
          <w:ilvl w:val="0"/>
          <w:numId w:val="15"/>
        </w:numPr>
        <w:ind w:left="660" w:hanging="660"/>
        <w:rPr>
          <w:lang w:val="hu-HU"/>
        </w:rPr>
      </w:pPr>
      <w:r>
        <w:rPr>
          <w:rFonts w:eastAsia="Times New Roman"/>
          <w:lang w:val="hu-HU"/>
        </w:rPr>
        <w:t>szemfertőzések</w:t>
      </w:r>
    </w:p>
    <w:p w14:paraId="0FF31B91" w14:textId="77777777" w:rsidR="00130E8B" w:rsidRDefault="000405CC">
      <w:pPr>
        <w:pStyle w:val="a3"/>
        <w:numPr>
          <w:ilvl w:val="0"/>
          <w:numId w:val="15"/>
        </w:numPr>
        <w:ind w:left="660" w:hanging="660"/>
        <w:rPr>
          <w:lang w:val="hu-HU"/>
        </w:rPr>
      </w:pPr>
      <w:r>
        <w:rPr>
          <w:rFonts w:eastAsia="Times New Roman"/>
          <w:lang w:val="hu-HU"/>
        </w:rPr>
        <w:t>baktériumok okozta fertőzések</w:t>
      </w:r>
    </w:p>
    <w:p w14:paraId="7C75417E" w14:textId="37A754A4" w:rsidR="00130E8B" w:rsidRDefault="008D6BE0">
      <w:pPr>
        <w:pStyle w:val="a3"/>
        <w:numPr>
          <w:ilvl w:val="0"/>
          <w:numId w:val="15"/>
        </w:numPr>
        <w:ind w:left="660" w:hanging="660"/>
        <w:rPr>
          <w:lang w:val="hu-HU"/>
        </w:rPr>
      </w:pPr>
      <w:r>
        <w:rPr>
          <w:rFonts w:eastAsia="Times New Roman"/>
          <w:lang w:val="hu-HU"/>
        </w:rPr>
        <w:t xml:space="preserve">vastagbélgyulladás és fertőzés </w:t>
      </w:r>
      <w:r w:rsidR="000405CC">
        <w:rPr>
          <w:rFonts w:eastAsia="Times New Roman"/>
          <w:lang w:val="hu-HU"/>
        </w:rPr>
        <w:t>(</w:t>
      </w:r>
      <w:r>
        <w:rPr>
          <w:rFonts w:eastAsia="Times New Roman"/>
          <w:lang w:val="hu-HU"/>
        </w:rPr>
        <w:t>divertikulitisz</w:t>
      </w:r>
      <w:r w:rsidR="000405CC">
        <w:rPr>
          <w:rFonts w:eastAsia="Times New Roman"/>
          <w:lang w:val="hu-HU"/>
        </w:rPr>
        <w:t>)</w:t>
      </w:r>
    </w:p>
    <w:p w14:paraId="395E8B57" w14:textId="77777777" w:rsidR="00130E8B" w:rsidRDefault="000405CC">
      <w:pPr>
        <w:pStyle w:val="a3"/>
        <w:numPr>
          <w:ilvl w:val="0"/>
          <w:numId w:val="15"/>
        </w:numPr>
        <w:ind w:left="660" w:hanging="660"/>
        <w:rPr>
          <w:lang w:val="hu-HU"/>
        </w:rPr>
      </w:pPr>
      <w:r>
        <w:rPr>
          <w:rFonts w:eastAsia="Times New Roman"/>
          <w:lang w:val="hu-HU"/>
        </w:rPr>
        <w:t>rák</w:t>
      </w:r>
    </w:p>
    <w:p w14:paraId="7B145926" w14:textId="77777777" w:rsidR="00130E8B" w:rsidRDefault="000405CC">
      <w:pPr>
        <w:pStyle w:val="a3"/>
        <w:numPr>
          <w:ilvl w:val="0"/>
          <w:numId w:val="15"/>
        </w:numPr>
        <w:ind w:left="660" w:hanging="660"/>
        <w:rPr>
          <w:lang w:val="hu-HU"/>
        </w:rPr>
      </w:pPr>
      <w:r>
        <w:rPr>
          <w:rFonts w:eastAsia="Times New Roman"/>
          <w:lang w:val="hu-HU"/>
        </w:rPr>
        <w:t>rák, amely a nyirokrendszert támadja meg</w:t>
      </w:r>
    </w:p>
    <w:p w14:paraId="56AD111F" w14:textId="77777777" w:rsidR="00130E8B" w:rsidRDefault="000405CC">
      <w:pPr>
        <w:pStyle w:val="a3"/>
        <w:numPr>
          <w:ilvl w:val="0"/>
          <w:numId w:val="15"/>
        </w:numPr>
        <w:ind w:left="660" w:hanging="660"/>
        <w:rPr>
          <w:lang w:val="hu-HU"/>
        </w:rPr>
      </w:pPr>
      <w:r>
        <w:rPr>
          <w:rFonts w:eastAsia="Times New Roman"/>
          <w:lang w:val="hu-HU"/>
        </w:rPr>
        <w:t>melanóma</w:t>
      </w:r>
    </w:p>
    <w:p w14:paraId="4876B817" w14:textId="3A09A6E4" w:rsidR="00130E8B" w:rsidRDefault="008D6BE0">
      <w:pPr>
        <w:pStyle w:val="a3"/>
        <w:numPr>
          <w:ilvl w:val="0"/>
          <w:numId w:val="15"/>
        </w:numPr>
        <w:ind w:left="660" w:hanging="660"/>
        <w:rPr>
          <w:lang w:val="hu-HU"/>
        </w:rPr>
      </w:pPr>
      <w:r>
        <w:rPr>
          <w:rFonts w:eastAsia="Times New Roman"/>
          <w:lang w:val="hu-HU"/>
        </w:rPr>
        <w:t>immunrenszer</w:t>
      </w:r>
      <w:r w:rsidR="00FA1A03">
        <w:rPr>
          <w:rFonts w:eastAsia="Times New Roman"/>
          <w:lang w:val="hu-HU"/>
        </w:rPr>
        <w:t>i</w:t>
      </w:r>
      <w:r w:rsidR="000405CC">
        <w:rPr>
          <w:rFonts w:eastAsia="Times New Roman"/>
          <w:lang w:val="hu-HU"/>
        </w:rPr>
        <w:t xml:space="preserve"> </w:t>
      </w:r>
      <w:r w:rsidR="00FA1A03">
        <w:rPr>
          <w:rFonts w:eastAsia="Times New Roman"/>
          <w:lang w:val="hu-HU"/>
        </w:rPr>
        <w:t>zavarok</w:t>
      </w:r>
      <w:r w:rsidR="000405CC">
        <w:rPr>
          <w:rFonts w:eastAsia="Times New Roman"/>
          <w:lang w:val="hu-HU"/>
        </w:rPr>
        <w:t>, amelyek érinthetik a tüdőt, a bőrt és a nyirokcsomókat (leggyakrabban szarkoidózisként jelentkezik</w:t>
      </w:r>
      <w:r w:rsidR="00C4148F">
        <w:rPr>
          <w:rFonts w:eastAsia="Times New Roman"/>
          <w:lang w:val="hu-HU"/>
        </w:rPr>
        <w:t>)</w:t>
      </w:r>
    </w:p>
    <w:p w14:paraId="0D811E6E" w14:textId="1A79FB10" w:rsidR="00130E8B" w:rsidRDefault="008D6BE0">
      <w:pPr>
        <w:pStyle w:val="a3"/>
        <w:numPr>
          <w:ilvl w:val="0"/>
          <w:numId w:val="15"/>
        </w:numPr>
        <w:ind w:left="660" w:hanging="660"/>
        <w:rPr>
          <w:lang w:val="hu-HU"/>
        </w:rPr>
      </w:pPr>
      <w:r>
        <w:rPr>
          <w:rFonts w:eastAsia="Times New Roman"/>
          <w:lang w:val="hu-HU"/>
        </w:rPr>
        <w:lastRenderedPageBreak/>
        <w:t xml:space="preserve">érgyulladás </w:t>
      </w:r>
      <w:r w:rsidR="000405CC">
        <w:rPr>
          <w:rFonts w:eastAsia="Times New Roman"/>
          <w:lang w:val="hu-HU"/>
        </w:rPr>
        <w:t>(</w:t>
      </w:r>
      <w:r>
        <w:rPr>
          <w:rFonts w:eastAsia="Times New Roman"/>
          <w:lang w:val="hu-HU"/>
        </w:rPr>
        <w:t>vaszkulitisz</w:t>
      </w:r>
      <w:r w:rsidR="000405CC">
        <w:rPr>
          <w:rFonts w:eastAsia="Times New Roman"/>
          <w:lang w:val="hu-HU"/>
        </w:rPr>
        <w:t>)</w:t>
      </w:r>
    </w:p>
    <w:p w14:paraId="2D790DCC" w14:textId="77777777" w:rsidR="00130E8B" w:rsidRDefault="000405CC">
      <w:pPr>
        <w:pStyle w:val="a3"/>
        <w:numPr>
          <w:ilvl w:val="0"/>
          <w:numId w:val="15"/>
        </w:numPr>
        <w:ind w:left="660" w:hanging="660"/>
        <w:rPr>
          <w:lang w:val="hu-HU"/>
        </w:rPr>
      </w:pPr>
      <w:r>
        <w:rPr>
          <w:rFonts w:eastAsia="Times New Roman"/>
          <w:lang w:val="hu-HU"/>
        </w:rPr>
        <w:t>remegés</w:t>
      </w:r>
    </w:p>
    <w:p w14:paraId="1813088E" w14:textId="4CEB9332" w:rsidR="00130E8B" w:rsidRDefault="008D6BE0">
      <w:pPr>
        <w:pStyle w:val="a3"/>
        <w:numPr>
          <w:ilvl w:val="0"/>
          <w:numId w:val="15"/>
        </w:numPr>
        <w:ind w:left="660" w:hanging="660"/>
        <w:rPr>
          <w:lang w:val="hu-HU"/>
        </w:rPr>
      </w:pPr>
      <w:r>
        <w:rPr>
          <w:rFonts w:eastAsia="Times New Roman"/>
          <w:lang w:val="hu-HU"/>
        </w:rPr>
        <w:t xml:space="preserve">idegbántalom </w:t>
      </w:r>
      <w:r w:rsidR="000405CC">
        <w:rPr>
          <w:rFonts w:eastAsia="Times New Roman"/>
          <w:lang w:val="hu-HU"/>
        </w:rPr>
        <w:t>(</w:t>
      </w:r>
      <w:r>
        <w:rPr>
          <w:rFonts w:eastAsia="Times New Roman"/>
          <w:lang w:val="hu-HU"/>
        </w:rPr>
        <w:t>neuropátia</w:t>
      </w:r>
      <w:r w:rsidR="000405CC">
        <w:rPr>
          <w:rFonts w:eastAsia="Times New Roman"/>
          <w:lang w:val="hu-HU"/>
        </w:rPr>
        <w:t>)</w:t>
      </w:r>
    </w:p>
    <w:p w14:paraId="2D3BE0F7" w14:textId="77777777" w:rsidR="00130E8B" w:rsidRDefault="000405CC">
      <w:pPr>
        <w:pStyle w:val="a3"/>
        <w:numPr>
          <w:ilvl w:val="0"/>
          <w:numId w:val="15"/>
        </w:numPr>
        <w:ind w:left="660" w:hanging="660"/>
        <w:rPr>
          <w:lang w:val="hu-HU"/>
        </w:rPr>
      </w:pPr>
      <w:r>
        <w:rPr>
          <w:rFonts w:eastAsia="Times New Roman"/>
          <w:lang w:val="hu-HU"/>
        </w:rPr>
        <w:t>szélütés</w:t>
      </w:r>
    </w:p>
    <w:p w14:paraId="6D32321A" w14:textId="77777777" w:rsidR="00130E8B" w:rsidRDefault="000405CC">
      <w:pPr>
        <w:pStyle w:val="a3"/>
        <w:numPr>
          <w:ilvl w:val="0"/>
          <w:numId w:val="15"/>
        </w:numPr>
        <w:ind w:left="660" w:hanging="660"/>
        <w:rPr>
          <w:lang w:val="hu-HU"/>
        </w:rPr>
      </w:pPr>
      <w:r>
        <w:rPr>
          <w:rFonts w:eastAsia="Times New Roman"/>
          <w:lang w:val="hu-HU"/>
        </w:rPr>
        <w:t>halláscsökkenés, fülzúgás</w:t>
      </w:r>
    </w:p>
    <w:p w14:paraId="39B90F80" w14:textId="77777777" w:rsidR="00130E8B" w:rsidRDefault="000405CC">
      <w:pPr>
        <w:pStyle w:val="a3"/>
        <w:numPr>
          <w:ilvl w:val="0"/>
          <w:numId w:val="15"/>
        </w:numPr>
        <w:ind w:left="660" w:hanging="660"/>
        <w:rPr>
          <w:lang w:val="hu-HU"/>
        </w:rPr>
      </w:pPr>
      <w:r>
        <w:rPr>
          <w:rFonts w:eastAsia="Times New Roman"/>
          <w:lang w:val="hu-HU"/>
        </w:rPr>
        <w:t>szabálytalan szívverés érzése, mint például kimaradó szívverés</w:t>
      </w:r>
    </w:p>
    <w:p w14:paraId="0B946550" w14:textId="77777777" w:rsidR="00130E8B" w:rsidRDefault="000405CC">
      <w:pPr>
        <w:pStyle w:val="a3"/>
        <w:numPr>
          <w:ilvl w:val="0"/>
          <w:numId w:val="15"/>
        </w:numPr>
        <w:ind w:left="660" w:hanging="660"/>
        <w:rPr>
          <w:lang w:val="hu-HU"/>
        </w:rPr>
      </w:pPr>
      <w:r>
        <w:rPr>
          <w:rFonts w:eastAsia="Times New Roman"/>
          <w:lang w:val="hu-HU"/>
        </w:rPr>
        <w:t>szívproblémák, amelyek például nehézlégzést vagy bokadagadást okozhatnak</w:t>
      </w:r>
    </w:p>
    <w:p w14:paraId="56FF704C" w14:textId="77777777" w:rsidR="00130E8B" w:rsidRDefault="000405CC">
      <w:pPr>
        <w:pStyle w:val="a3"/>
        <w:numPr>
          <w:ilvl w:val="0"/>
          <w:numId w:val="15"/>
        </w:numPr>
        <w:ind w:left="660" w:hanging="660"/>
        <w:rPr>
          <w:lang w:val="hu-HU"/>
        </w:rPr>
      </w:pPr>
      <w:r>
        <w:rPr>
          <w:rFonts w:eastAsia="Times New Roman"/>
          <w:lang w:val="hu-HU"/>
        </w:rPr>
        <w:t>szívroham</w:t>
      </w:r>
    </w:p>
    <w:p w14:paraId="20840354" w14:textId="77777777" w:rsidR="00130E8B" w:rsidRDefault="000405CC">
      <w:pPr>
        <w:pStyle w:val="a3"/>
        <w:numPr>
          <w:ilvl w:val="0"/>
          <w:numId w:val="15"/>
        </w:numPr>
        <w:ind w:left="660" w:hanging="660"/>
        <w:rPr>
          <w:lang w:val="hu-HU"/>
        </w:rPr>
      </w:pPr>
      <w:r>
        <w:rPr>
          <w:rFonts w:eastAsia="Times New Roman"/>
          <w:lang w:val="hu-HU"/>
        </w:rPr>
        <w:t>kiöblösödés valamely nagy ütőérben, gyulladás és vérrögképződes valamelyik vénában, érelzáródás</w:t>
      </w:r>
    </w:p>
    <w:p w14:paraId="038080B1" w14:textId="182826F3" w:rsidR="00130E8B" w:rsidRDefault="000405CC">
      <w:pPr>
        <w:pStyle w:val="a3"/>
        <w:numPr>
          <w:ilvl w:val="0"/>
          <w:numId w:val="15"/>
        </w:numPr>
        <w:ind w:left="660" w:hanging="660"/>
        <w:rPr>
          <w:lang w:val="hu-HU"/>
        </w:rPr>
      </w:pPr>
      <w:r>
        <w:rPr>
          <w:rFonts w:eastAsia="Times New Roman"/>
          <w:lang w:val="hu-HU"/>
        </w:rPr>
        <w:t>nehézlégz</w:t>
      </w:r>
      <w:r w:rsidR="00C4148F">
        <w:rPr>
          <w:rFonts w:eastAsia="Times New Roman"/>
          <w:lang w:val="hu-HU"/>
        </w:rPr>
        <w:t>é</w:t>
      </w:r>
      <w:r>
        <w:rPr>
          <w:rFonts w:eastAsia="Times New Roman"/>
          <w:lang w:val="hu-HU"/>
        </w:rPr>
        <w:t>st okozó tüdőbetegségek (beleértve a gyulladást is)</w:t>
      </w:r>
    </w:p>
    <w:p w14:paraId="73D5AB3D" w14:textId="77777777" w:rsidR="00130E8B" w:rsidRDefault="000405CC">
      <w:pPr>
        <w:pStyle w:val="a3"/>
        <w:numPr>
          <w:ilvl w:val="0"/>
          <w:numId w:val="15"/>
        </w:numPr>
        <w:ind w:left="660" w:hanging="660"/>
        <w:rPr>
          <w:lang w:val="hu-HU"/>
        </w:rPr>
      </w:pPr>
      <w:r>
        <w:rPr>
          <w:rFonts w:eastAsia="Times New Roman"/>
          <w:lang w:val="hu-HU"/>
        </w:rPr>
        <w:t>tüdőembólia (a tüdőt ellátó ér elzáródása)</w:t>
      </w:r>
    </w:p>
    <w:p w14:paraId="6717320D" w14:textId="576AEB3A" w:rsidR="00130E8B" w:rsidRDefault="000405CC">
      <w:pPr>
        <w:pStyle w:val="a3"/>
        <w:numPr>
          <w:ilvl w:val="0"/>
          <w:numId w:val="15"/>
        </w:numPr>
        <w:ind w:left="660" w:hanging="660"/>
        <w:rPr>
          <w:lang w:val="hu-HU"/>
        </w:rPr>
      </w:pPr>
      <w:r>
        <w:rPr>
          <w:rFonts w:eastAsia="Times New Roman"/>
          <w:lang w:val="hu-HU"/>
        </w:rPr>
        <w:t xml:space="preserve">pleurális folyadékgyülem (rendellenes folyadékgyülem a </w:t>
      </w:r>
      <w:r w:rsidR="00C4148F" w:rsidRPr="00D44CC9">
        <w:rPr>
          <w:rFonts w:eastAsia="Times New Roman"/>
          <w:lang w:val="hu-HU"/>
        </w:rPr>
        <w:t>mellkasi</w:t>
      </w:r>
      <w:r w:rsidR="00C4148F">
        <w:rPr>
          <w:rFonts w:eastAsia="Times New Roman"/>
          <w:lang w:val="hu-HU"/>
        </w:rPr>
        <w:t xml:space="preserve"> </w:t>
      </w:r>
      <w:r>
        <w:rPr>
          <w:rFonts w:eastAsia="Times New Roman"/>
          <w:lang w:val="hu-HU"/>
        </w:rPr>
        <w:t>térben)</w:t>
      </w:r>
    </w:p>
    <w:p w14:paraId="7FE81654" w14:textId="77777777" w:rsidR="00130E8B" w:rsidRDefault="000405CC">
      <w:pPr>
        <w:pStyle w:val="a3"/>
        <w:numPr>
          <w:ilvl w:val="0"/>
          <w:numId w:val="15"/>
        </w:numPr>
        <w:ind w:left="660" w:hanging="660"/>
        <w:rPr>
          <w:lang w:val="hu-HU"/>
        </w:rPr>
      </w:pPr>
      <w:r>
        <w:rPr>
          <w:rFonts w:eastAsia="Times New Roman"/>
          <w:lang w:val="hu-HU"/>
        </w:rPr>
        <w:t>hasnyálmirigy-gyulladás ami erős hasi fájdalmat es hátfájást okoz</w:t>
      </w:r>
    </w:p>
    <w:p w14:paraId="05AD8D27" w14:textId="77777777" w:rsidR="00130E8B" w:rsidRDefault="000405CC">
      <w:pPr>
        <w:pStyle w:val="a3"/>
        <w:numPr>
          <w:ilvl w:val="0"/>
          <w:numId w:val="15"/>
        </w:numPr>
        <w:ind w:left="660" w:hanging="660"/>
        <w:rPr>
          <w:lang w:val="hu-HU"/>
        </w:rPr>
      </w:pPr>
      <w:r>
        <w:rPr>
          <w:rFonts w:eastAsia="Times New Roman"/>
          <w:lang w:val="hu-HU"/>
        </w:rPr>
        <w:t>nyelési nehézség</w:t>
      </w:r>
    </w:p>
    <w:p w14:paraId="6E0CD5BA" w14:textId="77777777" w:rsidR="00130E8B" w:rsidRDefault="000405CC">
      <w:pPr>
        <w:pStyle w:val="a3"/>
        <w:numPr>
          <w:ilvl w:val="0"/>
          <w:numId w:val="15"/>
        </w:numPr>
        <w:ind w:left="660" w:hanging="660"/>
        <w:rPr>
          <w:lang w:val="hu-HU"/>
        </w:rPr>
      </w:pPr>
      <w:r>
        <w:rPr>
          <w:rFonts w:eastAsia="Times New Roman"/>
          <w:lang w:val="hu-HU"/>
        </w:rPr>
        <w:t>az arc feldagadása</w:t>
      </w:r>
    </w:p>
    <w:p w14:paraId="7D702220" w14:textId="77777777" w:rsidR="00130E8B" w:rsidRDefault="000405CC">
      <w:pPr>
        <w:pStyle w:val="a3"/>
        <w:numPr>
          <w:ilvl w:val="0"/>
          <w:numId w:val="15"/>
        </w:numPr>
        <w:ind w:left="660" w:hanging="660"/>
        <w:rPr>
          <w:lang w:val="hu-HU"/>
        </w:rPr>
      </w:pPr>
      <w:r>
        <w:rPr>
          <w:rFonts w:eastAsia="Times New Roman"/>
          <w:lang w:val="hu-HU"/>
        </w:rPr>
        <w:t>epehólyaggyulladás, epehólyagkő</w:t>
      </w:r>
    </w:p>
    <w:p w14:paraId="51DA12A5" w14:textId="77777777" w:rsidR="00130E8B" w:rsidRDefault="000405CC">
      <w:pPr>
        <w:pStyle w:val="a3"/>
        <w:numPr>
          <w:ilvl w:val="0"/>
          <w:numId w:val="15"/>
        </w:numPr>
        <w:ind w:left="660" w:hanging="660"/>
        <w:rPr>
          <w:lang w:val="hu-HU"/>
        </w:rPr>
      </w:pPr>
      <w:r>
        <w:rPr>
          <w:rFonts w:eastAsia="Times New Roman"/>
          <w:lang w:val="hu-HU"/>
        </w:rPr>
        <w:t>zsírmáj</w:t>
      </w:r>
    </w:p>
    <w:p w14:paraId="360A28DF" w14:textId="77777777" w:rsidR="00130E8B" w:rsidRDefault="000405CC">
      <w:pPr>
        <w:pStyle w:val="a3"/>
        <w:numPr>
          <w:ilvl w:val="0"/>
          <w:numId w:val="15"/>
        </w:numPr>
        <w:ind w:left="660" w:hanging="660"/>
        <w:rPr>
          <w:lang w:val="hu-HU"/>
        </w:rPr>
      </w:pPr>
      <w:r>
        <w:rPr>
          <w:rFonts w:eastAsia="Times New Roman"/>
          <w:lang w:val="hu-HU"/>
        </w:rPr>
        <w:t>éjszakai verítékezés</w:t>
      </w:r>
    </w:p>
    <w:p w14:paraId="3ECEC030" w14:textId="77777777" w:rsidR="00130E8B" w:rsidRDefault="000405CC">
      <w:pPr>
        <w:pStyle w:val="a3"/>
        <w:numPr>
          <w:ilvl w:val="0"/>
          <w:numId w:val="15"/>
        </w:numPr>
        <w:ind w:left="660" w:hanging="660"/>
        <w:rPr>
          <w:lang w:val="hu-HU"/>
        </w:rPr>
      </w:pPr>
      <w:r>
        <w:rPr>
          <w:rFonts w:eastAsia="Times New Roman"/>
          <w:lang w:val="hu-HU"/>
        </w:rPr>
        <w:t>hegképződés</w:t>
      </w:r>
    </w:p>
    <w:p w14:paraId="1CAFCEBA" w14:textId="77777777" w:rsidR="00130E8B" w:rsidRDefault="000405CC">
      <w:pPr>
        <w:pStyle w:val="a3"/>
        <w:numPr>
          <w:ilvl w:val="0"/>
          <w:numId w:val="15"/>
        </w:numPr>
        <w:ind w:left="660" w:hanging="660"/>
        <w:rPr>
          <w:lang w:val="hu-HU"/>
        </w:rPr>
      </w:pPr>
      <w:r>
        <w:rPr>
          <w:rFonts w:eastAsia="Times New Roman"/>
          <w:lang w:val="hu-HU"/>
        </w:rPr>
        <w:t>az izomszövet kóros szétesése</w:t>
      </w:r>
    </w:p>
    <w:p w14:paraId="1F9A6E85" w14:textId="77777777" w:rsidR="00130E8B" w:rsidRDefault="000405CC">
      <w:pPr>
        <w:pStyle w:val="a3"/>
        <w:numPr>
          <w:ilvl w:val="0"/>
          <w:numId w:val="15"/>
        </w:numPr>
        <w:ind w:left="660" w:hanging="660"/>
        <w:rPr>
          <w:rFonts w:eastAsia="Times New Roman"/>
          <w:spacing w:val="-1"/>
          <w:lang w:val="hu-HU"/>
        </w:rPr>
      </w:pPr>
      <w:r>
        <w:rPr>
          <w:rFonts w:eastAsia="Times New Roman"/>
          <w:lang w:val="hu-HU"/>
        </w:rPr>
        <w:t>szisztémás lupusz eritematózusz (beleértve a bőr, a szív, a tüdő, az ízületek és más szervrendszerek gyulladását)</w:t>
      </w:r>
    </w:p>
    <w:p w14:paraId="028E9998" w14:textId="77777777" w:rsidR="00130E8B" w:rsidRDefault="000405CC">
      <w:pPr>
        <w:pStyle w:val="a3"/>
        <w:numPr>
          <w:ilvl w:val="0"/>
          <w:numId w:val="15"/>
        </w:numPr>
        <w:ind w:left="660" w:hanging="660"/>
        <w:rPr>
          <w:lang w:val="hu-HU"/>
        </w:rPr>
      </w:pPr>
      <w:r>
        <w:rPr>
          <w:rFonts w:eastAsia="Times New Roman"/>
          <w:lang w:val="hu-HU"/>
        </w:rPr>
        <w:t>az alvás megszakadása</w:t>
      </w:r>
    </w:p>
    <w:p w14:paraId="33A71551" w14:textId="77777777" w:rsidR="00130E8B" w:rsidRDefault="000405CC">
      <w:pPr>
        <w:pStyle w:val="a3"/>
        <w:numPr>
          <w:ilvl w:val="0"/>
          <w:numId w:val="15"/>
        </w:numPr>
        <w:ind w:left="660" w:hanging="660"/>
        <w:rPr>
          <w:lang w:val="hu-HU"/>
        </w:rPr>
      </w:pPr>
      <w:r>
        <w:rPr>
          <w:rFonts w:eastAsia="Times New Roman"/>
          <w:lang w:val="hu-HU"/>
        </w:rPr>
        <w:t>merevedési zavar</w:t>
      </w:r>
    </w:p>
    <w:p w14:paraId="2BE987A4" w14:textId="77777777" w:rsidR="00130E8B" w:rsidRDefault="000405CC">
      <w:pPr>
        <w:pStyle w:val="a3"/>
        <w:numPr>
          <w:ilvl w:val="0"/>
          <w:numId w:val="15"/>
        </w:numPr>
        <w:ind w:left="660" w:hanging="660"/>
        <w:rPr>
          <w:lang w:val="hu-HU"/>
        </w:rPr>
      </w:pPr>
      <w:r>
        <w:rPr>
          <w:rFonts w:eastAsia="Times New Roman"/>
          <w:lang w:val="hu-HU"/>
        </w:rPr>
        <w:t>gyulladások</w:t>
      </w:r>
    </w:p>
    <w:p w14:paraId="3905666F" w14:textId="77777777" w:rsidR="00130E8B" w:rsidRDefault="00130E8B">
      <w:pPr>
        <w:spacing w:before="13" w:line="240" w:lineRule="exact"/>
        <w:rPr>
          <w:sz w:val="24"/>
          <w:szCs w:val="24"/>
          <w:lang w:val="hu-HU"/>
        </w:rPr>
      </w:pPr>
    </w:p>
    <w:p w14:paraId="1F379195" w14:textId="047AD629" w:rsidR="00130E8B" w:rsidRDefault="000405CC">
      <w:pPr>
        <w:pStyle w:val="a3"/>
        <w:rPr>
          <w:lang w:val="hu-HU"/>
        </w:rPr>
      </w:pPr>
      <w:r>
        <w:rPr>
          <w:rFonts w:eastAsia="Times New Roman"/>
          <w:b/>
          <w:bCs/>
          <w:lang w:val="hu-HU"/>
        </w:rPr>
        <w:t xml:space="preserve">Ritka </w:t>
      </w:r>
      <w:r>
        <w:rPr>
          <w:rFonts w:eastAsia="Times New Roman"/>
          <w:lang w:val="hu-HU"/>
        </w:rPr>
        <w:t>(1000 beteg közül legfeljebb 1-nél kialakuló)</w:t>
      </w:r>
    </w:p>
    <w:p w14:paraId="31D8D221" w14:textId="77777777" w:rsidR="00130E8B" w:rsidRDefault="00130E8B">
      <w:pPr>
        <w:spacing w:before="12" w:line="240" w:lineRule="exact"/>
        <w:rPr>
          <w:sz w:val="24"/>
          <w:szCs w:val="24"/>
          <w:lang w:val="hu-HU"/>
        </w:rPr>
      </w:pPr>
    </w:p>
    <w:p w14:paraId="6601FD06" w14:textId="77777777" w:rsidR="00130E8B" w:rsidRDefault="000405CC">
      <w:pPr>
        <w:pStyle w:val="a3"/>
        <w:numPr>
          <w:ilvl w:val="0"/>
          <w:numId w:val="15"/>
        </w:numPr>
        <w:ind w:left="660" w:hanging="660"/>
        <w:rPr>
          <w:lang w:val="hu-HU"/>
        </w:rPr>
      </w:pPr>
      <w:r>
        <w:rPr>
          <w:rFonts w:eastAsia="Times New Roman"/>
          <w:lang w:val="hu-HU"/>
        </w:rPr>
        <w:t>leukémia (fehérvérűség, a vérképző rendszer daganata, ami a csontvelőt érinti)</w:t>
      </w:r>
    </w:p>
    <w:p w14:paraId="7554C27E" w14:textId="77777777" w:rsidR="00130E8B" w:rsidRDefault="000405CC">
      <w:pPr>
        <w:pStyle w:val="a3"/>
        <w:numPr>
          <w:ilvl w:val="0"/>
          <w:numId w:val="15"/>
        </w:numPr>
        <w:ind w:left="660" w:hanging="660"/>
        <w:rPr>
          <w:lang w:val="hu-HU"/>
        </w:rPr>
      </w:pPr>
      <w:r>
        <w:rPr>
          <w:rFonts w:eastAsia="Times New Roman"/>
          <w:lang w:val="hu-HU"/>
        </w:rPr>
        <w:t>súlyos, sokkot okozó allergiás reakció</w:t>
      </w:r>
    </w:p>
    <w:p w14:paraId="4FB64A84" w14:textId="77777777" w:rsidR="00130E8B" w:rsidRDefault="000405CC">
      <w:pPr>
        <w:pStyle w:val="a3"/>
        <w:numPr>
          <w:ilvl w:val="0"/>
          <w:numId w:val="15"/>
        </w:numPr>
        <w:ind w:left="660" w:hanging="660"/>
        <w:rPr>
          <w:lang w:val="hu-HU"/>
        </w:rPr>
      </w:pPr>
      <w:r>
        <w:rPr>
          <w:rFonts w:eastAsia="Times New Roman"/>
          <w:lang w:val="hu-HU"/>
        </w:rPr>
        <w:t>szklerózis multiplex</w:t>
      </w:r>
    </w:p>
    <w:p w14:paraId="1F5595C7" w14:textId="3BCEFDB1" w:rsidR="00130E8B" w:rsidRDefault="000405CC">
      <w:pPr>
        <w:pStyle w:val="a3"/>
        <w:numPr>
          <w:ilvl w:val="0"/>
          <w:numId w:val="15"/>
        </w:numPr>
        <w:ind w:left="660" w:hanging="660"/>
        <w:rPr>
          <w:lang w:val="hu-HU"/>
        </w:rPr>
      </w:pPr>
      <w:r>
        <w:rPr>
          <w:rFonts w:eastAsia="Times New Roman"/>
          <w:lang w:val="hu-HU"/>
        </w:rPr>
        <w:t>ideggyógyászati betegségek (</w:t>
      </w:r>
      <w:r w:rsidR="00E712D7">
        <w:rPr>
          <w:rFonts w:eastAsia="Times New Roman"/>
          <w:lang w:val="hu-HU"/>
        </w:rPr>
        <w:t>például</w:t>
      </w:r>
      <w:r>
        <w:rPr>
          <w:rFonts w:eastAsia="Times New Roman"/>
          <w:lang w:val="hu-HU"/>
        </w:rPr>
        <w:t xml:space="preserve"> a látóideg gyulladása vagy Guillain–Barré-</w:t>
      </w:r>
      <w:r w:rsidR="00C4148F" w:rsidRPr="00887A75">
        <w:rPr>
          <w:rFonts w:eastAsia="Times New Roman"/>
          <w:lang w:val="hu-HU"/>
        </w:rPr>
        <w:t>tünetegyüttes</w:t>
      </w:r>
      <w:r>
        <w:rPr>
          <w:rFonts w:eastAsia="Times New Roman"/>
          <w:lang w:val="hu-HU"/>
        </w:rPr>
        <w:t>, ami izomgyengeséget, érzészavart, a karok és a felsőtest zsibbadását okozhatja)</w:t>
      </w:r>
    </w:p>
    <w:p w14:paraId="315FB562" w14:textId="77777777" w:rsidR="00130E8B" w:rsidRDefault="000405CC">
      <w:pPr>
        <w:pStyle w:val="a3"/>
        <w:numPr>
          <w:ilvl w:val="0"/>
          <w:numId w:val="15"/>
        </w:numPr>
        <w:ind w:left="660" w:hanging="660"/>
        <w:rPr>
          <w:lang w:val="hu-HU"/>
        </w:rPr>
      </w:pPr>
      <w:r>
        <w:rPr>
          <w:rFonts w:eastAsia="Times New Roman"/>
          <w:lang w:val="hu-HU"/>
        </w:rPr>
        <w:t>szívleállás</w:t>
      </w:r>
    </w:p>
    <w:p w14:paraId="3FBE2C05" w14:textId="77777777" w:rsidR="00130E8B" w:rsidRDefault="000405CC">
      <w:pPr>
        <w:pStyle w:val="a3"/>
        <w:numPr>
          <w:ilvl w:val="0"/>
          <w:numId w:val="15"/>
        </w:numPr>
        <w:ind w:left="660" w:hanging="660"/>
        <w:rPr>
          <w:lang w:val="hu-HU"/>
        </w:rPr>
      </w:pPr>
      <w:r>
        <w:rPr>
          <w:rFonts w:eastAsia="Times New Roman"/>
          <w:lang w:val="hu-HU"/>
        </w:rPr>
        <w:t>tüdőfibrózis (tüdőhegesedés)</w:t>
      </w:r>
    </w:p>
    <w:p w14:paraId="7DAB973A" w14:textId="78DBDA59" w:rsidR="00130E8B" w:rsidRDefault="0095248B">
      <w:pPr>
        <w:pStyle w:val="a3"/>
        <w:numPr>
          <w:ilvl w:val="0"/>
          <w:numId w:val="15"/>
        </w:numPr>
        <w:ind w:left="660" w:hanging="660"/>
        <w:rPr>
          <w:lang w:val="hu-HU"/>
        </w:rPr>
      </w:pPr>
      <w:r w:rsidRPr="00545FC6">
        <w:rPr>
          <w:lang w:val="hu-HU"/>
        </w:rPr>
        <w:t>bél átlyukadás</w:t>
      </w:r>
    </w:p>
    <w:p w14:paraId="3AD57CFD" w14:textId="77777777" w:rsidR="00130E8B" w:rsidRDefault="000405CC">
      <w:pPr>
        <w:pStyle w:val="a3"/>
        <w:numPr>
          <w:ilvl w:val="0"/>
          <w:numId w:val="15"/>
        </w:numPr>
        <w:ind w:left="660" w:hanging="660"/>
        <w:rPr>
          <w:lang w:val="hu-HU"/>
        </w:rPr>
      </w:pPr>
      <w:r>
        <w:rPr>
          <w:rFonts w:eastAsia="Times New Roman"/>
          <w:lang w:val="hu-HU"/>
        </w:rPr>
        <w:t>májgyulladás</w:t>
      </w:r>
    </w:p>
    <w:p w14:paraId="2B28C58F" w14:textId="77777777" w:rsidR="00130E8B" w:rsidRDefault="000405CC">
      <w:pPr>
        <w:pStyle w:val="a3"/>
        <w:numPr>
          <w:ilvl w:val="0"/>
          <w:numId w:val="15"/>
        </w:numPr>
        <w:ind w:left="660" w:hanging="660"/>
        <w:rPr>
          <w:lang w:val="hu-HU"/>
        </w:rPr>
      </w:pPr>
      <w:r>
        <w:rPr>
          <w:rFonts w:eastAsia="Times New Roman"/>
          <w:lang w:val="hu-HU"/>
        </w:rPr>
        <w:t>B típusú fertőző májgyulladás kiújulása</w:t>
      </w:r>
    </w:p>
    <w:p w14:paraId="562FDC02" w14:textId="77777777" w:rsidR="00130E8B" w:rsidRDefault="000405CC">
      <w:pPr>
        <w:pStyle w:val="a3"/>
        <w:numPr>
          <w:ilvl w:val="0"/>
          <w:numId w:val="15"/>
        </w:numPr>
        <w:ind w:left="660" w:hanging="660"/>
        <w:rPr>
          <w:lang w:val="hu-HU"/>
        </w:rPr>
      </w:pPr>
      <w:r>
        <w:rPr>
          <w:rFonts w:eastAsia="Times New Roman"/>
          <w:lang w:val="hu-HU"/>
        </w:rPr>
        <w:t>autoimmun májgyulladás (a máj gyulladása, melyet a saját immunrendszer vált ki)</w:t>
      </w:r>
    </w:p>
    <w:p w14:paraId="0518297F" w14:textId="255492A7" w:rsidR="00130E8B" w:rsidRDefault="008D6BE0">
      <w:pPr>
        <w:pStyle w:val="a3"/>
        <w:numPr>
          <w:ilvl w:val="0"/>
          <w:numId w:val="15"/>
        </w:numPr>
        <w:ind w:left="660" w:hanging="660"/>
        <w:rPr>
          <w:lang w:val="hu-HU"/>
        </w:rPr>
      </w:pPr>
      <w:r>
        <w:rPr>
          <w:rFonts w:eastAsia="Times New Roman"/>
          <w:lang w:val="hu-HU"/>
        </w:rPr>
        <w:t xml:space="preserve">a bőrben található erek gyulladása </w:t>
      </w:r>
      <w:r w:rsidR="000405CC">
        <w:rPr>
          <w:rFonts w:eastAsia="Times New Roman"/>
          <w:lang w:val="hu-HU"/>
        </w:rPr>
        <w:t>(</w:t>
      </w:r>
      <w:r>
        <w:rPr>
          <w:rFonts w:eastAsia="Times New Roman"/>
          <w:lang w:val="hu-HU"/>
        </w:rPr>
        <w:t>kután vaszkulitisz</w:t>
      </w:r>
      <w:r w:rsidR="000405CC">
        <w:rPr>
          <w:rFonts w:eastAsia="Times New Roman"/>
          <w:lang w:val="hu-HU"/>
        </w:rPr>
        <w:t>)</w:t>
      </w:r>
    </w:p>
    <w:p w14:paraId="0AFCAEC7" w14:textId="77777777" w:rsidR="00130E8B" w:rsidRDefault="000405CC">
      <w:pPr>
        <w:pStyle w:val="a3"/>
        <w:numPr>
          <w:ilvl w:val="0"/>
          <w:numId w:val="15"/>
        </w:numPr>
        <w:ind w:left="660" w:hanging="660"/>
        <w:rPr>
          <w:lang w:val="hu-HU"/>
        </w:rPr>
      </w:pPr>
      <w:r>
        <w:rPr>
          <w:rFonts w:eastAsia="Times New Roman"/>
          <w:lang w:val="hu-HU"/>
        </w:rPr>
        <w:t>Stevens–Johnson-szindróma (korai tünetei a rossz közérzet, láz, fejfájás és bőrkiütés)</w:t>
      </w:r>
    </w:p>
    <w:p w14:paraId="1AC9C044" w14:textId="77777777" w:rsidR="00130E8B" w:rsidRDefault="000405CC">
      <w:pPr>
        <w:pStyle w:val="a3"/>
        <w:numPr>
          <w:ilvl w:val="0"/>
          <w:numId w:val="15"/>
        </w:numPr>
        <w:ind w:left="660" w:hanging="660"/>
        <w:rPr>
          <w:lang w:val="hu-HU"/>
        </w:rPr>
      </w:pPr>
      <w:r>
        <w:rPr>
          <w:rFonts w:eastAsia="Times New Roman"/>
          <w:lang w:val="hu-HU"/>
        </w:rPr>
        <w:t>arcduzzanat, amit allergiás reakció kísér</w:t>
      </w:r>
    </w:p>
    <w:p w14:paraId="48E1BE7A" w14:textId="752A0F79" w:rsidR="00130E8B" w:rsidRDefault="008D6BE0">
      <w:pPr>
        <w:pStyle w:val="a3"/>
        <w:numPr>
          <w:ilvl w:val="0"/>
          <w:numId w:val="15"/>
        </w:numPr>
        <w:ind w:left="660" w:hanging="660"/>
        <w:rPr>
          <w:lang w:val="hu-HU"/>
        </w:rPr>
      </w:pPr>
      <w:r>
        <w:rPr>
          <w:rFonts w:eastAsia="Times New Roman"/>
          <w:lang w:val="hu-HU"/>
        </w:rPr>
        <w:t xml:space="preserve">gyulladásos bőrkiütés </w:t>
      </w:r>
      <w:r w:rsidR="000405CC">
        <w:rPr>
          <w:rFonts w:eastAsia="Times New Roman"/>
          <w:lang w:val="hu-HU"/>
        </w:rPr>
        <w:t>(</w:t>
      </w:r>
      <w:r>
        <w:rPr>
          <w:rFonts w:eastAsia="Times New Roman"/>
          <w:lang w:val="hu-HU"/>
        </w:rPr>
        <w:t>eritéma multiforme</w:t>
      </w:r>
      <w:r w:rsidR="000405CC">
        <w:rPr>
          <w:rFonts w:eastAsia="Times New Roman"/>
          <w:lang w:val="hu-HU"/>
        </w:rPr>
        <w:t>)</w:t>
      </w:r>
    </w:p>
    <w:p w14:paraId="17553CFE" w14:textId="77777777" w:rsidR="00130E8B" w:rsidRDefault="000405CC">
      <w:pPr>
        <w:pStyle w:val="a3"/>
        <w:numPr>
          <w:ilvl w:val="0"/>
          <w:numId w:val="15"/>
        </w:numPr>
        <w:ind w:left="660" w:hanging="660"/>
        <w:rPr>
          <w:lang w:val="hu-HU"/>
        </w:rPr>
      </w:pPr>
      <w:r>
        <w:rPr>
          <w:rFonts w:eastAsia="Times New Roman"/>
          <w:lang w:val="hu-HU"/>
        </w:rPr>
        <w:t>lupusz-szerű szindróma</w:t>
      </w:r>
    </w:p>
    <w:p w14:paraId="3C119A9D" w14:textId="4FACA178" w:rsidR="00130E8B" w:rsidRDefault="008D6BE0">
      <w:pPr>
        <w:pStyle w:val="a3"/>
        <w:numPr>
          <w:ilvl w:val="0"/>
          <w:numId w:val="15"/>
        </w:numPr>
        <w:ind w:left="660" w:hanging="660"/>
        <w:rPr>
          <w:lang w:val="hu-HU"/>
        </w:rPr>
      </w:pPr>
      <w:r>
        <w:rPr>
          <w:rFonts w:eastAsia="Times New Roman"/>
          <w:lang w:val="hu-HU"/>
        </w:rPr>
        <w:t>helyi bőrduzzanat</w:t>
      </w:r>
      <w:r w:rsidR="000405CC">
        <w:rPr>
          <w:rFonts w:eastAsia="Times New Roman"/>
          <w:lang w:val="hu-HU"/>
        </w:rPr>
        <w:t xml:space="preserve"> (</w:t>
      </w:r>
      <w:r>
        <w:rPr>
          <w:rFonts w:eastAsia="Times New Roman"/>
          <w:lang w:val="hu-HU"/>
        </w:rPr>
        <w:t>angioödéma</w:t>
      </w:r>
      <w:r w:rsidR="000405CC">
        <w:rPr>
          <w:rFonts w:eastAsia="Times New Roman"/>
          <w:lang w:val="hu-HU"/>
        </w:rPr>
        <w:t>)</w:t>
      </w:r>
    </w:p>
    <w:p w14:paraId="0A6557AC" w14:textId="77777777" w:rsidR="00130E8B" w:rsidRDefault="000405CC">
      <w:pPr>
        <w:pStyle w:val="a3"/>
        <w:numPr>
          <w:ilvl w:val="0"/>
          <w:numId w:val="15"/>
        </w:numPr>
        <w:ind w:left="660" w:hanging="660"/>
        <w:rPr>
          <w:lang w:val="hu-HU"/>
        </w:rPr>
      </w:pPr>
      <w:r>
        <w:rPr>
          <w:rFonts w:eastAsia="Times New Roman"/>
          <w:lang w:val="hu-HU"/>
        </w:rPr>
        <w:t>lichenoid bőrreakció (viszkető, vöröses-lilás bőrkiütés).</w:t>
      </w:r>
    </w:p>
    <w:p w14:paraId="6CE124C4" w14:textId="77777777" w:rsidR="00130E8B" w:rsidRDefault="00130E8B">
      <w:pPr>
        <w:spacing w:before="10" w:line="240" w:lineRule="exact"/>
        <w:rPr>
          <w:sz w:val="24"/>
          <w:szCs w:val="24"/>
          <w:lang w:val="hu-HU"/>
        </w:rPr>
      </w:pPr>
    </w:p>
    <w:p w14:paraId="144C77C1" w14:textId="2CBB5F3F" w:rsidR="00130E8B" w:rsidRDefault="000405CC">
      <w:pPr>
        <w:pStyle w:val="a3"/>
        <w:rPr>
          <w:lang w:val="hu-HU"/>
        </w:rPr>
      </w:pPr>
      <w:r>
        <w:rPr>
          <w:rFonts w:eastAsia="Times New Roman"/>
          <w:b/>
          <w:bCs/>
          <w:lang w:val="hu-HU"/>
        </w:rPr>
        <w:t>Nem ismert</w:t>
      </w:r>
      <w:r>
        <w:rPr>
          <w:rFonts w:eastAsia="Times New Roman"/>
          <w:lang w:val="hu-HU"/>
        </w:rPr>
        <w:t xml:space="preserve"> (a gyakoriság a rendelkezésre álló adatokból nem állapítható meg)</w:t>
      </w:r>
    </w:p>
    <w:p w14:paraId="549AE707" w14:textId="77777777" w:rsidR="00130E8B" w:rsidRDefault="00130E8B">
      <w:pPr>
        <w:spacing w:before="14" w:line="240" w:lineRule="exact"/>
        <w:rPr>
          <w:sz w:val="24"/>
          <w:szCs w:val="24"/>
          <w:lang w:val="hu-HU"/>
        </w:rPr>
      </w:pPr>
    </w:p>
    <w:p w14:paraId="559DCF0F" w14:textId="77777777" w:rsidR="00130E8B" w:rsidRDefault="000405CC">
      <w:pPr>
        <w:pStyle w:val="a3"/>
        <w:numPr>
          <w:ilvl w:val="0"/>
          <w:numId w:val="15"/>
        </w:numPr>
        <w:ind w:left="660" w:hanging="660"/>
        <w:rPr>
          <w:lang w:val="hu-HU"/>
        </w:rPr>
      </w:pPr>
      <w:r>
        <w:rPr>
          <w:rFonts w:eastAsia="Times New Roman"/>
          <w:lang w:val="hu-HU"/>
        </w:rPr>
        <w:t>hepatoszplénikus T-sejtes limfóma (ritka vérrák, amely gyakran halálos kimenetelű)</w:t>
      </w:r>
    </w:p>
    <w:p w14:paraId="221D5249" w14:textId="77777777" w:rsidR="00130E8B" w:rsidRDefault="000405CC">
      <w:pPr>
        <w:pStyle w:val="a3"/>
        <w:numPr>
          <w:ilvl w:val="0"/>
          <w:numId w:val="15"/>
        </w:numPr>
        <w:ind w:left="660" w:hanging="660"/>
        <w:rPr>
          <w:lang w:val="hu-HU"/>
        </w:rPr>
      </w:pPr>
      <w:r>
        <w:rPr>
          <w:rFonts w:eastAsia="Times New Roman"/>
          <w:lang w:val="hu-HU"/>
        </w:rPr>
        <w:t>Merkel-sejtes karcinóma (a bőrrák egyik típusa)</w:t>
      </w:r>
    </w:p>
    <w:p w14:paraId="59EA7A35" w14:textId="586F6CF3" w:rsidR="00130E8B" w:rsidRDefault="000405CC">
      <w:pPr>
        <w:pStyle w:val="a3"/>
        <w:numPr>
          <w:ilvl w:val="0"/>
          <w:numId w:val="15"/>
        </w:numPr>
        <w:ind w:left="660" w:hanging="660"/>
        <w:rPr>
          <w:lang w:val="hu-HU"/>
        </w:rPr>
      </w:pPr>
      <w:r>
        <w:rPr>
          <w:rFonts w:eastAsia="Times New Roman"/>
          <w:lang w:val="hu-HU"/>
        </w:rPr>
        <w:lastRenderedPageBreak/>
        <w:t>Kaposi-szarkóma, egy ritka rák, amely humán herpeszvírus 8-fertőzéssel függ össze. A Kaposi</w:t>
      </w:r>
      <w:r w:rsidR="00C4148F">
        <w:rPr>
          <w:rFonts w:eastAsia="Times New Roman"/>
          <w:lang w:val="hu-HU"/>
        </w:rPr>
        <w:t>-</w:t>
      </w:r>
      <w:r>
        <w:rPr>
          <w:rFonts w:eastAsia="Times New Roman"/>
          <w:lang w:val="hu-HU"/>
        </w:rPr>
        <w:t xml:space="preserve">szarkóma leggyakrabban lila </w:t>
      </w:r>
      <w:r w:rsidR="00C4148F" w:rsidRPr="00485330">
        <w:rPr>
          <w:rFonts w:eastAsia="Times New Roman"/>
          <w:lang w:val="hu-HU"/>
        </w:rPr>
        <w:t>sérülésként</w:t>
      </w:r>
      <w:r w:rsidR="00C4148F">
        <w:rPr>
          <w:rFonts w:eastAsia="Times New Roman"/>
          <w:lang w:val="hu-HU"/>
        </w:rPr>
        <w:t xml:space="preserve"> </w:t>
      </w:r>
      <w:r>
        <w:rPr>
          <w:rFonts w:eastAsia="Times New Roman"/>
          <w:lang w:val="hu-HU"/>
        </w:rPr>
        <w:t>jelenik meg a bőrön.</w:t>
      </w:r>
    </w:p>
    <w:p w14:paraId="135F2C3B" w14:textId="77777777" w:rsidR="00130E8B" w:rsidRDefault="000405CC">
      <w:pPr>
        <w:pStyle w:val="a3"/>
        <w:numPr>
          <w:ilvl w:val="0"/>
          <w:numId w:val="15"/>
        </w:numPr>
        <w:ind w:left="660" w:hanging="660"/>
        <w:rPr>
          <w:lang w:val="hu-HU"/>
        </w:rPr>
      </w:pPr>
      <w:r>
        <w:rPr>
          <w:rFonts w:eastAsia="Times New Roman"/>
          <w:lang w:val="hu-HU"/>
        </w:rPr>
        <w:t>májelégtelenség</w:t>
      </w:r>
    </w:p>
    <w:p w14:paraId="45309944" w14:textId="03C2DEC8" w:rsidR="00130E8B" w:rsidRPr="00526958" w:rsidRDefault="000405CC">
      <w:pPr>
        <w:pStyle w:val="a3"/>
        <w:numPr>
          <w:ilvl w:val="0"/>
          <w:numId w:val="15"/>
        </w:numPr>
        <w:ind w:left="660" w:hanging="660"/>
        <w:rPr>
          <w:lang w:val="hu-HU"/>
        </w:rPr>
      </w:pPr>
      <w:r>
        <w:rPr>
          <w:rFonts w:eastAsia="Times New Roman"/>
          <w:lang w:val="hu-HU"/>
        </w:rPr>
        <w:t>dermatomiozitisz nevű betegség (izomgyengeséghez társult bőrkiütés formájában jelentkezik) súlyosbodása</w:t>
      </w:r>
    </w:p>
    <w:p w14:paraId="65E95307" w14:textId="45B38AAE" w:rsidR="00ED0DD9" w:rsidRPr="00ED0DD9" w:rsidRDefault="00C4148F">
      <w:pPr>
        <w:pStyle w:val="a3"/>
        <w:numPr>
          <w:ilvl w:val="0"/>
          <w:numId w:val="15"/>
        </w:numPr>
        <w:ind w:left="660" w:hanging="660"/>
        <w:rPr>
          <w:lang w:val="hu-HU"/>
        </w:rPr>
      </w:pPr>
      <w:r>
        <w:rPr>
          <w:rFonts w:eastAsia="Times New Roman"/>
          <w:lang w:val="hu-HU"/>
        </w:rPr>
        <w:t>t</w:t>
      </w:r>
      <w:r w:rsidR="00ED0DD9" w:rsidRPr="00ED0DD9">
        <w:rPr>
          <w:rFonts w:eastAsia="Times New Roman"/>
          <w:lang w:val="hu-HU"/>
        </w:rPr>
        <w:t>est</w:t>
      </w:r>
      <w:r w:rsidR="001E7A01">
        <w:rPr>
          <w:rFonts w:eastAsia="Times New Roman"/>
          <w:lang w:val="hu-HU"/>
        </w:rPr>
        <w:t>tömeg</w:t>
      </w:r>
      <w:r w:rsidR="00ED0DD9" w:rsidRPr="00ED0DD9">
        <w:rPr>
          <w:rFonts w:eastAsia="Times New Roman"/>
          <w:lang w:val="hu-HU"/>
        </w:rPr>
        <w:t>növekedés (a legtöbb betegnél ez kismértékű volt)</w:t>
      </w:r>
    </w:p>
    <w:p w14:paraId="7474AAA1" w14:textId="77777777" w:rsidR="00130E8B" w:rsidRDefault="00130E8B">
      <w:pPr>
        <w:spacing w:before="14" w:line="240" w:lineRule="exact"/>
        <w:rPr>
          <w:sz w:val="24"/>
          <w:szCs w:val="24"/>
          <w:lang w:val="hu-HU"/>
        </w:rPr>
      </w:pPr>
    </w:p>
    <w:p w14:paraId="3AC2D607" w14:textId="77777777" w:rsidR="00130E8B" w:rsidRDefault="000405CC">
      <w:pPr>
        <w:pStyle w:val="a3"/>
        <w:rPr>
          <w:lang w:val="hu-HU"/>
        </w:rPr>
      </w:pPr>
      <w:r>
        <w:rPr>
          <w:rFonts w:eastAsia="Times New Roman"/>
          <w:lang w:val="hu-HU"/>
        </w:rPr>
        <w:t>A Yuflyma alkalmazása során észlelt némelyik mellékhatás nem okoz tüneteket, és lehet, hogy csak vérvizsgálattal deríthető ki. Ezek köze tartozik:</w:t>
      </w:r>
    </w:p>
    <w:p w14:paraId="5F99A7FA" w14:textId="77777777" w:rsidR="00130E8B" w:rsidRDefault="00130E8B">
      <w:pPr>
        <w:pStyle w:val="a3"/>
        <w:rPr>
          <w:lang w:val="hu-HU"/>
        </w:rPr>
      </w:pPr>
    </w:p>
    <w:p w14:paraId="24CE0F11" w14:textId="77777777" w:rsidR="00130E8B" w:rsidRDefault="000405CC">
      <w:pPr>
        <w:pStyle w:val="a3"/>
        <w:rPr>
          <w:rFonts w:eastAsia="Times New Roman"/>
          <w:lang w:val="hu-HU"/>
        </w:rPr>
      </w:pPr>
      <w:r>
        <w:rPr>
          <w:rFonts w:eastAsia="Times New Roman"/>
          <w:b/>
          <w:bCs/>
          <w:spacing w:val="-1"/>
          <w:lang w:val="hu-HU"/>
        </w:rPr>
        <w:t xml:space="preserve">Nagyon gyakori </w:t>
      </w:r>
      <w:r>
        <w:rPr>
          <w:rFonts w:eastAsia="Times New Roman"/>
          <w:spacing w:val="-1"/>
          <w:lang w:val="hu-HU"/>
        </w:rPr>
        <w:t>(10 beteg közül több mint 1-nél kialakuló)</w:t>
      </w:r>
    </w:p>
    <w:p w14:paraId="1024D293" w14:textId="77777777" w:rsidR="00130E8B" w:rsidRDefault="00130E8B">
      <w:pPr>
        <w:pStyle w:val="a3"/>
        <w:rPr>
          <w:lang w:val="hu-HU"/>
        </w:rPr>
      </w:pPr>
    </w:p>
    <w:p w14:paraId="6FAF0B3F" w14:textId="77777777" w:rsidR="00130E8B" w:rsidRDefault="000405CC">
      <w:pPr>
        <w:pStyle w:val="a3"/>
        <w:numPr>
          <w:ilvl w:val="0"/>
          <w:numId w:val="15"/>
        </w:numPr>
        <w:ind w:left="660" w:hanging="660"/>
        <w:rPr>
          <w:lang w:val="hu-HU"/>
        </w:rPr>
      </w:pPr>
      <w:r>
        <w:rPr>
          <w:rFonts w:eastAsia="Times New Roman"/>
          <w:lang w:val="hu-HU"/>
        </w:rPr>
        <w:t>alacsony fehérvérsejtszám</w:t>
      </w:r>
    </w:p>
    <w:p w14:paraId="294F526B" w14:textId="77777777" w:rsidR="00130E8B" w:rsidRDefault="000405CC">
      <w:pPr>
        <w:pStyle w:val="a3"/>
        <w:numPr>
          <w:ilvl w:val="0"/>
          <w:numId w:val="15"/>
        </w:numPr>
        <w:ind w:left="660" w:hanging="660"/>
        <w:rPr>
          <w:lang w:val="hu-HU"/>
        </w:rPr>
      </w:pPr>
      <w:r>
        <w:rPr>
          <w:rFonts w:eastAsia="Times New Roman"/>
          <w:lang w:val="hu-HU"/>
        </w:rPr>
        <w:t>alacsony fehérvértestszám</w:t>
      </w:r>
    </w:p>
    <w:p w14:paraId="6319A750" w14:textId="77777777" w:rsidR="00130E8B" w:rsidRDefault="000405CC">
      <w:pPr>
        <w:pStyle w:val="a3"/>
        <w:numPr>
          <w:ilvl w:val="0"/>
          <w:numId w:val="15"/>
        </w:numPr>
        <w:ind w:left="660" w:hanging="660"/>
        <w:rPr>
          <w:lang w:val="hu-HU"/>
        </w:rPr>
      </w:pPr>
      <w:r>
        <w:rPr>
          <w:rFonts w:eastAsia="Times New Roman"/>
          <w:lang w:val="hu-HU"/>
        </w:rPr>
        <w:t>a vérzsírszint emelkedése</w:t>
      </w:r>
    </w:p>
    <w:p w14:paraId="6A349D19" w14:textId="77777777" w:rsidR="00130E8B" w:rsidRDefault="000405CC">
      <w:pPr>
        <w:pStyle w:val="a3"/>
        <w:numPr>
          <w:ilvl w:val="0"/>
          <w:numId w:val="15"/>
        </w:numPr>
        <w:ind w:left="660" w:hanging="660"/>
        <w:rPr>
          <w:lang w:val="hu-HU"/>
        </w:rPr>
      </w:pPr>
      <w:r>
        <w:rPr>
          <w:rFonts w:eastAsia="Times New Roman"/>
          <w:lang w:val="hu-HU"/>
        </w:rPr>
        <w:t>emelkedett májenzimszintek</w:t>
      </w:r>
    </w:p>
    <w:p w14:paraId="7F7BBDA4" w14:textId="77777777" w:rsidR="00130E8B" w:rsidRDefault="00130E8B">
      <w:pPr>
        <w:spacing w:before="10" w:line="240" w:lineRule="exact"/>
        <w:rPr>
          <w:sz w:val="24"/>
          <w:szCs w:val="24"/>
          <w:lang w:val="hu-HU"/>
        </w:rPr>
      </w:pPr>
    </w:p>
    <w:p w14:paraId="49273C8E" w14:textId="13DC1E57" w:rsidR="00130E8B" w:rsidRDefault="000405CC">
      <w:pPr>
        <w:pStyle w:val="a3"/>
        <w:rPr>
          <w:lang w:val="hu-HU"/>
        </w:rPr>
      </w:pPr>
      <w:r>
        <w:rPr>
          <w:rFonts w:eastAsia="Times New Roman"/>
          <w:b/>
          <w:bCs/>
          <w:lang w:val="hu-HU"/>
        </w:rPr>
        <w:t xml:space="preserve">Gyakori </w:t>
      </w:r>
      <w:r>
        <w:rPr>
          <w:rFonts w:eastAsia="Times New Roman"/>
          <w:lang w:val="hu-HU"/>
        </w:rPr>
        <w:t xml:space="preserve">(10 beteg közül </w:t>
      </w:r>
      <w:r w:rsidR="00C4148F" w:rsidRPr="00D80A01">
        <w:rPr>
          <w:rFonts w:eastAsia="Times New Roman"/>
          <w:lang w:val="hu-HU"/>
        </w:rPr>
        <w:t>legfeljebb</w:t>
      </w:r>
      <w:r w:rsidR="00C4148F" w:rsidRPr="00D80A01" w:rsidDel="00D80A01">
        <w:rPr>
          <w:rFonts w:eastAsia="Times New Roman"/>
          <w:lang w:val="hu-HU"/>
        </w:rPr>
        <w:t xml:space="preserve"> </w:t>
      </w:r>
      <w:r>
        <w:rPr>
          <w:rFonts w:eastAsia="Times New Roman"/>
          <w:lang w:val="hu-HU"/>
        </w:rPr>
        <w:t>1-nél kialakuló)</w:t>
      </w:r>
    </w:p>
    <w:p w14:paraId="014AF6B8" w14:textId="77777777" w:rsidR="00130E8B" w:rsidRDefault="00130E8B">
      <w:pPr>
        <w:spacing w:before="14" w:line="240" w:lineRule="exact"/>
        <w:rPr>
          <w:sz w:val="24"/>
          <w:szCs w:val="24"/>
          <w:lang w:val="hu-HU"/>
        </w:rPr>
      </w:pPr>
    </w:p>
    <w:p w14:paraId="33E7B03C" w14:textId="7E849D02" w:rsidR="00130E8B" w:rsidRDefault="00C4148F">
      <w:pPr>
        <w:pStyle w:val="a3"/>
        <w:numPr>
          <w:ilvl w:val="0"/>
          <w:numId w:val="15"/>
        </w:numPr>
        <w:ind w:left="660" w:hanging="660"/>
        <w:rPr>
          <w:lang w:val="hu-HU"/>
        </w:rPr>
      </w:pPr>
      <w:r>
        <w:rPr>
          <w:rFonts w:eastAsia="Times New Roman"/>
          <w:lang w:val="hu-HU"/>
        </w:rPr>
        <w:t xml:space="preserve">magas </w:t>
      </w:r>
      <w:r w:rsidR="000405CC">
        <w:rPr>
          <w:rFonts w:eastAsia="Times New Roman"/>
          <w:lang w:val="hu-HU"/>
        </w:rPr>
        <w:t>fehérvérsejtszám</w:t>
      </w:r>
    </w:p>
    <w:p w14:paraId="5A60BAE6" w14:textId="77777777" w:rsidR="00130E8B" w:rsidRDefault="000405CC">
      <w:pPr>
        <w:pStyle w:val="a3"/>
        <w:numPr>
          <w:ilvl w:val="0"/>
          <w:numId w:val="15"/>
        </w:numPr>
        <w:ind w:left="660" w:hanging="660"/>
        <w:rPr>
          <w:lang w:val="hu-HU"/>
        </w:rPr>
      </w:pPr>
      <w:r>
        <w:rPr>
          <w:rFonts w:eastAsia="Times New Roman"/>
          <w:lang w:val="hu-HU"/>
        </w:rPr>
        <w:t>alacsony vérlemezkeszám</w:t>
      </w:r>
    </w:p>
    <w:p w14:paraId="4BEEEB60" w14:textId="77777777" w:rsidR="00130E8B" w:rsidRDefault="000405CC">
      <w:pPr>
        <w:pStyle w:val="a3"/>
        <w:numPr>
          <w:ilvl w:val="0"/>
          <w:numId w:val="15"/>
        </w:numPr>
        <w:ind w:left="660" w:hanging="660"/>
        <w:rPr>
          <w:lang w:val="hu-HU"/>
        </w:rPr>
      </w:pPr>
      <w:r w:rsidRPr="00C321A3">
        <w:rPr>
          <w:rFonts w:eastAsia="Times New Roman"/>
          <w:lang w:val="hu-HU"/>
        </w:rPr>
        <w:t>emelkedett</w:t>
      </w:r>
      <w:r>
        <w:rPr>
          <w:rFonts w:eastAsia="Times New Roman"/>
          <w:lang w:val="hu-HU"/>
        </w:rPr>
        <w:t xml:space="preserve"> húgysavszint a vérben</w:t>
      </w:r>
    </w:p>
    <w:p w14:paraId="27C88D8E" w14:textId="2B41C7E2" w:rsidR="00130E8B" w:rsidRDefault="00C321A3">
      <w:pPr>
        <w:pStyle w:val="a3"/>
        <w:numPr>
          <w:ilvl w:val="0"/>
          <w:numId w:val="15"/>
        </w:numPr>
        <w:ind w:left="660" w:hanging="660"/>
        <w:rPr>
          <w:lang w:val="hu-HU"/>
        </w:rPr>
      </w:pPr>
      <w:r>
        <w:rPr>
          <w:rFonts w:eastAsia="Times New Roman"/>
          <w:lang w:val="hu-HU"/>
        </w:rPr>
        <w:t xml:space="preserve">kóros </w:t>
      </w:r>
      <w:r w:rsidR="000405CC">
        <w:rPr>
          <w:rFonts w:eastAsia="Times New Roman"/>
          <w:lang w:val="hu-HU"/>
        </w:rPr>
        <w:t>nátriumszint a vérben</w:t>
      </w:r>
    </w:p>
    <w:p w14:paraId="53EB4598" w14:textId="77777777" w:rsidR="00130E8B" w:rsidRDefault="000405CC">
      <w:pPr>
        <w:pStyle w:val="a3"/>
        <w:numPr>
          <w:ilvl w:val="0"/>
          <w:numId w:val="15"/>
        </w:numPr>
        <w:ind w:left="660" w:hanging="660"/>
        <w:rPr>
          <w:lang w:val="hu-HU"/>
        </w:rPr>
      </w:pPr>
      <w:r>
        <w:rPr>
          <w:rFonts w:eastAsia="Times New Roman"/>
          <w:lang w:val="hu-HU"/>
        </w:rPr>
        <w:t>alacsony kalciumszint a vérben</w:t>
      </w:r>
    </w:p>
    <w:p w14:paraId="03D9BD3A" w14:textId="77777777" w:rsidR="00130E8B" w:rsidRDefault="000405CC">
      <w:pPr>
        <w:pStyle w:val="a3"/>
        <w:numPr>
          <w:ilvl w:val="0"/>
          <w:numId w:val="15"/>
        </w:numPr>
        <w:ind w:left="660" w:hanging="660"/>
        <w:rPr>
          <w:lang w:val="hu-HU"/>
        </w:rPr>
      </w:pPr>
      <w:r>
        <w:rPr>
          <w:rFonts w:eastAsia="Times New Roman"/>
          <w:lang w:val="hu-HU"/>
        </w:rPr>
        <w:t>alacsony foszfátszint a vérben</w:t>
      </w:r>
    </w:p>
    <w:p w14:paraId="533D07DA" w14:textId="77777777" w:rsidR="00130E8B" w:rsidRDefault="000405CC">
      <w:pPr>
        <w:pStyle w:val="a3"/>
        <w:numPr>
          <w:ilvl w:val="0"/>
          <w:numId w:val="15"/>
        </w:numPr>
        <w:ind w:left="660" w:hanging="660"/>
        <w:rPr>
          <w:lang w:val="hu-HU"/>
        </w:rPr>
      </w:pPr>
      <w:r>
        <w:rPr>
          <w:rFonts w:eastAsia="Times New Roman"/>
          <w:lang w:val="hu-HU"/>
        </w:rPr>
        <w:t>magas vércukorszint</w:t>
      </w:r>
    </w:p>
    <w:p w14:paraId="67630F5C" w14:textId="77777777" w:rsidR="00130E8B" w:rsidRDefault="000405CC">
      <w:pPr>
        <w:pStyle w:val="a3"/>
        <w:numPr>
          <w:ilvl w:val="0"/>
          <w:numId w:val="15"/>
        </w:numPr>
        <w:ind w:left="660" w:hanging="660"/>
        <w:rPr>
          <w:lang w:val="hu-HU"/>
        </w:rPr>
      </w:pPr>
      <w:r>
        <w:rPr>
          <w:rFonts w:eastAsia="Times New Roman"/>
          <w:lang w:val="hu-HU"/>
        </w:rPr>
        <w:t>magas laktát-dehidrogenáz-szint a vérben</w:t>
      </w:r>
    </w:p>
    <w:p w14:paraId="5E511C1B" w14:textId="77777777" w:rsidR="00130E8B" w:rsidRDefault="000405CC">
      <w:pPr>
        <w:pStyle w:val="a3"/>
        <w:numPr>
          <w:ilvl w:val="0"/>
          <w:numId w:val="15"/>
        </w:numPr>
        <w:ind w:left="660" w:hanging="660"/>
        <w:rPr>
          <w:lang w:val="hu-HU"/>
        </w:rPr>
      </w:pPr>
      <w:r>
        <w:rPr>
          <w:rFonts w:eastAsia="Times New Roman"/>
          <w:lang w:val="hu-HU"/>
        </w:rPr>
        <w:t>autoantitestek megjelenése a vérben</w:t>
      </w:r>
    </w:p>
    <w:p w14:paraId="68B00FEC" w14:textId="77777777" w:rsidR="00130E8B" w:rsidRDefault="000405CC">
      <w:pPr>
        <w:pStyle w:val="a3"/>
        <w:numPr>
          <w:ilvl w:val="0"/>
          <w:numId w:val="15"/>
        </w:numPr>
        <w:ind w:left="660" w:hanging="660"/>
        <w:rPr>
          <w:lang w:val="hu-HU"/>
        </w:rPr>
      </w:pPr>
      <w:r>
        <w:rPr>
          <w:rFonts w:eastAsia="Times New Roman"/>
          <w:lang w:val="hu-HU"/>
        </w:rPr>
        <w:t>alacsony káliumszint a vérben</w:t>
      </w:r>
    </w:p>
    <w:p w14:paraId="455FC1F3" w14:textId="77777777" w:rsidR="00130E8B" w:rsidRDefault="00130E8B">
      <w:pPr>
        <w:spacing w:before="13" w:line="240" w:lineRule="exact"/>
        <w:rPr>
          <w:sz w:val="24"/>
          <w:szCs w:val="24"/>
          <w:lang w:val="hu-HU"/>
        </w:rPr>
      </w:pPr>
    </w:p>
    <w:p w14:paraId="05A072BA" w14:textId="77777777" w:rsidR="00130E8B" w:rsidRDefault="000405CC">
      <w:pPr>
        <w:pStyle w:val="a3"/>
        <w:rPr>
          <w:lang w:val="hu-HU"/>
        </w:rPr>
      </w:pPr>
      <w:r>
        <w:rPr>
          <w:rFonts w:eastAsia="Times New Roman"/>
          <w:b/>
          <w:bCs/>
          <w:lang w:val="hu-HU"/>
        </w:rPr>
        <w:t xml:space="preserve">Nem gyakori </w:t>
      </w:r>
      <w:r>
        <w:rPr>
          <w:rFonts w:eastAsia="Times New Roman"/>
          <w:lang w:val="hu-HU"/>
        </w:rPr>
        <w:t>(100 beteg közül legfeljebb 1-nél kialakuló)</w:t>
      </w:r>
    </w:p>
    <w:p w14:paraId="775E0F2D" w14:textId="77777777" w:rsidR="00130E8B" w:rsidRDefault="00130E8B">
      <w:pPr>
        <w:spacing w:before="12" w:line="240" w:lineRule="exact"/>
        <w:rPr>
          <w:sz w:val="24"/>
          <w:szCs w:val="24"/>
          <w:lang w:val="hu-HU"/>
        </w:rPr>
      </w:pPr>
    </w:p>
    <w:p w14:paraId="6E7927BB" w14:textId="77777777" w:rsidR="00130E8B" w:rsidRDefault="000405CC">
      <w:pPr>
        <w:pStyle w:val="a3"/>
        <w:numPr>
          <w:ilvl w:val="0"/>
          <w:numId w:val="15"/>
        </w:numPr>
        <w:ind w:left="660" w:hanging="660"/>
        <w:rPr>
          <w:lang w:val="hu-HU"/>
        </w:rPr>
      </w:pPr>
      <w:r>
        <w:rPr>
          <w:rFonts w:eastAsia="Times New Roman"/>
          <w:lang w:val="hu-HU"/>
        </w:rPr>
        <w:t>emelkedett bilirubinszint (májfunkciós vizsgálati eredmény)</w:t>
      </w:r>
    </w:p>
    <w:p w14:paraId="38F630D6" w14:textId="77777777" w:rsidR="00130E8B" w:rsidRDefault="00130E8B">
      <w:pPr>
        <w:spacing w:before="13" w:line="240" w:lineRule="exact"/>
        <w:rPr>
          <w:sz w:val="24"/>
          <w:szCs w:val="24"/>
          <w:lang w:val="hu-HU"/>
        </w:rPr>
      </w:pPr>
    </w:p>
    <w:p w14:paraId="57BC5DFA" w14:textId="4FB6B504" w:rsidR="00130E8B" w:rsidRDefault="000405CC">
      <w:pPr>
        <w:pStyle w:val="a3"/>
        <w:rPr>
          <w:lang w:val="hu-HU"/>
        </w:rPr>
      </w:pPr>
      <w:r>
        <w:rPr>
          <w:rFonts w:eastAsia="Times New Roman"/>
          <w:b/>
          <w:bCs/>
          <w:lang w:val="hu-HU"/>
        </w:rPr>
        <w:t xml:space="preserve">Ritka </w:t>
      </w:r>
      <w:r>
        <w:rPr>
          <w:rFonts w:eastAsia="Times New Roman"/>
          <w:lang w:val="hu-HU"/>
        </w:rPr>
        <w:t>(1000 beteg közül legfeljebb 1-nél kialakuló)</w:t>
      </w:r>
    </w:p>
    <w:p w14:paraId="706E30A9" w14:textId="77777777" w:rsidR="00130E8B" w:rsidRDefault="00130E8B">
      <w:pPr>
        <w:spacing w:before="14" w:line="240" w:lineRule="exact"/>
        <w:rPr>
          <w:sz w:val="24"/>
          <w:szCs w:val="24"/>
          <w:lang w:val="hu-HU"/>
        </w:rPr>
      </w:pPr>
    </w:p>
    <w:p w14:paraId="4E4DB25D" w14:textId="77777777" w:rsidR="00130E8B" w:rsidRDefault="000405CC">
      <w:pPr>
        <w:pStyle w:val="a3"/>
        <w:numPr>
          <w:ilvl w:val="0"/>
          <w:numId w:val="15"/>
        </w:numPr>
        <w:ind w:left="660" w:hanging="660"/>
        <w:rPr>
          <w:lang w:val="hu-HU"/>
        </w:rPr>
      </w:pPr>
      <w:r>
        <w:rPr>
          <w:rFonts w:eastAsia="Times New Roman"/>
          <w:lang w:val="hu-HU"/>
        </w:rPr>
        <w:t>alacsony fehérvérsejtszám, vörösvértestszám és vérlemezkeszám</w:t>
      </w:r>
    </w:p>
    <w:p w14:paraId="15C07414" w14:textId="77777777" w:rsidR="00130E8B" w:rsidRDefault="00130E8B">
      <w:pPr>
        <w:spacing w:before="15" w:line="240" w:lineRule="exact"/>
        <w:rPr>
          <w:sz w:val="24"/>
          <w:szCs w:val="24"/>
          <w:lang w:val="hu-HU"/>
        </w:rPr>
      </w:pPr>
    </w:p>
    <w:p w14:paraId="1331D206" w14:textId="77777777" w:rsidR="00130E8B" w:rsidRDefault="000405CC">
      <w:pPr>
        <w:pStyle w:val="a3"/>
        <w:rPr>
          <w:b/>
          <w:lang w:val="hu-HU"/>
        </w:rPr>
      </w:pPr>
      <w:r>
        <w:rPr>
          <w:rFonts w:eastAsia="Times New Roman"/>
          <w:b/>
          <w:bCs/>
          <w:lang w:val="hu-HU"/>
        </w:rPr>
        <w:t>Mellékhatások bejelentése</w:t>
      </w:r>
    </w:p>
    <w:p w14:paraId="7952F0D7" w14:textId="77777777" w:rsidR="00130E8B" w:rsidRDefault="00130E8B">
      <w:pPr>
        <w:pStyle w:val="a3"/>
        <w:rPr>
          <w:sz w:val="10"/>
          <w:szCs w:val="10"/>
          <w:lang w:val="hu-HU"/>
        </w:rPr>
      </w:pPr>
    </w:p>
    <w:p w14:paraId="7DEE5EF0" w14:textId="77777777" w:rsidR="00130E8B" w:rsidRDefault="000405CC">
      <w:pPr>
        <w:pStyle w:val="a3"/>
        <w:rPr>
          <w:lang w:val="hu-HU"/>
        </w:rPr>
      </w:pPr>
      <w:r>
        <w:rPr>
          <w:rFonts w:eastAsia="Times New Roman"/>
          <w:lang w:val="hu-HU"/>
        </w:rPr>
        <w:t xml:space="preserve">Ha Önnél bármilyen mellékhatás jelentkezik, tájékoztassa kezelőorvosát, vagy gyógyszerészét. Ez a betegtájékoztatóban fel nem sorolt bármilyen lehetséges mellékhatásra is vonatkozik. A mellékhatásokat közvetlenül a hatóság részére is bejelentheti </w:t>
      </w:r>
      <w:r w:rsidRPr="000405CC">
        <w:rPr>
          <w:rFonts w:eastAsia="Times New Roman"/>
          <w:highlight w:val="lightGray"/>
          <w:lang w:val="hu-HU"/>
        </w:rPr>
        <w:t xml:space="preserve">az </w:t>
      </w:r>
      <w:hyperlink r:id="rId70" w:history="1">
        <w:r w:rsidRPr="000405CC">
          <w:rPr>
            <w:rFonts w:eastAsia="Times New Roman"/>
            <w:color w:val="0000FF"/>
            <w:highlight w:val="lightGray"/>
            <w:u w:val="single"/>
            <w:lang w:val="hu-HU"/>
          </w:rPr>
          <w:t>V. függelékben</w:t>
        </w:r>
      </w:hyperlink>
      <w:r w:rsidRPr="000405CC">
        <w:rPr>
          <w:rFonts w:eastAsia="Times New Roman"/>
          <w:highlight w:val="lightGray"/>
          <w:lang w:val="hu-HU"/>
        </w:rPr>
        <w:t xml:space="preserve"> található elérhetőségeken keresztül</w:t>
      </w:r>
      <w:r>
        <w:rPr>
          <w:rFonts w:eastAsia="Times New Roman"/>
          <w:lang w:val="hu-HU"/>
        </w:rPr>
        <w:t>. A mellékhatások bejelentésével Ön is hozzájárulhat ahhoz, hogy minél több információ álljon rendelkezésre a gyógyszer biztonságos alkalmazásával kapcsolatban.</w:t>
      </w:r>
    </w:p>
    <w:p w14:paraId="3CBD20B0" w14:textId="77777777" w:rsidR="00130E8B" w:rsidRDefault="00130E8B">
      <w:pPr>
        <w:spacing w:line="200" w:lineRule="exact"/>
        <w:rPr>
          <w:sz w:val="20"/>
          <w:szCs w:val="20"/>
          <w:lang w:val="hu-HU"/>
        </w:rPr>
      </w:pPr>
    </w:p>
    <w:p w14:paraId="3E9BD163" w14:textId="159DF455" w:rsidR="00130E8B" w:rsidRPr="00BE0A8F" w:rsidRDefault="000405CC">
      <w:pPr>
        <w:pStyle w:val="a4"/>
        <w:numPr>
          <w:ilvl w:val="0"/>
          <w:numId w:val="37"/>
        </w:numPr>
        <w:spacing w:line="240" w:lineRule="exact"/>
        <w:ind w:left="357" w:hanging="357"/>
        <w:rPr>
          <w:rFonts w:ascii="Times New Roman" w:eastAsia="Times New Roman" w:hAnsi="Times New Roman" w:cs="Times New Roman"/>
          <w:b/>
          <w:noProof/>
          <w:lang w:val="hu-HU"/>
        </w:rPr>
      </w:pPr>
      <w:r w:rsidRPr="00BE0A8F">
        <w:rPr>
          <w:rFonts w:ascii="Times New Roman" w:eastAsia="Times New Roman" w:hAnsi="Times New Roman" w:cs="Times New Roman"/>
          <w:b/>
          <w:bCs/>
          <w:noProof/>
          <w:lang w:val="hu-HU"/>
        </w:rPr>
        <w:t>Hogyan kell a Yuflymá</w:t>
      </w:r>
      <w:r w:rsidR="007F6E25" w:rsidRPr="00BE0A8F">
        <w:rPr>
          <w:rFonts w:ascii="Times New Roman" w:eastAsia="Times New Roman" w:hAnsi="Times New Roman" w:cs="Times New Roman"/>
          <w:b/>
          <w:bCs/>
          <w:noProof/>
          <w:lang w:val="hu-HU"/>
        </w:rPr>
        <w:t>-</w:t>
      </w:r>
      <w:r w:rsidRPr="00BE0A8F">
        <w:rPr>
          <w:rFonts w:ascii="Times New Roman" w:eastAsia="Times New Roman" w:hAnsi="Times New Roman" w:cs="Times New Roman"/>
          <w:b/>
          <w:bCs/>
          <w:noProof/>
          <w:lang w:val="hu-HU"/>
        </w:rPr>
        <w:t xml:space="preserve">t </w:t>
      </w:r>
      <w:r w:rsidRPr="001E2F31">
        <w:rPr>
          <w:rFonts w:ascii="Times New Roman" w:eastAsia="Times New Roman" w:hAnsi="Times New Roman" w:cs="Times New Roman"/>
          <w:b/>
          <w:noProof/>
          <w:lang w:val="hu-HU"/>
        </w:rPr>
        <w:t>tárolni?</w:t>
      </w:r>
    </w:p>
    <w:p w14:paraId="7ABC8772" w14:textId="77777777" w:rsidR="00130E8B" w:rsidRDefault="00130E8B">
      <w:pPr>
        <w:pStyle w:val="a3"/>
        <w:rPr>
          <w:lang w:val="hu-HU"/>
        </w:rPr>
      </w:pPr>
    </w:p>
    <w:p w14:paraId="2DA5215E" w14:textId="77777777" w:rsidR="00130E8B" w:rsidRDefault="000405CC">
      <w:pPr>
        <w:pStyle w:val="a3"/>
        <w:rPr>
          <w:lang w:val="hu-HU"/>
        </w:rPr>
      </w:pPr>
      <w:r>
        <w:rPr>
          <w:rFonts w:eastAsia="Times New Roman"/>
          <w:lang w:val="hu-HU"/>
        </w:rPr>
        <w:t>A gyógyszer gyermekektől elzárva tartandó.</w:t>
      </w:r>
    </w:p>
    <w:p w14:paraId="32FDDDDA" w14:textId="77777777" w:rsidR="00130E8B" w:rsidRDefault="00130E8B">
      <w:pPr>
        <w:pStyle w:val="a3"/>
        <w:rPr>
          <w:lang w:val="hu-HU"/>
        </w:rPr>
      </w:pPr>
    </w:p>
    <w:p w14:paraId="5034D1B5" w14:textId="77777777" w:rsidR="00130E8B" w:rsidRDefault="000405CC">
      <w:pPr>
        <w:pStyle w:val="a3"/>
        <w:rPr>
          <w:lang w:val="hu-HU"/>
        </w:rPr>
      </w:pPr>
      <w:r>
        <w:rPr>
          <w:rFonts w:eastAsia="Times New Roman"/>
          <w:lang w:val="hu-HU"/>
        </w:rPr>
        <w:t>A címkén és a dobozon feltüntetett lejárati idő után (EXP) ne alkalmazza ezt a gyógyszert.</w:t>
      </w:r>
    </w:p>
    <w:p w14:paraId="155DDA9B" w14:textId="77777777" w:rsidR="00130E8B" w:rsidRDefault="00130E8B">
      <w:pPr>
        <w:pStyle w:val="a3"/>
        <w:rPr>
          <w:lang w:val="hu-HU"/>
        </w:rPr>
      </w:pPr>
    </w:p>
    <w:p w14:paraId="4C983B95" w14:textId="49C2984B" w:rsidR="00130E8B" w:rsidRDefault="000405CC">
      <w:pPr>
        <w:pStyle w:val="a3"/>
        <w:rPr>
          <w:lang w:val="hu-HU"/>
        </w:rPr>
      </w:pPr>
      <w:r>
        <w:rPr>
          <w:rFonts w:eastAsia="Times New Roman"/>
          <w:lang w:val="hu-HU"/>
        </w:rPr>
        <w:t>Hűtőszekrényben tárolandó (2</w:t>
      </w:r>
      <w:r w:rsidR="00C4148F" w:rsidRPr="00944B5B">
        <w:rPr>
          <w:lang w:val="hu-HU"/>
        </w:rPr>
        <w:t xml:space="preserve"> </w:t>
      </w:r>
      <w:r w:rsidR="00C4148F" w:rsidRPr="00EB3E52">
        <w:rPr>
          <w:rFonts w:eastAsia="Times New Roman" w:hint="eastAsia"/>
          <w:lang w:val="hu-HU"/>
        </w:rPr>
        <w:t>°</w:t>
      </w:r>
      <w:r w:rsidR="00C4148F" w:rsidRPr="00EB3E52">
        <w:rPr>
          <w:rFonts w:eastAsia="Times New Roman"/>
          <w:lang w:val="hu-HU"/>
        </w:rPr>
        <w:t>C</w:t>
      </w:r>
      <w:r>
        <w:rPr>
          <w:rFonts w:eastAsia="Times New Roman"/>
          <w:lang w:val="hu-HU"/>
        </w:rPr>
        <w:t xml:space="preserve"> – 8</w:t>
      </w:r>
      <w:r w:rsidR="00C4148F" w:rsidRPr="00944B5B">
        <w:rPr>
          <w:lang w:val="hu-HU"/>
        </w:rPr>
        <w:t xml:space="preserve"> </w:t>
      </w:r>
      <w:r w:rsidR="00C4148F" w:rsidRPr="00EB3E52">
        <w:rPr>
          <w:rFonts w:eastAsia="Times New Roman" w:hint="eastAsia"/>
          <w:lang w:val="hu-HU"/>
        </w:rPr>
        <w:t>°</w:t>
      </w:r>
      <w:r w:rsidR="00C4148F" w:rsidRPr="00EB3E52">
        <w:rPr>
          <w:rFonts w:eastAsia="Times New Roman"/>
          <w:lang w:val="hu-HU"/>
        </w:rPr>
        <w:t>C</w:t>
      </w:r>
      <w:r>
        <w:rPr>
          <w:rFonts w:eastAsia="Times New Roman"/>
          <w:lang w:val="hu-HU"/>
        </w:rPr>
        <w:t>). Nem fagyasztható!</w:t>
      </w:r>
    </w:p>
    <w:p w14:paraId="0732A3B7" w14:textId="77777777" w:rsidR="00130E8B" w:rsidRDefault="00130E8B">
      <w:pPr>
        <w:pStyle w:val="a3"/>
        <w:rPr>
          <w:lang w:val="hu-HU"/>
        </w:rPr>
      </w:pPr>
    </w:p>
    <w:p w14:paraId="3CBF5C20" w14:textId="77777777" w:rsidR="00130E8B" w:rsidRDefault="000405CC">
      <w:pPr>
        <w:pStyle w:val="a3"/>
        <w:rPr>
          <w:lang w:val="hu-HU"/>
        </w:rPr>
      </w:pPr>
      <w:r>
        <w:rPr>
          <w:rFonts w:eastAsia="Times New Roman"/>
          <w:lang w:val="hu-HU"/>
        </w:rPr>
        <w:lastRenderedPageBreak/>
        <w:t>A</w:t>
      </w:r>
      <w:r w:rsidR="007F6E25">
        <w:rPr>
          <w:rFonts w:eastAsia="Times New Roman"/>
          <w:lang w:val="hu-HU"/>
        </w:rPr>
        <w:t xml:space="preserve"> </w:t>
      </w:r>
      <w:r>
        <w:rPr>
          <w:rFonts w:eastAsia="Times New Roman"/>
          <w:lang w:val="hu-HU"/>
        </w:rPr>
        <w:t>fénytől való védelem érdekében</w:t>
      </w:r>
      <w:r w:rsidR="007F6E25">
        <w:rPr>
          <w:rFonts w:eastAsia="Times New Roman"/>
          <w:lang w:val="hu-HU"/>
        </w:rPr>
        <w:t xml:space="preserve"> az </w:t>
      </w:r>
      <w:r>
        <w:rPr>
          <w:rFonts w:eastAsia="Times New Roman"/>
          <w:lang w:val="hu-HU"/>
        </w:rPr>
        <w:t>előretöltött injekciós toll eredeti dobozban tárolandó.</w:t>
      </w:r>
    </w:p>
    <w:p w14:paraId="143E1DC1" w14:textId="77777777" w:rsidR="00130E8B" w:rsidRDefault="00130E8B">
      <w:pPr>
        <w:spacing w:before="13" w:line="240" w:lineRule="exact"/>
        <w:rPr>
          <w:sz w:val="24"/>
          <w:szCs w:val="24"/>
          <w:lang w:val="hu-HU"/>
        </w:rPr>
      </w:pPr>
    </w:p>
    <w:p w14:paraId="2E083EB2" w14:textId="77777777" w:rsidR="00130E8B" w:rsidRDefault="000405CC">
      <w:pPr>
        <w:pStyle w:val="a3"/>
        <w:rPr>
          <w:lang w:val="hu-HU"/>
        </w:rPr>
      </w:pPr>
      <w:r>
        <w:rPr>
          <w:rFonts w:eastAsia="Times New Roman"/>
          <w:lang w:val="hu-HU"/>
        </w:rPr>
        <w:t>További tárolási lehetőség:</w:t>
      </w:r>
    </w:p>
    <w:p w14:paraId="0D59F461" w14:textId="77777777" w:rsidR="00130E8B" w:rsidRDefault="00130E8B">
      <w:pPr>
        <w:spacing w:before="14" w:line="240" w:lineRule="exact"/>
        <w:rPr>
          <w:sz w:val="24"/>
          <w:szCs w:val="24"/>
          <w:lang w:val="hu-HU"/>
        </w:rPr>
      </w:pPr>
    </w:p>
    <w:p w14:paraId="4F00EC2D" w14:textId="49595275" w:rsidR="00130E8B" w:rsidRDefault="000405CC">
      <w:pPr>
        <w:pStyle w:val="a3"/>
        <w:rPr>
          <w:lang w:val="hu-HU"/>
        </w:rPr>
      </w:pPr>
      <w:r>
        <w:rPr>
          <w:rFonts w:eastAsia="Times New Roman"/>
          <w:lang w:val="hu-HU"/>
        </w:rPr>
        <w:t xml:space="preserve">Amennyiben szükséges (például utazás alatt), </w:t>
      </w:r>
      <w:r w:rsidR="00C4148F">
        <w:rPr>
          <w:rFonts w:eastAsia="Times New Roman"/>
          <w:lang w:val="hu-HU"/>
        </w:rPr>
        <w:t xml:space="preserve">a </w:t>
      </w:r>
      <w:r>
        <w:rPr>
          <w:rFonts w:eastAsia="Times New Roman"/>
          <w:lang w:val="hu-HU"/>
        </w:rPr>
        <w:t xml:space="preserve">Yuflyma előretöltött injekciós toll szobahőmérsékleten (legfeljebb 25 °C-on) maximum </w:t>
      </w:r>
      <w:r w:rsidR="005F473D">
        <w:rPr>
          <w:rFonts w:eastAsia="Times New Roman"/>
          <w:lang w:val="hu-HU"/>
        </w:rPr>
        <w:t xml:space="preserve">31 </w:t>
      </w:r>
      <w:r>
        <w:rPr>
          <w:rFonts w:eastAsia="Times New Roman"/>
          <w:lang w:val="hu-HU"/>
        </w:rPr>
        <w:t>napig tárolható. A fénytől való védelmet biztosítani kell. Miután kivette a hűtőszekrényből a szobahőmérsékletű tároláshoz, az injekciós tollat</w:t>
      </w:r>
      <w:r>
        <w:rPr>
          <w:rFonts w:eastAsia="Times New Roman"/>
          <w:b/>
          <w:bCs/>
          <w:lang w:val="hu-HU"/>
        </w:rPr>
        <w:t xml:space="preserve"> </w:t>
      </w:r>
      <w:r w:rsidR="005F473D">
        <w:rPr>
          <w:rFonts w:eastAsia="Times New Roman"/>
          <w:b/>
          <w:bCs/>
          <w:lang w:val="hu-HU"/>
        </w:rPr>
        <w:t xml:space="preserve">31 </w:t>
      </w:r>
      <w:r>
        <w:rPr>
          <w:rFonts w:eastAsia="Times New Roman"/>
          <w:b/>
          <w:bCs/>
          <w:lang w:val="hu-HU"/>
        </w:rPr>
        <w:t>napon belül fel kell használni, vagy meg kell semmisíteni</w:t>
      </w:r>
      <w:r>
        <w:rPr>
          <w:rFonts w:eastAsia="Times New Roman"/>
          <w:lang w:val="hu-HU"/>
        </w:rPr>
        <w:t>, még akkor is, ha visszatette a hűtőszekrénybe.</w:t>
      </w:r>
    </w:p>
    <w:p w14:paraId="71716A5D" w14:textId="77777777" w:rsidR="00130E8B" w:rsidRDefault="00130E8B">
      <w:pPr>
        <w:spacing w:before="17" w:line="240" w:lineRule="exact"/>
        <w:rPr>
          <w:sz w:val="24"/>
          <w:szCs w:val="24"/>
          <w:lang w:val="hu-HU"/>
        </w:rPr>
      </w:pPr>
    </w:p>
    <w:p w14:paraId="270A60D5" w14:textId="77777777" w:rsidR="00130E8B" w:rsidRDefault="000405CC">
      <w:pPr>
        <w:pStyle w:val="a3"/>
        <w:rPr>
          <w:lang w:val="hu-HU"/>
        </w:rPr>
      </w:pPr>
      <w:r>
        <w:rPr>
          <w:rFonts w:eastAsia="Times New Roman"/>
          <w:lang w:val="hu-HU"/>
        </w:rPr>
        <w:t>Jegyezze fel, hogy mikor vette ki először az injekciós tollat a hűtőszekrényből, és azt a dátumot is, ami után azt meg kell semmisíteni</w:t>
      </w:r>
    </w:p>
    <w:p w14:paraId="54318659" w14:textId="77777777" w:rsidR="00130E8B" w:rsidRDefault="00130E8B">
      <w:pPr>
        <w:spacing w:before="14" w:line="240" w:lineRule="exact"/>
        <w:rPr>
          <w:sz w:val="24"/>
          <w:szCs w:val="24"/>
          <w:lang w:val="hu-HU"/>
        </w:rPr>
      </w:pPr>
    </w:p>
    <w:p w14:paraId="0AFBDC4D" w14:textId="77777777" w:rsidR="00130E8B" w:rsidRDefault="000405CC">
      <w:pPr>
        <w:pStyle w:val="a3"/>
        <w:rPr>
          <w:lang w:val="hu-HU"/>
        </w:rPr>
      </w:pPr>
      <w:r>
        <w:rPr>
          <w:rFonts w:eastAsia="Times New Roman"/>
          <w:lang w:val="hu-HU"/>
        </w:rPr>
        <w:t>Semmilyen gyógyszert ne dobjon a szennyvízbe vagy a háztartási hulladékba. Kérdezze meg gyógyszerészét, hogy mit tegyen a már nem használt gyógyszereivel. Ezek az intézkedések elősegítik a környezet védelmét.</w:t>
      </w:r>
    </w:p>
    <w:p w14:paraId="7B3F32E3" w14:textId="77777777" w:rsidR="00130E8B" w:rsidRDefault="00130E8B">
      <w:pPr>
        <w:spacing w:before="7" w:line="100" w:lineRule="exact"/>
        <w:rPr>
          <w:sz w:val="10"/>
          <w:szCs w:val="10"/>
          <w:lang w:val="hu-HU"/>
        </w:rPr>
      </w:pPr>
    </w:p>
    <w:p w14:paraId="42902227" w14:textId="77777777" w:rsidR="00130E8B" w:rsidRDefault="00130E8B">
      <w:pPr>
        <w:spacing w:line="200" w:lineRule="exact"/>
        <w:rPr>
          <w:sz w:val="20"/>
          <w:szCs w:val="20"/>
          <w:lang w:val="hu-HU"/>
        </w:rPr>
      </w:pPr>
    </w:p>
    <w:p w14:paraId="2E7B1D64" w14:textId="77777777" w:rsidR="00130E8B" w:rsidRDefault="00130E8B">
      <w:pPr>
        <w:spacing w:line="200" w:lineRule="exact"/>
        <w:rPr>
          <w:sz w:val="20"/>
          <w:szCs w:val="20"/>
          <w:lang w:val="hu-HU"/>
        </w:rPr>
      </w:pPr>
    </w:p>
    <w:p w14:paraId="44235C65" w14:textId="77777777" w:rsidR="00130E8B" w:rsidRDefault="000405CC">
      <w:pPr>
        <w:pStyle w:val="a4"/>
        <w:numPr>
          <w:ilvl w:val="0"/>
          <w:numId w:val="37"/>
        </w:numPr>
        <w:spacing w:line="240" w:lineRule="exact"/>
        <w:ind w:left="357" w:hanging="357"/>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A csomagolás tartalma és egyéb információk</w:t>
      </w:r>
    </w:p>
    <w:p w14:paraId="1B9C6B15" w14:textId="77777777" w:rsidR="00130E8B" w:rsidRDefault="00130E8B">
      <w:pPr>
        <w:widowControl/>
        <w:tabs>
          <w:tab w:val="left" w:pos="567"/>
        </w:tabs>
        <w:spacing w:line="260" w:lineRule="exact"/>
        <w:ind w:left="360"/>
        <w:rPr>
          <w:rFonts w:ascii="Times New Roman" w:eastAsia="Times New Roman" w:hAnsi="Times New Roman" w:cs="Times New Roman"/>
          <w:b/>
          <w:noProof/>
          <w:lang w:val="hu-HU"/>
        </w:rPr>
      </w:pPr>
    </w:p>
    <w:p w14:paraId="5AC4B6AE" w14:textId="77777777" w:rsidR="00130E8B" w:rsidRDefault="000405CC">
      <w:pPr>
        <w:pStyle w:val="a3"/>
        <w:rPr>
          <w:b/>
          <w:lang w:val="hu-HU"/>
        </w:rPr>
      </w:pPr>
      <w:r>
        <w:rPr>
          <w:rFonts w:eastAsia="Times New Roman"/>
          <w:b/>
          <w:bCs/>
          <w:lang w:val="hu-HU"/>
        </w:rPr>
        <w:t>Mit tartalmaz a Yuflyma?</w:t>
      </w:r>
    </w:p>
    <w:p w14:paraId="47A117F0" w14:textId="77777777" w:rsidR="00130E8B" w:rsidRDefault="00130E8B">
      <w:pPr>
        <w:pStyle w:val="a3"/>
        <w:rPr>
          <w:b/>
          <w:bCs/>
          <w:lang w:val="hu-HU"/>
        </w:rPr>
      </w:pPr>
    </w:p>
    <w:p w14:paraId="0A202D27" w14:textId="77777777" w:rsidR="00130E8B" w:rsidRDefault="000405CC">
      <w:pPr>
        <w:pStyle w:val="a3"/>
        <w:rPr>
          <w:lang w:val="hu-HU"/>
        </w:rPr>
      </w:pPr>
      <w:r>
        <w:rPr>
          <w:rFonts w:eastAsia="Times New Roman"/>
          <w:lang w:val="hu-HU"/>
        </w:rPr>
        <w:t>A készítmény hatóanyaga adalimumab.</w:t>
      </w:r>
    </w:p>
    <w:p w14:paraId="0F70F847" w14:textId="77777777" w:rsidR="00130E8B" w:rsidRDefault="000405CC">
      <w:pPr>
        <w:pStyle w:val="a3"/>
        <w:rPr>
          <w:lang w:val="hu-HU"/>
        </w:rPr>
      </w:pPr>
      <w:r>
        <w:rPr>
          <w:rFonts w:eastAsia="Times New Roman"/>
          <w:lang w:val="hu-HU"/>
        </w:rPr>
        <w:t>Egyéb összetevők: ecetsav, nátrium-acetát-trihidrát, glicin, poliszorbát 80 és  injekcióhoz való víz.</w:t>
      </w:r>
    </w:p>
    <w:p w14:paraId="7BF17DBA" w14:textId="77777777" w:rsidR="00130E8B" w:rsidRDefault="00130E8B">
      <w:pPr>
        <w:pStyle w:val="a3"/>
        <w:rPr>
          <w:lang w:val="hu-HU"/>
        </w:rPr>
      </w:pPr>
    </w:p>
    <w:p w14:paraId="7A7142C6" w14:textId="77777777" w:rsidR="00130E8B" w:rsidRDefault="000405CC">
      <w:pPr>
        <w:pStyle w:val="a3"/>
        <w:rPr>
          <w:b/>
          <w:bCs/>
          <w:lang w:val="hu-HU"/>
        </w:rPr>
      </w:pPr>
      <w:r>
        <w:rPr>
          <w:rFonts w:eastAsia="Times New Roman"/>
          <w:b/>
          <w:bCs/>
          <w:lang w:val="hu-HU"/>
        </w:rPr>
        <w:t>Milyen a Yuflyma előretöltött injekciós toll külleme és mit tartalmaz a csomagolás?</w:t>
      </w:r>
    </w:p>
    <w:p w14:paraId="661BB005" w14:textId="77777777" w:rsidR="00130E8B" w:rsidRDefault="00130E8B">
      <w:pPr>
        <w:spacing w:before="12" w:line="240" w:lineRule="exact"/>
        <w:rPr>
          <w:sz w:val="24"/>
          <w:szCs w:val="24"/>
          <w:lang w:val="hu-HU"/>
        </w:rPr>
      </w:pPr>
    </w:p>
    <w:p w14:paraId="4F3CA707" w14:textId="02BD2AD9" w:rsidR="00130E8B" w:rsidRDefault="000405CC">
      <w:pPr>
        <w:pStyle w:val="a3"/>
        <w:rPr>
          <w:lang w:val="hu-HU"/>
        </w:rPr>
      </w:pPr>
      <w:r>
        <w:rPr>
          <w:rFonts w:eastAsia="Times New Roman"/>
          <w:lang w:val="hu-HU"/>
        </w:rPr>
        <w:t>A 40 mg-os Yuflyma oldatos injekció előretöltött injekciós tollban 40 mg adalimumabot tartalmazó 0,4 ml  steril oldat formájában kerül forgalomba.</w:t>
      </w:r>
    </w:p>
    <w:p w14:paraId="64E09101" w14:textId="77777777" w:rsidR="00130E8B" w:rsidRDefault="00130E8B">
      <w:pPr>
        <w:spacing w:before="11" w:line="240" w:lineRule="exact"/>
        <w:rPr>
          <w:sz w:val="24"/>
          <w:szCs w:val="24"/>
          <w:lang w:val="hu-HU"/>
        </w:rPr>
      </w:pPr>
    </w:p>
    <w:p w14:paraId="1627CEEC" w14:textId="2E21803B" w:rsidR="00130E8B" w:rsidRDefault="000405CC">
      <w:pPr>
        <w:pStyle w:val="a3"/>
        <w:rPr>
          <w:lang w:val="hu-HU"/>
        </w:rPr>
      </w:pPr>
      <w:r>
        <w:rPr>
          <w:rFonts w:eastAsia="Times New Roman"/>
          <w:lang w:val="hu-HU"/>
        </w:rPr>
        <w:t>A Yuflyma előretöltött injekciós toll egyszer használatos, tűalapú injekciós rendszer, amely automatizált funkciókkal rendelkezik. Az</w:t>
      </w:r>
      <w:r w:rsidR="00C4148F">
        <w:rPr>
          <w:rFonts w:eastAsia="Times New Roman"/>
          <w:lang w:val="hu-HU"/>
        </w:rPr>
        <w:t xml:space="preserve"> </w:t>
      </w:r>
      <w:r>
        <w:rPr>
          <w:rFonts w:eastAsia="Times New Roman"/>
          <w:lang w:val="hu-HU"/>
        </w:rPr>
        <w:t>injekciós toll mindkét oldalán elhelyezett ablakon keresztül látható a Yuflyma oldat a toll belsejében.</w:t>
      </w:r>
    </w:p>
    <w:p w14:paraId="1039FB5E" w14:textId="77777777" w:rsidR="00130E8B" w:rsidRDefault="00130E8B">
      <w:pPr>
        <w:spacing w:before="13" w:line="240" w:lineRule="exact"/>
        <w:rPr>
          <w:sz w:val="24"/>
          <w:szCs w:val="24"/>
          <w:lang w:val="hu-HU"/>
        </w:rPr>
      </w:pPr>
    </w:p>
    <w:p w14:paraId="1B6D1181" w14:textId="77777777" w:rsidR="00130E8B" w:rsidRDefault="000405CC">
      <w:pPr>
        <w:pStyle w:val="a3"/>
        <w:rPr>
          <w:lang w:val="hu-HU"/>
        </w:rPr>
      </w:pPr>
      <w:r>
        <w:rPr>
          <w:rFonts w:eastAsia="Times New Roman"/>
          <w:lang w:val="hu-HU"/>
        </w:rPr>
        <w:t>A Yuflyma előretöltött injekciós toll 1, 2, 4 és 6 darab előretöltött injekciós tollat tartalmazó csomagolásban kapható. Az 1 db előretöltött injekciós tollat tartalmazó csomagoláshoz 2 db alkoholos törlőkendőt  (1 pótkendőt) mellékelünk. A 2, 4 és 6 db előretöltött injekciós tollat tartalmazó csomagolás esetén mindegyik előretöltött injekciós tollhoz 1 db alkoholos törlőkendőt mellékelünk.</w:t>
      </w:r>
    </w:p>
    <w:p w14:paraId="424538DC" w14:textId="77777777" w:rsidR="00130E8B" w:rsidRDefault="00130E8B">
      <w:pPr>
        <w:spacing w:before="11" w:line="240" w:lineRule="exact"/>
        <w:rPr>
          <w:sz w:val="24"/>
          <w:szCs w:val="24"/>
          <w:lang w:val="hu-HU"/>
        </w:rPr>
      </w:pPr>
    </w:p>
    <w:p w14:paraId="74A33632" w14:textId="77777777" w:rsidR="00130E8B" w:rsidRDefault="000405CC">
      <w:pPr>
        <w:pStyle w:val="a3"/>
        <w:rPr>
          <w:lang w:val="hu-HU"/>
        </w:rPr>
      </w:pPr>
      <w:r>
        <w:rPr>
          <w:rFonts w:eastAsia="Times New Roman"/>
          <w:lang w:val="hu-HU"/>
        </w:rPr>
        <w:t>Nem feltétlenül mindegyik kiszerelés kerül kereskedelmi forgalomba.</w:t>
      </w:r>
    </w:p>
    <w:p w14:paraId="34631A0B" w14:textId="77777777" w:rsidR="00130E8B" w:rsidRDefault="00130E8B">
      <w:pPr>
        <w:spacing w:before="13" w:line="240" w:lineRule="exact"/>
        <w:rPr>
          <w:sz w:val="24"/>
          <w:szCs w:val="24"/>
          <w:lang w:val="hu-HU"/>
        </w:rPr>
      </w:pPr>
    </w:p>
    <w:p w14:paraId="58EAF7D4" w14:textId="6C61FBB3" w:rsidR="00130E8B" w:rsidRDefault="000405CC">
      <w:pPr>
        <w:pStyle w:val="a3"/>
        <w:rPr>
          <w:lang w:val="hu-HU"/>
        </w:rPr>
      </w:pPr>
      <w:r>
        <w:rPr>
          <w:rFonts w:eastAsia="Times New Roman"/>
          <w:lang w:val="hu-HU"/>
        </w:rPr>
        <w:t>A Yuflyma</w:t>
      </w:r>
      <w:r w:rsidR="000C631C">
        <w:rPr>
          <w:rFonts w:eastAsia="Times New Roman"/>
          <w:lang w:val="hu-HU"/>
        </w:rPr>
        <w:t xml:space="preserve"> </w:t>
      </w:r>
      <w:r>
        <w:rPr>
          <w:rFonts w:eastAsia="Times New Roman"/>
          <w:lang w:val="hu-HU"/>
        </w:rPr>
        <w:t>előretöltött fecskendőben és/vagy</w:t>
      </w:r>
      <w:r w:rsidR="00C4148F">
        <w:rPr>
          <w:rFonts w:eastAsia="Times New Roman"/>
          <w:lang w:val="hu-HU"/>
        </w:rPr>
        <w:t xml:space="preserve"> </w:t>
      </w:r>
      <w:r>
        <w:rPr>
          <w:rFonts w:eastAsia="Times New Roman"/>
          <w:lang w:val="hu-HU"/>
        </w:rPr>
        <w:t>előretöltött injekciós toll kiszerelésben elérhető.</w:t>
      </w:r>
    </w:p>
    <w:p w14:paraId="49326611" w14:textId="77777777" w:rsidR="00130E8B" w:rsidRDefault="00130E8B">
      <w:pPr>
        <w:spacing w:before="18" w:line="240" w:lineRule="exact"/>
        <w:rPr>
          <w:sz w:val="24"/>
          <w:szCs w:val="24"/>
          <w:lang w:val="hu-HU"/>
        </w:rPr>
      </w:pPr>
    </w:p>
    <w:p w14:paraId="2D828327" w14:textId="77777777" w:rsidR="00130E8B" w:rsidRDefault="000405CC">
      <w:pPr>
        <w:pStyle w:val="a3"/>
        <w:rPr>
          <w:b/>
          <w:bCs/>
          <w:lang w:val="hu-HU"/>
        </w:rPr>
      </w:pPr>
      <w:r>
        <w:rPr>
          <w:rFonts w:eastAsia="Times New Roman"/>
          <w:b/>
          <w:bCs/>
          <w:lang w:val="hu-HU"/>
        </w:rPr>
        <w:t>A forgalomba hozatali engedély jogosultja</w:t>
      </w:r>
    </w:p>
    <w:p w14:paraId="02EE3501" w14:textId="77777777" w:rsidR="00130E8B" w:rsidRDefault="00130E8B">
      <w:pPr>
        <w:spacing w:before="12" w:line="240" w:lineRule="exact"/>
        <w:rPr>
          <w:sz w:val="24"/>
          <w:szCs w:val="24"/>
          <w:lang w:val="hu-HU"/>
        </w:rPr>
      </w:pPr>
    </w:p>
    <w:p w14:paraId="077425EF" w14:textId="77777777" w:rsidR="00130E8B" w:rsidRDefault="000405CC">
      <w:pPr>
        <w:pStyle w:val="a3"/>
        <w:rPr>
          <w:lang w:val="hu-HU"/>
        </w:rPr>
      </w:pPr>
      <w:r>
        <w:rPr>
          <w:lang w:val="hu-HU"/>
        </w:rPr>
        <w:t xml:space="preserve">Celltrion Healthcare Hungary Kft. </w:t>
      </w:r>
    </w:p>
    <w:p w14:paraId="0DDFE8A5" w14:textId="77777777" w:rsidR="00130E8B" w:rsidRDefault="000405CC">
      <w:pPr>
        <w:pStyle w:val="a3"/>
        <w:rPr>
          <w:lang w:val="hu-HU"/>
        </w:rPr>
      </w:pPr>
      <w:r>
        <w:rPr>
          <w:lang w:val="hu-HU"/>
        </w:rPr>
        <w:t>1062 Budapest</w:t>
      </w:r>
    </w:p>
    <w:p w14:paraId="61ECA97E" w14:textId="77777777" w:rsidR="00130E8B" w:rsidRDefault="000405CC">
      <w:pPr>
        <w:pStyle w:val="a3"/>
        <w:rPr>
          <w:lang w:val="hu-HU"/>
        </w:rPr>
      </w:pPr>
      <w:r>
        <w:rPr>
          <w:lang w:val="hu-HU"/>
        </w:rPr>
        <w:t>Váci út 1-3. WestEnd Office Building B torony</w:t>
      </w:r>
    </w:p>
    <w:p w14:paraId="4F2F3421" w14:textId="77777777" w:rsidR="00130E8B" w:rsidRDefault="000405CC">
      <w:pPr>
        <w:pStyle w:val="a3"/>
        <w:rPr>
          <w:lang w:val="hu-HU"/>
        </w:rPr>
      </w:pPr>
      <w:r>
        <w:rPr>
          <w:rFonts w:eastAsia="Times New Roman"/>
          <w:lang w:val="hu-HU"/>
        </w:rPr>
        <w:t>Magyarország</w:t>
      </w:r>
    </w:p>
    <w:p w14:paraId="60EFC6FA" w14:textId="77777777" w:rsidR="00130E8B" w:rsidRDefault="00130E8B">
      <w:pPr>
        <w:spacing w:before="15" w:line="240" w:lineRule="exact"/>
        <w:rPr>
          <w:sz w:val="24"/>
          <w:szCs w:val="24"/>
          <w:lang w:val="hu-HU"/>
        </w:rPr>
      </w:pPr>
    </w:p>
    <w:p w14:paraId="69B161B9" w14:textId="77777777" w:rsidR="00130E8B" w:rsidRDefault="000405CC" w:rsidP="002C78FA">
      <w:pPr>
        <w:pStyle w:val="a3"/>
        <w:keepNext/>
        <w:keepLines/>
        <w:rPr>
          <w:b/>
          <w:bCs/>
          <w:lang w:val="hu-HU"/>
        </w:rPr>
      </w:pPr>
      <w:r>
        <w:rPr>
          <w:rFonts w:eastAsia="Times New Roman"/>
          <w:b/>
          <w:bCs/>
          <w:lang w:val="hu-HU"/>
        </w:rPr>
        <w:lastRenderedPageBreak/>
        <w:t>Gyártó</w:t>
      </w:r>
    </w:p>
    <w:p w14:paraId="54FEEE8A" w14:textId="77777777" w:rsidR="00130E8B" w:rsidRDefault="00130E8B" w:rsidP="002C78FA">
      <w:pPr>
        <w:keepNext/>
        <w:keepLines/>
        <w:spacing w:before="12" w:line="240" w:lineRule="exact"/>
        <w:rPr>
          <w:sz w:val="24"/>
          <w:szCs w:val="24"/>
          <w:lang w:val="hu-HU"/>
        </w:rPr>
      </w:pPr>
    </w:p>
    <w:p w14:paraId="53121965" w14:textId="625F3278" w:rsidR="00130E8B" w:rsidRPr="002C78FA" w:rsidDel="002C78FA" w:rsidRDefault="000405CC" w:rsidP="002C78FA">
      <w:pPr>
        <w:pStyle w:val="a3"/>
        <w:keepNext/>
        <w:keepLines/>
        <w:rPr>
          <w:del w:id="79" w:author="만든 이"/>
          <w:lang w:val="hu-HU"/>
        </w:rPr>
      </w:pPr>
      <w:del w:id="80" w:author="만든 이">
        <w:r w:rsidRPr="002C78FA" w:rsidDel="002C78FA">
          <w:rPr>
            <w:lang w:val="hu-HU"/>
          </w:rPr>
          <w:delText>Millmount Healthcare Ltd.</w:delText>
        </w:r>
      </w:del>
    </w:p>
    <w:p w14:paraId="78651BCB" w14:textId="6023429E" w:rsidR="00130E8B" w:rsidRPr="002C78FA" w:rsidDel="002C78FA" w:rsidRDefault="000405CC" w:rsidP="002C78FA">
      <w:pPr>
        <w:pStyle w:val="a3"/>
        <w:keepNext/>
        <w:keepLines/>
        <w:rPr>
          <w:del w:id="81" w:author="만든 이"/>
          <w:lang w:val="hu-HU"/>
        </w:rPr>
      </w:pPr>
      <w:del w:id="82" w:author="만든 이">
        <w:r w:rsidRPr="002C78FA" w:rsidDel="002C78FA">
          <w:rPr>
            <w:lang w:val="hu-HU"/>
          </w:rPr>
          <w:delText>Block 7</w:delText>
        </w:r>
      </w:del>
    </w:p>
    <w:p w14:paraId="59E82E5C" w14:textId="2796B2C3" w:rsidR="00130E8B" w:rsidRPr="002C78FA" w:rsidDel="002C78FA" w:rsidRDefault="000405CC" w:rsidP="002C78FA">
      <w:pPr>
        <w:pStyle w:val="a3"/>
        <w:keepNext/>
        <w:keepLines/>
        <w:rPr>
          <w:del w:id="83" w:author="만든 이"/>
          <w:lang w:val="hu-HU"/>
        </w:rPr>
      </w:pPr>
      <w:del w:id="84" w:author="만든 이">
        <w:r w:rsidRPr="002C78FA" w:rsidDel="002C78FA">
          <w:rPr>
            <w:lang w:val="hu-HU"/>
          </w:rPr>
          <w:delText xml:space="preserve">City North Business Campus </w:delText>
        </w:r>
      </w:del>
    </w:p>
    <w:p w14:paraId="3B4763C0" w14:textId="59171C14" w:rsidR="00130E8B" w:rsidRPr="002C78FA" w:rsidDel="002C78FA" w:rsidRDefault="000405CC" w:rsidP="002C78FA">
      <w:pPr>
        <w:pStyle w:val="a3"/>
        <w:keepNext/>
        <w:keepLines/>
        <w:rPr>
          <w:del w:id="85" w:author="만든 이"/>
          <w:lang w:val="hu-HU"/>
        </w:rPr>
      </w:pPr>
      <w:del w:id="86" w:author="만든 이">
        <w:r w:rsidRPr="002C78FA" w:rsidDel="002C78FA">
          <w:rPr>
            <w:lang w:val="hu-HU"/>
          </w:rPr>
          <w:delText>Stamullen, Co. Meath K32 YD60</w:delText>
        </w:r>
      </w:del>
    </w:p>
    <w:p w14:paraId="3CCA9EE8" w14:textId="30163747" w:rsidR="00130E8B" w:rsidRPr="002C78FA" w:rsidDel="002C78FA" w:rsidRDefault="000405CC" w:rsidP="002C78FA">
      <w:pPr>
        <w:pStyle w:val="a3"/>
        <w:keepNext/>
        <w:keepLines/>
        <w:rPr>
          <w:del w:id="87" w:author="만든 이"/>
          <w:lang w:val="hu-HU"/>
        </w:rPr>
      </w:pPr>
      <w:del w:id="88" w:author="만든 이">
        <w:r w:rsidRPr="002C78FA" w:rsidDel="002C78FA">
          <w:rPr>
            <w:rFonts w:eastAsia="Times New Roman"/>
            <w:lang w:val="hu-HU"/>
          </w:rPr>
          <w:delText>Írország</w:delText>
        </w:r>
      </w:del>
    </w:p>
    <w:p w14:paraId="443F022C" w14:textId="5F535D82" w:rsidR="00130E8B" w:rsidRPr="002C78FA" w:rsidDel="002C78FA" w:rsidRDefault="00130E8B" w:rsidP="002C78FA">
      <w:pPr>
        <w:keepNext/>
        <w:keepLines/>
        <w:spacing w:before="14" w:line="240" w:lineRule="exact"/>
        <w:rPr>
          <w:del w:id="89" w:author="만든 이"/>
          <w:rFonts w:ascii="Times New Roman" w:hAnsi="Times New Roman" w:cs="Times New Roman"/>
          <w:sz w:val="24"/>
          <w:szCs w:val="24"/>
          <w:lang w:val="hu-HU"/>
        </w:rPr>
      </w:pPr>
    </w:p>
    <w:p w14:paraId="535FD266" w14:textId="77777777" w:rsidR="002C78FA" w:rsidRPr="007D68C5" w:rsidRDefault="002C78FA" w:rsidP="002C78FA">
      <w:pPr>
        <w:keepNext/>
        <w:keepLines/>
        <w:spacing w:before="10" w:line="240" w:lineRule="exact"/>
        <w:rPr>
          <w:moveTo w:id="90" w:author="만든 이" w16du:dateUtc="2025-09-09T05:36:00Z"/>
          <w:rFonts w:ascii="Times New Roman" w:eastAsia="Times New Roman" w:hAnsi="Times New Roman" w:cs="Times New Roman"/>
          <w:lang w:val="fr-CA"/>
        </w:rPr>
      </w:pPr>
      <w:moveToRangeStart w:id="91" w:author="만든 이" w:name="move208320998"/>
      <w:proofErr w:type="spellStart"/>
      <w:moveTo w:id="92" w:author="만든 이" w16du:dateUtc="2025-09-09T05:36:00Z">
        <w:r w:rsidRPr="007D68C5">
          <w:rPr>
            <w:rFonts w:ascii="Times New Roman" w:eastAsia="Times New Roman" w:hAnsi="Times New Roman" w:cs="Times New Roman"/>
            <w:lang w:val="fr-CA"/>
          </w:rPr>
          <w:t>Nuvisan</w:t>
        </w:r>
        <w:proofErr w:type="spellEnd"/>
        <w:r w:rsidRPr="007D68C5">
          <w:rPr>
            <w:rFonts w:ascii="Times New Roman" w:eastAsia="Times New Roman" w:hAnsi="Times New Roman" w:cs="Times New Roman"/>
            <w:lang w:val="fr-CA"/>
          </w:rPr>
          <w:t xml:space="preserve"> France SARL</w:t>
        </w:r>
      </w:moveTo>
    </w:p>
    <w:p w14:paraId="1E176FE5" w14:textId="77777777" w:rsidR="002C78FA" w:rsidRPr="007D68C5" w:rsidRDefault="002C78FA" w:rsidP="002C78FA">
      <w:pPr>
        <w:keepNext/>
        <w:keepLines/>
        <w:spacing w:before="10" w:line="240" w:lineRule="exact"/>
        <w:rPr>
          <w:moveTo w:id="93" w:author="만든 이" w16du:dateUtc="2025-09-09T05:36:00Z"/>
          <w:rFonts w:ascii="Times New Roman" w:hAnsi="Times New Roman" w:cs="Times New Roman"/>
          <w:lang w:val="fr-CA" w:eastAsia="ko-KR"/>
        </w:rPr>
      </w:pPr>
      <w:moveTo w:id="94" w:author="만든 이" w16du:dateUtc="2025-09-09T05:36:00Z">
        <w:r w:rsidRPr="007D68C5">
          <w:rPr>
            <w:rFonts w:ascii="Times New Roman" w:eastAsia="Times New Roman" w:hAnsi="Times New Roman" w:cs="Times New Roman"/>
            <w:lang w:val="fr-CA"/>
          </w:rPr>
          <w:t>2400, Route des Colles</w:t>
        </w:r>
      </w:moveTo>
    </w:p>
    <w:p w14:paraId="042C59B2" w14:textId="77777777" w:rsidR="002C78FA" w:rsidRPr="002C78FA" w:rsidRDefault="002C78FA" w:rsidP="002C78FA">
      <w:pPr>
        <w:keepNext/>
        <w:keepLines/>
        <w:spacing w:before="10" w:line="240" w:lineRule="exact"/>
        <w:rPr>
          <w:moveTo w:id="95" w:author="만든 이" w16du:dateUtc="2025-09-09T05:36:00Z"/>
          <w:rFonts w:ascii="Times New Roman" w:hAnsi="Times New Roman" w:cs="Times New Roman"/>
          <w:lang w:eastAsia="ko-KR"/>
        </w:rPr>
      </w:pPr>
      <w:moveTo w:id="96" w:author="만든 이" w16du:dateUtc="2025-09-09T05:36:00Z">
        <w:r w:rsidRPr="002C78FA">
          <w:rPr>
            <w:rFonts w:ascii="Times New Roman" w:eastAsia="Times New Roman" w:hAnsi="Times New Roman" w:cs="Times New Roman"/>
          </w:rPr>
          <w:t xml:space="preserve">06410, </w:t>
        </w:r>
        <w:proofErr w:type="spellStart"/>
        <w:r w:rsidRPr="002C78FA">
          <w:rPr>
            <w:rFonts w:ascii="Times New Roman" w:eastAsia="Times New Roman" w:hAnsi="Times New Roman" w:cs="Times New Roman"/>
          </w:rPr>
          <w:t>Biot</w:t>
        </w:r>
        <w:proofErr w:type="spellEnd"/>
      </w:moveTo>
    </w:p>
    <w:p w14:paraId="3479A94D" w14:textId="77777777" w:rsidR="002C78FA" w:rsidRPr="002C78FA" w:rsidRDefault="002C78FA" w:rsidP="002C78FA">
      <w:pPr>
        <w:keepNext/>
        <w:keepLines/>
        <w:autoSpaceDE w:val="0"/>
        <w:autoSpaceDN w:val="0"/>
        <w:adjustRightInd w:val="0"/>
        <w:rPr>
          <w:moveTo w:id="97" w:author="만든 이" w16du:dateUtc="2025-09-09T05:36:00Z"/>
          <w:rFonts w:ascii="Times New Roman" w:eastAsia="Times New Roman" w:hAnsi="Times New Roman" w:cs="Times New Roman"/>
        </w:rPr>
      </w:pPr>
      <w:proofErr w:type="spellStart"/>
      <w:moveTo w:id="98" w:author="만든 이" w16du:dateUtc="2025-09-09T05:36:00Z">
        <w:r w:rsidRPr="002C78FA">
          <w:rPr>
            <w:rFonts w:ascii="Times New Roman" w:eastAsia="Times New Roman" w:hAnsi="Times New Roman" w:cs="Times New Roman"/>
          </w:rPr>
          <w:t>Franciaország</w:t>
        </w:r>
        <w:proofErr w:type="spellEnd"/>
      </w:moveTo>
    </w:p>
    <w:p w14:paraId="3A60CC2F" w14:textId="77777777" w:rsidR="002C78FA" w:rsidRPr="00167BF3" w:rsidRDefault="002C78FA" w:rsidP="002C78FA">
      <w:pPr>
        <w:pStyle w:val="a3"/>
        <w:rPr>
          <w:moveTo w:id="99" w:author="만든 이" w16du:dateUtc="2025-09-09T05:36:00Z"/>
          <w:shd w:val="pct15" w:color="auto" w:fill="FFFFFF"/>
        </w:rPr>
      </w:pPr>
    </w:p>
    <w:moveToRangeEnd w:id="91"/>
    <w:p w14:paraId="44D0EE9D" w14:textId="77777777" w:rsidR="003D6213" w:rsidRPr="00167BF3" w:rsidRDefault="003D6213" w:rsidP="003D6213">
      <w:pPr>
        <w:spacing w:before="10" w:line="240" w:lineRule="exact"/>
        <w:rPr>
          <w:rFonts w:ascii="Times New Roman" w:eastAsia="Times New Roman" w:hAnsi="Times New Roman" w:cs="Times New Roman"/>
          <w:shd w:val="pct15" w:color="auto" w:fill="FFFFFF"/>
          <w:lang w:val="es-ES"/>
        </w:rPr>
      </w:pPr>
      <w:proofErr w:type="spellStart"/>
      <w:r w:rsidRPr="00167BF3">
        <w:rPr>
          <w:rFonts w:ascii="Times New Roman" w:eastAsia="Times New Roman" w:hAnsi="Times New Roman" w:cs="Times New Roman"/>
          <w:shd w:val="pct15" w:color="auto" w:fill="FFFFFF"/>
          <w:lang w:val="es-ES"/>
        </w:rPr>
        <w:t>Nuvisan</w:t>
      </w:r>
      <w:proofErr w:type="spellEnd"/>
      <w:r w:rsidRPr="00167BF3">
        <w:rPr>
          <w:rFonts w:ascii="Times New Roman" w:eastAsia="Times New Roman" w:hAnsi="Times New Roman" w:cs="Times New Roman"/>
          <w:shd w:val="pct15" w:color="auto" w:fill="FFFFFF"/>
          <w:lang w:val="es-ES"/>
        </w:rPr>
        <w:t xml:space="preserve"> </w:t>
      </w:r>
      <w:proofErr w:type="spellStart"/>
      <w:r w:rsidRPr="00167BF3">
        <w:rPr>
          <w:rFonts w:ascii="Times New Roman" w:eastAsia="Times New Roman" w:hAnsi="Times New Roman" w:cs="Times New Roman"/>
          <w:shd w:val="pct15" w:color="auto" w:fill="FFFFFF"/>
          <w:lang w:val="es-ES"/>
        </w:rPr>
        <w:t>GmbH</w:t>
      </w:r>
      <w:proofErr w:type="spellEnd"/>
    </w:p>
    <w:p w14:paraId="1E5ED12F" w14:textId="78FDDE21" w:rsidR="003D6213" w:rsidRPr="004537E9" w:rsidRDefault="003D6213" w:rsidP="003D6213">
      <w:pPr>
        <w:spacing w:before="10" w:line="240" w:lineRule="exact"/>
        <w:rPr>
          <w:rFonts w:ascii="Times New Roman" w:hAnsi="Times New Roman" w:cs="Times New Roman"/>
          <w:shd w:val="pct15" w:color="auto" w:fill="FFFFFF"/>
          <w:lang w:val="es-ES" w:eastAsia="ko-KR"/>
        </w:rPr>
      </w:pPr>
      <w:proofErr w:type="spellStart"/>
      <w:r w:rsidRPr="00167BF3">
        <w:rPr>
          <w:rFonts w:ascii="Times New Roman" w:eastAsia="Times New Roman" w:hAnsi="Times New Roman" w:cs="Times New Roman"/>
          <w:shd w:val="pct15" w:color="auto" w:fill="FFFFFF"/>
          <w:lang w:val="es-ES"/>
        </w:rPr>
        <w:t>Wegenerstraße</w:t>
      </w:r>
      <w:proofErr w:type="spellEnd"/>
      <w:r w:rsidRPr="00167BF3">
        <w:rPr>
          <w:rFonts w:ascii="Times New Roman" w:eastAsia="Times New Roman" w:hAnsi="Times New Roman" w:cs="Times New Roman"/>
          <w:shd w:val="pct15" w:color="auto" w:fill="FFFFFF"/>
          <w:lang w:val="es-ES"/>
        </w:rPr>
        <w:t xml:space="preserve"> 13</w:t>
      </w:r>
    </w:p>
    <w:p w14:paraId="368BAAE0" w14:textId="7002B762" w:rsidR="003D6213" w:rsidRPr="004537E9" w:rsidRDefault="003D6213" w:rsidP="003D6213">
      <w:pPr>
        <w:spacing w:before="10" w:line="240" w:lineRule="exact"/>
        <w:rPr>
          <w:rFonts w:ascii="Times New Roman" w:hAnsi="Times New Roman" w:cs="Times New Roman"/>
          <w:shd w:val="pct15" w:color="auto" w:fill="FFFFFF"/>
          <w:lang w:val="es-ES" w:eastAsia="ko-KR"/>
        </w:rPr>
      </w:pPr>
      <w:r w:rsidRPr="00167BF3">
        <w:rPr>
          <w:rFonts w:ascii="Times New Roman" w:eastAsia="Times New Roman" w:hAnsi="Times New Roman" w:cs="Times New Roman"/>
          <w:shd w:val="pct15" w:color="auto" w:fill="FFFFFF"/>
          <w:lang w:val="es-ES"/>
        </w:rPr>
        <w:t xml:space="preserve">89231 </w:t>
      </w:r>
      <w:proofErr w:type="spellStart"/>
      <w:r w:rsidRPr="00167BF3">
        <w:rPr>
          <w:rFonts w:ascii="Times New Roman" w:eastAsia="Times New Roman" w:hAnsi="Times New Roman" w:cs="Times New Roman"/>
          <w:shd w:val="pct15" w:color="auto" w:fill="FFFFFF"/>
          <w:lang w:val="es-ES"/>
        </w:rPr>
        <w:t>Neu</w:t>
      </w:r>
      <w:proofErr w:type="spellEnd"/>
      <w:r w:rsidR="004537E9">
        <w:rPr>
          <w:rFonts w:ascii="Times New Roman" w:hAnsi="Times New Roman" w:cs="Times New Roman" w:hint="eastAsia"/>
          <w:shd w:val="pct15" w:color="auto" w:fill="FFFFFF"/>
          <w:lang w:val="es-ES" w:eastAsia="ko-KR"/>
        </w:rPr>
        <w:t>-</w:t>
      </w:r>
      <w:r w:rsidRPr="00167BF3">
        <w:rPr>
          <w:rFonts w:ascii="Times New Roman" w:eastAsia="Times New Roman" w:hAnsi="Times New Roman" w:cs="Times New Roman"/>
          <w:shd w:val="pct15" w:color="auto" w:fill="FFFFFF"/>
          <w:lang w:val="es-ES"/>
        </w:rPr>
        <w:t>Ulm</w:t>
      </w:r>
    </w:p>
    <w:p w14:paraId="2727330F" w14:textId="77777777" w:rsidR="003D6213" w:rsidRPr="00167BF3" w:rsidRDefault="003D6213" w:rsidP="003D6213">
      <w:pPr>
        <w:spacing w:before="10" w:line="240" w:lineRule="exact"/>
        <w:rPr>
          <w:rFonts w:ascii="Times New Roman" w:eastAsia="Times New Roman" w:hAnsi="Times New Roman" w:cs="Times New Roman"/>
          <w:shd w:val="pct15" w:color="auto" w:fill="FFFFFF"/>
          <w:lang w:val="es-ES"/>
        </w:rPr>
      </w:pPr>
      <w:proofErr w:type="spellStart"/>
      <w:r w:rsidRPr="00167BF3">
        <w:rPr>
          <w:rFonts w:ascii="Times New Roman" w:eastAsia="Times New Roman" w:hAnsi="Times New Roman" w:cs="Times New Roman"/>
          <w:shd w:val="pct15" w:color="auto" w:fill="FFFFFF"/>
          <w:lang w:val="es-ES"/>
        </w:rPr>
        <w:t>Németország</w:t>
      </w:r>
      <w:proofErr w:type="spellEnd"/>
    </w:p>
    <w:p w14:paraId="25DE9E91" w14:textId="77777777" w:rsidR="003D6213" w:rsidRPr="00167BF3" w:rsidRDefault="003D6213" w:rsidP="003D6213">
      <w:pPr>
        <w:spacing w:before="10" w:line="240" w:lineRule="exact"/>
        <w:rPr>
          <w:rFonts w:ascii="Times New Roman" w:eastAsia="Times New Roman" w:hAnsi="Times New Roman" w:cs="Times New Roman"/>
          <w:shd w:val="pct15" w:color="auto" w:fill="FFFFFF"/>
          <w:lang w:val="es-ES"/>
        </w:rPr>
      </w:pPr>
    </w:p>
    <w:p w14:paraId="6875EB87" w14:textId="01265C3C" w:rsidR="003D6213" w:rsidRPr="00167BF3" w:rsidDel="002C78FA" w:rsidRDefault="003D6213" w:rsidP="003D6213">
      <w:pPr>
        <w:spacing w:before="10" w:line="240" w:lineRule="exact"/>
        <w:rPr>
          <w:moveFrom w:id="100" w:author="만든 이" w16du:dateUtc="2025-09-09T05:36:00Z"/>
          <w:rFonts w:ascii="Times New Roman" w:eastAsia="Times New Roman" w:hAnsi="Times New Roman" w:cs="Times New Roman"/>
          <w:shd w:val="pct15" w:color="auto" w:fill="FFFFFF"/>
        </w:rPr>
      </w:pPr>
      <w:moveFromRangeStart w:id="101" w:author="만든 이" w:name="move208320998"/>
      <w:moveFrom w:id="102" w:author="만든 이" w16du:dateUtc="2025-09-09T05:36:00Z">
        <w:r w:rsidRPr="00167BF3" w:rsidDel="002C78FA">
          <w:rPr>
            <w:rFonts w:ascii="Times New Roman" w:eastAsia="Times New Roman" w:hAnsi="Times New Roman" w:cs="Times New Roman"/>
            <w:shd w:val="pct15" w:color="auto" w:fill="FFFFFF"/>
          </w:rPr>
          <w:t>Nuvisan France SARL</w:t>
        </w:r>
      </w:moveFrom>
    </w:p>
    <w:p w14:paraId="0ED9857E" w14:textId="086E0AEA" w:rsidR="003D6213" w:rsidRPr="004537E9" w:rsidDel="002C78FA" w:rsidRDefault="003D6213" w:rsidP="003D6213">
      <w:pPr>
        <w:spacing w:before="10" w:line="240" w:lineRule="exact"/>
        <w:rPr>
          <w:moveFrom w:id="103" w:author="만든 이" w16du:dateUtc="2025-09-09T05:36:00Z"/>
          <w:rFonts w:ascii="Times New Roman" w:hAnsi="Times New Roman" w:cs="Times New Roman"/>
          <w:shd w:val="pct15" w:color="auto" w:fill="FFFFFF"/>
          <w:lang w:eastAsia="ko-KR"/>
        </w:rPr>
      </w:pPr>
      <w:moveFrom w:id="104" w:author="만든 이" w16du:dateUtc="2025-09-09T05:36:00Z">
        <w:r w:rsidRPr="00167BF3" w:rsidDel="002C78FA">
          <w:rPr>
            <w:rFonts w:ascii="Times New Roman" w:eastAsia="Times New Roman" w:hAnsi="Times New Roman" w:cs="Times New Roman"/>
            <w:shd w:val="pct15" w:color="auto" w:fill="FFFFFF"/>
          </w:rPr>
          <w:t>2400, Route des Colles</w:t>
        </w:r>
      </w:moveFrom>
    </w:p>
    <w:p w14:paraId="49E2F862" w14:textId="663F3EDC" w:rsidR="003D6213" w:rsidRPr="004537E9" w:rsidDel="002C78FA" w:rsidRDefault="003D6213" w:rsidP="003D6213">
      <w:pPr>
        <w:spacing w:before="10" w:line="240" w:lineRule="exact"/>
        <w:rPr>
          <w:moveFrom w:id="105" w:author="만든 이" w16du:dateUtc="2025-09-09T05:36:00Z"/>
          <w:rFonts w:ascii="Times New Roman" w:hAnsi="Times New Roman" w:cs="Times New Roman"/>
          <w:shd w:val="pct15" w:color="auto" w:fill="FFFFFF"/>
          <w:lang w:eastAsia="ko-KR"/>
        </w:rPr>
      </w:pPr>
      <w:moveFrom w:id="106" w:author="만든 이" w16du:dateUtc="2025-09-09T05:36:00Z">
        <w:r w:rsidRPr="00167BF3" w:rsidDel="002C78FA">
          <w:rPr>
            <w:rFonts w:ascii="Times New Roman" w:eastAsia="Times New Roman" w:hAnsi="Times New Roman" w:cs="Times New Roman"/>
            <w:shd w:val="pct15" w:color="auto" w:fill="FFFFFF"/>
          </w:rPr>
          <w:t>06410, Biot</w:t>
        </w:r>
      </w:moveFrom>
    </w:p>
    <w:p w14:paraId="235F97A1" w14:textId="070E19C2" w:rsidR="003D6213" w:rsidRPr="00167BF3" w:rsidDel="002C78FA" w:rsidRDefault="003D6213" w:rsidP="003D6213">
      <w:pPr>
        <w:autoSpaceDE w:val="0"/>
        <w:autoSpaceDN w:val="0"/>
        <w:adjustRightInd w:val="0"/>
        <w:rPr>
          <w:moveFrom w:id="107" w:author="만든 이" w16du:dateUtc="2025-09-09T05:36:00Z"/>
          <w:rFonts w:ascii="Times New Roman" w:eastAsia="Times New Roman" w:hAnsi="Times New Roman" w:cs="Times New Roman"/>
          <w:shd w:val="pct15" w:color="auto" w:fill="FFFFFF"/>
        </w:rPr>
      </w:pPr>
      <w:moveFrom w:id="108" w:author="만든 이" w16du:dateUtc="2025-09-09T05:36:00Z">
        <w:r w:rsidRPr="00167BF3" w:rsidDel="002C78FA">
          <w:rPr>
            <w:rFonts w:ascii="Times New Roman" w:eastAsia="Times New Roman" w:hAnsi="Times New Roman" w:cs="Times New Roman"/>
            <w:shd w:val="pct15" w:color="auto" w:fill="FFFFFF"/>
          </w:rPr>
          <w:t>Franciaország</w:t>
        </w:r>
      </w:moveFrom>
    </w:p>
    <w:p w14:paraId="43B96205" w14:textId="42FED781" w:rsidR="007A3DE2" w:rsidRPr="00167BF3" w:rsidDel="002C78FA" w:rsidRDefault="007A3DE2" w:rsidP="007A3DE2">
      <w:pPr>
        <w:pStyle w:val="a3"/>
        <w:rPr>
          <w:moveFrom w:id="109" w:author="만든 이" w16du:dateUtc="2025-09-09T05:36:00Z"/>
          <w:shd w:val="pct15" w:color="auto" w:fill="FFFFFF"/>
        </w:rPr>
      </w:pPr>
    </w:p>
    <w:moveFromRangeEnd w:id="101"/>
    <w:p w14:paraId="39F23E12" w14:textId="77777777" w:rsidR="007A3DE2" w:rsidRPr="007D68C5" w:rsidRDefault="007A3DE2" w:rsidP="007A3DE2">
      <w:pPr>
        <w:pStyle w:val="a3"/>
        <w:rPr>
          <w:shd w:val="pct15" w:color="auto" w:fill="FFFFFF"/>
        </w:rPr>
      </w:pPr>
      <w:r w:rsidRPr="007D68C5">
        <w:rPr>
          <w:shd w:val="pct15" w:color="auto" w:fill="FFFFFF"/>
        </w:rPr>
        <w:t>Midas Pharma GmbH</w:t>
      </w:r>
    </w:p>
    <w:p w14:paraId="1D4413BB" w14:textId="420DE9E8" w:rsidR="007A3DE2" w:rsidRPr="007D68C5" w:rsidRDefault="007A3DE2" w:rsidP="007A3DE2">
      <w:pPr>
        <w:pStyle w:val="a3"/>
        <w:rPr>
          <w:shd w:val="pct15" w:color="auto" w:fill="FFFFFF"/>
        </w:rPr>
      </w:pPr>
      <w:proofErr w:type="spellStart"/>
      <w:r w:rsidRPr="007D68C5">
        <w:rPr>
          <w:shd w:val="pct15" w:color="auto" w:fill="FFFFFF"/>
        </w:rPr>
        <w:t>Rheinstr</w:t>
      </w:r>
      <w:proofErr w:type="spellEnd"/>
      <w:r w:rsidRPr="007D68C5">
        <w:rPr>
          <w:shd w:val="pct15" w:color="auto" w:fill="FFFFFF"/>
        </w:rPr>
        <w:t>. 49</w:t>
      </w:r>
    </w:p>
    <w:p w14:paraId="57B5A295" w14:textId="4A6A87CB" w:rsidR="007A3DE2" w:rsidRPr="007D68C5" w:rsidRDefault="007A3DE2" w:rsidP="007A3DE2">
      <w:pPr>
        <w:pStyle w:val="a3"/>
        <w:rPr>
          <w:shd w:val="pct15" w:color="auto" w:fill="FFFFFF"/>
        </w:rPr>
      </w:pPr>
      <w:r w:rsidRPr="007D68C5">
        <w:rPr>
          <w:shd w:val="pct15" w:color="auto" w:fill="FFFFFF"/>
        </w:rPr>
        <w:t>55218 Ingelheim</w:t>
      </w:r>
    </w:p>
    <w:p w14:paraId="6E2B0A10" w14:textId="77777777" w:rsidR="007A3DE2" w:rsidRPr="007D68C5" w:rsidRDefault="007A3DE2" w:rsidP="007A3DE2">
      <w:pPr>
        <w:pStyle w:val="a3"/>
        <w:rPr>
          <w:shd w:val="pct15" w:color="auto" w:fill="FFFFFF"/>
        </w:rPr>
      </w:pPr>
      <w:proofErr w:type="spellStart"/>
      <w:r w:rsidRPr="007D68C5">
        <w:rPr>
          <w:shd w:val="pct15" w:color="auto" w:fill="FFFFFF"/>
        </w:rPr>
        <w:t>Németország</w:t>
      </w:r>
      <w:proofErr w:type="spellEnd"/>
    </w:p>
    <w:p w14:paraId="042E0326" w14:textId="77777777" w:rsidR="007A3DE2" w:rsidRPr="007D68C5" w:rsidRDefault="007A3DE2" w:rsidP="007A3DE2">
      <w:pPr>
        <w:pStyle w:val="a3"/>
        <w:rPr>
          <w:shd w:val="pct15" w:color="auto" w:fill="FFFFFF"/>
        </w:rPr>
      </w:pPr>
    </w:p>
    <w:p w14:paraId="743B7BAE" w14:textId="572F8F54" w:rsidR="007A3DE2" w:rsidRPr="00167BF3" w:rsidRDefault="007A3DE2" w:rsidP="007A3DE2">
      <w:pPr>
        <w:pStyle w:val="a3"/>
        <w:rPr>
          <w:shd w:val="pct15" w:color="auto" w:fill="FFFFFF"/>
          <w:lang w:val="fr-FR"/>
        </w:rPr>
      </w:pPr>
      <w:r w:rsidRPr="00167BF3">
        <w:rPr>
          <w:shd w:val="pct15" w:color="auto" w:fill="FFFFFF"/>
          <w:lang w:val="fr-FR"/>
        </w:rPr>
        <w:t>KYMOS S.L.</w:t>
      </w:r>
    </w:p>
    <w:p w14:paraId="2904A8DD" w14:textId="35449462" w:rsidR="007A3DE2" w:rsidRPr="00167BF3" w:rsidRDefault="007A3DE2" w:rsidP="007A3DE2">
      <w:pPr>
        <w:pStyle w:val="a3"/>
        <w:rPr>
          <w:shd w:val="pct15" w:color="auto" w:fill="FFFFFF"/>
          <w:lang w:val="fr-FR"/>
        </w:rPr>
      </w:pPr>
      <w:r w:rsidRPr="00167BF3">
        <w:rPr>
          <w:shd w:val="pct15" w:color="auto" w:fill="FFFFFF"/>
          <w:lang w:val="fr-FR"/>
        </w:rPr>
        <w:t xml:space="preserve">Ronda Can </w:t>
      </w:r>
      <w:proofErr w:type="spellStart"/>
      <w:r w:rsidRPr="00167BF3">
        <w:rPr>
          <w:shd w:val="pct15" w:color="auto" w:fill="FFFFFF"/>
          <w:lang w:val="fr-FR"/>
        </w:rPr>
        <w:t>Fatjó</w:t>
      </w:r>
      <w:proofErr w:type="spellEnd"/>
      <w:r w:rsidRPr="00167BF3">
        <w:rPr>
          <w:shd w:val="pct15" w:color="auto" w:fill="FFFFFF"/>
          <w:lang w:val="fr-FR"/>
        </w:rPr>
        <w:t>, 7B.</w:t>
      </w:r>
    </w:p>
    <w:p w14:paraId="32CEFA6E" w14:textId="16B1D7C1" w:rsidR="007A3DE2" w:rsidRPr="00167BF3" w:rsidRDefault="007A3DE2" w:rsidP="007A3DE2">
      <w:pPr>
        <w:pStyle w:val="a3"/>
        <w:rPr>
          <w:shd w:val="pct15" w:color="auto" w:fill="FFFFFF"/>
          <w:lang w:val="fr-FR"/>
        </w:rPr>
      </w:pPr>
      <w:r w:rsidRPr="00167BF3">
        <w:rPr>
          <w:shd w:val="pct15" w:color="auto" w:fill="FFFFFF"/>
          <w:lang w:val="fr-FR"/>
        </w:rPr>
        <w:t xml:space="preserve">08290 </w:t>
      </w:r>
      <w:proofErr w:type="spellStart"/>
      <w:r w:rsidRPr="00167BF3">
        <w:rPr>
          <w:shd w:val="pct15" w:color="auto" w:fill="FFFFFF"/>
          <w:lang w:val="fr-FR"/>
        </w:rPr>
        <w:t>Cerdanyola</w:t>
      </w:r>
      <w:proofErr w:type="spellEnd"/>
      <w:r w:rsidRPr="00167BF3">
        <w:rPr>
          <w:shd w:val="pct15" w:color="auto" w:fill="FFFFFF"/>
          <w:lang w:val="fr-FR"/>
        </w:rPr>
        <w:t xml:space="preserve"> </w:t>
      </w:r>
      <w:proofErr w:type="spellStart"/>
      <w:r w:rsidRPr="00167BF3">
        <w:rPr>
          <w:shd w:val="pct15" w:color="auto" w:fill="FFFFFF"/>
          <w:lang w:val="fr-FR"/>
        </w:rPr>
        <w:t>del</w:t>
      </w:r>
      <w:proofErr w:type="spellEnd"/>
      <w:r w:rsidRPr="00167BF3">
        <w:rPr>
          <w:shd w:val="pct15" w:color="auto" w:fill="FFFFFF"/>
          <w:lang w:val="fr-FR"/>
        </w:rPr>
        <w:t xml:space="preserve"> Vallès</w:t>
      </w:r>
    </w:p>
    <w:p w14:paraId="496A2720" w14:textId="677ABC8A" w:rsidR="007A3DE2" w:rsidRPr="00167BF3" w:rsidRDefault="007A3DE2" w:rsidP="007A3DE2">
      <w:pPr>
        <w:pStyle w:val="a3"/>
        <w:rPr>
          <w:shd w:val="pct15" w:color="auto" w:fill="FFFFFF"/>
          <w:lang w:val="fr-FR"/>
        </w:rPr>
      </w:pPr>
      <w:r w:rsidRPr="00167BF3">
        <w:rPr>
          <w:shd w:val="pct15" w:color="auto" w:fill="FFFFFF"/>
          <w:lang w:val="fr-FR"/>
        </w:rPr>
        <w:t>Barcelona</w:t>
      </w:r>
    </w:p>
    <w:p w14:paraId="086BD650" w14:textId="77777777" w:rsidR="007A3DE2" w:rsidRPr="00167BF3" w:rsidRDefault="007A3DE2" w:rsidP="007A3DE2">
      <w:pPr>
        <w:pStyle w:val="a3"/>
        <w:rPr>
          <w:shd w:val="pct15" w:color="auto" w:fill="FFFFFF"/>
          <w:lang w:val="fr-FR"/>
        </w:rPr>
      </w:pPr>
      <w:proofErr w:type="spellStart"/>
      <w:r w:rsidRPr="00167BF3">
        <w:rPr>
          <w:shd w:val="pct15" w:color="auto" w:fill="FFFFFF"/>
          <w:lang w:val="fr-FR"/>
        </w:rPr>
        <w:t>Spanyolország</w:t>
      </w:r>
      <w:proofErr w:type="spellEnd"/>
    </w:p>
    <w:p w14:paraId="74B0FC6E" w14:textId="77777777" w:rsidR="003D6213" w:rsidRPr="00644E8D" w:rsidRDefault="003D6213">
      <w:pPr>
        <w:spacing w:before="14" w:line="240" w:lineRule="exact"/>
        <w:rPr>
          <w:sz w:val="24"/>
          <w:szCs w:val="24"/>
          <w:lang w:val="fr-FR"/>
        </w:rPr>
      </w:pPr>
    </w:p>
    <w:p w14:paraId="40432E4C" w14:textId="77777777" w:rsidR="00130E8B" w:rsidRDefault="000405CC">
      <w:pPr>
        <w:pStyle w:val="a3"/>
        <w:rPr>
          <w:lang w:val="hu-HU"/>
        </w:rPr>
      </w:pPr>
      <w:r>
        <w:rPr>
          <w:rFonts w:eastAsia="Times New Roman"/>
          <w:lang w:val="hu-HU"/>
        </w:rPr>
        <w:t>A készítményhez kapcsolódó további kérdéseivel forduljon a forgalomba hozatali engedély jogosultjának helyi képviseletéhez:</w:t>
      </w:r>
    </w:p>
    <w:p w14:paraId="6C53EB0E" w14:textId="77777777" w:rsidR="00130E8B" w:rsidRDefault="00130E8B">
      <w:pPr>
        <w:numPr>
          <w:ilvl w:val="12"/>
          <w:numId w:val="0"/>
        </w:numPr>
        <w:ind w:right="-2"/>
        <w:rPr>
          <w:rFonts w:ascii="Times New Roman" w:hAnsi="Times New Roman" w:cs="Times New Roman"/>
          <w:b/>
          <w:noProof/>
          <w:lang w:val="hu-HU"/>
        </w:rPr>
      </w:pPr>
    </w:p>
    <w:tbl>
      <w:tblPr>
        <w:tblW w:w="5000" w:type="pct"/>
        <w:tblLook w:val="04A0" w:firstRow="1" w:lastRow="0" w:firstColumn="1" w:lastColumn="0" w:noHBand="0" w:noVBand="1"/>
      </w:tblPr>
      <w:tblGrid>
        <w:gridCol w:w="4800"/>
        <w:gridCol w:w="4800"/>
      </w:tblGrid>
      <w:tr w:rsidR="00130E8B" w14:paraId="309A5B78" w14:textId="77777777">
        <w:tc>
          <w:tcPr>
            <w:tcW w:w="2500" w:type="pct"/>
            <w:hideMark/>
          </w:tcPr>
          <w:p w14:paraId="6A6D62EE" w14:textId="77777777" w:rsidR="00130E8B" w:rsidRDefault="000405CC">
            <w:pPr>
              <w:rPr>
                <w:rFonts w:ascii="Times New Roman" w:hAnsi="Times New Roman" w:cs="Times New Roman"/>
                <w:b/>
                <w:noProof/>
                <w:lang w:val="hu-HU" w:eastAsia="fr-FR"/>
              </w:rPr>
            </w:pPr>
            <w:r>
              <w:rPr>
                <w:rFonts w:ascii="Times New Roman" w:eastAsia="맑은 고딕" w:hAnsi="Times New Roman" w:cs="Times New Roman"/>
                <w:b/>
                <w:noProof/>
                <w:lang w:val="hu-HU" w:eastAsia="fr-FR"/>
              </w:rPr>
              <w:t>België/Belgique/Belgien</w:t>
            </w:r>
          </w:p>
          <w:p w14:paraId="01794591" w14:textId="77777777" w:rsidR="00130E8B" w:rsidRDefault="000405CC">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Belgium BVBA</w:t>
            </w:r>
          </w:p>
          <w:p w14:paraId="246E7DE1" w14:textId="77777777" w:rsidR="00130E8B" w:rsidRDefault="000405CC">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Tél/Tel: + 32 1528 7418</w:t>
            </w:r>
          </w:p>
          <w:p w14:paraId="3DDFEF0A" w14:textId="77777777" w:rsidR="00130E8B" w:rsidRDefault="00130E8B">
            <w:pPr>
              <w:rPr>
                <w:rFonts w:ascii="Times New Roman" w:eastAsia="맑은 고딕" w:hAnsi="Times New Roman" w:cs="Times New Roman"/>
                <w:noProof/>
                <w:lang w:val="hu-HU" w:eastAsia="ko-KR"/>
              </w:rPr>
            </w:pPr>
          </w:p>
        </w:tc>
        <w:tc>
          <w:tcPr>
            <w:tcW w:w="2500" w:type="pct"/>
          </w:tcPr>
          <w:p w14:paraId="52E230DB" w14:textId="77777777" w:rsidR="00130E8B" w:rsidRDefault="000405CC">
            <w:pPr>
              <w:tabs>
                <w:tab w:val="left" w:pos="-720"/>
              </w:tabs>
              <w:suppressAutoHyphens/>
              <w:rPr>
                <w:rFonts w:ascii="Times New Roman" w:hAnsi="Times New Roman" w:cs="Times New Roman"/>
                <w:b/>
                <w:noProof/>
                <w:lang w:val="hu-HU" w:eastAsia="fr-FR"/>
              </w:rPr>
            </w:pPr>
            <w:r>
              <w:rPr>
                <w:rFonts w:ascii="Times New Roman" w:hAnsi="Times New Roman" w:cs="Times New Roman"/>
                <w:b/>
                <w:noProof/>
                <w:lang w:val="hu-HU" w:eastAsia="fr-FR"/>
              </w:rPr>
              <w:t>Lietuva</w:t>
            </w:r>
          </w:p>
          <w:p w14:paraId="539DCC6E" w14:textId="77777777" w:rsidR="00120A76" w:rsidRDefault="00120A76" w:rsidP="00120A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6125DA1B" w14:textId="507B92D8" w:rsidR="003E633A" w:rsidRDefault="00EF4B09" w:rsidP="00120A76">
            <w:pPr>
              <w:tabs>
                <w:tab w:val="left" w:pos="-720"/>
              </w:tabs>
              <w:suppressAutoHyphens/>
              <w:rPr>
                <w:rFonts w:ascii="Times New Roman" w:hAnsi="Times New Roman" w:cs="Times New Roman"/>
                <w:noProof/>
                <w:lang w:val="hu-HU" w:eastAsia="fr-FR"/>
              </w:rPr>
            </w:pPr>
            <w:r w:rsidRPr="00EF4B09">
              <w:rPr>
                <w:rFonts w:ascii="Times New Roman" w:eastAsia="맑은 고딕" w:hAnsi="Times New Roman" w:cs="Times New Roman"/>
                <w:noProof/>
                <w:lang w:eastAsia="fr-FR"/>
              </w:rPr>
              <w:t xml:space="preserve">Tel.: </w:t>
            </w:r>
            <w:r w:rsidR="00120A76">
              <w:rPr>
                <w:rFonts w:ascii="Times New Roman" w:eastAsia="맑은 고딕" w:hAnsi="Times New Roman" w:cs="Times New Roman"/>
                <w:noProof/>
                <w:lang w:eastAsia="fr-FR"/>
              </w:rPr>
              <w:t>+36 1 231 0493</w:t>
            </w:r>
          </w:p>
          <w:p w14:paraId="44DEC0E1" w14:textId="77777777" w:rsidR="00130E8B" w:rsidRPr="00120A76" w:rsidRDefault="00130E8B">
            <w:pPr>
              <w:autoSpaceDE w:val="0"/>
              <w:autoSpaceDN w:val="0"/>
              <w:adjustRightInd w:val="0"/>
              <w:rPr>
                <w:rFonts w:ascii="Times New Roman" w:hAnsi="Times New Roman" w:cs="Times New Roman"/>
                <w:noProof/>
                <w:lang w:val="hu-HU" w:eastAsia="fr-FR"/>
              </w:rPr>
            </w:pPr>
          </w:p>
        </w:tc>
      </w:tr>
      <w:tr w:rsidR="00130E8B" w14:paraId="2B9978B2" w14:textId="77777777">
        <w:trPr>
          <w:trHeight w:val="619"/>
        </w:trPr>
        <w:tc>
          <w:tcPr>
            <w:tcW w:w="2500" w:type="pct"/>
          </w:tcPr>
          <w:p w14:paraId="2CB3DB5E" w14:textId="77777777" w:rsidR="00130E8B" w:rsidRDefault="000405CC">
            <w:pPr>
              <w:rPr>
                <w:rFonts w:ascii="Times New Roman" w:eastAsia="맑은 고딕" w:hAnsi="Times New Roman" w:cs="Times New Roman"/>
                <w:b/>
                <w:noProof/>
                <w:lang w:val="hu-HU" w:eastAsia="fr-FR"/>
              </w:rPr>
            </w:pPr>
            <w:r>
              <w:rPr>
                <w:rFonts w:ascii="Times New Roman" w:hAnsi="Times New Roman" w:cs="Times New Roman"/>
                <w:b/>
                <w:bCs/>
                <w:lang w:val="hu-HU"/>
              </w:rPr>
              <w:t>България</w:t>
            </w:r>
          </w:p>
          <w:p w14:paraId="394E9224" w14:textId="77777777" w:rsidR="00120A76" w:rsidRDefault="00120A76" w:rsidP="00120A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2C92813C" w14:textId="62301389" w:rsidR="00130E8B" w:rsidRPr="00120A76" w:rsidRDefault="00F814F0">
            <w:pPr>
              <w:rPr>
                <w:rFonts w:ascii="Times New Roman" w:hAnsi="Times New Roman" w:cs="Times New Roman"/>
                <w:noProof/>
                <w:lang w:val="hu-HU" w:eastAsia="fr-FR"/>
              </w:rPr>
            </w:pPr>
            <w:r w:rsidRPr="00F814F0">
              <w:rPr>
                <w:rFonts w:ascii="Times New Roman" w:eastAsia="맑은 고딕" w:hAnsi="Times New Roman" w:cs="Times New Roman"/>
                <w:noProof/>
                <w:lang w:eastAsia="fr-FR"/>
              </w:rPr>
              <w:t xml:space="preserve">Teл.: </w:t>
            </w:r>
            <w:r w:rsidR="00120A76">
              <w:rPr>
                <w:rFonts w:ascii="Times New Roman" w:eastAsia="맑은 고딕" w:hAnsi="Times New Roman" w:cs="Times New Roman"/>
                <w:noProof/>
                <w:lang w:eastAsia="fr-FR"/>
              </w:rPr>
              <w:t>+36 1 231 0493</w:t>
            </w:r>
          </w:p>
        </w:tc>
        <w:tc>
          <w:tcPr>
            <w:tcW w:w="2500" w:type="pct"/>
            <w:hideMark/>
          </w:tcPr>
          <w:p w14:paraId="0B74AAAD" w14:textId="77777777" w:rsidR="00130E8B" w:rsidRDefault="000405CC">
            <w:pPr>
              <w:tabs>
                <w:tab w:val="left" w:pos="-720"/>
              </w:tabs>
              <w:suppressAutoHyphens/>
              <w:rPr>
                <w:rFonts w:ascii="Times New Roman" w:hAnsi="Times New Roman" w:cs="Times New Roman"/>
                <w:noProof/>
                <w:lang w:val="hu-HU" w:eastAsia="fr-FR"/>
              </w:rPr>
            </w:pPr>
            <w:r>
              <w:rPr>
                <w:rFonts w:ascii="Times New Roman" w:eastAsia="맑은 고딕" w:hAnsi="Times New Roman" w:cs="Times New Roman"/>
                <w:b/>
                <w:noProof/>
                <w:lang w:val="hu-HU" w:eastAsia="fr-FR"/>
              </w:rPr>
              <w:t>Luxembourg/Luxemburg</w:t>
            </w:r>
          </w:p>
          <w:p w14:paraId="15C45417" w14:textId="77777777" w:rsidR="00130E8B" w:rsidRDefault="000405CC">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Belgium BVBA</w:t>
            </w:r>
          </w:p>
          <w:p w14:paraId="27DAB466" w14:textId="042D38EB" w:rsidR="00130E8B" w:rsidRDefault="000405CC">
            <w:pPr>
              <w:tabs>
                <w:tab w:val="left" w:pos="-720"/>
              </w:tabs>
              <w:suppressAutoHyphen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Tél/Tel: + 32 1528 7418</w:t>
            </w:r>
          </w:p>
          <w:p w14:paraId="55ED538E" w14:textId="77777777" w:rsidR="003E633A" w:rsidRDefault="003E633A">
            <w:pPr>
              <w:tabs>
                <w:tab w:val="left" w:pos="-720"/>
              </w:tabs>
              <w:suppressAutoHyphens/>
              <w:rPr>
                <w:rFonts w:ascii="Times New Roman" w:eastAsia="맑은 고딕" w:hAnsi="Times New Roman" w:cs="Times New Roman"/>
                <w:lang w:val="hu-HU" w:eastAsia="ko-KR"/>
              </w:rPr>
            </w:pPr>
          </w:p>
          <w:p w14:paraId="0C476FD2" w14:textId="77777777" w:rsidR="00130E8B" w:rsidRDefault="00130E8B">
            <w:pPr>
              <w:tabs>
                <w:tab w:val="left" w:pos="-720"/>
              </w:tabs>
              <w:suppressAutoHyphens/>
              <w:rPr>
                <w:rFonts w:ascii="Times New Roman" w:eastAsia="맑은 고딕" w:hAnsi="Times New Roman" w:cs="Times New Roman"/>
                <w:lang w:val="hu-HU" w:eastAsia="ko-KR"/>
              </w:rPr>
            </w:pPr>
          </w:p>
        </w:tc>
      </w:tr>
      <w:tr w:rsidR="00130E8B" w14:paraId="5DC8A1F6" w14:textId="77777777">
        <w:tc>
          <w:tcPr>
            <w:tcW w:w="2500" w:type="pct"/>
            <w:hideMark/>
          </w:tcPr>
          <w:p w14:paraId="39B8215A" w14:textId="77777777" w:rsidR="00130E8B" w:rsidRDefault="000405CC">
            <w:pPr>
              <w:tabs>
                <w:tab w:val="left" w:pos="-720"/>
              </w:tabs>
              <w:suppressAutoHyphens/>
              <w:rPr>
                <w:rFonts w:ascii="Times New Roman" w:eastAsia="맑은 고딕" w:hAnsi="Times New Roman" w:cs="Times New Roman"/>
                <w:b/>
                <w:noProof/>
                <w:lang w:val="hu-HU" w:eastAsia="fr-FR"/>
              </w:rPr>
            </w:pPr>
            <w:r>
              <w:rPr>
                <w:rFonts w:ascii="Times New Roman" w:eastAsia="맑은 고딕" w:hAnsi="Times New Roman" w:cs="Times New Roman"/>
                <w:b/>
                <w:noProof/>
                <w:lang w:val="hu-HU" w:eastAsia="fr-FR"/>
              </w:rPr>
              <w:t>Česká republika</w:t>
            </w:r>
          </w:p>
          <w:p w14:paraId="55FB9AA5" w14:textId="77777777" w:rsidR="00120A76" w:rsidRDefault="00120A76" w:rsidP="00120A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7C4183D2" w14:textId="733112E7" w:rsidR="00130E8B" w:rsidRPr="00120A76" w:rsidRDefault="00EF4B09">
            <w:pPr>
              <w:tabs>
                <w:tab w:val="left" w:pos="-720"/>
              </w:tabs>
              <w:suppressAutoHyphens/>
              <w:rPr>
                <w:rFonts w:ascii="Times New Roman" w:hAnsi="Times New Roman" w:cs="Times New Roman"/>
                <w:noProof/>
                <w:lang w:val="hu-HU" w:eastAsia="fr-FR"/>
              </w:rPr>
            </w:pPr>
            <w:r w:rsidRPr="00EF4B09">
              <w:rPr>
                <w:rFonts w:ascii="Times New Roman" w:eastAsia="맑은 고딕" w:hAnsi="Times New Roman" w:cs="Times New Roman"/>
                <w:noProof/>
                <w:lang w:eastAsia="fr-FR"/>
              </w:rPr>
              <w:t xml:space="preserve">Tel: </w:t>
            </w:r>
            <w:r w:rsidR="00120A76">
              <w:rPr>
                <w:rFonts w:ascii="Times New Roman" w:eastAsia="맑은 고딕" w:hAnsi="Times New Roman" w:cs="Times New Roman"/>
                <w:noProof/>
                <w:lang w:eastAsia="fr-FR"/>
              </w:rPr>
              <w:t>+36 1 231 0493</w:t>
            </w:r>
          </w:p>
        </w:tc>
        <w:tc>
          <w:tcPr>
            <w:tcW w:w="2500" w:type="pct"/>
          </w:tcPr>
          <w:p w14:paraId="786B1508" w14:textId="77777777" w:rsidR="00130E8B" w:rsidRDefault="000405CC">
            <w:pPr>
              <w:rPr>
                <w:rFonts w:ascii="Times New Roman" w:eastAsia="맑은 고딕" w:hAnsi="Times New Roman" w:cs="Times New Roman"/>
                <w:b/>
                <w:noProof/>
                <w:lang w:val="hu-HU" w:eastAsia="fr-FR"/>
              </w:rPr>
            </w:pPr>
            <w:r>
              <w:rPr>
                <w:rFonts w:ascii="Times New Roman" w:hAnsi="Times New Roman" w:cs="Times New Roman"/>
                <w:b/>
                <w:noProof/>
                <w:lang w:val="hu-HU"/>
              </w:rPr>
              <w:t>Magyarország</w:t>
            </w:r>
          </w:p>
          <w:p w14:paraId="03BF62B1" w14:textId="77777777" w:rsidR="00120A76" w:rsidRDefault="00120A76" w:rsidP="00120A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23B57BDF" w14:textId="25DCA802" w:rsidR="003E633A" w:rsidRDefault="00EF4B09" w:rsidP="00120A76">
            <w:pPr>
              <w:rPr>
                <w:rFonts w:ascii="Times New Roman" w:eastAsia="맑은 고딕" w:hAnsi="Times New Roman" w:cs="Times New Roman"/>
                <w:noProof/>
                <w:lang w:val="hu-HU" w:eastAsia="fr-FR"/>
              </w:rPr>
            </w:pPr>
            <w:r w:rsidRPr="00EF4B09">
              <w:rPr>
                <w:rFonts w:ascii="Times New Roman" w:eastAsia="맑은 고딕" w:hAnsi="Times New Roman" w:cs="Times New Roman"/>
                <w:noProof/>
                <w:lang w:eastAsia="fr-FR"/>
              </w:rPr>
              <w:t xml:space="preserve">Tel.: </w:t>
            </w:r>
            <w:r w:rsidR="00120A76">
              <w:rPr>
                <w:rFonts w:ascii="Times New Roman" w:eastAsia="맑은 고딕" w:hAnsi="Times New Roman" w:cs="Times New Roman"/>
                <w:noProof/>
                <w:lang w:eastAsia="fr-FR"/>
              </w:rPr>
              <w:t>+36 1 231 0493</w:t>
            </w:r>
          </w:p>
          <w:p w14:paraId="639171D3" w14:textId="77777777" w:rsidR="00130E8B" w:rsidRPr="00120A76" w:rsidRDefault="00130E8B">
            <w:pPr>
              <w:rPr>
                <w:rFonts w:ascii="Times New Roman" w:eastAsia="맑은 고딕" w:hAnsi="Times New Roman" w:cs="Times New Roman"/>
                <w:noProof/>
                <w:lang w:val="hu-HU" w:eastAsia="ko-KR"/>
              </w:rPr>
            </w:pPr>
          </w:p>
        </w:tc>
      </w:tr>
      <w:tr w:rsidR="006C0F01" w14:paraId="2528D0A4" w14:textId="77777777">
        <w:tc>
          <w:tcPr>
            <w:tcW w:w="2500" w:type="pct"/>
            <w:hideMark/>
          </w:tcPr>
          <w:p w14:paraId="56AFBCEA" w14:textId="77777777" w:rsidR="006C0F01" w:rsidRPr="006C0F01" w:rsidRDefault="006C0F01" w:rsidP="006C0F01">
            <w:pPr>
              <w:tabs>
                <w:tab w:val="left" w:pos="-720"/>
              </w:tabs>
              <w:suppressAutoHyphens/>
              <w:rPr>
                <w:rFonts w:ascii="Times New Roman" w:hAnsi="Times New Roman" w:cs="Times New Roman"/>
                <w:b/>
                <w:bCs/>
                <w:i/>
                <w:iCs/>
                <w:noProof/>
                <w:lang w:eastAsia="fr-FR"/>
              </w:rPr>
            </w:pPr>
            <w:r w:rsidRPr="006C0F01">
              <w:rPr>
                <w:rFonts w:ascii="Times New Roman" w:hAnsi="Times New Roman" w:cs="Times New Roman"/>
                <w:b/>
                <w:noProof/>
              </w:rPr>
              <w:t>Danmark</w:t>
            </w:r>
          </w:p>
          <w:p w14:paraId="2EEF47B5" w14:textId="5B0C17F3" w:rsidR="006C0F01" w:rsidRPr="006C0F01" w:rsidRDefault="006C0F01" w:rsidP="006C0F01">
            <w:pPr>
              <w:tabs>
                <w:tab w:val="left" w:pos="-720"/>
              </w:tabs>
              <w:suppressAutoHyphens/>
              <w:rPr>
                <w:rFonts w:ascii="Times New Roman" w:eastAsia="맑은 고딕" w:hAnsi="Times New Roman" w:cs="Times New Roman"/>
                <w:noProof/>
                <w:lang w:eastAsia="fr-FR"/>
              </w:rPr>
            </w:pPr>
            <w:r w:rsidRPr="006C0F01">
              <w:rPr>
                <w:rFonts w:ascii="Times New Roman" w:eastAsia="맑은 고딕" w:hAnsi="Times New Roman" w:cs="Times New Roman"/>
                <w:noProof/>
                <w:lang w:eastAsia="fr-FR"/>
              </w:rPr>
              <w:t>Celltrion Healthcare Denmark ApS</w:t>
            </w:r>
          </w:p>
          <w:p w14:paraId="0586BD38" w14:textId="77777777" w:rsidR="00DB7244" w:rsidRPr="006C0F01" w:rsidRDefault="00DB7244" w:rsidP="00DB7244">
            <w:pPr>
              <w:tabs>
                <w:tab w:val="left" w:pos="-720"/>
              </w:tabs>
              <w:suppressAutoHyphens/>
              <w:rPr>
                <w:rFonts w:ascii="Times New Roman" w:eastAsia="맑은 고딕" w:hAnsi="Times New Roman" w:cs="Times New Roman"/>
                <w:noProof/>
                <w:lang w:eastAsia="fr-FR"/>
              </w:rPr>
            </w:pPr>
            <w:r w:rsidRPr="006C0F01">
              <w:rPr>
                <w:rFonts w:ascii="Times New Roman" w:eastAsia="맑은 고딕" w:hAnsi="Times New Roman" w:cs="Times New Roman"/>
                <w:noProof/>
                <w:lang w:eastAsia="fr-FR"/>
              </w:rPr>
              <w:t>Tlf: +</w:t>
            </w:r>
            <w:r w:rsidRPr="006C0F01">
              <w:rPr>
                <w:rFonts w:ascii="Times New Roman" w:eastAsia="맑은 고딕" w:hAnsi="Times New Roman" w:cs="Times New Roman"/>
                <w:noProof/>
                <w:lang w:eastAsia="ko-KR"/>
              </w:rPr>
              <w:t>45 35352989</w:t>
            </w:r>
          </w:p>
          <w:p w14:paraId="6AA05375" w14:textId="0C8726CF" w:rsidR="006C0F01" w:rsidRPr="006C0F01" w:rsidRDefault="006C0F01" w:rsidP="006C0F01">
            <w:pPr>
              <w:tabs>
                <w:tab w:val="left" w:pos="-720"/>
              </w:tabs>
              <w:suppressAutoHyphens/>
              <w:rPr>
                <w:rStyle w:val="ad"/>
                <w:rFonts w:ascii="Times New Roman" w:eastAsia="맑은 고딕" w:hAnsi="Times New Roman" w:cs="Times New Roman"/>
                <w:lang w:eastAsia="ko-KR"/>
              </w:rPr>
            </w:pPr>
            <w:r w:rsidRPr="006C0F01">
              <w:rPr>
                <w:rStyle w:val="ad"/>
                <w:rFonts w:ascii="Times New Roman" w:eastAsia="맑은 고딕" w:hAnsi="Times New Roman" w:cs="Times New Roman"/>
                <w:noProof/>
                <w:lang w:eastAsia="ko-KR"/>
              </w:rPr>
              <w:t>Contact_dk@celltrionhc.com</w:t>
            </w:r>
          </w:p>
          <w:p w14:paraId="7F77E5D8" w14:textId="77777777" w:rsidR="006C0F01" w:rsidRPr="006C0F01" w:rsidRDefault="006C0F01" w:rsidP="006C0F01">
            <w:pPr>
              <w:tabs>
                <w:tab w:val="left" w:pos="-720"/>
              </w:tabs>
              <w:suppressAutoHyphens/>
              <w:rPr>
                <w:rFonts w:ascii="Times New Roman" w:eastAsia="맑은 고딕" w:hAnsi="Times New Roman" w:cs="Times New Roman"/>
                <w:noProof/>
                <w:lang w:eastAsia="fr-FR"/>
              </w:rPr>
            </w:pPr>
          </w:p>
          <w:p w14:paraId="27835430" w14:textId="4E560FFA" w:rsidR="006C0F01" w:rsidRPr="006C0F01" w:rsidRDefault="006C0F01" w:rsidP="006C0F01">
            <w:pPr>
              <w:tabs>
                <w:tab w:val="left" w:pos="-720"/>
              </w:tabs>
              <w:suppressAutoHyphens/>
              <w:rPr>
                <w:rFonts w:ascii="Times New Roman" w:eastAsia="맑은 고딕" w:hAnsi="Times New Roman" w:cs="Times New Roman"/>
                <w:noProof/>
                <w:lang w:val="hu-HU" w:eastAsia="fr-FR"/>
              </w:rPr>
            </w:pPr>
          </w:p>
        </w:tc>
        <w:tc>
          <w:tcPr>
            <w:tcW w:w="2500" w:type="pct"/>
          </w:tcPr>
          <w:p w14:paraId="35B99631" w14:textId="77777777" w:rsidR="006C0F01" w:rsidRPr="006C0F01" w:rsidRDefault="006C0F01" w:rsidP="006C0F01">
            <w:pPr>
              <w:rPr>
                <w:rFonts w:ascii="Times New Roman" w:hAnsi="Times New Roman" w:cs="Times New Roman"/>
                <w:noProof/>
                <w:lang w:eastAsia="fr-FR"/>
              </w:rPr>
            </w:pPr>
            <w:r w:rsidRPr="006C0F01">
              <w:rPr>
                <w:rFonts w:ascii="Times New Roman" w:eastAsia="맑은 고딕" w:hAnsi="Times New Roman" w:cs="Times New Roman"/>
                <w:b/>
                <w:noProof/>
                <w:lang w:eastAsia="fr-FR"/>
              </w:rPr>
              <w:t>Malta</w:t>
            </w:r>
          </w:p>
          <w:p w14:paraId="2BC3A00E" w14:textId="77777777" w:rsidR="006C0F01" w:rsidRPr="006C0F01" w:rsidRDefault="006C0F01" w:rsidP="006C0F01">
            <w:pPr>
              <w:tabs>
                <w:tab w:val="left" w:pos="-720"/>
              </w:tabs>
              <w:suppressAutoHyphens/>
              <w:rPr>
                <w:rFonts w:ascii="Times New Roman" w:eastAsia="맑은 고딕" w:hAnsi="Times New Roman" w:cs="Times New Roman"/>
                <w:noProof/>
                <w:lang w:eastAsia="fr-FR"/>
              </w:rPr>
            </w:pPr>
            <w:r w:rsidRPr="006C0F01">
              <w:rPr>
                <w:rFonts w:ascii="Times New Roman" w:eastAsia="맑은 고딕" w:hAnsi="Times New Roman" w:cs="Times New Roman"/>
                <w:noProof/>
                <w:lang w:eastAsia="fr-FR"/>
              </w:rPr>
              <w:t>Mint Health Ltd.</w:t>
            </w:r>
          </w:p>
          <w:p w14:paraId="0AE01327" w14:textId="77777777" w:rsidR="006C0F01" w:rsidRPr="006C0F01" w:rsidRDefault="006C0F01" w:rsidP="006C0F01">
            <w:pPr>
              <w:rPr>
                <w:rFonts w:ascii="Times New Roman" w:eastAsia="맑은 고딕" w:hAnsi="Times New Roman" w:cs="Times New Roman"/>
                <w:noProof/>
                <w:lang w:eastAsia="ko-KR"/>
              </w:rPr>
            </w:pPr>
            <w:r w:rsidRPr="006C0F01">
              <w:rPr>
                <w:rFonts w:ascii="Times New Roman" w:eastAsia="맑은 고딕" w:hAnsi="Times New Roman" w:cs="Times New Roman"/>
                <w:noProof/>
                <w:lang w:eastAsia="fr-FR"/>
              </w:rPr>
              <w:t>Tel: +356 2093 9800</w:t>
            </w:r>
          </w:p>
          <w:p w14:paraId="4B7D68C3" w14:textId="77777777" w:rsidR="006C0F01" w:rsidRPr="006C0F01" w:rsidRDefault="006C0F01" w:rsidP="006C0F01">
            <w:pPr>
              <w:rPr>
                <w:rFonts w:ascii="Times New Roman" w:eastAsia="맑은 고딕" w:hAnsi="Times New Roman" w:cs="Times New Roman"/>
                <w:noProof/>
                <w:lang w:val="hu-HU" w:eastAsia="ko-KR"/>
              </w:rPr>
            </w:pPr>
          </w:p>
        </w:tc>
      </w:tr>
      <w:tr w:rsidR="006C0F01" w14:paraId="30ECAF2D" w14:textId="77777777">
        <w:tc>
          <w:tcPr>
            <w:tcW w:w="2500" w:type="pct"/>
            <w:hideMark/>
          </w:tcPr>
          <w:p w14:paraId="58629FA0" w14:textId="77777777" w:rsidR="006C0F01" w:rsidRPr="006C0F01" w:rsidRDefault="006C0F01" w:rsidP="006C0F01">
            <w:pPr>
              <w:rPr>
                <w:rFonts w:ascii="Times New Roman" w:hAnsi="Times New Roman" w:cs="Times New Roman"/>
                <w:b/>
                <w:noProof/>
                <w:lang w:eastAsia="fr-FR"/>
              </w:rPr>
            </w:pPr>
            <w:r w:rsidRPr="006C0F01">
              <w:rPr>
                <w:rFonts w:ascii="Times New Roman" w:eastAsia="맑은 고딕" w:hAnsi="Times New Roman" w:cs="Times New Roman"/>
                <w:b/>
                <w:noProof/>
                <w:lang w:eastAsia="fr-FR"/>
              </w:rPr>
              <w:lastRenderedPageBreak/>
              <w:t>Deutschland</w:t>
            </w:r>
          </w:p>
          <w:p w14:paraId="5A92B2D6" w14:textId="77777777" w:rsidR="006C0F01" w:rsidRPr="006C0F01" w:rsidRDefault="006C0F01" w:rsidP="006C0F01">
            <w:pPr>
              <w:rPr>
                <w:rFonts w:ascii="Times New Roman" w:hAnsi="Times New Roman" w:cs="Times New Roman"/>
                <w:noProof/>
                <w:lang w:eastAsia="ko-KR"/>
              </w:rPr>
            </w:pPr>
            <w:r w:rsidRPr="006C0F01">
              <w:rPr>
                <w:rFonts w:ascii="Times New Roman" w:hAnsi="Times New Roman" w:cs="Times New Roman"/>
                <w:noProof/>
                <w:lang w:eastAsia="ko-KR"/>
              </w:rPr>
              <w:t xml:space="preserve">Celltrion Healthcare Deutschland </w:t>
            </w:r>
            <w:r w:rsidRPr="006C0F01">
              <w:rPr>
                <w:rFonts w:ascii="Times New Roman" w:eastAsia="바탕" w:hAnsi="Times New Roman" w:cs="Times New Roman"/>
                <w:noProof/>
                <w:lang w:eastAsia="ko-KR"/>
              </w:rPr>
              <w:t>GmbH</w:t>
            </w:r>
          </w:p>
          <w:p w14:paraId="48E3A34B" w14:textId="4B1FF523" w:rsidR="006C0F01" w:rsidRPr="006C0F01" w:rsidRDefault="006C0F01" w:rsidP="006C0F01">
            <w:pPr>
              <w:tabs>
                <w:tab w:val="left" w:pos="-720"/>
              </w:tabs>
              <w:suppressAutoHyphens/>
              <w:rPr>
                <w:rFonts w:ascii="Times New Roman" w:hAnsi="Times New Roman" w:cs="Times New Roman"/>
                <w:noProof/>
                <w:lang w:eastAsia="ko-KR"/>
              </w:rPr>
            </w:pPr>
            <w:r w:rsidRPr="006C0F01">
              <w:rPr>
                <w:rFonts w:ascii="Times New Roman" w:hAnsi="Times New Roman" w:cs="Times New Roman"/>
                <w:noProof/>
                <w:lang w:eastAsia="ko-KR"/>
              </w:rPr>
              <w:t>T</w:t>
            </w:r>
            <w:r w:rsidR="005910EC">
              <w:rPr>
                <w:rFonts w:ascii="Times New Roman" w:hAnsi="Times New Roman" w:cs="Times New Roman" w:hint="eastAsia"/>
                <w:noProof/>
                <w:lang w:eastAsia="ko-KR"/>
              </w:rPr>
              <w:t>e</w:t>
            </w:r>
            <w:r w:rsidRPr="006C0F01">
              <w:rPr>
                <w:rFonts w:ascii="Times New Roman" w:hAnsi="Times New Roman" w:cs="Times New Roman"/>
                <w:noProof/>
                <w:lang w:eastAsia="ko-KR"/>
              </w:rPr>
              <w:t>l.: +49 (0)30 346494150</w:t>
            </w:r>
          </w:p>
          <w:p w14:paraId="5FFC4F22" w14:textId="77777777" w:rsidR="006C0F01" w:rsidRPr="006C0F01" w:rsidRDefault="006C0F01" w:rsidP="006C0F01">
            <w:pPr>
              <w:tabs>
                <w:tab w:val="left" w:pos="-720"/>
              </w:tabs>
              <w:suppressAutoHyphens/>
              <w:rPr>
                <w:rFonts w:ascii="Times New Roman" w:eastAsia="맑은 고딕" w:hAnsi="Times New Roman" w:cs="Times New Roman"/>
                <w:noProof/>
                <w:lang w:eastAsia="ko-KR"/>
              </w:rPr>
            </w:pPr>
            <w:hyperlink r:id="rId71" w:history="1">
              <w:r w:rsidRPr="006C0F01">
                <w:rPr>
                  <w:rStyle w:val="ad"/>
                  <w:rFonts w:ascii="Times New Roman" w:eastAsia="맑은 고딕" w:hAnsi="Times New Roman" w:cs="Times New Roman"/>
                  <w:noProof/>
                  <w:lang w:eastAsia="ko-KR"/>
                </w:rPr>
                <w:t>infoDE@celltrionhc.com</w:t>
              </w:r>
            </w:hyperlink>
          </w:p>
          <w:p w14:paraId="6D74B1DA" w14:textId="77777777" w:rsidR="006C0F01" w:rsidRPr="006C0F01" w:rsidRDefault="006C0F01" w:rsidP="006C0F01">
            <w:pPr>
              <w:tabs>
                <w:tab w:val="left" w:pos="-720"/>
              </w:tabs>
              <w:suppressAutoHyphens/>
              <w:rPr>
                <w:rFonts w:ascii="Times New Roman" w:eastAsia="맑은 고딕" w:hAnsi="Times New Roman" w:cs="Times New Roman"/>
                <w:noProof/>
                <w:lang w:eastAsia="ko-KR"/>
              </w:rPr>
            </w:pPr>
          </w:p>
          <w:p w14:paraId="6B3A1D4E" w14:textId="514B7F61" w:rsidR="006C0F01" w:rsidRPr="006C0F01" w:rsidRDefault="006C0F01" w:rsidP="006C0F01">
            <w:pPr>
              <w:tabs>
                <w:tab w:val="left" w:pos="-720"/>
              </w:tabs>
              <w:suppressAutoHyphens/>
              <w:rPr>
                <w:rFonts w:ascii="Times New Roman" w:eastAsia="맑은 고딕" w:hAnsi="Times New Roman" w:cs="Times New Roman"/>
                <w:noProof/>
                <w:lang w:val="hu-HU" w:eastAsia="fr-FR"/>
              </w:rPr>
            </w:pPr>
          </w:p>
        </w:tc>
        <w:tc>
          <w:tcPr>
            <w:tcW w:w="2500" w:type="pct"/>
          </w:tcPr>
          <w:p w14:paraId="30D7E49E" w14:textId="77777777" w:rsidR="006C0F01" w:rsidRPr="006C0F01" w:rsidRDefault="006C0F01" w:rsidP="006C0F01">
            <w:pPr>
              <w:rPr>
                <w:rFonts w:ascii="Times New Roman" w:hAnsi="Times New Roman" w:cs="Times New Roman"/>
                <w:noProof/>
                <w:lang w:eastAsia="fr-FR"/>
              </w:rPr>
            </w:pPr>
            <w:r w:rsidRPr="006C0F01">
              <w:rPr>
                <w:rFonts w:ascii="Times New Roman" w:eastAsia="맑은 고딕" w:hAnsi="Times New Roman" w:cs="Times New Roman"/>
                <w:b/>
                <w:noProof/>
                <w:lang w:eastAsia="fr-FR"/>
              </w:rPr>
              <w:t>Nederland</w:t>
            </w:r>
          </w:p>
          <w:p w14:paraId="656A54F1" w14:textId="77777777" w:rsidR="006C0F01" w:rsidRPr="006C0F01" w:rsidRDefault="006C0F01" w:rsidP="006C0F01">
            <w:pPr>
              <w:rPr>
                <w:rFonts w:ascii="Times New Roman" w:eastAsia="맑은 고딕" w:hAnsi="Times New Roman" w:cs="Times New Roman"/>
                <w:noProof/>
                <w:lang w:eastAsia="fr-FR"/>
              </w:rPr>
            </w:pPr>
            <w:r w:rsidRPr="006C0F01">
              <w:rPr>
                <w:rFonts w:ascii="Times New Roman" w:eastAsia="맑은 고딕" w:hAnsi="Times New Roman" w:cs="Times New Roman"/>
                <w:noProof/>
                <w:lang w:eastAsia="fr-FR"/>
              </w:rPr>
              <w:t>Celltrion Healthcare Netherlands B.V.</w:t>
            </w:r>
          </w:p>
          <w:p w14:paraId="3B498FB2" w14:textId="77777777" w:rsidR="006C0F01" w:rsidRPr="006C0F01" w:rsidRDefault="006C0F01" w:rsidP="006C0F01">
            <w:pPr>
              <w:rPr>
                <w:rFonts w:ascii="Times New Roman" w:eastAsia="맑은 고딕" w:hAnsi="Times New Roman" w:cs="Times New Roman"/>
                <w:noProof/>
                <w:lang w:eastAsia="fr-FR"/>
              </w:rPr>
            </w:pPr>
            <w:r w:rsidRPr="006C0F01">
              <w:rPr>
                <w:rFonts w:ascii="Times New Roman" w:eastAsia="맑은 고딕" w:hAnsi="Times New Roman" w:cs="Times New Roman"/>
                <w:noProof/>
                <w:lang w:eastAsia="fr-FR"/>
              </w:rPr>
              <w:t>Tel: + 31 20 888 7300</w:t>
            </w:r>
          </w:p>
          <w:p w14:paraId="0E821F05" w14:textId="77777777" w:rsidR="006C0F01" w:rsidRPr="006C0F01" w:rsidRDefault="006C0F01" w:rsidP="006C0F01">
            <w:pPr>
              <w:rPr>
                <w:rFonts w:ascii="Times New Roman" w:eastAsia="맑은 고딕" w:hAnsi="Times New Roman" w:cs="Times New Roman"/>
                <w:noProof/>
                <w:lang w:val="hu-HU" w:eastAsia="fr-FR"/>
              </w:rPr>
            </w:pPr>
          </w:p>
        </w:tc>
      </w:tr>
      <w:tr w:rsidR="006C0F01" w14:paraId="627A3A69" w14:textId="77777777">
        <w:tc>
          <w:tcPr>
            <w:tcW w:w="2500" w:type="pct"/>
            <w:hideMark/>
          </w:tcPr>
          <w:p w14:paraId="101A79F5" w14:textId="77777777" w:rsidR="006C0F01" w:rsidRPr="006C0F01" w:rsidRDefault="006C0F01" w:rsidP="006C0F01">
            <w:pPr>
              <w:tabs>
                <w:tab w:val="left" w:pos="-720"/>
                <w:tab w:val="left" w:pos="4536"/>
              </w:tabs>
              <w:suppressAutoHyphens/>
              <w:rPr>
                <w:rFonts w:ascii="Times New Roman" w:hAnsi="Times New Roman" w:cs="Times New Roman"/>
                <w:b/>
                <w:noProof/>
                <w:lang w:val="en-GB" w:eastAsia="fr-FR"/>
              </w:rPr>
            </w:pPr>
            <w:r w:rsidRPr="006C0F01">
              <w:rPr>
                <w:rFonts w:ascii="Times New Roman" w:eastAsia="맑은 고딕" w:hAnsi="Times New Roman" w:cs="Times New Roman"/>
                <w:b/>
                <w:noProof/>
                <w:lang w:val="en-GB" w:eastAsia="fr-FR"/>
              </w:rPr>
              <w:t>Eesti</w:t>
            </w:r>
          </w:p>
          <w:p w14:paraId="62C55AC2" w14:textId="77777777" w:rsidR="006C0F01" w:rsidRPr="006C0F01" w:rsidRDefault="006C0F01" w:rsidP="006C0F01">
            <w:pPr>
              <w:rPr>
                <w:rFonts w:ascii="Times New Roman" w:eastAsia="맑은 고딕" w:hAnsi="Times New Roman" w:cs="Times New Roman"/>
                <w:noProof/>
                <w:lang w:val="en-GB" w:eastAsia="fr-FR"/>
              </w:rPr>
            </w:pPr>
            <w:r w:rsidRPr="006C0F01">
              <w:rPr>
                <w:rFonts w:ascii="Times New Roman" w:eastAsia="맑은 고딕" w:hAnsi="Times New Roman" w:cs="Times New Roman"/>
                <w:noProof/>
                <w:lang w:val="en-GB" w:eastAsia="fr-FR"/>
              </w:rPr>
              <w:t>Celltrion Healthcare Hungary Kft.</w:t>
            </w:r>
          </w:p>
          <w:p w14:paraId="4837AB81" w14:textId="77777777" w:rsidR="006C0F01" w:rsidRPr="006C0F01" w:rsidRDefault="006C0F01" w:rsidP="006C0F01">
            <w:pPr>
              <w:tabs>
                <w:tab w:val="left" w:pos="-720"/>
              </w:tabs>
              <w:suppressAutoHyphens/>
              <w:rPr>
                <w:rFonts w:ascii="Times New Roman" w:eastAsia="맑은 고딕" w:hAnsi="Times New Roman" w:cs="Times New Roman"/>
                <w:noProof/>
                <w:lang w:val="fi-FI" w:eastAsia="fr-FR"/>
              </w:rPr>
            </w:pPr>
            <w:r w:rsidRPr="006C0F01">
              <w:rPr>
                <w:rFonts w:ascii="Times New Roman" w:eastAsia="맑은 고딕" w:hAnsi="Times New Roman" w:cs="Times New Roman"/>
                <w:noProof/>
                <w:lang w:eastAsia="fr-FR"/>
              </w:rPr>
              <w:t xml:space="preserve">Tel: </w:t>
            </w:r>
            <w:r w:rsidRPr="006C0F01">
              <w:rPr>
                <w:rFonts w:ascii="Times New Roman" w:eastAsia="맑은 고딕" w:hAnsi="Times New Roman" w:cs="Times New Roman"/>
                <w:noProof/>
                <w:lang w:val="fi-FI" w:eastAsia="fr-FR"/>
              </w:rPr>
              <w:t>+36 1 231 0493</w:t>
            </w:r>
          </w:p>
          <w:p w14:paraId="501D79E0" w14:textId="77777777" w:rsidR="006C0F01" w:rsidRPr="006C0F01" w:rsidRDefault="006C0F01" w:rsidP="006C0F01">
            <w:pPr>
              <w:tabs>
                <w:tab w:val="left" w:pos="-720"/>
              </w:tabs>
              <w:suppressAutoHyphens/>
              <w:rPr>
                <w:rFonts w:ascii="Times New Roman" w:eastAsia="맑은 고딕" w:hAnsi="Times New Roman" w:cs="Times New Roman"/>
                <w:noProof/>
                <w:lang w:val="hu-HU" w:eastAsia="ko-KR"/>
              </w:rPr>
            </w:pPr>
          </w:p>
        </w:tc>
        <w:tc>
          <w:tcPr>
            <w:tcW w:w="2500" w:type="pct"/>
          </w:tcPr>
          <w:p w14:paraId="1ABB4457" w14:textId="77777777" w:rsidR="006C0F01" w:rsidRPr="006C0F01" w:rsidRDefault="006C0F01" w:rsidP="006C0F01">
            <w:pPr>
              <w:tabs>
                <w:tab w:val="left" w:pos="-720"/>
              </w:tabs>
              <w:suppressAutoHyphens/>
              <w:rPr>
                <w:rFonts w:ascii="Times New Roman" w:hAnsi="Times New Roman" w:cs="Times New Roman"/>
                <w:noProof/>
                <w:lang w:eastAsia="fr-FR"/>
              </w:rPr>
            </w:pPr>
            <w:r w:rsidRPr="006C0F01">
              <w:rPr>
                <w:rFonts w:ascii="Times New Roman" w:eastAsia="맑은 고딕" w:hAnsi="Times New Roman" w:cs="Times New Roman"/>
                <w:b/>
                <w:noProof/>
                <w:lang w:eastAsia="fr-FR"/>
              </w:rPr>
              <w:t>Norge</w:t>
            </w:r>
          </w:p>
          <w:p w14:paraId="1D39743B" w14:textId="622889CC" w:rsidR="006C0F01" w:rsidRPr="006C0F01" w:rsidRDefault="006C0F01" w:rsidP="006C0F01">
            <w:pPr>
              <w:rPr>
                <w:rFonts w:ascii="Times New Roman" w:eastAsia="맑은 고딕" w:hAnsi="Times New Roman" w:cs="Times New Roman"/>
                <w:noProof/>
                <w:lang w:eastAsia="fr-FR"/>
              </w:rPr>
            </w:pPr>
            <w:r w:rsidRPr="006C0F01">
              <w:rPr>
                <w:rFonts w:ascii="Times New Roman" w:eastAsia="맑은 고딕" w:hAnsi="Times New Roman" w:cs="Times New Roman"/>
                <w:noProof/>
                <w:lang w:eastAsia="fr-FR"/>
              </w:rPr>
              <w:t xml:space="preserve">Celltrion Healthcare </w:t>
            </w:r>
            <w:r w:rsidRPr="006C0F01">
              <w:rPr>
                <w:rFonts w:ascii="Times New Roman" w:eastAsia="맑은 고딕" w:hAnsi="Times New Roman" w:cs="Times New Roman"/>
                <w:noProof/>
                <w:lang w:eastAsia="ko-KR"/>
              </w:rPr>
              <w:t>Norway AS</w:t>
            </w:r>
          </w:p>
          <w:p w14:paraId="03790188" w14:textId="2380D88D" w:rsidR="006C0F01" w:rsidRPr="006C0F01" w:rsidRDefault="006C0F01" w:rsidP="006C0F01">
            <w:pPr>
              <w:tabs>
                <w:tab w:val="left" w:pos="-720"/>
              </w:tabs>
              <w:suppressAutoHyphens/>
              <w:rPr>
                <w:rStyle w:val="ad"/>
                <w:rFonts w:ascii="Times New Roman" w:eastAsia="맑은 고딕" w:hAnsi="Times New Roman" w:cs="Times New Roman"/>
                <w:lang w:eastAsia="ko-KR"/>
              </w:rPr>
            </w:pPr>
            <w:hyperlink r:id="rId72" w:history="1">
              <w:r w:rsidRPr="006C0F01">
                <w:rPr>
                  <w:rStyle w:val="ad"/>
                  <w:rFonts w:ascii="Times New Roman" w:eastAsia="맑은 고딕" w:hAnsi="Times New Roman" w:cs="Times New Roman"/>
                  <w:noProof/>
                  <w:lang w:eastAsia="ko-KR"/>
                </w:rPr>
                <w:t>Contact_no@celltrionhc.com</w:t>
              </w:r>
            </w:hyperlink>
          </w:p>
          <w:p w14:paraId="4A34B114" w14:textId="77777777" w:rsidR="006C0F01" w:rsidRPr="006C0F01" w:rsidRDefault="006C0F01" w:rsidP="006C0F01">
            <w:pPr>
              <w:tabs>
                <w:tab w:val="left" w:pos="-720"/>
              </w:tabs>
              <w:suppressAutoHyphens/>
              <w:rPr>
                <w:rFonts w:ascii="Times New Roman" w:eastAsia="맑은 고딕" w:hAnsi="Times New Roman" w:cs="Times New Roman"/>
                <w:noProof/>
                <w:lang w:val="hu-HU" w:eastAsia="ko-KR"/>
              </w:rPr>
            </w:pPr>
          </w:p>
        </w:tc>
      </w:tr>
      <w:tr w:rsidR="00130E8B" w14:paraId="7A796CD8" w14:textId="77777777">
        <w:tc>
          <w:tcPr>
            <w:tcW w:w="2500" w:type="pct"/>
            <w:hideMark/>
          </w:tcPr>
          <w:p w14:paraId="061FA870" w14:textId="77777777" w:rsidR="00130E8B" w:rsidRDefault="000405CC" w:rsidP="000D7F4B">
            <w:pPr>
              <w:keepNext/>
              <w:keepLines/>
              <w:rPr>
                <w:rFonts w:ascii="Times New Roman" w:hAnsi="Times New Roman" w:cs="Times New Roman"/>
                <w:noProof/>
                <w:lang w:val="hu-HU" w:eastAsia="fr-FR"/>
              </w:rPr>
            </w:pPr>
            <w:r>
              <w:rPr>
                <w:rFonts w:ascii="Times New Roman" w:hAnsi="Times New Roman" w:cs="Times New Roman"/>
                <w:b/>
                <w:noProof/>
                <w:lang w:val="hu-HU"/>
              </w:rPr>
              <w:t>España</w:t>
            </w:r>
          </w:p>
          <w:p w14:paraId="078D7F72" w14:textId="77777777" w:rsidR="00130E8B" w:rsidRDefault="000405CC" w:rsidP="000D7F4B">
            <w:pPr>
              <w:keepNext/>
              <w:keepLine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Kern Pharma, S.L.</w:t>
            </w:r>
          </w:p>
          <w:p w14:paraId="5A5EF913" w14:textId="77777777" w:rsidR="00130E8B" w:rsidRDefault="000405CC" w:rsidP="000D7F4B">
            <w:pPr>
              <w:keepNext/>
              <w:keepLine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Tel: +34 93 700 2525</w:t>
            </w:r>
          </w:p>
          <w:p w14:paraId="088644BE" w14:textId="77777777" w:rsidR="00130E8B" w:rsidRDefault="00130E8B" w:rsidP="000D7F4B">
            <w:pPr>
              <w:keepNext/>
              <w:keepLines/>
              <w:rPr>
                <w:rFonts w:ascii="Times New Roman" w:hAnsi="Times New Roman" w:cs="Times New Roman"/>
                <w:b/>
                <w:noProof/>
                <w:lang w:val="hu-HU" w:eastAsia="fr-FR"/>
              </w:rPr>
            </w:pPr>
          </w:p>
        </w:tc>
        <w:tc>
          <w:tcPr>
            <w:tcW w:w="2500" w:type="pct"/>
          </w:tcPr>
          <w:p w14:paraId="2207E3A6" w14:textId="77777777" w:rsidR="00130E8B" w:rsidRDefault="000405CC" w:rsidP="000D7F4B">
            <w:pPr>
              <w:keepNext/>
              <w:keepLines/>
              <w:rPr>
                <w:rFonts w:ascii="Times New Roman" w:hAnsi="Times New Roman" w:cs="Times New Roman"/>
                <w:noProof/>
                <w:lang w:val="hu-HU" w:eastAsia="fr-FR"/>
              </w:rPr>
            </w:pPr>
            <w:r>
              <w:rPr>
                <w:rFonts w:ascii="Times New Roman" w:hAnsi="Times New Roman" w:cs="Times New Roman"/>
                <w:b/>
                <w:noProof/>
                <w:lang w:val="hu-HU"/>
              </w:rPr>
              <w:t>Österreich</w:t>
            </w:r>
          </w:p>
          <w:p w14:paraId="23B51ABE" w14:textId="77777777" w:rsidR="00130E8B" w:rsidRDefault="000405CC" w:rsidP="000D7F4B">
            <w:pPr>
              <w:keepNext/>
              <w:keepLines/>
              <w:rPr>
                <w:rFonts w:ascii="Times New Roman" w:eastAsia="맑은 고딕" w:hAnsi="Times New Roman" w:cs="Times New Roman"/>
                <w:noProof/>
                <w:lang w:val="hu-HU" w:eastAsia="ko-KR"/>
              </w:rPr>
            </w:pPr>
            <w:r>
              <w:rPr>
                <w:rFonts w:ascii="Times New Roman" w:eastAsia="맑은 고딕" w:hAnsi="Times New Roman" w:cs="Times New Roman"/>
                <w:noProof/>
                <w:lang w:val="hu-HU" w:eastAsia="fr-FR"/>
              </w:rPr>
              <w:t>Astro-Pharma GmbH</w:t>
            </w:r>
          </w:p>
          <w:p w14:paraId="75CFB0C7" w14:textId="77777777" w:rsidR="00130E8B" w:rsidRDefault="000405CC" w:rsidP="000D7F4B">
            <w:pPr>
              <w:keepNext/>
              <w:keepLines/>
              <w:tabs>
                <w:tab w:val="left" w:pos="-720"/>
              </w:tabs>
              <w:suppressAutoHyphen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Tel: +43 1 97 99 860</w:t>
            </w:r>
          </w:p>
          <w:p w14:paraId="3BBDC69E" w14:textId="77777777" w:rsidR="00130E8B" w:rsidRDefault="00130E8B" w:rsidP="000D7F4B">
            <w:pPr>
              <w:keepNext/>
              <w:keepLines/>
              <w:tabs>
                <w:tab w:val="left" w:pos="-720"/>
              </w:tabs>
              <w:suppressAutoHyphens/>
              <w:rPr>
                <w:rFonts w:ascii="Times New Roman" w:hAnsi="Times New Roman" w:cs="Times New Roman"/>
                <w:noProof/>
                <w:lang w:val="hu-HU" w:eastAsia="fr-FR"/>
              </w:rPr>
            </w:pPr>
          </w:p>
        </w:tc>
      </w:tr>
      <w:tr w:rsidR="00130E8B" w14:paraId="79A41A19" w14:textId="77777777">
        <w:tc>
          <w:tcPr>
            <w:tcW w:w="2500" w:type="pct"/>
          </w:tcPr>
          <w:p w14:paraId="1F518552" w14:textId="77777777" w:rsidR="00130E8B" w:rsidRDefault="000405CC">
            <w:pPr>
              <w:rPr>
                <w:rFonts w:ascii="Times New Roman" w:hAnsi="Times New Roman" w:cs="Times New Roman"/>
                <w:b/>
                <w:noProof/>
                <w:lang w:val="hu-HU" w:eastAsia="fr-FR"/>
              </w:rPr>
            </w:pPr>
            <w:r>
              <w:rPr>
                <w:rFonts w:ascii="Times New Roman" w:hAnsi="Times New Roman" w:cs="Times New Roman"/>
                <w:b/>
                <w:noProof/>
                <w:lang w:val="hu-HU" w:eastAsia="fr-FR"/>
              </w:rPr>
              <w:t>Ελλάδα</w:t>
            </w:r>
          </w:p>
          <w:p w14:paraId="15744F2B" w14:textId="77777777" w:rsidR="00130E8B" w:rsidRDefault="000405CC">
            <w:pPr>
              <w:rPr>
                <w:rFonts w:ascii="Times New Roman" w:hAnsi="Times New Roman" w:cs="Times New Roman"/>
                <w:noProof/>
                <w:lang w:val="hu-HU" w:eastAsia="fr-FR"/>
              </w:rPr>
            </w:pPr>
            <w:r>
              <w:rPr>
                <w:rFonts w:ascii="Times New Roman" w:hAnsi="Times New Roman" w:cs="Times New Roman"/>
                <w:noProof/>
                <w:lang w:val="hu-HU" w:eastAsia="fr-FR"/>
              </w:rPr>
              <w:t>ΒΙΑΝΕΞ Α.Ε.</w:t>
            </w:r>
          </w:p>
          <w:p w14:paraId="2A0DD6D3" w14:textId="24F10814" w:rsidR="00130E8B" w:rsidRDefault="000405CC">
            <w:pPr>
              <w:rPr>
                <w:rFonts w:ascii="Times New Roman" w:hAnsi="Times New Roman" w:cs="Times New Roman"/>
                <w:noProof/>
                <w:lang w:val="hu-HU" w:eastAsia="fr-FR"/>
              </w:rPr>
            </w:pPr>
            <w:r>
              <w:rPr>
                <w:rFonts w:ascii="Times New Roman" w:hAnsi="Times New Roman" w:cs="Times New Roman"/>
                <w:noProof/>
                <w:lang w:val="hu-HU" w:eastAsia="fr-FR"/>
              </w:rPr>
              <w:t>Τηλ: +30 210 8009111</w:t>
            </w:r>
          </w:p>
          <w:p w14:paraId="6FF72AF3" w14:textId="77777777" w:rsidR="00130E8B" w:rsidRDefault="00130E8B">
            <w:pPr>
              <w:rPr>
                <w:rFonts w:ascii="Times New Roman" w:eastAsia="맑은 고딕" w:hAnsi="Times New Roman" w:cs="Times New Roman"/>
                <w:noProof/>
                <w:lang w:val="hu-HU" w:eastAsia="fr-FR"/>
              </w:rPr>
            </w:pPr>
          </w:p>
        </w:tc>
        <w:tc>
          <w:tcPr>
            <w:tcW w:w="2500" w:type="pct"/>
          </w:tcPr>
          <w:p w14:paraId="7837A55C" w14:textId="77777777" w:rsidR="00130E8B" w:rsidRDefault="000405CC">
            <w:pPr>
              <w:rPr>
                <w:rFonts w:ascii="Times New Roman" w:eastAsia="맑은 고딕" w:hAnsi="Times New Roman" w:cs="Times New Roman"/>
                <w:b/>
                <w:noProof/>
                <w:lang w:val="hu-HU" w:eastAsia="fr-FR"/>
              </w:rPr>
            </w:pPr>
            <w:r>
              <w:rPr>
                <w:rFonts w:ascii="Times New Roman" w:eastAsia="맑은 고딕" w:hAnsi="Times New Roman" w:cs="Times New Roman"/>
                <w:b/>
                <w:noProof/>
                <w:lang w:val="hu-HU" w:eastAsia="fr-FR"/>
              </w:rPr>
              <w:t>Polska</w:t>
            </w:r>
          </w:p>
          <w:p w14:paraId="7CB4F821" w14:textId="77777777" w:rsidR="00120A76" w:rsidRDefault="00120A76" w:rsidP="00120A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6215CE9C" w14:textId="231FED91" w:rsidR="00130E8B" w:rsidRPr="00120A76" w:rsidRDefault="00F814F0">
            <w:pPr>
              <w:rPr>
                <w:rFonts w:ascii="Times New Roman" w:hAnsi="Times New Roman" w:cs="Times New Roman"/>
                <w:b/>
                <w:noProof/>
                <w:lang w:val="hu-HU"/>
              </w:rPr>
            </w:pPr>
            <w:r w:rsidRPr="00EF4B09">
              <w:rPr>
                <w:rFonts w:ascii="Times New Roman" w:eastAsia="맑은 고딕" w:hAnsi="Times New Roman" w:cs="Times New Roman"/>
                <w:noProof/>
                <w:lang w:eastAsia="fr-FR"/>
              </w:rPr>
              <w:t xml:space="preserve">Tel.: </w:t>
            </w:r>
            <w:r w:rsidR="00120A76">
              <w:rPr>
                <w:rFonts w:ascii="Times New Roman" w:eastAsia="맑은 고딕" w:hAnsi="Times New Roman" w:cs="Times New Roman"/>
                <w:noProof/>
                <w:lang w:eastAsia="fr-FR"/>
              </w:rPr>
              <w:t>+36 1 231 0493</w:t>
            </w:r>
          </w:p>
        </w:tc>
      </w:tr>
      <w:tr w:rsidR="00887453" w:rsidRPr="00BE4D18" w14:paraId="54BB4927" w14:textId="77777777">
        <w:tc>
          <w:tcPr>
            <w:tcW w:w="2500" w:type="pct"/>
          </w:tcPr>
          <w:p w14:paraId="278A32B6" w14:textId="77777777" w:rsidR="00887453" w:rsidRDefault="00887453" w:rsidP="00887453">
            <w:pPr>
              <w:rPr>
                <w:rFonts w:ascii="Times New Roman" w:hAnsi="Times New Roman" w:cs="Times New Roman"/>
                <w:b/>
                <w:noProof/>
                <w:lang w:val="hu-HU" w:eastAsia="ko-KR"/>
              </w:rPr>
            </w:pPr>
            <w:r>
              <w:rPr>
                <w:rFonts w:ascii="Times New Roman" w:hAnsi="Times New Roman" w:cs="Times New Roman"/>
                <w:b/>
                <w:noProof/>
                <w:lang w:val="hu-HU" w:eastAsia="ko-KR"/>
              </w:rPr>
              <w:t>France</w:t>
            </w:r>
          </w:p>
          <w:p w14:paraId="7BC82CE1" w14:textId="6268DED5" w:rsidR="00887453" w:rsidRDefault="00887453" w:rsidP="00887453">
            <w:pPr>
              <w:rPr>
                <w:rFonts w:ascii="Times New Roman" w:hAnsi="Times New Roman" w:cs="Times New Roman"/>
                <w:noProof/>
                <w:lang w:val="hu-HU" w:eastAsia="ko-KR"/>
              </w:rPr>
            </w:pPr>
            <w:r w:rsidRPr="00BB53E6">
              <w:rPr>
                <w:rFonts w:ascii="Times New Roman" w:hAnsi="Times New Roman" w:cs="Times New Roman"/>
                <w:noProof/>
                <w:lang w:val="hu-HU" w:eastAsia="ko-KR"/>
              </w:rPr>
              <w:t>Celltrion Healthcare France SAS</w:t>
            </w:r>
          </w:p>
          <w:p w14:paraId="496EBFDB" w14:textId="77777777" w:rsidR="00887453" w:rsidRDefault="00887453" w:rsidP="00887453">
            <w:pPr>
              <w:rPr>
                <w:rFonts w:ascii="Times New Roman" w:eastAsia="맑은 고딕" w:hAnsi="Times New Roman" w:cs="Times New Roman"/>
                <w:noProof/>
                <w:lang w:val="hu-HU" w:eastAsia="ko-KR"/>
              </w:rPr>
            </w:pPr>
            <w:r>
              <w:rPr>
                <w:rFonts w:ascii="Times New Roman" w:hAnsi="Times New Roman" w:cs="Times New Roman"/>
                <w:noProof/>
                <w:lang w:val="hu-HU" w:eastAsia="ko-KR"/>
              </w:rPr>
              <w:t>T</w:t>
            </w:r>
            <w:r>
              <w:rPr>
                <w:rFonts w:ascii="Times New Roman" w:hAnsi="Times New Roman" w:cs="Times New Roman"/>
                <w:lang w:val="hu-HU"/>
              </w:rPr>
              <w:t>é</w:t>
            </w:r>
            <w:r>
              <w:rPr>
                <w:rFonts w:ascii="Times New Roman" w:hAnsi="Times New Roman" w:cs="Times New Roman"/>
                <w:noProof/>
                <w:lang w:val="hu-HU" w:eastAsia="ko-KR"/>
              </w:rPr>
              <w:t>l.: +33 (0)1 71 25 27 00</w:t>
            </w:r>
          </w:p>
          <w:p w14:paraId="38C301CF" w14:textId="77777777" w:rsidR="00887453" w:rsidRDefault="00887453" w:rsidP="00887453">
            <w:pPr>
              <w:rPr>
                <w:rFonts w:ascii="Times New Roman" w:eastAsia="맑은 고딕" w:hAnsi="Times New Roman" w:cs="Times New Roman"/>
                <w:noProof/>
                <w:lang w:val="hu-HU" w:eastAsia="fr-FR"/>
              </w:rPr>
            </w:pPr>
          </w:p>
        </w:tc>
        <w:tc>
          <w:tcPr>
            <w:tcW w:w="2500" w:type="pct"/>
          </w:tcPr>
          <w:p w14:paraId="59277B5C" w14:textId="77777777" w:rsidR="00887453" w:rsidRPr="002F72A3" w:rsidRDefault="00887453" w:rsidP="00887453">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5AB45302" w14:textId="363C563F" w:rsidR="00887453" w:rsidRDefault="00887453" w:rsidP="00887453">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52E164B8" w14:textId="43C58175" w:rsidR="00887453" w:rsidRPr="009C0F1B" w:rsidRDefault="00887453" w:rsidP="00887453">
            <w:pPr>
              <w:rPr>
                <w:rFonts w:ascii="Times New Roman" w:eastAsia="맑은 고딕" w:hAnsi="Times New Roman" w:cs="Times New Roman"/>
                <w:noProof/>
                <w:lang w:val="fr-CA" w:eastAsia="fr-FR"/>
              </w:rPr>
            </w:pPr>
            <w:r w:rsidRPr="009C0F1B">
              <w:rPr>
                <w:rFonts w:ascii="Times New Roman" w:eastAsia="맑은 고딕" w:hAnsi="Times New Roman" w:cs="Times New Roman"/>
                <w:noProof/>
                <w:lang w:val="fr-CA" w:eastAsia="fr-FR"/>
              </w:rPr>
              <w:t>Tel: +351 21 936 8542</w:t>
            </w:r>
          </w:p>
          <w:p w14:paraId="2890C3FB" w14:textId="77777777" w:rsidR="00887453" w:rsidRDefault="00887453" w:rsidP="00887453">
            <w:pPr>
              <w:rPr>
                <w:rFonts w:ascii="Times New Roman" w:hAnsi="Times New Roman" w:cs="Times New Roman"/>
                <w:b/>
                <w:noProof/>
                <w:lang w:val="hu-HU"/>
              </w:rPr>
            </w:pPr>
          </w:p>
        </w:tc>
      </w:tr>
      <w:tr w:rsidR="00887453" w14:paraId="2640559D" w14:textId="77777777">
        <w:tc>
          <w:tcPr>
            <w:tcW w:w="2500" w:type="pct"/>
          </w:tcPr>
          <w:p w14:paraId="2FF23642" w14:textId="77777777" w:rsidR="00887453" w:rsidRDefault="00887453" w:rsidP="00887453">
            <w:pPr>
              <w:rPr>
                <w:rFonts w:ascii="Times New Roman" w:hAnsi="Times New Roman" w:cs="Times New Roman"/>
                <w:b/>
                <w:noProof/>
                <w:lang w:val="hu-HU" w:eastAsia="ko-KR"/>
              </w:rPr>
            </w:pPr>
            <w:r>
              <w:rPr>
                <w:rFonts w:ascii="Times New Roman" w:hAnsi="Times New Roman" w:cs="Times New Roman"/>
                <w:b/>
                <w:noProof/>
                <w:lang w:val="hu-HU" w:eastAsia="ko-KR"/>
              </w:rPr>
              <w:t>Hrvatska</w:t>
            </w:r>
          </w:p>
          <w:p w14:paraId="7A185AB0" w14:textId="77777777" w:rsidR="00887453" w:rsidRDefault="00887453" w:rsidP="00887453">
            <w:pPr>
              <w:rPr>
                <w:rFonts w:ascii="Times New Roman" w:hAnsi="Times New Roman" w:cs="Times New Roman"/>
                <w:noProof/>
                <w:lang w:val="hu-HU" w:eastAsia="ko-KR"/>
              </w:rPr>
            </w:pPr>
            <w:r>
              <w:rPr>
                <w:rFonts w:ascii="Times New Roman" w:hAnsi="Times New Roman" w:cs="Times New Roman"/>
                <w:noProof/>
                <w:lang w:val="hu-HU" w:eastAsia="ko-KR"/>
              </w:rPr>
              <w:t>Oktal Pharma d.o.o.</w:t>
            </w:r>
          </w:p>
          <w:p w14:paraId="135C148A" w14:textId="77777777" w:rsidR="00887453" w:rsidRDefault="00887453" w:rsidP="00887453">
            <w:pPr>
              <w:rPr>
                <w:rFonts w:ascii="Times New Roman" w:hAnsi="Times New Roman" w:cs="Times New Roman"/>
                <w:noProof/>
                <w:lang w:val="hu-HU" w:eastAsia="ko-KR"/>
              </w:rPr>
            </w:pPr>
            <w:r>
              <w:rPr>
                <w:rFonts w:ascii="Times New Roman" w:hAnsi="Times New Roman" w:cs="Times New Roman"/>
                <w:noProof/>
                <w:lang w:val="hu-HU" w:eastAsia="ko-KR"/>
              </w:rPr>
              <w:t>Tel: +385 1 6595 777</w:t>
            </w:r>
          </w:p>
          <w:p w14:paraId="4E8CBCB0" w14:textId="77777777" w:rsidR="00887453" w:rsidRDefault="00887453" w:rsidP="00887453">
            <w:pPr>
              <w:rPr>
                <w:rFonts w:ascii="Times New Roman" w:eastAsia="맑은 고딕" w:hAnsi="Times New Roman" w:cs="Times New Roman"/>
                <w:noProof/>
                <w:lang w:val="hu-HU" w:eastAsia="fr-FR"/>
              </w:rPr>
            </w:pPr>
          </w:p>
        </w:tc>
        <w:tc>
          <w:tcPr>
            <w:tcW w:w="2500" w:type="pct"/>
          </w:tcPr>
          <w:p w14:paraId="082F7B84" w14:textId="77777777" w:rsidR="00887453" w:rsidRDefault="00887453" w:rsidP="00887453">
            <w:pPr>
              <w:tabs>
                <w:tab w:val="left" w:pos="-720"/>
              </w:tabs>
              <w:suppressAutoHyphens/>
              <w:rPr>
                <w:rFonts w:ascii="Times New Roman" w:eastAsia="맑은 고딕" w:hAnsi="Times New Roman" w:cs="Times New Roman"/>
                <w:b/>
                <w:noProof/>
                <w:lang w:val="hu-HU" w:eastAsia="fr-FR"/>
              </w:rPr>
            </w:pPr>
            <w:r>
              <w:rPr>
                <w:rFonts w:ascii="Times New Roman" w:hAnsi="Times New Roman" w:cs="Times New Roman"/>
                <w:b/>
                <w:noProof/>
                <w:lang w:val="hu-HU"/>
              </w:rPr>
              <w:t>România</w:t>
            </w:r>
          </w:p>
          <w:p w14:paraId="0D0D5FD0" w14:textId="77777777" w:rsidR="00887453" w:rsidRDefault="00887453" w:rsidP="00887453">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72CC64B5" w14:textId="5552F591" w:rsidR="00887453" w:rsidRPr="00120A76" w:rsidRDefault="00887453" w:rsidP="00887453">
            <w:pPr>
              <w:rPr>
                <w:rFonts w:ascii="Times New Roman" w:hAnsi="Times New Roman" w:cs="Times New Roman"/>
                <w:b/>
                <w:noProof/>
                <w:lang w:val="hu-HU"/>
              </w:rPr>
            </w:pPr>
            <w:r w:rsidRPr="00EF4B09">
              <w:rPr>
                <w:rFonts w:ascii="Times New Roman" w:eastAsia="맑은 고딕" w:hAnsi="Times New Roman" w:cs="Times New Roman"/>
                <w:noProof/>
                <w:lang w:eastAsia="fr-FR"/>
              </w:rPr>
              <w:t xml:space="preserve">Tel: </w:t>
            </w:r>
            <w:r>
              <w:rPr>
                <w:rFonts w:ascii="Times New Roman" w:eastAsia="맑은 고딕" w:hAnsi="Times New Roman" w:cs="Times New Roman"/>
                <w:noProof/>
                <w:lang w:eastAsia="fr-FR"/>
              </w:rPr>
              <w:t>+36 1 231 0493</w:t>
            </w:r>
          </w:p>
        </w:tc>
      </w:tr>
      <w:tr w:rsidR="00887453" w14:paraId="16B6BA5D" w14:textId="77777777">
        <w:tc>
          <w:tcPr>
            <w:tcW w:w="2500" w:type="pct"/>
          </w:tcPr>
          <w:p w14:paraId="0D212435" w14:textId="77777777" w:rsidR="00887453" w:rsidRDefault="00887453" w:rsidP="00887453">
            <w:pPr>
              <w:tabs>
                <w:tab w:val="left" w:pos="-720"/>
              </w:tabs>
              <w:suppressAutoHyphens/>
              <w:rPr>
                <w:rFonts w:ascii="Times New Roman" w:hAnsi="Times New Roman" w:cs="Times New Roman"/>
                <w:noProof/>
                <w:lang w:val="hu-HU" w:eastAsia="fr-FR"/>
              </w:rPr>
            </w:pPr>
            <w:r>
              <w:rPr>
                <w:rFonts w:ascii="Times New Roman" w:eastAsia="맑은 고딕" w:hAnsi="Times New Roman" w:cs="Times New Roman"/>
                <w:b/>
                <w:noProof/>
                <w:lang w:val="hu-HU" w:eastAsia="fr-FR"/>
              </w:rPr>
              <w:t>Ireland</w:t>
            </w:r>
          </w:p>
          <w:p w14:paraId="4B76B342" w14:textId="77777777"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Ireland Limited</w:t>
            </w:r>
          </w:p>
          <w:p w14:paraId="23C7D90C" w14:textId="77777777"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Tel: +353 1 223 4026</w:t>
            </w:r>
          </w:p>
          <w:p w14:paraId="44DE74AE" w14:textId="77777777" w:rsidR="00887453" w:rsidRDefault="00887453" w:rsidP="00887453">
            <w:pPr>
              <w:rPr>
                <w:rFonts w:ascii="Times New Roman" w:eastAsia="맑은 고딕" w:hAnsi="Times New Roman" w:cs="Times New Roman"/>
                <w:noProof/>
                <w:lang w:val="hu-HU" w:eastAsia="fr-FR"/>
              </w:rPr>
            </w:pPr>
          </w:p>
        </w:tc>
        <w:tc>
          <w:tcPr>
            <w:tcW w:w="2500" w:type="pct"/>
          </w:tcPr>
          <w:p w14:paraId="252F1074" w14:textId="77777777" w:rsidR="00887453" w:rsidRDefault="00887453" w:rsidP="00887453">
            <w:pPr>
              <w:rPr>
                <w:rFonts w:ascii="Times New Roman" w:eastAsia="맑은 고딕" w:hAnsi="Times New Roman" w:cs="Times New Roman"/>
                <w:b/>
                <w:noProof/>
                <w:lang w:val="hu-HU" w:eastAsia="fr-FR"/>
              </w:rPr>
            </w:pPr>
            <w:r>
              <w:rPr>
                <w:rFonts w:ascii="Times New Roman" w:eastAsia="맑은 고딕" w:hAnsi="Times New Roman" w:cs="Times New Roman"/>
                <w:b/>
                <w:noProof/>
                <w:lang w:val="hu-HU" w:eastAsia="fr-FR"/>
              </w:rPr>
              <w:t>Slovenija</w:t>
            </w:r>
          </w:p>
          <w:p w14:paraId="1996F26F" w14:textId="77777777"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OPH Oktal Pharma d.o.o.</w:t>
            </w:r>
          </w:p>
          <w:p w14:paraId="4EDF39F4" w14:textId="77777777"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Tel.: +386 1 519 29 22</w:t>
            </w:r>
          </w:p>
          <w:p w14:paraId="64BF373B" w14:textId="77777777" w:rsidR="00887453" w:rsidRDefault="00887453" w:rsidP="00887453">
            <w:pPr>
              <w:rPr>
                <w:rFonts w:ascii="Times New Roman" w:hAnsi="Times New Roman" w:cs="Times New Roman"/>
                <w:b/>
                <w:noProof/>
                <w:lang w:val="hu-HU"/>
              </w:rPr>
            </w:pPr>
          </w:p>
        </w:tc>
      </w:tr>
      <w:tr w:rsidR="00887453" w14:paraId="410D64AF" w14:textId="77777777">
        <w:tc>
          <w:tcPr>
            <w:tcW w:w="2500" w:type="pct"/>
          </w:tcPr>
          <w:p w14:paraId="7B1832C9" w14:textId="77777777"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b/>
                <w:noProof/>
                <w:lang w:val="hu-HU" w:eastAsia="fr-FR"/>
              </w:rPr>
              <w:t>Ísland</w:t>
            </w:r>
          </w:p>
          <w:p w14:paraId="6A614147" w14:textId="77777777" w:rsidR="00887453" w:rsidRDefault="00887453" w:rsidP="00887453">
            <w:pPr>
              <w:tabs>
                <w:tab w:val="left" w:pos="-720"/>
              </w:tabs>
              <w:suppressAutoHyphen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Hungary Kft.</w:t>
            </w:r>
          </w:p>
          <w:p w14:paraId="30122F2A" w14:textId="77777777"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Sími: +36 1 231 0493</w:t>
            </w:r>
          </w:p>
          <w:p w14:paraId="44A82717" w14:textId="77777777" w:rsidR="00887453" w:rsidRDefault="00887453" w:rsidP="00887453">
            <w:pPr>
              <w:rPr>
                <w:rFonts w:ascii="Times New Roman" w:eastAsia="맑은 고딕" w:hAnsi="Times New Roman" w:cs="Times New Roman"/>
                <w:noProof/>
                <w:lang w:val="hu-HU" w:eastAsia="fr-FR"/>
              </w:rPr>
            </w:pPr>
          </w:p>
        </w:tc>
        <w:tc>
          <w:tcPr>
            <w:tcW w:w="2500" w:type="pct"/>
          </w:tcPr>
          <w:p w14:paraId="01F0661D" w14:textId="77777777" w:rsidR="00887453" w:rsidRDefault="00887453" w:rsidP="00887453">
            <w:pPr>
              <w:rPr>
                <w:rFonts w:ascii="Times New Roman" w:eastAsia="맑은 고딕" w:hAnsi="Times New Roman" w:cs="Times New Roman"/>
                <w:b/>
                <w:noProof/>
                <w:lang w:val="hu-HU" w:eastAsia="fr-FR"/>
              </w:rPr>
            </w:pPr>
            <w:r>
              <w:rPr>
                <w:rFonts w:ascii="Times New Roman" w:hAnsi="Times New Roman" w:cs="Times New Roman"/>
                <w:b/>
                <w:noProof/>
                <w:lang w:val="hu-HU"/>
              </w:rPr>
              <w:t>Slovenská republika</w:t>
            </w:r>
          </w:p>
          <w:p w14:paraId="41E4AE52" w14:textId="77777777" w:rsidR="00887453" w:rsidRDefault="00887453" w:rsidP="00887453">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633D4859" w14:textId="05AB3D73" w:rsidR="00887453" w:rsidRPr="00120A76" w:rsidRDefault="00887453" w:rsidP="00887453">
            <w:pPr>
              <w:rPr>
                <w:rFonts w:ascii="Times New Roman" w:eastAsia="맑은 고딕" w:hAnsi="Times New Roman" w:cs="Times New Roman"/>
                <w:b/>
                <w:noProof/>
                <w:lang w:val="hu-HU" w:eastAsia="fr-FR"/>
              </w:rPr>
            </w:pPr>
            <w:r w:rsidRPr="00EF4B09">
              <w:rPr>
                <w:rFonts w:ascii="Times New Roman" w:eastAsia="맑은 고딕" w:hAnsi="Times New Roman" w:cs="Times New Roman"/>
                <w:noProof/>
                <w:lang w:eastAsia="fr-FR"/>
              </w:rPr>
              <w:t xml:space="preserve">Tel: </w:t>
            </w:r>
            <w:r>
              <w:rPr>
                <w:rFonts w:ascii="Times New Roman" w:eastAsia="맑은 고딕" w:hAnsi="Times New Roman" w:cs="Times New Roman"/>
                <w:noProof/>
                <w:lang w:eastAsia="fr-FR"/>
              </w:rPr>
              <w:t>+36 1 231 0493</w:t>
            </w:r>
          </w:p>
        </w:tc>
      </w:tr>
      <w:tr w:rsidR="00887453" w14:paraId="0684944C" w14:textId="77777777">
        <w:tc>
          <w:tcPr>
            <w:tcW w:w="2500" w:type="pct"/>
          </w:tcPr>
          <w:p w14:paraId="39DC6C0F" w14:textId="77777777" w:rsidR="00887453" w:rsidRDefault="00887453" w:rsidP="00887453">
            <w:pPr>
              <w:rPr>
                <w:rFonts w:ascii="Times New Roman" w:hAnsi="Times New Roman" w:cs="Times New Roman"/>
                <w:noProof/>
                <w:lang w:val="hu-HU" w:eastAsia="fr-FR"/>
              </w:rPr>
            </w:pPr>
            <w:r>
              <w:rPr>
                <w:rFonts w:ascii="Times New Roman" w:eastAsia="맑은 고딕" w:hAnsi="Times New Roman" w:cs="Times New Roman"/>
                <w:b/>
                <w:noProof/>
                <w:lang w:val="hu-HU" w:eastAsia="fr-FR"/>
              </w:rPr>
              <w:t>Italia</w:t>
            </w:r>
          </w:p>
          <w:p w14:paraId="582A5729" w14:textId="72EFA836"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Italy S.r.l.</w:t>
            </w:r>
          </w:p>
          <w:p w14:paraId="6B5EA652" w14:textId="1A50DEF5"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 xml:space="preserve">Tel: +39 </w:t>
            </w:r>
            <w:r w:rsidRPr="00BB53E6">
              <w:rPr>
                <w:rFonts w:ascii="Times New Roman" w:eastAsia="맑은 고딕" w:hAnsi="Times New Roman" w:cs="Times New Roman"/>
                <w:noProof/>
                <w:lang w:val="hu-HU" w:eastAsia="fr-FR"/>
              </w:rPr>
              <w:t>02</w:t>
            </w:r>
            <w:r>
              <w:rPr>
                <w:rFonts w:ascii="Times New Roman" w:eastAsia="맑은 고딕" w:hAnsi="Times New Roman" w:cs="Times New Roman"/>
                <w:noProof/>
                <w:lang w:val="hu-HU" w:eastAsia="fr-FR"/>
              </w:rPr>
              <w:t xml:space="preserve"> </w:t>
            </w:r>
            <w:r w:rsidRPr="00BB53E6">
              <w:rPr>
                <w:rFonts w:ascii="Times New Roman" w:eastAsia="맑은 고딕" w:hAnsi="Times New Roman" w:cs="Times New Roman"/>
                <w:noProof/>
                <w:lang w:val="hu-HU" w:eastAsia="fr-FR"/>
              </w:rPr>
              <w:t>47927040</w:t>
            </w:r>
          </w:p>
          <w:p w14:paraId="291F7D3E" w14:textId="77777777" w:rsidR="00887453" w:rsidRDefault="00887453" w:rsidP="00887453">
            <w:pPr>
              <w:rPr>
                <w:rFonts w:ascii="Times New Roman" w:eastAsia="맑은 고딕" w:hAnsi="Times New Roman" w:cs="Times New Roman"/>
                <w:noProof/>
                <w:lang w:val="hu-HU" w:eastAsia="fr-FR"/>
              </w:rPr>
            </w:pPr>
          </w:p>
        </w:tc>
        <w:tc>
          <w:tcPr>
            <w:tcW w:w="2500" w:type="pct"/>
          </w:tcPr>
          <w:p w14:paraId="38148B44" w14:textId="77777777" w:rsidR="00887453" w:rsidRDefault="00887453" w:rsidP="00887453">
            <w:pPr>
              <w:rPr>
                <w:rFonts w:ascii="Times New Roman" w:hAnsi="Times New Roman" w:cs="Times New Roman"/>
                <w:noProof/>
                <w:lang w:val="hu-HU" w:eastAsia="fr-FR"/>
              </w:rPr>
            </w:pPr>
            <w:r>
              <w:rPr>
                <w:rFonts w:ascii="Times New Roman" w:eastAsia="맑은 고딕" w:hAnsi="Times New Roman" w:cs="Times New Roman"/>
                <w:b/>
                <w:noProof/>
                <w:lang w:val="hu-HU" w:eastAsia="fr-FR"/>
              </w:rPr>
              <w:t>Suomi/Finland</w:t>
            </w:r>
          </w:p>
          <w:p w14:paraId="6DA473C6" w14:textId="77777777" w:rsidR="00887453" w:rsidRPr="00F15659" w:rsidRDefault="00887453" w:rsidP="00887453">
            <w:pPr>
              <w:tabs>
                <w:tab w:val="left" w:pos="-720"/>
              </w:tabs>
              <w:suppressAutoHyphens/>
              <w:rPr>
                <w:rFonts w:ascii="Times New Roman" w:eastAsia="맑은 고딕" w:hAnsi="Times New Roman" w:cs="Times New Roman"/>
                <w:noProof/>
                <w:lang w:val="hu-HU" w:eastAsia="fr-FR"/>
              </w:rPr>
            </w:pPr>
            <w:r w:rsidRPr="00F15659">
              <w:rPr>
                <w:rFonts w:ascii="Times New Roman" w:eastAsia="맑은 고딕" w:hAnsi="Times New Roman" w:cs="Times New Roman"/>
                <w:noProof/>
                <w:lang w:val="hu-HU" w:eastAsia="fr-FR"/>
              </w:rPr>
              <w:t xml:space="preserve">Celltrion Healthcare Finland Oy. </w:t>
            </w:r>
          </w:p>
          <w:p w14:paraId="0052E0BE" w14:textId="4005C090" w:rsidR="00887453" w:rsidRPr="00903402" w:rsidRDefault="00887453" w:rsidP="00887453">
            <w:pPr>
              <w:autoSpaceDE w:val="0"/>
              <w:autoSpaceDN w:val="0"/>
              <w:adjustRightInd w:val="0"/>
              <w:rPr>
                <w:rFonts w:ascii="Times New Roman" w:eastAsia="맑은 고딕" w:hAnsi="Times New Roman" w:cs="Times New Roman"/>
                <w:noProof/>
                <w:lang w:val="hu-HU" w:eastAsia="ko-KR"/>
              </w:rPr>
            </w:pPr>
            <w:r w:rsidRPr="00F15659">
              <w:rPr>
                <w:rFonts w:ascii="Times New Roman" w:eastAsia="맑은 고딕" w:hAnsi="Times New Roman" w:cs="Times New Roman"/>
                <w:noProof/>
                <w:lang w:val="hu-HU" w:eastAsia="fr-FR"/>
              </w:rPr>
              <w:t>Puh/Tel: +358 29 170 7755</w:t>
            </w:r>
          </w:p>
        </w:tc>
      </w:tr>
      <w:tr w:rsidR="00887453" w14:paraId="65A4D9DB" w14:textId="77777777">
        <w:tc>
          <w:tcPr>
            <w:tcW w:w="2500" w:type="pct"/>
          </w:tcPr>
          <w:p w14:paraId="2739CEBA" w14:textId="77777777" w:rsidR="00887453" w:rsidRDefault="00887453" w:rsidP="00887453">
            <w:pPr>
              <w:tabs>
                <w:tab w:val="left" w:pos="-720"/>
              </w:tabs>
              <w:suppressAutoHyphens/>
              <w:rPr>
                <w:rFonts w:ascii="Times New Roman" w:hAnsi="Times New Roman" w:cs="Times New Roman"/>
                <w:b/>
                <w:bCs/>
                <w:noProof/>
                <w:lang w:val="hu-HU" w:eastAsia="fr-FR"/>
              </w:rPr>
            </w:pPr>
            <w:r>
              <w:rPr>
                <w:rFonts w:ascii="Times New Roman" w:hAnsi="Times New Roman" w:cs="Times New Roman"/>
                <w:b/>
                <w:noProof/>
                <w:lang w:val="hu-HU"/>
              </w:rPr>
              <w:t>Κύπρος</w:t>
            </w:r>
          </w:p>
          <w:p w14:paraId="6FBC705F" w14:textId="77777777" w:rsidR="00887453" w:rsidRDefault="00887453" w:rsidP="00887453">
            <w:pPr>
              <w:tabs>
                <w:tab w:val="left" w:pos="-720"/>
              </w:tabs>
              <w:suppressAutoHyphens/>
              <w:rPr>
                <w:rFonts w:ascii="Times New Roman" w:eastAsia="맑은 고딕" w:hAnsi="Times New Roman" w:cs="Times New Roman"/>
                <w:noProof/>
                <w:lang w:val="hu-HU" w:eastAsia="ko-KR"/>
              </w:rPr>
            </w:pPr>
            <w:r>
              <w:rPr>
                <w:rFonts w:ascii="Times New Roman" w:eastAsia="맑은 고딕" w:hAnsi="Times New Roman" w:cs="Times New Roman"/>
                <w:noProof/>
                <w:lang w:val="hu-HU" w:eastAsia="fr-FR"/>
              </w:rPr>
              <w:t>C. A. Papaellinas Ltd</w:t>
            </w:r>
          </w:p>
          <w:p w14:paraId="2B2FEC61" w14:textId="77777777" w:rsidR="00887453" w:rsidRDefault="00887453" w:rsidP="00887453">
            <w:pPr>
              <w:autoSpaceDE w:val="0"/>
              <w:autoSpaceDN w:val="0"/>
              <w:adjustRightInd w:val="0"/>
              <w:rPr>
                <w:rFonts w:ascii="Times New Roman" w:eastAsia="맑은 고딕" w:hAnsi="Times New Roman" w:cs="Times New Roman"/>
                <w:b/>
                <w:bCs/>
                <w:lang w:val="hu-HU" w:eastAsia="fr-FR"/>
              </w:rPr>
            </w:pPr>
            <w:r>
              <w:rPr>
                <w:rFonts w:ascii="Times New Roman" w:hAnsi="Times New Roman" w:cs="Times New Roman"/>
                <w:noProof/>
                <w:lang w:val="hu-HU"/>
              </w:rPr>
              <w:t xml:space="preserve">Τηλ: </w:t>
            </w:r>
            <w:r>
              <w:rPr>
                <w:rFonts w:ascii="Times New Roman" w:eastAsia="맑은 고딕" w:hAnsi="Times New Roman" w:cs="Times New Roman"/>
                <w:noProof/>
                <w:lang w:val="hu-HU" w:eastAsia="fr-FR"/>
              </w:rPr>
              <w:t>+357 22741741</w:t>
            </w:r>
          </w:p>
          <w:p w14:paraId="688C0AD8" w14:textId="77777777" w:rsidR="00887453" w:rsidRDefault="00887453" w:rsidP="00887453">
            <w:pPr>
              <w:autoSpaceDE w:val="0"/>
              <w:autoSpaceDN w:val="0"/>
              <w:adjustRightInd w:val="0"/>
              <w:rPr>
                <w:rFonts w:ascii="Times New Roman" w:eastAsia="맑은 고딕" w:hAnsi="Times New Roman" w:cs="Times New Roman"/>
                <w:b/>
                <w:noProof/>
                <w:lang w:val="hu-HU" w:eastAsia="fr-FR"/>
              </w:rPr>
            </w:pPr>
          </w:p>
        </w:tc>
        <w:tc>
          <w:tcPr>
            <w:tcW w:w="2500" w:type="pct"/>
          </w:tcPr>
          <w:p w14:paraId="377F5281" w14:textId="77777777" w:rsidR="00887453" w:rsidRPr="00D86615" w:rsidRDefault="00887453" w:rsidP="00887453">
            <w:pPr>
              <w:tabs>
                <w:tab w:val="left" w:pos="-720"/>
              </w:tabs>
              <w:suppressAutoHyphens/>
              <w:rPr>
                <w:rFonts w:ascii="Times New Roman" w:hAnsi="Times New Roman" w:cs="Times New Roman"/>
                <w:b/>
                <w:noProof/>
                <w:lang w:eastAsia="fr-FR"/>
              </w:rPr>
            </w:pPr>
            <w:r w:rsidRPr="00D86615">
              <w:rPr>
                <w:rFonts w:ascii="Times New Roman" w:hAnsi="Times New Roman" w:cs="Times New Roman"/>
                <w:b/>
                <w:noProof/>
              </w:rPr>
              <w:t>Sverige</w:t>
            </w:r>
          </w:p>
          <w:p w14:paraId="7C536CE3" w14:textId="3DF61985" w:rsidR="00887453" w:rsidRPr="000D7F4B" w:rsidRDefault="00887453" w:rsidP="00887453">
            <w:pPr>
              <w:tabs>
                <w:tab w:val="left" w:pos="-720"/>
              </w:tabs>
              <w:suppressAutoHyphens/>
              <w:rPr>
                <w:rFonts w:ascii="Times New Roman" w:eastAsia="맑은 고딕" w:hAnsi="Times New Roman" w:cs="Times New Roman"/>
                <w:noProof/>
                <w:lang w:eastAsia="ko-KR"/>
              </w:rPr>
            </w:pPr>
            <w:r w:rsidRPr="000D7F4B">
              <w:rPr>
                <w:rFonts w:ascii="Times New Roman" w:eastAsia="맑은 고딕" w:hAnsi="Times New Roman" w:cs="Times New Roman"/>
                <w:noProof/>
                <w:lang w:eastAsia="ko-KR"/>
              </w:rPr>
              <w:t>Celltrion Sweden AB</w:t>
            </w:r>
          </w:p>
          <w:p w14:paraId="27854683" w14:textId="77777777" w:rsidR="00887453" w:rsidRPr="000D7F4B" w:rsidRDefault="00887453" w:rsidP="00887453">
            <w:pPr>
              <w:tabs>
                <w:tab w:val="left" w:pos="-720"/>
              </w:tabs>
              <w:suppressAutoHyphens/>
              <w:rPr>
                <w:rFonts w:ascii="Times New Roman" w:eastAsia="맑은 고딕" w:hAnsi="Times New Roman" w:cs="Times New Roman"/>
                <w:bCs/>
                <w:noProof/>
                <w:u w:val="single"/>
                <w:lang w:eastAsia="ko-KR"/>
              </w:rPr>
            </w:pPr>
            <w:hyperlink r:id="rId73" w:history="1">
              <w:r w:rsidRPr="000D7F4B">
                <w:rPr>
                  <w:rStyle w:val="ad"/>
                  <w:rFonts w:ascii="Times New Roman" w:eastAsia="맑은 고딕" w:hAnsi="Times New Roman" w:cs="Times New Roman"/>
                  <w:noProof/>
                  <w:lang w:eastAsia="ko-KR"/>
                </w:rPr>
                <w:t>contact_se@celltrionhc.com</w:t>
              </w:r>
            </w:hyperlink>
          </w:p>
          <w:p w14:paraId="2A179466" w14:textId="77777777" w:rsidR="00887453" w:rsidRPr="00887453" w:rsidRDefault="00887453" w:rsidP="00887453">
            <w:pPr>
              <w:tabs>
                <w:tab w:val="left" w:pos="-720"/>
              </w:tabs>
              <w:suppressAutoHyphens/>
              <w:rPr>
                <w:rFonts w:ascii="Times New Roman" w:eastAsia="맑은 고딕" w:hAnsi="Times New Roman" w:cs="Times New Roman"/>
                <w:b/>
                <w:noProof/>
                <w:lang w:eastAsia="fr-FR"/>
              </w:rPr>
            </w:pPr>
          </w:p>
        </w:tc>
      </w:tr>
      <w:tr w:rsidR="00887453" w14:paraId="4140152D" w14:textId="77777777">
        <w:tc>
          <w:tcPr>
            <w:tcW w:w="2500" w:type="pct"/>
          </w:tcPr>
          <w:p w14:paraId="0046875F" w14:textId="77777777" w:rsidR="00887453" w:rsidRDefault="00887453" w:rsidP="00887453">
            <w:pPr>
              <w:rPr>
                <w:rFonts w:ascii="Times New Roman" w:eastAsia="맑은 고딕" w:hAnsi="Times New Roman" w:cs="Times New Roman"/>
                <w:b/>
                <w:noProof/>
                <w:lang w:val="hu-HU" w:eastAsia="fr-FR"/>
              </w:rPr>
            </w:pPr>
            <w:r>
              <w:rPr>
                <w:rFonts w:ascii="Times New Roman" w:eastAsia="맑은 고딕" w:hAnsi="Times New Roman" w:cs="Times New Roman"/>
                <w:b/>
                <w:noProof/>
                <w:lang w:val="hu-HU" w:eastAsia="fr-FR"/>
              </w:rPr>
              <w:t>Latvija</w:t>
            </w:r>
          </w:p>
          <w:p w14:paraId="5B9DA4F7" w14:textId="77777777" w:rsidR="00887453" w:rsidRDefault="00887453" w:rsidP="00887453">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141F8A27" w14:textId="77777777" w:rsidR="00887453" w:rsidRDefault="00887453" w:rsidP="00887453">
            <w:pPr>
              <w:autoSpaceDE w:val="0"/>
              <w:autoSpaceDN w:val="0"/>
              <w:adjustRightInd w:val="0"/>
              <w:rPr>
                <w:rFonts w:ascii="Times New Roman" w:eastAsia="맑은 고딕" w:hAnsi="Times New Roman" w:cs="Times New Roman"/>
                <w:noProof/>
                <w:lang w:eastAsia="fr-FR"/>
              </w:rPr>
            </w:pPr>
            <w:r w:rsidRPr="00E1504B">
              <w:rPr>
                <w:rFonts w:ascii="Times New Roman" w:eastAsia="맑은 고딕" w:hAnsi="Times New Roman" w:cs="Times New Roman"/>
                <w:noProof/>
                <w:lang w:eastAsia="fr-FR"/>
              </w:rPr>
              <w:t xml:space="preserve">Tālr.: </w:t>
            </w:r>
            <w:r>
              <w:rPr>
                <w:rFonts w:ascii="Times New Roman" w:eastAsia="맑은 고딕" w:hAnsi="Times New Roman" w:cs="Times New Roman"/>
                <w:noProof/>
                <w:lang w:eastAsia="fr-FR"/>
              </w:rPr>
              <w:t>+36 1 231 0493</w:t>
            </w:r>
          </w:p>
          <w:p w14:paraId="3AA89ED6" w14:textId="6A8C1624" w:rsidR="00BE4D18" w:rsidRPr="00120A76" w:rsidRDefault="00BE4D18" w:rsidP="00887453">
            <w:pPr>
              <w:autoSpaceDE w:val="0"/>
              <w:autoSpaceDN w:val="0"/>
              <w:adjustRightInd w:val="0"/>
              <w:rPr>
                <w:rFonts w:ascii="Times New Roman" w:eastAsia="맑은 고딕" w:hAnsi="Times New Roman" w:cs="Times New Roman"/>
                <w:b/>
                <w:bCs/>
                <w:lang w:val="hu-HU" w:eastAsia="fr-FR"/>
              </w:rPr>
            </w:pPr>
          </w:p>
        </w:tc>
        <w:tc>
          <w:tcPr>
            <w:tcW w:w="2500" w:type="pct"/>
          </w:tcPr>
          <w:p w14:paraId="6AF7D8AB" w14:textId="77777777" w:rsidR="00887453" w:rsidRDefault="00887453" w:rsidP="00887453">
            <w:pPr>
              <w:tabs>
                <w:tab w:val="left" w:pos="-720"/>
              </w:tabs>
              <w:suppressAutoHyphens/>
              <w:rPr>
                <w:rFonts w:ascii="Times New Roman" w:eastAsia="맑은 고딕" w:hAnsi="Times New Roman" w:cs="Times New Roman"/>
                <w:b/>
                <w:noProof/>
                <w:lang w:val="hu-HU" w:eastAsia="fr-FR"/>
              </w:rPr>
            </w:pPr>
          </w:p>
        </w:tc>
      </w:tr>
    </w:tbl>
    <w:p w14:paraId="52793F54" w14:textId="77777777" w:rsidR="00130E8B" w:rsidRDefault="000405CC">
      <w:pPr>
        <w:numPr>
          <w:ilvl w:val="12"/>
          <w:numId w:val="0"/>
        </w:numPr>
        <w:rPr>
          <w:rFonts w:ascii="Times New Roman" w:eastAsia="맑은 고딕" w:hAnsi="Times New Roman" w:cs="Times New Roman"/>
          <w:noProof/>
          <w:lang w:val="hu-HU" w:eastAsia="ko-KR"/>
        </w:rPr>
      </w:pPr>
      <w:r>
        <w:rPr>
          <w:rFonts w:ascii="Times New Roman" w:eastAsia="Times New Roman" w:hAnsi="Times New Roman" w:cs="Times New Roman"/>
          <w:b/>
          <w:bCs/>
          <w:noProof/>
          <w:lang w:val="hu-HU"/>
        </w:rPr>
        <w:t>A betegtájékoztató legutóbbi felülvizsgálatának dátuma:</w:t>
      </w:r>
    </w:p>
    <w:p w14:paraId="107F6D82" w14:textId="77777777" w:rsidR="00130E8B" w:rsidRDefault="00130E8B">
      <w:pPr>
        <w:numPr>
          <w:ilvl w:val="12"/>
          <w:numId w:val="0"/>
        </w:numPr>
        <w:rPr>
          <w:rFonts w:ascii="Times New Roman" w:hAnsi="Times New Roman" w:cs="Times New Roman"/>
          <w:noProof/>
          <w:lang w:val="hu-HU"/>
        </w:rPr>
      </w:pPr>
    </w:p>
    <w:p w14:paraId="0398CE9A" w14:textId="77777777" w:rsidR="00130E8B" w:rsidRDefault="000405CC">
      <w:pPr>
        <w:numPr>
          <w:ilvl w:val="12"/>
          <w:numId w:val="0"/>
        </w:numPr>
        <w:rPr>
          <w:rFonts w:ascii="Times New Roman" w:hAnsi="Times New Roman" w:cs="Times New Roman"/>
          <w:b/>
          <w:noProof/>
          <w:lang w:val="hu-HU"/>
        </w:rPr>
      </w:pPr>
      <w:r>
        <w:rPr>
          <w:rFonts w:ascii="Times New Roman" w:eastAsia="Times New Roman" w:hAnsi="Times New Roman" w:cs="Times New Roman"/>
          <w:b/>
          <w:bCs/>
          <w:noProof/>
          <w:lang w:val="hu-HU"/>
        </w:rPr>
        <w:t>Egyéb információforrások</w:t>
      </w:r>
    </w:p>
    <w:p w14:paraId="183A8A2B" w14:textId="77777777" w:rsidR="00130E8B" w:rsidRDefault="00130E8B">
      <w:pPr>
        <w:pStyle w:val="a3"/>
        <w:rPr>
          <w:lang w:val="hu-HU"/>
        </w:rPr>
      </w:pPr>
    </w:p>
    <w:p w14:paraId="18D34B25" w14:textId="77777777" w:rsidR="00130E8B" w:rsidRDefault="000405CC">
      <w:pPr>
        <w:numPr>
          <w:ilvl w:val="12"/>
          <w:numId w:val="0"/>
        </w:numPr>
        <w:rPr>
          <w:rFonts w:ascii="Times New Roman" w:eastAsia="맑은 고딕" w:hAnsi="Times New Roman" w:cs="Times New Roman"/>
          <w:noProof/>
          <w:color w:val="0000FF"/>
          <w:lang w:val="hu-HU" w:eastAsia="ko-KR"/>
        </w:rPr>
      </w:pPr>
      <w:r>
        <w:rPr>
          <w:rFonts w:ascii="Times New Roman" w:eastAsia="Times New Roman" w:hAnsi="Times New Roman" w:cs="Times New Roman"/>
          <w:lang w:val="hu-HU"/>
        </w:rPr>
        <w:t>A gyógyszerről részletes információ az Európai Gyógyszerügynökség internetes honlapján (</w:t>
      </w:r>
      <w:r>
        <w:rPr>
          <w:rFonts w:ascii="Times New Roman" w:eastAsia="Times New Roman" w:hAnsi="Times New Roman" w:cs="Times New Roman"/>
          <w:color w:val="0000FF"/>
          <w:u w:val="single"/>
          <w:lang w:val="hu-HU"/>
        </w:rPr>
        <w:t>http://www. Ema. Europa. Eu</w:t>
      </w:r>
      <w:r>
        <w:rPr>
          <w:rFonts w:ascii="Times New Roman" w:eastAsia="Times New Roman" w:hAnsi="Times New Roman" w:cs="Times New Roman"/>
          <w:lang w:val="hu-HU"/>
        </w:rPr>
        <w:t>) található.</w:t>
      </w:r>
    </w:p>
    <w:p w14:paraId="7CF694C4" w14:textId="77777777" w:rsidR="00130E8B" w:rsidRDefault="00130E8B">
      <w:pPr>
        <w:spacing w:line="252" w:lineRule="exact"/>
        <w:rPr>
          <w:rFonts w:ascii="Times New Roman" w:hAnsi="Times New Roman" w:cs="Times New Roman"/>
          <w:b/>
          <w:lang w:val="hu-HU"/>
        </w:rPr>
      </w:pPr>
    </w:p>
    <w:p w14:paraId="1AB62A9A" w14:textId="2BF6A3C3" w:rsidR="00D72DD6" w:rsidRPr="004B23C8" w:rsidRDefault="00D72DD6" w:rsidP="001E2F31">
      <w:pPr>
        <w:pStyle w:val="a4"/>
        <w:numPr>
          <w:ilvl w:val="0"/>
          <w:numId w:val="37"/>
        </w:numPr>
        <w:spacing w:line="240" w:lineRule="exact"/>
        <w:ind w:left="357" w:hanging="357"/>
        <w:rPr>
          <w:rFonts w:ascii="Times New Roman" w:eastAsia="Times New Roman" w:hAnsi="Times New Roman" w:cs="Times New Roman"/>
          <w:b/>
          <w:bCs/>
          <w:noProof/>
          <w:color w:val="000000" w:themeColor="text1"/>
          <w:lang w:val="hu-HU"/>
        </w:rPr>
      </w:pPr>
      <w:r w:rsidRPr="004B23C8">
        <w:rPr>
          <w:rFonts w:ascii="Times New Roman" w:eastAsia="Times New Roman" w:hAnsi="Times New Roman" w:cs="Times New Roman"/>
          <w:b/>
          <w:bCs/>
          <w:noProof/>
          <w:color w:val="000000" w:themeColor="text1"/>
          <w:lang w:val="hu-HU"/>
        </w:rPr>
        <w:t>Használati utasítás</w:t>
      </w:r>
    </w:p>
    <w:p w14:paraId="13FCB6E8" w14:textId="77777777" w:rsidR="00130E8B" w:rsidRDefault="00130E8B">
      <w:pPr>
        <w:spacing w:before="16" w:line="280" w:lineRule="exact"/>
        <w:rPr>
          <w:sz w:val="28"/>
          <w:szCs w:val="28"/>
          <w:lang w:val="hu-HU"/>
        </w:rPr>
      </w:pPr>
    </w:p>
    <w:p w14:paraId="6101A9FC" w14:textId="475E1252" w:rsidR="00130E8B" w:rsidRDefault="000405CC">
      <w:pPr>
        <w:pStyle w:val="a3"/>
        <w:numPr>
          <w:ilvl w:val="1"/>
          <w:numId w:val="2"/>
        </w:numPr>
        <w:ind w:left="660" w:hanging="660"/>
        <w:rPr>
          <w:lang w:val="hu-HU"/>
        </w:rPr>
      </w:pPr>
      <w:r>
        <w:rPr>
          <w:rFonts w:eastAsia="Times New Roman"/>
          <w:lang w:val="hu-HU"/>
        </w:rPr>
        <w:lastRenderedPageBreak/>
        <w:t>A következő útmutató elmagyarázza, hogyan kell beadnia magának a bőr alá adandó Yuflyma injekciót az előretöltött injekciós tollal. Kérjük, figyelmesen olvassa el az útmutatót, és kövesse lépésről-lépésre.</w:t>
      </w:r>
    </w:p>
    <w:p w14:paraId="17E3223C" w14:textId="77777777" w:rsidR="00130E8B" w:rsidRDefault="00130E8B">
      <w:pPr>
        <w:spacing w:before="12" w:line="240" w:lineRule="exact"/>
        <w:rPr>
          <w:sz w:val="24"/>
          <w:szCs w:val="24"/>
          <w:lang w:val="hu-HU"/>
        </w:rPr>
      </w:pPr>
    </w:p>
    <w:p w14:paraId="7FA50AAB" w14:textId="77777777" w:rsidR="00130E8B" w:rsidRDefault="000405CC">
      <w:pPr>
        <w:pStyle w:val="a3"/>
        <w:numPr>
          <w:ilvl w:val="1"/>
          <w:numId w:val="2"/>
        </w:numPr>
        <w:ind w:left="660" w:hanging="660"/>
        <w:rPr>
          <w:lang w:val="hu-HU"/>
        </w:rPr>
      </w:pPr>
      <w:r>
        <w:rPr>
          <w:rFonts w:eastAsia="Times New Roman"/>
          <w:lang w:val="hu-HU"/>
        </w:rPr>
        <w:t>Az öninjekciózás technikáját meg fogja Önnek tanítani kezelőorvosa, a gondozását végző egészségügyi szakember vagy a gyógyszerész.</w:t>
      </w:r>
    </w:p>
    <w:p w14:paraId="79974F22" w14:textId="77777777" w:rsidR="00130E8B" w:rsidRDefault="00130E8B">
      <w:pPr>
        <w:spacing w:before="11" w:line="260" w:lineRule="exact"/>
        <w:rPr>
          <w:sz w:val="26"/>
          <w:szCs w:val="26"/>
          <w:lang w:val="hu-HU"/>
        </w:rPr>
      </w:pPr>
    </w:p>
    <w:p w14:paraId="3CC3C5DC" w14:textId="7EF1AB3A" w:rsidR="00130E8B" w:rsidRDefault="000405CC">
      <w:pPr>
        <w:pStyle w:val="a3"/>
        <w:numPr>
          <w:ilvl w:val="1"/>
          <w:numId w:val="2"/>
        </w:numPr>
        <w:ind w:left="660" w:hanging="660"/>
        <w:rPr>
          <w:lang w:val="hu-HU"/>
        </w:rPr>
      </w:pPr>
      <w:r>
        <w:rPr>
          <w:rFonts w:eastAsia="Times New Roman"/>
          <w:b/>
          <w:bCs/>
          <w:spacing w:val="-2"/>
          <w:lang w:val="hu-HU"/>
        </w:rPr>
        <w:t>Ne</w:t>
      </w:r>
      <w:r>
        <w:rPr>
          <w:rFonts w:eastAsia="Times New Roman"/>
          <w:spacing w:val="-2"/>
          <w:lang w:val="hu-HU"/>
        </w:rPr>
        <w:t xml:space="preserve"> próbálja meg beadni magának az injekciót, amíg nem biztos abban, hogy megértette, hogyan kell előkészíteni és beadni az injekciót.</w:t>
      </w:r>
    </w:p>
    <w:p w14:paraId="3D8A6229" w14:textId="77777777" w:rsidR="00130E8B" w:rsidRDefault="00130E8B">
      <w:pPr>
        <w:spacing w:before="11" w:line="260" w:lineRule="exact"/>
        <w:rPr>
          <w:sz w:val="26"/>
          <w:szCs w:val="26"/>
          <w:lang w:val="hu-HU"/>
        </w:rPr>
      </w:pPr>
    </w:p>
    <w:p w14:paraId="00E4A58D" w14:textId="1842CF4D" w:rsidR="00130E8B" w:rsidRDefault="000405CC">
      <w:pPr>
        <w:pStyle w:val="a3"/>
        <w:numPr>
          <w:ilvl w:val="1"/>
          <w:numId w:val="2"/>
        </w:numPr>
        <w:ind w:left="660" w:hanging="660"/>
        <w:rPr>
          <w:lang w:val="hu-HU"/>
        </w:rPr>
      </w:pPr>
      <w:r>
        <w:rPr>
          <w:rFonts w:eastAsia="Times New Roman"/>
          <w:lang w:val="hu-HU"/>
        </w:rPr>
        <w:t>A megfelelő betanítás után az  injekciót beadhatja saját magának vagy beadhatja Önnek valaki más, például egy családtag vagy barát.</w:t>
      </w:r>
    </w:p>
    <w:p w14:paraId="5EAFBFDA" w14:textId="77777777" w:rsidR="00130E8B" w:rsidRDefault="00130E8B">
      <w:pPr>
        <w:spacing w:before="12" w:line="240" w:lineRule="exact"/>
        <w:rPr>
          <w:sz w:val="24"/>
          <w:szCs w:val="24"/>
          <w:lang w:val="hu-HU"/>
        </w:rPr>
      </w:pPr>
    </w:p>
    <w:p w14:paraId="175FFFCA" w14:textId="5EBA20FF" w:rsidR="00130E8B" w:rsidRDefault="000405CC">
      <w:pPr>
        <w:pStyle w:val="a3"/>
        <w:numPr>
          <w:ilvl w:val="1"/>
          <w:numId w:val="2"/>
        </w:numPr>
        <w:ind w:left="660" w:hanging="660"/>
        <w:rPr>
          <w:lang w:val="hu-HU"/>
        </w:rPr>
      </w:pPr>
      <w:r>
        <w:rPr>
          <w:rFonts w:eastAsia="Times New Roman"/>
          <w:lang w:val="hu-HU"/>
        </w:rPr>
        <w:t>Mindegyik előretöltött tollat csak egy injekcióhoz szabad használni</w:t>
      </w:r>
    </w:p>
    <w:p w14:paraId="58E4B568" w14:textId="77777777" w:rsidR="00130E8B" w:rsidRDefault="00130E8B">
      <w:pPr>
        <w:spacing w:before="15" w:line="240" w:lineRule="exact"/>
        <w:rPr>
          <w:sz w:val="24"/>
          <w:szCs w:val="24"/>
          <w:lang w:val="hu-HU"/>
        </w:rPr>
      </w:pPr>
    </w:p>
    <w:p w14:paraId="3A2FA2E2" w14:textId="77777777" w:rsidR="0054408A" w:rsidRDefault="0054408A">
      <w:pPr>
        <w:rPr>
          <w:rFonts w:ascii="Times New Roman" w:eastAsia="Times New Roman" w:hAnsi="Times New Roman" w:cs="Times New Roman"/>
          <w:b/>
          <w:bCs/>
          <w:spacing w:val="-1"/>
          <w:lang w:val="hu-HU"/>
        </w:rPr>
      </w:pPr>
      <w:r>
        <w:rPr>
          <w:rFonts w:eastAsia="Times New Roman"/>
          <w:b/>
          <w:bCs/>
          <w:spacing w:val="-1"/>
          <w:lang w:val="hu-HU"/>
        </w:rPr>
        <w:br w:type="page"/>
      </w:r>
    </w:p>
    <w:p w14:paraId="59104C7E" w14:textId="63A13308" w:rsidR="00130E8B" w:rsidRDefault="000405CC">
      <w:pPr>
        <w:pStyle w:val="a3"/>
        <w:rPr>
          <w:b/>
          <w:bCs/>
          <w:lang w:val="hu-HU"/>
        </w:rPr>
      </w:pPr>
      <w:r>
        <w:rPr>
          <w:rFonts w:eastAsia="Times New Roman"/>
          <w:b/>
          <w:bCs/>
          <w:spacing w:val="-1"/>
          <w:lang w:val="hu-HU"/>
        </w:rPr>
        <w:lastRenderedPageBreak/>
        <w:t>Yuflyma előretöltött injekciós toll</w:t>
      </w:r>
    </w:p>
    <w:p w14:paraId="61536553" w14:textId="2B5DDD43" w:rsidR="00130E8B" w:rsidRDefault="00525F72">
      <w:pPr>
        <w:spacing w:before="13" w:line="240" w:lineRule="exact"/>
        <w:rPr>
          <w:sz w:val="24"/>
          <w:szCs w:val="24"/>
          <w:lang w:val="hu-HU"/>
        </w:rPr>
      </w:pPr>
      <w:r w:rsidRPr="00525F72">
        <w:rPr>
          <w:noProof/>
          <w:lang w:eastAsia="ko-KR"/>
        </w:rPr>
        <w:drawing>
          <wp:anchor distT="0" distB="0" distL="114300" distR="114300" simplePos="0" relativeHeight="251658269" behindDoc="0" locked="0" layoutInCell="1" allowOverlap="1" wp14:anchorId="153F19EF" wp14:editId="4A873E93">
            <wp:simplePos x="0" y="0"/>
            <wp:positionH relativeFrom="column">
              <wp:posOffset>1168400</wp:posOffset>
            </wp:positionH>
            <wp:positionV relativeFrom="paragraph">
              <wp:posOffset>163588</wp:posOffset>
            </wp:positionV>
            <wp:extent cx="3726710" cy="3394800"/>
            <wp:effectExtent l="0" t="0" r="7620" b="0"/>
            <wp:wrapTopAndBottom/>
            <wp:docPr id="1027"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그림 15"/>
                    <pic:cNvPicPr>
                      <a:picLocks noChangeAspect="1"/>
                    </pic:cNvPicPr>
                  </pic:nvPicPr>
                  <pic:blipFill rotWithShape="1">
                    <a:blip r:embed="rId74" cstate="print">
                      <a:extLst>
                        <a:ext uri="{28A0092B-C50C-407E-A947-70E740481C1C}">
                          <a14:useLocalDpi xmlns:a14="http://schemas.microsoft.com/office/drawing/2010/main" val="0"/>
                        </a:ext>
                      </a:extLst>
                    </a:blip>
                    <a:srcRect/>
                    <a:stretch/>
                  </pic:blipFill>
                  <pic:spPr>
                    <a:xfrm>
                      <a:off x="0" y="0"/>
                      <a:ext cx="3726710" cy="3394800"/>
                    </a:xfrm>
                    <a:prstGeom prst="rect">
                      <a:avLst/>
                    </a:prstGeom>
                  </pic:spPr>
                </pic:pic>
              </a:graphicData>
            </a:graphic>
            <wp14:sizeRelH relativeFrom="page">
              <wp14:pctWidth>0</wp14:pctWidth>
            </wp14:sizeRelH>
            <wp14:sizeRelV relativeFrom="page">
              <wp14:pctHeight>0</wp14:pctHeight>
            </wp14:sizeRelV>
          </wp:anchor>
        </w:drawing>
      </w:r>
    </w:p>
    <w:p w14:paraId="0B6BF223" w14:textId="6D7676F4" w:rsidR="00130E8B" w:rsidRDefault="007817C8">
      <w:pPr>
        <w:pStyle w:val="af0"/>
        <w:ind w:left="4320" w:firstLine="720"/>
        <w:jc w:val="center"/>
        <w:rPr>
          <w:rFonts w:ascii="Times New Roman" w:hAnsi="Times New Roman" w:cs="Times New Roman"/>
          <w:lang w:val="hu-HU"/>
        </w:rPr>
      </w:pPr>
      <w:r>
        <w:rPr>
          <w:rFonts w:ascii="Times New Roman" w:hAnsi="Times New Roman" w:cs="Times New Roman"/>
          <w:lang w:val="hu-HU"/>
        </w:rPr>
        <w:t>A</w:t>
      </w:r>
      <w:r w:rsidR="00543C3D">
        <w:rPr>
          <w:rFonts w:ascii="Times New Roman" w:hAnsi="Times New Roman" w:cs="Times New Roman"/>
          <w:lang w:val="hu-HU"/>
        </w:rPr>
        <w:t>.</w:t>
      </w:r>
      <w:r w:rsidR="00B11505">
        <w:rPr>
          <w:rFonts w:ascii="Times New Roman" w:hAnsi="Times New Roman" w:cs="Times New Roman"/>
          <w:lang w:val="hu-HU"/>
        </w:rPr>
        <w:t xml:space="preserve"> </w:t>
      </w:r>
      <w:r w:rsidR="00B11505">
        <w:rPr>
          <w:rFonts w:ascii="Times New Roman" w:eastAsia="Times New Roman" w:hAnsi="Times New Roman" w:cs="Times New Roman"/>
          <w:lang w:val="hu-HU"/>
        </w:rPr>
        <w:t>á</w:t>
      </w:r>
      <w:r w:rsidR="000405CC">
        <w:rPr>
          <w:rFonts w:ascii="Times New Roman" w:eastAsia="Times New Roman" w:hAnsi="Times New Roman" w:cs="Times New Roman"/>
          <w:lang w:val="hu-HU"/>
        </w:rPr>
        <w:t>bra</w:t>
      </w:r>
    </w:p>
    <w:p w14:paraId="4734EEC6" w14:textId="77777777" w:rsidR="00130E8B" w:rsidRDefault="00130E8B">
      <w:pPr>
        <w:tabs>
          <w:tab w:val="left" w:pos="3004"/>
          <w:tab w:val="left" w:pos="5932"/>
        </w:tabs>
        <w:spacing w:before="33" w:line="480" w:lineRule="auto"/>
        <w:ind w:left="111" w:right="1474" w:firstLine="1653"/>
        <w:rPr>
          <w:rFonts w:ascii="Times New Roman" w:eastAsia="Times New Roman" w:hAnsi="Times New Roman" w:cs="Times New Roman"/>
          <w:b/>
          <w:bCs/>
          <w:lang w:val="hu-HU"/>
        </w:rPr>
      </w:pPr>
    </w:p>
    <w:p w14:paraId="54B8F566" w14:textId="77777777" w:rsidR="00130E8B" w:rsidRDefault="000405CC">
      <w:pPr>
        <w:tabs>
          <w:tab w:val="left" w:pos="3004"/>
          <w:tab w:val="left" w:pos="5932"/>
        </w:tabs>
        <w:spacing w:before="33" w:line="480" w:lineRule="auto"/>
        <w:ind w:left="113" w:right="1474"/>
        <w:rPr>
          <w:rFonts w:ascii="Times New Roman" w:eastAsia="Times New Roman" w:hAnsi="Times New Roman" w:cs="Times New Roman"/>
          <w:lang w:val="hu-HU"/>
        </w:rPr>
      </w:pPr>
      <w:r>
        <w:rPr>
          <w:rFonts w:ascii="Times New Roman" w:eastAsia="Times New Roman" w:hAnsi="Times New Roman" w:cs="Times New Roman"/>
          <w:b/>
          <w:bCs/>
          <w:spacing w:val="-1"/>
          <w:lang w:val="hu-HU"/>
        </w:rPr>
        <w:t>Azelőretöltött tollat ne használja fel, ha:</w:t>
      </w:r>
    </w:p>
    <w:p w14:paraId="56AB313B" w14:textId="77777777" w:rsidR="00130E8B" w:rsidRDefault="000405CC">
      <w:pPr>
        <w:pStyle w:val="a3"/>
        <w:numPr>
          <w:ilvl w:val="1"/>
          <w:numId w:val="2"/>
        </w:numPr>
        <w:ind w:left="660" w:hanging="660"/>
        <w:rPr>
          <w:lang w:val="hu-HU"/>
        </w:rPr>
      </w:pPr>
      <w:r>
        <w:rPr>
          <w:rFonts w:eastAsia="Times New Roman"/>
          <w:lang w:val="hu-HU"/>
        </w:rPr>
        <w:t>megrepedt vagy sérült</w:t>
      </w:r>
    </w:p>
    <w:p w14:paraId="008C82D9" w14:textId="77777777" w:rsidR="00130E8B" w:rsidRPr="00FB6A69" w:rsidRDefault="000405CC">
      <w:pPr>
        <w:pStyle w:val="a3"/>
        <w:numPr>
          <w:ilvl w:val="1"/>
          <w:numId w:val="2"/>
        </w:numPr>
        <w:ind w:left="660" w:hanging="660"/>
        <w:rPr>
          <w:sz w:val="26"/>
          <w:szCs w:val="26"/>
          <w:lang w:val="hu-HU"/>
        </w:rPr>
      </w:pPr>
      <w:r>
        <w:rPr>
          <w:rFonts w:eastAsia="Times New Roman"/>
          <w:lang w:val="hu-HU"/>
        </w:rPr>
        <w:t>a lejárati idő lejárt.</w:t>
      </w:r>
    </w:p>
    <w:p w14:paraId="4C518A7E" w14:textId="638332C9" w:rsidR="004A2083" w:rsidRDefault="004A2083">
      <w:pPr>
        <w:pStyle w:val="a3"/>
        <w:numPr>
          <w:ilvl w:val="1"/>
          <w:numId w:val="2"/>
        </w:numPr>
        <w:ind w:left="660" w:hanging="660"/>
        <w:rPr>
          <w:sz w:val="26"/>
          <w:szCs w:val="26"/>
          <w:lang w:val="hu-HU"/>
        </w:rPr>
      </w:pPr>
      <w:proofErr w:type="spellStart"/>
      <w:r>
        <w:t>kemény</w:t>
      </w:r>
      <w:proofErr w:type="spellEnd"/>
      <w:r>
        <w:t xml:space="preserve"> </w:t>
      </w:r>
      <w:proofErr w:type="spellStart"/>
      <w:r>
        <w:t>felületre</w:t>
      </w:r>
      <w:proofErr w:type="spellEnd"/>
      <w:r>
        <w:t xml:space="preserve"> </w:t>
      </w:r>
      <w:proofErr w:type="spellStart"/>
      <w:r>
        <w:t>ejtette</w:t>
      </w:r>
      <w:proofErr w:type="spellEnd"/>
      <w:r>
        <w:t>.</w:t>
      </w:r>
    </w:p>
    <w:p w14:paraId="29846D37" w14:textId="77777777" w:rsidR="00130E8B" w:rsidRDefault="00130E8B">
      <w:pPr>
        <w:pStyle w:val="a3"/>
        <w:rPr>
          <w:lang w:val="hu-HU"/>
        </w:rPr>
      </w:pPr>
    </w:p>
    <w:p w14:paraId="585E9B2A" w14:textId="2C495EB9" w:rsidR="00130E8B" w:rsidRDefault="000405CC">
      <w:pPr>
        <w:pStyle w:val="a3"/>
        <w:rPr>
          <w:b/>
          <w:bCs/>
          <w:lang w:val="hu-HU"/>
        </w:rPr>
      </w:pPr>
      <w:r>
        <w:rPr>
          <w:rFonts w:eastAsia="Times New Roman"/>
          <w:b/>
          <w:bCs/>
          <w:lang w:val="hu-HU"/>
        </w:rPr>
        <w:t>Ne vegye le a tokot, amíg készen nem áll az injekció beadásáraA Yuflyma gyermekektől elzárva tartandó</w:t>
      </w:r>
      <w:r w:rsidR="005D79EA">
        <w:rPr>
          <w:rFonts w:eastAsia="Times New Roman"/>
          <w:b/>
          <w:bCs/>
          <w:lang w:val="hu-HU"/>
        </w:rPr>
        <w:t>.</w:t>
      </w:r>
    </w:p>
    <w:tbl>
      <w:tblPr>
        <w:tblStyle w:val="ac"/>
        <w:tblW w:w="0" w:type="auto"/>
        <w:tblLook w:val="04A0" w:firstRow="1" w:lastRow="0" w:firstColumn="1" w:lastColumn="0" w:noHBand="0" w:noVBand="1"/>
      </w:tblPr>
      <w:tblGrid>
        <w:gridCol w:w="9550"/>
      </w:tblGrid>
      <w:tr w:rsidR="00130E8B" w:rsidRPr="00BE4D18" w14:paraId="1F66D562" w14:textId="77777777">
        <w:trPr>
          <w:trHeight w:val="2551"/>
        </w:trPr>
        <w:tc>
          <w:tcPr>
            <w:tcW w:w="9550" w:type="dxa"/>
          </w:tcPr>
          <w:p w14:paraId="40738AD6" w14:textId="77777777" w:rsidR="00130E8B" w:rsidRDefault="00130E8B">
            <w:pPr>
              <w:spacing w:line="260" w:lineRule="exact"/>
              <w:rPr>
                <w:rFonts w:ascii="Times New Roman" w:eastAsia="Times New Roman" w:hAnsi="Times New Roman" w:cs="Times New Roman"/>
                <w:b/>
                <w:bCs/>
                <w:spacing w:val="-1"/>
                <w:lang w:val="hu-HU"/>
              </w:rPr>
            </w:pPr>
          </w:p>
          <w:p w14:paraId="2BA21D8B" w14:textId="15C39994" w:rsidR="00130E8B" w:rsidRPr="005D79EA" w:rsidRDefault="000405CC">
            <w:pPr>
              <w:pStyle w:val="a3"/>
              <w:numPr>
                <w:ilvl w:val="0"/>
                <w:numId w:val="24"/>
              </w:numPr>
              <w:ind w:leftChars="50" w:left="470"/>
              <w:rPr>
                <w:b/>
                <w:lang w:val="hu-HU"/>
              </w:rPr>
            </w:pPr>
            <w:r w:rsidRPr="005D79EA">
              <w:rPr>
                <w:rFonts w:eastAsia="Times New Roman"/>
                <w:b/>
                <w:bCs/>
                <w:lang w:val="hu-HU"/>
              </w:rPr>
              <w:t xml:space="preserve">Készítse elő az </w:t>
            </w:r>
            <w:r w:rsidRPr="001E2F31">
              <w:rPr>
                <w:rFonts w:eastAsia="Times New Roman"/>
                <w:b/>
                <w:lang w:val="hu-HU"/>
              </w:rPr>
              <w:t>injekció beadásához szükséges eszközöket.</w:t>
            </w:r>
          </w:p>
          <w:p w14:paraId="05542342" w14:textId="77777777" w:rsidR="00130E8B" w:rsidRDefault="00130E8B">
            <w:pPr>
              <w:pStyle w:val="a3"/>
              <w:numPr>
                <w:ilvl w:val="0"/>
                <w:numId w:val="0"/>
              </w:numPr>
              <w:ind w:left="470"/>
              <w:rPr>
                <w:b/>
                <w:lang w:val="hu-HU"/>
              </w:rPr>
            </w:pPr>
          </w:p>
          <w:p w14:paraId="07D95294" w14:textId="37B93BF0" w:rsidR="00130E8B" w:rsidRDefault="000405CC">
            <w:pPr>
              <w:pStyle w:val="a3"/>
              <w:ind w:leftChars="50" w:left="110"/>
              <w:rPr>
                <w:lang w:val="hu-HU" w:eastAsia="ko-KR"/>
              </w:rPr>
            </w:pPr>
            <w:r>
              <w:rPr>
                <w:rFonts w:eastAsia="Times New Roman"/>
                <w:b/>
                <w:bCs/>
                <w:lang w:val="hu-HU" w:eastAsia="ko-KR"/>
              </w:rPr>
              <w:t xml:space="preserve">      a. </w:t>
            </w:r>
            <w:r w:rsidRPr="001E2F31">
              <w:rPr>
                <w:rFonts w:eastAsia="Times New Roman"/>
                <w:bCs/>
                <w:lang w:val="hu-HU" w:eastAsia="ko-KR"/>
              </w:rPr>
              <w:t>K</w:t>
            </w:r>
            <w:r>
              <w:rPr>
                <w:rFonts w:eastAsia="Times New Roman"/>
                <w:lang w:val="hu-HU" w:eastAsia="ko-KR"/>
              </w:rPr>
              <w:t>észítse elő a szükséges eszközöket egy tiszta, s</w:t>
            </w:r>
            <w:r w:rsidR="007C22AA">
              <w:rPr>
                <w:rFonts w:eastAsia="Times New Roman"/>
                <w:lang w:val="hu-HU" w:eastAsia="ko-KR"/>
              </w:rPr>
              <w:t>i</w:t>
            </w:r>
            <w:r w:rsidR="00C321A3">
              <w:rPr>
                <w:rFonts w:eastAsia="Times New Roman"/>
                <w:lang w:val="hu-HU" w:eastAsia="ko-KR"/>
              </w:rPr>
              <w:t>ma</w:t>
            </w:r>
            <w:r>
              <w:rPr>
                <w:rFonts w:eastAsia="Times New Roman"/>
                <w:lang w:val="hu-HU" w:eastAsia="ko-KR"/>
              </w:rPr>
              <w:t xml:space="preserve"> felületen, például az asztalon vagy a konyhapulton:</w:t>
            </w:r>
          </w:p>
          <w:p w14:paraId="3741A2B3" w14:textId="77777777" w:rsidR="00130E8B" w:rsidRDefault="000405CC">
            <w:pPr>
              <w:pStyle w:val="a3"/>
              <w:ind w:leftChars="50" w:left="110"/>
              <w:rPr>
                <w:lang w:val="hu-HU" w:eastAsia="ko-KR"/>
              </w:rPr>
            </w:pPr>
            <w:r>
              <w:rPr>
                <w:rFonts w:eastAsia="Times New Roman"/>
                <w:b/>
                <w:bCs/>
                <w:lang w:val="hu-HU" w:eastAsia="ko-KR"/>
              </w:rPr>
              <w:t xml:space="preserve">     b. </w:t>
            </w:r>
            <w:r w:rsidRPr="001E2F31">
              <w:rPr>
                <w:rFonts w:eastAsia="Times New Roman"/>
                <w:bCs/>
                <w:lang w:val="hu-HU" w:eastAsia="ko-KR"/>
              </w:rPr>
              <w:t>V</w:t>
            </w:r>
            <w:r>
              <w:rPr>
                <w:rFonts w:eastAsia="Times New Roman"/>
                <w:lang w:val="hu-HU" w:eastAsia="ko-KR"/>
              </w:rPr>
              <w:t>egyen ki 1 előretöltött tollat a hűtőszekrényben tárolt dobozból.</w:t>
            </w:r>
          </w:p>
          <w:p w14:paraId="6C0B89F0" w14:textId="273B35A0" w:rsidR="00130E8B" w:rsidRDefault="000405CC">
            <w:pPr>
              <w:pStyle w:val="a3"/>
              <w:ind w:leftChars="50" w:left="110"/>
              <w:rPr>
                <w:lang w:val="hu-HU" w:eastAsia="ko-KR"/>
              </w:rPr>
            </w:pPr>
            <w:r>
              <w:rPr>
                <w:rFonts w:eastAsia="Times New Roman"/>
                <w:b/>
                <w:bCs/>
                <w:lang w:val="hu-HU" w:eastAsia="ko-KR"/>
              </w:rPr>
              <w:t xml:space="preserve">    </w:t>
            </w:r>
            <w:r w:rsidR="005D79EA">
              <w:rPr>
                <w:rFonts w:eastAsia="Times New Roman"/>
                <w:b/>
                <w:bCs/>
                <w:lang w:val="hu-HU" w:eastAsia="ko-KR"/>
              </w:rPr>
              <w:t xml:space="preserve"> </w:t>
            </w:r>
            <w:r>
              <w:rPr>
                <w:rFonts w:eastAsia="Times New Roman"/>
                <w:b/>
                <w:bCs/>
                <w:lang w:val="hu-HU" w:eastAsia="ko-KR"/>
              </w:rPr>
              <w:t xml:space="preserve">c. </w:t>
            </w:r>
            <w:r w:rsidRPr="001E2F31">
              <w:rPr>
                <w:rFonts w:eastAsia="Times New Roman"/>
                <w:bCs/>
                <w:lang w:val="hu-HU" w:eastAsia="ko-KR"/>
              </w:rPr>
              <w:t>B</w:t>
            </w:r>
            <w:r>
              <w:rPr>
                <w:rFonts w:eastAsia="Times New Roman"/>
                <w:lang w:val="hu-HU" w:eastAsia="ko-KR"/>
              </w:rPr>
              <w:t>izonyosodjon meg róla, hogy Önnél vannak a következők:</w:t>
            </w:r>
          </w:p>
          <w:p w14:paraId="11B79F05" w14:textId="77777777" w:rsidR="00130E8B" w:rsidRDefault="000405CC">
            <w:pPr>
              <w:pStyle w:val="a3"/>
              <w:ind w:leftChars="402" w:left="884"/>
              <w:rPr>
                <w:lang w:val="hu-HU" w:eastAsia="ko-KR"/>
              </w:rPr>
            </w:pPr>
            <w:r>
              <w:rPr>
                <w:rFonts w:eastAsia="Times New Roman"/>
                <w:lang w:val="hu-HU" w:eastAsia="ko-KR"/>
              </w:rPr>
              <w:t>- Előretöltött toll</w:t>
            </w:r>
          </w:p>
          <w:p w14:paraId="4C5C4CC5" w14:textId="77777777" w:rsidR="00130E8B" w:rsidRDefault="000405CC">
            <w:pPr>
              <w:pStyle w:val="a3"/>
              <w:ind w:leftChars="402" w:left="1659" w:hanging="775"/>
              <w:rPr>
                <w:lang w:val="hu-HU" w:eastAsia="ko-KR"/>
              </w:rPr>
            </w:pPr>
            <w:r>
              <w:rPr>
                <w:rFonts w:eastAsia="Times New Roman"/>
                <w:lang w:val="hu-HU" w:eastAsia="ko-KR"/>
              </w:rPr>
              <w:t>- 1 alkoholos törlő</w:t>
            </w:r>
          </w:p>
          <w:p w14:paraId="0BFA0620" w14:textId="77777777" w:rsidR="00130E8B" w:rsidRDefault="00130E8B">
            <w:pPr>
              <w:pStyle w:val="a3"/>
              <w:ind w:leftChars="402" w:left="1659" w:hanging="775"/>
              <w:rPr>
                <w:lang w:val="hu-HU" w:eastAsia="ko-KR"/>
              </w:rPr>
            </w:pPr>
          </w:p>
          <w:p w14:paraId="11C9A3F6" w14:textId="77777777" w:rsidR="00130E8B" w:rsidRDefault="000405CC">
            <w:pPr>
              <w:pStyle w:val="a3"/>
              <w:ind w:left="720"/>
              <w:rPr>
                <w:b/>
                <w:lang w:val="hu-HU" w:eastAsia="ko-KR"/>
              </w:rPr>
            </w:pPr>
            <w:r>
              <w:rPr>
                <w:rFonts w:eastAsia="Times New Roman"/>
                <w:b/>
                <w:bCs/>
                <w:lang w:val="hu-HU" w:eastAsia="ko-KR"/>
              </w:rPr>
              <w:t>A doboz nem tartalmazza:</w:t>
            </w:r>
          </w:p>
          <w:p w14:paraId="7FA3DFE4" w14:textId="77777777" w:rsidR="00130E8B" w:rsidRDefault="000405CC">
            <w:pPr>
              <w:pStyle w:val="a3"/>
              <w:ind w:left="720"/>
              <w:rPr>
                <w:lang w:val="hu-HU" w:eastAsia="ko-KR"/>
              </w:rPr>
            </w:pPr>
            <w:r>
              <w:rPr>
                <w:rFonts w:eastAsia="Times New Roman"/>
                <w:lang w:val="hu-HU" w:eastAsia="ko-KR"/>
              </w:rPr>
              <w:t>- Vattacsomó vagy géz</w:t>
            </w:r>
          </w:p>
          <w:p w14:paraId="4CD131A0" w14:textId="77777777" w:rsidR="00130E8B" w:rsidRDefault="000405CC">
            <w:pPr>
              <w:pStyle w:val="a3"/>
              <w:ind w:left="720"/>
              <w:rPr>
                <w:lang w:val="hu-HU" w:eastAsia="ko-KR"/>
              </w:rPr>
            </w:pPr>
            <w:r>
              <w:rPr>
                <w:rFonts w:eastAsia="Times New Roman"/>
                <w:lang w:val="hu-HU" w:eastAsia="ko-KR"/>
              </w:rPr>
              <w:t>- Ragtapasz</w:t>
            </w:r>
          </w:p>
          <w:p w14:paraId="1069B473" w14:textId="77777777" w:rsidR="00130E8B" w:rsidRDefault="000405CC">
            <w:pPr>
              <w:pStyle w:val="a3"/>
              <w:ind w:left="720"/>
              <w:rPr>
                <w:lang w:val="hu-HU" w:eastAsia="ko-KR"/>
              </w:rPr>
            </w:pPr>
            <w:r>
              <w:rPr>
                <w:rFonts w:eastAsia="Times New Roman"/>
                <w:lang w:val="hu-HU" w:eastAsia="ko-KR"/>
              </w:rPr>
              <w:t>- Éles tárgyak tárolására szolgáló tartály</w:t>
            </w:r>
          </w:p>
          <w:p w14:paraId="423C53C7" w14:textId="77777777" w:rsidR="00130E8B" w:rsidRDefault="00130E8B">
            <w:pPr>
              <w:pStyle w:val="a3"/>
              <w:ind w:leftChars="402" w:left="1659" w:hanging="775"/>
              <w:rPr>
                <w:sz w:val="26"/>
                <w:szCs w:val="26"/>
                <w:lang w:val="hu-HU"/>
              </w:rPr>
            </w:pPr>
          </w:p>
        </w:tc>
      </w:tr>
      <w:tr w:rsidR="00130E8B" w14:paraId="0FDFEAD1" w14:textId="77777777">
        <w:trPr>
          <w:trHeight w:val="5025"/>
        </w:trPr>
        <w:tc>
          <w:tcPr>
            <w:tcW w:w="9550" w:type="dxa"/>
          </w:tcPr>
          <w:p w14:paraId="4714CD25" w14:textId="4C8CF937" w:rsidR="00130E8B" w:rsidRDefault="00525F72">
            <w:pPr>
              <w:spacing w:line="260" w:lineRule="exact"/>
              <w:rPr>
                <w:sz w:val="26"/>
                <w:szCs w:val="26"/>
                <w:lang w:val="hu-HU"/>
              </w:rPr>
            </w:pPr>
            <w:r>
              <w:rPr>
                <w:noProof/>
                <w:sz w:val="26"/>
                <w:szCs w:val="26"/>
                <w:lang w:eastAsia="ko-KR"/>
              </w:rPr>
              <w:lastRenderedPageBreak/>
              <mc:AlternateContent>
                <mc:Choice Requires="wpg">
                  <w:drawing>
                    <wp:anchor distT="0" distB="0" distL="114300" distR="114300" simplePos="0" relativeHeight="251658270" behindDoc="1" locked="0" layoutInCell="1" allowOverlap="1" wp14:anchorId="7B78AB1E" wp14:editId="73EA0461">
                      <wp:simplePos x="0" y="0"/>
                      <wp:positionH relativeFrom="column">
                        <wp:posOffset>127981</wp:posOffset>
                      </wp:positionH>
                      <wp:positionV relativeFrom="paragraph">
                        <wp:posOffset>144895</wp:posOffset>
                      </wp:positionV>
                      <wp:extent cx="2029460" cy="2688313"/>
                      <wp:effectExtent l="0" t="0" r="8890" b="0"/>
                      <wp:wrapTight wrapText="bothSides">
                        <wp:wrapPolygon edited="0">
                          <wp:start x="0" y="0"/>
                          <wp:lineTo x="0" y="20054"/>
                          <wp:lineTo x="13382" y="21432"/>
                          <wp:lineTo x="21492" y="21432"/>
                          <wp:lineTo x="21492" y="0"/>
                          <wp:lineTo x="0" y="0"/>
                        </wp:wrapPolygon>
                      </wp:wrapTight>
                      <wp:docPr id="1034" name="그룹 1034"/>
                      <wp:cNvGraphicFramePr/>
                      <a:graphic xmlns:a="http://schemas.openxmlformats.org/drawingml/2006/main">
                        <a:graphicData uri="http://schemas.microsoft.com/office/word/2010/wordprocessingGroup">
                          <wpg:wgp>
                            <wpg:cNvGrpSpPr/>
                            <wpg:grpSpPr>
                              <a:xfrm>
                                <a:off x="0" y="0"/>
                                <a:ext cx="2029460" cy="2688313"/>
                                <a:chOff x="0" y="0"/>
                                <a:chExt cx="2029460" cy="2688313"/>
                              </a:xfrm>
                            </wpg:grpSpPr>
                            <wps:wsp>
                              <wps:cNvPr id="41" name="Text Box 5"/>
                              <wps:cNvSpPr txBox="1">
                                <a:spLocks noChangeArrowheads="1"/>
                              </wps:cNvSpPr>
                              <wps:spPr bwMode="auto">
                                <a:xfrm>
                                  <a:off x="1295400" y="2542310"/>
                                  <a:ext cx="720102" cy="1460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0BC3F6" w14:textId="3D75B1DA" w:rsidR="004A2986" w:rsidRDefault="004A2986">
                                    <w:pPr>
                                      <w:pStyle w:val="af0"/>
                                      <w:jc w:val="right"/>
                                      <w:rPr>
                                        <w:rFonts w:ascii="Times New Roman" w:hAnsi="Times New Roman" w:cs="Times New Roman"/>
                                        <w:noProof/>
                                        <w:spacing w:val="-1"/>
                                      </w:rPr>
                                    </w:pPr>
                                    <w:r>
                                      <w:rPr>
                                        <w:rFonts w:ascii="Times New Roman" w:hAnsi="Times New Roman" w:cs="Times New Roman"/>
                                      </w:rPr>
                                      <w:t>B</w:t>
                                    </w:r>
                                    <w:r>
                                      <w:rPr>
                                        <w:rFonts w:ascii="Times New Roman" w:eastAsia="Times New Roman" w:hAnsi="Times New Roman" w:cs="Times New Roman"/>
                                        <w:lang w:val="hu-HU"/>
                                      </w:rPr>
                                      <w:t>. ábra</w:t>
                                    </w:r>
                                  </w:p>
                                </w:txbxContent>
                              </wps:txbx>
                              <wps:bodyPr rot="0" vert="horz" wrap="square" lIns="0" tIns="0" rIns="0" bIns="0" anchor="t" anchorCtr="0" upright="1">
                                <a:spAutoFit/>
                              </wps:bodyPr>
                            </wps:wsp>
                            <pic:pic xmlns:pic="http://schemas.openxmlformats.org/drawingml/2006/picture">
                              <pic:nvPicPr>
                                <pic:cNvPr id="1032" name="그림 16"/>
                                <pic:cNvPicPr>
                                  <a:picLocks noChangeAspect="1"/>
                                </pic:cNvPicPr>
                              </pic:nvPicPr>
                              <pic:blipFill rotWithShape="1">
                                <a:blip r:embed="rId75" cstate="print">
                                  <a:extLst>
                                    <a:ext uri="{28A0092B-C50C-407E-A947-70E740481C1C}">
                                      <a14:useLocalDpi xmlns:a14="http://schemas.microsoft.com/office/drawing/2010/main" val="0"/>
                                    </a:ext>
                                  </a:extLst>
                                </a:blip>
                                <a:srcRect/>
                                <a:stretch/>
                              </pic:blipFill>
                              <pic:spPr>
                                <a:xfrm>
                                  <a:off x="0" y="0"/>
                                  <a:ext cx="2029460" cy="2491105"/>
                                </a:xfrm>
                                <a:prstGeom prst="rect">
                                  <a:avLst/>
                                </a:prstGeom>
                              </pic:spPr>
                            </pic:pic>
                          </wpg:wgp>
                        </a:graphicData>
                      </a:graphic>
                    </wp:anchor>
                  </w:drawing>
                </mc:Choice>
                <mc:Fallback>
                  <w:pict>
                    <v:group w14:anchorId="7B78AB1E" id="그룹 1034" o:spid="_x0000_s1094" style="position:absolute;margin-left:10.1pt;margin-top:11.4pt;width:159.8pt;height:211.7pt;z-index:-251658210" coordsize="20294,26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">
                      <v:shape id="Text Box 5" o:spid="_x0000_s1095" type="#_x0000_t202" style="position:absolute;left:12954;top:25423;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" stroked="f">
                        <v:textbox style="mso-fit-shape-to-text:t" inset="0,0,0,0">
                          <w:txbxContent>
                            <w:p w14:paraId="1A0BC3F6" w14:textId="3D75B1DA" w:rsidR="004A2986" w:rsidRDefault="004A2986">
                              <w:pPr>
                                <w:pStyle w:val="af0"/>
                                <w:jc w:val="right"/>
                                <w:rPr>
                                  <w:rFonts w:ascii="Times New Roman" w:hAnsi="Times New Roman" w:cs="Times New Roman"/>
                                  <w:noProof/>
                                  <w:spacing w:val="-1"/>
                                </w:rPr>
                              </w:pPr>
                              <w:r>
                                <w:rPr>
                                  <w:rFonts w:ascii="Times New Roman" w:hAnsi="Times New Roman" w:cs="Times New Roman"/>
                                </w:rPr>
                                <w:t>B</w:t>
                              </w:r>
                              <w:r>
                                <w:rPr>
                                  <w:rFonts w:ascii="Times New Roman" w:eastAsia="Times New Roman" w:hAnsi="Times New Roman" w:cs="Times New Roman"/>
                                  <w:lang w:val="hu-HU"/>
                                </w:rPr>
                                <w:t>. ábra</w:t>
                              </w:r>
                            </w:p>
                          </w:txbxContent>
                        </v:textbox>
                      </v:shape>
                      <v:shape id="그림 16" o:spid="_x0000_s1096" type="#_x0000_t75" style="position:absolute;width:20294;height:24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">
                        <v:imagedata r:id="rId76" o:title=""/>
                      </v:shape>
                      <w10:wrap type="tight"/>
                    </v:group>
                  </w:pict>
                </mc:Fallback>
              </mc:AlternateContent>
            </w:r>
          </w:p>
          <w:p w14:paraId="040ED54B" w14:textId="5D54EA32" w:rsidR="00130E8B" w:rsidRDefault="000405CC">
            <w:pPr>
              <w:pStyle w:val="a3"/>
              <w:numPr>
                <w:ilvl w:val="0"/>
                <w:numId w:val="24"/>
              </w:numPr>
              <w:rPr>
                <w:b/>
                <w:lang w:val="hu-HU"/>
              </w:rPr>
            </w:pPr>
            <w:r>
              <w:rPr>
                <w:rFonts w:eastAsia="Times New Roman"/>
                <w:b/>
                <w:bCs/>
                <w:lang w:val="hu-HU"/>
              </w:rPr>
              <w:t>Az előretöltött injekciós toll ellenőrzése</w:t>
            </w:r>
          </w:p>
          <w:p w14:paraId="48195159" w14:textId="4961740E" w:rsidR="00130E8B" w:rsidRDefault="00130E8B">
            <w:pPr>
              <w:pStyle w:val="a3"/>
              <w:numPr>
                <w:ilvl w:val="0"/>
                <w:numId w:val="0"/>
              </w:numPr>
              <w:ind w:left="471"/>
              <w:rPr>
                <w:b/>
                <w:lang w:val="hu-HU"/>
              </w:rPr>
            </w:pPr>
          </w:p>
          <w:p w14:paraId="0E529887" w14:textId="717D0EF4" w:rsidR="00130E8B" w:rsidRDefault="000405CC">
            <w:pPr>
              <w:pStyle w:val="a3"/>
              <w:numPr>
                <w:ilvl w:val="0"/>
                <w:numId w:val="0"/>
              </w:numPr>
              <w:ind w:left="3960" w:hanging="3960"/>
              <w:rPr>
                <w:lang w:val="hu-HU" w:eastAsia="ko-KR"/>
              </w:rPr>
            </w:pPr>
            <w:r>
              <w:rPr>
                <w:rFonts w:eastAsia="Times New Roman"/>
                <w:b/>
                <w:bCs/>
                <w:lang w:val="hu-HU" w:eastAsia="ko-KR"/>
              </w:rPr>
              <w:t xml:space="preserve">     a. </w:t>
            </w:r>
            <w:r>
              <w:rPr>
                <w:rFonts w:eastAsia="Times New Roman"/>
                <w:lang w:val="hu-HU" w:eastAsia="ko-KR"/>
              </w:rPr>
              <w:t>Győződjön meg arról, hogy a megfelelő gyógyszert (Yuflyma) és adagot kapta.</w:t>
            </w:r>
          </w:p>
          <w:p w14:paraId="11B23AAD" w14:textId="23E21E66" w:rsidR="00130E8B" w:rsidRDefault="000405CC">
            <w:pPr>
              <w:pStyle w:val="a3"/>
              <w:ind w:left="3960" w:hanging="3960"/>
              <w:rPr>
                <w:lang w:val="hu-HU" w:eastAsia="ko-KR"/>
              </w:rPr>
            </w:pPr>
            <w:r>
              <w:rPr>
                <w:rFonts w:eastAsia="Times New Roman"/>
                <w:b/>
                <w:bCs/>
                <w:lang w:val="hu-HU" w:eastAsia="ko-KR"/>
              </w:rPr>
              <w:t xml:space="preserve">     b. </w:t>
            </w:r>
            <w:r>
              <w:rPr>
                <w:rFonts w:eastAsia="Times New Roman"/>
                <w:lang w:val="hu-HU" w:eastAsia="ko-KR"/>
              </w:rPr>
              <w:t>Nézze meg az előretöltött tollat, és ellenőrizze, hogy nincs-e megrepedve vagy megsérülve.</w:t>
            </w:r>
          </w:p>
          <w:p w14:paraId="7D81CB32" w14:textId="35448F19" w:rsidR="00130E8B" w:rsidRDefault="00525F72">
            <w:pPr>
              <w:spacing w:line="260" w:lineRule="exact"/>
              <w:ind w:left="3960" w:hanging="3960"/>
              <w:rPr>
                <w:rFonts w:ascii="Times New Roman" w:hAnsi="Times New Roman" w:cs="Times New Roman"/>
                <w:spacing w:val="-1"/>
                <w:lang w:val="hu-HU" w:eastAsia="ko-KR"/>
              </w:rPr>
            </w:pPr>
            <w:r>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257" behindDoc="0" locked="0" layoutInCell="1" allowOverlap="1" wp14:anchorId="3B216904" wp14:editId="4A6594FE">
                      <wp:simplePos x="0" y="0"/>
                      <wp:positionH relativeFrom="column">
                        <wp:posOffset>975995</wp:posOffset>
                      </wp:positionH>
                      <wp:positionV relativeFrom="paragraph">
                        <wp:posOffset>306070</wp:posOffset>
                      </wp:positionV>
                      <wp:extent cx="939800" cy="342900"/>
                      <wp:effectExtent l="0" t="0" r="0" b="0"/>
                      <wp:wrapNone/>
                      <wp:docPr id="12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9800" cy="3429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0BD53F" w14:textId="77777777" w:rsidR="004A2986" w:rsidRPr="009167C6" w:rsidRDefault="004A2986">
                                  <w:pPr>
                                    <w:rPr>
                                      <w:rFonts w:asciiTheme="majorBidi" w:hAnsiTheme="majorBidi" w:cstheme="majorBidi"/>
                                      <w:b/>
                                      <w:bCs/>
                                      <w:sz w:val="16"/>
                                      <w:szCs w:val="16"/>
                                    </w:rPr>
                                  </w:pPr>
                                  <w:r w:rsidRPr="009167C6">
                                    <w:rPr>
                                      <w:rFonts w:ascii="Times New Roman" w:eastAsia="Times New Roman" w:hAnsi="Times New Roman" w:cs="Times New Roman"/>
                                      <w:b/>
                                      <w:bCs/>
                                      <w:sz w:val="16"/>
                                      <w:szCs w:val="16"/>
                                      <w:lang w:val="hu-HU"/>
                                    </w:rPr>
                                    <w:t xml:space="preserve">EXP.: </w:t>
                                  </w:r>
                                  <w:r w:rsidRPr="009167C6">
                                    <w:rPr>
                                      <w:rFonts w:ascii="Times New Roman" w:eastAsia="Times New Roman" w:hAnsi="Times New Roman" w:cs="Times New Roman"/>
                                      <w:sz w:val="16"/>
                                      <w:szCs w:val="16"/>
                                      <w:lang w:val="hu-HU"/>
                                    </w:rPr>
                                    <w:t>HÓNAP ÉV</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216904" id="Text Box 123" o:spid="_x0000_s1097" type="#_x0000_t202" style="position:absolute;left:0;text-align:left;margin-left:76.85pt;margin-top:24.1pt;width:74pt;height:27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" fillcolor="white [3212]" stroked="f" strokeweight=".5pt">
                      <v:textbox inset="0,0,0,0">
                        <w:txbxContent>
                          <w:p w14:paraId="7A0BD53F" w14:textId="77777777" w:rsidR="004A2986" w:rsidRPr="009167C6" w:rsidRDefault="004A2986">
                            <w:pPr>
                              <w:rPr>
                                <w:rFonts w:asciiTheme="majorBidi" w:hAnsiTheme="majorBidi" w:cstheme="majorBidi"/>
                                <w:b/>
                                <w:bCs/>
                                <w:sz w:val="16"/>
                                <w:szCs w:val="16"/>
                              </w:rPr>
                            </w:pPr>
                            <w:r w:rsidRPr="009167C6">
                              <w:rPr>
                                <w:rFonts w:ascii="Times New Roman" w:eastAsia="Times New Roman" w:hAnsi="Times New Roman" w:cs="Times New Roman"/>
                                <w:b/>
                                <w:bCs/>
                                <w:sz w:val="16"/>
                                <w:szCs w:val="16"/>
                                <w:lang w:val="hu-HU"/>
                              </w:rPr>
                              <w:t xml:space="preserve">EXP.: </w:t>
                            </w:r>
                            <w:r w:rsidRPr="009167C6">
                              <w:rPr>
                                <w:rFonts w:ascii="Times New Roman" w:eastAsia="Times New Roman" w:hAnsi="Times New Roman" w:cs="Times New Roman"/>
                                <w:sz w:val="16"/>
                                <w:szCs w:val="16"/>
                                <w:lang w:val="hu-HU"/>
                              </w:rPr>
                              <w:t>HÓNAP ÉV</w:t>
                            </w:r>
                          </w:p>
                        </w:txbxContent>
                      </v:textbox>
                    </v:shape>
                  </w:pict>
                </mc:Fallback>
              </mc:AlternateContent>
            </w:r>
            <w:r w:rsidR="000405CC">
              <w:rPr>
                <w:rFonts w:ascii="Times New Roman" w:eastAsia="Times New Roman" w:hAnsi="Times New Roman" w:cs="Times New Roman"/>
                <w:b/>
                <w:bCs/>
                <w:spacing w:val="-1"/>
                <w:lang w:val="hu-HU" w:eastAsia="ko-KR"/>
              </w:rPr>
              <w:t xml:space="preserve">     c</w:t>
            </w:r>
            <w:r w:rsidR="000405CC">
              <w:rPr>
                <w:rFonts w:ascii="Calibri" w:eastAsia="Calibri" w:hAnsi="Calibri" w:cs="Arial"/>
                <w:b/>
                <w:bCs/>
                <w:spacing w:val="-1"/>
                <w:lang w:val="hu-HU" w:eastAsia="ko-KR"/>
              </w:rPr>
              <w:t>.</w:t>
            </w:r>
            <w:r w:rsidR="000405CC">
              <w:rPr>
                <w:rFonts w:ascii="Calibri" w:eastAsia="Calibri" w:hAnsi="Calibri" w:cs="Arial"/>
                <w:spacing w:val="-1"/>
                <w:lang w:val="hu-HU" w:eastAsia="ko-KR"/>
              </w:rPr>
              <w:t xml:space="preserve"> </w:t>
            </w:r>
            <w:r w:rsidR="000405CC">
              <w:rPr>
                <w:rFonts w:ascii="Times New Roman" w:eastAsia="Times New Roman" w:hAnsi="Times New Roman" w:cs="Times New Roman"/>
                <w:spacing w:val="-1"/>
                <w:lang w:val="hu-HU" w:eastAsia="ko-KR"/>
              </w:rPr>
              <w:t>Ellenőrizze az előretöltött injekciós toll címkéjén található lejárati dátumot</w:t>
            </w:r>
            <w:r w:rsidR="00FF0B07">
              <w:rPr>
                <w:rFonts w:ascii="Times New Roman" w:eastAsia="Times New Roman" w:hAnsi="Times New Roman" w:cs="Times New Roman"/>
                <w:spacing w:val="-1"/>
                <w:lang w:val="hu-HU" w:eastAsia="ko-KR"/>
              </w:rPr>
              <w:t>.</w:t>
            </w:r>
            <w:r w:rsidR="000405CC">
              <w:rPr>
                <w:rFonts w:ascii="Times New Roman" w:eastAsia="Times New Roman" w:hAnsi="Times New Roman" w:cs="Times New Roman"/>
                <w:spacing w:val="-1"/>
                <w:lang w:val="hu-HU" w:eastAsia="ko-KR"/>
              </w:rPr>
              <w:t xml:space="preserve"> </w:t>
            </w:r>
          </w:p>
          <w:p w14:paraId="775D40E3" w14:textId="41F8AB96" w:rsidR="00130E8B" w:rsidRDefault="000405CC">
            <w:pPr>
              <w:spacing w:line="260" w:lineRule="exact"/>
              <w:rPr>
                <w:spacing w:val="-1"/>
                <w:lang w:val="hu-HU" w:eastAsia="ko-KR"/>
              </w:rPr>
            </w:pPr>
            <w:r>
              <w:rPr>
                <w:rFonts w:ascii="Times New Roman" w:eastAsia="Times New Roman" w:hAnsi="Times New Roman" w:cs="Times New Roman"/>
                <w:spacing w:val="-1"/>
                <w:lang w:val="hu-HU" w:eastAsia="ko-KR"/>
              </w:rPr>
              <w:t>.</w:t>
            </w:r>
          </w:p>
          <w:p w14:paraId="4F8F2AE4" w14:textId="77777777" w:rsidR="00130E8B" w:rsidRDefault="00130E8B">
            <w:pPr>
              <w:pStyle w:val="a3"/>
              <w:numPr>
                <w:ilvl w:val="0"/>
                <w:numId w:val="0"/>
              </w:numPr>
              <w:ind w:left="1384"/>
              <w:rPr>
                <w:lang w:val="hu-HU" w:eastAsia="ko-KR"/>
              </w:rPr>
            </w:pPr>
          </w:p>
          <w:p w14:paraId="426D525B" w14:textId="77777777" w:rsidR="00130E8B" w:rsidRDefault="00130E8B">
            <w:pPr>
              <w:pStyle w:val="a3"/>
              <w:numPr>
                <w:ilvl w:val="0"/>
                <w:numId w:val="0"/>
              </w:numPr>
              <w:ind w:left="984"/>
              <w:rPr>
                <w:b/>
                <w:lang w:val="hu-HU" w:eastAsia="ko-KR"/>
              </w:rPr>
            </w:pPr>
          </w:p>
          <w:p w14:paraId="76FD4B9D" w14:textId="77777777" w:rsidR="00130E8B" w:rsidRPr="005D79EA" w:rsidRDefault="000405CC">
            <w:pPr>
              <w:pStyle w:val="a3"/>
              <w:numPr>
                <w:ilvl w:val="0"/>
                <w:numId w:val="0"/>
              </w:numPr>
              <w:ind w:left="984"/>
              <w:rPr>
                <w:lang w:val="hu-HU" w:eastAsia="ko-KR"/>
              </w:rPr>
            </w:pPr>
            <w:r w:rsidRPr="001E2F31">
              <w:rPr>
                <w:rFonts w:eastAsia="Times New Roman"/>
                <w:bCs/>
                <w:lang w:val="hu-HU" w:eastAsia="ko-KR"/>
              </w:rPr>
              <w:t xml:space="preserve">Az előretöltött tollat </w:t>
            </w:r>
            <w:r w:rsidRPr="005D79EA">
              <w:rPr>
                <w:rFonts w:eastAsia="Times New Roman"/>
                <w:b/>
                <w:bCs/>
                <w:lang w:val="hu-HU" w:eastAsia="ko-KR"/>
              </w:rPr>
              <w:t>ne</w:t>
            </w:r>
            <w:r w:rsidRPr="001E2F31">
              <w:rPr>
                <w:rFonts w:eastAsia="Times New Roman"/>
                <w:bCs/>
                <w:lang w:val="hu-HU" w:eastAsia="ko-KR"/>
              </w:rPr>
              <w:t xml:space="preserve"> használja fel, ha:</w:t>
            </w:r>
          </w:p>
          <w:p w14:paraId="6E4ACF14" w14:textId="77777777" w:rsidR="00130E8B" w:rsidRDefault="000405CC">
            <w:pPr>
              <w:pStyle w:val="a3"/>
              <w:numPr>
                <w:ilvl w:val="0"/>
                <w:numId w:val="17"/>
              </w:numPr>
              <w:rPr>
                <w:lang w:val="hu-HU" w:eastAsia="ko-KR"/>
              </w:rPr>
            </w:pPr>
            <w:r>
              <w:rPr>
                <w:rFonts w:eastAsia="Times New Roman"/>
                <w:lang w:val="hu-HU" w:eastAsia="ko-KR"/>
              </w:rPr>
              <w:t>megrepedt vagy sérült</w:t>
            </w:r>
          </w:p>
          <w:p w14:paraId="60D06CCA" w14:textId="77777777" w:rsidR="00130E8B" w:rsidRPr="00FB6A69" w:rsidRDefault="000405CC">
            <w:pPr>
              <w:pStyle w:val="a3"/>
              <w:numPr>
                <w:ilvl w:val="0"/>
                <w:numId w:val="17"/>
              </w:numPr>
              <w:rPr>
                <w:sz w:val="26"/>
                <w:szCs w:val="26"/>
                <w:lang w:val="hu-HU"/>
              </w:rPr>
            </w:pPr>
            <w:r>
              <w:rPr>
                <w:rFonts w:eastAsia="Times New Roman"/>
                <w:lang w:val="hu-HU" w:eastAsia="ko-KR"/>
              </w:rPr>
              <w:t>a lejárati idő lejárt.</w:t>
            </w:r>
            <w:r w:rsidR="00525F72" w:rsidRPr="00525F72">
              <w:rPr>
                <w:rFonts w:asciiTheme="minorHAnsi" w:hAnsiTheme="minorHAnsi" w:cstheme="minorBidi"/>
                <w:noProof/>
                <w:lang w:eastAsia="ko-KR"/>
              </w:rPr>
              <w:t xml:space="preserve"> </w:t>
            </w:r>
          </w:p>
          <w:p w14:paraId="46F714A5" w14:textId="7100AFAF" w:rsidR="004A2083" w:rsidRDefault="004A2083">
            <w:pPr>
              <w:pStyle w:val="a3"/>
              <w:numPr>
                <w:ilvl w:val="0"/>
                <w:numId w:val="17"/>
              </w:numPr>
              <w:rPr>
                <w:sz w:val="26"/>
                <w:szCs w:val="26"/>
                <w:lang w:val="hu-HU"/>
              </w:rPr>
            </w:pPr>
            <w:proofErr w:type="spellStart"/>
            <w:r>
              <w:t>kemény</w:t>
            </w:r>
            <w:proofErr w:type="spellEnd"/>
            <w:r>
              <w:t xml:space="preserve"> </w:t>
            </w:r>
            <w:proofErr w:type="spellStart"/>
            <w:r>
              <w:t>felületre</w:t>
            </w:r>
            <w:proofErr w:type="spellEnd"/>
            <w:r>
              <w:t xml:space="preserve"> </w:t>
            </w:r>
            <w:proofErr w:type="spellStart"/>
            <w:r>
              <w:t>ejtette</w:t>
            </w:r>
            <w:proofErr w:type="spellEnd"/>
            <w:r>
              <w:t>.</w:t>
            </w:r>
          </w:p>
        </w:tc>
      </w:tr>
      <w:tr w:rsidR="00130E8B" w14:paraId="5EAEF6DD" w14:textId="77777777">
        <w:trPr>
          <w:trHeight w:val="4969"/>
        </w:trPr>
        <w:tc>
          <w:tcPr>
            <w:tcW w:w="9550" w:type="dxa"/>
          </w:tcPr>
          <w:p w14:paraId="1C40047B" w14:textId="77777777" w:rsidR="00130E8B" w:rsidRDefault="00130E8B">
            <w:pPr>
              <w:spacing w:line="260" w:lineRule="exact"/>
              <w:rPr>
                <w:rFonts w:ascii="Times New Roman" w:eastAsia="Times New Roman" w:hAnsi="Times New Roman" w:cs="Times New Roman"/>
                <w:b/>
                <w:bCs/>
                <w:spacing w:val="-1"/>
                <w:lang w:val="hu-HU"/>
              </w:rPr>
            </w:pPr>
          </w:p>
          <w:p w14:paraId="5EF8B122" w14:textId="77777777" w:rsidR="00130E8B" w:rsidRDefault="00130E8B">
            <w:pPr>
              <w:spacing w:line="260" w:lineRule="exact"/>
              <w:rPr>
                <w:sz w:val="26"/>
                <w:szCs w:val="26"/>
                <w:lang w:val="hu-HU"/>
              </w:rPr>
            </w:pPr>
          </w:p>
          <w:p w14:paraId="05B04603" w14:textId="77777777" w:rsidR="00130E8B" w:rsidRDefault="00A66FEF">
            <w:pPr>
              <w:spacing w:line="260" w:lineRule="exact"/>
              <w:rPr>
                <w:sz w:val="26"/>
                <w:szCs w:val="26"/>
                <w:lang w:val="hu-HU"/>
              </w:rPr>
            </w:pPr>
            <w:r>
              <w:rPr>
                <w:noProof/>
                <w:sz w:val="26"/>
                <w:szCs w:val="26"/>
                <w:lang w:eastAsia="ko-KR"/>
              </w:rPr>
              <mc:AlternateContent>
                <mc:Choice Requires="wpg">
                  <w:drawing>
                    <wp:anchor distT="0" distB="0" distL="114300" distR="114300" simplePos="0" relativeHeight="251658240" behindDoc="0" locked="0" layoutInCell="1" allowOverlap="1" wp14:anchorId="5AB3BF1A" wp14:editId="3611B010">
                      <wp:simplePos x="0" y="0"/>
                      <wp:positionH relativeFrom="column">
                        <wp:posOffset>67945</wp:posOffset>
                      </wp:positionH>
                      <wp:positionV relativeFrom="paragraph">
                        <wp:posOffset>19050</wp:posOffset>
                      </wp:positionV>
                      <wp:extent cx="2084705" cy="2673350"/>
                      <wp:effectExtent l="0" t="0" r="3175" b="0"/>
                      <wp:wrapSquare wrapText="bothSides"/>
                      <wp:docPr id="35" name="그룹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4705" cy="2673350"/>
                                <a:chOff x="0" y="0"/>
                                <a:chExt cx="20847" cy="26733"/>
                              </a:xfrm>
                            </wpg:grpSpPr>
                            <pic:pic xmlns:pic="http://schemas.openxmlformats.org/drawingml/2006/picture">
                              <pic:nvPicPr>
                                <pic:cNvPr id="36" name="그림 34"/>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808" cy="25311"/>
                                </a:xfrm>
                                <a:prstGeom prst="rect">
                                  <a:avLst/>
                                </a:prstGeom>
                                <a:noFill/>
                                <a:extLst>
                                  <a:ext uri="{909E8E84-426E-40DD-AFC4-6F175D3DCCD1}">
                                    <a14:hiddenFill xmlns:a14="http://schemas.microsoft.com/office/drawing/2010/main">
                                      <a:solidFill>
                                        <a:srgbClr val="FFFFFF"/>
                                      </a:solidFill>
                                    </a14:hiddenFill>
                                  </a:ext>
                                </a:extLst>
                              </pic:spPr>
                            </pic:pic>
                            <wps:wsp>
                              <wps:cNvPr id="37" name="Text Box 6"/>
                              <wps:cNvSpPr txBox="1">
                                <a:spLocks noChangeArrowheads="1"/>
                              </wps:cNvSpPr>
                              <wps:spPr bwMode="auto">
                                <a:xfrm>
                                  <a:off x="13646" y="25273"/>
                                  <a:ext cx="7201" cy="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BCCE61" w14:textId="56A54448" w:rsidR="004A2986" w:rsidRDefault="004A2986">
                                    <w:pPr>
                                      <w:pStyle w:val="af0"/>
                                      <w:jc w:val="right"/>
                                      <w:rPr>
                                        <w:rFonts w:ascii="Times New Roman" w:hAnsi="Times New Roman" w:cs="Times New Roman"/>
                                      </w:rPr>
                                    </w:pPr>
                                    <w:r>
                                      <w:rPr>
                                        <w:rFonts w:ascii="Times New Roman" w:hAnsi="Times New Roman" w:cs="Times New Roman"/>
                                      </w:rPr>
                                      <w:t>C</w:t>
                                    </w:r>
                                    <w:r>
                                      <w:rPr>
                                        <w:rFonts w:ascii="Times New Roman" w:eastAsia="Times New Roman" w:hAnsi="Times New Roman" w:cs="Times New Roman"/>
                                        <w:lang w:val="hu-HU"/>
                                      </w:rPr>
                                      <w:t>. ábra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5AB3BF1A" id="그룹 36" o:spid="_x0000_s1098" style="position:absolute;margin-left:5.35pt;margin-top:1.5pt;width:164.15pt;height:210.5pt;z-index:251658240" coordsize="20847,2673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">
                      <v:shape id="그림 34" o:spid="_x0000_s1099" type="#_x0000_t75" style="position:absolute;width:20808;height:25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">
                        <v:imagedata r:id="rId78" o:title=""/>
                      </v:shape>
                      <v:shape id="Text Box 6" o:spid="_x0000_s1100" type="#_x0000_t202" style="position:absolute;left:13646;top:25273;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" stroked="f">
                        <v:textbox style="mso-fit-shape-to-text:t" inset="0,0,0,0">
                          <w:txbxContent>
                            <w:p w14:paraId="3EBCCE61" w14:textId="56A54448" w:rsidR="004A2986" w:rsidRDefault="004A2986">
                              <w:pPr>
                                <w:pStyle w:val="af0"/>
                                <w:jc w:val="right"/>
                                <w:rPr>
                                  <w:rFonts w:ascii="Times New Roman" w:hAnsi="Times New Roman" w:cs="Times New Roman"/>
                                </w:rPr>
                              </w:pPr>
                              <w:r>
                                <w:rPr>
                                  <w:rFonts w:ascii="Times New Roman" w:hAnsi="Times New Roman" w:cs="Times New Roman"/>
                                </w:rPr>
                                <w:t>C</w:t>
                              </w:r>
                              <w:r>
                                <w:rPr>
                                  <w:rFonts w:ascii="Times New Roman" w:eastAsia="Times New Roman" w:hAnsi="Times New Roman" w:cs="Times New Roman"/>
                                  <w:lang w:val="hu-HU"/>
                                </w:rPr>
                                <w:t>. ábra</w:t>
                              </w:r>
                            </w:p>
                          </w:txbxContent>
                        </v:textbox>
                      </v:shape>
                      <w10:wrap type="square"/>
                    </v:group>
                  </w:pict>
                </mc:Fallback>
              </mc:AlternateContent>
            </w:r>
          </w:p>
          <w:p w14:paraId="567AA0B4" w14:textId="77777777" w:rsidR="00130E8B" w:rsidRDefault="000405CC">
            <w:pPr>
              <w:pStyle w:val="a3"/>
              <w:numPr>
                <w:ilvl w:val="0"/>
                <w:numId w:val="24"/>
              </w:numPr>
              <w:rPr>
                <w:b/>
                <w:lang w:val="hu-HU"/>
              </w:rPr>
            </w:pPr>
            <w:r>
              <w:rPr>
                <w:rFonts w:eastAsia="Times New Roman"/>
                <w:b/>
                <w:bCs/>
                <w:spacing w:val="-1"/>
                <w:lang w:val="hu-HU"/>
              </w:rPr>
              <w:t>Vizsgálja meg a gyógyszert</w:t>
            </w:r>
          </w:p>
          <w:p w14:paraId="3973FB66" w14:textId="77777777" w:rsidR="00130E8B" w:rsidRDefault="00130E8B">
            <w:pPr>
              <w:spacing w:line="260" w:lineRule="exact"/>
              <w:rPr>
                <w:sz w:val="26"/>
                <w:szCs w:val="26"/>
                <w:lang w:val="hu-HU"/>
              </w:rPr>
            </w:pPr>
          </w:p>
          <w:p w14:paraId="31804203" w14:textId="583D480B" w:rsidR="00130E8B" w:rsidRDefault="000405CC">
            <w:pPr>
              <w:pStyle w:val="a3"/>
              <w:numPr>
                <w:ilvl w:val="0"/>
                <w:numId w:val="0"/>
              </w:numPr>
              <w:ind w:left="4050" w:hanging="4050"/>
              <w:rPr>
                <w:lang w:val="hu-HU"/>
              </w:rPr>
            </w:pPr>
            <w:r>
              <w:rPr>
                <w:rFonts w:eastAsia="Times New Roman"/>
                <w:b/>
                <w:bCs/>
                <w:lang w:val="hu-HU"/>
              </w:rPr>
              <w:t xml:space="preserve">     a. </w:t>
            </w:r>
            <w:r>
              <w:rPr>
                <w:rFonts w:eastAsia="Times New Roman"/>
                <w:lang w:val="hu-HU"/>
              </w:rPr>
              <w:t xml:space="preserve">Nézzen át a </w:t>
            </w:r>
            <w:r w:rsidR="00C321A3">
              <w:rPr>
                <w:rFonts w:eastAsia="Times New Roman"/>
                <w:lang w:val="hu-HU"/>
              </w:rPr>
              <w:t xml:space="preserve">kijelző </w:t>
            </w:r>
            <w:r>
              <w:rPr>
                <w:rFonts w:eastAsia="Times New Roman"/>
                <w:lang w:val="hu-HU"/>
              </w:rPr>
              <w:t>ablakon, és győződjön meg arról, hogy a folyadék tiszta, színtelen vagy halványbarna, részecskéktől mentes.</w:t>
            </w:r>
          </w:p>
          <w:p w14:paraId="20712B48" w14:textId="77777777" w:rsidR="00130E8B" w:rsidRDefault="00130E8B">
            <w:pPr>
              <w:pStyle w:val="a3"/>
              <w:rPr>
                <w:lang w:val="hu-HU"/>
              </w:rPr>
            </w:pPr>
          </w:p>
          <w:p w14:paraId="309639DB" w14:textId="77777777" w:rsidR="00130E8B" w:rsidRDefault="000405CC">
            <w:pPr>
              <w:pStyle w:val="a3"/>
              <w:numPr>
                <w:ilvl w:val="0"/>
                <w:numId w:val="39"/>
              </w:numPr>
              <w:ind w:left="4230" w:hanging="3870"/>
              <w:rPr>
                <w:lang w:val="hu-HU"/>
              </w:rPr>
            </w:pPr>
            <w:r>
              <w:rPr>
                <w:rFonts w:eastAsia="Times New Roman"/>
                <w:b/>
                <w:bCs/>
                <w:lang w:val="hu-HU"/>
              </w:rPr>
              <w:t>Ne</w:t>
            </w:r>
            <w:r>
              <w:rPr>
                <w:rFonts w:eastAsia="Times New Roman"/>
                <w:lang w:val="hu-HU"/>
              </w:rPr>
              <w:t xml:space="preserve"> használja az előretöltött fecskendőt, ha a folyadék elszíneződött (sárga vagy sötétbarna), zavaros vagy részecskéket tartalmaz.</w:t>
            </w:r>
          </w:p>
          <w:p w14:paraId="0E365217" w14:textId="77777777" w:rsidR="00130E8B" w:rsidRDefault="00130E8B">
            <w:pPr>
              <w:pStyle w:val="a3"/>
              <w:numPr>
                <w:ilvl w:val="0"/>
                <w:numId w:val="0"/>
              </w:numPr>
              <w:ind w:firstLineChars="350" w:firstLine="770"/>
              <w:rPr>
                <w:lang w:val="hu-HU"/>
              </w:rPr>
            </w:pPr>
          </w:p>
          <w:p w14:paraId="54F7F36D" w14:textId="77777777" w:rsidR="00130E8B" w:rsidRDefault="000405CC" w:rsidP="001E2F31">
            <w:pPr>
              <w:pStyle w:val="a3"/>
              <w:numPr>
                <w:ilvl w:val="0"/>
                <w:numId w:val="16"/>
              </w:numPr>
              <w:ind w:left="4235" w:hanging="3878"/>
              <w:rPr>
                <w:sz w:val="26"/>
                <w:szCs w:val="26"/>
                <w:lang w:val="hu-HU"/>
              </w:rPr>
            </w:pPr>
            <w:r>
              <w:rPr>
                <w:rFonts w:eastAsia="Times New Roman"/>
                <w:lang w:val="hu-HU"/>
              </w:rPr>
              <w:t>Előfordulhat, hogy légbuborékokat lát a folyadékban. Ez normális jelenség.</w:t>
            </w:r>
          </w:p>
          <w:p w14:paraId="474289D8" w14:textId="77777777" w:rsidR="00130E8B" w:rsidRDefault="00130E8B">
            <w:pPr>
              <w:pStyle w:val="a3"/>
              <w:rPr>
                <w:lang w:val="hu-HU"/>
              </w:rPr>
            </w:pPr>
          </w:p>
        </w:tc>
      </w:tr>
    </w:tbl>
    <w:p w14:paraId="79415C7D" w14:textId="31CB8F8A" w:rsidR="00130E8B" w:rsidRDefault="00130E8B">
      <w:pPr>
        <w:spacing w:line="260" w:lineRule="exact"/>
        <w:rPr>
          <w:sz w:val="26"/>
          <w:szCs w:val="26"/>
          <w:lang w:val="hu-HU"/>
        </w:rPr>
      </w:pPr>
    </w:p>
    <w:p w14:paraId="5B86304E" w14:textId="77777777" w:rsidR="00130E8B" w:rsidRDefault="00130E8B">
      <w:pPr>
        <w:spacing w:line="260" w:lineRule="exact"/>
        <w:rPr>
          <w:sz w:val="26"/>
          <w:szCs w:val="26"/>
          <w:lang w:val="hu-HU"/>
        </w:rPr>
      </w:pPr>
    </w:p>
    <w:p w14:paraId="45F7F4C8" w14:textId="77777777" w:rsidR="00130E8B" w:rsidRDefault="00130E8B">
      <w:pPr>
        <w:spacing w:line="260" w:lineRule="exact"/>
        <w:rPr>
          <w:sz w:val="26"/>
          <w:szCs w:val="26"/>
          <w:lang w:val="hu-HU"/>
        </w:rPr>
      </w:pPr>
    </w:p>
    <w:p w14:paraId="54766B54" w14:textId="77777777" w:rsidR="00130E8B" w:rsidRDefault="00130E8B">
      <w:pPr>
        <w:rPr>
          <w:lang w:val="hu-HU"/>
        </w:rPr>
      </w:pPr>
    </w:p>
    <w:tbl>
      <w:tblPr>
        <w:tblStyle w:val="ac"/>
        <w:tblW w:w="0" w:type="auto"/>
        <w:tblLook w:val="04A0" w:firstRow="1" w:lastRow="0" w:firstColumn="1" w:lastColumn="0" w:noHBand="0" w:noVBand="1"/>
      </w:tblPr>
      <w:tblGrid>
        <w:gridCol w:w="9550"/>
      </w:tblGrid>
      <w:tr w:rsidR="00130E8B" w:rsidRPr="00BE4D18" w14:paraId="30630C4D" w14:textId="77777777">
        <w:trPr>
          <w:trHeight w:val="5238"/>
        </w:trPr>
        <w:tc>
          <w:tcPr>
            <w:tcW w:w="9550" w:type="dxa"/>
          </w:tcPr>
          <w:p w14:paraId="5E006B14" w14:textId="0BC84EF0" w:rsidR="00130E8B" w:rsidRDefault="00130E8B">
            <w:pPr>
              <w:spacing w:line="260" w:lineRule="exact"/>
              <w:rPr>
                <w:rFonts w:ascii="Times New Roman" w:eastAsia="Times New Roman" w:hAnsi="Times New Roman" w:cs="Times New Roman"/>
                <w:b/>
                <w:bCs/>
                <w:spacing w:val="-1"/>
                <w:lang w:val="hu-HU"/>
              </w:rPr>
            </w:pPr>
          </w:p>
          <w:p w14:paraId="5118B7E1" w14:textId="187757DE" w:rsidR="00130E8B" w:rsidRDefault="00525F72">
            <w:pPr>
              <w:spacing w:line="260" w:lineRule="exact"/>
              <w:rPr>
                <w:rFonts w:ascii="Times New Roman" w:eastAsia="Times New Roman" w:hAnsi="Times New Roman" w:cs="Times New Roman"/>
                <w:b/>
                <w:bCs/>
                <w:lang w:val="hu-HU"/>
              </w:rPr>
            </w:pPr>
            <w:r>
              <w:rPr>
                <w:rFonts w:ascii="Times New Roman" w:eastAsia="Times New Roman" w:hAnsi="Times New Roman" w:cs="Times New Roman"/>
                <w:b/>
                <w:bCs/>
                <w:noProof/>
                <w:lang w:eastAsia="ko-KR"/>
              </w:rPr>
              <mc:AlternateContent>
                <mc:Choice Requires="wpg">
                  <w:drawing>
                    <wp:anchor distT="0" distB="0" distL="114300" distR="114300" simplePos="0" relativeHeight="251658271" behindDoc="1" locked="0" layoutInCell="1" allowOverlap="1" wp14:anchorId="6968B810" wp14:editId="5F9C1CD8">
                      <wp:simplePos x="0" y="0"/>
                      <wp:positionH relativeFrom="column">
                        <wp:posOffset>76412</wp:posOffset>
                      </wp:positionH>
                      <wp:positionV relativeFrom="paragraph">
                        <wp:posOffset>162983</wp:posOffset>
                      </wp:positionV>
                      <wp:extent cx="2134051" cy="2770670"/>
                      <wp:effectExtent l="0" t="0" r="0" b="0"/>
                      <wp:wrapTight wrapText="bothSides">
                        <wp:wrapPolygon edited="0">
                          <wp:start x="0" y="0"/>
                          <wp:lineTo x="0" y="20496"/>
                          <wp:lineTo x="13886" y="21387"/>
                          <wp:lineTo x="21407" y="21387"/>
                          <wp:lineTo x="21407" y="0"/>
                          <wp:lineTo x="0" y="0"/>
                        </wp:wrapPolygon>
                      </wp:wrapTight>
                      <wp:docPr id="1037" name="그룹 1037"/>
                      <wp:cNvGraphicFramePr/>
                      <a:graphic xmlns:a="http://schemas.openxmlformats.org/drawingml/2006/main">
                        <a:graphicData uri="http://schemas.microsoft.com/office/word/2010/wordprocessingGroup">
                          <wpg:wgp>
                            <wpg:cNvGrpSpPr/>
                            <wpg:grpSpPr>
                              <a:xfrm>
                                <a:off x="0" y="0"/>
                                <a:ext cx="2134051" cy="2770670"/>
                                <a:chOff x="0" y="0"/>
                                <a:chExt cx="2134051" cy="2770670"/>
                              </a:xfrm>
                            </wpg:grpSpPr>
                            <wps:wsp>
                              <wps:cNvPr id="34" name="Text Box 7"/>
                              <wps:cNvSpPr txBox="1">
                                <a:spLocks noChangeArrowheads="1"/>
                              </wps:cNvSpPr>
                              <wps:spPr bwMode="auto">
                                <a:xfrm>
                                  <a:off x="1413933" y="2624667"/>
                                  <a:ext cx="720118" cy="1460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9B1F57" w14:textId="6510D018" w:rsidR="004A2986" w:rsidRDefault="004A2986">
                                    <w:pPr>
                                      <w:pStyle w:val="af0"/>
                                      <w:jc w:val="right"/>
                                      <w:rPr>
                                        <w:rFonts w:ascii="Times New Roman" w:hAnsi="Times New Roman" w:cs="Times New Roman"/>
                                        <w:szCs w:val="22"/>
                                      </w:rPr>
                                    </w:pPr>
                                    <w:r>
                                      <w:rPr>
                                        <w:rFonts w:ascii="Times New Roman" w:hAnsi="Times New Roman" w:cs="Times New Roman"/>
                                      </w:rPr>
                                      <w:t>D</w:t>
                                    </w:r>
                                    <w:r>
                                      <w:rPr>
                                        <w:rFonts w:ascii="Times New Roman" w:eastAsia="Times New Roman" w:hAnsi="Times New Roman" w:cs="Times New Roman"/>
                                        <w:lang w:val="hu-HU"/>
                                      </w:rPr>
                                      <w:t>. ábra</w:t>
                                    </w:r>
                                  </w:p>
                                </w:txbxContent>
                              </wps:txbx>
                              <wps:bodyPr rot="0" vert="horz" wrap="square" lIns="0" tIns="0" rIns="0" bIns="0" anchor="t" anchorCtr="0" upright="1">
                                <a:spAutoFit/>
                              </wps:bodyPr>
                            </wps:wsp>
                            <pic:pic xmlns:pic="http://schemas.openxmlformats.org/drawingml/2006/picture">
                              <pic:nvPicPr>
                                <pic:cNvPr id="1035" name="그림 17"/>
                                <pic:cNvPicPr>
                                  <a:picLocks noChangeAspect="1"/>
                                </pic:cNvPicPr>
                              </pic:nvPicPr>
                              <pic:blipFill rotWithShape="1">
                                <a:blip r:embed="rId79" cstate="print">
                                  <a:extLst>
                                    <a:ext uri="{28A0092B-C50C-407E-A947-70E740481C1C}">
                                      <a14:useLocalDpi xmlns:a14="http://schemas.microsoft.com/office/drawing/2010/main" val="0"/>
                                    </a:ext>
                                  </a:extLst>
                                </a:blip>
                                <a:srcRect/>
                                <a:stretch/>
                              </pic:blipFill>
                              <pic:spPr>
                                <a:xfrm>
                                  <a:off x="0" y="0"/>
                                  <a:ext cx="2129155" cy="2627630"/>
                                </a:xfrm>
                                <a:prstGeom prst="rect">
                                  <a:avLst/>
                                </a:prstGeom>
                              </pic:spPr>
                            </pic:pic>
                          </wpg:wgp>
                        </a:graphicData>
                      </a:graphic>
                    </wp:anchor>
                  </w:drawing>
                </mc:Choice>
                <mc:Fallback>
                  <w:pict>
                    <v:group w14:anchorId="6968B810" id="그룹 1037" o:spid="_x0000_s1101" style="position:absolute;margin-left:6pt;margin-top:12.85pt;width:168.05pt;height:218.15pt;z-index:-251658209" coordsize="21340,27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">
                      <v:shape id="Text Box 7" o:spid="_x0000_s1102" type="#_x0000_t202" style="position:absolute;left:14139;top:26246;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" stroked="f">
                        <v:textbox style="mso-fit-shape-to-text:t" inset="0,0,0,0">
                          <w:txbxContent>
                            <w:p w14:paraId="5D9B1F57" w14:textId="6510D018" w:rsidR="004A2986" w:rsidRDefault="004A2986">
                              <w:pPr>
                                <w:pStyle w:val="af0"/>
                                <w:jc w:val="right"/>
                                <w:rPr>
                                  <w:rFonts w:ascii="Times New Roman" w:hAnsi="Times New Roman" w:cs="Times New Roman"/>
                                  <w:szCs w:val="22"/>
                                </w:rPr>
                              </w:pPr>
                              <w:r>
                                <w:rPr>
                                  <w:rFonts w:ascii="Times New Roman" w:hAnsi="Times New Roman" w:cs="Times New Roman"/>
                                </w:rPr>
                                <w:t>D</w:t>
                              </w:r>
                              <w:r>
                                <w:rPr>
                                  <w:rFonts w:ascii="Times New Roman" w:eastAsia="Times New Roman" w:hAnsi="Times New Roman" w:cs="Times New Roman"/>
                                  <w:lang w:val="hu-HU"/>
                                </w:rPr>
                                <w:t>. ábra</w:t>
                              </w:r>
                            </w:p>
                          </w:txbxContent>
                        </v:textbox>
                      </v:shape>
                      <v:shape id="그림 17" o:spid="_x0000_s1103" type="#_x0000_t75" style="position:absolute;width:21291;height:26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">
                        <v:imagedata r:id="rId80" o:title=""/>
                      </v:shape>
                      <w10:wrap type="tight"/>
                    </v:group>
                  </w:pict>
                </mc:Fallback>
              </mc:AlternateContent>
            </w:r>
          </w:p>
          <w:p w14:paraId="3C5315DE" w14:textId="2FD3DC2D" w:rsidR="00130E8B" w:rsidRDefault="00130E8B">
            <w:pPr>
              <w:spacing w:line="260" w:lineRule="exact"/>
              <w:rPr>
                <w:rFonts w:ascii="Times New Roman" w:eastAsia="Times New Roman" w:hAnsi="Times New Roman" w:cs="Times New Roman"/>
                <w:b/>
                <w:bCs/>
                <w:lang w:val="hu-HU"/>
              </w:rPr>
            </w:pPr>
          </w:p>
          <w:p w14:paraId="5A7ACB66" w14:textId="47CC0E40" w:rsidR="00130E8B" w:rsidRDefault="00130E8B">
            <w:pPr>
              <w:spacing w:line="260" w:lineRule="exact"/>
              <w:rPr>
                <w:rFonts w:ascii="Times New Roman" w:eastAsia="Times New Roman" w:hAnsi="Times New Roman" w:cs="Times New Roman"/>
                <w:b/>
                <w:bCs/>
                <w:lang w:val="hu-HU"/>
              </w:rPr>
            </w:pPr>
          </w:p>
          <w:p w14:paraId="33D9FB85" w14:textId="06CDEE9E" w:rsidR="00130E8B" w:rsidRDefault="000405CC">
            <w:pPr>
              <w:pStyle w:val="a3"/>
              <w:numPr>
                <w:ilvl w:val="0"/>
                <w:numId w:val="24"/>
              </w:numPr>
              <w:rPr>
                <w:b/>
                <w:lang w:val="hu-HU"/>
              </w:rPr>
            </w:pPr>
            <w:r>
              <w:rPr>
                <w:rFonts w:eastAsia="Times New Roman"/>
                <w:b/>
                <w:bCs/>
                <w:lang w:val="hu-HU"/>
              </w:rPr>
              <w:t xml:space="preserve">Várjon 15-30 percet </w:t>
            </w:r>
          </w:p>
          <w:p w14:paraId="4C92F3A2" w14:textId="77777777" w:rsidR="00130E8B" w:rsidRDefault="000405CC">
            <w:pPr>
              <w:pStyle w:val="Default"/>
              <w:rPr>
                <w:lang w:val="hu-HU"/>
              </w:rPr>
            </w:pPr>
            <w:r>
              <w:rPr>
                <w:lang w:val="hu-HU"/>
              </w:rPr>
              <w:t xml:space="preserve"> </w:t>
            </w:r>
          </w:p>
          <w:p w14:paraId="3C997148" w14:textId="61A2FC3B" w:rsidR="00130E8B" w:rsidRDefault="000405CC" w:rsidP="00FD05AA">
            <w:pPr>
              <w:pStyle w:val="a3"/>
              <w:numPr>
                <w:ilvl w:val="0"/>
                <w:numId w:val="44"/>
              </w:numPr>
              <w:ind w:left="4410" w:hanging="4095"/>
              <w:rPr>
                <w:lang w:val="hu-HU"/>
              </w:rPr>
            </w:pPr>
            <w:r>
              <w:rPr>
                <w:rFonts w:eastAsia="Times New Roman"/>
                <w:lang w:val="hu-HU"/>
              </w:rPr>
              <w:t xml:space="preserve">Hagyja az előretöltött fecskendőt szobahőmérsékleten </w:t>
            </w:r>
            <w:r w:rsidR="000C6F40">
              <w:rPr>
                <w:rFonts w:eastAsia="Times New Roman"/>
                <w:lang w:val="hu-HU"/>
              </w:rPr>
              <w:t xml:space="preserve">felmelegedni </w:t>
            </w:r>
            <w:r>
              <w:rPr>
                <w:rFonts w:eastAsia="Times New Roman"/>
                <w:lang w:val="hu-HU"/>
              </w:rPr>
              <w:t>15-30 percig</w:t>
            </w:r>
          </w:p>
          <w:p w14:paraId="659BB26B" w14:textId="77777777" w:rsidR="00130E8B" w:rsidRDefault="00130E8B">
            <w:pPr>
              <w:pStyle w:val="Default"/>
              <w:rPr>
                <w:color w:val="211D1E"/>
                <w:sz w:val="20"/>
                <w:szCs w:val="20"/>
                <w:lang w:val="hu-HU"/>
              </w:rPr>
            </w:pPr>
          </w:p>
          <w:p w14:paraId="211895DB" w14:textId="62BA9D0F" w:rsidR="00130E8B" w:rsidRDefault="00130E8B">
            <w:pPr>
              <w:pStyle w:val="a3"/>
              <w:numPr>
                <w:ilvl w:val="0"/>
                <w:numId w:val="0"/>
              </w:numPr>
              <w:ind w:left="911"/>
              <w:rPr>
                <w:b/>
                <w:lang w:val="hu-HU"/>
              </w:rPr>
            </w:pPr>
          </w:p>
          <w:p w14:paraId="4739A403" w14:textId="2B1FF9A8" w:rsidR="00130E8B" w:rsidRDefault="000405CC">
            <w:pPr>
              <w:pStyle w:val="a3"/>
              <w:numPr>
                <w:ilvl w:val="0"/>
                <w:numId w:val="16"/>
              </w:numPr>
              <w:ind w:left="5040" w:hanging="4056"/>
              <w:rPr>
                <w:lang w:val="hu-HU"/>
              </w:rPr>
            </w:pPr>
            <w:r>
              <w:rPr>
                <w:rFonts w:eastAsia="Times New Roman"/>
                <w:b/>
                <w:bCs/>
                <w:lang w:val="hu-HU"/>
              </w:rPr>
              <w:t xml:space="preserve">Ne </w:t>
            </w:r>
            <w:r>
              <w:rPr>
                <w:rFonts w:eastAsia="Times New Roman"/>
                <w:lang w:val="hu-HU"/>
              </w:rPr>
              <w:t xml:space="preserve">melegítse az előretöltött injekciós tollat </w:t>
            </w:r>
            <w:r w:rsidR="001E4DAB">
              <w:rPr>
                <w:rFonts w:eastAsia="Times New Roman"/>
                <w:lang w:val="hu-HU"/>
              </w:rPr>
              <w:t xml:space="preserve">más </w:t>
            </w:r>
            <w:r>
              <w:rPr>
                <w:rFonts w:eastAsia="Times New Roman"/>
                <w:lang w:val="hu-HU"/>
              </w:rPr>
              <w:t>hőforrás</w:t>
            </w:r>
            <w:r w:rsidR="000C6F40">
              <w:rPr>
                <w:rFonts w:eastAsia="Times New Roman"/>
                <w:lang w:val="hu-HU"/>
              </w:rPr>
              <w:t xml:space="preserve"> </w:t>
            </w:r>
            <w:r w:rsidR="003B2A1D">
              <w:rPr>
                <w:rFonts w:eastAsia="Times New Roman"/>
                <w:lang w:val="hu-HU"/>
              </w:rPr>
              <w:t>alkalmazásával</w:t>
            </w:r>
            <w:r>
              <w:rPr>
                <w:rFonts w:eastAsia="Times New Roman"/>
                <w:lang w:val="hu-HU"/>
              </w:rPr>
              <w:t>, például forró víz vagy mikrohullámú sütő alkalmazásával.</w:t>
            </w:r>
          </w:p>
          <w:p w14:paraId="0955DC70" w14:textId="77777777" w:rsidR="00130E8B" w:rsidRDefault="00130E8B">
            <w:pPr>
              <w:pStyle w:val="a3"/>
              <w:numPr>
                <w:ilvl w:val="0"/>
                <w:numId w:val="0"/>
              </w:numPr>
              <w:ind w:left="1384" w:firstLineChars="300" w:firstLine="660"/>
              <w:rPr>
                <w:lang w:val="hu-HU"/>
              </w:rPr>
            </w:pPr>
          </w:p>
          <w:p w14:paraId="3DF663E5" w14:textId="3F0D87CE" w:rsidR="00130E8B" w:rsidRDefault="00130E8B">
            <w:pPr>
              <w:pStyle w:val="a3"/>
              <w:rPr>
                <w:lang w:val="hu-HU"/>
              </w:rPr>
            </w:pPr>
          </w:p>
        </w:tc>
      </w:tr>
      <w:tr w:rsidR="00130E8B" w:rsidRPr="00BE4D18" w14:paraId="52DB4593" w14:textId="77777777">
        <w:trPr>
          <w:trHeight w:val="5025"/>
        </w:trPr>
        <w:tc>
          <w:tcPr>
            <w:tcW w:w="9550" w:type="dxa"/>
          </w:tcPr>
          <w:p w14:paraId="62DBC415" w14:textId="0BFABD0C" w:rsidR="00130E8B" w:rsidRDefault="00130E8B">
            <w:pPr>
              <w:spacing w:line="260" w:lineRule="exact"/>
              <w:rPr>
                <w:rFonts w:ascii="Times New Roman" w:eastAsia="Times New Roman" w:hAnsi="Times New Roman" w:cs="Times New Roman"/>
                <w:b/>
                <w:bCs/>
                <w:spacing w:val="-1"/>
                <w:lang w:val="hu-HU"/>
              </w:rPr>
            </w:pPr>
          </w:p>
          <w:p w14:paraId="23FE38DD" w14:textId="017297E1" w:rsidR="00130E8B" w:rsidRDefault="005D79EA">
            <w:pPr>
              <w:pStyle w:val="a3"/>
              <w:rPr>
                <w:lang w:val="hu-HU"/>
              </w:rPr>
            </w:pPr>
            <w:r>
              <w:rPr>
                <w:rFonts w:eastAsia="Times New Roman"/>
                <w:noProof/>
                <w:spacing w:val="-1"/>
                <w:lang w:eastAsia="ko-KR"/>
              </w:rPr>
              <mc:AlternateContent>
                <mc:Choice Requires="wpg">
                  <w:drawing>
                    <wp:anchor distT="0" distB="0" distL="114300" distR="114300" simplePos="0" relativeHeight="251658277" behindDoc="1" locked="0" layoutInCell="1" allowOverlap="1" wp14:anchorId="5B38ACC7" wp14:editId="1846FEF9">
                      <wp:simplePos x="0" y="0"/>
                      <wp:positionH relativeFrom="column">
                        <wp:posOffset>-6985</wp:posOffset>
                      </wp:positionH>
                      <wp:positionV relativeFrom="paragraph">
                        <wp:posOffset>83185</wp:posOffset>
                      </wp:positionV>
                      <wp:extent cx="2097958" cy="3720573"/>
                      <wp:effectExtent l="0" t="0" r="0" b="0"/>
                      <wp:wrapTight wrapText="bothSides">
                        <wp:wrapPolygon edited="0">
                          <wp:start x="0" y="0"/>
                          <wp:lineTo x="0" y="20571"/>
                          <wp:lineTo x="13733" y="21235"/>
                          <wp:lineTo x="13733" y="21456"/>
                          <wp:lineTo x="21384" y="21456"/>
                          <wp:lineTo x="21384" y="0"/>
                          <wp:lineTo x="0" y="0"/>
                        </wp:wrapPolygon>
                      </wp:wrapTight>
                      <wp:docPr id="1029" name="그룹 1029"/>
                      <wp:cNvGraphicFramePr/>
                      <a:graphic xmlns:a="http://schemas.openxmlformats.org/drawingml/2006/main">
                        <a:graphicData uri="http://schemas.microsoft.com/office/word/2010/wordprocessingGroup">
                          <wpg:wgp>
                            <wpg:cNvGrpSpPr/>
                            <wpg:grpSpPr>
                              <a:xfrm>
                                <a:off x="0" y="0"/>
                                <a:ext cx="2097958" cy="3720573"/>
                                <a:chOff x="0" y="0"/>
                                <a:chExt cx="2097958" cy="3720573"/>
                              </a:xfrm>
                            </wpg:grpSpPr>
                            <wps:wsp>
                              <wps:cNvPr id="1042" name="Text Box 72"/>
                              <wps:cNvSpPr txBox="1">
                                <a:spLocks noChangeArrowheads="1"/>
                              </wps:cNvSpPr>
                              <wps:spPr bwMode="auto">
                                <a:xfrm>
                                  <a:off x="1378527" y="3574473"/>
                                  <a:ext cx="719431" cy="146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6D74B0" w14:textId="19943944" w:rsidR="004A2986" w:rsidRDefault="004A2986" w:rsidP="005D79EA">
                                    <w:pPr>
                                      <w:pStyle w:val="af0"/>
                                      <w:jc w:val="right"/>
                                      <w:rPr>
                                        <w:rFonts w:ascii="Times New Roman" w:hAnsi="Times New Roman" w:cs="Times New Roman"/>
                                        <w:noProof/>
                                        <w:spacing w:val="-1"/>
                                      </w:rPr>
                                    </w:pPr>
                                    <w:r>
                                      <w:rPr>
                                        <w:rFonts w:ascii="Times New Roman" w:eastAsia="Times New Roman" w:hAnsi="Times New Roman" w:cs="Times New Roman"/>
                                        <w:lang w:val="hu-HU"/>
                                      </w:rPr>
                                      <w:t>E.</w:t>
                                    </w:r>
                                    <w:r w:rsidRPr="004B23C8">
                                      <w:rPr>
                                        <w:rFonts w:ascii="Times New Roman" w:eastAsia="Times New Roman" w:hAnsi="Times New Roman" w:cs="Times New Roman"/>
                                        <w:lang w:val="hu-HU"/>
                                      </w:rPr>
                                      <w:t xml:space="preserve"> </w:t>
                                    </w:r>
                                    <w:r w:rsidRPr="004B23C8">
                                      <w:rPr>
                                        <w:rFonts w:ascii="Times New Roman" w:eastAsia="Times New Roman" w:hAnsi="Times New Roman" w:cs="Times New Roman"/>
                                        <w:lang w:val="hu-HU"/>
                                      </w:rPr>
                                      <w:t>ábra</w:t>
                                    </w:r>
                                  </w:p>
                                </w:txbxContent>
                              </wps:txbx>
                              <wps:bodyPr rot="0" vert="horz" wrap="square" lIns="0" tIns="0" rIns="0" bIns="0" anchor="t" anchorCtr="0" upright="1">
                                <a:spAutoFit/>
                              </wps:bodyPr>
                            </wps:wsp>
                            <pic:pic xmlns:pic="http://schemas.openxmlformats.org/drawingml/2006/picture">
                              <pic:nvPicPr>
                                <pic:cNvPr id="1043" name="그림 13"/>
                                <pic:cNvPicPr>
                                  <a:picLocks noChangeAspect="1"/>
                                </pic:cNvPicPr>
                              </pic:nvPicPr>
                              <pic:blipFill rotWithShape="1">
                                <a:blip r:embed="rId57" cstate="print">
                                  <a:extLst>
                                    <a:ext uri="{28A0092B-C50C-407E-A947-70E740481C1C}">
                                      <a14:useLocalDpi xmlns:a14="http://schemas.microsoft.com/office/drawing/2010/main" val="0"/>
                                    </a:ext>
                                  </a:extLst>
                                </a:blip>
                                <a:srcRect/>
                                <a:stretch/>
                              </pic:blipFill>
                              <pic:spPr>
                                <a:xfrm>
                                  <a:off x="0" y="0"/>
                                  <a:ext cx="2096770" cy="3538220"/>
                                </a:xfrm>
                                <a:prstGeom prst="rect">
                                  <a:avLst/>
                                </a:prstGeom>
                              </pic:spPr>
                            </pic:pic>
                          </wpg:wgp>
                        </a:graphicData>
                      </a:graphic>
                    </wp:anchor>
                  </w:drawing>
                </mc:Choice>
                <mc:Fallback>
                  <w:pict>
                    <v:group w14:anchorId="5B38ACC7" id="그룹 1029" o:spid="_x0000_s1104" style="position:absolute;margin-left:-.55pt;margin-top:6.55pt;width:165.2pt;height:292.95pt;z-index:-251658203" coordsize="20979,37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">
                      <v:shape id="Text Box 72" o:spid="_x0000_s1105" type="#_x0000_t202" style="position:absolute;left:13785;top:35744;width:719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" stroked="f">
                        <v:textbox style="mso-fit-shape-to-text:t" inset="0,0,0,0">
                          <w:txbxContent>
                            <w:p w14:paraId="686D74B0" w14:textId="19943944" w:rsidR="004A2986" w:rsidRDefault="004A2986" w:rsidP="005D79EA">
                              <w:pPr>
                                <w:pStyle w:val="af0"/>
                                <w:jc w:val="right"/>
                                <w:rPr>
                                  <w:rFonts w:ascii="Times New Roman" w:hAnsi="Times New Roman" w:cs="Times New Roman"/>
                                  <w:noProof/>
                                  <w:spacing w:val="-1"/>
                                </w:rPr>
                              </w:pPr>
                              <w:r>
                                <w:rPr>
                                  <w:rFonts w:ascii="Times New Roman" w:eastAsia="Times New Roman" w:hAnsi="Times New Roman" w:cs="Times New Roman"/>
                                  <w:lang w:val="hu-HU"/>
                                </w:rPr>
                                <w:t>E.</w:t>
                              </w:r>
                              <w:r w:rsidRPr="004B23C8">
                                <w:rPr>
                                  <w:rFonts w:ascii="Times New Roman" w:eastAsia="Times New Roman" w:hAnsi="Times New Roman" w:cs="Times New Roman"/>
                                  <w:lang w:val="hu-HU"/>
                                </w:rPr>
                                <w:t xml:space="preserve"> </w:t>
                              </w:r>
                              <w:r w:rsidRPr="004B23C8">
                                <w:rPr>
                                  <w:rFonts w:ascii="Times New Roman" w:eastAsia="Times New Roman" w:hAnsi="Times New Roman" w:cs="Times New Roman"/>
                                  <w:lang w:val="hu-HU"/>
                                </w:rPr>
                                <w:t>ábra</w:t>
                              </w:r>
                            </w:p>
                          </w:txbxContent>
                        </v:textbox>
                      </v:shape>
                      <v:shape id="그림 13" o:spid="_x0000_s1106" type="#_x0000_t75" style="position:absolute;width:20967;height:35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">
                        <v:imagedata r:id="rId58" o:title=""/>
                      </v:shape>
                      <w10:wrap type="tight"/>
                    </v:group>
                  </w:pict>
                </mc:Fallback>
              </mc:AlternateContent>
            </w:r>
          </w:p>
          <w:p w14:paraId="6AD84AF4" w14:textId="77777777" w:rsidR="00130E8B" w:rsidRDefault="000405CC">
            <w:pPr>
              <w:pStyle w:val="a3"/>
              <w:numPr>
                <w:ilvl w:val="0"/>
                <w:numId w:val="24"/>
              </w:numPr>
              <w:rPr>
                <w:b/>
                <w:lang w:val="hu-HU"/>
              </w:rPr>
            </w:pPr>
            <w:r>
              <w:rPr>
                <w:rFonts w:eastAsia="Times New Roman"/>
                <w:b/>
                <w:bCs/>
                <w:lang w:val="hu-HU"/>
              </w:rPr>
              <w:t>Válassza ki a megfelelő injekció beadási helyet</w:t>
            </w:r>
          </w:p>
          <w:p w14:paraId="06C05639" w14:textId="77777777" w:rsidR="00130E8B" w:rsidRDefault="00130E8B">
            <w:pPr>
              <w:pStyle w:val="a3"/>
              <w:rPr>
                <w:lang w:val="hu-HU"/>
              </w:rPr>
            </w:pPr>
          </w:p>
          <w:p w14:paraId="1BB88B9F" w14:textId="77777777" w:rsidR="00130E8B" w:rsidRDefault="000405CC">
            <w:pPr>
              <w:pStyle w:val="a3"/>
              <w:rPr>
                <w:lang w:val="hu-HU"/>
              </w:rPr>
            </w:pPr>
            <w:r>
              <w:rPr>
                <w:rFonts w:eastAsia="Times New Roman"/>
                <w:b/>
                <w:bCs/>
                <w:lang w:val="hu-HU"/>
              </w:rPr>
              <w:t xml:space="preserve">      a. </w:t>
            </w:r>
            <w:r w:rsidRPr="001E2F31">
              <w:rPr>
                <w:rFonts w:eastAsia="Times New Roman"/>
                <w:bCs/>
                <w:lang w:val="hu-HU"/>
              </w:rPr>
              <w:t>B</w:t>
            </w:r>
            <w:r>
              <w:rPr>
                <w:rFonts w:eastAsia="Times New Roman"/>
                <w:lang w:val="hu-HU"/>
              </w:rPr>
              <w:t>eadhatja az injekciót:</w:t>
            </w:r>
          </w:p>
          <w:p w14:paraId="11D10E1C" w14:textId="77777777" w:rsidR="00130E8B" w:rsidRDefault="000405CC" w:rsidP="001E2F31">
            <w:pPr>
              <w:pStyle w:val="a3"/>
              <w:ind w:firstLineChars="250" w:firstLine="550"/>
              <w:rPr>
                <w:lang w:val="hu-HU"/>
              </w:rPr>
            </w:pPr>
            <w:r>
              <w:rPr>
                <w:rFonts w:eastAsia="Times New Roman"/>
                <w:lang w:val="hu-HU"/>
              </w:rPr>
              <w:t>- a comb elülső részébe.</w:t>
            </w:r>
          </w:p>
          <w:p w14:paraId="1C16F641" w14:textId="77777777" w:rsidR="00130E8B" w:rsidRDefault="000405CC" w:rsidP="001E2F31">
            <w:pPr>
              <w:pStyle w:val="a3"/>
              <w:ind w:firstLineChars="250" w:firstLine="550"/>
              <w:rPr>
                <w:lang w:val="hu-HU"/>
              </w:rPr>
            </w:pPr>
            <w:r>
              <w:rPr>
                <w:rFonts w:eastAsia="Times New Roman"/>
                <w:lang w:val="hu-HU"/>
              </w:rPr>
              <w:t>- a hasába, kivéve a köldök körüli 5 cm-es területet.</w:t>
            </w:r>
          </w:p>
          <w:p w14:paraId="331D2D58" w14:textId="77777777" w:rsidR="003F7B9D" w:rsidRDefault="000405CC" w:rsidP="001E2F31">
            <w:pPr>
              <w:pStyle w:val="a3"/>
              <w:ind w:firstLineChars="250" w:firstLine="550"/>
              <w:rPr>
                <w:rFonts w:eastAsia="Times New Roman"/>
                <w:lang w:val="hu-HU"/>
              </w:rPr>
            </w:pPr>
            <w:r>
              <w:rPr>
                <w:rFonts w:eastAsia="Times New Roman"/>
                <w:lang w:val="hu-HU"/>
              </w:rPr>
              <w:t xml:space="preserve">- a felkar külső részébe (KIZÁRÓLAG akkor, ha </w:t>
            </w:r>
            <w:r w:rsidR="0044419B">
              <w:rPr>
                <w:rFonts w:eastAsia="Times New Roman"/>
                <w:lang w:val="hu-HU"/>
              </w:rPr>
              <w:t xml:space="preserve">Ön </w:t>
            </w:r>
          </w:p>
          <w:p w14:paraId="37F1EA4A" w14:textId="5B85B27C" w:rsidR="000C6F40" w:rsidRDefault="0044419B" w:rsidP="001E2F31">
            <w:pPr>
              <w:pStyle w:val="a3"/>
              <w:ind w:firstLineChars="300" w:firstLine="660"/>
              <w:rPr>
                <w:lang w:val="hu-HU"/>
              </w:rPr>
            </w:pPr>
            <w:r>
              <w:rPr>
                <w:rFonts w:eastAsia="Times New Roman"/>
                <w:lang w:val="hu-HU"/>
              </w:rPr>
              <w:t>gondozó</w:t>
            </w:r>
            <w:r w:rsidR="00FF0B07">
              <w:rPr>
                <w:rFonts w:eastAsia="Times New Roman"/>
                <w:lang w:val="hu-HU"/>
              </w:rPr>
              <w:t>.</w:t>
            </w:r>
          </w:p>
          <w:p w14:paraId="56B5E815" w14:textId="77777777" w:rsidR="000C6F40" w:rsidRDefault="000C6F40" w:rsidP="000C6F40">
            <w:pPr>
              <w:pStyle w:val="a3"/>
              <w:rPr>
                <w:lang w:val="hu-HU"/>
              </w:rPr>
            </w:pPr>
          </w:p>
          <w:p w14:paraId="48DAF8A7" w14:textId="77777777" w:rsidR="00130E8B" w:rsidRDefault="00130E8B">
            <w:pPr>
              <w:pStyle w:val="a3"/>
              <w:rPr>
                <w:lang w:val="hu-HU"/>
              </w:rPr>
            </w:pPr>
          </w:p>
          <w:p w14:paraId="1382046C" w14:textId="43837C9C" w:rsidR="00130E8B" w:rsidRDefault="000405CC">
            <w:pPr>
              <w:pStyle w:val="a3"/>
              <w:numPr>
                <w:ilvl w:val="0"/>
                <w:numId w:val="17"/>
              </w:numPr>
              <w:ind w:left="3600" w:hanging="3089"/>
              <w:rPr>
                <w:lang w:val="hu-HU"/>
              </w:rPr>
            </w:pPr>
            <w:r>
              <w:rPr>
                <w:rFonts w:eastAsia="Times New Roman"/>
                <w:b/>
                <w:bCs/>
                <w:lang w:val="hu-HU"/>
              </w:rPr>
              <w:t>Ne</w:t>
            </w:r>
            <w:r>
              <w:rPr>
                <w:rFonts w:eastAsia="Times New Roman"/>
                <w:lang w:val="hu-HU"/>
              </w:rPr>
              <w:t xml:space="preserve"> adja be az injekciót olyan bőr</w:t>
            </w:r>
            <w:r w:rsidR="000C6F40">
              <w:rPr>
                <w:rFonts w:eastAsia="Times New Roman"/>
                <w:lang w:val="hu-HU"/>
              </w:rPr>
              <w:t>területbe</w:t>
            </w:r>
            <w:r>
              <w:rPr>
                <w:rFonts w:eastAsia="Times New Roman"/>
                <w:lang w:val="hu-HU"/>
              </w:rPr>
              <w:t xml:space="preserve">, amely </w:t>
            </w:r>
            <w:r w:rsidR="00126FD7">
              <w:rPr>
                <w:rFonts w:eastAsia="Times New Roman"/>
                <w:lang w:val="hu-HU"/>
              </w:rPr>
              <w:t>kevese</w:t>
            </w:r>
            <w:r w:rsidR="003439FC">
              <w:rPr>
                <w:rFonts w:eastAsia="Times New Roman"/>
                <w:lang w:val="hu-HU"/>
              </w:rPr>
              <w:t xml:space="preserve">bb mint </w:t>
            </w:r>
            <w:r>
              <w:rPr>
                <w:rFonts w:eastAsia="Times New Roman"/>
                <w:lang w:val="hu-HU"/>
              </w:rPr>
              <w:t xml:space="preserve">5 cm-re </w:t>
            </w:r>
            <w:r w:rsidR="003439FC">
              <w:rPr>
                <w:rFonts w:eastAsia="Times New Roman"/>
                <w:lang w:val="hu-HU"/>
              </w:rPr>
              <w:t xml:space="preserve">található </w:t>
            </w:r>
            <w:r>
              <w:rPr>
                <w:rFonts w:eastAsia="Times New Roman"/>
                <w:lang w:val="hu-HU"/>
              </w:rPr>
              <w:t>a köldöktől vagy bepirosodott, kemény, érzékeny, sérült, véraláfutásos vagy heges.</w:t>
            </w:r>
          </w:p>
          <w:p w14:paraId="7DF07055" w14:textId="77777777" w:rsidR="00130E8B" w:rsidRDefault="000405CC">
            <w:pPr>
              <w:pStyle w:val="a3"/>
              <w:numPr>
                <w:ilvl w:val="0"/>
                <w:numId w:val="17"/>
              </w:numPr>
              <w:ind w:left="3600" w:hanging="3089"/>
              <w:rPr>
                <w:lang w:val="hu-HU"/>
              </w:rPr>
            </w:pPr>
            <w:r>
              <w:rPr>
                <w:rFonts w:eastAsia="Times New Roman"/>
                <w:lang w:val="hu-HU"/>
              </w:rPr>
              <w:t>Ha pikkelysömörben szenved, ne adja be közvetlenül az injekciót kiemelkedő, megvastagodott, piros vagy pikkelyesen hámló foltok, illetve bőrelváltozások területén.</w:t>
            </w:r>
          </w:p>
          <w:p w14:paraId="0C126990" w14:textId="77777777" w:rsidR="00130E8B" w:rsidRDefault="000405CC">
            <w:pPr>
              <w:pStyle w:val="a3"/>
              <w:numPr>
                <w:ilvl w:val="0"/>
                <w:numId w:val="17"/>
              </w:numPr>
              <w:ind w:left="3600" w:hanging="3089"/>
              <w:rPr>
                <w:lang w:val="hu-HU"/>
              </w:rPr>
            </w:pPr>
            <w:r>
              <w:rPr>
                <w:rFonts w:eastAsia="Times New Roman"/>
                <w:b/>
                <w:bCs/>
                <w:lang w:val="hu-HU"/>
              </w:rPr>
              <w:t>Ne</w:t>
            </w:r>
            <w:r>
              <w:rPr>
                <w:rFonts w:eastAsia="Times New Roman"/>
                <w:lang w:val="hu-HU"/>
              </w:rPr>
              <w:t xml:space="preserve"> ruhán keresztül adja be az injekciót</w:t>
            </w:r>
          </w:p>
          <w:p w14:paraId="39687661" w14:textId="77777777" w:rsidR="00130E8B" w:rsidRDefault="00130E8B">
            <w:pPr>
              <w:pStyle w:val="a3"/>
              <w:rPr>
                <w:lang w:val="hu-HU"/>
              </w:rPr>
            </w:pPr>
          </w:p>
          <w:p w14:paraId="7792427F" w14:textId="265045EA" w:rsidR="00130E8B" w:rsidRDefault="000405CC" w:rsidP="001E2F31">
            <w:pPr>
              <w:pStyle w:val="a3"/>
              <w:ind w:left="3969" w:hanging="3969"/>
              <w:rPr>
                <w:lang w:val="hu-HU"/>
              </w:rPr>
            </w:pPr>
            <w:r>
              <w:rPr>
                <w:rFonts w:eastAsia="Times New Roman"/>
                <w:b/>
                <w:bCs/>
                <w:lang w:val="hu-HU"/>
              </w:rPr>
              <w:t xml:space="preserve">     b. </w:t>
            </w:r>
            <w:r w:rsidRPr="001E2F31">
              <w:rPr>
                <w:rFonts w:eastAsia="Times New Roman"/>
                <w:bCs/>
                <w:lang w:val="hu-HU"/>
              </w:rPr>
              <w:t>M</w:t>
            </w:r>
            <w:r w:rsidRPr="005D79EA">
              <w:rPr>
                <w:rFonts w:eastAsia="Times New Roman"/>
                <w:lang w:val="hu-HU"/>
              </w:rPr>
              <w:t>i</w:t>
            </w:r>
            <w:r>
              <w:rPr>
                <w:rFonts w:eastAsia="Times New Roman"/>
                <w:lang w:val="hu-HU"/>
              </w:rPr>
              <w:t>nden alkalommal, amikor injekciót ad be, váltogassa az injekció beadásának helyét. Minden új injekció beadási helynek legalább 3 cm-re kell lennie az előzőleg használt injekció beadási helytől.</w:t>
            </w:r>
          </w:p>
          <w:p w14:paraId="54F8D8C3" w14:textId="77777777" w:rsidR="00130E8B" w:rsidRDefault="00130E8B">
            <w:pPr>
              <w:pStyle w:val="a3"/>
              <w:rPr>
                <w:sz w:val="26"/>
                <w:szCs w:val="26"/>
                <w:lang w:val="hu-HU" w:eastAsia="ko-KR"/>
              </w:rPr>
            </w:pPr>
          </w:p>
          <w:p w14:paraId="410E0B7B" w14:textId="28E7857D" w:rsidR="005D79EA" w:rsidRDefault="005D79EA">
            <w:pPr>
              <w:pStyle w:val="a3"/>
              <w:rPr>
                <w:sz w:val="26"/>
                <w:szCs w:val="26"/>
                <w:lang w:val="hu-HU" w:eastAsia="ko-KR"/>
              </w:rPr>
            </w:pPr>
          </w:p>
        </w:tc>
      </w:tr>
    </w:tbl>
    <w:p w14:paraId="4108F4B7" w14:textId="77777777" w:rsidR="00130E8B" w:rsidRDefault="00130E8B">
      <w:pPr>
        <w:ind w:left="224" w:right="1248"/>
        <w:rPr>
          <w:rFonts w:ascii="Times New Roman" w:eastAsia="Times New Roman" w:hAnsi="Times New Roman" w:cs="Times New Roman"/>
          <w:b/>
          <w:bCs/>
          <w:lang w:val="hu-HU"/>
        </w:rPr>
      </w:pPr>
    </w:p>
    <w:p w14:paraId="0FA0E1EE" w14:textId="77777777" w:rsidR="00130E8B" w:rsidRDefault="00130E8B">
      <w:pPr>
        <w:ind w:left="224" w:right="1248"/>
        <w:rPr>
          <w:rFonts w:ascii="Times New Roman" w:eastAsia="Times New Roman" w:hAnsi="Times New Roman" w:cs="Times New Roman"/>
          <w:b/>
          <w:bCs/>
          <w:lang w:val="hu-HU"/>
        </w:rPr>
      </w:pPr>
    </w:p>
    <w:p w14:paraId="2A082BF2" w14:textId="77777777" w:rsidR="00130E8B" w:rsidRDefault="00130E8B">
      <w:pPr>
        <w:ind w:left="224" w:right="1248"/>
        <w:rPr>
          <w:rFonts w:ascii="Times New Roman" w:eastAsia="Times New Roman" w:hAnsi="Times New Roman" w:cs="Times New Roman"/>
          <w:b/>
          <w:bCs/>
          <w:lang w:val="hu-HU"/>
        </w:rPr>
      </w:pPr>
    </w:p>
    <w:tbl>
      <w:tblPr>
        <w:tblStyle w:val="ac"/>
        <w:tblW w:w="0" w:type="auto"/>
        <w:tblLook w:val="04A0" w:firstRow="1" w:lastRow="0" w:firstColumn="1" w:lastColumn="0" w:noHBand="0" w:noVBand="1"/>
      </w:tblPr>
      <w:tblGrid>
        <w:gridCol w:w="9581"/>
      </w:tblGrid>
      <w:tr w:rsidR="00130E8B" w:rsidRPr="00BE4D18" w14:paraId="3BADF978" w14:textId="77777777">
        <w:trPr>
          <w:trHeight w:val="5805"/>
        </w:trPr>
        <w:tc>
          <w:tcPr>
            <w:tcW w:w="9581" w:type="dxa"/>
          </w:tcPr>
          <w:p w14:paraId="168ABD81" w14:textId="77777777" w:rsidR="00130E8B" w:rsidRDefault="00130E8B">
            <w:pPr>
              <w:pStyle w:val="1"/>
              <w:spacing w:before="76"/>
              <w:ind w:left="0" w:right="2736"/>
              <w:rPr>
                <w:rFonts w:eastAsiaTheme="minorEastAsia"/>
                <w:lang w:val="hu-HU" w:eastAsia="ko-KR"/>
              </w:rPr>
            </w:pPr>
          </w:p>
          <w:p w14:paraId="6394C87D" w14:textId="77777777" w:rsidR="00130E8B" w:rsidRDefault="00A66FEF">
            <w:pPr>
              <w:pStyle w:val="1"/>
              <w:spacing w:before="76"/>
              <w:ind w:left="0" w:right="2736"/>
              <w:rPr>
                <w:rFonts w:eastAsiaTheme="minorEastAsia"/>
                <w:lang w:val="hu-HU" w:eastAsia="ko-KR"/>
              </w:rPr>
            </w:pPr>
            <w:r>
              <w:rPr>
                <w:rFonts w:eastAsiaTheme="minorEastAsia"/>
                <w:noProof/>
                <w:lang w:eastAsia="ko-KR"/>
              </w:rPr>
              <mc:AlternateContent>
                <mc:Choice Requires="wpg">
                  <w:drawing>
                    <wp:anchor distT="0" distB="0" distL="114300" distR="114300" simplePos="0" relativeHeight="251658241" behindDoc="0" locked="0" layoutInCell="1" allowOverlap="1" wp14:anchorId="1D6DDC66" wp14:editId="520D33E6">
                      <wp:simplePos x="0" y="0"/>
                      <wp:positionH relativeFrom="column">
                        <wp:posOffset>-20955</wp:posOffset>
                      </wp:positionH>
                      <wp:positionV relativeFrom="paragraph">
                        <wp:posOffset>121285</wp:posOffset>
                      </wp:positionV>
                      <wp:extent cx="2264410" cy="2974975"/>
                      <wp:effectExtent l="0" t="0" r="2540" b="0"/>
                      <wp:wrapSquare wrapText="bothSides"/>
                      <wp:docPr id="24" name="그룹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4410" cy="2974975"/>
                                <a:chOff x="0" y="0"/>
                                <a:chExt cx="24085" cy="31224"/>
                              </a:xfrm>
                            </wpg:grpSpPr>
                            <pic:pic xmlns:pic="http://schemas.openxmlformats.org/drawingml/2006/picture">
                              <pic:nvPicPr>
                                <pic:cNvPr id="25" name="그림 165"/>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079" cy="29514"/>
                                </a:xfrm>
                                <a:prstGeom prst="rect">
                                  <a:avLst/>
                                </a:prstGeom>
                                <a:noFill/>
                                <a:extLst>
                                  <a:ext uri="{909E8E84-426E-40DD-AFC4-6F175D3DCCD1}">
                                    <a14:hiddenFill xmlns:a14="http://schemas.microsoft.com/office/drawing/2010/main">
                                      <a:solidFill>
                                        <a:srgbClr val="FFFFFF"/>
                                      </a:solidFill>
                                    </a14:hiddenFill>
                                  </a:ext>
                                </a:extLst>
                              </pic:spPr>
                            </pic:pic>
                            <wps:wsp>
                              <wps:cNvPr id="26" name="Text Box 9"/>
                              <wps:cNvSpPr txBox="1">
                                <a:spLocks noChangeArrowheads="1"/>
                              </wps:cNvSpPr>
                              <wps:spPr bwMode="auto">
                                <a:xfrm>
                                  <a:off x="16884" y="29764"/>
                                  <a:ext cx="7201" cy="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1C2812" w14:textId="0DE5FDD6" w:rsidR="004A2986" w:rsidRDefault="004A2986">
                                    <w:pPr>
                                      <w:pStyle w:val="af0"/>
                                      <w:jc w:val="right"/>
                                      <w:rPr>
                                        <w:rFonts w:cs="Times New Roman"/>
                                        <w:noProof/>
                                      </w:rPr>
                                    </w:pPr>
                                    <w:r>
                                      <w:rPr>
                                        <w:rFonts w:ascii="Times New Roman" w:hAnsi="Times New Roman" w:cs="Times New Roman"/>
                                      </w:rPr>
                                      <w:t xml:space="preserve">F. </w:t>
                                    </w:r>
                                    <w:r>
                                      <w:rPr>
                                        <w:rFonts w:ascii="Times New Roman" w:eastAsia="Times New Roman" w:hAnsi="Times New Roman" w:cs="Times New Roman"/>
                                        <w:lang w:val="hu-HU"/>
                                      </w:rPr>
                                      <w:t>Ábra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6DDC66" id="그룹 30" o:spid="_x0000_s1107" style="position:absolute;margin-left:-1.65pt;margin-top:9.55pt;width:178.3pt;height:234.25pt;z-index:251658241" coordsize="24085,312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icyVu6kcEeDMAADPRj&#10;IIvHmRxf9PMFtsSWMAADLQayeJzJW7qRwR4MwAAM9GMgi8eZHF/08wW2xJYwAAMtBrJ4nMlbupHB&#10;HgzAAA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">
                      <v:shape id="그림 165" o:spid="_x0000_s1108"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">
                        <v:imagedata r:id="rId37" o:title=""/>
                      </v:shape>
                      <v:shape id="Text Box 9" o:spid="_x0000_s1109" type="#_x0000_t202" style="position:absolute;left:16884;top:29764;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" stroked="f">
                        <v:textbox inset="0,0,0,0">
                          <w:txbxContent>
                            <w:p w14:paraId="501C2812" w14:textId="0DE5FDD6" w:rsidR="004A2986" w:rsidRDefault="004A2986">
                              <w:pPr>
                                <w:pStyle w:val="af0"/>
                                <w:jc w:val="right"/>
                                <w:rPr>
                                  <w:rFonts w:cs="Times New Roman"/>
                                  <w:noProof/>
                                </w:rPr>
                              </w:pPr>
                              <w:r>
                                <w:rPr>
                                  <w:rFonts w:ascii="Times New Roman" w:hAnsi="Times New Roman" w:cs="Times New Roman"/>
                                </w:rPr>
                                <w:t xml:space="preserve">F. </w:t>
                              </w:r>
                              <w:r>
                                <w:rPr>
                                  <w:rFonts w:ascii="Times New Roman" w:eastAsia="Times New Roman" w:hAnsi="Times New Roman" w:cs="Times New Roman"/>
                                  <w:lang w:val="hu-HU"/>
                                </w:rPr>
                                <w:t>Ábra</w:t>
                              </w:r>
                            </w:p>
                          </w:txbxContent>
                        </v:textbox>
                      </v:shape>
                      <w10:wrap type="square"/>
                    </v:group>
                  </w:pict>
                </mc:Fallback>
              </mc:AlternateContent>
            </w:r>
          </w:p>
          <w:p w14:paraId="5DDC6050" w14:textId="77777777" w:rsidR="00130E8B" w:rsidRDefault="000405CC">
            <w:pPr>
              <w:pStyle w:val="a3"/>
              <w:numPr>
                <w:ilvl w:val="0"/>
                <w:numId w:val="24"/>
              </w:numPr>
              <w:rPr>
                <w:b/>
                <w:lang w:val="hu-HU"/>
              </w:rPr>
            </w:pPr>
            <w:r>
              <w:rPr>
                <w:rFonts w:eastAsia="Times New Roman"/>
                <w:b/>
                <w:bCs/>
                <w:lang w:val="hu-HU"/>
              </w:rPr>
              <w:t>Mosson kezet</w:t>
            </w:r>
          </w:p>
          <w:p w14:paraId="6A67D565" w14:textId="77777777" w:rsidR="00130E8B" w:rsidRDefault="00130E8B">
            <w:pPr>
              <w:pStyle w:val="a3"/>
              <w:rPr>
                <w:b/>
                <w:lang w:val="hu-HU"/>
              </w:rPr>
            </w:pPr>
          </w:p>
          <w:p w14:paraId="43D0C8A3" w14:textId="5918B991" w:rsidR="00130E8B" w:rsidRDefault="000C6F40" w:rsidP="00FD05AA">
            <w:pPr>
              <w:pStyle w:val="a3"/>
              <w:numPr>
                <w:ilvl w:val="0"/>
                <w:numId w:val="43"/>
              </w:numPr>
              <w:ind w:left="4590" w:hanging="4275"/>
              <w:rPr>
                <w:lang w:val="hu-HU" w:eastAsia="ko-KR"/>
              </w:rPr>
            </w:pPr>
            <w:r w:rsidRPr="005D79EA">
              <w:rPr>
                <w:lang w:val="hu-HU"/>
              </w:rPr>
              <w:t>Alaposan mossa meg a kezét szappannal és vízzel és szárítsa meg</w:t>
            </w:r>
            <w:r w:rsidRPr="005D79EA">
              <w:rPr>
                <w:rFonts w:eastAsia="Times New Roman"/>
                <w:lang w:val="hu-HU"/>
              </w:rPr>
              <w:t>.</w:t>
            </w:r>
          </w:p>
        </w:tc>
      </w:tr>
      <w:tr w:rsidR="00130E8B" w:rsidRPr="00BE4D18" w14:paraId="3E6E7022" w14:textId="77777777">
        <w:trPr>
          <w:trHeight w:val="5201"/>
        </w:trPr>
        <w:tc>
          <w:tcPr>
            <w:tcW w:w="9581" w:type="dxa"/>
          </w:tcPr>
          <w:p w14:paraId="1C484BC9" w14:textId="77777777" w:rsidR="00130E8B" w:rsidRDefault="00130E8B">
            <w:pPr>
              <w:ind w:left="104"/>
              <w:rPr>
                <w:rFonts w:ascii="Times New Roman" w:eastAsia="Times New Roman" w:hAnsi="Times New Roman" w:cs="Times New Roman"/>
                <w:b/>
                <w:bCs/>
                <w:spacing w:val="-1"/>
                <w:lang w:val="hu-HU"/>
              </w:rPr>
            </w:pPr>
          </w:p>
          <w:p w14:paraId="1C9013AC" w14:textId="646EE8B1" w:rsidR="00130E8B" w:rsidRDefault="005D79EA">
            <w:pPr>
              <w:pStyle w:val="a3"/>
              <w:numPr>
                <w:ilvl w:val="0"/>
                <w:numId w:val="24"/>
              </w:numPr>
              <w:rPr>
                <w:lang w:val="hu-HU"/>
              </w:rPr>
            </w:pPr>
            <w:r>
              <w:rPr>
                <w:rFonts w:asciiTheme="majorBidi" w:hAnsiTheme="majorBidi" w:cstheme="majorBidi"/>
                <w:b/>
                <w:noProof/>
                <w:highlight w:val="lightGray"/>
                <w:lang w:eastAsia="ko-KR"/>
              </w:rPr>
              <mc:AlternateContent>
                <mc:Choice Requires="wpg">
                  <w:drawing>
                    <wp:anchor distT="0" distB="0" distL="114300" distR="114300" simplePos="0" relativeHeight="251658278" behindDoc="0" locked="0" layoutInCell="1" allowOverlap="1" wp14:anchorId="11E908E2" wp14:editId="4FA6F55E">
                      <wp:simplePos x="0" y="0"/>
                      <wp:positionH relativeFrom="column">
                        <wp:posOffset>-6350</wp:posOffset>
                      </wp:positionH>
                      <wp:positionV relativeFrom="paragraph">
                        <wp:posOffset>26717</wp:posOffset>
                      </wp:positionV>
                      <wp:extent cx="2256155" cy="2901950"/>
                      <wp:effectExtent l="0" t="0" r="3175" b="3175"/>
                      <wp:wrapSquare wrapText="bothSides"/>
                      <wp:docPr id="1044" name="그룹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6155" cy="2901950"/>
                                <a:chOff x="0" y="0"/>
                                <a:chExt cx="22564" cy="29019"/>
                              </a:xfrm>
                            </wpg:grpSpPr>
                            <pic:pic xmlns:pic="http://schemas.openxmlformats.org/drawingml/2006/picture">
                              <pic:nvPicPr>
                                <pic:cNvPr id="1050" name="그림 4012"/>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555" cy="27647"/>
                                </a:xfrm>
                                <a:prstGeom prst="rect">
                                  <a:avLst/>
                                </a:prstGeom>
                                <a:noFill/>
                                <a:extLst>
                                  <a:ext uri="{909E8E84-426E-40DD-AFC4-6F175D3DCCD1}">
                                    <a14:hiddenFill xmlns:a14="http://schemas.microsoft.com/office/drawing/2010/main">
                                      <a:solidFill>
                                        <a:srgbClr val="FFFFFF"/>
                                      </a:solidFill>
                                    </a14:hiddenFill>
                                  </a:ext>
                                </a:extLst>
                              </pic:spPr>
                            </pic:pic>
                            <wps:wsp>
                              <wps:cNvPr id="1054" name="Text Box 78"/>
                              <wps:cNvSpPr txBox="1">
                                <a:spLocks noChangeArrowheads="1"/>
                              </wps:cNvSpPr>
                              <wps:spPr bwMode="auto">
                                <a:xfrm>
                                  <a:off x="15367" y="27559"/>
                                  <a:ext cx="7197" cy="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E9695D" w14:textId="71C2156C" w:rsidR="004A2986" w:rsidRDefault="004A2986" w:rsidP="005D79EA">
                                    <w:pPr>
                                      <w:pStyle w:val="af0"/>
                                      <w:jc w:val="right"/>
                                      <w:rPr>
                                        <w:rFonts w:ascii="Times New Roman" w:hAnsi="Times New Roman" w:cs="Times New Roman"/>
                                        <w:noProof/>
                                        <w:spacing w:val="-1"/>
                                      </w:rPr>
                                    </w:pPr>
                                    <w:r>
                                      <w:rPr>
                                        <w:rFonts w:ascii="Times New Roman" w:eastAsia="Times New Roman" w:hAnsi="Times New Roman" w:cs="Times New Roman"/>
                                        <w:lang w:val="hu-HU"/>
                                      </w:rPr>
                                      <w:t>G</w:t>
                                    </w:r>
                                    <w:r w:rsidRPr="004B23C8">
                                      <w:rPr>
                                        <w:rFonts w:ascii="Times New Roman" w:eastAsia="Times New Roman" w:hAnsi="Times New Roman" w:cs="Times New Roman"/>
                                        <w:lang w:val="hu-HU"/>
                                      </w:rPr>
                                      <w:t xml:space="preserve">. </w:t>
                                    </w:r>
                                    <w:r w:rsidRPr="004B23C8">
                                      <w:rPr>
                                        <w:rFonts w:ascii="Times New Roman" w:eastAsia="Times New Roman" w:hAnsi="Times New Roman" w:cs="Times New Roman"/>
                                        <w:lang w:val="hu-HU"/>
                                      </w:rPr>
                                      <w:t>ábra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11E908E2" id="_x0000_s1110" style="position:absolute;left:0;text-align:left;margin-left:-.5pt;margin-top:2.1pt;width:177.65pt;height:228.5pt;z-index:251658278" coordsize="22564,290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">
                      <v:shape id="그림 4012" o:spid="_x0000_s1111"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">
                        <v:imagedata r:id="rId39" o:title=""/>
                      </v:shape>
                      <v:shape id="_x0000_s1112" type="#_x0000_t202" style="position:absolute;left:15367;top:27559;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" stroked="f">
                        <v:textbox style="mso-fit-shape-to-text:t" inset="0,0,0,0">
                          <w:txbxContent>
                            <w:p w14:paraId="6EE9695D" w14:textId="71C2156C" w:rsidR="004A2986" w:rsidRDefault="004A2986" w:rsidP="005D79EA">
                              <w:pPr>
                                <w:pStyle w:val="af0"/>
                                <w:jc w:val="right"/>
                                <w:rPr>
                                  <w:rFonts w:ascii="Times New Roman" w:hAnsi="Times New Roman" w:cs="Times New Roman"/>
                                  <w:noProof/>
                                  <w:spacing w:val="-1"/>
                                </w:rPr>
                              </w:pPr>
                              <w:r>
                                <w:rPr>
                                  <w:rFonts w:ascii="Times New Roman" w:eastAsia="Times New Roman" w:hAnsi="Times New Roman" w:cs="Times New Roman"/>
                                  <w:lang w:val="hu-HU"/>
                                </w:rPr>
                                <w:t>G</w:t>
                              </w:r>
                              <w:r w:rsidRPr="004B23C8">
                                <w:rPr>
                                  <w:rFonts w:ascii="Times New Roman" w:eastAsia="Times New Roman" w:hAnsi="Times New Roman" w:cs="Times New Roman"/>
                                  <w:lang w:val="hu-HU"/>
                                </w:rPr>
                                <w:t xml:space="preserve">. </w:t>
                              </w:r>
                              <w:r w:rsidRPr="004B23C8">
                                <w:rPr>
                                  <w:rFonts w:ascii="Times New Roman" w:eastAsia="Times New Roman" w:hAnsi="Times New Roman" w:cs="Times New Roman"/>
                                  <w:lang w:val="hu-HU"/>
                                </w:rPr>
                                <w:t>ábra</w:t>
                              </w:r>
                            </w:p>
                          </w:txbxContent>
                        </v:textbox>
                      </v:shape>
                      <w10:wrap type="square"/>
                    </v:group>
                  </w:pict>
                </mc:Fallback>
              </mc:AlternateContent>
            </w:r>
            <w:r w:rsidR="000405CC">
              <w:rPr>
                <w:rFonts w:eastAsia="Times New Roman"/>
                <w:b/>
                <w:bCs/>
                <w:lang w:val="hu-HU"/>
              </w:rPr>
              <w:t>Tisztítsa meg az injekció beadási helyét</w:t>
            </w:r>
          </w:p>
          <w:p w14:paraId="5E4F630E" w14:textId="77777777" w:rsidR="00130E8B" w:rsidRDefault="00130E8B">
            <w:pPr>
              <w:pStyle w:val="a3"/>
              <w:numPr>
                <w:ilvl w:val="0"/>
                <w:numId w:val="0"/>
              </w:numPr>
              <w:ind w:left="471"/>
              <w:rPr>
                <w:lang w:val="hu-HU"/>
              </w:rPr>
            </w:pPr>
          </w:p>
          <w:p w14:paraId="26980B6B" w14:textId="529FDB23" w:rsidR="00130E8B" w:rsidRDefault="001317CE" w:rsidP="00FD05AA">
            <w:pPr>
              <w:pStyle w:val="a3"/>
              <w:numPr>
                <w:ilvl w:val="0"/>
                <w:numId w:val="42"/>
              </w:numPr>
              <w:ind w:left="648"/>
              <w:rPr>
                <w:lang w:val="hu-HU"/>
              </w:rPr>
            </w:pPr>
            <w:r w:rsidRPr="00523BE5">
              <w:rPr>
                <w:rFonts w:eastAsia="TimesNewRomanPSMT"/>
                <w:lang w:val="hu-HU"/>
              </w:rPr>
              <w:t>T</w:t>
            </w:r>
            <w:r w:rsidRPr="009A259D">
              <w:rPr>
                <w:rFonts w:eastAsia="TimesNewRomanPSMT" w:hint="eastAsia"/>
                <w:lang w:val="hu-HU"/>
              </w:rPr>
              <w:t>ö</w:t>
            </w:r>
            <w:r w:rsidRPr="009A259D">
              <w:rPr>
                <w:rFonts w:eastAsia="TimesNewRomanPSMT"/>
                <w:lang w:val="hu-HU"/>
              </w:rPr>
              <w:t>r</w:t>
            </w:r>
            <w:r w:rsidRPr="009A259D">
              <w:rPr>
                <w:rFonts w:eastAsia="TimesNewRomanPSMT" w:hint="eastAsia"/>
                <w:lang w:val="hu-HU"/>
              </w:rPr>
              <w:t>ö</w:t>
            </w:r>
            <w:r w:rsidRPr="009A259D">
              <w:rPr>
                <w:rFonts w:eastAsia="TimesNewRomanPSMT"/>
                <w:lang w:val="hu-HU"/>
              </w:rPr>
              <w:t>lje le a</w:t>
            </w:r>
            <w:r w:rsidR="000405CC">
              <w:rPr>
                <w:rFonts w:eastAsia="Times New Roman"/>
                <w:lang w:val="hu-HU"/>
              </w:rPr>
              <w:t>z injekció beadási helyét alkoholos törlő</w:t>
            </w:r>
            <w:r w:rsidR="000C6F40">
              <w:rPr>
                <w:rFonts w:eastAsia="Times New Roman"/>
                <w:lang w:val="hu-HU"/>
              </w:rPr>
              <w:t xml:space="preserve"> segítségével</w:t>
            </w:r>
            <w:r w:rsidR="000405CC">
              <w:rPr>
                <w:lang w:val="hu-HU"/>
              </w:rPr>
              <w:t xml:space="preserve"> </w:t>
            </w:r>
            <w:r w:rsidR="000405CC">
              <w:rPr>
                <w:rFonts w:eastAsia="Times New Roman"/>
                <w:lang w:val="hu-HU"/>
              </w:rPr>
              <w:t>körkörös mozdulattal.</w:t>
            </w:r>
          </w:p>
          <w:p w14:paraId="31FAE0F6" w14:textId="69236802" w:rsidR="00130E8B" w:rsidRDefault="000405CC" w:rsidP="00FD05AA">
            <w:pPr>
              <w:pStyle w:val="a3"/>
              <w:numPr>
                <w:ilvl w:val="0"/>
                <w:numId w:val="42"/>
              </w:numPr>
              <w:ind w:left="648"/>
              <w:rPr>
                <w:lang w:val="hu-HU"/>
              </w:rPr>
            </w:pPr>
            <w:r w:rsidRPr="001E2F31">
              <w:rPr>
                <w:rFonts w:eastAsia="Times New Roman"/>
                <w:bCs/>
                <w:lang w:val="hu-HU"/>
              </w:rPr>
              <w:t>A</w:t>
            </w:r>
            <w:r>
              <w:rPr>
                <w:rFonts w:eastAsia="Times New Roman"/>
                <w:lang w:val="hu-HU"/>
              </w:rPr>
              <w:t>z injekció beadása előtt hagyja a bőrt megszáradni.</w:t>
            </w:r>
          </w:p>
          <w:p w14:paraId="00951616" w14:textId="77777777" w:rsidR="00130E8B" w:rsidRDefault="00130E8B">
            <w:pPr>
              <w:pStyle w:val="a3"/>
              <w:rPr>
                <w:lang w:val="hu-HU"/>
              </w:rPr>
            </w:pPr>
          </w:p>
          <w:p w14:paraId="727CFFDD" w14:textId="77777777" w:rsidR="00130E8B" w:rsidRDefault="00130E8B">
            <w:pPr>
              <w:pStyle w:val="a3"/>
              <w:rPr>
                <w:lang w:val="hu-HU"/>
              </w:rPr>
            </w:pPr>
          </w:p>
          <w:p w14:paraId="4070B221" w14:textId="77777777" w:rsidR="00130E8B" w:rsidRDefault="000405CC">
            <w:pPr>
              <w:pStyle w:val="a3"/>
              <w:rPr>
                <w:lang w:val="hu-HU" w:eastAsia="ko-KR"/>
              </w:rPr>
            </w:pPr>
            <w:r>
              <w:rPr>
                <w:rFonts w:ascii="맑은 고딕" w:eastAsia="맑은 고딕" w:hAnsi="맑은 고딕"/>
                <w:b/>
                <w:bCs/>
                <w:lang w:val="hu-HU"/>
              </w:rPr>
              <w:t>•</w:t>
            </w:r>
            <w:r>
              <w:rPr>
                <w:rFonts w:eastAsia="Times New Roman"/>
                <w:b/>
                <w:bCs/>
                <w:lang w:val="hu-HU"/>
              </w:rPr>
              <w:t xml:space="preserve"> </w:t>
            </w:r>
            <w:r w:rsidRPr="001E2F31">
              <w:rPr>
                <w:rFonts w:eastAsia="Times New Roman"/>
                <w:bCs/>
                <w:lang w:val="hu-HU"/>
              </w:rPr>
              <w:t xml:space="preserve">Az </w:t>
            </w:r>
            <w:r w:rsidRPr="005D79EA">
              <w:rPr>
                <w:rFonts w:eastAsia="맑은 고딕"/>
                <w:lang w:val="hu-HU"/>
              </w:rPr>
              <w:t>inje</w:t>
            </w:r>
            <w:r w:rsidRPr="009167C6">
              <w:rPr>
                <w:rFonts w:eastAsia="맑은 고딕"/>
                <w:lang w:val="hu-HU"/>
              </w:rPr>
              <w:t>kció beadása el</w:t>
            </w:r>
            <w:r w:rsidRPr="009167C6">
              <w:rPr>
                <w:rFonts w:eastAsia="맑은 고딕" w:hint="cs"/>
                <w:lang w:val="hu-HU"/>
              </w:rPr>
              <w:t>ő</w:t>
            </w:r>
            <w:r w:rsidRPr="009167C6">
              <w:rPr>
                <w:rFonts w:eastAsia="맑은 고딕"/>
                <w:lang w:val="hu-HU"/>
              </w:rPr>
              <w:t xml:space="preserve">tt </w:t>
            </w:r>
            <w:r w:rsidRPr="001E2F31">
              <w:rPr>
                <w:rFonts w:eastAsia="맑은 고딕"/>
                <w:b/>
                <w:lang w:val="hu-HU"/>
              </w:rPr>
              <w:t>ne</w:t>
            </w:r>
            <w:r w:rsidRPr="00520761">
              <w:rPr>
                <w:rFonts w:eastAsia="Times New Roman"/>
                <w:lang w:val="hu-HU"/>
              </w:rPr>
              <w:t xml:space="preserve"> fújjon rá vagy érintse meg újra az injekció beadásának helyét</w:t>
            </w:r>
            <w:r>
              <w:rPr>
                <w:rFonts w:eastAsia="Times New Roman"/>
                <w:lang w:val="hu-HU"/>
              </w:rPr>
              <w:t>.</w:t>
            </w:r>
          </w:p>
        </w:tc>
      </w:tr>
      <w:tr w:rsidR="00130E8B" w:rsidRPr="00BE4D18" w14:paraId="55C24E71" w14:textId="77777777">
        <w:trPr>
          <w:trHeight w:val="5664"/>
        </w:trPr>
        <w:tc>
          <w:tcPr>
            <w:tcW w:w="9581" w:type="dxa"/>
          </w:tcPr>
          <w:p w14:paraId="6D775954" w14:textId="49A4AC27" w:rsidR="00130E8B" w:rsidRDefault="00130E8B" w:rsidP="004C5B28">
            <w:pPr>
              <w:rPr>
                <w:lang w:val="hu-HU"/>
              </w:rPr>
            </w:pPr>
          </w:p>
          <w:p w14:paraId="33E2DD75" w14:textId="55D83FAB" w:rsidR="00130E8B" w:rsidRDefault="00903402">
            <w:pPr>
              <w:pStyle w:val="a3"/>
              <w:numPr>
                <w:ilvl w:val="0"/>
                <w:numId w:val="24"/>
              </w:numPr>
              <w:rPr>
                <w:b/>
                <w:lang w:val="hu-HU"/>
              </w:rPr>
            </w:pPr>
            <w:r>
              <w:rPr>
                <w:rFonts w:ascii="Arial" w:hAnsi="Arial" w:cs="Arial"/>
                <w:noProof/>
                <w:color w:val="000000"/>
                <w:sz w:val="24"/>
                <w:szCs w:val="24"/>
                <w:lang w:eastAsia="ko-KR"/>
              </w:rPr>
              <mc:AlternateContent>
                <mc:Choice Requires="wpg">
                  <w:drawing>
                    <wp:anchor distT="0" distB="0" distL="114300" distR="114300" simplePos="0" relativeHeight="251658272" behindDoc="1" locked="0" layoutInCell="1" allowOverlap="1" wp14:anchorId="302382C2" wp14:editId="45FDFBA9">
                      <wp:simplePos x="0" y="0"/>
                      <wp:positionH relativeFrom="column">
                        <wp:posOffset>10160</wp:posOffset>
                      </wp:positionH>
                      <wp:positionV relativeFrom="paragraph">
                        <wp:posOffset>22860</wp:posOffset>
                      </wp:positionV>
                      <wp:extent cx="2278380" cy="2971800"/>
                      <wp:effectExtent l="0" t="0" r="7620" b="0"/>
                      <wp:wrapTight wrapText="bothSides">
                        <wp:wrapPolygon edited="0">
                          <wp:start x="0" y="0"/>
                          <wp:lineTo x="0" y="20492"/>
                          <wp:lineTo x="14448" y="21462"/>
                          <wp:lineTo x="21492" y="21462"/>
                          <wp:lineTo x="21492" y="0"/>
                          <wp:lineTo x="0" y="0"/>
                        </wp:wrapPolygon>
                      </wp:wrapTight>
                      <wp:docPr id="1048" name="그룹 1048"/>
                      <wp:cNvGraphicFramePr/>
                      <a:graphic xmlns:a="http://schemas.openxmlformats.org/drawingml/2006/main">
                        <a:graphicData uri="http://schemas.microsoft.com/office/word/2010/wordprocessingGroup">
                          <wpg:wgp>
                            <wpg:cNvGrpSpPr/>
                            <wpg:grpSpPr>
                              <a:xfrm>
                                <a:off x="0" y="0"/>
                                <a:ext cx="2278380" cy="2971800"/>
                                <a:chOff x="0" y="0"/>
                                <a:chExt cx="2278753" cy="2972427"/>
                              </a:xfrm>
                            </wpg:grpSpPr>
                            <wps:wsp>
                              <wps:cNvPr id="11" name="Text Box 12"/>
                              <wps:cNvSpPr txBox="1">
                                <a:spLocks noChangeArrowheads="1"/>
                              </wps:cNvSpPr>
                              <wps:spPr bwMode="auto">
                                <a:xfrm>
                                  <a:off x="1558636" y="2826327"/>
                                  <a:ext cx="720117" cy="146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spAutoFit/>
                              </wps:bodyPr>
                            </wps:wsp>
                            <pic:pic xmlns:pic="http://schemas.openxmlformats.org/drawingml/2006/picture">
                              <pic:nvPicPr>
                                <pic:cNvPr id="19" name="그림 18"/>
                                <pic:cNvPicPr>
                                  <a:picLocks noChangeAspect="1"/>
                                </pic:cNvPicPr>
                              </pic:nvPicPr>
                              <pic:blipFill rotWithShape="1">
                                <a:blip r:embed="rId81" cstate="print">
                                  <a:extLst>
                                    <a:ext uri="{28A0092B-C50C-407E-A947-70E740481C1C}">
                                      <a14:useLocalDpi xmlns:a14="http://schemas.microsoft.com/office/drawing/2010/main" val="0"/>
                                    </a:ext>
                                  </a:extLst>
                                </a:blip>
                                <a:srcRect/>
                                <a:stretch/>
                              </pic:blipFill>
                              <pic:spPr>
                                <a:xfrm>
                                  <a:off x="0" y="0"/>
                                  <a:ext cx="2275205" cy="2818765"/>
                                </a:xfrm>
                                <a:prstGeom prst="rect">
                                  <a:avLst/>
                                </a:prstGeom>
                              </pic:spPr>
                            </pic:pic>
                          </wpg:wgp>
                        </a:graphicData>
                      </a:graphic>
                    </wp:anchor>
                  </w:drawing>
                </mc:Choice>
                <mc:Fallback>
                  <w:pict>
                    <v:group w14:anchorId="12F046BE" id="그룹 1048" o:spid="_x0000_s1026" style="position:absolute;margin-left:.8pt;margin-top:1.8pt;width:179.4pt;height:234pt;z-index:-251658208" coordsize="22787,29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">
                      <v:shape id="Text Box 12" o:spid="_x0000_s1027" type="#_x0000_t202" style="position:absolute;left:15586;top:28263;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" stroked="f">
                        <v:textbox style="mso-fit-shape-to-text:t" inset="0,0,0,0"/>
                      </v:shape>
                      <v:shape id="그림 18" o:spid="_x0000_s1028" type="#_x0000_t75" style="position:absolute;width:22752;height:28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">
                        <v:imagedata r:id="rId88" o:title=""/>
                      </v:shape>
                      <w10:wrap type="tight"/>
                    </v:group>
                  </w:pict>
                </mc:Fallback>
              </mc:AlternateContent>
            </w:r>
            <w:r w:rsidR="000405CC">
              <w:rPr>
                <w:rFonts w:eastAsia="Times New Roman"/>
                <w:b/>
                <w:bCs/>
                <w:lang w:val="hu-HU"/>
              </w:rPr>
              <w:t>Vegye le a tűvédő tokot</w:t>
            </w:r>
          </w:p>
          <w:p w14:paraId="21569E15" w14:textId="4AB26B15" w:rsidR="00130E8B" w:rsidRDefault="00130E8B">
            <w:pPr>
              <w:pStyle w:val="a3"/>
              <w:rPr>
                <w:lang w:val="hu-HU"/>
              </w:rPr>
            </w:pPr>
          </w:p>
          <w:p w14:paraId="12FB5789" w14:textId="410C39D3" w:rsidR="00130E8B" w:rsidRDefault="000405CC">
            <w:pPr>
              <w:pStyle w:val="a3"/>
              <w:ind w:left="4320" w:hanging="4320"/>
              <w:rPr>
                <w:lang w:val="hu-HU"/>
              </w:rPr>
            </w:pPr>
            <w:r>
              <w:rPr>
                <w:rFonts w:eastAsia="Times New Roman"/>
                <w:b/>
                <w:bCs/>
                <w:lang w:val="hu-HU"/>
              </w:rPr>
              <w:t xml:space="preserve">      a. </w:t>
            </w:r>
            <w:r w:rsidRPr="001E2F31">
              <w:rPr>
                <w:rFonts w:eastAsia="Times New Roman"/>
                <w:bCs/>
                <w:lang w:val="hu-HU"/>
              </w:rPr>
              <w:t>T</w:t>
            </w:r>
            <w:r>
              <w:rPr>
                <w:rFonts w:eastAsia="Times New Roman"/>
                <w:lang w:val="hu-HU"/>
              </w:rPr>
              <w:t>artsa az egyik kezével az</w:t>
            </w:r>
            <w:r w:rsidR="00520761">
              <w:rPr>
                <w:rFonts w:eastAsia="Times New Roman"/>
                <w:lang w:val="hu-HU"/>
              </w:rPr>
              <w:t xml:space="preserve"> </w:t>
            </w:r>
            <w:r>
              <w:rPr>
                <w:rFonts w:eastAsia="Times New Roman"/>
                <w:lang w:val="hu-HU"/>
              </w:rPr>
              <w:t>előretöltött injekciós tollat</w:t>
            </w:r>
            <w:r w:rsidR="00520761">
              <w:rPr>
                <w:rFonts w:eastAsia="Times New Roman"/>
                <w:lang w:val="hu-HU"/>
              </w:rPr>
              <w:t xml:space="preserve"> </w:t>
            </w:r>
            <w:r>
              <w:rPr>
                <w:rFonts w:eastAsia="Times New Roman"/>
                <w:lang w:val="hu-HU"/>
              </w:rPr>
              <w:t xml:space="preserve">az injektor testénél fogva, úgy hogy a tűvédő tok még a helyén </w:t>
            </w:r>
            <w:r w:rsidR="000C6F40">
              <w:rPr>
                <w:rFonts w:eastAsia="Times New Roman"/>
                <w:lang w:val="hu-HU"/>
              </w:rPr>
              <w:t>legyen</w:t>
            </w:r>
            <w:r>
              <w:rPr>
                <w:rFonts w:eastAsia="Times New Roman"/>
                <w:lang w:val="hu-HU"/>
              </w:rPr>
              <w:t>. Óvatosan húzza le a tűvédő tokot a másik kezével.</w:t>
            </w:r>
          </w:p>
          <w:p w14:paraId="4F59D652" w14:textId="57120E2F" w:rsidR="00130E8B" w:rsidRDefault="00130E8B">
            <w:pPr>
              <w:pStyle w:val="a3"/>
              <w:rPr>
                <w:lang w:val="hu-HU"/>
              </w:rPr>
            </w:pPr>
          </w:p>
          <w:p w14:paraId="447FE06E" w14:textId="77777777" w:rsidR="00130E8B" w:rsidRDefault="000405CC">
            <w:pPr>
              <w:pStyle w:val="a3"/>
              <w:numPr>
                <w:ilvl w:val="0"/>
                <w:numId w:val="18"/>
              </w:numPr>
              <w:ind w:left="5130" w:hanging="4146"/>
              <w:rPr>
                <w:lang w:val="hu-HU"/>
              </w:rPr>
            </w:pPr>
            <w:r>
              <w:rPr>
                <w:rFonts w:eastAsia="Times New Roman"/>
                <w:b/>
                <w:bCs/>
                <w:lang w:val="hu-HU"/>
              </w:rPr>
              <w:t>Ne</w:t>
            </w:r>
            <w:r>
              <w:rPr>
                <w:rFonts w:eastAsia="Times New Roman"/>
                <w:lang w:val="hu-HU"/>
              </w:rPr>
              <w:t xml:space="preserve"> vegye le a tűvédő tokot, amíg készen nem áll az injekció beadására</w:t>
            </w:r>
          </w:p>
          <w:p w14:paraId="78D1B13A" w14:textId="77777777" w:rsidR="00130E8B" w:rsidRDefault="00130E8B">
            <w:pPr>
              <w:pStyle w:val="a3"/>
              <w:numPr>
                <w:ilvl w:val="0"/>
                <w:numId w:val="0"/>
              </w:numPr>
              <w:ind w:left="1384"/>
              <w:rPr>
                <w:lang w:val="hu-HU"/>
              </w:rPr>
            </w:pPr>
          </w:p>
          <w:p w14:paraId="1F88F309" w14:textId="77777777" w:rsidR="00130E8B" w:rsidRDefault="000405CC">
            <w:pPr>
              <w:pStyle w:val="a3"/>
              <w:numPr>
                <w:ilvl w:val="0"/>
                <w:numId w:val="18"/>
              </w:numPr>
              <w:ind w:left="5130" w:hanging="4146"/>
              <w:rPr>
                <w:lang w:val="hu-HU"/>
              </w:rPr>
            </w:pPr>
            <w:r>
              <w:rPr>
                <w:rFonts w:eastAsia="Times New Roman"/>
                <w:b/>
                <w:bCs/>
                <w:lang w:val="hu-HU"/>
              </w:rPr>
              <w:t>Ne</w:t>
            </w:r>
            <w:r>
              <w:rPr>
                <w:rFonts w:eastAsia="Times New Roman"/>
                <w:lang w:val="hu-HU"/>
              </w:rPr>
              <w:t xml:space="preserve"> érintse meg a tűt vagy a tűvédőt. Ebben az esetben, tűszúrásos sérülés következhet be.</w:t>
            </w:r>
          </w:p>
          <w:p w14:paraId="63E06893" w14:textId="77777777" w:rsidR="00130E8B" w:rsidRDefault="00130E8B">
            <w:pPr>
              <w:pStyle w:val="a3"/>
              <w:numPr>
                <w:ilvl w:val="0"/>
                <w:numId w:val="0"/>
              </w:numPr>
              <w:ind w:left="1384"/>
              <w:rPr>
                <w:lang w:val="hu-HU"/>
              </w:rPr>
            </w:pPr>
          </w:p>
          <w:p w14:paraId="165DDF25" w14:textId="77777777" w:rsidR="00130E8B" w:rsidRPr="004C5B28" w:rsidRDefault="00643D04">
            <w:pPr>
              <w:pStyle w:val="a3"/>
              <w:numPr>
                <w:ilvl w:val="0"/>
                <w:numId w:val="18"/>
              </w:numPr>
              <w:ind w:left="5130" w:hanging="4146"/>
              <w:rPr>
                <w:lang w:val="hu-HU"/>
              </w:rPr>
            </w:pPr>
            <w:r>
              <w:rPr>
                <w:noProof/>
                <w:lang w:eastAsia="ko-KR"/>
              </w:rPr>
              <mc:AlternateContent>
                <mc:Choice Requires="wps">
                  <w:drawing>
                    <wp:anchor distT="0" distB="0" distL="114300" distR="114300" simplePos="0" relativeHeight="251658281" behindDoc="0" locked="0" layoutInCell="1" allowOverlap="1" wp14:anchorId="275CF6F1" wp14:editId="79F04962">
                      <wp:simplePos x="0" y="0"/>
                      <wp:positionH relativeFrom="column">
                        <wp:posOffset>1572260</wp:posOffset>
                      </wp:positionH>
                      <wp:positionV relativeFrom="paragraph">
                        <wp:posOffset>553760</wp:posOffset>
                      </wp:positionV>
                      <wp:extent cx="719622" cy="146003"/>
                      <wp:effectExtent l="0" t="0" r="0" b="0"/>
                      <wp:wrapNone/>
                      <wp:docPr id="106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622" cy="1460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A8F0B4" w14:textId="206B49F5" w:rsidR="004A2986" w:rsidRDefault="004A2986" w:rsidP="00643D04">
                                  <w:pPr>
                                    <w:pStyle w:val="af0"/>
                                    <w:jc w:val="right"/>
                                    <w:rPr>
                                      <w:rFonts w:ascii="Times New Roman" w:hAnsi="Times New Roman" w:cs="Times New Roman"/>
                                      <w:noProof/>
                                      <w:spacing w:val="-1"/>
                                    </w:rPr>
                                  </w:pPr>
                                  <w:r>
                                    <w:rPr>
                                      <w:rFonts w:ascii="Times New Roman" w:eastAsia="Times New Roman" w:hAnsi="Times New Roman" w:cs="Times New Roman"/>
                                      <w:lang w:val="hu-HU"/>
                                    </w:rPr>
                                    <w:t>H</w:t>
                                  </w:r>
                                  <w:r w:rsidRPr="004B23C8">
                                    <w:rPr>
                                      <w:rFonts w:ascii="Times New Roman" w:eastAsia="Times New Roman" w:hAnsi="Times New Roman" w:cs="Times New Roman"/>
                                      <w:lang w:val="hu-HU"/>
                                    </w:rPr>
                                    <w:t xml:space="preserve">. </w:t>
                                  </w:r>
                                  <w:r w:rsidRPr="004B23C8">
                                    <w:rPr>
                                      <w:rFonts w:ascii="Times New Roman" w:eastAsia="Times New Roman" w:hAnsi="Times New Roman" w:cs="Times New Roman"/>
                                      <w:lang w:val="hu-HU"/>
                                    </w:rPr>
                                    <w:t>ábra</w:t>
                                  </w:r>
                                </w:p>
                              </w:txbxContent>
                            </wps:txbx>
                            <wps:bodyPr rot="0" vert="horz" wrap="square" lIns="0" tIns="0" rIns="0" bIns="0" anchor="t" anchorCtr="0" upright="1">
                              <a:spAutoFit/>
                            </wps:bodyPr>
                          </wps:wsp>
                        </a:graphicData>
                      </a:graphic>
                    </wp:anchor>
                  </w:drawing>
                </mc:Choice>
                <mc:Fallback>
                  <w:pict>
                    <v:shape w14:anchorId="275CF6F1" id="Text Box 78" o:spid="_x0000_s1113" type="#_x0000_t202" style="position:absolute;left:0;text-align:left;margin-left:123.8pt;margin-top:43.6pt;width:56.65pt;height:11.5pt;z-index:25165828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" stroked="f">
                      <v:textbox style="mso-fit-shape-to-text:t" inset="0,0,0,0">
                        <w:txbxContent>
                          <w:p w14:paraId="7FA8F0B4" w14:textId="206B49F5" w:rsidR="004A2986" w:rsidRDefault="004A2986" w:rsidP="00643D04">
                            <w:pPr>
                              <w:pStyle w:val="af0"/>
                              <w:jc w:val="right"/>
                              <w:rPr>
                                <w:rFonts w:ascii="Times New Roman" w:hAnsi="Times New Roman" w:cs="Times New Roman"/>
                                <w:noProof/>
                                <w:spacing w:val="-1"/>
                              </w:rPr>
                            </w:pPr>
                            <w:r>
                              <w:rPr>
                                <w:rFonts w:ascii="Times New Roman" w:eastAsia="Times New Roman" w:hAnsi="Times New Roman" w:cs="Times New Roman"/>
                                <w:lang w:val="hu-HU"/>
                              </w:rPr>
                              <w:t>H</w:t>
                            </w:r>
                            <w:r w:rsidRPr="004B23C8">
                              <w:rPr>
                                <w:rFonts w:ascii="Times New Roman" w:eastAsia="Times New Roman" w:hAnsi="Times New Roman" w:cs="Times New Roman"/>
                                <w:lang w:val="hu-HU"/>
                              </w:rPr>
                              <w:t xml:space="preserve">. </w:t>
                            </w:r>
                            <w:r w:rsidRPr="004B23C8">
                              <w:rPr>
                                <w:rFonts w:ascii="Times New Roman" w:eastAsia="Times New Roman" w:hAnsi="Times New Roman" w:cs="Times New Roman"/>
                                <w:lang w:val="hu-HU"/>
                              </w:rPr>
                              <w:t>ábra</w:t>
                            </w:r>
                          </w:p>
                        </w:txbxContent>
                      </v:textbox>
                    </v:shape>
                  </w:pict>
                </mc:Fallback>
              </mc:AlternateContent>
            </w:r>
            <w:r w:rsidR="000405CC">
              <w:rPr>
                <w:rFonts w:eastAsia="Times New Roman"/>
                <w:b/>
                <w:bCs/>
                <w:lang w:val="hu-HU"/>
              </w:rPr>
              <w:t>Ne</w:t>
            </w:r>
            <w:r w:rsidR="000405CC">
              <w:rPr>
                <w:rFonts w:eastAsia="Times New Roman"/>
                <w:lang w:val="hu-HU"/>
              </w:rPr>
              <w:t xml:space="preserve"> rakja vissza a tűvédő tokot az</w:t>
            </w:r>
            <w:r w:rsidR="00520761">
              <w:rPr>
                <w:rFonts w:eastAsia="Times New Roman"/>
                <w:lang w:val="hu-HU"/>
              </w:rPr>
              <w:t xml:space="preserve"> </w:t>
            </w:r>
            <w:r w:rsidR="000405CC">
              <w:rPr>
                <w:rFonts w:eastAsia="Times New Roman"/>
                <w:lang w:val="hu-HU"/>
              </w:rPr>
              <w:t>előretöltött tollra. Dobja</w:t>
            </w:r>
            <w:r w:rsidR="00520761">
              <w:rPr>
                <w:rFonts w:eastAsia="Times New Roman"/>
                <w:lang w:val="hu-HU"/>
              </w:rPr>
              <w:t xml:space="preserve"> ki </w:t>
            </w:r>
            <w:r w:rsidR="000405CC">
              <w:rPr>
                <w:rFonts w:eastAsia="Times New Roman"/>
                <w:lang w:val="hu-HU"/>
              </w:rPr>
              <w:t>a tűvédő tokot Azonnal dobja a tűvédő tokot az éles tárgyak tárolására szolgáló tartályba.</w:t>
            </w:r>
          </w:p>
          <w:p w14:paraId="5673169F" w14:textId="77777777" w:rsidR="00903402" w:rsidRDefault="00903402" w:rsidP="004C5B28">
            <w:pPr>
              <w:pStyle w:val="a4"/>
              <w:rPr>
                <w:lang w:val="hu-HU"/>
              </w:rPr>
            </w:pPr>
          </w:p>
          <w:p w14:paraId="3318B41B" w14:textId="734E9AB9" w:rsidR="00903402" w:rsidRDefault="00903402">
            <w:pPr>
              <w:pStyle w:val="a3"/>
              <w:numPr>
                <w:ilvl w:val="0"/>
                <w:numId w:val="18"/>
              </w:numPr>
              <w:ind w:left="5130" w:hanging="4146"/>
              <w:rPr>
                <w:lang w:val="hu-HU"/>
              </w:rPr>
            </w:pPr>
            <w:r w:rsidRPr="00944B5B">
              <w:rPr>
                <w:lang w:val="hu-HU"/>
              </w:rPr>
              <w:t>Normális, ha lát néhány csepp folyadékot kijönni a tűből</w:t>
            </w:r>
            <w:r>
              <w:rPr>
                <w:lang w:val="hu-HU"/>
              </w:rPr>
              <w:t>.</w:t>
            </w:r>
          </w:p>
        </w:tc>
      </w:tr>
      <w:tr w:rsidR="00130E8B" w:rsidRPr="00BE4D18" w14:paraId="0485AD1B" w14:textId="77777777">
        <w:trPr>
          <w:trHeight w:val="7028"/>
        </w:trPr>
        <w:tc>
          <w:tcPr>
            <w:tcW w:w="9581" w:type="dxa"/>
          </w:tcPr>
          <w:p w14:paraId="1A482EB4" w14:textId="77777777" w:rsidR="00130E8B" w:rsidRDefault="00130E8B">
            <w:pPr>
              <w:ind w:left="104"/>
              <w:rPr>
                <w:rFonts w:ascii="Times New Roman" w:eastAsia="Times New Roman" w:hAnsi="Times New Roman" w:cs="Times New Roman"/>
                <w:b/>
                <w:bCs/>
                <w:spacing w:val="-1"/>
                <w:lang w:val="hu-HU"/>
              </w:rPr>
            </w:pPr>
          </w:p>
          <w:p w14:paraId="5E346736" w14:textId="1204CE6F" w:rsidR="00130E8B" w:rsidRDefault="006D3A5D">
            <w:pPr>
              <w:pStyle w:val="1"/>
              <w:spacing w:before="76"/>
              <w:ind w:left="0" w:right="2736"/>
              <w:rPr>
                <w:rFonts w:eastAsiaTheme="minorEastAsia"/>
                <w:lang w:val="hu-HU" w:eastAsia="ko-KR"/>
              </w:rPr>
            </w:pPr>
            <w:r>
              <w:rPr>
                <w:rFonts w:eastAsiaTheme="minorEastAsia"/>
                <w:noProof/>
                <w:lang w:eastAsia="ko-KR"/>
              </w:rPr>
              <mc:AlternateContent>
                <mc:Choice Requires="wpg">
                  <w:drawing>
                    <wp:anchor distT="0" distB="0" distL="114300" distR="114300" simplePos="0" relativeHeight="251658273" behindDoc="1" locked="0" layoutInCell="1" allowOverlap="1" wp14:anchorId="03E52150" wp14:editId="5562ED7F">
                      <wp:simplePos x="0" y="0"/>
                      <wp:positionH relativeFrom="column">
                        <wp:posOffset>31000</wp:posOffset>
                      </wp:positionH>
                      <wp:positionV relativeFrom="paragraph">
                        <wp:posOffset>157134</wp:posOffset>
                      </wp:positionV>
                      <wp:extent cx="2261235" cy="4004591"/>
                      <wp:effectExtent l="0" t="0" r="5715" b="0"/>
                      <wp:wrapTight wrapText="bothSides">
                        <wp:wrapPolygon edited="0">
                          <wp:start x="0" y="0"/>
                          <wp:lineTo x="0" y="20552"/>
                          <wp:lineTo x="14194" y="21374"/>
                          <wp:lineTo x="14194" y="21477"/>
                          <wp:lineTo x="21473" y="21477"/>
                          <wp:lineTo x="21473" y="0"/>
                          <wp:lineTo x="0" y="0"/>
                        </wp:wrapPolygon>
                      </wp:wrapTight>
                      <wp:docPr id="1047" name="그룹 1047"/>
                      <wp:cNvGraphicFramePr/>
                      <a:graphic xmlns:a="http://schemas.openxmlformats.org/drawingml/2006/main">
                        <a:graphicData uri="http://schemas.microsoft.com/office/word/2010/wordprocessingGroup">
                          <wpg:wgp>
                            <wpg:cNvGrpSpPr/>
                            <wpg:grpSpPr>
                              <a:xfrm>
                                <a:off x="0" y="0"/>
                                <a:ext cx="2261235" cy="4004591"/>
                                <a:chOff x="0" y="0"/>
                                <a:chExt cx="2261235" cy="4004591"/>
                              </a:xfrm>
                            </wpg:grpSpPr>
                            <wps:wsp>
                              <wps:cNvPr id="17" name="Text Box 14"/>
                              <wps:cNvSpPr txBox="1">
                                <a:spLocks noChangeArrowheads="1"/>
                              </wps:cNvSpPr>
                              <wps:spPr bwMode="auto">
                                <a:xfrm>
                                  <a:off x="1530927" y="3858491"/>
                                  <a:ext cx="719526" cy="146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891E43" w14:textId="35A39DA7" w:rsidR="004A2986" w:rsidRDefault="004A2986">
                                    <w:pPr>
                                      <w:pStyle w:val="af0"/>
                                      <w:jc w:val="right"/>
                                      <w:rPr>
                                        <w:rFonts w:cs="Times New Roman"/>
                                        <w:noProof/>
                                      </w:rPr>
                                    </w:pPr>
                                    <w:r>
                                      <w:rPr>
                                        <w:rFonts w:ascii="Times New Roman" w:hAnsi="Times New Roman" w:cs="Times New Roman"/>
                                      </w:rPr>
                                      <w:t>I</w:t>
                                    </w:r>
                                    <w:r>
                                      <w:rPr>
                                        <w:rFonts w:ascii="Times New Roman" w:eastAsia="Times New Roman" w:hAnsi="Times New Roman" w:cs="Times New Roman"/>
                                        <w:lang w:val="hu-HU"/>
                                      </w:rPr>
                                      <w:t>. ábra</w:t>
                                    </w:r>
                                  </w:p>
                                </w:txbxContent>
                              </wps:txbx>
                              <wps:bodyPr rot="0" vert="horz" wrap="square" lIns="0" tIns="0" rIns="0" bIns="0" anchor="t" anchorCtr="0" upright="1">
                                <a:spAutoFit/>
                              </wps:bodyPr>
                            </wps:wsp>
                            <pic:pic xmlns:pic="http://schemas.openxmlformats.org/drawingml/2006/picture">
                              <pic:nvPicPr>
                                <pic:cNvPr id="1041" name="그림 19"/>
                                <pic:cNvPicPr>
                                  <a:picLocks noChangeAspect="1"/>
                                </pic:cNvPicPr>
                              </pic:nvPicPr>
                              <pic:blipFill rotWithShape="1">
                                <a:blip r:embed="rId89" cstate="print">
                                  <a:extLst>
                                    <a:ext uri="{28A0092B-C50C-407E-A947-70E740481C1C}">
                                      <a14:useLocalDpi xmlns:a14="http://schemas.microsoft.com/office/drawing/2010/main" val="0"/>
                                    </a:ext>
                                  </a:extLst>
                                </a:blip>
                                <a:srcRect/>
                                <a:stretch/>
                              </pic:blipFill>
                              <pic:spPr>
                                <a:xfrm>
                                  <a:off x="0" y="0"/>
                                  <a:ext cx="2261235" cy="3811905"/>
                                </a:xfrm>
                                <a:prstGeom prst="rect">
                                  <a:avLst/>
                                </a:prstGeom>
                              </pic:spPr>
                            </pic:pic>
                          </wpg:wgp>
                        </a:graphicData>
                      </a:graphic>
                    </wp:anchor>
                  </w:drawing>
                </mc:Choice>
                <mc:Fallback>
                  <w:pict>
                    <v:group w14:anchorId="03E52150" id="그룹 1047" o:spid="_x0000_s1114" style="position:absolute;margin-left:2.45pt;margin-top:12.35pt;width:178.05pt;height:315.3pt;z-index:-251658207" coordsize="22612,40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">
                      <v:shape id="Text Box 14" o:spid="_x0000_s1115" type="#_x0000_t202" style="position:absolute;left:15309;top:38584;width:7195;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" stroked="f">
                        <v:textbox style="mso-fit-shape-to-text:t" inset="0,0,0,0">
                          <w:txbxContent>
                            <w:p w14:paraId="6A891E43" w14:textId="35A39DA7" w:rsidR="004A2986" w:rsidRDefault="004A2986">
                              <w:pPr>
                                <w:pStyle w:val="af0"/>
                                <w:jc w:val="right"/>
                                <w:rPr>
                                  <w:rFonts w:cs="Times New Roman"/>
                                  <w:noProof/>
                                </w:rPr>
                              </w:pPr>
                              <w:r>
                                <w:rPr>
                                  <w:rFonts w:ascii="Times New Roman" w:hAnsi="Times New Roman" w:cs="Times New Roman"/>
                                </w:rPr>
                                <w:t>I</w:t>
                              </w:r>
                              <w:r>
                                <w:rPr>
                                  <w:rFonts w:ascii="Times New Roman" w:eastAsia="Times New Roman" w:hAnsi="Times New Roman" w:cs="Times New Roman"/>
                                  <w:lang w:val="hu-HU"/>
                                </w:rPr>
                                <w:t>. ábra</w:t>
                              </w:r>
                            </w:p>
                          </w:txbxContent>
                        </v:textbox>
                      </v:shape>
                      <v:shape id="그림 19" o:spid="_x0000_s1116" type="#_x0000_t75" style="position:absolute;width:22612;height:38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">
                        <v:imagedata r:id="rId90" o:title=""/>
                      </v:shape>
                      <w10:wrap type="tight"/>
                    </v:group>
                  </w:pict>
                </mc:Fallback>
              </mc:AlternateContent>
            </w:r>
          </w:p>
          <w:p w14:paraId="1B6868D2" w14:textId="23FDAAB2" w:rsidR="00130E8B" w:rsidRDefault="000405CC">
            <w:pPr>
              <w:pStyle w:val="a3"/>
              <w:numPr>
                <w:ilvl w:val="0"/>
                <w:numId w:val="24"/>
              </w:numPr>
              <w:ind w:left="4320" w:hanging="4209"/>
              <w:rPr>
                <w:b/>
                <w:lang w:val="hu-HU"/>
              </w:rPr>
            </w:pPr>
            <w:r>
              <w:rPr>
                <w:rFonts w:eastAsia="Times New Roman"/>
                <w:b/>
                <w:bCs/>
                <w:lang w:val="hu-HU"/>
              </w:rPr>
              <w:t>Helyezze az előretöltött injekciós tollat az injekció beadási helyére.</w:t>
            </w:r>
          </w:p>
          <w:p w14:paraId="0F8A10D7" w14:textId="77777777" w:rsidR="00130E8B" w:rsidRDefault="00130E8B">
            <w:pPr>
              <w:pStyle w:val="a3"/>
              <w:rPr>
                <w:lang w:val="hu-HU"/>
              </w:rPr>
            </w:pPr>
          </w:p>
          <w:p w14:paraId="3EB4C5B2" w14:textId="77777777" w:rsidR="00130E8B" w:rsidRDefault="000405CC">
            <w:pPr>
              <w:pStyle w:val="a3"/>
              <w:numPr>
                <w:ilvl w:val="0"/>
                <w:numId w:val="0"/>
              </w:numPr>
              <w:ind w:left="4320" w:hanging="4320"/>
              <w:rPr>
                <w:lang w:val="hu-HU"/>
              </w:rPr>
            </w:pPr>
            <w:r>
              <w:rPr>
                <w:rFonts w:eastAsia="Times New Roman"/>
                <w:b/>
                <w:bCs/>
                <w:lang w:val="hu-HU"/>
              </w:rPr>
              <w:t xml:space="preserve">     a. </w:t>
            </w:r>
            <w:r>
              <w:rPr>
                <w:rFonts w:eastAsia="Times New Roman"/>
                <w:lang w:val="hu-HU"/>
              </w:rPr>
              <w:t>Fogja meg az előretöltött injekciós tollat, hogy lássa az</w:t>
            </w:r>
            <w:r>
              <w:rPr>
                <w:lang w:val="hu-HU"/>
              </w:rPr>
              <w:t xml:space="preserve"> </w:t>
            </w:r>
            <w:r w:rsidR="00520761">
              <w:rPr>
                <w:lang w:val="hu-HU"/>
              </w:rPr>
              <w:t>kijelző</w:t>
            </w:r>
            <w:r w:rsidR="000C6F40">
              <w:rPr>
                <w:lang w:val="hu-HU"/>
              </w:rPr>
              <w:t xml:space="preserve"> </w:t>
            </w:r>
            <w:r>
              <w:rPr>
                <w:rFonts w:eastAsia="Times New Roman"/>
                <w:lang w:val="hu-HU"/>
              </w:rPr>
              <w:t>ablakot.</w:t>
            </w:r>
          </w:p>
          <w:p w14:paraId="38112358" w14:textId="66CF10D7" w:rsidR="00130E8B" w:rsidRDefault="000405CC">
            <w:pPr>
              <w:pStyle w:val="a3"/>
              <w:ind w:left="4320" w:hanging="4320"/>
              <w:rPr>
                <w:lang w:val="hu-HU" w:eastAsia="ko-KR"/>
              </w:rPr>
            </w:pPr>
            <w:r>
              <w:rPr>
                <w:rFonts w:eastAsia="Times New Roman"/>
                <w:b/>
                <w:bCs/>
                <w:lang w:val="hu-HU"/>
              </w:rPr>
              <w:t xml:space="preserve">     b. </w:t>
            </w:r>
            <w:r w:rsidRPr="001E2F31">
              <w:rPr>
                <w:rFonts w:eastAsia="Times New Roman"/>
                <w:bCs/>
                <w:lang w:val="hu-HU"/>
              </w:rPr>
              <w:t>A</w:t>
            </w:r>
            <w:r w:rsidRPr="005D79EA">
              <w:rPr>
                <w:rFonts w:eastAsia="Times New Roman"/>
                <w:lang w:val="hu-HU"/>
              </w:rPr>
              <w:t xml:space="preserve"> </w:t>
            </w:r>
            <w:r>
              <w:rPr>
                <w:rFonts w:eastAsia="Times New Roman"/>
                <w:lang w:val="hu-HU"/>
              </w:rPr>
              <w:t>bőr összecsípése vagy megnyújtása nélkül helyezze a az előretöltött tollat az injekció beadásának helyére 90 fokos szögben.</w:t>
            </w:r>
          </w:p>
        </w:tc>
      </w:tr>
      <w:tr w:rsidR="00130E8B" w:rsidRPr="00BE4D18" w14:paraId="210E548E" w14:textId="77777777">
        <w:trPr>
          <w:trHeight w:val="8391"/>
        </w:trPr>
        <w:tc>
          <w:tcPr>
            <w:tcW w:w="9581" w:type="dxa"/>
          </w:tcPr>
          <w:p w14:paraId="174E98E3" w14:textId="1C7AB54D" w:rsidR="00130E8B" w:rsidRDefault="00130E8B">
            <w:pPr>
              <w:ind w:left="104"/>
              <w:rPr>
                <w:rFonts w:ascii="Times New Roman" w:eastAsia="Times New Roman" w:hAnsi="Times New Roman" w:cs="Times New Roman"/>
                <w:b/>
                <w:bCs/>
                <w:spacing w:val="-1"/>
                <w:lang w:val="hu-HU"/>
              </w:rPr>
            </w:pPr>
          </w:p>
          <w:p w14:paraId="3D4BF928" w14:textId="7A78A24B" w:rsidR="00130E8B" w:rsidRDefault="006D3A5D">
            <w:pPr>
              <w:pStyle w:val="1"/>
              <w:spacing w:before="76"/>
              <w:ind w:left="0" w:right="2736"/>
              <w:rPr>
                <w:rFonts w:eastAsiaTheme="minorEastAsia"/>
                <w:lang w:val="hu-HU" w:eastAsia="ko-KR"/>
              </w:rPr>
            </w:pPr>
            <w:r>
              <w:rPr>
                <w:rFonts w:eastAsiaTheme="minorEastAsia"/>
                <w:noProof/>
                <w:lang w:eastAsia="ko-KR"/>
              </w:rPr>
              <mc:AlternateContent>
                <mc:Choice Requires="wpg">
                  <w:drawing>
                    <wp:anchor distT="0" distB="0" distL="114300" distR="114300" simplePos="0" relativeHeight="251658274" behindDoc="1" locked="0" layoutInCell="1" allowOverlap="1" wp14:anchorId="7F31E8B2" wp14:editId="40D5F352">
                      <wp:simplePos x="0" y="0"/>
                      <wp:positionH relativeFrom="column">
                        <wp:posOffset>100272</wp:posOffset>
                      </wp:positionH>
                      <wp:positionV relativeFrom="paragraph">
                        <wp:posOffset>150495</wp:posOffset>
                      </wp:positionV>
                      <wp:extent cx="2094865" cy="4884256"/>
                      <wp:effectExtent l="0" t="0" r="635" b="0"/>
                      <wp:wrapTight wrapText="bothSides">
                        <wp:wrapPolygon edited="0">
                          <wp:start x="0" y="0"/>
                          <wp:lineTo x="0" y="20811"/>
                          <wp:lineTo x="13160" y="21485"/>
                          <wp:lineTo x="21214" y="21485"/>
                          <wp:lineTo x="21410" y="20811"/>
                          <wp:lineTo x="21410" y="0"/>
                          <wp:lineTo x="0" y="0"/>
                        </wp:wrapPolygon>
                      </wp:wrapTight>
                      <wp:docPr id="1049" name="그룹 1049"/>
                      <wp:cNvGraphicFramePr/>
                      <a:graphic xmlns:a="http://schemas.openxmlformats.org/drawingml/2006/main">
                        <a:graphicData uri="http://schemas.microsoft.com/office/word/2010/wordprocessingGroup">
                          <wpg:wgp>
                            <wpg:cNvGrpSpPr/>
                            <wpg:grpSpPr>
                              <a:xfrm>
                                <a:off x="0" y="0"/>
                                <a:ext cx="2094865" cy="4884256"/>
                                <a:chOff x="0" y="0"/>
                                <a:chExt cx="2094865" cy="4884256"/>
                              </a:xfrm>
                            </wpg:grpSpPr>
                            <wps:wsp>
                              <wps:cNvPr id="14" name="Text Box 15"/>
                              <wps:cNvSpPr txBox="1">
                                <a:spLocks noChangeArrowheads="1"/>
                              </wps:cNvSpPr>
                              <wps:spPr bwMode="auto">
                                <a:xfrm>
                                  <a:off x="1323109" y="4738255"/>
                                  <a:ext cx="719419" cy="1460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AC8C1F" w14:textId="1D7E40BE" w:rsidR="004A2986" w:rsidRDefault="004A2986">
                                    <w:pPr>
                                      <w:pStyle w:val="af0"/>
                                      <w:jc w:val="right"/>
                                      <w:rPr>
                                        <w:rFonts w:cs="Times New Roman"/>
                                        <w:noProof/>
                                      </w:rPr>
                                    </w:pPr>
                                    <w:r>
                                      <w:rPr>
                                        <w:rFonts w:ascii="Times New Roman" w:hAnsi="Times New Roman" w:cs="Times New Roman"/>
                                      </w:rPr>
                                      <w:t>J</w:t>
                                    </w:r>
                                    <w:r>
                                      <w:rPr>
                                        <w:rFonts w:ascii="Times New Roman" w:eastAsia="Times New Roman" w:hAnsi="Times New Roman" w:cs="Times New Roman"/>
                                        <w:lang w:val="hu-HU"/>
                                      </w:rPr>
                                      <w:t>. ábra</w:t>
                                    </w:r>
                                  </w:p>
                                </w:txbxContent>
                              </wps:txbx>
                              <wps:bodyPr rot="0" vert="horz" wrap="square" lIns="0" tIns="0" rIns="0" bIns="0" anchor="t" anchorCtr="0" upright="1">
                                <a:spAutoFit/>
                              </wps:bodyPr>
                            </wps:wsp>
                            <pic:pic xmlns:pic="http://schemas.openxmlformats.org/drawingml/2006/picture">
                              <pic:nvPicPr>
                                <pic:cNvPr id="1046" name="그림 20"/>
                                <pic:cNvPicPr>
                                  <a:picLocks noChangeAspect="1"/>
                                </pic:cNvPicPr>
                              </pic:nvPicPr>
                              <pic:blipFill rotWithShape="1">
                                <a:blip r:embed="rId91" cstate="print">
                                  <a:extLst>
                                    <a:ext uri="{28A0092B-C50C-407E-A947-70E740481C1C}">
                                      <a14:useLocalDpi xmlns:a14="http://schemas.microsoft.com/office/drawing/2010/main" val="0"/>
                                    </a:ext>
                                  </a:extLst>
                                </a:blip>
                                <a:srcRect/>
                                <a:stretch/>
                              </pic:blipFill>
                              <pic:spPr>
                                <a:xfrm>
                                  <a:off x="0" y="0"/>
                                  <a:ext cx="2094865" cy="4697730"/>
                                </a:xfrm>
                                <a:prstGeom prst="rect">
                                  <a:avLst/>
                                </a:prstGeom>
                              </pic:spPr>
                            </pic:pic>
                          </wpg:wgp>
                        </a:graphicData>
                      </a:graphic>
                    </wp:anchor>
                  </w:drawing>
                </mc:Choice>
                <mc:Fallback>
                  <w:pict>
                    <v:group w14:anchorId="7F31E8B2" id="그룹 1049" o:spid="_x0000_s1117" style="position:absolute;margin-left:7.9pt;margin-top:11.85pt;width:164.95pt;height:384.6pt;z-index:-251658206" coordsize="20948,48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">
                      <v:shape id="Text Box 15" o:spid="_x0000_s1118" type="#_x0000_t202" style="position:absolute;left:13231;top:47382;width:719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" stroked="f">
                        <v:textbox style="mso-fit-shape-to-text:t" inset="0,0,0,0">
                          <w:txbxContent>
                            <w:p w14:paraId="25AC8C1F" w14:textId="1D7E40BE" w:rsidR="004A2986" w:rsidRDefault="004A2986">
                              <w:pPr>
                                <w:pStyle w:val="af0"/>
                                <w:jc w:val="right"/>
                                <w:rPr>
                                  <w:rFonts w:cs="Times New Roman"/>
                                  <w:noProof/>
                                </w:rPr>
                              </w:pPr>
                              <w:r>
                                <w:rPr>
                                  <w:rFonts w:ascii="Times New Roman" w:hAnsi="Times New Roman" w:cs="Times New Roman"/>
                                </w:rPr>
                                <w:t>J</w:t>
                              </w:r>
                              <w:r>
                                <w:rPr>
                                  <w:rFonts w:ascii="Times New Roman" w:eastAsia="Times New Roman" w:hAnsi="Times New Roman" w:cs="Times New Roman"/>
                                  <w:lang w:val="hu-HU"/>
                                </w:rPr>
                                <w:t>. ábra</w:t>
                              </w:r>
                            </w:p>
                          </w:txbxContent>
                        </v:textbox>
                      </v:shape>
                      <v:shape id="그림 20" o:spid="_x0000_s1119" type="#_x0000_t75" style="position:absolute;width:20948;height:46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">
                        <v:imagedata r:id="rId92" o:title=""/>
                      </v:shape>
                      <w10:wrap type="tight"/>
                    </v:group>
                  </w:pict>
                </mc:Fallback>
              </mc:AlternateContent>
            </w:r>
          </w:p>
          <w:p w14:paraId="26A25251" w14:textId="1F641494" w:rsidR="00130E8B" w:rsidRDefault="00130E8B">
            <w:pPr>
              <w:pStyle w:val="a3"/>
              <w:rPr>
                <w:lang w:val="hu-HU"/>
              </w:rPr>
            </w:pPr>
          </w:p>
          <w:p w14:paraId="3C3CBEA6" w14:textId="606416A5" w:rsidR="00130E8B" w:rsidRDefault="00130E8B">
            <w:pPr>
              <w:pStyle w:val="Default"/>
              <w:rPr>
                <w:lang w:val="hu-HU"/>
              </w:rPr>
            </w:pPr>
          </w:p>
          <w:p w14:paraId="016ABC40" w14:textId="575ADF67" w:rsidR="00130E8B" w:rsidRDefault="000405CC">
            <w:pPr>
              <w:pStyle w:val="Default"/>
              <w:rPr>
                <w:lang w:val="hu-HU"/>
              </w:rPr>
            </w:pPr>
            <w:r>
              <w:rPr>
                <w:lang w:val="hu-HU"/>
              </w:rPr>
              <w:t xml:space="preserve"> </w:t>
            </w:r>
          </w:p>
          <w:p w14:paraId="76C4A3D6" w14:textId="79433269" w:rsidR="00130E8B" w:rsidRPr="005D79EA" w:rsidRDefault="000405CC">
            <w:pPr>
              <w:pStyle w:val="a3"/>
              <w:numPr>
                <w:ilvl w:val="0"/>
                <w:numId w:val="24"/>
              </w:numPr>
              <w:rPr>
                <w:b/>
                <w:lang w:val="hu-HU"/>
              </w:rPr>
            </w:pPr>
            <w:r w:rsidRPr="005D79EA">
              <w:rPr>
                <w:rFonts w:eastAsia="Times New Roman"/>
                <w:b/>
                <w:bCs/>
                <w:lang w:val="hu-HU"/>
              </w:rPr>
              <w:t xml:space="preserve">Az </w:t>
            </w:r>
            <w:r w:rsidRPr="001E2F31">
              <w:rPr>
                <w:rFonts w:eastAsia="Times New Roman"/>
                <w:b/>
                <w:lang w:val="hu-HU"/>
              </w:rPr>
              <w:t>injekció beadása</w:t>
            </w:r>
          </w:p>
          <w:p w14:paraId="70CE389C" w14:textId="3DFBC3ED" w:rsidR="00130E8B" w:rsidRDefault="00130E8B">
            <w:pPr>
              <w:pStyle w:val="a3"/>
              <w:rPr>
                <w:lang w:val="hu-HU"/>
              </w:rPr>
            </w:pPr>
          </w:p>
          <w:p w14:paraId="325EA565" w14:textId="640F796E" w:rsidR="00130E8B" w:rsidRDefault="000405CC">
            <w:pPr>
              <w:pStyle w:val="a3"/>
              <w:ind w:left="3960" w:hanging="3960"/>
              <w:rPr>
                <w:lang w:val="hu-HU"/>
              </w:rPr>
            </w:pPr>
            <w:r>
              <w:rPr>
                <w:rFonts w:eastAsia="Times New Roman"/>
                <w:b/>
                <w:bCs/>
                <w:lang w:val="hu-HU"/>
              </w:rPr>
              <w:t xml:space="preserve">     a. </w:t>
            </w:r>
            <w:r w:rsidRPr="005D79EA">
              <w:rPr>
                <w:rFonts w:eastAsia="Times New Roman"/>
                <w:b/>
                <w:bCs/>
                <w:lang w:val="hu-HU"/>
              </w:rPr>
              <w:t>H</w:t>
            </w:r>
            <w:r w:rsidRPr="001E2F31">
              <w:rPr>
                <w:rFonts w:eastAsia="Times New Roman"/>
                <w:b/>
                <w:lang w:val="hu-HU"/>
              </w:rPr>
              <w:t>atározottan</w:t>
            </w:r>
            <w:r>
              <w:rPr>
                <w:rFonts w:eastAsia="Times New Roman"/>
                <w:lang w:val="hu-HU"/>
              </w:rPr>
              <w:t xml:space="preserve"> nyomja az </w:t>
            </w:r>
            <w:r w:rsidRPr="001E2F31">
              <w:rPr>
                <w:rFonts w:eastAsia="Times New Roman"/>
                <w:bCs/>
                <w:lang w:val="hu-HU"/>
              </w:rPr>
              <w:t>előretöltött injekciós</w:t>
            </w:r>
            <w:r>
              <w:rPr>
                <w:rFonts w:eastAsia="Times New Roman"/>
                <w:b/>
                <w:bCs/>
                <w:lang w:val="hu-HU"/>
              </w:rPr>
              <w:t xml:space="preserve"> </w:t>
            </w:r>
            <w:r>
              <w:rPr>
                <w:rFonts w:eastAsia="Times New Roman"/>
                <w:lang w:val="hu-HU"/>
              </w:rPr>
              <w:t>tollat a bőrhöz</w:t>
            </w:r>
            <w:r w:rsidR="00520761">
              <w:rPr>
                <w:rFonts w:eastAsia="Times New Roman"/>
                <w:lang w:val="hu-HU"/>
              </w:rPr>
              <w:t>.</w:t>
            </w:r>
            <w:r>
              <w:rPr>
                <w:rFonts w:eastAsia="Times New Roman"/>
                <w:lang w:val="hu-HU"/>
              </w:rPr>
              <w:t xml:space="preserve"> Az injekció beadásának megkezdésekor </w:t>
            </w:r>
            <w:r w:rsidR="007C22AA" w:rsidRPr="00636D3D">
              <w:rPr>
                <w:rFonts w:eastAsia="Times New Roman"/>
                <w:lang w:val="hu-HU"/>
              </w:rPr>
              <w:t>egy</w:t>
            </w:r>
            <w:r>
              <w:rPr>
                <w:rFonts w:eastAsia="Times New Roman"/>
                <w:lang w:val="hu-HU"/>
              </w:rPr>
              <w:t>. hangos „kattanás” hallatszik</w:t>
            </w:r>
            <w:r>
              <w:rPr>
                <w:lang w:val="hu-HU"/>
              </w:rPr>
              <w:t xml:space="preserve"> </w:t>
            </w:r>
            <w:r>
              <w:rPr>
                <w:rFonts w:eastAsia="Times New Roman"/>
                <w:lang w:val="hu-HU"/>
              </w:rPr>
              <w:t>és a kék dugattyúrúd elkezdi feltölteni a</w:t>
            </w:r>
            <w:r>
              <w:rPr>
                <w:lang w:val="hu-HU"/>
              </w:rPr>
              <w:t xml:space="preserve"> </w:t>
            </w:r>
            <w:r w:rsidR="00520761">
              <w:rPr>
                <w:lang w:val="hu-HU"/>
              </w:rPr>
              <w:t xml:space="preserve">kijelző </w:t>
            </w:r>
            <w:r>
              <w:rPr>
                <w:rFonts w:eastAsia="Times New Roman"/>
                <w:lang w:val="hu-HU"/>
              </w:rPr>
              <w:t>ablakot.</w:t>
            </w:r>
          </w:p>
          <w:p w14:paraId="73FBDCBE" w14:textId="1F2066D9" w:rsidR="00130E8B" w:rsidRDefault="000405CC">
            <w:pPr>
              <w:pStyle w:val="a3"/>
              <w:rPr>
                <w:lang w:val="hu-HU"/>
              </w:rPr>
            </w:pPr>
            <w:r>
              <w:rPr>
                <w:lang w:val="hu-HU"/>
              </w:rPr>
              <w:t xml:space="preserve"> </w:t>
            </w:r>
          </w:p>
          <w:p w14:paraId="2050690D" w14:textId="40B269E5" w:rsidR="00130E8B" w:rsidRDefault="000405CC">
            <w:pPr>
              <w:pStyle w:val="a3"/>
              <w:numPr>
                <w:ilvl w:val="0"/>
                <w:numId w:val="0"/>
              </w:numPr>
              <w:ind w:left="3960" w:hanging="3960"/>
              <w:rPr>
                <w:lang w:val="hu-HU"/>
              </w:rPr>
            </w:pPr>
            <w:r>
              <w:rPr>
                <w:rFonts w:eastAsia="Times New Roman"/>
                <w:b/>
                <w:bCs/>
                <w:lang w:val="hu-HU"/>
              </w:rPr>
              <w:t xml:space="preserve">     b. T</w:t>
            </w:r>
            <w:r>
              <w:rPr>
                <w:rFonts w:eastAsia="Times New Roman"/>
                <w:lang w:val="hu-HU"/>
              </w:rPr>
              <w:t xml:space="preserve">artsa az előretöltött injekciós  tollat szorosan a bőrhöz nyomva, amíg meg nem hallja a </w:t>
            </w:r>
            <w:r w:rsidR="007C22AA" w:rsidRPr="00636D3D">
              <w:rPr>
                <w:rFonts w:eastAsia="Times New Roman"/>
                <w:lang w:val="hu-HU"/>
              </w:rPr>
              <w:t>második</w:t>
            </w:r>
            <w:r>
              <w:rPr>
                <w:rFonts w:eastAsia="Times New Roman"/>
                <w:lang w:val="hu-HU"/>
              </w:rPr>
              <w:t xml:space="preserve"> hangos „kattanást”.</w:t>
            </w:r>
          </w:p>
          <w:p w14:paraId="47DACD4C" w14:textId="5CC97487" w:rsidR="00130E8B" w:rsidRDefault="00130E8B">
            <w:pPr>
              <w:pStyle w:val="a3"/>
              <w:numPr>
                <w:ilvl w:val="0"/>
                <w:numId w:val="0"/>
              </w:numPr>
              <w:rPr>
                <w:lang w:val="hu-HU"/>
              </w:rPr>
            </w:pPr>
          </w:p>
          <w:p w14:paraId="3002B194" w14:textId="57234974" w:rsidR="00130E8B" w:rsidRDefault="00A66FEF">
            <w:pPr>
              <w:pStyle w:val="a3"/>
              <w:ind w:left="3960" w:hanging="3960"/>
              <w:rPr>
                <w:lang w:val="hu-HU"/>
              </w:rPr>
            </w:pPr>
            <w:r>
              <w:rPr>
                <w:rFonts w:asciiTheme="minorHAnsi" w:hAnsiTheme="minorHAnsi" w:cstheme="minorBidi"/>
                <w:noProof/>
                <w:lang w:eastAsia="ko-KR"/>
              </w:rPr>
              <mc:AlternateContent>
                <mc:Choice Requires="wps">
                  <w:drawing>
                    <wp:anchor distT="0" distB="0" distL="114300" distR="114300" simplePos="0" relativeHeight="251658259" behindDoc="0" locked="0" layoutInCell="1" allowOverlap="1" wp14:anchorId="360A83C9" wp14:editId="40A26E07">
                      <wp:simplePos x="0" y="0"/>
                      <wp:positionH relativeFrom="column">
                        <wp:posOffset>-2043430</wp:posOffset>
                      </wp:positionH>
                      <wp:positionV relativeFrom="paragraph">
                        <wp:posOffset>590550</wp:posOffset>
                      </wp:positionV>
                      <wp:extent cx="810895" cy="828040"/>
                      <wp:effectExtent l="19050" t="19050" r="27305" b="10160"/>
                      <wp:wrapNone/>
                      <wp:docPr id="1040" name="12-Point Star 10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0895" cy="828040"/>
                              </a:xfrm>
                              <a:prstGeom prst="star12">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983A1A" w14:textId="77777777" w:rsidR="004A2986" w:rsidRDefault="004A2986">
                                  <w:pPr>
                                    <w:jc w:val="center"/>
                                    <w:rPr>
                                      <w:rFonts w:asciiTheme="majorBidi" w:hAnsiTheme="majorBidi" w:cstheme="majorBidi"/>
                                      <w:sz w:val="28"/>
                                      <w:szCs w:val="28"/>
                                    </w:rPr>
                                  </w:pPr>
                                  <w:r>
                                    <w:rPr>
                                      <w:rFonts w:ascii="Times New Roman" w:eastAsia="Times New Roman" w:hAnsi="Times New Roman" w:cs="Times New Roman"/>
                                      <w:sz w:val="28"/>
                                      <w:szCs w:val="28"/>
                                      <w:lang w:val="hu-HU"/>
                                    </w:rPr>
                                    <w:t xml:space="preserve">2. </w:t>
                                  </w:r>
                                  <w:r>
                                    <w:rPr>
                                      <w:rFonts w:ascii="Times New Roman" w:eastAsia="Times New Roman" w:hAnsi="Times New Roman" w:cs="Times New Roman"/>
                                      <w:sz w:val="28"/>
                                      <w:szCs w:val="28"/>
                                      <w:lang w:val="hu-HU"/>
                                    </w:rPr>
                                    <w:t>kattantás</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360A83C9" id="12-Point Star 1040" o:spid="_x0000_s1120" style="position:absolute;left:0;text-align:left;margin-left:-160.9pt;margin-top:46.5pt;width:63.85pt;height:65.2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810895,828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" adj="-11796480,,5400" path="m,414020l111723,333653,54320,207010,190426,194453,202724,55468r124020,58618l405448,r78703,114086l608171,55468r12298,138985l756575,207010,699172,333653r111723,80367l699172,494387r57403,126643l620469,633587,608171,772572,484151,713954,405448,828040,326744,713954,202724,772572,190426,633587,54320,621030,111723,494387,,414020xe" fillcolor="black [3213]" strokecolor="black [3213]" strokeweight="2pt">
                      <v:stroke joinstyle="miter"/>
                      <v:formulas/>
                      <v:path arrowok="t" o:connecttype="custom" o:connectlocs="0,414020;111723,333653;54320,207010;190426,194453;202724,55468;326744,114086;405448,0;484151,114086;608171,55468;620469,194453;756575,207010;699172,333653;810895,414020;699172,494387;756575,621030;620469,633587;608171,772572;484151,713954;405448,828040;326744,713954;202724,772572;190426,633587;54320,621030;111723,494387;0,414020" o:connectangles="0,0,0,0,0,0,0,0,0,0,0,0,0,0,0,0,0,0,0,0,0,0,0,0,0" textboxrect="0,0,810895,828040"/>
                      <v:textbox inset="0,0,0,0">
                        <w:txbxContent>
                          <w:p w14:paraId="70983A1A" w14:textId="77777777" w:rsidR="004A2986" w:rsidRDefault="004A2986">
                            <w:pPr>
                              <w:jc w:val="center"/>
                              <w:rPr>
                                <w:rFonts w:asciiTheme="majorBidi" w:hAnsiTheme="majorBidi" w:cstheme="majorBidi"/>
                                <w:sz w:val="28"/>
                                <w:szCs w:val="28"/>
                              </w:rPr>
                            </w:pPr>
                            <w:r>
                              <w:rPr>
                                <w:rFonts w:ascii="Times New Roman" w:eastAsia="Times New Roman" w:hAnsi="Times New Roman" w:cs="Times New Roman"/>
                                <w:sz w:val="28"/>
                                <w:szCs w:val="28"/>
                                <w:lang w:val="hu-HU"/>
                              </w:rPr>
                              <w:t xml:space="preserve">2. </w:t>
                            </w:r>
                            <w:r>
                              <w:rPr>
                                <w:rFonts w:ascii="Times New Roman" w:eastAsia="Times New Roman" w:hAnsi="Times New Roman" w:cs="Times New Roman"/>
                                <w:sz w:val="28"/>
                                <w:szCs w:val="28"/>
                                <w:lang w:val="hu-HU"/>
                              </w:rPr>
                              <w:t>kattantás</w:t>
                            </w:r>
                          </w:p>
                        </w:txbxContent>
                      </v:textbox>
                    </v:shape>
                  </w:pict>
                </mc:Fallback>
              </mc:AlternateContent>
            </w:r>
            <w:r w:rsidR="000405CC">
              <w:rPr>
                <w:rFonts w:eastAsia="Times New Roman"/>
                <w:b/>
                <w:bCs/>
                <w:lang w:val="hu-HU"/>
              </w:rPr>
              <w:t xml:space="preserve">     c. M</w:t>
            </w:r>
            <w:r w:rsidR="000405CC">
              <w:rPr>
                <w:rFonts w:eastAsia="Times New Roman"/>
                <w:lang w:val="hu-HU"/>
              </w:rPr>
              <w:t xml:space="preserve">iután meghallja a </w:t>
            </w:r>
            <w:r w:rsidR="007C22AA" w:rsidRPr="00636D3D">
              <w:rPr>
                <w:rFonts w:eastAsia="Times New Roman"/>
                <w:lang w:val="hu-HU"/>
              </w:rPr>
              <w:t>második</w:t>
            </w:r>
            <w:r w:rsidR="000405CC">
              <w:rPr>
                <w:rFonts w:eastAsia="Times New Roman"/>
                <w:lang w:val="hu-HU"/>
              </w:rPr>
              <w:t>. hangos „kattanást”, továbbra is nyomja határozottan a bőrhöz</w:t>
            </w:r>
            <w:r w:rsidR="000405CC">
              <w:rPr>
                <w:lang w:val="hu-HU"/>
              </w:rPr>
              <w:t xml:space="preserve"> </w:t>
            </w:r>
            <w:r w:rsidR="000405CC">
              <w:rPr>
                <w:rFonts w:eastAsia="Times New Roman"/>
                <w:lang w:val="hu-HU"/>
              </w:rPr>
              <w:t xml:space="preserve">az előretöltött injekciós tollat , és lassan számoljon el </w:t>
            </w:r>
            <w:r w:rsidR="007C22AA" w:rsidRPr="00636D3D">
              <w:rPr>
                <w:rFonts w:eastAsia="Times New Roman" w:hint="eastAsia"/>
                <w:lang w:val="hu-HU"/>
              </w:rPr>
              <w:t>ö</w:t>
            </w:r>
            <w:r w:rsidR="007C22AA" w:rsidRPr="00636D3D">
              <w:rPr>
                <w:rFonts w:eastAsia="Times New Roman"/>
                <w:lang w:val="hu-HU"/>
              </w:rPr>
              <w:t>t</w:t>
            </w:r>
            <w:r w:rsidR="000405CC">
              <w:rPr>
                <w:rFonts w:eastAsia="Times New Roman"/>
                <w:lang w:val="hu-HU"/>
              </w:rPr>
              <w:t>-ig, hogy biztosan beadja a teljes adagot.</w:t>
            </w:r>
            <w:r w:rsidR="000405CC">
              <w:rPr>
                <w:rFonts w:eastAsia="Times New Roman"/>
                <w:color w:val="211D1E"/>
                <w:sz w:val="20"/>
                <w:szCs w:val="20"/>
                <w:lang w:val="hu-HU"/>
              </w:rPr>
              <w:t xml:space="preserve"> </w:t>
            </w:r>
          </w:p>
          <w:p w14:paraId="726353DA" w14:textId="72CC171F" w:rsidR="00130E8B" w:rsidRDefault="00130E8B">
            <w:pPr>
              <w:pStyle w:val="a3"/>
              <w:rPr>
                <w:color w:val="211D1E"/>
                <w:sz w:val="20"/>
                <w:szCs w:val="20"/>
                <w:lang w:val="hu-HU"/>
              </w:rPr>
            </w:pPr>
          </w:p>
          <w:p w14:paraId="6794D146" w14:textId="77777777" w:rsidR="00130E8B" w:rsidRDefault="00130E8B">
            <w:pPr>
              <w:pStyle w:val="a3"/>
              <w:rPr>
                <w:color w:val="211D1E"/>
                <w:sz w:val="20"/>
                <w:szCs w:val="20"/>
                <w:lang w:val="hu-HU"/>
              </w:rPr>
            </w:pPr>
          </w:p>
          <w:p w14:paraId="532D46AA" w14:textId="77777777" w:rsidR="00130E8B" w:rsidRDefault="000405CC">
            <w:pPr>
              <w:pStyle w:val="a3"/>
              <w:numPr>
                <w:ilvl w:val="0"/>
                <w:numId w:val="19"/>
              </w:numPr>
              <w:ind w:left="4410" w:hanging="3786"/>
              <w:rPr>
                <w:color w:val="211D1E"/>
                <w:sz w:val="20"/>
                <w:szCs w:val="20"/>
                <w:lang w:val="hu-HU"/>
              </w:rPr>
            </w:pPr>
            <w:r>
              <w:rPr>
                <w:rFonts w:eastAsia="Times New Roman"/>
                <w:b/>
                <w:bCs/>
                <w:lang w:val="hu-HU"/>
              </w:rPr>
              <w:t xml:space="preserve">Az </w:t>
            </w:r>
            <w:r>
              <w:rPr>
                <w:rFonts w:eastAsia="Times New Roman"/>
                <w:lang w:val="hu-HU"/>
              </w:rPr>
              <w:t>injekció beadása után ne változtassa meg az előretöltött injekciós toll helyzetét.</w:t>
            </w:r>
          </w:p>
          <w:p w14:paraId="0AFCD89A" w14:textId="47A6362A" w:rsidR="00130E8B" w:rsidRDefault="00130E8B">
            <w:pPr>
              <w:pStyle w:val="a3"/>
              <w:rPr>
                <w:color w:val="211D1E"/>
                <w:sz w:val="20"/>
                <w:szCs w:val="20"/>
                <w:lang w:val="hu-HU"/>
              </w:rPr>
            </w:pPr>
          </w:p>
        </w:tc>
      </w:tr>
      <w:tr w:rsidR="00130E8B" w:rsidRPr="00BE4D18" w14:paraId="772CD35E" w14:textId="77777777">
        <w:trPr>
          <w:trHeight w:val="6463"/>
        </w:trPr>
        <w:tc>
          <w:tcPr>
            <w:tcW w:w="9581" w:type="dxa"/>
          </w:tcPr>
          <w:p w14:paraId="3DCE7F70" w14:textId="77777777" w:rsidR="00130E8B" w:rsidRDefault="00130E8B">
            <w:pPr>
              <w:ind w:left="104"/>
              <w:rPr>
                <w:rFonts w:ascii="Times New Roman" w:eastAsia="Times New Roman" w:hAnsi="Times New Roman" w:cs="Times New Roman"/>
                <w:b/>
                <w:bCs/>
                <w:spacing w:val="-1"/>
                <w:lang w:val="hu-HU"/>
              </w:rPr>
            </w:pPr>
          </w:p>
          <w:p w14:paraId="35FBB9D7" w14:textId="77777777" w:rsidR="00130E8B" w:rsidRDefault="00130E8B">
            <w:pPr>
              <w:ind w:left="104"/>
              <w:rPr>
                <w:rFonts w:ascii="Times New Roman" w:eastAsia="Times New Roman" w:hAnsi="Times New Roman" w:cs="Times New Roman"/>
                <w:lang w:val="hu-HU"/>
              </w:rPr>
            </w:pPr>
          </w:p>
          <w:p w14:paraId="151531E5" w14:textId="77777777" w:rsidR="00130E8B" w:rsidRDefault="00A66FEF">
            <w:pPr>
              <w:pStyle w:val="a3"/>
              <w:rPr>
                <w:lang w:val="hu-HU"/>
              </w:rPr>
            </w:pPr>
            <w:r>
              <w:rPr>
                <w:noProof/>
                <w:lang w:eastAsia="ko-KR"/>
              </w:rPr>
              <mc:AlternateContent>
                <mc:Choice Requires="wpg">
                  <w:drawing>
                    <wp:anchor distT="0" distB="0" distL="114300" distR="114300" simplePos="0" relativeHeight="251658242" behindDoc="0" locked="0" layoutInCell="1" allowOverlap="1" wp14:anchorId="497D472C" wp14:editId="3A1363E8">
                      <wp:simplePos x="0" y="0"/>
                      <wp:positionH relativeFrom="column">
                        <wp:posOffset>23495</wp:posOffset>
                      </wp:positionH>
                      <wp:positionV relativeFrom="paragraph">
                        <wp:posOffset>59690</wp:posOffset>
                      </wp:positionV>
                      <wp:extent cx="1905000" cy="2247900"/>
                      <wp:effectExtent l="10795" t="12700" r="8255" b="0"/>
                      <wp:wrapSquare wrapText="bothSides"/>
                      <wp:docPr id="31" name="그룹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0" cy="2247900"/>
                                <a:chOff x="0" y="0"/>
                                <a:chExt cx="19050" cy="22479"/>
                              </a:xfrm>
                            </wpg:grpSpPr>
                            <pic:pic xmlns:pic="http://schemas.openxmlformats.org/drawingml/2006/picture">
                              <pic:nvPicPr>
                                <pic:cNvPr id="32" name="그림 172"/>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050" cy="20923"/>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s:wsp>
                              <wps:cNvPr id="39" name="Text Box 16"/>
                              <wps:cNvSpPr txBox="1">
                                <a:spLocks noChangeArrowheads="1"/>
                              </wps:cNvSpPr>
                              <wps:spPr bwMode="auto">
                                <a:xfrm>
                                  <a:off x="13335" y="21082"/>
                                  <a:ext cx="5715" cy="1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DCBD94" w14:textId="08214196" w:rsidR="004A2986" w:rsidRDefault="004A2986">
                                    <w:pPr>
                                      <w:pStyle w:val="af0"/>
                                      <w:jc w:val="right"/>
                                      <w:rPr>
                                        <w:noProof/>
                                      </w:rPr>
                                    </w:pPr>
                                    <w:r>
                                      <w:rPr>
                                        <w:rFonts w:ascii="Times New Roman" w:hAnsi="Times New Roman" w:cs="Times New Roman"/>
                                      </w:rPr>
                                      <w:t xml:space="preserve">K. </w:t>
                                    </w:r>
                                    <w:r>
                                      <w:rPr>
                                        <w:rFonts w:ascii="Times New Roman" w:eastAsia="Times New Roman" w:hAnsi="Times New Roman" w:cs="Times New Roman"/>
                                        <w:lang w:val="hu-HU"/>
                                      </w:rPr>
                                      <w:t>ábra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7D472C" id="그룹 23" o:spid="_x0000_s1121" style="position:absolute;margin-left:1.85pt;margin-top:4.7pt;width:150pt;height:177pt;z-index:251658242" coordsize="19050,224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">
                      <v:shape id="그림 172" o:spid="_x0000_s1122" type="#_x0000_t75" style="position:absolute;width:19050;height:20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" stroked="t" strokecolor="black [3213]">
                        <v:imagedata r:id="rId94" o:title=""/>
                        <v:path arrowok="t"/>
                      </v:shape>
                      <v:shape id="Text Box 16" o:spid="_x0000_s1123" type="#_x0000_t202" style="position:absolute;left:13335;top:21082;width:571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" stroked="f">
                        <v:textbox inset="0,0,0,0">
                          <w:txbxContent>
                            <w:p w14:paraId="1CDCBD94" w14:textId="08214196" w:rsidR="004A2986" w:rsidRDefault="004A2986">
                              <w:pPr>
                                <w:pStyle w:val="af0"/>
                                <w:jc w:val="right"/>
                                <w:rPr>
                                  <w:noProof/>
                                </w:rPr>
                              </w:pPr>
                              <w:r>
                                <w:rPr>
                                  <w:rFonts w:ascii="Times New Roman" w:hAnsi="Times New Roman" w:cs="Times New Roman"/>
                                </w:rPr>
                                <w:t xml:space="preserve">K. </w:t>
                              </w:r>
                              <w:r>
                                <w:rPr>
                                  <w:rFonts w:ascii="Times New Roman" w:eastAsia="Times New Roman" w:hAnsi="Times New Roman" w:cs="Times New Roman"/>
                                  <w:lang w:val="hu-HU"/>
                                </w:rPr>
                                <w:t>ábra</w:t>
                              </w:r>
                            </w:p>
                          </w:txbxContent>
                        </v:textbox>
                      </v:shape>
                      <w10:wrap type="square"/>
                    </v:group>
                  </w:pict>
                </mc:Fallback>
              </mc:AlternateContent>
            </w:r>
          </w:p>
          <w:p w14:paraId="6927C7ED" w14:textId="2F31236D" w:rsidR="00130E8B" w:rsidRDefault="000405CC">
            <w:pPr>
              <w:pStyle w:val="a3"/>
              <w:numPr>
                <w:ilvl w:val="0"/>
                <w:numId w:val="24"/>
              </w:numPr>
              <w:rPr>
                <w:b/>
                <w:lang w:val="hu-HU"/>
              </w:rPr>
            </w:pPr>
            <w:r>
              <w:rPr>
                <w:rFonts w:eastAsia="Times New Roman"/>
                <w:b/>
                <w:bCs/>
                <w:lang w:val="hu-HU"/>
              </w:rPr>
              <w:t>Távolítsa el előretöltött injekciós tollat az injekció beadási helyéről és lássa el az injekció beadási helyét</w:t>
            </w:r>
          </w:p>
          <w:p w14:paraId="362DAF9B" w14:textId="77777777" w:rsidR="00130E8B" w:rsidRDefault="00130E8B">
            <w:pPr>
              <w:pStyle w:val="a3"/>
              <w:numPr>
                <w:ilvl w:val="0"/>
                <w:numId w:val="0"/>
              </w:numPr>
              <w:ind w:left="471"/>
              <w:rPr>
                <w:b/>
                <w:lang w:val="hu-HU"/>
              </w:rPr>
            </w:pPr>
          </w:p>
          <w:p w14:paraId="11B6A55A" w14:textId="0B28CF23" w:rsidR="00130E8B" w:rsidRDefault="000405CC">
            <w:pPr>
              <w:pStyle w:val="a3"/>
              <w:ind w:left="3780" w:hanging="3780"/>
              <w:rPr>
                <w:lang w:val="hu-HU"/>
              </w:rPr>
            </w:pPr>
            <w:r>
              <w:rPr>
                <w:rFonts w:eastAsia="Times New Roman"/>
                <w:b/>
                <w:bCs/>
                <w:lang w:val="hu-HU"/>
              </w:rPr>
              <w:t xml:space="preserve">     a. </w:t>
            </w:r>
            <w:r>
              <w:rPr>
                <w:rFonts w:eastAsia="Times New Roman"/>
                <w:lang w:val="hu-HU"/>
              </w:rPr>
              <w:t>Nézze meg az előretöltött tollat, és ellenőrizze, hogy szürke tetejű kék dugattyúrúd teljesen feltölti</w:t>
            </w:r>
            <w:r w:rsidR="00236576">
              <w:rPr>
                <w:rFonts w:eastAsia="Times New Roman"/>
                <w:lang w:val="hu-HU"/>
              </w:rPr>
              <w:t>-e a kijelző</w:t>
            </w:r>
            <w:r>
              <w:rPr>
                <w:rFonts w:eastAsia="Times New Roman"/>
                <w:lang w:val="hu-HU"/>
              </w:rPr>
              <w:t xml:space="preserve"> ablakot.</w:t>
            </w:r>
          </w:p>
          <w:p w14:paraId="26F23195" w14:textId="379F3095" w:rsidR="00130E8B" w:rsidRDefault="000405CC">
            <w:pPr>
              <w:pStyle w:val="a3"/>
              <w:ind w:left="3780" w:hanging="3780"/>
              <w:rPr>
                <w:lang w:val="hu-HU"/>
              </w:rPr>
            </w:pPr>
            <w:r>
              <w:rPr>
                <w:rFonts w:eastAsia="Times New Roman"/>
                <w:b/>
                <w:bCs/>
                <w:lang w:val="hu-HU"/>
              </w:rPr>
              <w:t xml:space="preserve">     b. </w:t>
            </w:r>
            <w:r>
              <w:rPr>
                <w:rFonts w:eastAsia="Times New Roman"/>
                <w:lang w:val="hu-HU"/>
              </w:rPr>
              <w:t>Távolítsa el az előretöltött fecskendőt a bőréről.</w:t>
            </w:r>
          </w:p>
          <w:p w14:paraId="3464EA56" w14:textId="77777777" w:rsidR="00130E8B" w:rsidRDefault="00130E8B">
            <w:pPr>
              <w:pStyle w:val="a3"/>
              <w:rPr>
                <w:lang w:val="hu-HU"/>
              </w:rPr>
            </w:pPr>
          </w:p>
          <w:p w14:paraId="1E7EAA7A" w14:textId="77777777" w:rsidR="00130E8B" w:rsidRDefault="000405CC">
            <w:pPr>
              <w:pStyle w:val="a3"/>
              <w:numPr>
                <w:ilvl w:val="0"/>
                <w:numId w:val="0"/>
              </w:numPr>
              <w:tabs>
                <w:tab w:val="left" w:pos="3153"/>
                <w:tab w:val="left" w:pos="3294"/>
              </w:tabs>
              <w:rPr>
                <w:rFonts w:asciiTheme="majorBidi" w:hAnsiTheme="majorBidi" w:cstheme="majorBidi"/>
                <w:lang w:val="hu-HU"/>
              </w:rPr>
            </w:pPr>
            <w:r>
              <w:rPr>
                <w:rFonts w:asciiTheme="majorBidi" w:eastAsia="맑은 고딕" w:hAnsiTheme="majorBidi" w:cstheme="majorBidi"/>
                <w:lang w:val="hu-HU"/>
              </w:rPr>
              <w:t xml:space="preserve">• Miután </w:t>
            </w:r>
            <w:r>
              <w:rPr>
                <w:rFonts w:asciiTheme="majorBidi" w:eastAsia="Times New Roman" w:hAnsiTheme="majorBidi" w:cstheme="majorBidi"/>
                <w:lang w:val="hu-HU"/>
              </w:rPr>
              <w:t xml:space="preserve">eltávolította </w:t>
            </w:r>
            <w:r>
              <w:rPr>
                <w:rFonts w:asciiTheme="majorBidi" w:eastAsia="맑은 고딕" w:hAnsiTheme="majorBidi" w:cstheme="majorBidi"/>
                <w:lang w:val="hu-HU"/>
              </w:rPr>
              <w:t xml:space="preserve">az </w:t>
            </w:r>
            <w:r>
              <w:rPr>
                <w:rFonts w:asciiTheme="majorBidi" w:eastAsia="Times New Roman" w:hAnsiTheme="majorBidi" w:cstheme="majorBidi"/>
                <w:lang w:val="hu-HU"/>
              </w:rPr>
              <w:t>előretöltött tollat</w:t>
            </w:r>
            <w:r>
              <w:rPr>
                <w:rFonts w:asciiTheme="majorBidi" w:eastAsia="맑은 고딕" w:hAnsiTheme="majorBidi" w:cstheme="majorBidi"/>
                <w:lang w:val="hu-HU"/>
              </w:rPr>
              <w:t xml:space="preserve"> az</w:t>
            </w:r>
            <w:r>
              <w:rPr>
                <w:rFonts w:asciiTheme="majorBidi" w:eastAsia="Times New Roman" w:hAnsiTheme="majorBidi" w:cstheme="majorBidi"/>
                <w:lang w:val="hu-HU"/>
              </w:rPr>
              <w:t xml:space="preserve"> injekció beadási helyéről,</w:t>
            </w:r>
            <w:r>
              <w:rPr>
                <w:rFonts w:asciiTheme="majorBidi" w:eastAsia="맑은 고딕" w:hAnsiTheme="majorBidi" w:cstheme="majorBidi"/>
                <w:lang w:val="hu-HU"/>
              </w:rPr>
              <w:t xml:space="preserve"> a </w:t>
            </w:r>
            <w:r>
              <w:rPr>
                <w:rFonts w:asciiTheme="majorBidi" w:eastAsia="Times New Roman" w:hAnsiTheme="majorBidi" w:cstheme="majorBidi"/>
                <w:lang w:val="hu-HU"/>
              </w:rPr>
              <w:t xml:space="preserve">tűvédő </w:t>
            </w:r>
            <w:r>
              <w:rPr>
                <w:rFonts w:asciiTheme="majorBidi" w:eastAsia="맑은 고딕" w:hAnsiTheme="majorBidi" w:cstheme="majorBidi"/>
                <w:lang w:val="hu-HU"/>
              </w:rPr>
              <w:t>automatikusan befedi a tűt. N</w:t>
            </w:r>
            <w:r>
              <w:rPr>
                <w:rFonts w:asciiTheme="majorBidi" w:eastAsia="Times New Roman" w:hAnsiTheme="majorBidi" w:cstheme="majorBidi"/>
                <w:b/>
                <w:bCs/>
                <w:lang w:val="hu-HU"/>
              </w:rPr>
              <w:t>e</w:t>
            </w:r>
            <w:r>
              <w:rPr>
                <w:rFonts w:asciiTheme="majorBidi" w:eastAsia="Times New Roman" w:hAnsiTheme="majorBidi" w:cstheme="majorBidi"/>
                <w:lang w:val="hu-HU"/>
              </w:rPr>
              <w:t xml:space="preserve"> tegye vissza a tűvédő tokot a tollra.</w:t>
            </w:r>
          </w:p>
          <w:p w14:paraId="7C5EDDDD" w14:textId="77777777" w:rsidR="00130E8B" w:rsidRDefault="00130E8B">
            <w:pPr>
              <w:pStyle w:val="a3"/>
              <w:rPr>
                <w:lang w:val="hu-HU"/>
              </w:rPr>
            </w:pPr>
          </w:p>
          <w:p w14:paraId="5E72556E" w14:textId="77777777" w:rsidR="00130E8B" w:rsidRDefault="00130E8B">
            <w:pPr>
              <w:pStyle w:val="a3"/>
              <w:rPr>
                <w:lang w:val="hu-HU"/>
              </w:rPr>
            </w:pPr>
          </w:p>
          <w:p w14:paraId="63443766" w14:textId="711786D0" w:rsidR="00130E8B" w:rsidRDefault="006D3A5D">
            <w:pPr>
              <w:pStyle w:val="a3"/>
              <w:rPr>
                <w:lang w:val="hu-HU"/>
              </w:rPr>
            </w:pPr>
            <w:r>
              <w:rPr>
                <w:noProof/>
                <w:lang w:eastAsia="ko-KR"/>
              </w:rPr>
              <mc:AlternateContent>
                <mc:Choice Requires="wpg">
                  <w:drawing>
                    <wp:anchor distT="0" distB="0" distL="114300" distR="114300" simplePos="0" relativeHeight="251658275" behindDoc="1" locked="0" layoutInCell="1" allowOverlap="1" wp14:anchorId="54CA163C" wp14:editId="18998A7F">
                      <wp:simplePos x="0" y="0"/>
                      <wp:positionH relativeFrom="column">
                        <wp:posOffset>10795</wp:posOffset>
                      </wp:positionH>
                      <wp:positionV relativeFrom="paragraph">
                        <wp:posOffset>263525</wp:posOffset>
                      </wp:positionV>
                      <wp:extent cx="1917700" cy="1824355"/>
                      <wp:effectExtent l="0" t="0" r="6350" b="4445"/>
                      <wp:wrapTight wrapText="bothSides">
                        <wp:wrapPolygon edited="0">
                          <wp:start x="0" y="0"/>
                          <wp:lineTo x="0" y="18946"/>
                          <wp:lineTo x="15020" y="21427"/>
                          <wp:lineTo x="21457" y="21427"/>
                          <wp:lineTo x="21457" y="0"/>
                          <wp:lineTo x="0" y="0"/>
                        </wp:wrapPolygon>
                      </wp:wrapTight>
                      <wp:docPr id="1053" name="그룹 1053"/>
                      <wp:cNvGraphicFramePr/>
                      <a:graphic xmlns:a="http://schemas.openxmlformats.org/drawingml/2006/main">
                        <a:graphicData uri="http://schemas.microsoft.com/office/word/2010/wordprocessingGroup">
                          <wpg:wgp>
                            <wpg:cNvGrpSpPr/>
                            <wpg:grpSpPr>
                              <a:xfrm>
                                <a:off x="0" y="0"/>
                                <a:ext cx="1917700" cy="1824355"/>
                                <a:chOff x="0" y="0"/>
                                <a:chExt cx="1917717" cy="1824955"/>
                              </a:xfrm>
                            </wpg:grpSpPr>
                            <wps:wsp>
                              <wps:cNvPr id="66" name="Text Box 17"/>
                              <wps:cNvSpPr txBox="1">
                                <a:spLocks noChangeArrowheads="1"/>
                              </wps:cNvSpPr>
                              <wps:spPr bwMode="auto">
                                <a:xfrm>
                                  <a:off x="1371600" y="1593850"/>
                                  <a:ext cx="546117" cy="231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42D8B1" w14:textId="7A654594" w:rsidR="004A2986" w:rsidRDefault="004A2986">
                                    <w:pPr>
                                      <w:pStyle w:val="af0"/>
                                      <w:jc w:val="right"/>
                                      <w:rPr>
                                        <w:noProof/>
                                      </w:rPr>
                                    </w:pPr>
                                    <w:r>
                                      <w:rPr>
                                        <w:rFonts w:ascii="Times New Roman" w:hAnsi="Times New Roman" w:cs="Times New Roman"/>
                                      </w:rPr>
                                      <w:t xml:space="preserve">L. </w:t>
                                    </w:r>
                                    <w:r>
                                      <w:rPr>
                                        <w:rFonts w:ascii="Times New Roman" w:eastAsia="Times New Roman" w:hAnsi="Times New Roman" w:cs="Times New Roman"/>
                                        <w:lang w:val="hu-HU"/>
                                      </w:rPr>
                                      <w:t>ábra</w:t>
                                    </w:r>
                                  </w:p>
                                </w:txbxContent>
                              </wps:txbx>
                              <wps:bodyPr rot="0" vert="horz" wrap="square" lIns="0" tIns="0" rIns="0" bIns="0" anchor="t" anchorCtr="0" upright="1">
                                <a:noAutofit/>
                              </wps:bodyPr>
                            </wps:wsp>
                            <pic:pic xmlns:pic="http://schemas.openxmlformats.org/drawingml/2006/picture">
                              <pic:nvPicPr>
                                <pic:cNvPr id="1052" name="그림 1"/>
                                <pic:cNvPicPr>
                                  <a:picLocks noChangeAspect="1"/>
                                </pic:cNvPicPr>
                              </pic:nvPicPr>
                              <pic:blipFill rotWithShape="1">
                                <a:blip r:embed="rId95" cstate="print">
                                  <a:extLst>
                                    <a:ext uri="{28A0092B-C50C-407E-A947-70E740481C1C}">
                                      <a14:useLocalDpi xmlns:a14="http://schemas.microsoft.com/office/drawing/2010/main" val="0"/>
                                    </a:ext>
                                  </a:extLst>
                                </a:blip>
                                <a:srcRect/>
                                <a:stretch/>
                              </pic:blipFill>
                              <pic:spPr>
                                <a:xfrm>
                                  <a:off x="0" y="0"/>
                                  <a:ext cx="1915160" cy="1593850"/>
                                </a:xfrm>
                                <a:prstGeom prst="rect">
                                  <a:avLst/>
                                </a:prstGeom>
                              </pic:spPr>
                            </pic:pic>
                          </wpg:wgp>
                        </a:graphicData>
                      </a:graphic>
                    </wp:anchor>
                  </w:drawing>
                </mc:Choice>
                <mc:Fallback>
                  <w:pict>
                    <v:group w14:anchorId="54CA163C" id="그룹 1053" o:spid="_x0000_s1124" style="position:absolute;margin-left:.85pt;margin-top:20.75pt;width:151pt;height:143.65pt;z-index:-251658205" coordsize="19177,18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">
                      <v:shape id="Text Box 17" o:spid="_x0000_s1125" type="#_x0000_t202" style="position:absolute;left:13716;top:15938;width:5461;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" stroked="f">
                        <v:textbox inset="0,0,0,0">
                          <w:txbxContent>
                            <w:p w14:paraId="4B42D8B1" w14:textId="7A654594" w:rsidR="004A2986" w:rsidRDefault="004A2986">
                              <w:pPr>
                                <w:pStyle w:val="af0"/>
                                <w:jc w:val="right"/>
                                <w:rPr>
                                  <w:noProof/>
                                </w:rPr>
                              </w:pPr>
                              <w:r>
                                <w:rPr>
                                  <w:rFonts w:ascii="Times New Roman" w:hAnsi="Times New Roman" w:cs="Times New Roman"/>
                                </w:rPr>
                                <w:t xml:space="preserve">L. </w:t>
                              </w:r>
                              <w:r>
                                <w:rPr>
                                  <w:rFonts w:ascii="Times New Roman" w:eastAsia="Times New Roman" w:hAnsi="Times New Roman" w:cs="Times New Roman"/>
                                  <w:lang w:val="hu-HU"/>
                                </w:rPr>
                                <w:t>ábra</w:t>
                              </w:r>
                            </w:p>
                          </w:txbxContent>
                        </v:textbox>
                      </v:shape>
                      <v:shape id="그림 1" o:spid="_x0000_s1126" type="#_x0000_t75" style="position:absolute;width:19151;height:15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">
                        <v:imagedata r:id="rId96" o:title=""/>
                      </v:shape>
                      <w10:wrap type="tight"/>
                    </v:group>
                  </w:pict>
                </mc:Fallback>
              </mc:AlternateContent>
            </w:r>
            <w:r w:rsidR="000405CC">
              <w:rPr>
                <w:rFonts w:ascii="맑은 고딕" w:eastAsia="맑은 고딕" w:hAnsi="맑은 고딕"/>
                <w:lang w:val="hu-HU"/>
              </w:rPr>
              <w:t>•</w:t>
            </w:r>
            <w:r w:rsidR="000405CC">
              <w:rPr>
                <w:rFonts w:eastAsia="Times New Roman"/>
                <w:lang w:val="hu-HU"/>
              </w:rPr>
              <w:t>Ha az ablak nem vált teljesen kék színűre, vagy ha a gyógyszer még mindig befecskendezés alatt áll, akkor nem kapott teljes adagot. Azonnal hívja fel az egészségügyi szakembert</w:t>
            </w:r>
          </w:p>
          <w:p w14:paraId="4B0E271C" w14:textId="0422C64C" w:rsidR="00130E8B" w:rsidRDefault="00130E8B">
            <w:pPr>
              <w:pStyle w:val="a3"/>
              <w:rPr>
                <w:lang w:val="hu-HU"/>
              </w:rPr>
            </w:pPr>
          </w:p>
          <w:p w14:paraId="78FF3BF4" w14:textId="4D1A346B" w:rsidR="00130E8B" w:rsidRDefault="000405CC">
            <w:pPr>
              <w:pStyle w:val="a3"/>
              <w:ind w:left="3780" w:hanging="3780"/>
              <w:rPr>
                <w:lang w:val="hu-HU"/>
              </w:rPr>
            </w:pPr>
            <w:r>
              <w:rPr>
                <w:rFonts w:eastAsia="Times New Roman"/>
                <w:b/>
                <w:bCs/>
                <w:lang w:val="hu-HU"/>
              </w:rPr>
              <w:t xml:space="preserve">     c. </w:t>
            </w:r>
            <w:r w:rsidRPr="001E2F31">
              <w:rPr>
                <w:rFonts w:eastAsia="Times New Roman"/>
                <w:bCs/>
                <w:lang w:val="hu-HU"/>
              </w:rPr>
              <w:t>L</w:t>
            </w:r>
            <w:r>
              <w:rPr>
                <w:rFonts w:eastAsia="Times New Roman"/>
                <w:lang w:val="hu-HU"/>
              </w:rPr>
              <w:t>ássa el az injekció beadásának helyét óvatosan, nyomjon</w:t>
            </w:r>
            <w:r>
              <w:rPr>
                <w:lang w:val="hu-HU"/>
              </w:rPr>
              <w:t xml:space="preserve"> </w:t>
            </w:r>
            <w:r>
              <w:rPr>
                <w:rFonts w:eastAsia="Times New Roman"/>
                <w:lang w:val="hu-HU"/>
              </w:rPr>
              <w:t>egy vattacsomót vagy gézdarabot a beadási helyre, ne dörzsölje,</w:t>
            </w:r>
            <w:r>
              <w:rPr>
                <w:lang w:val="hu-HU"/>
              </w:rPr>
              <w:t xml:space="preserve"> </w:t>
            </w:r>
            <w:r>
              <w:rPr>
                <w:rFonts w:eastAsia="Times New Roman"/>
                <w:lang w:val="hu-HU"/>
              </w:rPr>
              <w:t>szükség esetén használjon ragtapaszt. Vérzés előfordulhat.</w:t>
            </w:r>
          </w:p>
          <w:p w14:paraId="72ABF739" w14:textId="3C6206FD" w:rsidR="00130E8B" w:rsidRDefault="00130E8B">
            <w:pPr>
              <w:pStyle w:val="a3"/>
              <w:rPr>
                <w:lang w:val="hu-HU"/>
              </w:rPr>
            </w:pPr>
          </w:p>
          <w:p w14:paraId="4A384203" w14:textId="03C78085" w:rsidR="00130E8B" w:rsidRDefault="000405CC">
            <w:pPr>
              <w:pStyle w:val="a3"/>
              <w:rPr>
                <w:lang w:val="hu-HU"/>
              </w:rPr>
            </w:pPr>
            <w:r>
              <w:rPr>
                <w:rFonts w:ascii="맑은 고딕" w:eastAsia="맑은 고딕" w:hAnsi="맑은 고딕"/>
                <w:b/>
                <w:bCs/>
                <w:lang w:val="hu-HU"/>
              </w:rPr>
              <w:t>•</w:t>
            </w:r>
            <w:r>
              <w:rPr>
                <w:rFonts w:eastAsia="Times New Roman"/>
                <w:b/>
                <w:bCs/>
                <w:lang w:val="hu-HU"/>
              </w:rPr>
              <w:t>Ne</w:t>
            </w:r>
            <w:r>
              <w:rPr>
                <w:rFonts w:eastAsia="Times New Roman"/>
                <w:lang w:val="hu-HU"/>
              </w:rPr>
              <w:t xml:space="preserve"> használja újra</w:t>
            </w:r>
            <w:r w:rsidR="007C22AA">
              <w:rPr>
                <w:rFonts w:eastAsia="Times New Roman"/>
                <w:lang w:val="hu-HU"/>
              </w:rPr>
              <w:t xml:space="preserve"> </w:t>
            </w:r>
            <w:r>
              <w:rPr>
                <w:rFonts w:eastAsia="Times New Roman"/>
                <w:lang w:val="hu-HU"/>
              </w:rPr>
              <w:t>az előretöltött tollat.</w:t>
            </w:r>
          </w:p>
          <w:p w14:paraId="6B49541D" w14:textId="4136A972" w:rsidR="00130E8B" w:rsidRDefault="000405CC">
            <w:pPr>
              <w:pStyle w:val="a3"/>
              <w:numPr>
                <w:ilvl w:val="0"/>
                <w:numId w:val="0"/>
              </w:numPr>
              <w:ind w:left="1024"/>
              <w:rPr>
                <w:lang w:val="hu-HU" w:eastAsia="ko-KR"/>
              </w:rPr>
            </w:pPr>
            <w:r>
              <w:rPr>
                <w:rFonts w:ascii="맑은 고딕" w:eastAsia="맑은 고딕" w:hAnsi="맑은 고딕"/>
                <w:b/>
                <w:bCs/>
                <w:lang w:val="hu-HU"/>
              </w:rPr>
              <w:t>•</w:t>
            </w:r>
            <w:r>
              <w:rPr>
                <w:rFonts w:eastAsia="Times New Roman"/>
                <w:b/>
                <w:bCs/>
                <w:lang w:val="hu-HU"/>
              </w:rPr>
              <w:t>Ne</w:t>
            </w:r>
            <w:r>
              <w:rPr>
                <w:rFonts w:eastAsia="Times New Roman"/>
                <w:lang w:val="hu-HU"/>
              </w:rPr>
              <w:t xml:space="preserve"> dörzsölje az</w:t>
            </w:r>
            <w:r w:rsidR="007C22AA">
              <w:rPr>
                <w:rFonts w:eastAsia="Times New Roman"/>
                <w:lang w:val="hu-HU"/>
              </w:rPr>
              <w:t xml:space="preserve"> </w:t>
            </w:r>
            <w:r>
              <w:rPr>
                <w:rFonts w:eastAsia="Times New Roman"/>
                <w:lang w:val="hu-HU"/>
              </w:rPr>
              <w:t>injekció beadásának helyét.</w:t>
            </w:r>
            <w:r>
              <w:rPr>
                <w:rFonts w:eastAsia="Times New Roman"/>
                <w:sz w:val="20"/>
                <w:szCs w:val="20"/>
                <w:lang w:val="hu-HU"/>
              </w:rPr>
              <w:t xml:space="preserve"> </w:t>
            </w:r>
          </w:p>
        </w:tc>
      </w:tr>
      <w:tr w:rsidR="00130E8B" w:rsidRPr="00BE4D18" w14:paraId="3DD39253" w14:textId="77777777">
        <w:trPr>
          <w:trHeight w:val="5329"/>
        </w:trPr>
        <w:tc>
          <w:tcPr>
            <w:tcW w:w="9581" w:type="dxa"/>
          </w:tcPr>
          <w:p w14:paraId="0DB5C0A7" w14:textId="77777777" w:rsidR="00130E8B" w:rsidRDefault="00130E8B">
            <w:pPr>
              <w:ind w:left="104"/>
              <w:rPr>
                <w:rFonts w:ascii="Times New Roman" w:eastAsia="Times New Roman" w:hAnsi="Times New Roman" w:cs="Times New Roman"/>
                <w:b/>
                <w:bCs/>
                <w:spacing w:val="-1"/>
                <w:lang w:val="hu-HU"/>
              </w:rPr>
            </w:pPr>
          </w:p>
          <w:p w14:paraId="10AC71C1" w14:textId="77777777" w:rsidR="00130E8B" w:rsidRDefault="00130E8B">
            <w:pPr>
              <w:pStyle w:val="a3"/>
              <w:numPr>
                <w:ilvl w:val="0"/>
                <w:numId w:val="0"/>
              </w:numPr>
              <w:ind w:left="471"/>
              <w:rPr>
                <w:lang w:val="hu-HU"/>
              </w:rPr>
            </w:pPr>
          </w:p>
          <w:p w14:paraId="4294BD99" w14:textId="77777777" w:rsidR="00130E8B" w:rsidRPr="001E2F31" w:rsidRDefault="00A66FEF">
            <w:pPr>
              <w:pStyle w:val="a3"/>
              <w:numPr>
                <w:ilvl w:val="0"/>
                <w:numId w:val="24"/>
              </w:numPr>
              <w:rPr>
                <w:b/>
                <w:lang w:val="hu-HU"/>
              </w:rPr>
            </w:pPr>
            <w:r w:rsidRPr="00B624E0">
              <w:rPr>
                <w:b/>
                <w:noProof/>
                <w:lang w:eastAsia="ko-KR"/>
              </w:rPr>
              <mc:AlternateContent>
                <mc:Choice Requires="wpg">
                  <w:drawing>
                    <wp:anchor distT="0" distB="0" distL="114300" distR="114300" simplePos="0" relativeHeight="251658243" behindDoc="0" locked="0" layoutInCell="1" allowOverlap="1" wp14:anchorId="5A7DB625" wp14:editId="085B371C">
                      <wp:simplePos x="0" y="0"/>
                      <wp:positionH relativeFrom="column">
                        <wp:posOffset>112395</wp:posOffset>
                      </wp:positionH>
                      <wp:positionV relativeFrom="paragraph">
                        <wp:posOffset>36830</wp:posOffset>
                      </wp:positionV>
                      <wp:extent cx="2225675" cy="2937510"/>
                      <wp:effectExtent l="13970" t="6350" r="8255" b="0"/>
                      <wp:wrapSquare wrapText="bothSides"/>
                      <wp:docPr id="91" name="그룹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5675" cy="2937510"/>
                                <a:chOff x="0" y="0"/>
                                <a:chExt cx="22256" cy="29375"/>
                              </a:xfrm>
                            </wpg:grpSpPr>
                            <pic:pic xmlns:pic="http://schemas.openxmlformats.org/drawingml/2006/picture">
                              <pic:nvPicPr>
                                <pic:cNvPr id="100" name="그림 4"/>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2256" cy="2735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s:wsp>
                              <wps:cNvPr id="135" name="Text Box 18"/>
                              <wps:cNvSpPr txBox="1">
                                <a:spLocks noChangeArrowheads="1"/>
                              </wps:cNvSpPr>
                              <wps:spPr bwMode="auto">
                                <a:xfrm>
                                  <a:off x="15494" y="27622"/>
                                  <a:ext cx="6762" cy="17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2A4345" w14:textId="04BA5D9B" w:rsidR="004A2986" w:rsidRDefault="004A2986">
                                    <w:pPr>
                                      <w:pStyle w:val="af0"/>
                                      <w:jc w:val="right"/>
                                      <w:rPr>
                                        <w:b w:val="0"/>
                                        <w:noProof/>
                                      </w:rPr>
                                    </w:pPr>
                                    <w:r>
                                      <w:rPr>
                                        <w:rFonts w:ascii="Times New Roman" w:hAnsi="Times New Roman" w:cs="Times New Roman"/>
                                      </w:rPr>
                                      <w:t xml:space="preserve">M. </w:t>
                                    </w:r>
                                    <w:r>
                                      <w:rPr>
                                        <w:rFonts w:ascii="Times New Roman" w:eastAsia="Times New Roman" w:hAnsi="Times New Roman" w:cs="Times New Roman"/>
                                        <w:lang w:val="hu-HU"/>
                                      </w:rPr>
                                      <w:t>ábra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7DB625" id="그룹 19" o:spid="_x0000_s1127" style="position:absolute;left:0;text-align:left;margin-left:8.85pt;margin-top:2.9pt;width:175.25pt;height:231.3pt;z-index:251658243" coordsize="22256,29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">
                      <v:shape id="그림 4" o:spid="_x0000_s1128" type="#_x0000_t75" style="position:absolute;width:22256;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" stroked="t" strokecolor="black [3213]">
                        <v:imagedata r:id="rId98" o:title=""/>
                        <v:path arrowok="t"/>
                      </v:shape>
                      <v:shape id="Text Box 18" o:spid="_x0000_s1129" type="#_x0000_t202" style="position:absolute;left:15494;top:27622;width:6762;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" stroked="f">
                        <v:textbox inset="0,0,0,0">
                          <w:txbxContent>
                            <w:p w14:paraId="502A4345" w14:textId="04BA5D9B" w:rsidR="004A2986" w:rsidRDefault="004A2986">
                              <w:pPr>
                                <w:pStyle w:val="af0"/>
                                <w:jc w:val="right"/>
                                <w:rPr>
                                  <w:b w:val="0"/>
                                  <w:noProof/>
                                </w:rPr>
                              </w:pPr>
                              <w:r>
                                <w:rPr>
                                  <w:rFonts w:ascii="Times New Roman" w:hAnsi="Times New Roman" w:cs="Times New Roman"/>
                                </w:rPr>
                                <w:t xml:space="preserve">M. </w:t>
                              </w:r>
                              <w:r>
                                <w:rPr>
                                  <w:rFonts w:ascii="Times New Roman" w:eastAsia="Times New Roman" w:hAnsi="Times New Roman" w:cs="Times New Roman"/>
                                  <w:lang w:val="hu-HU"/>
                                </w:rPr>
                                <w:t>ábra</w:t>
                              </w:r>
                            </w:p>
                          </w:txbxContent>
                        </v:textbox>
                      </v:shape>
                      <w10:wrap type="square"/>
                    </v:group>
                  </w:pict>
                </mc:Fallback>
              </mc:AlternateContent>
            </w:r>
            <w:r w:rsidR="000405CC" w:rsidRPr="005D79EA">
              <w:rPr>
                <w:rFonts w:eastAsia="Times New Roman"/>
                <w:b/>
                <w:bCs/>
                <w:lang w:val="hu-HU"/>
              </w:rPr>
              <w:t xml:space="preserve">Azelőretöltött </w:t>
            </w:r>
            <w:r w:rsidR="000405CC" w:rsidRPr="001E2F31">
              <w:rPr>
                <w:rFonts w:eastAsia="Times New Roman"/>
                <w:b/>
                <w:lang w:val="hu-HU"/>
              </w:rPr>
              <w:t>toll eldobása.</w:t>
            </w:r>
          </w:p>
          <w:p w14:paraId="5F3A712B" w14:textId="77777777" w:rsidR="00130E8B" w:rsidRDefault="00130E8B">
            <w:pPr>
              <w:pStyle w:val="a3"/>
              <w:rPr>
                <w:lang w:val="hu-HU"/>
              </w:rPr>
            </w:pPr>
          </w:p>
          <w:p w14:paraId="60146F9C" w14:textId="47665F67" w:rsidR="00130E8B" w:rsidRDefault="000405CC">
            <w:pPr>
              <w:pStyle w:val="a3"/>
              <w:numPr>
                <w:ilvl w:val="0"/>
                <w:numId w:val="0"/>
              </w:numPr>
              <w:ind w:left="780"/>
              <w:rPr>
                <w:lang w:val="hu-HU"/>
              </w:rPr>
            </w:pPr>
            <w:r>
              <w:rPr>
                <w:rFonts w:eastAsia="Times New Roman"/>
                <w:b/>
                <w:bCs/>
                <w:lang w:val="hu-HU"/>
              </w:rPr>
              <w:t xml:space="preserve">a. </w:t>
            </w:r>
            <w:r>
              <w:rPr>
                <w:rFonts w:eastAsia="Times New Roman"/>
                <w:lang w:val="hu-HU"/>
              </w:rPr>
              <w:t>Dobja a használt előretöltött tollat az éles tárgyak tárolására szolgáló tartályba a kezelőorvos, a gondozását végző egészségügyi szakember vagy a gyógyszerész utasításai szerint.</w:t>
            </w:r>
          </w:p>
          <w:p w14:paraId="0B0AB095" w14:textId="77777777" w:rsidR="00130E8B" w:rsidRDefault="00130E8B">
            <w:pPr>
              <w:pStyle w:val="a3"/>
              <w:rPr>
                <w:lang w:val="hu-HU"/>
              </w:rPr>
            </w:pPr>
          </w:p>
          <w:p w14:paraId="3424EFBD" w14:textId="77777777" w:rsidR="00130E8B" w:rsidRDefault="000405CC">
            <w:pPr>
              <w:pStyle w:val="a3"/>
              <w:rPr>
                <w:lang w:val="hu-HU"/>
              </w:rPr>
            </w:pPr>
            <w:r>
              <w:rPr>
                <w:rFonts w:eastAsia="Times New Roman"/>
                <w:b/>
                <w:bCs/>
                <w:lang w:val="hu-HU"/>
              </w:rPr>
              <w:t xml:space="preserve">b. </w:t>
            </w:r>
            <w:r w:rsidRPr="001E2F31">
              <w:rPr>
                <w:rFonts w:eastAsia="Times New Roman"/>
                <w:bCs/>
                <w:lang w:val="hu-HU"/>
              </w:rPr>
              <w:t>A</w:t>
            </w:r>
            <w:r w:rsidRPr="005D79EA">
              <w:rPr>
                <w:rFonts w:eastAsia="Times New Roman"/>
                <w:lang w:val="hu-HU"/>
              </w:rPr>
              <w:t xml:space="preserve">z </w:t>
            </w:r>
            <w:r>
              <w:rPr>
                <w:rFonts w:eastAsia="Times New Roman"/>
                <w:lang w:val="hu-HU"/>
              </w:rPr>
              <w:t>alkoholos törlőt és a csomagolást a háztartási hulladékba helyezheti.</w:t>
            </w:r>
          </w:p>
          <w:p w14:paraId="080DF490" w14:textId="77777777" w:rsidR="00130E8B" w:rsidRDefault="00130E8B">
            <w:pPr>
              <w:pStyle w:val="a3"/>
              <w:rPr>
                <w:b/>
                <w:lang w:val="hu-HU"/>
              </w:rPr>
            </w:pPr>
          </w:p>
          <w:p w14:paraId="1A6BF60E" w14:textId="77777777" w:rsidR="00130E8B" w:rsidRDefault="000405CC">
            <w:pPr>
              <w:pStyle w:val="a3"/>
              <w:ind w:left="4230" w:hanging="4230"/>
              <w:rPr>
                <w:lang w:val="hu-HU"/>
              </w:rPr>
            </w:pPr>
            <w:r>
              <w:rPr>
                <w:rFonts w:ascii="맑은 고딕" w:eastAsia="맑은 고딕" w:hAnsi="맑은 고딕"/>
                <w:lang w:val="hu-HU"/>
              </w:rPr>
              <w:t>•</w:t>
            </w:r>
            <w:r>
              <w:rPr>
                <w:rFonts w:eastAsia="Times New Roman"/>
                <w:lang w:val="hu-HU"/>
              </w:rPr>
              <w:tab/>
              <w:t>Mindig tartsa azelőretöltött tollatés a külön, éles tárgyak tárolására szolgáló speciális tartályt gyermekektől elzárva.</w:t>
            </w:r>
          </w:p>
          <w:p w14:paraId="3ACB4456" w14:textId="77777777" w:rsidR="00130E8B" w:rsidRDefault="00130E8B">
            <w:pPr>
              <w:pStyle w:val="a3"/>
              <w:rPr>
                <w:lang w:val="hu-HU"/>
              </w:rPr>
            </w:pPr>
          </w:p>
          <w:p w14:paraId="23097B80" w14:textId="77777777" w:rsidR="00130E8B" w:rsidRDefault="00130E8B">
            <w:pPr>
              <w:pStyle w:val="a3"/>
              <w:rPr>
                <w:lang w:val="hu-HU" w:eastAsia="ko-KR"/>
              </w:rPr>
            </w:pPr>
          </w:p>
        </w:tc>
      </w:tr>
    </w:tbl>
    <w:p w14:paraId="78A15629" w14:textId="08BA663F" w:rsidR="0037407E" w:rsidRDefault="0037407E">
      <w:pPr>
        <w:pStyle w:val="a3"/>
        <w:rPr>
          <w:lang w:val="hu-HU" w:eastAsia="ko-KR"/>
        </w:rPr>
      </w:pPr>
    </w:p>
    <w:p w14:paraId="71F1215A" w14:textId="77777777" w:rsidR="0037407E" w:rsidRDefault="0037407E">
      <w:pPr>
        <w:rPr>
          <w:rFonts w:ascii="Times New Roman" w:hAnsi="Times New Roman" w:cs="Times New Roman"/>
          <w:lang w:val="hu-HU" w:eastAsia="ko-KR"/>
        </w:rPr>
      </w:pPr>
      <w:r>
        <w:rPr>
          <w:lang w:val="hu-HU" w:eastAsia="ko-KR"/>
        </w:rPr>
        <w:br w:type="page"/>
      </w:r>
    </w:p>
    <w:p w14:paraId="5065EA34" w14:textId="77777777" w:rsidR="0037407E" w:rsidRDefault="0037407E" w:rsidP="0037407E">
      <w:pPr>
        <w:spacing w:before="76"/>
        <w:ind w:left="39"/>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lastRenderedPageBreak/>
        <w:t>Betegtájékoztató:Információk a felhasználó számára</w:t>
      </w:r>
    </w:p>
    <w:p w14:paraId="70D6B6E9" w14:textId="77777777" w:rsidR="0037407E" w:rsidRDefault="0037407E" w:rsidP="0037407E">
      <w:pPr>
        <w:spacing w:before="13" w:line="240" w:lineRule="exact"/>
        <w:rPr>
          <w:sz w:val="24"/>
          <w:szCs w:val="24"/>
          <w:lang w:val="hu-HU"/>
        </w:rPr>
      </w:pPr>
    </w:p>
    <w:p w14:paraId="783409AB" w14:textId="03597F92" w:rsidR="0037407E" w:rsidRDefault="0037407E" w:rsidP="0037407E">
      <w:pPr>
        <w:ind w:left="818" w:right="776"/>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 xml:space="preserve">Yuflyma </w:t>
      </w:r>
      <w:r w:rsidR="003B2CB5">
        <w:rPr>
          <w:rFonts w:ascii="Times New Roman" w:eastAsia="Times New Roman" w:hAnsi="Times New Roman" w:cs="Times New Roman"/>
          <w:b/>
          <w:bCs/>
          <w:spacing w:val="-1"/>
          <w:lang w:val="hu-HU"/>
        </w:rPr>
        <w:t>8</w:t>
      </w:r>
      <w:r>
        <w:rPr>
          <w:rFonts w:ascii="Times New Roman" w:eastAsia="Times New Roman" w:hAnsi="Times New Roman" w:cs="Times New Roman"/>
          <w:b/>
          <w:bCs/>
          <w:spacing w:val="-1"/>
          <w:lang w:val="hu-HU"/>
        </w:rPr>
        <w:t>0 mg oldatos injekció előretöltött fecskendőben</w:t>
      </w:r>
    </w:p>
    <w:p w14:paraId="7F63DD3A" w14:textId="77777777" w:rsidR="0037407E" w:rsidRDefault="0037407E" w:rsidP="0037407E">
      <w:pPr>
        <w:pStyle w:val="a3"/>
        <w:jc w:val="center"/>
        <w:rPr>
          <w:lang w:val="hu-HU"/>
        </w:rPr>
      </w:pPr>
      <w:r>
        <w:rPr>
          <w:rFonts w:eastAsia="Times New Roman"/>
          <w:lang w:val="hu-HU"/>
        </w:rPr>
        <w:t>adalimumab</w:t>
      </w:r>
    </w:p>
    <w:p w14:paraId="352B00DE" w14:textId="77777777" w:rsidR="0037407E" w:rsidRDefault="0037407E" w:rsidP="0037407E">
      <w:pPr>
        <w:spacing w:before="18" w:line="240" w:lineRule="exact"/>
        <w:rPr>
          <w:sz w:val="24"/>
          <w:szCs w:val="24"/>
          <w:lang w:val="hu-HU"/>
        </w:rPr>
      </w:pPr>
    </w:p>
    <w:p w14:paraId="4DCD15CC" w14:textId="77777777" w:rsidR="0037407E" w:rsidRDefault="0037407E" w:rsidP="0037407E">
      <w:pPr>
        <w:spacing w:before="18" w:line="240" w:lineRule="exact"/>
        <w:ind w:left="108"/>
        <w:rPr>
          <w:sz w:val="24"/>
          <w:szCs w:val="24"/>
          <w:lang w:val="hu-HU"/>
        </w:rPr>
      </w:pPr>
      <w:r>
        <w:rPr>
          <w:rFonts w:ascii="Times New Roman" w:hAnsi="Times New Roman" w:cs="Times New Roman"/>
          <w:noProof/>
          <w:lang w:eastAsia="ko-KR"/>
        </w:rPr>
        <w:drawing>
          <wp:inline distT="0" distB="0" distL="0" distR="0" wp14:anchorId="165FF051" wp14:editId="79930074">
            <wp:extent cx="203200" cy="169545"/>
            <wp:effectExtent l="0" t="0" r="6350" b="1905"/>
            <wp:docPr id="154" name="그림 154"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9474"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Pr>
          <w:rFonts w:ascii="Times New Roman" w:eastAsia="Times New Roman" w:hAnsi="Times New Roman" w:cs="Times New Roman"/>
          <w:lang w:val="hu-HU"/>
        </w:rPr>
        <w:t>Ez a gyógyszer fokozott felügyelet alatt áll, mely lehetővé teszi az új gyógyszerbiztonsági információk gyors azonosítását. Ehhez Ön is hozzájárulhat a tudomására jutó bármilyen mellékhatás bejelentésével. A mellékhatások jelentésének módjairól a 4. pont végén (Mellékhatások bejelentése) talál további tájékoztatást.</w:t>
      </w:r>
    </w:p>
    <w:p w14:paraId="4FCA0215" w14:textId="77777777" w:rsidR="0037407E" w:rsidRDefault="0037407E" w:rsidP="0037407E">
      <w:pPr>
        <w:spacing w:before="18" w:line="240" w:lineRule="exact"/>
        <w:rPr>
          <w:sz w:val="24"/>
          <w:szCs w:val="24"/>
          <w:lang w:val="hu-HU"/>
        </w:rPr>
      </w:pPr>
    </w:p>
    <w:p w14:paraId="13BECAB4" w14:textId="77777777" w:rsidR="0037407E" w:rsidRDefault="0037407E" w:rsidP="0037407E">
      <w:pPr>
        <w:spacing w:before="18" w:line="240" w:lineRule="exact"/>
        <w:ind w:left="108"/>
        <w:rPr>
          <w:rFonts w:ascii="Times New Roman" w:hAnsi="Times New Roman" w:cs="Times New Roman"/>
          <w:b/>
          <w:lang w:val="hu-HU"/>
        </w:rPr>
      </w:pPr>
      <w:r>
        <w:rPr>
          <w:rFonts w:ascii="Times New Roman" w:eastAsia="Times New Roman" w:hAnsi="Times New Roman" w:cs="Times New Roman"/>
          <w:b/>
          <w:bCs/>
          <w:lang w:val="hu-HU"/>
        </w:rPr>
        <w:t>Mielőtt elkezdi alkalmazni ezt a gyógyszert, olvassa el figyelmesen az alábbi betegtájékoztatót, mert az Ön számára fontos információkat tartalmaz.</w:t>
      </w:r>
    </w:p>
    <w:p w14:paraId="19732486" w14:textId="39BAD252" w:rsidR="0037407E" w:rsidRDefault="0037407E" w:rsidP="0037407E">
      <w:pPr>
        <w:pStyle w:val="a3"/>
        <w:numPr>
          <w:ilvl w:val="0"/>
          <w:numId w:val="5"/>
        </w:numPr>
        <w:ind w:left="660" w:hanging="660"/>
        <w:rPr>
          <w:lang w:val="hu-HU"/>
        </w:rPr>
      </w:pPr>
      <w:r>
        <w:rPr>
          <w:rFonts w:eastAsia="Times New Roman"/>
          <w:lang w:val="hu-HU"/>
        </w:rPr>
        <w:t>Tartsa meg a betegtájékoztatót,</w:t>
      </w:r>
      <w:r w:rsidR="007C22AA">
        <w:rPr>
          <w:rFonts w:eastAsia="Times New Roman"/>
          <w:lang w:val="hu-HU"/>
        </w:rPr>
        <w:t xml:space="preserve"> </w:t>
      </w:r>
      <w:r>
        <w:rPr>
          <w:rFonts w:eastAsia="Times New Roman"/>
          <w:lang w:val="hu-HU"/>
        </w:rPr>
        <w:t>mert a benne szereplő információkra a későbbiekben is szüksége lehet.</w:t>
      </w:r>
    </w:p>
    <w:p w14:paraId="714CE6F1" w14:textId="2ECC7E25" w:rsidR="0037407E" w:rsidRPr="001E2F31" w:rsidRDefault="0037407E" w:rsidP="0037407E">
      <w:pPr>
        <w:pStyle w:val="a3"/>
        <w:numPr>
          <w:ilvl w:val="0"/>
          <w:numId w:val="5"/>
        </w:numPr>
        <w:ind w:left="660" w:hanging="660"/>
        <w:rPr>
          <w:color w:val="000000"/>
          <w:lang w:val="hu-HU"/>
        </w:rPr>
      </w:pPr>
      <w:r w:rsidRPr="00B624E0">
        <w:rPr>
          <w:rFonts w:eastAsia="Times New Roman"/>
          <w:lang w:val="hu-HU"/>
        </w:rPr>
        <w:t>Kezelőorvosától egy</w:t>
      </w:r>
      <w:r w:rsidRPr="00B624E0">
        <w:rPr>
          <w:rFonts w:eastAsia="Times New Roman"/>
          <w:b/>
          <w:bCs/>
          <w:lang w:val="hu-HU"/>
        </w:rPr>
        <w:t xml:space="preserve"> Betegkártyát </w:t>
      </w:r>
      <w:r w:rsidRPr="00B624E0">
        <w:rPr>
          <w:rFonts w:eastAsia="Times New Roman"/>
          <w:lang w:val="hu-HU"/>
        </w:rPr>
        <w:t xml:space="preserve">is fog kapni fontos biztonsági információkkal, amit a Yuflyma alkalmazása előtt és a Yuflyma-val történő kezelés során is figyelembe kell venni. </w:t>
      </w:r>
      <w:r w:rsidRPr="001E2F31">
        <w:rPr>
          <w:color w:val="000000"/>
          <w:lang w:val="hu-HU"/>
        </w:rPr>
        <w:t xml:space="preserve">Tartsa magánál ezt a </w:t>
      </w:r>
      <w:r w:rsidRPr="001E2F31">
        <w:rPr>
          <w:b/>
          <w:color w:val="000000"/>
          <w:lang w:val="hu-HU"/>
        </w:rPr>
        <w:t>Betegkártyát</w:t>
      </w:r>
      <w:r w:rsidRPr="001E2F31">
        <w:rPr>
          <w:color w:val="000000"/>
          <w:lang w:val="hu-HU"/>
        </w:rPr>
        <w:t xml:space="preserve"> a kezelés ideje alatt és az Ön (vagy a gyermeke) utolsó </w:t>
      </w:r>
      <w:r w:rsidRPr="00B624E0">
        <w:rPr>
          <w:rFonts w:eastAsia="Times New Roman"/>
          <w:lang w:val="hu-HU"/>
        </w:rPr>
        <w:t>Yuflyma</w:t>
      </w:r>
      <w:r w:rsidRPr="001E2F31">
        <w:rPr>
          <w:color w:val="000000"/>
          <w:lang w:val="hu-HU"/>
        </w:rPr>
        <w:t xml:space="preserve"> injekciójától számított 4 hónapon keresztül. </w:t>
      </w:r>
    </w:p>
    <w:p w14:paraId="2E44A995" w14:textId="77777777" w:rsidR="0037407E" w:rsidRDefault="0037407E" w:rsidP="0037407E">
      <w:pPr>
        <w:pStyle w:val="a3"/>
        <w:numPr>
          <w:ilvl w:val="0"/>
          <w:numId w:val="5"/>
        </w:numPr>
        <w:ind w:left="660" w:hanging="660"/>
        <w:rPr>
          <w:lang w:val="hu-HU"/>
        </w:rPr>
      </w:pPr>
      <w:r>
        <w:rPr>
          <w:rFonts w:eastAsia="Times New Roman"/>
          <w:lang w:val="hu-HU"/>
        </w:rPr>
        <w:t>További kérdéseivel forduljon kezelőorvosához vagy gyógyszerészéhez.</w:t>
      </w:r>
    </w:p>
    <w:p w14:paraId="1B2A80B0" w14:textId="7D36CA30" w:rsidR="0037407E" w:rsidRDefault="0037407E" w:rsidP="0037407E">
      <w:pPr>
        <w:pStyle w:val="a3"/>
        <w:numPr>
          <w:ilvl w:val="0"/>
          <w:numId w:val="5"/>
        </w:numPr>
        <w:ind w:left="660" w:hanging="660"/>
        <w:rPr>
          <w:lang w:val="hu-HU"/>
        </w:rPr>
      </w:pPr>
      <w:r>
        <w:rPr>
          <w:rFonts w:eastAsia="Times New Roman"/>
          <w:lang w:val="hu-HU"/>
        </w:rPr>
        <w:t>Ezt a gyógyszert az orvos kizárólag Önnek írta fel. Ne adja át a készítményt másnak,</w:t>
      </w:r>
      <w:r w:rsidR="007C22AA">
        <w:rPr>
          <w:rFonts w:eastAsia="Times New Roman"/>
          <w:lang w:val="hu-HU"/>
        </w:rPr>
        <w:t xml:space="preserve"> </w:t>
      </w:r>
      <w:r>
        <w:rPr>
          <w:rFonts w:eastAsia="Times New Roman"/>
          <w:lang w:val="hu-HU"/>
        </w:rPr>
        <w:t>mert számára ártalmas lehet még abban az esetben is, ha a betegsége tünetei az Önéhez hasonlók.</w:t>
      </w:r>
    </w:p>
    <w:p w14:paraId="4897A552" w14:textId="77777777" w:rsidR="0037407E" w:rsidRDefault="0037407E" w:rsidP="0037407E">
      <w:pPr>
        <w:pStyle w:val="a3"/>
        <w:numPr>
          <w:ilvl w:val="0"/>
          <w:numId w:val="5"/>
        </w:numPr>
        <w:ind w:left="660" w:hanging="660"/>
        <w:rPr>
          <w:lang w:val="hu-HU"/>
        </w:rPr>
      </w:pPr>
      <w:r>
        <w:rPr>
          <w:rFonts w:eastAsia="Times New Roman"/>
          <w:lang w:val="hu-HU"/>
        </w:rPr>
        <w:t>Ha Önnél bármilyen mellékhatás jelentkezik, tájékoztassa kezelőorvosát, vagy gyógyszerészét. Ez a betegtájékoztatóban fel nem sorolt bármilyen lehetséges mellékhatásra is vonatkozik. Lásd 4. pont.</w:t>
      </w:r>
    </w:p>
    <w:p w14:paraId="7CAE1C44" w14:textId="77777777" w:rsidR="0037407E" w:rsidRDefault="0037407E" w:rsidP="0037407E">
      <w:pPr>
        <w:pStyle w:val="a3"/>
        <w:rPr>
          <w:lang w:val="hu-HU"/>
        </w:rPr>
      </w:pPr>
    </w:p>
    <w:p w14:paraId="3E7F68F8" w14:textId="77777777" w:rsidR="0037407E" w:rsidRDefault="0037407E" w:rsidP="0037407E">
      <w:pPr>
        <w:pStyle w:val="a3"/>
        <w:rPr>
          <w:b/>
          <w:lang w:val="hu-HU"/>
        </w:rPr>
      </w:pPr>
      <w:r>
        <w:rPr>
          <w:rFonts w:eastAsia="Times New Roman"/>
          <w:b/>
          <w:bCs/>
          <w:lang w:val="hu-HU"/>
        </w:rPr>
        <w:t>A betegtájékoztató tartalma</w:t>
      </w:r>
    </w:p>
    <w:p w14:paraId="38EACD22" w14:textId="77777777" w:rsidR="0037407E" w:rsidRDefault="0037407E" w:rsidP="00FD05AA">
      <w:pPr>
        <w:pStyle w:val="a3"/>
        <w:numPr>
          <w:ilvl w:val="0"/>
          <w:numId w:val="61"/>
        </w:numPr>
        <w:ind w:hanging="760"/>
        <w:rPr>
          <w:lang w:val="hu-HU"/>
        </w:rPr>
      </w:pPr>
      <w:r>
        <w:rPr>
          <w:rFonts w:eastAsia="Times New Roman"/>
          <w:lang w:val="hu-HU"/>
        </w:rPr>
        <w:t>Milyen típusú gyógyszer a Yuflyma és milyen betegségek esetén alkalmazható?</w:t>
      </w:r>
    </w:p>
    <w:p w14:paraId="22CC5F6E" w14:textId="77777777" w:rsidR="0037407E" w:rsidRDefault="0037407E" w:rsidP="00FD05AA">
      <w:pPr>
        <w:pStyle w:val="a3"/>
        <w:numPr>
          <w:ilvl w:val="0"/>
          <w:numId w:val="61"/>
        </w:numPr>
        <w:ind w:hanging="760"/>
        <w:rPr>
          <w:lang w:val="hu-HU"/>
        </w:rPr>
      </w:pPr>
      <w:r>
        <w:rPr>
          <w:rFonts w:eastAsia="Times New Roman"/>
          <w:lang w:val="hu-HU"/>
        </w:rPr>
        <w:t>Tudnivalók a Yuflyma alkalmazása előtt</w:t>
      </w:r>
    </w:p>
    <w:p w14:paraId="1575BCC8" w14:textId="77777777" w:rsidR="0037407E" w:rsidRDefault="0037407E" w:rsidP="00FD05AA">
      <w:pPr>
        <w:pStyle w:val="a3"/>
        <w:numPr>
          <w:ilvl w:val="0"/>
          <w:numId w:val="61"/>
        </w:numPr>
        <w:ind w:hanging="760"/>
        <w:rPr>
          <w:lang w:val="hu-HU"/>
        </w:rPr>
      </w:pPr>
      <w:r>
        <w:rPr>
          <w:rFonts w:eastAsia="Times New Roman"/>
          <w:lang w:val="hu-HU"/>
        </w:rPr>
        <w:t>Hogyan kell alkalmazni a Yuflyma-t?</w:t>
      </w:r>
    </w:p>
    <w:p w14:paraId="60D7F283" w14:textId="77777777" w:rsidR="0037407E" w:rsidRDefault="0037407E" w:rsidP="00FD05AA">
      <w:pPr>
        <w:pStyle w:val="a3"/>
        <w:numPr>
          <w:ilvl w:val="0"/>
          <w:numId w:val="61"/>
        </w:numPr>
        <w:ind w:hanging="760"/>
        <w:rPr>
          <w:lang w:val="hu-HU"/>
        </w:rPr>
      </w:pPr>
      <w:r>
        <w:rPr>
          <w:rFonts w:eastAsia="Times New Roman"/>
          <w:lang w:val="hu-HU"/>
        </w:rPr>
        <w:t>Lehetséges mellékhatások</w:t>
      </w:r>
    </w:p>
    <w:p w14:paraId="577F6BB9" w14:textId="77777777" w:rsidR="0037407E" w:rsidRDefault="0037407E" w:rsidP="00FD05AA">
      <w:pPr>
        <w:pStyle w:val="a3"/>
        <w:numPr>
          <w:ilvl w:val="0"/>
          <w:numId w:val="61"/>
        </w:numPr>
        <w:ind w:hanging="760"/>
        <w:rPr>
          <w:lang w:val="hu-HU"/>
        </w:rPr>
      </w:pPr>
      <w:r>
        <w:rPr>
          <w:rFonts w:eastAsia="Times New Roman"/>
          <w:lang w:val="hu-HU"/>
        </w:rPr>
        <w:t>Hogyan kell a Yuflyma-t tárolni?</w:t>
      </w:r>
    </w:p>
    <w:p w14:paraId="4E5473C5" w14:textId="77777777" w:rsidR="0037407E" w:rsidRDefault="0037407E" w:rsidP="00FD05AA">
      <w:pPr>
        <w:pStyle w:val="a3"/>
        <w:numPr>
          <w:ilvl w:val="0"/>
          <w:numId w:val="61"/>
        </w:numPr>
        <w:ind w:hanging="760"/>
        <w:rPr>
          <w:lang w:val="hu-HU"/>
        </w:rPr>
      </w:pPr>
      <w:r>
        <w:rPr>
          <w:rFonts w:eastAsia="Times New Roman"/>
          <w:lang w:val="hu-HU"/>
        </w:rPr>
        <w:t>A csomagolás tartalma és egyéb információk</w:t>
      </w:r>
    </w:p>
    <w:p w14:paraId="18EA250F" w14:textId="77777777" w:rsidR="0037407E" w:rsidRDefault="0037407E" w:rsidP="00FD05AA">
      <w:pPr>
        <w:pStyle w:val="a3"/>
        <w:numPr>
          <w:ilvl w:val="0"/>
          <w:numId w:val="61"/>
        </w:numPr>
        <w:ind w:hanging="760"/>
        <w:rPr>
          <w:lang w:val="hu-HU"/>
        </w:rPr>
      </w:pPr>
      <w:r>
        <w:rPr>
          <w:rFonts w:eastAsia="Times New Roman"/>
          <w:lang w:val="hu-HU"/>
        </w:rPr>
        <w:t>Használati utasítás</w:t>
      </w:r>
    </w:p>
    <w:p w14:paraId="699C77C7" w14:textId="77777777" w:rsidR="0037407E" w:rsidRDefault="0037407E" w:rsidP="0037407E">
      <w:pPr>
        <w:spacing w:line="200" w:lineRule="exact"/>
        <w:rPr>
          <w:sz w:val="20"/>
          <w:szCs w:val="20"/>
          <w:lang w:val="hu-HU"/>
        </w:rPr>
      </w:pPr>
    </w:p>
    <w:p w14:paraId="32AC0A80" w14:textId="77777777" w:rsidR="0037407E" w:rsidRDefault="0037407E" w:rsidP="0037407E">
      <w:pPr>
        <w:spacing w:line="200" w:lineRule="exact"/>
        <w:rPr>
          <w:sz w:val="20"/>
          <w:szCs w:val="20"/>
          <w:lang w:val="hu-HU"/>
        </w:rPr>
      </w:pPr>
    </w:p>
    <w:p w14:paraId="0D1B97FC" w14:textId="77777777" w:rsidR="0037407E" w:rsidRDefault="0037407E" w:rsidP="00FD05AA">
      <w:pPr>
        <w:pStyle w:val="a4"/>
        <w:numPr>
          <w:ilvl w:val="0"/>
          <w:numId w:val="62"/>
        </w:numPr>
        <w:spacing w:line="240" w:lineRule="exact"/>
        <w:rPr>
          <w:rFonts w:ascii="Times New Roman" w:hAnsi="Times New Roman" w:cs="Times New Roman"/>
          <w:b/>
          <w:lang w:val="hu-HU"/>
        </w:rPr>
      </w:pPr>
      <w:r>
        <w:rPr>
          <w:rFonts w:ascii="Times New Roman" w:eastAsia="Times New Roman" w:hAnsi="Times New Roman" w:cs="Times New Roman"/>
          <w:b/>
          <w:bCs/>
          <w:lang w:val="hu-HU"/>
        </w:rPr>
        <w:t>Milyen típusú gyógyszer a Yuflyma és milyen betegségek esetén alkalmazható?</w:t>
      </w:r>
    </w:p>
    <w:p w14:paraId="76A25CF6" w14:textId="77777777" w:rsidR="0037407E" w:rsidRDefault="0037407E" w:rsidP="0037407E">
      <w:pPr>
        <w:spacing w:line="240" w:lineRule="exact"/>
        <w:rPr>
          <w:rFonts w:ascii="Times New Roman" w:hAnsi="Times New Roman" w:cs="Times New Roman"/>
          <w:b/>
          <w:lang w:val="hu-HU"/>
        </w:rPr>
      </w:pPr>
    </w:p>
    <w:p w14:paraId="4DD52EF8" w14:textId="77777777" w:rsidR="0037407E" w:rsidRDefault="0037407E" w:rsidP="0037407E">
      <w:pPr>
        <w:pStyle w:val="a3"/>
        <w:rPr>
          <w:lang w:val="hu-HU"/>
        </w:rPr>
      </w:pPr>
      <w:r>
        <w:rPr>
          <w:rFonts w:eastAsia="Times New Roman"/>
          <w:lang w:val="hu-HU"/>
        </w:rPr>
        <w:t>A Yuflyma hatóanyaga az adalimumab, amely a szervezet immunrendszerére (védekező rendszerére) ható gyógyszer.</w:t>
      </w:r>
    </w:p>
    <w:p w14:paraId="0677C5A0" w14:textId="77777777" w:rsidR="0037407E" w:rsidRDefault="0037407E" w:rsidP="0037407E">
      <w:pPr>
        <w:pStyle w:val="a3"/>
        <w:rPr>
          <w:lang w:val="hu-HU"/>
        </w:rPr>
      </w:pPr>
    </w:p>
    <w:p w14:paraId="3BE54352" w14:textId="77777777" w:rsidR="0037407E" w:rsidRDefault="0037407E" w:rsidP="0037407E">
      <w:pPr>
        <w:pStyle w:val="a3"/>
        <w:rPr>
          <w:lang w:val="hu-HU"/>
        </w:rPr>
      </w:pPr>
      <w:r>
        <w:rPr>
          <w:rFonts w:eastAsia="Times New Roman"/>
          <w:lang w:val="hu-HU"/>
        </w:rPr>
        <w:t>A Yuflyma a következő gyulladásos betegségek kezelésére szolgál:</w:t>
      </w:r>
    </w:p>
    <w:p w14:paraId="65548378" w14:textId="77777777" w:rsidR="0037407E" w:rsidRDefault="0037407E" w:rsidP="0037407E">
      <w:pPr>
        <w:pStyle w:val="a3"/>
        <w:numPr>
          <w:ilvl w:val="0"/>
          <w:numId w:val="5"/>
        </w:numPr>
        <w:ind w:left="660" w:hanging="660"/>
        <w:rPr>
          <w:lang w:val="hu-HU"/>
        </w:rPr>
      </w:pPr>
      <w:r>
        <w:rPr>
          <w:rFonts w:eastAsia="Times New Roman"/>
          <w:lang w:val="hu-HU"/>
        </w:rPr>
        <w:t>Reumás ízületi gyulladás (reumatoid artritisz)</w:t>
      </w:r>
    </w:p>
    <w:p w14:paraId="753D7423" w14:textId="77777777" w:rsidR="0037407E" w:rsidRDefault="0037407E" w:rsidP="0037407E">
      <w:pPr>
        <w:pStyle w:val="a3"/>
        <w:numPr>
          <w:ilvl w:val="0"/>
          <w:numId w:val="5"/>
        </w:numPr>
        <w:ind w:left="660" w:hanging="660"/>
        <w:rPr>
          <w:lang w:val="hu-HU"/>
        </w:rPr>
      </w:pPr>
      <w:r>
        <w:rPr>
          <w:rFonts w:eastAsia="Times New Roman"/>
          <w:lang w:val="hu-HU"/>
        </w:rPr>
        <w:t>Plakkos pikkelysömör</w:t>
      </w:r>
    </w:p>
    <w:p w14:paraId="519D4BB0" w14:textId="77777777" w:rsidR="0037407E" w:rsidRDefault="0037407E" w:rsidP="0037407E">
      <w:pPr>
        <w:pStyle w:val="a3"/>
        <w:numPr>
          <w:ilvl w:val="0"/>
          <w:numId w:val="5"/>
        </w:numPr>
        <w:ind w:left="660" w:hanging="660"/>
        <w:rPr>
          <w:lang w:val="hu-HU"/>
        </w:rPr>
      </w:pPr>
      <w:r>
        <w:rPr>
          <w:rFonts w:eastAsia="Times New Roman"/>
          <w:lang w:val="hu-HU"/>
        </w:rPr>
        <w:t>Gennyes verejtékmirigy-gyulladás (hidradenitisz szuppuratíva)</w:t>
      </w:r>
    </w:p>
    <w:p w14:paraId="1A6D8B36" w14:textId="77777777" w:rsidR="0037407E" w:rsidRDefault="0037407E" w:rsidP="0037407E">
      <w:pPr>
        <w:pStyle w:val="a3"/>
        <w:numPr>
          <w:ilvl w:val="0"/>
          <w:numId w:val="5"/>
        </w:numPr>
        <w:ind w:left="660" w:hanging="660"/>
        <w:rPr>
          <w:lang w:val="hu-HU"/>
        </w:rPr>
      </w:pPr>
      <w:r>
        <w:rPr>
          <w:rFonts w:eastAsia="Times New Roman"/>
          <w:lang w:val="hu-HU"/>
        </w:rPr>
        <w:t>A bélfal minden rétegére kiterjedő, nem fertőzéses eredetű gyulladás (Crohn-betegség)</w:t>
      </w:r>
    </w:p>
    <w:p w14:paraId="77825C26" w14:textId="77777777" w:rsidR="0037407E" w:rsidRDefault="0037407E" w:rsidP="0037407E">
      <w:pPr>
        <w:pStyle w:val="a3"/>
        <w:numPr>
          <w:ilvl w:val="0"/>
          <w:numId w:val="5"/>
        </w:numPr>
        <w:ind w:left="660" w:hanging="660"/>
        <w:rPr>
          <w:lang w:val="hu-HU"/>
        </w:rPr>
      </w:pPr>
      <w:r>
        <w:rPr>
          <w:rFonts w:eastAsia="Times New Roman"/>
          <w:lang w:val="hu-HU"/>
        </w:rPr>
        <w:t>Nem fertőzéses eredetű, kifekélyesedő vastagbélgyulladás (kolitisz ulceróza)</w:t>
      </w:r>
    </w:p>
    <w:p w14:paraId="5F160D39" w14:textId="77777777" w:rsidR="0037407E" w:rsidRDefault="0037407E" w:rsidP="0037407E">
      <w:pPr>
        <w:pStyle w:val="a3"/>
        <w:numPr>
          <w:ilvl w:val="0"/>
          <w:numId w:val="5"/>
        </w:numPr>
        <w:ind w:left="660" w:hanging="660"/>
        <w:rPr>
          <w:lang w:val="hu-HU"/>
        </w:rPr>
      </w:pPr>
      <w:r>
        <w:rPr>
          <w:rFonts w:eastAsia="Times New Roman"/>
          <w:lang w:val="hu-HU"/>
        </w:rPr>
        <w:t>Nem fertőzéses eredetű szemgyulladás (uveitisz)</w:t>
      </w:r>
    </w:p>
    <w:p w14:paraId="6C062171" w14:textId="77777777" w:rsidR="0037407E" w:rsidRDefault="0037407E" w:rsidP="0037407E">
      <w:pPr>
        <w:spacing w:before="10" w:line="240" w:lineRule="exact"/>
        <w:rPr>
          <w:sz w:val="24"/>
          <w:szCs w:val="24"/>
          <w:lang w:val="hu-HU"/>
        </w:rPr>
      </w:pPr>
    </w:p>
    <w:p w14:paraId="423DCECE" w14:textId="77777777" w:rsidR="0037407E" w:rsidRDefault="0037407E" w:rsidP="0037407E">
      <w:pPr>
        <w:pStyle w:val="a3"/>
        <w:rPr>
          <w:lang w:val="hu-HU"/>
        </w:rPr>
      </w:pPr>
      <w:r>
        <w:rPr>
          <w:rFonts w:eastAsia="Times New Roman"/>
          <w:lang w:val="hu-HU"/>
        </w:rPr>
        <w:t>A Yuflyma hatóanyaga, az adalimumab egy emberi monoklonális antitest (ellenanyag). A monoklonális antitestek fehérjék, amelyek speciális célponthoz kötődnek a szervezetben.</w:t>
      </w:r>
    </w:p>
    <w:p w14:paraId="58339E42" w14:textId="77777777" w:rsidR="0037407E" w:rsidRDefault="0037407E" w:rsidP="0037407E">
      <w:pPr>
        <w:spacing w:before="16" w:line="240" w:lineRule="exact"/>
        <w:rPr>
          <w:sz w:val="24"/>
          <w:szCs w:val="24"/>
          <w:lang w:val="hu-HU"/>
        </w:rPr>
      </w:pPr>
    </w:p>
    <w:p w14:paraId="4F4B399E" w14:textId="77777777" w:rsidR="0037407E" w:rsidRDefault="0037407E" w:rsidP="0037407E">
      <w:pPr>
        <w:pStyle w:val="a3"/>
        <w:rPr>
          <w:lang w:val="hu-HU"/>
        </w:rPr>
      </w:pPr>
      <w:r>
        <w:rPr>
          <w:rFonts w:eastAsia="Times New Roman"/>
          <w:lang w:val="hu-HU"/>
        </w:rPr>
        <w:t>Az adalimumab célpontja a tumor nekrózis faktor (TNFα) nevű fehérje, mely az immun (védekező) rendszer működésében vesz részt, és a fent felsorolt gyulladásos betegségekben megnövekedett mennyiségben van jelen. A TNFα-hoz való kötődéssel a Yuflyma csökkenti ezen betegségek gyulladásos folyamatait.</w:t>
      </w:r>
    </w:p>
    <w:p w14:paraId="13EE54F8" w14:textId="77777777" w:rsidR="0037407E" w:rsidRDefault="0037407E" w:rsidP="0037407E">
      <w:pPr>
        <w:pStyle w:val="a3"/>
        <w:rPr>
          <w:lang w:val="hu-HU"/>
        </w:rPr>
      </w:pPr>
    </w:p>
    <w:p w14:paraId="393E5728" w14:textId="77777777" w:rsidR="0037407E" w:rsidRDefault="0037407E" w:rsidP="0037407E">
      <w:pPr>
        <w:pStyle w:val="a3"/>
        <w:rPr>
          <w:b/>
          <w:lang w:val="hu-HU"/>
        </w:rPr>
      </w:pPr>
      <w:r>
        <w:rPr>
          <w:rFonts w:eastAsia="Times New Roman"/>
          <w:b/>
          <w:bCs/>
          <w:lang w:val="hu-HU"/>
        </w:rPr>
        <w:lastRenderedPageBreak/>
        <w:t xml:space="preserve">Reumatoid </w:t>
      </w:r>
      <w:r>
        <w:rPr>
          <w:rFonts w:eastAsia="Times New Roman"/>
          <w:b/>
          <w:lang w:val="hu-HU"/>
        </w:rPr>
        <w:t>artritisz</w:t>
      </w:r>
      <w:r>
        <w:rPr>
          <w:rFonts w:eastAsia="Times New Roman"/>
          <w:lang w:val="hu-HU"/>
        </w:rPr>
        <w:t xml:space="preserve"> </w:t>
      </w:r>
    </w:p>
    <w:p w14:paraId="27A261B0" w14:textId="77777777" w:rsidR="0037407E" w:rsidRDefault="0037407E" w:rsidP="0037407E">
      <w:pPr>
        <w:pStyle w:val="a3"/>
        <w:rPr>
          <w:u w:val="single"/>
          <w:lang w:val="hu-HU"/>
        </w:rPr>
      </w:pPr>
    </w:p>
    <w:p w14:paraId="1B8A73B5" w14:textId="77777777" w:rsidR="0037407E" w:rsidRDefault="0037407E" w:rsidP="0037407E">
      <w:pPr>
        <w:pStyle w:val="a3"/>
        <w:rPr>
          <w:lang w:val="hu-HU"/>
        </w:rPr>
      </w:pPr>
      <w:r>
        <w:rPr>
          <w:rFonts w:eastAsia="Times New Roman"/>
          <w:lang w:val="hu-HU"/>
        </w:rPr>
        <w:t>A reumatoid artritisz az ízületek gyulladásos betegsége.</w:t>
      </w:r>
    </w:p>
    <w:p w14:paraId="2985A745" w14:textId="77777777" w:rsidR="0037407E" w:rsidRDefault="0037407E" w:rsidP="0037407E">
      <w:pPr>
        <w:spacing w:before="11" w:line="240" w:lineRule="exact"/>
        <w:rPr>
          <w:sz w:val="24"/>
          <w:szCs w:val="24"/>
          <w:lang w:val="hu-HU"/>
        </w:rPr>
      </w:pPr>
    </w:p>
    <w:p w14:paraId="076EC49B" w14:textId="77777777" w:rsidR="0037407E" w:rsidRDefault="0037407E" w:rsidP="0037407E">
      <w:pPr>
        <w:pStyle w:val="a3"/>
        <w:rPr>
          <w:lang w:val="hu-HU"/>
        </w:rPr>
      </w:pPr>
      <w:r>
        <w:rPr>
          <w:rFonts w:eastAsia="Times New Roman"/>
          <w:lang w:val="hu-HU"/>
        </w:rPr>
        <w:t>A Yuflyma közepesen súlyos -</w:t>
      </w:r>
      <w:r w:rsidRPr="009167C6">
        <w:rPr>
          <w:lang w:val="hu-HU"/>
        </w:rPr>
        <w:t> </w:t>
      </w:r>
      <w:r>
        <w:rPr>
          <w:rFonts w:eastAsia="Times New Roman"/>
          <w:lang w:val="hu-HU"/>
        </w:rPr>
        <w:t xml:space="preserve"> súlyos felnőttkori reumatoid artritisz kezelésére alkalmazható. Ön először egyéb betegségmódosító gyógyszereket (például metotrexátot) kaphat. </w:t>
      </w:r>
      <w:r>
        <w:rPr>
          <w:lang w:val="hu-HU"/>
        </w:rPr>
        <w:t xml:space="preserve">Abban az esetben </w:t>
      </w:r>
      <w:r>
        <w:rPr>
          <w:rFonts w:eastAsia="Times New Roman"/>
          <w:lang w:val="hu-HU"/>
        </w:rPr>
        <w:t>ha nem reagál megfelelő módon ezekre a gyógyszerekre, akkor Yuflyma-t fog kapni.</w:t>
      </w:r>
    </w:p>
    <w:p w14:paraId="3F792D2C" w14:textId="77777777" w:rsidR="0037407E" w:rsidRDefault="0037407E" w:rsidP="0037407E">
      <w:pPr>
        <w:spacing w:before="17" w:line="240" w:lineRule="exact"/>
        <w:rPr>
          <w:sz w:val="24"/>
          <w:szCs w:val="24"/>
          <w:lang w:val="hu-HU"/>
        </w:rPr>
      </w:pPr>
    </w:p>
    <w:p w14:paraId="26C6DA09" w14:textId="7FC5DDC0" w:rsidR="0037407E" w:rsidRDefault="0037407E" w:rsidP="0037407E">
      <w:pPr>
        <w:pStyle w:val="a3"/>
        <w:rPr>
          <w:lang w:val="hu-HU"/>
        </w:rPr>
      </w:pPr>
      <w:r>
        <w:rPr>
          <w:rFonts w:eastAsia="Times New Roman"/>
          <w:lang w:val="hu-HU"/>
        </w:rPr>
        <w:t>A Yuflyma használható súlyos, aktív és súlyosbodó reumatoid artritiszben előzetes metotrexát-kezelés nélkül.</w:t>
      </w:r>
    </w:p>
    <w:p w14:paraId="35A75812" w14:textId="77777777" w:rsidR="0037407E" w:rsidRDefault="0037407E" w:rsidP="0037407E">
      <w:pPr>
        <w:spacing w:before="11" w:line="240" w:lineRule="exact"/>
        <w:rPr>
          <w:sz w:val="24"/>
          <w:szCs w:val="24"/>
          <w:lang w:val="hu-HU"/>
        </w:rPr>
      </w:pPr>
    </w:p>
    <w:p w14:paraId="6FEA8B58" w14:textId="77777777" w:rsidR="0037407E" w:rsidRDefault="0037407E" w:rsidP="0037407E">
      <w:pPr>
        <w:pStyle w:val="a3"/>
        <w:rPr>
          <w:lang w:val="hu-HU"/>
        </w:rPr>
      </w:pPr>
      <w:r>
        <w:rPr>
          <w:rFonts w:eastAsia="Times New Roman"/>
          <w:lang w:val="hu-HU"/>
        </w:rPr>
        <w:t>A Yuflyma lelassítja a gyulladásos betegség okozta ízületi károsodást és segíti a szabadabb mozgást.</w:t>
      </w:r>
    </w:p>
    <w:p w14:paraId="13F0A2E3" w14:textId="77777777" w:rsidR="0037407E" w:rsidRDefault="0037407E" w:rsidP="0037407E">
      <w:pPr>
        <w:spacing w:before="10" w:line="240" w:lineRule="exact"/>
        <w:rPr>
          <w:sz w:val="24"/>
          <w:szCs w:val="24"/>
          <w:lang w:val="hu-HU"/>
        </w:rPr>
      </w:pPr>
    </w:p>
    <w:p w14:paraId="11A591F2" w14:textId="64D8FD31" w:rsidR="0037407E" w:rsidRDefault="0037407E" w:rsidP="0037407E">
      <w:pPr>
        <w:pStyle w:val="a3"/>
        <w:rPr>
          <w:lang w:val="hu-HU"/>
        </w:rPr>
      </w:pPr>
      <w:r>
        <w:rPr>
          <w:rFonts w:eastAsia="Times New Roman"/>
          <w:lang w:val="hu-HU"/>
        </w:rPr>
        <w:t>Az Ön kezelőorvosa fogja eldönteni, hogy a Yuflym</w:t>
      </w:r>
      <w:r w:rsidR="007C22AA">
        <w:rPr>
          <w:rFonts w:eastAsia="Times New Roman"/>
          <w:lang w:val="hu-HU"/>
        </w:rPr>
        <w:t>a</w:t>
      </w:r>
      <w:r>
        <w:rPr>
          <w:rFonts w:eastAsia="Times New Roman"/>
          <w:lang w:val="hu-HU"/>
        </w:rPr>
        <w:t xml:space="preserve"> metotrexáttal együtt, vagy önmagában alkalmazza Önnél.</w:t>
      </w:r>
    </w:p>
    <w:p w14:paraId="17DC9C3A" w14:textId="77777777" w:rsidR="0037407E" w:rsidRDefault="0037407E" w:rsidP="0037407E">
      <w:pPr>
        <w:spacing w:before="18" w:line="240" w:lineRule="exact"/>
        <w:rPr>
          <w:sz w:val="24"/>
          <w:szCs w:val="24"/>
          <w:lang w:val="hu-HU"/>
        </w:rPr>
      </w:pPr>
    </w:p>
    <w:p w14:paraId="273FF6DB" w14:textId="77777777" w:rsidR="0037407E" w:rsidRDefault="0037407E" w:rsidP="0037407E">
      <w:pPr>
        <w:pStyle w:val="a3"/>
        <w:rPr>
          <w:b/>
          <w:lang w:val="hu-HU"/>
        </w:rPr>
      </w:pPr>
      <w:r>
        <w:rPr>
          <w:rFonts w:eastAsia="Times New Roman"/>
          <w:b/>
          <w:bCs/>
          <w:lang w:val="hu-HU"/>
        </w:rPr>
        <w:t>Plakkos pikkelysömör</w:t>
      </w:r>
    </w:p>
    <w:p w14:paraId="5BEDF1A5" w14:textId="77777777" w:rsidR="0037407E" w:rsidRDefault="0037407E" w:rsidP="0037407E">
      <w:pPr>
        <w:spacing w:before="9" w:line="240" w:lineRule="exact"/>
        <w:rPr>
          <w:sz w:val="24"/>
          <w:szCs w:val="24"/>
          <w:lang w:val="hu-HU"/>
        </w:rPr>
      </w:pPr>
    </w:p>
    <w:p w14:paraId="525C28B9" w14:textId="77777777" w:rsidR="0037407E" w:rsidRDefault="0037407E" w:rsidP="0037407E">
      <w:pPr>
        <w:pStyle w:val="a3"/>
        <w:rPr>
          <w:lang w:val="hu-HU"/>
        </w:rPr>
      </w:pPr>
      <w:r>
        <w:rPr>
          <w:rFonts w:eastAsia="Times New Roman"/>
          <w:lang w:val="hu-HU"/>
        </w:rPr>
        <w:t>A plakkos pszoriázis egy gyulladásos bőrbetegség, amely ezüstös pikkelyekkel borított piros, hámló, kérges foltokat okoz a bőrön. A plakkos pszoriázis a körmöket is érintheti, a köröm töredezését, megvastagodását, a körömágytól való elválását okozva, ami fájdalmas lehet.</w:t>
      </w:r>
    </w:p>
    <w:p w14:paraId="34931C9F" w14:textId="77777777" w:rsidR="0037407E" w:rsidRDefault="0037407E" w:rsidP="0037407E">
      <w:pPr>
        <w:spacing w:before="13" w:line="240" w:lineRule="exact"/>
        <w:rPr>
          <w:sz w:val="24"/>
          <w:szCs w:val="24"/>
          <w:lang w:val="hu-HU"/>
        </w:rPr>
      </w:pPr>
    </w:p>
    <w:p w14:paraId="4F00E23E" w14:textId="34F068AF" w:rsidR="0037407E" w:rsidRPr="00CE42DC" w:rsidRDefault="0037407E" w:rsidP="00CE42DC">
      <w:pPr>
        <w:pStyle w:val="a3"/>
        <w:rPr>
          <w:lang w:val="hu-HU"/>
        </w:rPr>
      </w:pPr>
      <w:r>
        <w:rPr>
          <w:rFonts w:eastAsia="Times New Roman"/>
          <w:lang w:val="hu-HU"/>
        </w:rPr>
        <w:t>A Yuflyma alkalmazható</w:t>
      </w:r>
      <w:r w:rsidR="003B2CB5">
        <w:rPr>
          <w:rFonts w:hint="eastAsia"/>
          <w:lang w:val="hu-HU" w:eastAsia="ko-KR"/>
        </w:rPr>
        <w:t xml:space="preserve"> </w:t>
      </w:r>
      <w:r>
        <w:rPr>
          <w:rFonts w:eastAsia="Times New Roman"/>
          <w:lang w:val="hu-HU"/>
        </w:rPr>
        <w:t>a közepesen súlyos vagy súlyos felnőttkori krónikus plakkos pszoriázis kezelésére</w:t>
      </w:r>
      <w:r w:rsidR="003B2CB5">
        <w:rPr>
          <w:rFonts w:eastAsia="Times New Roman"/>
          <w:lang w:val="hu-HU"/>
        </w:rPr>
        <w:t>.</w:t>
      </w:r>
    </w:p>
    <w:p w14:paraId="6FF44C26" w14:textId="77777777" w:rsidR="0037407E" w:rsidRDefault="0037407E" w:rsidP="0037407E">
      <w:pPr>
        <w:spacing w:before="15" w:line="240" w:lineRule="exact"/>
        <w:rPr>
          <w:sz w:val="24"/>
          <w:szCs w:val="24"/>
          <w:lang w:val="hu-HU"/>
        </w:rPr>
      </w:pPr>
    </w:p>
    <w:p w14:paraId="0A1A2FAA" w14:textId="77777777" w:rsidR="0037407E" w:rsidRDefault="0037407E" w:rsidP="0037407E">
      <w:pPr>
        <w:pStyle w:val="a3"/>
        <w:rPr>
          <w:b/>
          <w:lang w:val="hu-HU"/>
        </w:rPr>
      </w:pPr>
      <w:r>
        <w:rPr>
          <w:rFonts w:eastAsia="Times New Roman"/>
          <w:b/>
          <w:bCs/>
          <w:lang w:val="hu-HU"/>
        </w:rPr>
        <w:t>Hidradenitisz szuppurativa</w:t>
      </w:r>
    </w:p>
    <w:p w14:paraId="29A348ED" w14:textId="77777777" w:rsidR="0037407E" w:rsidRDefault="0037407E" w:rsidP="0037407E">
      <w:pPr>
        <w:spacing w:before="9" w:line="240" w:lineRule="exact"/>
        <w:rPr>
          <w:sz w:val="24"/>
          <w:szCs w:val="24"/>
          <w:lang w:val="hu-HU"/>
        </w:rPr>
      </w:pPr>
    </w:p>
    <w:p w14:paraId="78318077" w14:textId="76102E33" w:rsidR="0037407E" w:rsidRDefault="0037407E" w:rsidP="0037407E">
      <w:pPr>
        <w:pStyle w:val="a3"/>
        <w:rPr>
          <w:lang w:val="hu-HU"/>
        </w:rPr>
      </w:pPr>
      <w:r>
        <w:rPr>
          <w:rFonts w:eastAsia="Times New Roman"/>
          <w:lang w:val="hu-HU"/>
        </w:rPr>
        <w:t xml:space="preserve">A hidradenitisz szuppuratíva (más néven fordított akne) egy hosszú lefolyású és gyakran fájdalmas, gyulladásos bőrbetegség. A tünetek közé tartozhatnak a bőr alatti gócok (csomók) és tályogok (kelések), melyekből genny szivároghat. Ez leggyakrabban a bőr bizonyos területein jelenik meg, például </w:t>
      </w:r>
      <w:r>
        <w:fldChar w:fldCharType="begin"/>
      </w:r>
      <w:r w:rsidRPr="00BE4D18">
        <w:rPr>
          <w:lang w:val="hu-HU"/>
        </w:rPr>
        <w:instrText>HYPERLINK "http://en.wikipedia.org/wiki/Inframammary_fold"</w:instrText>
      </w:r>
      <w:r>
        <w:fldChar w:fldCharType="separate"/>
      </w:r>
      <w:r>
        <w:rPr>
          <w:rFonts w:eastAsia="Times New Roman"/>
          <w:lang w:val="hu-HU"/>
        </w:rPr>
        <w:t xml:space="preserve">a mellek alatt, </w:t>
      </w:r>
      <w:r>
        <w:fldChar w:fldCharType="end"/>
      </w:r>
      <w:r>
        <w:rPr>
          <w:rFonts w:eastAsia="Times New Roman"/>
          <w:lang w:val="hu-HU"/>
        </w:rPr>
        <w:t>hónaljban, a combok belső felszínén, lágyékon és fenéken. Hegesedés is előfordulhat az érintett területeken.</w:t>
      </w:r>
    </w:p>
    <w:p w14:paraId="1E1A434D" w14:textId="77777777" w:rsidR="0037407E" w:rsidRDefault="0037407E" w:rsidP="0037407E">
      <w:pPr>
        <w:spacing w:before="13" w:line="240" w:lineRule="exact"/>
        <w:rPr>
          <w:sz w:val="24"/>
          <w:szCs w:val="24"/>
          <w:lang w:val="hu-HU"/>
        </w:rPr>
      </w:pPr>
    </w:p>
    <w:p w14:paraId="7094B45D" w14:textId="77777777" w:rsidR="0037407E" w:rsidRDefault="0037407E" w:rsidP="0037407E">
      <w:pPr>
        <w:pStyle w:val="a3"/>
        <w:rPr>
          <w:lang w:val="hu-HU"/>
        </w:rPr>
      </w:pPr>
      <w:r>
        <w:rPr>
          <w:rFonts w:eastAsia="Times New Roman"/>
          <w:lang w:val="hu-HU"/>
        </w:rPr>
        <w:t>A Yuflyma alkalmazható</w:t>
      </w:r>
    </w:p>
    <w:p w14:paraId="13D85A5C" w14:textId="77777777" w:rsidR="0037407E" w:rsidRDefault="0037407E" w:rsidP="0037407E">
      <w:pPr>
        <w:pStyle w:val="a3"/>
        <w:numPr>
          <w:ilvl w:val="1"/>
          <w:numId w:val="4"/>
        </w:numPr>
        <w:ind w:left="660" w:hanging="660"/>
        <w:rPr>
          <w:lang w:val="hu-HU"/>
        </w:rPr>
      </w:pPr>
      <w:r>
        <w:rPr>
          <w:rFonts w:eastAsia="Times New Roman"/>
          <w:lang w:val="hu-HU"/>
        </w:rPr>
        <w:t xml:space="preserve">közepesen súlyos – </w:t>
      </w:r>
      <w:r w:rsidRPr="009167C6">
        <w:rPr>
          <w:lang w:val="hu-HU"/>
        </w:rPr>
        <w:t> </w:t>
      </w:r>
      <w:r>
        <w:rPr>
          <w:rFonts w:eastAsia="Times New Roman"/>
          <w:lang w:val="hu-HU"/>
        </w:rPr>
        <w:t>súlyos hidradenitisz szuppurativában szenvedő felnőttek</w:t>
      </w:r>
    </w:p>
    <w:p w14:paraId="6E0F3796" w14:textId="65C955C8" w:rsidR="0037407E" w:rsidRDefault="0037407E" w:rsidP="0037407E">
      <w:pPr>
        <w:pStyle w:val="a3"/>
        <w:numPr>
          <w:ilvl w:val="1"/>
          <w:numId w:val="4"/>
        </w:numPr>
        <w:ind w:left="660" w:hanging="660"/>
        <w:rPr>
          <w:lang w:val="hu-HU"/>
        </w:rPr>
      </w:pPr>
      <w:r>
        <w:rPr>
          <w:rFonts w:eastAsia="Times New Roman"/>
          <w:lang w:val="hu-HU"/>
        </w:rPr>
        <w:t xml:space="preserve">közepesen súlyos – </w:t>
      </w:r>
      <w:r w:rsidRPr="009167C6">
        <w:rPr>
          <w:lang w:val="hu-HU"/>
        </w:rPr>
        <w:t> </w:t>
      </w:r>
      <w:r>
        <w:rPr>
          <w:rFonts w:eastAsia="Times New Roman"/>
          <w:lang w:val="hu-HU"/>
        </w:rPr>
        <w:t xml:space="preserve">súlyos hidradenitisz szuppurativában szenvedő serdülők (12-től betöltött </w:t>
      </w:r>
      <w:r w:rsidR="00AE0D26">
        <w:rPr>
          <w:rFonts w:eastAsia="Times New Roman"/>
          <w:lang w:val="hu-HU"/>
        </w:rPr>
        <w:t>1</w:t>
      </w:r>
      <w:r w:rsidR="005D4167">
        <w:rPr>
          <w:rFonts w:eastAsia="Times New Roman"/>
          <w:lang w:val="hu-HU"/>
        </w:rPr>
        <w:t>8</w:t>
      </w:r>
      <w:r>
        <w:rPr>
          <w:rFonts w:eastAsia="Times New Roman"/>
          <w:lang w:val="hu-HU"/>
        </w:rPr>
        <w:t xml:space="preserve"> éves korig) kezelésére.</w:t>
      </w:r>
    </w:p>
    <w:p w14:paraId="58D47039" w14:textId="77777777" w:rsidR="0037407E" w:rsidRDefault="0037407E" w:rsidP="0037407E">
      <w:pPr>
        <w:spacing w:before="10" w:line="240" w:lineRule="exact"/>
        <w:rPr>
          <w:sz w:val="24"/>
          <w:szCs w:val="24"/>
          <w:lang w:val="hu-HU"/>
        </w:rPr>
      </w:pPr>
    </w:p>
    <w:p w14:paraId="68E228ED" w14:textId="77777777" w:rsidR="0037407E" w:rsidRDefault="0037407E" w:rsidP="0037407E">
      <w:pPr>
        <w:pStyle w:val="a3"/>
        <w:rPr>
          <w:lang w:val="hu-HU"/>
        </w:rPr>
      </w:pPr>
      <w:r>
        <w:rPr>
          <w:rFonts w:eastAsia="Times New Roman"/>
          <w:lang w:val="hu-HU"/>
        </w:rPr>
        <w:t xml:space="preserve">Yuflyma </w:t>
      </w:r>
      <w:r w:rsidRPr="009167C6">
        <w:rPr>
          <w:bCs/>
          <w:lang w:val="hu-HU"/>
        </w:rPr>
        <w:t>csökkenti</w:t>
      </w:r>
      <w:r>
        <w:rPr>
          <w:rFonts w:eastAsia="Times New Roman"/>
          <w:lang w:val="hu-HU"/>
        </w:rPr>
        <w:t xml:space="preserve"> a csomók és tályogok számát és enyhítheti a fájdalmat, ami gyakran jár együtt a betegséggel. Először más gyógyszereket kaphat. Ha nem reagál megfelelő módon ezekre a gyógyszerekre, akkor Yuflyma-t fog kapni.</w:t>
      </w:r>
    </w:p>
    <w:p w14:paraId="4748ED5B" w14:textId="77777777" w:rsidR="0037407E" w:rsidRDefault="0037407E" w:rsidP="0037407E">
      <w:pPr>
        <w:spacing w:before="18" w:line="240" w:lineRule="exact"/>
        <w:rPr>
          <w:sz w:val="24"/>
          <w:szCs w:val="24"/>
          <w:lang w:val="hu-HU"/>
        </w:rPr>
      </w:pPr>
    </w:p>
    <w:p w14:paraId="53C68D0E" w14:textId="77777777" w:rsidR="0037407E" w:rsidRDefault="0037407E" w:rsidP="0037407E">
      <w:pPr>
        <w:pStyle w:val="a3"/>
        <w:rPr>
          <w:b/>
          <w:lang w:val="hu-HU"/>
        </w:rPr>
      </w:pPr>
      <w:r>
        <w:rPr>
          <w:rFonts w:eastAsia="Times New Roman"/>
          <w:b/>
          <w:bCs/>
          <w:lang w:val="hu-HU"/>
        </w:rPr>
        <w:t>Crohn-betegség</w:t>
      </w:r>
    </w:p>
    <w:p w14:paraId="031E397E" w14:textId="77777777" w:rsidR="0037407E" w:rsidRDefault="0037407E" w:rsidP="0037407E">
      <w:pPr>
        <w:pStyle w:val="a3"/>
        <w:rPr>
          <w:u w:val="single"/>
          <w:lang w:val="hu-HU"/>
        </w:rPr>
      </w:pPr>
    </w:p>
    <w:p w14:paraId="39903D5D" w14:textId="44117EBF" w:rsidR="0037407E" w:rsidRDefault="0037407E" w:rsidP="0037407E">
      <w:pPr>
        <w:pStyle w:val="a3"/>
        <w:rPr>
          <w:lang w:val="hu-HU"/>
        </w:rPr>
      </w:pPr>
      <w:r>
        <w:rPr>
          <w:rFonts w:eastAsia="Times New Roman"/>
          <w:lang w:val="hu-HU"/>
        </w:rPr>
        <w:t xml:space="preserve">A Crohn- betegség </w:t>
      </w:r>
      <w:r w:rsidR="007C22AA">
        <w:rPr>
          <w:rFonts w:eastAsia="Times New Roman"/>
          <w:lang w:val="hu-HU"/>
        </w:rPr>
        <w:t xml:space="preserve">a </w:t>
      </w:r>
      <w:r>
        <w:rPr>
          <w:lang w:val="hu-HU"/>
        </w:rPr>
        <w:t>vékonybél gyulladásos betegsége</w:t>
      </w:r>
      <w:r>
        <w:rPr>
          <w:rFonts w:eastAsia="Times New Roman"/>
          <w:lang w:val="hu-HU"/>
        </w:rPr>
        <w:t>. A Yuflyma alkalmazható</w:t>
      </w:r>
    </w:p>
    <w:p w14:paraId="6D8EE12A" w14:textId="77777777" w:rsidR="0037407E" w:rsidRDefault="0037407E" w:rsidP="0037407E">
      <w:pPr>
        <w:pStyle w:val="a3"/>
        <w:numPr>
          <w:ilvl w:val="1"/>
          <w:numId w:val="4"/>
        </w:numPr>
        <w:ind w:left="660" w:hanging="660"/>
        <w:rPr>
          <w:lang w:val="hu-HU"/>
        </w:rPr>
      </w:pPr>
      <w:r>
        <w:rPr>
          <w:rFonts w:eastAsia="Times New Roman"/>
          <w:lang w:val="hu-HU"/>
        </w:rPr>
        <w:t xml:space="preserve">közepesen súlyos – </w:t>
      </w:r>
      <w:r w:rsidRPr="009167C6">
        <w:rPr>
          <w:lang w:val="hu-HU"/>
        </w:rPr>
        <w:t> </w:t>
      </w:r>
      <w:r>
        <w:rPr>
          <w:rFonts w:eastAsia="Times New Roman"/>
          <w:lang w:val="hu-HU"/>
        </w:rPr>
        <w:t>súlyos Crohn-betegségben szenvedő felnőttek és</w:t>
      </w:r>
    </w:p>
    <w:p w14:paraId="1D610AEF" w14:textId="77777777" w:rsidR="0037407E" w:rsidRDefault="0037407E" w:rsidP="0037407E">
      <w:pPr>
        <w:pStyle w:val="a3"/>
        <w:numPr>
          <w:ilvl w:val="1"/>
          <w:numId w:val="4"/>
        </w:numPr>
        <w:ind w:left="660" w:hanging="660"/>
        <w:rPr>
          <w:lang w:val="hu-HU"/>
        </w:rPr>
      </w:pPr>
      <w:r>
        <w:rPr>
          <w:rFonts w:eastAsia="Times New Roman"/>
          <w:lang w:val="hu-HU"/>
        </w:rPr>
        <w:t xml:space="preserve">közepesen súlyos – </w:t>
      </w:r>
      <w:r w:rsidRPr="009167C6">
        <w:rPr>
          <w:lang w:val="hu-HU"/>
        </w:rPr>
        <w:t> </w:t>
      </w:r>
      <w:r>
        <w:rPr>
          <w:rFonts w:eastAsia="Times New Roman"/>
          <w:lang w:val="hu-HU"/>
        </w:rPr>
        <w:t>súlyos Crohn-betegségben szenved</w:t>
      </w:r>
      <w:r w:rsidRPr="00435A19">
        <w:rPr>
          <w:rFonts w:eastAsia="Times New Roman"/>
          <w:lang w:val="hu-HU"/>
        </w:rPr>
        <w:t>ő</w:t>
      </w:r>
      <w:r>
        <w:rPr>
          <w:rFonts w:eastAsia="Times New Roman"/>
          <w:lang w:val="hu-HU"/>
        </w:rPr>
        <w:t xml:space="preserve"> serdülők (</w:t>
      </w:r>
      <w:r w:rsidRPr="00435A19">
        <w:rPr>
          <w:rFonts w:eastAsia="Times New Roman"/>
          <w:lang w:val="hu-HU"/>
        </w:rPr>
        <w:t xml:space="preserve"> 6-</w:t>
      </w:r>
      <w:r>
        <w:rPr>
          <w:rFonts w:eastAsia="Times New Roman"/>
          <w:lang w:val="hu-HU"/>
        </w:rPr>
        <w:t xml:space="preserve">tól betöltött </w:t>
      </w:r>
      <w:r w:rsidRPr="00435A19">
        <w:rPr>
          <w:rFonts w:eastAsia="Times New Roman"/>
          <w:lang w:val="hu-HU"/>
        </w:rPr>
        <w:t>1</w:t>
      </w:r>
      <w:r>
        <w:rPr>
          <w:rFonts w:eastAsia="Times New Roman"/>
          <w:lang w:val="hu-HU"/>
        </w:rPr>
        <w:t>8</w:t>
      </w:r>
      <w:r w:rsidRPr="00435A19">
        <w:rPr>
          <w:rFonts w:eastAsia="Times New Roman"/>
          <w:lang w:val="hu-HU"/>
        </w:rPr>
        <w:t xml:space="preserve"> éves</w:t>
      </w:r>
      <w:r>
        <w:rPr>
          <w:rFonts w:eastAsia="Times New Roman"/>
          <w:lang w:val="hu-HU"/>
        </w:rPr>
        <w:t xml:space="preserve"> korig) kezelésére.</w:t>
      </w:r>
    </w:p>
    <w:p w14:paraId="2EED4446" w14:textId="77777777" w:rsidR="0037407E" w:rsidRDefault="0037407E" w:rsidP="0037407E">
      <w:pPr>
        <w:spacing w:before="16" w:line="240" w:lineRule="exact"/>
        <w:rPr>
          <w:sz w:val="24"/>
          <w:szCs w:val="24"/>
          <w:lang w:val="hu-HU"/>
        </w:rPr>
      </w:pPr>
    </w:p>
    <w:p w14:paraId="5F60F5EA" w14:textId="77777777" w:rsidR="0037407E" w:rsidRDefault="0037407E" w:rsidP="0037407E">
      <w:pPr>
        <w:pStyle w:val="a3"/>
        <w:rPr>
          <w:lang w:val="hu-HU"/>
        </w:rPr>
      </w:pPr>
      <w:r>
        <w:rPr>
          <w:rFonts w:eastAsia="Times New Roman"/>
          <w:lang w:val="hu-HU"/>
        </w:rPr>
        <w:t>Először más gyógyszereket kaphat. Ha nem reagál megfelelő módon ezekre a gyógyszerekre, akkor Yuflyma-t fog kapni.</w:t>
      </w:r>
    </w:p>
    <w:p w14:paraId="25C6EC99" w14:textId="77777777" w:rsidR="0037407E" w:rsidRDefault="0037407E" w:rsidP="0037407E">
      <w:pPr>
        <w:spacing w:before="15" w:line="240" w:lineRule="exact"/>
        <w:rPr>
          <w:sz w:val="24"/>
          <w:szCs w:val="24"/>
          <w:lang w:val="hu-HU"/>
        </w:rPr>
      </w:pPr>
    </w:p>
    <w:p w14:paraId="5B6F7436" w14:textId="77777777" w:rsidR="0037407E" w:rsidRDefault="0037407E" w:rsidP="0037407E">
      <w:pPr>
        <w:pStyle w:val="a3"/>
        <w:rPr>
          <w:b/>
          <w:lang w:val="hu-HU"/>
        </w:rPr>
      </w:pPr>
      <w:r>
        <w:rPr>
          <w:rFonts w:eastAsia="Times New Roman"/>
          <w:b/>
          <w:bCs/>
          <w:lang w:val="hu-HU"/>
        </w:rPr>
        <w:t>Kolitisz ulceróza</w:t>
      </w:r>
    </w:p>
    <w:p w14:paraId="5DCA1228" w14:textId="77777777" w:rsidR="0037407E" w:rsidRDefault="0037407E" w:rsidP="0037407E">
      <w:pPr>
        <w:pStyle w:val="a3"/>
        <w:rPr>
          <w:b/>
          <w:lang w:val="hu-HU"/>
        </w:rPr>
      </w:pPr>
    </w:p>
    <w:p w14:paraId="2C2780DE" w14:textId="77777777" w:rsidR="0037407E" w:rsidRDefault="0037407E" w:rsidP="0037407E">
      <w:pPr>
        <w:pStyle w:val="a3"/>
        <w:rPr>
          <w:lang w:val="hu-HU"/>
        </w:rPr>
      </w:pPr>
      <w:r>
        <w:rPr>
          <w:rFonts w:eastAsia="Times New Roman"/>
          <w:lang w:val="hu-HU"/>
        </w:rPr>
        <w:t xml:space="preserve">A </w:t>
      </w:r>
      <w:r w:rsidRPr="00167BF3">
        <w:rPr>
          <w:lang w:val="hu-HU"/>
        </w:rPr>
        <w:t xml:space="preserve">kolitisz ulceróza </w:t>
      </w:r>
      <w:r>
        <w:rPr>
          <w:rFonts w:eastAsia="Times New Roman"/>
          <w:lang w:val="hu-HU"/>
        </w:rPr>
        <w:t>a vastagbél gyulladásos betegsége.</w:t>
      </w:r>
    </w:p>
    <w:p w14:paraId="0287938D" w14:textId="77777777" w:rsidR="0037407E" w:rsidRDefault="0037407E" w:rsidP="0037407E">
      <w:pPr>
        <w:keepNext/>
        <w:autoSpaceDE w:val="0"/>
        <w:autoSpaceDN w:val="0"/>
        <w:adjustRightInd w:val="0"/>
        <w:rPr>
          <w:rFonts w:eastAsia="Times New Roman"/>
          <w:lang w:val="hu-HU"/>
        </w:rPr>
      </w:pPr>
    </w:p>
    <w:p w14:paraId="263445F7" w14:textId="77777777" w:rsidR="0037407E" w:rsidRPr="00EF09AD" w:rsidRDefault="0037407E" w:rsidP="0037407E">
      <w:pPr>
        <w:keepNext/>
        <w:autoSpaceDE w:val="0"/>
        <w:autoSpaceDN w:val="0"/>
        <w:adjustRightInd w:val="0"/>
        <w:rPr>
          <w:rFonts w:ascii="Times New Roman" w:eastAsia="바탕" w:hAnsi="Times New Roman" w:cs="Times New Roman"/>
          <w:bCs/>
          <w:lang w:val="hu-HU" w:eastAsia="hu-HU"/>
        </w:rPr>
      </w:pPr>
      <w:r w:rsidRPr="00EF09AD">
        <w:rPr>
          <w:rFonts w:ascii="Times New Roman" w:eastAsia="바탕" w:hAnsi="Times New Roman" w:cs="Times New Roman"/>
          <w:bCs/>
          <w:lang w:val="hu-HU" w:eastAsia="hu-HU"/>
        </w:rPr>
        <w:t xml:space="preserve">A </w:t>
      </w:r>
      <w:r>
        <w:rPr>
          <w:rFonts w:ascii="Times New Roman" w:eastAsia="바탕" w:hAnsi="Times New Roman" w:cs="Times New Roman"/>
          <w:bCs/>
          <w:lang w:val="hu-HU" w:eastAsia="hu-HU"/>
        </w:rPr>
        <w:t>Yuflyma</w:t>
      </w:r>
      <w:r w:rsidRPr="00EF09AD">
        <w:rPr>
          <w:rFonts w:ascii="Times New Roman" w:eastAsia="바탕" w:hAnsi="Times New Roman" w:cs="Times New Roman"/>
          <w:bCs/>
          <w:lang w:val="hu-HU" w:eastAsia="hu-HU"/>
        </w:rPr>
        <w:t xml:space="preserve"> alkalmazható</w:t>
      </w:r>
    </w:p>
    <w:p w14:paraId="3E6CE1FC" w14:textId="77777777" w:rsidR="0037407E" w:rsidRPr="00EF09AD" w:rsidRDefault="0037407E" w:rsidP="00FD05AA">
      <w:pPr>
        <w:keepNext/>
        <w:widowControl/>
        <w:numPr>
          <w:ilvl w:val="0"/>
          <w:numId w:val="51"/>
        </w:numPr>
        <w:suppressAutoHyphens/>
        <w:autoSpaceDE w:val="0"/>
        <w:autoSpaceDN w:val="0"/>
        <w:adjustRightInd w:val="0"/>
        <w:spacing w:line="260" w:lineRule="exact"/>
        <w:rPr>
          <w:rFonts w:ascii="Times New Roman" w:eastAsia="바탕" w:hAnsi="Times New Roman" w:cs="Times New Roman"/>
          <w:lang w:val="hu-HU" w:eastAsia="hu-HU"/>
        </w:rPr>
      </w:pPr>
      <w:r w:rsidRPr="00EF09AD">
        <w:rPr>
          <w:rFonts w:ascii="Times New Roman" w:eastAsia="바탕" w:hAnsi="Times New Roman" w:cs="Times New Roman"/>
          <w:bCs/>
          <w:lang w:val="hu-HU" w:eastAsia="hu-HU"/>
        </w:rPr>
        <w:t>közepesen súlyos</w:t>
      </w:r>
      <w:r w:rsidRPr="00EF09AD">
        <w:rPr>
          <w:rFonts w:ascii="Times New Roman" w:eastAsia="바탕" w:hAnsi="Times New Roman" w:cs="Times New Roman"/>
          <w:bCs/>
          <w:lang w:val="hu-HU" w:eastAsia="hu-HU"/>
        </w:rPr>
        <w:noBreakHyphen/>
        <w:t>súlyos felnőttkori kolitisz ulceróza kezelésére és</w:t>
      </w:r>
    </w:p>
    <w:p w14:paraId="72265570" w14:textId="77777777" w:rsidR="0037407E" w:rsidRPr="00EF09AD" w:rsidRDefault="0037407E" w:rsidP="00FD05AA">
      <w:pPr>
        <w:keepNext/>
        <w:widowControl/>
        <w:numPr>
          <w:ilvl w:val="0"/>
          <w:numId w:val="51"/>
        </w:numPr>
        <w:suppressAutoHyphens/>
        <w:autoSpaceDE w:val="0"/>
        <w:autoSpaceDN w:val="0"/>
        <w:adjustRightInd w:val="0"/>
        <w:spacing w:line="260" w:lineRule="exact"/>
        <w:rPr>
          <w:rFonts w:ascii="Times New Roman" w:eastAsia="바탕" w:hAnsi="Times New Roman" w:cs="Times New Roman"/>
          <w:bCs/>
          <w:lang w:val="hu-HU" w:eastAsia="hu-HU"/>
        </w:rPr>
      </w:pPr>
      <w:r w:rsidRPr="00EF09AD">
        <w:rPr>
          <w:rFonts w:ascii="Times New Roman" w:eastAsia="바탕" w:hAnsi="Times New Roman" w:cs="Times New Roman"/>
          <w:bCs/>
          <w:lang w:val="hu-HU" w:eastAsia="hu-HU"/>
        </w:rPr>
        <w:t>közepesen súlyos</w:t>
      </w:r>
      <w:r w:rsidRPr="00EF09AD">
        <w:rPr>
          <w:rFonts w:ascii="Times New Roman" w:eastAsia="바탕" w:hAnsi="Times New Roman" w:cs="Times New Roman"/>
          <w:bCs/>
          <w:lang w:val="hu-HU" w:eastAsia="hu-HU"/>
        </w:rPr>
        <w:noBreakHyphen/>
        <w:t>súlyos kolitisz ulceróza kezelésére 6 és 17 éves kor közötti gyermekeknél és serdülőknél.</w:t>
      </w:r>
    </w:p>
    <w:p w14:paraId="43A8A22C" w14:textId="77777777" w:rsidR="0037407E" w:rsidRDefault="0037407E" w:rsidP="0037407E">
      <w:pPr>
        <w:pStyle w:val="a3"/>
        <w:rPr>
          <w:rFonts w:eastAsia="Times New Roman"/>
          <w:lang w:val="hu-HU"/>
        </w:rPr>
      </w:pPr>
    </w:p>
    <w:p w14:paraId="37624ED2" w14:textId="77777777" w:rsidR="0037407E" w:rsidRDefault="0037407E" w:rsidP="0037407E">
      <w:pPr>
        <w:pStyle w:val="a3"/>
        <w:rPr>
          <w:lang w:val="hu-HU"/>
        </w:rPr>
      </w:pPr>
      <w:r w:rsidRPr="004E2591">
        <w:rPr>
          <w:lang w:val="hu-HU"/>
        </w:rPr>
        <w:t xml:space="preserve">Ön először egyéb gyógyszereket kaphat. </w:t>
      </w:r>
      <w:r w:rsidRPr="0050547A">
        <w:rPr>
          <w:lang w:val="hu-HU"/>
        </w:rPr>
        <w:t>Ha ezekre a gyógyszerekre nem reagál megfelelően</w:t>
      </w:r>
      <w:r>
        <w:rPr>
          <w:rFonts w:eastAsia="Times New Roman"/>
          <w:lang w:val="hu-HU"/>
        </w:rPr>
        <w:t>, akkor Yuflyma-t fog kapni.</w:t>
      </w:r>
    </w:p>
    <w:p w14:paraId="5176AA27" w14:textId="77777777" w:rsidR="0037407E" w:rsidRDefault="0037407E" w:rsidP="0037407E">
      <w:pPr>
        <w:spacing w:before="15" w:line="240" w:lineRule="exact"/>
        <w:rPr>
          <w:sz w:val="24"/>
          <w:szCs w:val="24"/>
          <w:lang w:val="hu-HU"/>
        </w:rPr>
      </w:pPr>
    </w:p>
    <w:p w14:paraId="506A682B" w14:textId="77777777" w:rsidR="0037407E" w:rsidRDefault="0037407E" w:rsidP="0037407E">
      <w:pPr>
        <w:pStyle w:val="a3"/>
        <w:rPr>
          <w:b/>
          <w:lang w:val="hu-HU"/>
        </w:rPr>
      </w:pPr>
      <w:r>
        <w:rPr>
          <w:rFonts w:eastAsia="Times New Roman"/>
          <w:b/>
          <w:bCs/>
          <w:lang w:val="hu-HU"/>
        </w:rPr>
        <w:t>Nem fertőzéses eredetű szemgyulladás (uveitisz)</w:t>
      </w:r>
    </w:p>
    <w:p w14:paraId="1D2B16D6" w14:textId="77777777" w:rsidR="0037407E" w:rsidRDefault="0037407E" w:rsidP="0037407E">
      <w:pPr>
        <w:pStyle w:val="a3"/>
        <w:rPr>
          <w:lang w:val="hu-HU"/>
        </w:rPr>
      </w:pPr>
    </w:p>
    <w:p w14:paraId="1917C1B9" w14:textId="77777777" w:rsidR="0037407E" w:rsidRDefault="0037407E" w:rsidP="0037407E">
      <w:pPr>
        <w:pStyle w:val="a3"/>
        <w:rPr>
          <w:lang w:val="hu-HU"/>
        </w:rPr>
      </w:pPr>
      <w:r>
        <w:rPr>
          <w:rFonts w:eastAsia="Times New Roman"/>
          <w:lang w:val="hu-HU"/>
        </w:rPr>
        <w:t>A nem fertőzéses eredetű szemgyulladás egy gyulladásos betegség, mely a szem bizonyos részeit érinti. A Yuflyma alkalmazható</w:t>
      </w:r>
    </w:p>
    <w:p w14:paraId="3F6F8F9A" w14:textId="7376371C" w:rsidR="0037407E" w:rsidRDefault="007C22AA" w:rsidP="0037407E">
      <w:pPr>
        <w:pStyle w:val="a3"/>
        <w:numPr>
          <w:ilvl w:val="1"/>
          <w:numId w:val="4"/>
        </w:numPr>
        <w:ind w:left="660" w:hanging="660"/>
        <w:rPr>
          <w:lang w:val="hu-HU"/>
        </w:rPr>
      </w:pPr>
      <w:r>
        <w:rPr>
          <w:rFonts w:eastAsia="Times New Roman"/>
          <w:lang w:val="hu-HU"/>
        </w:rPr>
        <w:t>f</w:t>
      </w:r>
      <w:r w:rsidR="0037407E">
        <w:rPr>
          <w:rFonts w:eastAsia="Times New Roman"/>
          <w:lang w:val="hu-HU"/>
        </w:rPr>
        <w:t>elnőttkori, nem fertőzéses eredetű szemgyulladás kezelésére, amikor a gyulladás a szem hátsó részét (szemfeneket) érinti</w:t>
      </w:r>
    </w:p>
    <w:p w14:paraId="35E4E608" w14:textId="77777777" w:rsidR="0037407E" w:rsidRDefault="0037407E" w:rsidP="0037407E">
      <w:pPr>
        <w:pStyle w:val="a3"/>
        <w:numPr>
          <w:ilvl w:val="1"/>
          <w:numId w:val="4"/>
        </w:numPr>
        <w:ind w:left="660" w:hanging="660"/>
        <w:rPr>
          <w:lang w:val="hu-HU"/>
        </w:rPr>
      </w:pPr>
      <w:r>
        <w:rPr>
          <w:rFonts w:eastAsia="Times New Roman"/>
          <w:lang w:val="hu-HU"/>
        </w:rPr>
        <w:t>2 évnél idősebb gyermekeknél a krónikus, nem fertőzéses eredetű szemgyulladás kezelésére, amikor a gyulladás a szem elülső részét érinti</w:t>
      </w:r>
    </w:p>
    <w:p w14:paraId="295987A4" w14:textId="77777777" w:rsidR="0037407E" w:rsidRDefault="0037407E" w:rsidP="0037407E">
      <w:pPr>
        <w:pStyle w:val="a3"/>
        <w:rPr>
          <w:lang w:val="hu-HU"/>
        </w:rPr>
      </w:pPr>
    </w:p>
    <w:p w14:paraId="6AB56409" w14:textId="192D261C" w:rsidR="0037407E" w:rsidRDefault="0037407E" w:rsidP="0037407E">
      <w:pPr>
        <w:pStyle w:val="a3"/>
        <w:rPr>
          <w:lang w:val="hu-HU"/>
        </w:rPr>
      </w:pPr>
      <w:r>
        <w:rPr>
          <w:rFonts w:eastAsia="Times New Roman"/>
          <w:lang w:val="hu-HU"/>
        </w:rPr>
        <w:t xml:space="preserve">A gyulladás látáscsökkenéshez és/vagy a szemben úszkáló homályok (fekete pontok vagy vékony csíkok, melyek a </w:t>
      </w:r>
      <w:r w:rsidR="007C22AA" w:rsidRPr="00614BD8">
        <w:rPr>
          <w:rFonts w:eastAsia="Times New Roman"/>
          <w:lang w:val="hu-HU"/>
        </w:rPr>
        <w:t>látótérben</w:t>
      </w:r>
      <w:r w:rsidR="007C22AA">
        <w:rPr>
          <w:rFonts w:eastAsia="Times New Roman"/>
          <w:lang w:val="hu-HU"/>
        </w:rPr>
        <w:t xml:space="preserve"> </w:t>
      </w:r>
      <w:r>
        <w:rPr>
          <w:rFonts w:eastAsia="Times New Roman"/>
          <w:lang w:val="hu-HU"/>
        </w:rPr>
        <w:t>mozognak) jelenlétéhez vezethet. A Yuflyma ezt a gyulladást csökkenti.</w:t>
      </w:r>
    </w:p>
    <w:p w14:paraId="4BCB95B8" w14:textId="77777777" w:rsidR="0037407E" w:rsidRDefault="0037407E" w:rsidP="0037407E">
      <w:pPr>
        <w:spacing w:before="10" w:line="240" w:lineRule="exact"/>
        <w:rPr>
          <w:sz w:val="24"/>
          <w:szCs w:val="24"/>
          <w:lang w:val="hu-HU"/>
        </w:rPr>
      </w:pPr>
    </w:p>
    <w:p w14:paraId="5C3B95A0" w14:textId="77777777" w:rsidR="0037407E" w:rsidRDefault="0037407E" w:rsidP="0037407E">
      <w:pPr>
        <w:pStyle w:val="a3"/>
        <w:rPr>
          <w:lang w:val="hu-HU"/>
        </w:rPr>
      </w:pPr>
      <w:r>
        <w:rPr>
          <w:rFonts w:eastAsia="Times New Roman"/>
          <w:lang w:val="hu-HU"/>
        </w:rPr>
        <w:t>Először más gyógyszereket kaphat. Ha nem reagál megfelelő módon ezekre a gyógyszerekre, akkor Yuflyma-t fog kapni.</w:t>
      </w:r>
    </w:p>
    <w:p w14:paraId="74E7F689" w14:textId="77777777" w:rsidR="0037407E" w:rsidRDefault="0037407E" w:rsidP="0037407E">
      <w:pPr>
        <w:spacing w:before="18" w:line="240" w:lineRule="exact"/>
        <w:rPr>
          <w:rFonts w:ascii="Times New Roman" w:hAnsi="Times New Roman" w:cs="Times New Roman"/>
          <w:b/>
          <w:lang w:val="hu-HU"/>
        </w:rPr>
      </w:pPr>
    </w:p>
    <w:p w14:paraId="01E9D6B1" w14:textId="77777777" w:rsidR="0037407E" w:rsidRDefault="0037407E" w:rsidP="0037407E">
      <w:pPr>
        <w:spacing w:before="18" w:line="240" w:lineRule="exact"/>
        <w:ind w:left="108"/>
        <w:rPr>
          <w:rFonts w:ascii="Times New Roman" w:hAnsi="Times New Roman" w:cs="Times New Roman"/>
          <w:b/>
          <w:lang w:val="hu-HU"/>
        </w:rPr>
      </w:pPr>
    </w:p>
    <w:p w14:paraId="02DDED97" w14:textId="77777777" w:rsidR="0037407E" w:rsidRDefault="0037407E" w:rsidP="00FD05AA">
      <w:pPr>
        <w:pStyle w:val="a4"/>
        <w:numPr>
          <w:ilvl w:val="0"/>
          <w:numId w:val="62"/>
        </w:numPr>
        <w:spacing w:before="18" w:line="240" w:lineRule="exact"/>
        <w:ind w:left="357" w:hanging="357"/>
        <w:rPr>
          <w:lang w:val="hu-HU"/>
        </w:rPr>
      </w:pPr>
      <w:r>
        <w:rPr>
          <w:rFonts w:ascii="Times New Roman" w:eastAsia="Times New Roman" w:hAnsi="Times New Roman" w:cs="Times New Roman"/>
          <w:b/>
          <w:bCs/>
          <w:lang w:val="hu-HU"/>
        </w:rPr>
        <w:t>Tudnivalók a Yuflyma alkalmazása előtt</w:t>
      </w:r>
    </w:p>
    <w:p w14:paraId="16F0708F" w14:textId="77777777" w:rsidR="0037407E" w:rsidRDefault="0037407E" w:rsidP="0037407E">
      <w:pPr>
        <w:spacing w:before="18" w:line="240" w:lineRule="exact"/>
        <w:ind w:left="108"/>
        <w:rPr>
          <w:b/>
          <w:bCs/>
          <w:lang w:val="hu-HU"/>
        </w:rPr>
      </w:pPr>
    </w:p>
    <w:p w14:paraId="211AD8FE" w14:textId="77777777" w:rsidR="0037407E" w:rsidRDefault="0037407E" w:rsidP="0037407E">
      <w:pPr>
        <w:pStyle w:val="a3"/>
        <w:rPr>
          <w:b/>
          <w:lang w:val="hu-HU"/>
        </w:rPr>
      </w:pPr>
      <w:r>
        <w:rPr>
          <w:rFonts w:eastAsia="Times New Roman"/>
          <w:b/>
          <w:bCs/>
          <w:lang w:val="hu-HU"/>
        </w:rPr>
        <w:t>Ne alkalmazza a Yuflymát:</w:t>
      </w:r>
    </w:p>
    <w:p w14:paraId="1E033939" w14:textId="77777777" w:rsidR="0037407E" w:rsidRDefault="0037407E" w:rsidP="0037407E">
      <w:pPr>
        <w:pStyle w:val="a3"/>
        <w:rPr>
          <w:b/>
          <w:lang w:val="hu-HU"/>
        </w:rPr>
      </w:pPr>
    </w:p>
    <w:p w14:paraId="7CB702C4" w14:textId="77777777" w:rsidR="0037407E" w:rsidRDefault="0037407E" w:rsidP="0037407E">
      <w:pPr>
        <w:pStyle w:val="a3"/>
        <w:numPr>
          <w:ilvl w:val="1"/>
          <w:numId w:val="4"/>
        </w:numPr>
        <w:ind w:left="660" w:hanging="660"/>
        <w:rPr>
          <w:lang w:val="hu-HU"/>
        </w:rPr>
      </w:pPr>
      <w:r>
        <w:rPr>
          <w:rFonts w:eastAsia="Times New Roman"/>
          <w:lang w:val="hu-HU"/>
        </w:rPr>
        <w:t>ha allergiás az adalimumabra vagy a gyógyszer (6. pontban felsorolt) egyéb összetevőjére;</w:t>
      </w:r>
    </w:p>
    <w:p w14:paraId="13F208D9" w14:textId="77777777" w:rsidR="0037407E" w:rsidRDefault="0037407E" w:rsidP="0037407E">
      <w:pPr>
        <w:pStyle w:val="a3"/>
        <w:numPr>
          <w:ilvl w:val="0"/>
          <w:numId w:val="0"/>
        </w:numPr>
        <w:ind w:left="660"/>
        <w:rPr>
          <w:lang w:val="hu-HU"/>
        </w:rPr>
      </w:pPr>
    </w:p>
    <w:p w14:paraId="474A392F" w14:textId="741BBA3D" w:rsidR="0037407E" w:rsidRDefault="007C22AA" w:rsidP="0037407E">
      <w:pPr>
        <w:pStyle w:val="a3"/>
        <w:numPr>
          <w:ilvl w:val="1"/>
          <w:numId w:val="4"/>
        </w:numPr>
        <w:ind w:left="660" w:hanging="660"/>
        <w:rPr>
          <w:lang w:val="hu-HU"/>
        </w:rPr>
      </w:pPr>
      <w:r>
        <w:rPr>
          <w:rFonts w:eastAsia="Times New Roman"/>
          <w:lang w:val="hu-HU"/>
        </w:rPr>
        <w:t>h</w:t>
      </w:r>
      <w:r w:rsidR="0037407E">
        <w:rPr>
          <w:rFonts w:eastAsia="Times New Roman"/>
          <w:lang w:val="hu-HU"/>
        </w:rPr>
        <w:t>a aktív tuberkulózisban vagy más súlyos fertőzésben szenved (lásd „Figyelmeztetések és óvintézkedések”). Kezelőorvosával feltétlenül közölje, ha bármilyen fertőzésre utaló tünete van, mint például láz, sebek, fáradtságérzés, fogászati problémák.</w:t>
      </w:r>
    </w:p>
    <w:p w14:paraId="05809D70" w14:textId="77777777" w:rsidR="0037407E" w:rsidRDefault="0037407E" w:rsidP="0037407E">
      <w:pPr>
        <w:pStyle w:val="a3"/>
        <w:numPr>
          <w:ilvl w:val="0"/>
          <w:numId w:val="0"/>
        </w:numPr>
        <w:ind w:left="660"/>
        <w:rPr>
          <w:lang w:val="hu-HU"/>
        </w:rPr>
      </w:pPr>
    </w:p>
    <w:p w14:paraId="3224919A" w14:textId="22448EBD" w:rsidR="0037407E" w:rsidRDefault="007C22AA" w:rsidP="0037407E">
      <w:pPr>
        <w:pStyle w:val="a3"/>
        <w:numPr>
          <w:ilvl w:val="1"/>
          <w:numId w:val="4"/>
        </w:numPr>
        <w:ind w:left="660" w:hanging="660"/>
        <w:rPr>
          <w:lang w:val="hu-HU"/>
        </w:rPr>
      </w:pPr>
      <w:r>
        <w:rPr>
          <w:rFonts w:eastAsia="Times New Roman"/>
          <w:lang w:val="hu-HU"/>
        </w:rPr>
        <w:t>h</w:t>
      </w:r>
      <w:r w:rsidR="0037407E">
        <w:rPr>
          <w:rFonts w:eastAsia="Times New Roman"/>
          <w:lang w:val="hu-HU"/>
        </w:rPr>
        <w:t xml:space="preserve">a Ön közepesen súlyos vagy súlyos szívelégtelenségben szenved. Kezelőorvosával feltétlenül közölje, ha </w:t>
      </w:r>
      <w:r w:rsidRPr="00614BD8">
        <w:rPr>
          <w:rFonts w:eastAsia="Times New Roman" w:hint="eastAsia"/>
          <w:lang w:val="hu-HU"/>
        </w:rPr>
        <w:t>Ö</w:t>
      </w:r>
      <w:r w:rsidRPr="00614BD8">
        <w:rPr>
          <w:rFonts w:eastAsia="Times New Roman"/>
          <w:lang w:val="hu-HU"/>
        </w:rPr>
        <w:t>nnek korábban vagy most fennálló súlyos szívproblémája van</w:t>
      </w:r>
      <w:r w:rsidR="0037407E">
        <w:rPr>
          <w:rFonts w:eastAsia="Times New Roman"/>
          <w:lang w:val="hu-HU"/>
        </w:rPr>
        <w:t>(lásd „Figyelmeztetések és óvintézkedések”).</w:t>
      </w:r>
    </w:p>
    <w:p w14:paraId="3FF29876" w14:textId="77777777" w:rsidR="0037407E" w:rsidRDefault="0037407E" w:rsidP="0037407E">
      <w:pPr>
        <w:spacing w:before="13" w:line="240" w:lineRule="exact"/>
        <w:rPr>
          <w:sz w:val="24"/>
          <w:szCs w:val="24"/>
          <w:lang w:val="hu-HU"/>
        </w:rPr>
      </w:pPr>
    </w:p>
    <w:p w14:paraId="58CFC6B3" w14:textId="77777777" w:rsidR="0037407E" w:rsidRDefault="0037407E" w:rsidP="0037407E">
      <w:pPr>
        <w:pStyle w:val="a3"/>
        <w:rPr>
          <w:b/>
          <w:lang w:val="hu-HU"/>
        </w:rPr>
      </w:pPr>
      <w:r>
        <w:rPr>
          <w:rFonts w:eastAsia="Times New Roman"/>
          <w:b/>
          <w:bCs/>
          <w:lang w:val="hu-HU"/>
        </w:rPr>
        <w:t>Figyelmeztetések és óvintézkedések</w:t>
      </w:r>
    </w:p>
    <w:p w14:paraId="3606A715" w14:textId="77777777" w:rsidR="0037407E" w:rsidRDefault="0037407E" w:rsidP="0037407E">
      <w:pPr>
        <w:spacing w:before="9" w:line="240" w:lineRule="exact"/>
        <w:rPr>
          <w:sz w:val="24"/>
          <w:szCs w:val="24"/>
          <w:lang w:val="hu-HU"/>
        </w:rPr>
      </w:pPr>
    </w:p>
    <w:p w14:paraId="3844933E" w14:textId="77777777" w:rsidR="0037407E" w:rsidRDefault="0037407E" w:rsidP="0037407E">
      <w:pPr>
        <w:pStyle w:val="a3"/>
        <w:rPr>
          <w:lang w:val="hu-HU"/>
        </w:rPr>
      </w:pPr>
      <w:r>
        <w:rPr>
          <w:rFonts w:eastAsia="Times New Roman"/>
          <w:lang w:val="hu-HU"/>
        </w:rPr>
        <w:t>A Yuflyma alkalmazása előtt beszéljen kezelőorvosával vagy gyógyszerészével</w:t>
      </w:r>
    </w:p>
    <w:p w14:paraId="39D1775B" w14:textId="77777777" w:rsidR="0037407E" w:rsidRDefault="0037407E" w:rsidP="0037407E">
      <w:pPr>
        <w:pStyle w:val="a3"/>
        <w:rPr>
          <w:lang w:val="hu-HU"/>
        </w:rPr>
      </w:pPr>
    </w:p>
    <w:p w14:paraId="33DCC2FD" w14:textId="77777777" w:rsidR="0037407E" w:rsidRDefault="0037407E" w:rsidP="0037407E">
      <w:pPr>
        <w:pStyle w:val="a3"/>
        <w:rPr>
          <w:u w:val="single" w:color="000000"/>
          <w:lang w:val="hu-HU"/>
        </w:rPr>
      </w:pPr>
      <w:r>
        <w:rPr>
          <w:rFonts w:eastAsia="Times New Roman"/>
          <w:u w:val="single" w:color="000000"/>
          <w:lang w:val="hu-HU"/>
        </w:rPr>
        <w:t>Allergiás reakciók</w:t>
      </w:r>
    </w:p>
    <w:p w14:paraId="37313116" w14:textId="77777777" w:rsidR="0037407E" w:rsidRDefault="0037407E" w:rsidP="0037407E">
      <w:pPr>
        <w:pStyle w:val="a3"/>
        <w:rPr>
          <w:u w:val="single"/>
          <w:lang w:val="hu-HU"/>
        </w:rPr>
      </w:pPr>
    </w:p>
    <w:p w14:paraId="7534F646" w14:textId="77777777" w:rsidR="0037407E" w:rsidRDefault="0037407E" w:rsidP="0037407E">
      <w:pPr>
        <w:pStyle w:val="a3"/>
        <w:numPr>
          <w:ilvl w:val="1"/>
          <w:numId w:val="4"/>
        </w:numPr>
        <w:ind w:left="660" w:hanging="660"/>
        <w:rPr>
          <w:lang w:val="hu-HU"/>
        </w:rPr>
      </w:pPr>
      <w:r>
        <w:rPr>
          <w:rFonts w:eastAsia="Times New Roman"/>
          <w:lang w:val="hu-HU"/>
        </w:rPr>
        <w:t xml:space="preserve">Ha olyan allergiás reakciókat észlel, mint mellkasi szorítás, </w:t>
      </w:r>
      <w:r>
        <w:rPr>
          <w:lang w:val="hu-HU"/>
        </w:rPr>
        <w:t>ziháló légzés</w:t>
      </w:r>
      <w:r>
        <w:rPr>
          <w:rFonts w:eastAsia="Times New Roman"/>
          <w:lang w:val="hu-HU"/>
        </w:rPr>
        <w:t>, szédülés, duzzanat vagy viszketés, ne használja tovább a Yuflyma-t, és azonnal forduljon kezelőorvosához, mivel ritka esetekben ezek a reakciók életveszélyesek lehetnek.</w:t>
      </w:r>
    </w:p>
    <w:p w14:paraId="0BD8E11B" w14:textId="77777777" w:rsidR="0037407E" w:rsidRDefault="0037407E" w:rsidP="0037407E">
      <w:pPr>
        <w:pStyle w:val="a3"/>
        <w:rPr>
          <w:b/>
          <w:lang w:val="hu-HU"/>
        </w:rPr>
      </w:pPr>
    </w:p>
    <w:p w14:paraId="1A407E16" w14:textId="77777777" w:rsidR="0037407E" w:rsidRDefault="0037407E" w:rsidP="0037407E">
      <w:pPr>
        <w:pStyle w:val="a3"/>
        <w:rPr>
          <w:u w:val="single"/>
          <w:lang w:val="hu-HU"/>
        </w:rPr>
      </w:pPr>
      <w:r>
        <w:rPr>
          <w:rFonts w:eastAsia="Times New Roman"/>
          <w:u w:val="single"/>
          <w:lang w:val="hu-HU"/>
        </w:rPr>
        <w:t>Fertőzések</w:t>
      </w:r>
    </w:p>
    <w:p w14:paraId="3731CB17" w14:textId="77777777" w:rsidR="0037407E" w:rsidRDefault="0037407E" w:rsidP="0037407E">
      <w:pPr>
        <w:pStyle w:val="a3"/>
        <w:rPr>
          <w:b/>
          <w:lang w:val="hu-HU"/>
        </w:rPr>
      </w:pPr>
    </w:p>
    <w:p w14:paraId="0C48F492" w14:textId="3B24BF6E" w:rsidR="0037407E" w:rsidRDefault="0037407E" w:rsidP="0037407E">
      <w:pPr>
        <w:pStyle w:val="a3"/>
        <w:numPr>
          <w:ilvl w:val="1"/>
          <w:numId w:val="4"/>
        </w:numPr>
        <w:ind w:left="660" w:hanging="660"/>
        <w:rPr>
          <w:lang w:val="hu-HU"/>
        </w:rPr>
      </w:pPr>
      <w:r>
        <w:rPr>
          <w:rFonts w:eastAsia="Times New Roman"/>
          <w:lang w:val="hu-HU"/>
        </w:rPr>
        <w:t xml:space="preserve">Ha fertőzésben szenved, ideértve a hosszantartó vagy a test egy részét érintő </w:t>
      </w:r>
      <w:r w:rsidR="007C22AA" w:rsidRPr="00614BD8">
        <w:rPr>
          <w:rFonts w:eastAsia="Times New Roman"/>
          <w:lang w:val="hu-HU"/>
        </w:rPr>
        <w:t>megfertőződhet</w:t>
      </w:r>
      <w:r w:rsidR="007C22AA">
        <w:rPr>
          <w:rFonts w:eastAsia="Times New Roman"/>
          <w:lang w:val="hu-HU"/>
        </w:rPr>
        <w:t xml:space="preserve"> </w:t>
      </w:r>
      <w:r>
        <w:rPr>
          <w:rFonts w:eastAsia="Times New Roman"/>
          <w:lang w:val="hu-HU"/>
        </w:rPr>
        <w:t>(például lábszárfekély), beszéljen kezelőorvosával a Yuflyma alkalmazása előtt. Ha kétségei vannak, forduljon kezelőorvosához.</w:t>
      </w:r>
    </w:p>
    <w:p w14:paraId="65DB35E4" w14:textId="77777777" w:rsidR="0037407E" w:rsidRDefault="0037407E" w:rsidP="0037407E">
      <w:pPr>
        <w:pStyle w:val="a3"/>
        <w:rPr>
          <w:lang w:val="hu-HU"/>
        </w:rPr>
      </w:pPr>
    </w:p>
    <w:p w14:paraId="25AF5627" w14:textId="019B12D6" w:rsidR="0037407E" w:rsidRDefault="0037407E" w:rsidP="0037407E">
      <w:pPr>
        <w:pStyle w:val="a3"/>
        <w:numPr>
          <w:ilvl w:val="1"/>
          <w:numId w:val="4"/>
        </w:numPr>
        <w:ind w:left="660" w:hanging="660"/>
        <w:rPr>
          <w:lang w:val="hu-HU"/>
        </w:rPr>
      </w:pPr>
      <w:r>
        <w:rPr>
          <w:rFonts w:eastAsia="Times New Roman"/>
          <w:lang w:val="hu-HU"/>
        </w:rPr>
        <w:t xml:space="preserve">A Yuflyma-kezelés során könnyebben </w:t>
      </w:r>
      <w:r w:rsidR="00075FCB">
        <w:rPr>
          <w:rFonts w:eastAsia="Times New Roman"/>
          <w:lang w:val="hu-HU"/>
        </w:rPr>
        <w:t>el</w:t>
      </w:r>
      <w:r>
        <w:rPr>
          <w:rFonts w:eastAsia="Times New Roman"/>
          <w:lang w:val="hu-HU"/>
        </w:rPr>
        <w:t>kaphat fertőzéseket. Ennek veszélye nagyobb lehet, ha tüdőbetegsége van. Ezek a fertőzések súlyosak lehetnek és közéjük tartozik:</w:t>
      </w:r>
    </w:p>
    <w:p w14:paraId="5288E657" w14:textId="77777777" w:rsidR="0037407E" w:rsidRDefault="0037407E" w:rsidP="0037407E">
      <w:pPr>
        <w:pStyle w:val="a3"/>
        <w:numPr>
          <w:ilvl w:val="1"/>
          <w:numId w:val="4"/>
        </w:numPr>
        <w:ind w:left="660" w:firstLine="49"/>
        <w:rPr>
          <w:lang w:val="hu-HU"/>
        </w:rPr>
      </w:pPr>
      <w:r>
        <w:rPr>
          <w:rFonts w:eastAsia="Times New Roman"/>
          <w:lang w:val="hu-HU"/>
        </w:rPr>
        <w:t>tuberkulózis</w:t>
      </w:r>
    </w:p>
    <w:p w14:paraId="68F97F14" w14:textId="77777777" w:rsidR="0037407E" w:rsidRDefault="0037407E" w:rsidP="0037407E">
      <w:pPr>
        <w:pStyle w:val="a3"/>
        <w:numPr>
          <w:ilvl w:val="1"/>
          <w:numId w:val="4"/>
        </w:numPr>
        <w:ind w:left="660" w:firstLine="49"/>
        <w:rPr>
          <w:lang w:val="hu-HU"/>
        </w:rPr>
      </w:pPr>
      <w:r>
        <w:rPr>
          <w:rFonts w:eastAsia="Times New Roman"/>
          <w:lang w:val="hu-HU"/>
        </w:rPr>
        <w:t>vírusok, gombák, paraziták vagy baktériumok okozta fertőzések</w:t>
      </w:r>
    </w:p>
    <w:p w14:paraId="468D1C8C" w14:textId="77777777" w:rsidR="0037407E" w:rsidRDefault="0037407E" w:rsidP="0037407E">
      <w:pPr>
        <w:pStyle w:val="a3"/>
        <w:numPr>
          <w:ilvl w:val="1"/>
          <w:numId w:val="4"/>
        </w:numPr>
        <w:ind w:left="660" w:firstLine="49"/>
        <w:rPr>
          <w:lang w:val="hu-HU"/>
        </w:rPr>
      </w:pPr>
      <w:r>
        <w:rPr>
          <w:rFonts w:eastAsia="Times New Roman"/>
          <w:lang w:val="hu-HU"/>
        </w:rPr>
        <w:t>súlyos fertőzés a vérben (szepszis)</w:t>
      </w:r>
    </w:p>
    <w:p w14:paraId="2E8D117C" w14:textId="77777777" w:rsidR="0037407E" w:rsidRDefault="0037407E" w:rsidP="0037407E">
      <w:pPr>
        <w:pStyle w:val="a3"/>
        <w:rPr>
          <w:lang w:val="hu-HU"/>
        </w:rPr>
      </w:pPr>
    </w:p>
    <w:p w14:paraId="74E487BA" w14:textId="77777777" w:rsidR="0037407E" w:rsidRDefault="0037407E" w:rsidP="0037407E">
      <w:pPr>
        <w:pStyle w:val="a3"/>
        <w:numPr>
          <w:ilvl w:val="1"/>
          <w:numId w:val="4"/>
        </w:numPr>
        <w:ind w:left="660" w:hanging="660"/>
        <w:rPr>
          <w:lang w:val="hu-HU"/>
        </w:rPr>
      </w:pPr>
      <w:r>
        <w:rPr>
          <w:rFonts w:eastAsia="Times New Roman"/>
          <w:lang w:val="hu-HU"/>
        </w:rPr>
        <w:t>Ritkán ezek a fertőzések életveszélyesek lehetnek. Kezelőorvosával feltétlenül közölje, ha bármilyen fertőzésre utaló tünete van, mint láz, sebek, fáradtságérzés, fogászati problémák. Kezelőorvosa a Yuflyma-kezelés átmeneti felfüggesztését javasolhatja.</w:t>
      </w:r>
    </w:p>
    <w:p w14:paraId="7E37E7EC" w14:textId="77777777" w:rsidR="0037407E" w:rsidRDefault="0037407E" w:rsidP="0037407E">
      <w:pPr>
        <w:pStyle w:val="a3"/>
        <w:rPr>
          <w:lang w:val="hu-HU"/>
        </w:rPr>
      </w:pPr>
    </w:p>
    <w:p w14:paraId="41C94497" w14:textId="77777777" w:rsidR="0037407E" w:rsidRDefault="0037407E" w:rsidP="0037407E">
      <w:pPr>
        <w:pStyle w:val="a3"/>
        <w:numPr>
          <w:ilvl w:val="1"/>
          <w:numId w:val="4"/>
        </w:numPr>
        <w:ind w:left="660" w:hanging="660"/>
        <w:rPr>
          <w:lang w:val="hu-HU"/>
        </w:rPr>
      </w:pPr>
      <w:r>
        <w:rPr>
          <w:rFonts w:eastAsia="Times New Roman"/>
          <w:lang w:val="hu-HU"/>
        </w:rPr>
        <w:t>Tájékoztassa kezelőorvosát, ha olyan területen él vagy olyan területre utazik, ahol nagyon gyakoriak a gombák okozta fertőzések (például a hisztoplazmózis, kokcidioidomikózis vagy a blasztomikózis).</w:t>
      </w:r>
    </w:p>
    <w:p w14:paraId="6159386F" w14:textId="77777777" w:rsidR="0037407E" w:rsidRDefault="0037407E" w:rsidP="0037407E">
      <w:pPr>
        <w:pStyle w:val="a3"/>
        <w:rPr>
          <w:lang w:val="hu-HU"/>
        </w:rPr>
      </w:pPr>
    </w:p>
    <w:p w14:paraId="36D6E386" w14:textId="77777777" w:rsidR="0037407E" w:rsidRDefault="0037407E" w:rsidP="0037407E">
      <w:pPr>
        <w:pStyle w:val="a3"/>
        <w:numPr>
          <w:ilvl w:val="1"/>
          <w:numId w:val="4"/>
        </w:numPr>
        <w:ind w:left="660" w:hanging="660"/>
        <w:rPr>
          <w:lang w:val="hu-HU"/>
        </w:rPr>
      </w:pPr>
      <w:r>
        <w:rPr>
          <w:rFonts w:eastAsia="Times New Roman"/>
          <w:lang w:val="hu-HU"/>
        </w:rPr>
        <w:t>Tájékoztassa kezelőorvosát, ha visszatérő fertőzései, vagy egyéb olyan betegségei vannak, amelyek fokozzák a fertőzés lehetőségét.</w:t>
      </w:r>
    </w:p>
    <w:p w14:paraId="6CE3666A" w14:textId="77777777" w:rsidR="0037407E" w:rsidRDefault="0037407E" w:rsidP="0037407E">
      <w:pPr>
        <w:pStyle w:val="a3"/>
        <w:numPr>
          <w:ilvl w:val="0"/>
          <w:numId w:val="0"/>
        </w:numPr>
        <w:rPr>
          <w:lang w:val="hu-HU"/>
        </w:rPr>
      </w:pPr>
    </w:p>
    <w:p w14:paraId="6ADCEF6F" w14:textId="77777777" w:rsidR="0037407E" w:rsidRDefault="0037407E" w:rsidP="0037407E">
      <w:pPr>
        <w:pStyle w:val="a3"/>
        <w:numPr>
          <w:ilvl w:val="1"/>
          <w:numId w:val="4"/>
        </w:numPr>
        <w:ind w:left="660" w:hanging="660"/>
        <w:rPr>
          <w:lang w:val="hu-HU"/>
        </w:rPr>
      </w:pPr>
      <w:r>
        <w:rPr>
          <w:rFonts w:eastAsia="Times New Roman"/>
          <w:lang w:val="hu-HU"/>
        </w:rPr>
        <w:t>Ha Ön 65 évnél idősebb, a Yuflyma-kezelés ideje alatt fogékonyabb lehet a fertőzésekre. A Yuflyma-kezelés ideje alatt Önnek és kezelőorvosának különös figyelmet kell fordítania a fertőzések tüneteire. Feltétlenül tájékoztassa kezelőorvosát, ha fertőzésre utaló tünetei vannak, mint például láz, sebek, fáradtságérzés vagy fogászati problémák.</w:t>
      </w:r>
    </w:p>
    <w:p w14:paraId="38DA6A23" w14:textId="77777777" w:rsidR="0037407E" w:rsidRDefault="0037407E" w:rsidP="0037407E">
      <w:pPr>
        <w:spacing w:before="11" w:line="240" w:lineRule="exact"/>
        <w:rPr>
          <w:sz w:val="24"/>
          <w:szCs w:val="24"/>
          <w:lang w:val="hu-HU"/>
        </w:rPr>
      </w:pPr>
    </w:p>
    <w:p w14:paraId="2E26A173" w14:textId="77777777" w:rsidR="0037407E" w:rsidRPr="00D71745" w:rsidRDefault="0037407E" w:rsidP="0037407E">
      <w:pPr>
        <w:pStyle w:val="a3"/>
        <w:rPr>
          <w:u w:val="single"/>
          <w:lang w:val="hu-HU"/>
        </w:rPr>
      </w:pPr>
      <w:r w:rsidRPr="00D71745">
        <w:rPr>
          <w:rFonts w:eastAsia="Times New Roman"/>
          <w:u w:val="single" w:color="000000"/>
          <w:lang w:val="hu-HU"/>
        </w:rPr>
        <w:t>Tuberkulózis</w:t>
      </w:r>
    </w:p>
    <w:p w14:paraId="1B0C7F5D" w14:textId="77777777" w:rsidR="0037407E" w:rsidRDefault="0037407E" w:rsidP="0037407E">
      <w:pPr>
        <w:spacing w:before="12" w:line="240" w:lineRule="exact"/>
        <w:rPr>
          <w:sz w:val="24"/>
          <w:szCs w:val="24"/>
          <w:lang w:val="hu-HU"/>
        </w:rPr>
      </w:pPr>
    </w:p>
    <w:p w14:paraId="497ECA4F" w14:textId="77777777" w:rsidR="0037407E" w:rsidRDefault="0037407E" w:rsidP="0037407E">
      <w:pPr>
        <w:pStyle w:val="a3"/>
        <w:numPr>
          <w:ilvl w:val="1"/>
          <w:numId w:val="4"/>
        </w:numPr>
        <w:ind w:left="660" w:hanging="660"/>
        <w:rPr>
          <w:lang w:val="hu-HU"/>
        </w:rPr>
      </w:pPr>
      <w:r>
        <w:rPr>
          <w:rFonts w:eastAsia="Times New Roman"/>
          <w:lang w:val="hu-HU"/>
        </w:rPr>
        <w:t>Feltétlenül tájékoztassa kezelőorvosát, ha bármikor tuberkulózisban szenvedett vagy közeli kapcsolatban volt valakivel, akinek tuberkulózisa volt. Ha aktív tuberkulózisa van, ne alkalmazza a Yuflyma-t.</w:t>
      </w:r>
    </w:p>
    <w:p w14:paraId="20240308" w14:textId="77ECD236" w:rsidR="0037407E" w:rsidRDefault="0037407E" w:rsidP="0037407E">
      <w:pPr>
        <w:pStyle w:val="a3"/>
        <w:numPr>
          <w:ilvl w:val="1"/>
          <w:numId w:val="4"/>
        </w:numPr>
        <w:ind w:left="998" w:hanging="340"/>
        <w:rPr>
          <w:lang w:val="hu-HU"/>
        </w:rPr>
      </w:pPr>
      <w:r>
        <w:rPr>
          <w:rFonts w:eastAsia="Times New Roman"/>
          <w:lang w:val="hu-HU"/>
        </w:rPr>
        <w:t xml:space="preserve">Mivel a Yuflyma-val kezelt betegeknél tuberkulózisos eseteket jelentettek, kezelőorvosa a Yuflyma-kezelés megkezdése előtt ellenőrizni fogja a tuberkulózis jeleit és tüneteit. Részletes orvosi kórelőzmény felvételére és megfelelő szűrővizsgálatokra (mint például mellkasröntgen vizsgálatra és tuberkulin teszt végzésére) kerül sor. A </w:t>
      </w:r>
      <w:r>
        <w:rPr>
          <w:rFonts w:eastAsia="Times New Roman"/>
          <w:b/>
          <w:bCs/>
          <w:lang w:val="hu-HU"/>
        </w:rPr>
        <w:t>Betegkártyán</w:t>
      </w:r>
      <w:r>
        <w:rPr>
          <w:rFonts w:eastAsia="Times New Roman"/>
          <w:lang w:val="hu-HU"/>
        </w:rPr>
        <w:t xml:space="preserve"> a vizsgálatok elvégzésének tényét és eredményét vezetni kell.</w:t>
      </w:r>
    </w:p>
    <w:p w14:paraId="20950494" w14:textId="77777777" w:rsidR="0037407E" w:rsidRDefault="0037407E" w:rsidP="0037407E">
      <w:pPr>
        <w:pStyle w:val="a3"/>
        <w:numPr>
          <w:ilvl w:val="1"/>
          <w:numId w:val="4"/>
        </w:numPr>
        <w:ind w:left="998" w:hanging="340"/>
        <w:rPr>
          <w:lang w:val="hu-HU"/>
        </w:rPr>
      </w:pPr>
      <w:r>
        <w:rPr>
          <w:rFonts w:eastAsia="Times New Roman"/>
          <w:lang w:val="hu-HU"/>
        </w:rPr>
        <w:t>A tuberkulózis kialakulhat a kezelés során annak ellenére, hogy Ön tuberkulózis elleni megelőző terápiát kapott.</w:t>
      </w:r>
    </w:p>
    <w:p w14:paraId="0FDD5DDD" w14:textId="77777777" w:rsidR="0037407E" w:rsidRDefault="0037407E" w:rsidP="0037407E">
      <w:pPr>
        <w:pStyle w:val="a3"/>
        <w:numPr>
          <w:ilvl w:val="1"/>
          <w:numId w:val="4"/>
        </w:numPr>
        <w:ind w:left="998" w:hanging="340"/>
        <w:rPr>
          <w:lang w:val="hu-HU"/>
        </w:rPr>
      </w:pPr>
      <w:r>
        <w:rPr>
          <w:rFonts w:eastAsia="Times New Roman"/>
          <w:lang w:val="hu-HU"/>
        </w:rPr>
        <w:t>Ha a tuberkulózis tünetei (például hosszan tartó köhögés, testsúlycsökkenés, levertség, hőemelkedés), vagy más fertőzésre utaló tünetek jelentkeznek a kezelés alatt vagy a kezelést követően, azonnal tájékoztassa kezelőorvosát.</w:t>
      </w:r>
    </w:p>
    <w:p w14:paraId="3A668E53" w14:textId="77777777" w:rsidR="0037407E" w:rsidRDefault="0037407E" w:rsidP="0037407E">
      <w:pPr>
        <w:spacing w:before="11" w:line="240" w:lineRule="exact"/>
        <w:rPr>
          <w:sz w:val="24"/>
          <w:szCs w:val="24"/>
          <w:lang w:val="hu-HU"/>
        </w:rPr>
      </w:pPr>
    </w:p>
    <w:p w14:paraId="0B6ED1FC" w14:textId="77777777" w:rsidR="0037407E" w:rsidRDefault="0037407E" w:rsidP="0037407E">
      <w:pPr>
        <w:pStyle w:val="a3"/>
        <w:rPr>
          <w:u w:val="single"/>
          <w:lang w:val="hu-HU"/>
        </w:rPr>
      </w:pPr>
      <w:r>
        <w:rPr>
          <w:rFonts w:eastAsia="Times New Roman"/>
          <w:u w:val="single" w:color="000000"/>
          <w:lang w:val="hu-HU"/>
        </w:rPr>
        <w:t>Hepatitisz B</w:t>
      </w:r>
    </w:p>
    <w:p w14:paraId="357A5D21" w14:textId="77777777" w:rsidR="0037407E" w:rsidRDefault="0037407E" w:rsidP="0037407E">
      <w:pPr>
        <w:spacing w:before="4" w:line="190" w:lineRule="exact"/>
        <w:rPr>
          <w:sz w:val="19"/>
          <w:szCs w:val="19"/>
          <w:lang w:val="hu-HU"/>
        </w:rPr>
      </w:pPr>
    </w:p>
    <w:p w14:paraId="325397C0" w14:textId="77777777" w:rsidR="0037407E" w:rsidRDefault="0037407E" w:rsidP="0037407E">
      <w:pPr>
        <w:pStyle w:val="a3"/>
        <w:numPr>
          <w:ilvl w:val="1"/>
          <w:numId w:val="4"/>
        </w:numPr>
        <w:ind w:left="660" w:hanging="660"/>
        <w:rPr>
          <w:lang w:val="hu-HU"/>
        </w:rPr>
      </w:pPr>
      <w:r>
        <w:rPr>
          <w:rFonts w:eastAsia="Times New Roman"/>
          <w:lang w:val="hu-HU"/>
        </w:rPr>
        <w:t>Tájékoztassa kezelőorvosát, ha Ön hepatitisz B vírus (HBV) -hordozó, netán aktív HBV-fertőzésben szenved, vagy feltételezi, hogy hepatitisz B fertőzés veszélye fenyegetheti.</w:t>
      </w:r>
    </w:p>
    <w:p w14:paraId="4BF175A5" w14:textId="77777777" w:rsidR="0037407E" w:rsidRDefault="0037407E" w:rsidP="0037407E">
      <w:pPr>
        <w:pStyle w:val="a3"/>
        <w:numPr>
          <w:ilvl w:val="1"/>
          <w:numId w:val="4"/>
        </w:numPr>
        <w:ind w:left="998" w:hanging="340"/>
        <w:rPr>
          <w:lang w:val="hu-HU"/>
        </w:rPr>
      </w:pPr>
      <w:r>
        <w:rPr>
          <w:rFonts w:eastAsia="Times New Roman"/>
          <w:lang w:val="hu-HU"/>
        </w:rPr>
        <w:t>Kezelőorvosának HBV-vizsgálatot kell végeznie Önnél. A HBV-t hordozó embereknél a Yuflyma ismét aktiválhatja a vírust.</w:t>
      </w:r>
    </w:p>
    <w:p w14:paraId="093B0D11" w14:textId="77777777" w:rsidR="0037407E" w:rsidRDefault="0037407E" w:rsidP="0037407E">
      <w:pPr>
        <w:pStyle w:val="a3"/>
        <w:numPr>
          <w:ilvl w:val="1"/>
          <w:numId w:val="4"/>
        </w:numPr>
        <w:ind w:left="998" w:hanging="340"/>
        <w:rPr>
          <w:lang w:val="hu-HU"/>
        </w:rPr>
      </w:pPr>
      <w:r>
        <w:rPr>
          <w:rFonts w:eastAsia="Times New Roman"/>
          <w:lang w:val="hu-HU"/>
        </w:rPr>
        <w:t>Egyes ritka esetekben – különösen, ha más, az immunrendszer működését gátló szereket is szed – a HBV ismételt aktiválódása életveszélyes lehet.</w:t>
      </w:r>
    </w:p>
    <w:p w14:paraId="3970FBA6" w14:textId="77777777" w:rsidR="0037407E" w:rsidRDefault="0037407E" w:rsidP="0037407E">
      <w:pPr>
        <w:spacing w:before="11" w:line="240" w:lineRule="exact"/>
        <w:rPr>
          <w:sz w:val="24"/>
          <w:szCs w:val="24"/>
          <w:lang w:val="hu-HU"/>
        </w:rPr>
      </w:pPr>
    </w:p>
    <w:p w14:paraId="3E72EB2B" w14:textId="77777777" w:rsidR="0037407E" w:rsidRDefault="0037407E" w:rsidP="0037407E">
      <w:pPr>
        <w:pStyle w:val="a3"/>
        <w:rPr>
          <w:u w:val="single"/>
          <w:lang w:val="hu-HU"/>
        </w:rPr>
      </w:pPr>
      <w:r>
        <w:rPr>
          <w:rFonts w:eastAsia="Times New Roman"/>
          <w:u w:val="single" w:color="000000"/>
          <w:lang w:val="hu-HU"/>
        </w:rPr>
        <w:t>Sebészeti vagy fogászati beavatkozás</w:t>
      </w:r>
    </w:p>
    <w:p w14:paraId="59B49E9F" w14:textId="77777777" w:rsidR="0037407E" w:rsidRDefault="0037407E" w:rsidP="0037407E">
      <w:pPr>
        <w:spacing w:before="4" w:line="190" w:lineRule="exact"/>
        <w:rPr>
          <w:sz w:val="19"/>
          <w:szCs w:val="19"/>
          <w:lang w:val="hu-HU"/>
        </w:rPr>
      </w:pPr>
    </w:p>
    <w:p w14:paraId="013616FA" w14:textId="77777777" w:rsidR="0037407E" w:rsidRDefault="0037407E" w:rsidP="0037407E">
      <w:pPr>
        <w:pStyle w:val="a3"/>
        <w:numPr>
          <w:ilvl w:val="1"/>
          <w:numId w:val="4"/>
        </w:numPr>
        <w:ind w:left="660" w:hanging="660"/>
        <w:rPr>
          <w:lang w:val="hu-HU"/>
        </w:rPr>
      </w:pPr>
      <w:r>
        <w:rPr>
          <w:rFonts w:eastAsia="Times New Roman"/>
          <w:lang w:val="hu-HU"/>
        </w:rPr>
        <w:t>Ha sebészeti vagy fogászati beavatkozás előtt áll tájékoztassa orvosát, hogy Yuflyma- kezelésben részesül. Kezelőorvosa a kezelés átmeneti felfüggesztését javasolhatja.</w:t>
      </w:r>
    </w:p>
    <w:p w14:paraId="131C26CD" w14:textId="77777777" w:rsidR="0037407E" w:rsidRDefault="0037407E" w:rsidP="0037407E">
      <w:pPr>
        <w:spacing w:before="8" w:line="240" w:lineRule="exact"/>
        <w:rPr>
          <w:sz w:val="24"/>
          <w:szCs w:val="24"/>
          <w:lang w:val="hu-HU"/>
        </w:rPr>
      </w:pPr>
    </w:p>
    <w:p w14:paraId="3A093FDF" w14:textId="77777777" w:rsidR="0037407E" w:rsidRDefault="0037407E" w:rsidP="0037407E">
      <w:pPr>
        <w:pStyle w:val="a3"/>
        <w:rPr>
          <w:u w:val="single"/>
          <w:lang w:val="hu-HU"/>
        </w:rPr>
      </w:pPr>
      <w:r>
        <w:rPr>
          <w:rFonts w:eastAsia="Times New Roman"/>
          <w:u w:val="single" w:color="000000"/>
          <w:lang w:val="hu-HU"/>
        </w:rPr>
        <w:t>Demielinizációval járó betegségek</w:t>
      </w:r>
    </w:p>
    <w:p w14:paraId="0FE4123D" w14:textId="77777777" w:rsidR="0037407E" w:rsidRDefault="0037407E" w:rsidP="0037407E">
      <w:pPr>
        <w:spacing w:before="4" w:line="190" w:lineRule="exact"/>
        <w:rPr>
          <w:sz w:val="19"/>
          <w:szCs w:val="19"/>
          <w:lang w:val="hu-HU"/>
        </w:rPr>
      </w:pPr>
    </w:p>
    <w:p w14:paraId="3B9C5D37" w14:textId="77777777" w:rsidR="0037407E" w:rsidRDefault="0037407E" w:rsidP="0037407E">
      <w:pPr>
        <w:pStyle w:val="a3"/>
        <w:numPr>
          <w:ilvl w:val="1"/>
          <w:numId w:val="4"/>
        </w:numPr>
        <w:ind w:left="660" w:hanging="660"/>
        <w:rPr>
          <w:lang w:val="hu-HU"/>
        </w:rPr>
      </w:pPr>
      <w:r>
        <w:rPr>
          <w:rFonts w:eastAsia="Times New Roman"/>
          <w:lang w:val="hu-HU"/>
        </w:rPr>
        <w:lastRenderedPageBreak/>
        <w:t>Ha szklerózis multiplexben, vagy egyéb, az idegrostok velőshüvelyének lebomlásával (demielinizációval) járó betegségben szenved, vagy ilyen típusú betegség alakul ki Önnél, kezelőorvosa dönti el, hogy kaphat-e Yuflyma-kezelést, vagy folytatható-e az Ön esetében. Azonnal tájékoztassa kezelőorvosát, ha olyan tüneteket tapasztal, mint a megváltozott látás, kar- vagy lábgyengeség, illetve zsibbadás vagy bizsergés a test bármelyik részén.</w:t>
      </w:r>
    </w:p>
    <w:p w14:paraId="78B0E384" w14:textId="77777777" w:rsidR="0037407E" w:rsidRDefault="0037407E" w:rsidP="0037407E">
      <w:pPr>
        <w:spacing w:before="14" w:line="240" w:lineRule="exact"/>
        <w:rPr>
          <w:sz w:val="24"/>
          <w:szCs w:val="24"/>
          <w:lang w:val="hu-HU"/>
        </w:rPr>
      </w:pPr>
    </w:p>
    <w:p w14:paraId="3515254E" w14:textId="77777777" w:rsidR="0037407E" w:rsidRDefault="0037407E" w:rsidP="0037407E">
      <w:pPr>
        <w:pStyle w:val="a3"/>
        <w:rPr>
          <w:u w:val="single"/>
          <w:lang w:val="hu-HU"/>
        </w:rPr>
      </w:pPr>
      <w:r>
        <w:rPr>
          <w:rFonts w:eastAsia="Times New Roman"/>
          <w:u w:val="single" w:color="000000"/>
          <w:lang w:val="hu-HU"/>
        </w:rPr>
        <w:t>Védőoltások</w:t>
      </w:r>
    </w:p>
    <w:p w14:paraId="0744FFF9" w14:textId="77777777" w:rsidR="0037407E" w:rsidRDefault="0037407E" w:rsidP="0037407E">
      <w:pPr>
        <w:spacing w:before="4" w:line="190" w:lineRule="exact"/>
        <w:rPr>
          <w:sz w:val="19"/>
          <w:szCs w:val="19"/>
          <w:lang w:val="hu-HU"/>
        </w:rPr>
      </w:pPr>
    </w:p>
    <w:p w14:paraId="7D1CB6BD" w14:textId="77777777" w:rsidR="0037407E" w:rsidRDefault="0037407E" w:rsidP="0037407E">
      <w:pPr>
        <w:pStyle w:val="a3"/>
        <w:numPr>
          <w:ilvl w:val="1"/>
          <w:numId w:val="4"/>
        </w:numPr>
        <w:ind w:left="660" w:hanging="660"/>
        <w:rPr>
          <w:lang w:val="hu-HU"/>
        </w:rPr>
      </w:pPr>
      <w:r>
        <w:rPr>
          <w:rFonts w:eastAsia="Times New Roman"/>
          <w:lang w:val="hu-HU"/>
        </w:rPr>
        <w:t>Yuflyma alkalmazása során bizonyos védőoltások fertőzést okozhatnak, és ezért nem adhatóak.</w:t>
      </w:r>
    </w:p>
    <w:p w14:paraId="519B7535" w14:textId="77777777" w:rsidR="0037407E" w:rsidRDefault="0037407E" w:rsidP="0037407E">
      <w:pPr>
        <w:spacing w:before="11" w:line="240" w:lineRule="exact"/>
        <w:rPr>
          <w:sz w:val="24"/>
          <w:szCs w:val="24"/>
          <w:lang w:val="hu-HU"/>
        </w:rPr>
      </w:pPr>
    </w:p>
    <w:p w14:paraId="53EC5888" w14:textId="77777777" w:rsidR="0037407E" w:rsidRDefault="0037407E" w:rsidP="0037407E">
      <w:pPr>
        <w:pStyle w:val="a3"/>
        <w:numPr>
          <w:ilvl w:val="1"/>
          <w:numId w:val="4"/>
        </w:numPr>
        <w:ind w:left="998" w:hanging="340"/>
        <w:rPr>
          <w:lang w:val="hu-HU"/>
        </w:rPr>
      </w:pPr>
      <w:r>
        <w:rPr>
          <w:rFonts w:eastAsia="Times New Roman"/>
          <w:lang w:val="hu-HU"/>
        </w:rPr>
        <w:t>Védőoltás adását megelőzően beszéljen kezelőorvosával.</w:t>
      </w:r>
    </w:p>
    <w:p w14:paraId="2D0D30ED" w14:textId="77777777" w:rsidR="0037407E" w:rsidRDefault="0037407E" w:rsidP="0037407E">
      <w:pPr>
        <w:pStyle w:val="a3"/>
        <w:numPr>
          <w:ilvl w:val="1"/>
          <w:numId w:val="4"/>
        </w:numPr>
        <w:ind w:left="998" w:hanging="340"/>
        <w:rPr>
          <w:lang w:val="hu-HU"/>
        </w:rPr>
      </w:pPr>
      <w:r>
        <w:rPr>
          <w:rFonts w:eastAsia="Times New Roman"/>
          <w:lang w:val="hu-HU"/>
        </w:rPr>
        <w:t>A Yuflyma-kezelés megkezdése előtt javasolt, hogy a gyermekek, ha lehetséges, megkapják az életkoruknak megfelelő összes ütemezett oltást.</w:t>
      </w:r>
    </w:p>
    <w:p w14:paraId="6E1AAD91" w14:textId="0BD09F7A" w:rsidR="0037407E" w:rsidRDefault="0037407E" w:rsidP="0037407E">
      <w:pPr>
        <w:pStyle w:val="a3"/>
        <w:numPr>
          <w:ilvl w:val="1"/>
          <w:numId w:val="4"/>
        </w:numPr>
        <w:ind w:left="998" w:hanging="340"/>
        <w:rPr>
          <w:lang w:val="hu-HU"/>
        </w:rPr>
      </w:pPr>
      <w:r>
        <w:rPr>
          <w:rFonts w:eastAsia="Times New Roman"/>
          <w:lang w:val="hu-HU"/>
        </w:rPr>
        <w:t xml:space="preserve">Ha a terhessége alatt Yuflyma-t kapott, a kisbabája a terhesség alatt kapott utolsó adag Yuflyma-t követően legfeljebb 5 hónapig nagyobb eséllyel </w:t>
      </w:r>
      <w:r w:rsidR="007C22AA" w:rsidRPr="00614BD8">
        <w:rPr>
          <w:rFonts w:eastAsia="Times New Roman"/>
          <w:lang w:val="hu-HU"/>
        </w:rPr>
        <w:t>fertőződhet meg</w:t>
      </w:r>
      <w:r>
        <w:rPr>
          <w:rFonts w:eastAsia="Times New Roman"/>
          <w:lang w:val="hu-HU"/>
        </w:rPr>
        <w:t>. Fontos, hogy elmondja kisbabája kezelőorvosának vagy az őt kezelő egészségügyi személyzetnek, hogy a terhessége alatt Yuflyma-t kapott, így ők el tudják dönteni, hogy kisbabájának mikor kell valamilyen védőoltást kapnia.</w:t>
      </w:r>
    </w:p>
    <w:p w14:paraId="108179BB" w14:textId="77777777" w:rsidR="0037407E" w:rsidRDefault="0037407E" w:rsidP="0037407E">
      <w:pPr>
        <w:spacing w:before="14" w:line="240" w:lineRule="exact"/>
        <w:rPr>
          <w:sz w:val="24"/>
          <w:szCs w:val="24"/>
          <w:lang w:val="hu-HU"/>
        </w:rPr>
      </w:pPr>
    </w:p>
    <w:p w14:paraId="5227BDB2" w14:textId="77777777" w:rsidR="0037407E" w:rsidRDefault="0037407E" w:rsidP="0037407E">
      <w:pPr>
        <w:pStyle w:val="a3"/>
        <w:rPr>
          <w:u w:val="single"/>
          <w:lang w:val="hu-HU"/>
        </w:rPr>
      </w:pPr>
      <w:r>
        <w:rPr>
          <w:rFonts w:eastAsia="Times New Roman"/>
          <w:u w:val="single" w:color="000000"/>
          <w:lang w:val="hu-HU"/>
        </w:rPr>
        <w:t>Szívelégtelenség</w:t>
      </w:r>
    </w:p>
    <w:p w14:paraId="59A5296F" w14:textId="77777777" w:rsidR="0037407E" w:rsidRDefault="0037407E" w:rsidP="0037407E">
      <w:pPr>
        <w:spacing w:before="4" w:line="190" w:lineRule="exact"/>
        <w:rPr>
          <w:sz w:val="19"/>
          <w:szCs w:val="19"/>
          <w:lang w:val="hu-HU"/>
        </w:rPr>
      </w:pPr>
    </w:p>
    <w:p w14:paraId="30336403" w14:textId="77777777" w:rsidR="0037407E" w:rsidRDefault="0037407E" w:rsidP="0037407E">
      <w:pPr>
        <w:pStyle w:val="a3"/>
        <w:numPr>
          <w:ilvl w:val="1"/>
          <w:numId w:val="4"/>
        </w:numPr>
        <w:ind w:left="660" w:hanging="660"/>
        <w:rPr>
          <w:lang w:val="hu-HU"/>
        </w:rPr>
      </w:pPr>
      <w:r>
        <w:rPr>
          <w:rFonts w:eastAsia="Times New Roman"/>
          <w:lang w:val="hu-HU"/>
        </w:rPr>
        <w:t>Ha Önnek enyhe szívelégtelensége van és Yuflyma-kezelést kap, a szívelégtelenség állapotát orvosának szorosan követnie kell. Fontos, hogy közölje kezelőorvosával, ha súlyos szívbetegsége volt, vagy jelenleg is van. Ha új tünetek kialakulását vagy a szívelégtelenség tüneteinek rosszabbodását észleli (például légszomj, vagy lábdagadás), azonnal tájékoztassa kezelőorvosát. Kezelőorvosa el fogja dönteni, hogy Ön kaphat-e Yuflyma-t.</w:t>
      </w:r>
    </w:p>
    <w:p w14:paraId="3E909504" w14:textId="77777777" w:rsidR="0037407E" w:rsidRDefault="0037407E" w:rsidP="0037407E">
      <w:pPr>
        <w:spacing w:before="14" w:line="240" w:lineRule="exact"/>
        <w:rPr>
          <w:sz w:val="24"/>
          <w:szCs w:val="24"/>
          <w:lang w:val="hu-HU"/>
        </w:rPr>
      </w:pPr>
    </w:p>
    <w:p w14:paraId="4BB190B2" w14:textId="77777777" w:rsidR="0037407E" w:rsidRDefault="0037407E" w:rsidP="0037407E">
      <w:pPr>
        <w:pStyle w:val="a3"/>
        <w:rPr>
          <w:u w:val="single"/>
          <w:lang w:val="hu-HU"/>
        </w:rPr>
      </w:pPr>
      <w:r>
        <w:rPr>
          <w:rFonts w:eastAsia="Times New Roman"/>
          <w:u w:val="single" w:color="000000"/>
          <w:lang w:val="hu-HU"/>
        </w:rPr>
        <w:t>Láz, véraláfutás, vérzés vagy sápadtság</w:t>
      </w:r>
    </w:p>
    <w:p w14:paraId="7608D91F" w14:textId="77777777" w:rsidR="0037407E" w:rsidRDefault="0037407E" w:rsidP="0037407E">
      <w:pPr>
        <w:spacing w:before="4" w:line="190" w:lineRule="exact"/>
        <w:rPr>
          <w:sz w:val="19"/>
          <w:szCs w:val="19"/>
          <w:lang w:val="hu-HU"/>
        </w:rPr>
      </w:pPr>
    </w:p>
    <w:p w14:paraId="4C7E8002" w14:textId="77777777" w:rsidR="0037407E" w:rsidRDefault="0037407E" w:rsidP="0037407E">
      <w:pPr>
        <w:pStyle w:val="a3"/>
        <w:numPr>
          <w:ilvl w:val="1"/>
          <w:numId w:val="4"/>
        </w:numPr>
        <w:ind w:left="660" w:hanging="660"/>
        <w:rPr>
          <w:lang w:val="hu-HU"/>
        </w:rPr>
      </w:pPr>
      <w:r>
        <w:rPr>
          <w:rFonts w:eastAsia="Times New Roman"/>
          <w:lang w:val="hu-HU"/>
        </w:rPr>
        <w:t>Egyes betegek esetében a szervezet nem termel elég olyan vérsejtet, melyek leküzdenék a fertőzést, vagy segítenének megállítani a vérzést. Kezelőorvosa eldönti, hogy folytassák-e a kezelést. Ha nem múló láza van, vagy könnyen alakul ki véraláfutása vagy vérzik, vagy nagyon sápadtnak látszik, azonnal értesítse kezelőorvosát.</w:t>
      </w:r>
    </w:p>
    <w:p w14:paraId="2C01AF69" w14:textId="77777777" w:rsidR="0037407E" w:rsidRDefault="0037407E" w:rsidP="0037407E">
      <w:pPr>
        <w:pStyle w:val="a3"/>
        <w:rPr>
          <w:u w:val="single"/>
          <w:lang w:val="hu-HU"/>
        </w:rPr>
      </w:pPr>
    </w:p>
    <w:p w14:paraId="57B30B16" w14:textId="77777777" w:rsidR="0037407E" w:rsidRDefault="0037407E" w:rsidP="0037407E">
      <w:pPr>
        <w:pStyle w:val="a3"/>
        <w:rPr>
          <w:u w:val="single"/>
          <w:lang w:val="hu-HU"/>
        </w:rPr>
      </w:pPr>
      <w:r>
        <w:rPr>
          <w:rFonts w:eastAsia="Times New Roman"/>
          <w:u w:val="single"/>
          <w:lang w:val="hu-HU"/>
        </w:rPr>
        <w:t>Daganatos betegség</w:t>
      </w:r>
    </w:p>
    <w:p w14:paraId="0ABD30D3" w14:textId="77777777" w:rsidR="0037407E" w:rsidRDefault="0037407E" w:rsidP="0037407E">
      <w:pPr>
        <w:pStyle w:val="a3"/>
        <w:rPr>
          <w:u w:val="single"/>
          <w:lang w:val="hu-HU"/>
        </w:rPr>
      </w:pPr>
    </w:p>
    <w:p w14:paraId="1706BC5D" w14:textId="5D82CDDB" w:rsidR="0037407E" w:rsidRDefault="0037407E" w:rsidP="0037407E">
      <w:pPr>
        <w:pStyle w:val="a3"/>
        <w:numPr>
          <w:ilvl w:val="1"/>
          <w:numId w:val="4"/>
        </w:numPr>
        <w:ind w:left="660" w:hanging="660"/>
        <w:rPr>
          <w:lang w:val="hu-HU"/>
        </w:rPr>
      </w:pPr>
      <w:r>
        <w:rPr>
          <w:rFonts w:eastAsia="Times New Roman"/>
          <w:lang w:val="hu-HU"/>
        </w:rPr>
        <w:t>Nagyon ritkán előfordul, hogy a Yuflyma-t vagy más TNF-</w:t>
      </w:r>
      <w:r w:rsidR="007C22AA" w:rsidRPr="00614BD8">
        <w:rPr>
          <w:rFonts w:eastAsia="Times New Roman"/>
          <w:lang w:val="hu-HU"/>
        </w:rPr>
        <w:t>gátló</w:t>
      </w:r>
      <w:r w:rsidR="007C22AA">
        <w:rPr>
          <w:rFonts w:eastAsia="Times New Roman"/>
          <w:lang w:val="hu-HU"/>
        </w:rPr>
        <w:t xml:space="preserve"> </w:t>
      </w:r>
      <w:r>
        <w:rPr>
          <w:rFonts w:eastAsia="Times New Roman"/>
          <w:lang w:val="hu-HU"/>
        </w:rPr>
        <w:t>gyógyszert szedő betegeknél bizonyos daganatfajta jelentkezik</w:t>
      </w:r>
    </w:p>
    <w:p w14:paraId="7874E79D" w14:textId="77777777" w:rsidR="0037407E" w:rsidRDefault="0037407E" w:rsidP="0037407E">
      <w:pPr>
        <w:pStyle w:val="a3"/>
        <w:rPr>
          <w:lang w:val="hu-HU"/>
        </w:rPr>
      </w:pPr>
    </w:p>
    <w:p w14:paraId="37E67C34" w14:textId="77777777" w:rsidR="0037407E" w:rsidRDefault="0037407E" w:rsidP="0037407E">
      <w:pPr>
        <w:pStyle w:val="a3"/>
        <w:numPr>
          <w:ilvl w:val="1"/>
          <w:numId w:val="4"/>
        </w:numPr>
        <w:ind w:left="998" w:hanging="340"/>
        <w:rPr>
          <w:lang w:val="hu-HU"/>
        </w:rPr>
      </w:pPr>
      <w:r>
        <w:rPr>
          <w:rFonts w:eastAsia="Times New Roman"/>
          <w:lang w:val="hu-HU"/>
        </w:rPr>
        <w:t>A hosszú ideje súlyos reumatoid artritiszben szenvedő betegeknek az átlagosnál nagyobb a kockázatuk, hogy limfóma (a nyirokrendszert érintő daganat) vagy leukémia (a csontvelőt, vérképzést érintő daganat) alakul ki.</w:t>
      </w:r>
    </w:p>
    <w:p w14:paraId="2037AEA2" w14:textId="77777777" w:rsidR="0037407E" w:rsidRDefault="0037407E" w:rsidP="0037407E">
      <w:pPr>
        <w:pStyle w:val="a3"/>
        <w:numPr>
          <w:ilvl w:val="1"/>
          <w:numId w:val="4"/>
        </w:numPr>
        <w:ind w:left="998" w:hanging="340"/>
        <w:rPr>
          <w:lang w:val="hu-HU"/>
        </w:rPr>
      </w:pPr>
      <w:r>
        <w:rPr>
          <w:rFonts w:eastAsia="Times New Roman"/>
          <w:lang w:val="hu-HU"/>
        </w:rPr>
        <w:t>Amennyiben Yuflyma-t kap, a limfóma, leukémia és az egyéb daganatos betegségek kialakulásának kockázata fokozódhat. Ritkán a nyirokdaganat (limfóma) egy nem gyakori és súlyos típusát észlelték Yuflyma-val kezelt betegeknél. E betegek közül egyeseket egyidejűleg azatioprinnel, illetve 6- merkaptopurinnal is kezeltek.</w:t>
      </w:r>
    </w:p>
    <w:p w14:paraId="13334B3B" w14:textId="46285FB8" w:rsidR="0037407E" w:rsidRDefault="0037407E" w:rsidP="0037407E">
      <w:pPr>
        <w:pStyle w:val="a3"/>
        <w:numPr>
          <w:ilvl w:val="1"/>
          <w:numId w:val="4"/>
        </w:numPr>
        <w:ind w:left="998" w:hanging="340"/>
        <w:rPr>
          <w:lang w:val="hu-HU"/>
        </w:rPr>
      </w:pPr>
      <w:r>
        <w:rPr>
          <w:rFonts w:eastAsia="Times New Roman"/>
          <w:lang w:val="hu-HU"/>
        </w:rPr>
        <w:t>Tájékoztassa kezelőorvosát, ha a Yuflyma-val egyidejűleg azatioprint vagy 6-merkapto</w:t>
      </w:r>
      <w:r w:rsidR="007C22AA">
        <w:rPr>
          <w:rFonts w:eastAsia="Times New Roman"/>
          <w:lang w:val="hu-HU"/>
        </w:rPr>
        <w:t>-</w:t>
      </w:r>
      <w:r>
        <w:rPr>
          <w:rFonts w:eastAsia="Times New Roman"/>
          <w:lang w:val="hu-HU"/>
        </w:rPr>
        <w:t>purint szed.</w:t>
      </w:r>
    </w:p>
    <w:p w14:paraId="31D9C9C3" w14:textId="77777777" w:rsidR="0037407E" w:rsidRDefault="0037407E" w:rsidP="0037407E">
      <w:pPr>
        <w:pStyle w:val="a3"/>
        <w:numPr>
          <w:ilvl w:val="1"/>
          <w:numId w:val="4"/>
        </w:numPr>
        <w:ind w:left="998" w:hanging="340"/>
        <w:rPr>
          <w:lang w:val="hu-HU"/>
        </w:rPr>
      </w:pPr>
      <w:r>
        <w:rPr>
          <w:rFonts w:eastAsia="Times New Roman"/>
          <w:lang w:val="hu-HU"/>
        </w:rPr>
        <w:t>Esetenként nem melanomás bőrrák kialakulását észlelték Yuflyma-val kezelt betegeken.</w:t>
      </w:r>
    </w:p>
    <w:p w14:paraId="0B1E0194" w14:textId="77777777" w:rsidR="0037407E" w:rsidRDefault="0037407E" w:rsidP="0037407E">
      <w:pPr>
        <w:pStyle w:val="a3"/>
        <w:numPr>
          <w:ilvl w:val="1"/>
          <w:numId w:val="4"/>
        </w:numPr>
        <w:ind w:left="998" w:hanging="340"/>
        <w:rPr>
          <w:lang w:val="hu-HU"/>
        </w:rPr>
      </w:pPr>
      <w:r>
        <w:rPr>
          <w:rFonts w:eastAsia="Times New Roman"/>
          <w:lang w:val="hu-HU"/>
        </w:rPr>
        <w:t>Ha új bőrelváltozások jelennek meg a kezelés alatt, vagy a meglévők külleme megváltozik, tájékoztassa orvosát.</w:t>
      </w:r>
    </w:p>
    <w:p w14:paraId="192F4609" w14:textId="77777777" w:rsidR="0037407E" w:rsidRDefault="0037407E" w:rsidP="0037407E">
      <w:pPr>
        <w:pStyle w:val="a3"/>
        <w:rPr>
          <w:lang w:val="hu-HU"/>
        </w:rPr>
      </w:pPr>
    </w:p>
    <w:p w14:paraId="459E94BF" w14:textId="7E202FC9" w:rsidR="0037407E" w:rsidRDefault="0037407E" w:rsidP="0037407E">
      <w:pPr>
        <w:pStyle w:val="a3"/>
        <w:numPr>
          <w:ilvl w:val="1"/>
          <w:numId w:val="4"/>
        </w:numPr>
        <w:ind w:left="660" w:hanging="660"/>
        <w:rPr>
          <w:lang w:val="hu-HU"/>
        </w:rPr>
      </w:pPr>
      <w:r>
        <w:rPr>
          <w:rFonts w:eastAsia="Times New Roman"/>
          <w:lang w:val="hu-HU"/>
        </w:rPr>
        <w:t xml:space="preserve">Voltak esetek, amikor egy adott tüdőbetegségben (amelyet idült obstruktív tüdőbetegségnek (COPD) neveznek) szenvedő, TNF-gátlóval kezelt betegeken nem limfóma természetű rákos daganatok </w:t>
      </w:r>
      <w:r>
        <w:rPr>
          <w:rFonts w:eastAsia="Times New Roman"/>
          <w:lang w:val="hu-HU"/>
        </w:rPr>
        <w:lastRenderedPageBreak/>
        <w:t>kialakulását észlelték. Ha Ön COPD- ben szenved vagy erős dohányos, kérje kezelőorvosa tanácsát, hogy a TNF- gátlóval végzett kezelés megfelelő- e az Ön számára.</w:t>
      </w:r>
    </w:p>
    <w:p w14:paraId="6FBD362E" w14:textId="77777777" w:rsidR="0037407E" w:rsidRDefault="0037407E" w:rsidP="0037407E">
      <w:pPr>
        <w:spacing w:before="11" w:line="240" w:lineRule="exact"/>
        <w:rPr>
          <w:sz w:val="24"/>
          <w:szCs w:val="24"/>
          <w:lang w:val="hu-HU"/>
        </w:rPr>
      </w:pPr>
    </w:p>
    <w:p w14:paraId="48D477E6" w14:textId="77777777" w:rsidR="0037407E" w:rsidRDefault="0037407E" w:rsidP="0037407E">
      <w:pPr>
        <w:pStyle w:val="a3"/>
        <w:rPr>
          <w:u w:val="single"/>
          <w:lang w:val="hu-HU"/>
        </w:rPr>
      </w:pPr>
      <w:r>
        <w:rPr>
          <w:rFonts w:eastAsia="Times New Roman"/>
          <w:u w:val="single" w:color="000000"/>
          <w:lang w:val="hu-HU"/>
        </w:rPr>
        <w:t>Autoimmun betegség</w:t>
      </w:r>
    </w:p>
    <w:p w14:paraId="1A088FB1" w14:textId="77777777" w:rsidR="0037407E" w:rsidRDefault="0037407E" w:rsidP="0037407E">
      <w:pPr>
        <w:spacing w:before="4" w:line="190" w:lineRule="exact"/>
        <w:rPr>
          <w:sz w:val="19"/>
          <w:szCs w:val="19"/>
          <w:lang w:val="hu-HU"/>
        </w:rPr>
      </w:pPr>
    </w:p>
    <w:p w14:paraId="557D4AAC" w14:textId="33D61B12" w:rsidR="0037407E" w:rsidRDefault="0037407E" w:rsidP="0037407E">
      <w:pPr>
        <w:pStyle w:val="a3"/>
        <w:numPr>
          <w:ilvl w:val="1"/>
          <w:numId w:val="4"/>
        </w:numPr>
        <w:ind w:left="660" w:hanging="660"/>
        <w:rPr>
          <w:lang w:val="hu-HU"/>
        </w:rPr>
      </w:pPr>
      <w:r>
        <w:rPr>
          <w:rFonts w:eastAsia="Times New Roman"/>
          <w:lang w:val="hu-HU"/>
        </w:rPr>
        <w:t xml:space="preserve">Ritka esetekben a Yuflyma lupusz-szerű </w:t>
      </w:r>
      <w:r w:rsidR="007C22AA" w:rsidRPr="00614BD8">
        <w:rPr>
          <w:rFonts w:eastAsia="Times New Roman"/>
          <w:lang w:val="hu-HU"/>
        </w:rPr>
        <w:t>tünetegyüttest</w:t>
      </w:r>
      <w:r w:rsidR="007C22AA">
        <w:rPr>
          <w:rFonts w:eastAsia="Times New Roman"/>
          <w:lang w:val="hu-HU"/>
        </w:rPr>
        <w:t xml:space="preserve"> </w:t>
      </w:r>
      <w:r>
        <w:rPr>
          <w:rFonts w:eastAsia="Times New Roman"/>
          <w:lang w:val="hu-HU"/>
        </w:rPr>
        <w:t>okozhat. Keresse fel kezelőorvosát, ha olyan tüneteket észlel, mint a tartós, tisztázatlan eredetű bőrkiütés, láz, ízületi fájdalom vagy fáradtság.</w:t>
      </w:r>
    </w:p>
    <w:p w14:paraId="42A68C5D" w14:textId="77777777" w:rsidR="0037407E" w:rsidRDefault="0037407E" w:rsidP="0037407E">
      <w:pPr>
        <w:spacing w:before="15" w:line="240" w:lineRule="exact"/>
        <w:rPr>
          <w:sz w:val="24"/>
          <w:szCs w:val="24"/>
          <w:lang w:val="hu-HU"/>
        </w:rPr>
      </w:pPr>
    </w:p>
    <w:p w14:paraId="0A63AA80" w14:textId="77777777" w:rsidR="0037407E" w:rsidRPr="00545FC6" w:rsidRDefault="0037407E" w:rsidP="00545FC6">
      <w:pPr>
        <w:pStyle w:val="a3"/>
        <w:keepNext/>
        <w:rPr>
          <w:rFonts w:eastAsia="Times New Roman"/>
          <w:b/>
          <w:bCs/>
          <w:lang w:val="hu-HU"/>
        </w:rPr>
      </w:pPr>
      <w:r w:rsidRPr="00545FC6">
        <w:rPr>
          <w:rFonts w:eastAsia="Times New Roman"/>
          <w:b/>
          <w:bCs/>
          <w:lang w:val="hu-HU"/>
        </w:rPr>
        <w:t>Gyermekek és serdülők</w:t>
      </w:r>
    </w:p>
    <w:p w14:paraId="2C909464" w14:textId="77777777" w:rsidR="0037407E" w:rsidRDefault="0037407E" w:rsidP="0037407E">
      <w:pPr>
        <w:spacing w:before="10" w:line="240" w:lineRule="exact"/>
        <w:rPr>
          <w:sz w:val="24"/>
          <w:szCs w:val="24"/>
          <w:lang w:val="hu-HU"/>
        </w:rPr>
      </w:pPr>
    </w:p>
    <w:p w14:paraId="41999A64" w14:textId="37D94E7E" w:rsidR="0037407E" w:rsidRDefault="0037407E" w:rsidP="0037407E">
      <w:pPr>
        <w:pStyle w:val="a3"/>
        <w:numPr>
          <w:ilvl w:val="1"/>
          <w:numId w:val="4"/>
        </w:numPr>
        <w:ind w:left="660" w:hanging="660"/>
        <w:rPr>
          <w:lang w:val="hu-HU"/>
        </w:rPr>
      </w:pPr>
      <w:r>
        <w:rPr>
          <w:rFonts w:eastAsia="Times New Roman"/>
          <w:lang w:val="hu-HU"/>
        </w:rPr>
        <w:t>Védőoltások: ha lehetséges, a gyermeknek és serdülőkne meg kell kapnia az összes esedékes védőoltást a Yuflyma alkalmazásának megkezdése előtt.</w:t>
      </w:r>
    </w:p>
    <w:p w14:paraId="3CC4D4E8" w14:textId="77777777" w:rsidR="0037407E" w:rsidRDefault="0037407E" w:rsidP="0037407E">
      <w:pPr>
        <w:pStyle w:val="a3"/>
        <w:numPr>
          <w:ilvl w:val="0"/>
          <w:numId w:val="0"/>
        </w:numPr>
        <w:rPr>
          <w:lang w:val="hu-HU"/>
        </w:rPr>
      </w:pPr>
    </w:p>
    <w:p w14:paraId="6628954E" w14:textId="77777777" w:rsidR="0037407E" w:rsidRDefault="0037407E" w:rsidP="0037407E">
      <w:pPr>
        <w:pStyle w:val="a3"/>
        <w:keepNext/>
        <w:rPr>
          <w:b/>
          <w:lang w:val="hu-HU"/>
        </w:rPr>
      </w:pPr>
      <w:r>
        <w:rPr>
          <w:rFonts w:eastAsia="Times New Roman"/>
          <w:b/>
          <w:bCs/>
          <w:lang w:val="hu-HU"/>
        </w:rPr>
        <w:t>Egyéb gyógyszerek és a Yuflyma</w:t>
      </w:r>
    </w:p>
    <w:p w14:paraId="3DF4C70C" w14:textId="77777777" w:rsidR="0037407E" w:rsidRDefault="0037407E" w:rsidP="0037407E">
      <w:pPr>
        <w:pStyle w:val="a3"/>
        <w:keepNext/>
        <w:rPr>
          <w:b/>
          <w:lang w:val="hu-HU"/>
        </w:rPr>
      </w:pPr>
    </w:p>
    <w:p w14:paraId="7284FEE8" w14:textId="50083F63" w:rsidR="0037407E" w:rsidRDefault="0037407E" w:rsidP="0037407E">
      <w:pPr>
        <w:pStyle w:val="a3"/>
        <w:keepNext/>
        <w:rPr>
          <w:lang w:val="hu-HU"/>
        </w:rPr>
      </w:pPr>
      <w:r>
        <w:rPr>
          <w:rFonts w:eastAsia="Times New Roman"/>
          <w:lang w:val="hu-HU"/>
        </w:rPr>
        <w:t xml:space="preserve">Feltétlenül tájékoztassa kezelőorvosát vagy gyógyszerészét </w:t>
      </w:r>
      <w:r w:rsidR="007C22AA">
        <w:rPr>
          <w:rFonts w:eastAsia="Times New Roman"/>
          <w:lang w:val="hu-HU"/>
        </w:rPr>
        <w:t xml:space="preserve">a </w:t>
      </w:r>
      <w:r>
        <w:rPr>
          <w:rFonts w:eastAsia="Times New Roman"/>
          <w:lang w:val="hu-HU"/>
        </w:rPr>
        <w:t>jelenleg vagy nemrégiben szedett, valamint szedni tervezett egyéb gyógyszereiről. Nem alkalmazhatja a Yuflyma-t, a következő hatóanyagokat tartalmazó gyógyszerekkel</w:t>
      </w:r>
      <w:r w:rsidR="007C22AA" w:rsidRPr="007C22AA">
        <w:rPr>
          <w:rFonts w:eastAsia="Times New Roman"/>
          <w:lang w:val="hu-HU"/>
        </w:rPr>
        <w:t xml:space="preserve"> </w:t>
      </w:r>
      <w:r w:rsidR="007C22AA" w:rsidRPr="00EA3398">
        <w:rPr>
          <w:rFonts w:eastAsia="Times New Roman"/>
          <w:lang w:val="hu-HU"/>
        </w:rPr>
        <w:t>együtt</w:t>
      </w:r>
      <w:r>
        <w:rPr>
          <w:rFonts w:eastAsia="Times New Roman"/>
          <w:lang w:val="hu-HU"/>
        </w:rPr>
        <w:t>, mert fokozódik a súlyos fertőzések kockázata:</w:t>
      </w:r>
    </w:p>
    <w:p w14:paraId="73340B88" w14:textId="77777777" w:rsidR="0037407E" w:rsidRDefault="0037407E" w:rsidP="0037407E">
      <w:pPr>
        <w:pStyle w:val="a3"/>
        <w:rPr>
          <w:lang w:val="hu-HU"/>
        </w:rPr>
      </w:pPr>
    </w:p>
    <w:p w14:paraId="2EAB46FC" w14:textId="77777777" w:rsidR="0037407E" w:rsidRDefault="0037407E" w:rsidP="0037407E">
      <w:pPr>
        <w:pStyle w:val="a3"/>
        <w:numPr>
          <w:ilvl w:val="1"/>
          <w:numId w:val="4"/>
        </w:numPr>
        <w:ind w:left="660" w:hanging="660"/>
        <w:rPr>
          <w:lang w:val="hu-HU"/>
        </w:rPr>
      </w:pPr>
      <w:r>
        <w:rPr>
          <w:rFonts w:eastAsia="Times New Roman"/>
          <w:lang w:val="hu-HU"/>
        </w:rPr>
        <w:t>anakinra</w:t>
      </w:r>
    </w:p>
    <w:p w14:paraId="7BCEFEA5" w14:textId="77777777" w:rsidR="0037407E" w:rsidRDefault="0037407E" w:rsidP="0037407E">
      <w:pPr>
        <w:pStyle w:val="a3"/>
        <w:numPr>
          <w:ilvl w:val="1"/>
          <w:numId w:val="4"/>
        </w:numPr>
        <w:ind w:left="660" w:hanging="660"/>
        <w:rPr>
          <w:lang w:val="hu-HU"/>
        </w:rPr>
      </w:pPr>
      <w:r>
        <w:rPr>
          <w:rFonts w:eastAsia="Times New Roman"/>
          <w:lang w:val="hu-HU"/>
        </w:rPr>
        <w:t>abatacept.</w:t>
      </w:r>
    </w:p>
    <w:p w14:paraId="4F0BFC9F" w14:textId="77777777" w:rsidR="0037407E" w:rsidRDefault="0037407E" w:rsidP="0037407E">
      <w:pPr>
        <w:pStyle w:val="a3"/>
        <w:rPr>
          <w:lang w:val="hu-HU"/>
        </w:rPr>
      </w:pPr>
    </w:p>
    <w:p w14:paraId="19E74332" w14:textId="77777777" w:rsidR="0037407E" w:rsidRDefault="0037407E" w:rsidP="0037407E">
      <w:pPr>
        <w:pStyle w:val="a3"/>
        <w:rPr>
          <w:lang w:val="hu-HU"/>
        </w:rPr>
      </w:pPr>
      <w:r>
        <w:rPr>
          <w:rFonts w:eastAsia="Times New Roman"/>
          <w:lang w:val="hu-HU"/>
        </w:rPr>
        <w:t>A Yuflyma együtt alkalmazható:</w:t>
      </w:r>
    </w:p>
    <w:p w14:paraId="58098A10" w14:textId="77777777" w:rsidR="0037407E" w:rsidRDefault="0037407E" w:rsidP="0037407E">
      <w:pPr>
        <w:pStyle w:val="a3"/>
        <w:numPr>
          <w:ilvl w:val="1"/>
          <w:numId w:val="4"/>
        </w:numPr>
        <w:ind w:left="660" w:hanging="660"/>
        <w:rPr>
          <w:lang w:val="hu-HU"/>
        </w:rPr>
      </w:pPr>
      <w:r>
        <w:rPr>
          <w:rFonts w:eastAsia="Times New Roman"/>
          <w:lang w:val="hu-HU"/>
        </w:rPr>
        <w:t>metotrexáttal</w:t>
      </w:r>
    </w:p>
    <w:p w14:paraId="01026ACC" w14:textId="77777777" w:rsidR="0037407E" w:rsidRDefault="0037407E" w:rsidP="0037407E">
      <w:pPr>
        <w:pStyle w:val="a3"/>
        <w:numPr>
          <w:ilvl w:val="1"/>
          <w:numId w:val="4"/>
        </w:numPr>
        <w:ind w:left="660" w:hanging="660"/>
        <w:rPr>
          <w:lang w:val="hu-HU"/>
        </w:rPr>
      </w:pPr>
      <w:r>
        <w:rPr>
          <w:rFonts w:eastAsia="Times New Roman"/>
          <w:lang w:val="hu-HU"/>
        </w:rPr>
        <w:t>egyéb, a betegséget befolyásoló reumaellenes szerrel (szulfaszalazin, hidroxiklorokin, leflunomid és arany injekció)</w:t>
      </w:r>
    </w:p>
    <w:p w14:paraId="54C7C590" w14:textId="77777777" w:rsidR="0037407E" w:rsidRDefault="0037407E" w:rsidP="0037407E">
      <w:pPr>
        <w:pStyle w:val="a3"/>
        <w:numPr>
          <w:ilvl w:val="1"/>
          <w:numId w:val="4"/>
        </w:numPr>
        <w:ind w:left="660" w:hanging="660"/>
        <w:rPr>
          <w:lang w:val="hu-HU"/>
        </w:rPr>
      </w:pPr>
      <w:r>
        <w:rPr>
          <w:rFonts w:eastAsia="Times New Roman"/>
          <w:lang w:val="hu-HU"/>
        </w:rPr>
        <w:t>szteroidokkal vagy fájdalomcsillapító készítményekkel, beleértve a nem-szteroid gyulladásgátlókat (NSAID-ket).</w:t>
      </w:r>
    </w:p>
    <w:p w14:paraId="0EF2FAA9" w14:textId="77777777" w:rsidR="0037407E" w:rsidRDefault="0037407E" w:rsidP="0037407E">
      <w:pPr>
        <w:pStyle w:val="a3"/>
        <w:rPr>
          <w:lang w:val="hu-HU"/>
        </w:rPr>
      </w:pPr>
    </w:p>
    <w:p w14:paraId="1A86E011" w14:textId="77777777" w:rsidR="0037407E" w:rsidRDefault="0037407E" w:rsidP="0037407E">
      <w:pPr>
        <w:pStyle w:val="a3"/>
        <w:rPr>
          <w:lang w:val="hu-HU"/>
        </w:rPr>
      </w:pPr>
      <w:r>
        <w:rPr>
          <w:rFonts w:eastAsia="Times New Roman"/>
          <w:lang w:val="hu-HU"/>
        </w:rPr>
        <w:t>Ha kérdése van, kérdezze meg kezelőorvosát</w:t>
      </w:r>
    </w:p>
    <w:p w14:paraId="434EA845" w14:textId="77777777" w:rsidR="0037407E" w:rsidRDefault="0037407E" w:rsidP="0037407E">
      <w:pPr>
        <w:spacing w:before="18" w:line="240" w:lineRule="exact"/>
        <w:rPr>
          <w:sz w:val="24"/>
          <w:szCs w:val="24"/>
          <w:lang w:val="hu-HU"/>
        </w:rPr>
      </w:pPr>
    </w:p>
    <w:p w14:paraId="3B9A2C78" w14:textId="77777777" w:rsidR="0037407E" w:rsidRDefault="0037407E" w:rsidP="0037407E">
      <w:pPr>
        <w:pStyle w:val="a3"/>
        <w:rPr>
          <w:b/>
          <w:lang w:val="hu-HU"/>
        </w:rPr>
      </w:pPr>
      <w:r>
        <w:rPr>
          <w:rFonts w:eastAsia="Times New Roman"/>
          <w:b/>
          <w:bCs/>
          <w:lang w:val="hu-HU"/>
        </w:rPr>
        <w:t>Terhesség és szoptatás</w:t>
      </w:r>
    </w:p>
    <w:p w14:paraId="24A8C36C" w14:textId="77777777" w:rsidR="0037407E" w:rsidRDefault="0037407E" w:rsidP="0037407E">
      <w:pPr>
        <w:spacing w:before="9" w:line="260" w:lineRule="exact"/>
        <w:rPr>
          <w:sz w:val="26"/>
          <w:szCs w:val="26"/>
          <w:lang w:val="hu-HU"/>
        </w:rPr>
      </w:pPr>
    </w:p>
    <w:p w14:paraId="795DD92D" w14:textId="26A50028" w:rsidR="0037407E" w:rsidRDefault="0037407E" w:rsidP="0037407E">
      <w:pPr>
        <w:pStyle w:val="a3"/>
        <w:numPr>
          <w:ilvl w:val="1"/>
          <w:numId w:val="4"/>
        </w:numPr>
        <w:ind w:left="660" w:hanging="660"/>
        <w:rPr>
          <w:lang w:val="hu-HU"/>
        </w:rPr>
      </w:pPr>
      <w:r>
        <w:rPr>
          <w:rFonts w:eastAsia="Times New Roman"/>
          <w:lang w:val="hu-HU"/>
        </w:rPr>
        <w:t xml:space="preserve">A terhesség megelőzése érdekében meg kell fontolnia a megfelelő fogamzásgátlás alkalmazását és </w:t>
      </w:r>
      <w:r w:rsidR="007C22AA" w:rsidRPr="0021748C">
        <w:rPr>
          <w:rFonts w:eastAsia="Times New Roman"/>
          <w:lang w:val="hu-HU"/>
        </w:rPr>
        <w:t>annak</w:t>
      </w:r>
      <w:r w:rsidR="007C22AA">
        <w:rPr>
          <w:rFonts w:eastAsia="Times New Roman"/>
          <w:lang w:val="hu-HU"/>
        </w:rPr>
        <w:t xml:space="preserve"> </w:t>
      </w:r>
      <w:r>
        <w:rPr>
          <w:rFonts w:eastAsia="Times New Roman"/>
          <w:lang w:val="hu-HU"/>
        </w:rPr>
        <w:t>folytatását a Yuflyma-val történt utolsó kezelést követően legalább 5 hónapig.</w:t>
      </w:r>
    </w:p>
    <w:p w14:paraId="20619679" w14:textId="77777777" w:rsidR="0037407E" w:rsidRDefault="0037407E" w:rsidP="0037407E">
      <w:pPr>
        <w:pStyle w:val="a3"/>
        <w:numPr>
          <w:ilvl w:val="1"/>
          <w:numId w:val="4"/>
        </w:numPr>
        <w:ind w:left="660" w:hanging="660"/>
        <w:rPr>
          <w:lang w:val="hu-HU"/>
        </w:rPr>
      </w:pPr>
      <w:r>
        <w:rPr>
          <w:rFonts w:eastAsia="Times New Roman"/>
          <w:lang w:val="hu-HU"/>
        </w:rPr>
        <w:t>Ha Ön terhes, ha fennáll Önnél a terhesség lehetősége vagy gyermeket szeretne, a gyógyszer alkalmazása előtt beszéljen kezelőorvosával vagy gyógyszerészével.</w:t>
      </w:r>
    </w:p>
    <w:p w14:paraId="5AD67500" w14:textId="77777777" w:rsidR="0037407E" w:rsidRDefault="0037407E" w:rsidP="0037407E">
      <w:pPr>
        <w:pStyle w:val="a3"/>
        <w:numPr>
          <w:ilvl w:val="1"/>
          <w:numId w:val="4"/>
        </w:numPr>
        <w:ind w:left="660" w:hanging="660"/>
        <w:rPr>
          <w:lang w:val="hu-HU"/>
        </w:rPr>
      </w:pPr>
      <w:r>
        <w:rPr>
          <w:rFonts w:eastAsia="Times New Roman"/>
          <w:lang w:val="hu-HU"/>
        </w:rPr>
        <w:t>A Yuflyma csak akkor alkalmazható terhesség alatt, ha egyértelműen szükséges.</w:t>
      </w:r>
    </w:p>
    <w:p w14:paraId="7053610E" w14:textId="77777777" w:rsidR="0037407E" w:rsidRDefault="0037407E" w:rsidP="0037407E">
      <w:pPr>
        <w:pStyle w:val="a3"/>
        <w:numPr>
          <w:ilvl w:val="1"/>
          <w:numId w:val="4"/>
        </w:numPr>
        <w:ind w:left="660" w:hanging="660"/>
        <w:rPr>
          <w:lang w:val="hu-HU"/>
        </w:rPr>
      </w:pPr>
      <w:r>
        <w:rPr>
          <w:rFonts w:eastAsia="Times New Roman"/>
          <w:lang w:val="hu-HU"/>
        </w:rPr>
        <w:t>Egy terhes nőkkel végzett klinikai vizsgálat alapján nem volt magasabb a születési rendellenességek kockázata azoknál a nőknél, akik a terhességük alatt Yuflyma-kezelésben részesültek, mint az azonos betegségben szenvedő, Yuflyma-kezelésben nem részesült nőknél.</w:t>
      </w:r>
    </w:p>
    <w:p w14:paraId="49BF510B" w14:textId="77777777" w:rsidR="0037407E" w:rsidRDefault="0037407E" w:rsidP="0037407E">
      <w:pPr>
        <w:pStyle w:val="a3"/>
        <w:numPr>
          <w:ilvl w:val="1"/>
          <w:numId w:val="4"/>
        </w:numPr>
        <w:ind w:left="660" w:hanging="660"/>
        <w:rPr>
          <w:lang w:val="hu-HU"/>
        </w:rPr>
      </w:pPr>
      <w:r>
        <w:rPr>
          <w:rFonts w:eastAsia="Times New Roman"/>
          <w:lang w:val="hu-HU"/>
        </w:rPr>
        <w:t>Szoptatás alatt a Yuflyma alkalmazható.</w:t>
      </w:r>
    </w:p>
    <w:p w14:paraId="4B94EFAF" w14:textId="77777777" w:rsidR="0037407E" w:rsidRDefault="0037407E" w:rsidP="0037407E">
      <w:pPr>
        <w:pStyle w:val="a3"/>
        <w:numPr>
          <w:ilvl w:val="1"/>
          <w:numId w:val="4"/>
        </w:numPr>
        <w:ind w:left="660" w:hanging="660"/>
        <w:rPr>
          <w:lang w:val="hu-HU"/>
        </w:rPr>
      </w:pPr>
      <w:r>
        <w:rPr>
          <w:rFonts w:eastAsia="Times New Roman"/>
          <w:lang w:val="hu-HU"/>
        </w:rPr>
        <w:t>Ha a terhessége alatt Yuflyma-t kapott, a kisbabája nagyobb eséllyel kap el valamilyen fertőzést.</w:t>
      </w:r>
    </w:p>
    <w:p w14:paraId="2BBBDA80" w14:textId="77777777" w:rsidR="0037407E" w:rsidRDefault="0037407E" w:rsidP="0037407E">
      <w:pPr>
        <w:pStyle w:val="a3"/>
        <w:numPr>
          <w:ilvl w:val="1"/>
          <w:numId w:val="4"/>
        </w:numPr>
        <w:ind w:left="660" w:hanging="660"/>
        <w:rPr>
          <w:lang w:val="hu-HU"/>
        </w:rPr>
      </w:pPr>
      <w:r>
        <w:rPr>
          <w:rFonts w:eastAsia="Times New Roman"/>
          <w:lang w:val="hu-HU"/>
        </w:rPr>
        <w:t>Fontos, hogy elmondja kisbabája orvosának vagy az őt kezelő egészségügyi személyzetnek, hogy a terhessége alatt Yuflyma-t kapott, mielőtt a kisbaba bármilyen védőoltást kapna. A védőoltásokról további információt talál a „Figyelmeztetések és óvintézkedések” részben.</w:t>
      </w:r>
    </w:p>
    <w:p w14:paraId="60BA36BE" w14:textId="77777777" w:rsidR="0037407E" w:rsidRDefault="0037407E" w:rsidP="0037407E">
      <w:pPr>
        <w:spacing w:before="15" w:line="240" w:lineRule="exact"/>
        <w:rPr>
          <w:b/>
          <w:sz w:val="24"/>
          <w:szCs w:val="24"/>
          <w:lang w:val="hu-HU"/>
        </w:rPr>
      </w:pPr>
    </w:p>
    <w:p w14:paraId="62D2F37C" w14:textId="77777777" w:rsidR="0037407E" w:rsidRDefault="0037407E" w:rsidP="0037407E">
      <w:pPr>
        <w:pStyle w:val="a3"/>
        <w:rPr>
          <w:b/>
          <w:lang w:val="hu-HU"/>
        </w:rPr>
      </w:pPr>
      <w:r>
        <w:rPr>
          <w:rFonts w:eastAsia="Times New Roman"/>
          <w:b/>
          <w:bCs/>
          <w:lang w:val="hu-HU"/>
        </w:rPr>
        <w:t>A készítmény hatásai a gépjárművezetéshez és a gépek kezeléséhez szükséges képességekre</w:t>
      </w:r>
    </w:p>
    <w:p w14:paraId="51D3BB6E" w14:textId="77777777" w:rsidR="0037407E" w:rsidRDefault="0037407E" w:rsidP="0037407E">
      <w:pPr>
        <w:spacing w:before="12" w:line="240" w:lineRule="exact"/>
        <w:rPr>
          <w:sz w:val="24"/>
          <w:szCs w:val="24"/>
          <w:lang w:val="hu-HU"/>
        </w:rPr>
      </w:pPr>
    </w:p>
    <w:p w14:paraId="42CA4D91" w14:textId="29CFEE57" w:rsidR="0037407E" w:rsidRDefault="0037407E" w:rsidP="0037407E">
      <w:pPr>
        <w:pStyle w:val="a3"/>
        <w:rPr>
          <w:lang w:val="hu-HU"/>
        </w:rPr>
      </w:pPr>
      <w:r>
        <w:rPr>
          <w:rFonts w:eastAsia="Times New Roman"/>
          <w:lang w:val="hu-HU"/>
        </w:rPr>
        <w:t>A Yuflyma csak csekély mértékben befolyásolhatja a gépjárművezetéshez, kerékpározáshoz vagy a gépek kezeléséhez szükséges képességeket. A Yuflyma alkalmazását követően előfordulhat olyan érzés, mintha forogna a szoba vagy a tér, továbbá látászavar is előfordulhat</w:t>
      </w:r>
      <w:r w:rsidR="00C77F0E">
        <w:rPr>
          <w:rFonts w:eastAsia="Times New Roman"/>
          <w:lang w:val="hu-HU"/>
        </w:rPr>
        <w:t>.</w:t>
      </w:r>
    </w:p>
    <w:p w14:paraId="660E8F03" w14:textId="77777777" w:rsidR="0037407E" w:rsidRDefault="0037407E" w:rsidP="0037407E">
      <w:pPr>
        <w:pStyle w:val="a3"/>
        <w:rPr>
          <w:lang w:val="hu-HU"/>
        </w:rPr>
      </w:pPr>
    </w:p>
    <w:p w14:paraId="5791500A" w14:textId="1BDCF118" w:rsidR="0037407E" w:rsidRDefault="0037407E" w:rsidP="0037407E">
      <w:pPr>
        <w:pStyle w:val="a3"/>
        <w:rPr>
          <w:b/>
          <w:lang w:val="hu-HU"/>
        </w:rPr>
      </w:pPr>
      <w:r>
        <w:rPr>
          <w:rFonts w:eastAsia="Times New Roman"/>
          <w:b/>
          <w:bCs/>
          <w:lang w:val="hu-HU"/>
        </w:rPr>
        <w:t>A</w:t>
      </w:r>
      <w:r w:rsidR="006136D3">
        <w:rPr>
          <w:rFonts w:hint="eastAsia"/>
          <w:b/>
          <w:bCs/>
          <w:lang w:val="hu-HU" w:eastAsia="ko-KR"/>
        </w:rPr>
        <w:t>Yuflyma</w:t>
      </w:r>
      <w:r>
        <w:rPr>
          <w:rFonts w:eastAsia="Times New Roman"/>
          <w:b/>
          <w:bCs/>
          <w:lang w:val="hu-HU"/>
        </w:rPr>
        <w:t xml:space="preserve"> nátriumot tartalmaz</w:t>
      </w:r>
    </w:p>
    <w:p w14:paraId="7CB86353" w14:textId="77777777" w:rsidR="0037407E" w:rsidRDefault="0037407E" w:rsidP="0037407E">
      <w:pPr>
        <w:spacing w:before="12" w:line="240" w:lineRule="exact"/>
        <w:rPr>
          <w:sz w:val="24"/>
          <w:szCs w:val="24"/>
          <w:lang w:val="hu-HU"/>
        </w:rPr>
      </w:pPr>
    </w:p>
    <w:p w14:paraId="48C7633C" w14:textId="2303C3D8" w:rsidR="0037407E" w:rsidRDefault="0037407E" w:rsidP="0037407E">
      <w:pPr>
        <w:spacing w:line="200" w:lineRule="exact"/>
        <w:rPr>
          <w:sz w:val="20"/>
          <w:szCs w:val="20"/>
          <w:lang w:val="hu-HU"/>
        </w:rPr>
      </w:pPr>
      <w:r>
        <w:rPr>
          <w:rFonts w:ascii="Times New Roman" w:eastAsia="Times New Roman" w:hAnsi="Times New Roman" w:cs="Times New Roman"/>
          <w:lang w:val="hu-HU"/>
        </w:rPr>
        <w:t>Ez a gyógyszer kevesebb mint 1 mmol nátriumot (23 mg) tartalmaz 0,</w:t>
      </w:r>
      <w:r w:rsidR="00EA57F5">
        <w:rPr>
          <w:rFonts w:ascii="Times New Roman" w:eastAsia="Times New Roman" w:hAnsi="Times New Roman" w:cs="Times New Roman"/>
          <w:lang w:val="hu-HU"/>
        </w:rPr>
        <w:t>8</w:t>
      </w:r>
      <w:r>
        <w:rPr>
          <w:rFonts w:ascii="Times New Roman" w:eastAsia="Times New Roman" w:hAnsi="Times New Roman" w:cs="Times New Roman"/>
          <w:lang w:val="hu-HU"/>
        </w:rPr>
        <w:t xml:space="preserve">  ml-es </w:t>
      </w:r>
      <w:r w:rsidR="005F5974" w:rsidRPr="00A87392">
        <w:rPr>
          <w:rFonts w:ascii="Times New Roman" w:eastAsia="Times New Roman" w:hAnsi="Times New Roman" w:cs="Times New Roman"/>
          <w:lang w:val="hu-HU"/>
        </w:rPr>
        <w:t>adagonként</w:t>
      </w:r>
      <w:r>
        <w:rPr>
          <w:rFonts w:ascii="Times New Roman" w:eastAsia="Times New Roman" w:hAnsi="Times New Roman" w:cs="Times New Roman"/>
          <w:lang w:val="hu-HU"/>
        </w:rPr>
        <w:t>, azaz lényegében „nátriummentes”.</w:t>
      </w:r>
    </w:p>
    <w:p w14:paraId="2436C6D8" w14:textId="77777777" w:rsidR="0037407E" w:rsidRPr="00EA57F5" w:rsidRDefault="0037407E" w:rsidP="0037407E">
      <w:pPr>
        <w:spacing w:line="200" w:lineRule="exact"/>
        <w:rPr>
          <w:sz w:val="20"/>
          <w:szCs w:val="20"/>
          <w:lang w:val="hu-HU"/>
        </w:rPr>
      </w:pPr>
    </w:p>
    <w:p w14:paraId="64772256" w14:textId="77777777" w:rsidR="0037407E" w:rsidRDefault="0037407E" w:rsidP="0037407E">
      <w:pPr>
        <w:spacing w:line="200" w:lineRule="exact"/>
        <w:rPr>
          <w:sz w:val="20"/>
          <w:szCs w:val="20"/>
          <w:lang w:val="hu-HU"/>
        </w:rPr>
      </w:pPr>
    </w:p>
    <w:p w14:paraId="496D1D3A" w14:textId="021BF392" w:rsidR="0037407E" w:rsidRDefault="0037407E" w:rsidP="00FD05AA">
      <w:pPr>
        <w:pStyle w:val="a4"/>
        <w:numPr>
          <w:ilvl w:val="0"/>
          <w:numId w:val="62"/>
        </w:numPr>
        <w:spacing w:before="18" w:line="240" w:lineRule="exact"/>
        <w:ind w:left="357" w:hanging="357"/>
        <w:rPr>
          <w:rFonts w:ascii="Times New Roman" w:hAnsi="Times New Roman" w:cs="Times New Roman"/>
          <w:b/>
          <w:lang w:val="hu-HU"/>
        </w:rPr>
      </w:pPr>
      <w:r>
        <w:rPr>
          <w:rFonts w:ascii="Times New Roman" w:eastAsia="Times New Roman" w:hAnsi="Times New Roman" w:cs="Times New Roman"/>
          <w:b/>
          <w:bCs/>
          <w:lang w:val="hu-HU"/>
        </w:rPr>
        <w:t>Hogyan kell alkalmazni a Yuflyma-t</w:t>
      </w:r>
      <w:r w:rsidR="0032768D">
        <w:rPr>
          <w:rFonts w:ascii="Times New Roman" w:eastAsia="Times New Roman" w:hAnsi="Times New Roman" w:cs="Times New Roman"/>
          <w:b/>
          <w:bCs/>
          <w:lang w:val="hu-HU"/>
        </w:rPr>
        <w:t>?</w:t>
      </w:r>
    </w:p>
    <w:p w14:paraId="7A0707B1" w14:textId="77777777" w:rsidR="0037407E" w:rsidRDefault="0037407E" w:rsidP="0037407E">
      <w:pPr>
        <w:spacing w:before="9" w:line="240" w:lineRule="exact"/>
        <w:rPr>
          <w:sz w:val="24"/>
          <w:szCs w:val="24"/>
          <w:lang w:val="hu-HU"/>
        </w:rPr>
      </w:pPr>
    </w:p>
    <w:p w14:paraId="7ABF1865" w14:textId="77777777" w:rsidR="0037407E" w:rsidRDefault="0037407E" w:rsidP="0037407E">
      <w:pPr>
        <w:pStyle w:val="a3"/>
        <w:rPr>
          <w:lang w:val="hu-HU"/>
        </w:rPr>
      </w:pPr>
      <w:r>
        <w:rPr>
          <w:rFonts w:eastAsia="Times New Roman"/>
          <w:lang w:val="hu-HU"/>
        </w:rPr>
        <w:t>A gyógyszert mindig a kezelőorvosa vagy gyógyszerésze által elmondottaknak megfelelően alkalmazza. Forduljon orvosához vagy gyógyszerészéhez, ha bizonytalan valamiben.</w:t>
      </w:r>
    </w:p>
    <w:p w14:paraId="7756FFEC" w14:textId="77777777" w:rsidR="00E71758" w:rsidRDefault="00E71758" w:rsidP="00E71758">
      <w:pPr>
        <w:pStyle w:val="a3"/>
        <w:rPr>
          <w:lang w:val="hu-HU"/>
        </w:rPr>
      </w:pPr>
    </w:p>
    <w:p w14:paraId="7B55760B" w14:textId="3236ED5D" w:rsidR="0037407E" w:rsidRDefault="00E71758" w:rsidP="0037407E">
      <w:pPr>
        <w:pStyle w:val="a3"/>
        <w:rPr>
          <w:lang w:val="hu-HU"/>
        </w:rPr>
      </w:pPr>
      <w:r w:rsidRPr="00167BF3">
        <w:rPr>
          <w:lang w:val="hu-HU"/>
        </w:rPr>
        <w:t xml:space="preserve">A </w:t>
      </w:r>
      <w:r w:rsidR="00151C9A" w:rsidRPr="00167BF3">
        <w:rPr>
          <w:lang w:val="hu-HU"/>
        </w:rPr>
        <w:t>Yuflyma</w:t>
      </w:r>
      <w:r w:rsidRPr="00167BF3">
        <w:rPr>
          <w:lang w:val="hu-HU"/>
        </w:rPr>
        <w:t xml:space="preserve"> javasolt adagját az alábbi táblázat mutatja, alkalmazási terület szerint. Kezelőorvosa más hatáserősségű </w:t>
      </w:r>
      <w:r w:rsidR="00151C9A" w:rsidRPr="00167BF3">
        <w:rPr>
          <w:lang w:val="hu-HU"/>
        </w:rPr>
        <w:t>Yuflyma</w:t>
      </w:r>
      <w:r w:rsidRPr="00167BF3">
        <w:rPr>
          <w:lang w:val="hu-HU"/>
        </w:rPr>
        <w:t>-t is felírhat, ha Önnek más dózisra van szüksége.</w:t>
      </w:r>
    </w:p>
    <w:p w14:paraId="189E778A" w14:textId="77777777" w:rsidR="0037407E" w:rsidRDefault="0037407E" w:rsidP="0037407E">
      <w:pPr>
        <w:rPr>
          <w:rFonts w:ascii="Times New Roman" w:hAnsi="Times New Roman" w:cs="Times New Roman"/>
          <w:lang w:val="hu-HU"/>
        </w:rPr>
      </w:pPr>
    </w:p>
    <w:tbl>
      <w:tblPr>
        <w:tblStyle w:val="TableNormal1"/>
        <w:tblW w:w="0" w:type="auto"/>
        <w:tblInd w:w="98" w:type="dxa"/>
        <w:tblLayout w:type="fixed"/>
        <w:tblLook w:val="01E0" w:firstRow="1" w:lastRow="1" w:firstColumn="1" w:lastColumn="1" w:noHBand="0" w:noVBand="0"/>
      </w:tblPr>
      <w:tblGrid>
        <w:gridCol w:w="2873"/>
        <w:gridCol w:w="3119"/>
        <w:gridCol w:w="3296"/>
      </w:tblGrid>
      <w:tr w:rsidR="0037407E" w:rsidRPr="00AD741E" w14:paraId="0F393462" w14:textId="77777777" w:rsidTr="007E7849">
        <w:tc>
          <w:tcPr>
            <w:tcW w:w="9288" w:type="dxa"/>
            <w:gridSpan w:val="3"/>
            <w:tcBorders>
              <w:top w:val="single" w:sz="5" w:space="0" w:color="000000"/>
              <w:left w:val="single" w:sz="5" w:space="0" w:color="000000"/>
              <w:bottom w:val="single" w:sz="5" w:space="0" w:color="000000"/>
              <w:right w:val="single" w:sz="5" w:space="0" w:color="000000"/>
            </w:tcBorders>
          </w:tcPr>
          <w:p w14:paraId="31C28A1C" w14:textId="2541BEC4" w:rsidR="0037407E" w:rsidRDefault="0037407E" w:rsidP="00CE42DC">
            <w:pPr>
              <w:pStyle w:val="TableParagraph"/>
              <w:spacing w:line="251"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Reumatoid artritisz</w:t>
            </w:r>
          </w:p>
        </w:tc>
      </w:tr>
      <w:tr w:rsidR="0037407E" w14:paraId="0614045F" w14:textId="77777777" w:rsidTr="00A172D5">
        <w:tc>
          <w:tcPr>
            <w:tcW w:w="2873" w:type="dxa"/>
            <w:tcBorders>
              <w:top w:val="single" w:sz="5" w:space="0" w:color="000000"/>
              <w:left w:val="single" w:sz="5" w:space="0" w:color="000000"/>
              <w:bottom w:val="single" w:sz="5" w:space="0" w:color="000000"/>
              <w:right w:val="single" w:sz="5" w:space="0" w:color="000000"/>
            </w:tcBorders>
          </w:tcPr>
          <w:p w14:paraId="209B4FC5"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119" w:type="dxa"/>
            <w:tcBorders>
              <w:top w:val="single" w:sz="5" w:space="0" w:color="000000"/>
              <w:left w:val="single" w:sz="5" w:space="0" w:color="000000"/>
              <w:bottom w:val="single" w:sz="5" w:space="0" w:color="000000"/>
              <w:right w:val="single" w:sz="5" w:space="0" w:color="000000"/>
            </w:tcBorders>
          </w:tcPr>
          <w:p w14:paraId="770D1AE4" w14:textId="53496BC9" w:rsidR="0037407E" w:rsidRDefault="0037407E" w:rsidP="00545FC6">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w:t>
            </w:r>
            <w:r>
              <w:rPr>
                <w:rFonts w:ascii="Times New Roman" w:eastAsia="Times New Roman" w:hAnsi="Times New Roman" w:cs="Times New Roman"/>
                <w:b/>
                <w:bCs/>
                <w:lang w:val="hu-HU"/>
              </w:rPr>
              <w:t xml:space="preserve"> alkalmazni?</w:t>
            </w:r>
          </w:p>
        </w:tc>
        <w:tc>
          <w:tcPr>
            <w:tcW w:w="3296" w:type="dxa"/>
            <w:tcBorders>
              <w:top w:val="single" w:sz="5" w:space="0" w:color="000000"/>
              <w:left w:val="single" w:sz="5" w:space="0" w:color="000000"/>
              <w:bottom w:val="single" w:sz="5" w:space="0" w:color="000000"/>
              <w:right w:val="single" w:sz="5" w:space="0" w:color="000000"/>
            </w:tcBorders>
          </w:tcPr>
          <w:p w14:paraId="4CCD9683"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37407E" w:rsidRPr="00BE4D18" w14:paraId="2E15D49C" w14:textId="77777777" w:rsidTr="00A172D5">
        <w:tc>
          <w:tcPr>
            <w:tcW w:w="2873" w:type="dxa"/>
            <w:tcBorders>
              <w:top w:val="single" w:sz="5" w:space="0" w:color="000000"/>
              <w:left w:val="single" w:sz="5" w:space="0" w:color="000000"/>
              <w:bottom w:val="single" w:sz="5" w:space="0" w:color="000000"/>
              <w:right w:val="single" w:sz="5" w:space="0" w:color="000000"/>
            </w:tcBorders>
          </w:tcPr>
          <w:p w14:paraId="48F86FC0" w14:textId="77777777" w:rsidR="0037407E" w:rsidRDefault="0037407E" w:rsidP="007E784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Felnőttek</w:t>
            </w:r>
          </w:p>
        </w:tc>
        <w:tc>
          <w:tcPr>
            <w:tcW w:w="3119" w:type="dxa"/>
            <w:tcBorders>
              <w:top w:val="single" w:sz="5" w:space="0" w:color="000000"/>
              <w:left w:val="single" w:sz="5" w:space="0" w:color="000000"/>
              <w:bottom w:val="single" w:sz="5" w:space="0" w:color="000000"/>
              <w:right w:val="single" w:sz="5" w:space="0" w:color="000000"/>
            </w:tcBorders>
          </w:tcPr>
          <w:p w14:paraId="7DE3FE46" w14:textId="003CD8F6" w:rsidR="0037407E" w:rsidRDefault="0037407E" w:rsidP="007E784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40 mg </w:t>
            </w:r>
            <w:r w:rsidR="00972964">
              <w:rPr>
                <w:rFonts w:ascii="Times New Roman" w:hAnsi="Times New Roman" w:cs="Times New Roman"/>
                <w:lang w:val="hu-HU"/>
              </w:rPr>
              <w:t>kéthetente</w:t>
            </w:r>
          </w:p>
        </w:tc>
        <w:tc>
          <w:tcPr>
            <w:tcW w:w="3296" w:type="dxa"/>
            <w:tcBorders>
              <w:top w:val="single" w:sz="5" w:space="0" w:color="000000"/>
              <w:left w:val="single" w:sz="5" w:space="0" w:color="000000"/>
              <w:bottom w:val="single" w:sz="5" w:space="0" w:color="000000"/>
              <w:right w:val="single" w:sz="5" w:space="0" w:color="000000"/>
            </w:tcBorders>
          </w:tcPr>
          <w:p w14:paraId="2E9EC85B" w14:textId="77777777" w:rsidR="0037407E" w:rsidRDefault="0037407E" w:rsidP="007E784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Reumatoid artritiszben</w:t>
            </w:r>
          </w:p>
          <w:p w14:paraId="1C790787" w14:textId="77777777" w:rsidR="0037407E" w:rsidRDefault="0037407E" w:rsidP="007E7849">
            <w:pPr>
              <w:pStyle w:val="TableParagraph"/>
              <w:spacing w:before="1" w:line="239" w:lineRule="auto"/>
              <w:ind w:left="102" w:right="73"/>
              <w:rPr>
                <w:rFonts w:ascii="Times New Roman" w:eastAsia="Times New Roman" w:hAnsi="Times New Roman" w:cs="Times New Roman"/>
                <w:lang w:val="hu-HU"/>
              </w:rPr>
            </w:pPr>
            <w:r>
              <w:rPr>
                <w:rFonts w:ascii="Times New Roman" w:eastAsia="Times New Roman" w:hAnsi="Times New Roman" w:cs="Times New Roman"/>
                <w:spacing w:val="-1"/>
                <w:lang w:val="hu-HU"/>
              </w:rPr>
              <w:t>a Yuflyma alkalmazása során a metotrexát-kezelést folytatni kell. Amennyiben az Ön kezelőorvosa a metotrexát adását szükségtelennek tartja, abban az esetben a Yuflyma önmagában alkalmazható.</w:t>
            </w:r>
          </w:p>
          <w:p w14:paraId="6A228FEC" w14:textId="77777777" w:rsidR="0037407E" w:rsidRDefault="0037407E" w:rsidP="007E7849">
            <w:pPr>
              <w:pStyle w:val="TableParagraph"/>
              <w:spacing w:before="13" w:line="240" w:lineRule="exact"/>
              <w:rPr>
                <w:sz w:val="24"/>
                <w:szCs w:val="24"/>
                <w:lang w:val="hu-HU"/>
              </w:rPr>
            </w:pPr>
          </w:p>
          <w:p w14:paraId="4AF82E52" w14:textId="77777777" w:rsidR="0037407E" w:rsidRDefault="0037407E" w:rsidP="007E7849">
            <w:pPr>
              <w:pStyle w:val="TableParagraph"/>
              <w:ind w:left="102" w:right="127"/>
              <w:rPr>
                <w:rFonts w:ascii="Times New Roman" w:eastAsia="Times New Roman" w:hAnsi="Times New Roman" w:cs="Times New Roman"/>
                <w:lang w:val="hu-HU"/>
              </w:rPr>
            </w:pPr>
            <w:r>
              <w:rPr>
                <w:rFonts w:ascii="Times New Roman" w:eastAsia="Times New Roman" w:hAnsi="Times New Roman" w:cs="Times New Roman"/>
                <w:spacing w:val="-1"/>
                <w:lang w:val="hu-HU"/>
              </w:rPr>
              <w:t>Ha Önnek reumatoid artritisze van és a Yuflyma alkalmazása során nem kap metotrexát-kezelést, abban az esetben kezelőorvosa hetente 40 mg vagy kéthetente 80 mg adalimumab adása mellett dönthet.</w:t>
            </w:r>
          </w:p>
        </w:tc>
      </w:tr>
    </w:tbl>
    <w:p w14:paraId="65E96C1D" w14:textId="77777777" w:rsidR="0037407E" w:rsidRDefault="0037407E" w:rsidP="0037407E">
      <w:pPr>
        <w:spacing w:before="10"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2873"/>
        <w:gridCol w:w="3119"/>
        <w:gridCol w:w="3296"/>
      </w:tblGrid>
      <w:tr w:rsidR="0037407E" w:rsidRPr="00BE4D18" w14:paraId="704E6AEA" w14:textId="77777777" w:rsidTr="007E7849">
        <w:tc>
          <w:tcPr>
            <w:tcW w:w="9288" w:type="dxa"/>
            <w:gridSpan w:val="3"/>
            <w:tcBorders>
              <w:top w:val="single" w:sz="5" w:space="0" w:color="000000"/>
              <w:left w:val="single" w:sz="5" w:space="0" w:color="000000"/>
              <w:bottom w:val="single" w:sz="5" w:space="0" w:color="000000"/>
              <w:right w:val="single" w:sz="5" w:space="0" w:color="000000"/>
            </w:tcBorders>
          </w:tcPr>
          <w:p w14:paraId="46E5933D" w14:textId="77777777" w:rsidR="0037407E" w:rsidRDefault="0037407E" w:rsidP="007E7849">
            <w:pPr>
              <w:pStyle w:val="TableParagraph"/>
              <w:spacing w:line="252"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Plakkos pikkelysömör</w:t>
            </w:r>
          </w:p>
        </w:tc>
      </w:tr>
      <w:tr w:rsidR="0037407E" w14:paraId="68F66BD0" w14:textId="77777777" w:rsidTr="00A172D5">
        <w:tc>
          <w:tcPr>
            <w:tcW w:w="2873" w:type="dxa"/>
            <w:tcBorders>
              <w:top w:val="single" w:sz="6" w:space="0" w:color="000000"/>
              <w:left w:val="single" w:sz="6" w:space="0" w:color="000000"/>
              <w:bottom w:val="single" w:sz="4" w:space="0" w:color="auto"/>
              <w:right w:val="single" w:sz="6" w:space="0" w:color="000000"/>
            </w:tcBorders>
          </w:tcPr>
          <w:p w14:paraId="0B689875"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119" w:type="dxa"/>
            <w:tcBorders>
              <w:top w:val="single" w:sz="5" w:space="0" w:color="000000"/>
              <w:left w:val="single" w:sz="6" w:space="0" w:color="000000"/>
              <w:bottom w:val="single" w:sz="5" w:space="0" w:color="000000"/>
              <w:right w:val="single" w:sz="5" w:space="0" w:color="000000"/>
            </w:tcBorders>
          </w:tcPr>
          <w:p w14:paraId="0A2CD47E" w14:textId="42B8D5C3" w:rsidR="0037407E" w:rsidRDefault="0037407E" w:rsidP="00545FC6">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w:t>
            </w:r>
            <w:r w:rsidR="00BE2389">
              <w:rPr>
                <w:rFonts w:ascii="Times New Roman" w:eastAsia="Times New Roman" w:hAnsi="Times New Roman" w:cs="Times New Roman"/>
                <w:b/>
                <w:bCs/>
                <w:spacing w:val="-1"/>
                <w:lang w:val="hu-HU"/>
              </w:rPr>
              <w:t xml:space="preserve"> </w:t>
            </w:r>
            <w:r>
              <w:rPr>
                <w:rFonts w:ascii="Times New Roman" w:eastAsia="Times New Roman" w:hAnsi="Times New Roman" w:cs="Times New Roman"/>
                <w:b/>
                <w:bCs/>
                <w:lang w:val="hu-HU"/>
              </w:rPr>
              <w:t>alkalmazni?</w:t>
            </w:r>
          </w:p>
        </w:tc>
        <w:tc>
          <w:tcPr>
            <w:tcW w:w="3296" w:type="dxa"/>
            <w:tcBorders>
              <w:top w:val="single" w:sz="5" w:space="0" w:color="000000"/>
              <w:left w:val="single" w:sz="5" w:space="0" w:color="000000"/>
              <w:bottom w:val="single" w:sz="5" w:space="0" w:color="000000"/>
              <w:right w:val="single" w:sz="5" w:space="0" w:color="000000"/>
            </w:tcBorders>
          </w:tcPr>
          <w:p w14:paraId="74E0A3BC"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37407E" w:rsidRPr="00BE4D18" w14:paraId="09DA0C91" w14:textId="77777777" w:rsidTr="00A172D5">
        <w:tc>
          <w:tcPr>
            <w:tcW w:w="2873" w:type="dxa"/>
            <w:tcBorders>
              <w:top w:val="single" w:sz="4" w:space="0" w:color="auto"/>
              <w:left w:val="single" w:sz="5" w:space="0" w:color="000000"/>
              <w:bottom w:val="single" w:sz="5" w:space="0" w:color="000000"/>
              <w:right w:val="single" w:sz="5" w:space="0" w:color="000000"/>
            </w:tcBorders>
          </w:tcPr>
          <w:p w14:paraId="509308F7" w14:textId="77777777" w:rsidR="0037407E" w:rsidRDefault="0037407E" w:rsidP="007E784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Felnőttek</w:t>
            </w:r>
          </w:p>
        </w:tc>
        <w:tc>
          <w:tcPr>
            <w:tcW w:w="3119" w:type="dxa"/>
            <w:tcBorders>
              <w:top w:val="single" w:sz="5" w:space="0" w:color="000000"/>
              <w:left w:val="single" w:sz="5" w:space="0" w:color="000000"/>
              <w:bottom w:val="single" w:sz="5" w:space="0" w:color="000000"/>
              <w:right w:val="single" w:sz="5" w:space="0" w:color="000000"/>
            </w:tcBorders>
          </w:tcPr>
          <w:p w14:paraId="33CBD5FB" w14:textId="627CE99E" w:rsidR="0037407E" w:rsidRDefault="0037407E" w:rsidP="007E784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A kezdő adag 80 mg (</w:t>
            </w:r>
            <w:r w:rsidR="007E7849" w:rsidRPr="007E7849">
              <w:rPr>
                <w:rFonts w:ascii="Times New Roman" w:eastAsia="Times New Roman" w:hAnsi="Times New Roman" w:cs="Times New Roman"/>
                <w:spacing w:val="-1"/>
                <w:lang w:val="hu-HU"/>
              </w:rPr>
              <w:t>egy 80 mg-os injekció</w:t>
            </w:r>
            <w:r>
              <w:rPr>
                <w:rFonts w:ascii="Times New Roman" w:eastAsia="Times New Roman" w:hAnsi="Times New Roman" w:cs="Times New Roman"/>
                <w:spacing w:val="-1"/>
                <w:lang w:val="hu-HU"/>
              </w:rPr>
              <w:t xml:space="preserve"> </w:t>
            </w:r>
            <w:r w:rsidR="00C73957">
              <w:rPr>
                <w:rFonts w:ascii="Times New Roman" w:eastAsia="Times New Roman" w:hAnsi="Times New Roman" w:cs="Times New Roman"/>
                <w:spacing w:val="-1"/>
                <w:lang w:val="hu-HU"/>
              </w:rPr>
              <w:t xml:space="preserve">egy </w:t>
            </w:r>
            <w:r>
              <w:rPr>
                <w:rFonts w:ascii="Times New Roman" w:eastAsia="Times New Roman" w:hAnsi="Times New Roman" w:cs="Times New Roman"/>
                <w:spacing w:val="-1"/>
                <w:lang w:val="hu-HU"/>
              </w:rPr>
              <w:t xml:space="preserve">napon beadva), amelyet </w:t>
            </w:r>
            <w:r w:rsidR="00972964">
              <w:rPr>
                <w:rFonts w:ascii="Times New Roman" w:hAnsi="Times New Roman" w:cs="Times New Roman"/>
                <w:lang w:val="hu-HU"/>
              </w:rPr>
              <w:t>kéthetente</w:t>
            </w:r>
            <w:r w:rsidR="00972964">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 xml:space="preserve">adott 40 mg követ a kezdő </w:t>
            </w:r>
            <w:r w:rsidR="005F5974" w:rsidRPr="00A87392">
              <w:rPr>
                <w:rFonts w:ascii="Times New Roman" w:eastAsia="Times New Roman" w:hAnsi="Times New Roman" w:cs="Times New Roman"/>
                <w:spacing w:val="-1"/>
                <w:lang w:val="hu-HU"/>
              </w:rPr>
              <w:t>adag</w:t>
            </w:r>
            <w:r w:rsidR="005F5974">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utáni első héttől kezdve.</w:t>
            </w:r>
          </w:p>
        </w:tc>
        <w:tc>
          <w:tcPr>
            <w:tcW w:w="3296" w:type="dxa"/>
            <w:tcBorders>
              <w:top w:val="single" w:sz="5" w:space="0" w:color="000000"/>
              <w:left w:val="single" w:sz="5" w:space="0" w:color="000000"/>
              <w:bottom w:val="single" w:sz="5" w:space="0" w:color="000000"/>
              <w:right w:val="single" w:sz="5" w:space="0" w:color="000000"/>
            </w:tcBorders>
          </w:tcPr>
          <w:p w14:paraId="2DDCC764" w14:textId="6D1B3C6B" w:rsidR="0037407E" w:rsidRDefault="0037407E" w:rsidP="005F5974">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Ha Ön nem reagál</w:t>
            </w:r>
            <w:r w:rsidR="005F5974">
              <w:rPr>
                <w:rFonts w:ascii="Times New Roman" w:eastAsia="Times New Roman" w:hAnsi="Times New Roman" w:cs="Times New Roman"/>
                <w:spacing w:val="-1"/>
                <w:lang w:val="hu-HU"/>
              </w:rPr>
              <w:t xml:space="preserve"> megfelelően</w:t>
            </w:r>
            <w:r>
              <w:rPr>
                <w:rFonts w:ascii="Times New Roman" w:eastAsia="Times New Roman" w:hAnsi="Times New Roman" w:cs="Times New Roman"/>
                <w:spacing w:val="-1"/>
                <w:lang w:val="hu-HU"/>
              </w:rPr>
              <w:t xml:space="preserve"> a kezelésre, a kezelőorvosa heti 40 mg-ra vagy kéthetente 80 mg-ra emelheti az adagot.</w:t>
            </w:r>
          </w:p>
        </w:tc>
      </w:tr>
    </w:tbl>
    <w:p w14:paraId="3D5E0E11" w14:textId="77777777" w:rsidR="0037407E" w:rsidRDefault="0037407E" w:rsidP="0037407E">
      <w:pPr>
        <w:spacing w:before="7" w:line="90" w:lineRule="exact"/>
        <w:rPr>
          <w:sz w:val="9"/>
          <w:szCs w:val="9"/>
          <w:lang w:val="hu-HU"/>
        </w:rPr>
      </w:pPr>
    </w:p>
    <w:p w14:paraId="5C4E67EF" w14:textId="77777777" w:rsidR="0037407E" w:rsidRDefault="0037407E" w:rsidP="0037407E">
      <w:pPr>
        <w:spacing w:before="10"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2873"/>
        <w:gridCol w:w="3119"/>
        <w:gridCol w:w="3296"/>
      </w:tblGrid>
      <w:tr w:rsidR="0037407E" w14:paraId="6A480551" w14:textId="77777777" w:rsidTr="007E7849">
        <w:tc>
          <w:tcPr>
            <w:tcW w:w="9288" w:type="dxa"/>
            <w:gridSpan w:val="3"/>
            <w:tcBorders>
              <w:top w:val="single" w:sz="5" w:space="0" w:color="000000"/>
              <w:left w:val="single" w:sz="5" w:space="0" w:color="000000"/>
              <w:bottom w:val="single" w:sz="5" w:space="0" w:color="000000"/>
              <w:right w:val="single" w:sz="5" w:space="0" w:color="000000"/>
            </w:tcBorders>
          </w:tcPr>
          <w:p w14:paraId="46F619C9" w14:textId="77777777" w:rsidR="0037407E" w:rsidRDefault="0037407E" w:rsidP="007E7849">
            <w:pPr>
              <w:pStyle w:val="TableParagraph"/>
              <w:spacing w:line="251" w:lineRule="exact"/>
              <w:ind w:left="102"/>
              <w:rPr>
                <w:rFonts w:ascii="Times New Roman" w:eastAsia="Times New Roman" w:hAnsi="Times New Roman" w:cs="Times New Roman"/>
                <w:lang w:val="hu-HU"/>
              </w:rPr>
            </w:pPr>
            <w:r>
              <w:rPr>
                <w:rFonts w:ascii="Times New Roman" w:hAnsi="Times New Roman" w:cs="Times New Roman"/>
                <w:b/>
                <w:bCs/>
                <w:lang w:val="hu-HU"/>
              </w:rPr>
              <w:t>Hidradenitisz szuppurativa</w:t>
            </w:r>
          </w:p>
        </w:tc>
      </w:tr>
      <w:tr w:rsidR="0037407E" w14:paraId="389B3B3F" w14:textId="77777777" w:rsidTr="00A172D5">
        <w:tc>
          <w:tcPr>
            <w:tcW w:w="2873" w:type="dxa"/>
            <w:tcBorders>
              <w:top w:val="single" w:sz="5" w:space="0" w:color="000000"/>
              <w:left w:val="single" w:sz="5" w:space="0" w:color="000000"/>
              <w:bottom w:val="single" w:sz="5" w:space="0" w:color="000000"/>
              <w:right w:val="single" w:sz="5" w:space="0" w:color="000000"/>
            </w:tcBorders>
          </w:tcPr>
          <w:p w14:paraId="6800D156"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119" w:type="dxa"/>
            <w:tcBorders>
              <w:top w:val="single" w:sz="5" w:space="0" w:color="000000"/>
              <w:left w:val="single" w:sz="5" w:space="0" w:color="000000"/>
              <w:bottom w:val="single" w:sz="5" w:space="0" w:color="000000"/>
              <w:right w:val="single" w:sz="5" w:space="0" w:color="000000"/>
            </w:tcBorders>
          </w:tcPr>
          <w:p w14:paraId="026BB314" w14:textId="77777777" w:rsidR="0037407E" w:rsidRDefault="0037407E" w:rsidP="007E7849">
            <w:pPr>
              <w:pStyle w:val="TableParagraph"/>
              <w:spacing w:before="1" w:line="252"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 alkalmazni?</w:t>
            </w:r>
          </w:p>
        </w:tc>
        <w:tc>
          <w:tcPr>
            <w:tcW w:w="3296" w:type="dxa"/>
            <w:tcBorders>
              <w:top w:val="single" w:sz="5" w:space="0" w:color="000000"/>
              <w:left w:val="single" w:sz="5" w:space="0" w:color="000000"/>
              <w:bottom w:val="single" w:sz="5" w:space="0" w:color="000000"/>
              <w:right w:val="single" w:sz="5" w:space="0" w:color="000000"/>
            </w:tcBorders>
          </w:tcPr>
          <w:p w14:paraId="78C1A9C7"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37407E" w:rsidRPr="00BE4D18" w14:paraId="70941494" w14:textId="77777777" w:rsidTr="00A172D5">
        <w:tc>
          <w:tcPr>
            <w:tcW w:w="2873" w:type="dxa"/>
            <w:tcBorders>
              <w:top w:val="single" w:sz="5" w:space="0" w:color="000000"/>
              <w:left w:val="single" w:sz="5" w:space="0" w:color="000000"/>
              <w:bottom w:val="single" w:sz="5" w:space="0" w:color="000000"/>
              <w:right w:val="single" w:sz="5" w:space="0" w:color="000000"/>
            </w:tcBorders>
          </w:tcPr>
          <w:p w14:paraId="363CA559" w14:textId="77777777" w:rsidR="0037407E" w:rsidRDefault="0037407E" w:rsidP="007E7849">
            <w:pPr>
              <w:pStyle w:val="TableParagraph"/>
              <w:spacing w:line="248"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Felnőttek</w:t>
            </w:r>
          </w:p>
        </w:tc>
        <w:tc>
          <w:tcPr>
            <w:tcW w:w="3119" w:type="dxa"/>
            <w:tcBorders>
              <w:top w:val="single" w:sz="5" w:space="0" w:color="000000"/>
              <w:left w:val="single" w:sz="5" w:space="0" w:color="000000"/>
              <w:bottom w:val="single" w:sz="5" w:space="0" w:color="000000"/>
              <w:right w:val="single" w:sz="5" w:space="0" w:color="000000"/>
            </w:tcBorders>
          </w:tcPr>
          <w:p w14:paraId="35BD67A6" w14:textId="48E9D5E6" w:rsidR="0037407E" w:rsidRDefault="0037407E" w:rsidP="00545FC6">
            <w:pPr>
              <w:pStyle w:val="TableParagraph"/>
              <w:spacing w:before="2" w:line="252" w:lineRule="exact"/>
              <w:ind w:left="102" w:right="193"/>
              <w:rPr>
                <w:rFonts w:ascii="Times New Roman" w:eastAsia="Times New Roman" w:hAnsi="Times New Roman" w:cs="Times New Roman"/>
                <w:lang w:val="hu-HU"/>
              </w:rPr>
            </w:pPr>
            <w:r>
              <w:rPr>
                <w:rFonts w:ascii="Times New Roman" w:eastAsia="Times New Roman" w:hAnsi="Times New Roman" w:cs="Times New Roman"/>
                <w:spacing w:val="-1"/>
                <w:lang w:val="hu-HU"/>
              </w:rPr>
              <w:t>A kezdő adag 160 mg (</w:t>
            </w:r>
            <w:r w:rsidR="007E7849" w:rsidRPr="007E7849">
              <w:rPr>
                <w:rFonts w:ascii="Times New Roman" w:eastAsia="Times New Roman" w:hAnsi="Times New Roman" w:cs="Times New Roman"/>
                <w:spacing w:val="-1"/>
                <w:lang w:val="hu-HU"/>
              </w:rPr>
              <w:t>két 80 mg-os injekció</w:t>
            </w:r>
            <w:r w:rsidR="007E7849">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 xml:space="preserve">egyetlen napon, vagy </w:t>
            </w:r>
            <w:r w:rsidR="007E7849" w:rsidRPr="007E7849">
              <w:rPr>
                <w:rFonts w:ascii="Times New Roman" w:eastAsia="Times New Roman" w:hAnsi="Times New Roman" w:cs="Times New Roman"/>
                <w:spacing w:val="-1"/>
                <w:lang w:val="hu-HU"/>
              </w:rPr>
              <w:t>egy 80 mg-os injekció</w:t>
            </w:r>
            <w:r w:rsidR="007E7849">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naponta két</w:t>
            </w:r>
            <w:r w:rsidR="00AE0D26">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egymást követő napon beadva), majd egy 80 mg-os dózis (</w:t>
            </w:r>
            <w:r w:rsidR="007E7849" w:rsidRPr="007E7849">
              <w:rPr>
                <w:rFonts w:ascii="Times New Roman" w:eastAsia="Times New Roman" w:hAnsi="Times New Roman" w:cs="Times New Roman"/>
                <w:spacing w:val="-1"/>
                <w:lang w:val="hu-HU"/>
              </w:rPr>
              <w:t>egy 80 mg-os injekció</w:t>
            </w:r>
            <w:r>
              <w:rPr>
                <w:rFonts w:ascii="Times New Roman" w:eastAsia="Times New Roman" w:hAnsi="Times New Roman" w:cs="Times New Roman"/>
                <w:spacing w:val="-1"/>
                <w:lang w:val="hu-HU"/>
              </w:rPr>
              <w:t xml:space="preserve"> </w:t>
            </w:r>
            <w:r w:rsidR="00C73957">
              <w:rPr>
                <w:rFonts w:ascii="Times New Roman" w:eastAsia="Times New Roman" w:hAnsi="Times New Roman" w:cs="Times New Roman"/>
                <w:spacing w:val="-1"/>
                <w:lang w:val="hu-HU"/>
              </w:rPr>
              <w:t xml:space="preserve">egy </w:t>
            </w:r>
            <w:r>
              <w:rPr>
                <w:rFonts w:ascii="Times New Roman" w:eastAsia="Times New Roman" w:hAnsi="Times New Roman" w:cs="Times New Roman"/>
                <w:spacing w:val="-1"/>
                <w:lang w:val="hu-HU"/>
              </w:rPr>
              <w:t>napon beadva), két héttel később. További két héttel később</w:t>
            </w:r>
            <w:r w:rsidR="007C230C">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később heti 40 mg-os vagy kéthetente 80 mg-</w:t>
            </w:r>
            <w:r>
              <w:rPr>
                <w:rFonts w:ascii="Times New Roman" w:eastAsia="Times New Roman" w:hAnsi="Times New Roman" w:cs="Times New Roman"/>
                <w:spacing w:val="-1"/>
                <w:lang w:val="hu-HU"/>
              </w:rPr>
              <w:lastRenderedPageBreak/>
              <w:t xml:space="preserve">os </w:t>
            </w:r>
            <w:r w:rsidR="005F5974" w:rsidRPr="00A87392">
              <w:rPr>
                <w:rFonts w:ascii="Times New Roman" w:eastAsia="Times New Roman" w:hAnsi="Times New Roman" w:cs="Times New Roman"/>
                <w:spacing w:val="-1"/>
                <w:lang w:val="hu-HU"/>
              </w:rPr>
              <w:t>adaggal</w:t>
            </w:r>
            <w:r w:rsidR="005F5974">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folytassa,</w:t>
            </w:r>
            <w:r w:rsidR="00BE2389">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kezelőorvosának előírása szerint.</w:t>
            </w:r>
          </w:p>
        </w:tc>
        <w:tc>
          <w:tcPr>
            <w:tcW w:w="3296" w:type="dxa"/>
            <w:tcBorders>
              <w:top w:val="single" w:sz="5" w:space="0" w:color="000000"/>
              <w:left w:val="single" w:sz="5" w:space="0" w:color="000000"/>
              <w:bottom w:val="single" w:sz="5" w:space="0" w:color="000000"/>
              <w:right w:val="single" w:sz="5" w:space="0" w:color="000000"/>
            </w:tcBorders>
          </w:tcPr>
          <w:p w14:paraId="3E3E2166" w14:textId="77777777" w:rsidR="0037407E" w:rsidRDefault="0037407E" w:rsidP="007E7849">
            <w:pPr>
              <w:pStyle w:val="TableParagraph"/>
              <w:spacing w:line="248"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4"/>
                <w:lang w:val="hu-HU"/>
              </w:rPr>
              <w:lastRenderedPageBreak/>
              <w:t xml:space="preserve">Javasolt, hogy naponta </w:t>
            </w:r>
            <w:r>
              <w:rPr>
                <w:rFonts w:ascii="Times New Roman" w:eastAsia="Times New Roman" w:hAnsi="Times New Roman" w:cs="Times New Roman"/>
                <w:spacing w:val="-1"/>
                <w:lang w:val="hu-HU"/>
              </w:rPr>
              <w:t>használjon fertőtlenítő lemosót az érintett területeken.</w:t>
            </w:r>
          </w:p>
        </w:tc>
      </w:tr>
      <w:tr w:rsidR="0037407E" w:rsidRPr="00BE4D18" w14:paraId="02DD05DD" w14:textId="77777777" w:rsidTr="00A172D5">
        <w:tc>
          <w:tcPr>
            <w:tcW w:w="2873" w:type="dxa"/>
            <w:tcBorders>
              <w:top w:val="single" w:sz="5" w:space="0" w:color="000000"/>
              <w:left w:val="single" w:sz="5" w:space="0" w:color="000000"/>
              <w:bottom w:val="single" w:sz="5" w:space="0" w:color="000000"/>
              <w:right w:val="single" w:sz="5" w:space="0" w:color="000000"/>
            </w:tcBorders>
          </w:tcPr>
          <w:p w14:paraId="7BE65963" w14:textId="51FFDC9B" w:rsidR="0037407E" w:rsidRDefault="0037407E" w:rsidP="00EC6F80">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Serdülőknek</w:t>
            </w:r>
            <w:r w:rsidRPr="00DE43E3">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w:t>
            </w:r>
            <w:r w:rsidRPr="00DE43E3">
              <w:rPr>
                <w:rFonts w:ascii="Times New Roman" w:eastAsia="Times New Roman" w:hAnsi="Times New Roman" w:cs="Times New Roman"/>
                <w:spacing w:val="-1"/>
                <w:lang w:val="hu-HU"/>
              </w:rPr>
              <w:t>12-</w:t>
            </w:r>
            <w:r>
              <w:rPr>
                <w:rFonts w:ascii="Times New Roman" w:eastAsia="Times New Roman" w:hAnsi="Times New Roman" w:cs="Times New Roman"/>
                <w:spacing w:val="-1"/>
                <w:lang w:val="hu-HU"/>
              </w:rPr>
              <w:t>től betöltött 1</w:t>
            </w:r>
            <w:r w:rsidR="00EC6F80">
              <w:rPr>
                <w:rFonts w:ascii="Times New Roman" w:eastAsia="Times New Roman" w:hAnsi="Times New Roman" w:cs="Times New Roman"/>
                <w:spacing w:val="-1"/>
                <w:lang w:val="hu-HU"/>
              </w:rPr>
              <w:t>8</w:t>
            </w:r>
            <w:r w:rsidR="00075FCB">
              <w:rPr>
                <w:rFonts w:ascii="Times New Roman" w:eastAsia="Times New Roman" w:hAnsi="Times New Roman" w:cs="Times New Roman"/>
                <w:spacing w:val="-1"/>
                <w:lang w:val="hu-HU"/>
              </w:rPr>
              <w:t xml:space="preserve"> </w:t>
            </w:r>
            <w:r w:rsidRPr="00DE43E3">
              <w:rPr>
                <w:rFonts w:ascii="Times New Roman" w:eastAsia="Times New Roman" w:hAnsi="Times New Roman" w:cs="Times New Roman"/>
                <w:spacing w:val="-1"/>
                <w:lang w:val="hu-HU"/>
              </w:rPr>
              <w:t>éves</w:t>
            </w:r>
            <w:r>
              <w:rPr>
                <w:rFonts w:ascii="Times New Roman" w:eastAsia="Times New Roman" w:hAnsi="Times New Roman" w:cs="Times New Roman"/>
                <w:spacing w:val="-1"/>
                <w:lang w:val="hu-HU"/>
              </w:rPr>
              <w:t xml:space="preserve"> korig) testsúlyuk 30 kg vagy annál nagyobb</w:t>
            </w:r>
          </w:p>
        </w:tc>
        <w:tc>
          <w:tcPr>
            <w:tcW w:w="3119" w:type="dxa"/>
            <w:tcBorders>
              <w:top w:val="single" w:sz="5" w:space="0" w:color="000000"/>
              <w:left w:val="single" w:sz="5" w:space="0" w:color="000000"/>
              <w:bottom w:val="single" w:sz="5" w:space="0" w:color="000000"/>
              <w:right w:val="single" w:sz="5" w:space="0" w:color="000000"/>
            </w:tcBorders>
          </w:tcPr>
          <w:p w14:paraId="4F003342" w14:textId="1CD7409B" w:rsidR="0037407E" w:rsidRDefault="0037407E" w:rsidP="007E784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A kezdő adag 80 mg (</w:t>
            </w:r>
            <w:r w:rsidR="002B2F88" w:rsidRPr="002B2F88">
              <w:rPr>
                <w:rFonts w:ascii="Times New Roman" w:eastAsia="Times New Roman" w:hAnsi="Times New Roman" w:cs="Times New Roman"/>
                <w:spacing w:val="-1"/>
                <w:lang w:val="hu-HU"/>
              </w:rPr>
              <w:t>egy 80 mg-os injekció</w:t>
            </w:r>
            <w:r w:rsidR="002B2F88">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 xml:space="preserve">egyetlen napon), amelyet egy héttel később </w:t>
            </w:r>
            <w:r w:rsidR="00A8571E">
              <w:rPr>
                <w:rFonts w:ascii="Times New Roman" w:hAnsi="Times New Roman" w:cs="Times New Roman"/>
                <w:lang w:val="hu-HU"/>
              </w:rPr>
              <w:t>kéthetente</w:t>
            </w:r>
            <w:r w:rsidR="00A8571E">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adott 40 mg követ.</w:t>
            </w:r>
          </w:p>
        </w:tc>
        <w:tc>
          <w:tcPr>
            <w:tcW w:w="3296" w:type="dxa"/>
            <w:tcBorders>
              <w:top w:val="single" w:sz="5" w:space="0" w:color="000000"/>
              <w:left w:val="single" w:sz="5" w:space="0" w:color="000000"/>
              <w:bottom w:val="single" w:sz="5" w:space="0" w:color="000000"/>
              <w:right w:val="single" w:sz="5" w:space="0" w:color="000000"/>
            </w:tcBorders>
          </w:tcPr>
          <w:p w14:paraId="0EA1BCB4" w14:textId="5FBF0371" w:rsidR="0037407E" w:rsidRDefault="0037407E" w:rsidP="00545FC6">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Ha Ön nem megfelelően reagál </w:t>
            </w:r>
            <w:r>
              <w:rPr>
                <w:rFonts w:ascii="Times New Roman" w:eastAsia="Times New Roman" w:hAnsi="Times New Roman" w:cs="Times New Roman"/>
                <w:lang w:val="hu-HU"/>
              </w:rPr>
              <w:t>reagál a kezelésre, a kezelőorvosa heti 40 mg-ra vagy</w:t>
            </w:r>
            <w:r w:rsidR="00AE0D26">
              <w:rPr>
                <w:rFonts w:ascii="Times New Roman" w:eastAsia="Times New Roman" w:hAnsi="Times New Roman" w:cs="Times New Roman"/>
                <w:lang w:val="hu-HU"/>
              </w:rPr>
              <w:t xml:space="preserve"> </w:t>
            </w:r>
            <w:r>
              <w:rPr>
                <w:rFonts w:ascii="Times New Roman" w:eastAsia="Times New Roman" w:hAnsi="Times New Roman" w:cs="Times New Roman"/>
                <w:spacing w:val="-1"/>
                <w:lang w:val="hu-HU"/>
              </w:rPr>
              <w:t xml:space="preserve">kéthetente 80 mg-ra emelheti az adagot. </w:t>
            </w:r>
          </w:p>
          <w:p w14:paraId="6DD0EB3A" w14:textId="77777777" w:rsidR="0037407E" w:rsidRDefault="0037407E" w:rsidP="007E7849">
            <w:pPr>
              <w:pStyle w:val="TableParagraph"/>
              <w:spacing w:before="1"/>
              <w:ind w:left="102" w:right="223"/>
              <w:jc w:val="both"/>
              <w:rPr>
                <w:rFonts w:ascii="Times New Roman" w:eastAsia="Times New Roman" w:hAnsi="Times New Roman" w:cs="Times New Roman"/>
                <w:lang w:val="hu-HU"/>
              </w:rPr>
            </w:pPr>
            <w:r>
              <w:rPr>
                <w:rFonts w:ascii="Times New Roman" w:eastAsia="Times New Roman" w:hAnsi="Times New Roman" w:cs="Times New Roman"/>
                <w:spacing w:val="-4"/>
                <w:lang w:val="hu-HU"/>
              </w:rPr>
              <w:t>Javasolt, hogy naponta használjon fertőtlenítő lemosót az érintett területeken.</w:t>
            </w:r>
          </w:p>
        </w:tc>
      </w:tr>
    </w:tbl>
    <w:p w14:paraId="74369113" w14:textId="77777777" w:rsidR="0037407E" w:rsidRDefault="0037407E" w:rsidP="0037407E">
      <w:pPr>
        <w:spacing w:before="10"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2873"/>
        <w:gridCol w:w="3119"/>
        <w:gridCol w:w="3296"/>
      </w:tblGrid>
      <w:tr w:rsidR="0037407E" w14:paraId="0077C7DD" w14:textId="77777777" w:rsidTr="007E7849">
        <w:tc>
          <w:tcPr>
            <w:tcW w:w="9288" w:type="dxa"/>
            <w:gridSpan w:val="3"/>
            <w:tcBorders>
              <w:top w:val="single" w:sz="5" w:space="0" w:color="000000"/>
              <w:left w:val="single" w:sz="5" w:space="0" w:color="000000"/>
              <w:bottom w:val="single" w:sz="5" w:space="0" w:color="000000"/>
              <w:right w:val="single" w:sz="5" w:space="0" w:color="000000"/>
            </w:tcBorders>
          </w:tcPr>
          <w:p w14:paraId="6C688308" w14:textId="77777777" w:rsidR="0037407E" w:rsidRDefault="0037407E" w:rsidP="007E7849">
            <w:pPr>
              <w:pStyle w:val="TableParagraph"/>
              <w:spacing w:line="251"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Crohn-betegség</w:t>
            </w:r>
          </w:p>
        </w:tc>
      </w:tr>
      <w:tr w:rsidR="0037407E" w14:paraId="641DE2D6" w14:textId="77777777" w:rsidTr="00A172D5">
        <w:tc>
          <w:tcPr>
            <w:tcW w:w="2873" w:type="dxa"/>
            <w:tcBorders>
              <w:top w:val="single" w:sz="5" w:space="0" w:color="000000"/>
              <w:left w:val="single" w:sz="5" w:space="0" w:color="000000"/>
              <w:bottom w:val="single" w:sz="5" w:space="0" w:color="000000"/>
              <w:right w:val="single" w:sz="5" w:space="0" w:color="000000"/>
            </w:tcBorders>
          </w:tcPr>
          <w:p w14:paraId="0E3B29CD"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119" w:type="dxa"/>
            <w:tcBorders>
              <w:top w:val="single" w:sz="5" w:space="0" w:color="000000"/>
              <w:left w:val="single" w:sz="5" w:space="0" w:color="000000"/>
              <w:bottom w:val="single" w:sz="5" w:space="0" w:color="000000"/>
              <w:right w:val="single" w:sz="5" w:space="0" w:color="000000"/>
            </w:tcBorders>
          </w:tcPr>
          <w:p w14:paraId="0EBF6003" w14:textId="77777777" w:rsidR="0037407E" w:rsidRDefault="0037407E" w:rsidP="007E7849">
            <w:pPr>
              <w:pStyle w:val="TableParagraph"/>
              <w:spacing w:before="1" w:line="252"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 alkalmazni?</w:t>
            </w:r>
          </w:p>
        </w:tc>
        <w:tc>
          <w:tcPr>
            <w:tcW w:w="3296" w:type="dxa"/>
            <w:tcBorders>
              <w:top w:val="single" w:sz="5" w:space="0" w:color="000000"/>
              <w:left w:val="single" w:sz="5" w:space="0" w:color="000000"/>
              <w:bottom w:val="single" w:sz="5" w:space="0" w:color="000000"/>
              <w:right w:val="single" w:sz="5" w:space="0" w:color="000000"/>
            </w:tcBorders>
          </w:tcPr>
          <w:p w14:paraId="5ED31D74"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37407E" w:rsidRPr="00BE4D18" w14:paraId="6A4E4E40" w14:textId="77777777" w:rsidTr="00AF1AD1">
        <w:trPr>
          <w:trHeight w:val="4067"/>
        </w:trPr>
        <w:tc>
          <w:tcPr>
            <w:tcW w:w="2873" w:type="dxa"/>
            <w:tcBorders>
              <w:top w:val="single" w:sz="5" w:space="0" w:color="000000"/>
              <w:left w:val="single" w:sz="5" w:space="0" w:color="000000"/>
              <w:bottom w:val="single" w:sz="5" w:space="0" w:color="000000"/>
              <w:right w:val="single" w:sz="5" w:space="0" w:color="000000"/>
            </w:tcBorders>
          </w:tcPr>
          <w:p w14:paraId="69941F48" w14:textId="7F57C9AC" w:rsidR="0037407E" w:rsidRDefault="005F5974" w:rsidP="005F5974">
            <w:pPr>
              <w:pStyle w:val="TableParagraph"/>
              <w:spacing w:line="246" w:lineRule="exact"/>
              <w:ind w:left="102" w:right="57"/>
              <w:rPr>
                <w:rFonts w:ascii="Times New Roman" w:eastAsia="Times New Roman" w:hAnsi="Times New Roman" w:cs="Times New Roman"/>
                <w:lang w:val="hu-HU"/>
              </w:rPr>
            </w:pPr>
            <w:r w:rsidRPr="00F967AD">
              <w:rPr>
                <w:rFonts w:ascii="Times New Roman" w:eastAsia="Times New Roman" w:hAnsi="Times New Roman" w:cs="Times New Roman"/>
                <w:lang w:val="hu-HU"/>
              </w:rPr>
              <w:t>6 éves kor feletti, 40 kg-os vagy annál nagyobb testtömegű gyermekek, serdülők és felnőttek</w:t>
            </w:r>
          </w:p>
        </w:tc>
        <w:tc>
          <w:tcPr>
            <w:tcW w:w="3119" w:type="dxa"/>
            <w:tcBorders>
              <w:top w:val="single" w:sz="5" w:space="0" w:color="000000"/>
              <w:left w:val="single" w:sz="5" w:space="0" w:color="000000"/>
              <w:bottom w:val="single" w:sz="5" w:space="0" w:color="000000"/>
              <w:right w:val="single" w:sz="5" w:space="0" w:color="000000"/>
            </w:tcBorders>
          </w:tcPr>
          <w:p w14:paraId="7280EA70" w14:textId="619C56CA" w:rsidR="0037407E" w:rsidRDefault="0037407E" w:rsidP="007E784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A kezdő adag 80 mg (</w:t>
            </w:r>
            <w:r w:rsidR="002B2F88" w:rsidRPr="002B2F88">
              <w:rPr>
                <w:rFonts w:ascii="Times New Roman" w:eastAsia="Times New Roman" w:hAnsi="Times New Roman" w:cs="Times New Roman"/>
                <w:spacing w:val="-1"/>
                <w:lang w:val="hu-HU"/>
              </w:rPr>
              <w:t>egy 80 mg-os injekció</w:t>
            </w:r>
            <w:r>
              <w:rPr>
                <w:rFonts w:ascii="Times New Roman" w:eastAsia="Times New Roman" w:hAnsi="Times New Roman" w:cs="Times New Roman"/>
                <w:spacing w:val="-1"/>
                <w:lang w:val="hu-HU"/>
              </w:rPr>
              <w:t xml:space="preserve"> </w:t>
            </w:r>
            <w:r w:rsidR="00C73957">
              <w:rPr>
                <w:rFonts w:ascii="Times New Roman" w:eastAsia="Times New Roman" w:hAnsi="Times New Roman" w:cs="Times New Roman"/>
                <w:spacing w:val="-1"/>
                <w:lang w:val="hu-HU"/>
              </w:rPr>
              <w:t xml:space="preserve">egy </w:t>
            </w:r>
            <w:r>
              <w:rPr>
                <w:rFonts w:ascii="Times New Roman" w:eastAsia="Times New Roman" w:hAnsi="Times New Roman" w:cs="Times New Roman"/>
                <w:spacing w:val="-1"/>
                <w:lang w:val="hu-HU"/>
              </w:rPr>
              <w:t xml:space="preserve">napon beadva), </w:t>
            </w:r>
            <w:r w:rsidR="005F5974" w:rsidRPr="009B3D2C">
              <w:rPr>
                <w:rFonts w:ascii="Times New Roman" w:eastAsia="Times New Roman" w:hAnsi="Times New Roman" w:cs="Times New Roman"/>
                <w:spacing w:val="-1"/>
                <w:lang w:val="hu-HU"/>
              </w:rPr>
              <w:t>amelyet</w:t>
            </w:r>
            <w:r w:rsidR="005F5974">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két héttel később 40 mg követ.</w:t>
            </w:r>
          </w:p>
          <w:p w14:paraId="56AED05C" w14:textId="77777777" w:rsidR="0037407E" w:rsidRDefault="0037407E" w:rsidP="007E7849">
            <w:pPr>
              <w:pStyle w:val="TableParagraph"/>
              <w:spacing w:before="11" w:line="240" w:lineRule="exact"/>
              <w:rPr>
                <w:sz w:val="24"/>
                <w:szCs w:val="24"/>
                <w:lang w:val="hu-HU"/>
              </w:rPr>
            </w:pPr>
          </w:p>
          <w:p w14:paraId="0B7C3510" w14:textId="7FBF07BF" w:rsidR="0037407E" w:rsidRDefault="0037407E" w:rsidP="007E7849">
            <w:pPr>
              <w:pStyle w:val="TableParagraph"/>
              <w:ind w:left="102" w:right="76"/>
              <w:rPr>
                <w:rFonts w:ascii="Times New Roman" w:eastAsia="Times New Roman" w:hAnsi="Times New Roman" w:cs="Times New Roman"/>
                <w:lang w:val="hu-HU"/>
              </w:rPr>
            </w:pPr>
            <w:r>
              <w:rPr>
                <w:rFonts w:ascii="Times New Roman" w:eastAsia="Times New Roman" w:hAnsi="Times New Roman" w:cs="Times New Roman"/>
                <w:spacing w:val="-1"/>
                <w:lang w:val="hu-HU"/>
              </w:rPr>
              <w:t>Ha gyorsabb hatásra van szükség, a kezelőorvos rendelhet egy 160 mg-os kezdő adagot (</w:t>
            </w:r>
            <w:r w:rsidR="002B2F88" w:rsidRPr="002B2F88">
              <w:rPr>
                <w:rFonts w:ascii="Times New Roman" w:eastAsia="Times New Roman" w:hAnsi="Times New Roman" w:cs="Times New Roman"/>
                <w:spacing w:val="-1"/>
                <w:lang w:val="hu-HU"/>
              </w:rPr>
              <w:t>két 80 mg-os injekció</w:t>
            </w:r>
            <w:r w:rsidR="002B2F88">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 xml:space="preserve">egyetlen napon, vagy napi </w:t>
            </w:r>
            <w:r w:rsidR="002B2F88" w:rsidRPr="002B2F88">
              <w:rPr>
                <w:rFonts w:ascii="Times New Roman" w:eastAsia="Times New Roman" w:hAnsi="Times New Roman" w:cs="Times New Roman"/>
                <w:spacing w:val="-1"/>
                <w:lang w:val="hu-HU"/>
              </w:rPr>
              <w:t>egy 80 mg-os injekció</w:t>
            </w:r>
            <w:r>
              <w:rPr>
                <w:rFonts w:ascii="Times New Roman" w:eastAsia="Times New Roman" w:hAnsi="Times New Roman" w:cs="Times New Roman"/>
                <w:spacing w:val="-1"/>
                <w:lang w:val="hu-HU"/>
              </w:rPr>
              <w:t xml:space="preserve"> két egymást követő napon), amelyet két héttel később 80 mg követ (</w:t>
            </w:r>
            <w:r w:rsidR="002B2F88" w:rsidRPr="002B2F88">
              <w:rPr>
                <w:rFonts w:ascii="Times New Roman" w:eastAsia="Times New Roman" w:hAnsi="Times New Roman" w:cs="Times New Roman"/>
                <w:spacing w:val="-1"/>
                <w:lang w:val="hu-HU"/>
              </w:rPr>
              <w:t>egy 80 mg-os injekció</w:t>
            </w:r>
            <w:r w:rsidR="002B2F88">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egyetlen napon).</w:t>
            </w:r>
          </w:p>
          <w:p w14:paraId="370C5FE9" w14:textId="77777777" w:rsidR="0037407E" w:rsidRDefault="0037407E" w:rsidP="007E7849">
            <w:pPr>
              <w:pStyle w:val="TableParagraph"/>
              <w:spacing w:before="17" w:line="240" w:lineRule="exact"/>
              <w:rPr>
                <w:sz w:val="24"/>
                <w:szCs w:val="24"/>
                <w:lang w:val="hu-HU"/>
              </w:rPr>
            </w:pPr>
          </w:p>
          <w:p w14:paraId="70C830DA" w14:textId="08D64CF5" w:rsidR="0037407E" w:rsidRDefault="0037407E" w:rsidP="007E7849">
            <w:pPr>
              <w:pStyle w:val="TableParagraph"/>
              <w:spacing w:line="252"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Ezután a szokásos adag 40 mg </w:t>
            </w:r>
            <w:r w:rsidR="00A8571E">
              <w:rPr>
                <w:rFonts w:ascii="Times New Roman" w:hAnsi="Times New Roman" w:cs="Times New Roman"/>
                <w:lang w:val="hu-HU"/>
              </w:rPr>
              <w:t>kéthetente</w:t>
            </w:r>
            <w:r>
              <w:rPr>
                <w:rFonts w:ascii="Times New Roman" w:eastAsia="Times New Roman" w:hAnsi="Times New Roman" w:cs="Times New Roman"/>
                <w:spacing w:val="-1"/>
                <w:lang w:val="hu-HU"/>
              </w:rPr>
              <w:t>.</w:t>
            </w:r>
          </w:p>
        </w:tc>
        <w:tc>
          <w:tcPr>
            <w:tcW w:w="3296" w:type="dxa"/>
            <w:tcBorders>
              <w:top w:val="single" w:sz="5" w:space="0" w:color="000000"/>
              <w:left w:val="single" w:sz="5" w:space="0" w:color="000000"/>
              <w:bottom w:val="single" w:sz="5" w:space="0" w:color="000000"/>
              <w:right w:val="single" w:sz="5" w:space="0" w:color="000000"/>
            </w:tcBorders>
          </w:tcPr>
          <w:p w14:paraId="4B0718C6" w14:textId="77777777" w:rsidR="0037407E" w:rsidRDefault="0037407E" w:rsidP="007E784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Kezelőorvosa heti 40 mg-ra vagy kéthetente 80 mg-ra emelheti az adagot.</w:t>
            </w:r>
          </w:p>
        </w:tc>
      </w:tr>
      <w:tr w:rsidR="00604DFB" w:rsidRPr="00BE4D18" w14:paraId="6B93F5E1" w14:textId="77777777" w:rsidTr="00A172D5">
        <w:tc>
          <w:tcPr>
            <w:tcW w:w="2873" w:type="dxa"/>
            <w:tcBorders>
              <w:top w:val="single" w:sz="5" w:space="0" w:color="000000"/>
              <w:left w:val="single" w:sz="5" w:space="0" w:color="000000"/>
              <w:bottom w:val="single" w:sz="5" w:space="0" w:color="000000"/>
              <w:right w:val="single" w:sz="5" w:space="0" w:color="000000"/>
            </w:tcBorders>
          </w:tcPr>
          <w:p w14:paraId="6ABB2C77" w14:textId="2E2EF735" w:rsidR="00604DFB" w:rsidRDefault="00604DFB" w:rsidP="00F13D27">
            <w:pPr>
              <w:pStyle w:val="TableParagraph"/>
              <w:spacing w:line="246" w:lineRule="exact"/>
              <w:ind w:left="102" w:right="57"/>
              <w:rPr>
                <w:rFonts w:ascii="Times New Roman" w:eastAsia="Times New Roman" w:hAnsi="Times New Roman" w:cs="Times New Roman"/>
                <w:lang w:val="hu-HU"/>
              </w:rPr>
            </w:pPr>
            <w:r w:rsidRPr="00167BF3">
              <w:rPr>
                <w:rFonts w:ascii="Times New Roman" w:eastAsia="Times New Roman" w:hAnsi="Times New Roman" w:cs="Times New Roman"/>
                <w:lang w:val="hu-HU"/>
              </w:rPr>
              <w:t>6</w:t>
            </w:r>
            <w:r w:rsidR="00F13D27" w:rsidRPr="00DE43E3">
              <w:rPr>
                <w:rFonts w:ascii="Times New Roman" w:eastAsia="Times New Roman" w:hAnsi="Times New Roman" w:cs="Times New Roman"/>
                <w:spacing w:val="-1"/>
                <w:lang w:val="hu-HU"/>
              </w:rPr>
              <w:t>-</w:t>
            </w:r>
            <w:r w:rsidR="00F13D27">
              <w:rPr>
                <w:rFonts w:ascii="Times New Roman" w:eastAsia="Times New Roman" w:hAnsi="Times New Roman" w:cs="Times New Roman"/>
                <w:spacing w:val="-1"/>
                <w:lang w:val="hu-HU"/>
              </w:rPr>
              <w:t xml:space="preserve">tól betöltött 18 </w:t>
            </w:r>
            <w:r w:rsidR="00F13D27" w:rsidRPr="00DE43E3">
              <w:rPr>
                <w:rFonts w:ascii="Times New Roman" w:eastAsia="Times New Roman" w:hAnsi="Times New Roman" w:cs="Times New Roman"/>
                <w:spacing w:val="-1"/>
                <w:lang w:val="hu-HU"/>
              </w:rPr>
              <w:t>éves</w:t>
            </w:r>
            <w:r w:rsidR="00F13D27">
              <w:rPr>
                <w:rFonts w:ascii="Times New Roman" w:eastAsia="Times New Roman" w:hAnsi="Times New Roman" w:cs="Times New Roman"/>
                <w:spacing w:val="-1"/>
                <w:lang w:val="hu-HU"/>
              </w:rPr>
              <w:t xml:space="preserve"> korig</w:t>
            </w:r>
            <w:r w:rsidRPr="00167BF3">
              <w:rPr>
                <w:rFonts w:ascii="Times New Roman" w:eastAsia="Times New Roman" w:hAnsi="Times New Roman" w:cs="Times New Roman"/>
                <w:lang w:val="hu-HU"/>
              </w:rPr>
              <w:t>, 40 kg-nál kisebb testtömegű gyermekek vagy serdülők</w:t>
            </w:r>
          </w:p>
        </w:tc>
        <w:tc>
          <w:tcPr>
            <w:tcW w:w="3119" w:type="dxa"/>
            <w:tcBorders>
              <w:top w:val="single" w:sz="5" w:space="0" w:color="000000"/>
              <w:left w:val="single" w:sz="5" w:space="0" w:color="000000"/>
              <w:bottom w:val="single" w:sz="5" w:space="0" w:color="000000"/>
              <w:right w:val="single" w:sz="5" w:space="0" w:color="000000"/>
            </w:tcBorders>
          </w:tcPr>
          <w:p w14:paraId="464B26E2" w14:textId="77777777" w:rsidR="00604DFB" w:rsidRDefault="00604DFB" w:rsidP="007E7849">
            <w:pPr>
              <w:pStyle w:val="TableParagraph"/>
              <w:spacing w:line="246" w:lineRule="exact"/>
              <w:ind w:left="102" w:right="57"/>
              <w:rPr>
                <w:rFonts w:ascii="Times New Roman" w:eastAsia="Times New Roman" w:hAnsi="Times New Roman" w:cs="Times New Roman"/>
                <w:lang w:val="hu-HU"/>
              </w:rPr>
            </w:pPr>
            <w:r w:rsidRPr="00167BF3">
              <w:rPr>
                <w:rFonts w:ascii="Times New Roman" w:eastAsia="Times New Roman" w:hAnsi="Times New Roman" w:cs="Times New Roman"/>
                <w:lang w:val="hu-HU"/>
              </w:rPr>
              <w:t>A kezdő adag 40 mg, melyet két héttel később 20 mg követ.</w:t>
            </w:r>
          </w:p>
          <w:p w14:paraId="3A3E8931" w14:textId="77777777" w:rsidR="00604DFB" w:rsidRDefault="00604DFB" w:rsidP="007E7849">
            <w:pPr>
              <w:pStyle w:val="TableParagraph"/>
              <w:spacing w:line="246" w:lineRule="exact"/>
              <w:ind w:left="102" w:right="57"/>
              <w:rPr>
                <w:rFonts w:ascii="Times New Roman" w:eastAsia="Times New Roman" w:hAnsi="Times New Roman" w:cs="Times New Roman"/>
                <w:lang w:val="hu-HU"/>
              </w:rPr>
            </w:pPr>
          </w:p>
          <w:p w14:paraId="02627B45" w14:textId="77777777" w:rsidR="00604DFB" w:rsidRDefault="00604DFB" w:rsidP="00DE4842">
            <w:pPr>
              <w:pStyle w:val="TableParagraph"/>
              <w:spacing w:line="246" w:lineRule="exact"/>
              <w:ind w:left="102" w:right="57"/>
              <w:rPr>
                <w:rFonts w:ascii="Times New Roman" w:eastAsia="Times New Roman" w:hAnsi="Times New Roman" w:cs="Times New Roman"/>
                <w:lang w:val="hu-HU"/>
              </w:rPr>
            </w:pPr>
            <w:r w:rsidRPr="00167BF3">
              <w:rPr>
                <w:rFonts w:ascii="Times New Roman" w:eastAsia="Times New Roman" w:hAnsi="Times New Roman" w:cs="Times New Roman"/>
                <w:lang w:val="hu-HU"/>
              </w:rPr>
              <w:t>Ha gyorsabb hatásra van szükség, a kezelőorvos rendelhet 80 mg-os kezdő adagot (egy 80 mg-os injekció), melyet 2 héttel később 40 mg követ.</w:t>
            </w:r>
          </w:p>
          <w:p w14:paraId="3DDBB1A1" w14:textId="77777777" w:rsidR="00604DFB" w:rsidRDefault="00604DFB">
            <w:pPr>
              <w:pStyle w:val="TableParagraph"/>
              <w:spacing w:line="246" w:lineRule="exact"/>
              <w:ind w:left="102" w:right="57"/>
              <w:rPr>
                <w:rFonts w:ascii="Times New Roman" w:eastAsia="Times New Roman" w:hAnsi="Times New Roman" w:cs="Times New Roman"/>
                <w:lang w:val="hu-HU"/>
              </w:rPr>
            </w:pPr>
          </w:p>
          <w:p w14:paraId="29A5C692" w14:textId="4FD1C768" w:rsidR="00604DFB" w:rsidRPr="00167BF3" w:rsidRDefault="00604DFB">
            <w:pPr>
              <w:pStyle w:val="TableParagraph"/>
              <w:spacing w:line="246" w:lineRule="exact"/>
              <w:ind w:left="102" w:right="57"/>
              <w:rPr>
                <w:rFonts w:ascii="Times New Roman" w:eastAsia="Times New Roman" w:hAnsi="Times New Roman" w:cs="Times New Roman"/>
                <w:lang w:val="hu-HU"/>
              </w:rPr>
            </w:pPr>
            <w:r w:rsidRPr="00167BF3">
              <w:rPr>
                <w:rFonts w:ascii="Times New Roman" w:eastAsia="Times New Roman" w:hAnsi="Times New Roman" w:cs="Times New Roman"/>
                <w:lang w:val="hu-HU"/>
              </w:rPr>
              <w:t>Ezután a szokásos adag kéthetente 20 mg.</w:t>
            </w:r>
          </w:p>
        </w:tc>
        <w:tc>
          <w:tcPr>
            <w:tcW w:w="3296" w:type="dxa"/>
            <w:tcBorders>
              <w:top w:val="single" w:sz="5" w:space="0" w:color="000000"/>
              <w:left w:val="single" w:sz="5" w:space="0" w:color="000000"/>
              <w:bottom w:val="single" w:sz="5" w:space="0" w:color="000000"/>
              <w:right w:val="single" w:sz="5" w:space="0" w:color="000000"/>
            </w:tcBorders>
          </w:tcPr>
          <w:p w14:paraId="57BF93BF" w14:textId="5F4C9537" w:rsidR="00604DFB" w:rsidRPr="00167BF3" w:rsidRDefault="00604DFB" w:rsidP="007E7849">
            <w:pPr>
              <w:pStyle w:val="TableParagraph"/>
              <w:spacing w:line="246" w:lineRule="exact"/>
              <w:ind w:left="102" w:right="57"/>
              <w:rPr>
                <w:rFonts w:ascii="Times New Roman" w:eastAsia="Times New Roman" w:hAnsi="Times New Roman" w:cs="Times New Roman"/>
                <w:lang w:val="hu-HU"/>
              </w:rPr>
            </w:pPr>
            <w:r w:rsidRPr="00167BF3">
              <w:rPr>
                <w:rFonts w:ascii="Times New Roman" w:eastAsia="Times New Roman" w:hAnsi="Times New Roman" w:cs="Times New Roman"/>
                <w:lang w:val="hu-HU"/>
              </w:rPr>
              <w:t>Kezelőorvosa heti 20 mg-ra emelheti az adagolás gyakoriságát.</w:t>
            </w:r>
          </w:p>
        </w:tc>
      </w:tr>
    </w:tbl>
    <w:p w14:paraId="591CE3C9" w14:textId="77777777" w:rsidR="0037407E" w:rsidRDefault="0037407E" w:rsidP="0037407E">
      <w:pPr>
        <w:spacing w:before="7" w:line="90" w:lineRule="exact"/>
        <w:rPr>
          <w:sz w:val="9"/>
          <w:szCs w:val="9"/>
          <w:lang w:val="hu-HU"/>
        </w:rPr>
      </w:pPr>
    </w:p>
    <w:p w14:paraId="445B7D7F" w14:textId="77777777" w:rsidR="0037407E" w:rsidRDefault="0037407E" w:rsidP="0037407E">
      <w:pPr>
        <w:spacing w:before="10"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2873"/>
        <w:gridCol w:w="3119"/>
        <w:gridCol w:w="3296"/>
      </w:tblGrid>
      <w:tr w:rsidR="0037407E" w14:paraId="2A6814B6" w14:textId="77777777" w:rsidTr="007E7849">
        <w:tc>
          <w:tcPr>
            <w:tcW w:w="9288" w:type="dxa"/>
            <w:gridSpan w:val="3"/>
            <w:tcBorders>
              <w:top w:val="single" w:sz="5" w:space="0" w:color="000000"/>
              <w:left w:val="single" w:sz="5" w:space="0" w:color="000000"/>
              <w:bottom w:val="single" w:sz="5" w:space="0" w:color="000000"/>
              <w:right w:val="single" w:sz="5" w:space="0" w:color="000000"/>
            </w:tcBorders>
          </w:tcPr>
          <w:p w14:paraId="04EA450F" w14:textId="77777777" w:rsidR="0037407E" w:rsidRDefault="0037407E" w:rsidP="007E7849">
            <w:pPr>
              <w:pStyle w:val="TableParagraph"/>
              <w:spacing w:line="252" w:lineRule="exact"/>
              <w:ind w:left="102"/>
              <w:rPr>
                <w:rFonts w:ascii="Times New Roman" w:eastAsia="Times New Roman" w:hAnsi="Times New Roman" w:cs="Times New Roman"/>
                <w:lang w:val="hu-HU"/>
              </w:rPr>
            </w:pPr>
            <w:r>
              <w:rPr>
                <w:rFonts w:ascii="Times New Roman" w:hAnsi="Times New Roman" w:cs="Times New Roman"/>
                <w:b/>
                <w:bCs/>
                <w:lang w:val="hu-HU"/>
              </w:rPr>
              <w:t>Kolitisz ulceróza</w:t>
            </w:r>
          </w:p>
        </w:tc>
      </w:tr>
      <w:tr w:rsidR="0037407E" w14:paraId="22637839" w14:textId="77777777" w:rsidTr="00A172D5">
        <w:tc>
          <w:tcPr>
            <w:tcW w:w="2873" w:type="dxa"/>
            <w:tcBorders>
              <w:top w:val="single" w:sz="5" w:space="0" w:color="000000"/>
              <w:left w:val="single" w:sz="5" w:space="0" w:color="000000"/>
              <w:bottom w:val="single" w:sz="5" w:space="0" w:color="000000"/>
              <w:right w:val="single" w:sz="5" w:space="0" w:color="000000"/>
            </w:tcBorders>
          </w:tcPr>
          <w:p w14:paraId="75EF4FCC"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119" w:type="dxa"/>
            <w:tcBorders>
              <w:top w:val="single" w:sz="5" w:space="0" w:color="000000"/>
              <w:left w:val="single" w:sz="5" w:space="0" w:color="000000"/>
              <w:bottom w:val="single" w:sz="5" w:space="0" w:color="000000"/>
              <w:right w:val="single" w:sz="5" w:space="0" w:color="000000"/>
            </w:tcBorders>
          </w:tcPr>
          <w:p w14:paraId="2863A4BA" w14:textId="3DF3FDC9" w:rsidR="0037407E" w:rsidRDefault="0037407E" w:rsidP="00545FC6">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w:t>
            </w:r>
            <w:r w:rsidR="00BE2389">
              <w:rPr>
                <w:rFonts w:ascii="Times New Roman" w:eastAsia="Times New Roman" w:hAnsi="Times New Roman" w:cs="Times New Roman"/>
                <w:b/>
                <w:bCs/>
                <w:spacing w:val="-1"/>
                <w:lang w:val="hu-HU"/>
              </w:rPr>
              <w:t xml:space="preserve"> </w:t>
            </w:r>
            <w:r>
              <w:rPr>
                <w:rFonts w:ascii="Times New Roman" w:eastAsia="Times New Roman" w:hAnsi="Times New Roman" w:cs="Times New Roman"/>
                <w:b/>
                <w:bCs/>
                <w:lang w:val="hu-HU"/>
              </w:rPr>
              <w:t>alkalmazni?</w:t>
            </w:r>
          </w:p>
        </w:tc>
        <w:tc>
          <w:tcPr>
            <w:tcW w:w="3296" w:type="dxa"/>
            <w:tcBorders>
              <w:top w:val="single" w:sz="5" w:space="0" w:color="000000"/>
              <w:left w:val="single" w:sz="5" w:space="0" w:color="000000"/>
              <w:bottom w:val="single" w:sz="5" w:space="0" w:color="000000"/>
              <w:right w:val="single" w:sz="5" w:space="0" w:color="000000"/>
            </w:tcBorders>
          </w:tcPr>
          <w:p w14:paraId="11B330CA"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37407E" w:rsidRPr="00BE4D18" w14:paraId="26A4E565" w14:textId="77777777" w:rsidTr="00A172D5">
        <w:tc>
          <w:tcPr>
            <w:tcW w:w="2873" w:type="dxa"/>
            <w:tcBorders>
              <w:top w:val="single" w:sz="5" w:space="0" w:color="000000"/>
              <w:left w:val="single" w:sz="5" w:space="0" w:color="000000"/>
              <w:bottom w:val="single" w:sz="5" w:space="0" w:color="000000"/>
              <w:right w:val="single" w:sz="5" w:space="0" w:color="000000"/>
            </w:tcBorders>
          </w:tcPr>
          <w:p w14:paraId="5D07D715" w14:textId="77777777" w:rsidR="0037407E" w:rsidRDefault="0037407E" w:rsidP="007E784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Felnőttek</w:t>
            </w:r>
          </w:p>
        </w:tc>
        <w:tc>
          <w:tcPr>
            <w:tcW w:w="3119" w:type="dxa"/>
            <w:tcBorders>
              <w:top w:val="single" w:sz="5" w:space="0" w:color="000000"/>
              <w:left w:val="single" w:sz="5" w:space="0" w:color="000000"/>
              <w:bottom w:val="single" w:sz="5" w:space="0" w:color="000000"/>
              <w:right w:val="single" w:sz="5" w:space="0" w:color="000000"/>
            </w:tcBorders>
          </w:tcPr>
          <w:p w14:paraId="10D31933" w14:textId="0E256747" w:rsidR="0037407E" w:rsidRDefault="0037407E" w:rsidP="007E784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A kezdő adag 160 mg (</w:t>
            </w:r>
            <w:r w:rsidR="002B2F88" w:rsidRPr="002B2F88">
              <w:rPr>
                <w:rFonts w:ascii="Times New Roman" w:eastAsia="Times New Roman" w:hAnsi="Times New Roman" w:cs="Times New Roman"/>
                <w:spacing w:val="-1"/>
                <w:lang w:val="hu-HU"/>
              </w:rPr>
              <w:t>két 80 mg-os injekció</w:t>
            </w:r>
            <w:r>
              <w:rPr>
                <w:rFonts w:ascii="Times New Roman" w:eastAsia="Times New Roman" w:hAnsi="Times New Roman" w:cs="Times New Roman"/>
                <w:spacing w:val="-1"/>
                <w:lang w:val="hu-HU"/>
              </w:rPr>
              <w:t xml:space="preserve"> egyetlen napon, vagy napi </w:t>
            </w:r>
            <w:r w:rsidR="002B2F88" w:rsidRPr="002B2F88">
              <w:rPr>
                <w:rFonts w:ascii="Times New Roman" w:eastAsia="Times New Roman" w:hAnsi="Times New Roman" w:cs="Times New Roman"/>
                <w:spacing w:val="-1"/>
                <w:lang w:val="hu-HU"/>
              </w:rPr>
              <w:t>egy 80 mg-os injekció</w:t>
            </w:r>
            <w:r>
              <w:rPr>
                <w:rFonts w:ascii="Times New Roman" w:eastAsia="Times New Roman" w:hAnsi="Times New Roman" w:cs="Times New Roman"/>
                <w:spacing w:val="-1"/>
                <w:lang w:val="hu-HU"/>
              </w:rPr>
              <w:t xml:space="preserve"> két egymást követő napon), amelyet két héttel később 80 mg követ (</w:t>
            </w:r>
            <w:r w:rsidR="002B2F88" w:rsidRPr="002B2F88">
              <w:rPr>
                <w:rFonts w:ascii="Times New Roman" w:eastAsia="Times New Roman" w:hAnsi="Times New Roman" w:cs="Times New Roman"/>
                <w:spacing w:val="-1"/>
                <w:lang w:val="hu-HU"/>
              </w:rPr>
              <w:t>egy 80 mg-os injekció</w:t>
            </w:r>
            <w:r>
              <w:rPr>
                <w:rFonts w:ascii="Times New Roman" w:eastAsia="Times New Roman" w:hAnsi="Times New Roman" w:cs="Times New Roman"/>
                <w:spacing w:val="-1"/>
                <w:lang w:val="hu-HU"/>
              </w:rPr>
              <w:t xml:space="preserve"> egyetlen napon).</w:t>
            </w:r>
          </w:p>
          <w:p w14:paraId="0D7A6178" w14:textId="77777777" w:rsidR="0037407E" w:rsidRDefault="0037407E" w:rsidP="007E7849">
            <w:pPr>
              <w:pStyle w:val="TableParagraph"/>
              <w:spacing w:before="17" w:line="240" w:lineRule="exact"/>
              <w:rPr>
                <w:sz w:val="24"/>
                <w:szCs w:val="24"/>
                <w:lang w:val="hu-HU"/>
              </w:rPr>
            </w:pPr>
          </w:p>
          <w:p w14:paraId="2AF9E4F4" w14:textId="5ACE7CE0" w:rsidR="0037407E" w:rsidRDefault="0037407E" w:rsidP="007E7849">
            <w:pPr>
              <w:pStyle w:val="TableParagraph"/>
              <w:spacing w:line="252"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lastRenderedPageBreak/>
              <w:t xml:space="preserve">Ezután a szokásos adag 40 mg </w:t>
            </w:r>
            <w:r w:rsidR="005838EC">
              <w:rPr>
                <w:rFonts w:ascii="Times New Roman" w:hAnsi="Times New Roman" w:cs="Times New Roman"/>
                <w:lang w:val="hu-HU"/>
              </w:rPr>
              <w:t>kéthetente</w:t>
            </w:r>
            <w:r>
              <w:rPr>
                <w:rFonts w:ascii="Times New Roman" w:eastAsia="Times New Roman" w:hAnsi="Times New Roman" w:cs="Times New Roman"/>
                <w:spacing w:val="-1"/>
                <w:lang w:val="hu-HU"/>
              </w:rPr>
              <w:t>.</w:t>
            </w:r>
          </w:p>
        </w:tc>
        <w:tc>
          <w:tcPr>
            <w:tcW w:w="3296" w:type="dxa"/>
            <w:tcBorders>
              <w:top w:val="single" w:sz="5" w:space="0" w:color="000000"/>
              <w:left w:val="single" w:sz="5" w:space="0" w:color="000000"/>
              <w:bottom w:val="single" w:sz="5" w:space="0" w:color="000000"/>
              <w:right w:val="single" w:sz="5" w:space="0" w:color="000000"/>
            </w:tcBorders>
          </w:tcPr>
          <w:p w14:paraId="4FD12C7F" w14:textId="77777777" w:rsidR="0037407E" w:rsidRDefault="0037407E" w:rsidP="007E784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lastRenderedPageBreak/>
              <w:t>Kezelőorvosa heti 40 mg-ra vagy kéthetente 80 mg-ra emelheti az adagot.</w:t>
            </w:r>
          </w:p>
        </w:tc>
      </w:tr>
      <w:tr w:rsidR="0037407E" w:rsidRPr="00D436BA" w14:paraId="0A3024F4" w14:textId="77777777" w:rsidTr="00A172D5">
        <w:tc>
          <w:tcPr>
            <w:tcW w:w="2873" w:type="dxa"/>
            <w:tcBorders>
              <w:top w:val="single" w:sz="5" w:space="0" w:color="000000"/>
              <w:left w:val="single" w:sz="5" w:space="0" w:color="000000"/>
              <w:bottom w:val="single" w:sz="5" w:space="0" w:color="000000"/>
              <w:right w:val="single" w:sz="5" w:space="0" w:color="000000"/>
            </w:tcBorders>
          </w:tcPr>
          <w:p w14:paraId="1F0124B1" w14:textId="77777777" w:rsidR="0037407E" w:rsidRPr="0050547A" w:rsidRDefault="0037407E" w:rsidP="007E7849">
            <w:pPr>
              <w:pStyle w:val="TableParagraph"/>
              <w:spacing w:line="246" w:lineRule="exact"/>
              <w:ind w:left="102" w:right="57"/>
              <w:rPr>
                <w:rFonts w:ascii="Times New Roman" w:eastAsia="Times New Roman" w:hAnsi="Times New Roman" w:cs="Times New Roman"/>
                <w:spacing w:val="-1"/>
                <w:lang w:val="hu-HU"/>
              </w:rPr>
            </w:pPr>
            <w:r w:rsidRPr="00167BF3">
              <w:rPr>
                <w:rFonts w:ascii="Times New Roman" w:hAnsi="Times New Roman" w:cs="Times New Roman"/>
                <w:lang w:val="hu-HU"/>
              </w:rPr>
              <w:t>6 éves kor feletti, 40 kg</w:t>
            </w:r>
            <w:r w:rsidRPr="00167BF3">
              <w:rPr>
                <w:rFonts w:ascii="Times New Roman" w:hAnsi="Times New Roman" w:cs="Times New Roman"/>
                <w:lang w:val="hu-HU"/>
              </w:rPr>
              <w:noBreakHyphen/>
              <w:t>nál kisebb testtömegű gyermekek és serdülők</w:t>
            </w:r>
          </w:p>
        </w:tc>
        <w:tc>
          <w:tcPr>
            <w:tcW w:w="3119" w:type="dxa"/>
            <w:tcBorders>
              <w:top w:val="single" w:sz="5" w:space="0" w:color="000000"/>
              <w:left w:val="single" w:sz="5" w:space="0" w:color="000000"/>
              <w:bottom w:val="single" w:sz="5" w:space="0" w:color="000000"/>
              <w:right w:val="single" w:sz="5" w:space="0" w:color="000000"/>
            </w:tcBorders>
          </w:tcPr>
          <w:p w14:paraId="09E95B58" w14:textId="0ECF1D7C" w:rsidR="0037407E" w:rsidRPr="004E2591" w:rsidRDefault="0037407E" w:rsidP="007E7849">
            <w:pPr>
              <w:pStyle w:val="TableParagraph"/>
              <w:spacing w:line="246" w:lineRule="exact"/>
              <w:ind w:left="102" w:right="57"/>
              <w:rPr>
                <w:rFonts w:ascii="Times New Roman" w:eastAsia="Times New Roman" w:hAnsi="Times New Roman" w:cs="Times New Roman"/>
                <w:spacing w:val="-1"/>
                <w:lang w:val="hu-HU"/>
              </w:rPr>
            </w:pPr>
            <w:r w:rsidRPr="004E2591">
              <w:rPr>
                <w:rFonts w:ascii="Times New Roman" w:eastAsia="Times New Roman" w:hAnsi="Times New Roman" w:cs="Times New Roman"/>
                <w:spacing w:val="-1"/>
                <w:lang w:val="hu-HU"/>
              </w:rPr>
              <w:t>A kezdő adag 80 mg (</w:t>
            </w:r>
            <w:r w:rsidR="002B2F88" w:rsidRPr="002B2F88">
              <w:rPr>
                <w:rFonts w:ascii="Times New Roman" w:eastAsia="Times New Roman" w:hAnsi="Times New Roman" w:cs="Times New Roman"/>
                <w:spacing w:val="-1"/>
                <w:lang w:val="hu-HU"/>
              </w:rPr>
              <w:t>egy 80 mg-os injekció</w:t>
            </w:r>
            <w:r w:rsidR="002B2F88">
              <w:rPr>
                <w:rFonts w:ascii="Times New Roman" w:eastAsia="Times New Roman" w:hAnsi="Times New Roman" w:cs="Times New Roman"/>
                <w:spacing w:val="-1"/>
                <w:lang w:val="hu-HU"/>
              </w:rPr>
              <w:t xml:space="preserve"> </w:t>
            </w:r>
            <w:r w:rsidRPr="004E2591">
              <w:rPr>
                <w:rFonts w:ascii="Times New Roman" w:eastAsia="Times New Roman" w:hAnsi="Times New Roman" w:cs="Times New Roman"/>
                <w:spacing w:val="-1"/>
                <w:lang w:val="hu-HU"/>
              </w:rPr>
              <w:t>formájában egyetlen napon), melyet két héttel később 40 mg (egy 40 mg-os injekció formájában) követ.</w:t>
            </w:r>
          </w:p>
          <w:p w14:paraId="5861E58E" w14:textId="77777777" w:rsidR="0037407E" w:rsidRPr="004E2591" w:rsidRDefault="0037407E" w:rsidP="007E7849">
            <w:pPr>
              <w:pStyle w:val="TableParagraph"/>
              <w:spacing w:line="246" w:lineRule="exact"/>
              <w:ind w:left="102" w:right="57"/>
              <w:rPr>
                <w:rFonts w:ascii="Times New Roman" w:eastAsia="Times New Roman" w:hAnsi="Times New Roman" w:cs="Times New Roman"/>
                <w:spacing w:val="-1"/>
                <w:lang w:val="hu-HU"/>
              </w:rPr>
            </w:pPr>
          </w:p>
          <w:p w14:paraId="3EB06755" w14:textId="77777777" w:rsidR="0037407E" w:rsidRPr="0050547A" w:rsidRDefault="0037407E" w:rsidP="007E7849">
            <w:pPr>
              <w:pStyle w:val="TableParagraph"/>
              <w:spacing w:line="246" w:lineRule="exact"/>
              <w:ind w:left="102" w:right="57"/>
              <w:rPr>
                <w:rFonts w:ascii="Times New Roman" w:eastAsia="Times New Roman" w:hAnsi="Times New Roman" w:cs="Times New Roman"/>
                <w:spacing w:val="-1"/>
                <w:lang w:val="hu-HU"/>
              </w:rPr>
            </w:pPr>
            <w:r w:rsidRPr="004E2591">
              <w:rPr>
                <w:rFonts w:ascii="Times New Roman" w:eastAsia="Times New Roman" w:hAnsi="Times New Roman" w:cs="Times New Roman"/>
                <w:spacing w:val="-1"/>
                <w:lang w:val="hu-HU"/>
              </w:rPr>
              <w:t>Ezt követően a szokásos adag 40 mg kéthetente.</w:t>
            </w:r>
          </w:p>
        </w:tc>
        <w:tc>
          <w:tcPr>
            <w:tcW w:w="3296" w:type="dxa"/>
            <w:tcBorders>
              <w:top w:val="single" w:sz="5" w:space="0" w:color="000000"/>
              <w:left w:val="single" w:sz="5" w:space="0" w:color="000000"/>
              <w:bottom w:val="single" w:sz="5" w:space="0" w:color="000000"/>
              <w:right w:val="single" w:sz="5" w:space="0" w:color="000000"/>
            </w:tcBorders>
          </w:tcPr>
          <w:p w14:paraId="1078ED31" w14:textId="77777777" w:rsidR="0037407E" w:rsidRPr="0050547A" w:rsidRDefault="0037407E" w:rsidP="007E7849">
            <w:pPr>
              <w:pStyle w:val="TableParagraph"/>
              <w:spacing w:line="246" w:lineRule="exact"/>
              <w:ind w:left="102" w:right="57"/>
              <w:rPr>
                <w:rFonts w:ascii="Times New Roman" w:eastAsia="Times New Roman" w:hAnsi="Times New Roman" w:cs="Times New Roman"/>
                <w:spacing w:val="-1"/>
                <w:lang w:val="hu-HU"/>
              </w:rPr>
            </w:pPr>
            <w:r w:rsidRPr="00167BF3">
              <w:rPr>
                <w:rFonts w:ascii="Times New Roman" w:hAnsi="Times New Roman" w:cs="Times New Roman"/>
                <w:lang w:val="hu-HU"/>
              </w:rPr>
              <w:t>A Yuflyma alkalmazását a szokásos adagban kell folytatnia, a 18 éves kor betöltése után is.</w:t>
            </w:r>
          </w:p>
        </w:tc>
      </w:tr>
      <w:tr w:rsidR="0037407E" w:rsidRPr="00D436BA" w14:paraId="0F3C64B8" w14:textId="77777777" w:rsidTr="00A172D5">
        <w:tc>
          <w:tcPr>
            <w:tcW w:w="2873" w:type="dxa"/>
            <w:tcBorders>
              <w:top w:val="single" w:sz="5" w:space="0" w:color="000000"/>
              <w:left w:val="single" w:sz="5" w:space="0" w:color="000000"/>
              <w:bottom w:val="single" w:sz="5" w:space="0" w:color="000000"/>
              <w:right w:val="single" w:sz="5" w:space="0" w:color="000000"/>
            </w:tcBorders>
          </w:tcPr>
          <w:p w14:paraId="7406684C" w14:textId="77777777" w:rsidR="0037407E" w:rsidRPr="0050547A" w:rsidRDefault="0037407E" w:rsidP="007E7849">
            <w:pPr>
              <w:pStyle w:val="TableParagraph"/>
              <w:spacing w:line="246" w:lineRule="exact"/>
              <w:ind w:left="102" w:right="57"/>
              <w:rPr>
                <w:rFonts w:ascii="Times New Roman" w:eastAsia="Times New Roman" w:hAnsi="Times New Roman" w:cs="Times New Roman"/>
                <w:spacing w:val="-1"/>
                <w:lang w:val="hu-HU"/>
              </w:rPr>
            </w:pPr>
            <w:r w:rsidRPr="00167BF3">
              <w:rPr>
                <w:rFonts w:ascii="Times New Roman" w:hAnsi="Times New Roman" w:cs="Times New Roman"/>
                <w:lang w:val="hu-HU"/>
              </w:rPr>
              <w:t>6 éves kor feletti, 40 kg</w:t>
            </w:r>
            <w:r w:rsidRPr="00167BF3">
              <w:rPr>
                <w:rFonts w:ascii="Times New Roman" w:hAnsi="Times New Roman" w:cs="Times New Roman"/>
                <w:lang w:val="hu-HU"/>
              </w:rPr>
              <w:noBreakHyphen/>
              <w:t>os vagy annál nagyobb testtömegű gyermekek és serdülők</w:t>
            </w:r>
          </w:p>
        </w:tc>
        <w:tc>
          <w:tcPr>
            <w:tcW w:w="3119" w:type="dxa"/>
            <w:tcBorders>
              <w:top w:val="single" w:sz="5" w:space="0" w:color="000000"/>
              <w:left w:val="single" w:sz="5" w:space="0" w:color="000000"/>
              <w:bottom w:val="single" w:sz="5" w:space="0" w:color="000000"/>
              <w:right w:val="single" w:sz="5" w:space="0" w:color="000000"/>
            </w:tcBorders>
          </w:tcPr>
          <w:p w14:paraId="34DC2CA3" w14:textId="6083BD66" w:rsidR="0037407E" w:rsidRPr="004E2591" w:rsidRDefault="0037407E" w:rsidP="007E7849">
            <w:pPr>
              <w:pStyle w:val="TableParagraph"/>
              <w:spacing w:line="246" w:lineRule="exact"/>
              <w:ind w:left="102" w:right="57"/>
              <w:rPr>
                <w:rFonts w:ascii="Times New Roman" w:eastAsia="Times New Roman" w:hAnsi="Times New Roman" w:cs="Times New Roman"/>
                <w:spacing w:val="-1"/>
                <w:lang w:val="hu-HU"/>
              </w:rPr>
            </w:pPr>
            <w:r w:rsidRPr="004E2591">
              <w:rPr>
                <w:rFonts w:ascii="Times New Roman" w:eastAsia="Times New Roman" w:hAnsi="Times New Roman" w:cs="Times New Roman"/>
                <w:spacing w:val="-1"/>
                <w:lang w:val="hu-HU"/>
              </w:rPr>
              <w:t>A kezdő adag 160 mg (</w:t>
            </w:r>
            <w:r w:rsidR="002B2F88" w:rsidRPr="002B2F88">
              <w:rPr>
                <w:rFonts w:ascii="Times New Roman" w:eastAsia="Times New Roman" w:hAnsi="Times New Roman" w:cs="Times New Roman"/>
                <w:spacing w:val="-1"/>
                <w:lang w:val="hu-HU"/>
              </w:rPr>
              <w:t>két 80 mg-os injekció</w:t>
            </w:r>
            <w:r w:rsidRPr="004E2591">
              <w:rPr>
                <w:rFonts w:ascii="Times New Roman" w:eastAsia="Times New Roman" w:hAnsi="Times New Roman" w:cs="Times New Roman"/>
                <w:spacing w:val="-1"/>
                <w:lang w:val="hu-HU"/>
              </w:rPr>
              <w:t xml:space="preserve"> egyetlen napon vagy </w:t>
            </w:r>
            <w:r w:rsidR="002B2F88" w:rsidRPr="002B2F88">
              <w:rPr>
                <w:rFonts w:ascii="Times New Roman" w:eastAsia="Times New Roman" w:hAnsi="Times New Roman" w:cs="Times New Roman"/>
                <w:spacing w:val="-1"/>
                <w:lang w:val="hu-HU"/>
              </w:rPr>
              <w:t>egy 80 mg-os injekció</w:t>
            </w:r>
            <w:r w:rsidRPr="004E2591">
              <w:rPr>
                <w:rFonts w:ascii="Times New Roman" w:eastAsia="Times New Roman" w:hAnsi="Times New Roman" w:cs="Times New Roman"/>
                <w:spacing w:val="-1"/>
                <w:lang w:val="hu-HU"/>
              </w:rPr>
              <w:t xml:space="preserve"> két egymást követő napon), majd két hét múlva 80 mg (</w:t>
            </w:r>
            <w:r w:rsidR="002B2F88" w:rsidRPr="002B2F88">
              <w:rPr>
                <w:rFonts w:ascii="Times New Roman" w:eastAsia="Times New Roman" w:hAnsi="Times New Roman" w:cs="Times New Roman"/>
                <w:spacing w:val="-1"/>
                <w:lang w:val="hu-HU"/>
              </w:rPr>
              <w:t>egy 80 mg-os injekció</w:t>
            </w:r>
            <w:r w:rsidRPr="004E2591">
              <w:rPr>
                <w:rFonts w:ascii="Times New Roman" w:eastAsia="Times New Roman" w:hAnsi="Times New Roman" w:cs="Times New Roman"/>
                <w:spacing w:val="-1"/>
                <w:lang w:val="hu-HU"/>
              </w:rPr>
              <w:t xml:space="preserve"> egyetlen napon).</w:t>
            </w:r>
          </w:p>
          <w:p w14:paraId="7DA93AF5" w14:textId="77777777" w:rsidR="0037407E" w:rsidRPr="004E2591" w:rsidRDefault="0037407E" w:rsidP="007E7849">
            <w:pPr>
              <w:pStyle w:val="TableParagraph"/>
              <w:spacing w:line="246" w:lineRule="exact"/>
              <w:ind w:left="102" w:right="57"/>
              <w:rPr>
                <w:rFonts w:ascii="Times New Roman" w:eastAsia="Times New Roman" w:hAnsi="Times New Roman" w:cs="Times New Roman"/>
                <w:spacing w:val="-1"/>
                <w:lang w:val="hu-HU"/>
              </w:rPr>
            </w:pPr>
          </w:p>
          <w:p w14:paraId="6047CFB9" w14:textId="77777777" w:rsidR="0037407E" w:rsidRPr="0050547A" w:rsidRDefault="0037407E" w:rsidP="007E7849">
            <w:pPr>
              <w:pStyle w:val="TableParagraph"/>
              <w:spacing w:line="246" w:lineRule="exact"/>
              <w:ind w:left="102" w:right="57"/>
              <w:rPr>
                <w:rFonts w:ascii="Times New Roman" w:eastAsia="Times New Roman" w:hAnsi="Times New Roman" w:cs="Times New Roman"/>
                <w:spacing w:val="-1"/>
                <w:lang w:val="hu-HU"/>
              </w:rPr>
            </w:pPr>
            <w:r w:rsidRPr="004E2591">
              <w:rPr>
                <w:rFonts w:ascii="Times New Roman" w:eastAsia="Times New Roman" w:hAnsi="Times New Roman" w:cs="Times New Roman"/>
                <w:spacing w:val="-1"/>
                <w:lang w:val="hu-HU"/>
              </w:rPr>
              <w:t>Ezt követően a szokásos adag 80 mg kéthetente.</w:t>
            </w:r>
          </w:p>
        </w:tc>
        <w:tc>
          <w:tcPr>
            <w:tcW w:w="3296" w:type="dxa"/>
            <w:tcBorders>
              <w:top w:val="single" w:sz="5" w:space="0" w:color="000000"/>
              <w:left w:val="single" w:sz="5" w:space="0" w:color="000000"/>
              <w:bottom w:val="single" w:sz="5" w:space="0" w:color="000000"/>
              <w:right w:val="single" w:sz="5" w:space="0" w:color="000000"/>
            </w:tcBorders>
          </w:tcPr>
          <w:p w14:paraId="3DF8DCD3" w14:textId="77777777" w:rsidR="0037407E" w:rsidRPr="0050547A" w:rsidRDefault="0037407E" w:rsidP="007E7849">
            <w:pPr>
              <w:pStyle w:val="TableParagraph"/>
              <w:spacing w:line="246" w:lineRule="exact"/>
              <w:ind w:left="102" w:right="57"/>
              <w:rPr>
                <w:rFonts w:ascii="Times New Roman" w:eastAsia="Times New Roman" w:hAnsi="Times New Roman" w:cs="Times New Roman"/>
                <w:spacing w:val="-1"/>
                <w:lang w:val="hu-HU"/>
              </w:rPr>
            </w:pPr>
            <w:r w:rsidRPr="00167BF3">
              <w:rPr>
                <w:rFonts w:ascii="Times New Roman" w:hAnsi="Times New Roman" w:cs="Times New Roman"/>
                <w:lang w:val="hu-HU"/>
              </w:rPr>
              <w:t>A Yuflyma alkalmazását a szokásos adagban kell folytatnia, a 18 éves kor betöltése után is.</w:t>
            </w:r>
          </w:p>
        </w:tc>
      </w:tr>
    </w:tbl>
    <w:p w14:paraId="1AF0A70F" w14:textId="77777777" w:rsidR="0037407E" w:rsidRDefault="0037407E" w:rsidP="0037407E">
      <w:pPr>
        <w:spacing w:before="10"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2873"/>
        <w:gridCol w:w="3119"/>
        <w:gridCol w:w="3296"/>
      </w:tblGrid>
      <w:tr w:rsidR="0037407E" w:rsidRPr="00BE4D18" w14:paraId="169C92AC" w14:textId="77777777" w:rsidTr="007E7849">
        <w:tc>
          <w:tcPr>
            <w:tcW w:w="9288" w:type="dxa"/>
            <w:gridSpan w:val="3"/>
            <w:tcBorders>
              <w:top w:val="single" w:sz="5" w:space="0" w:color="000000"/>
              <w:left w:val="single" w:sz="5" w:space="0" w:color="000000"/>
              <w:bottom w:val="single" w:sz="5" w:space="0" w:color="000000"/>
              <w:right w:val="single" w:sz="5" w:space="0" w:color="000000"/>
            </w:tcBorders>
          </w:tcPr>
          <w:p w14:paraId="1D45B77A" w14:textId="77777777" w:rsidR="0037407E" w:rsidRDefault="0037407E" w:rsidP="007E7849">
            <w:pPr>
              <w:pStyle w:val="TableParagraph"/>
              <w:spacing w:line="252"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Nem fertőzéses eredetű szemgyulladás (uveitisz)</w:t>
            </w:r>
          </w:p>
        </w:tc>
      </w:tr>
      <w:tr w:rsidR="0037407E" w14:paraId="72B4F90F" w14:textId="77777777" w:rsidTr="00A172D5">
        <w:tc>
          <w:tcPr>
            <w:tcW w:w="2873" w:type="dxa"/>
            <w:tcBorders>
              <w:top w:val="single" w:sz="5" w:space="0" w:color="000000"/>
              <w:left w:val="single" w:sz="5" w:space="0" w:color="000000"/>
              <w:bottom w:val="single" w:sz="5" w:space="0" w:color="000000"/>
              <w:right w:val="single" w:sz="5" w:space="0" w:color="000000"/>
            </w:tcBorders>
          </w:tcPr>
          <w:p w14:paraId="0FB391AD"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119" w:type="dxa"/>
            <w:tcBorders>
              <w:top w:val="single" w:sz="5" w:space="0" w:color="000000"/>
              <w:left w:val="single" w:sz="5" w:space="0" w:color="000000"/>
              <w:bottom w:val="single" w:sz="5" w:space="0" w:color="000000"/>
              <w:right w:val="single" w:sz="5" w:space="0" w:color="000000"/>
            </w:tcBorders>
          </w:tcPr>
          <w:p w14:paraId="49137903" w14:textId="545BEBE6" w:rsidR="0037407E" w:rsidRDefault="0037407E" w:rsidP="00545FC6">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w:t>
            </w:r>
            <w:r w:rsidR="00BE2389">
              <w:rPr>
                <w:rFonts w:ascii="Times New Roman" w:eastAsia="Times New Roman" w:hAnsi="Times New Roman" w:cs="Times New Roman"/>
                <w:b/>
                <w:bCs/>
                <w:spacing w:val="-1"/>
                <w:lang w:val="hu-HU"/>
              </w:rPr>
              <w:t xml:space="preserve"> </w:t>
            </w:r>
            <w:r>
              <w:rPr>
                <w:rFonts w:ascii="Times New Roman" w:eastAsia="Times New Roman" w:hAnsi="Times New Roman" w:cs="Times New Roman"/>
                <w:b/>
                <w:bCs/>
                <w:lang w:val="hu-HU"/>
              </w:rPr>
              <w:t>alkalmazni?</w:t>
            </w:r>
          </w:p>
        </w:tc>
        <w:tc>
          <w:tcPr>
            <w:tcW w:w="3296" w:type="dxa"/>
            <w:tcBorders>
              <w:top w:val="single" w:sz="5" w:space="0" w:color="000000"/>
              <w:left w:val="single" w:sz="5" w:space="0" w:color="000000"/>
              <w:bottom w:val="single" w:sz="5" w:space="0" w:color="000000"/>
              <w:right w:val="single" w:sz="5" w:space="0" w:color="000000"/>
            </w:tcBorders>
          </w:tcPr>
          <w:p w14:paraId="0B165484"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37407E" w14:paraId="73EC643A" w14:textId="77777777" w:rsidTr="00A172D5">
        <w:tc>
          <w:tcPr>
            <w:tcW w:w="2873" w:type="dxa"/>
            <w:tcBorders>
              <w:top w:val="single" w:sz="5" w:space="0" w:color="000000"/>
              <w:left w:val="single" w:sz="5" w:space="0" w:color="000000"/>
              <w:bottom w:val="single" w:sz="5" w:space="0" w:color="000000"/>
              <w:right w:val="single" w:sz="5" w:space="0" w:color="000000"/>
            </w:tcBorders>
          </w:tcPr>
          <w:p w14:paraId="23C39BA1" w14:textId="77777777" w:rsidR="0037407E" w:rsidRDefault="0037407E" w:rsidP="007E784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Felnőttek</w:t>
            </w:r>
          </w:p>
        </w:tc>
        <w:tc>
          <w:tcPr>
            <w:tcW w:w="3119" w:type="dxa"/>
            <w:tcBorders>
              <w:top w:val="single" w:sz="5" w:space="0" w:color="000000"/>
              <w:left w:val="single" w:sz="5" w:space="0" w:color="000000"/>
              <w:bottom w:val="single" w:sz="5" w:space="0" w:color="000000"/>
              <w:right w:val="single" w:sz="5" w:space="0" w:color="000000"/>
            </w:tcBorders>
          </w:tcPr>
          <w:p w14:paraId="2236279D" w14:textId="3E99884C" w:rsidR="0037407E" w:rsidRDefault="0037407E" w:rsidP="007E784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A kezdő adag 80 mg (</w:t>
            </w:r>
            <w:r w:rsidR="002B2F88" w:rsidRPr="002B2F88">
              <w:rPr>
                <w:rFonts w:ascii="Times New Roman" w:eastAsia="Times New Roman" w:hAnsi="Times New Roman" w:cs="Times New Roman"/>
                <w:spacing w:val="-1"/>
                <w:lang w:val="hu-HU"/>
              </w:rPr>
              <w:t>egy 80 mg-os injekció</w:t>
            </w:r>
            <w:r w:rsidR="002B2F88">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 xml:space="preserve">egyetlen napon), majd 40 mg </w:t>
            </w:r>
            <w:r w:rsidR="005838EC">
              <w:rPr>
                <w:rFonts w:ascii="Times New Roman" w:hAnsi="Times New Roman" w:cs="Times New Roman"/>
                <w:lang w:val="hu-HU"/>
              </w:rPr>
              <w:t>kéthetente</w:t>
            </w:r>
            <w:r>
              <w:rPr>
                <w:rFonts w:ascii="Times New Roman" w:eastAsia="Times New Roman" w:hAnsi="Times New Roman" w:cs="Times New Roman"/>
                <w:spacing w:val="-1"/>
                <w:lang w:val="hu-HU"/>
              </w:rPr>
              <w:t>,</w:t>
            </w:r>
          </w:p>
          <w:p w14:paraId="129A6763" w14:textId="77777777" w:rsidR="0037407E" w:rsidRDefault="0037407E" w:rsidP="007E7849">
            <w:pPr>
              <w:pStyle w:val="TableParagraph"/>
              <w:spacing w:line="249"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a kezdő </w:t>
            </w:r>
            <w:r>
              <w:rPr>
                <w:rFonts w:ascii="Times New Roman" w:eastAsia="Times New Roman" w:hAnsi="Times New Roman" w:cs="Times New Roman"/>
                <w:lang w:val="hu-HU"/>
              </w:rPr>
              <w:t>adag után egy héttel indítva.</w:t>
            </w:r>
          </w:p>
        </w:tc>
        <w:tc>
          <w:tcPr>
            <w:tcW w:w="3296" w:type="dxa"/>
            <w:tcBorders>
              <w:top w:val="single" w:sz="5" w:space="0" w:color="000000"/>
              <w:left w:val="single" w:sz="5" w:space="0" w:color="000000"/>
              <w:bottom w:val="single" w:sz="5" w:space="0" w:color="000000"/>
              <w:right w:val="single" w:sz="5" w:space="0" w:color="000000"/>
            </w:tcBorders>
          </w:tcPr>
          <w:p w14:paraId="712BCA82" w14:textId="7D1A3AE7" w:rsidR="00CF6380" w:rsidRDefault="00CF6380" w:rsidP="00CF6380">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A Yuflyma alkalmazásával egyidejűleg kortikoszteroidok vagy egyéb az immunrendszer működését befolyásoló gyógyszerek alkalmazása folytatható.</w:t>
            </w:r>
          </w:p>
          <w:p w14:paraId="7E9D4EFE" w14:textId="77777777" w:rsidR="0037407E" w:rsidRDefault="0037407E" w:rsidP="007E7849">
            <w:pPr>
              <w:pStyle w:val="TableParagraph"/>
              <w:spacing w:before="1"/>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A Yuflyma önmagában is alkalmazható</w:t>
            </w:r>
          </w:p>
        </w:tc>
      </w:tr>
      <w:tr w:rsidR="00DE4842" w14:paraId="4C12B192" w14:textId="77777777" w:rsidTr="00A172D5">
        <w:tc>
          <w:tcPr>
            <w:tcW w:w="2873" w:type="dxa"/>
            <w:tcBorders>
              <w:top w:val="single" w:sz="5" w:space="0" w:color="000000"/>
              <w:left w:val="single" w:sz="5" w:space="0" w:color="000000"/>
              <w:bottom w:val="single" w:sz="5" w:space="0" w:color="000000"/>
              <w:right w:val="single" w:sz="5" w:space="0" w:color="000000"/>
            </w:tcBorders>
          </w:tcPr>
          <w:p w14:paraId="27534AA3" w14:textId="3FF51A4D" w:rsidR="00DE4842" w:rsidRDefault="00DE4842" w:rsidP="00DE4842">
            <w:pPr>
              <w:pStyle w:val="TableParagraph"/>
              <w:spacing w:line="246" w:lineRule="exact"/>
              <w:ind w:left="102" w:right="57"/>
              <w:rPr>
                <w:rFonts w:ascii="Times New Roman" w:eastAsia="Times New Roman" w:hAnsi="Times New Roman" w:cs="Times New Roman"/>
                <w:spacing w:val="-1"/>
                <w:lang w:val="hu-HU"/>
              </w:rPr>
            </w:pPr>
            <w:r w:rsidRPr="00167BF3">
              <w:rPr>
                <w:rFonts w:ascii="Times New Roman" w:eastAsia="Times New Roman" w:hAnsi="Times New Roman" w:cs="Times New Roman"/>
                <w:spacing w:val="-1"/>
                <w:lang w:val="hu-HU"/>
              </w:rPr>
              <w:t>2 éves kor feletti, 30 kg-nál kisebb testtömegű gyermekek és serdülők</w:t>
            </w:r>
          </w:p>
        </w:tc>
        <w:tc>
          <w:tcPr>
            <w:tcW w:w="3119" w:type="dxa"/>
            <w:tcBorders>
              <w:top w:val="single" w:sz="5" w:space="0" w:color="000000"/>
              <w:left w:val="single" w:sz="5" w:space="0" w:color="000000"/>
              <w:bottom w:val="single" w:sz="5" w:space="0" w:color="000000"/>
              <w:right w:val="single" w:sz="5" w:space="0" w:color="000000"/>
            </w:tcBorders>
          </w:tcPr>
          <w:p w14:paraId="41630E88" w14:textId="23B1EB77" w:rsidR="00DE4842" w:rsidRDefault="00DE4842" w:rsidP="00DE4842">
            <w:pPr>
              <w:pStyle w:val="TableParagraph"/>
              <w:spacing w:line="246" w:lineRule="exact"/>
              <w:ind w:left="102" w:right="57"/>
              <w:rPr>
                <w:rFonts w:ascii="Times New Roman" w:eastAsia="Times New Roman" w:hAnsi="Times New Roman" w:cs="Times New Roman"/>
                <w:spacing w:val="-1"/>
                <w:lang w:val="hu-HU"/>
              </w:rPr>
            </w:pPr>
            <w:r w:rsidRPr="00167BF3">
              <w:rPr>
                <w:rFonts w:ascii="Times New Roman" w:eastAsia="Times New Roman" w:hAnsi="Times New Roman" w:cs="Times New Roman"/>
                <w:spacing w:val="-1"/>
                <w:lang w:val="hu-HU"/>
              </w:rPr>
              <w:t>20 mg kéthetente</w:t>
            </w:r>
          </w:p>
        </w:tc>
        <w:tc>
          <w:tcPr>
            <w:tcW w:w="3296" w:type="dxa"/>
            <w:tcBorders>
              <w:top w:val="single" w:sz="5" w:space="0" w:color="000000"/>
              <w:left w:val="single" w:sz="5" w:space="0" w:color="000000"/>
              <w:bottom w:val="single" w:sz="5" w:space="0" w:color="000000"/>
              <w:right w:val="single" w:sz="5" w:space="0" w:color="000000"/>
            </w:tcBorders>
          </w:tcPr>
          <w:p w14:paraId="10313D8B" w14:textId="240EFBD6" w:rsidR="00DE4842" w:rsidRDefault="00DE4842" w:rsidP="00DE4842">
            <w:pPr>
              <w:pStyle w:val="TableParagraph"/>
              <w:spacing w:line="246" w:lineRule="exact"/>
              <w:ind w:left="102" w:right="57"/>
              <w:rPr>
                <w:rFonts w:ascii="Times New Roman" w:eastAsia="Times New Roman" w:hAnsi="Times New Roman" w:cs="Times New Roman"/>
                <w:spacing w:val="-1"/>
                <w:lang w:val="hu-HU"/>
              </w:rPr>
            </w:pPr>
            <w:r w:rsidRPr="00167BF3">
              <w:rPr>
                <w:rFonts w:ascii="Times New Roman" w:eastAsia="Times New Roman" w:hAnsi="Times New Roman" w:cs="Times New Roman"/>
                <w:spacing w:val="-1"/>
                <w:lang w:val="hu-HU"/>
              </w:rPr>
              <w:t xml:space="preserve">Kezelőorvosa egy 40 mg-os kezdő dózist is felírhat, melyet egy héttel a szokásos, kéthetente 20 mg-os adagolás megkezdése előtt kell beadni. A </w:t>
            </w:r>
            <w:r w:rsidR="00151C9A">
              <w:rPr>
                <w:rFonts w:ascii="Times New Roman" w:eastAsia="Times New Roman" w:hAnsi="Times New Roman" w:cs="Times New Roman"/>
                <w:spacing w:val="-1"/>
                <w:lang w:val="hu-HU"/>
              </w:rPr>
              <w:t>Yuflyma</w:t>
            </w:r>
            <w:r w:rsidRPr="00167BF3">
              <w:rPr>
                <w:rFonts w:ascii="Times New Roman" w:eastAsia="Times New Roman" w:hAnsi="Times New Roman" w:cs="Times New Roman"/>
                <w:spacing w:val="-1"/>
                <w:lang w:val="hu-HU"/>
              </w:rPr>
              <w:t>-t metotrexáttal kombinálva javasolt alkalmazni.</w:t>
            </w:r>
          </w:p>
        </w:tc>
      </w:tr>
      <w:tr w:rsidR="00DE4842" w14:paraId="08888B54" w14:textId="77777777" w:rsidTr="00A172D5">
        <w:tc>
          <w:tcPr>
            <w:tcW w:w="2873" w:type="dxa"/>
            <w:tcBorders>
              <w:top w:val="single" w:sz="5" w:space="0" w:color="000000"/>
              <w:left w:val="single" w:sz="5" w:space="0" w:color="000000"/>
              <w:bottom w:val="single" w:sz="5" w:space="0" w:color="000000"/>
              <w:right w:val="single" w:sz="5" w:space="0" w:color="000000"/>
            </w:tcBorders>
          </w:tcPr>
          <w:p w14:paraId="4ECDEBF2" w14:textId="230EAD2B" w:rsidR="00DE4842" w:rsidRDefault="00DE4842" w:rsidP="00DE4842">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Gyermekek és serdülők </w:t>
            </w:r>
            <w:r>
              <w:rPr>
                <w:rFonts w:ascii="Times New Roman" w:eastAsia="Times New Roman" w:hAnsi="Times New Roman" w:cs="Times New Roman"/>
                <w:lang w:val="hu-HU"/>
              </w:rPr>
              <w:t>akik legalább 2 évesek, a test</w:t>
            </w:r>
            <w:r w:rsidR="00783394">
              <w:rPr>
                <w:rFonts w:ascii="Times New Roman" w:eastAsia="Times New Roman" w:hAnsi="Times New Roman" w:cs="Times New Roman"/>
                <w:lang w:val="hu-HU"/>
              </w:rPr>
              <w:t>tömegük</w:t>
            </w:r>
            <w:r>
              <w:rPr>
                <w:rFonts w:ascii="Times New Roman" w:eastAsia="Times New Roman" w:hAnsi="Times New Roman" w:cs="Times New Roman"/>
                <w:lang w:val="hu-HU"/>
              </w:rPr>
              <w:t xml:space="preserve"> legalább 30 kg</w:t>
            </w:r>
          </w:p>
        </w:tc>
        <w:tc>
          <w:tcPr>
            <w:tcW w:w="3119" w:type="dxa"/>
            <w:tcBorders>
              <w:top w:val="single" w:sz="5" w:space="0" w:color="000000"/>
              <w:left w:val="single" w:sz="5" w:space="0" w:color="000000"/>
              <w:bottom w:val="single" w:sz="5" w:space="0" w:color="000000"/>
              <w:right w:val="single" w:sz="5" w:space="0" w:color="000000"/>
            </w:tcBorders>
          </w:tcPr>
          <w:p w14:paraId="4CE18BE3" w14:textId="77777777" w:rsidR="00DE4842" w:rsidRDefault="00DE4842" w:rsidP="00DE4842">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lang w:val="hu-HU"/>
              </w:rPr>
              <w:t>40 mg kéthetente</w:t>
            </w:r>
          </w:p>
        </w:tc>
        <w:tc>
          <w:tcPr>
            <w:tcW w:w="3296" w:type="dxa"/>
            <w:tcBorders>
              <w:top w:val="single" w:sz="5" w:space="0" w:color="000000"/>
              <w:left w:val="single" w:sz="5" w:space="0" w:color="000000"/>
              <w:bottom w:val="single" w:sz="5" w:space="0" w:color="000000"/>
              <w:right w:val="single" w:sz="5" w:space="0" w:color="000000"/>
            </w:tcBorders>
          </w:tcPr>
          <w:p w14:paraId="03C06FAA" w14:textId="77777777" w:rsidR="00DE4842" w:rsidRDefault="00DE4842" w:rsidP="00DE4842">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Kezelőorvosa egy 80 mg-os kezdő dózist is felírhat, melyet egy héttel a szokásos </w:t>
            </w:r>
            <w:r>
              <w:rPr>
                <w:rFonts w:ascii="Times New Roman" w:eastAsia="Times New Roman" w:hAnsi="Times New Roman" w:cs="Times New Roman"/>
                <w:lang w:val="hu-HU"/>
              </w:rPr>
              <w:t>kéthetente 40 mg-os adagolás megkezdése előtt kell beadni. A Yuflyma használata a metotrexáttal együtt javasolt.</w:t>
            </w:r>
          </w:p>
        </w:tc>
      </w:tr>
    </w:tbl>
    <w:p w14:paraId="7955BC53" w14:textId="77777777" w:rsidR="0037407E" w:rsidRDefault="0037407E" w:rsidP="0037407E">
      <w:pPr>
        <w:pStyle w:val="a3"/>
        <w:rPr>
          <w:lang w:val="hu-HU"/>
        </w:rPr>
      </w:pPr>
    </w:p>
    <w:p w14:paraId="6926BFCD" w14:textId="77777777" w:rsidR="0037407E" w:rsidRDefault="0037407E" w:rsidP="0037407E">
      <w:pPr>
        <w:pStyle w:val="a3"/>
        <w:rPr>
          <w:b/>
          <w:lang w:val="hu-HU"/>
        </w:rPr>
      </w:pPr>
      <w:r>
        <w:rPr>
          <w:rFonts w:eastAsia="Times New Roman"/>
          <w:b/>
          <w:bCs/>
          <w:lang w:val="hu-HU"/>
        </w:rPr>
        <w:t>Az alkalmazással kapcsolatos tudnivalók és az alkalmazás módja</w:t>
      </w:r>
    </w:p>
    <w:p w14:paraId="0E98FADC" w14:textId="77777777" w:rsidR="0037407E" w:rsidRDefault="0037407E" w:rsidP="0037407E">
      <w:pPr>
        <w:spacing w:before="9" w:line="240" w:lineRule="exact"/>
        <w:rPr>
          <w:sz w:val="24"/>
          <w:szCs w:val="24"/>
          <w:lang w:val="hu-HU"/>
        </w:rPr>
      </w:pPr>
    </w:p>
    <w:p w14:paraId="1DDC862B" w14:textId="77777777" w:rsidR="0037407E" w:rsidRDefault="0037407E" w:rsidP="0037407E">
      <w:pPr>
        <w:pStyle w:val="a3"/>
        <w:rPr>
          <w:lang w:val="hu-HU"/>
        </w:rPr>
      </w:pPr>
      <w:r>
        <w:rPr>
          <w:rFonts w:eastAsia="Times New Roman"/>
          <w:lang w:val="hu-HU"/>
        </w:rPr>
        <w:t>A Yuflyma injekciót a bőr alá (szubkután injekció formájában) kell beadni.</w:t>
      </w:r>
    </w:p>
    <w:p w14:paraId="3013D499" w14:textId="77777777" w:rsidR="0037407E" w:rsidRDefault="0037407E" w:rsidP="0037407E">
      <w:pPr>
        <w:spacing w:before="18" w:line="240" w:lineRule="exact"/>
        <w:rPr>
          <w:sz w:val="24"/>
          <w:szCs w:val="24"/>
          <w:lang w:val="hu-HU"/>
        </w:rPr>
      </w:pPr>
    </w:p>
    <w:p w14:paraId="03CFB52C" w14:textId="79580EAF" w:rsidR="0037407E" w:rsidRDefault="0037407E" w:rsidP="0037407E">
      <w:pPr>
        <w:pStyle w:val="a3"/>
        <w:rPr>
          <w:rFonts w:eastAsia="Times New Roman"/>
          <w:b/>
          <w:bCs/>
          <w:lang w:val="hu-HU"/>
        </w:rPr>
      </w:pPr>
      <w:r>
        <w:rPr>
          <w:rFonts w:eastAsia="Times New Roman"/>
          <w:b/>
          <w:bCs/>
          <w:lang w:val="hu-HU"/>
        </w:rPr>
        <w:t xml:space="preserve">A Yuflyma injekció beadásával kapcsolatos részletes útmutatás a 7 </w:t>
      </w:r>
      <w:r w:rsidR="005F5974" w:rsidRPr="004C5B28">
        <w:rPr>
          <w:rStyle w:val="ui-provider"/>
          <w:b/>
          <w:bCs/>
          <w:lang w:val="hu-HU"/>
        </w:rPr>
        <w:t>“</w:t>
      </w:r>
      <w:r w:rsidRPr="00992BD3">
        <w:rPr>
          <w:rFonts w:eastAsia="Times New Roman"/>
          <w:b/>
          <w:bCs/>
          <w:lang w:val="hu-HU"/>
        </w:rPr>
        <w:t>Használati utasítás</w:t>
      </w:r>
      <w:r w:rsidR="005F5974">
        <w:rPr>
          <w:rFonts w:eastAsia="Times New Roman"/>
          <w:b/>
          <w:bCs/>
          <w:lang w:val="hu-HU"/>
        </w:rPr>
        <w:t>”</w:t>
      </w:r>
      <w:r>
        <w:rPr>
          <w:rFonts w:eastAsia="Times New Roman"/>
          <w:b/>
          <w:bCs/>
          <w:lang w:val="hu-HU"/>
        </w:rPr>
        <w:t xml:space="preserve"> című pontban található</w:t>
      </w:r>
    </w:p>
    <w:p w14:paraId="52660651" w14:textId="77777777" w:rsidR="0037407E" w:rsidRDefault="0037407E" w:rsidP="0037407E">
      <w:pPr>
        <w:pStyle w:val="a3"/>
        <w:rPr>
          <w:rFonts w:eastAsia="Times New Roman"/>
          <w:b/>
          <w:bCs/>
          <w:lang w:val="hu-HU"/>
        </w:rPr>
      </w:pPr>
    </w:p>
    <w:p w14:paraId="2F0D2725" w14:textId="77777777" w:rsidR="0037407E" w:rsidRDefault="0037407E" w:rsidP="0037407E">
      <w:pPr>
        <w:pStyle w:val="a3"/>
        <w:rPr>
          <w:b/>
          <w:lang w:val="hu-HU"/>
        </w:rPr>
      </w:pPr>
      <w:r>
        <w:rPr>
          <w:rFonts w:eastAsia="Times New Roman"/>
          <w:b/>
          <w:bCs/>
          <w:lang w:val="hu-HU"/>
        </w:rPr>
        <w:t>Ha az előírtnál több Yuflyma-t alkalmazott</w:t>
      </w:r>
    </w:p>
    <w:p w14:paraId="26A3887D" w14:textId="77777777" w:rsidR="0037407E" w:rsidRDefault="0037407E" w:rsidP="0037407E">
      <w:pPr>
        <w:pStyle w:val="a3"/>
        <w:rPr>
          <w:lang w:val="hu-HU"/>
        </w:rPr>
      </w:pPr>
    </w:p>
    <w:p w14:paraId="6AB7F947" w14:textId="77777777" w:rsidR="0037407E" w:rsidRDefault="0037407E" w:rsidP="0037407E">
      <w:pPr>
        <w:pStyle w:val="a3"/>
        <w:rPr>
          <w:lang w:val="hu-HU"/>
        </w:rPr>
      </w:pPr>
      <w:r>
        <w:rPr>
          <w:rFonts w:eastAsia="Times New Roman"/>
          <w:lang w:val="hu-HU"/>
        </w:rPr>
        <w:t xml:space="preserve">Ha véletlenül a kezelőorvosa vagy gyógyszerésze által előírtnál gyakrabban alkalmazta a Yuflyma-t, azonnal beszéljen kezelőorvosával vagy gyógyszerészével.Őrizze meg a külső csomagolást, abban az esetben is, ha </w:t>
      </w:r>
      <w:r>
        <w:rPr>
          <w:rFonts w:eastAsia="Times New Roman"/>
          <w:lang w:val="hu-HU"/>
        </w:rPr>
        <w:lastRenderedPageBreak/>
        <w:t>üres.</w:t>
      </w:r>
    </w:p>
    <w:p w14:paraId="546EB7EB" w14:textId="77777777" w:rsidR="0037407E" w:rsidRDefault="0037407E" w:rsidP="0037407E">
      <w:pPr>
        <w:spacing w:before="18" w:line="240" w:lineRule="exact"/>
        <w:rPr>
          <w:b/>
          <w:sz w:val="24"/>
          <w:szCs w:val="24"/>
          <w:lang w:val="hu-HU"/>
        </w:rPr>
      </w:pPr>
    </w:p>
    <w:p w14:paraId="3692931B" w14:textId="77777777" w:rsidR="0037407E" w:rsidRDefault="0037407E" w:rsidP="0037407E">
      <w:pPr>
        <w:pStyle w:val="a3"/>
        <w:rPr>
          <w:b/>
          <w:lang w:val="hu-HU"/>
        </w:rPr>
      </w:pPr>
      <w:r>
        <w:rPr>
          <w:rFonts w:eastAsia="Times New Roman"/>
          <w:b/>
          <w:bCs/>
          <w:lang w:val="hu-HU"/>
        </w:rPr>
        <w:t>Ha elfelejtette alkalmazni a Yuflyma-t</w:t>
      </w:r>
    </w:p>
    <w:p w14:paraId="30223964" w14:textId="77777777" w:rsidR="0037407E" w:rsidRDefault="0037407E" w:rsidP="0037407E">
      <w:pPr>
        <w:spacing w:before="9" w:line="240" w:lineRule="exact"/>
        <w:rPr>
          <w:sz w:val="24"/>
          <w:szCs w:val="24"/>
          <w:lang w:val="hu-HU"/>
        </w:rPr>
      </w:pPr>
    </w:p>
    <w:p w14:paraId="2C008F37" w14:textId="4238534C" w:rsidR="0037407E" w:rsidRDefault="0037407E" w:rsidP="0037407E">
      <w:pPr>
        <w:pStyle w:val="a3"/>
        <w:rPr>
          <w:lang w:val="hu-HU"/>
        </w:rPr>
      </w:pPr>
      <w:r>
        <w:rPr>
          <w:rFonts w:eastAsia="Times New Roman"/>
          <w:lang w:val="hu-HU"/>
        </w:rPr>
        <w:t xml:space="preserve">Ha elfelejtette beadni az injekciót, adja be a következő Yuflyma adagot rögtön, amikor eszébe jutott. A </w:t>
      </w:r>
      <w:r w:rsidR="005F5974">
        <w:rPr>
          <w:rFonts w:eastAsia="Times New Roman"/>
          <w:lang w:val="hu-HU"/>
        </w:rPr>
        <w:t>ra</w:t>
      </w:r>
      <w:r>
        <w:rPr>
          <w:rFonts w:eastAsia="Times New Roman"/>
          <w:lang w:val="hu-HU"/>
        </w:rPr>
        <w:t xml:space="preserve">következő adagot az eredeti kezelési terv alapján meghatározott napon alkalmazza, úgy mintha </w:t>
      </w:r>
      <w:r w:rsidR="005F5974">
        <w:rPr>
          <w:rFonts w:eastAsia="Times New Roman"/>
          <w:lang w:val="hu-HU"/>
        </w:rPr>
        <w:t>a most beadott</w:t>
      </w:r>
      <w:r>
        <w:rPr>
          <w:rFonts w:eastAsia="Times New Roman"/>
          <w:lang w:val="hu-HU"/>
        </w:rPr>
        <w:t xml:space="preserve"> az előírás szerinti időpontban adta volna be.</w:t>
      </w:r>
    </w:p>
    <w:p w14:paraId="2C82FB50" w14:textId="77777777" w:rsidR="0037407E" w:rsidRDefault="0037407E" w:rsidP="0037407E">
      <w:pPr>
        <w:spacing w:before="18" w:line="240" w:lineRule="exact"/>
        <w:rPr>
          <w:sz w:val="24"/>
          <w:szCs w:val="24"/>
          <w:lang w:val="hu-HU"/>
        </w:rPr>
      </w:pPr>
    </w:p>
    <w:p w14:paraId="37EFE6BB" w14:textId="77777777" w:rsidR="0037407E" w:rsidRDefault="0037407E" w:rsidP="0037407E">
      <w:pPr>
        <w:pStyle w:val="a3"/>
        <w:rPr>
          <w:b/>
          <w:lang w:val="hu-HU"/>
        </w:rPr>
      </w:pPr>
      <w:r>
        <w:rPr>
          <w:rFonts w:eastAsia="Times New Roman"/>
          <w:b/>
          <w:bCs/>
          <w:lang w:val="hu-HU"/>
        </w:rPr>
        <w:t>Ha idő előtt abbahagyja a Yuflyma alkalmazását</w:t>
      </w:r>
    </w:p>
    <w:p w14:paraId="09737665" w14:textId="77777777" w:rsidR="0037407E" w:rsidRDefault="0037407E" w:rsidP="0037407E">
      <w:pPr>
        <w:spacing w:before="6" w:line="240" w:lineRule="exact"/>
        <w:rPr>
          <w:sz w:val="24"/>
          <w:szCs w:val="24"/>
          <w:lang w:val="hu-HU"/>
        </w:rPr>
      </w:pPr>
    </w:p>
    <w:p w14:paraId="2D91A7BB" w14:textId="05E0710A" w:rsidR="0037407E" w:rsidRDefault="0037407E" w:rsidP="0037407E">
      <w:pPr>
        <w:pStyle w:val="a3"/>
        <w:rPr>
          <w:lang w:val="hu-HU"/>
        </w:rPr>
      </w:pPr>
      <w:r>
        <w:rPr>
          <w:rFonts w:eastAsia="Times New Roman"/>
          <w:lang w:val="hu-HU"/>
        </w:rPr>
        <w:t xml:space="preserve">A </w:t>
      </w:r>
      <w:r w:rsidR="005F5974" w:rsidRPr="0038367E">
        <w:rPr>
          <w:rFonts w:eastAsia="Times New Roman"/>
          <w:lang w:val="hu-HU"/>
        </w:rPr>
        <w:t>döntést, hogy abbahagyja</w:t>
      </w:r>
      <w:r>
        <w:rPr>
          <w:rFonts w:eastAsia="Times New Roman"/>
          <w:lang w:val="hu-HU"/>
        </w:rPr>
        <w:t xml:space="preserve"> a Yuflyma alkalmazását, meg kell beszélni a kezelőorvosával. Tünetei visszatérhetnek, ha abbahagyja a Yuflyma alkalmazását.</w:t>
      </w:r>
    </w:p>
    <w:p w14:paraId="47DC7CC3" w14:textId="77777777" w:rsidR="0037407E" w:rsidRDefault="0037407E" w:rsidP="0037407E">
      <w:pPr>
        <w:spacing w:before="12" w:line="240" w:lineRule="exact"/>
        <w:rPr>
          <w:sz w:val="24"/>
          <w:szCs w:val="24"/>
          <w:lang w:val="hu-HU"/>
        </w:rPr>
      </w:pPr>
    </w:p>
    <w:p w14:paraId="70AB17C8" w14:textId="77777777" w:rsidR="0037407E" w:rsidRDefault="0037407E" w:rsidP="0037407E">
      <w:pPr>
        <w:pStyle w:val="a3"/>
        <w:rPr>
          <w:lang w:val="hu-HU"/>
        </w:rPr>
      </w:pPr>
      <w:r>
        <w:rPr>
          <w:rFonts w:eastAsia="Times New Roman"/>
          <w:lang w:val="hu-HU"/>
        </w:rPr>
        <w:t>Ha bármilyen további kérdése van a gyógyszer alkalmazásával kapcsolatban, kérdezze meg kezelőorvosát vagy gyógyszerészét.</w:t>
      </w:r>
    </w:p>
    <w:p w14:paraId="4A5A0BB3" w14:textId="286B7582" w:rsidR="0037407E" w:rsidRDefault="0037407E" w:rsidP="0037407E">
      <w:pPr>
        <w:spacing w:line="200" w:lineRule="exact"/>
        <w:rPr>
          <w:sz w:val="20"/>
          <w:szCs w:val="20"/>
          <w:lang w:val="hu-HU"/>
        </w:rPr>
      </w:pPr>
    </w:p>
    <w:p w14:paraId="3D87CC7A" w14:textId="77777777" w:rsidR="00A172D5" w:rsidRDefault="00A172D5" w:rsidP="0037407E">
      <w:pPr>
        <w:spacing w:line="200" w:lineRule="exact"/>
        <w:rPr>
          <w:sz w:val="20"/>
          <w:szCs w:val="20"/>
          <w:lang w:val="hu-HU"/>
        </w:rPr>
      </w:pPr>
    </w:p>
    <w:p w14:paraId="7B7FB228" w14:textId="77777777" w:rsidR="0037407E" w:rsidRDefault="0037407E" w:rsidP="00FD05AA">
      <w:pPr>
        <w:pStyle w:val="a4"/>
        <w:numPr>
          <w:ilvl w:val="0"/>
          <w:numId w:val="62"/>
        </w:numPr>
        <w:spacing w:before="18" w:line="240" w:lineRule="exact"/>
        <w:ind w:left="357" w:hanging="357"/>
        <w:rPr>
          <w:rFonts w:ascii="Times New Roman" w:hAnsi="Times New Roman" w:cs="Times New Roman"/>
          <w:b/>
          <w:lang w:val="hu-HU"/>
        </w:rPr>
      </w:pPr>
      <w:r>
        <w:rPr>
          <w:rFonts w:ascii="Times New Roman" w:eastAsia="Times New Roman" w:hAnsi="Times New Roman" w:cs="Times New Roman"/>
          <w:b/>
          <w:bCs/>
          <w:lang w:val="hu-HU"/>
        </w:rPr>
        <w:t>Lehetséges mellékhatások</w:t>
      </w:r>
    </w:p>
    <w:p w14:paraId="6CE2AA74" w14:textId="77777777" w:rsidR="0037407E" w:rsidRDefault="0037407E" w:rsidP="0037407E">
      <w:pPr>
        <w:spacing w:before="12" w:line="240" w:lineRule="exact"/>
        <w:rPr>
          <w:sz w:val="24"/>
          <w:szCs w:val="24"/>
          <w:lang w:val="hu-HU"/>
        </w:rPr>
      </w:pPr>
    </w:p>
    <w:p w14:paraId="4EB22325" w14:textId="77777777" w:rsidR="0037407E" w:rsidRDefault="0037407E" w:rsidP="0037407E">
      <w:pPr>
        <w:pStyle w:val="a3"/>
        <w:rPr>
          <w:lang w:val="hu-HU"/>
        </w:rPr>
      </w:pPr>
      <w:r>
        <w:rPr>
          <w:rFonts w:eastAsia="Times New Roman"/>
          <w:lang w:val="hu-HU"/>
        </w:rPr>
        <w:t>Mint minden gyógyszer, így ez a gyógyszer is okozhat mellékhatásokat, amelyek azonban nem mindenkinél jelentkeznek. A legtöbb mellékhatás enyhe vagy közepes fokú. Néhány esetben kezelést igénylő, súlyos mellékhatás is előfordulhat. Mellékhatások az utolsó Yuflyma injekciótkövetően legalább 4 hónapig még bekövetkezhetnek.</w:t>
      </w:r>
    </w:p>
    <w:p w14:paraId="22FB17C9" w14:textId="77777777" w:rsidR="0037407E" w:rsidRDefault="0037407E" w:rsidP="0037407E">
      <w:pPr>
        <w:spacing w:before="15" w:line="240" w:lineRule="exact"/>
        <w:rPr>
          <w:sz w:val="24"/>
          <w:szCs w:val="24"/>
          <w:lang w:val="hu-HU"/>
        </w:rPr>
      </w:pPr>
    </w:p>
    <w:p w14:paraId="15CC4F97" w14:textId="1AD4F7B9" w:rsidR="0037407E" w:rsidRDefault="0037407E" w:rsidP="0037407E">
      <w:pPr>
        <w:pStyle w:val="a3"/>
        <w:rPr>
          <w:b/>
          <w:lang w:val="hu-HU"/>
        </w:rPr>
      </w:pPr>
      <w:r>
        <w:rPr>
          <w:rFonts w:eastAsia="Times New Roman"/>
          <w:b/>
          <w:bCs/>
          <w:lang w:val="hu-HU"/>
        </w:rPr>
        <w:t xml:space="preserve">Közölje azonnal kezelőorvosával, ha az alábbiak közül bármit észlel </w:t>
      </w:r>
    </w:p>
    <w:p w14:paraId="5A1617F7" w14:textId="77777777" w:rsidR="0037407E" w:rsidRDefault="0037407E" w:rsidP="0037407E">
      <w:pPr>
        <w:spacing w:before="10" w:line="240" w:lineRule="exact"/>
        <w:rPr>
          <w:sz w:val="24"/>
          <w:szCs w:val="24"/>
          <w:lang w:val="hu-HU"/>
        </w:rPr>
      </w:pPr>
    </w:p>
    <w:p w14:paraId="1CA23CD8" w14:textId="77777777" w:rsidR="0037407E" w:rsidRDefault="0037407E" w:rsidP="0037407E">
      <w:pPr>
        <w:pStyle w:val="a3"/>
        <w:numPr>
          <w:ilvl w:val="0"/>
          <w:numId w:val="15"/>
        </w:numPr>
        <w:ind w:left="660" w:hanging="660"/>
        <w:rPr>
          <w:lang w:val="hu-HU"/>
        </w:rPr>
      </w:pPr>
      <w:r>
        <w:rPr>
          <w:rFonts w:eastAsia="Times New Roman"/>
          <w:lang w:val="hu-HU"/>
        </w:rPr>
        <w:t>súlyos bőrkiütés, csalánkiütés vagy más allergiára utaló tünet</w:t>
      </w:r>
    </w:p>
    <w:p w14:paraId="1704E358" w14:textId="77777777" w:rsidR="0037407E" w:rsidRDefault="0037407E" w:rsidP="0037407E">
      <w:pPr>
        <w:pStyle w:val="a3"/>
        <w:numPr>
          <w:ilvl w:val="0"/>
          <w:numId w:val="15"/>
        </w:numPr>
        <w:ind w:left="660" w:hanging="660"/>
        <w:rPr>
          <w:lang w:val="hu-HU"/>
        </w:rPr>
      </w:pPr>
      <w:r>
        <w:rPr>
          <w:rFonts w:eastAsia="Times New Roman"/>
          <w:lang w:val="hu-HU"/>
        </w:rPr>
        <w:t xml:space="preserve">duzzanat az arcon, </w:t>
      </w:r>
      <w:proofErr w:type="spellStart"/>
      <w:r w:rsidRPr="00167BF3">
        <w:rPr>
          <w:lang w:val="es-ES"/>
        </w:rPr>
        <w:t>kézen</w:t>
      </w:r>
      <w:proofErr w:type="spellEnd"/>
      <w:r w:rsidRPr="00167BF3">
        <w:rPr>
          <w:lang w:val="es-ES"/>
        </w:rPr>
        <w:t xml:space="preserve"> </w:t>
      </w:r>
      <w:proofErr w:type="spellStart"/>
      <w:r w:rsidRPr="00167BF3">
        <w:rPr>
          <w:lang w:val="es-ES"/>
        </w:rPr>
        <w:t>vagy</w:t>
      </w:r>
      <w:proofErr w:type="spellEnd"/>
      <w:r w:rsidRPr="00167BF3">
        <w:rPr>
          <w:lang w:val="es-ES"/>
        </w:rPr>
        <w:t xml:space="preserve"> </w:t>
      </w:r>
      <w:proofErr w:type="spellStart"/>
      <w:r w:rsidRPr="00167BF3">
        <w:rPr>
          <w:lang w:val="es-ES"/>
        </w:rPr>
        <w:t>lábon</w:t>
      </w:r>
      <w:proofErr w:type="spellEnd"/>
    </w:p>
    <w:p w14:paraId="31925547" w14:textId="77777777" w:rsidR="0037407E" w:rsidRDefault="0037407E" w:rsidP="0037407E">
      <w:pPr>
        <w:pStyle w:val="a3"/>
        <w:numPr>
          <w:ilvl w:val="0"/>
          <w:numId w:val="15"/>
        </w:numPr>
        <w:ind w:left="660" w:hanging="660"/>
        <w:rPr>
          <w:lang w:val="hu-HU"/>
        </w:rPr>
      </w:pPr>
      <w:r>
        <w:rPr>
          <w:rFonts w:eastAsia="Times New Roman"/>
          <w:lang w:val="hu-HU"/>
        </w:rPr>
        <w:t>nehézlégzés vagy nehézség a nyelés során</w:t>
      </w:r>
    </w:p>
    <w:p w14:paraId="55DE4202" w14:textId="77777777" w:rsidR="0037407E" w:rsidRDefault="0037407E" w:rsidP="0037407E">
      <w:pPr>
        <w:pStyle w:val="a3"/>
        <w:numPr>
          <w:ilvl w:val="0"/>
          <w:numId w:val="15"/>
        </w:numPr>
        <w:ind w:left="660" w:hanging="660"/>
        <w:rPr>
          <w:lang w:val="hu-HU"/>
        </w:rPr>
      </w:pPr>
      <w:r>
        <w:rPr>
          <w:rFonts w:eastAsia="Times New Roman"/>
          <w:lang w:val="hu-HU"/>
        </w:rPr>
        <w:t>megerőltetéskor vagy lefekvéskor jelentkező nehézlégzés, vagy lábdagadás</w:t>
      </w:r>
    </w:p>
    <w:p w14:paraId="4A972FED" w14:textId="77777777" w:rsidR="0037407E" w:rsidRDefault="0037407E" w:rsidP="0037407E">
      <w:pPr>
        <w:spacing w:before="15" w:line="240" w:lineRule="exact"/>
        <w:rPr>
          <w:sz w:val="24"/>
          <w:szCs w:val="24"/>
          <w:lang w:val="hu-HU"/>
        </w:rPr>
      </w:pPr>
    </w:p>
    <w:p w14:paraId="251671D6" w14:textId="6575B543" w:rsidR="0037407E" w:rsidRDefault="0037407E" w:rsidP="0037407E">
      <w:pPr>
        <w:pStyle w:val="a3"/>
        <w:rPr>
          <w:b/>
          <w:lang w:val="hu-HU"/>
        </w:rPr>
      </w:pPr>
      <w:r>
        <w:rPr>
          <w:rFonts w:eastAsia="Times New Roman"/>
          <w:b/>
          <w:bCs/>
          <w:lang w:val="hu-HU"/>
        </w:rPr>
        <w:t>Közölje kezelőorvosával amint lehetséges, ha az alábbiak közül bármit észlel</w:t>
      </w:r>
    </w:p>
    <w:p w14:paraId="6919F74E" w14:textId="77777777" w:rsidR="0037407E" w:rsidRDefault="0037407E" w:rsidP="0037407E">
      <w:pPr>
        <w:spacing w:before="10" w:line="240" w:lineRule="exact"/>
        <w:rPr>
          <w:sz w:val="24"/>
          <w:szCs w:val="24"/>
          <w:lang w:val="hu-HU"/>
        </w:rPr>
      </w:pPr>
    </w:p>
    <w:p w14:paraId="24316000" w14:textId="77777777" w:rsidR="0037407E" w:rsidRDefault="0037407E" w:rsidP="0037407E">
      <w:pPr>
        <w:pStyle w:val="a3"/>
        <w:numPr>
          <w:ilvl w:val="0"/>
          <w:numId w:val="15"/>
        </w:numPr>
        <w:ind w:left="660" w:hanging="660"/>
        <w:rPr>
          <w:lang w:val="hu-HU"/>
        </w:rPr>
      </w:pPr>
      <w:r>
        <w:rPr>
          <w:rFonts w:eastAsia="Times New Roman"/>
          <w:lang w:val="hu-HU"/>
        </w:rPr>
        <w:t>fertőzésre utaló tünet, mint láz, gyengeség, sebek, fogászati problémák, vizeléskor jelentkező égő érzés</w:t>
      </w:r>
    </w:p>
    <w:p w14:paraId="153CB2B9" w14:textId="77777777" w:rsidR="0037407E" w:rsidRDefault="0037407E" w:rsidP="0037407E">
      <w:pPr>
        <w:pStyle w:val="a3"/>
        <w:numPr>
          <w:ilvl w:val="0"/>
          <w:numId w:val="15"/>
        </w:numPr>
        <w:ind w:left="660" w:hanging="660"/>
        <w:rPr>
          <w:lang w:val="hu-HU"/>
        </w:rPr>
      </w:pPr>
      <w:r>
        <w:rPr>
          <w:rFonts w:eastAsia="Times New Roman"/>
          <w:lang w:val="hu-HU"/>
        </w:rPr>
        <w:t>gyengeség vagy fáradtságérzés</w:t>
      </w:r>
    </w:p>
    <w:p w14:paraId="54A12B10" w14:textId="77777777" w:rsidR="0037407E" w:rsidRDefault="0037407E" w:rsidP="0037407E">
      <w:pPr>
        <w:pStyle w:val="a3"/>
        <w:numPr>
          <w:ilvl w:val="0"/>
          <w:numId w:val="15"/>
        </w:numPr>
        <w:ind w:left="660" w:hanging="660"/>
        <w:rPr>
          <w:lang w:val="hu-HU"/>
        </w:rPr>
      </w:pPr>
      <w:r>
        <w:rPr>
          <w:rFonts w:eastAsia="Times New Roman"/>
          <w:lang w:val="hu-HU"/>
        </w:rPr>
        <w:t>köhögés</w:t>
      </w:r>
    </w:p>
    <w:p w14:paraId="45FDE612" w14:textId="77777777" w:rsidR="0037407E" w:rsidRDefault="0037407E" w:rsidP="0037407E">
      <w:pPr>
        <w:pStyle w:val="a3"/>
        <w:numPr>
          <w:ilvl w:val="0"/>
          <w:numId w:val="15"/>
        </w:numPr>
        <w:ind w:left="660" w:hanging="660"/>
        <w:rPr>
          <w:lang w:val="hu-HU"/>
        </w:rPr>
      </w:pPr>
      <w:r>
        <w:rPr>
          <w:rFonts w:eastAsia="Times New Roman"/>
          <w:lang w:val="hu-HU"/>
        </w:rPr>
        <w:t>fülzúgás</w:t>
      </w:r>
    </w:p>
    <w:p w14:paraId="3870118A" w14:textId="77777777" w:rsidR="0037407E" w:rsidRDefault="0037407E" w:rsidP="0037407E">
      <w:pPr>
        <w:pStyle w:val="a3"/>
        <w:numPr>
          <w:ilvl w:val="0"/>
          <w:numId w:val="15"/>
        </w:numPr>
        <w:ind w:left="660" w:hanging="660"/>
        <w:rPr>
          <w:lang w:val="hu-HU"/>
        </w:rPr>
      </w:pPr>
      <w:r>
        <w:rPr>
          <w:rFonts w:eastAsia="Times New Roman"/>
          <w:lang w:val="hu-HU"/>
        </w:rPr>
        <w:t>zsibbadás</w:t>
      </w:r>
    </w:p>
    <w:p w14:paraId="3E5D9C2C" w14:textId="77777777" w:rsidR="0037407E" w:rsidRDefault="0037407E" w:rsidP="0037407E">
      <w:pPr>
        <w:pStyle w:val="a3"/>
        <w:numPr>
          <w:ilvl w:val="0"/>
          <w:numId w:val="15"/>
        </w:numPr>
        <w:ind w:left="660" w:hanging="660"/>
        <w:rPr>
          <w:lang w:val="hu-HU"/>
        </w:rPr>
      </w:pPr>
      <w:r>
        <w:rPr>
          <w:rFonts w:eastAsia="Times New Roman"/>
          <w:lang w:val="hu-HU"/>
        </w:rPr>
        <w:t>kettőslátás</w:t>
      </w:r>
    </w:p>
    <w:p w14:paraId="283D10F0" w14:textId="77777777" w:rsidR="0037407E" w:rsidRDefault="0037407E" w:rsidP="0037407E">
      <w:pPr>
        <w:pStyle w:val="a3"/>
        <w:numPr>
          <w:ilvl w:val="0"/>
          <w:numId w:val="15"/>
        </w:numPr>
        <w:ind w:left="660" w:hanging="660"/>
        <w:rPr>
          <w:lang w:val="hu-HU"/>
        </w:rPr>
      </w:pPr>
      <w:r>
        <w:rPr>
          <w:rFonts w:eastAsia="Times New Roman"/>
          <w:lang w:val="hu-HU"/>
        </w:rPr>
        <w:t>kar- vagy lábgyengeség</w:t>
      </w:r>
    </w:p>
    <w:p w14:paraId="19C91DF4" w14:textId="77777777" w:rsidR="00D71745" w:rsidRDefault="00D71745" w:rsidP="00D71745">
      <w:pPr>
        <w:pStyle w:val="a3"/>
        <w:numPr>
          <w:ilvl w:val="0"/>
          <w:numId w:val="15"/>
        </w:numPr>
        <w:ind w:left="660" w:hanging="660"/>
        <w:rPr>
          <w:lang w:val="hu-HU"/>
        </w:rPr>
      </w:pPr>
      <w:r>
        <w:rPr>
          <w:rFonts w:eastAsia="Times New Roman"/>
          <w:lang w:val="hu-HU"/>
        </w:rPr>
        <w:t>duzzanat vagy nyílt fekély, amelyik nem gyógyúl</w:t>
      </w:r>
    </w:p>
    <w:p w14:paraId="54F39959" w14:textId="77777777" w:rsidR="0037407E" w:rsidRPr="00452EC2" w:rsidRDefault="0037407E" w:rsidP="00D71745">
      <w:pPr>
        <w:pStyle w:val="a3"/>
        <w:numPr>
          <w:ilvl w:val="0"/>
          <w:numId w:val="15"/>
        </w:numPr>
        <w:ind w:left="660" w:hanging="660"/>
        <w:rPr>
          <w:lang w:val="hu-HU"/>
        </w:rPr>
      </w:pPr>
      <w:r w:rsidRPr="00D71745">
        <w:rPr>
          <w:rFonts w:eastAsia="Times New Roman"/>
          <w:lang w:val="hu-HU"/>
        </w:rPr>
        <w:t>vérképzőszervi rendellenességre utaló jelek és tünetek, például tartós láz, véraláfutás, vérzés, sápadtság</w:t>
      </w:r>
    </w:p>
    <w:p w14:paraId="204EC5D9" w14:textId="77777777" w:rsidR="0037407E" w:rsidRDefault="0037407E" w:rsidP="0037407E">
      <w:pPr>
        <w:pStyle w:val="a3"/>
        <w:numPr>
          <w:ilvl w:val="0"/>
          <w:numId w:val="0"/>
        </w:numPr>
        <w:ind w:left="660"/>
        <w:rPr>
          <w:lang w:val="hu-HU"/>
        </w:rPr>
      </w:pPr>
    </w:p>
    <w:p w14:paraId="0908D97F" w14:textId="77777777" w:rsidR="0037407E" w:rsidRDefault="0037407E" w:rsidP="0037407E">
      <w:pPr>
        <w:pStyle w:val="a3"/>
        <w:rPr>
          <w:lang w:val="hu-HU"/>
        </w:rPr>
      </w:pPr>
      <w:r>
        <w:rPr>
          <w:rFonts w:eastAsia="Times New Roman"/>
          <w:lang w:val="hu-HU"/>
        </w:rPr>
        <w:t>A fent leírt tünetek az alábbiakban felsorolt mellékhatások jelei is lehetnek, melyeket a Yuflyma alkalmazása során észleltek:</w:t>
      </w:r>
    </w:p>
    <w:p w14:paraId="338C9170" w14:textId="77777777" w:rsidR="0037407E" w:rsidRDefault="0037407E" w:rsidP="0037407E">
      <w:pPr>
        <w:spacing w:before="10" w:line="240" w:lineRule="exact"/>
        <w:rPr>
          <w:sz w:val="24"/>
          <w:szCs w:val="24"/>
          <w:lang w:val="hu-HU"/>
        </w:rPr>
      </w:pPr>
    </w:p>
    <w:p w14:paraId="32B44749" w14:textId="77777777" w:rsidR="0037407E" w:rsidRDefault="0037407E" w:rsidP="0037407E">
      <w:pPr>
        <w:pStyle w:val="a3"/>
        <w:rPr>
          <w:lang w:val="hu-HU"/>
        </w:rPr>
      </w:pPr>
      <w:r>
        <w:rPr>
          <w:rFonts w:eastAsia="Times New Roman"/>
          <w:b/>
          <w:bCs/>
          <w:lang w:val="hu-HU"/>
        </w:rPr>
        <w:t xml:space="preserve">Nagyon gyakori </w:t>
      </w:r>
      <w:r>
        <w:rPr>
          <w:rFonts w:eastAsia="Times New Roman"/>
          <w:lang w:val="hu-HU"/>
        </w:rPr>
        <w:t>(10 beteg közül több mint 1-nél kialakuló)</w:t>
      </w:r>
    </w:p>
    <w:p w14:paraId="491F8DF1" w14:textId="77777777" w:rsidR="0037407E" w:rsidRDefault="0037407E" w:rsidP="0037407E">
      <w:pPr>
        <w:spacing w:before="14" w:line="240" w:lineRule="exact"/>
        <w:rPr>
          <w:sz w:val="24"/>
          <w:szCs w:val="24"/>
          <w:lang w:val="hu-HU"/>
        </w:rPr>
      </w:pPr>
    </w:p>
    <w:p w14:paraId="5A9528E5" w14:textId="77777777" w:rsidR="0037407E" w:rsidRDefault="0037407E" w:rsidP="0037407E">
      <w:pPr>
        <w:pStyle w:val="a3"/>
        <w:numPr>
          <w:ilvl w:val="0"/>
          <w:numId w:val="15"/>
        </w:numPr>
        <w:ind w:left="660" w:hanging="660"/>
        <w:rPr>
          <w:lang w:val="hu-HU"/>
        </w:rPr>
      </w:pPr>
      <w:r>
        <w:rPr>
          <w:rFonts w:eastAsia="Times New Roman"/>
          <w:lang w:val="hu-HU"/>
        </w:rPr>
        <w:t>helyi reakció az injekció beadásának helyén (beleértve fájdalom, duzzadás, vörösség vagy viszketés)</w:t>
      </w:r>
    </w:p>
    <w:p w14:paraId="274ECAEF" w14:textId="77777777" w:rsidR="0037407E" w:rsidRDefault="0037407E" w:rsidP="0037407E">
      <w:pPr>
        <w:pStyle w:val="a3"/>
        <w:numPr>
          <w:ilvl w:val="0"/>
          <w:numId w:val="15"/>
        </w:numPr>
        <w:ind w:left="660" w:hanging="660"/>
        <w:rPr>
          <w:lang w:val="hu-HU"/>
        </w:rPr>
      </w:pPr>
      <w:r>
        <w:rPr>
          <w:rFonts w:eastAsia="Times New Roman"/>
          <w:lang w:val="hu-HU"/>
        </w:rPr>
        <w:t>légúti fertőzések (beleértve a megfázást, orrfolyást, melléküreg-gyulladást, tüdőgyulladást is</w:t>
      </w:r>
    </w:p>
    <w:p w14:paraId="14CC0253" w14:textId="77777777" w:rsidR="0037407E" w:rsidRDefault="0037407E" w:rsidP="0037407E">
      <w:pPr>
        <w:pStyle w:val="a3"/>
        <w:numPr>
          <w:ilvl w:val="0"/>
          <w:numId w:val="15"/>
        </w:numPr>
        <w:ind w:left="660" w:hanging="660"/>
        <w:rPr>
          <w:lang w:val="hu-HU"/>
        </w:rPr>
      </w:pPr>
      <w:r>
        <w:rPr>
          <w:rFonts w:eastAsia="Times New Roman"/>
          <w:lang w:val="hu-HU"/>
        </w:rPr>
        <w:t>fejfájás</w:t>
      </w:r>
    </w:p>
    <w:p w14:paraId="7181F946" w14:textId="77777777" w:rsidR="0037407E" w:rsidRDefault="0037407E" w:rsidP="0037407E">
      <w:pPr>
        <w:pStyle w:val="a3"/>
        <w:numPr>
          <w:ilvl w:val="0"/>
          <w:numId w:val="15"/>
        </w:numPr>
        <w:ind w:left="660" w:hanging="660"/>
        <w:rPr>
          <w:lang w:val="hu-HU"/>
        </w:rPr>
      </w:pPr>
      <w:r>
        <w:rPr>
          <w:rFonts w:eastAsia="Times New Roman"/>
          <w:lang w:val="hu-HU"/>
        </w:rPr>
        <w:t>hasi fájdalom</w:t>
      </w:r>
    </w:p>
    <w:p w14:paraId="2244EB71" w14:textId="77777777" w:rsidR="0037407E" w:rsidRDefault="0037407E" w:rsidP="0037407E">
      <w:pPr>
        <w:pStyle w:val="a3"/>
        <w:numPr>
          <w:ilvl w:val="0"/>
          <w:numId w:val="15"/>
        </w:numPr>
        <w:ind w:left="660" w:hanging="660"/>
        <w:rPr>
          <w:lang w:val="hu-HU"/>
        </w:rPr>
      </w:pPr>
      <w:r>
        <w:rPr>
          <w:rFonts w:eastAsia="Times New Roman"/>
          <w:lang w:val="hu-HU"/>
        </w:rPr>
        <w:lastRenderedPageBreak/>
        <w:t>hányinger és hányás</w:t>
      </w:r>
    </w:p>
    <w:p w14:paraId="49090F03" w14:textId="77777777" w:rsidR="0037407E" w:rsidRDefault="0037407E" w:rsidP="0037407E">
      <w:pPr>
        <w:pStyle w:val="a3"/>
        <w:numPr>
          <w:ilvl w:val="0"/>
          <w:numId w:val="15"/>
        </w:numPr>
        <w:ind w:left="660" w:hanging="660"/>
        <w:rPr>
          <w:lang w:val="hu-HU"/>
        </w:rPr>
      </w:pPr>
      <w:r>
        <w:rPr>
          <w:rFonts w:eastAsia="Times New Roman"/>
          <w:lang w:val="hu-HU"/>
        </w:rPr>
        <w:t>bőrkiütés</w:t>
      </w:r>
    </w:p>
    <w:p w14:paraId="7B91D26F" w14:textId="77777777" w:rsidR="0037407E" w:rsidRDefault="0037407E" w:rsidP="0037407E">
      <w:pPr>
        <w:pStyle w:val="a3"/>
        <w:numPr>
          <w:ilvl w:val="0"/>
          <w:numId w:val="15"/>
        </w:numPr>
        <w:ind w:left="660" w:hanging="660"/>
        <w:rPr>
          <w:lang w:val="hu-HU"/>
        </w:rPr>
      </w:pPr>
      <w:r>
        <w:rPr>
          <w:lang w:val="hu-HU"/>
        </w:rPr>
        <w:t>izomfájdalom.</w:t>
      </w:r>
    </w:p>
    <w:p w14:paraId="2442DF31" w14:textId="77777777" w:rsidR="0037407E" w:rsidRDefault="0037407E" w:rsidP="0037407E">
      <w:pPr>
        <w:spacing w:before="9" w:line="220" w:lineRule="exact"/>
        <w:rPr>
          <w:lang w:val="hu-HU"/>
        </w:rPr>
      </w:pPr>
    </w:p>
    <w:p w14:paraId="34791FD0" w14:textId="0E5D4BBA" w:rsidR="0037407E" w:rsidRDefault="0037407E" w:rsidP="0037407E">
      <w:pPr>
        <w:pStyle w:val="a3"/>
        <w:rPr>
          <w:lang w:val="hu-HU"/>
        </w:rPr>
      </w:pPr>
      <w:r>
        <w:rPr>
          <w:rFonts w:eastAsia="Times New Roman"/>
          <w:b/>
          <w:bCs/>
          <w:lang w:val="hu-HU"/>
        </w:rPr>
        <w:t xml:space="preserve">Gyakori </w:t>
      </w:r>
      <w:r>
        <w:rPr>
          <w:rFonts w:eastAsia="Times New Roman"/>
          <w:lang w:val="hu-HU"/>
        </w:rPr>
        <w:t xml:space="preserve">(10 beteg közül </w:t>
      </w:r>
      <w:r w:rsidR="005F5974" w:rsidRPr="0038367E">
        <w:rPr>
          <w:rFonts w:eastAsia="Times New Roman"/>
          <w:lang w:val="hu-HU"/>
        </w:rPr>
        <w:t>legfeljebb</w:t>
      </w:r>
      <w:r w:rsidR="005F5974">
        <w:rPr>
          <w:rFonts w:eastAsia="Times New Roman"/>
          <w:lang w:val="hu-HU"/>
        </w:rPr>
        <w:t xml:space="preserve"> </w:t>
      </w:r>
      <w:r>
        <w:rPr>
          <w:rFonts w:eastAsia="Times New Roman"/>
          <w:lang w:val="hu-HU"/>
        </w:rPr>
        <w:t>1-nél kialakuló)</w:t>
      </w:r>
    </w:p>
    <w:p w14:paraId="25C62D34" w14:textId="77777777" w:rsidR="0037407E" w:rsidRDefault="0037407E" w:rsidP="0037407E">
      <w:pPr>
        <w:spacing w:before="14" w:line="240" w:lineRule="exact"/>
        <w:rPr>
          <w:sz w:val="24"/>
          <w:szCs w:val="24"/>
          <w:lang w:val="hu-HU"/>
        </w:rPr>
      </w:pPr>
    </w:p>
    <w:p w14:paraId="3EC0F809" w14:textId="77777777" w:rsidR="0037407E" w:rsidRDefault="0037407E" w:rsidP="0037407E">
      <w:pPr>
        <w:pStyle w:val="a3"/>
        <w:numPr>
          <w:ilvl w:val="0"/>
          <w:numId w:val="15"/>
        </w:numPr>
        <w:ind w:left="660" w:hanging="660"/>
        <w:rPr>
          <w:lang w:val="hu-HU"/>
        </w:rPr>
      </w:pPr>
      <w:r>
        <w:rPr>
          <w:rFonts w:eastAsia="Times New Roman"/>
          <w:lang w:val="hu-HU"/>
        </w:rPr>
        <w:t>súlyos fertőzések (beleértve a vérmérgezést és az influenzát is)</w:t>
      </w:r>
    </w:p>
    <w:p w14:paraId="0BF84A70" w14:textId="77777777" w:rsidR="0037407E" w:rsidRDefault="0037407E" w:rsidP="0037407E">
      <w:pPr>
        <w:pStyle w:val="a3"/>
        <w:numPr>
          <w:ilvl w:val="0"/>
          <w:numId w:val="15"/>
        </w:numPr>
        <w:ind w:left="660" w:hanging="660"/>
        <w:rPr>
          <w:lang w:val="hu-HU"/>
        </w:rPr>
      </w:pPr>
      <w:r>
        <w:rPr>
          <w:rFonts w:eastAsia="Times New Roman"/>
          <w:lang w:val="hu-HU"/>
        </w:rPr>
        <w:t>bélfertőzések (beleértve a gyomor-bélgyulladást is),</w:t>
      </w:r>
    </w:p>
    <w:p w14:paraId="4F4C6402" w14:textId="77777777" w:rsidR="0037407E" w:rsidRDefault="0037407E" w:rsidP="0037407E">
      <w:pPr>
        <w:pStyle w:val="a3"/>
        <w:numPr>
          <w:ilvl w:val="0"/>
          <w:numId w:val="15"/>
        </w:numPr>
        <w:ind w:left="660" w:hanging="660"/>
        <w:rPr>
          <w:lang w:val="hu-HU"/>
        </w:rPr>
      </w:pPr>
      <w:r>
        <w:rPr>
          <w:rFonts w:eastAsia="Times New Roman"/>
          <w:lang w:val="hu-HU"/>
        </w:rPr>
        <w:t>bőrfertőzések (beleértve a kötőszövet-gyulladást és az övsömört is)</w:t>
      </w:r>
    </w:p>
    <w:p w14:paraId="40A578D8" w14:textId="77777777" w:rsidR="0037407E" w:rsidRDefault="0037407E" w:rsidP="0037407E">
      <w:pPr>
        <w:pStyle w:val="a3"/>
        <w:numPr>
          <w:ilvl w:val="0"/>
          <w:numId w:val="15"/>
        </w:numPr>
        <w:ind w:left="660" w:hanging="660"/>
        <w:rPr>
          <w:lang w:val="hu-HU"/>
        </w:rPr>
      </w:pPr>
      <w:r>
        <w:rPr>
          <w:rFonts w:eastAsia="Times New Roman"/>
          <w:lang w:val="hu-HU"/>
        </w:rPr>
        <w:t>fülfertőzések</w:t>
      </w:r>
    </w:p>
    <w:p w14:paraId="2719C153" w14:textId="77777777" w:rsidR="0037407E" w:rsidRDefault="0037407E" w:rsidP="0037407E">
      <w:pPr>
        <w:pStyle w:val="a3"/>
        <w:numPr>
          <w:ilvl w:val="0"/>
          <w:numId w:val="15"/>
        </w:numPr>
        <w:ind w:left="660" w:hanging="660"/>
        <w:rPr>
          <w:lang w:val="hu-HU"/>
        </w:rPr>
      </w:pPr>
      <w:r>
        <w:rPr>
          <w:rFonts w:eastAsia="Times New Roman"/>
          <w:lang w:val="hu-HU"/>
        </w:rPr>
        <w:t>szájüregi fertőzések (beleértve a fogfertőzéseket és az ajakherpeszt is)</w:t>
      </w:r>
    </w:p>
    <w:p w14:paraId="221A523D" w14:textId="77777777" w:rsidR="0037407E" w:rsidRDefault="0037407E" w:rsidP="0037407E">
      <w:pPr>
        <w:pStyle w:val="a3"/>
        <w:numPr>
          <w:ilvl w:val="0"/>
          <w:numId w:val="15"/>
        </w:numPr>
        <w:ind w:left="660" w:hanging="660"/>
        <w:rPr>
          <w:lang w:val="hu-HU"/>
        </w:rPr>
      </w:pPr>
      <w:r>
        <w:rPr>
          <w:rFonts w:eastAsia="Times New Roman"/>
          <w:lang w:val="hu-HU"/>
        </w:rPr>
        <w:t>nemi szervek fertőzései</w:t>
      </w:r>
    </w:p>
    <w:p w14:paraId="66D1B3C4" w14:textId="77777777" w:rsidR="0037407E" w:rsidRDefault="0037407E" w:rsidP="0037407E">
      <w:pPr>
        <w:pStyle w:val="a3"/>
        <w:numPr>
          <w:ilvl w:val="0"/>
          <w:numId w:val="15"/>
        </w:numPr>
        <w:ind w:left="660" w:hanging="660"/>
        <w:rPr>
          <w:lang w:val="hu-HU"/>
        </w:rPr>
      </w:pPr>
      <w:r>
        <w:rPr>
          <w:rFonts w:eastAsia="Times New Roman"/>
          <w:lang w:val="hu-HU"/>
        </w:rPr>
        <w:t>húgyúti fertőzés</w:t>
      </w:r>
    </w:p>
    <w:p w14:paraId="15EA5C98" w14:textId="77777777" w:rsidR="0037407E" w:rsidRDefault="0037407E" w:rsidP="0037407E">
      <w:pPr>
        <w:pStyle w:val="a3"/>
        <w:numPr>
          <w:ilvl w:val="0"/>
          <w:numId w:val="15"/>
        </w:numPr>
        <w:ind w:left="660" w:hanging="660"/>
        <w:rPr>
          <w:lang w:val="hu-HU"/>
        </w:rPr>
      </w:pPr>
      <w:r>
        <w:rPr>
          <w:rFonts w:eastAsia="Times New Roman"/>
          <w:lang w:val="hu-HU"/>
        </w:rPr>
        <w:t>gombás fertőzések</w:t>
      </w:r>
    </w:p>
    <w:p w14:paraId="5AEEE665" w14:textId="77777777" w:rsidR="0037407E" w:rsidRDefault="0037407E" w:rsidP="0037407E">
      <w:pPr>
        <w:pStyle w:val="a3"/>
        <w:numPr>
          <w:ilvl w:val="0"/>
          <w:numId w:val="15"/>
        </w:numPr>
        <w:ind w:left="660" w:hanging="660"/>
        <w:rPr>
          <w:lang w:val="hu-HU"/>
        </w:rPr>
      </w:pPr>
      <w:r>
        <w:rPr>
          <w:rFonts w:eastAsia="Times New Roman"/>
          <w:lang w:val="hu-HU"/>
        </w:rPr>
        <w:t>ízületi fertőzések</w:t>
      </w:r>
    </w:p>
    <w:p w14:paraId="1A098CDB" w14:textId="77777777" w:rsidR="0037407E" w:rsidRDefault="0037407E" w:rsidP="0037407E">
      <w:pPr>
        <w:pStyle w:val="a3"/>
        <w:numPr>
          <w:ilvl w:val="0"/>
          <w:numId w:val="15"/>
        </w:numPr>
        <w:ind w:left="660" w:hanging="660"/>
        <w:rPr>
          <w:lang w:val="hu-HU"/>
        </w:rPr>
      </w:pPr>
      <w:r>
        <w:rPr>
          <w:rFonts w:eastAsia="Times New Roman"/>
          <w:lang w:val="hu-HU"/>
        </w:rPr>
        <w:t>jóindulatú daganatok</w:t>
      </w:r>
    </w:p>
    <w:p w14:paraId="7B6D7111" w14:textId="77777777" w:rsidR="0037407E" w:rsidRDefault="0037407E" w:rsidP="0037407E">
      <w:pPr>
        <w:pStyle w:val="a3"/>
        <w:numPr>
          <w:ilvl w:val="0"/>
          <w:numId w:val="15"/>
        </w:numPr>
        <w:ind w:left="660" w:hanging="660"/>
        <w:rPr>
          <w:lang w:val="hu-HU"/>
        </w:rPr>
      </w:pPr>
      <w:r>
        <w:rPr>
          <w:rFonts w:eastAsia="Times New Roman"/>
          <w:lang w:val="hu-HU"/>
        </w:rPr>
        <w:t>bőrrák</w:t>
      </w:r>
    </w:p>
    <w:p w14:paraId="30978C44" w14:textId="77777777" w:rsidR="0037407E" w:rsidRDefault="0037407E" w:rsidP="0037407E">
      <w:pPr>
        <w:pStyle w:val="a3"/>
        <w:numPr>
          <w:ilvl w:val="0"/>
          <w:numId w:val="15"/>
        </w:numPr>
        <w:ind w:left="660" w:hanging="660"/>
        <w:rPr>
          <w:lang w:val="hu-HU"/>
        </w:rPr>
      </w:pPr>
      <w:r>
        <w:rPr>
          <w:rFonts w:eastAsia="Times New Roman"/>
          <w:lang w:val="hu-HU"/>
        </w:rPr>
        <w:t>allergiás reakciók (beleértve a szezonális allergiát)</w:t>
      </w:r>
    </w:p>
    <w:p w14:paraId="40ECE68B" w14:textId="77777777" w:rsidR="0037407E" w:rsidRDefault="0037407E" w:rsidP="0037407E">
      <w:pPr>
        <w:pStyle w:val="a3"/>
        <w:numPr>
          <w:ilvl w:val="0"/>
          <w:numId w:val="15"/>
        </w:numPr>
        <w:ind w:left="660" w:hanging="660"/>
        <w:rPr>
          <w:lang w:val="hu-HU"/>
        </w:rPr>
      </w:pPr>
      <w:r>
        <w:rPr>
          <w:rFonts w:eastAsia="Times New Roman"/>
          <w:lang w:val="hu-HU"/>
        </w:rPr>
        <w:t>kiszáradás</w:t>
      </w:r>
    </w:p>
    <w:p w14:paraId="5B55342B" w14:textId="77777777" w:rsidR="0037407E" w:rsidRDefault="0037407E" w:rsidP="0037407E">
      <w:pPr>
        <w:pStyle w:val="a3"/>
        <w:numPr>
          <w:ilvl w:val="0"/>
          <w:numId w:val="15"/>
        </w:numPr>
        <w:ind w:left="660" w:hanging="660"/>
        <w:rPr>
          <w:lang w:val="hu-HU"/>
        </w:rPr>
      </w:pPr>
      <w:r>
        <w:rPr>
          <w:rFonts w:eastAsia="Times New Roman"/>
          <w:lang w:val="hu-HU"/>
        </w:rPr>
        <w:t>hangulatváltozás (beleértve a depressziót)</w:t>
      </w:r>
    </w:p>
    <w:p w14:paraId="6EBF2F02" w14:textId="77777777" w:rsidR="0037407E" w:rsidRDefault="0037407E" w:rsidP="0037407E">
      <w:pPr>
        <w:pStyle w:val="a3"/>
        <w:numPr>
          <w:ilvl w:val="0"/>
          <w:numId w:val="15"/>
        </w:numPr>
        <w:ind w:left="660" w:hanging="660"/>
        <w:rPr>
          <w:lang w:val="hu-HU"/>
        </w:rPr>
      </w:pPr>
      <w:r>
        <w:rPr>
          <w:rFonts w:eastAsia="Times New Roman"/>
          <w:lang w:val="hu-HU"/>
        </w:rPr>
        <w:t>szorongás</w:t>
      </w:r>
    </w:p>
    <w:p w14:paraId="377B5451" w14:textId="77777777" w:rsidR="0037407E" w:rsidRDefault="0037407E" w:rsidP="0037407E">
      <w:pPr>
        <w:pStyle w:val="a3"/>
        <w:numPr>
          <w:ilvl w:val="0"/>
          <w:numId w:val="15"/>
        </w:numPr>
        <w:ind w:left="660" w:hanging="660"/>
        <w:rPr>
          <w:lang w:val="hu-HU"/>
        </w:rPr>
      </w:pPr>
      <w:r>
        <w:rPr>
          <w:rFonts w:eastAsia="Times New Roman"/>
          <w:lang w:val="hu-HU"/>
        </w:rPr>
        <w:t>álmatlanság</w:t>
      </w:r>
    </w:p>
    <w:p w14:paraId="115E732E" w14:textId="77777777" w:rsidR="0037407E" w:rsidRDefault="0037407E" w:rsidP="0037407E">
      <w:pPr>
        <w:pStyle w:val="a3"/>
        <w:numPr>
          <w:ilvl w:val="0"/>
          <w:numId w:val="15"/>
        </w:numPr>
        <w:ind w:left="660" w:hanging="660"/>
        <w:rPr>
          <w:lang w:val="hu-HU"/>
        </w:rPr>
      </w:pPr>
      <w:r>
        <w:rPr>
          <w:rFonts w:eastAsia="Times New Roman"/>
          <w:lang w:val="hu-HU"/>
        </w:rPr>
        <w:t>érzészavarok, például bizsergés, szurkáló érzés vagy zsibbadás</w:t>
      </w:r>
    </w:p>
    <w:p w14:paraId="6F7577B0" w14:textId="77777777" w:rsidR="0037407E" w:rsidRDefault="0037407E" w:rsidP="0037407E">
      <w:pPr>
        <w:pStyle w:val="a3"/>
        <w:numPr>
          <w:ilvl w:val="0"/>
          <w:numId w:val="15"/>
        </w:numPr>
        <w:ind w:left="660" w:hanging="660"/>
        <w:rPr>
          <w:lang w:val="hu-HU"/>
        </w:rPr>
      </w:pPr>
      <w:r>
        <w:rPr>
          <w:rFonts w:eastAsia="Times New Roman"/>
          <w:lang w:val="hu-HU"/>
        </w:rPr>
        <w:t>migrén</w:t>
      </w:r>
    </w:p>
    <w:p w14:paraId="087D7BD3" w14:textId="77777777" w:rsidR="0037407E" w:rsidRDefault="0037407E" w:rsidP="0037407E">
      <w:pPr>
        <w:pStyle w:val="a3"/>
        <w:numPr>
          <w:ilvl w:val="0"/>
          <w:numId w:val="15"/>
        </w:numPr>
        <w:ind w:left="660" w:hanging="660"/>
        <w:rPr>
          <w:lang w:val="hu-HU"/>
        </w:rPr>
      </w:pPr>
      <w:r>
        <w:rPr>
          <w:rFonts w:eastAsia="Times New Roman"/>
          <w:lang w:val="hu-HU"/>
        </w:rPr>
        <w:t>ideggyök nyomási tünetei (beleértve a derékfájdalmat és a lábfájást is)</w:t>
      </w:r>
    </w:p>
    <w:p w14:paraId="5103FBE2" w14:textId="77777777" w:rsidR="0037407E" w:rsidRDefault="0037407E" w:rsidP="0037407E">
      <w:pPr>
        <w:pStyle w:val="a3"/>
        <w:numPr>
          <w:ilvl w:val="0"/>
          <w:numId w:val="15"/>
        </w:numPr>
        <w:ind w:left="660" w:hanging="660"/>
        <w:rPr>
          <w:lang w:val="hu-HU"/>
        </w:rPr>
      </w:pPr>
      <w:r>
        <w:rPr>
          <w:rFonts w:eastAsia="Times New Roman"/>
          <w:lang w:val="hu-HU"/>
        </w:rPr>
        <w:t>látászavar</w:t>
      </w:r>
    </w:p>
    <w:p w14:paraId="20E2E9B7" w14:textId="77777777" w:rsidR="0037407E" w:rsidRDefault="0037407E" w:rsidP="0037407E">
      <w:pPr>
        <w:pStyle w:val="a3"/>
        <w:numPr>
          <w:ilvl w:val="0"/>
          <w:numId w:val="15"/>
        </w:numPr>
        <w:ind w:left="660" w:hanging="660"/>
        <w:rPr>
          <w:lang w:val="hu-HU"/>
        </w:rPr>
      </w:pPr>
      <w:r>
        <w:rPr>
          <w:rFonts w:eastAsia="Times New Roman"/>
          <w:lang w:val="hu-HU"/>
        </w:rPr>
        <w:t>szemgyulladás</w:t>
      </w:r>
    </w:p>
    <w:p w14:paraId="3C2CD870" w14:textId="77777777" w:rsidR="0037407E" w:rsidRDefault="0037407E" w:rsidP="0037407E">
      <w:pPr>
        <w:pStyle w:val="a3"/>
        <w:numPr>
          <w:ilvl w:val="0"/>
          <w:numId w:val="15"/>
        </w:numPr>
        <w:ind w:left="660" w:hanging="660"/>
        <w:rPr>
          <w:lang w:val="hu-HU"/>
        </w:rPr>
      </w:pPr>
      <w:r>
        <w:rPr>
          <w:rFonts w:eastAsia="Times New Roman"/>
          <w:lang w:val="hu-HU"/>
        </w:rPr>
        <w:t>szemhéj gyulladása és a szem duzzanata</w:t>
      </w:r>
    </w:p>
    <w:p w14:paraId="1F781B0E" w14:textId="77777777" w:rsidR="0037407E" w:rsidRDefault="0037407E" w:rsidP="0037407E">
      <w:pPr>
        <w:pStyle w:val="a3"/>
        <w:numPr>
          <w:ilvl w:val="0"/>
          <w:numId w:val="15"/>
        </w:numPr>
        <w:ind w:left="660" w:hanging="660"/>
        <w:rPr>
          <w:lang w:val="hu-HU"/>
        </w:rPr>
      </w:pPr>
      <w:r>
        <w:rPr>
          <w:rFonts w:eastAsia="Times New Roman"/>
          <w:lang w:val="hu-HU"/>
        </w:rPr>
        <w:t>forgó jellegű szédülés (vertigo)</w:t>
      </w:r>
    </w:p>
    <w:p w14:paraId="5DB29DCF" w14:textId="77777777" w:rsidR="0037407E" w:rsidRDefault="0037407E" w:rsidP="0037407E">
      <w:pPr>
        <w:pStyle w:val="a3"/>
        <w:numPr>
          <w:ilvl w:val="0"/>
          <w:numId w:val="15"/>
        </w:numPr>
        <w:ind w:left="660" w:hanging="660"/>
        <w:rPr>
          <w:lang w:val="hu-HU"/>
        </w:rPr>
      </w:pPr>
      <w:r>
        <w:rPr>
          <w:rFonts w:eastAsia="Times New Roman"/>
          <w:lang w:val="hu-HU"/>
        </w:rPr>
        <w:t>gyors szívverés érzés</w:t>
      </w:r>
    </w:p>
    <w:p w14:paraId="285CF11B" w14:textId="77777777" w:rsidR="0037407E" w:rsidRDefault="0037407E" w:rsidP="0037407E">
      <w:pPr>
        <w:pStyle w:val="a3"/>
        <w:numPr>
          <w:ilvl w:val="0"/>
          <w:numId w:val="15"/>
        </w:numPr>
        <w:ind w:left="660" w:hanging="660"/>
        <w:rPr>
          <w:lang w:val="hu-HU"/>
        </w:rPr>
      </w:pPr>
      <w:r>
        <w:rPr>
          <w:rFonts w:eastAsia="Times New Roman"/>
          <w:lang w:val="hu-HU"/>
        </w:rPr>
        <w:t>magas vérnyomás</w:t>
      </w:r>
    </w:p>
    <w:p w14:paraId="109A69A9" w14:textId="77777777" w:rsidR="0037407E" w:rsidRDefault="0037407E" w:rsidP="0037407E">
      <w:pPr>
        <w:pStyle w:val="a3"/>
        <w:numPr>
          <w:ilvl w:val="0"/>
          <w:numId w:val="15"/>
        </w:numPr>
        <w:ind w:left="660" w:hanging="660"/>
        <w:rPr>
          <w:lang w:val="hu-HU"/>
        </w:rPr>
      </w:pPr>
      <w:r>
        <w:rPr>
          <w:rFonts w:eastAsia="Times New Roman"/>
          <w:lang w:val="hu-HU"/>
        </w:rPr>
        <w:t>kipirulás</w:t>
      </w:r>
    </w:p>
    <w:p w14:paraId="0ED42B80" w14:textId="77777777" w:rsidR="0037407E" w:rsidRDefault="0037407E" w:rsidP="0037407E">
      <w:pPr>
        <w:pStyle w:val="a3"/>
        <w:numPr>
          <w:ilvl w:val="0"/>
          <w:numId w:val="15"/>
        </w:numPr>
        <w:ind w:left="660" w:hanging="660"/>
        <w:rPr>
          <w:lang w:val="hu-HU"/>
        </w:rPr>
      </w:pPr>
      <w:r>
        <w:rPr>
          <w:rFonts w:eastAsia="Times New Roman"/>
          <w:lang w:val="hu-HU"/>
        </w:rPr>
        <w:t>vérömleny (vérgyülem az ereken kívül)</w:t>
      </w:r>
    </w:p>
    <w:p w14:paraId="7C957C54" w14:textId="77777777" w:rsidR="0037407E" w:rsidRDefault="0037407E" w:rsidP="0037407E">
      <w:pPr>
        <w:pStyle w:val="a3"/>
        <w:numPr>
          <w:ilvl w:val="0"/>
          <w:numId w:val="15"/>
        </w:numPr>
        <w:ind w:left="660" w:hanging="660"/>
        <w:rPr>
          <w:lang w:val="hu-HU"/>
        </w:rPr>
      </w:pPr>
      <w:r>
        <w:rPr>
          <w:rFonts w:eastAsia="Times New Roman"/>
          <w:lang w:val="hu-HU"/>
        </w:rPr>
        <w:t>köhögés</w:t>
      </w:r>
    </w:p>
    <w:p w14:paraId="0DCF9084" w14:textId="77777777" w:rsidR="0037407E" w:rsidRDefault="0037407E" w:rsidP="0037407E">
      <w:pPr>
        <w:pStyle w:val="a3"/>
        <w:numPr>
          <w:ilvl w:val="0"/>
          <w:numId w:val="15"/>
        </w:numPr>
        <w:ind w:left="660" w:hanging="660"/>
        <w:rPr>
          <w:lang w:val="hu-HU"/>
        </w:rPr>
      </w:pPr>
      <w:r>
        <w:rPr>
          <w:rFonts w:eastAsia="Times New Roman"/>
          <w:lang w:val="hu-HU"/>
        </w:rPr>
        <w:t>asztma</w:t>
      </w:r>
    </w:p>
    <w:p w14:paraId="6EE7BDF0" w14:textId="77777777" w:rsidR="0037407E" w:rsidRDefault="0037407E" w:rsidP="0037407E">
      <w:pPr>
        <w:pStyle w:val="a3"/>
        <w:numPr>
          <w:ilvl w:val="0"/>
          <w:numId w:val="15"/>
        </w:numPr>
        <w:ind w:left="660" w:hanging="660"/>
        <w:rPr>
          <w:lang w:val="hu-HU"/>
        </w:rPr>
      </w:pPr>
      <w:r>
        <w:rPr>
          <w:rFonts w:eastAsia="Times New Roman"/>
          <w:lang w:val="hu-HU"/>
        </w:rPr>
        <w:t>légszomj</w:t>
      </w:r>
    </w:p>
    <w:p w14:paraId="4B6EA3E9" w14:textId="77777777" w:rsidR="0037407E" w:rsidRDefault="0037407E" w:rsidP="0037407E">
      <w:pPr>
        <w:pStyle w:val="a3"/>
        <w:numPr>
          <w:ilvl w:val="0"/>
          <w:numId w:val="15"/>
        </w:numPr>
        <w:ind w:left="660" w:hanging="660"/>
        <w:rPr>
          <w:lang w:val="hu-HU"/>
        </w:rPr>
      </w:pPr>
      <w:r>
        <w:rPr>
          <w:rFonts w:eastAsia="Times New Roman"/>
          <w:lang w:val="hu-HU"/>
        </w:rPr>
        <w:t>tápcsatorna eredetű vérzés</w:t>
      </w:r>
    </w:p>
    <w:p w14:paraId="6E930812" w14:textId="77777777" w:rsidR="0037407E" w:rsidRDefault="0037407E" w:rsidP="0037407E">
      <w:pPr>
        <w:pStyle w:val="a3"/>
        <w:numPr>
          <w:ilvl w:val="0"/>
          <w:numId w:val="15"/>
        </w:numPr>
        <w:ind w:left="660" w:hanging="660"/>
        <w:rPr>
          <w:lang w:val="hu-HU"/>
        </w:rPr>
      </w:pPr>
      <w:r>
        <w:rPr>
          <w:rFonts w:eastAsia="Times New Roman"/>
          <w:lang w:val="hu-HU"/>
        </w:rPr>
        <w:t>diszpepszia (emésztési zavar, puffadás, gyomorégés)</w:t>
      </w:r>
    </w:p>
    <w:p w14:paraId="19A97FFF" w14:textId="77777777" w:rsidR="0037407E" w:rsidRDefault="0037407E" w:rsidP="0037407E">
      <w:pPr>
        <w:pStyle w:val="a3"/>
        <w:numPr>
          <w:ilvl w:val="0"/>
          <w:numId w:val="15"/>
        </w:numPr>
        <w:ind w:left="660" w:hanging="660"/>
        <w:rPr>
          <w:lang w:val="hu-HU"/>
        </w:rPr>
      </w:pPr>
      <w:r>
        <w:rPr>
          <w:rFonts w:eastAsia="Times New Roman"/>
          <w:lang w:val="hu-HU"/>
        </w:rPr>
        <w:t>a gyomorsav visszafolyása a nyelőcsőbe</w:t>
      </w:r>
    </w:p>
    <w:p w14:paraId="16A00B04" w14:textId="77777777" w:rsidR="0037407E" w:rsidRDefault="0037407E" w:rsidP="0037407E">
      <w:pPr>
        <w:pStyle w:val="a3"/>
        <w:numPr>
          <w:ilvl w:val="0"/>
          <w:numId w:val="15"/>
        </w:numPr>
        <w:ind w:left="660" w:hanging="660"/>
        <w:rPr>
          <w:lang w:val="hu-HU"/>
        </w:rPr>
      </w:pPr>
      <w:r>
        <w:rPr>
          <w:rFonts w:eastAsia="Times New Roman"/>
          <w:lang w:val="hu-HU"/>
        </w:rPr>
        <w:t>szikka szindróma (beleértve a szemszárazságot és a szájszárazságot)</w:t>
      </w:r>
    </w:p>
    <w:p w14:paraId="14D366D5" w14:textId="77777777" w:rsidR="0037407E" w:rsidRDefault="0037407E" w:rsidP="0037407E">
      <w:pPr>
        <w:pStyle w:val="a3"/>
        <w:numPr>
          <w:ilvl w:val="0"/>
          <w:numId w:val="15"/>
        </w:numPr>
        <w:ind w:left="660" w:hanging="660"/>
        <w:rPr>
          <w:lang w:val="hu-HU"/>
        </w:rPr>
      </w:pPr>
      <w:r>
        <w:rPr>
          <w:rFonts w:eastAsia="Times New Roman"/>
          <w:lang w:val="hu-HU"/>
        </w:rPr>
        <w:t>viszketés</w:t>
      </w:r>
    </w:p>
    <w:p w14:paraId="0D1CACB5" w14:textId="77777777" w:rsidR="0037407E" w:rsidRDefault="0037407E" w:rsidP="0037407E">
      <w:pPr>
        <w:pStyle w:val="a3"/>
        <w:numPr>
          <w:ilvl w:val="0"/>
          <w:numId w:val="15"/>
        </w:numPr>
        <w:ind w:left="660" w:hanging="660"/>
        <w:rPr>
          <w:rFonts w:eastAsia="Times New Roman"/>
          <w:spacing w:val="-1"/>
          <w:lang w:val="hu-HU"/>
        </w:rPr>
      </w:pPr>
      <w:r>
        <w:rPr>
          <w:rFonts w:eastAsia="Times New Roman"/>
          <w:lang w:val="hu-HU"/>
        </w:rPr>
        <w:t>viszkető bőrkiütés</w:t>
      </w:r>
    </w:p>
    <w:p w14:paraId="201A5F7E" w14:textId="77777777" w:rsidR="0037407E" w:rsidRDefault="0037407E" w:rsidP="0037407E">
      <w:pPr>
        <w:pStyle w:val="a3"/>
        <w:numPr>
          <w:ilvl w:val="0"/>
          <w:numId w:val="15"/>
        </w:numPr>
        <w:ind w:left="660" w:hanging="660"/>
        <w:rPr>
          <w:lang w:val="hu-HU"/>
        </w:rPr>
      </w:pPr>
      <w:r>
        <w:rPr>
          <w:rFonts w:eastAsia="Times New Roman"/>
          <w:lang w:val="hu-HU"/>
        </w:rPr>
        <w:t>véraláfutás</w:t>
      </w:r>
    </w:p>
    <w:p w14:paraId="2ECE200B" w14:textId="77777777" w:rsidR="0037407E" w:rsidRDefault="0037407E" w:rsidP="0037407E">
      <w:pPr>
        <w:pStyle w:val="a3"/>
        <w:numPr>
          <w:ilvl w:val="0"/>
          <w:numId w:val="15"/>
        </w:numPr>
        <w:ind w:left="660" w:hanging="660"/>
        <w:rPr>
          <w:lang w:val="hu-HU"/>
        </w:rPr>
      </w:pPr>
      <w:r>
        <w:rPr>
          <w:rFonts w:eastAsia="Times New Roman"/>
          <w:lang w:val="hu-HU"/>
        </w:rPr>
        <w:t>bőrgyulladás (például ekcéma)</w:t>
      </w:r>
    </w:p>
    <w:p w14:paraId="34B01379" w14:textId="77777777" w:rsidR="0037407E" w:rsidRDefault="0037407E" w:rsidP="0037407E">
      <w:pPr>
        <w:pStyle w:val="a3"/>
        <w:numPr>
          <w:ilvl w:val="0"/>
          <w:numId w:val="15"/>
        </w:numPr>
        <w:ind w:left="660" w:hanging="660"/>
        <w:rPr>
          <w:lang w:val="hu-HU"/>
        </w:rPr>
      </w:pPr>
      <w:r>
        <w:rPr>
          <w:rFonts w:eastAsia="Times New Roman"/>
          <w:lang w:val="hu-HU"/>
        </w:rPr>
        <w:t>a kéz- és lábujjkörmök töredezése</w:t>
      </w:r>
    </w:p>
    <w:p w14:paraId="61E7DBC0" w14:textId="77777777" w:rsidR="0037407E" w:rsidRDefault="0037407E" w:rsidP="0037407E">
      <w:pPr>
        <w:pStyle w:val="a3"/>
        <w:numPr>
          <w:ilvl w:val="0"/>
          <w:numId w:val="15"/>
        </w:numPr>
        <w:ind w:left="660" w:hanging="660"/>
        <w:rPr>
          <w:lang w:val="hu-HU"/>
        </w:rPr>
      </w:pPr>
      <w:r>
        <w:rPr>
          <w:rFonts w:eastAsia="Times New Roman"/>
          <w:lang w:val="hu-HU"/>
        </w:rPr>
        <w:t>fokozott verejtékezés</w:t>
      </w:r>
    </w:p>
    <w:p w14:paraId="16E649F1" w14:textId="77777777" w:rsidR="0037407E" w:rsidRDefault="0037407E" w:rsidP="0037407E">
      <w:pPr>
        <w:pStyle w:val="a3"/>
        <w:numPr>
          <w:ilvl w:val="0"/>
          <w:numId w:val="15"/>
        </w:numPr>
        <w:ind w:left="660" w:hanging="660"/>
        <w:rPr>
          <w:lang w:val="hu-HU"/>
        </w:rPr>
      </w:pPr>
      <w:r>
        <w:rPr>
          <w:rFonts w:eastAsia="Times New Roman"/>
          <w:lang w:val="hu-HU"/>
        </w:rPr>
        <w:t>hajhullás</w:t>
      </w:r>
    </w:p>
    <w:p w14:paraId="1BAF5953" w14:textId="77777777" w:rsidR="0037407E" w:rsidRDefault="0037407E" w:rsidP="0037407E">
      <w:pPr>
        <w:pStyle w:val="a3"/>
        <w:numPr>
          <w:ilvl w:val="0"/>
          <w:numId w:val="15"/>
        </w:numPr>
        <w:ind w:left="660" w:hanging="660"/>
        <w:rPr>
          <w:lang w:val="hu-HU"/>
        </w:rPr>
      </w:pPr>
      <w:r>
        <w:rPr>
          <w:rFonts w:eastAsia="Times New Roman"/>
          <w:lang w:val="hu-HU"/>
        </w:rPr>
        <w:t>pikkelysömör megjelenése vagy rosszabbodása</w:t>
      </w:r>
    </w:p>
    <w:p w14:paraId="31029687" w14:textId="77777777" w:rsidR="0037407E" w:rsidRDefault="0037407E" w:rsidP="0037407E">
      <w:pPr>
        <w:pStyle w:val="a3"/>
        <w:numPr>
          <w:ilvl w:val="0"/>
          <w:numId w:val="15"/>
        </w:numPr>
        <w:ind w:left="660" w:hanging="660"/>
        <w:rPr>
          <w:lang w:val="hu-HU"/>
        </w:rPr>
      </w:pPr>
      <w:r>
        <w:rPr>
          <w:rFonts w:eastAsia="Times New Roman"/>
          <w:lang w:val="hu-HU"/>
        </w:rPr>
        <w:t>izomgörcsök</w:t>
      </w:r>
    </w:p>
    <w:p w14:paraId="4B55768F" w14:textId="77777777" w:rsidR="0037407E" w:rsidRDefault="0037407E" w:rsidP="0037407E">
      <w:pPr>
        <w:pStyle w:val="a3"/>
        <w:numPr>
          <w:ilvl w:val="0"/>
          <w:numId w:val="15"/>
        </w:numPr>
        <w:ind w:left="660" w:hanging="660"/>
        <w:rPr>
          <w:lang w:val="hu-HU"/>
        </w:rPr>
      </w:pPr>
      <w:r>
        <w:rPr>
          <w:rFonts w:eastAsia="Times New Roman"/>
          <w:lang w:val="hu-HU"/>
        </w:rPr>
        <w:t>véres vizelet</w:t>
      </w:r>
    </w:p>
    <w:p w14:paraId="28B22AA9" w14:textId="77777777" w:rsidR="0037407E" w:rsidRDefault="0037407E" w:rsidP="0037407E">
      <w:pPr>
        <w:pStyle w:val="a3"/>
        <w:numPr>
          <w:ilvl w:val="0"/>
          <w:numId w:val="15"/>
        </w:numPr>
        <w:ind w:left="660" w:hanging="660"/>
        <w:rPr>
          <w:lang w:val="hu-HU"/>
        </w:rPr>
      </w:pPr>
      <w:r>
        <w:rPr>
          <w:rFonts w:eastAsia="Times New Roman"/>
          <w:lang w:val="hu-HU"/>
        </w:rPr>
        <w:t>veseproblémák</w:t>
      </w:r>
    </w:p>
    <w:p w14:paraId="561B5FA6" w14:textId="77777777" w:rsidR="0037407E" w:rsidRDefault="0037407E" w:rsidP="0037407E">
      <w:pPr>
        <w:pStyle w:val="a3"/>
        <w:numPr>
          <w:ilvl w:val="0"/>
          <w:numId w:val="15"/>
        </w:numPr>
        <w:ind w:left="660" w:hanging="660"/>
        <w:rPr>
          <w:lang w:val="hu-HU"/>
        </w:rPr>
      </w:pPr>
      <w:r>
        <w:rPr>
          <w:rFonts w:eastAsia="Times New Roman"/>
          <w:lang w:val="hu-HU"/>
        </w:rPr>
        <w:lastRenderedPageBreak/>
        <w:t>mellkasi fájdalom</w:t>
      </w:r>
    </w:p>
    <w:p w14:paraId="73313D5E" w14:textId="77777777" w:rsidR="0037407E" w:rsidRDefault="0037407E" w:rsidP="0037407E">
      <w:pPr>
        <w:pStyle w:val="a3"/>
        <w:numPr>
          <w:ilvl w:val="0"/>
          <w:numId w:val="15"/>
        </w:numPr>
        <w:ind w:left="660" w:hanging="660"/>
        <w:rPr>
          <w:lang w:val="hu-HU"/>
        </w:rPr>
      </w:pPr>
      <w:r>
        <w:rPr>
          <w:rFonts w:eastAsia="Times New Roman"/>
          <w:lang w:val="hu-HU"/>
        </w:rPr>
        <w:t>vizenyő (duzzanat)</w:t>
      </w:r>
    </w:p>
    <w:p w14:paraId="430C25BA" w14:textId="77777777" w:rsidR="0037407E" w:rsidRDefault="0037407E" w:rsidP="0037407E">
      <w:pPr>
        <w:pStyle w:val="a3"/>
        <w:numPr>
          <w:ilvl w:val="0"/>
          <w:numId w:val="15"/>
        </w:numPr>
        <w:ind w:left="660" w:hanging="660"/>
        <w:rPr>
          <w:lang w:val="hu-HU"/>
        </w:rPr>
      </w:pPr>
      <w:r>
        <w:rPr>
          <w:rFonts w:eastAsia="Times New Roman"/>
          <w:lang w:val="hu-HU"/>
        </w:rPr>
        <w:t>láz</w:t>
      </w:r>
    </w:p>
    <w:p w14:paraId="44101DAC" w14:textId="2C2ECFCD" w:rsidR="0037407E" w:rsidRDefault="005F5974" w:rsidP="0037407E">
      <w:pPr>
        <w:pStyle w:val="a3"/>
        <w:numPr>
          <w:ilvl w:val="0"/>
          <w:numId w:val="15"/>
        </w:numPr>
        <w:ind w:left="660" w:hanging="660"/>
        <w:rPr>
          <w:lang w:val="hu-HU"/>
        </w:rPr>
      </w:pPr>
      <w:r>
        <w:rPr>
          <w:rFonts w:eastAsia="Times New Roman"/>
          <w:lang w:val="hu-HU"/>
        </w:rPr>
        <w:t>a</w:t>
      </w:r>
      <w:r w:rsidR="0037407E">
        <w:rPr>
          <w:rFonts w:eastAsia="Times New Roman"/>
          <w:lang w:val="hu-HU"/>
        </w:rPr>
        <w:t xml:space="preserve"> vérlemezkék számának csökkenése, ami növeli a vérzés vagy véraláfutás kialakulásának kockázatát</w:t>
      </w:r>
    </w:p>
    <w:p w14:paraId="394F25CD" w14:textId="77777777" w:rsidR="0037407E" w:rsidRDefault="0037407E" w:rsidP="0037407E">
      <w:pPr>
        <w:pStyle w:val="a3"/>
        <w:numPr>
          <w:ilvl w:val="0"/>
          <w:numId w:val="15"/>
        </w:numPr>
        <w:ind w:left="660" w:hanging="660"/>
        <w:rPr>
          <w:lang w:val="hu-HU"/>
        </w:rPr>
      </w:pPr>
      <w:r>
        <w:rPr>
          <w:rFonts w:eastAsia="Times New Roman"/>
          <w:lang w:val="hu-HU"/>
        </w:rPr>
        <w:t>csökkent gyógyulási készség</w:t>
      </w:r>
    </w:p>
    <w:p w14:paraId="2C6A0CE7" w14:textId="77777777" w:rsidR="0037407E" w:rsidRDefault="0037407E" w:rsidP="0037407E">
      <w:pPr>
        <w:spacing w:before="10" w:line="240" w:lineRule="exact"/>
        <w:rPr>
          <w:sz w:val="24"/>
          <w:szCs w:val="24"/>
          <w:lang w:val="hu-HU"/>
        </w:rPr>
      </w:pPr>
    </w:p>
    <w:p w14:paraId="7B7DD52D" w14:textId="77777777" w:rsidR="0037407E" w:rsidRDefault="0037407E" w:rsidP="0037407E">
      <w:pPr>
        <w:rPr>
          <w:rFonts w:ascii="Times New Roman" w:eastAsia="Times New Roman" w:hAnsi="Times New Roman" w:cs="Times New Roman"/>
          <w:lang w:val="hu-HU"/>
        </w:rPr>
      </w:pPr>
      <w:r>
        <w:rPr>
          <w:rFonts w:ascii="Times New Roman" w:eastAsia="Times New Roman" w:hAnsi="Times New Roman" w:cs="Times New Roman"/>
          <w:b/>
          <w:bCs/>
          <w:spacing w:val="-1"/>
          <w:lang w:val="hu-HU"/>
        </w:rPr>
        <w:t xml:space="preserve">Nem gyakori </w:t>
      </w:r>
      <w:r>
        <w:rPr>
          <w:rFonts w:ascii="Times New Roman" w:eastAsia="Times New Roman" w:hAnsi="Times New Roman" w:cs="Times New Roman"/>
          <w:spacing w:val="-1"/>
          <w:lang w:val="hu-HU"/>
        </w:rPr>
        <w:t>(100 beteg közül legfeljebb 1-nél kialakuló)</w:t>
      </w:r>
    </w:p>
    <w:p w14:paraId="256828B1" w14:textId="77777777" w:rsidR="0037407E" w:rsidRDefault="0037407E" w:rsidP="0037407E">
      <w:pPr>
        <w:spacing w:before="14" w:line="260" w:lineRule="exact"/>
        <w:rPr>
          <w:sz w:val="26"/>
          <w:szCs w:val="26"/>
          <w:lang w:val="hu-HU"/>
        </w:rPr>
      </w:pPr>
    </w:p>
    <w:p w14:paraId="27EDE632" w14:textId="77777777" w:rsidR="0037407E" w:rsidRDefault="0037407E" w:rsidP="0037407E">
      <w:pPr>
        <w:pStyle w:val="a3"/>
        <w:numPr>
          <w:ilvl w:val="0"/>
          <w:numId w:val="15"/>
        </w:numPr>
        <w:ind w:left="660" w:hanging="660"/>
        <w:rPr>
          <w:lang w:val="hu-HU"/>
        </w:rPr>
      </w:pPr>
      <w:r w:rsidRPr="00C17405">
        <w:rPr>
          <w:rFonts w:eastAsia="Times New Roman"/>
          <w:lang w:val="hu-HU"/>
        </w:rPr>
        <w:t>szokatlan f</w:t>
      </w:r>
      <w:r w:rsidRPr="003619B6">
        <w:rPr>
          <w:rFonts w:eastAsia="Times New Roman"/>
          <w:lang w:val="hu-HU"/>
        </w:rPr>
        <w:t>ertőzések</w:t>
      </w:r>
      <w:r>
        <w:rPr>
          <w:rFonts w:eastAsia="Times New Roman"/>
          <w:lang w:val="hu-HU"/>
        </w:rPr>
        <w:t xml:space="preserve"> (ezek közé tartozik a tuberkulózis és más, olyan fertőzések, amelyek akkor alakulnak ki, amikor a betegségekkel szembeni ellenállóképesség lecsökken)</w:t>
      </w:r>
    </w:p>
    <w:p w14:paraId="6CA4C21C" w14:textId="77777777" w:rsidR="0037407E" w:rsidRDefault="0037407E" w:rsidP="0037407E">
      <w:pPr>
        <w:pStyle w:val="a3"/>
        <w:numPr>
          <w:ilvl w:val="0"/>
          <w:numId w:val="15"/>
        </w:numPr>
        <w:ind w:left="660" w:hanging="660"/>
        <w:rPr>
          <w:lang w:val="hu-HU"/>
        </w:rPr>
      </w:pPr>
      <w:r>
        <w:rPr>
          <w:rFonts w:eastAsia="Times New Roman"/>
          <w:lang w:val="hu-HU"/>
        </w:rPr>
        <w:t>ideggyógyászati eredetű fertőzések (beleértve a vírusos eredetű agyhártyagyulladást is)</w:t>
      </w:r>
    </w:p>
    <w:p w14:paraId="07B7A3FC" w14:textId="77777777" w:rsidR="0037407E" w:rsidRDefault="0037407E" w:rsidP="0037407E">
      <w:pPr>
        <w:pStyle w:val="a3"/>
        <w:numPr>
          <w:ilvl w:val="0"/>
          <w:numId w:val="15"/>
        </w:numPr>
        <w:ind w:left="660" w:hanging="660"/>
        <w:rPr>
          <w:lang w:val="hu-HU"/>
        </w:rPr>
      </w:pPr>
      <w:r>
        <w:rPr>
          <w:rFonts w:eastAsia="Times New Roman"/>
          <w:lang w:val="hu-HU"/>
        </w:rPr>
        <w:t>szemfertőzések</w:t>
      </w:r>
    </w:p>
    <w:p w14:paraId="2B1ABF1C" w14:textId="77777777" w:rsidR="0037407E" w:rsidRDefault="0037407E" w:rsidP="0037407E">
      <w:pPr>
        <w:pStyle w:val="a3"/>
        <w:numPr>
          <w:ilvl w:val="0"/>
          <w:numId w:val="15"/>
        </w:numPr>
        <w:ind w:left="660" w:hanging="660"/>
        <w:rPr>
          <w:lang w:val="hu-HU"/>
        </w:rPr>
      </w:pPr>
      <w:r>
        <w:rPr>
          <w:rFonts w:eastAsia="Times New Roman"/>
          <w:lang w:val="hu-HU"/>
        </w:rPr>
        <w:t>baktériumok okozta fertőzések</w:t>
      </w:r>
    </w:p>
    <w:p w14:paraId="3C22505E" w14:textId="77777777" w:rsidR="0037407E" w:rsidRDefault="0037407E" w:rsidP="0037407E">
      <w:pPr>
        <w:pStyle w:val="a3"/>
        <w:numPr>
          <w:ilvl w:val="0"/>
          <w:numId w:val="15"/>
        </w:numPr>
        <w:ind w:left="660" w:hanging="660"/>
        <w:rPr>
          <w:lang w:val="hu-HU"/>
        </w:rPr>
      </w:pPr>
      <w:r>
        <w:rPr>
          <w:rFonts w:eastAsia="Times New Roman"/>
          <w:lang w:val="hu-HU"/>
        </w:rPr>
        <w:t>vastagbélgyulladás és fertőzés (divertikulitisz)</w:t>
      </w:r>
    </w:p>
    <w:p w14:paraId="0B71ECA9" w14:textId="77777777" w:rsidR="0037407E" w:rsidRDefault="0037407E" w:rsidP="0037407E">
      <w:pPr>
        <w:pStyle w:val="a3"/>
        <w:numPr>
          <w:ilvl w:val="0"/>
          <w:numId w:val="15"/>
        </w:numPr>
        <w:ind w:left="660" w:hanging="660"/>
        <w:rPr>
          <w:lang w:val="hu-HU"/>
        </w:rPr>
      </w:pPr>
      <w:r>
        <w:rPr>
          <w:rFonts w:eastAsia="Times New Roman"/>
          <w:lang w:val="hu-HU"/>
        </w:rPr>
        <w:t>rák</w:t>
      </w:r>
    </w:p>
    <w:p w14:paraId="2C90BFF3" w14:textId="77777777" w:rsidR="0037407E" w:rsidRDefault="0037407E" w:rsidP="0037407E">
      <w:pPr>
        <w:pStyle w:val="a3"/>
        <w:numPr>
          <w:ilvl w:val="0"/>
          <w:numId w:val="15"/>
        </w:numPr>
        <w:ind w:left="660" w:hanging="660"/>
        <w:rPr>
          <w:lang w:val="hu-HU"/>
        </w:rPr>
      </w:pPr>
      <w:r>
        <w:rPr>
          <w:rFonts w:eastAsia="Times New Roman"/>
          <w:lang w:val="hu-HU"/>
        </w:rPr>
        <w:t>rák, amely a nyirokrendszert támadja meg</w:t>
      </w:r>
    </w:p>
    <w:p w14:paraId="48209BBA" w14:textId="77777777" w:rsidR="0037407E" w:rsidRDefault="0037407E" w:rsidP="0037407E">
      <w:pPr>
        <w:pStyle w:val="a3"/>
        <w:numPr>
          <w:ilvl w:val="0"/>
          <w:numId w:val="15"/>
        </w:numPr>
        <w:ind w:left="660" w:hanging="660"/>
        <w:rPr>
          <w:lang w:val="hu-HU"/>
        </w:rPr>
      </w:pPr>
      <w:r>
        <w:rPr>
          <w:rFonts w:eastAsia="Times New Roman"/>
          <w:lang w:val="hu-HU"/>
        </w:rPr>
        <w:t>melanóma</w:t>
      </w:r>
    </w:p>
    <w:p w14:paraId="26030F3B" w14:textId="6DEB04A0" w:rsidR="0037407E" w:rsidRDefault="0037407E" w:rsidP="0037407E">
      <w:pPr>
        <w:pStyle w:val="a3"/>
        <w:numPr>
          <w:ilvl w:val="0"/>
          <w:numId w:val="15"/>
        </w:numPr>
        <w:ind w:left="660" w:hanging="660"/>
        <w:rPr>
          <w:lang w:val="hu-HU"/>
        </w:rPr>
      </w:pPr>
      <w:r w:rsidRPr="00DA48CC">
        <w:rPr>
          <w:rFonts w:eastAsia="TimesNewRomanPSMT"/>
          <w:lang w:val="hu-HU"/>
        </w:rPr>
        <w:t>immunrendszeri zavarok</w:t>
      </w:r>
      <w:r>
        <w:rPr>
          <w:rFonts w:eastAsia="Times New Roman"/>
          <w:lang w:val="hu-HU"/>
        </w:rPr>
        <w:t>, amelyek érinthetik a tüdőt, a bőrt és a nyirokcsomókat (leggyakrabban szarkoidózisként jelentkezik</w:t>
      </w:r>
      <w:r w:rsidR="005F5974">
        <w:rPr>
          <w:rFonts w:eastAsia="Times New Roman"/>
          <w:lang w:val="hu-HU"/>
        </w:rPr>
        <w:t>)</w:t>
      </w:r>
    </w:p>
    <w:p w14:paraId="5E6C0A0C" w14:textId="77777777" w:rsidR="0037407E" w:rsidRDefault="0037407E" w:rsidP="0037407E">
      <w:pPr>
        <w:pStyle w:val="a3"/>
        <w:numPr>
          <w:ilvl w:val="0"/>
          <w:numId w:val="15"/>
        </w:numPr>
        <w:ind w:left="660" w:hanging="660"/>
        <w:rPr>
          <w:lang w:val="hu-HU"/>
        </w:rPr>
      </w:pPr>
      <w:r>
        <w:rPr>
          <w:rFonts w:eastAsia="Times New Roman"/>
          <w:lang w:val="hu-HU"/>
        </w:rPr>
        <w:t>érgyulladás (vaszkulitisz)</w:t>
      </w:r>
    </w:p>
    <w:p w14:paraId="71CA505D" w14:textId="77777777" w:rsidR="0037407E" w:rsidRDefault="0037407E" w:rsidP="0037407E">
      <w:pPr>
        <w:pStyle w:val="a3"/>
        <w:numPr>
          <w:ilvl w:val="0"/>
          <w:numId w:val="15"/>
        </w:numPr>
        <w:ind w:left="660" w:hanging="660"/>
        <w:rPr>
          <w:lang w:val="hu-HU"/>
        </w:rPr>
      </w:pPr>
      <w:r>
        <w:rPr>
          <w:rFonts w:eastAsia="Times New Roman"/>
          <w:lang w:val="hu-HU"/>
        </w:rPr>
        <w:t>remegés</w:t>
      </w:r>
    </w:p>
    <w:p w14:paraId="7979F019" w14:textId="77777777" w:rsidR="0037407E" w:rsidRDefault="0037407E" w:rsidP="0037407E">
      <w:pPr>
        <w:pStyle w:val="a3"/>
        <w:numPr>
          <w:ilvl w:val="0"/>
          <w:numId w:val="15"/>
        </w:numPr>
        <w:ind w:left="660" w:hanging="660"/>
        <w:rPr>
          <w:lang w:val="hu-HU"/>
        </w:rPr>
      </w:pPr>
      <w:r>
        <w:rPr>
          <w:rFonts w:eastAsia="Times New Roman"/>
          <w:lang w:val="hu-HU"/>
        </w:rPr>
        <w:t>idegbántalom (neuropátia)</w:t>
      </w:r>
    </w:p>
    <w:p w14:paraId="55FCFA13" w14:textId="77777777" w:rsidR="0037407E" w:rsidRDefault="0037407E" w:rsidP="0037407E">
      <w:pPr>
        <w:pStyle w:val="a3"/>
        <w:numPr>
          <w:ilvl w:val="0"/>
          <w:numId w:val="15"/>
        </w:numPr>
        <w:ind w:left="660" w:hanging="660"/>
        <w:rPr>
          <w:lang w:val="hu-HU"/>
        </w:rPr>
      </w:pPr>
      <w:r>
        <w:rPr>
          <w:rFonts w:eastAsia="Times New Roman"/>
          <w:lang w:val="hu-HU"/>
        </w:rPr>
        <w:t>szélütés</w:t>
      </w:r>
    </w:p>
    <w:p w14:paraId="651282A4" w14:textId="77777777" w:rsidR="0037407E" w:rsidRDefault="0037407E" w:rsidP="0037407E">
      <w:pPr>
        <w:pStyle w:val="a3"/>
        <w:numPr>
          <w:ilvl w:val="0"/>
          <w:numId w:val="15"/>
        </w:numPr>
        <w:ind w:left="660" w:hanging="660"/>
        <w:rPr>
          <w:lang w:val="hu-HU"/>
        </w:rPr>
      </w:pPr>
      <w:r>
        <w:rPr>
          <w:rFonts w:eastAsia="Times New Roman"/>
          <w:lang w:val="hu-HU"/>
        </w:rPr>
        <w:t>halláscsökkenés, fülzúgás</w:t>
      </w:r>
    </w:p>
    <w:p w14:paraId="122AC252" w14:textId="77777777" w:rsidR="0037407E" w:rsidRDefault="0037407E" w:rsidP="0037407E">
      <w:pPr>
        <w:pStyle w:val="a3"/>
        <w:numPr>
          <w:ilvl w:val="0"/>
          <w:numId w:val="15"/>
        </w:numPr>
        <w:ind w:left="660" w:hanging="660"/>
        <w:rPr>
          <w:lang w:val="hu-HU"/>
        </w:rPr>
      </w:pPr>
      <w:r>
        <w:rPr>
          <w:rFonts w:eastAsia="Times New Roman"/>
          <w:lang w:val="hu-HU"/>
        </w:rPr>
        <w:t>szabálytalan szívverés érzése, mint például kimaradó szívverés</w:t>
      </w:r>
    </w:p>
    <w:p w14:paraId="0D6D771E" w14:textId="77777777" w:rsidR="0037407E" w:rsidRDefault="0037407E" w:rsidP="0037407E">
      <w:pPr>
        <w:pStyle w:val="a3"/>
        <w:numPr>
          <w:ilvl w:val="0"/>
          <w:numId w:val="15"/>
        </w:numPr>
        <w:ind w:left="660" w:hanging="660"/>
        <w:rPr>
          <w:lang w:val="hu-HU"/>
        </w:rPr>
      </w:pPr>
      <w:r>
        <w:rPr>
          <w:rFonts w:eastAsia="Times New Roman"/>
          <w:lang w:val="hu-HU"/>
        </w:rPr>
        <w:t>szívproblémák, amelyek például nehézlégzést vagy bokadagadást okozhatnak</w:t>
      </w:r>
    </w:p>
    <w:p w14:paraId="3B7F7DA2" w14:textId="77777777" w:rsidR="0037407E" w:rsidRDefault="0037407E" w:rsidP="0037407E">
      <w:pPr>
        <w:pStyle w:val="a3"/>
        <w:numPr>
          <w:ilvl w:val="0"/>
          <w:numId w:val="15"/>
        </w:numPr>
        <w:ind w:left="660" w:hanging="660"/>
        <w:rPr>
          <w:lang w:val="hu-HU"/>
        </w:rPr>
      </w:pPr>
      <w:r>
        <w:rPr>
          <w:rFonts w:eastAsia="Times New Roman"/>
          <w:lang w:val="hu-HU"/>
        </w:rPr>
        <w:t>szívroham</w:t>
      </w:r>
    </w:p>
    <w:p w14:paraId="2503917C" w14:textId="77777777" w:rsidR="0037407E" w:rsidRDefault="0037407E" w:rsidP="0037407E">
      <w:pPr>
        <w:pStyle w:val="a3"/>
        <w:numPr>
          <w:ilvl w:val="0"/>
          <w:numId w:val="15"/>
        </w:numPr>
        <w:ind w:left="660" w:hanging="660"/>
        <w:rPr>
          <w:lang w:val="hu-HU"/>
        </w:rPr>
      </w:pPr>
      <w:r>
        <w:rPr>
          <w:rFonts w:eastAsia="Times New Roman"/>
          <w:lang w:val="hu-HU"/>
        </w:rPr>
        <w:t>kiöblösödés valamely nagy ütőérben, gyulladás és vérrögképződes valamelyik vénában, érelzáródás</w:t>
      </w:r>
    </w:p>
    <w:p w14:paraId="14F10F87" w14:textId="1AE6ABEA" w:rsidR="0037407E" w:rsidRDefault="0037407E" w:rsidP="0037407E">
      <w:pPr>
        <w:pStyle w:val="a3"/>
        <w:numPr>
          <w:ilvl w:val="0"/>
          <w:numId w:val="15"/>
        </w:numPr>
        <w:ind w:left="660" w:hanging="660"/>
        <w:rPr>
          <w:lang w:val="hu-HU"/>
        </w:rPr>
      </w:pPr>
      <w:r>
        <w:rPr>
          <w:rFonts w:eastAsia="Times New Roman"/>
          <w:lang w:val="hu-HU"/>
        </w:rPr>
        <w:t>nehézlégz</w:t>
      </w:r>
      <w:r w:rsidR="005F5974">
        <w:rPr>
          <w:rFonts w:eastAsia="Times New Roman"/>
          <w:lang w:val="hu-HU"/>
        </w:rPr>
        <w:t>é</w:t>
      </w:r>
      <w:r>
        <w:rPr>
          <w:rFonts w:eastAsia="Times New Roman"/>
          <w:lang w:val="hu-HU"/>
        </w:rPr>
        <w:t>st okozó tüdőbetegségek (beleértve a gyulladást is)</w:t>
      </w:r>
    </w:p>
    <w:p w14:paraId="7EED5A79" w14:textId="77777777" w:rsidR="0037407E" w:rsidRDefault="0037407E" w:rsidP="0037407E">
      <w:pPr>
        <w:pStyle w:val="a3"/>
        <w:numPr>
          <w:ilvl w:val="0"/>
          <w:numId w:val="15"/>
        </w:numPr>
        <w:ind w:left="660" w:hanging="660"/>
        <w:rPr>
          <w:lang w:val="hu-HU"/>
        </w:rPr>
      </w:pPr>
      <w:r>
        <w:rPr>
          <w:rFonts w:eastAsia="Times New Roman"/>
          <w:lang w:val="hu-HU"/>
        </w:rPr>
        <w:t>tüdőembólia (a tüdőt ellátó ér elzáródása)</w:t>
      </w:r>
    </w:p>
    <w:p w14:paraId="72B4C924" w14:textId="1E5DEB94" w:rsidR="0037407E" w:rsidRDefault="0037407E" w:rsidP="0037407E">
      <w:pPr>
        <w:pStyle w:val="a3"/>
        <w:numPr>
          <w:ilvl w:val="0"/>
          <w:numId w:val="15"/>
        </w:numPr>
        <w:ind w:left="660" w:hanging="660"/>
        <w:rPr>
          <w:lang w:val="hu-HU"/>
        </w:rPr>
      </w:pPr>
      <w:r>
        <w:rPr>
          <w:rFonts w:eastAsia="Times New Roman"/>
          <w:lang w:val="hu-HU"/>
        </w:rPr>
        <w:t xml:space="preserve">pleurális folyadékgyülem (rendellenes folyadékgyülem a </w:t>
      </w:r>
      <w:r w:rsidR="005F5974" w:rsidRPr="0038367E">
        <w:rPr>
          <w:rFonts w:eastAsia="Times New Roman"/>
          <w:lang w:val="hu-HU"/>
        </w:rPr>
        <w:t>mellkasi</w:t>
      </w:r>
      <w:r w:rsidR="005F5974">
        <w:rPr>
          <w:rFonts w:eastAsia="Times New Roman"/>
          <w:lang w:val="hu-HU"/>
        </w:rPr>
        <w:t xml:space="preserve"> </w:t>
      </w:r>
      <w:r>
        <w:rPr>
          <w:rFonts w:eastAsia="Times New Roman"/>
          <w:lang w:val="hu-HU"/>
        </w:rPr>
        <w:t>térben)</w:t>
      </w:r>
    </w:p>
    <w:p w14:paraId="1C956D94" w14:textId="0E896A11" w:rsidR="0037407E" w:rsidRDefault="0037407E" w:rsidP="0037407E">
      <w:pPr>
        <w:pStyle w:val="a3"/>
        <w:numPr>
          <w:ilvl w:val="0"/>
          <w:numId w:val="15"/>
        </w:numPr>
        <w:ind w:left="660" w:hanging="660"/>
        <w:rPr>
          <w:lang w:val="hu-HU"/>
        </w:rPr>
      </w:pPr>
      <w:r>
        <w:rPr>
          <w:rFonts w:eastAsia="Times New Roman"/>
          <w:lang w:val="hu-HU"/>
        </w:rPr>
        <w:t>hasnyálmirigy-gyulladás</w:t>
      </w:r>
      <w:r w:rsidR="005F5974">
        <w:rPr>
          <w:rFonts w:eastAsia="Times New Roman"/>
          <w:lang w:val="hu-HU"/>
        </w:rPr>
        <w:t>,</w:t>
      </w:r>
      <w:r>
        <w:rPr>
          <w:rFonts w:eastAsia="Times New Roman"/>
          <w:lang w:val="hu-HU"/>
        </w:rPr>
        <w:t xml:space="preserve"> ami erős hasi fájdalmat es hátfájást okoz</w:t>
      </w:r>
    </w:p>
    <w:p w14:paraId="2B999837" w14:textId="77777777" w:rsidR="0037407E" w:rsidRDefault="0037407E" w:rsidP="0037407E">
      <w:pPr>
        <w:pStyle w:val="a3"/>
        <w:numPr>
          <w:ilvl w:val="0"/>
          <w:numId w:val="15"/>
        </w:numPr>
        <w:ind w:left="660" w:hanging="660"/>
        <w:rPr>
          <w:lang w:val="hu-HU"/>
        </w:rPr>
      </w:pPr>
      <w:r>
        <w:rPr>
          <w:rFonts w:eastAsia="Times New Roman"/>
          <w:lang w:val="hu-HU"/>
        </w:rPr>
        <w:t>nyelési nehézség</w:t>
      </w:r>
    </w:p>
    <w:p w14:paraId="3E713A77" w14:textId="77777777" w:rsidR="0037407E" w:rsidRDefault="0037407E" w:rsidP="0037407E">
      <w:pPr>
        <w:pStyle w:val="a3"/>
        <w:numPr>
          <w:ilvl w:val="0"/>
          <w:numId w:val="15"/>
        </w:numPr>
        <w:ind w:left="660" w:hanging="660"/>
        <w:rPr>
          <w:lang w:val="hu-HU"/>
        </w:rPr>
      </w:pPr>
      <w:r>
        <w:rPr>
          <w:rFonts w:eastAsia="Times New Roman"/>
          <w:lang w:val="hu-HU"/>
        </w:rPr>
        <w:t>az arc feldagadása</w:t>
      </w:r>
    </w:p>
    <w:p w14:paraId="18DCC1D2" w14:textId="77777777" w:rsidR="0037407E" w:rsidRDefault="0037407E" w:rsidP="0037407E">
      <w:pPr>
        <w:pStyle w:val="a3"/>
        <w:numPr>
          <w:ilvl w:val="0"/>
          <w:numId w:val="15"/>
        </w:numPr>
        <w:ind w:left="660" w:hanging="660"/>
        <w:rPr>
          <w:lang w:val="hu-HU"/>
        </w:rPr>
      </w:pPr>
      <w:r>
        <w:rPr>
          <w:rFonts w:eastAsia="Times New Roman"/>
          <w:lang w:val="hu-HU"/>
        </w:rPr>
        <w:t>epehólyaggyulladás, epehólyagkő</w:t>
      </w:r>
    </w:p>
    <w:p w14:paraId="68045FEA" w14:textId="77777777" w:rsidR="0037407E" w:rsidRDefault="0037407E" w:rsidP="0037407E">
      <w:pPr>
        <w:pStyle w:val="a3"/>
        <w:numPr>
          <w:ilvl w:val="0"/>
          <w:numId w:val="15"/>
        </w:numPr>
        <w:ind w:left="660" w:hanging="660"/>
        <w:rPr>
          <w:lang w:val="hu-HU"/>
        </w:rPr>
      </w:pPr>
      <w:r>
        <w:rPr>
          <w:rFonts w:eastAsia="Times New Roman"/>
          <w:lang w:val="hu-HU"/>
        </w:rPr>
        <w:t>zsírmáj</w:t>
      </w:r>
    </w:p>
    <w:p w14:paraId="0AE090EB" w14:textId="77777777" w:rsidR="0037407E" w:rsidRDefault="0037407E" w:rsidP="0037407E">
      <w:pPr>
        <w:pStyle w:val="a3"/>
        <w:numPr>
          <w:ilvl w:val="0"/>
          <w:numId w:val="15"/>
        </w:numPr>
        <w:ind w:left="660" w:hanging="660"/>
        <w:rPr>
          <w:lang w:val="hu-HU"/>
        </w:rPr>
      </w:pPr>
      <w:r>
        <w:rPr>
          <w:rFonts w:eastAsia="Times New Roman"/>
          <w:lang w:val="hu-HU"/>
        </w:rPr>
        <w:t>éjszakai verítékezés</w:t>
      </w:r>
    </w:p>
    <w:p w14:paraId="642432FA" w14:textId="073B6E97" w:rsidR="0037407E" w:rsidRDefault="00A02F4B" w:rsidP="0037407E">
      <w:pPr>
        <w:pStyle w:val="a3"/>
        <w:numPr>
          <w:ilvl w:val="0"/>
          <w:numId w:val="15"/>
        </w:numPr>
        <w:ind w:left="660" w:hanging="660"/>
        <w:rPr>
          <w:lang w:val="hu-HU"/>
        </w:rPr>
      </w:pPr>
      <w:r>
        <w:rPr>
          <w:rFonts w:eastAsia="Times New Roman"/>
          <w:lang w:val="hu-HU"/>
        </w:rPr>
        <w:t xml:space="preserve">hegképződés </w:t>
      </w:r>
    </w:p>
    <w:p w14:paraId="5BC49615" w14:textId="77777777" w:rsidR="0037407E" w:rsidRDefault="0037407E" w:rsidP="0037407E">
      <w:pPr>
        <w:pStyle w:val="a3"/>
        <w:numPr>
          <w:ilvl w:val="0"/>
          <w:numId w:val="15"/>
        </w:numPr>
        <w:ind w:left="660" w:hanging="660"/>
        <w:rPr>
          <w:lang w:val="hu-HU"/>
        </w:rPr>
      </w:pPr>
      <w:r>
        <w:rPr>
          <w:rFonts w:eastAsia="Times New Roman"/>
          <w:lang w:val="hu-HU"/>
        </w:rPr>
        <w:t>az izomszövet kóros szétesése</w:t>
      </w:r>
    </w:p>
    <w:p w14:paraId="1FBE87BC" w14:textId="77777777" w:rsidR="0037407E" w:rsidRDefault="0037407E" w:rsidP="0037407E">
      <w:pPr>
        <w:pStyle w:val="a3"/>
        <w:numPr>
          <w:ilvl w:val="0"/>
          <w:numId w:val="15"/>
        </w:numPr>
        <w:ind w:left="660" w:hanging="660"/>
        <w:rPr>
          <w:rFonts w:eastAsia="Times New Roman"/>
          <w:spacing w:val="-1"/>
          <w:lang w:val="hu-HU"/>
        </w:rPr>
      </w:pPr>
      <w:r>
        <w:rPr>
          <w:rFonts w:eastAsia="Times New Roman"/>
          <w:lang w:val="hu-HU"/>
        </w:rPr>
        <w:t>szisztémás lupusz eritematózusz (beleértve a bőr, a szív, a tüdő, az ízületek és más szervrendszerek gyulladását)</w:t>
      </w:r>
    </w:p>
    <w:p w14:paraId="6B6A048C" w14:textId="77777777" w:rsidR="0037407E" w:rsidRDefault="0037407E" w:rsidP="0037407E">
      <w:pPr>
        <w:pStyle w:val="a3"/>
        <w:numPr>
          <w:ilvl w:val="0"/>
          <w:numId w:val="15"/>
        </w:numPr>
        <w:ind w:left="660" w:hanging="660"/>
        <w:rPr>
          <w:lang w:val="hu-HU"/>
        </w:rPr>
      </w:pPr>
      <w:r>
        <w:rPr>
          <w:rFonts w:eastAsia="Times New Roman"/>
          <w:lang w:val="hu-HU"/>
        </w:rPr>
        <w:t>az alvás megszakadása</w:t>
      </w:r>
    </w:p>
    <w:p w14:paraId="5D3D531D" w14:textId="77777777" w:rsidR="0037407E" w:rsidRDefault="0037407E" w:rsidP="0037407E">
      <w:pPr>
        <w:pStyle w:val="a3"/>
        <w:numPr>
          <w:ilvl w:val="0"/>
          <w:numId w:val="15"/>
        </w:numPr>
        <w:ind w:left="660" w:hanging="660"/>
        <w:rPr>
          <w:lang w:val="hu-HU"/>
        </w:rPr>
      </w:pPr>
      <w:r>
        <w:rPr>
          <w:rFonts w:eastAsia="Times New Roman"/>
          <w:lang w:val="hu-HU"/>
        </w:rPr>
        <w:t>merevedési zavar</w:t>
      </w:r>
    </w:p>
    <w:p w14:paraId="14AA5AE0" w14:textId="77777777" w:rsidR="0037407E" w:rsidRDefault="0037407E" w:rsidP="0037407E">
      <w:pPr>
        <w:pStyle w:val="a3"/>
        <w:numPr>
          <w:ilvl w:val="0"/>
          <w:numId w:val="15"/>
        </w:numPr>
        <w:ind w:left="660" w:hanging="660"/>
        <w:rPr>
          <w:lang w:val="hu-HU"/>
        </w:rPr>
      </w:pPr>
      <w:r>
        <w:rPr>
          <w:rFonts w:eastAsia="Times New Roman"/>
          <w:lang w:val="hu-HU"/>
        </w:rPr>
        <w:t>gyulladások</w:t>
      </w:r>
    </w:p>
    <w:p w14:paraId="666D06F5" w14:textId="77777777" w:rsidR="0037407E" w:rsidRDefault="0037407E" w:rsidP="0037407E">
      <w:pPr>
        <w:spacing w:before="13" w:line="240" w:lineRule="exact"/>
        <w:rPr>
          <w:sz w:val="24"/>
          <w:szCs w:val="24"/>
          <w:lang w:val="hu-HU"/>
        </w:rPr>
      </w:pPr>
    </w:p>
    <w:p w14:paraId="7FB0DF0F" w14:textId="72CA990F" w:rsidR="0037407E" w:rsidRDefault="0037407E" w:rsidP="0037407E">
      <w:pPr>
        <w:pStyle w:val="a3"/>
        <w:rPr>
          <w:lang w:val="hu-HU"/>
        </w:rPr>
      </w:pPr>
      <w:r>
        <w:rPr>
          <w:rFonts w:eastAsia="Times New Roman"/>
          <w:b/>
          <w:bCs/>
          <w:lang w:val="hu-HU"/>
        </w:rPr>
        <w:t xml:space="preserve">Ritka </w:t>
      </w:r>
      <w:r>
        <w:rPr>
          <w:rFonts w:eastAsia="Times New Roman"/>
          <w:lang w:val="hu-HU"/>
        </w:rPr>
        <w:t>(1000 beteg közül legfeljebb 1-nél kialakuló)</w:t>
      </w:r>
    </w:p>
    <w:p w14:paraId="3F6A3E88" w14:textId="77777777" w:rsidR="0037407E" w:rsidRDefault="0037407E" w:rsidP="0037407E">
      <w:pPr>
        <w:spacing w:before="12" w:line="240" w:lineRule="exact"/>
        <w:rPr>
          <w:sz w:val="24"/>
          <w:szCs w:val="24"/>
          <w:lang w:val="hu-HU"/>
        </w:rPr>
      </w:pPr>
    </w:p>
    <w:p w14:paraId="69EDB973" w14:textId="77777777" w:rsidR="0037407E" w:rsidRDefault="0037407E" w:rsidP="0037407E">
      <w:pPr>
        <w:pStyle w:val="a3"/>
        <w:numPr>
          <w:ilvl w:val="0"/>
          <w:numId w:val="15"/>
        </w:numPr>
        <w:ind w:left="660" w:hanging="660"/>
        <w:rPr>
          <w:lang w:val="hu-HU"/>
        </w:rPr>
      </w:pPr>
      <w:r>
        <w:rPr>
          <w:rFonts w:eastAsia="Times New Roman"/>
          <w:lang w:val="hu-HU"/>
        </w:rPr>
        <w:t>leukémia (fehérvérűség, a vérképző rendszer daganata, ami a csontvelőt érinti)</w:t>
      </w:r>
    </w:p>
    <w:p w14:paraId="5FF06D02" w14:textId="77777777" w:rsidR="0037407E" w:rsidRDefault="0037407E" w:rsidP="0037407E">
      <w:pPr>
        <w:pStyle w:val="a3"/>
        <w:numPr>
          <w:ilvl w:val="0"/>
          <w:numId w:val="15"/>
        </w:numPr>
        <w:ind w:left="660" w:hanging="660"/>
        <w:rPr>
          <w:lang w:val="hu-HU"/>
        </w:rPr>
      </w:pPr>
      <w:r>
        <w:rPr>
          <w:rFonts w:eastAsia="Times New Roman"/>
          <w:lang w:val="hu-HU"/>
        </w:rPr>
        <w:t>súlyos, sokkot okozó allergiás reakció</w:t>
      </w:r>
    </w:p>
    <w:p w14:paraId="2592C5B6" w14:textId="77777777" w:rsidR="0037407E" w:rsidRDefault="0037407E" w:rsidP="0037407E">
      <w:pPr>
        <w:pStyle w:val="a3"/>
        <w:numPr>
          <w:ilvl w:val="0"/>
          <w:numId w:val="15"/>
        </w:numPr>
        <w:ind w:left="660" w:hanging="660"/>
        <w:rPr>
          <w:lang w:val="hu-HU"/>
        </w:rPr>
      </w:pPr>
      <w:r>
        <w:rPr>
          <w:rFonts w:eastAsia="Times New Roman"/>
          <w:lang w:val="hu-HU"/>
        </w:rPr>
        <w:t>szklerózis multiplex</w:t>
      </w:r>
    </w:p>
    <w:p w14:paraId="0AB7A4BF" w14:textId="14234FC1" w:rsidR="0037407E" w:rsidRDefault="0037407E" w:rsidP="0037407E">
      <w:pPr>
        <w:pStyle w:val="a3"/>
        <w:numPr>
          <w:ilvl w:val="0"/>
          <w:numId w:val="15"/>
        </w:numPr>
        <w:ind w:left="660" w:hanging="660"/>
        <w:rPr>
          <w:lang w:val="hu-HU"/>
        </w:rPr>
      </w:pPr>
      <w:r>
        <w:rPr>
          <w:rFonts w:eastAsia="Times New Roman"/>
          <w:lang w:val="hu-HU"/>
        </w:rPr>
        <w:t>ideggyógyászati betegségek (például a látóideg gyulladása vagy Guillain–Barré-</w:t>
      </w:r>
      <w:r w:rsidR="005F5974" w:rsidRPr="004D41F4">
        <w:rPr>
          <w:rFonts w:eastAsia="Times New Roman"/>
          <w:lang w:val="hu-HU"/>
        </w:rPr>
        <w:t>tünetegyüttes</w:t>
      </w:r>
      <w:r>
        <w:rPr>
          <w:rFonts w:eastAsia="Times New Roman"/>
          <w:lang w:val="hu-HU"/>
        </w:rPr>
        <w:t>, ami izomgyengeséget, érzészavart, a kar</w:t>
      </w:r>
      <w:r w:rsidR="0095248B">
        <w:rPr>
          <w:rFonts w:eastAsia="Times New Roman"/>
          <w:lang w:val="hu-HU"/>
        </w:rPr>
        <w:t>ok</w:t>
      </w:r>
      <w:r>
        <w:rPr>
          <w:rFonts w:eastAsia="Times New Roman"/>
          <w:lang w:val="hu-HU"/>
        </w:rPr>
        <w:t xml:space="preserve"> és a felsőtest zsibbadását okozhatja)</w:t>
      </w:r>
    </w:p>
    <w:p w14:paraId="4237EDC2" w14:textId="77777777" w:rsidR="0037407E" w:rsidRDefault="0037407E" w:rsidP="0037407E">
      <w:pPr>
        <w:pStyle w:val="a3"/>
        <w:numPr>
          <w:ilvl w:val="0"/>
          <w:numId w:val="15"/>
        </w:numPr>
        <w:ind w:left="660" w:hanging="660"/>
        <w:rPr>
          <w:lang w:val="hu-HU"/>
        </w:rPr>
      </w:pPr>
      <w:r>
        <w:rPr>
          <w:rFonts w:eastAsia="Times New Roman"/>
          <w:lang w:val="hu-HU"/>
        </w:rPr>
        <w:lastRenderedPageBreak/>
        <w:t>szívleállás</w:t>
      </w:r>
    </w:p>
    <w:p w14:paraId="76A8F20E" w14:textId="77777777" w:rsidR="0037407E" w:rsidRDefault="0037407E" w:rsidP="0037407E">
      <w:pPr>
        <w:pStyle w:val="a3"/>
        <w:numPr>
          <w:ilvl w:val="0"/>
          <w:numId w:val="15"/>
        </w:numPr>
        <w:ind w:left="660" w:hanging="660"/>
        <w:rPr>
          <w:lang w:val="hu-HU"/>
        </w:rPr>
      </w:pPr>
      <w:r>
        <w:rPr>
          <w:rFonts w:eastAsia="Times New Roman"/>
          <w:lang w:val="hu-HU"/>
        </w:rPr>
        <w:t>tüdőfibrózis (tüdőhegesedés)</w:t>
      </w:r>
    </w:p>
    <w:p w14:paraId="4A5B0756" w14:textId="6FB7BBF4" w:rsidR="0037407E" w:rsidRDefault="0095248B" w:rsidP="0037407E">
      <w:pPr>
        <w:pStyle w:val="a3"/>
        <w:numPr>
          <w:ilvl w:val="0"/>
          <w:numId w:val="15"/>
        </w:numPr>
        <w:ind w:left="660" w:hanging="660"/>
        <w:rPr>
          <w:lang w:val="hu-HU"/>
        </w:rPr>
      </w:pPr>
      <w:r w:rsidRPr="00545FC6">
        <w:rPr>
          <w:lang w:val="hu-HU"/>
        </w:rPr>
        <w:t>bél átlyukadás</w:t>
      </w:r>
    </w:p>
    <w:p w14:paraId="213538A6" w14:textId="77777777" w:rsidR="0037407E" w:rsidRDefault="0037407E" w:rsidP="0037407E">
      <w:pPr>
        <w:pStyle w:val="a3"/>
        <w:numPr>
          <w:ilvl w:val="0"/>
          <w:numId w:val="15"/>
        </w:numPr>
        <w:ind w:left="660" w:hanging="660"/>
        <w:rPr>
          <w:lang w:val="hu-HU"/>
        </w:rPr>
      </w:pPr>
      <w:r>
        <w:rPr>
          <w:rFonts w:eastAsia="Times New Roman"/>
          <w:lang w:val="hu-HU"/>
        </w:rPr>
        <w:t>májgyulladás</w:t>
      </w:r>
    </w:p>
    <w:p w14:paraId="11CAF9F2" w14:textId="29B7616D" w:rsidR="0037407E" w:rsidRDefault="0037407E" w:rsidP="0037407E">
      <w:pPr>
        <w:pStyle w:val="a3"/>
        <w:numPr>
          <w:ilvl w:val="0"/>
          <w:numId w:val="15"/>
        </w:numPr>
        <w:ind w:left="660" w:hanging="660"/>
        <w:rPr>
          <w:lang w:val="hu-HU"/>
        </w:rPr>
      </w:pPr>
      <w:r>
        <w:rPr>
          <w:rFonts w:eastAsia="Times New Roman"/>
          <w:lang w:val="hu-HU"/>
        </w:rPr>
        <w:t>B</w:t>
      </w:r>
      <w:r w:rsidR="005F5974">
        <w:rPr>
          <w:rFonts w:eastAsia="Times New Roman"/>
          <w:lang w:val="hu-HU"/>
        </w:rPr>
        <w:t>-</w:t>
      </w:r>
      <w:r>
        <w:rPr>
          <w:rFonts w:eastAsia="Times New Roman"/>
          <w:lang w:val="hu-HU"/>
        </w:rPr>
        <w:t>típusú fertőző májgyulladás kiújulása</w:t>
      </w:r>
    </w:p>
    <w:p w14:paraId="32E370E3" w14:textId="77777777" w:rsidR="0037407E" w:rsidRDefault="0037407E" w:rsidP="0037407E">
      <w:pPr>
        <w:pStyle w:val="a3"/>
        <w:numPr>
          <w:ilvl w:val="0"/>
          <w:numId w:val="15"/>
        </w:numPr>
        <w:ind w:left="660" w:hanging="660"/>
        <w:rPr>
          <w:lang w:val="hu-HU"/>
        </w:rPr>
      </w:pPr>
      <w:r>
        <w:rPr>
          <w:rFonts w:eastAsia="Times New Roman"/>
          <w:lang w:val="hu-HU"/>
        </w:rPr>
        <w:t>autoimmun májgyulladás (a máj gyulladása, melyet a saját immunrendszer vált ki)</w:t>
      </w:r>
    </w:p>
    <w:p w14:paraId="5A6E823D" w14:textId="77777777" w:rsidR="0037407E" w:rsidRDefault="0037407E" w:rsidP="0037407E">
      <w:pPr>
        <w:pStyle w:val="a3"/>
        <w:numPr>
          <w:ilvl w:val="0"/>
          <w:numId w:val="15"/>
        </w:numPr>
        <w:ind w:left="660" w:hanging="660"/>
        <w:rPr>
          <w:lang w:val="hu-HU"/>
        </w:rPr>
      </w:pPr>
      <w:r>
        <w:rPr>
          <w:rFonts w:eastAsia="Times New Roman"/>
          <w:lang w:val="hu-HU"/>
        </w:rPr>
        <w:t>a bőrben található erek gyulladása (kután vaszkulitisz)</w:t>
      </w:r>
    </w:p>
    <w:p w14:paraId="5C874CD4" w14:textId="77777777" w:rsidR="0037407E" w:rsidRDefault="0037407E" w:rsidP="0037407E">
      <w:pPr>
        <w:pStyle w:val="a3"/>
        <w:numPr>
          <w:ilvl w:val="0"/>
          <w:numId w:val="15"/>
        </w:numPr>
        <w:ind w:left="660" w:hanging="660"/>
        <w:rPr>
          <w:lang w:val="hu-HU"/>
        </w:rPr>
      </w:pPr>
      <w:r>
        <w:rPr>
          <w:rFonts w:eastAsia="Times New Roman"/>
          <w:lang w:val="hu-HU"/>
        </w:rPr>
        <w:t>Stevens–Johnson-szindróma (korai tünetei a rossz közérzet, láz, fejfájás és bőrkiütés)</w:t>
      </w:r>
    </w:p>
    <w:p w14:paraId="4D9B45B8" w14:textId="77777777" w:rsidR="0037407E" w:rsidRDefault="0037407E" w:rsidP="0037407E">
      <w:pPr>
        <w:pStyle w:val="a3"/>
        <w:numPr>
          <w:ilvl w:val="0"/>
          <w:numId w:val="15"/>
        </w:numPr>
        <w:ind w:left="660" w:hanging="660"/>
        <w:rPr>
          <w:lang w:val="hu-HU"/>
        </w:rPr>
      </w:pPr>
      <w:r>
        <w:rPr>
          <w:rFonts w:eastAsia="Times New Roman"/>
          <w:lang w:val="hu-HU"/>
        </w:rPr>
        <w:t>arcduzzanat, amit allergiás reakció kísér</w:t>
      </w:r>
    </w:p>
    <w:p w14:paraId="58CE827A" w14:textId="77777777" w:rsidR="0037407E" w:rsidRDefault="0037407E" w:rsidP="0037407E">
      <w:pPr>
        <w:pStyle w:val="a3"/>
        <w:numPr>
          <w:ilvl w:val="0"/>
          <w:numId w:val="15"/>
        </w:numPr>
        <w:ind w:left="660" w:hanging="660"/>
        <w:rPr>
          <w:lang w:val="hu-HU"/>
        </w:rPr>
      </w:pPr>
      <w:r>
        <w:rPr>
          <w:rFonts w:eastAsia="Times New Roman"/>
          <w:lang w:val="hu-HU"/>
        </w:rPr>
        <w:t>gyulladásos bőrkiütés (eritéma multiforme)</w:t>
      </w:r>
    </w:p>
    <w:p w14:paraId="05706BF9" w14:textId="77777777" w:rsidR="0037407E" w:rsidRDefault="0037407E" w:rsidP="0037407E">
      <w:pPr>
        <w:pStyle w:val="a3"/>
        <w:numPr>
          <w:ilvl w:val="0"/>
          <w:numId w:val="15"/>
        </w:numPr>
        <w:ind w:left="660" w:hanging="660"/>
        <w:rPr>
          <w:lang w:val="hu-HU"/>
        </w:rPr>
      </w:pPr>
      <w:r>
        <w:rPr>
          <w:rFonts w:eastAsia="Times New Roman"/>
          <w:lang w:val="hu-HU"/>
        </w:rPr>
        <w:t>lupusz-szerű szindróma</w:t>
      </w:r>
    </w:p>
    <w:p w14:paraId="44EAE747" w14:textId="77777777" w:rsidR="0037407E" w:rsidRDefault="0037407E" w:rsidP="0037407E">
      <w:pPr>
        <w:pStyle w:val="a3"/>
        <w:numPr>
          <w:ilvl w:val="0"/>
          <w:numId w:val="15"/>
        </w:numPr>
        <w:ind w:left="660" w:hanging="660"/>
        <w:rPr>
          <w:lang w:val="hu-HU"/>
        </w:rPr>
      </w:pPr>
      <w:r>
        <w:rPr>
          <w:rFonts w:eastAsia="Times New Roman"/>
          <w:lang w:val="hu-HU"/>
        </w:rPr>
        <w:t>helyi bőrduzzanat (angioödéma)</w:t>
      </w:r>
    </w:p>
    <w:p w14:paraId="02B77500" w14:textId="77777777" w:rsidR="0037407E" w:rsidRDefault="0037407E" w:rsidP="0037407E">
      <w:pPr>
        <w:pStyle w:val="a3"/>
        <w:numPr>
          <w:ilvl w:val="0"/>
          <w:numId w:val="15"/>
        </w:numPr>
        <w:ind w:left="660" w:hanging="660"/>
        <w:rPr>
          <w:lang w:val="hu-HU"/>
        </w:rPr>
      </w:pPr>
      <w:r>
        <w:rPr>
          <w:rFonts w:eastAsia="Times New Roman"/>
          <w:lang w:val="hu-HU"/>
        </w:rPr>
        <w:t>lichenoid bőrreakció (viszkető, vöröses-lilás bőrkiütés).</w:t>
      </w:r>
    </w:p>
    <w:p w14:paraId="53102B2F" w14:textId="77777777" w:rsidR="0037407E" w:rsidRDefault="0037407E" w:rsidP="0037407E">
      <w:pPr>
        <w:spacing w:before="10" w:line="240" w:lineRule="exact"/>
        <w:rPr>
          <w:sz w:val="24"/>
          <w:szCs w:val="24"/>
          <w:lang w:val="hu-HU"/>
        </w:rPr>
      </w:pPr>
    </w:p>
    <w:p w14:paraId="2E558E08" w14:textId="77777777" w:rsidR="0037407E" w:rsidRDefault="0037407E" w:rsidP="0037407E">
      <w:pPr>
        <w:pStyle w:val="a3"/>
        <w:rPr>
          <w:lang w:val="hu-HU"/>
        </w:rPr>
      </w:pPr>
      <w:r>
        <w:rPr>
          <w:rFonts w:eastAsia="Times New Roman"/>
          <w:b/>
          <w:bCs/>
          <w:lang w:val="hu-HU"/>
        </w:rPr>
        <w:t>Nem ismert</w:t>
      </w:r>
      <w:r>
        <w:rPr>
          <w:rFonts w:eastAsia="Times New Roman"/>
          <w:lang w:val="hu-HU"/>
        </w:rPr>
        <w:t xml:space="preserve"> (a gyakoriság a rendelkezésre álló adatokból nem állapítható meg)</w:t>
      </w:r>
    </w:p>
    <w:p w14:paraId="23369F3A" w14:textId="77777777" w:rsidR="0037407E" w:rsidRDefault="0037407E" w:rsidP="0037407E">
      <w:pPr>
        <w:spacing w:before="14" w:line="240" w:lineRule="exact"/>
        <w:rPr>
          <w:sz w:val="24"/>
          <w:szCs w:val="24"/>
          <w:lang w:val="hu-HU"/>
        </w:rPr>
      </w:pPr>
    </w:p>
    <w:p w14:paraId="01873124" w14:textId="77777777" w:rsidR="0037407E" w:rsidRDefault="0037407E" w:rsidP="0037407E">
      <w:pPr>
        <w:pStyle w:val="a3"/>
        <w:numPr>
          <w:ilvl w:val="0"/>
          <w:numId w:val="15"/>
        </w:numPr>
        <w:ind w:left="660" w:hanging="660"/>
        <w:rPr>
          <w:lang w:val="hu-HU"/>
        </w:rPr>
      </w:pPr>
      <w:r>
        <w:rPr>
          <w:rFonts w:eastAsia="Times New Roman"/>
          <w:lang w:val="hu-HU"/>
        </w:rPr>
        <w:t>hepatoszplénikus T-sejtes limfóma (ritka vérrák, amely gyakran halálos kimenetelű)</w:t>
      </w:r>
    </w:p>
    <w:p w14:paraId="3A74E6FA" w14:textId="77777777" w:rsidR="0037407E" w:rsidRDefault="0037407E" w:rsidP="0037407E">
      <w:pPr>
        <w:pStyle w:val="a3"/>
        <w:numPr>
          <w:ilvl w:val="0"/>
          <w:numId w:val="15"/>
        </w:numPr>
        <w:ind w:left="660" w:hanging="660"/>
        <w:rPr>
          <w:lang w:val="hu-HU"/>
        </w:rPr>
      </w:pPr>
      <w:r>
        <w:rPr>
          <w:rFonts w:eastAsia="Times New Roman"/>
          <w:lang w:val="hu-HU"/>
        </w:rPr>
        <w:t>Merkel-sejtes karcinóma (a bőrrák egyik típusa)</w:t>
      </w:r>
    </w:p>
    <w:p w14:paraId="31CDE7CE" w14:textId="7B2162EB" w:rsidR="0037407E" w:rsidRDefault="0037407E" w:rsidP="0037407E">
      <w:pPr>
        <w:pStyle w:val="a3"/>
        <w:numPr>
          <w:ilvl w:val="0"/>
          <w:numId w:val="15"/>
        </w:numPr>
        <w:ind w:left="660" w:hanging="660"/>
        <w:rPr>
          <w:lang w:val="hu-HU"/>
        </w:rPr>
      </w:pPr>
      <w:r>
        <w:rPr>
          <w:rFonts w:eastAsia="Times New Roman"/>
          <w:lang w:val="hu-HU"/>
        </w:rPr>
        <w:t xml:space="preserve">Kaposi-szarkóma, egy ritka rák, amely humán herpeszvírus 8-fertőzéssel függ össze. A Kaposi szarkóma leggyakrabban lila </w:t>
      </w:r>
      <w:r w:rsidR="005F5974" w:rsidRPr="0038367E">
        <w:rPr>
          <w:rFonts w:eastAsia="Times New Roman"/>
          <w:lang w:val="hu-HU"/>
        </w:rPr>
        <w:t>sérülésként</w:t>
      </w:r>
      <w:r w:rsidR="005F5974">
        <w:rPr>
          <w:rFonts w:eastAsia="Times New Roman"/>
          <w:lang w:val="hu-HU"/>
        </w:rPr>
        <w:t xml:space="preserve"> </w:t>
      </w:r>
      <w:r>
        <w:rPr>
          <w:rFonts w:eastAsia="Times New Roman"/>
          <w:lang w:val="hu-HU"/>
        </w:rPr>
        <w:t>jelenik meg a bőrön.</w:t>
      </w:r>
    </w:p>
    <w:p w14:paraId="434286C1" w14:textId="77777777" w:rsidR="0037407E" w:rsidRDefault="0037407E" w:rsidP="0037407E">
      <w:pPr>
        <w:pStyle w:val="a3"/>
        <w:numPr>
          <w:ilvl w:val="0"/>
          <w:numId w:val="15"/>
        </w:numPr>
        <w:ind w:left="660" w:hanging="660"/>
        <w:rPr>
          <w:lang w:val="hu-HU"/>
        </w:rPr>
      </w:pPr>
      <w:r>
        <w:rPr>
          <w:rFonts w:eastAsia="Times New Roman"/>
          <w:lang w:val="hu-HU"/>
        </w:rPr>
        <w:t>májelégtelenség</w:t>
      </w:r>
    </w:p>
    <w:p w14:paraId="6A386770" w14:textId="77777777" w:rsidR="0037407E" w:rsidRPr="00526958" w:rsidRDefault="0037407E" w:rsidP="0037407E">
      <w:pPr>
        <w:pStyle w:val="a3"/>
        <w:numPr>
          <w:ilvl w:val="0"/>
          <w:numId w:val="15"/>
        </w:numPr>
        <w:ind w:left="660" w:hanging="660"/>
        <w:rPr>
          <w:lang w:val="hu-HU"/>
        </w:rPr>
      </w:pPr>
      <w:r>
        <w:rPr>
          <w:rFonts w:eastAsia="Times New Roman"/>
          <w:lang w:val="hu-HU"/>
        </w:rPr>
        <w:t>dermatomiozitisz nevű betegség (izomgyengeséghez társult bőrkiütés formájában jelentkezik) súlyosbodása</w:t>
      </w:r>
    </w:p>
    <w:p w14:paraId="10E51EEA" w14:textId="4ADCC6C9" w:rsidR="0037407E" w:rsidRDefault="005F5974" w:rsidP="0037407E">
      <w:pPr>
        <w:pStyle w:val="a3"/>
        <w:numPr>
          <w:ilvl w:val="0"/>
          <w:numId w:val="15"/>
        </w:numPr>
        <w:ind w:left="660" w:hanging="660"/>
        <w:rPr>
          <w:lang w:val="hu-HU"/>
        </w:rPr>
      </w:pPr>
      <w:r>
        <w:rPr>
          <w:rFonts w:eastAsia="Times New Roman"/>
          <w:lang w:val="hu-HU"/>
        </w:rPr>
        <w:t>t</w:t>
      </w:r>
      <w:r w:rsidR="0037407E" w:rsidRPr="00526958">
        <w:rPr>
          <w:rFonts w:eastAsia="Times New Roman"/>
          <w:lang w:val="hu-HU"/>
        </w:rPr>
        <w:t>estsúlynövekedés (a legtöbb betegnél ez kismértékű volt)</w:t>
      </w:r>
    </w:p>
    <w:p w14:paraId="40DFA7B6" w14:textId="77777777" w:rsidR="0037407E" w:rsidRDefault="0037407E" w:rsidP="0037407E">
      <w:pPr>
        <w:pStyle w:val="a3"/>
        <w:numPr>
          <w:ilvl w:val="0"/>
          <w:numId w:val="0"/>
        </w:numPr>
        <w:rPr>
          <w:lang w:val="hu-HU"/>
        </w:rPr>
      </w:pPr>
    </w:p>
    <w:p w14:paraId="5F31CD81" w14:textId="77777777" w:rsidR="0037407E" w:rsidRDefault="0037407E" w:rsidP="0037407E">
      <w:pPr>
        <w:pStyle w:val="a3"/>
        <w:rPr>
          <w:lang w:val="hu-HU"/>
        </w:rPr>
      </w:pPr>
      <w:r>
        <w:rPr>
          <w:rFonts w:eastAsia="Times New Roman"/>
          <w:lang w:val="hu-HU"/>
        </w:rPr>
        <w:t>A Yuflyma alkalmazása során észlelt némelyik mellékhatás nem okoz tüneteket, és lehet, hogy csak vérvizsgálattal deríthető ki. Ezek köze tartozik:</w:t>
      </w:r>
    </w:p>
    <w:p w14:paraId="14A5A648" w14:textId="77777777" w:rsidR="0037407E" w:rsidRDefault="0037407E" w:rsidP="0037407E">
      <w:pPr>
        <w:pStyle w:val="a3"/>
        <w:rPr>
          <w:lang w:val="hu-HU"/>
        </w:rPr>
      </w:pPr>
    </w:p>
    <w:p w14:paraId="31E8D885" w14:textId="77777777" w:rsidR="0037407E" w:rsidRDefault="0037407E" w:rsidP="0037407E">
      <w:pPr>
        <w:pStyle w:val="a3"/>
        <w:rPr>
          <w:rFonts w:eastAsia="Times New Roman"/>
          <w:lang w:val="hu-HU"/>
        </w:rPr>
      </w:pPr>
      <w:r>
        <w:rPr>
          <w:rFonts w:eastAsia="Times New Roman"/>
          <w:b/>
          <w:bCs/>
          <w:spacing w:val="-1"/>
          <w:lang w:val="hu-HU"/>
        </w:rPr>
        <w:t xml:space="preserve">Nagyon gyakori </w:t>
      </w:r>
      <w:r>
        <w:rPr>
          <w:rFonts w:eastAsia="Times New Roman"/>
          <w:spacing w:val="-1"/>
          <w:lang w:val="hu-HU"/>
        </w:rPr>
        <w:t>(10 beteg közül több mint 1-nél kialakuló)</w:t>
      </w:r>
    </w:p>
    <w:p w14:paraId="4CC74147" w14:textId="77777777" w:rsidR="0037407E" w:rsidRDefault="0037407E" w:rsidP="0037407E">
      <w:pPr>
        <w:pStyle w:val="a3"/>
        <w:rPr>
          <w:lang w:val="hu-HU"/>
        </w:rPr>
      </w:pPr>
    </w:p>
    <w:p w14:paraId="13202E44" w14:textId="77777777" w:rsidR="0037407E" w:rsidRDefault="0037407E" w:rsidP="0037407E">
      <w:pPr>
        <w:pStyle w:val="a3"/>
        <w:numPr>
          <w:ilvl w:val="0"/>
          <w:numId w:val="15"/>
        </w:numPr>
        <w:ind w:left="660" w:hanging="660"/>
        <w:rPr>
          <w:lang w:val="hu-HU"/>
        </w:rPr>
      </w:pPr>
      <w:r>
        <w:rPr>
          <w:rFonts w:eastAsia="Times New Roman"/>
          <w:lang w:val="hu-HU"/>
        </w:rPr>
        <w:t>alacsony fehérvérsejtszám</w:t>
      </w:r>
    </w:p>
    <w:p w14:paraId="549BA8A4" w14:textId="77777777" w:rsidR="0037407E" w:rsidRDefault="0037407E" w:rsidP="0037407E">
      <w:pPr>
        <w:pStyle w:val="a3"/>
        <w:numPr>
          <w:ilvl w:val="0"/>
          <w:numId w:val="15"/>
        </w:numPr>
        <w:ind w:left="660" w:hanging="660"/>
        <w:rPr>
          <w:lang w:val="hu-HU"/>
        </w:rPr>
      </w:pPr>
      <w:r>
        <w:rPr>
          <w:rFonts w:eastAsia="Times New Roman"/>
          <w:lang w:val="hu-HU"/>
        </w:rPr>
        <w:t>alacsony fehérvértestszám</w:t>
      </w:r>
    </w:p>
    <w:p w14:paraId="72A16F6C" w14:textId="77777777" w:rsidR="0037407E" w:rsidRDefault="0037407E" w:rsidP="0037407E">
      <w:pPr>
        <w:pStyle w:val="a3"/>
        <w:numPr>
          <w:ilvl w:val="0"/>
          <w:numId w:val="15"/>
        </w:numPr>
        <w:ind w:left="660" w:hanging="660"/>
        <w:rPr>
          <w:lang w:val="hu-HU"/>
        </w:rPr>
      </w:pPr>
      <w:r>
        <w:rPr>
          <w:rFonts w:eastAsia="Times New Roman"/>
          <w:lang w:val="hu-HU"/>
        </w:rPr>
        <w:t>a vérzsírszint emelkedése</w:t>
      </w:r>
    </w:p>
    <w:p w14:paraId="363C65E4" w14:textId="77777777" w:rsidR="0037407E" w:rsidRDefault="0037407E" w:rsidP="0037407E">
      <w:pPr>
        <w:pStyle w:val="a3"/>
        <w:numPr>
          <w:ilvl w:val="0"/>
          <w:numId w:val="15"/>
        </w:numPr>
        <w:ind w:left="660" w:hanging="660"/>
        <w:rPr>
          <w:lang w:val="hu-HU"/>
        </w:rPr>
      </w:pPr>
      <w:r>
        <w:rPr>
          <w:rFonts w:eastAsia="Times New Roman"/>
          <w:lang w:val="hu-HU"/>
        </w:rPr>
        <w:t>emelkedett májenzimszintek</w:t>
      </w:r>
    </w:p>
    <w:p w14:paraId="461DA5C8" w14:textId="77777777" w:rsidR="0037407E" w:rsidRDefault="0037407E" w:rsidP="0037407E">
      <w:pPr>
        <w:spacing w:before="10" w:line="240" w:lineRule="exact"/>
        <w:rPr>
          <w:sz w:val="24"/>
          <w:szCs w:val="24"/>
          <w:lang w:val="hu-HU"/>
        </w:rPr>
      </w:pPr>
    </w:p>
    <w:p w14:paraId="7A6DCE35" w14:textId="12C2D8C6" w:rsidR="0037407E" w:rsidRDefault="0037407E" w:rsidP="0037407E">
      <w:pPr>
        <w:pStyle w:val="a3"/>
        <w:rPr>
          <w:lang w:val="hu-HU"/>
        </w:rPr>
      </w:pPr>
      <w:r>
        <w:rPr>
          <w:rFonts w:eastAsia="Times New Roman"/>
          <w:b/>
          <w:bCs/>
          <w:lang w:val="hu-HU"/>
        </w:rPr>
        <w:t xml:space="preserve">Gyakori </w:t>
      </w:r>
      <w:r>
        <w:rPr>
          <w:rFonts w:eastAsia="Times New Roman"/>
          <w:lang w:val="hu-HU"/>
        </w:rPr>
        <w:t xml:space="preserve">(10 beteg közül </w:t>
      </w:r>
      <w:r w:rsidR="005F5974" w:rsidRPr="004D41F4">
        <w:rPr>
          <w:rFonts w:eastAsia="Times New Roman"/>
          <w:lang w:val="hu-HU"/>
        </w:rPr>
        <w:t>legfeljebb</w:t>
      </w:r>
      <w:r w:rsidR="005F5974">
        <w:rPr>
          <w:rFonts w:eastAsia="Times New Roman"/>
          <w:lang w:val="hu-HU"/>
        </w:rPr>
        <w:t xml:space="preserve"> </w:t>
      </w:r>
      <w:r>
        <w:rPr>
          <w:rFonts w:eastAsia="Times New Roman"/>
          <w:lang w:val="hu-HU"/>
        </w:rPr>
        <w:t>1-nél kialakuló)</w:t>
      </w:r>
    </w:p>
    <w:p w14:paraId="618CBE50" w14:textId="77777777" w:rsidR="0037407E" w:rsidRDefault="0037407E" w:rsidP="0037407E">
      <w:pPr>
        <w:spacing w:before="14" w:line="240" w:lineRule="exact"/>
        <w:rPr>
          <w:sz w:val="24"/>
          <w:szCs w:val="24"/>
          <w:lang w:val="hu-HU"/>
        </w:rPr>
      </w:pPr>
    </w:p>
    <w:p w14:paraId="6F6DF507" w14:textId="5802EFE8" w:rsidR="0037407E" w:rsidRDefault="005F5974" w:rsidP="0037407E">
      <w:pPr>
        <w:pStyle w:val="a3"/>
        <w:numPr>
          <w:ilvl w:val="0"/>
          <w:numId w:val="15"/>
        </w:numPr>
        <w:ind w:left="660" w:hanging="660"/>
        <w:rPr>
          <w:lang w:val="hu-HU"/>
        </w:rPr>
      </w:pPr>
      <w:r>
        <w:rPr>
          <w:rFonts w:eastAsia="Times New Roman"/>
          <w:lang w:val="hu-HU"/>
        </w:rPr>
        <w:t xml:space="preserve">magas </w:t>
      </w:r>
      <w:r w:rsidR="0037407E">
        <w:rPr>
          <w:rFonts w:eastAsia="Times New Roman"/>
          <w:lang w:val="hu-HU"/>
        </w:rPr>
        <w:t>fehérvérsejtszám</w:t>
      </w:r>
    </w:p>
    <w:p w14:paraId="685DF1F2" w14:textId="77777777" w:rsidR="0037407E" w:rsidRDefault="0037407E" w:rsidP="0037407E">
      <w:pPr>
        <w:pStyle w:val="a3"/>
        <w:numPr>
          <w:ilvl w:val="0"/>
          <w:numId w:val="15"/>
        </w:numPr>
        <w:ind w:left="660" w:hanging="660"/>
        <w:rPr>
          <w:lang w:val="hu-HU"/>
        </w:rPr>
      </w:pPr>
      <w:r>
        <w:rPr>
          <w:rFonts w:eastAsia="Times New Roman"/>
          <w:lang w:val="hu-HU"/>
        </w:rPr>
        <w:t>alacsony vérlemezkeszám</w:t>
      </w:r>
    </w:p>
    <w:p w14:paraId="7717BA09" w14:textId="77777777" w:rsidR="0037407E" w:rsidRDefault="0037407E" w:rsidP="0037407E">
      <w:pPr>
        <w:pStyle w:val="a3"/>
        <w:numPr>
          <w:ilvl w:val="0"/>
          <w:numId w:val="15"/>
        </w:numPr>
        <w:ind w:left="660" w:hanging="660"/>
        <w:rPr>
          <w:lang w:val="hu-HU"/>
        </w:rPr>
      </w:pPr>
      <w:r>
        <w:rPr>
          <w:rFonts w:eastAsia="Times New Roman"/>
          <w:lang w:val="hu-HU"/>
        </w:rPr>
        <w:t>emelkedett húgysavszint a vérben</w:t>
      </w:r>
    </w:p>
    <w:p w14:paraId="6448E567" w14:textId="77777777" w:rsidR="0037407E" w:rsidRDefault="0037407E" w:rsidP="0037407E">
      <w:pPr>
        <w:pStyle w:val="a3"/>
        <w:numPr>
          <w:ilvl w:val="0"/>
          <w:numId w:val="15"/>
        </w:numPr>
        <w:ind w:left="660" w:hanging="660"/>
        <w:rPr>
          <w:lang w:val="hu-HU"/>
        </w:rPr>
      </w:pPr>
      <w:r>
        <w:rPr>
          <w:lang w:val="hu-HU"/>
        </w:rPr>
        <w:t>kóro</w:t>
      </w:r>
      <w:r>
        <w:rPr>
          <w:rFonts w:eastAsia="Times New Roman"/>
          <w:lang w:val="hu-HU"/>
        </w:rPr>
        <w:t>s nátriumszint a vérben</w:t>
      </w:r>
    </w:p>
    <w:p w14:paraId="5B957D41" w14:textId="77777777" w:rsidR="0037407E" w:rsidRDefault="0037407E" w:rsidP="0037407E">
      <w:pPr>
        <w:pStyle w:val="a3"/>
        <w:numPr>
          <w:ilvl w:val="0"/>
          <w:numId w:val="15"/>
        </w:numPr>
        <w:ind w:left="660" w:hanging="660"/>
        <w:rPr>
          <w:lang w:val="hu-HU"/>
        </w:rPr>
      </w:pPr>
      <w:r>
        <w:rPr>
          <w:rFonts w:eastAsia="Times New Roman"/>
          <w:lang w:val="hu-HU"/>
        </w:rPr>
        <w:t>alacsony kalciumszint a vérben</w:t>
      </w:r>
    </w:p>
    <w:p w14:paraId="10F3027B" w14:textId="77777777" w:rsidR="0037407E" w:rsidRDefault="0037407E" w:rsidP="0037407E">
      <w:pPr>
        <w:pStyle w:val="a3"/>
        <w:numPr>
          <w:ilvl w:val="0"/>
          <w:numId w:val="15"/>
        </w:numPr>
        <w:ind w:left="660" w:hanging="660"/>
        <w:rPr>
          <w:lang w:val="hu-HU"/>
        </w:rPr>
      </w:pPr>
      <w:r>
        <w:rPr>
          <w:rFonts w:eastAsia="Times New Roman"/>
          <w:lang w:val="hu-HU"/>
        </w:rPr>
        <w:t>alacsony foszfátszint a vérben</w:t>
      </w:r>
    </w:p>
    <w:p w14:paraId="55B2D052" w14:textId="77777777" w:rsidR="0037407E" w:rsidRDefault="0037407E" w:rsidP="0037407E">
      <w:pPr>
        <w:pStyle w:val="a3"/>
        <w:numPr>
          <w:ilvl w:val="0"/>
          <w:numId w:val="15"/>
        </w:numPr>
        <w:ind w:left="660" w:hanging="660"/>
        <w:rPr>
          <w:lang w:val="hu-HU"/>
        </w:rPr>
      </w:pPr>
      <w:r>
        <w:rPr>
          <w:rFonts w:eastAsia="Times New Roman"/>
          <w:lang w:val="hu-HU"/>
        </w:rPr>
        <w:t>magas vércukorszint</w:t>
      </w:r>
    </w:p>
    <w:p w14:paraId="47EEB700" w14:textId="77777777" w:rsidR="0037407E" w:rsidRDefault="0037407E" w:rsidP="0037407E">
      <w:pPr>
        <w:pStyle w:val="a3"/>
        <w:numPr>
          <w:ilvl w:val="0"/>
          <w:numId w:val="15"/>
        </w:numPr>
        <w:ind w:left="660" w:hanging="660"/>
        <w:rPr>
          <w:lang w:val="hu-HU"/>
        </w:rPr>
      </w:pPr>
      <w:r>
        <w:rPr>
          <w:rFonts w:eastAsia="Times New Roman"/>
          <w:lang w:val="hu-HU"/>
        </w:rPr>
        <w:t>magas laktát-dehidrogenáz-szint a vérben</w:t>
      </w:r>
    </w:p>
    <w:p w14:paraId="2BEF5358" w14:textId="77777777" w:rsidR="0037407E" w:rsidRDefault="0037407E" w:rsidP="0037407E">
      <w:pPr>
        <w:pStyle w:val="a3"/>
        <w:numPr>
          <w:ilvl w:val="0"/>
          <w:numId w:val="15"/>
        </w:numPr>
        <w:ind w:left="660" w:hanging="660"/>
        <w:rPr>
          <w:lang w:val="hu-HU"/>
        </w:rPr>
      </w:pPr>
      <w:r>
        <w:rPr>
          <w:rFonts w:eastAsia="Times New Roman"/>
          <w:lang w:val="hu-HU"/>
        </w:rPr>
        <w:t>autoantitestek megjelenése a vérben</w:t>
      </w:r>
    </w:p>
    <w:p w14:paraId="175D105E" w14:textId="77777777" w:rsidR="0037407E" w:rsidRDefault="0037407E" w:rsidP="0037407E">
      <w:pPr>
        <w:pStyle w:val="a3"/>
        <w:numPr>
          <w:ilvl w:val="0"/>
          <w:numId w:val="15"/>
        </w:numPr>
        <w:ind w:left="660" w:hanging="660"/>
        <w:rPr>
          <w:lang w:val="hu-HU"/>
        </w:rPr>
      </w:pPr>
      <w:r>
        <w:rPr>
          <w:rFonts w:eastAsia="Times New Roman"/>
          <w:lang w:val="hu-HU"/>
        </w:rPr>
        <w:t>alacsony káliumszint a vérben</w:t>
      </w:r>
    </w:p>
    <w:p w14:paraId="68499EDE" w14:textId="77777777" w:rsidR="0037407E" w:rsidRDefault="0037407E" w:rsidP="0037407E">
      <w:pPr>
        <w:spacing w:before="13" w:line="240" w:lineRule="exact"/>
        <w:rPr>
          <w:sz w:val="24"/>
          <w:szCs w:val="24"/>
          <w:lang w:val="hu-HU"/>
        </w:rPr>
      </w:pPr>
    </w:p>
    <w:p w14:paraId="6B6097BE" w14:textId="77777777" w:rsidR="0037407E" w:rsidRDefault="0037407E" w:rsidP="0037407E">
      <w:pPr>
        <w:rPr>
          <w:rFonts w:ascii="Times New Roman" w:eastAsia="Times New Roman" w:hAnsi="Times New Roman" w:cs="Times New Roman"/>
          <w:lang w:val="hu-HU"/>
        </w:rPr>
      </w:pPr>
      <w:r>
        <w:rPr>
          <w:rFonts w:ascii="Times New Roman" w:eastAsia="Times New Roman" w:hAnsi="Times New Roman" w:cs="Times New Roman"/>
          <w:b/>
          <w:bCs/>
          <w:spacing w:val="-1"/>
          <w:lang w:val="hu-HU"/>
        </w:rPr>
        <w:t xml:space="preserve">Nem gyakori </w:t>
      </w:r>
      <w:r>
        <w:rPr>
          <w:rFonts w:ascii="Times New Roman" w:eastAsia="Times New Roman" w:hAnsi="Times New Roman" w:cs="Times New Roman"/>
          <w:spacing w:val="-1"/>
          <w:lang w:val="hu-HU"/>
        </w:rPr>
        <w:t>(100 beteg közül legfeljebb 1-nél kialakuló)</w:t>
      </w:r>
    </w:p>
    <w:p w14:paraId="73AA3FD8" w14:textId="77777777" w:rsidR="0037407E" w:rsidRDefault="0037407E" w:rsidP="0037407E">
      <w:pPr>
        <w:spacing w:before="12" w:line="240" w:lineRule="exact"/>
        <w:rPr>
          <w:sz w:val="24"/>
          <w:szCs w:val="24"/>
          <w:lang w:val="hu-HU"/>
        </w:rPr>
      </w:pPr>
    </w:p>
    <w:p w14:paraId="656029FE" w14:textId="77777777" w:rsidR="0037407E" w:rsidRDefault="0037407E" w:rsidP="0037407E">
      <w:pPr>
        <w:pStyle w:val="a3"/>
        <w:numPr>
          <w:ilvl w:val="0"/>
          <w:numId w:val="15"/>
        </w:numPr>
        <w:ind w:left="660" w:hanging="660"/>
        <w:rPr>
          <w:lang w:val="hu-HU"/>
        </w:rPr>
      </w:pPr>
      <w:r>
        <w:rPr>
          <w:rFonts w:eastAsia="Times New Roman"/>
          <w:lang w:val="hu-HU"/>
        </w:rPr>
        <w:t>emelkedett bilirubinszint (májfunkciós vizsgálati eredmény)</w:t>
      </w:r>
    </w:p>
    <w:p w14:paraId="3537DE19" w14:textId="77777777" w:rsidR="0037407E" w:rsidRDefault="0037407E" w:rsidP="0037407E">
      <w:pPr>
        <w:spacing w:before="13" w:line="240" w:lineRule="exact"/>
        <w:rPr>
          <w:sz w:val="24"/>
          <w:szCs w:val="24"/>
          <w:lang w:val="hu-HU"/>
        </w:rPr>
      </w:pPr>
    </w:p>
    <w:p w14:paraId="3B504358" w14:textId="77777777" w:rsidR="0037407E" w:rsidRDefault="0037407E" w:rsidP="0037407E">
      <w:pPr>
        <w:pStyle w:val="a3"/>
        <w:rPr>
          <w:lang w:val="hu-HU"/>
        </w:rPr>
      </w:pPr>
      <w:r>
        <w:rPr>
          <w:rFonts w:eastAsia="Times New Roman"/>
          <w:b/>
          <w:bCs/>
          <w:lang w:val="hu-HU"/>
        </w:rPr>
        <w:lastRenderedPageBreak/>
        <w:t xml:space="preserve">Ritka </w:t>
      </w:r>
      <w:r>
        <w:rPr>
          <w:rFonts w:eastAsia="Times New Roman"/>
          <w:lang w:val="hu-HU"/>
        </w:rPr>
        <w:t>(1000 beteg közül legfeljebb 1-nél kialakuló)</w:t>
      </w:r>
    </w:p>
    <w:p w14:paraId="11344DC7" w14:textId="77777777" w:rsidR="0037407E" w:rsidRDefault="0037407E" w:rsidP="0037407E">
      <w:pPr>
        <w:spacing w:before="14" w:line="240" w:lineRule="exact"/>
        <w:rPr>
          <w:sz w:val="24"/>
          <w:szCs w:val="24"/>
          <w:lang w:val="hu-HU"/>
        </w:rPr>
      </w:pPr>
    </w:p>
    <w:p w14:paraId="1E9897B9" w14:textId="77777777" w:rsidR="0037407E" w:rsidRDefault="0037407E" w:rsidP="0037407E">
      <w:pPr>
        <w:pStyle w:val="a3"/>
        <w:numPr>
          <w:ilvl w:val="0"/>
          <w:numId w:val="15"/>
        </w:numPr>
        <w:ind w:left="660" w:hanging="660"/>
        <w:rPr>
          <w:lang w:val="hu-HU"/>
        </w:rPr>
      </w:pPr>
      <w:r>
        <w:rPr>
          <w:rFonts w:eastAsia="Times New Roman"/>
          <w:lang w:val="hu-HU"/>
        </w:rPr>
        <w:t>alacsony fehérvérsejtszám, vörösvértestszám és vérlemezkeszám</w:t>
      </w:r>
    </w:p>
    <w:p w14:paraId="5F01522C" w14:textId="77777777" w:rsidR="0037407E" w:rsidRDefault="0037407E" w:rsidP="0037407E">
      <w:pPr>
        <w:spacing w:before="15" w:line="240" w:lineRule="exact"/>
        <w:rPr>
          <w:sz w:val="24"/>
          <w:szCs w:val="24"/>
          <w:lang w:val="hu-HU"/>
        </w:rPr>
      </w:pPr>
    </w:p>
    <w:p w14:paraId="50BA4424" w14:textId="77777777" w:rsidR="0037407E" w:rsidRDefault="0037407E" w:rsidP="0037407E">
      <w:pPr>
        <w:pStyle w:val="a3"/>
        <w:rPr>
          <w:b/>
          <w:lang w:val="hu-HU"/>
        </w:rPr>
      </w:pPr>
      <w:r>
        <w:rPr>
          <w:rFonts w:eastAsia="Times New Roman"/>
          <w:b/>
          <w:bCs/>
          <w:lang w:val="hu-HU"/>
        </w:rPr>
        <w:t>Mellékhatások bejelentése</w:t>
      </w:r>
    </w:p>
    <w:p w14:paraId="14D4F0F9" w14:textId="77777777" w:rsidR="0037407E" w:rsidRDefault="0037407E" w:rsidP="0037407E">
      <w:pPr>
        <w:pStyle w:val="a3"/>
        <w:rPr>
          <w:sz w:val="10"/>
          <w:szCs w:val="10"/>
          <w:lang w:val="hu-HU"/>
        </w:rPr>
      </w:pPr>
    </w:p>
    <w:p w14:paraId="482D3668" w14:textId="77777777" w:rsidR="0037407E" w:rsidRDefault="0037407E" w:rsidP="0037407E">
      <w:pPr>
        <w:pStyle w:val="a3"/>
        <w:rPr>
          <w:lang w:val="hu-HU"/>
        </w:rPr>
      </w:pPr>
      <w:r>
        <w:rPr>
          <w:rFonts w:eastAsia="Times New Roman"/>
          <w:lang w:val="hu-HU"/>
        </w:rPr>
        <w:t xml:space="preserve">Ha Önnél bármilyen mellékhatás jelentkezik, tájékoztassa kezelőorvosát, vagy gyógyszerészét. Ez a betegtájékoztatóban fel nem sorolt bármilyen lehetséges mellékhatásra is vonatkozik. A mellékhatásokat közvetlenül a hatóság részére is bejelentheti </w:t>
      </w:r>
      <w:r w:rsidRPr="000405CC">
        <w:rPr>
          <w:rFonts w:eastAsia="Times New Roman"/>
          <w:highlight w:val="lightGray"/>
          <w:lang w:val="hu-HU"/>
        </w:rPr>
        <w:t xml:space="preserve">az </w:t>
      </w:r>
      <w:hyperlink r:id="rId99" w:history="1">
        <w:r w:rsidRPr="000405CC">
          <w:rPr>
            <w:rFonts w:eastAsia="Times New Roman"/>
            <w:color w:val="0000FF"/>
            <w:highlight w:val="lightGray"/>
            <w:u w:val="single"/>
            <w:lang w:val="hu-HU"/>
          </w:rPr>
          <w:t>V. függelékben</w:t>
        </w:r>
      </w:hyperlink>
      <w:r w:rsidRPr="000405CC">
        <w:rPr>
          <w:rFonts w:eastAsia="Times New Roman"/>
          <w:highlight w:val="lightGray"/>
          <w:lang w:val="hu-HU"/>
        </w:rPr>
        <w:t xml:space="preserve"> található elérhetőségeken keresztül</w:t>
      </w:r>
      <w:r>
        <w:rPr>
          <w:rFonts w:eastAsia="Times New Roman"/>
          <w:lang w:val="hu-HU"/>
        </w:rPr>
        <w:t>. A mellékhatások bejelentésével Ön is hozzájárulhat ahhoz, hogy minél több információ álljon rendelkezésre a gyógyszer biztonságos alkalmazásával kapcsolatban.</w:t>
      </w:r>
    </w:p>
    <w:p w14:paraId="098D053B" w14:textId="77777777" w:rsidR="0037407E" w:rsidRDefault="0037407E" w:rsidP="0037407E">
      <w:pPr>
        <w:spacing w:line="200" w:lineRule="exact"/>
        <w:rPr>
          <w:sz w:val="20"/>
          <w:szCs w:val="20"/>
          <w:lang w:val="hu-HU"/>
        </w:rPr>
      </w:pPr>
    </w:p>
    <w:p w14:paraId="020E6CEC" w14:textId="77777777" w:rsidR="0037407E" w:rsidRDefault="0037407E" w:rsidP="0037407E">
      <w:pPr>
        <w:spacing w:line="200" w:lineRule="exact"/>
        <w:rPr>
          <w:sz w:val="20"/>
          <w:szCs w:val="20"/>
          <w:lang w:val="hu-HU"/>
        </w:rPr>
      </w:pPr>
    </w:p>
    <w:p w14:paraId="7E754DF5" w14:textId="77777777" w:rsidR="0037407E" w:rsidRDefault="0037407E" w:rsidP="00FD05AA">
      <w:pPr>
        <w:pStyle w:val="a4"/>
        <w:numPr>
          <w:ilvl w:val="0"/>
          <w:numId w:val="62"/>
        </w:numPr>
        <w:spacing w:before="18" w:line="240" w:lineRule="exact"/>
        <w:rPr>
          <w:rFonts w:ascii="Times New Roman" w:hAnsi="Times New Roman" w:cs="Times New Roman"/>
          <w:b/>
          <w:lang w:val="hu-HU"/>
        </w:rPr>
      </w:pPr>
      <w:r>
        <w:rPr>
          <w:rFonts w:ascii="Times New Roman" w:eastAsia="Times New Roman" w:hAnsi="Times New Roman" w:cs="Times New Roman"/>
          <w:b/>
          <w:bCs/>
          <w:lang w:val="hu-HU"/>
        </w:rPr>
        <w:t>Hogyan kell a Yuflyma-t tárolni?</w:t>
      </w:r>
    </w:p>
    <w:p w14:paraId="753CA0FF" w14:textId="77777777" w:rsidR="0037407E" w:rsidRDefault="0037407E" w:rsidP="0037407E">
      <w:pPr>
        <w:pStyle w:val="a3"/>
        <w:rPr>
          <w:lang w:val="hu-HU"/>
        </w:rPr>
      </w:pPr>
    </w:p>
    <w:p w14:paraId="31F94442" w14:textId="77777777" w:rsidR="0037407E" w:rsidRDefault="0037407E" w:rsidP="0037407E">
      <w:pPr>
        <w:pStyle w:val="a3"/>
        <w:rPr>
          <w:lang w:val="hu-HU"/>
        </w:rPr>
      </w:pPr>
      <w:r>
        <w:rPr>
          <w:rFonts w:eastAsia="Times New Roman"/>
          <w:lang w:val="hu-HU"/>
        </w:rPr>
        <w:t>A gyógyszer gyermekektől elzárva tartandó.</w:t>
      </w:r>
    </w:p>
    <w:p w14:paraId="42BC67ED" w14:textId="77777777" w:rsidR="0037407E" w:rsidRDefault="0037407E" w:rsidP="0037407E">
      <w:pPr>
        <w:pStyle w:val="a3"/>
        <w:rPr>
          <w:lang w:val="hu-HU"/>
        </w:rPr>
      </w:pPr>
    </w:p>
    <w:p w14:paraId="50EBC1AB" w14:textId="77777777" w:rsidR="0037407E" w:rsidRDefault="0037407E" w:rsidP="0037407E">
      <w:pPr>
        <w:pStyle w:val="a3"/>
        <w:rPr>
          <w:lang w:val="hu-HU"/>
        </w:rPr>
      </w:pPr>
      <w:r>
        <w:rPr>
          <w:rFonts w:eastAsia="Times New Roman"/>
          <w:lang w:val="hu-HU"/>
        </w:rPr>
        <w:t>A címkén és a dobozon feltüntetett lejárati idő után (EXP) ne alkalmazza ezt a gyógyszert.</w:t>
      </w:r>
    </w:p>
    <w:p w14:paraId="7F719D67" w14:textId="77777777" w:rsidR="0037407E" w:rsidRDefault="0037407E" w:rsidP="0037407E">
      <w:pPr>
        <w:pStyle w:val="a3"/>
        <w:rPr>
          <w:lang w:val="hu-HU"/>
        </w:rPr>
      </w:pPr>
    </w:p>
    <w:p w14:paraId="44B061EB" w14:textId="4229BD28" w:rsidR="0037407E" w:rsidRDefault="0037407E" w:rsidP="0037407E">
      <w:pPr>
        <w:pStyle w:val="a3"/>
        <w:rPr>
          <w:lang w:val="hu-HU"/>
        </w:rPr>
      </w:pPr>
      <w:r>
        <w:rPr>
          <w:rFonts w:eastAsia="Times New Roman"/>
          <w:lang w:val="hu-HU"/>
        </w:rPr>
        <w:t>Hűtőszekrényben tárolandó (2</w:t>
      </w:r>
      <w:r w:rsidR="005F5974">
        <w:rPr>
          <w:rFonts w:eastAsia="Times New Roman"/>
          <w:lang w:val="hu-HU"/>
        </w:rPr>
        <w:t xml:space="preserve"> °</w:t>
      </w:r>
      <w:r>
        <w:rPr>
          <w:rFonts w:eastAsia="Times New Roman"/>
          <w:lang w:val="hu-HU"/>
        </w:rPr>
        <w:t>C – 8</w:t>
      </w:r>
      <w:r w:rsidR="005F5974">
        <w:rPr>
          <w:rFonts w:eastAsia="Times New Roman"/>
          <w:lang w:val="hu-HU"/>
        </w:rPr>
        <w:t xml:space="preserve"> °</w:t>
      </w:r>
      <w:r>
        <w:rPr>
          <w:rFonts w:eastAsia="Times New Roman"/>
          <w:lang w:val="hu-HU"/>
        </w:rPr>
        <w:t>C). Nem fagyasztható!</w:t>
      </w:r>
    </w:p>
    <w:p w14:paraId="3DA9449F" w14:textId="77777777" w:rsidR="0037407E" w:rsidRDefault="0037407E" w:rsidP="0037407E">
      <w:pPr>
        <w:pStyle w:val="a3"/>
        <w:rPr>
          <w:lang w:val="hu-HU"/>
        </w:rPr>
      </w:pPr>
    </w:p>
    <w:p w14:paraId="21BA4FD8" w14:textId="77777777" w:rsidR="0037407E" w:rsidRDefault="0037407E" w:rsidP="0037407E">
      <w:pPr>
        <w:pStyle w:val="a3"/>
        <w:rPr>
          <w:lang w:val="hu-HU"/>
        </w:rPr>
      </w:pPr>
      <w:r>
        <w:rPr>
          <w:rFonts w:eastAsia="Times New Roman"/>
          <w:lang w:val="hu-HU"/>
        </w:rPr>
        <w:t xml:space="preserve">A fénytől való védelem érdekében az előretöltött fecskendő </w:t>
      </w:r>
      <w:r w:rsidRPr="000405CC">
        <w:rPr>
          <w:rFonts w:eastAsia="Times New Roman"/>
          <w:highlight w:val="lightGray"/>
          <w:lang w:val="hu-HU"/>
        </w:rPr>
        <w:t>a tűvédővel</w:t>
      </w:r>
      <w:r>
        <w:rPr>
          <w:rFonts w:eastAsia="Times New Roman"/>
          <w:lang w:val="hu-HU"/>
        </w:rPr>
        <w:t xml:space="preserve"> az eredeti dobozban tárolandó.</w:t>
      </w:r>
    </w:p>
    <w:p w14:paraId="0395E145" w14:textId="77777777" w:rsidR="0037407E" w:rsidRDefault="0037407E" w:rsidP="0037407E">
      <w:pPr>
        <w:spacing w:before="13" w:line="240" w:lineRule="exact"/>
        <w:rPr>
          <w:sz w:val="24"/>
          <w:szCs w:val="24"/>
          <w:lang w:val="hu-HU"/>
        </w:rPr>
      </w:pPr>
    </w:p>
    <w:p w14:paraId="27EFD8B4" w14:textId="77777777" w:rsidR="0037407E" w:rsidRDefault="0037407E" w:rsidP="0037407E">
      <w:pPr>
        <w:pStyle w:val="a3"/>
        <w:rPr>
          <w:lang w:val="hu-HU"/>
        </w:rPr>
      </w:pPr>
      <w:r>
        <w:rPr>
          <w:rFonts w:eastAsia="Times New Roman"/>
          <w:lang w:val="hu-HU"/>
        </w:rPr>
        <w:t>További tárolási lehetőség:</w:t>
      </w:r>
    </w:p>
    <w:p w14:paraId="3759338E" w14:textId="77777777" w:rsidR="0037407E" w:rsidRDefault="0037407E" w:rsidP="0037407E">
      <w:pPr>
        <w:spacing w:before="14" w:line="240" w:lineRule="exact"/>
        <w:rPr>
          <w:sz w:val="24"/>
          <w:szCs w:val="24"/>
          <w:lang w:val="hu-HU"/>
        </w:rPr>
      </w:pPr>
    </w:p>
    <w:p w14:paraId="741B90F8" w14:textId="03BA782B" w:rsidR="0037407E" w:rsidRDefault="0037407E" w:rsidP="0037407E">
      <w:pPr>
        <w:pStyle w:val="a3"/>
        <w:rPr>
          <w:lang w:val="hu-HU"/>
        </w:rPr>
      </w:pPr>
      <w:r>
        <w:rPr>
          <w:rFonts w:eastAsia="Times New Roman"/>
          <w:lang w:val="hu-HU"/>
        </w:rPr>
        <w:t xml:space="preserve">Amennyiben szükséges (például utazás alatt), </w:t>
      </w:r>
      <w:r w:rsidR="005F5974">
        <w:rPr>
          <w:rFonts w:eastAsia="Times New Roman"/>
          <w:lang w:val="hu-HU"/>
        </w:rPr>
        <w:t xml:space="preserve">a </w:t>
      </w:r>
      <w:r>
        <w:rPr>
          <w:rFonts w:eastAsia="Times New Roman"/>
          <w:lang w:val="hu-HU"/>
        </w:rPr>
        <w:t xml:space="preserve">Yuflyma előretöltött fecskendő </w:t>
      </w:r>
      <w:r w:rsidRPr="000405CC">
        <w:rPr>
          <w:rFonts w:eastAsia="Times New Roman"/>
          <w:highlight w:val="lightGray"/>
          <w:lang w:val="hu-HU"/>
        </w:rPr>
        <w:t>a tűvédővel</w:t>
      </w:r>
      <w:r>
        <w:rPr>
          <w:rFonts w:eastAsia="Times New Roman"/>
          <w:lang w:val="hu-HU"/>
        </w:rPr>
        <w:t xml:space="preserve"> szobahőmérsékleten (legfeljebb 25 °C-on) maximum </w:t>
      </w:r>
      <w:r w:rsidR="005F473D">
        <w:rPr>
          <w:rFonts w:eastAsia="Times New Roman"/>
          <w:lang w:val="hu-HU"/>
        </w:rPr>
        <w:t xml:space="preserve">31 </w:t>
      </w:r>
      <w:r>
        <w:rPr>
          <w:rFonts w:eastAsia="Times New Roman"/>
          <w:lang w:val="hu-HU"/>
        </w:rPr>
        <w:t xml:space="preserve">napig tárolható. A fénytől való védelmet biztosítani kell. Miután kivette a hűtőszekrényből a szobahőmérsékletű tároláshoz, afecskendőt </w:t>
      </w:r>
      <w:r w:rsidR="005F473D" w:rsidRPr="00B12BDF">
        <w:rPr>
          <w:rFonts w:eastAsia="Times New Roman"/>
          <w:b/>
          <w:bCs/>
          <w:lang w:val="hu-HU"/>
        </w:rPr>
        <w:t>31</w:t>
      </w:r>
      <w:r w:rsidR="005F473D" w:rsidRPr="005F473D">
        <w:rPr>
          <w:rFonts w:eastAsia="Times New Roman"/>
          <w:b/>
          <w:bCs/>
          <w:lang w:val="hu-HU"/>
        </w:rPr>
        <w:t xml:space="preserve"> </w:t>
      </w:r>
      <w:r w:rsidRPr="005F473D">
        <w:rPr>
          <w:rFonts w:eastAsia="Times New Roman"/>
          <w:b/>
          <w:bCs/>
          <w:lang w:val="hu-HU"/>
        </w:rPr>
        <w:t>napon</w:t>
      </w:r>
      <w:r>
        <w:rPr>
          <w:rFonts w:eastAsia="Times New Roman"/>
          <w:b/>
          <w:bCs/>
          <w:lang w:val="hu-HU"/>
        </w:rPr>
        <w:t xml:space="preserve"> belül fel kell használni, vagy meg kell semmisíteni</w:t>
      </w:r>
      <w:r>
        <w:rPr>
          <w:rFonts w:eastAsia="Times New Roman"/>
          <w:lang w:val="hu-HU"/>
        </w:rPr>
        <w:t>, még akkor is, ha visszatette a hűtőszekrénybe.</w:t>
      </w:r>
    </w:p>
    <w:p w14:paraId="609577BF" w14:textId="77777777" w:rsidR="0037407E" w:rsidRDefault="0037407E" w:rsidP="0037407E">
      <w:pPr>
        <w:spacing w:before="17" w:line="240" w:lineRule="exact"/>
        <w:rPr>
          <w:sz w:val="24"/>
          <w:szCs w:val="24"/>
          <w:lang w:val="hu-HU"/>
        </w:rPr>
      </w:pPr>
    </w:p>
    <w:p w14:paraId="611FCBC0" w14:textId="77777777" w:rsidR="0037407E" w:rsidRDefault="0037407E" w:rsidP="0037407E">
      <w:pPr>
        <w:pStyle w:val="a3"/>
        <w:rPr>
          <w:lang w:val="hu-HU"/>
        </w:rPr>
      </w:pPr>
      <w:r>
        <w:rPr>
          <w:rFonts w:eastAsia="Times New Roman"/>
          <w:lang w:val="hu-HU"/>
        </w:rPr>
        <w:t>Jegyezze fel, hogy mikor vette ki először afecskendőt a hűtőszekrényből, és azt a dátumot is, ami után azt meg kell ezt semmisíteni</w:t>
      </w:r>
    </w:p>
    <w:p w14:paraId="1BD87E23" w14:textId="77777777" w:rsidR="0037407E" w:rsidRDefault="0037407E" w:rsidP="0037407E">
      <w:pPr>
        <w:spacing w:before="14" w:line="240" w:lineRule="exact"/>
        <w:rPr>
          <w:sz w:val="24"/>
          <w:szCs w:val="24"/>
          <w:lang w:val="hu-HU"/>
        </w:rPr>
      </w:pPr>
    </w:p>
    <w:p w14:paraId="5B6BC214" w14:textId="77777777" w:rsidR="0037407E" w:rsidRDefault="0037407E" w:rsidP="0037407E">
      <w:pPr>
        <w:pStyle w:val="a3"/>
        <w:rPr>
          <w:lang w:val="hu-HU"/>
        </w:rPr>
      </w:pPr>
      <w:r>
        <w:rPr>
          <w:rFonts w:eastAsia="Times New Roman"/>
          <w:lang w:val="hu-HU"/>
        </w:rPr>
        <w:t>Semmilyen gyógyszert ne dobjon a szennyvízbe vagy a háztartási hulladékba. Kérdezze meg gyógyszerészét, hogy mit tegyen a már nem használt gyógyszereivel. Ezek az intézkedések elősegítik a környezet védelmét.</w:t>
      </w:r>
    </w:p>
    <w:p w14:paraId="50017067" w14:textId="77777777" w:rsidR="0037407E" w:rsidRDefault="0037407E" w:rsidP="0037407E">
      <w:pPr>
        <w:pStyle w:val="a4"/>
        <w:spacing w:before="18" w:line="240" w:lineRule="exact"/>
        <w:ind w:left="468"/>
        <w:rPr>
          <w:rFonts w:ascii="Times New Roman" w:hAnsi="Times New Roman" w:cs="Times New Roman"/>
          <w:b/>
          <w:lang w:val="hu-HU"/>
        </w:rPr>
      </w:pPr>
    </w:p>
    <w:p w14:paraId="6241F1EA" w14:textId="77777777" w:rsidR="0037407E" w:rsidRDefault="0037407E" w:rsidP="0037407E">
      <w:pPr>
        <w:spacing w:before="18" w:line="240" w:lineRule="exact"/>
        <w:rPr>
          <w:rFonts w:ascii="Times New Roman" w:hAnsi="Times New Roman" w:cs="Times New Roman"/>
          <w:b/>
          <w:lang w:val="hu-HU"/>
        </w:rPr>
      </w:pPr>
    </w:p>
    <w:p w14:paraId="16EA7753" w14:textId="77777777" w:rsidR="0037407E" w:rsidRDefault="0037407E" w:rsidP="00FD05AA">
      <w:pPr>
        <w:pStyle w:val="a4"/>
        <w:numPr>
          <w:ilvl w:val="0"/>
          <w:numId w:val="62"/>
        </w:numPr>
        <w:spacing w:before="18" w:line="240" w:lineRule="exact"/>
        <w:rPr>
          <w:rFonts w:ascii="Times New Roman" w:hAnsi="Times New Roman" w:cs="Times New Roman"/>
          <w:b/>
          <w:lang w:val="hu-HU"/>
        </w:rPr>
      </w:pPr>
      <w:r>
        <w:rPr>
          <w:rFonts w:ascii="Times New Roman" w:eastAsia="Times New Roman" w:hAnsi="Times New Roman" w:cs="Times New Roman"/>
          <w:b/>
          <w:bCs/>
          <w:lang w:val="hu-HU"/>
        </w:rPr>
        <w:t>A csomagolás tartalma és egyéb információk</w:t>
      </w:r>
    </w:p>
    <w:p w14:paraId="3BF07269" w14:textId="77777777" w:rsidR="0037407E" w:rsidRDefault="0037407E" w:rsidP="0037407E">
      <w:pPr>
        <w:pStyle w:val="a4"/>
        <w:spacing w:before="18" w:line="240" w:lineRule="exact"/>
        <w:ind w:left="468"/>
        <w:rPr>
          <w:rFonts w:ascii="Times New Roman" w:hAnsi="Times New Roman" w:cs="Times New Roman"/>
          <w:b/>
          <w:lang w:val="hu-HU"/>
        </w:rPr>
      </w:pPr>
    </w:p>
    <w:p w14:paraId="1261F605" w14:textId="77777777" w:rsidR="0037407E" w:rsidRDefault="0037407E" w:rsidP="0037407E">
      <w:pPr>
        <w:spacing w:before="18" w:line="240" w:lineRule="exact"/>
        <w:rPr>
          <w:rFonts w:ascii="Times New Roman" w:hAnsi="Times New Roman" w:cs="Times New Roman"/>
          <w:b/>
          <w:lang w:val="hu-HU"/>
        </w:rPr>
      </w:pPr>
      <w:r>
        <w:rPr>
          <w:rFonts w:ascii="Times New Roman" w:eastAsia="Times New Roman" w:hAnsi="Times New Roman" w:cs="Times New Roman"/>
          <w:b/>
          <w:bCs/>
          <w:lang w:val="hu-HU"/>
        </w:rPr>
        <w:t>Mit tartalmaz a Yuflyma?</w:t>
      </w:r>
    </w:p>
    <w:p w14:paraId="5327E96B" w14:textId="77777777" w:rsidR="0037407E" w:rsidRDefault="0037407E" w:rsidP="0037407E">
      <w:pPr>
        <w:spacing w:before="18" w:line="240" w:lineRule="exact"/>
        <w:rPr>
          <w:rFonts w:ascii="Times New Roman" w:hAnsi="Times New Roman" w:cs="Times New Roman"/>
          <w:b/>
          <w:lang w:val="hu-HU"/>
        </w:rPr>
      </w:pPr>
    </w:p>
    <w:p w14:paraId="3D329247" w14:textId="6DBB6058" w:rsidR="0037407E" w:rsidRDefault="0037407E" w:rsidP="0037407E">
      <w:pPr>
        <w:pStyle w:val="a3"/>
        <w:rPr>
          <w:lang w:val="hu-HU"/>
        </w:rPr>
      </w:pPr>
      <w:r>
        <w:rPr>
          <w:rFonts w:eastAsia="Times New Roman"/>
          <w:lang w:val="hu-HU"/>
        </w:rPr>
        <w:t>A készítmény hatóanyaga</w:t>
      </w:r>
      <w:r w:rsidR="005F5974">
        <w:rPr>
          <w:rFonts w:eastAsia="Times New Roman"/>
          <w:lang w:val="hu-HU"/>
        </w:rPr>
        <w:t>:</w:t>
      </w:r>
      <w:r>
        <w:rPr>
          <w:rFonts w:eastAsia="Times New Roman"/>
          <w:lang w:val="hu-HU"/>
        </w:rPr>
        <w:t xml:space="preserve"> adalimumab.</w:t>
      </w:r>
    </w:p>
    <w:p w14:paraId="5822708E" w14:textId="77777777" w:rsidR="0037407E" w:rsidRDefault="0037407E" w:rsidP="0037407E">
      <w:pPr>
        <w:pStyle w:val="a3"/>
        <w:rPr>
          <w:lang w:val="hu-HU"/>
        </w:rPr>
      </w:pPr>
      <w:r>
        <w:rPr>
          <w:rFonts w:eastAsia="Times New Roman"/>
          <w:lang w:val="hu-HU"/>
        </w:rPr>
        <w:t>Egyéb összetevők: ecetsav, nátrium acetát trihidrát, glicin, poliszorbát 80 és injekcióhoz való víz.</w:t>
      </w:r>
    </w:p>
    <w:p w14:paraId="3C44CB5B" w14:textId="77777777" w:rsidR="0037407E" w:rsidRDefault="0037407E" w:rsidP="0037407E">
      <w:pPr>
        <w:pStyle w:val="a3"/>
        <w:rPr>
          <w:lang w:val="hu-HU"/>
        </w:rPr>
      </w:pPr>
    </w:p>
    <w:p w14:paraId="363A3EBF" w14:textId="77777777" w:rsidR="0037407E" w:rsidRDefault="0037407E" w:rsidP="0037407E">
      <w:pPr>
        <w:pStyle w:val="a3"/>
        <w:rPr>
          <w:b/>
          <w:lang w:val="hu-HU"/>
        </w:rPr>
      </w:pPr>
      <w:r>
        <w:rPr>
          <w:rFonts w:eastAsia="Times New Roman"/>
          <w:b/>
          <w:bCs/>
          <w:lang w:val="hu-HU"/>
        </w:rPr>
        <w:t xml:space="preserve">Milyen a Yuflyma </w:t>
      </w:r>
      <w:r w:rsidRPr="000405CC">
        <w:rPr>
          <w:rFonts w:eastAsia="Times New Roman"/>
          <w:b/>
          <w:bCs/>
          <w:highlight w:val="lightGray"/>
          <w:lang w:val="hu-HU"/>
        </w:rPr>
        <w:t>tűvédővel</w:t>
      </w:r>
      <w:r>
        <w:rPr>
          <w:rFonts w:eastAsia="Times New Roman"/>
          <w:b/>
          <w:bCs/>
          <w:lang w:val="hu-HU"/>
        </w:rPr>
        <w:t xml:space="preserve"> ellátott előretöltött fecskendő külleme és mit tartalmaz a csomagolás?</w:t>
      </w:r>
    </w:p>
    <w:p w14:paraId="7385F34F" w14:textId="77777777" w:rsidR="0037407E" w:rsidRDefault="0037407E" w:rsidP="0037407E">
      <w:pPr>
        <w:spacing w:before="12" w:line="240" w:lineRule="exact"/>
        <w:rPr>
          <w:sz w:val="24"/>
          <w:szCs w:val="24"/>
          <w:lang w:val="hu-HU"/>
        </w:rPr>
      </w:pPr>
    </w:p>
    <w:p w14:paraId="74D41A4D" w14:textId="7D48E38B" w:rsidR="0037407E" w:rsidRDefault="00F7678E" w:rsidP="0037407E">
      <w:pPr>
        <w:pStyle w:val="a3"/>
        <w:rPr>
          <w:lang w:val="hu-HU"/>
        </w:rPr>
      </w:pPr>
      <w:r>
        <w:rPr>
          <w:rFonts w:eastAsia="Times New Roman"/>
          <w:lang w:val="hu-HU"/>
        </w:rPr>
        <w:t>8</w:t>
      </w:r>
      <w:r w:rsidR="0037407E">
        <w:rPr>
          <w:rFonts w:eastAsia="Times New Roman"/>
          <w:lang w:val="hu-HU"/>
        </w:rPr>
        <w:t xml:space="preserve">0 mg-os Yuflyma oldatos injekció </w:t>
      </w:r>
      <w:r w:rsidR="0037407E" w:rsidRPr="000405CC">
        <w:rPr>
          <w:rFonts w:eastAsia="Times New Roman"/>
          <w:highlight w:val="lightGray"/>
          <w:lang w:val="hu-HU"/>
        </w:rPr>
        <w:t>tűvédővel</w:t>
      </w:r>
      <w:r w:rsidR="0037407E">
        <w:rPr>
          <w:rFonts w:eastAsia="Times New Roman"/>
          <w:lang w:val="hu-HU"/>
        </w:rPr>
        <w:t xml:space="preserve"> ellátott előretöltött fecskendőben 40 mg adalimumabot tartalmazó 0.</w:t>
      </w:r>
      <w:r>
        <w:rPr>
          <w:rFonts w:eastAsia="Times New Roman"/>
          <w:lang w:val="hu-HU"/>
        </w:rPr>
        <w:t>8</w:t>
      </w:r>
      <w:r w:rsidR="0037407E">
        <w:rPr>
          <w:rFonts w:eastAsia="Times New Roman"/>
          <w:lang w:val="hu-HU"/>
        </w:rPr>
        <w:t xml:space="preserve"> ml steriloldat formájában kerül forgalomba.</w:t>
      </w:r>
    </w:p>
    <w:p w14:paraId="0801FEE0" w14:textId="77777777" w:rsidR="0037407E" w:rsidRDefault="0037407E" w:rsidP="0037407E">
      <w:pPr>
        <w:spacing w:before="11" w:line="240" w:lineRule="exact"/>
        <w:rPr>
          <w:sz w:val="24"/>
          <w:szCs w:val="24"/>
          <w:lang w:val="hu-HU"/>
        </w:rPr>
      </w:pPr>
    </w:p>
    <w:p w14:paraId="18C2AB5F" w14:textId="77777777" w:rsidR="00F7678E" w:rsidRPr="00F7678E" w:rsidRDefault="00F7678E" w:rsidP="00F7678E">
      <w:pPr>
        <w:pStyle w:val="a3"/>
        <w:rPr>
          <w:rFonts w:eastAsia="Times New Roman"/>
          <w:lang w:val="hu-HU"/>
        </w:rPr>
      </w:pPr>
      <w:r w:rsidRPr="00F7678E">
        <w:rPr>
          <w:rFonts w:eastAsia="Times New Roman"/>
          <w:lang w:val="hu-HU"/>
        </w:rPr>
        <w:t>A Yuflyma előretöltött fecskendő adalimumab oldatot tartalmazó üveg fecskendő. Az 1 előretöltött fecskendős csomag 2 alkoholos törlőkendőt tartalmaz (1 tartalék).</w:t>
      </w:r>
    </w:p>
    <w:p w14:paraId="7F351A39" w14:textId="77777777" w:rsidR="00F7678E" w:rsidRPr="00F7678E" w:rsidRDefault="00F7678E" w:rsidP="00F7678E">
      <w:pPr>
        <w:pStyle w:val="a3"/>
        <w:rPr>
          <w:rFonts w:eastAsia="Times New Roman"/>
          <w:lang w:val="hu-HU"/>
        </w:rPr>
      </w:pPr>
    </w:p>
    <w:p w14:paraId="655301AB" w14:textId="333BFE2F" w:rsidR="0037407E" w:rsidRDefault="00F7678E" w:rsidP="00F7678E">
      <w:pPr>
        <w:pStyle w:val="a3"/>
        <w:rPr>
          <w:lang w:val="hu-HU"/>
        </w:rPr>
      </w:pPr>
      <w:r w:rsidRPr="00CE42DC">
        <w:rPr>
          <w:rFonts w:eastAsia="Times New Roman"/>
          <w:highlight w:val="lightGray"/>
          <w:lang w:val="hu-HU"/>
        </w:rPr>
        <w:t>A Yuflyma előretöltött fecskendő egy tűvédővel ellátott üveg fecskendő, amely adalimumab oldatot tartalmaz. Az 1 előretöltött fecskendő tűvédő csomaggal 2 alkoholos törlőkendőt (1 tartalék) tartalmaz.</w:t>
      </w:r>
    </w:p>
    <w:p w14:paraId="079B811C" w14:textId="77777777" w:rsidR="0037407E" w:rsidRDefault="0037407E" w:rsidP="0037407E">
      <w:pPr>
        <w:spacing w:before="13" w:line="240" w:lineRule="exact"/>
        <w:rPr>
          <w:sz w:val="24"/>
          <w:szCs w:val="24"/>
          <w:lang w:val="hu-HU"/>
        </w:rPr>
      </w:pPr>
    </w:p>
    <w:p w14:paraId="73B4D17B" w14:textId="2CDF73C5" w:rsidR="0037407E" w:rsidRDefault="0037407E" w:rsidP="0037407E">
      <w:pPr>
        <w:pStyle w:val="a3"/>
        <w:rPr>
          <w:lang w:val="hu-HU"/>
        </w:rPr>
      </w:pPr>
      <w:r>
        <w:rPr>
          <w:rFonts w:eastAsia="Times New Roman"/>
          <w:lang w:val="hu-HU"/>
        </w:rPr>
        <w:t>A Yuflymaelőretöltött fecskendőben és/vagy</w:t>
      </w:r>
      <w:r w:rsidR="005F5974">
        <w:rPr>
          <w:rFonts w:eastAsia="Times New Roman"/>
          <w:lang w:val="hu-HU"/>
        </w:rPr>
        <w:t xml:space="preserve"> </w:t>
      </w:r>
      <w:r>
        <w:rPr>
          <w:rFonts w:eastAsia="Times New Roman"/>
          <w:lang w:val="hu-HU"/>
        </w:rPr>
        <w:t>előretöltött injekciós toll kiszerelésben elérhető.</w:t>
      </w:r>
    </w:p>
    <w:p w14:paraId="7AD5525E" w14:textId="77777777" w:rsidR="0037407E" w:rsidRDefault="0037407E" w:rsidP="0037407E">
      <w:pPr>
        <w:spacing w:before="18" w:line="240" w:lineRule="exact"/>
        <w:rPr>
          <w:sz w:val="24"/>
          <w:szCs w:val="24"/>
          <w:lang w:val="hu-HU"/>
        </w:rPr>
      </w:pPr>
    </w:p>
    <w:p w14:paraId="64C5D58F" w14:textId="77777777" w:rsidR="0037407E" w:rsidRDefault="0037407E" w:rsidP="0037407E">
      <w:pPr>
        <w:pStyle w:val="a3"/>
        <w:rPr>
          <w:b/>
          <w:lang w:val="hu-HU"/>
        </w:rPr>
      </w:pPr>
      <w:r>
        <w:rPr>
          <w:rFonts w:eastAsia="Times New Roman"/>
          <w:b/>
          <w:bCs/>
          <w:lang w:val="hu-HU"/>
        </w:rPr>
        <w:t>A forgalomba hozatali engedély jogosultja</w:t>
      </w:r>
    </w:p>
    <w:p w14:paraId="149EC111" w14:textId="77777777" w:rsidR="0037407E" w:rsidRDefault="0037407E" w:rsidP="0037407E">
      <w:pPr>
        <w:spacing w:before="12" w:line="240" w:lineRule="exact"/>
        <w:rPr>
          <w:sz w:val="24"/>
          <w:szCs w:val="24"/>
          <w:lang w:val="hu-HU"/>
        </w:rPr>
      </w:pPr>
    </w:p>
    <w:p w14:paraId="29617528" w14:textId="77777777" w:rsidR="0037407E" w:rsidRDefault="0037407E" w:rsidP="0037407E">
      <w:pPr>
        <w:pStyle w:val="a3"/>
        <w:rPr>
          <w:lang w:val="hu-HU"/>
        </w:rPr>
      </w:pPr>
      <w:r>
        <w:rPr>
          <w:lang w:val="hu-HU"/>
        </w:rPr>
        <w:t xml:space="preserve">Celltrion Healthcare Hungary Kft. </w:t>
      </w:r>
    </w:p>
    <w:p w14:paraId="1AD83A0E" w14:textId="77777777" w:rsidR="0037407E" w:rsidRDefault="0037407E" w:rsidP="0037407E">
      <w:pPr>
        <w:pStyle w:val="a3"/>
        <w:rPr>
          <w:lang w:val="hu-HU"/>
        </w:rPr>
      </w:pPr>
      <w:r>
        <w:rPr>
          <w:lang w:val="hu-HU"/>
        </w:rPr>
        <w:t>1062 Budapest</w:t>
      </w:r>
    </w:p>
    <w:p w14:paraId="7437D93D" w14:textId="77777777" w:rsidR="0037407E" w:rsidRDefault="0037407E" w:rsidP="0037407E">
      <w:pPr>
        <w:pStyle w:val="a3"/>
        <w:rPr>
          <w:lang w:val="hu-HU"/>
        </w:rPr>
      </w:pPr>
      <w:r>
        <w:rPr>
          <w:lang w:val="hu-HU"/>
        </w:rPr>
        <w:t>Váci út 1-3. WestEnd Office Building B torony</w:t>
      </w:r>
    </w:p>
    <w:p w14:paraId="1D95F52B" w14:textId="77777777" w:rsidR="0037407E" w:rsidRDefault="0037407E" w:rsidP="0037407E">
      <w:pPr>
        <w:pStyle w:val="a3"/>
        <w:rPr>
          <w:lang w:val="hu-HU"/>
        </w:rPr>
      </w:pPr>
      <w:r>
        <w:rPr>
          <w:rFonts w:eastAsia="Times New Roman"/>
          <w:lang w:val="hu-HU"/>
        </w:rPr>
        <w:t>Magyarország</w:t>
      </w:r>
    </w:p>
    <w:p w14:paraId="1CEB3DC7" w14:textId="77777777" w:rsidR="0037407E" w:rsidRDefault="0037407E" w:rsidP="0037407E">
      <w:pPr>
        <w:spacing w:before="15" w:line="240" w:lineRule="exact"/>
        <w:rPr>
          <w:b/>
          <w:sz w:val="24"/>
          <w:szCs w:val="24"/>
          <w:lang w:val="hu-HU"/>
        </w:rPr>
      </w:pPr>
    </w:p>
    <w:p w14:paraId="07ADB5E4" w14:textId="77777777" w:rsidR="0037407E" w:rsidRDefault="0037407E" w:rsidP="0037407E">
      <w:pPr>
        <w:pStyle w:val="a3"/>
        <w:rPr>
          <w:b/>
          <w:lang w:val="hu-HU"/>
        </w:rPr>
      </w:pPr>
      <w:r>
        <w:rPr>
          <w:rFonts w:eastAsia="Times New Roman"/>
          <w:b/>
          <w:bCs/>
          <w:lang w:val="hu-HU"/>
        </w:rPr>
        <w:t>Gyártó</w:t>
      </w:r>
    </w:p>
    <w:p w14:paraId="2E27A0F4" w14:textId="77777777" w:rsidR="0037407E" w:rsidRDefault="0037407E" w:rsidP="0037407E">
      <w:pPr>
        <w:spacing w:before="12" w:line="240" w:lineRule="exact"/>
        <w:rPr>
          <w:b/>
          <w:sz w:val="24"/>
          <w:szCs w:val="24"/>
          <w:lang w:val="hu-HU"/>
        </w:rPr>
      </w:pPr>
    </w:p>
    <w:p w14:paraId="4156822A" w14:textId="2CB47784" w:rsidR="0037407E" w:rsidRPr="002C78FA" w:rsidDel="002C78FA" w:rsidRDefault="0037407E" w:rsidP="0037407E">
      <w:pPr>
        <w:pStyle w:val="a3"/>
        <w:rPr>
          <w:del w:id="110" w:author="만든 이"/>
          <w:lang w:val="hu-HU"/>
        </w:rPr>
      </w:pPr>
      <w:del w:id="111" w:author="만든 이">
        <w:r w:rsidRPr="002C78FA" w:rsidDel="002C78FA">
          <w:rPr>
            <w:lang w:val="hu-HU"/>
          </w:rPr>
          <w:delText>Millmount Healthcare Ltd.</w:delText>
        </w:r>
      </w:del>
    </w:p>
    <w:p w14:paraId="2ECC50B6" w14:textId="6A2AE3ED" w:rsidR="0037407E" w:rsidRPr="002C78FA" w:rsidDel="002C78FA" w:rsidRDefault="0037407E" w:rsidP="0037407E">
      <w:pPr>
        <w:pStyle w:val="a3"/>
        <w:rPr>
          <w:del w:id="112" w:author="만든 이"/>
          <w:lang w:val="hu-HU"/>
        </w:rPr>
      </w:pPr>
      <w:del w:id="113" w:author="만든 이">
        <w:r w:rsidRPr="002C78FA" w:rsidDel="002C78FA">
          <w:rPr>
            <w:lang w:val="hu-HU"/>
          </w:rPr>
          <w:delText>Block 7</w:delText>
        </w:r>
      </w:del>
    </w:p>
    <w:p w14:paraId="6F412C95" w14:textId="11A1EA00" w:rsidR="0037407E" w:rsidRPr="002C78FA" w:rsidDel="002C78FA" w:rsidRDefault="0037407E" w:rsidP="0037407E">
      <w:pPr>
        <w:pStyle w:val="a3"/>
        <w:rPr>
          <w:del w:id="114" w:author="만든 이"/>
          <w:lang w:val="hu-HU"/>
        </w:rPr>
      </w:pPr>
      <w:del w:id="115" w:author="만든 이">
        <w:r w:rsidRPr="002C78FA" w:rsidDel="002C78FA">
          <w:rPr>
            <w:lang w:val="hu-HU"/>
          </w:rPr>
          <w:delText xml:space="preserve">City North Business Campus </w:delText>
        </w:r>
      </w:del>
    </w:p>
    <w:p w14:paraId="3258417F" w14:textId="4BC8DD1E" w:rsidR="0037407E" w:rsidRPr="002C78FA" w:rsidDel="002C78FA" w:rsidRDefault="0037407E" w:rsidP="0037407E">
      <w:pPr>
        <w:pStyle w:val="a3"/>
        <w:rPr>
          <w:del w:id="116" w:author="만든 이"/>
          <w:lang w:val="hu-HU"/>
        </w:rPr>
      </w:pPr>
      <w:del w:id="117" w:author="만든 이">
        <w:r w:rsidRPr="002C78FA" w:rsidDel="002C78FA">
          <w:rPr>
            <w:lang w:val="hu-HU"/>
          </w:rPr>
          <w:delText>Stamullen, Co. Meath K32 YD60</w:delText>
        </w:r>
      </w:del>
    </w:p>
    <w:p w14:paraId="7ED5783B" w14:textId="336475D3" w:rsidR="0037407E" w:rsidRPr="002C78FA" w:rsidDel="002C78FA" w:rsidRDefault="0037407E" w:rsidP="0037407E">
      <w:pPr>
        <w:pStyle w:val="a3"/>
        <w:rPr>
          <w:del w:id="118" w:author="만든 이"/>
          <w:lang w:val="hu-HU"/>
        </w:rPr>
      </w:pPr>
      <w:del w:id="119" w:author="만든 이">
        <w:r w:rsidRPr="002C78FA" w:rsidDel="002C78FA">
          <w:rPr>
            <w:rFonts w:eastAsia="Times New Roman"/>
            <w:lang w:val="hu-HU"/>
          </w:rPr>
          <w:delText>Írország</w:delText>
        </w:r>
      </w:del>
    </w:p>
    <w:p w14:paraId="5E725A21" w14:textId="3008E39D" w:rsidR="0037407E" w:rsidRPr="002C78FA" w:rsidDel="002C78FA" w:rsidRDefault="0037407E" w:rsidP="0037407E">
      <w:pPr>
        <w:spacing w:before="14" w:line="240" w:lineRule="exact"/>
        <w:rPr>
          <w:del w:id="120" w:author="만든 이"/>
          <w:sz w:val="24"/>
          <w:szCs w:val="24"/>
          <w:lang w:val="hu-HU"/>
        </w:rPr>
      </w:pPr>
    </w:p>
    <w:p w14:paraId="70BC8B7A" w14:textId="77777777" w:rsidR="002C78FA" w:rsidRPr="007D68C5" w:rsidRDefault="002C78FA" w:rsidP="002C78FA">
      <w:pPr>
        <w:spacing w:before="10" w:line="240" w:lineRule="exact"/>
        <w:rPr>
          <w:moveTo w:id="121" w:author="만든 이" w16du:dateUtc="2025-09-09T05:36:00Z"/>
          <w:rFonts w:ascii="Times New Roman" w:hAnsi="Times New Roman" w:cs="Times New Roman"/>
          <w:lang w:val="fr-CA" w:eastAsia="ko-KR"/>
        </w:rPr>
      </w:pPr>
      <w:moveToRangeStart w:id="122" w:author="만든 이" w:name="move208321004"/>
      <w:proofErr w:type="spellStart"/>
      <w:moveTo w:id="123" w:author="만든 이" w16du:dateUtc="2025-09-09T05:36:00Z">
        <w:r w:rsidRPr="007D68C5">
          <w:rPr>
            <w:rFonts w:ascii="Times New Roman" w:eastAsia="Times New Roman" w:hAnsi="Times New Roman" w:cs="Times New Roman"/>
            <w:lang w:val="fr-CA"/>
          </w:rPr>
          <w:t>Nuvisan</w:t>
        </w:r>
        <w:proofErr w:type="spellEnd"/>
        <w:r w:rsidRPr="007D68C5">
          <w:rPr>
            <w:rFonts w:ascii="Times New Roman" w:eastAsia="Times New Roman" w:hAnsi="Times New Roman" w:cs="Times New Roman"/>
            <w:lang w:val="fr-CA"/>
          </w:rPr>
          <w:t xml:space="preserve"> France SARL</w:t>
        </w:r>
      </w:moveTo>
    </w:p>
    <w:p w14:paraId="0C3FC74D" w14:textId="77777777" w:rsidR="002C78FA" w:rsidRPr="007D68C5" w:rsidRDefault="002C78FA" w:rsidP="002C78FA">
      <w:pPr>
        <w:spacing w:before="10" w:line="240" w:lineRule="exact"/>
        <w:rPr>
          <w:moveTo w:id="124" w:author="만든 이" w16du:dateUtc="2025-09-09T05:36:00Z"/>
          <w:rFonts w:ascii="Times New Roman" w:hAnsi="Times New Roman" w:cs="Times New Roman"/>
          <w:lang w:val="fr-CA" w:eastAsia="ko-KR"/>
        </w:rPr>
      </w:pPr>
      <w:moveTo w:id="125" w:author="만든 이" w16du:dateUtc="2025-09-09T05:36:00Z">
        <w:r w:rsidRPr="007D68C5">
          <w:rPr>
            <w:rFonts w:ascii="Times New Roman" w:eastAsia="Times New Roman" w:hAnsi="Times New Roman" w:cs="Times New Roman"/>
            <w:lang w:val="fr-CA"/>
          </w:rPr>
          <w:t>2400, Route des Colles</w:t>
        </w:r>
      </w:moveTo>
    </w:p>
    <w:p w14:paraId="05CD91BE" w14:textId="77777777" w:rsidR="002C78FA" w:rsidRPr="002C78FA" w:rsidRDefault="002C78FA" w:rsidP="002C78FA">
      <w:pPr>
        <w:spacing w:before="10" w:line="240" w:lineRule="exact"/>
        <w:rPr>
          <w:moveTo w:id="126" w:author="만든 이" w16du:dateUtc="2025-09-09T05:36:00Z"/>
          <w:rFonts w:ascii="Times New Roman" w:hAnsi="Times New Roman" w:cs="Times New Roman"/>
          <w:lang w:eastAsia="ko-KR"/>
        </w:rPr>
      </w:pPr>
      <w:moveTo w:id="127" w:author="만든 이" w16du:dateUtc="2025-09-09T05:36:00Z">
        <w:r w:rsidRPr="002C78FA">
          <w:rPr>
            <w:rFonts w:ascii="Times New Roman" w:eastAsia="Times New Roman" w:hAnsi="Times New Roman" w:cs="Times New Roman"/>
          </w:rPr>
          <w:t xml:space="preserve">06410, </w:t>
        </w:r>
        <w:proofErr w:type="spellStart"/>
        <w:r w:rsidRPr="002C78FA">
          <w:rPr>
            <w:rFonts w:ascii="Times New Roman" w:eastAsia="Times New Roman" w:hAnsi="Times New Roman" w:cs="Times New Roman"/>
          </w:rPr>
          <w:t>Biot</w:t>
        </w:r>
        <w:proofErr w:type="spellEnd"/>
      </w:moveTo>
    </w:p>
    <w:p w14:paraId="3A5CE56A" w14:textId="77777777" w:rsidR="002C78FA" w:rsidRPr="002C78FA" w:rsidRDefault="002C78FA" w:rsidP="002C78FA">
      <w:pPr>
        <w:autoSpaceDE w:val="0"/>
        <w:autoSpaceDN w:val="0"/>
        <w:adjustRightInd w:val="0"/>
        <w:rPr>
          <w:moveTo w:id="128" w:author="만든 이" w16du:dateUtc="2025-09-09T05:36:00Z"/>
          <w:rFonts w:ascii="Times New Roman" w:eastAsia="Times New Roman" w:hAnsi="Times New Roman" w:cs="Times New Roman"/>
        </w:rPr>
      </w:pPr>
      <w:proofErr w:type="spellStart"/>
      <w:moveTo w:id="129" w:author="만든 이" w16du:dateUtc="2025-09-09T05:36:00Z">
        <w:r w:rsidRPr="002C78FA">
          <w:rPr>
            <w:rFonts w:ascii="Times New Roman" w:eastAsia="Times New Roman" w:hAnsi="Times New Roman" w:cs="Times New Roman"/>
          </w:rPr>
          <w:t>Franciaország</w:t>
        </w:r>
        <w:proofErr w:type="spellEnd"/>
      </w:moveTo>
    </w:p>
    <w:p w14:paraId="18D9E09D" w14:textId="77777777" w:rsidR="002C78FA" w:rsidRPr="002C78FA" w:rsidRDefault="002C78FA" w:rsidP="002C78FA">
      <w:pPr>
        <w:pStyle w:val="a3"/>
        <w:rPr>
          <w:moveTo w:id="130" w:author="만든 이" w16du:dateUtc="2025-09-09T05:36:00Z"/>
        </w:rPr>
      </w:pPr>
    </w:p>
    <w:moveToRangeEnd w:id="122"/>
    <w:p w14:paraId="63F89700" w14:textId="77777777" w:rsidR="0037407E" w:rsidRPr="00167BF3" w:rsidRDefault="0037407E" w:rsidP="0037407E">
      <w:pPr>
        <w:spacing w:before="10" w:line="240" w:lineRule="exact"/>
        <w:rPr>
          <w:rFonts w:ascii="Times New Roman" w:eastAsia="Times New Roman" w:hAnsi="Times New Roman" w:cs="Times New Roman"/>
          <w:shd w:val="pct15" w:color="auto" w:fill="FFFFFF"/>
          <w:lang w:val="es-ES"/>
        </w:rPr>
      </w:pPr>
      <w:proofErr w:type="spellStart"/>
      <w:r w:rsidRPr="00167BF3">
        <w:rPr>
          <w:rFonts w:ascii="Times New Roman" w:eastAsia="Times New Roman" w:hAnsi="Times New Roman" w:cs="Times New Roman"/>
          <w:shd w:val="pct15" w:color="auto" w:fill="FFFFFF"/>
          <w:lang w:val="es-ES"/>
        </w:rPr>
        <w:t>Nuvisan</w:t>
      </w:r>
      <w:proofErr w:type="spellEnd"/>
      <w:r w:rsidRPr="00167BF3">
        <w:rPr>
          <w:rFonts w:ascii="Times New Roman" w:eastAsia="Times New Roman" w:hAnsi="Times New Roman" w:cs="Times New Roman"/>
          <w:shd w:val="pct15" w:color="auto" w:fill="FFFFFF"/>
          <w:lang w:val="es-ES"/>
        </w:rPr>
        <w:t xml:space="preserve"> </w:t>
      </w:r>
      <w:proofErr w:type="spellStart"/>
      <w:r w:rsidRPr="00167BF3">
        <w:rPr>
          <w:rFonts w:ascii="Times New Roman" w:eastAsia="Times New Roman" w:hAnsi="Times New Roman" w:cs="Times New Roman"/>
          <w:shd w:val="pct15" w:color="auto" w:fill="FFFFFF"/>
          <w:lang w:val="es-ES"/>
        </w:rPr>
        <w:t>GmbH</w:t>
      </w:r>
      <w:proofErr w:type="spellEnd"/>
    </w:p>
    <w:p w14:paraId="52C5D43C" w14:textId="4B63ED7A" w:rsidR="0037407E" w:rsidRPr="004537E9" w:rsidRDefault="0037407E" w:rsidP="0037407E">
      <w:pPr>
        <w:spacing w:before="10" w:line="240" w:lineRule="exact"/>
        <w:rPr>
          <w:rFonts w:ascii="Times New Roman" w:hAnsi="Times New Roman" w:cs="Times New Roman"/>
          <w:shd w:val="pct15" w:color="auto" w:fill="FFFFFF"/>
          <w:lang w:val="es-ES" w:eastAsia="ko-KR"/>
        </w:rPr>
      </w:pPr>
      <w:proofErr w:type="spellStart"/>
      <w:r w:rsidRPr="00167BF3">
        <w:rPr>
          <w:rFonts w:ascii="Times New Roman" w:eastAsia="Times New Roman" w:hAnsi="Times New Roman" w:cs="Times New Roman"/>
          <w:shd w:val="pct15" w:color="auto" w:fill="FFFFFF"/>
          <w:lang w:val="es-ES"/>
        </w:rPr>
        <w:t>Wegenerstraße</w:t>
      </w:r>
      <w:proofErr w:type="spellEnd"/>
      <w:r w:rsidRPr="00167BF3">
        <w:rPr>
          <w:rFonts w:ascii="Times New Roman" w:eastAsia="Times New Roman" w:hAnsi="Times New Roman" w:cs="Times New Roman"/>
          <w:shd w:val="pct15" w:color="auto" w:fill="FFFFFF"/>
          <w:lang w:val="es-ES"/>
        </w:rPr>
        <w:t xml:space="preserve"> 13</w:t>
      </w:r>
    </w:p>
    <w:p w14:paraId="0A6BD798" w14:textId="04C933AC" w:rsidR="0037407E" w:rsidRPr="004537E9" w:rsidRDefault="0037407E" w:rsidP="0037407E">
      <w:pPr>
        <w:spacing w:before="10" w:line="240" w:lineRule="exact"/>
        <w:rPr>
          <w:rFonts w:ascii="Times New Roman" w:hAnsi="Times New Roman" w:cs="Times New Roman"/>
          <w:shd w:val="pct15" w:color="auto" w:fill="FFFFFF"/>
          <w:lang w:val="es-ES" w:eastAsia="ko-KR"/>
        </w:rPr>
      </w:pPr>
      <w:r w:rsidRPr="00167BF3">
        <w:rPr>
          <w:rFonts w:ascii="Times New Roman" w:eastAsia="Times New Roman" w:hAnsi="Times New Roman" w:cs="Times New Roman"/>
          <w:shd w:val="pct15" w:color="auto" w:fill="FFFFFF"/>
          <w:lang w:val="es-ES"/>
        </w:rPr>
        <w:t xml:space="preserve">89231 </w:t>
      </w:r>
      <w:proofErr w:type="spellStart"/>
      <w:r w:rsidRPr="00167BF3">
        <w:rPr>
          <w:rFonts w:ascii="Times New Roman" w:eastAsia="Times New Roman" w:hAnsi="Times New Roman" w:cs="Times New Roman"/>
          <w:shd w:val="pct15" w:color="auto" w:fill="FFFFFF"/>
          <w:lang w:val="es-ES"/>
        </w:rPr>
        <w:t>Neu</w:t>
      </w:r>
      <w:proofErr w:type="spellEnd"/>
      <w:r w:rsidR="004537E9">
        <w:rPr>
          <w:rFonts w:ascii="Times New Roman" w:hAnsi="Times New Roman" w:cs="Times New Roman" w:hint="eastAsia"/>
          <w:shd w:val="pct15" w:color="auto" w:fill="FFFFFF"/>
          <w:lang w:val="es-ES" w:eastAsia="ko-KR"/>
        </w:rPr>
        <w:t>-</w:t>
      </w:r>
      <w:r w:rsidRPr="00167BF3">
        <w:rPr>
          <w:rFonts w:ascii="Times New Roman" w:eastAsia="Times New Roman" w:hAnsi="Times New Roman" w:cs="Times New Roman"/>
          <w:shd w:val="pct15" w:color="auto" w:fill="FFFFFF"/>
          <w:lang w:val="es-ES"/>
        </w:rPr>
        <w:t>Ulm</w:t>
      </w:r>
    </w:p>
    <w:p w14:paraId="663A94DE" w14:textId="77777777" w:rsidR="0037407E" w:rsidRPr="00167BF3" w:rsidRDefault="0037407E" w:rsidP="0037407E">
      <w:pPr>
        <w:spacing w:before="10" w:line="240" w:lineRule="exact"/>
        <w:rPr>
          <w:rFonts w:ascii="Times New Roman" w:eastAsia="Times New Roman" w:hAnsi="Times New Roman" w:cs="Times New Roman"/>
          <w:shd w:val="pct15" w:color="auto" w:fill="FFFFFF"/>
          <w:lang w:val="es-ES"/>
        </w:rPr>
      </w:pPr>
      <w:proofErr w:type="spellStart"/>
      <w:r w:rsidRPr="00167BF3">
        <w:rPr>
          <w:rFonts w:ascii="Times New Roman" w:eastAsia="Times New Roman" w:hAnsi="Times New Roman" w:cs="Times New Roman"/>
          <w:shd w:val="pct15" w:color="auto" w:fill="FFFFFF"/>
          <w:lang w:val="es-ES"/>
        </w:rPr>
        <w:t>Németország</w:t>
      </w:r>
      <w:proofErr w:type="spellEnd"/>
    </w:p>
    <w:p w14:paraId="706E00C1" w14:textId="77777777" w:rsidR="0037407E" w:rsidRPr="00167BF3" w:rsidRDefault="0037407E" w:rsidP="0037407E">
      <w:pPr>
        <w:spacing w:before="10" w:line="240" w:lineRule="exact"/>
        <w:rPr>
          <w:rFonts w:ascii="Times New Roman" w:eastAsia="Times New Roman" w:hAnsi="Times New Roman" w:cs="Times New Roman"/>
          <w:shd w:val="pct15" w:color="auto" w:fill="FFFFFF"/>
          <w:lang w:val="es-ES"/>
        </w:rPr>
      </w:pPr>
    </w:p>
    <w:p w14:paraId="471FF2D6" w14:textId="54453610" w:rsidR="0037407E" w:rsidRPr="004537E9" w:rsidDel="002C78FA" w:rsidRDefault="0037407E" w:rsidP="0037407E">
      <w:pPr>
        <w:spacing w:before="10" w:line="240" w:lineRule="exact"/>
        <w:rPr>
          <w:moveFrom w:id="131" w:author="만든 이" w16du:dateUtc="2025-09-09T05:36:00Z"/>
          <w:rFonts w:ascii="Times New Roman" w:hAnsi="Times New Roman" w:cs="Times New Roman"/>
          <w:shd w:val="pct15" w:color="auto" w:fill="FFFFFF"/>
          <w:lang w:eastAsia="ko-KR"/>
        </w:rPr>
      </w:pPr>
      <w:moveFromRangeStart w:id="132" w:author="만든 이" w:name="move208321004"/>
      <w:moveFrom w:id="133" w:author="만든 이" w16du:dateUtc="2025-09-09T05:36:00Z">
        <w:r w:rsidRPr="00167BF3" w:rsidDel="002C78FA">
          <w:rPr>
            <w:rFonts w:ascii="Times New Roman" w:eastAsia="Times New Roman" w:hAnsi="Times New Roman" w:cs="Times New Roman"/>
            <w:shd w:val="pct15" w:color="auto" w:fill="FFFFFF"/>
          </w:rPr>
          <w:t>Nuvisan France SARL</w:t>
        </w:r>
      </w:moveFrom>
    </w:p>
    <w:p w14:paraId="2FB3C5FF" w14:textId="3FF464B4" w:rsidR="0037407E" w:rsidRPr="004537E9" w:rsidDel="002C78FA" w:rsidRDefault="0037407E" w:rsidP="0037407E">
      <w:pPr>
        <w:spacing w:before="10" w:line="240" w:lineRule="exact"/>
        <w:rPr>
          <w:moveFrom w:id="134" w:author="만든 이" w16du:dateUtc="2025-09-09T05:36:00Z"/>
          <w:rFonts w:ascii="Times New Roman" w:hAnsi="Times New Roman" w:cs="Times New Roman"/>
          <w:shd w:val="pct15" w:color="auto" w:fill="FFFFFF"/>
          <w:lang w:eastAsia="ko-KR"/>
        </w:rPr>
      </w:pPr>
      <w:moveFrom w:id="135" w:author="만든 이" w16du:dateUtc="2025-09-09T05:36:00Z">
        <w:r w:rsidRPr="00167BF3" w:rsidDel="002C78FA">
          <w:rPr>
            <w:rFonts w:ascii="Times New Roman" w:eastAsia="Times New Roman" w:hAnsi="Times New Roman" w:cs="Times New Roman"/>
            <w:shd w:val="pct15" w:color="auto" w:fill="FFFFFF"/>
          </w:rPr>
          <w:t>2400, Route des Colles</w:t>
        </w:r>
      </w:moveFrom>
    </w:p>
    <w:p w14:paraId="1EBFA1B4" w14:textId="2153E298" w:rsidR="0037407E" w:rsidRPr="004537E9" w:rsidDel="002C78FA" w:rsidRDefault="0037407E" w:rsidP="0037407E">
      <w:pPr>
        <w:spacing w:before="10" w:line="240" w:lineRule="exact"/>
        <w:rPr>
          <w:moveFrom w:id="136" w:author="만든 이" w16du:dateUtc="2025-09-09T05:36:00Z"/>
          <w:rFonts w:ascii="Times New Roman" w:hAnsi="Times New Roman" w:cs="Times New Roman"/>
          <w:shd w:val="pct15" w:color="auto" w:fill="FFFFFF"/>
          <w:lang w:eastAsia="ko-KR"/>
        </w:rPr>
      </w:pPr>
      <w:moveFrom w:id="137" w:author="만든 이" w16du:dateUtc="2025-09-09T05:36:00Z">
        <w:r w:rsidRPr="00167BF3" w:rsidDel="002C78FA">
          <w:rPr>
            <w:rFonts w:ascii="Times New Roman" w:eastAsia="Times New Roman" w:hAnsi="Times New Roman" w:cs="Times New Roman"/>
            <w:shd w:val="pct15" w:color="auto" w:fill="FFFFFF"/>
          </w:rPr>
          <w:t>06410, Biot</w:t>
        </w:r>
      </w:moveFrom>
    </w:p>
    <w:p w14:paraId="38AB369B" w14:textId="71FA010A" w:rsidR="0037407E" w:rsidRPr="00167BF3" w:rsidDel="002C78FA" w:rsidRDefault="0037407E" w:rsidP="0037407E">
      <w:pPr>
        <w:autoSpaceDE w:val="0"/>
        <w:autoSpaceDN w:val="0"/>
        <w:adjustRightInd w:val="0"/>
        <w:rPr>
          <w:moveFrom w:id="138" w:author="만든 이" w16du:dateUtc="2025-09-09T05:36:00Z"/>
          <w:rFonts w:ascii="Times New Roman" w:eastAsia="Times New Roman" w:hAnsi="Times New Roman" w:cs="Times New Roman"/>
          <w:shd w:val="pct15" w:color="auto" w:fill="FFFFFF"/>
        </w:rPr>
      </w:pPr>
      <w:moveFrom w:id="139" w:author="만든 이" w16du:dateUtc="2025-09-09T05:36:00Z">
        <w:r w:rsidRPr="00167BF3" w:rsidDel="002C78FA">
          <w:rPr>
            <w:rFonts w:ascii="Times New Roman" w:eastAsia="Times New Roman" w:hAnsi="Times New Roman" w:cs="Times New Roman"/>
            <w:shd w:val="pct15" w:color="auto" w:fill="FFFFFF"/>
          </w:rPr>
          <w:t>Franciaország</w:t>
        </w:r>
      </w:moveFrom>
    </w:p>
    <w:p w14:paraId="1BA10B4F" w14:textId="1F06D98A" w:rsidR="007A3DE2" w:rsidRPr="00167BF3" w:rsidDel="002C78FA" w:rsidRDefault="007A3DE2" w:rsidP="007A3DE2">
      <w:pPr>
        <w:pStyle w:val="a3"/>
        <w:rPr>
          <w:moveFrom w:id="140" w:author="만든 이" w16du:dateUtc="2025-09-09T05:36:00Z"/>
          <w:shd w:val="pct15" w:color="auto" w:fill="FFFFFF"/>
        </w:rPr>
      </w:pPr>
    </w:p>
    <w:moveFromRangeEnd w:id="132"/>
    <w:p w14:paraId="0C3B9A1D" w14:textId="77777777" w:rsidR="007A3DE2" w:rsidRPr="007D68C5" w:rsidRDefault="007A3DE2" w:rsidP="007A3DE2">
      <w:pPr>
        <w:pStyle w:val="a3"/>
        <w:rPr>
          <w:shd w:val="pct15" w:color="auto" w:fill="FFFFFF"/>
        </w:rPr>
      </w:pPr>
      <w:r w:rsidRPr="007D68C5">
        <w:rPr>
          <w:shd w:val="pct15" w:color="auto" w:fill="FFFFFF"/>
        </w:rPr>
        <w:t>Midas Pharma GmbH</w:t>
      </w:r>
    </w:p>
    <w:p w14:paraId="6593F7CA" w14:textId="662C227D" w:rsidR="007A3DE2" w:rsidRPr="007D68C5" w:rsidRDefault="007A3DE2" w:rsidP="007A3DE2">
      <w:pPr>
        <w:pStyle w:val="a3"/>
        <w:rPr>
          <w:shd w:val="pct15" w:color="auto" w:fill="FFFFFF"/>
        </w:rPr>
      </w:pPr>
      <w:proofErr w:type="spellStart"/>
      <w:r w:rsidRPr="007D68C5">
        <w:rPr>
          <w:shd w:val="pct15" w:color="auto" w:fill="FFFFFF"/>
        </w:rPr>
        <w:t>Rheinstr</w:t>
      </w:r>
      <w:proofErr w:type="spellEnd"/>
      <w:r w:rsidRPr="007D68C5">
        <w:rPr>
          <w:shd w:val="pct15" w:color="auto" w:fill="FFFFFF"/>
        </w:rPr>
        <w:t>. 49</w:t>
      </w:r>
    </w:p>
    <w:p w14:paraId="7895F57E" w14:textId="1A39B4B1" w:rsidR="007A3DE2" w:rsidRPr="007D68C5" w:rsidRDefault="007A3DE2" w:rsidP="007A3DE2">
      <w:pPr>
        <w:pStyle w:val="a3"/>
        <w:rPr>
          <w:shd w:val="pct15" w:color="auto" w:fill="FFFFFF"/>
        </w:rPr>
      </w:pPr>
      <w:r w:rsidRPr="007D68C5">
        <w:rPr>
          <w:shd w:val="pct15" w:color="auto" w:fill="FFFFFF"/>
        </w:rPr>
        <w:t>55218 Ingelheim</w:t>
      </w:r>
    </w:p>
    <w:p w14:paraId="2BF7DF4E" w14:textId="77777777" w:rsidR="007A3DE2" w:rsidRPr="007D68C5" w:rsidRDefault="007A3DE2" w:rsidP="007A3DE2">
      <w:pPr>
        <w:pStyle w:val="a3"/>
        <w:rPr>
          <w:shd w:val="pct15" w:color="auto" w:fill="FFFFFF"/>
        </w:rPr>
      </w:pPr>
      <w:proofErr w:type="spellStart"/>
      <w:r w:rsidRPr="007D68C5">
        <w:rPr>
          <w:shd w:val="pct15" w:color="auto" w:fill="FFFFFF"/>
        </w:rPr>
        <w:t>Németország</w:t>
      </w:r>
      <w:proofErr w:type="spellEnd"/>
    </w:p>
    <w:p w14:paraId="5F3E88FA" w14:textId="77777777" w:rsidR="007A3DE2" w:rsidRPr="007D68C5" w:rsidRDefault="007A3DE2" w:rsidP="007A3DE2">
      <w:pPr>
        <w:pStyle w:val="a3"/>
        <w:rPr>
          <w:shd w:val="pct15" w:color="auto" w:fill="FFFFFF"/>
        </w:rPr>
      </w:pPr>
    </w:p>
    <w:p w14:paraId="7D19D042" w14:textId="6E1C79AD" w:rsidR="007A3DE2" w:rsidRPr="00167BF3" w:rsidRDefault="007A3DE2" w:rsidP="007A3DE2">
      <w:pPr>
        <w:pStyle w:val="a3"/>
        <w:rPr>
          <w:shd w:val="pct15" w:color="auto" w:fill="FFFFFF"/>
          <w:lang w:val="fr-FR"/>
        </w:rPr>
      </w:pPr>
      <w:r w:rsidRPr="00167BF3">
        <w:rPr>
          <w:shd w:val="pct15" w:color="auto" w:fill="FFFFFF"/>
          <w:lang w:val="fr-FR"/>
        </w:rPr>
        <w:t>KYMOS S.L.</w:t>
      </w:r>
    </w:p>
    <w:p w14:paraId="62577454" w14:textId="6F913D6A" w:rsidR="007A3DE2" w:rsidRPr="00167BF3" w:rsidRDefault="007A3DE2" w:rsidP="007A3DE2">
      <w:pPr>
        <w:pStyle w:val="a3"/>
        <w:rPr>
          <w:shd w:val="pct15" w:color="auto" w:fill="FFFFFF"/>
          <w:lang w:val="fr-FR"/>
        </w:rPr>
      </w:pPr>
      <w:r w:rsidRPr="00167BF3">
        <w:rPr>
          <w:shd w:val="pct15" w:color="auto" w:fill="FFFFFF"/>
          <w:lang w:val="fr-FR"/>
        </w:rPr>
        <w:t xml:space="preserve">Ronda Can </w:t>
      </w:r>
      <w:proofErr w:type="spellStart"/>
      <w:r w:rsidRPr="00167BF3">
        <w:rPr>
          <w:shd w:val="pct15" w:color="auto" w:fill="FFFFFF"/>
          <w:lang w:val="fr-FR"/>
        </w:rPr>
        <w:t>Fatjó</w:t>
      </w:r>
      <w:proofErr w:type="spellEnd"/>
      <w:r w:rsidRPr="00167BF3">
        <w:rPr>
          <w:shd w:val="pct15" w:color="auto" w:fill="FFFFFF"/>
          <w:lang w:val="fr-FR"/>
        </w:rPr>
        <w:t>, 7B.</w:t>
      </w:r>
    </w:p>
    <w:p w14:paraId="50169A33" w14:textId="2525EE4B" w:rsidR="007A3DE2" w:rsidRPr="00167BF3" w:rsidRDefault="007A3DE2" w:rsidP="007A3DE2">
      <w:pPr>
        <w:pStyle w:val="a3"/>
        <w:rPr>
          <w:shd w:val="pct15" w:color="auto" w:fill="FFFFFF"/>
          <w:lang w:val="fr-FR"/>
        </w:rPr>
      </w:pPr>
      <w:r w:rsidRPr="00167BF3">
        <w:rPr>
          <w:shd w:val="pct15" w:color="auto" w:fill="FFFFFF"/>
          <w:lang w:val="fr-FR"/>
        </w:rPr>
        <w:t xml:space="preserve">08290 </w:t>
      </w:r>
      <w:proofErr w:type="spellStart"/>
      <w:r w:rsidRPr="00167BF3">
        <w:rPr>
          <w:shd w:val="pct15" w:color="auto" w:fill="FFFFFF"/>
          <w:lang w:val="fr-FR"/>
        </w:rPr>
        <w:t>Cerdanyola</w:t>
      </w:r>
      <w:proofErr w:type="spellEnd"/>
      <w:r w:rsidRPr="00167BF3">
        <w:rPr>
          <w:shd w:val="pct15" w:color="auto" w:fill="FFFFFF"/>
          <w:lang w:val="fr-FR"/>
        </w:rPr>
        <w:t xml:space="preserve"> </w:t>
      </w:r>
      <w:proofErr w:type="spellStart"/>
      <w:r w:rsidRPr="00167BF3">
        <w:rPr>
          <w:shd w:val="pct15" w:color="auto" w:fill="FFFFFF"/>
          <w:lang w:val="fr-FR"/>
        </w:rPr>
        <w:t>del</w:t>
      </w:r>
      <w:proofErr w:type="spellEnd"/>
      <w:r w:rsidRPr="00167BF3">
        <w:rPr>
          <w:shd w:val="pct15" w:color="auto" w:fill="FFFFFF"/>
          <w:lang w:val="fr-FR"/>
        </w:rPr>
        <w:t xml:space="preserve"> Vallès</w:t>
      </w:r>
    </w:p>
    <w:p w14:paraId="0E266EA5" w14:textId="5D1C2790" w:rsidR="007A3DE2" w:rsidRPr="00167BF3" w:rsidRDefault="007A3DE2" w:rsidP="007A3DE2">
      <w:pPr>
        <w:pStyle w:val="a3"/>
        <w:rPr>
          <w:shd w:val="pct15" w:color="auto" w:fill="FFFFFF"/>
          <w:lang w:val="fr-FR"/>
        </w:rPr>
      </w:pPr>
      <w:r w:rsidRPr="00167BF3">
        <w:rPr>
          <w:shd w:val="pct15" w:color="auto" w:fill="FFFFFF"/>
          <w:lang w:val="fr-FR"/>
        </w:rPr>
        <w:t>Barcelona</w:t>
      </w:r>
    </w:p>
    <w:p w14:paraId="736F7ACB" w14:textId="77777777" w:rsidR="007A3DE2" w:rsidRPr="00167BF3" w:rsidRDefault="007A3DE2" w:rsidP="007A3DE2">
      <w:pPr>
        <w:pStyle w:val="a3"/>
        <w:rPr>
          <w:shd w:val="pct15" w:color="auto" w:fill="FFFFFF"/>
          <w:lang w:val="fr-FR"/>
        </w:rPr>
      </w:pPr>
      <w:proofErr w:type="spellStart"/>
      <w:r w:rsidRPr="00167BF3">
        <w:rPr>
          <w:shd w:val="pct15" w:color="auto" w:fill="FFFFFF"/>
          <w:lang w:val="fr-FR"/>
        </w:rPr>
        <w:t>Spanyolország</w:t>
      </w:r>
      <w:proofErr w:type="spellEnd"/>
    </w:p>
    <w:p w14:paraId="1B5AA556" w14:textId="77777777" w:rsidR="0037407E" w:rsidRPr="00167BF3" w:rsidRDefault="0037407E" w:rsidP="0037407E">
      <w:pPr>
        <w:spacing w:before="14" w:line="240" w:lineRule="exact"/>
        <w:rPr>
          <w:sz w:val="24"/>
          <w:szCs w:val="24"/>
          <w:shd w:val="pct15" w:color="auto" w:fill="FFFFFF"/>
          <w:lang w:val="fr-FR"/>
        </w:rPr>
      </w:pPr>
    </w:p>
    <w:p w14:paraId="7F85A396" w14:textId="77777777" w:rsidR="0037407E" w:rsidRDefault="0037407E" w:rsidP="0037407E">
      <w:pPr>
        <w:pStyle w:val="a3"/>
        <w:rPr>
          <w:lang w:val="hu-HU"/>
        </w:rPr>
      </w:pPr>
      <w:r>
        <w:rPr>
          <w:rFonts w:eastAsia="Times New Roman"/>
          <w:lang w:val="hu-HU"/>
        </w:rPr>
        <w:t>A készítményhez kapcsolódó további kérdéseivel forduljon a forgalomba hozatali engedély jogosultjának helyi képviseletéhez:</w:t>
      </w:r>
    </w:p>
    <w:p w14:paraId="44E1BF68" w14:textId="77777777" w:rsidR="0037407E" w:rsidRDefault="0037407E" w:rsidP="0037407E">
      <w:pPr>
        <w:numPr>
          <w:ilvl w:val="12"/>
          <w:numId w:val="0"/>
        </w:numPr>
        <w:ind w:right="-2"/>
        <w:rPr>
          <w:rFonts w:ascii="Times New Roman" w:hAnsi="Times New Roman" w:cs="Times New Roman"/>
          <w:b/>
          <w:noProof/>
          <w:lang w:val="hu-HU"/>
        </w:rPr>
      </w:pPr>
    </w:p>
    <w:tbl>
      <w:tblPr>
        <w:tblW w:w="5000" w:type="pct"/>
        <w:tblLook w:val="04A0" w:firstRow="1" w:lastRow="0" w:firstColumn="1" w:lastColumn="0" w:noHBand="0" w:noVBand="1"/>
      </w:tblPr>
      <w:tblGrid>
        <w:gridCol w:w="4800"/>
        <w:gridCol w:w="4800"/>
      </w:tblGrid>
      <w:tr w:rsidR="0037407E" w14:paraId="09F42B97" w14:textId="77777777" w:rsidTr="007E7849">
        <w:tc>
          <w:tcPr>
            <w:tcW w:w="2500" w:type="pct"/>
            <w:hideMark/>
          </w:tcPr>
          <w:p w14:paraId="2378D3D2" w14:textId="77777777" w:rsidR="0037407E" w:rsidRDefault="0037407E" w:rsidP="007E7849">
            <w:pPr>
              <w:rPr>
                <w:rFonts w:ascii="Times New Roman" w:hAnsi="Times New Roman" w:cs="Times New Roman"/>
                <w:b/>
                <w:noProof/>
                <w:lang w:val="hu-HU" w:eastAsia="fr-FR"/>
              </w:rPr>
            </w:pPr>
            <w:r>
              <w:rPr>
                <w:rFonts w:ascii="Times New Roman" w:eastAsia="맑은 고딕" w:hAnsi="Times New Roman" w:cs="Times New Roman"/>
                <w:b/>
                <w:noProof/>
                <w:lang w:val="hu-HU" w:eastAsia="fr-FR"/>
              </w:rPr>
              <w:t>België/Belgique/Belgien</w:t>
            </w:r>
          </w:p>
          <w:p w14:paraId="6D62ED5D" w14:textId="77777777" w:rsidR="0037407E" w:rsidRDefault="0037407E" w:rsidP="007E7849">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Belgium BVBA</w:t>
            </w:r>
          </w:p>
          <w:p w14:paraId="0738ECF8" w14:textId="77777777" w:rsidR="0037407E" w:rsidRDefault="0037407E" w:rsidP="007E7849">
            <w:pPr>
              <w:rPr>
                <w:rFonts w:ascii="Times New Roman" w:eastAsia="맑은 고딕" w:hAnsi="Times New Roman" w:cs="Times New Roman"/>
                <w:noProof/>
                <w:lang w:val="hu-HU" w:eastAsia="ko-KR"/>
              </w:rPr>
            </w:pPr>
            <w:r>
              <w:rPr>
                <w:rFonts w:ascii="Times New Roman" w:eastAsia="맑은 고딕" w:hAnsi="Times New Roman" w:cs="Times New Roman"/>
                <w:noProof/>
                <w:lang w:val="hu-HU" w:eastAsia="fr-FR"/>
              </w:rPr>
              <w:t>Tél/Tel: + 32 1528 7418</w:t>
            </w:r>
          </w:p>
        </w:tc>
        <w:tc>
          <w:tcPr>
            <w:tcW w:w="2500" w:type="pct"/>
          </w:tcPr>
          <w:p w14:paraId="2DE79407" w14:textId="77777777" w:rsidR="0037407E" w:rsidRDefault="0037407E" w:rsidP="007E7849">
            <w:pPr>
              <w:tabs>
                <w:tab w:val="left" w:pos="-720"/>
              </w:tabs>
              <w:suppressAutoHyphens/>
              <w:rPr>
                <w:rFonts w:ascii="Times New Roman" w:hAnsi="Times New Roman" w:cs="Times New Roman"/>
                <w:b/>
                <w:noProof/>
                <w:lang w:val="hu-HU" w:eastAsia="fr-FR"/>
              </w:rPr>
            </w:pPr>
            <w:r>
              <w:rPr>
                <w:rFonts w:ascii="Times New Roman" w:hAnsi="Times New Roman" w:cs="Times New Roman"/>
                <w:b/>
                <w:noProof/>
                <w:lang w:val="hu-HU" w:eastAsia="fr-FR"/>
              </w:rPr>
              <w:t>Lietuva</w:t>
            </w:r>
          </w:p>
          <w:p w14:paraId="28269148" w14:textId="77777777" w:rsidR="0037407E" w:rsidRDefault="0037407E" w:rsidP="007E7849">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6AA04E98" w14:textId="77777777" w:rsidR="0037407E" w:rsidRDefault="0037407E" w:rsidP="007E7849">
            <w:pPr>
              <w:tabs>
                <w:tab w:val="left" w:pos="-720"/>
              </w:tabs>
              <w:suppressAutoHyphens/>
              <w:rPr>
                <w:rFonts w:ascii="Times New Roman" w:hAnsi="Times New Roman" w:cs="Times New Roman"/>
                <w:noProof/>
                <w:lang w:val="hu-HU" w:eastAsia="fr-FR"/>
              </w:rPr>
            </w:pPr>
            <w:r w:rsidRPr="00220E63">
              <w:rPr>
                <w:rFonts w:ascii="Times New Roman" w:eastAsia="맑은 고딕" w:hAnsi="Times New Roman" w:cs="Times New Roman"/>
                <w:noProof/>
                <w:lang w:eastAsia="fr-FR"/>
              </w:rPr>
              <w:t xml:space="preserve">Tel.: </w:t>
            </w:r>
            <w:r>
              <w:rPr>
                <w:rFonts w:ascii="Times New Roman" w:eastAsia="맑은 고딕" w:hAnsi="Times New Roman" w:cs="Times New Roman"/>
                <w:noProof/>
                <w:lang w:eastAsia="fr-FR"/>
              </w:rPr>
              <w:t>+36 1 231 0493</w:t>
            </w:r>
          </w:p>
          <w:p w14:paraId="22F41C73" w14:textId="77777777" w:rsidR="0037407E" w:rsidRPr="00120A76" w:rsidRDefault="0037407E" w:rsidP="007E7849">
            <w:pPr>
              <w:autoSpaceDE w:val="0"/>
              <w:autoSpaceDN w:val="0"/>
              <w:adjustRightInd w:val="0"/>
              <w:rPr>
                <w:rFonts w:ascii="Times New Roman" w:hAnsi="Times New Roman" w:cs="Times New Roman"/>
                <w:noProof/>
                <w:lang w:val="hu-HU" w:eastAsia="fr-FR"/>
              </w:rPr>
            </w:pPr>
          </w:p>
        </w:tc>
      </w:tr>
      <w:tr w:rsidR="0037407E" w14:paraId="07A9B324" w14:textId="77777777" w:rsidTr="007E7849">
        <w:trPr>
          <w:trHeight w:val="619"/>
        </w:trPr>
        <w:tc>
          <w:tcPr>
            <w:tcW w:w="2500" w:type="pct"/>
          </w:tcPr>
          <w:p w14:paraId="77390217" w14:textId="77777777" w:rsidR="0037407E" w:rsidRDefault="0037407E" w:rsidP="007E7849">
            <w:pPr>
              <w:rPr>
                <w:rFonts w:ascii="Times New Roman" w:eastAsia="맑은 고딕" w:hAnsi="Times New Roman" w:cs="Times New Roman"/>
                <w:b/>
                <w:noProof/>
                <w:lang w:val="hu-HU" w:eastAsia="fr-FR"/>
              </w:rPr>
            </w:pPr>
            <w:r>
              <w:rPr>
                <w:rFonts w:ascii="Times New Roman" w:hAnsi="Times New Roman" w:cs="Times New Roman"/>
                <w:b/>
                <w:bCs/>
                <w:lang w:val="hu-HU"/>
              </w:rPr>
              <w:t>България</w:t>
            </w:r>
          </w:p>
          <w:p w14:paraId="61121C12" w14:textId="77777777" w:rsidR="0037407E" w:rsidRDefault="0037407E" w:rsidP="007E7849">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3EF2700D" w14:textId="77777777" w:rsidR="0037407E" w:rsidRDefault="0037407E" w:rsidP="007E7849">
            <w:pPr>
              <w:rPr>
                <w:rFonts w:ascii="Times New Roman" w:eastAsia="맑은 고딕" w:hAnsi="Times New Roman" w:cs="Times New Roman"/>
                <w:noProof/>
                <w:lang w:eastAsia="fr-FR"/>
              </w:rPr>
            </w:pPr>
            <w:r w:rsidRPr="00520ED3">
              <w:rPr>
                <w:rFonts w:ascii="Times New Roman" w:eastAsia="맑은 고딕" w:hAnsi="Times New Roman" w:cs="Times New Roman"/>
                <w:noProof/>
                <w:lang w:eastAsia="fr-FR"/>
              </w:rPr>
              <w:t xml:space="preserve">Teл.: </w:t>
            </w:r>
            <w:r>
              <w:rPr>
                <w:rFonts w:ascii="Times New Roman" w:eastAsia="맑은 고딕" w:hAnsi="Times New Roman" w:cs="Times New Roman"/>
                <w:noProof/>
                <w:lang w:eastAsia="fr-FR"/>
              </w:rPr>
              <w:t>+36 1 231 0493</w:t>
            </w:r>
          </w:p>
          <w:p w14:paraId="0ECBD827" w14:textId="77777777" w:rsidR="00BE4D18" w:rsidRPr="00120A76" w:rsidRDefault="00BE4D18" w:rsidP="007E7849">
            <w:pPr>
              <w:rPr>
                <w:rFonts w:ascii="Times New Roman" w:hAnsi="Times New Roman" w:cs="Times New Roman"/>
                <w:noProof/>
                <w:lang w:val="hu-HU" w:eastAsia="fr-FR"/>
              </w:rPr>
            </w:pPr>
          </w:p>
        </w:tc>
        <w:tc>
          <w:tcPr>
            <w:tcW w:w="2500" w:type="pct"/>
            <w:hideMark/>
          </w:tcPr>
          <w:p w14:paraId="3D2FFC14" w14:textId="77777777" w:rsidR="0037407E" w:rsidRDefault="0037407E" w:rsidP="007E7849">
            <w:pPr>
              <w:tabs>
                <w:tab w:val="left" w:pos="-720"/>
              </w:tabs>
              <w:suppressAutoHyphens/>
              <w:rPr>
                <w:rFonts w:ascii="Times New Roman" w:hAnsi="Times New Roman" w:cs="Times New Roman"/>
                <w:noProof/>
                <w:lang w:val="hu-HU" w:eastAsia="fr-FR"/>
              </w:rPr>
            </w:pPr>
            <w:r>
              <w:rPr>
                <w:rFonts w:ascii="Times New Roman" w:eastAsia="맑은 고딕" w:hAnsi="Times New Roman" w:cs="Times New Roman"/>
                <w:b/>
                <w:noProof/>
                <w:lang w:val="hu-HU" w:eastAsia="fr-FR"/>
              </w:rPr>
              <w:lastRenderedPageBreak/>
              <w:t>Luxembourg/Luxemburg</w:t>
            </w:r>
          </w:p>
          <w:p w14:paraId="74E64FAC" w14:textId="77777777" w:rsidR="0037407E" w:rsidRDefault="0037407E" w:rsidP="007E7849">
            <w:pPr>
              <w:tabs>
                <w:tab w:val="left" w:pos="-720"/>
              </w:tabs>
              <w:suppressAutoHyphens/>
              <w:rPr>
                <w:rFonts w:ascii="Times New Roman" w:eastAsia="맑은 고딕" w:hAnsi="Times New Roman" w:cs="Times New Roman"/>
                <w:iCs/>
                <w:noProof/>
                <w:lang w:val="hu-HU" w:eastAsia="fr-FR"/>
              </w:rPr>
            </w:pPr>
            <w:r>
              <w:rPr>
                <w:rFonts w:ascii="Times New Roman" w:eastAsia="맑은 고딕" w:hAnsi="Times New Roman" w:cs="Times New Roman"/>
                <w:iCs/>
                <w:noProof/>
                <w:lang w:val="hu-HU" w:eastAsia="fr-FR"/>
              </w:rPr>
              <w:t>Celltrion Healthcare Belgium BVBA</w:t>
            </w:r>
          </w:p>
          <w:p w14:paraId="428B7378" w14:textId="77777777" w:rsidR="0037407E" w:rsidRDefault="0037407E" w:rsidP="007E7849">
            <w:pPr>
              <w:tabs>
                <w:tab w:val="left" w:pos="-720"/>
              </w:tabs>
              <w:suppressAutoHyphens/>
              <w:rPr>
                <w:rFonts w:ascii="Times New Roman" w:eastAsia="맑은 고딕" w:hAnsi="Times New Roman" w:cs="Times New Roman"/>
                <w:iCs/>
                <w:noProof/>
                <w:lang w:val="hu-HU" w:eastAsia="fr-FR"/>
              </w:rPr>
            </w:pPr>
            <w:r>
              <w:rPr>
                <w:rFonts w:ascii="Times New Roman" w:eastAsia="맑은 고딕" w:hAnsi="Times New Roman" w:cs="Times New Roman"/>
                <w:noProof/>
                <w:lang w:val="hu-HU" w:eastAsia="fr-FR"/>
              </w:rPr>
              <w:t xml:space="preserve">Tél/Tel: </w:t>
            </w:r>
            <w:r>
              <w:rPr>
                <w:rFonts w:ascii="Times New Roman" w:eastAsia="맑은 고딕" w:hAnsi="Times New Roman" w:cs="Times New Roman"/>
                <w:iCs/>
                <w:noProof/>
                <w:lang w:val="hu-HU" w:eastAsia="fr-FR"/>
              </w:rPr>
              <w:t>+ 32 1528 7418</w:t>
            </w:r>
          </w:p>
          <w:p w14:paraId="7AD99157" w14:textId="77777777" w:rsidR="0037407E" w:rsidRDefault="0037407E" w:rsidP="007E7849">
            <w:pPr>
              <w:tabs>
                <w:tab w:val="left" w:pos="-720"/>
              </w:tabs>
              <w:suppressAutoHyphens/>
              <w:rPr>
                <w:rFonts w:ascii="Times New Roman" w:eastAsia="맑은 고딕" w:hAnsi="Times New Roman" w:cs="Times New Roman"/>
                <w:lang w:val="hu-HU" w:eastAsia="ko-KR"/>
              </w:rPr>
            </w:pPr>
          </w:p>
        </w:tc>
      </w:tr>
      <w:tr w:rsidR="0037407E" w14:paraId="03F499BC" w14:textId="77777777" w:rsidTr="007E7849">
        <w:tc>
          <w:tcPr>
            <w:tcW w:w="2500" w:type="pct"/>
            <w:hideMark/>
          </w:tcPr>
          <w:p w14:paraId="144A1B5C" w14:textId="77777777" w:rsidR="0037407E" w:rsidRDefault="0037407E" w:rsidP="007E7849">
            <w:pPr>
              <w:tabs>
                <w:tab w:val="left" w:pos="-720"/>
              </w:tabs>
              <w:suppressAutoHyphens/>
              <w:rPr>
                <w:rFonts w:ascii="Times New Roman" w:eastAsia="맑은 고딕" w:hAnsi="Times New Roman" w:cs="Times New Roman"/>
                <w:b/>
                <w:noProof/>
                <w:lang w:val="hu-HU" w:eastAsia="fr-FR"/>
              </w:rPr>
            </w:pPr>
            <w:r>
              <w:rPr>
                <w:rFonts w:ascii="Times New Roman" w:eastAsia="맑은 고딕" w:hAnsi="Times New Roman" w:cs="Times New Roman"/>
                <w:b/>
                <w:noProof/>
                <w:lang w:val="hu-HU" w:eastAsia="fr-FR"/>
              </w:rPr>
              <w:t>Česká republika</w:t>
            </w:r>
          </w:p>
          <w:p w14:paraId="7A08637F" w14:textId="77777777" w:rsidR="0037407E" w:rsidRDefault="0037407E" w:rsidP="007E7849">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2EDDFF7E" w14:textId="77777777" w:rsidR="0037407E" w:rsidRPr="00120A76" w:rsidRDefault="0037407E" w:rsidP="007E7849">
            <w:pPr>
              <w:tabs>
                <w:tab w:val="left" w:pos="-720"/>
              </w:tabs>
              <w:suppressAutoHyphens/>
              <w:rPr>
                <w:rFonts w:ascii="Times New Roman" w:hAnsi="Times New Roman" w:cs="Times New Roman"/>
                <w:noProof/>
                <w:lang w:val="hu-HU" w:eastAsia="fr-FR"/>
              </w:rPr>
            </w:pPr>
            <w:r w:rsidRPr="00BE43AD">
              <w:rPr>
                <w:rFonts w:ascii="Times New Roman" w:eastAsia="맑은 고딕" w:hAnsi="Times New Roman" w:cs="Times New Roman"/>
                <w:noProof/>
                <w:lang w:eastAsia="fr-FR"/>
              </w:rPr>
              <w:t xml:space="preserve">Tel: </w:t>
            </w:r>
            <w:r>
              <w:rPr>
                <w:rFonts w:ascii="Times New Roman" w:eastAsia="맑은 고딕" w:hAnsi="Times New Roman" w:cs="Times New Roman"/>
                <w:noProof/>
                <w:lang w:eastAsia="fr-FR"/>
              </w:rPr>
              <w:t>+36 1 231 0493</w:t>
            </w:r>
          </w:p>
        </w:tc>
        <w:tc>
          <w:tcPr>
            <w:tcW w:w="2500" w:type="pct"/>
          </w:tcPr>
          <w:p w14:paraId="159F3E19" w14:textId="77777777" w:rsidR="0037407E" w:rsidRDefault="0037407E" w:rsidP="007E7849">
            <w:pPr>
              <w:rPr>
                <w:rFonts w:ascii="Times New Roman" w:eastAsia="맑은 고딕" w:hAnsi="Times New Roman" w:cs="Times New Roman"/>
                <w:b/>
                <w:noProof/>
                <w:lang w:val="hu-HU" w:eastAsia="fr-FR"/>
              </w:rPr>
            </w:pPr>
            <w:r>
              <w:rPr>
                <w:rFonts w:ascii="Times New Roman" w:hAnsi="Times New Roman" w:cs="Times New Roman"/>
                <w:b/>
                <w:noProof/>
                <w:lang w:val="hu-HU"/>
              </w:rPr>
              <w:t>Magyarország</w:t>
            </w:r>
          </w:p>
          <w:p w14:paraId="191DF6D6" w14:textId="77777777" w:rsidR="0037407E" w:rsidRDefault="0037407E" w:rsidP="007E7849">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2D933A99" w14:textId="77777777" w:rsidR="0037407E" w:rsidRDefault="0037407E" w:rsidP="007E7849">
            <w:pPr>
              <w:rPr>
                <w:rFonts w:ascii="Times New Roman" w:eastAsia="맑은 고딕" w:hAnsi="Times New Roman" w:cs="Times New Roman"/>
                <w:noProof/>
                <w:lang w:val="hu-HU" w:eastAsia="fr-FR"/>
              </w:rPr>
            </w:pPr>
            <w:r w:rsidRPr="00BE43AD">
              <w:rPr>
                <w:rFonts w:ascii="Times New Roman" w:eastAsia="맑은 고딕" w:hAnsi="Times New Roman" w:cs="Times New Roman"/>
                <w:noProof/>
                <w:lang w:eastAsia="fr-FR"/>
              </w:rPr>
              <w:t xml:space="preserve">Tel.: </w:t>
            </w:r>
            <w:r>
              <w:rPr>
                <w:rFonts w:ascii="Times New Roman" w:eastAsia="맑은 고딕" w:hAnsi="Times New Roman" w:cs="Times New Roman"/>
                <w:noProof/>
                <w:lang w:eastAsia="fr-FR"/>
              </w:rPr>
              <w:t>+36 1 231 0493</w:t>
            </w:r>
          </w:p>
          <w:p w14:paraId="043BC4AB" w14:textId="77777777" w:rsidR="0037407E" w:rsidRPr="00120A76" w:rsidRDefault="0037407E" w:rsidP="007E7849">
            <w:pPr>
              <w:rPr>
                <w:rFonts w:ascii="Times New Roman" w:eastAsia="맑은 고딕" w:hAnsi="Times New Roman" w:cs="Times New Roman"/>
                <w:noProof/>
                <w:lang w:val="hu-HU" w:eastAsia="ko-KR"/>
              </w:rPr>
            </w:pPr>
          </w:p>
        </w:tc>
      </w:tr>
      <w:tr w:rsidR="0037407E" w14:paraId="0F77DCFB" w14:textId="77777777" w:rsidTr="007E7849">
        <w:tc>
          <w:tcPr>
            <w:tcW w:w="2500" w:type="pct"/>
            <w:hideMark/>
          </w:tcPr>
          <w:p w14:paraId="59BA6AF5" w14:textId="77777777" w:rsidR="0037407E" w:rsidRDefault="0037407E" w:rsidP="002C78FA">
            <w:pPr>
              <w:tabs>
                <w:tab w:val="left" w:pos="-720"/>
              </w:tabs>
              <w:suppressAutoHyphens/>
              <w:rPr>
                <w:rFonts w:ascii="Times New Roman" w:hAnsi="Times New Roman" w:cs="Times New Roman"/>
                <w:b/>
                <w:bCs/>
                <w:i/>
                <w:iCs/>
                <w:noProof/>
                <w:lang w:val="hu-HU" w:eastAsia="fr-FR"/>
              </w:rPr>
            </w:pPr>
            <w:r>
              <w:rPr>
                <w:rFonts w:ascii="Times New Roman" w:hAnsi="Times New Roman" w:cs="Times New Roman"/>
                <w:b/>
                <w:noProof/>
                <w:lang w:val="hu-HU"/>
              </w:rPr>
              <w:t>Danmark</w:t>
            </w:r>
          </w:p>
          <w:p w14:paraId="5FA6128B" w14:textId="77777777" w:rsidR="0037407E" w:rsidRDefault="0037407E" w:rsidP="002C78FA">
            <w:pPr>
              <w:tabs>
                <w:tab w:val="left" w:pos="-720"/>
              </w:tabs>
              <w:suppressAutoHyphen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Hungary Kft.</w:t>
            </w:r>
          </w:p>
          <w:p w14:paraId="01223AA9" w14:textId="77777777" w:rsidR="0037407E" w:rsidRDefault="0037407E" w:rsidP="002C78FA">
            <w:pPr>
              <w:tabs>
                <w:tab w:val="left" w:pos="-720"/>
              </w:tabs>
              <w:suppressAutoHyphen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Tlf: +36 1 231 0493</w:t>
            </w:r>
          </w:p>
        </w:tc>
        <w:tc>
          <w:tcPr>
            <w:tcW w:w="2500" w:type="pct"/>
          </w:tcPr>
          <w:p w14:paraId="193128E8" w14:textId="77777777" w:rsidR="0037407E" w:rsidRDefault="0037407E" w:rsidP="002C78FA">
            <w:pPr>
              <w:rPr>
                <w:rFonts w:ascii="Times New Roman" w:hAnsi="Times New Roman" w:cs="Times New Roman"/>
                <w:noProof/>
                <w:lang w:val="hu-HU" w:eastAsia="fr-FR"/>
              </w:rPr>
            </w:pPr>
            <w:r>
              <w:rPr>
                <w:rFonts w:ascii="Times New Roman" w:eastAsia="맑은 고딕" w:hAnsi="Times New Roman" w:cs="Times New Roman"/>
                <w:b/>
                <w:noProof/>
                <w:lang w:val="hu-HU" w:eastAsia="fr-FR"/>
              </w:rPr>
              <w:t>Malta</w:t>
            </w:r>
          </w:p>
          <w:p w14:paraId="0DFB1903" w14:textId="14BDF7B7" w:rsidR="0037407E" w:rsidRDefault="00BB53E6" w:rsidP="002C78FA">
            <w:pPr>
              <w:tabs>
                <w:tab w:val="left" w:pos="-720"/>
              </w:tabs>
              <w:suppressAutoHyphens/>
              <w:rPr>
                <w:rFonts w:ascii="Times New Roman" w:eastAsia="맑은 고딕" w:hAnsi="Times New Roman" w:cs="Times New Roman"/>
                <w:noProof/>
                <w:lang w:val="hu-HU" w:eastAsia="fr-FR"/>
              </w:rPr>
            </w:pPr>
            <w:r w:rsidRPr="00BB53E6">
              <w:rPr>
                <w:rFonts w:ascii="Times New Roman" w:eastAsia="맑은 고딕" w:hAnsi="Times New Roman" w:cs="Times New Roman"/>
                <w:noProof/>
                <w:lang w:val="hu-HU" w:eastAsia="fr-FR"/>
              </w:rPr>
              <w:t>Mint Health Ltd.</w:t>
            </w:r>
          </w:p>
          <w:p w14:paraId="74FB4710" w14:textId="56D4F2C8" w:rsidR="0037407E" w:rsidRDefault="0037407E" w:rsidP="002C78FA">
            <w:pPr>
              <w:rPr>
                <w:rFonts w:ascii="Times New Roman" w:eastAsia="맑은 고딕" w:hAnsi="Times New Roman" w:cs="Times New Roman"/>
                <w:noProof/>
                <w:lang w:val="hu-HU" w:eastAsia="ko-KR"/>
              </w:rPr>
            </w:pPr>
            <w:r>
              <w:rPr>
                <w:rFonts w:ascii="Times New Roman" w:eastAsia="맑은 고딕" w:hAnsi="Times New Roman" w:cs="Times New Roman"/>
                <w:noProof/>
                <w:lang w:val="hu-HU" w:eastAsia="fr-FR"/>
              </w:rPr>
              <w:t xml:space="preserve">Tel: +356 </w:t>
            </w:r>
            <w:r w:rsidR="00BB53E6" w:rsidRPr="00BB53E6">
              <w:rPr>
                <w:rFonts w:ascii="Times New Roman" w:eastAsia="맑은 고딕" w:hAnsi="Times New Roman" w:cs="Times New Roman"/>
                <w:noProof/>
                <w:lang w:val="hu-HU" w:eastAsia="fr-FR"/>
              </w:rPr>
              <w:t>2093 9800</w:t>
            </w:r>
          </w:p>
          <w:p w14:paraId="66E2377E" w14:textId="77777777" w:rsidR="0037407E" w:rsidRDefault="0037407E" w:rsidP="002C78FA">
            <w:pPr>
              <w:rPr>
                <w:rFonts w:ascii="Times New Roman" w:eastAsia="맑은 고딕" w:hAnsi="Times New Roman" w:cs="Times New Roman"/>
                <w:noProof/>
                <w:lang w:val="hu-HU" w:eastAsia="ko-KR"/>
              </w:rPr>
            </w:pPr>
          </w:p>
        </w:tc>
      </w:tr>
      <w:tr w:rsidR="0037407E" w14:paraId="4B17AABF" w14:textId="77777777" w:rsidTr="007E7849">
        <w:tc>
          <w:tcPr>
            <w:tcW w:w="2500" w:type="pct"/>
            <w:hideMark/>
          </w:tcPr>
          <w:p w14:paraId="0465347F" w14:textId="77777777" w:rsidR="0037407E" w:rsidRDefault="0037407E" w:rsidP="002C78FA">
            <w:pPr>
              <w:keepNext/>
              <w:keepLines/>
              <w:rPr>
                <w:rFonts w:ascii="Times New Roman" w:hAnsi="Times New Roman" w:cs="Times New Roman"/>
                <w:b/>
                <w:noProof/>
                <w:lang w:val="hu-HU" w:eastAsia="fr-FR"/>
              </w:rPr>
            </w:pPr>
            <w:r>
              <w:rPr>
                <w:rFonts w:ascii="Times New Roman" w:eastAsia="맑은 고딕" w:hAnsi="Times New Roman" w:cs="Times New Roman"/>
                <w:b/>
                <w:noProof/>
                <w:lang w:val="hu-HU" w:eastAsia="fr-FR"/>
              </w:rPr>
              <w:t>Deutschland</w:t>
            </w:r>
          </w:p>
          <w:p w14:paraId="441F4A0E" w14:textId="77777777" w:rsidR="00A6752B" w:rsidRPr="00A6752B" w:rsidRDefault="00A6752B" w:rsidP="002C78FA">
            <w:pPr>
              <w:keepNext/>
              <w:keepLines/>
              <w:rPr>
                <w:rFonts w:ascii="Times New Roman" w:eastAsia="맑은 고딕" w:hAnsi="Times New Roman" w:cs="Times New Roman"/>
                <w:noProof/>
                <w:lang w:val="hu-HU" w:eastAsia="fr-FR"/>
              </w:rPr>
            </w:pPr>
            <w:r w:rsidRPr="00A6752B">
              <w:rPr>
                <w:rFonts w:ascii="Times New Roman" w:eastAsia="맑은 고딕" w:hAnsi="Times New Roman" w:cs="Times New Roman"/>
                <w:noProof/>
                <w:lang w:val="hu-HU" w:eastAsia="fr-FR"/>
              </w:rPr>
              <w:t>Celltrion Healthcare Deutschland GmbH</w:t>
            </w:r>
          </w:p>
          <w:p w14:paraId="65721521" w14:textId="697D2E58" w:rsidR="005F70F2" w:rsidRDefault="00A6752B" w:rsidP="002C78FA">
            <w:pPr>
              <w:keepNext/>
              <w:keepLines/>
              <w:tabs>
                <w:tab w:val="left" w:pos="-720"/>
              </w:tabs>
              <w:suppressAutoHyphens/>
              <w:rPr>
                <w:rFonts w:ascii="Times New Roman" w:eastAsia="맑은 고딕" w:hAnsi="Times New Roman" w:cs="Times New Roman"/>
                <w:noProof/>
                <w:lang w:val="hu-HU" w:eastAsia="fr-FR"/>
              </w:rPr>
            </w:pPr>
            <w:r w:rsidRPr="00A6752B">
              <w:rPr>
                <w:rFonts w:ascii="Times New Roman" w:eastAsia="맑은 고딕" w:hAnsi="Times New Roman" w:cs="Times New Roman"/>
                <w:noProof/>
                <w:lang w:val="hu-HU" w:eastAsia="fr-FR"/>
              </w:rPr>
              <w:t>Tel. +49 (0)</w:t>
            </w:r>
            <w:r w:rsidR="00AB1B26">
              <w:rPr>
                <w:rFonts w:ascii="Times New Roman" w:eastAsia="맑은 고딕" w:hAnsi="Times New Roman" w:cs="Times New Roman"/>
                <w:noProof/>
                <w:lang w:val="hu-HU" w:eastAsia="fr-FR"/>
              </w:rPr>
              <w:t>30 346494150</w:t>
            </w:r>
          </w:p>
          <w:p w14:paraId="74D87390" w14:textId="77777777" w:rsidR="005F70F2" w:rsidRPr="004C5B28" w:rsidRDefault="005F70F2" w:rsidP="002C78FA">
            <w:pPr>
              <w:keepNext/>
              <w:keepLines/>
              <w:rPr>
                <w:rFonts w:ascii="Times New Roman" w:eastAsia="맑은 고딕" w:hAnsi="Times New Roman" w:cs="Times New Roman"/>
                <w:noProof/>
                <w:lang w:val="hu-HU" w:eastAsia="ko-KR"/>
              </w:rPr>
            </w:pPr>
            <w:hyperlink r:id="rId100" w:history="1">
              <w:r w:rsidRPr="004C5B28">
                <w:rPr>
                  <w:rStyle w:val="ad"/>
                  <w:rFonts w:ascii="Times New Roman" w:eastAsia="맑은 고딕" w:hAnsi="Times New Roman" w:cs="Times New Roman"/>
                  <w:noProof/>
                  <w:lang w:val="hu-HU" w:eastAsia="ko-KR"/>
                </w:rPr>
                <w:t>infoDE@celltrionhc.com</w:t>
              </w:r>
            </w:hyperlink>
          </w:p>
          <w:p w14:paraId="07584CCE" w14:textId="397D36B1" w:rsidR="0037407E" w:rsidRDefault="00A6752B" w:rsidP="002C78FA">
            <w:pPr>
              <w:keepNext/>
              <w:keepLines/>
              <w:tabs>
                <w:tab w:val="left" w:pos="-720"/>
              </w:tabs>
              <w:suppressAutoHyphens/>
              <w:rPr>
                <w:rFonts w:ascii="Times New Roman" w:eastAsia="맑은 고딕" w:hAnsi="Times New Roman" w:cs="Times New Roman"/>
                <w:noProof/>
                <w:lang w:val="hu-HU" w:eastAsia="fr-FR"/>
              </w:rPr>
            </w:pPr>
            <w:r w:rsidRPr="00A6752B">
              <w:rPr>
                <w:rFonts w:ascii="Times New Roman" w:eastAsia="맑은 고딕" w:hAnsi="Times New Roman" w:cs="Times New Roman"/>
                <w:noProof/>
                <w:lang w:val="hu-HU" w:eastAsia="fr-FR"/>
              </w:rPr>
              <w:t xml:space="preserve"> </w:t>
            </w:r>
          </w:p>
        </w:tc>
        <w:tc>
          <w:tcPr>
            <w:tcW w:w="2500" w:type="pct"/>
          </w:tcPr>
          <w:p w14:paraId="61872073" w14:textId="77777777" w:rsidR="0037407E" w:rsidRDefault="0037407E" w:rsidP="002C78FA">
            <w:pPr>
              <w:keepNext/>
              <w:keepLines/>
              <w:rPr>
                <w:rFonts w:ascii="Times New Roman" w:hAnsi="Times New Roman" w:cs="Times New Roman"/>
                <w:noProof/>
                <w:lang w:val="hu-HU" w:eastAsia="fr-FR"/>
              </w:rPr>
            </w:pPr>
            <w:r>
              <w:rPr>
                <w:rFonts w:ascii="Times New Roman" w:eastAsia="맑은 고딕" w:hAnsi="Times New Roman" w:cs="Times New Roman"/>
                <w:b/>
                <w:noProof/>
                <w:lang w:val="hu-HU" w:eastAsia="fr-FR"/>
              </w:rPr>
              <w:t>Nederland</w:t>
            </w:r>
          </w:p>
          <w:p w14:paraId="17F4BCAA" w14:textId="77777777" w:rsidR="0037407E" w:rsidRDefault="0037407E" w:rsidP="002C78FA">
            <w:pPr>
              <w:keepNext/>
              <w:keepLine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Netherlands B.V.</w:t>
            </w:r>
          </w:p>
          <w:p w14:paraId="22F673EA" w14:textId="77777777" w:rsidR="0037407E" w:rsidRDefault="0037407E" w:rsidP="002C78FA">
            <w:pPr>
              <w:keepNext/>
              <w:keepLine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Tel: + 31 20 888 7300</w:t>
            </w:r>
          </w:p>
          <w:p w14:paraId="63C9ADA6" w14:textId="77777777" w:rsidR="0037407E" w:rsidRDefault="0037407E" w:rsidP="002C78FA">
            <w:pPr>
              <w:keepNext/>
              <w:keepLines/>
              <w:rPr>
                <w:rFonts w:ascii="Times New Roman" w:eastAsia="맑은 고딕" w:hAnsi="Times New Roman" w:cs="Times New Roman"/>
                <w:noProof/>
                <w:lang w:val="hu-HU" w:eastAsia="fr-FR"/>
              </w:rPr>
            </w:pPr>
          </w:p>
        </w:tc>
      </w:tr>
      <w:tr w:rsidR="0037407E" w14:paraId="213BBBEF" w14:textId="77777777" w:rsidTr="007E7849">
        <w:tc>
          <w:tcPr>
            <w:tcW w:w="2500" w:type="pct"/>
            <w:hideMark/>
          </w:tcPr>
          <w:p w14:paraId="65FE3B60" w14:textId="77777777" w:rsidR="0037407E" w:rsidRDefault="0037407E" w:rsidP="007E7849">
            <w:pPr>
              <w:tabs>
                <w:tab w:val="left" w:pos="-720"/>
                <w:tab w:val="left" w:pos="4536"/>
              </w:tabs>
              <w:suppressAutoHyphens/>
              <w:rPr>
                <w:rFonts w:ascii="Times New Roman" w:hAnsi="Times New Roman" w:cs="Times New Roman"/>
                <w:b/>
                <w:noProof/>
                <w:lang w:val="hu-HU" w:eastAsia="fr-FR"/>
              </w:rPr>
            </w:pPr>
            <w:r>
              <w:rPr>
                <w:rFonts w:ascii="Times New Roman" w:eastAsia="맑은 고딕" w:hAnsi="Times New Roman" w:cs="Times New Roman"/>
                <w:b/>
                <w:noProof/>
                <w:lang w:val="hu-HU" w:eastAsia="fr-FR"/>
              </w:rPr>
              <w:t>Eesti</w:t>
            </w:r>
          </w:p>
          <w:p w14:paraId="6538B17B" w14:textId="77777777" w:rsidR="0037407E" w:rsidRDefault="0037407E" w:rsidP="007E7849">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Hungary Kft.</w:t>
            </w:r>
          </w:p>
          <w:p w14:paraId="4AFDB332" w14:textId="77777777" w:rsidR="0037407E" w:rsidRDefault="0037407E" w:rsidP="007E7849">
            <w:pPr>
              <w:tabs>
                <w:tab w:val="left" w:pos="-720"/>
              </w:tabs>
              <w:suppressAutoHyphen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Tel: +36 1 231 0493</w:t>
            </w:r>
          </w:p>
          <w:p w14:paraId="01D05425" w14:textId="77777777" w:rsidR="0037407E" w:rsidRDefault="0037407E" w:rsidP="007E7849">
            <w:pPr>
              <w:tabs>
                <w:tab w:val="left" w:pos="-720"/>
              </w:tabs>
              <w:suppressAutoHyphens/>
              <w:rPr>
                <w:rFonts w:ascii="Times New Roman" w:eastAsia="맑은 고딕" w:hAnsi="Times New Roman" w:cs="Times New Roman"/>
                <w:noProof/>
                <w:lang w:val="hu-HU" w:eastAsia="ko-KR"/>
              </w:rPr>
            </w:pPr>
          </w:p>
        </w:tc>
        <w:tc>
          <w:tcPr>
            <w:tcW w:w="2500" w:type="pct"/>
          </w:tcPr>
          <w:p w14:paraId="3038ADCA" w14:textId="77777777" w:rsidR="0037407E" w:rsidRDefault="0037407E" w:rsidP="007E7849">
            <w:pPr>
              <w:tabs>
                <w:tab w:val="left" w:pos="-720"/>
              </w:tabs>
              <w:suppressAutoHyphens/>
              <w:rPr>
                <w:rFonts w:ascii="Times New Roman" w:hAnsi="Times New Roman" w:cs="Times New Roman"/>
                <w:noProof/>
                <w:lang w:val="hu-HU" w:eastAsia="fr-FR"/>
              </w:rPr>
            </w:pPr>
            <w:r>
              <w:rPr>
                <w:rFonts w:ascii="Times New Roman" w:eastAsia="맑은 고딕" w:hAnsi="Times New Roman" w:cs="Times New Roman"/>
                <w:b/>
                <w:noProof/>
                <w:lang w:val="hu-HU" w:eastAsia="fr-FR"/>
              </w:rPr>
              <w:t>Norge</w:t>
            </w:r>
          </w:p>
          <w:p w14:paraId="096FE785" w14:textId="77777777" w:rsidR="0037407E" w:rsidRDefault="0037407E" w:rsidP="007E7849">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Hungary Kft.</w:t>
            </w:r>
          </w:p>
          <w:p w14:paraId="25118839" w14:textId="77777777" w:rsidR="0037407E" w:rsidRDefault="0037407E" w:rsidP="007E7849">
            <w:pPr>
              <w:tabs>
                <w:tab w:val="left" w:pos="-720"/>
              </w:tabs>
              <w:suppressAutoHyphen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Tlf: +36 1 231 0493</w:t>
            </w:r>
          </w:p>
          <w:p w14:paraId="2CA3C14F" w14:textId="77777777" w:rsidR="0037407E" w:rsidRDefault="0037407E" w:rsidP="007E7849">
            <w:pPr>
              <w:tabs>
                <w:tab w:val="left" w:pos="-720"/>
              </w:tabs>
              <w:suppressAutoHyphens/>
              <w:rPr>
                <w:rFonts w:ascii="Times New Roman" w:eastAsia="맑은 고딕" w:hAnsi="Times New Roman" w:cs="Times New Roman"/>
                <w:noProof/>
                <w:lang w:val="hu-HU" w:eastAsia="ko-KR"/>
              </w:rPr>
            </w:pPr>
          </w:p>
        </w:tc>
      </w:tr>
      <w:tr w:rsidR="0037407E" w14:paraId="3604ED57" w14:textId="77777777" w:rsidTr="007E7849">
        <w:tc>
          <w:tcPr>
            <w:tcW w:w="2500" w:type="pct"/>
            <w:hideMark/>
          </w:tcPr>
          <w:p w14:paraId="0BA57733" w14:textId="77777777" w:rsidR="0037407E" w:rsidRDefault="0037407E" w:rsidP="007E7849">
            <w:pPr>
              <w:rPr>
                <w:rFonts w:ascii="Times New Roman" w:hAnsi="Times New Roman" w:cs="Times New Roman"/>
                <w:noProof/>
                <w:lang w:val="hu-HU" w:eastAsia="fr-FR"/>
              </w:rPr>
            </w:pPr>
            <w:r>
              <w:rPr>
                <w:rFonts w:ascii="Times New Roman" w:hAnsi="Times New Roman" w:cs="Times New Roman"/>
                <w:b/>
                <w:noProof/>
                <w:lang w:val="hu-HU"/>
              </w:rPr>
              <w:t>España</w:t>
            </w:r>
          </w:p>
          <w:p w14:paraId="65DA9BEB" w14:textId="77777777" w:rsidR="0037407E" w:rsidRDefault="0037407E" w:rsidP="007E7849">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Kern Pharma, S.L.</w:t>
            </w:r>
          </w:p>
          <w:p w14:paraId="0E9C6FA6" w14:textId="77777777" w:rsidR="0037407E" w:rsidRDefault="0037407E" w:rsidP="007E7849">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Tel: +34 93 700 2525</w:t>
            </w:r>
          </w:p>
          <w:p w14:paraId="2273EEA6" w14:textId="77777777" w:rsidR="0037407E" w:rsidRDefault="0037407E" w:rsidP="007E7849">
            <w:pPr>
              <w:rPr>
                <w:rFonts w:ascii="Times New Roman" w:hAnsi="Times New Roman" w:cs="Times New Roman"/>
                <w:b/>
                <w:noProof/>
                <w:lang w:val="hu-HU" w:eastAsia="fr-FR"/>
              </w:rPr>
            </w:pPr>
          </w:p>
        </w:tc>
        <w:tc>
          <w:tcPr>
            <w:tcW w:w="2500" w:type="pct"/>
          </w:tcPr>
          <w:p w14:paraId="54972ABF" w14:textId="77777777" w:rsidR="0037407E" w:rsidRDefault="0037407E" w:rsidP="007E7849">
            <w:pPr>
              <w:rPr>
                <w:rFonts w:ascii="Times New Roman" w:hAnsi="Times New Roman" w:cs="Times New Roman"/>
                <w:noProof/>
                <w:lang w:val="hu-HU" w:eastAsia="fr-FR"/>
              </w:rPr>
            </w:pPr>
            <w:r>
              <w:rPr>
                <w:rFonts w:ascii="Times New Roman" w:hAnsi="Times New Roman" w:cs="Times New Roman"/>
                <w:b/>
                <w:noProof/>
                <w:lang w:val="hu-HU"/>
              </w:rPr>
              <w:t>Österreich</w:t>
            </w:r>
          </w:p>
          <w:p w14:paraId="464FD66D" w14:textId="77777777" w:rsidR="0037407E" w:rsidRDefault="0037407E" w:rsidP="007E7849">
            <w:pPr>
              <w:rPr>
                <w:rFonts w:ascii="Times New Roman" w:eastAsia="맑은 고딕" w:hAnsi="Times New Roman" w:cs="Times New Roman"/>
                <w:noProof/>
                <w:lang w:val="hu-HU" w:eastAsia="ko-KR"/>
              </w:rPr>
            </w:pPr>
            <w:r>
              <w:rPr>
                <w:rFonts w:ascii="Times New Roman" w:eastAsia="맑은 고딕" w:hAnsi="Times New Roman" w:cs="Times New Roman"/>
                <w:noProof/>
                <w:lang w:val="hu-HU" w:eastAsia="fr-FR"/>
              </w:rPr>
              <w:t>Astro-Pharma GmbH</w:t>
            </w:r>
          </w:p>
          <w:p w14:paraId="7FE1E2CB" w14:textId="77777777" w:rsidR="0037407E" w:rsidRDefault="0037407E" w:rsidP="007E7849">
            <w:pPr>
              <w:tabs>
                <w:tab w:val="left" w:pos="-720"/>
              </w:tabs>
              <w:suppressAutoHyphen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Tel: +43 1 97 99 860</w:t>
            </w:r>
          </w:p>
          <w:p w14:paraId="17C685BA" w14:textId="77777777" w:rsidR="0037407E" w:rsidRDefault="0037407E" w:rsidP="007E7849">
            <w:pPr>
              <w:tabs>
                <w:tab w:val="left" w:pos="-720"/>
              </w:tabs>
              <w:suppressAutoHyphens/>
              <w:rPr>
                <w:rFonts w:ascii="Times New Roman" w:hAnsi="Times New Roman" w:cs="Times New Roman"/>
                <w:noProof/>
                <w:lang w:val="hu-HU" w:eastAsia="fr-FR"/>
              </w:rPr>
            </w:pPr>
          </w:p>
        </w:tc>
      </w:tr>
      <w:tr w:rsidR="0037407E" w14:paraId="5919F8CF" w14:textId="77777777" w:rsidTr="007E7849">
        <w:tc>
          <w:tcPr>
            <w:tcW w:w="2500" w:type="pct"/>
          </w:tcPr>
          <w:p w14:paraId="7611E1FE" w14:textId="77777777" w:rsidR="0037407E" w:rsidRDefault="0037407E" w:rsidP="007E7849">
            <w:pPr>
              <w:rPr>
                <w:rFonts w:ascii="Times New Roman" w:hAnsi="Times New Roman" w:cs="Times New Roman"/>
                <w:b/>
                <w:noProof/>
                <w:lang w:val="hu-HU" w:eastAsia="fr-FR"/>
              </w:rPr>
            </w:pPr>
            <w:r>
              <w:rPr>
                <w:rFonts w:ascii="Times New Roman" w:hAnsi="Times New Roman" w:cs="Times New Roman"/>
                <w:b/>
                <w:noProof/>
                <w:lang w:val="hu-HU" w:eastAsia="fr-FR"/>
              </w:rPr>
              <w:t>Ελλάδα</w:t>
            </w:r>
          </w:p>
          <w:p w14:paraId="2717C0BD" w14:textId="77777777" w:rsidR="0037407E" w:rsidRDefault="0037407E" w:rsidP="007E7849">
            <w:pPr>
              <w:rPr>
                <w:rFonts w:ascii="Times New Roman" w:hAnsi="Times New Roman" w:cs="Times New Roman"/>
                <w:noProof/>
                <w:lang w:val="hu-HU" w:eastAsia="fr-FR"/>
              </w:rPr>
            </w:pPr>
            <w:r>
              <w:rPr>
                <w:rFonts w:ascii="Times New Roman" w:hAnsi="Times New Roman" w:cs="Times New Roman"/>
                <w:noProof/>
                <w:lang w:val="hu-HU" w:eastAsia="fr-FR"/>
              </w:rPr>
              <w:t>ΒΙΑΝΕΞ Α.Ε.</w:t>
            </w:r>
          </w:p>
          <w:p w14:paraId="5549E90D" w14:textId="13A803FD" w:rsidR="0037407E" w:rsidRDefault="0037407E" w:rsidP="007E7849">
            <w:pPr>
              <w:rPr>
                <w:rFonts w:ascii="Times New Roman" w:hAnsi="Times New Roman" w:cs="Times New Roman"/>
                <w:noProof/>
                <w:lang w:val="hu-HU" w:eastAsia="fr-FR"/>
              </w:rPr>
            </w:pPr>
            <w:r>
              <w:rPr>
                <w:rFonts w:ascii="Times New Roman" w:hAnsi="Times New Roman" w:cs="Times New Roman"/>
                <w:noProof/>
                <w:lang w:val="hu-HU" w:eastAsia="fr-FR"/>
              </w:rPr>
              <w:t>Τηλ: +30 210 8009111</w:t>
            </w:r>
          </w:p>
          <w:p w14:paraId="0F7E8220" w14:textId="77777777" w:rsidR="0037407E" w:rsidRDefault="0037407E" w:rsidP="007E7849">
            <w:pPr>
              <w:rPr>
                <w:rFonts w:ascii="Times New Roman" w:eastAsia="맑은 고딕" w:hAnsi="Times New Roman" w:cs="Times New Roman"/>
                <w:noProof/>
                <w:lang w:val="hu-HU" w:eastAsia="fr-FR"/>
              </w:rPr>
            </w:pPr>
          </w:p>
        </w:tc>
        <w:tc>
          <w:tcPr>
            <w:tcW w:w="2500" w:type="pct"/>
          </w:tcPr>
          <w:p w14:paraId="0352B668" w14:textId="77777777" w:rsidR="0037407E" w:rsidRDefault="0037407E" w:rsidP="007E7849">
            <w:pPr>
              <w:rPr>
                <w:rFonts w:ascii="Times New Roman" w:eastAsia="맑은 고딕" w:hAnsi="Times New Roman" w:cs="Times New Roman"/>
                <w:b/>
                <w:noProof/>
                <w:lang w:val="hu-HU" w:eastAsia="fr-FR"/>
              </w:rPr>
            </w:pPr>
            <w:r>
              <w:rPr>
                <w:rFonts w:ascii="Times New Roman" w:eastAsia="맑은 고딕" w:hAnsi="Times New Roman" w:cs="Times New Roman"/>
                <w:b/>
                <w:noProof/>
                <w:lang w:val="hu-HU" w:eastAsia="fr-FR"/>
              </w:rPr>
              <w:t>Polska</w:t>
            </w:r>
          </w:p>
          <w:p w14:paraId="172C70C7" w14:textId="77777777" w:rsidR="0037407E" w:rsidRDefault="0037407E" w:rsidP="007E7849">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1EEF303B" w14:textId="77777777" w:rsidR="0037407E" w:rsidRPr="00120A76" w:rsidRDefault="0037407E" w:rsidP="007E7849">
            <w:pPr>
              <w:rPr>
                <w:rFonts w:ascii="Times New Roman" w:hAnsi="Times New Roman" w:cs="Times New Roman"/>
                <w:b/>
                <w:noProof/>
                <w:lang w:val="hu-HU"/>
              </w:rPr>
            </w:pPr>
            <w:r w:rsidRPr="00BE43AD">
              <w:rPr>
                <w:rFonts w:ascii="Times New Roman" w:eastAsia="맑은 고딕" w:hAnsi="Times New Roman" w:cs="Times New Roman"/>
                <w:noProof/>
                <w:lang w:eastAsia="fr-FR"/>
              </w:rPr>
              <w:t xml:space="preserve">Tel.: </w:t>
            </w:r>
            <w:r>
              <w:rPr>
                <w:rFonts w:ascii="Times New Roman" w:eastAsia="맑은 고딕" w:hAnsi="Times New Roman" w:cs="Times New Roman"/>
                <w:noProof/>
                <w:lang w:eastAsia="fr-FR"/>
              </w:rPr>
              <w:t>+36 1 231 0493</w:t>
            </w:r>
          </w:p>
        </w:tc>
      </w:tr>
      <w:tr w:rsidR="00887453" w:rsidRPr="00BE4D18" w14:paraId="0880D323" w14:textId="77777777" w:rsidTr="007E7849">
        <w:tc>
          <w:tcPr>
            <w:tcW w:w="2500" w:type="pct"/>
          </w:tcPr>
          <w:p w14:paraId="546B11F0" w14:textId="77777777" w:rsidR="00887453" w:rsidRDefault="00887453" w:rsidP="00887453">
            <w:pPr>
              <w:rPr>
                <w:rFonts w:ascii="Times New Roman" w:hAnsi="Times New Roman" w:cs="Times New Roman"/>
                <w:b/>
                <w:noProof/>
                <w:lang w:val="hu-HU" w:eastAsia="ko-KR"/>
              </w:rPr>
            </w:pPr>
            <w:r>
              <w:rPr>
                <w:rFonts w:ascii="Times New Roman" w:hAnsi="Times New Roman" w:cs="Times New Roman"/>
                <w:b/>
                <w:noProof/>
                <w:lang w:val="hu-HU" w:eastAsia="ko-KR"/>
              </w:rPr>
              <w:t>France</w:t>
            </w:r>
          </w:p>
          <w:p w14:paraId="2A9BFDE1" w14:textId="49DDE178" w:rsidR="00887453" w:rsidRDefault="00887453" w:rsidP="00887453">
            <w:pPr>
              <w:rPr>
                <w:rFonts w:ascii="Times New Roman" w:hAnsi="Times New Roman" w:cs="Times New Roman"/>
                <w:noProof/>
                <w:lang w:val="hu-HU" w:eastAsia="ko-KR"/>
              </w:rPr>
            </w:pPr>
            <w:r w:rsidRPr="00BB53E6">
              <w:rPr>
                <w:rFonts w:ascii="Times New Roman" w:hAnsi="Times New Roman" w:cs="Times New Roman"/>
                <w:noProof/>
                <w:lang w:val="hu-HU" w:eastAsia="ko-KR"/>
              </w:rPr>
              <w:t>Celltrion Healthcare France SAS</w:t>
            </w:r>
          </w:p>
          <w:p w14:paraId="3D676479" w14:textId="77777777" w:rsidR="00887453" w:rsidRDefault="00887453" w:rsidP="00887453">
            <w:pPr>
              <w:rPr>
                <w:rFonts w:ascii="Times New Roman" w:eastAsia="맑은 고딕" w:hAnsi="Times New Roman" w:cs="Times New Roman"/>
                <w:noProof/>
                <w:lang w:val="hu-HU" w:eastAsia="ko-KR"/>
              </w:rPr>
            </w:pPr>
            <w:r>
              <w:rPr>
                <w:rFonts w:ascii="Times New Roman" w:hAnsi="Times New Roman" w:cs="Times New Roman"/>
                <w:noProof/>
                <w:lang w:val="hu-HU" w:eastAsia="ko-KR"/>
              </w:rPr>
              <w:t>T</w:t>
            </w:r>
            <w:r>
              <w:rPr>
                <w:rFonts w:ascii="Times New Roman" w:hAnsi="Times New Roman" w:cs="Times New Roman"/>
                <w:lang w:val="hu-HU"/>
              </w:rPr>
              <w:t>é</w:t>
            </w:r>
            <w:r>
              <w:rPr>
                <w:rFonts w:ascii="Times New Roman" w:hAnsi="Times New Roman" w:cs="Times New Roman"/>
                <w:noProof/>
                <w:lang w:val="hu-HU" w:eastAsia="ko-KR"/>
              </w:rPr>
              <w:t>l.: +33 (0)1 71 25 27 00</w:t>
            </w:r>
          </w:p>
          <w:p w14:paraId="42865797" w14:textId="77777777" w:rsidR="00887453" w:rsidRDefault="00887453" w:rsidP="00887453">
            <w:pPr>
              <w:rPr>
                <w:rFonts w:ascii="Times New Roman" w:eastAsia="맑은 고딕" w:hAnsi="Times New Roman" w:cs="Times New Roman"/>
                <w:noProof/>
                <w:lang w:val="hu-HU" w:eastAsia="fr-FR"/>
              </w:rPr>
            </w:pPr>
          </w:p>
        </w:tc>
        <w:tc>
          <w:tcPr>
            <w:tcW w:w="2500" w:type="pct"/>
          </w:tcPr>
          <w:p w14:paraId="3B3A5B23" w14:textId="77777777" w:rsidR="00887453" w:rsidRPr="002F72A3" w:rsidRDefault="00887453" w:rsidP="00887453">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48C7199E" w14:textId="253DD391" w:rsidR="00887453" w:rsidRDefault="00887453" w:rsidP="00887453">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192E9C51" w14:textId="4FEA29C2" w:rsidR="00887453" w:rsidRPr="009C0F1B" w:rsidRDefault="00887453" w:rsidP="00887453">
            <w:pPr>
              <w:rPr>
                <w:rFonts w:ascii="Times New Roman" w:eastAsia="맑은 고딕" w:hAnsi="Times New Roman" w:cs="Times New Roman"/>
                <w:noProof/>
                <w:lang w:val="fr-CA" w:eastAsia="fr-FR"/>
              </w:rPr>
            </w:pPr>
            <w:r w:rsidRPr="009C0F1B">
              <w:rPr>
                <w:rFonts w:ascii="Times New Roman" w:eastAsia="맑은 고딕" w:hAnsi="Times New Roman" w:cs="Times New Roman"/>
                <w:noProof/>
                <w:lang w:val="fr-CA" w:eastAsia="fr-FR"/>
              </w:rPr>
              <w:t>Tel: +351 21 936 8542</w:t>
            </w:r>
          </w:p>
          <w:p w14:paraId="2AEE069F" w14:textId="77777777" w:rsidR="00887453" w:rsidRDefault="00887453" w:rsidP="00887453">
            <w:pPr>
              <w:rPr>
                <w:rFonts w:ascii="Times New Roman" w:hAnsi="Times New Roman" w:cs="Times New Roman"/>
                <w:b/>
                <w:noProof/>
                <w:lang w:val="hu-HU"/>
              </w:rPr>
            </w:pPr>
          </w:p>
        </w:tc>
      </w:tr>
      <w:tr w:rsidR="00887453" w14:paraId="44800187" w14:textId="77777777" w:rsidTr="007E7849">
        <w:tc>
          <w:tcPr>
            <w:tcW w:w="2500" w:type="pct"/>
          </w:tcPr>
          <w:p w14:paraId="5130A33B" w14:textId="77777777" w:rsidR="00887453" w:rsidRDefault="00887453" w:rsidP="00887453">
            <w:pPr>
              <w:rPr>
                <w:rFonts w:ascii="Times New Roman" w:hAnsi="Times New Roman" w:cs="Times New Roman"/>
                <w:b/>
                <w:noProof/>
                <w:lang w:val="hu-HU" w:eastAsia="ko-KR"/>
              </w:rPr>
            </w:pPr>
            <w:r>
              <w:rPr>
                <w:rFonts w:ascii="Times New Roman" w:hAnsi="Times New Roman" w:cs="Times New Roman"/>
                <w:b/>
                <w:noProof/>
                <w:lang w:val="hu-HU" w:eastAsia="ko-KR"/>
              </w:rPr>
              <w:t>Hrvatska</w:t>
            </w:r>
          </w:p>
          <w:p w14:paraId="51F2ED24" w14:textId="77777777" w:rsidR="00887453" w:rsidRDefault="00887453" w:rsidP="00887453">
            <w:pPr>
              <w:rPr>
                <w:rFonts w:ascii="Times New Roman" w:hAnsi="Times New Roman" w:cs="Times New Roman"/>
                <w:noProof/>
                <w:lang w:val="hu-HU" w:eastAsia="ko-KR"/>
              </w:rPr>
            </w:pPr>
            <w:r>
              <w:rPr>
                <w:rFonts w:ascii="Times New Roman" w:hAnsi="Times New Roman" w:cs="Times New Roman"/>
                <w:noProof/>
                <w:lang w:val="hu-HU" w:eastAsia="ko-KR"/>
              </w:rPr>
              <w:t>Oktal Pharma d.o.o.</w:t>
            </w:r>
          </w:p>
          <w:p w14:paraId="6F806EB1" w14:textId="77777777" w:rsidR="00887453" w:rsidRDefault="00887453" w:rsidP="00887453">
            <w:pPr>
              <w:rPr>
                <w:rFonts w:ascii="Times New Roman" w:hAnsi="Times New Roman" w:cs="Times New Roman"/>
                <w:noProof/>
                <w:lang w:val="hu-HU" w:eastAsia="ko-KR"/>
              </w:rPr>
            </w:pPr>
            <w:r>
              <w:rPr>
                <w:rFonts w:ascii="Times New Roman" w:hAnsi="Times New Roman" w:cs="Times New Roman"/>
                <w:noProof/>
                <w:lang w:val="hu-HU" w:eastAsia="ko-KR"/>
              </w:rPr>
              <w:t>Tel: +385 1 6595 777</w:t>
            </w:r>
          </w:p>
          <w:p w14:paraId="2D237CBB" w14:textId="77777777" w:rsidR="00887453" w:rsidRDefault="00887453" w:rsidP="00887453">
            <w:pPr>
              <w:rPr>
                <w:rFonts w:ascii="Times New Roman" w:eastAsia="맑은 고딕" w:hAnsi="Times New Roman" w:cs="Times New Roman"/>
                <w:noProof/>
                <w:lang w:val="hu-HU" w:eastAsia="fr-FR"/>
              </w:rPr>
            </w:pPr>
          </w:p>
        </w:tc>
        <w:tc>
          <w:tcPr>
            <w:tcW w:w="2500" w:type="pct"/>
          </w:tcPr>
          <w:p w14:paraId="4574D24C" w14:textId="77777777" w:rsidR="00887453" w:rsidRDefault="00887453" w:rsidP="00887453">
            <w:pPr>
              <w:tabs>
                <w:tab w:val="left" w:pos="-720"/>
              </w:tabs>
              <w:suppressAutoHyphens/>
              <w:rPr>
                <w:rFonts w:ascii="Times New Roman" w:eastAsia="맑은 고딕" w:hAnsi="Times New Roman" w:cs="Times New Roman"/>
                <w:b/>
                <w:noProof/>
                <w:lang w:val="hu-HU" w:eastAsia="fr-FR"/>
              </w:rPr>
            </w:pPr>
            <w:r>
              <w:rPr>
                <w:rFonts w:ascii="Times New Roman" w:hAnsi="Times New Roman" w:cs="Times New Roman"/>
                <w:b/>
                <w:noProof/>
                <w:lang w:val="hu-HU"/>
              </w:rPr>
              <w:t>România</w:t>
            </w:r>
          </w:p>
          <w:p w14:paraId="2DB48893" w14:textId="77777777" w:rsidR="00887453" w:rsidRDefault="00887453" w:rsidP="00887453">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01E83683" w14:textId="77777777" w:rsidR="00887453" w:rsidRPr="00120A76" w:rsidRDefault="00887453" w:rsidP="00887453">
            <w:pPr>
              <w:rPr>
                <w:rFonts w:ascii="Times New Roman" w:hAnsi="Times New Roman" w:cs="Times New Roman"/>
                <w:b/>
                <w:noProof/>
                <w:lang w:val="hu-HU"/>
              </w:rPr>
            </w:pPr>
            <w:r w:rsidRPr="00BE43AD">
              <w:rPr>
                <w:rFonts w:ascii="Times New Roman" w:eastAsia="맑은 고딕" w:hAnsi="Times New Roman" w:cs="Times New Roman"/>
                <w:noProof/>
                <w:lang w:eastAsia="fr-FR"/>
              </w:rPr>
              <w:t xml:space="preserve">Tel: </w:t>
            </w:r>
            <w:r>
              <w:rPr>
                <w:rFonts w:ascii="Times New Roman" w:eastAsia="맑은 고딕" w:hAnsi="Times New Roman" w:cs="Times New Roman"/>
                <w:noProof/>
                <w:lang w:eastAsia="fr-FR"/>
              </w:rPr>
              <w:t>+36 1 231 0493</w:t>
            </w:r>
          </w:p>
        </w:tc>
      </w:tr>
      <w:tr w:rsidR="00887453" w14:paraId="27FB6348" w14:textId="77777777" w:rsidTr="007E7849">
        <w:tc>
          <w:tcPr>
            <w:tcW w:w="2500" w:type="pct"/>
          </w:tcPr>
          <w:p w14:paraId="7DC76BE3" w14:textId="77777777" w:rsidR="00887453" w:rsidRDefault="00887453" w:rsidP="00887453">
            <w:pPr>
              <w:tabs>
                <w:tab w:val="left" w:pos="-720"/>
              </w:tabs>
              <w:suppressAutoHyphens/>
              <w:rPr>
                <w:rFonts w:ascii="Times New Roman" w:hAnsi="Times New Roman" w:cs="Times New Roman"/>
                <w:noProof/>
                <w:lang w:val="hu-HU" w:eastAsia="fr-FR"/>
              </w:rPr>
            </w:pPr>
            <w:r>
              <w:rPr>
                <w:rFonts w:ascii="Times New Roman" w:eastAsia="맑은 고딕" w:hAnsi="Times New Roman" w:cs="Times New Roman"/>
                <w:b/>
                <w:noProof/>
                <w:lang w:val="hu-HU" w:eastAsia="fr-FR"/>
              </w:rPr>
              <w:t>Ireland</w:t>
            </w:r>
          </w:p>
          <w:p w14:paraId="6682DE1F" w14:textId="77777777"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Ireland Limited</w:t>
            </w:r>
          </w:p>
          <w:p w14:paraId="45903270" w14:textId="77777777"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Tel: +353 1 223 4026</w:t>
            </w:r>
          </w:p>
          <w:p w14:paraId="47EBD119" w14:textId="77777777" w:rsidR="00887453" w:rsidRDefault="00887453" w:rsidP="00887453">
            <w:pPr>
              <w:rPr>
                <w:rFonts w:ascii="Times New Roman" w:eastAsia="맑은 고딕" w:hAnsi="Times New Roman" w:cs="Times New Roman"/>
                <w:noProof/>
                <w:lang w:val="hu-HU" w:eastAsia="fr-FR"/>
              </w:rPr>
            </w:pPr>
          </w:p>
        </w:tc>
        <w:tc>
          <w:tcPr>
            <w:tcW w:w="2500" w:type="pct"/>
          </w:tcPr>
          <w:p w14:paraId="3CC180D4" w14:textId="77777777" w:rsidR="00887453" w:rsidRDefault="00887453" w:rsidP="00887453">
            <w:pPr>
              <w:rPr>
                <w:rFonts w:ascii="Times New Roman" w:eastAsia="맑은 고딕" w:hAnsi="Times New Roman" w:cs="Times New Roman"/>
                <w:b/>
                <w:noProof/>
                <w:lang w:val="hu-HU" w:eastAsia="fr-FR"/>
              </w:rPr>
            </w:pPr>
            <w:r>
              <w:rPr>
                <w:rFonts w:ascii="Times New Roman" w:eastAsia="맑은 고딕" w:hAnsi="Times New Roman" w:cs="Times New Roman"/>
                <w:b/>
                <w:noProof/>
                <w:lang w:val="hu-HU" w:eastAsia="fr-FR"/>
              </w:rPr>
              <w:t>Slovenija</w:t>
            </w:r>
          </w:p>
          <w:p w14:paraId="66780933" w14:textId="77777777"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OPH Oktal Pharma d.o.o.</w:t>
            </w:r>
          </w:p>
          <w:p w14:paraId="2605CE9C" w14:textId="77777777"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Tel.: +386 1 519 29 22</w:t>
            </w:r>
          </w:p>
          <w:p w14:paraId="47D3EB6C" w14:textId="77777777" w:rsidR="00887453" w:rsidRDefault="00887453" w:rsidP="00887453">
            <w:pPr>
              <w:rPr>
                <w:rFonts w:ascii="Times New Roman" w:hAnsi="Times New Roman" w:cs="Times New Roman"/>
                <w:b/>
                <w:noProof/>
                <w:lang w:val="hu-HU"/>
              </w:rPr>
            </w:pPr>
          </w:p>
        </w:tc>
      </w:tr>
      <w:tr w:rsidR="00887453" w14:paraId="5FBF1038" w14:textId="77777777" w:rsidTr="007E7849">
        <w:tc>
          <w:tcPr>
            <w:tcW w:w="2500" w:type="pct"/>
          </w:tcPr>
          <w:p w14:paraId="721C7AD9" w14:textId="77777777"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b/>
                <w:noProof/>
                <w:lang w:val="hu-HU" w:eastAsia="fr-FR"/>
              </w:rPr>
              <w:t>Ísland</w:t>
            </w:r>
          </w:p>
          <w:p w14:paraId="49A1D1CA" w14:textId="77777777"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Hungary Kft.</w:t>
            </w:r>
          </w:p>
          <w:p w14:paraId="5FFA0F11" w14:textId="77777777"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Sími: +36 1 231 0493</w:t>
            </w:r>
          </w:p>
        </w:tc>
        <w:tc>
          <w:tcPr>
            <w:tcW w:w="2500" w:type="pct"/>
          </w:tcPr>
          <w:p w14:paraId="1720F378" w14:textId="77777777" w:rsidR="00887453" w:rsidRDefault="00887453" w:rsidP="00887453">
            <w:pPr>
              <w:rPr>
                <w:rFonts w:ascii="Times New Roman" w:eastAsia="맑은 고딕" w:hAnsi="Times New Roman" w:cs="Times New Roman"/>
                <w:b/>
                <w:noProof/>
                <w:lang w:val="hu-HU" w:eastAsia="fr-FR"/>
              </w:rPr>
            </w:pPr>
            <w:r>
              <w:rPr>
                <w:rFonts w:ascii="Times New Roman" w:hAnsi="Times New Roman" w:cs="Times New Roman"/>
                <w:b/>
                <w:noProof/>
                <w:lang w:val="hu-HU"/>
              </w:rPr>
              <w:t>Slovenská republika</w:t>
            </w:r>
          </w:p>
          <w:p w14:paraId="6628F279" w14:textId="77777777" w:rsidR="00887453" w:rsidRDefault="00887453" w:rsidP="00887453">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4BEAE86B" w14:textId="77777777" w:rsidR="00887453" w:rsidRDefault="00887453" w:rsidP="00887453">
            <w:pPr>
              <w:rPr>
                <w:rFonts w:ascii="Times New Roman" w:eastAsia="맑은 고딕" w:hAnsi="Times New Roman" w:cs="Times New Roman"/>
                <w:b/>
                <w:noProof/>
                <w:lang w:val="hu-HU" w:eastAsia="fr-FR"/>
              </w:rPr>
            </w:pPr>
            <w:r w:rsidRPr="00BE43AD">
              <w:rPr>
                <w:rFonts w:ascii="Times New Roman" w:eastAsia="맑은 고딕" w:hAnsi="Times New Roman" w:cs="Times New Roman"/>
                <w:noProof/>
                <w:lang w:eastAsia="fr-FR"/>
              </w:rPr>
              <w:t xml:space="preserve">Tel: </w:t>
            </w:r>
            <w:r>
              <w:rPr>
                <w:rFonts w:ascii="Times New Roman" w:eastAsia="맑은 고딕" w:hAnsi="Times New Roman" w:cs="Times New Roman"/>
                <w:noProof/>
                <w:lang w:eastAsia="fr-FR"/>
              </w:rPr>
              <w:t>+36 1 231 0493</w:t>
            </w:r>
          </w:p>
          <w:p w14:paraId="0DE33042" w14:textId="77777777" w:rsidR="00887453" w:rsidRPr="00120A76" w:rsidRDefault="00887453" w:rsidP="00887453">
            <w:pPr>
              <w:rPr>
                <w:rFonts w:ascii="Times New Roman" w:eastAsia="맑은 고딕" w:hAnsi="Times New Roman" w:cs="Times New Roman"/>
                <w:b/>
                <w:noProof/>
                <w:lang w:val="hu-HU" w:eastAsia="fr-FR"/>
              </w:rPr>
            </w:pPr>
          </w:p>
        </w:tc>
      </w:tr>
      <w:tr w:rsidR="00887453" w14:paraId="7B424BF0" w14:textId="77777777" w:rsidTr="007E7849">
        <w:tc>
          <w:tcPr>
            <w:tcW w:w="2500" w:type="pct"/>
          </w:tcPr>
          <w:p w14:paraId="3FDE0FAF" w14:textId="77777777" w:rsidR="00887453" w:rsidRDefault="00887453" w:rsidP="00887453">
            <w:pPr>
              <w:rPr>
                <w:rFonts w:ascii="Times New Roman" w:hAnsi="Times New Roman" w:cs="Times New Roman"/>
                <w:noProof/>
                <w:lang w:val="hu-HU" w:eastAsia="fr-FR"/>
              </w:rPr>
            </w:pPr>
            <w:r>
              <w:rPr>
                <w:rFonts w:ascii="Times New Roman" w:eastAsia="맑은 고딕" w:hAnsi="Times New Roman" w:cs="Times New Roman"/>
                <w:b/>
                <w:noProof/>
                <w:lang w:val="hu-HU" w:eastAsia="fr-FR"/>
              </w:rPr>
              <w:t>Italia</w:t>
            </w:r>
          </w:p>
          <w:p w14:paraId="450C7029" w14:textId="351F2B0F"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Italy S.r.l.</w:t>
            </w:r>
          </w:p>
          <w:p w14:paraId="374B7E93" w14:textId="683DEBB1"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 xml:space="preserve">Tel: +39 </w:t>
            </w:r>
            <w:r w:rsidRPr="00BB53E6">
              <w:rPr>
                <w:rFonts w:ascii="Times New Roman" w:eastAsia="맑은 고딕" w:hAnsi="Times New Roman" w:cs="Times New Roman"/>
                <w:noProof/>
                <w:lang w:val="hu-HU" w:eastAsia="fr-FR"/>
              </w:rPr>
              <w:t>02</w:t>
            </w:r>
            <w:r>
              <w:rPr>
                <w:rFonts w:ascii="Times New Roman" w:eastAsia="맑은 고딕" w:hAnsi="Times New Roman" w:cs="Times New Roman"/>
                <w:noProof/>
                <w:lang w:val="hu-HU" w:eastAsia="fr-FR"/>
              </w:rPr>
              <w:t xml:space="preserve"> </w:t>
            </w:r>
            <w:r w:rsidRPr="00BB53E6">
              <w:rPr>
                <w:rFonts w:ascii="Times New Roman" w:eastAsia="맑은 고딕" w:hAnsi="Times New Roman" w:cs="Times New Roman"/>
                <w:noProof/>
                <w:lang w:val="hu-HU" w:eastAsia="fr-FR"/>
              </w:rPr>
              <w:t>47927040</w:t>
            </w:r>
          </w:p>
        </w:tc>
        <w:tc>
          <w:tcPr>
            <w:tcW w:w="2500" w:type="pct"/>
          </w:tcPr>
          <w:p w14:paraId="66439F72" w14:textId="77777777" w:rsidR="00887453" w:rsidRDefault="00887453" w:rsidP="00887453">
            <w:pPr>
              <w:rPr>
                <w:rFonts w:ascii="Times New Roman" w:hAnsi="Times New Roman" w:cs="Times New Roman"/>
                <w:noProof/>
                <w:lang w:val="hu-HU" w:eastAsia="fr-FR"/>
              </w:rPr>
            </w:pPr>
            <w:r>
              <w:rPr>
                <w:rFonts w:ascii="Times New Roman" w:eastAsia="맑은 고딕" w:hAnsi="Times New Roman" w:cs="Times New Roman"/>
                <w:b/>
                <w:noProof/>
                <w:lang w:val="hu-HU" w:eastAsia="fr-FR"/>
              </w:rPr>
              <w:t>Suomi/Finland</w:t>
            </w:r>
          </w:p>
          <w:p w14:paraId="5F95F40E" w14:textId="77777777" w:rsidR="00887453" w:rsidRPr="00F15659" w:rsidRDefault="00887453" w:rsidP="00887453">
            <w:pPr>
              <w:tabs>
                <w:tab w:val="left" w:pos="-720"/>
              </w:tabs>
              <w:suppressAutoHyphens/>
              <w:rPr>
                <w:rFonts w:ascii="Times New Roman" w:eastAsia="맑은 고딕" w:hAnsi="Times New Roman" w:cs="Times New Roman"/>
                <w:noProof/>
                <w:lang w:val="hu-HU" w:eastAsia="fr-FR"/>
              </w:rPr>
            </w:pPr>
            <w:r w:rsidRPr="00F15659">
              <w:rPr>
                <w:rFonts w:ascii="Times New Roman" w:eastAsia="맑은 고딕" w:hAnsi="Times New Roman" w:cs="Times New Roman"/>
                <w:noProof/>
                <w:lang w:val="hu-HU" w:eastAsia="fr-FR"/>
              </w:rPr>
              <w:t xml:space="preserve">Celltrion Healthcare Finland Oy. </w:t>
            </w:r>
          </w:p>
          <w:p w14:paraId="44129DED" w14:textId="7F3CE4DE" w:rsidR="00887453" w:rsidRDefault="00887453" w:rsidP="00887453">
            <w:pPr>
              <w:autoSpaceDE w:val="0"/>
              <w:autoSpaceDN w:val="0"/>
              <w:adjustRightInd w:val="0"/>
              <w:rPr>
                <w:rFonts w:ascii="Times New Roman" w:eastAsia="맑은 고딕" w:hAnsi="Times New Roman" w:cs="Times New Roman"/>
                <w:noProof/>
                <w:lang w:val="hu-HU" w:eastAsia="fr-FR"/>
              </w:rPr>
            </w:pPr>
            <w:r w:rsidRPr="00F15659">
              <w:rPr>
                <w:rFonts w:ascii="Times New Roman" w:eastAsia="맑은 고딕" w:hAnsi="Times New Roman" w:cs="Times New Roman"/>
                <w:noProof/>
                <w:lang w:val="hu-HU" w:eastAsia="fr-FR"/>
              </w:rPr>
              <w:t>Puh/Tel: +358 29 170 7755</w:t>
            </w:r>
          </w:p>
          <w:p w14:paraId="19415ABA" w14:textId="77777777" w:rsidR="00887453" w:rsidRPr="00903402" w:rsidRDefault="00887453" w:rsidP="00887453">
            <w:pPr>
              <w:autoSpaceDE w:val="0"/>
              <w:autoSpaceDN w:val="0"/>
              <w:adjustRightInd w:val="0"/>
              <w:rPr>
                <w:rFonts w:ascii="Times New Roman" w:eastAsia="맑은 고딕" w:hAnsi="Times New Roman" w:cs="Times New Roman"/>
                <w:noProof/>
                <w:lang w:val="hu-HU" w:eastAsia="ko-KR"/>
              </w:rPr>
            </w:pPr>
          </w:p>
        </w:tc>
      </w:tr>
      <w:tr w:rsidR="00887453" w14:paraId="7380E932" w14:textId="77777777" w:rsidTr="007E7849">
        <w:tc>
          <w:tcPr>
            <w:tcW w:w="2500" w:type="pct"/>
          </w:tcPr>
          <w:p w14:paraId="39682322" w14:textId="77777777" w:rsidR="00887453" w:rsidRDefault="00887453" w:rsidP="00887453">
            <w:pPr>
              <w:tabs>
                <w:tab w:val="left" w:pos="-720"/>
              </w:tabs>
              <w:suppressAutoHyphens/>
              <w:rPr>
                <w:rFonts w:ascii="Times New Roman" w:hAnsi="Times New Roman" w:cs="Times New Roman"/>
                <w:b/>
                <w:bCs/>
                <w:noProof/>
                <w:lang w:val="hu-HU" w:eastAsia="fr-FR"/>
              </w:rPr>
            </w:pPr>
            <w:r>
              <w:rPr>
                <w:rFonts w:ascii="Times New Roman" w:hAnsi="Times New Roman" w:cs="Times New Roman"/>
                <w:b/>
                <w:noProof/>
                <w:lang w:val="hu-HU"/>
              </w:rPr>
              <w:t>Κύπρος</w:t>
            </w:r>
          </w:p>
          <w:p w14:paraId="6B18AD62" w14:textId="77777777" w:rsidR="00887453" w:rsidRDefault="00887453" w:rsidP="00887453">
            <w:pPr>
              <w:tabs>
                <w:tab w:val="left" w:pos="-720"/>
              </w:tabs>
              <w:suppressAutoHyphens/>
              <w:rPr>
                <w:rFonts w:ascii="Times New Roman" w:eastAsia="맑은 고딕" w:hAnsi="Times New Roman" w:cs="Times New Roman"/>
                <w:noProof/>
                <w:lang w:val="hu-HU" w:eastAsia="ko-KR"/>
              </w:rPr>
            </w:pPr>
            <w:r>
              <w:rPr>
                <w:rFonts w:ascii="Times New Roman" w:eastAsia="맑은 고딕" w:hAnsi="Times New Roman" w:cs="Times New Roman"/>
                <w:noProof/>
                <w:lang w:val="hu-HU" w:eastAsia="fr-FR"/>
              </w:rPr>
              <w:t>C. A. Papaellinas Ltd</w:t>
            </w:r>
          </w:p>
          <w:p w14:paraId="2CC0873B" w14:textId="77777777" w:rsidR="00887453" w:rsidRDefault="00887453" w:rsidP="00887453">
            <w:pPr>
              <w:autoSpaceDE w:val="0"/>
              <w:autoSpaceDN w:val="0"/>
              <w:adjustRightInd w:val="0"/>
              <w:rPr>
                <w:rFonts w:ascii="Times New Roman" w:eastAsia="맑은 고딕" w:hAnsi="Times New Roman" w:cs="Times New Roman"/>
                <w:b/>
                <w:bCs/>
                <w:lang w:val="hu-HU" w:eastAsia="fr-FR"/>
              </w:rPr>
            </w:pPr>
            <w:r>
              <w:rPr>
                <w:rFonts w:ascii="Times New Roman" w:hAnsi="Times New Roman" w:cs="Times New Roman"/>
                <w:noProof/>
                <w:lang w:val="hu-HU"/>
              </w:rPr>
              <w:t xml:space="preserve">Τηλ: </w:t>
            </w:r>
            <w:r>
              <w:rPr>
                <w:rFonts w:ascii="Times New Roman" w:eastAsia="맑은 고딕" w:hAnsi="Times New Roman" w:cs="Times New Roman"/>
                <w:noProof/>
                <w:lang w:val="hu-HU" w:eastAsia="fr-FR"/>
              </w:rPr>
              <w:t>+357 22741741</w:t>
            </w:r>
          </w:p>
          <w:p w14:paraId="7110BB5F" w14:textId="77777777" w:rsidR="00887453" w:rsidRDefault="00887453" w:rsidP="00887453">
            <w:pPr>
              <w:autoSpaceDE w:val="0"/>
              <w:autoSpaceDN w:val="0"/>
              <w:adjustRightInd w:val="0"/>
              <w:rPr>
                <w:rFonts w:ascii="Times New Roman" w:eastAsia="맑은 고딕" w:hAnsi="Times New Roman" w:cs="Times New Roman"/>
                <w:b/>
                <w:noProof/>
                <w:lang w:val="hu-HU" w:eastAsia="fr-FR"/>
              </w:rPr>
            </w:pPr>
          </w:p>
        </w:tc>
        <w:tc>
          <w:tcPr>
            <w:tcW w:w="2500" w:type="pct"/>
          </w:tcPr>
          <w:p w14:paraId="39DD8BF2" w14:textId="77777777" w:rsidR="00887453" w:rsidRPr="00D86615" w:rsidRDefault="00887453" w:rsidP="00887453">
            <w:pPr>
              <w:tabs>
                <w:tab w:val="left" w:pos="-720"/>
              </w:tabs>
              <w:suppressAutoHyphens/>
              <w:rPr>
                <w:rFonts w:ascii="Times New Roman" w:hAnsi="Times New Roman" w:cs="Times New Roman"/>
                <w:b/>
                <w:noProof/>
                <w:lang w:eastAsia="fr-FR"/>
              </w:rPr>
            </w:pPr>
            <w:r w:rsidRPr="00D86615">
              <w:rPr>
                <w:rFonts w:ascii="Times New Roman" w:hAnsi="Times New Roman" w:cs="Times New Roman"/>
                <w:b/>
                <w:noProof/>
              </w:rPr>
              <w:t>Sverige</w:t>
            </w:r>
          </w:p>
          <w:p w14:paraId="78289D92" w14:textId="66F9B36D" w:rsidR="00887453" w:rsidRPr="000D7F4B" w:rsidRDefault="00887453" w:rsidP="00887453">
            <w:pPr>
              <w:tabs>
                <w:tab w:val="left" w:pos="-720"/>
              </w:tabs>
              <w:suppressAutoHyphens/>
              <w:rPr>
                <w:rFonts w:ascii="Times New Roman" w:eastAsia="맑은 고딕" w:hAnsi="Times New Roman" w:cs="Times New Roman"/>
                <w:noProof/>
                <w:lang w:eastAsia="ko-KR"/>
              </w:rPr>
            </w:pPr>
            <w:r w:rsidRPr="000D7F4B">
              <w:rPr>
                <w:rFonts w:ascii="Times New Roman" w:eastAsia="맑은 고딕" w:hAnsi="Times New Roman" w:cs="Times New Roman"/>
                <w:noProof/>
                <w:lang w:eastAsia="ko-KR"/>
              </w:rPr>
              <w:t>Celltrion Sweden AB</w:t>
            </w:r>
          </w:p>
          <w:p w14:paraId="4931D424" w14:textId="77777777" w:rsidR="00887453" w:rsidRPr="000D7F4B" w:rsidRDefault="00887453" w:rsidP="00887453">
            <w:pPr>
              <w:tabs>
                <w:tab w:val="left" w:pos="-720"/>
              </w:tabs>
              <w:suppressAutoHyphens/>
              <w:rPr>
                <w:rFonts w:ascii="Times New Roman" w:eastAsia="맑은 고딕" w:hAnsi="Times New Roman" w:cs="Times New Roman"/>
                <w:bCs/>
                <w:noProof/>
                <w:u w:val="single"/>
                <w:lang w:eastAsia="ko-KR"/>
              </w:rPr>
            </w:pPr>
            <w:hyperlink r:id="rId101" w:history="1">
              <w:r w:rsidRPr="000D7F4B">
                <w:rPr>
                  <w:rStyle w:val="ad"/>
                  <w:rFonts w:ascii="Times New Roman" w:eastAsia="맑은 고딕" w:hAnsi="Times New Roman" w:cs="Times New Roman"/>
                  <w:noProof/>
                  <w:lang w:eastAsia="ko-KR"/>
                </w:rPr>
                <w:t>contact_se@celltrionhc.com</w:t>
              </w:r>
            </w:hyperlink>
          </w:p>
          <w:p w14:paraId="6CBB9646" w14:textId="670159C3" w:rsidR="00887453" w:rsidRPr="00887453" w:rsidRDefault="00887453" w:rsidP="00887453">
            <w:pPr>
              <w:tabs>
                <w:tab w:val="left" w:pos="-720"/>
              </w:tabs>
              <w:suppressAutoHyphens/>
              <w:rPr>
                <w:rFonts w:ascii="Times New Roman" w:eastAsia="맑은 고딕" w:hAnsi="Times New Roman" w:cs="Times New Roman"/>
                <w:b/>
                <w:noProof/>
                <w:lang w:eastAsia="fr-FR"/>
              </w:rPr>
            </w:pPr>
          </w:p>
        </w:tc>
      </w:tr>
      <w:tr w:rsidR="00887453" w14:paraId="5CAB501E" w14:textId="77777777" w:rsidTr="007E7849">
        <w:tc>
          <w:tcPr>
            <w:tcW w:w="2500" w:type="pct"/>
          </w:tcPr>
          <w:p w14:paraId="337F276A" w14:textId="77777777" w:rsidR="00887453" w:rsidRDefault="00887453" w:rsidP="00887453">
            <w:pPr>
              <w:rPr>
                <w:rFonts w:ascii="Times New Roman" w:eastAsia="맑은 고딕" w:hAnsi="Times New Roman" w:cs="Times New Roman"/>
                <w:b/>
                <w:noProof/>
                <w:lang w:val="hu-HU" w:eastAsia="fr-FR"/>
              </w:rPr>
            </w:pPr>
            <w:r>
              <w:rPr>
                <w:rFonts w:ascii="Times New Roman" w:eastAsia="맑은 고딕" w:hAnsi="Times New Roman" w:cs="Times New Roman"/>
                <w:b/>
                <w:noProof/>
                <w:lang w:val="hu-HU" w:eastAsia="fr-FR"/>
              </w:rPr>
              <w:t>Latvija</w:t>
            </w:r>
          </w:p>
          <w:p w14:paraId="3017D7EA" w14:textId="77777777" w:rsidR="00887453" w:rsidRDefault="00887453" w:rsidP="00887453">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1DC2EDA6" w14:textId="77777777" w:rsidR="00887453" w:rsidRPr="00120A76" w:rsidRDefault="00887453" w:rsidP="00887453">
            <w:pPr>
              <w:autoSpaceDE w:val="0"/>
              <w:autoSpaceDN w:val="0"/>
              <w:adjustRightInd w:val="0"/>
              <w:rPr>
                <w:rFonts w:ascii="Times New Roman" w:eastAsia="맑은 고딕" w:hAnsi="Times New Roman" w:cs="Times New Roman"/>
                <w:b/>
                <w:bCs/>
                <w:lang w:val="hu-HU" w:eastAsia="fr-FR"/>
              </w:rPr>
            </w:pPr>
            <w:r w:rsidRPr="00607BBF">
              <w:rPr>
                <w:rFonts w:ascii="Times New Roman" w:eastAsia="맑은 고딕" w:hAnsi="Times New Roman" w:cs="Times New Roman"/>
                <w:noProof/>
                <w:lang w:eastAsia="fr-FR"/>
              </w:rPr>
              <w:t xml:space="preserve">Tālr.: </w:t>
            </w:r>
            <w:r>
              <w:rPr>
                <w:rFonts w:ascii="Times New Roman" w:eastAsia="맑은 고딕" w:hAnsi="Times New Roman" w:cs="Times New Roman"/>
                <w:noProof/>
                <w:lang w:eastAsia="fr-FR"/>
              </w:rPr>
              <w:t>+36 1 231 0493</w:t>
            </w:r>
          </w:p>
        </w:tc>
        <w:tc>
          <w:tcPr>
            <w:tcW w:w="2500" w:type="pct"/>
          </w:tcPr>
          <w:p w14:paraId="0696A7AD" w14:textId="77777777" w:rsidR="00887453" w:rsidRDefault="00887453" w:rsidP="00887453">
            <w:pPr>
              <w:tabs>
                <w:tab w:val="left" w:pos="-720"/>
              </w:tabs>
              <w:suppressAutoHyphens/>
              <w:rPr>
                <w:rFonts w:ascii="Times New Roman" w:eastAsia="맑은 고딕" w:hAnsi="Times New Roman" w:cs="Times New Roman"/>
                <w:b/>
                <w:noProof/>
                <w:lang w:val="hu-HU" w:eastAsia="fr-FR"/>
              </w:rPr>
            </w:pPr>
          </w:p>
        </w:tc>
      </w:tr>
    </w:tbl>
    <w:p w14:paraId="332D788C" w14:textId="77777777" w:rsidR="0037407E" w:rsidRDefault="0037407E" w:rsidP="0037407E">
      <w:pPr>
        <w:numPr>
          <w:ilvl w:val="12"/>
          <w:numId w:val="0"/>
        </w:numPr>
        <w:rPr>
          <w:rFonts w:ascii="Times New Roman" w:hAnsi="Times New Roman" w:cs="Times New Roman"/>
          <w:b/>
          <w:noProof/>
          <w:lang w:val="hu-HU"/>
        </w:rPr>
      </w:pPr>
    </w:p>
    <w:p w14:paraId="44DB9933" w14:textId="77777777" w:rsidR="0037407E" w:rsidRDefault="0037407E" w:rsidP="0037407E">
      <w:pPr>
        <w:numPr>
          <w:ilvl w:val="12"/>
          <w:numId w:val="0"/>
        </w:numPr>
        <w:rPr>
          <w:rFonts w:ascii="Times New Roman" w:eastAsia="맑은 고딕" w:hAnsi="Times New Roman" w:cs="Times New Roman"/>
          <w:noProof/>
          <w:lang w:val="hu-HU" w:eastAsia="ko-KR"/>
        </w:rPr>
      </w:pPr>
      <w:r>
        <w:rPr>
          <w:rFonts w:ascii="Times New Roman" w:eastAsia="Times New Roman" w:hAnsi="Times New Roman" w:cs="Times New Roman"/>
          <w:b/>
          <w:bCs/>
          <w:noProof/>
          <w:lang w:val="hu-HU"/>
        </w:rPr>
        <w:t>A betegtájékoztató legutóbbi felülvizsgálatának dátuma:</w:t>
      </w:r>
    </w:p>
    <w:p w14:paraId="37910A13" w14:textId="77777777" w:rsidR="0037407E" w:rsidRDefault="0037407E" w:rsidP="0037407E">
      <w:pPr>
        <w:numPr>
          <w:ilvl w:val="12"/>
          <w:numId w:val="0"/>
        </w:numPr>
        <w:rPr>
          <w:rFonts w:ascii="Times New Roman" w:hAnsi="Times New Roman" w:cs="Times New Roman"/>
          <w:noProof/>
          <w:lang w:val="hu-HU"/>
        </w:rPr>
      </w:pPr>
    </w:p>
    <w:p w14:paraId="523C5EDB" w14:textId="77777777" w:rsidR="0037407E" w:rsidRDefault="0037407E" w:rsidP="0037407E">
      <w:pPr>
        <w:numPr>
          <w:ilvl w:val="12"/>
          <w:numId w:val="0"/>
        </w:numPr>
        <w:rPr>
          <w:rFonts w:ascii="Times New Roman" w:hAnsi="Times New Roman" w:cs="Times New Roman"/>
          <w:b/>
          <w:noProof/>
          <w:lang w:val="hu-HU"/>
        </w:rPr>
      </w:pPr>
      <w:r>
        <w:rPr>
          <w:rFonts w:ascii="Times New Roman" w:eastAsia="Times New Roman" w:hAnsi="Times New Roman" w:cs="Times New Roman"/>
          <w:b/>
          <w:bCs/>
          <w:noProof/>
          <w:lang w:val="hu-HU"/>
        </w:rPr>
        <w:t>Egyéb információforrások</w:t>
      </w:r>
    </w:p>
    <w:p w14:paraId="710FDD3C" w14:textId="77777777" w:rsidR="0037407E" w:rsidRDefault="0037407E" w:rsidP="0037407E">
      <w:pPr>
        <w:pStyle w:val="a3"/>
        <w:rPr>
          <w:lang w:val="hu-HU"/>
        </w:rPr>
      </w:pPr>
    </w:p>
    <w:p w14:paraId="08A7334C" w14:textId="77777777" w:rsidR="0037407E" w:rsidRDefault="0037407E" w:rsidP="0037407E">
      <w:pPr>
        <w:numPr>
          <w:ilvl w:val="12"/>
          <w:numId w:val="0"/>
        </w:numPr>
        <w:rPr>
          <w:rFonts w:ascii="Times New Roman" w:eastAsia="맑은 고딕" w:hAnsi="Times New Roman" w:cs="Times New Roman"/>
          <w:noProof/>
          <w:color w:val="0000FF"/>
          <w:lang w:val="hu-HU" w:eastAsia="ko-KR"/>
        </w:rPr>
      </w:pPr>
      <w:r>
        <w:rPr>
          <w:rFonts w:ascii="Times New Roman" w:eastAsia="Times New Roman" w:hAnsi="Times New Roman" w:cs="Times New Roman"/>
          <w:lang w:val="hu-HU"/>
        </w:rPr>
        <w:t>A gyógyszerről részletes információ az Európai Gyógyszerügynökség internetes honlapján (</w:t>
      </w:r>
      <w:r>
        <w:fldChar w:fldCharType="begin"/>
      </w:r>
      <w:r w:rsidRPr="00BE4D18">
        <w:rPr>
          <w:lang w:val="hu-HU"/>
        </w:rPr>
        <w:instrText>HYPERLINK "http://www.ema.europa.eu"</w:instrText>
      </w:r>
      <w:r>
        <w:fldChar w:fldCharType="separate"/>
      </w:r>
      <w:r w:rsidRPr="000405CC">
        <w:rPr>
          <w:rStyle w:val="ad"/>
          <w:rFonts w:ascii="Times New Roman" w:eastAsia="Times New Roman" w:hAnsi="Times New Roman" w:cs="Times New Roman"/>
          <w:lang w:val="hu-HU"/>
        </w:rPr>
        <w:t>http://www.ema.europa.eu</w:t>
      </w:r>
      <w:r>
        <w:fldChar w:fldCharType="end"/>
      </w:r>
      <w:r>
        <w:rPr>
          <w:rFonts w:ascii="Times New Roman" w:eastAsia="Times New Roman" w:hAnsi="Times New Roman" w:cs="Times New Roman"/>
          <w:lang w:val="hu-HU"/>
        </w:rPr>
        <w:t>) található.</w:t>
      </w:r>
    </w:p>
    <w:p w14:paraId="11679EB0" w14:textId="77777777" w:rsidR="0037407E" w:rsidRDefault="0037407E" w:rsidP="0037407E">
      <w:pPr>
        <w:spacing w:before="4" w:line="100" w:lineRule="exact"/>
        <w:rPr>
          <w:sz w:val="10"/>
          <w:szCs w:val="10"/>
          <w:lang w:val="hu-HU"/>
        </w:rPr>
      </w:pPr>
    </w:p>
    <w:p w14:paraId="4F3F82A1" w14:textId="77777777" w:rsidR="0037407E" w:rsidRDefault="0037407E" w:rsidP="0037407E">
      <w:pPr>
        <w:spacing w:line="200" w:lineRule="exact"/>
        <w:rPr>
          <w:b/>
          <w:sz w:val="20"/>
          <w:szCs w:val="20"/>
          <w:lang w:val="hu-HU"/>
        </w:rPr>
      </w:pPr>
    </w:p>
    <w:p w14:paraId="52833946" w14:textId="77777777" w:rsidR="0037407E" w:rsidRDefault="0037407E" w:rsidP="0037407E">
      <w:pPr>
        <w:spacing w:line="200" w:lineRule="exact"/>
        <w:rPr>
          <w:b/>
          <w:sz w:val="20"/>
          <w:szCs w:val="20"/>
          <w:lang w:val="hu-HU"/>
        </w:rPr>
      </w:pPr>
    </w:p>
    <w:p w14:paraId="0F3903A8" w14:textId="77777777" w:rsidR="0037407E" w:rsidRPr="003619B6" w:rsidRDefault="0037407E" w:rsidP="00FD05AA">
      <w:pPr>
        <w:pStyle w:val="a4"/>
        <w:numPr>
          <w:ilvl w:val="0"/>
          <w:numId w:val="62"/>
        </w:numPr>
        <w:spacing w:before="18" w:line="240" w:lineRule="exact"/>
        <w:rPr>
          <w:rFonts w:ascii="Times New Roman" w:eastAsia="Times New Roman" w:hAnsi="Times New Roman" w:cs="Times New Roman"/>
          <w:b/>
          <w:lang w:val="hu-HU"/>
        </w:rPr>
      </w:pPr>
      <w:r w:rsidRPr="003619B6">
        <w:rPr>
          <w:rFonts w:ascii="Times New Roman" w:eastAsia="Times New Roman" w:hAnsi="Times New Roman" w:cs="Times New Roman"/>
          <w:b/>
          <w:bCs/>
          <w:spacing w:val="-1"/>
          <w:lang w:val="hu-HU"/>
        </w:rPr>
        <w:t>Használati utasítás</w:t>
      </w:r>
    </w:p>
    <w:p w14:paraId="194DF39D" w14:textId="77777777" w:rsidR="0037407E" w:rsidRDefault="0037407E" w:rsidP="0037407E">
      <w:pPr>
        <w:spacing w:before="9" w:line="260" w:lineRule="exact"/>
        <w:rPr>
          <w:b/>
          <w:sz w:val="26"/>
          <w:szCs w:val="26"/>
          <w:lang w:val="hu-HU"/>
        </w:rPr>
      </w:pPr>
    </w:p>
    <w:p w14:paraId="5E878E9F" w14:textId="77777777" w:rsidR="0037407E" w:rsidRDefault="0037407E" w:rsidP="0037407E">
      <w:pPr>
        <w:pStyle w:val="a3"/>
        <w:numPr>
          <w:ilvl w:val="1"/>
          <w:numId w:val="4"/>
        </w:numPr>
        <w:ind w:left="660" w:hanging="660"/>
        <w:rPr>
          <w:lang w:val="hu-HU"/>
        </w:rPr>
      </w:pPr>
      <w:r>
        <w:rPr>
          <w:rFonts w:eastAsia="Times New Roman"/>
          <w:lang w:val="hu-HU"/>
        </w:rPr>
        <w:t>A következő útmutató elmagyarázza, hogyan kell beadnia magának Yuflyma-t szubkután injekcióbanaz előretöltött fecskendő használatával.. Kérjük, figyelmesen olvassa el az útmutatót, és kövesse lépésről-lépésre.</w:t>
      </w:r>
    </w:p>
    <w:p w14:paraId="117759A2" w14:textId="77777777" w:rsidR="0037407E" w:rsidRDefault="0037407E" w:rsidP="0037407E">
      <w:pPr>
        <w:pStyle w:val="a3"/>
        <w:rPr>
          <w:lang w:val="hu-HU"/>
        </w:rPr>
      </w:pPr>
    </w:p>
    <w:p w14:paraId="2AB65699" w14:textId="77777777" w:rsidR="0037407E" w:rsidRDefault="0037407E" w:rsidP="0037407E">
      <w:pPr>
        <w:pStyle w:val="a3"/>
        <w:numPr>
          <w:ilvl w:val="1"/>
          <w:numId w:val="4"/>
        </w:numPr>
        <w:ind w:left="660" w:hanging="660"/>
        <w:rPr>
          <w:lang w:val="hu-HU"/>
        </w:rPr>
      </w:pPr>
      <w:r>
        <w:rPr>
          <w:rFonts w:eastAsia="Times New Roman"/>
          <w:lang w:val="hu-HU"/>
        </w:rPr>
        <w:t>Az öninjekciózás technikáját meg fogja Önnek tanítani kezelőorvosa, a gondozását végző egészségügyi szakember vagy a gyógyszerész.</w:t>
      </w:r>
    </w:p>
    <w:p w14:paraId="3024EEA5" w14:textId="77777777" w:rsidR="0037407E" w:rsidRDefault="0037407E" w:rsidP="0037407E">
      <w:pPr>
        <w:pStyle w:val="a3"/>
        <w:rPr>
          <w:lang w:val="hu-HU"/>
        </w:rPr>
      </w:pPr>
    </w:p>
    <w:p w14:paraId="13E3F939" w14:textId="77777777" w:rsidR="0037407E" w:rsidRDefault="0037407E" w:rsidP="0037407E">
      <w:pPr>
        <w:pStyle w:val="a3"/>
        <w:numPr>
          <w:ilvl w:val="1"/>
          <w:numId w:val="4"/>
        </w:numPr>
        <w:ind w:left="660" w:hanging="660"/>
        <w:rPr>
          <w:lang w:val="hu-HU"/>
        </w:rPr>
      </w:pPr>
      <w:r>
        <w:rPr>
          <w:rFonts w:eastAsia="Times New Roman"/>
          <w:b/>
          <w:bCs/>
          <w:lang w:val="hu-HU"/>
        </w:rPr>
        <w:t>Ne</w:t>
      </w:r>
      <w:r>
        <w:rPr>
          <w:rFonts w:eastAsia="Times New Roman"/>
          <w:lang w:val="hu-HU"/>
        </w:rPr>
        <w:t xml:space="preserve"> próbálja meg beadni magának az injekciót, amíg nem biztos abban, hogy megértette, hogyan kell előkészíteni és beadni az injekciót.</w:t>
      </w:r>
    </w:p>
    <w:p w14:paraId="2BDCCBE9" w14:textId="77777777" w:rsidR="0037407E" w:rsidRDefault="0037407E" w:rsidP="0037407E">
      <w:pPr>
        <w:pStyle w:val="a3"/>
        <w:rPr>
          <w:lang w:val="hu-HU"/>
        </w:rPr>
      </w:pPr>
    </w:p>
    <w:p w14:paraId="50877911" w14:textId="77777777" w:rsidR="0037407E" w:rsidRDefault="0037407E" w:rsidP="0037407E">
      <w:pPr>
        <w:pStyle w:val="a3"/>
        <w:numPr>
          <w:ilvl w:val="1"/>
          <w:numId w:val="4"/>
        </w:numPr>
        <w:ind w:left="660" w:hanging="660"/>
        <w:rPr>
          <w:lang w:val="hu-HU"/>
        </w:rPr>
      </w:pPr>
      <w:r>
        <w:rPr>
          <w:rFonts w:eastAsia="Times New Roman"/>
          <w:lang w:val="hu-HU"/>
        </w:rPr>
        <w:t>A megfelelő betanítás után az injekciót beadhatja saját magának vagy beadhatja Önnek valaki más, például egy családtag vagy barát.</w:t>
      </w:r>
    </w:p>
    <w:p w14:paraId="783C6FB1" w14:textId="77777777" w:rsidR="0037407E" w:rsidRDefault="0037407E" w:rsidP="0037407E">
      <w:pPr>
        <w:pStyle w:val="a3"/>
        <w:rPr>
          <w:lang w:val="hu-HU"/>
        </w:rPr>
      </w:pPr>
    </w:p>
    <w:p w14:paraId="4195D66E" w14:textId="77777777" w:rsidR="0037407E" w:rsidRDefault="0037407E" w:rsidP="0037407E">
      <w:pPr>
        <w:pStyle w:val="a3"/>
        <w:numPr>
          <w:ilvl w:val="1"/>
          <w:numId w:val="4"/>
        </w:numPr>
        <w:ind w:left="660" w:hanging="660"/>
        <w:rPr>
          <w:lang w:val="hu-HU"/>
        </w:rPr>
      </w:pPr>
      <w:r>
        <w:rPr>
          <w:rFonts w:eastAsia="Times New Roman"/>
          <w:lang w:val="hu-HU"/>
        </w:rPr>
        <w:t>Mindegyik előretöltött fecskendőt csak egy injekcióhoz szabad használni</w:t>
      </w:r>
    </w:p>
    <w:p w14:paraId="2C5020FD" w14:textId="77777777" w:rsidR="0037407E" w:rsidRDefault="0037407E" w:rsidP="0037407E">
      <w:pPr>
        <w:rPr>
          <w:rFonts w:ascii="Times New Roman" w:hAnsi="Times New Roman" w:cs="Times New Roman"/>
          <w:lang w:val="hu-HU"/>
        </w:rPr>
      </w:pPr>
    </w:p>
    <w:p w14:paraId="190E5A63" w14:textId="77777777" w:rsidR="0037407E" w:rsidRDefault="0037407E" w:rsidP="0037407E">
      <w:pPr>
        <w:pStyle w:val="a3"/>
        <w:numPr>
          <w:ilvl w:val="0"/>
          <w:numId w:val="0"/>
        </w:numPr>
        <w:rPr>
          <w:lang w:val="hu-HU"/>
        </w:rPr>
      </w:pPr>
    </w:p>
    <w:p w14:paraId="44A9BF44" w14:textId="77777777" w:rsidR="00AF1AD1" w:rsidRDefault="00AF1AD1">
      <w:pPr>
        <w:rPr>
          <w:rFonts w:ascii="Times New Roman" w:eastAsia="Times New Roman" w:hAnsi="Times New Roman" w:cs="Times New Roman"/>
          <w:b/>
          <w:bCs/>
          <w:lang w:val="hu-HU"/>
        </w:rPr>
      </w:pPr>
      <w:r>
        <w:rPr>
          <w:rFonts w:eastAsia="Times New Roman"/>
          <w:b/>
          <w:bCs/>
          <w:lang w:val="hu-HU"/>
        </w:rPr>
        <w:br w:type="page"/>
      </w:r>
    </w:p>
    <w:p w14:paraId="56AE3E96" w14:textId="4AAF5DAE" w:rsidR="0037407E" w:rsidRPr="001E2F31" w:rsidRDefault="003126D1" w:rsidP="0037407E">
      <w:pPr>
        <w:pStyle w:val="a3"/>
        <w:rPr>
          <w:rFonts w:eastAsia="Times New Roman"/>
          <w:b/>
          <w:lang w:val="hu-HU"/>
        </w:rPr>
      </w:pPr>
      <w:r>
        <w:rPr>
          <w:noProof/>
          <w:sz w:val="24"/>
          <w:szCs w:val="24"/>
          <w:lang w:eastAsia="ko-KR"/>
        </w:rPr>
        <w:lastRenderedPageBreak/>
        <w:drawing>
          <wp:anchor distT="0" distB="0" distL="114300" distR="114300" simplePos="0" relativeHeight="251658322" behindDoc="0" locked="0" layoutInCell="1" allowOverlap="1" wp14:anchorId="034A4D10" wp14:editId="19BD92DD">
            <wp:simplePos x="0" y="0"/>
            <wp:positionH relativeFrom="column">
              <wp:posOffset>1140460</wp:posOffset>
            </wp:positionH>
            <wp:positionV relativeFrom="paragraph">
              <wp:posOffset>248920</wp:posOffset>
            </wp:positionV>
            <wp:extent cx="3352800" cy="3520440"/>
            <wp:effectExtent l="0" t="0" r="0" b="3810"/>
            <wp:wrapTopAndBottom/>
            <wp:docPr id="160" name="그림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그림 160"/>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352800" cy="3520440"/>
                    </a:xfrm>
                    <a:prstGeom prst="rect">
                      <a:avLst/>
                    </a:prstGeom>
                  </pic:spPr>
                </pic:pic>
              </a:graphicData>
            </a:graphic>
            <wp14:sizeRelH relativeFrom="margin">
              <wp14:pctWidth>0</wp14:pctWidth>
            </wp14:sizeRelH>
            <wp14:sizeRelV relativeFrom="margin">
              <wp14:pctHeight>0</wp14:pctHeight>
            </wp14:sizeRelV>
          </wp:anchor>
        </w:drawing>
      </w:r>
      <w:r w:rsidR="0037407E" w:rsidRPr="004B23C8">
        <w:rPr>
          <w:rFonts w:eastAsia="Times New Roman"/>
          <w:b/>
          <w:bCs/>
          <w:lang w:val="hu-HU"/>
        </w:rPr>
        <w:t>Yuflyma</w:t>
      </w:r>
      <w:r w:rsidR="0037407E" w:rsidRPr="001E2F31" w:rsidDel="00265077">
        <w:rPr>
          <w:rFonts w:eastAsia="Times New Roman"/>
          <w:b/>
          <w:lang w:val="hu-HU"/>
        </w:rPr>
        <w:t xml:space="preserve"> </w:t>
      </w:r>
      <w:r w:rsidR="0037407E" w:rsidRPr="001E2F31">
        <w:rPr>
          <w:rFonts w:eastAsia="Times New Roman"/>
          <w:b/>
          <w:lang w:val="hu-HU"/>
        </w:rPr>
        <w:t>előretöltött injekciós fecskendő</w:t>
      </w:r>
    </w:p>
    <w:p w14:paraId="2C600502" w14:textId="63AA9CF6" w:rsidR="0037407E" w:rsidRDefault="0037407E" w:rsidP="0037407E">
      <w:pPr>
        <w:spacing w:before="10" w:line="240" w:lineRule="exact"/>
        <w:ind w:left="5040" w:firstLineChars="450" w:firstLine="901"/>
        <w:rPr>
          <w:rFonts w:ascii="Times New Roman" w:hAnsi="Times New Roman" w:cs="Times New Roman"/>
          <w:b/>
          <w:sz w:val="20"/>
          <w:szCs w:val="24"/>
          <w:lang w:val="hu-HU" w:eastAsia="ko-KR"/>
        </w:rPr>
      </w:pPr>
      <w:r>
        <w:rPr>
          <w:rFonts w:ascii="Times New Roman" w:eastAsia="Times New Roman" w:hAnsi="Times New Roman" w:cs="Times New Roman"/>
          <w:b/>
          <w:bCs/>
          <w:sz w:val="20"/>
          <w:szCs w:val="20"/>
          <w:lang w:val="hu-HU" w:eastAsia="ko-KR"/>
        </w:rPr>
        <w:t>A. ábra</w:t>
      </w:r>
    </w:p>
    <w:p w14:paraId="7AACD565" w14:textId="77777777" w:rsidR="0037407E" w:rsidRDefault="0037407E" w:rsidP="0037407E">
      <w:pPr>
        <w:spacing w:before="10" w:line="240" w:lineRule="exact"/>
        <w:rPr>
          <w:sz w:val="24"/>
          <w:szCs w:val="24"/>
          <w:lang w:val="hu-HU"/>
        </w:rPr>
      </w:pPr>
    </w:p>
    <w:p w14:paraId="53838252" w14:textId="77777777" w:rsidR="0037407E" w:rsidRDefault="0037407E" w:rsidP="0037407E">
      <w:pPr>
        <w:pStyle w:val="a3"/>
        <w:rPr>
          <w:b/>
          <w:lang w:val="hu-HU"/>
        </w:rPr>
      </w:pPr>
      <w:r>
        <w:rPr>
          <w:rFonts w:eastAsia="Times New Roman"/>
          <w:b/>
          <w:bCs/>
          <w:lang w:val="hu-HU"/>
        </w:rPr>
        <w:t>Az előretöltött fecskendőt ne használja újra, ha:</w:t>
      </w:r>
    </w:p>
    <w:p w14:paraId="772B5CBA" w14:textId="6B527938" w:rsidR="0037407E" w:rsidRDefault="0037407E" w:rsidP="0037407E">
      <w:pPr>
        <w:pStyle w:val="a3"/>
        <w:numPr>
          <w:ilvl w:val="1"/>
          <w:numId w:val="3"/>
        </w:numPr>
        <w:ind w:left="660" w:hanging="660"/>
        <w:rPr>
          <w:lang w:val="hu-HU"/>
        </w:rPr>
      </w:pPr>
      <w:r>
        <w:rPr>
          <w:rFonts w:eastAsia="Times New Roman"/>
          <w:lang w:val="hu-HU"/>
        </w:rPr>
        <w:t>megrepedt vagy sérült</w:t>
      </w:r>
      <w:r w:rsidR="004A2083">
        <w:rPr>
          <w:rFonts w:eastAsia="Times New Roman"/>
          <w:lang w:val="hu-HU"/>
        </w:rPr>
        <w:t>.</w:t>
      </w:r>
    </w:p>
    <w:p w14:paraId="55913CB6" w14:textId="77777777" w:rsidR="0037407E" w:rsidRPr="00FB6A69" w:rsidRDefault="0037407E" w:rsidP="0037407E">
      <w:pPr>
        <w:pStyle w:val="a3"/>
        <w:numPr>
          <w:ilvl w:val="1"/>
          <w:numId w:val="3"/>
        </w:numPr>
        <w:ind w:left="660" w:hanging="660"/>
        <w:rPr>
          <w:lang w:val="hu-HU"/>
        </w:rPr>
      </w:pPr>
      <w:r>
        <w:rPr>
          <w:rFonts w:eastAsia="Times New Roman"/>
          <w:lang w:val="hu-HU"/>
        </w:rPr>
        <w:t>a lejárati idő lejárt.</w:t>
      </w:r>
    </w:p>
    <w:p w14:paraId="1E2BBA8B" w14:textId="4EED1BD9" w:rsidR="004A2083" w:rsidRDefault="004A2083" w:rsidP="0037407E">
      <w:pPr>
        <w:pStyle w:val="a3"/>
        <w:numPr>
          <w:ilvl w:val="1"/>
          <w:numId w:val="3"/>
        </w:numPr>
        <w:ind w:left="660" w:hanging="660"/>
        <w:rPr>
          <w:lang w:val="hu-HU"/>
        </w:rPr>
      </w:pPr>
      <w:proofErr w:type="spellStart"/>
      <w:r>
        <w:t>kemény</w:t>
      </w:r>
      <w:proofErr w:type="spellEnd"/>
      <w:r>
        <w:t xml:space="preserve"> </w:t>
      </w:r>
      <w:proofErr w:type="spellStart"/>
      <w:r>
        <w:t>felületre</w:t>
      </w:r>
      <w:proofErr w:type="spellEnd"/>
      <w:r>
        <w:t xml:space="preserve"> </w:t>
      </w:r>
      <w:proofErr w:type="spellStart"/>
      <w:r>
        <w:t>ejtette</w:t>
      </w:r>
      <w:proofErr w:type="spellEnd"/>
      <w:r>
        <w:t>.</w:t>
      </w:r>
    </w:p>
    <w:p w14:paraId="3FD2F6BF" w14:textId="09C7DF32" w:rsidR="0037407E" w:rsidRDefault="0037407E" w:rsidP="0037407E">
      <w:pPr>
        <w:pStyle w:val="Default"/>
        <w:numPr>
          <w:ilvl w:val="2"/>
          <w:numId w:val="20"/>
        </w:numPr>
        <w:ind w:left="360"/>
        <w:rPr>
          <w:color w:val="211D1E"/>
          <w:sz w:val="20"/>
          <w:szCs w:val="20"/>
          <w:lang w:val="hu-HU"/>
        </w:rPr>
      </w:pPr>
    </w:p>
    <w:p w14:paraId="1B50D50E" w14:textId="4FFFC62F" w:rsidR="0037407E" w:rsidRDefault="0037407E" w:rsidP="0037407E">
      <w:pPr>
        <w:pStyle w:val="a3"/>
        <w:rPr>
          <w:b/>
          <w:lang w:val="hu-HU"/>
        </w:rPr>
      </w:pPr>
      <w:r>
        <w:rPr>
          <w:rFonts w:eastAsia="Times New Roman"/>
          <w:b/>
          <w:bCs/>
          <w:lang w:val="hu-HU"/>
        </w:rPr>
        <w:t>A tűvédő tokot ne távolítsa el, csak közvetlenül az injekció beadása előtt. A Yuflyma gyermekektől elzárva tartandó.</w:t>
      </w:r>
    </w:p>
    <w:p w14:paraId="070A417F" w14:textId="089D08A7" w:rsidR="0037407E" w:rsidRDefault="0037407E" w:rsidP="0037407E">
      <w:pPr>
        <w:rPr>
          <w:rFonts w:ascii="Times New Roman" w:hAnsi="Times New Roman" w:cs="Times New Roman"/>
          <w:lang w:val="hu-HU"/>
        </w:rPr>
      </w:pPr>
    </w:p>
    <w:tbl>
      <w:tblPr>
        <w:tblStyle w:val="ac"/>
        <w:tblpPr w:leftFromText="142" w:rightFromText="142" w:vertAnchor="text" w:horzAnchor="margin" w:tblpY="67"/>
        <w:tblW w:w="9634" w:type="dxa"/>
        <w:tblLook w:val="04A0" w:firstRow="1" w:lastRow="0" w:firstColumn="1" w:lastColumn="0" w:noHBand="0" w:noVBand="1"/>
      </w:tblPr>
      <w:tblGrid>
        <w:gridCol w:w="9634"/>
      </w:tblGrid>
      <w:tr w:rsidR="0037407E" w:rsidRPr="00BE4D18" w14:paraId="4A793D75" w14:textId="77777777" w:rsidTr="00A172D5">
        <w:trPr>
          <w:trHeight w:val="2684"/>
        </w:trPr>
        <w:tc>
          <w:tcPr>
            <w:tcW w:w="9634" w:type="dxa"/>
          </w:tcPr>
          <w:p w14:paraId="2F7F5C96" w14:textId="77777777" w:rsidR="0037407E" w:rsidRDefault="0037407E" w:rsidP="00A172D5">
            <w:pPr>
              <w:pStyle w:val="a3"/>
              <w:numPr>
                <w:ilvl w:val="0"/>
                <w:numId w:val="0"/>
              </w:numPr>
              <w:ind w:left="580"/>
              <w:rPr>
                <w:lang w:val="hu-HU"/>
              </w:rPr>
            </w:pPr>
          </w:p>
          <w:p w14:paraId="440FA9DA" w14:textId="77777777" w:rsidR="0037407E" w:rsidRPr="001E2F31" w:rsidRDefault="0037407E" w:rsidP="00FD05AA">
            <w:pPr>
              <w:pStyle w:val="a3"/>
              <w:numPr>
                <w:ilvl w:val="0"/>
                <w:numId w:val="63"/>
              </w:numPr>
              <w:rPr>
                <w:b/>
                <w:lang w:val="hu-HU"/>
              </w:rPr>
            </w:pPr>
            <w:r w:rsidRPr="00265077">
              <w:rPr>
                <w:rFonts w:eastAsia="Times New Roman"/>
                <w:b/>
                <w:bCs/>
                <w:lang w:val="hu-HU"/>
              </w:rPr>
              <w:t>Készítse elő az injekció</w:t>
            </w:r>
            <w:r w:rsidRPr="001E2F31">
              <w:rPr>
                <w:rFonts w:eastAsia="Times New Roman"/>
                <w:b/>
                <w:lang w:val="hu-HU"/>
              </w:rPr>
              <w:t xml:space="preserve"> beadásához szükséges eszközöket.</w:t>
            </w:r>
          </w:p>
          <w:p w14:paraId="27F3F55A" w14:textId="77777777" w:rsidR="0037407E" w:rsidRDefault="0037407E" w:rsidP="00A172D5">
            <w:pPr>
              <w:pStyle w:val="a3"/>
              <w:numPr>
                <w:ilvl w:val="0"/>
                <w:numId w:val="0"/>
              </w:numPr>
              <w:ind w:left="580"/>
              <w:rPr>
                <w:lang w:val="hu-HU"/>
              </w:rPr>
            </w:pPr>
          </w:p>
          <w:p w14:paraId="5518396A" w14:textId="77777777" w:rsidR="0037407E" w:rsidRDefault="0037407E" w:rsidP="00A172D5">
            <w:pPr>
              <w:pStyle w:val="a3"/>
              <w:ind w:leftChars="100" w:left="440" w:hangingChars="100" w:hanging="220"/>
              <w:rPr>
                <w:lang w:val="hu-HU" w:eastAsia="ko-KR"/>
              </w:rPr>
            </w:pPr>
            <w:r>
              <w:rPr>
                <w:rFonts w:eastAsia="Times New Roman"/>
                <w:b/>
                <w:bCs/>
                <w:lang w:val="hu-HU" w:eastAsia="ko-KR"/>
              </w:rPr>
              <w:t xml:space="preserve">a. </w:t>
            </w:r>
            <w:r>
              <w:rPr>
                <w:rFonts w:eastAsia="Times New Roman"/>
                <w:lang w:val="hu-HU" w:eastAsia="ko-KR"/>
              </w:rPr>
              <w:t>Készítse elő a szükséges eszközöket egy tiszta, síma felületen, például az asztalon vagy a konyhapulton:</w:t>
            </w:r>
          </w:p>
          <w:p w14:paraId="1D5F686F" w14:textId="77777777" w:rsidR="0037407E" w:rsidRDefault="0037407E" w:rsidP="00A172D5">
            <w:pPr>
              <w:pStyle w:val="a3"/>
              <w:ind w:leftChars="100" w:left="220"/>
              <w:rPr>
                <w:lang w:val="hu-HU" w:eastAsia="ko-KR"/>
              </w:rPr>
            </w:pPr>
            <w:r>
              <w:rPr>
                <w:rFonts w:eastAsia="Times New Roman"/>
                <w:b/>
                <w:bCs/>
                <w:lang w:val="hu-HU" w:eastAsia="ko-KR"/>
              </w:rPr>
              <w:t xml:space="preserve">b. </w:t>
            </w:r>
            <w:r>
              <w:rPr>
                <w:rFonts w:eastAsia="Times New Roman"/>
                <w:lang w:val="hu-HU" w:eastAsia="ko-KR"/>
              </w:rPr>
              <w:t>Vegyen ki 1 előretöltött fecskendőt a hűtőszekrényben tárolt dobozból.</w:t>
            </w:r>
          </w:p>
          <w:p w14:paraId="70362464" w14:textId="77777777" w:rsidR="0037407E" w:rsidRDefault="0037407E" w:rsidP="00A172D5">
            <w:pPr>
              <w:pStyle w:val="a3"/>
              <w:ind w:leftChars="300" w:left="770" w:rightChars="100" w:right="220" w:hangingChars="50" w:hanging="110"/>
              <w:rPr>
                <w:lang w:val="hu-HU" w:eastAsia="ko-KR"/>
              </w:rPr>
            </w:pPr>
            <w:r>
              <w:rPr>
                <w:rFonts w:ascii="맑은 고딕" w:eastAsia="맑은 고딕" w:hAnsi="맑은 고딕"/>
                <w:lang w:val="hu-HU" w:eastAsia="ko-KR"/>
              </w:rPr>
              <w:t xml:space="preserve">• </w:t>
            </w:r>
            <w:r>
              <w:rPr>
                <w:rFonts w:eastAsia="Times New Roman"/>
                <w:lang w:val="hu-HU" w:eastAsia="ko-KR"/>
              </w:rPr>
              <w:t>Az előretöltött fecskendő</w:t>
            </w:r>
            <w:r>
              <w:rPr>
                <w:rFonts w:ascii="맑은 고딕" w:eastAsia="맑은 고딕" w:hAnsi="맑은 고딕"/>
                <w:lang w:val="hu-HU" w:eastAsia="ko-KR"/>
              </w:rPr>
              <w:t xml:space="preserve"> </w:t>
            </w:r>
            <w:r>
              <w:rPr>
                <w:rFonts w:eastAsia="Times New Roman"/>
                <w:lang w:val="hu-HU" w:eastAsia="ko-KR"/>
              </w:rPr>
              <w:t>testét fogja meg, ami</w:t>
            </w:r>
            <w:r w:rsidRPr="00265077">
              <w:rPr>
                <w:rFonts w:eastAsia="Times New Roman"/>
                <w:lang w:val="hu-HU" w:eastAsia="ko-KR"/>
              </w:rPr>
              <w:t xml:space="preserve">kor </w:t>
            </w:r>
            <w:r w:rsidRPr="001E2F31">
              <w:rPr>
                <w:rFonts w:eastAsia="Times New Roman"/>
                <w:bCs/>
                <w:lang w:val="hu-HU" w:eastAsia="ko-KR"/>
              </w:rPr>
              <w:t>kiveszi a dobozból</w:t>
            </w:r>
            <w:r>
              <w:rPr>
                <w:rFonts w:eastAsia="Times New Roman"/>
                <w:b/>
                <w:bCs/>
                <w:lang w:val="hu-HU" w:eastAsia="ko-KR"/>
              </w:rPr>
              <w:t xml:space="preserve">. Ne </w:t>
            </w:r>
            <w:r>
              <w:rPr>
                <w:rFonts w:eastAsia="Times New Roman"/>
                <w:lang w:val="hu-HU" w:eastAsia="ko-KR"/>
              </w:rPr>
              <w:t>érintse meg a dugattyút.</w:t>
            </w:r>
          </w:p>
          <w:p w14:paraId="681F07C3" w14:textId="77777777" w:rsidR="0037407E" w:rsidRDefault="0037407E" w:rsidP="00A172D5">
            <w:pPr>
              <w:pStyle w:val="a3"/>
              <w:ind w:leftChars="100" w:left="220"/>
              <w:rPr>
                <w:lang w:val="hu-HU" w:eastAsia="ko-KR"/>
              </w:rPr>
            </w:pPr>
            <w:r>
              <w:rPr>
                <w:rFonts w:eastAsia="Times New Roman"/>
                <w:b/>
                <w:bCs/>
                <w:lang w:val="hu-HU" w:eastAsia="ko-KR"/>
              </w:rPr>
              <w:t xml:space="preserve">c. </w:t>
            </w:r>
            <w:r w:rsidRPr="001E2F31">
              <w:rPr>
                <w:rFonts w:eastAsia="Times New Roman"/>
                <w:bCs/>
                <w:lang w:val="hu-HU" w:eastAsia="ko-KR"/>
              </w:rPr>
              <w:t>B</w:t>
            </w:r>
            <w:r w:rsidRPr="00265077">
              <w:rPr>
                <w:rFonts w:eastAsia="Times New Roman"/>
                <w:lang w:val="hu-HU" w:eastAsia="ko-KR"/>
              </w:rPr>
              <w:t>iz</w:t>
            </w:r>
            <w:r>
              <w:rPr>
                <w:rFonts w:eastAsia="Times New Roman"/>
                <w:lang w:val="hu-HU" w:eastAsia="ko-KR"/>
              </w:rPr>
              <w:t>onyosodjon meg róla, hogy Önnél vannak a következők:</w:t>
            </w:r>
          </w:p>
          <w:p w14:paraId="0979B25D" w14:textId="77777777" w:rsidR="0037407E" w:rsidRDefault="0037407E" w:rsidP="00A172D5">
            <w:pPr>
              <w:pStyle w:val="a3"/>
              <w:ind w:left="720"/>
              <w:rPr>
                <w:lang w:val="hu-HU" w:eastAsia="ko-KR"/>
              </w:rPr>
            </w:pPr>
            <w:r>
              <w:rPr>
                <w:rFonts w:eastAsia="Times New Roman"/>
                <w:lang w:val="hu-HU" w:eastAsia="ko-KR"/>
              </w:rPr>
              <w:t>- Előretöltött fecskendő</w:t>
            </w:r>
          </w:p>
          <w:p w14:paraId="1CBC4A31" w14:textId="77777777" w:rsidR="0037407E" w:rsidRDefault="0037407E" w:rsidP="00A172D5">
            <w:pPr>
              <w:pStyle w:val="a3"/>
              <w:spacing w:after="120"/>
              <w:ind w:left="720"/>
              <w:rPr>
                <w:lang w:val="hu-HU" w:eastAsia="ko-KR"/>
              </w:rPr>
            </w:pPr>
            <w:r>
              <w:rPr>
                <w:rFonts w:eastAsia="Times New Roman"/>
                <w:lang w:val="hu-HU" w:eastAsia="ko-KR"/>
              </w:rPr>
              <w:t>- Alkoholos törlő</w:t>
            </w:r>
          </w:p>
          <w:p w14:paraId="7E76FA50" w14:textId="77777777" w:rsidR="0037407E" w:rsidRDefault="0037407E" w:rsidP="00A172D5">
            <w:pPr>
              <w:pStyle w:val="a3"/>
              <w:ind w:left="720"/>
              <w:rPr>
                <w:b/>
                <w:lang w:val="hu-HU" w:eastAsia="ko-KR"/>
              </w:rPr>
            </w:pPr>
            <w:r>
              <w:rPr>
                <w:rFonts w:eastAsia="Times New Roman"/>
                <w:b/>
                <w:bCs/>
                <w:lang w:val="hu-HU" w:eastAsia="ko-KR"/>
              </w:rPr>
              <w:t>A doboz nem tartalmazza:</w:t>
            </w:r>
          </w:p>
          <w:p w14:paraId="356DB7F7" w14:textId="77777777" w:rsidR="0037407E" w:rsidRDefault="0037407E" w:rsidP="00A172D5">
            <w:pPr>
              <w:pStyle w:val="a3"/>
              <w:ind w:left="720"/>
              <w:rPr>
                <w:lang w:val="hu-HU" w:eastAsia="ko-KR"/>
              </w:rPr>
            </w:pPr>
            <w:r>
              <w:rPr>
                <w:rFonts w:eastAsia="Times New Roman"/>
                <w:lang w:val="hu-HU" w:eastAsia="ko-KR"/>
              </w:rPr>
              <w:t>- Vattacsomó vagy géz</w:t>
            </w:r>
          </w:p>
          <w:p w14:paraId="4D373D98" w14:textId="77777777" w:rsidR="0037407E" w:rsidRDefault="0037407E" w:rsidP="00A172D5">
            <w:pPr>
              <w:pStyle w:val="a3"/>
              <w:ind w:left="720"/>
              <w:rPr>
                <w:lang w:val="hu-HU" w:eastAsia="ko-KR"/>
              </w:rPr>
            </w:pPr>
            <w:r>
              <w:rPr>
                <w:rFonts w:eastAsia="Times New Roman"/>
                <w:lang w:val="hu-HU" w:eastAsia="ko-KR"/>
              </w:rPr>
              <w:t>- Ragtapasz</w:t>
            </w:r>
          </w:p>
          <w:p w14:paraId="5B42D944" w14:textId="77777777" w:rsidR="0037407E" w:rsidRDefault="0037407E" w:rsidP="00A172D5">
            <w:pPr>
              <w:pStyle w:val="a3"/>
              <w:ind w:left="720"/>
              <w:rPr>
                <w:lang w:val="hu-HU" w:eastAsia="ko-KR"/>
              </w:rPr>
            </w:pPr>
            <w:r>
              <w:rPr>
                <w:rFonts w:eastAsia="Times New Roman"/>
                <w:lang w:val="hu-HU" w:eastAsia="ko-KR"/>
              </w:rPr>
              <w:t>- Éles tárgyak tárolására szolgáló tartály</w:t>
            </w:r>
          </w:p>
          <w:p w14:paraId="2E95F8DF" w14:textId="77777777" w:rsidR="0037407E" w:rsidRDefault="0037407E" w:rsidP="00A172D5">
            <w:pPr>
              <w:ind w:left="224" w:right="1248"/>
              <w:rPr>
                <w:rFonts w:ascii="Times New Roman" w:eastAsia="Times New Roman" w:hAnsi="Times New Roman" w:cs="Times New Roman"/>
                <w:b/>
                <w:bCs/>
                <w:spacing w:val="-1"/>
                <w:lang w:val="hu-HU"/>
              </w:rPr>
            </w:pPr>
          </w:p>
        </w:tc>
      </w:tr>
      <w:tr w:rsidR="0037407E" w14:paraId="76F8D772" w14:textId="77777777" w:rsidTr="00A172D5">
        <w:trPr>
          <w:trHeight w:val="3969"/>
        </w:trPr>
        <w:tc>
          <w:tcPr>
            <w:tcW w:w="9634" w:type="dxa"/>
          </w:tcPr>
          <w:p w14:paraId="28377F0E" w14:textId="77777777" w:rsidR="0037407E" w:rsidRDefault="0037407E" w:rsidP="00A172D5">
            <w:pPr>
              <w:ind w:left="224" w:right="1248"/>
              <w:rPr>
                <w:lang w:val="hu-HU" w:eastAsia="ko-KR"/>
              </w:rPr>
            </w:pPr>
            <w:r>
              <w:rPr>
                <w:noProof/>
                <w:lang w:eastAsia="ko-KR"/>
              </w:rPr>
              <w:lastRenderedPageBreak/>
              <mc:AlternateContent>
                <mc:Choice Requires="wpg">
                  <w:drawing>
                    <wp:anchor distT="0" distB="0" distL="114300" distR="114300" simplePos="0" relativeHeight="251658303" behindDoc="0" locked="0" layoutInCell="1" allowOverlap="1" wp14:anchorId="7C32E4AC" wp14:editId="1B83567C">
                      <wp:simplePos x="0" y="0"/>
                      <wp:positionH relativeFrom="column">
                        <wp:posOffset>-17780</wp:posOffset>
                      </wp:positionH>
                      <wp:positionV relativeFrom="paragraph">
                        <wp:posOffset>182880</wp:posOffset>
                      </wp:positionV>
                      <wp:extent cx="2052955" cy="2587625"/>
                      <wp:effectExtent l="19050" t="19050" r="23495" b="3175"/>
                      <wp:wrapSquare wrapText="bothSides"/>
                      <wp:docPr id="16" name="그룹 16"/>
                      <wp:cNvGraphicFramePr/>
                      <a:graphic xmlns:a="http://schemas.openxmlformats.org/drawingml/2006/main">
                        <a:graphicData uri="http://schemas.microsoft.com/office/word/2010/wordprocessingGroup">
                          <wpg:wgp>
                            <wpg:cNvGrpSpPr/>
                            <wpg:grpSpPr>
                              <a:xfrm>
                                <a:off x="0" y="0"/>
                                <a:ext cx="2052955" cy="2587625"/>
                                <a:chOff x="0" y="0"/>
                                <a:chExt cx="1675721" cy="2189596"/>
                              </a:xfrm>
                            </wpg:grpSpPr>
                            <wps:wsp>
                              <wps:cNvPr id="18" name="Text Box 38"/>
                              <wps:cNvSpPr txBox="1"/>
                              <wps:spPr>
                                <a:xfrm>
                                  <a:off x="955963" y="2043546"/>
                                  <a:ext cx="719758" cy="146050"/>
                                </a:xfrm>
                                <a:prstGeom prst="rect">
                                  <a:avLst/>
                                </a:prstGeom>
                                <a:solidFill>
                                  <a:prstClr val="white"/>
                                </a:solidFill>
                                <a:ln>
                                  <a:noFill/>
                                </a:ln>
                              </wps:spPr>
                              <wps:txbx>
                                <w:txbxContent>
                                  <w:p w14:paraId="4A9968D0"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 </w:t>
                                    </w:r>
                                    <w:r>
                                      <w:rPr>
                                        <w:rFonts w:ascii="Times New Roman" w:eastAsia="Times New Roman" w:hAnsi="Times New Roman" w:cs="Times New Roman"/>
                                        <w:lang w:val="hu-HU"/>
                                      </w:rPr>
                                      <w:t xml:space="preserve">B. </w:t>
                                    </w:r>
                                    <w:r>
                                      <w:rPr>
                                        <w:rFonts w:ascii="Times New Roman" w:eastAsia="Times New Roman" w:hAnsi="Times New Roman" w:cs="Times New Roman"/>
                                        <w:lang w:val="hu-HU"/>
                                      </w:rPr>
                                      <w:t>ábra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2" name="그림 5"/>
                                <pic:cNvPicPr>
                                  <a:picLocks noChangeAspect="1"/>
                                </pic:cNvPicPr>
                              </pic:nvPicPr>
                              <pic:blipFill>
                                <a:blip r:embed="rId103" cstate="print">
                                  <a:extLst>
                                    <a:ext uri="{28A0092B-C50C-407E-A947-70E740481C1C}">
                                      <a14:useLocalDpi xmlns:a14="http://schemas.microsoft.com/office/drawing/2010/main" val="0"/>
                                    </a:ext>
                                  </a:extLst>
                                </a:blip>
                                <a:srcRect/>
                                <a:stretch/>
                              </pic:blipFill>
                              <pic:spPr>
                                <a:xfrm>
                                  <a:off x="0" y="0"/>
                                  <a:ext cx="1673860" cy="204470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7C32E4AC" id="그룹 16" o:spid="_x0000_s1130" style="position:absolute;left:0;text-align:left;margin-left:-1.4pt;margin-top:14.4pt;width:161.65pt;height:203.75pt;z-index:251658303;mso-width-relative:margin;mso-height-relative:margin" coordsize="16757,21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">
                      <v:shape id="Text Box 38" o:spid="_x0000_s1131" type="#_x0000_t202" style="position:absolute;left:9559;top:20435;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" stroked="f">
                        <v:textbox inset="0,0,0,0">
                          <w:txbxContent>
                            <w:p w14:paraId="4A9968D0"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 </w:t>
                              </w:r>
                              <w:r>
                                <w:rPr>
                                  <w:rFonts w:ascii="Times New Roman" w:eastAsia="Times New Roman" w:hAnsi="Times New Roman" w:cs="Times New Roman"/>
                                  <w:lang w:val="hu-HU"/>
                                </w:rPr>
                                <w:t xml:space="preserve">B. </w:t>
                              </w:r>
                              <w:r>
                                <w:rPr>
                                  <w:rFonts w:ascii="Times New Roman" w:eastAsia="Times New Roman" w:hAnsi="Times New Roman" w:cs="Times New Roman"/>
                                  <w:lang w:val="hu-HU"/>
                                </w:rPr>
                                <w:t>ábra</w:t>
                              </w:r>
                            </w:p>
                          </w:txbxContent>
                        </v:textbox>
                      </v:shape>
                      <v:shape id="그림 5" o:spid="_x0000_s1132" type="#_x0000_t75" style="position:absolute;width:16738;height:20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" stroked="t" strokecolor="black [3213]">
                        <v:imagedata r:id="rId104" o:title=""/>
                        <v:path arrowok="t"/>
                      </v:shape>
                      <w10:wrap type="square"/>
                    </v:group>
                  </w:pict>
                </mc:Fallback>
              </mc:AlternateContent>
            </w:r>
            <w:r>
              <w:rPr>
                <w:rFonts w:hint="eastAsia"/>
                <w:lang w:val="hu-HU" w:eastAsia="ko-KR"/>
              </w:rPr>
              <w:t xml:space="preserve"> </w:t>
            </w:r>
          </w:p>
          <w:p w14:paraId="741215D9" w14:textId="77777777" w:rsidR="0037407E" w:rsidRDefault="0037407E" w:rsidP="00A172D5">
            <w:pPr>
              <w:pStyle w:val="a3"/>
              <w:rPr>
                <w:lang w:val="hu-HU"/>
              </w:rPr>
            </w:pPr>
          </w:p>
          <w:p w14:paraId="74DD16E5" w14:textId="77777777" w:rsidR="0037407E" w:rsidRPr="00265077" w:rsidRDefault="0037407E" w:rsidP="00FD05AA">
            <w:pPr>
              <w:pStyle w:val="a3"/>
              <w:numPr>
                <w:ilvl w:val="0"/>
                <w:numId w:val="63"/>
              </w:numPr>
              <w:ind w:leftChars="100" w:left="580"/>
              <w:rPr>
                <w:b/>
                <w:lang w:val="hu-HU"/>
              </w:rPr>
            </w:pPr>
            <w:r w:rsidRPr="00265077">
              <w:rPr>
                <w:rFonts w:eastAsia="Times New Roman"/>
                <w:b/>
                <w:bCs/>
                <w:lang w:val="hu-HU"/>
              </w:rPr>
              <w:t xml:space="preserve">Vizsgálja meg az előretöltött </w:t>
            </w:r>
            <w:r w:rsidRPr="001E2F31">
              <w:rPr>
                <w:rFonts w:eastAsia="Times New Roman"/>
                <w:b/>
                <w:lang w:val="hu-HU"/>
              </w:rPr>
              <w:t>fecskendőt</w:t>
            </w:r>
          </w:p>
          <w:p w14:paraId="60C45323" w14:textId="77777777" w:rsidR="0037407E" w:rsidRDefault="0037407E" w:rsidP="00A172D5">
            <w:pPr>
              <w:pStyle w:val="a3"/>
              <w:numPr>
                <w:ilvl w:val="0"/>
                <w:numId w:val="0"/>
              </w:numPr>
              <w:ind w:left="580"/>
              <w:rPr>
                <w:lang w:val="hu-HU"/>
              </w:rPr>
            </w:pPr>
          </w:p>
          <w:p w14:paraId="66B660F8" w14:textId="77777777" w:rsidR="0037407E" w:rsidRPr="001E2F31" w:rsidRDefault="0037407E" w:rsidP="00A172D5">
            <w:pPr>
              <w:pStyle w:val="a3"/>
              <w:rPr>
                <w:rFonts w:eastAsia="Times New Roman"/>
                <w:lang w:val="hu-HU" w:eastAsia="ko-KR"/>
              </w:rPr>
            </w:pPr>
            <w:r>
              <w:rPr>
                <w:rFonts w:eastAsia="Times New Roman"/>
                <w:b/>
                <w:bCs/>
                <w:lang w:val="hu-HU" w:eastAsia="ko-KR"/>
              </w:rPr>
              <w:t>a</w:t>
            </w:r>
            <w:r>
              <w:rPr>
                <w:rFonts w:eastAsia="Times New Roman"/>
                <w:lang w:val="hu-HU" w:eastAsia="ko-KR"/>
              </w:rPr>
              <w:t>. Győződjön meg arról, hogy a megfelelő gyógyszert (Yuflyma) és   adagot kapta.</w:t>
            </w:r>
          </w:p>
          <w:p w14:paraId="7DB30293" w14:textId="77777777" w:rsidR="0037407E" w:rsidRDefault="0037407E" w:rsidP="00A172D5">
            <w:pPr>
              <w:pStyle w:val="a3"/>
              <w:rPr>
                <w:lang w:val="hu-HU" w:eastAsia="ko-KR"/>
              </w:rPr>
            </w:pPr>
            <w:r>
              <w:rPr>
                <w:rFonts w:eastAsia="Times New Roman"/>
                <w:b/>
                <w:bCs/>
                <w:lang w:val="hu-HU" w:eastAsia="ko-KR"/>
              </w:rPr>
              <w:t>b</w:t>
            </w:r>
            <w:r>
              <w:rPr>
                <w:rFonts w:eastAsia="Times New Roman"/>
                <w:lang w:val="hu-HU" w:eastAsia="ko-KR"/>
              </w:rPr>
              <w:t>. Nézze meg az előretöltött fecskendőt, és ellenőrizze, hogy nincs-e megrepedve vagy megsérülve.</w:t>
            </w:r>
          </w:p>
          <w:p w14:paraId="5776C49A" w14:textId="77777777" w:rsidR="0037407E" w:rsidRDefault="0037407E" w:rsidP="00A172D5">
            <w:pPr>
              <w:pStyle w:val="a3"/>
              <w:rPr>
                <w:lang w:val="hu-HU" w:eastAsia="ko-KR"/>
              </w:rPr>
            </w:pPr>
            <w:r>
              <w:rPr>
                <w:rFonts w:eastAsia="Times New Roman"/>
                <w:b/>
                <w:bCs/>
                <w:lang w:val="hu-HU" w:eastAsia="ko-KR"/>
              </w:rPr>
              <w:t>c</w:t>
            </w:r>
            <w:r>
              <w:rPr>
                <w:rFonts w:eastAsia="Times New Roman"/>
                <w:lang w:val="hu-HU" w:eastAsia="ko-KR"/>
              </w:rPr>
              <w:t>. Ellenőrizze az előretöltött fecskendő címkéjén található lejárati dátumot .</w:t>
            </w:r>
          </w:p>
          <w:p w14:paraId="026123E3" w14:textId="77777777" w:rsidR="0037407E" w:rsidRDefault="0037407E" w:rsidP="00A172D5">
            <w:pPr>
              <w:pStyle w:val="Default"/>
              <w:rPr>
                <w:lang w:val="hu-HU"/>
              </w:rPr>
            </w:pPr>
            <w:r>
              <w:rPr>
                <w:lang w:val="hu-HU"/>
              </w:rPr>
              <w:t xml:space="preserve"> </w:t>
            </w:r>
          </w:p>
          <w:p w14:paraId="63AA6A12" w14:textId="77777777" w:rsidR="0037407E" w:rsidRDefault="0037407E" w:rsidP="00A172D5">
            <w:pPr>
              <w:pStyle w:val="Default"/>
              <w:rPr>
                <w:b/>
                <w:lang w:val="hu-HU" w:eastAsia="ko-KR"/>
              </w:rPr>
            </w:pPr>
          </w:p>
          <w:p w14:paraId="1BB40DA2" w14:textId="77777777" w:rsidR="0037407E" w:rsidRPr="00010223" w:rsidRDefault="0037407E" w:rsidP="00A172D5">
            <w:pPr>
              <w:pStyle w:val="a3"/>
              <w:numPr>
                <w:ilvl w:val="0"/>
                <w:numId w:val="0"/>
              </w:numPr>
              <w:rPr>
                <w:lang w:val="hu-HU" w:eastAsia="ko-KR"/>
              </w:rPr>
            </w:pPr>
            <w:r w:rsidRPr="001E2F31">
              <w:rPr>
                <w:rFonts w:eastAsia="Times New Roman"/>
                <w:bCs/>
                <w:lang w:val="hu-HU" w:eastAsia="ko-KR"/>
              </w:rPr>
              <w:t xml:space="preserve">Az előretöltött fecskendőt </w:t>
            </w:r>
            <w:r w:rsidRPr="00010223">
              <w:rPr>
                <w:rFonts w:eastAsia="Times New Roman"/>
                <w:b/>
                <w:bCs/>
                <w:lang w:val="hu-HU" w:eastAsia="ko-KR"/>
              </w:rPr>
              <w:t>ne</w:t>
            </w:r>
            <w:r w:rsidRPr="001E2F31">
              <w:rPr>
                <w:rFonts w:eastAsia="Times New Roman"/>
                <w:bCs/>
                <w:lang w:val="hu-HU" w:eastAsia="ko-KR"/>
              </w:rPr>
              <w:t xml:space="preserve"> használja újra, ha:</w:t>
            </w:r>
          </w:p>
          <w:p w14:paraId="25864522" w14:textId="39C4CAA7" w:rsidR="004A2083" w:rsidRPr="00FB6A69" w:rsidRDefault="0037407E" w:rsidP="00A172D5">
            <w:pPr>
              <w:pStyle w:val="a3"/>
              <w:numPr>
                <w:ilvl w:val="2"/>
                <w:numId w:val="38"/>
              </w:numPr>
              <w:ind w:left="567" w:hanging="567"/>
              <w:rPr>
                <w:lang w:val="hu-HU" w:eastAsia="ko-KR"/>
              </w:rPr>
            </w:pPr>
            <w:r>
              <w:rPr>
                <w:rFonts w:eastAsia="Times New Roman"/>
                <w:lang w:val="hu-HU" w:eastAsia="ko-KR"/>
              </w:rPr>
              <w:t>megrepedt vagy sérült</w:t>
            </w:r>
            <w:r w:rsidR="004A2083">
              <w:rPr>
                <w:rFonts w:eastAsia="Times New Roman"/>
                <w:lang w:val="hu-HU" w:eastAsia="ko-KR"/>
              </w:rPr>
              <w:t>.</w:t>
            </w:r>
          </w:p>
          <w:p w14:paraId="657BC934" w14:textId="4D9F3039" w:rsidR="0037407E" w:rsidRPr="00FB6A69" w:rsidRDefault="0037407E" w:rsidP="00A172D5">
            <w:pPr>
              <w:pStyle w:val="a3"/>
              <w:numPr>
                <w:ilvl w:val="2"/>
                <w:numId w:val="38"/>
              </w:numPr>
              <w:ind w:left="567" w:hanging="567"/>
              <w:rPr>
                <w:lang w:val="hu-HU" w:eastAsia="ko-KR"/>
              </w:rPr>
            </w:pPr>
            <w:r>
              <w:rPr>
                <w:rFonts w:eastAsia="Times New Roman"/>
                <w:lang w:val="hu-HU" w:eastAsia="ko-KR"/>
              </w:rPr>
              <w:t>a lejárati idő lejárt.</w:t>
            </w:r>
          </w:p>
          <w:p w14:paraId="27AC7C7B" w14:textId="54DD9C0C" w:rsidR="004A2083" w:rsidRDefault="004A2083" w:rsidP="00A172D5">
            <w:pPr>
              <w:pStyle w:val="a3"/>
              <w:numPr>
                <w:ilvl w:val="2"/>
                <w:numId w:val="38"/>
              </w:numPr>
              <w:ind w:left="567" w:hanging="567"/>
              <w:rPr>
                <w:lang w:val="hu-HU" w:eastAsia="ko-KR"/>
              </w:rPr>
            </w:pPr>
            <w:proofErr w:type="spellStart"/>
            <w:r>
              <w:t>kemény</w:t>
            </w:r>
            <w:proofErr w:type="spellEnd"/>
            <w:r>
              <w:t xml:space="preserve"> </w:t>
            </w:r>
            <w:proofErr w:type="spellStart"/>
            <w:r>
              <w:t>felületre</w:t>
            </w:r>
            <w:proofErr w:type="spellEnd"/>
            <w:r>
              <w:t xml:space="preserve"> </w:t>
            </w:r>
            <w:proofErr w:type="spellStart"/>
            <w:r>
              <w:t>ejtette</w:t>
            </w:r>
            <w:proofErr w:type="spellEnd"/>
            <w:r>
              <w:t>.</w:t>
            </w:r>
          </w:p>
          <w:p w14:paraId="58E2C96C" w14:textId="77777777" w:rsidR="0037407E" w:rsidRDefault="0037407E" w:rsidP="00A172D5">
            <w:pPr>
              <w:pStyle w:val="Default"/>
              <w:rPr>
                <w:color w:val="211D1E"/>
                <w:sz w:val="20"/>
                <w:szCs w:val="20"/>
                <w:lang w:val="hu-HU"/>
              </w:rPr>
            </w:pPr>
          </w:p>
          <w:p w14:paraId="0F5625E7" w14:textId="77777777" w:rsidR="0037407E" w:rsidRDefault="0037407E" w:rsidP="00A172D5">
            <w:pPr>
              <w:ind w:right="1248"/>
              <w:rPr>
                <w:rFonts w:ascii="Times New Roman" w:eastAsia="Times New Roman" w:hAnsi="Times New Roman" w:cs="Times New Roman"/>
                <w:b/>
                <w:bCs/>
                <w:lang w:val="hu-HU"/>
              </w:rPr>
            </w:pPr>
          </w:p>
        </w:tc>
      </w:tr>
      <w:tr w:rsidR="0037407E" w14:paraId="01584E4D" w14:textId="77777777" w:rsidTr="00A172D5">
        <w:trPr>
          <w:trHeight w:val="4706"/>
        </w:trPr>
        <w:tc>
          <w:tcPr>
            <w:tcW w:w="9634" w:type="dxa"/>
          </w:tcPr>
          <w:p w14:paraId="436E2A06" w14:textId="77777777" w:rsidR="0037407E" w:rsidRDefault="0037407E" w:rsidP="00A172D5">
            <w:pPr>
              <w:pStyle w:val="a3"/>
              <w:rPr>
                <w:lang w:val="hu-HU" w:eastAsia="ko-KR"/>
              </w:rPr>
            </w:pPr>
          </w:p>
          <w:p w14:paraId="744EFA86" w14:textId="136BEF6B" w:rsidR="0037407E" w:rsidRDefault="00A172D5" w:rsidP="00A172D5">
            <w:pPr>
              <w:pStyle w:val="a3"/>
              <w:rPr>
                <w:lang w:val="hu-HU"/>
              </w:rPr>
            </w:pPr>
            <w:r>
              <w:rPr>
                <w:rFonts w:eastAsia="Times New Roman"/>
                <w:b/>
                <w:bCs/>
                <w:noProof/>
                <w:lang w:eastAsia="ko-KR"/>
              </w:rPr>
              <mc:AlternateContent>
                <mc:Choice Requires="wpg">
                  <w:drawing>
                    <wp:anchor distT="0" distB="0" distL="114300" distR="114300" simplePos="0" relativeHeight="251658286" behindDoc="0" locked="0" layoutInCell="1" allowOverlap="1" wp14:anchorId="693842B8" wp14:editId="06C1C441">
                      <wp:simplePos x="0" y="0"/>
                      <wp:positionH relativeFrom="column">
                        <wp:posOffset>-17780</wp:posOffset>
                      </wp:positionH>
                      <wp:positionV relativeFrom="paragraph">
                        <wp:posOffset>37465</wp:posOffset>
                      </wp:positionV>
                      <wp:extent cx="2052320" cy="2670175"/>
                      <wp:effectExtent l="19050" t="19050" r="24130" b="0"/>
                      <wp:wrapSquare wrapText="bothSides"/>
                      <wp:docPr id="27" name="그룹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2320" cy="2670175"/>
                                <a:chOff x="0" y="0"/>
                                <a:chExt cx="2053560" cy="2670660"/>
                              </a:xfrm>
                            </wpg:grpSpPr>
                            <pic:pic xmlns:pic="http://schemas.openxmlformats.org/drawingml/2006/picture">
                              <pic:nvPicPr>
                                <pic:cNvPr id="28" name="그림 28"/>
                                <pic:cNvPicPr>
                                  <a:picLocks noChangeAspect="1"/>
                                </pic:cNvPicPr>
                              </pic:nvPicPr>
                              <pic:blipFill>
                                <a:blip r:embed="rId105" cstate="print">
                                  <a:extLst>
                                    <a:ext uri="{28A0092B-C50C-407E-A947-70E740481C1C}">
                                      <a14:useLocalDpi xmlns:a14="http://schemas.microsoft.com/office/drawing/2010/main" val="0"/>
                                    </a:ext>
                                  </a:extLst>
                                </a:blip>
                                <a:srcRect/>
                                <a:stretch/>
                              </pic:blipFill>
                              <pic:spPr bwMode="auto">
                                <a:xfrm>
                                  <a:off x="0" y="0"/>
                                  <a:ext cx="2053560" cy="2518913"/>
                                </a:xfrm>
                                <a:prstGeom prst="rect">
                                  <a:avLst/>
                                </a:prstGeom>
                                <a:noFill/>
                                <a:ln>
                                  <a:solidFill>
                                    <a:schemeClr val="tx1"/>
                                  </a:solidFill>
                                </a:ln>
                                <a:extLst>
                                  <a:ext uri="{53640926-AAD7-44D8-BBD7-CCE9431645EC}">
                                    <a14:shadowObscured xmlns:a14="http://schemas.microsoft.com/office/drawing/2010/main"/>
                                  </a:ext>
                                </a:extLst>
                              </pic:spPr>
                            </pic:pic>
                            <wps:wsp>
                              <wps:cNvPr id="29" name="Text Box 41"/>
                              <wps:cNvSpPr txBox="1"/>
                              <wps:spPr>
                                <a:xfrm>
                                  <a:off x="1331538" y="2524610"/>
                                  <a:ext cx="719758" cy="146050"/>
                                </a:xfrm>
                                <a:prstGeom prst="rect">
                                  <a:avLst/>
                                </a:prstGeom>
                                <a:solidFill>
                                  <a:prstClr val="white"/>
                                </a:solidFill>
                                <a:ln>
                                  <a:noFill/>
                                </a:ln>
                              </wps:spPr>
                              <wps:txbx>
                                <w:txbxContent>
                                  <w:p w14:paraId="713AA142"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C. ábra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693842B8" id="_x0000_s1133" style="position:absolute;margin-left:-1.4pt;margin-top:2.95pt;width:161.6pt;height:210.25pt;z-index:251658286" coordsize="20535,26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">
                      <v:shape id="그림 28" o:spid="_x0000_s1134" type="#_x0000_t75" style="position:absolute;width:20535;height:25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" stroked="t" strokecolor="black [3213]">
                        <v:imagedata r:id="rId106" o:title=""/>
                        <v:path arrowok="t"/>
                      </v:shape>
                      <v:shape id="Text Box 41" o:spid="_x0000_s1135" type="#_x0000_t202" style="position:absolute;left:13315;top:25246;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" stroked="f">
                        <v:textbox style="mso-fit-shape-to-text:t" inset="0,0,0,0">
                          <w:txbxContent>
                            <w:p w14:paraId="713AA142"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C. ábra</w:t>
                              </w:r>
                            </w:p>
                          </w:txbxContent>
                        </v:textbox>
                      </v:shape>
                      <w10:wrap type="square"/>
                    </v:group>
                  </w:pict>
                </mc:Fallback>
              </mc:AlternateContent>
            </w:r>
          </w:p>
          <w:p w14:paraId="14EDD86C" w14:textId="785C9924" w:rsidR="0037407E" w:rsidRDefault="0037407E" w:rsidP="00FD05AA">
            <w:pPr>
              <w:pStyle w:val="a3"/>
              <w:numPr>
                <w:ilvl w:val="0"/>
                <w:numId w:val="63"/>
              </w:numPr>
              <w:rPr>
                <w:b/>
                <w:lang w:val="hu-HU"/>
              </w:rPr>
            </w:pPr>
            <w:r>
              <w:rPr>
                <w:rFonts w:eastAsia="Times New Roman"/>
                <w:b/>
                <w:bCs/>
                <w:lang w:val="hu-HU"/>
              </w:rPr>
              <w:t>Vizsgálja meg a gyógyszert</w:t>
            </w:r>
          </w:p>
          <w:p w14:paraId="039476E3" w14:textId="77777777" w:rsidR="0037407E" w:rsidRDefault="0037407E" w:rsidP="00A172D5">
            <w:pPr>
              <w:ind w:right="1248"/>
              <w:rPr>
                <w:rFonts w:ascii="Times New Roman" w:eastAsia="Times New Roman" w:hAnsi="Times New Roman" w:cs="Times New Roman"/>
                <w:b/>
                <w:bCs/>
                <w:lang w:val="hu-HU"/>
              </w:rPr>
            </w:pPr>
          </w:p>
          <w:p w14:paraId="71A19929" w14:textId="77777777" w:rsidR="0037407E" w:rsidRDefault="0037407E" w:rsidP="00A172D5">
            <w:pPr>
              <w:pStyle w:val="a3"/>
              <w:rPr>
                <w:lang w:val="hu-HU" w:eastAsia="ko-KR"/>
              </w:rPr>
            </w:pPr>
            <w:r>
              <w:rPr>
                <w:rFonts w:eastAsia="Times New Roman"/>
                <w:b/>
                <w:bCs/>
                <w:lang w:val="hu-HU" w:eastAsia="ko-KR"/>
              </w:rPr>
              <w:t>a</w:t>
            </w:r>
            <w:r>
              <w:rPr>
                <w:rFonts w:eastAsia="Times New Roman"/>
                <w:lang w:val="hu-HU" w:eastAsia="ko-KR"/>
              </w:rPr>
              <w:t>. Ellenőrizze a gyógyszert, bizonyosodjon meg róla, hogy a folyadék tiszta, színtelen vagy halványbarna, részecskéktől mentes.</w:t>
            </w:r>
          </w:p>
          <w:p w14:paraId="5F7DAAA9" w14:textId="77777777" w:rsidR="0037407E" w:rsidRDefault="0037407E" w:rsidP="00A172D5">
            <w:pPr>
              <w:pStyle w:val="a3"/>
              <w:numPr>
                <w:ilvl w:val="0"/>
                <w:numId w:val="0"/>
              </w:numPr>
              <w:tabs>
                <w:tab w:val="left" w:pos="3861"/>
              </w:tabs>
              <w:rPr>
                <w:lang w:val="hu-HU"/>
              </w:rPr>
            </w:pPr>
          </w:p>
          <w:p w14:paraId="7308FD78" w14:textId="77777777" w:rsidR="0037407E" w:rsidRDefault="0037407E" w:rsidP="00A172D5">
            <w:pPr>
              <w:pStyle w:val="a3"/>
              <w:numPr>
                <w:ilvl w:val="0"/>
                <w:numId w:val="39"/>
              </w:numPr>
              <w:ind w:left="4230" w:hanging="4230"/>
              <w:rPr>
                <w:lang w:val="hu-HU"/>
              </w:rPr>
            </w:pPr>
            <w:r>
              <w:rPr>
                <w:rFonts w:eastAsia="Times New Roman"/>
                <w:b/>
                <w:bCs/>
                <w:lang w:val="hu-HU"/>
              </w:rPr>
              <w:t>Ne</w:t>
            </w:r>
            <w:r>
              <w:rPr>
                <w:rFonts w:eastAsia="Times New Roman"/>
                <w:lang w:val="hu-HU"/>
              </w:rPr>
              <w:t xml:space="preserve"> használja az előretöltött fecskendőt, ha a folyadék elszíneződött (sárga vagy sötétbarna), zavaros vagy részecskéket tartalmaz.</w:t>
            </w:r>
          </w:p>
          <w:p w14:paraId="3AF0C9E6" w14:textId="77777777" w:rsidR="0037407E" w:rsidRDefault="0037407E" w:rsidP="00A172D5">
            <w:pPr>
              <w:pStyle w:val="a3"/>
              <w:numPr>
                <w:ilvl w:val="0"/>
                <w:numId w:val="0"/>
              </w:numPr>
              <w:rPr>
                <w:lang w:val="hu-HU"/>
              </w:rPr>
            </w:pPr>
          </w:p>
          <w:p w14:paraId="427E4636" w14:textId="77777777" w:rsidR="0037407E" w:rsidRDefault="0037407E" w:rsidP="00A172D5">
            <w:pPr>
              <w:pStyle w:val="a3"/>
              <w:numPr>
                <w:ilvl w:val="0"/>
                <w:numId w:val="16"/>
              </w:numPr>
              <w:ind w:left="4236" w:hanging="4236"/>
              <w:rPr>
                <w:b/>
                <w:bCs/>
                <w:lang w:val="hu-HU"/>
              </w:rPr>
            </w:pPr>
            <w:r>
              <w:rPr>
                <w:rFonts w:eastAsia="Times New Roman"/>
                <w:lang w:val="hu-HU"/>
              </w:rPr>
              <w:t>Előfordulhat, hogy légbuborékokat lát a folyadékban. Ez normális jelenség.</w:t>
            </w:r>
          </w:p>
        </w:tc>
      </w:tr>
      <w:tr w:rsidR="0037407E" w:rsidRPr="00BE4D18" w14:paraId="171B314A" w14:textId="77777777" w:rsidTr="00A172D5">
        <w:trPr>
          <w:trHeight w:val="4649"/>
        </w:trPr>
        <w:tc>
          <w:tcPr>
            <w:tcW w:w="9634" w:type="dxa"/>
          </w:tcPr>
          <w:p w14:paraId="33C09ACB" w14:textId="73C728A8" w:rsidR="0037407E" w:rsidRDefault="00A172D5" w:rsidP="00A172D5">
            <w:pPr>
              <w:ind w:right="1248"/>
              <w:rPr>
                <w:rFonts w:ascii="Times New Roman" w:eastAsia="Times New Roman" w:hAnsi="Times New Roman" w:cs="Times New Roman"/>
                <w:b/>
                <w:bCs/>
                <w:spacing w:val="-1"/>
                <w:lang w:val="hu-HU"/>
              </w:rPr>
            </w:pPr>
            <w:r>
              <w:rPr>
                <w:rFonts w:ascii="Times New Roman" w:eastAsia="Times New Roman" w:hAnsi="Times New Roman" w:cs="Times New Roman"/>
                <w:bCs/>
                <w:noProof/>
                <w:lang w:eastAsia="ko-KR"/>
              </w:rPr>
              <w:lastRenderedPageBreak/>
              <mc:AlternateContent>
                <mc:Choice Requires="wpg">
                  <w:drawing>
                    <wp:anchor distT="0" distB="0" distL="114300" distR="114300" simplePos="0" relativeHeight="251658304" behindDoc="0" locked="0" layoutInCell="1" allowOverlap="1" wp14:anchorId="623BFA43" wp14:editId="1755264E">
                      <wp:simplePos x="0" y="0"/>
                      <wp:positionH relativeFrom="column">
                        <wp:posOffset>-8890</wp:posOffset>
                      </wp:positionH>
                      <wp:positionV relativeFrom="paragraph">
                        <wp:posOffset>173990</wp:posOffset>
                      </wp:positionV>
                      <wp:extent cx="2026920" cy="2621915"/>
                      <wp:effectExtent l="19050" t="19050" r="11430" b="6985"/>
                      <wp:wrapSquare wrapText="bothSides"/>
                      <wp:docPr id="30" name="그룹 30"/>
                      <wp:cNvGraphicFramePr/>
                      <a:graphic xmlns:a="http://schemas.openxmlformats.org/drawingml/2006/main">
                        <a:graphicData uri="http://schemas.microsoft.com/office/word/2010/wordprocessingGroup">
                          <wpg:wgp>
                            <wpg:cNvGrpSpPr/>
                            <wpg:grpSpPr>
                              <a:xfrm>
                                <a:off x="0" y="0"/>
                                <a:ext cx="2026920" cy="2621915"/>
                                <a:chOff x="0" y="0"/>
                                <a:chExt cx="2211705" cy="2910032"/>
                              </a:xfrm>
                            </wpg:grpSpPr>
                            <wps:wsp>
                              <wps:cNvPr id="38" name="Text Box 43"/>
                              <wps:cNvSpPr txBox="1"/>
                              <wps:spPr>
                                <a:xfrm>
                                  <a:off x="1482437" y="2763982"/>
                                  <a:ext cx="719758" cy="146050"/>
                                </a:xfrm>
                                <a:prstGeom prst="rect">
                                  <a:avLst/>
                                </a:prstGeom>
                                <a:solidFill>
                                  <a:prstClr val="white"/>
                                </a:solidFill>
                                <a:ln>
                                  <a:noFill/>
                                </a:ln>
                              </wps:spPr>
                              <wps:txbx>
                                <w:txbxContent>
                                  <w:p w14:paraId="237E9D5D"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 </w:t>
                                    </w:r>
                                    <w:r>
                                      <w:rPr>
                                        <w:rFonts w:ascii="Times New Roman" w:eastAsia="Times New Roman" w:hAnsi="Times New Roman" w:cs="Times New Roman"/>
                                        <w:lang w:val="hu-HU"/>
                                      </w:rPr>
                                      <w:t xml:space="preserve">D. </w:t>
                                    </w:r>
                                    <w:r>
                                      <w:rPr>
                                        <w:rFonts w:ascii="Times New Roman" w:eastAsia="Times New Roman" w:hAnsi="Times New Roman" w:cs="Times New Roman"/>
                                        <w:lang w:val="hu-HU"/>
                                      </w:rPr>
                                      <w:t>ábra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40" name="그림 6"/>
                                <pic:cNvPicPr>
                                  <a:picLocks noChangeAspect="1"/>
                                </pic:cNvPicPr>
                              </pic:nvPicPr>
                              <pic:blipFill>
                                <a:blip r:embed="rId107" cstate="print">
                                  <a:extLst>
                                    <a:ext uri="{28A0092B-C50C-407E-A947-70E740481C1C}">
                                      <a14:useLocalDpi xmlns:a14="http://schemas.microsoft.com/office/drawing/2010/main" val="0"/>
                                    </a:ext>
                                  </a:extLst>
                                </a:blip>
                                <a:srcRect/>
                                <a:stretch/>
                              </pic:blipFill>
                              <pic:spPr>
                                <a:xfrm>
                                  <a:off x="0" y="0"/>
                                  <a:ext cx="2211705" cy="271272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623BFA43" id="_x0000_s1136" style="position:absolute;margin-left:-.7pt;margin-top:13.7pt;width:159.6pt;height:206.45pt;z-index:251658304;mso-width-relative:margin;mso-height-relative:margin" coordsize="22117,29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">
                      <v:shape id="Text Box 43" o:spid="_x0000_s1137" type="#_x0000_t202" style="position:absolute;left:14824;top:2763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YQ4wQAAANsAAAAPAAAAZHJzL2Rvd25yZXYueG1sRE/LasJA&#10;FN0X+g/DLbgpOtGCSOoomih00S584PqSuU2CmTthZvLw751FocvD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CzhhDjBAAAA2wAAAA8AAAAA&#10;AAAAAAAAAAAABwIAAGRycy9kb3ducmV2LnhtbFBLBQYAAAAAAwADALcAAAD1AgAAAAA=&#10;" stroked="f">
                        <v:textbox inset="0,0,0,0">
                          <w:txbxContent>
                            <w:p w14:paraId="237E9D5D"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 </w:t>
                              </w:r>
                              <w:r>
                                <w:rPr>
                                  <w:rFonts w:ascii="Times New Roman" w:eastAsia="Times New Roman" w:hAnsi="Times New Roman" w:cs="Times New Roman"/>
                                  <w:lang w:val="hu-HU"/>
                                </w:rPr>
                                <w:t xml:space="preserve">D. </w:t>
                              </w:r>
                              <w:r>
                                <w:rPr>
                                  <w:rFonts w:ascii="Times New Roman" w:eastAsia="Times New Roman" w:hAnsi="Times New Roman" w:cs="Times New Roman"/>
                                  <w:lang w:val="hu-HU"/>
                                </w:rPr>
                                <w:t>ábra</w:t>
                              </w:r>
                            </w:p>
                          </w:txbxContent>
                        </v:textbox>
                      </v:shape>
                      <v:shape id="그림 6" o:spid="_x0000_s1138" type="#_x0000_t75" style="position:absolute;width:22117;height:27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" stroked="t" strokecolor="black [3213]">
                        <v:imagedata r:id="rId108" o:title=""/>
                        <v:path arrowok="t"/>
                      </v:shape>
                      <w10:wrap type="square"/>
                    </v:group>
                  </w:pict>
                </mc:Fallback>
              </mc:AlternateContent>
            </w:r>
          </w:p>
          <w:p w14:paraId="7EFF27C6" w14:textId="2A32353A" w:rsidR="0037407E" w:rsidRDefault="0037407E" w:rsidP="00A172D5">
            <w:pPr>
              <w:ind w:right="1248"/>
              <w:rPr>
                <w:rFonts w:ascii="Times New Roman" w:eastAsia="Times New Roman" w:hAnsi="Times New Roman" w:cs="Times New Roman"/>
                <w:bCs/>
                <w:lang w:val="hu-HU"/>
              </w:rPr>
            </w:pPr>
          </w:p>
          <w:p w14:paraId="1DA5CDF5" w14:textId="489413C4" w:rsidR="0037407E" w:rsidRDefault="0037407E" w:rsidP="00A172D5">
            <w:pPr>
              <w:ind w:right="1248"/>
              <w:rPr>
                <w:rFonts w:ascii="Times New Roman" w:eastAsia="Times New Roman" w:hAnsi="Times New Roman" w:cs="Times New Roman"/>
                <w:bCs/>
                <w:lang w:val="hu-HU"/>
              </w:rPr>
            </w:pPr>
          </w:p>
          <w:p w14:paraId="7CDAE4FA" w14:textId="77777777" w:rsidR="0037407E" w:rsidRDefault="0037407E" w:rsidP="00FD05AA">
            <w:pPr>
              <w:pStyle w:val="a3"/>
              <w:numPr>
                <w:ilvl w:val="0"/>
                <w:numId w:val="63"/>
              </w:numPr>
              <w:rPr>
                <w:b/>
                <w:lang w:val="hu-HU"/>
              </w:rPr>
            </w:pPr>
            <w:r>
              <w:rPr>
                <w:rFonts w:eastAsia="Times New Roman"/>
                <w:noProof/>
                <w:sz w:val="20"/>
                <w:szCs w:val="20"/>
                <w:lang w:eastAsia="ko-KR"/>
              </w:rPr>
              <mc:AlternateContent>
                <mc:Choice Requires="wps">
                  <w:drawing>
                    <wp:anchor distT="0" distB="0" distL="114300" distR="114300" simplePos="0" relativeHeight="251658299" behindDoc="0" locked="0" layoutInCell="1" allowOverlap="1" wp14:anchorId="4AC587C4" wp14:editId="16F64146">
                      <wp:simplePos x="0" y="0"/>
                      <wp:positionH relativeFrom="column">
                        <wp:posOffset>1295188</wp:posOffset>
                      </wp:positionH>
                      <wp:positionV relativeFrom="paragraph">
                        <wp:posOffset>23495</wp:posOffset>
                      </wp:positionV>
                      <wp:extent cx="858520" cy="1041400"/>
                      <wp:effectExtent l="0" t="0" r="0" b="0"/>
                      <wp:wrapNone/>
                      <wp:docPr id="52"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8520" cy="1041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25D990" w14:textId="77777777" w:rsidR="004A2986" w:rsidRDefault="004A2986" w:rsidP="0037407E">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hu-HU"/>
                                    </w:rPr>
                                    <w:t xml:space="preserve">15 </w:t>
                                  </w:r>
                                  <w:r>
                                    <w:rPr>
                                      <w:rFonts w:ascii="Times New Roman" w:eastAsia="Times New Roman" w:hAnsi="Times New Roman" w:cs="Times New Roman"/>
                                      <w:b/>
                                      <w:bCs/>
                                      <w:sz w:val="28"/>
                                      <w:szCs w:val="28"/>
                                      <w:lang w:val="hu-HU"/>
                                    </w:rPr>
                                    <w:t>– 30 perc</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AC587C4" id="_x0000_s1139" type="#_x0000_t202" style="position:absolute;left:0;text-align:left;margin-left:102pt;margin-top:1.85pt;width:67.6pt;height:82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" fillcolor="white [3212]" stroked="f" strokeweight=".5pt">
                      <v:textbox inset="0,0,0,0">
                        <w:txbxContent>
                          <w:p w14:paraId="6325D990" w14:textId="77777777" w:rsidR="004A2986" w:rsidRDefault="004A2986" w:rsidP="0037407E">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hu-HU"/>
                              </w:rPr>
                              <w:t xml:space="preserve">15 </w:t>
                            </w:r>
                            <w:r>
                              <w:rPr>
                                <w:rFonts w:ascii="Times New Roman" w:eastAsia="Times New Roman" w:hAnsi="Times New Roman" w:cs="Times New Roman"/>
                                <w:b/>
                                <w:bCs/>
                                <w:sz w:val="28"/>
                                <w:szCs w:val="28"/>
                                <w:lang w:val="hu-HU"/>
                              </w:rPr>
                              <w:t>– 30 perc</w:t>
                            </w:r>
                          </w:p>
                        </w:txbxContent>
                      </v:textbox>
                    </v:shape>
                  </w:pict>
                </mc:Fallback>
              </mc:AlternateContent>
            </w:r>
            <w:r>
              <w:rPr>
                <w:rFonts w:eastAsia="Times New Roman"/>
                <w:b/>
                <w:bCs/>
                <w:lang w:val="hu-HU"/>
              </w:rPr>
              <w:t xml:space="preserve">Várjon 15-30 percet </w:t>
            </w:r>
          </w:p>
          <w:p w14:paraId="748F34C4" w14:textId="77777777" w:rsidR="0037407E" w:rsidRDefault="0037407E" w:rsidP="00A172D5">
            <w:pPr>
              <w:pStyle w:val="a3"/>
              <w:numPr>
                <w:ilvl w:val="0"/>
                <w:numId w:val="0"/>
              </w:numPr>
              <w:ind w:left="471"/>
              <w:rPr>
                <w:b/>
                <w:lang w:val="hu-HU"/>
              </w:rPr>
            </w:pPr>
          </w:p>
          <w:p w14:paraId="34E83D6A" w14:textId="77777777" w:rsidR="0037407E" w:rsidRDefault="0037407E" w:rsidP="00A172D5">
            <w:pPr>
              <w:pStyle w:val="a3"/>
              <w:rPr>
                <w:lang w:val="hu-HU"/>
              </w:rPr>
            </w:pPr>
            <w:r>
              <w:rPr>
                <w:rFonts w:eastAsia="Times New Roman"/>
                <w:b/>
                <w:bCs/>
                <w:lang w:val="hu-HU"/>
              </w:rPr>
              <w:t>a</w:t>
            </w:r>
            <w:r>
              <w:rPr>
                <w:rFonts w:eastAsia="Times New Roman"/>
                <w:lang w:val="hu-HU"/>
              </w:rPr>
              <w:t>. Hagyja az előretöltött fecskendőt szobahőmérsékleten felmelegedni 15-–30 percig.</w:t>
            </w:r>
          </w:p>
          <w:p w14:paraId="4C88C8E0" w14:textId="77777777" w:rsidR="0037407E" w:rsidRDefault="0037407E" w:rsidP="00A172D5">
            <w:pPr>
              <w:pStyle w:val="Default"/>
              <w:rPr>
                <w:color w:val="211D1E"/>
                <w:sz w:val="20"/>
                <w:szCs w:val="20"/>
                <w:lang w:val="hu-HU"/>
              </w:rPr>
            </w:pPr>
          </w:p>
          <w:p w14:paraId="368F0A26" w14:textId="77777777" w:rsidR="0037407E" w:rsidRDefault="0037407E" w:rsidP="00A172D5">
            <w:pPr>
              <w:pStyle w:val="a3"/>
              <w:numPr>
                <w:ilvl w:val="0"/>
                <w:numId w:val="40"/>
              </w:numPr>
              <w:ind w:left="4100" w:hanging="4100"/>
              <w:rPr>
                <w:rFonts w:eastAsia="Times New Roman" w:cstheme="minorBidi"/>
                <w:lang w:val="hu-HU"/>
              </w:rPr>
            </w:pPr>
            <w:r>
              <w:rPr>
                <w:rFonts w:eastAsia="Times New Roman"/>
                <w:b/>
                <w:bCs/>
                <w:lang w:val="hu-HU"/>
              </w:rPr>
              <w:t>Ne</w:t>
            </w:r>
            <w:r>
              <w:rPr>
                <w:rFonts w:eastAsia="Times New Roman"/>
                <w:lang w:val="hu-HU"/>
              </w:rPr>
              <w:t xml:space="preserve"> melegítse az előretöltött fecskendőt más hőforrás alkalmazásával, például forró víz vagy mikrohullámú sütő.</w:t>
            </w:r>
          </w:p>
          <w:p w14:paraId="2885264D" w14:textId="77777777" w:rsidR="0037407E" w:rsidRDefault="0037407E" w:rsidP="00A172D5">
            <w:pPr>
              <w:pStyle w:val="a3"/>
              <w:numPr>
                <w:ilvl w:val="0"/>
                <w:numId w:val="0"/>
              </w:numPr>
              <w:ind w:firstLineChars="250" w:firstLine="550"/>
              <w:rPr>
                <w:rFonts w:eastAsia="Times New Roman" w:cstheme="minorBidi"/>
                <w:lang w:val="hu-HU"/>
              </w:rPr>
            </w:pPr>
          </w:p>
        </w:tc>
      </w:tr>
    </w:tbl>
    <w:tbl>
      <w:tblPr>
        <w:tblStyle w:val="ac"/>
        <w:tblW w:w="0" w:type="auto"/>
        <w:tblLook w:val="04A0" w:firstRow="1" w:lastRow="0" w:firstColumn="1" w:lastColumn="0" w:noHBand="0" w:noVBand="1"/>
      </w:tblPr>
      <w:tblGrid>
        <w:gridCol w:w="9550"/>
      </w:tblGrid>
      <w:tr w:rsidR="0037407E" w:rsidRPr="00BE4D18" w14:paraId="553B7EA6" w14:textId="77777777" w:rsidTr="007E7849">
        <w:trPr>
          <w:trHeight w:val="5933"/>
        </w:trPr>
        <w:tc>
          <w:tcPr>
            <w:tcW w:w="9550" w:type="dxa"/>
          </w:tcPr>
          <w:p w14:paraId="093EAB25" w14:textId="77777777" w:rsidR="0037407E" w:rsidRDefault="0037407E" w:rsidP="007E7849">
            <w:pPr>
              <w:ind w:left="224" w:right="1248"/>
              <w:rPr>
                <w:rFonts w:ascii="Times New Roman" w:eastAsia="Times New Roman" w:hAnsi="Times New Roman" w:cs="Times New Roman"/>
                <w:b/>
                <w:bCs/>
                <w:spacing w:val="-1"/>
                <w:lang w:val="hu-HU"/>
              </w:rPr>
            </w:pPr>
          </w:p>
          <w:p w14:paraId="443853F4" w14:textId="77777777" w:rsidR="0037407E" w:rsidRDefault="0037407E" w:rsidP="007E7849">
            <w:pPr>
              <w:ind w:right="1248"/>
              <w:rPr>
                <w:lang w:val="hu-HU"/>
              </w:rPr>
            </w:pPr>
          </w:p>
          <w:p w14:paraId="3FF9833E" w14:textId="77777777" w:rsidR="0037407E" w:rsidRDefault="0037407E" w:rsidP="007E7849">
            <w:pPr>
              <w:ind w:right="1248"/>
              <w:rPr>
                <w:lang w:val="hu-HU"/>
              </w:rPr>
            </w:pPr>
            <w:r>
              <w:rPr>
                <w:noProof/>
                <w:lang w:eastAsia="ko-KR"/>
              </w:rPr>
              <mc:AlternateContent>
                <mc:Choice Requires="wpg">
                  <w:drawing>
                    <wp:anchor distT="0" distB="0" distL="114300" distR="114300" simplePos="0" relativeHeight="251658305" behindDoc="0" locked="0" layoutInCell="1" allowOverlap="1" wp14:anchorId="0032D075" wp14:editId="33AD542F">
                      <wp:simplePos x="0" y="0"/>
                      <wp:positionH relativeFrom="column">
                        <wp:posOffset>17145</wp:posOffset>
                      </wp:positionH>
                      <wp:positionV relativeFrom="paragraph">
                        <wp:posOffset>41275</wp:posOffset>
                      </wp:positionV>
                      <wp:extent cx="2286000" cy="3890010"/>
                      <wp:effectExtent l="0" t="0" r="0" b="0"/>
                      <wp:wrapSquare wrapText="bothSides"/>
                      <wp:docPr id="53" name="그룹 53"/>
                      <wp:cNvGraphicFramePr/>
                      <a:graphic xmlns:a="http://schemas.openxmlformats.org/drawingml/2006/main">
                        <a:graphicData uri="http://schemas.microsoft.com/office/word/2010/wordprocessingGroup">
                          <wpg:wgp>
                            <wpg:cNvGrpSpPr/>
                            <wpg:grpSpPr>
                              <a:xfrm>
                                <a:off x="0" y="0"/>
                                <a:ext cx="2286000" cy="3890010"/>
                                <a:chOff x="0" y="0"/>
                                <a:chExt cx="1848748" cy="3221712"/>
                              </a:xfrm>
                            </wpg:grpSpPr>
                            <wps:wsp>
                              <wps:cNvPr id="62" name="Text Box 45"/>
                              <wps:cNvSpPr txBox="1">
                                <a:spLocks noChangeArrowheads="1"/>
                              </wps:cNvSpPr>
                              <wps:spPr bwMode="auto">
                                <a:xfrm>
                                  <a:off x="1129145" y="3075710"/>
                                  <a:ext cx="719603" cy="1460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6D2E7A"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E </w:t>
                                    </w:r>
                                    <w:r>
                                      <w:rPr>
                                        <w:rFonts w:ascii="Times New Roman" w:eastAsia="Times New Roman" w:hAnsi="Times New Roman" w:cs="Times New Roman"/>
                                        <w:lang w:val="hu-HU"/>
                                      </w:rPr>
                                      <w:t>ábra</w:t>
                                    </w:r>
                                  </w:p>
                                </w:txbxContent>
                              </wps:txbx>
                              <wps:bodyPr rot="0" vert="horz" wrap="square" lIns="0" tIns="0" rIns="0" bIns="0" anchor="t" anchorCtr="0" upright="1">
                                <a:noAutofit/>
                              </wps:bodyPr>
                            </wps:wsp>
                            <pic:pic xmlns:pic="http://schemas.openxmlformats.org/drawingml/2006/picture">
                              <pic:nvPicPr>
                                <pic:cNvPr id="63" name="그림 7"/>
                                <pic:cNvPicPr>
                                  <a:picLocks noChangeAspect="1"/>
                                </pic:cNvPicPr>
                              </pic:nvPicPr>
                              <pic:blipFill rotWithShape="1">
                                <a:blip r:embed="rId34" cstate="print">
                                  <a:extLst>
                                    <a:ext uri="{28A0092B-C50C-407E-A947-70E740481C1C}">
                                      <a14:useLocalDpi xmlns:a14="http://schemas.microsoft.com/office/drawing/2010/main" val="0"/>
                                    </a:ext>
                                  </a:extLst>
                                </a:blip>
                                <a:srcRect/>
                                <a:stretch/>
                              </pic:blipFill>
                              <pic:spPr>
                                <a:xfrm>
                                  <a:off x="0" y="0"/>
                                  <a:ext cx="1843405" cy="30778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032D075" id="_x0000_s1140" style="position:absolute;margin-left:1.35pt;margin-top:3.25pt;width:180pt;height:306.3pt;z-index:251658305;mso-width-relative:margin;mso-height-relative:margin" coordsize="18487,32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">
                      <v:shape id="Text Box 45" o:spid="_x0000_s1141" type="#_x0000_t202" style="position:absolute;left:11291;top:30757;width:7196;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" stroked="f">
                        <v:textbox inset="0,0,0,0">
                          <w:txbxContent>
                            <w:p w14:paraId="456D2E7A"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E </w:t>
                              </w:r>
                              <w:r>
                                <w:rPr>
                                  <w:rFonts w:ascii="Times New Roman" w:eastAsia="Times New Roman" w:hAnsi="Times New Roman" w:cs="Times New Roman"/>
                                  <w:lang w:val="hu-HU"/>
                                </w:rPr>
                                <w:t>ábra</w:t>
                              </w:r>
                            </w:p>
                          </w:txbxContent>
                        </v:textbox>
                      </v:shape>
                      <v:shape id="그림 7" o:spid="_x0000_s1142" type="#_x0000_t75" style="position:absolute;width:18434;height:30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">
                        <v:imagedata r:id="rId35" o:title=""/>
                      </v:shape>
                      <w10:wrap type="square"/>
                    </v:group>
                  </w:pict>
                </mc:Fallback>
              </mc:AlternateContent>
            </w:r>
          </w:p>
          <w:p w14:paraId="622CC5ED" w14:textId="77777777" w:rsidR="0037407E" w:rsidRDefault="0037407E" w:rsidP="00FD05AA">
            <w:pPr>
              <w:pStyle w:val="a3"/>
              <w:numPr>
                <w:ilvl w:val="0"/>
                <w:numId w:val="63"/>
              </w:numPr>
              <w:rPr>
                <w:rFonts w:cstheme="minorBidi"/>
                <w:b/>
                <w:lang w:val="hu-HU"/>
              </w:rPr>
            </w:pPr>
            <w:r>
              <w:rPr>
                <w:rFonts w:eastAsia="Times New Roman" w:cs="Arial"/>
                <w:b/>
                <w:bCs/>
                <w:lang w:val="hu-HU"/>
              </w:rPr>
              <w:t xml:space="preserve">Válassza ki </w:t>
            </w:r>
            <w:r>
              <w:rPr>
                <w:rFonts w:eastAsia="Times New Roman"/>
                <w:b/>
                <w:bCs/>
                <w:lang w:val="hu-HU"/>
              </w:rPr>
              <w:t>a megfelelő injekció beadási helyet</w:t>
            </w:r>
          </w:p>
          <w:p w14:paraId="6AB1FE38" w14:textId="77777777" w:rsidR="0037407E" w:rsidRDefault="0037407E" w:rsidP="007E7849">
            <w:pPr>
              <w:pStyle w:val="a3"/>
              <w:rPr>
                <w:lang w:val="hu-HU"/>
              </w:rPr>
            </w:pPr>
          </w:p>
          <w:p w14:paraId="4972A47A" w14:textId="77777777" w:rsidR="0037407E" w:rsidRDefault="0037407E" w:rsidP="007E7849">
            <w:pPr>
              <w:pStyle w:val="a3"/>
              <w:rPr>
                <w:lang w:val="hu-HU"/>
              </w:rPr>
            </w:pPr>
            <w:r>
              <w:rPr>
                <w:rFonts w:eastAsia="Times New Roman"/>
                <w:b/>
                <w:bCs/>
                <w:lang w:val="hu-HU"/>
              </w:rPr>
              <w:t xml:space="preserve">a. </w:t>
            </w:r>
            <w:r w:rsidRPr="001E2F31">
              <w:rPr>
                <w:rFonts w:eastAsia="Times New Roman"/>
                <w:bCs/>
                <w:lang w:val="hu-HU"/>
              </w:rPr>
              <w:t>B</w:t>
            </w:r>
            <w:r w:rsidRPr="00010223">
              <w:rPr>
                <w:rFonts w:eastAsia="Times New Roman"/>
                <w:lang w:val="hu-HU"/>
              </w:rPr>
              <w:t>e</w:t>
            </w:r>
            <w:r>
              <w:rPr>
                <w:rFonts w:eastAsia="Times New Roman"/>
                <w:lang w:val="hu-HU"/>
              </w:rPr>
              <w:t>adhatja az injekciót:</w:t>
            </w:r>
          </w:p>
          <w:p w14:paraId="4E1CB902" w14:textId="77777777" w:rsidR="0037407E" w:rsidRDefault="0037407E" w:rsidP="007E7849">
            <w:pPr>
              <w:pStyle w:val="a3"/>
              <w:rPr>
                <w:lang w:val="hu-HU"/>
              </w:rPr>
            </w:pPr>
            <w:r>
              <w:rPr>
                <w:rFonts w:eastAsia="Times New Roman"/>
                <w:lang w:val="hu-HU"/>
              </w:rPr>
              <w:t>- a comb elülső részébe.</w:t>
            </w:r>
          </w:p>
          <w:p w14:paraId="3EF24FA7" w14:textId="77777777" w:rsidR="0037407E" w:rsidRDefault="0037407E" w:rsidP="007E7849">
            <w:pPr>
              <w:pStyle w:val="a3"/>
              <w:rPr>
                <w:lang w:val="hu-HU"/>
              </w:rPr>
            </w:pPr>
            <w:r>
              <w:rPr>
                <w:rFonts w:eastAsia="Times New Roman"/>
                <w:lang w:val="hu-HU"/>
              </w:rPr>
              <w:t xml:space="preserve">- a hasába, </w:t>
            </w:r>
            <w:r w:rsidRPr="00FC2FC3">
              <w:rPr>
                <w:rFonts w:eastAsia="Times New Roman"/>
                <w:lang w:val="hu-HU"/>
              </w:rPr>
              <w:t>kivéve</w:t>
            </w:r>
            <w:r>
              <w:rPr>
                <w:rFonts w:eastAsia="Times New Roman"/>
                <w:lang w:val="hu-HU"/>
              </w:rPr>
              <w:t xml:space="preserve"> a köldök körüli 5 cm-es területet.</w:t>
            </w:r>
          </w:p>
          <w:p w14:paraId="70E68FE8" w14:textId="77777777" w:rsidR="0037407E" w:rsidRDefault="0037407E" w:rsidP="007E7849">
            <w:pPr>
              <w:pStyle w:val="a3"/>
              <w:rPr>
                <w:lang w:val="hu-HU"/>
              </w:rPr>
            </w:pPr>
            <w:r>
              <w:rPr>
                <w:rFonts w:eastAsia="Times New Roman"/>
                <w:lang w:val="hu-HU"/>
              </w:rPr>
              <w:t>- a felkar külső részébe (KIZÁRÓLAG akkor, ha Ön gondozó).</w:t>
            </w:r>
          </w:p>
          <w:p w14:paraId="582BBA1B" w14:textId="77777777" w:rsidR="0037407E" w:rsidRDefault="0037407E" w:rsidP="007E7849">
            <w:pPr>
              <w:pStyle w:val="a3"/>
              <w:rPr>
                <w:lang w:val="hu-HU"/>
              </w:rPr>
            </w:pPr>
          </w:p>
          <w:p w14:paraId="208F7D58" w14:textId="77777777" w:rsidR="0037407E" w:rsidRDefault="0037407E" w:rsidP="007E7849">
            <w:pPr>
              <w:pStyle w:val="a3"/>
              <w:numPr>
                <w:ilvl w:val="0"/>
                <w:numId w:val="17"/>
              </w:numPr>
              <w:ind w:left="3449" w:hanging="3449"/>
              <w:rPr>
                <w:lang w:val="hu-HU"/>
              </w:rPr>
            </w:pPr>
            <w:r>
              <w:rPr>
                <w:rFonts w:eastAsia="Times New Roman"/>
                <w:b/>
                <w:bCs/>
                <w:lang w:val="hu-HU"/>
              </w:rPr>
              <w:t>Ne</w:t>
            </w:r>
            <w:r>
              <w:rPr>
                <w:rFonts w:eastAsia="Times New Roman"/>
                <w:lang w:val="hu-HU"/>
              </w:rPr>
              <w:t xml:space="preserve"> adja be az injekciót olyan bőrterületbe, amely kevesebb mint 5 cm-re található a köldöktől vagy bepirosodott, kemény, érzékeny, sérült, véraláfutásos vagy heges.</w:t>
            </w:r>
          </w:p>
          <w:p w14:paraId="3BC86326" w14:textId="77777777" w:rsidR="0037407E" w:rsidRDefault="0037407E" w:rsidP="007E7849">
            <w:pPr>
              <w:pStyle w:val="a3"/>
              <w:numPr>
                <w:ilvl w:val="0"/>
                <w:numId w:val="17"/>
              </w:numPr>
              <w:ind w:left="3449" w:hanging="3449"/>
              <w:rPr>
                <w:lang w:val="hu-HU"/>
              </w:rPr>
            </w:pPr>
            <w:r>
              <w:rPr>
                <w:rFonts w:eastAsia="Times New Roman"/>
                <w:lang w:val="hu-HU"/>
              </w:rPr>
              <w:t xml:space="preserve">Ha pikkelysömörben szenved, </w:t>
            </w:r>
            <w:r>
              <w:rPr>
                <w:rFonts w:eastAsia="Times New Roman"/>
                <w:b/>
                <w:bCs/>
                <w:lang w:val="hu-HU"/>
              </w:rPr>
              <w:t>ne</w:t>
            </w:r>
            <w:r>
              <w:rPr>
                <w:rFonts w:eastAsia="Times New Roman"/>
                <w:lang w:val="hu-HU"/>
              </w:rPr>
              <w:t xml:space="preserve"> adja be közvetlenül az injekciót kiemelkedő, megvastagodott, piros vagy pikkelyesen hámló foltok, illetve bőrelváltozások területén.</w:t>
            </w:r>
          </w:p>
          <w:p w14:paraId="11907BE7" w14:textId="77777777" w:rsidR="0037407E" w:rsidRDefault="0037407E" w:rsidP="007E7849">
            <w:pPr>
              <w:pStyle w:val="a3"/>
              <w:numPr>
                <w:ilvl w:val="0"/>
                <w:numId w:val="17"/>
              </w:numPr>
              <w:ind w:left="3449" w:hanging="3449"/>
              <w:rPr>
                <w:lang w:val="hu-HU"/>
              </w:rPr>
            </w:pPr>
            <w:r>
              <w:rPr>
                <w:rFonts w:eastAsia="Times New Roman"/>
                <w:b/>
                <w:bCs/>
                <w:lang w:val="hu-HU"/>
              </w:rPr>
              <w:t>Ne</w:t>
            </w:r>
            <w:r>
              <w:rPr>
                <w:rFonts w:eastAsia="Times New Roman"/>
                <w:lang w:val="hu-HU"/>
              </w:rPr>
              <w:t xml:space="preserve"> ruhán keresztül adja be az injekciót</w:t>
            </w:r>
          </w:p>
          <w:p w14:paraId="6EEE1140" w14:textId="77777777" w:rsidR="0037407E" w:rsidRDefault="0037407E" w:rsidP="007E7849">
            <w:pPr>
              <w:pStyle w:val="a3"/>
              <w:rPr>
                <w:lang w:val="hu-HU"/>
              </w:rPr>
            </w:pPr>
          </w:p>
          <w:p w14:paraId="3E18B744" w14:textId="77777777" w:rsidR="0037407E" w:rsidRDefault="0037407E" w:rsidP="007E7849">
            <w:pPr>
              <w:pStyle w:val="a3"/>
              <w:rPr>
                <w:lang w:val="hu-HU"/>
              </w:rPr>
            </w:pPr>
            <w:r>
              <w:rPr>
                <w:rFonts w:eastAsia="Times New Roman"/>
                <w:b/>
                <w:bCs/>
                <w:lang w:val="hu-HU"/>
              </w:rPr>
              <w:t xml:space="preserve">b. </w:t>
            </w:r>
            <w:r>
              <w:rPr>
                <w:rFonts w:eastAsia="Times New Roman"/>
                <w:lang w:val="hu-HU"/>
              </w:rPr>
              <w:t>Minden alkalommal, amikor injekciót ad be, váltogassa az injekció beadásának helyét. Mindegyik  új injekció beadási helynek legalább 3 cm-re kell lennie az előzőleg beadott injekció beadási helyétől.</w:t>
            </w:r>
          </w:p>
        </w:tc>
      </w:tr>
      <w:tr w:rsidR="0037407E" w:rsidRPr="00BE4D18" w14:paraId="42177371" w14:textId="77777777" w:rsidTr="007E7849">
        <w:trPr>
          <w:trHeight w:val="5945"/>
        </w:trPr>
        <w:tc>
          <w:tcPr>
            <w:tcW w:w="9550" w:type="dxa"/>
          </w:tcPr>
          <w:p w14:paraId="66768310" w14:textId="77777777" w:rsidR="0037407E" w:rsidRDefault="0037407E" w:rsidP="007E7849">
            <w:pPr>
              <w:pStyle w:val="1"/>
              <w:spacing w:before="76"/>
              <w:ind w:left="0" w:right="2736"/>
              <w:rPr>
                <w:rFonts w:eastAsiaTheme="minorEastAsia"/>
                <w:lang w:val="hu-HU" w:eastAsia="ko-KR"/>
              </w:rPr>
            </w:pPr>
          </w:p>
          <w:p w14:paraId="6B8EF811" w14:textId="77777777" w:rsidR="0037407E" w:rsidRDefault="0037407E" w:rsidP="007E7849">
            <w:pPr>
              <w:pStyle w:val="1"/>
              <w:spacing w:before="76"/>
              <w:ind w:left="0" w:right="2736"/>
              <w:rPr>
                <w:rFonts w:eastAsiaTheme="minorEastAsia"/>
                <w:lang w:val="hu-HU" w:eastAsia="ko-KR"/>
              </w:rPr>
            </w:pPr>
            <w:r>
              <w:rPr>
                <w:rFonts w:eastAsiaTheme="minorEastAsia"/>
                <w:noProof/>
                <w:lang w:eastAsia="ko-KR"/>
              </w:rPr>
              <mc:AlternateContent>
                <mc:Choice Requires="wpg">
                  <w:drawing>
                    <wp:anchor distT="0" distB="0" distL="114300" distR="114300" simplePos="0" relativeHeight="251658287" behindDoc="0" locked="0" layoutInCell="1" allowOverlap="1" wp14:anchorId="4D2E9050" wp14:editId="0E63366A">
                      <wp:simplePos x="0" y="0"/>
                      <wp:positionH relativeFrom="column">
                        <wp:posOffset>-20955</wp:posOffset>
                      </wp:positionH>
                      <wp:positionV relativeFrom="paragraph">
                        <wp:posOffset>100330</wp:posOffset>
                      </wp:positionV>
                      <wp:extent cx="2407920" cy="3092450"/>
                      <wp:effectExtent l="0" t="0" r="0" b="0"/>
                      <wp:wrapSquare wrapText="bothSides"/>
                      <wp:docPr id="64" name="그룹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07920" cy="3092450"/>
                                <a:chOff x="0" y="0"/>
                                <a:chExt cx="2407920" cy="3092450"/>
                              </a:xfrm>
                            </wpg:grpSpPr>
                            <pic:pic xmlns:pic="http://schemas.openxmlformats.org/drawingml/2006/picture">
                              <pic:nvPicPr>
                                <pic:cNvPr id="65" name="그림 59"/>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68" name="Text Box 47"/>
                              <wps:cNvSpPr txBox="1"/>
                              <wps:spPr>
                                <a:xfrm>
                                  <a:off x="1670050" y="2946400"/>
                                  <a:ext cx="719758" cy="146050"/>
                                </a:xfrm>
                                <a:prstGeom prst="rect">
                                  <a:avLst/>
                                </a:prstGeom>
                                <a:solidFill>
                                  <a:prstClr val="white"/>
                                </a:solidFill>
                                <a:ln>
                                  <a:noFill/>
                                </a:ln>
                              </wps:spPr>
                              <wps:txbx>
                                <w:txbxContent>
                                  <w:p w14:paraId="02968029"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F. </w:t>
                                    </w:r>
                                    <w:r>
                                      <w:rPr>
                                        <w:rFonts w:ascii="Times New Roman" w:eastAsia="Times New Roman" w:hAnsi="Times New Roman" w:cs="Times New Roman"/>
                                        <w:lang w:val="hu-HU"/>
                                      </w:rPr>
                                      <w:t>ábra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4D2E9050" id="_x0000_s1143" style="position:absolute;margin-left:-1.65pt;margin-top:7.9pt;width:189.6pt;height:243.5pt;z-index:251658287"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">
                      <v:shape id="그림 59" o:spid="_x0000_s1144"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">
                        <v:imagedata r:id="rId37" o:title=""/>
                      </v:shape>
                      <v:shape id="Text Box 47" o:spid="_x0000_s1145"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" stroked="f">
                        <v:textbox style="mso-fit-shape-to-text:t" inset="0,0,0,0">
                          <w:txbxContent>
                            <w:p w14:paraId="02968029"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F. </w:t>
                              </w:r>
                              <w:r>
                                <w:rPr>
                                  <w:rFonts w:ascii="Times New Roman" w:eastAsia="Times New Roman" w:hAnsi="Times New Roman" w:cs="Times New Roman"/>
                                  <w:lang w:val="hu-HU"/>
                                </w:rPr>
                                <w:t>ábra</w:t>
                              </w:r>
                            </w:p>
                          </w:txbxContent>
                        </v:textbox>
                      </v:shape>
                      <w10:wrap type="square"/>
                    </v:group>
                  </w:pict>
                </mc:Fallback>
              </mc:AlternateContent>
            </w:r>
          </w:p>
          <w:p w14:paraId="66CF9CA9" w14:textId="77777777" w:rsidR="0037407E" w:rsidRDefault="0037407E" w:rsidP="00FD05AA">
            <w:pPr>
              <w:pStyle w:val="a3"/>
              <w:numPr>
                <w:ilvl w:val="0"/>
                <w:numId w:val="63"/>
              </w:numPr>
              <w:rPr>
                <w:lang w:val="hu-HU"/>
              </w:rPr>
            </w:pPr>
            <w:r>
              <w:rPr>
                <w:rFonts w:eastAsia="Times New Roman"/>
                <w:b/>
                <w:bCs/>
                <w:lang w:val="hu-HU"/>
              </w:rPr>
              <w:t>Mosson kezet</w:t>
            </w:r>
          </w:p>
          <w:p w14:paraId="45B9DC3B" w14:textId="77777777" w:rsidR="0037407E" w:rsidRDefault="0037407E" w:rsidP="007E7849">
            <w:pPr>
              <w:pStyle w:val="a3"/>
              <w:numPr>
                <w:ilvl w:val="0"/>
                <w:numId w:val="0"/>
              </w:numPr>
              <w:ind w:left="471"/>
              <w:rPr>
                <w:lang w:val="hu-HU"/>
              </w:rPr>
            </w:pPr>
          </w:p>
          <w:p w14:paraId="06429F4D" w14:textId="77777777" w:rsidR="0037407E" w:rsidRDefault="0037407E" w:rsidP="00FD05AA">
            <w:pPr>
              <w:pStyle w:val="a3"/>
              <w:numPr>
                <w:ilvl w:val="0"/>
                <w:numId w:val="46"/>
              </w:numPr>
              <w:ind w:left="4590" w:hanging="4275"/>
              <w:rPr>
                <w:lang w:val="hu-HU"/>
              </w:rPr>
            </w:pPr>
            <w:r>
              <w:rPr>
                <w:lang w:val="hu-HU"/>
              </w:rPr>
              <w:t>Alaposan mossa meg a kezét szappannal és vízzel, és szárítsa meg.</w:t>
            </w:r>
          </w:p>
          <w:p w14:paraId="44E5F49C" w14:textId="77777777" w:rsidR="0037407E" w:rsidRDefault="0037407E" w:rsidP="007E7849">
            <w:pPr>
              <w:pStyle w:val="a3"/>
              <w:rPr>
                <w:lang w:val="hu-HU"/>
              </w:rPr>
            </w:pPr>
          </w:p>
          <w:p w14:paraId="44E5E1E2" w14:textId="77777777" w:rsidR="0037407E" w:rsidRDefault="0037407E" w:rsidP="007E7849">
            <w:pPr>
              <w:spacing w:line="252" w:lineRule="exact"/>
              <w:rPr>
                <w:lang w:val="hu-HU"/>
              </w:rPr>
            </w:pPr>
          </w:p>
        </w:tc>
      </w:tr>
      <w:tr w:rsidR="0037407E" w:rsidRPr="00BE4D18" w14:paraId="3C2E033D" w14:textId="77777777" w:rsidTr="00AF1AD1">
        <w:trPr>
          <w:trHeight w:val="5499"/>
        </w:trPr>
        <w:tc>
          <w:tcPr>
            <w:tcW w:w="9550" w:type="dxa"/>
          </w:tcPr>
          <w:p w14:paraId="18B495D0" w14:textId="220898DA" w:rsidR="0037407E" w:rsidRDefault="0037407E" w:rsidP="007E7849">
            <w:pPr>
              <w:ind w:left="104"/>
              <w:rPr>
                <w:rFonts w:asciiTheme="majorBidi" w:eastAsia="Times New Roman" w:hAnsiTheme="majorBidi" w:cstheme="majorBidi"/>
                <w:b/>
                <w:bCs/>
                <w:spacing w:val="-1"/>
                <w:lang w:val="hu-HU"/>
              </w:rPr>
            </w:pPr>
          </w:p>
          <w:p w14:paraId="62E40548" w14:textId="5150D55D" w:rsidR="0037407E" w:rsidRDefault="00600C35" w:rsidP="007E7849">
            <w:pPr>
              <w:pStyle w:val="a3"/>
              <w:rPr>
                <w:rFonts w:asciiTheme="majorBidi" w:hAnsiTheme="majorBidi" w:cstheme="majorBidi"/>
                <w:lang w:val="hu-HU"/>
              </w:rPr>
            </w:pPr>
            <w:r>
              <w:rPr>
                <w:rFonts w:asciiTheme="majorBidi" w:hAnsiTheme="majorBidi" w:cstheme="majorBidi"/>
                <w:noProof/>
                <w:lang w:eastAsia="ko-KR"/>
              </w:rPr>
              <mc:AlternateContent>
                <mc:Choice Requires="wpg">
                  <w:drawing>
                    <wp:anchor distT="0" distB="0" distL="114300" distR="114300" simplePos="0" relativeHeight="251658288" behindDoc="0" locked="0" layoutInCell="1" allowOverlap="1" wp14:anchorId="0F2B42D3" wp14:editId="3592C05A">
                      <wp:simplePos x="0" y="0"/>
                      <wp:positionH relativeFrom="column">
                        <wp:posOffset>68580</wp:posOffset>
                      </wp:positionH>
                      <wp:positionV relativeFrom="paragraph">
                        <wp:posOffset>151765</wp:posOffset>
                      </wp:positionV>
                      <wp:extent cx="2333625" cy="3131185"/>
                      <wp:effectExtent l="0" t="0" r="9525" b="0"/>
                      <wp:wrapSquare wrapText="bothSides"/>
                      <wp:docPr id="69" name="그룹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33625" cy="3131185"/>
                                <a:chOff x="0" y="0"/>
                                <a:chExt cx="2256458" cy="2921000"/>
                              </a:xfrm>
                            </wpg:grpSpPr>
                            <pic:pic xmlns:pic="http://schemas.openxmlformats.org/drawingml/2006/picture">
                              <pic:nvPicPr>
                                <pic:cNvPr id="70" name="그림 13"/>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74" name="Text Box 49"/>
                              <wps:cNvSpPr txBox="1"/>
                              <wps:spPr>
                                <a:xfrm>
                                  <a:off x="1536700" y="2774950"/>
                                  <a:ext cx="719758" cy="146050"/>
                                </a:xfrm>
                                <a:prstGeom prst="rect">
                                  <a:avLst/>
                                </a:prstGeom>
                                <a:solidFill>
                                  <a:prstClr val="white"/>
                                </a:solidFill>
                                <a:ln>
                                  <a:noFill/>
                                </a:ln>
                              </wps:spPr>
                              <wps:txbx>
                                <w:txbxContent>
                                  <w:p w14:paraId="5F5DE0D3"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G. </w:t>
                                    </w:r>
                                    <w:r>
                                      <w:rPr>
                                        <w:rFonts w:ascii="Times New Roman" w:eastAsia="Times New Roman" w:hAnsi="Times New Roman" w:cs="Times New Roman"/>
                                        <w:lang w:val="hu-HU"/>
                                      </w:rPr>
                                      <w:t>ábra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F2B42D3" id="_x0000_s1146" style="position:absolute;margin-left:5.4pt;margin-top:11.95pt;width:183.75pt;height:246.55pt;z-index:251658288"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">
                      <v:shape id="그림 13" o:spid="_x0000_s1147"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">
                        <v:imagedata r:id="rId39" o:title=""/>
                      </v:shape>
                      <v:shape id="Text Box 49" o:spid="_x0000_s1148"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" stroked="f">
                        <v:textbox inset="0,0,0,0">
                          <w:txbxContent>
                            <w:p w14:paraId="5F5DE0D3"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G. </w:t>
                              </w:r>
                              <w:r>
                                <w:rPr>
                                  <w:rFonts w:ascii="Times New Roman" w:eastAsia="Times New Roman" w:hAnsi="Times New Roman" w:cs="Times New Roman"/>
                                  <w:lang w:val="hu-HU"/>
                                </w:rPr>
                                <w:t>ábra</w:t>
                              </w:r>
                            </w:p>
                          </w:txbxContent>
                        </v:textbox>
                      </v:shape>
                      <w10:wrap type="square"/>
                    </v:group>
                  </w:pict>
                </mc:Fallback>
              </mc:AlternateContent>
            </w:r>
          </w:p>
          <w:p w14:paraId="4BC4F9FD" w14:textId="77777777" w:rsidR="0037407E" w:rsidRDefault="0037407E" w:rsidP="00FD05AA">
            <w:pPr>
              <w:pStyle w:val="a3"/>
              <w:numPr>
                <w:ilvl w:val="0"/>
                <w:numId w:val="63"/>
              </w:numPr>
              <w:rPr>
                <w:rFonts w:asciiTheme="majorBidi" w:hAnsiTheme="majorBidi" w:cstheme="majorBidi"/>
                <w:b/>
                <w:lang w:val="hu-HU"/>
              </w:rPr>
            </w:pPr>
            <w:r>
              <w:rPr>
                <w:rFonts w:asciiTheme="majorBidi" w:eastAsia="Times New Roman" w:hAnsiTheme="majorBidi" w:cstheme="majorBidi"/>
                <w:b/>
                <w:bCs/>
                <w:lang w:val="hu-HU"/>
              </w:rPr>
              <w:t>Tisztítsa meg az injekció beadási helyét</w:t>
            </w:r>
          </w:p>
          <w:p w14:paraId="5EB740B1" w14:textId="77777777" w:rsidR="0037407E" w:rsidRDefault="0037407E" w:rsidP="007E7849">
            <w:pPr>
              <w:pStyle w:val="a3"/>
              <w:rPr>
                <w:rFonts w:asciiTheme="majorBidi" w:hAnsiTheme="majorBidi" w:cstheme="majorBidi"/>
                <w:lang w:val="hu-HU"/>
              </w:rPr>
            </w:pPr>
          </w:p>
          <w:p w14:paraId="3739A1B7" w14:textId="77777777" w:rsidR="0037407E" w:rsidRDefault="0037407E" w:rsidP="007E7849">
            <w:pPr>
              <w:pStyle w:val="a3"/>
              <w:numPr>
                <w:ilvl w:val="0"/>
                <w:numId w:val="0"/>
              </w:numPr>
              <w:ind w:left="720"/>
              <w:rPr>
                <w:rFonts w:asciiTheme="majorBidi" w:hAnsiTheme="majorBidi" w:cstheme="majorBidi"/>
                <w:lang w:val="hu-HU"/>
              </w:rPr>
            </w:pPr>
            <w:r>
              <w:rPr>
                <w:rFonts w:asciiTheme="majorBidi" w:eastAsia="Times New Roman" w:hAnsiTheme="majorBidi" w:cstheme="majorBidi"/>
                <w:b/>
                <w:bCs/>
                <w:lang w:val="hu-HU"/>
              </w:rPr>
              <w:t xml:space="preserve">a. </w:t>
            </w:r>
            <w:r w:rsidRPr="00DA48CC">
              <w:rPr>
                <w:rFonts w:eastAsia="TimesNewRomanPSMT"/>
                <w:lang w:val="hu-HU"/>
              </w:rPr>
              <w:t>T</w:t>
            </w:r>
            <w:r w:rsidRPr="00DA48CC">
              <w:rPr>
                <w:rFonts w:eastAsia="TimesNewRomanPSMT" w:hint="eastAsia"/>
                <w:lang w:val="hu-HU"/>
              </w:rPr>
              <w:t>ö</w:t>
            </w:r>
            <w:r w:rsidRPr="00DA48CC">
              <w:rPr>
                <w:rFonts w:eastAsia="TimesNewRomanPSMT"/>
                <w:lang w:val="hu-HU"/>
              </w:rPr>
              <w:t>r</w:t>
            </w:r>
            <w:r w:rsidRPr="00DA48CC">
              <w:rPr>
                <w:rFonts w:eastAsia="TimesNewRomanPSMT" w:hint="eastAsia"/>
                <w:lang w:val="hu-HU"/>
              </w:rPr>
              <w:t>ö</w:t>
            </w:r>
            <w:r w:rsidRPr="00DA48CC">
              <w:rPr>
                <w:rFonts w:eastAsia="TimesNewRomanPSMT"/>
                <w:lang w:val="hu-HU"/>
              </w:rPr>
              <w:t>lje le a</w:t>
            </w:r>
            <w:r>
              <w:rPr>
                <w:rFonts w:asciiTheme="majorBidi" w:eastAsia="Times New Roman" w:hAnsiTheme="majorBidi" w:cstheme="majorBidi"/>
                <w:lang w:val="hu-HU"/>
              </w:rPr>
              <w:t xml:space="preserve"> az injekció beadási helyét alkoholos törlővel körkörös mozdulattal.</w:t>
            </w:r>
          </w:p>
          <w:p w14:paraId="38FDB409" w14:textId="77777777" w:rsidR="0037407E" w:rsidRDefault="0037407E" w:rsidP="007E7849">
            <w:pPr>
              <w:pStyle w:val="a3"/>
              <w:rPr>
                <w:rFonts w:asciiTheme="majorBidi" w:hAnsiTheme="majorBidi" w:cstheme="majorBidi"/>
                <w:lang w:val="hu-HU"/>
              </w:rPr>
            </w:pPr>
            <w:r>
              <w:rPr>
                <w:rFonts w:asciiTheme="majorBidi" w:eastAsia="Times New Roman" w:hAnsiTheme="majorBidi" w:cstheme="majorBidi"/>
                <w:b/>
                <w:bCs/>
                <w:lang w:val="hu-HU"/>
              </w:rPr>
              <w:t xml:space="preserve">b. </w:t>
            </w:r>
            <w:r>
              <w:rPr>
                <w:rFonts w:asciiTheme="majorBidi" w:eastAsia="Times New Roman" w:hAnsiTheme="majorBidi" w:cstheme="majorBidi"/>
                <w:lang w:val="hu-HU"/>
              </w:rPr>
              <w:t>Az injekció beadása előtt hagyja a bőrt megszáradni.</w:t>
            </w:r>
          </w:p>
          <w:p w14:paraId="77F08CD7" w14:textId="77777777" w:rsidR="0037407E" w:rsidRDefault="0037407E" w:rsidP="007E7849">
            <w:pPr>
              <w:pStyle w:val="a3"/>
              <w:rPr>
                <w:rFonts w:asciiTheme="majorBidi" w:hAnsiTheme="majorBidi" w:cstheme="majorBidi"/>
                <w:lang w:val="hu-HU"/>
              </w:rPr>
            </w:pPr>
          </w:p>
          <w:p w14:paraId="6258108F" w14:textId="77777777" w:rsidR="0037407E" w:rsidRDefault="0037407E" w:rsidP="007E7849">
            <w:pPr>
              <w:pStyle w:val="a3"/>
              <w:rPr>
                <w:rFonts w:asciiTheme="majorBidi" w:hAnsiTheme="majorBidi" w:cstheme="majorBidi"/>
                <w:lang w:val="hu-HU"/>
              </w:rPr>
            </w:pPr>
          </w:p>
          <w:p w14:paraId="678032E9" w14:textId="77777777" w:rsidR="0037407E" w:rsidRDefault="0037407E" w:rsidP="007E7849">
            <w:pPr>
              <w:rPr>
                <w:rFonts w:asciiTheme="majorBidi" w:hAnsiTheme="majorBidi" w:cstheme="majorBidi"/>
                <w:lang w:val="hu-HU"/>
              </w:rPr>
            </w:pPr>
            <w:r>
              <w:rPr>
                <w:rFonts w:asciiTheme="majorBidi" w:eastAsia="맑은 고딕" w:hAnsiTheme="majorBidi" w:cstheme="majorBidi"/>
                <w:lang w:val="hu-HU"/>
              </w:rPr>
              <w:t>•</w:t>
            </w:r>
            <w:r>
              <w:rPr>
                <w:rFonts w:asciiTheme="majorBidi" w:eastAsia="Calibri" w:hAnsiTheme="majorBidi" w:cstheme="majorBidi"/>
                <w:lang w:val="hu-HU"/>
              </w:rPr>
              <w:t xml:space="preserve"> Az injekció beadása előtt </w:t>
            </w:r>
            <w:r>
              <w:rPr>
                <w:rFonts w:asciiTheme="majorBidi" w:eastAsia="Times New Roman" w:hAnsiTheme="majorBidi" w:cstheme="majorBidi"/>
                <w:b/>
                <w:bCs/>
                <w:lang w:val="hu-HU"/>
              </w:rPr>
              <w:t>ne</w:t>
            </w:r>
            <w:r>
              <w:rPr>
                <w:rFonts w:asciiTheme="majorBidi" w:eastAsia="Times New Roman" w:hAnsiTheme="majorBidi" w:cstheme="majorBidi"/>
                <w:lang w:val="hu-HU"/>
              </w:rPr>
              <w:t xml:space="preserve"> fújjon rá vagy érintse meg újra azinjekció beadásának helyét.</w:t>
            </w:r>
          </w:p>
        </w:tc>
      </w:tr>
      <w:tr w:rsidR="0037407E" w:rsidRPr="00BE4D18" w14:paraId="6D09EEFC" w14:textId="77777777" w:rsidTr="00600C35">
        <w:trPr>
          <w:trHeight w:val="5669"/>
        </w:trPr>
        <w:tc>
          <w:tcPr>
            <w:tcW w:w="9550" w:type="dxa"/>
          </w:tcPr>
          <w:p w14:paraId="572A8C30" w14:textId="77777777" w:rsidR="0037407E" w:rsidRDefault="0037407E" w:rsidP="007E7849">
            <w:pPr>
              <w:ind w:left="104"/>
              <w:rPr>
                <w:rFonts w:ascii="Times New Roman" w:eastAsia="Times New Roman" w:hAnsi="Times New Roman" w:cs="Times New Roman"/>
                <w:b/>
                <w:bCs/>
                <w:spacing w:val="-1"/>
                <w:lang w:val="hu-HU"/>
              </w:rPr>
            </w:pPr>
          </w:p>
          <w:p w14:paraId="1650EF26" w14:textId="61824E7D" w:rsidR="0037407E" w:rsidRDefault="00600C35" w:rsidP="007E7849">
            <w:pPr>
              <w:pStyle w:val="Default"/>
              <w:rPr>
                <w:lang w:val="hu-HU"/>
              </w:rPr>
            </w:pPr>
            <w:r>
              <w:rPr>
                <w:noProof/>
                <w:lang w:eastAsia="ko-KR"/>
              </w:rPr>
              <mc:AlternateContent>
                <mc:Choice Requires="wpg">
                  <w:drawing>
                    <wp:anchor distT="0" distB="0" distL="114300" distR="114300" simplePos="0" relativeHeight="251658289" behindDoc="0" locked="0" layoutInCell="1" allowOverlap="1" wp14:anchorId="239B5016" wp14:editId="59191E54">
                      <wp:simplePos x="0" y="0"/>
                      <wp:positionH relativeFrom="column">
                        <wp:posOffset>68903</wp:posOffset>
                      </wp:positionH>
                      <wp:positionV relativeFrom="paragraph">
                        <wp:posOffset>100785</wp:posOffset>
                      </wp:positionV>
                      <wp:extent cx="2370455" cy="3072250"/>
                      <wp:effectExtent l="19050" t="19050" r="10795" b="0"/>
                      <wp:wrapSquare wrapText="bothSides"/>
                      <wp:docPr id="76" name="그룹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0455" cy="3072250"/>
                                <a:chOff x="53" y="0"/>
                                <a:chExt cx="23598" cy="30722"/>
                              </a:xfrm>
                            </wpg:grpSpPr>
                            <pic:pic xmlns:pic="http://schemas.openxmlformats.org/drawingml/2006/picture">
                              <pic:nvPicPr>
                                <pic:cNvPr id="77" name="그림 61"/>
                                <pic:cNvPicPr>
                                  <a:picLocks noChangeAspect="1"/>
                                </pic:cNvPicPr>
                              </pic:nvPicPr>
                              <pic:blipFill>
                                <a:blip r:embed="rId109" cstate="print">
                                  <a:extLst>
                                    <a:ext uri="{28A0092B-C50C-407E-A947-70E740481C1C}">
                                      <a14:useLocalDpi xmlns:a14="http://schemas.microsoft.com/office/drawing/2010/main" val="0"/>
                                    </a:ext>
                                  </a:extLst>
                                </a:blip>
                                <a:srcRect/>
                                <a:stretch/>
                              </pic:blipFill>
                              <pic:spPr bwMode="auto">
                                <a:xfrm>
                                  <a:off x="53" y="0"/>
                                  <a:ext cx="23598" cy="29070"/>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wps:wsp>
                              <wps:cNvPr id="78" name="Text Box 52"/>
                              <wps:cNvSpPr txBox="1">
                                <a:spLocks noChangeArrowheads="1"/>
                              </wps:cNvSpPr>
                              <wps:spPr bwMode="auto">
                                <a:xfrm>
                                  <a:off x="16454" y="29262"/>
                                  <a:ext cx="7197" cy="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4B1BFB"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H. </w:t>
                                    </w:r>
                                    <w:r>
                                      <w:rPr>
                                        <w:rFonts w:ascii="Times New Roman" w:eastAsia="Times New Roman" w:hAnsi="Times New Roman" w:cs="Times New Roman"/>
                                        <w:lang w:val="hu-HU"/>
                                      </w:rPr>
                                      <w:t>ábra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239B5016" id="_x0000_s1149" style="position:absolute;margin-left:5.45pt;margin-top:7.95pt;width:186.65pt;height:241.9pt;z-index:251658289" coordorigin="53" coordsize="23598,307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">
                      <v:shape id="그림 61" o:spid="_x0000_s1150" type="#_x0000_t75" style="position:absolute;left:53;width:23598;height:2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" stroked="t" strokecolor="black [3213]">
                        <v:imagedata r:id="rId110" o:title=""/>
                        <v:path arrowok="t"/>
                      </v:shape>
                      <v:shape id="Text Box 52" o:spid="_x0000_s1151" type="#_x0000_t202" style="position:absolute;left:16454;top:29262;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" stroked="f">
                        <v:textbox style="mso-fit-shape-to-text:t" inset="0,0,0,0">
                          <w:txbxContent>
                            <w:p w14:paraId="674B1BFB"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H. </w:t>
                              </w:r>
                              <w:r>
                                <w:rPr>
                                  <w:rFonts w:ascii="Times New Roman" w:eastAsia="Times New Roman" w:hAnsi="Times New Roman" w:cs="Times New Roman"/>
                                  <w:lang w:val="hu-HU"/>
                                </w:rPr>
                                <w:t>ábra</w:t>
                              </w:r>
                            </w:p>
                          </w:txbxContent>
                        </v:textbox>
                      </v:shape>
                      <w10:wrap type="square"/>
                    </v:group>
                  </w:pict>
                </mc:Fallback>
              </mc:AlternateContent>
            </w:r>
          </w:p>
          <w:p w14:paraId="39F332E3" w14:textId="4C011B54" w:rsidR="0037407E" w:rsidRDefault="0037407E" w:rsidP="007E7849">
            <w:pPr>
              <w:pStyle w:val="Default"/>
              <w:rPr>
                <w:lang w:val="hu-HU"/>
              </w:rPr>
            </w:pPr>
          </w:p>
          <w:p w14:paraId="41F3FD24" w14:textId="77777777" w:rsidR="0037407E" w:rsidRDefault="0037407E" w:rsidP="00FD05AA">
            <w:pPr>
              <w:pStyle w:val="a3"/>
              <w:numPr>
                <w:ilvl w:val="0"/>
                <w:numId w:val="63"/>
              </w:numPr>
              <w:rPr>
                <w:lang w:val="hu-HU"/>
              </w:rPr>
            </w:pPr>
            <w:r>
              <w:rPr>
                <w:rFonts w:eastAsia="Times New Roman"/>
                <w:b/>
                <w:bCs/>
                <w:lang w:val="hu-HU"/>
              </w:rPr>
              <w:t>Vegye le a tűvédő tokot</w:t>
            </w:r>
          </w:p>
          <w:p w14:paraId="48431D47" w14:textId="77777777" w:rsidR="0037407E" w:rsidRDefault="0037407E" w:rsidP="007E7849">
            <w:pPr>
              <w:pStyle w:val="a3"/>
              <w:numPr>
                <w:ilvl w:val="0"/>
                <w:numId w:val="0"/>
              </w:numPr>
              <w:ind w:left="471"/>
              <w:rPr>
                <w:lang w:val="hu-HU"/>
              </w:rPr>
            </w:pPr>
          </w:p>
          <w:p w14:paraId="51C70668" w14:textId="77777777" w:rsidR="0037407E" w:rsidRDefault="0037407E" w:rsidP="007E7849">
            <w:pPr>
              <w:pStyle w:val="a3"/>
              <w:rPr>
                <w:lang w:val="hu-HU"/>
              </w:rPr>
            </w:pPr>
            <w:r>
              <w:rPr>
                <w:rFonts w:eastAsia="Times New Roman"/>
                <w:b/>
                <w:bCs/>
                <w:lang w:val="hu-HU"/>
              </w:rPr>
              <w:t>a</w:t>
            </w:r>
            <w:r>
              <w:rPr>
                <w:rFonts w:eastAsia="Times New Roman"/>
                <w:lang w:val="hu-HU"/>
              </w:rPr>
              <w:t>. Vegye le a tűvédő tokot miközben az előretöltött fecskendő testét az egyik kezével tartja. Óvatosan húzza le a tűvédő tokot a másik kezével.</w:t>
            </w:r>
          </w:p>
          <w:p w14:paraId="5B4DA6E9" w14:textId="77777777" w:rsidR="0037407E" w:rsidRDefault="0037407E" w:rsidP="007E7849">
            <w:pPr>
              <w:pStyle w:val="a3"/>
              <w:rPr>
                <w:lang w:val="hu-HU"/>
              </w:rPr>
            </w:pPr>
          </w:p>
          <w:p w14:paraId="4D091E66" w14:textId="77777777" w:rsidR="0037407E" w:rsidRDefault="0037407E" w:rsidP="007E7849">
            <w:pPr>
              <w:pStyle w:val="a3"/>
              <w:numPr>
                <w:ilvl w:val="0"/>
                <w:numId w:val="18"/>
              </w:numPr>
              <w:ind w:left="4326" w:hanging="4326"/>
              <w:rPr>
                <w:lang w:val="hu-HU"/>
              </w:rPr>
            </w:pPr>
            <w:r>
              <w:rPr>
                <w:rFonts w:eastAsia="Times New Roman"/>
                <w:b/>
                <w:bCs/>
                <w:lang w:val="hu-HU"/>
              </w:rPr>
              <w:t>Ne</w:t>
            </w:r>
            <w:r>
              <w:rPr>
                <w:rFonts w:eastAsia="Times New Roman"/>
                <w:lang w:val="hu-HU"/>
              </w:rPr>
              <w:t xml:space="preserve"> vegye le a tokot, amíg készen nem áll az injekció beadására</w:t>
            </w:r>
          </w:p>
          <w:p w14:paraId="71DFFC27" w14:textId="77777777" w:rsidR="0037407E" w:rsidRDefault="0037407E" w:rsidP="007E7849">
            <w:pPr>
              <w:pStyle w:val="a3"/>
              <w:numPr>
                <w:ilvl w:val="0"/>
                <w:numId w:val="0"/>
              </w:numPr>
              <w:ind w:left="1384"/>
              <w:rPr>
                <w:lang w:val="hu-HU"/>
              </w:rPr>
            </w:pPr>
          </w:p>
          <w:p w14:paraId="38D960D9" w14:textId="77777777" w:rsidR="0037407E" w:rsidRDefault="0037407E" w:rsidP="007E7849">
            <w:pPr>
              <w:pStyle w:val="a3"/>
              <w:numPr>
                <w:ilvl w:val="0"/>
                <w:numId w:val="18"/>
              </w:numPr>
              <w:ind w:left="4326" w:hanging="4326"/>
              <w:rPr>
                <w:lang w:val="hu-HU"/>
              </w:rPr>
            </w:pPr>
            <w:r>
              <w:rPr>
                <w:rFonts w:eastAsia="Times New Roman"/>
                <w:b/>
                <w:bCs/>
                <w:lang w:val="hu-HU"/>
              </w:rPr>
              <w:t>Ne</w:t>
            </w:r>
            <w:r>
              <w:rPr>
                <w:rFonts w:eastAsia="Times New Roman"/>
                <w:lang w:val="hu-HU"/>
              </w:rPr>
              <w:t xml:space="preserve"> érintse meg a dugattyút. Ebben az esetben tűszúrásos sérülés következhet be.</w:t>
            </w:r>
            <w:r>
              <w:rPr>
                <w:rFonts w:eastAsia="Times New Roman"/>
                <w:b/>
                <w:bCs/>
                <w:lang w:val="hu-HU"/>
              </w:rPr>
              <w:t xml:space="preserve"> </w:t>
            </w:r>
          </w:p>
          <w:p w14:paraId="06654844" w14:textId="77777777" w:rsidR="0037407E" w:rsidRDefault="0037407E" w:rsidP="007E7849">
            <w:pPr>
              <w:pStyle w:val="a4"/>
              <w:rPr>
                <w:lang w:val="hu-HU"/>
              </w:rPr>
            </w:pPr>
          </w:p>
          <w:p w14:paraId="76920D99" w14:textId="0CEF75CA" w:rsidR="0037407E" w:rsidRPr="004C5B28" w:rsidRDefault="0037407E" w:rsidP="007E7849">
            <w:pPr>
              <w:pStyle w:val="a3"/>
              <w:numPr>
                <w:ilvl w:val="0"/>
                <w:numId w:val="18"/>
              </w:numPr>
              <w:ind w:left="4326" w:hanging="4326"/>
              <w:rPr>
                <w:lang w:val="hu-HU"/>
              </w:rPr>
            </w:pPr>
            <w:r>
              <w:rPr>
                <w:rFonts w:eastAsia="Times New Roman"/>
                <w:b/>
                <w:bCs/>
                <w:lang w:val="hu-HU"/>
              </w:rPr>
              <w:t>Ne</w:t>
            </w:r>
            <w:r>
              <w:rPr>
                <w:rFonts w:eastAsia="Times New Roman"/>
                <w:lang w:val="hu-HU"/>
              </w:rPr>
              <w:t xml:space="preserve"> rakja vissza a tűvédő tokot az előretöltött fecskendőre. Azonnal dobja a tokot az éles tárgyak tárolására szolgáló tartályba.</w:t>
            </w:r>
          </w:p>
          <w:p w14:paraId="2F9378F8" w14:textId="77777777" w:rsidR="00903402" w:rsidRDefault="00903402" w:rsidP="004C5B28">
            <w:pPr>
              <w:pStyle w:val="a4"/>
              <w:rPr>
                <w:lang w:val="hu-HU"/>
              </w:rPr>
            </w:pPr>
          </w:p>
          <w:p w14:paraId="59866BC5" w14:textId="6547222C" w:rsidR="00903402" w:rsidRDefault="00903402" w:rsidP="007E7849">
            <w:pPr>
              <w:pStyle w:val="a3"/>
              <w:numPr>
                <w:ilvl w:val="0"/>
                <w:numId w:val="18"/>
              </w:numPr>
              <w:ind w:left="4326" w:hanging="4326"/>
              <w:rPr>
                <w:lang w:val="hu-HU"/>
              </w:rPr>
            </w:pPr>
            <w:r w:rsidRPr="00903402">
              <w:rPr>
                <w:lang w:val="hu-HU"/>
              </w:rPr>
              <w:t>Normális, ha lát néhány csepp folyadékot kijönni a tűből</w:t>
            </w:r>
            <w:r>
              <w:rPr>
                <w:lang w:val="hu-HU"/>
              </w:rPr>
              <w:t>.</w:t>
            </w:r>
          </w:p>
          <w:p w14:paraId="5C20AFED" w14:textId="77777777" w:rsidR="0037407E" w:rsidRDefault="0037407E" w:rsidP="007E7849">
            <w:pPr>
              <w:pStyle w:val="a3"/>
              <w:numPr>
                <w:ilvl w:val="0"/>
                <w:numId w:val="0"/>
              </w:numPr>
              <w:ind w:left="1384"/>
              <w:rPr>
                <w:lang w:val="hu-HU" w:eastAsia="ko-KR"/>
              </w:rPr>
            </w:pPr>
          </w:p>
        </w:tc>
      </w:tr>
      <w:tr w:rsidR="0037407E" w:rsidRPr="00BE4D18" w14:paraId="1B4B1F65" w14:textId="77777777" w:rsidTr="00600C35">
        <w:trPr>
          <w:trHeight w:val="6650"/>
        </w:trPr>
        <w:tc>
          <w:tcPr>
            <w:tcW w:w="9550" w:type="dxa"/>
          </w:tcPr>
          <w:p w14:paraId="31223C39" w14:textId="77777777" w:rsidR="0037407E" w:rsidRDefault="0037407E" w:rsidP="007E7849">
            <w:pPr>
              <w:ind w:left="104"/>
              <w:rPr>
                <w:rFonts w:ascii="Times New Roman" w:eastAsia="Times New Roman" w:hAnsi="Times New Roman" w:cs="Times New Roman"/>
                <w:lang w:val="hu-HU"/>
              </w:rPr>
            </w:pPr>
          </w:p>
          <w:p w14:paraId="096D2828" w14:textId="77777777" w:rsidR="0037407E" w:rsidRDefault="0037407E" w:rsidP="007E7849">
            <w:pPr>
              <w:pStyle w:val="1"/>
              <w:spacing w:before="76"/>
              <w:ind w:left="0" w:right="2736"/>
              <w:rPr>
                <w:rFonts w:eastAsiaTheme="minorEastAsia"/>
                <w:lang w:val="hu-HU" w:eastAsia="ko-KR"/>
              </w:rPr>
            </w:pPr>
            <w:r>
              <w:rPr>
                <w:rFonts w:eastAsiaTheme="minorEastAsia"/>
                <w:noProof/>
                <w:lang w:eastAsia="ko-KR"/>
              </w:rPr>
              <mc:AlternateContent>
                <mc:Choice Requires="wpg">
                  <w:drawing>
                    <wp:anchor distT="0" distB="0" distL="114300" distR="114300" simplePos="0" relativeHeight="251658306" behindDoc="0" locked="0" layoutInCell="1" allowOverlap="1" wp14:anchorId="226AB67F" wp14:editId="056EC25A">
                      <wp:simplePos x="0" y="0"/>
                      <wp:positionH relativeFrom="column">
                        <wp:posOffset>148763</wp:posOffset>
                      </wp:positionH>
                      <wp:positionV relativeFrom="paragraph">
                        <wp:posOffset>192059</wp:posOffset>
                      </wp:positionV>
                      <wp:extent cx="2167255" cy="3762038"/>
                      <wp:effectExtent l="19050" t="19050" r="23495" b="0"/>
                      <wp:wrapSquare wrapText="bothSides"/>
                      <wp:docPr id="79" name="그룹 79"/>
                      <wp:cNvGraphicFramePr/>
                      <a:graphic xmlns:a="http://schemas.openxmlformats.org/drawingml/2006/main">
                        <a:graphicData uri="http://schemas.microsoft.com/office/word/2010/wordprocessingGroup">
                          <wpg:wgp>
                            <wpg:cNvGrpSpPr/>
                            <wpg:grpSpPr>
                              <a:xfrm>
                                <a:off x="0" y="0"/>
                                <a:ext cx="2167255" cy="3762038"/>
                                <a:chOff x="0" y="0"/>
                                <a:chExt cx="2167255" cy="3762038"/>
                              </a:xfrm>
                            </wpg:grpSpPr>
                            <wps:wsp>
                              <wps:cNvPr id="80" name="Text Box 55"/>
                              <wps:cNvSpPr txBox="1">
                                <a:spLocks noChangeArrowheads="1"/>
                              </wps:cNvSpPr>
                              <wps:spPr bwMode="auto">
                                <a:xfrm>
                                  <a:off x="1433946" y="3616036"/>
                                  <a:ext cx="719808" cy="1460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32E07A"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I. </w:t>
                                    </w:r>
                                    <w:r>
                                      <w:rPr>
                                        <w:rFonts w:ascii="Times New Roman" w:eastAsia="Times New Roman" w:hAnsi="Times New Roman" w:cs="Times New Roman"/>
                                        <w:lang w:val="hu-HU"/>
                                      </w:rPr>
                                      <w:t>ábra</w:t>
                                    </w:r>
                                  </w:p>
                                </w:txbxContent>
                              </wps:txbx>
                              <wps:bodyPr rot="0" vert="horz" wrap="square" lIns="0" tIns="0" rIns="0" bIns="0" anchor="t" anchorCtr="0" upright="1">
                                <a:spAutoFit/>
                              </wps:bodyPr>
                            </wps:wsp>
                            <pic:pic xmlns:pic="http://schemas.openxmlformats.org/drawingml/2006/picture">
                              <pic:nvPicPr>
                                <pic:cNvPr id="81" name="그림 8"/>
                                <pic:cNvPicPr>
                                  <a:picLocks noChangeAspect="1"/>
                                </pic:cNvPicPr>
                              </pic:nvPicPr>
                              <pic:blipFill>
                                <a:blip r:embed="rId111" cstate="print">
                                  <a:extLst>
                                    <a:ext uri="{28A0092B-C50C-407E-A947-70E740481C1C}">
                                      <a14:useLocalDpi xmlns:a14="http://schemas.microsoft.com/office/drawing/2010/main" val="0"/>
                                    </a:ext>
                                  </a:extLst>
                                </a:blip>
                                <a:srcRect/>
                                <a:stretch/>
                              </pic:blipFill>
                              <pic:spPr>
                                <a:xfrm>
                                  <a:off x="0" y="0"/>
                                  <a:ext cx="2167255" cy="3606800"/>
                                </a:xfrm>
                                <a:prstGeom prst="rect">
                                  <a:avLst/>
                                </a:prstGeom>
                                <a:ln>
                                  <a:solidFill>
                                    <a:schemeClr val="tx1"/>
                                  </a:solidFill>
                                </a:ln>
                              </pic:spPr>
                            </pic:pic>
                          </wpg:wgp>
                        </a:graphicData>
                      </a:graphic>
                    </wp:anchor>
                  </w:drawing>
                </mc:Choice>
                <mc:Fallback>
                  <w:pict>
                    <v:group w14:anchorId="226AB67F" id="그룹 79" o:spid="_x0000_s1152" style="position:absolute;margin-left:11.7pt;margin-top:15.1pt;width:170.65pt;height:296.2pt;z-index:251658306" coordsize="21672,37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">
                      <v:shape id="Text Box 55" o:spid="_x0000_s1153" type="#_x0000_t202" style="position:absolute;left:14339;top:36160;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" stroked="f">
                        <v:textbox style="mso-fit-shape-to-text:t" inset="0,0,0,0">
                          <w:txbxContent>
                            <w:p w14:paraId="2F32E07A"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I. </w:t>
                              </w:r>
                              <w:r>
                                <w:rPr>
                                  <w:rFonts w:ascii="Times New Roman" w:eastAsia="Times New Roman" w:hAnsi="Times New Roman" w:cs="Times New Roman"/>
                                  <w:lang w:val="hu-HU"/>
                                </w:rPr>
                                <w:t>ábra</w:t>
                              </w:r>
                            </w:p>
                          </w:txbxContent>
                        </v:textbox>
                      </v:shape>
                      <v:shape id="그림 8" o:spid="_x0000_s1154" type="#_x0000_t75" style="position:absolute;width:21672;height:3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" stroked="t" strokecolor="black [3213]">
                        <v:imagedata r:id="rId112" o:title=""/>
                        <v:path arrowok="t"/>
                      </v:shape>
                      <w10:wrap type="square"/>
                    </v:group>
                  </w:pict>
                </mc:Fallback>
              </mc:AlternateContent>
            </w:r>
          </w:p>
          <w:p w14:paraId="3BAA4B04" w14:textId="77777777" w:rsidR="0037407E" w:rsidRDefault="0037407E" w:rsidP="00FD05AA">
            <w:pPr>
              <w:pStyle w:val="a3"/>
              <w:numPr>
                <w:ilvl w:val="0"/>
                <w:numId w:val="63"/>
              </w:numPr>
              <w:ind w:left="4320" w:hanging="4209"/>
              <w:rPr>
                <w:b/>
                <w:lang w:val="hu-HU"/>
              </w:rPr>
            </w:pPr>
            <w:r>
              <w:rPr>
                <w:rFonts w:eastAsia="Times New Roman"/>
                <w:b/>
                <w:bCs/>
                <w:lang w:val="hu-HU"/>
              </w:rPr>
              <w:t xml:space="preserve">Helyezze az előretöltött fecskendőt az injekció beadási helyére </w:t>
            </w:r>
          </w:p>
          <w:p w14:paraId="0F0CB30B" w14:textId="77777777" w:rsidR="0037407E" w:rsidRDefault="0037407E" w:rsidP="007E7849">
            <w:pPr>
              <w:pStyle w:val="a3"/>
              <w:numPr>
                <w:ilvl w:val="0"/>
                <w:numId w:val="0"/>
              </w:numPr>
              <w:ind w:left="111"/>
              <w:rPr>
                <w:b/>
                <w:lang w:val="hu-HU"/>
              </w:rPr>
            </w:pPr>
          </w:p>
          <w:p w14:paraId="753D779F" w14:textId="77777777" w:rsidR="0037407E" w:rsidRDefault="0037407E" w:rsidP="007E7849">
            <w:pPr>
              <w:pStyle w:val="a3"/>
              <w:numPr>
                <w:ilvl w:val="0"/>
                <w:numId w:val="0"/>
              </w:numPr>
              <w:ind w:left="720"/>
              <w:rPr>
                <w:lang w:val="hu-HU"/>
              </w:rPr>
            </w:pPr>
            <w:r>
              <w:rPr>
                <w:rFonts w:eastAsia="Times New Roman"/>
                <w:b/>
                <w:bCs/>
                <w:lang w:val="hu-HU"/>
              </w:rPr>
              <w:t xml:space="preserve">a. </w:t>
            </w:r>
            <w:r>
              <w:rPr>
                <w:rFonts w:eastAsia="Times New Roman"/>
                <w:lang w:val="hu-HU"/>
              </w:rPr>
              <w:t>Óvatosan csípje össze a bőrredőt az injekció beadásának helyén egy kézzel.</w:t>
            </w:r>
          </w:p>
          <w:p w14:paraId="52230BAB" w14:textId="77777777" w:rsidR="0037407E" w:rsidRDefault="0037407E" w:rsidP="007E7849">
            <w:pPr>
              <w:pStyle w:val="a3"/>
              <w:rPr>
                <w:lang w:val="hu-HU"/>
              </w:rPr>
            </w:pPr>
          </w:p>
          <w:p w14:paraId="2583712B" w14:textId="77777777" w:rsidR="0037407E" w:rsidRDefault="0037407E" w:rsidP="007E7849">
            <w:pPr>
              <w:pStyle w:val="a3"/>
              <w:rPr>
                <w:lang w:val="hu-HU"/>
              </w:rPr>
            </w:pPr>
            <w:r>
              <w:rPr>
                <w:rFonts w:eastAsia="Times New Roman"/>
                <w:b/>
                <w:bCs/>
                <w:lang w:val="hu-HU"/>
              </w:rPr>
              <w:t>b</w:t>
            </w:r>
            <w:r>
              <w:rPr>
                <w:rFonts w:eastAsia="Times New Roman"/>
                <w:lang w:val="hu-HU"/>
              </w:rPr>
              <w:t>. Az előretöltött  fecskendőt a a fecskendő testénél fogva, szúrja be a tűt teljesen a bőrredőbe 45 fokos szögben, gyors és rövid mozdulattal.</w:t>
            </w:r>
          </w:p>
          <w:p w14:paraId="3E99547D" w14:textId="77777777" w:rsidR="0037407E" w:rsidRDefault="0037407E" w:rsidP="007E7849">
            <w:pPr>
              <w:pStyle w:val="a3"/>
              <w:rPr>
                <w:lang w:val="hu-HU"/>
              </w:rPr>
            </w:pPr>
          </w:p>
        </w:tc>
      </w:tr>
      <w:tr w:rsidR="0037407E" w:rsidRPr="00BE4D18" w14:paraId="1853F65F" w14:textId="77777777" w:rsidTr="00600C35">
        <w:trPr>
          <w:trHeight w:val="6066"/>
        </w:trPr>
        <w:tc>
          <w:tcPr>
            <w:tcW w:w="9550" w:type="dxa"/>
          </w:tcPr>
          <w:p w14:paraId="2C003352" w14:textId="77777777" w:rsidR="0037407E" w:rsidRDefault="0037407E" w:rsidP="007E7849">
            <w:pPr>
              <w:ind w:left="104"/>
              <w:rPr>
                <w:rFonts w:ascii="Times New Roman" w:eastAsia="Times New Roman" w:hAnsi="Times New Roman" w:cs="Times New Roman"/>
                <w:b/>
                <w:bCs/>
                <w:spacing w:val="-1"/>
                <w:lang w:val="hu-HU"/>
              </w:rPr>
            </w:pPr>
          </w:p>
          <w:p w14:paraId="1EBD8B29" w14:textId="77777777" w:rsidR="0037407E" w:rsidRDefault="0037407E" w:rsidP="007E7849">
            <w:pPr>
              <w:ind w:left="104"/>
              <w:rPr>
                <w:rFonts w:ascii="Times New Roman" w:eastAsia="Times New Roman" w:hAnsi="Times New Roman" w:cs="Times New Roman"/>
                <w:lang w:val="hu-HU"/>
              </w:rPr>
            </w:pPr>
          </w:p>
          <w:p w14:paraId="68906A7A" w14:textId="7DBF8FBA" w:rsidR="0037407E" w:rsidRDefault="0037407E" w:rsidP="007E7849">
            <w:pPr>
              <w:pStyle w:val="1"/>
              <w:spacing w:before="76"/>
              <w:ind w:left="0" w:right="2736"/>
              <w:rPr>
                <w:rFonts w:eastAsiaTheme="minorEastAsia"/>
                <w:lang w:val="hu-HU" w:eastAsia="ko-KR"/>
              </w:rPr>
            </w:pPr>
            <w:r>
              <w:rPr>
                <w:rFonts w:eastAsiaTheme="minorEastAsia"/>
                <w:noProof/>
                <w:lang w:eastAsia="ko-KR"/>
              </w:rPr>
              <mc:AlternateContent>
                <mc:Choice Requires="wpg">
                  <w:drawing>
                    <wp:anchor distT="0" distB="0" distL="114300" distR="114300" simplePos="0" relativeHeight="251658290" behindDoc="0" locked="0" layoutInCell="1" allowOverlap="1" wp14:anchorId="45407A70" wp14:editId="3F7AD687">
                      <wp:simplePos x="0" y="0"/>
                      <wp:positionH relativeFrom="column">
                        <wp:posOffset>68903</wp:posOffset>
                      </wp:positionH>
                      <wp:positionV relativeFrom="paragraph">
                        <wp:posOffset>187529</wp:posOffset>
                      </wp:positionV>
                      <wp:extent cx="2184705" cy="2768551"/>
                      <wp:effectExtent l="19050" t="19050" r="25400" b="0"/>
                      <wp:wrapSquare wrapText="bothSides"/>
                      <wp:docPr id="82" name="그룹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4705" cy="2768551"/>
                                <a:chOff x="0" y="74"/>
                                <a:chExt cx="21850" cy="27685"/>
                              </a:xfrm>
                            </wpg:grpSpPr>
                            <pic:pic xmlns:pic="http://schemas.openxmlformats.org/drawingml/2006/picture">
                              <pic:nvPicPr>
                                <pic:cNvPr id="83" name="그림 76"/>
                                <pic:cNvPicPr>
                                  <a:picLocks noChangeAspect="1"/>
                                </pic:cNvPicPr>
                              </pic:nvPicPr>
                              <pic:blipFill>
                                <a:blip r:embed="rId113" cstate="print">
                                  <a:extLst>
                                    <a:ext uri="{28A0092B-C50C-407E-A947-70E740481C1C}">
                                      <a14:useLocalDpi xmlns:a14="http://schemas.microsoft.com/office/drawing/2010/main" val="0"/>
                                    </a:ext>
                                  </a:extLst>
                                </a:blip>
                                <a:srcRect/>
                                <a:stretch/>
                              </pic:blipFill>
                              <pic:spPr bwMode="auto">
                                <a:xfrm>
                                  <a:off x="0" y="74"/>
                                  <a:ext cx="21850" cy="25671"/>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wps:wsp>
                              <wps:cNvPr id="84" name="Text Box 58"/>
                              <wps:cNvSpPr txBox="1">
                                <a:spLocks noChangeArrowheads="1"/>
                              </wps:cNvSpPr>
                              <wps:spPr bwMode="auto">
                                <a:xfrm>
                                  <a:off x="14652" y="26299"/>
                                  <a:ext cx="7198" cy="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6CD451"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J. </w:t>
                                    </w:r>
                                    <w:r>
                                      <w:rPr>
                                        <w:rFonts w:ascii="Times New Roman" w:eastAsia="Times New Roman" w:hAnsi="Times New Roman" w:cs="Times New Roman"/>
                                        <w:lang w:val="hu-HU"/>
                                      </w:rPr>
                                      <w:t>ábra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45407A70" id="_x0000_s1155" style="position:absolute;margin-left:5.45pt;margin-top:14.75pt;width:172pt;height:218pt;z-index:251658290" coordorigin=",74" coordsize="21850,27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">
                      <v:shape id="그림 76" o:spid="_x0000_s1156" type="#_x0000_t75" style="position:absolute;top:74;width:21850;height:25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" stroked="t" strokecolor="black [3213]">
                        <v:imagedata r:id="rId114" o:title=""/>
                        <v:path arrowok="t"/>
                      </v:shape>
                      <v:shape id="Text Box 58" o:spid="_x0000_s1157" type="#_x0000_t202" style="position:absolute;left:14652;top:26299;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" stroked="f">
                        <v:textbox style="mso-fit-shape-to-text:t" inset="0,0,0,0">
                          <w:txbxContent>
                            <w:p w14:paraId="526CD451"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J. </w:t>
                              </w:r>
                              <w:r>
                                <w:rPr>
                                  <w:rFonts w:ascii="Times New Roman" w:eastAsia="Times New Roman" w:hAnsi="Times New Roman" w:cs="Times New Roman"/>
                                  <w:lang w:val="hu-HU"/>
                                </w:rPr>
                                <w:t>ábra</w:t>
                              </w:r>
                            </w:p>
                          </w:txbxContent>
                        </v:textbox>
                      </v:shape>
                      <w10:wrap type="square"/>
                    </v:group>
                  </w:pict>
                </mc:Fallback>
              </mc:AlternateContent>
            </w:r>
          </w:p>
          <w:p w14:paraId="62AEC395" w14:textId="77777777" w:rsidR="0037407E" w:rsidRPr="001E2F31" w:rsidRDefault="0037407E" w:rsidP="00FD05AA">
            <w:pPr>
              <w:pStyle w:val="a3"/>
              <w:numPr>
                <w:ilvl w:val="0"/>
                <w:numId w:val="63"/>
              </w:numPr>
              <w:rPr>
                <w:b/>
                <w:lang w:val="hu-HU"/>
              </w:rPr>
            </w:pPr>
            <w:r w:rsidRPr="00010223">
              <w:rPr>
                <w:rFonts w:eastAsia="Times New Roman"/>
                <w:b/>
                <w:bCs/>
                <w:lang w:val="hu-HU"/>
              </w:rPr>
              <w:t xml:space="preserve">Az </w:t>
            </w:r>
            <w:r w:rsidRPr="001E2F31">
              <w:rPr>
                <w:rFonts w:eastAsia="Times New Roman"/>
                <w:b/>
                <w:lang w:val="hu-HU"/>
              </w:rPr>
              <w:t>injekció beadása</w:t>
            </w:r>
          </w:p>
          <w:p w14:paraId="65920C29" w14:textId="77777777" w:rsidR="0037407E" w:rsidRDefault="0037407E" w:rsidP="007E7849">
            <w:pPr>
              <w:pStyle w:val="a3"/>
              <w:rPr>
                <w:lang w:val="hu-HU"/>
              </w:rPr>
            </w:pPr>
          </w:p>
          <w:p w14:paraId="2EE9635A" w14:textId="77777777" w:rsidR="0037407E" w:rsidRDefault="0037407E" w:rsidP="007E7849">
            <w:pPr>
              <w:pStyle w:val="a3"/>
              <w:ind w:left="4230" w:hanging="4230"/>
              <w:rPr>
                <w:lang w:val="hu-HU"/>
              </w:rPr>
            </w:pPr>
            <w:r>
              <w:rPr>
                <w:rFonts w:eastAsia="Times New Roman"/>
                <w:b/>
                <w:bCs/>
                <w:lang w:val="hu-HU"/>
              </w:rPr>
              <w:t xml:space="preserve">     a. </w:t>
            </w:r>
            <w:r w:rsidRPr="001E2F31">
              <w:rPr>
                <w:rFonts w:eastAsia="Times New Roman"/>
                <w:bCs/>
                <w:lang w:val="hu-HU"/>
              </w:rPr>
              <w:t>A</w:t>
            </w:r>
            <w:r w:rsidRPr="00010223">
              <w:rPr>
                <w:rFonts w:eastAsia="Times New Roman"/>
                <w:lang w:val="hu-HU"/>
              </w:rPr>
              <w:t xml:space="preserve"> </w:t>
            </w:r>
            <w:r>
              <w:rPr>
                <w:rFonts w:eastAsia="Times New Roman"/>
                <w:lang w:val="hu-HU"/>
              </w:rPr>
              <w:t>tű beszúrása után engedje el az összecsípett bőrt.</w:t>
            </w:r>
          </w:p>
          <w:p w14:paraId="4A954119" w14:textId="77777777" w:rsidR="0037407E" w:rsidRDefault="0037407E" w:rsidP="007E7849">
            <w:pPr>
              <w:pStyle w:val="a3"/>
              <w:ind w:left="4230" w:hanging="4230"/>
              <w:rPr>
                <w:lang w:val="hu-HU"/>
              </w:rPr>
            </w:pPr>
            <w:r>
              <w:rPr>
                <w:rFonts w:eastAsia="Times New Roman"/>
                <w:b/>
                <w:bCs/>
                <w:lang w:val="hu-HU"/>
              </w:rPr>
              <w:t xml:space="preserve">     b.</w:t>
            </w:r>
            <w:r w:rsidRPr="001E2F31">
              <w:rPr>
                <w:rFonts w:eastAsia="Times New Roman"/>
                <w:bCs/>
                <w:lang w:val="hu-HU"/>
              </w:rPr>
              <w:t xml:space="preserve"> L</w:t>
            </w:r>
            <w:r>
              <w:rPr>
                <w:rFonts w:eastAsia="Times New Roman"/>
                <w:lang w:val="hu-HU"/>
              </w:rPr>
              <w:t>assan nyomja le teljesen a dugattyút, mindaddig amíg az összes folyadékot befecskendezi, és a fecskendő kiürül.</w:t>
            </w:r>
          </w:p>
          <w:p w14:paraId="5AEF27E8" w14:textId="77777777" w:rsidR="0037407E" w:rsidRDefault="0037407E" w:rsidP="007E7849">
            <w:pPr>
              <w:pStyle w:val="a3"/>
              <w:rPr>
                <w:lang w:val="hu-HU"/>
              </w:rPr>
            </w:pPr>
          </w:p>
          <w:p w14:paraId="23DAE898" w14:textId="77777777" w:rsidR="0037407E" w:rsidRDefault="0037407E" w:rsidP="007E7849">
            <w:pPr>
              <w:pStyle w:val="a3"/>
              <w:rPr>
                <w:lang w:val="hu-HU"/>
              </w:rPr>
            </w:pPr>
          </w:p>
          <w:p w14:paraId="2019C59E" w14:textId="77777777" w:rsidR="0037407E" w:rsidRDefault="0037407E" w:rsidP="007E7849">
            <w:pPr>
              <w:pStyle w:val="a3"/>
              <w:rPr>
                <w:rFonts w:asciiTheme="majorBidi" w:hAnsiTheme="majorBidi" w:cstheme="majorBidi"/>
                <w:lang w:val="hu-HU"/>
              </w:rPr>
            </w:pPr>
            <w:r>
              <w:rPr>
                <w:rFonts w:asciiTheme="majorBidi" w:eastAsia="맑은 고딕" w:hAnsiTheme="majorBidi" w:cstheme="majorBidi"/>
                <w:lang w:val="hu-HU"/>
              </w:rPr>
              <w:t>•</w:t>
            </w:r>
            <w:r>
              <w:rPr>
                <w:rFonts w:asciiTheme="majorBidi" w:eastAsia="Times New Roman" w:hAnsiTheme="majorBidi" w:cstheme="majorBidi"/>
                <w:lang w:val="hu-HU"/>
              </w:rPr>
              <w:t xml:space="preserve"> </w:t>
            </w:r>
            <w:r w:rsidRPr="001E2F31">
              <w:rPr>
                <w:rFonts w:asciiTheme="majorBidi" w:eastAsia="Times New Roman" w:hAnsiTheme="majorBidi" w:cstheme="majorBidi"/>
                <w:bCs/>
                <w:lang w:val="hu-HU"/>
              </w:rPr>
              <w:t>Az</w:t>
            </w:r>
            <w:r>
              <w:rPr>
                <w:rFonts w:asciiTheme="majorBidi" w:eastAsia="Times New Roman" w:hAnsiTheme="majorBidi" w:cstheme="majorBidi"/>
                <w:b/>
                <w:bCs/>
                <w:lang w:val="hu-HU"/>
              </w:rPr>
              <w:t xml:space="preserve"> </w:t>
            </w:r>
            <w:r>
              <w:rPr>
                <w:rFonts w:asciiTheme="majorBidi" w:eastAsia="맑은 고딕" w:hAnsiTheme="majorBidi" w:cstheme="majorBidi"/>
                <w:lang w:val="hu-HU"/>
              </w:rPr>
              <w:t xml:space="preserve">injekció beadása után </w:t>
            </w:r>
            <w:r w:rsidRPr="001E2F31">
              <w:rPr>
                <w:rFonts w:asciiTheme="majorBidi" w:eastAsia="맑은 고딕" w:hAnsiTheme="majorBidi" w:cstheme="majorBidi"/>
                <w:b/>
                <w:lang w:val="hu-HU"/>
              </w:rPr>
              <w:t>ne</w:t>
            </w:r>
            <w:r>
              <w:rPr>
                <w:rFonts w:asciiTheme="majorBidi" w:eastAsia="Times New Roman" w:hAnsiTheme="majorBidi" w:cstheme="majorBidi"/>
                <w:lang w:val="hu-HU"/>
              </w:rPr>
              <w:t xml:space="preserve"> változtassa meg az előretöltött fecskendő helyzetét.</w:t>
            </w:r>
          </w:p>
          <w:p w14:paraId="17BF134C" w14:textId="77777777" w:rsidR="0037407E" w:rsidRDefault="0037407E" w:rsidP="007E7849">
            <w:pPr>
              <w:pStyle w:val="a3"/>
              <w:rPr>
                <w:lang w:val="hu-HU" w:eastAsia="ko-KR"/>
              </w:rPr>
            </w:pPr>
            <w:r>
              <w:rPr>
                <w:color w:val="211D1E"/>
                <w:sz w:val="20"/>
                <w:szCs w:val="20"/>
                <w:lang w:val="hu-HU"/>
              </w:rPr>
              <w:t xml:space="preserve"> </w:t>
            </w:r>
          </w:p>
        </w:tc>
      </w:tr>
      <w:tr w:rsidR="0037407E" w:rsidRPr="00BE4D18" w14:paraId="635A0C26" w14:textId="77777777" w:rsidTr="00600C35">
        <w:trPr>
          <w:trHeight w:val="5374"/>
        </w:trPr>
        <w:tc>
          <w:tcPr>
            <w:tcW w:w="9550" w:type="dxa"/>
          </w:tcPr>
          <w:p w14:paraId="681F50FC" w14:textId="77777777" w:rsidR="0037407E" w:rsidRDefault="0037407E" w:rsidP="007E7849">
            <w:pPr>
              <w:ind w:left="104"/>
              <w:rPr>
                <w:rFonts w:asciiTheme="majorBidi" w:eastAsia="Times New Roman" w:hAnsiTheme="majorBidi" w:cstheme="majorBidi"/>
                <w:b/>
                <w:bCs/>
                <w:spacing w:val="-1"/>
                <w:lang w:val="hu-HU"/>
              </w:rPr>
            </w:pPr>
          </w:p>
          <w:p w14:paraId="1472AF69" w14:textId="77777777" w:rsidR="0037407E" w:rsidRDefault="0037407E" w:rsidP="007E7849">
            <w:pPr>
              <w:rPr>
                <w:rFonts w:asciiTheme="majorBidi" w:eastAsia="Times New Roman" w:hAnsiTheme="majorBidi" w:cstheme="majorBidi"/>
                <w:lang w:val="hu-HU"/>
              </w:rPr>
            </w:pPr>
          </w:p>
          <w:p w14:paraId="0EC01D26" w14:textId="77777777" w:rsidR="0037407E" w:rsidRDefault="0037407E" w:rsidP="007E7849">
            <w:pPr>
              <w:pStyle w:val="a3"/>
              <w:rPr>
                <w:rFonts w:asciiTheme="majorBidi" w:hAnsiTheme="majorBidi" w:cstheme="majorBidi"/>
                <w:lang w:val="hu-HU"/>
              </w:rPr>
            </w:pPr>
            <w:r>
              <w:rPr>
                <w:rFonts w:asciiTheme="majorBidi" w:hAnsiTheme="majorBidi" w:cstheme="majorBidi"/>
                <w:noProof/>
                <w:lang w:eastAsia="ko-KR"/>
              </w:rPr>
              <mc:AlternateContent>
                <mc:Choice Requires="wpg">
                  <w:drawing>
                    <wp:anchor distT="0" distB="0" distL="114300" distR="114300" simplePos="0" relativeHeight="251658298" behindDoc="0" locked="0" layoutInCell="1" allowOverlap="1" wp14:anchorId="5A8BB1C0" wp14:editId="6AFF57BA">
                      <wp:simplePos x="0" y="0"/>
                      <wp:positionH relativeFrom="column">
                        <wp:posOffset>70485</wp:posOffset>
                      </wp:positionH>
                      <wp:positionV relativeFrom="paragraph">
                        <wp:posOffset>66040</wp:posOffset>
                      </wp:positionV>
                      <wp:extent cx="2159635" cy="2881630"/>
                      <wp:effectExtent l="19050" t="19050" r="12065" b="0"/>
                      <wp:wrapSquare wrapText="bothSides"/>
                      <wp:docPr id="85" name="그룹 85"/>
                      <wp:cNvGraphicFramePr/>
                      <a:graphic xmlns:a="http://schemas.openxmlformats.org/drawingml/2006/main">
                        <a:graphicData uri="http://schemas.microsoft.com/office/word/2010/wordprocessingGroup">
                          <wpg:wgp>
                            <wpg:cNvGrpSpPr/>
                            <wpg:grpSpPr>
                              <a:xfrm>
                                <a:off x="0" y="0"/>
                                <a:ext cx="2159635" cy="2872300"/>
                                <a:chOff x="0" y="9330"/>
                                <a:chExt cx="2159635" cy="2872300"/>
                              </a:xfrm>
                            </wpg:grpSpPr>
                            <wps:wsp>
                              <wps:cNvPr id="86" name="Text Box 62"/>
                              <wps:cNvSpPr txBox="1">
                                <a:spLocks/>
                              </wps:cNvSpPr>
                              <wps:spPr>
                                <a:xfrm>
                                  <a:off x="1440180" y="2735580"/>
                                  <a:ext cx="719455" cy="146050"/>
                                </a:xfrm>
                                <a:prstGeom prst="rect">
                                  <a:avLst/>
                                </a:prstGeom>
                                <a:solidFill>
                                  <a:prstClr val="white"/>
                                </a:solidFill>
                                <a:ln>
                                  <a:noFill/>
                                </a:ln>
                              </wps:spPr>
                              <wps:txbx>
                                <w:txbxContent>
                                  <w:p w14:paraId="6547B885"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K. </w:t>
                                    </w:r>
                                    <w:r>
                                      <w:rPr>
                                        <w:rFonts w:ascii="Times New Roman" w:eastAsia="Times New Roman" w:hAnsi="Times New Roman" w:cs="Times New Roman"/>
                                        <w:lang w:val="hu-HU"/>
                                      </w:rPr>
                                      <w:t xml:space="preserve">ábra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87" name="그림 87"/>
                                <pic:cNvPicPr>
                                  <a:picLocks noChangeAspect="1"/>
                                </pic:cNvPicPr>
                              </pic:nvPicPr>
                              <pic:blipFill>
                                <a:blip r:embed="rId115" cstate="print">
                                  <a:extLst>
                                    <a:ext uri="{28A0092B-C50C-407E-A947-70E740481C1C}">
                                      <a14:useLocalDpi xmlns:a14="http://schemas.microsoft.com/office/drawing/2010/main" val="0"/>
                                    </a:ext>
                                  </a:extLst>
                                </a:blip>
                                <a:srcRect/>
                                <a:stretch/>
                              </pic:blipFill>
                              <pic:spPr>
                                <a:xfrm>
                                  <a:off x="0" y="9330"/>
                                  <a:ext cx="2159635" cy="2647705"/>
                                </a:xfrm>
                                <a:prstGeom prst="rect">
                                  <a:avLst/>
                                </a:prstGeom>
                                <a:ln w="12700">
                                  <a:solidFill>
                                    <a:schemeClr val="tx1">
                                      <a:lumMod val="65000"/>
                                      <a:lumOff val="35000"/>
                                    </a:schemeClr>
                                  </a:solidFill>
                                </a:ln>
                              </pic:spPr>
                            </pic:pic>
                          </wpg:wgp>
                        </a:graphicData>
                      </a:graphic>
                    </wp:anchor>
                  </w:drawing>
                </mc:Choice>
                <mc:Fallback>
                  <w:pict>
                    <v:group w14:anchorId="5A8BB1C0" id="그룹 85" o:spid="_x0000_s1158" style="position:absolute;margin-left:5.55pt;margin-top:5.2pt;width:170.05pt;height:226.9pt;z-index:251658298" coordorigin=",93" coordsize="21596,28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">
                      <v:shape id="Text Box 62" o:spid="_x0000_s1159" type="#_x0000_t202" style="position:absolute;left:14401;top:27355;width:7195;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" stroked="f">
                        <v:textbox style="mso-fit-shape-to-text:t" inset="0,0,0,0">
                          <w:txbxContent>
                            <w:p w14:paraId="6547B885"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K. </w:t>
                              </w:r>
                              <w:r>
                                <w:rPr>
                                  <w:rFonts w:ascii="Times New Roman" w:eastAsia="Times New Roman" w:hAnsi="Times New Roman" w:cs="Times New Roman"/>
                                  <w:lang w:val="hu-HU"/>
                                </w:rPr>
                                <w:t xml:space="preserve">ábra </w:t>
                              </w:r>
                            </w:p>
                          </w:txbxContent>
                        </v:textbox>
                      </v:shape>
                      <v:shape id="그림 87" o:spid="_x0000_s1160" type="#_x0000_t75" style="position:absolute;top:93;width:21596;height:2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" stroked="t" strokecolor="#5a5a5a [2109]" strokeweight="1pt">
                        <v:imagedata r:id="rId116" o:title=""/>
                        <v:path arrowok="t"/>
                      </v:shape>
                      <w10:wrap type="square"/>
                    </v:group>
                  </w:pict>
                </mc:Fallback>
              </mc:AlternateContent>
            </w:r>
          </w:p>
          <w:p w14:paraId="7B2AF1A6" w14:textId="77777777" w:rsidR="0037407E" w:rsidRDefault="0037407E" w:rsidP="00FD05AA">
            <w:pPr>
              <w:pStyle w:val="a3"/>
              <w:numPr>
                <w:ilvl w:val="0"/>
                <w:numId w:val="63"/>
              </w:numPr>
              <w:ind w:left="4320" w:hanging="4209"/>
              <w:rPr>
                <w:rFonts w:asciiTheme="majorBidi" w:hAnsiTheme="majorBidi" w:cstheme="majorBidi"/>
                <w:b/>
                <w:lang w:val="hu-HU"/>
              </w:rPr>
            </w:pPr>
            <w:r>
              <w:rPr>
                <w:rFonts w:asciiTheme="majorBidi" w:eastAsia="Times New Roman" w:hAnsiTheme="majorBidi" w:cstheme="majorBidi"/>
                <w:b/>
                <w:bCs/>
                <w:lang w:val="hu-HU"/>
              </w:rPr>
              <w:t>Huzza ki az előretöltött fecskendőt az injekció beadásának helyéről és lássa el az injekció beadásának helyét</w:t>
            </w:r>
          </w:p>
          <w:p w14:paraId="39856C02" w14:textId="77777777" w:rsidR="0037407E" w:rsidRDefault="0037407E" w:rsidP="007E7849">
            <w:pPr>
              <w:pStyle w:val="a3"/>
              <w:numPr>
                <w:ilvl w:val="0"/>
                <w:numId w:val="0"/>
              </w:numPr>
              <w:ind w:left="471"/>
              <w:rPr>
                <w:rFonts w:asciiTheme="majorBidi" w:hAnsiTheme="majorBidi" w:cstheme="majorBidi"/>
                <w:b/>
                <w:lang w:val="hu-HU"/>
              </w:rPr>
            </w:pPr>
          </w:p>
          <w:p w14:paraId="4E8D688F" w14:textId="77777777" w:rsidR="0037407E" w:rsidRDefault="0037407E" w:rsidP="00FD05AA">
            <w:pPr>
              <w:pStyle w:val="a3"/>
              <w:numPr>
                <w:ilvl w:val="0"/>
                <w:numId w:val="45"/>
              </w:numPr>
              <w:ind w:left="4410" w:hanging="4095"/>
              <w:rPr>
                <w:rFonts w:asciiTheme="majorBidi" w:hAnsiTheme="majorBidi" w:cstheme="majorBidi"/>
                <w:lang w:val="hu-HU"/>
              </w:rPr>
            </w:pPr>
            <w:r>
              <w:rPr>
                <w:rFonts w:asciiTheme="majorBidi" w:eastAsia="Times New Roman" w:hAnsiTheme="majorBidi" w:cstheme="majorBidi"/>
                <w:lang w:val="hu-HU"/>
              </w:rPr>
              <w:t>Miután az előretöltött fecskendő kiürült, távolítsa el az előretöltött fecskendőt a bőréből, ügyelve arra, hogy ugyanolyan szögben húzza ki, mint amilyen szögben beleszúrta.</w:t>
            </w:r>
          </w:p>
          <w:p w14:paraId="21F11C01" w14:textId="77777777" w:rsidR="0037407E" w:rsidRDefault="0037407E" w:rsidP="00FD05AA">
            <w:pPr>
              <w:pStyle w:val="a3"/>
              <w:numPr>
                <w:ilvl w:val="0"/>
                <w:numId w:val="45"/>
              </w:numPr>
              <w:ind w:left="4410" w:hanging="4095"/>
              <w:rPr>
                <w:rFonts w:asciiTheme="majorBidi" w:eastAsia="Times New Roman" w:hAnsiTheme="majorBidi" w:cstheme="majorBidi"/>
                <w:lang w:val="hu-HU"/>
              </w:rPr>
            </w:pPr>
            <w:r>
              <w:rPr>
                <w:rFonts w:asciiTheme="majorBidi" w:eastAsia="Times New Roman" w:hAnsiTheme="majorBidi" w:cstheme="majorBidi"/>
                <w:lang w:val="hu-HU"/>
              </w:rPr>
              <w:t>Lássa el az injekció beadásának helyét óvatosan, nyomjon egy vattacsomót vagy gézdarabot a beadási helyre, ne dörzsölje, ha szükséges, használjon ragtapaszt. Csekély vérzés előfordulhat.</w:t>
            </w:r>
          </w:p>
          <w:p w14:paraId="39CC14FA" w14:textId="77777777" w:rsidR="0037407E" w:rsidRDefault="0037407E" w:rsidP="007E7849">
            <w:pPr>
              <w:pStyle w:val="a3"/>
              <w:rPr>
                <w:rFonts w:asciiTheme="majorBidi" w:hAnsiTheme="majorBidi" w:cstheme="majorBidi"/>
                <w:lang w:val="hu-HU"/>
              </w:rPr>
            </w:pPr>
          </w:p>
          <w:p w14:paraId="654D80A7" w14:textId="77777777" w:rsidR="0037407E" w:rsidRDefault="0037407E" w:rsidP="007E7849">
            <w:pPr>
              <w:pStyle w:val="a3"/>
              <w:rPr>
                <w:rFonts w:asciiTheme="majorBidi" w:hAnsiTheme="majorBidi" w:cstheme="majorBidi"/>
                <w:lang w:val="hu-HU"/>
              </w:rPr>
            </w:pPr>
            <w:r>
              <w:rPr>
                <w:rFonts w:asciiTheme="majorBidi" w:hAnsiTheme="majorBidi" w:cstheme="majorBidi"/>
                <w:lang w:val="hu-HU"/>
              </w:rPr>
              <w:t xml:space="preserve"> </w:t>
            </w:r>
          </w:p>
          <w:p w14:paraId="694D6B98" w14:textId="77777777" w:rsidR="0037407E" w:rsidRDefault="0037407E" w:rsidP="007E7849">
            <w:pPr>
              <w:pStyle w:val="a3"/>
              <w:rPr>
                <w:rFonts w:asciiTheme="majorBidi" w:hAnsiTheme="majorBidi" w:cstheme="majorBidi"/>
                <w:lang w:val="hu-HU"/>
              </w:rPr>
            </w:pPr>
            <w:r>
              <w:rPr>
                <w:rFonts w:asciiTheme="majorBidi" w:eastAsia="맑은 고딕" w:hAnsiTheme="majorBidi" w:cstheme="majorBidi"/>
                <w:lang w:val="hu-HU"/>
              </w:rPr>
              <w:t>•</w:t>
            </w:r>
            <w:r>
              <w:rPr>
                <w:rFonts w:asciiTheme="majorBidi" w:eastAsia="Times New Roman" w:hAnsiTheme="majorBidi" w:cstheme="majorBidi"/>
                <w:lang w:val="hu-HU"/>
              </w:rPr>
              <w:t xml:space="preserve"> </w:t>
            </w:r>
            <w:r>
              <w:rPr>
                <w:rFonts w:asciiTheme="majorBidi" w:eastAsia="Times New Roman" w:hAnsiTheme="majorBidi" w:cstheme="majorBidi"/>
                <w:b/>
                <w:bCs/>
                <w:lang w:val="hu-HU"/>
              </w:rPr>
              <w:t>Ne</w:t>
            </w:r>
            <w:r>
              <w:rPr>
                <w:rFonts w:asciiTheme="majorBidi" w:eastAsia="Times New Roman" w:hAnsiTheme="majorBidi" w:cstheme="majorBidi"/>
                <w:lang w:val="hu-HU"/>
              </w:rPr>
              <w:t xml:space="preserve"> használja újra azelőretöltött fecskendőt.</w:t>
            </w:r>
          </w:p>
          <w:p w14:paraId="5A2599C2" w14:textId="77777777" w:rsidR="0037407E" w:rsidRDefault="0037407E" w:rsidP="007E7849">
            <w:pPr>
              <w:pStyle w:val="a3"/>
              <w:rPr>
                <w:rFonts w:asciiTheme="majorBidi" w:hAnsiTheme="majorBidi" w:cstheme="majorBidi"/>
                <w:lang w:val="hu-HU"/>
              </w:rPr>
            </w:pPr>
            <w:r>
              <w:rPr>
                <w:rFonts w:asciiTheme="majorBidi" w:eastAsia="맑은 고딕" w:hAnsiTheme="majorBidi" w:cstheme="majorBidi"/>
                <w:lang w:val="hu-HU"/>
              </w:rPr>
              <w:t>•</w:t>
            </w:r>
            <w:r>
              <w:rPr>
                <w:rFonts w:asciiTheme="majorBidi" w:eastAsia="Times New Roman" w:hAnsiTheme="majorBidi" w:cstheme="majorBidi"/>
                <w:lang w:val="hu-HU"/>
              </w:rPr>
              <w:t xml:space="preserve"> </w:t>
            </w:r>
            <w:r>
              <w:rPr>
                <w:rFonts w:asciiTheme="majorBidi" w:eastAsia="Times New Roman" w:hAnsiTheme="majorBidi" w:cstheme="majorBidi"/>
                <w:b/>
                <w:bCs/>
                <w:lang w:val="hu-HU"/>
              </w:rPr>
              <w:t xml:space="preserve">Ne </w:t>
            </w:r>
            <w:r>
              <w:rPr>
                <w:rFonts w:asciiTheme="majorBidi" w:eastAsia="Times New Roman" w:hAnsiTheme="majorBidi" w:cstheme="majorBidi"/>
                <w:lang w:val="hu-HU"/>
              </w:rPr>
              <w:t>érintse meg vagy tegye vissza a tűre a tűvédő tokot.</w:t>
            </w:r>
          </w:p>
          <w:p w14:paraId="6F8884C2" w14:textId="77777777" w:rsidR="0037407E" w:rsidRDefault="0037407E" w:rsidP="007E7849">
            <w:pPr>
              <w:pStyle w:val="a3"/>
              <w:rPr>
                <w:rFonts w:asciiTheme="majorBidi" w:hAnsiTheme="majorBidi" w:cstheme="majorBidi"/>
                <w:lang w:val="hu-HU"/>
              </w:rPr>
            </w:pPr>
            <w:r>
              <w:rPr>
                <w:rFonts w:asciiTheme="majorBidi" w:eastAsia="맑은 고딕" w:hAnsiTheme="majorBidi" w:cstheme="majorBidi"/>
                <w:lang w:val="hu-HU"/>
              </w:rPr>
              <w:t xml:space="preserve">• </w:t>
            </w:r>
            <w:r>
              <w:rPr>
                <w:rFonts w:asciiTheme="majorBidi" w:eastAsia="맑은 고딕" w:hAnsiTheme="majorBidi" w:cstheme="majorBidi"/>
                <w:b/>
                <w:bCs/>
                <w:lang w:val="hu-HU"/>
              </w:rPr>
              <w:t xml:space="preserve">Ne </w:t>
            </w:r>
            <w:r>
              <w:rPr>
                <w:rFonts w:asciiTheme="majorBidi" w:eastAsia="맑은 고딕" w:hAnsiTheme="majorBidi" w:cstheme="majorBidi"/>
                <w:lang w:val="hu-HU"/>
              </w:rPr>
              <w:t xml:space="preserve">dörzsölje az </w:t>
            </w:r>
            <w:r>
              <w:rPr>
                <w:rFonts w:asciiTheme="majorBidi" w:eastAsia="Times New Roman" w:hAnsiTheme="majorBidi" w:cstheme="majorBidi"/>
                <w:lang w:val="hu-HU"/>
              </w:rPr>
              <w:t xml:space="preserve">injekció </w:t>
            </w:r>
            <w:r>
              <w:rPr>
                <w:rFonts w:asciiTheme="majorBidi" w:eastAsia="맑은 고딕" w:hAnsiTheme="majorBidi" w:cstheme="majorBidi"/>
                <w:lang w:val="hu-HU"/>
              </w:rPr>
              <w:t xml:space="preserve">beadásának </w:t>
            </w:r>
            <w:r>
              <w:rPr>
                <w:rFonts w:asciiTheme="majorBidi" w:eastAsia="Times New Roman" w:hAnsiTheme="majorBidi" w:cstheme="majorBidi"/>
                <w:lang w:val="hu-HU"/>
              </w:rPr>
              <w:t>helyét</w:t>
            </w:r>
            <w:r>
              <w:rPr>
                <w:rFonts w:asciiTheme="majorBidi" w:eastAsia="맑은 고딕" w:hAnsiTheme="majorBidi" w:cstheme="majorBidi"/>
                <w:lang w:val="hu-HU"/>
              </w:rPr>
              <w:t>.</w:t>
            </w:r>
          </w:p>
        </w:tc>
      </w:tr>
      <w:tr w:rsidR="0037407E" w:rsidRPr="00BE4D18" w14:paraId="74FDF419" w14:textId="77777777" w:rsidTr="00600C35">
        <w:trPr>
          <w:trHeight w:val="5380"/>
        </w:trPr>
        <w:tc>
          <w:tcPr>
            <w:tcW w:w="9550" w:type="dxa"/>
          </w:tcPr>
          <w:p w14:paraId="1090E972" w14:textId="77777777" w:rsidR="0037407E" w:rsidRDefault="0037407E" w:rsidP="007E7849">
            <w:pPr>
              <w:ind w:left="104"/>
              <w:rPr>
                <w:rFonts w:ascii="Times New Roman" w:eastAsia="Times New Roman" w:hAnsi="Times New Roman" w:cs="Times New Roman"/>
                <w:b/>
                <w:bCs/>
                <w:spacing w:val="-1"/>
                <w:lang w:val="hu-HU"/>
              </w:rPr>
            </w:pPr>
          </w:p>
          <w:p w14:paraId="22587383" w14:textId="77777777" w:rsidR="0037407E" w:rsidRDefault="0037407E" w:rsidP="007E7849">
            <w:pPr>
              <w:pStyle w:val="a3"/>
              <w:rPr>
                <w:lang w:val="hu-HU"/>
              </w:rPr>
            </w:pPr>
            <w:r>
              <w:rPr>
                <w:noProof/>
                <w:lang w:eastAsia="ko-KR"/>
              </w:rPr>
              <mc:AlternateContent>
                <mc:Choice Requires="wpg">
                  <w:drawing>
                    <wp:anchor distT="0" distB="0" distL="114300" distR="114300" simplePos="0" relativeHeight="251658297" behindDoc="0" locked="0" layoutInCell="1" allowOverlap="1" wp14:anchorId="6E56F89D" wp14:editId="2ED5BF50">
                      <wp:simplePos x="0" y="0"/>
                      <wp:positionH relativeFrom="column">
                        <wp:posOffset>-635</wp:posOffset>
                      </wp:positionH>
                      <wp:positionV relativeFrom="paragraph">
                        <wp:posOffset>157480</wp:posOffset>
                      </wp:positionV>
                      <wp:extent cx="2228215" cy="2907030"/>
                      <wp:effectExtent l="19050" t="19050" r="19685" b="7620"/>
                      <wp:wrapSquare wrapText="bothSides"/>
                      <wp:docPr id="88" name="그룹 88"/>
                      <wp:cNvGraphicFramePr/>
                      <a:graphic xmlns:a="http://schemas.openxmlformats.org/drawingml/2006/main">
                        <a:graphicData uri="http://schemas.microsoft.com/office/word/2010/wordprocessingGroup">
                          <wpg:wgp>
                            <wpg:cNvGrpSpPr/>
                            <wpg:grpSpPr>
                              <a:xfrm>
                                <a:off x="0" y="0"/>
                                <a:ext cx="2228215" cy="2907030"/>
                                <a:chOff x="3524" y="0"/>
                                <a:chExt cx="2118011" cy="2782570"/>
                              </a:xfrm>
                            </wpg:grpSpPr>
                            <wps:wsp>
                              <wps:cNvPr id="89" name="Text Box 64"/>
                              <wps:cNvSpPr txBox="1">
                                <a:spLocks/>
                              </wps:cNvSpPr>
                              <wps:spPr>
                                <a:xfrm>
                                  <a:off x="1402080" y="2636520"/>
                                  <a:ext cx="719455" cy="146050"/>
                                </a:xfrm>
                                <a:prstGeom prst="rect">
                                  <a:avLst/>
                                </a:prstGeom>
                                <a:solidFill>
                                  <a:prstClr val="white"/>
                                </a:solidFill>
                                <a:ln>
                                  <a:noFill/>
                                </a:ln>
                              </wps:spPr>
                              <wps:txbx>
                                <w:txbxContent>
                                  <w:p w14:paraId="1584FCAE"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L. </w:t>
                                    </w:r>
                                    <w:r>
                                      <w:rPr>
                                        <w:rFonts w:ascii="Times New Roman" w:eastAsia="Times New Roman" w:hAnsi="Times New Roman" w:cs="Times New Roman"/>
                                        <w:lang w:val="hu-HU"/>
                                      </w:rPr>
                                      <w:t>Ábra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93" name="그림 93"/>
                                <pic:cNvPicPr>
                                  <a:picLocks noChangeAspect="1"/>
                                </pic:cNvPicPr>
                              </pic:nvPicPr>
                              <pic:blipFill>
                                <a:blip r:embed="rId117" cstate="print">
                                  <a:extLst>
                                    <a:ext uri="{28A0092B-C50C-407E-A947-70E740481C1C}">
                                      <a14:useLocalDpi xmlns:a14="http://schemas.microsoft.com/office/drawing/2010/main" val="0"/>
                                    </a:ext>
                                  </a:extLst>
                                </a:blip>
                                <a:srcRect/>
                                <a:stretch/>
                              </pic:blipFill>
                              <pic:spPr>
                                <a:xfrm>
                                  <a:off x="3524" y="0"/>
                                  <a:ext cx="2116391" cy="2606675"/>
                                </a:xfrm>
                                <a:prstGeom prst="rect">
                                  <a:avLst/>
                                </a:prstGeom>
                                <a:ln w="12700">
                                  <a:solidFill>
                                    <a:schemeClr val="tx1">
                                      <a:lumMod val="65000"/>
                                      <a:lumOff val="3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6E56F89D" id="그룹 88" o:spid="_x0000_s1161" style="position:absolute;margin-left:-.05pt;margin-top:12.4pt;width:175.45pt;height:228.9pt;z-index:251658297;mso-width-relative:margin;mso-height-relative:margin" coordorigin="35" coordsize="21180,27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&#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">
                      <v:shape id="Text Box 64" o:spid="_x0000_s1162" type="#_x0000_t202" style="position:absolute;left:14020;top:26365;width:7195;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" stroked="f">
                        <v:textbox inset="0,0,0,0">
                          <w:txbxContent>
                            <w:p w14:paraId="1584FCAE"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L. </w:t>
                              </w:r>
                              <w:r>
                                <w:rPr>
                                  <w:rFonts w:ascii="Times New Roman" w:eastAsia="Times New Roman" w:hAnsi="Times New Roman" w:cs="Times New Roman"/>
                                  <w:lang w:val="hu-HU"/>
                                </w:rPr>
                                <w:t>Ábra</w:t>
                              </w:r>
                            </w:p>
                          </w:txbxContent>
                        </v:textbox>
                      </v:shape>
                      <v:shape id="그림 93" o:spid="_x0000_s1163" type="#_x0000_t75" style="position:absolute;left:35;width:21164;height:26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" stroked="t" strokecolor="#5a5a5a [2109]" strokeweight="1pt">
                        <v:imagedata r:id="rId118" o:title=""/>
                        <v:path arrowok="t"/>
                      </v:shape>
                      <w10:wrap type="square"/>
                    </v:group>
                  </w:pict>
                </mc:Fallback>
              </mc:AlternateContent>
            </w:r>
          </w:p>
          <w:p w14:paraId="36542BCD" w14:textId="77777777" w:rsidR="0037407E" w:rsidRDefault="0037407E" w:rsidP="007E7849">
            <w:pPr>
              <w:pStyle w:val="a3"/>
              <w:rPr>
                <w:lang w:val="hu-HU"/>
              </w:rPr>
            </w:pPr>
          </w:p>
          <w:p w14:paraId="56212EB0" w14:textId="77777777" w:rsidR="0037407E" w:rsidRPr="00010223" w:rsidRDefault="0037407E" w:rsidP="00FD05AA">
            <w:pPr>
              <w:pStyle w:val="a3"/>
              <w:numPr>
                <w:ilvl w:val="0"/>
                <w:numId w:val="63"/>
              </w:numPr>
              <w:rPr>
                <w:b/>
                <w:lang w:val="hu-HU"/>
              </w:rPr>
            </w:pPr>
            <w:r w:rsidRPr="00010223">
              <w:rPr>
                <w:rFonts w:eastAsia="Times New Roman"/>
                <w:b/>
                <w:bCs/>
                <w:lang w:val="hu-HU"/>
              </w:rPr>
              <w:t xml:space="preserve">Az előretöltött </w:t>
            </w:r>
            <w:r w:rsidRPr="001E2F31">
              <w:rPr>
                <w:rFonts w:eastAsia="Times New Roman"/>
                <w:b/>
                <w:lang w:val="hu-HU"/>
              </w:rPr>
              <w:t>fecskendő eldobása.</w:t>
            </w:r>
          </w:p>
          <w:p w14:paraId="52090043" w14:textId="77777777" w:rsidR="0037407E" w:rsidRDefault="0037407E" w:rsidP="007E7849">
            <w:pPr>
              <w:pStyle w:val="a3"/>
              <w:ind w:left="3960" w:hanging="3960"/>
              <w:rPr>
                <w:b/>
                <w:lang w:val="hu-HU"/>
              </w:rPr>
            </w:pPr>
            <w:r>
              <w:rPr>
                <w:rFonts w:ascii="맑은 고딕" w:eastAsia="맑은 고딕" w:hAnsi="맑은 고딕"/>
                <w:lang w:val="hu-HU"/>
              </w:rPr>
              <w:t>•</w:t>
            </w:r>
            <w:r>
              <w:rPr>
                <w:rFonts w:eastAsia="Times New Roman"/>
                <w:lang w:val="hu-HU"/>
              </w:rPr>
              <w:tab/>
            </w:r>
            <w:r>
              <w:rPr>
                <w:rFonts w:eastAsia="Times New Roman"/>
                <w:b/>
                <w:bCs/>
                <w:lang w:val="hu-HU"/>
              </w:rPr>
              <w:t>Ne</w:t>
            </w:r>
            <w:r>
              <w:rPr>
                <w:rFonts w:eastAsia="Times New Roman"/>
                <w:lang w:val="hu-HU"/>
              </w:rPr>
              <w:t xml:space="preserve"> rakja vissza a tűvédő tokot az előretöltött fecskendőre.</w:t>
            </w:r>
          </w:p>
          <w:p w14:paraId="3E5BDA83" w14:textId="77777777" w:rsidR="0037407E" w:rsidRDefault="0037407E" w:rsidP="007E7849">
            <w:pPr>
              <w:pStyle w:val="a3"/>
              <w:numPr>
                <w:ilvl w:val="0"/>
                <w:numId w:val="0"/>
              </w:numPr>
              <w:ind w:left="3969"/>
              <w:rPr>
                <w:lang w:val="hu-HU"/>
              </w:rPr>
            </w:pPr>
            <w:r>
              <w:rPr>
                <w:rFonts w:eastAsia="Times New Roman"/>
                <w:b/>
                <w:bCs/>
                <w:lang w:val="hu-HU"/>
              </w:rPr>
              <w:t xml:space="preserve">a. </w:t>
            </w:r>
            <w:r>
              <w:rPr>
                <w:rFonts w:eastAsia="Times New Roman"/>
                <w:lang w:val="hu-HU"/>
              </w:rPr>
              <w:t>Dobja a használt előretöltött fecskendőt</w:t>
            </w:r>
          </w:p>
          <w:p w14:paraId="64DABB10" w14:textId="77777777" w:rsidR="0037407E" w:rsidRDefault="0037407E" w:rsidP="007E7849">
            <w:pPr>
              <w:pStyle w:val="a3"/>
              <w:ind w:left="3969"/>
              <w:rPr>
                <w:lang w:val="hu-HU"/>
              </w:rPr>
            </w:pPr>
            <w:r>
              <w:rPr>
                <w:rFonts w:eastAsia="Times New Roman"/>
                <w:lang w:val="hu-HU"/>
              </w:rPr>
              <w:t>az éles tárgyak tárolására szolgáló speciális tartályba a kezelőorvosa gyógyszerésze vagy a gondozását végző egészségügyi szakember utasításai szerint.</w:t>
            </w:r>
          </w:p>
          <w:p w14:paraId="36474F19" w14:textId="77777777" w:rsidR="0037407E" w:rsidRDefault="0037407E" w:rsidP="007E7849">
            <w:pPr>
              <w:pStyle w:val="a3"/>
              <w:ind w:left="3969"/>
              <w:rPr>
                <w:lang w:val="hu-HU"/>
              </w:rPr>
            </w:pPr>
            <w:r>
              <w:rPr>
                <w:rFonts w:eastAsia="Times New Roman"/>
                <w:b/>
                <w:bCs/>
                <w:lang w:val="hu-HU"/>
              </w:rPr>
              <w:t>b.</w:t>
            </w:r>
            <w:r w:rsidRPr="001E2F31">
              <w:rPr>
                <w:rFonts w:eastAsia="Times New Roman"/>
                <w:bCs/>
                <w:lang w:val="hu-HU"/>
              </w:rPr>
              <w:t xml:space="preserve"> A</w:t>
            </w:r>
            <w:r w:rsidRPr="00010223">
              <w:rPr>
                <w:rFonts w:eastAsia="Times New Roman"/>
                <w:lang w:val="hu-HU"/>
              </w:rPr>
              <w:t>z</w:t>
            </w:r>
            <w:r>
              <w:rPr>
                <w:rFonts w:eastAsia="Times New Roman"/>
                <w:lang w:val="hu-HU"/>
              </w:rPr>
              <w:t xml:space="preserve"> alkoholos törlőt és a csomagolást a háztartási hulladékba helyezheti.</w:t>
            </w:r>
          </w:p>
          <w:p w14:paraId="68B23657" w14:textId="77777777" w:rsidR="0037407E" w:rsidRDefault="0037407E" w:rsidP="007E7849">
            <w:pPr>
              <w:pStyle w:val="a3"/>
              <w:ind w:left="3960" w:hanging="3960"/>
              <w:rPr>
                <w:lang w:val="hu-HU"/>
              </w:rPr>
            </w:pPr>
            <w:r>
              <w:rPr>
                <w:rFonts w:ascii="맑은 고딕" w:eastAsia="맑은 고딕" w:hAnsi="맑은 고딕"/>
                <w:lang w:val="hu-HU"/>
              </w:rPr>
              <w:t>•</w:t>
            </w:r>
            <w:r>
              <w:rPr>
                <w:rFonts w:eastAsia="Times New Roman"/>
                <w:lang w:val="hu-HU"/>
              </w:rPr>
              <w:tab/>
              <w:t>Az előretöltött fecskendőt és a külön, éles tárgyak tárolására szolgáló speciális tartályt a gyermekek elől elzárva kell tartani.</w:t>
            </w:r>
          </w:p>
          <w:p w14:paraId="17DB93A8" w14:textId="77777777" w:rsidR="0037407E" w:rsidRDefault="0037407E" w:rsidP="007E7849">
            <w:pPr>
              <w:pStyle w:val="a3"/>
              <w:rPr>
                <w:lang w:val="hu-HU"/>
              </w:rPr>
            </w:pPr>
          </w:p>
          <w:p w14:paraId="5DBC44A9" w14:textId="77777777" w:rsidR="0037407E" w:rsidRDefault="0037407E" w:rsidP="007E7849">
            <w:pPr>
              <w:pStyle w:val="a3"/>
              <w:rPr>
                <w:lang w:val="hu-HU"/>
              </w:rPr>
            </w:pPr>
          </w:p>
          <w:p w14:paraId="1AA2DCD1" w14:textId="77777777" w:rsidR="0037407E" w:rsidRDefault="0037407E" w:rsidP="007E7849">
            <w:pPr>
              <w:pStyle w:val="a3"/>
              <w:rPr>
                <w:spacing w:val="-1"/>
                <w:lang w:val="hu-HU"/>
              </w:rPr>
            </w:pPr>
          </w:p>
        </w:tc>
      </w:tr>
    </w:tbl>
    <w:p w14:paraId="4D8A496F" w14:textId="77777777" w:rsidR="0037407E" w:rsidRDefault="0037407E" w:rsidP="0037407E">
      <w:pPr>
        <w:spacing w:line="241" w:lineRule="auto"/>
        <w:rPr>
          <w:lang w:val="hu-HU"/>
        </w:rPr>
      </w:pPr>
    </w:p>
    <w:p w14:paraId="4D3005F5" w14:textId="77777777" w:rsidR="0037407E" w:rsidRDefault="0037407E" w:rsidP="0037407E">
      <w:pPr>
        <w:rPr>
          <w:lang w:val="hu-HU"/>
        </w:rPr>
      </w:pPr>
      <w:r>
        <w:rPr>
          <w:lang w:val="hu-HU"/>
        </w:rPr>
        <w:br w:type="page"/>
      </w:r>
    </w:p>
    <w:p w14:paraId="19B81E66" w14:textId="77777777" w:rsidR="0037407E" w:rsidRDefault="0037407E" w:rsidP="0037407E">
      <w:pPr>
        <w:pStyle w:val="a3"/>
        <w:rPr>
          <w:b/>
          <w:lang w:val="hu-HU"/>
        </w:rPr>
      </w:pPr>
      <w:r w:rsidRPr="000405CC">
        <w:rPr>
          <w:rFonts w:eastAsia="Times New Roman"/>
          <w:b/>
          <w:bCs/>
          <w:highlight w:val="lightGray"/>
          <w:lang w:val="hu-HU"/>
        </w:rPr>
        <w:lastRenderedPageBreak/>
        <w:t>Yuflyma előretöltött injekciós fecskendő tűvédővel</w:t>
      </w:r>
    </w:p>
    <w:p w14:paraId="4772FF9A" w14:textId="77777777" w:rsidR="0037407E" w:rsidRDefault="0037407E" w:rsidP="0037407E">
      <w:pPr>
        <w:pStyle w:val="a3"/>
        <w:rPr>
          <w:lang w:val="hu-HU"/>
        </w:rPr>
      </w:pPr>
      <w:r w:rsidRPr="00B11505">
        <w:rPr>
          <w:rFonts w:eastAsia="Times New Roman"/>
          <w:b/>
          <w:bCs/>
          <w:noProof/>
          <w:sz w:val="20"/>
          <w:szCs w:val="20"/>
          <w:lang w:eastAsia="ko-KR"/>
        </w:rPr>
        <w:drawing>
          <wp:anchor distT="0" distB="0" distL="114300" distR="114300" simplePos="0" relativeHeight="251658307" behindDoc="0" locked="0" layoutInCell="1" allowOverlap="1" wp14:anchorId="3F2262CF" wp14:editId="4E7BAFD0">
            <wp:simplePos x="0" y="0"/>
            <wp:positionH relativeFrom="column">
              <wp:posOffset>1140460</wp:posOffset>
            </wp:positionH>
            <wp:positionV relativeFrom="paragraph">
              <wp:posOffset>206375</wp:posOffset>
            </wp:positionV>
            <wp:extent cx="4021455" cy="3686175"/>
            <wp:effectExtent l="19050" t="19050" r="17145" b="28575"/>
            <wp:wrapTopAndBottom/>
            <wp:docPr id="156"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그림 9"/>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4021455" cy="36861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1C49AE7" w14:textId="77777777" w:rsidR="0037407E" w:rsidRDefault="0037407E" w:rsidP="0037407E">
      <w:pPr>
        <w:spacing w:before="10" w:line="240" w:lineRule="exact"/>
        <w:ind w:left="6480" w:firstLineChars="500" w:firstLine="1001"/>
        <w:rPr>
          <w:rFonts w:ascii="Times New Roman" w:hAnsi="Times New Roman" w:cs="Times New Roman"/>
          <w:b/>
          <w:sz w:val="20"/>
          <w:szCs w:val="24"/>
          <w:lang w:val="hu-HU" w:eastAsia="ko-KR"/>
        </w:rPr>
      </w:pPr>
      <w:r w:rsidRPr="00543C3D">
        <w:rPr>
          <w:rFonts w:ascii="Times New Roman" w:eastAsia="Times New Roman" w:hAnsi="Times New Roman" w:cs="Times New Roman"/>
          <w:b/>
          <w:bCs/>
          <w:sz w:val="20"/>
          <w:szCs w:val="20"/>
          <w:highlight w:val="lightGray"/>
          <w:lang w:val="hu-HU" w:eastAsia="ko-KR"/>
        </w:rPr>
        <w:t>A. ábra</w:t>
      </w:r>
    </w:p>
    <w:p w14:paraId="0E774F3C" w14:textId="77777777" w:rsidR="0037407E" w:rsidRDefault="0037407E" w:rsidP="0037407E">
      <w:pPr>
        <w:spacing w:before="10" w:line="240" w:lineRule="exact"/>
        <w:rPr>
          <w:sz w:val="24"/>
          <w:szCs w:val="24"/>
          <w:lang w:val="hu-HU"/>
        </w:rPr>
      </w:pPr>
    </w:p>
    <w:p w14:paraId="122776EF" w14:textId="77777777" w:rsidR="0037407E" w:rsidRPr="004B23C8" w:rsidRDefault="0037407E" w:rsidP="0037407E">
      <w:pPr>
        <w:pStyle w:val="a3"/>
        <w:rPr>
          <w:b/>
          <w:highlight w:val="lightGray"/>
          <w:lang w:val="hu-HU"/>
        </w:rPr>
      </w:pPr>
      <w:r w:rsidRPr="004B23C8">
        <w:rPr>
          <w:rFonts w:eastAsia="Times New Roman"/>
          <w:b/>
          <w:bCs/>
          <w:highlight w:val="lightGray"/>
          <w:lang w:val="hu-HU"/>
        </w:rPr>
        <w:t>Azelőretöltött fecskendőt ne használja fel, ha:</w:t>
      </w:r>
    </w:p>
    <w:p w14:paraId="0F0A62E7" w14:textId="77777777" w:rsidR="0037407E" w:rsidRPr="004B23C8" w:rsidRDefault="0037407E" w:rsidP="0037407E">
      <w:pPr>
        <w:pStyle w:val="a3"/>
        <w:numPr>
          <w:ilvl w:val="1"/>
          <w:numId w:val="23"/>
        </w:numPr>
        <w:ind w:left="660" w:hanging="660"/>
        <w:rPr>
          <w:highlight w:val="lightGray"/>
          <w:lang w:val="hu-HU"/>
        </w:rPr>
      </w:pPr>
      <w:r w:rsidRPr="004B23C8">
        <w:rPr>
          <w:rFonts w:eastAsia="Times New Roman"/>
          <w:highlight w:val="lightGray"/>
          <w:lang w:val="hu-HU"/>
        </w:rPr>
        <w:t>megrepedt vagy sérült</w:t>
      </w:r>
    </w:p>
    <w:p w14:paraId="1C80F49D" w14:textId="16838EBF" w:rsidR="0037407E" w:rsidRPr="004A2083" w:rsidRDefault="0037407E" w:rsidP="0037407E">
      <w:pPr>
        <w:pStyle w:val="a3"/>
        <w:numPr>
          <w:ilvl w:val="1"/>
          <w:numId w:val="23"/>
        </w:numPr>
        <w:ind w:left="660" w:hanging="660"/>
        <w:rPr>
          <w:rFonts w:eastAsia="Times New Roman"/>
          <w:highlight w:val="lightGray"/>
          <w:lang w:val="hu-HU"/>
        </w:rPr>
      </w:pPr>
      <w:r w:rsidRPr="004B23C8">
        <w:rPr>
          <w:rFonts w:eastAsia="Times New Roman"/>
          <w:highlight w:val="lightGray"/>
          <w:lang w:val="hu-HU"/>
        </w:rPr>
        <w:t>a lejárati idő lejárt.</w:t>
      </w:r>
    </w:p>
    <w:p w14:paraId="59D67F75" w14:textId="22479F24" w:rsidR="004A2083" w:rsidRPr="004B23C8" w:rsidRDefault="004A2083" w:rsidP="0037407E">
      <w:pPr>
        <w:pStyle w:val="a3"/>
        <w:numPr>
          <w:ilvl w:val="1"/>
          <w:numId w:val="23"/>
        </w:numPr>
        <w:ind w:left="660" w:hanging="660"/>
        <w:rPr>
          <w:highlight w:val="lightGray"/>
          <w:lang w:val="hu-HU"/>
        </w:rPr>
      </w:pPr>
      <w:r w:rsidRPr="00FB6A69">
        <w:rPr>
          <w:rFonts w:eastAsia="Times New Roman"/>
          <w:highlight w:val="lightGray"/>
          <w:lang w:val="hu-HU"/>
        </w:rPr>
        <w:t>kemény felületre ejtette.</w:t>
      </w:r>
    </w:p>
    <w:p w14:paraId="1A34E375" w14:textId="77777777" w:rsidR="0037407E" w:rsidRPr="004B23C8" w:rsidRDefault="0037407E" w:rsidP="0037407E">
      <w:pPr>
        <w:pStyle w:val="Default"/>
        <w:numPr>
          <w:ilvl w:val="2"/>
          <w:numId w:val="20"/>
        </w:numPr>
        <w:ind w:left="360"/>
        <w:rPr>
          <w:color w:val="211D1E"/>
          <w:sz w:val="20"/>
          <w:szCs w:val="20"/>
          <w:highlight w:val="lightGray"/>
          <w:lang w:val="hu-HU"/>
        </w:rPr>
      </w:pPr>
    </w:p>
    <w:p w14:paraId="7A06D0B9" w14:textId="77777777" w:rsidR="0037407E" w:rsidRDefault="0037407E" w:rsidP="0037407E">
      <w:pPr>
        <w:pStyle w:val="a3"/>
        <w:rPr>
          <w:b/>
          <w:lang w:val="hu-HU"/>
        </w:rPr>
      </w:pPr>
      <w:r w:rsidRPr="004B23C8">
        <w:rPr>
          <w:rFonts w:eastAsia="Times New Roman"/>
          <w:b/>
          <w:bCs/>
          <w:highlight w:val="lightGray"/>
          <w:lang w:val="hu-HU"/>
        </w:rPr>
        <w:t>A tűvédő tokot ne távolítsa el, csak közvetlenül az injekció beadása előtt. A Yuflyma gyermekektől elzárva tartandó</w:t>
      </w:r>
      <w:r>
        <w:rPr>
          <w:rFonts w:eastAsia="Times New Roman"/>
          <w:b/>
          <w:bCs/>
          <w:highlight w:val="lightGray"/>
          <w:lang w:val="hu-HU"/>
        </w:rPr>
        <w:t>.</w:t>
      </w:r>
    </w:p>
    <w:p w14:paraId="72824583" w14:textId="62E6FC62" w:rsidR="0037407E" w:rsidRDefault="0037407E" w:rsidP="0037407E">
      <w:pPr>
        <w:rPr>
          <w:rFonts w:ascii="Times New Roman" w:eastAsia="Times New Roman" w:hAnsi="Times New Roman"/>
          <w:b/>
          <w:bCs/>
          <w:spacing w:val="-1"/>
          <w:lang w:val="hu-HU"/>
        </w:rPr>
      </w:pPr>
    </w:p>
    <w:tbl>
      <w:tblPr>
        <w:tblStyle w:val="ac"/>
        <w:tblW w:w="0" w:type="auto"/>
        <w:tblLook w:val="04A0" w:firstRow="1" w:lastRow="0" w:firstColumn="1" w:lastColumn="0" w:noHBand="0" w:noVBand="1"/>
      </w:tblPr>
      <w:tblGrid>
        <w:gridCol w:w="9550"/>
      </w:tblGrid>
      <w:tr w:rsidR="0037407E" w:rsidRPr="00BE4D18" w14:paraId="5F94F346" w14:textId="77777777" w:rsidTr="007E7849">
        <w:trPr>
          <w:trHeight w:val="2545"/>
        </w:trPr>
        <w:tc>
          <w:tcPr>
            <w:tcW w:w="9550" w:type="dxa"/>
          </w:tcPr>
          <w:p w14:paraId="0AB1999F" w14:textId="77777777" w:rsidR="0037407E" w:rsidRPr="000405CC" w:rsidRDefault="0037407E" w:rsidP="007E7849">
            <w:pPr>
              <w:ind w:left="224" w:right="1248"/>
              <w:rPr>
                <w:rFonts w:ascii="Times New Roman" w:eastAsia="Times New Roman" w:hAnsi="Times New Roman" w:cs="Times New Roman"/>
                <w:b/>
                <w:bCs/>
                <w:spacing w:val="-1"/>
                <w:highlight w:val="lightGray"/>
                <w:lang w:val="hu-HU"/>
              </w:rPr>
            </w:pPr>
          </w:p>
          <w:p w14:paraId="5A5F12F2" w14:textId="77777777" w:rsidR="0037407E" w:rsidRPr="000405CC" w:rsidRDefault="0037407E" w:rsidP="007E7849">
            <w:pPr>
              <w:spacing w:before="9" w:line="240" w:lineRule="exact"/>
              <w:rPr>
                <w:sz w:val="24"/>
                <w:szCs w:val="24"/>
                <w:highlight w:val="lightGray"/>
                <w:lang w:val="hu-HU"/>
              </w:rPr>
            </w:pPr>
          </w:p>
          <w:p w14:paraId="0C66B1DF" w14:textId="77777777" w:rsidR="0037407E" w:rsidRPr="00010223" w:rsidRDefault="0037407E" w:rsidP="00FD05AA">
            <w:pPr>
              <w:pStyle w:val="a3"/>
              <w:numPr>
                <w:ilvl w:val="0"/>
                <w:numId w:val="64"/>
              </w:numPr>
              <w:rPr>
                <w:b/>
                <w:highlight w:val="lightGray"/>
                <w:lang w:val="hu-HU"/>
              </w:rPr>
            </w:pPr>
            <w:r w:rsidRPr="00010223">
              <w:rPr>
                <w:rFonts w:eastAsia="Times New Roman"/>
                <w:b/>
                <w:bCs/>
                <w:highlight w:val="lightGray"/>
                <w:lang w:val="hu-HU"/>
              </w:rPr>
              <w:t xml:space="preserve">Készítse elő az </w:t>
            </w:r>
            <w:r w:rsidRPr="001E2F31">
              <w:rPr>
                <w:rFonts w:eastAsia="Times New Roman"/>
                <w:b/>
                <w:highlight w:val="lightGray"/>
                <w:lang w:val="hu-HU"/>
              </w:rPr>
              <w:t>injekció beadásához szükséges eszközöket.</w:t>
            </w:r>
          </w:p>
          <w:p w14:paraId="5AC27753" w14:textId="77777777" w:rsidR="0037407E" w:rsidRPr="000405CC" w:rsidRDefault="0037407E" w:rsidP="007E7849">
            <w:pPr>
              <w:pStyle w:val="a3"/>
              <w:numPr>
                <w:ilvl w:val="0"/>
                <w:numId w:val="0"/>
              </w:numPr>
              <w:ind w:left="580"/>
              <w:rPr>
                <w:b/>
                <w:highlight w:val="lightGray"/>
                <w:lang w:val="hu-HU"/>
              </w:rPr>
            </w:pPr>
          </w:p>
          <w:p w14:paraId="716897A5" w14:textId="77777777" w:rsidR="0037407E" w:rsidRPr="000405CC" w:rsidRDefault="0037407E" w:rsidP="007E7849">
            <w:pPr>
              <w:pStyle w:val="a3"/>
              <w:ind w:leftChars="100" w:left="771" w:hangingChars="250" w:hanging="551"/>
              <w:rPr>
                <w:highlight w:val="lightGray"/>
                <w:lang w:val="hu-HU" w:eastAsia="ko-KR"/>
              </w:rPr>
            </w:pPr>
            <w:r w:rsidRPr="000405CC">
              <w:rPr>
                <w:rFonts w:eastAsia="Times New Roman"/>
                <w:b/>
                <w:bCs/>
                <w:highlight w:val="lightGray"/>
                <w:lang w:val="hu-HU" w:eastAsia="ko-KR"/>
              </w:rPr>
              <w:t xml:space="preserve">      a. </w:t>
            </w:r>
            <w:r w:rsidRPr="001E2F31">
              <w:rPr>
                <w:rFonts w:eastAsia="Times New Roman"/>
                <w:bCs/>
                <w:highlight w:val="lightGray"/>
                <w:lang w:val="hu-HU" w:eastAsia="ko-KR"/>
              </w:rPr>
              <w:t>K</w:t>
            </w:r>
            <w:r w:rsidRPr="000405CC">
              <w:rPr>
                <w:rFonts w:eastAsia="Times New Roman"/>
                <w:highlight w:val="lightGray"/>
                <w:lang w:val="hu-HU" w:eastAsia="ko-KR"/>
              </w:rPr>
              <w:t xml:space="preserve">észítse elő a szükséges eszközöket egy tiszta, </w:t>
            </w:r>
            <w:r>
              <w:rPr>
                <w:rFonts w:eastAsia="Times New Roman"/>
                <w:highlight w:val="lightGray"/>
                <w:lang w:val="hu-HU" w:eastAsia="ko-KR"/>
              </w:rPr>
              <w:t>síma</w:t>
            </w:r>
            <w:r w:rsidRPr="000405CC">
              <w:rPr>
                <w:rFonts w:eastAsia="Times New Roman"/>
                <w:highlight w:val="lightGray"/>
                <w:lang w:val="hu-HU" w:eastAsia="ko-KR"/>
              </w:rPr>
              <w:t xml:space="preserve"> felületen, például az asztalon vagy a konyhapulton:</w:t>
            </w:r>
          </w:p>
          <w:p w14:paraId="548E95BE" w14:textId="77777777" w:rsidR="0037407E" w:rsidRPr="000405CC" w:rsidRDefault="0037407E" w:rsidP="007E7849">
            <w:pPr>
              <w:pStyle w:val="a3"/>
              <w:ind w:leftChars="100" w:left="220"/>
              <w:rPr>
                <w:highlight w:val="lightGray"/>
                <w:lang w:val="hu-HU" w:eastAsia="ko-KR"/>
              </w:rPr>
            </w:pPr>
            <w:r w:rsidRPr="000405CC">
              <w:rPr>
                <w:rFonts w:eastAsia="Times New Roman"/>
                <w:b/>
                <w:bCs/>
                <w:highlight w:val="lightGray"/>
                <w:lang w:val="hu-HU" w:eastAsia="ko-KR"/>
              </w:rPr>
              <w:t xml:space="preserve">     b. </w:t>
            </w:r>
            <w:r w:rsidRPr="000405CC">
              <w:rPr>
                <w:rFonts w:eastAsia="Times New Roman"/>
                <w:highlight w:val="lightGray"/>
                <w:lang w:val="hu-HU" w:eastAsia="ko-KR"/>
              </w:rPr>
              <w:t>Vegyen ki 1 előretöltött fecskendőt a hűtőszekrényben tárolt dobozból.</w:t>
            </w:r>
          </w:p>
          <w:p w14:paraId="7D137D26" w14:textId="77777777" w:rsidR="0037407E" w:rsidRPr="000405CC" w:rsidRDefault="0037407E" w:rsidP="007E7849">
            <w:pPr>
              <w:pStyle w:val="a3"/>
              <w:ind w:leftChars="350" w:left="990" w:rightChars="100" w:right="220" w:hangingChars="100" w:hanging="220"/>
              <w:rPr>
                <w:highlight w:val="lightGray"/>
                <w:lang w:val="hu-HU" w:eastAsia="ko-KR"/>
              </w:rPr>
            </w:pPr>
            <w:r w:rsidRPr="000405CC">
              <w:rPr>
                <w:rFonts w:ascii="맑은 고딕" w:eastAsia="맑은 고딕" w:hAnsi="맑은 고딕"/>
                <w:highlight w:val="lightGray"/>
                <w:lang w:val="hu-HU" w:eastAsia="ko-KR"/>
              </w:rPr>
              <w:t>•</w:t>
            </w:r>
            <w:r>
              <w:rPr>
                <w:rFonts w:ascii="맑은 고딕" w:eastAsia="맑은 고딕" w:hAnsi="맑은 고딕"/>
                <w:highlight w:val="lightGray"/>
                <w:lang w:val="hu-HU" w:eastAsia="ko-KR"/>
              </w:rPr>
              <w:t xml:space="preserve">  </w:t>
            </w:r>
            <w:r w:rsidRPr="000405CC">
              <w:rPr>
                <w:rFonts w:eastAsia="Times New Roman"/>
                <w:highlight w:val="lightGray"/>
                <w:lang w:val="hu-HU" w:eastAsia="ko-KR"/>
              </w:rPr>
              <w:t>Az előretöltött fecskendő testét fogja meg, amiko</w:t>
            </w:r>
            <w:r w:rsidRPr="00010223">
              <w:rPr>
                <w:rFonts w:eastAsia="Times New Roman"/>
                <w:highlight w:val="lightGray"/>
                <w:lang w:val="hu-HU" w:eastAsia="ko-KR"/>
              </w:rPr>
              <w:t>r</w:t>
            </w:r>
            <w:r w:rsidRPr="001E2F31">
              <w:rPr>
                <w:rFonts w:eastAsia="Times New Roman"/>
                <w:bCs/>
                <w:highlight w:val="lightGray"/>
                <w:lang w:val="hu-HU" w:eastAsia="ko-KR"/>
              </w:rPr>
              <w:t xml:space="preserve"> kiveszi a dobozból.</w:t>
            </w:r>
            <w:r w:rsidRPr="000405CC">
              <w:rPr>
                <w:rFonts w:eastAsia="Times New Roman"/>
                <w:b/>
                <w:bCs/>
                <w:highlight w:val="lightGray"/>
                <w:lang w:val="hu-HU" w:eastAsia="ko-KR"/>
              </w:rPr>
              <w:t xml:space="preserve"> Ne </w:t>
            </w:r>
            <w:r w:rsidRPr="000405CC">
              <w:rPr>
                <w:rFonts w:eastAsia="Times New Roman"/>
                <w:highlight w:val="lightGray"/>
                <w:lang w:val="hu-HU" w:eastAsia="ko-KR"/>
              </w:rPr>
              <w:t>érintse meg a dugattyút.</w:t>
            </w:r>
          </w:p>
          <w:p w14:paraId="6FB526EB" w14:textId="77777777" w:rsidR="0037407E" w:rsidRPr="000405CC" w:rsidRDefault="0037407E" w:rsidP="007E7849">
            <w:pPr>
              <w:pStyle w:val="a3"/>
              <w:ind w:leftChars="100" w:left="220"/>
              <w:rPr>
                <w:highlight w:val="lightGray"/>
                <w:lang w:val="hu-HU" w:eastAsia="ko-KR"/>
              </w:rPr>
            </w:pPr>
            <w:r w:rsidRPr="000405CC">
              <w:rPr>
                <w:rFonts w:eastAsia="Times New Roman"/>
                <w:b/>
                <w:bCs/>
                <w:highlight w:val="lightGray"/>
                <w:lang w:val="hu-HU" w:eastAsia="ko-KR"/>
              </w:rPr>
              <w:t xml:space="preserve">    c. B</w:t>
            </w:r>
            <w:r w:rsidRPr="000405CC">
              <w:rPr>
                <w:rFonts w:eastAsia="Times New Roman"/>
                <w:highlight w:val="lightGray"/>
                <w:lang w:val="hu-HU" w:eastAsia="ko-KR"/>
              </w:rPr>
              <w:t>izonyosodjon meg róla, hogy Önnél vannak a következők:</w:t>
            </w:r>
          </w:p>
          <w:p w14:paraId="13A2F8FD" w14:textId="77777777" w:rsidR="0037407E" w:rsidRPr="000405CC" w:rsidRDefault="0037407E" w:rsidP="007E7849">
            <w:pPr>
              <w:pStyle w:val="a3"/>
              <w:ind w:leftChars="337" w:left="741"/>
              <w:rPr>
                <w:highlight w:val="lightGray"/>
                <w:lang w:val="hu-HU" w:eastAsia="ko-KR"/>
              </w:rPr>
            </w:pPr>
            <w:r w:rsidRPr="000405CC">
              <w:rPr>
                <w:rFonts w:eastAsia="Times New Roman"/>
                <w:highlight w:val="lightGray"/>
                <w:lang w:val="hu-HU" w:eastAsia="ko-KR"/>
              </w:rPr>
              <w:t>- Előretöltött fecskendő</w:t>
            </w:r>
          </w:p>
          <w:p w14:paraId="6E36BFE0" w14:textId="77777777" w:rsidR="0037407E" w:rsidRPr="000405CC" w:rsidRDefault="0037407E" w:rsidP="007E7849">
            <w:pPr>
              <w:pStyle w:val="a3"/>
              <w:ind w:leftChars="337" w:left="1264" w:hanging="523"/>
              <w:rPr>
                <w:highlight w:val="lightGray"/>
                <w:lang w:val="hu-HU" w:eastAsia="ko-KR"/>
              </w:rPr>
            </w:pPr>
            <w:r w:rsidRPr="000405CC">
              <w:rPr>
                <w:rFonts w:eastAsia="Times New Roman"/>
                <w:highlight w:val="lightGray"/>
                <w:lang w:val="hu-HU" w:eastAsia="ko-KR"/>
              </w:rPr>
              <w:t>- Alkoholos törlő</w:t>
            </w:r>
          </w:p>
          <w:p w14:paraId="456BD688" w14:textId="77777777" w:rsidR="0037407E" w:rsidRPr="000405CC" w:rsidRDefault="0037407E" w:rsidP="007E7849">
            <w:pPr>
              <w:pStyle w:val="a3"/>
              <w:ind w:leftChars="337" w:left="1264" w:hanging="523"/>
              <w:rPr>
                <w:highlight w:val="lightGray"/>
                <w:lang w:val="hu-HU" w:eastAsia="ko-KR"/>
              </w:rPr>
            </w:pPr>
          </w:p>
          <w:p w14:paraId="5511F772" w14:textId="77777777" w:rsidR="0037407E" w:rsidRPr="000405CC" w:rsidRDefault="0037407E" w:rsidP="007E7849">
            <w:pPr>
              <w:pStyle w:val="a3"/>
              <w:ind w:left="720"/>
              <w:rPr>
                <w:b/>
                <w:highlight w:val="lightGray"/>
                <w:lang w:val="hu-HU" w:eastAsia="ko-KR"/>
              </w:rPr>
            </w:pPr>
            <w:r w:rsidRPr="000405CC">
              <w:rPr>
                <w:rFonts w:eastAsia="Times New Roman"/>
                <w:b/>
                <w:bCs/>
                <w:highlight w:val="lightGray"/>
                <w:lang w:val="hu-HU" w:eastAsia="ko-KR"/>
              </w:rPr>
              <w:t>A doboz nem tartalmazza:</w:t>
            </w:r>
          </w:p>
          <w:p w14:paraId="2D4EBAAA" w14:textId="77777777" w:rsidR="0037407E" w:rsidRPr="000405CC" w:rsidRDefault="0037407E" w:rsidP="007E7849">
            <w:pPr>
              <w:pStyle w:val="a3"/>
              <w:ind w:left="720"/>
              <w:rPr>
                <w:highlight w:val="lightGray"/>
                <w:lang w:val="hu-HU" w:eastAsia="ko-KR"/>
              </w:rPr>
            </w:pPr>
            <w:r w:rsidRPr="000405CC">
              <w:rPr>
                <w:rFonts w:eastAsia="Times New Roman"/>
                <w:highlight w:val="lightGray"/>
                <w:lang w:val="hu-HU" w:eastAsia="ko-KR"/>
              </w:rPr>
              <w:t>- Vattacsomó vagy géz</w:t>
            </w:r>
          </w:p>
          <w:p w14:paraId="405BD4F7" w14:textId="77777777" w:rsidR="0037407E" w:rsidRPr="000405CC" w:rsidRDefault="0037407E" w:rsidP="007E7849">
            <w:pPr>
              <w:pStyle w:val="a3"/>
              <w:ind w:left="720"/>
              <w:rPr>
                <w:highlight w:val="lightGray"/>
                <w:lang w:val="hu-HU" w:eastAsia="ko-KR"/>
              </w:rPr>
            </w:pPr>
            <w:r w:rsidRPr="000405CC">
              <w:rPr>
                <w:rFonts w:eastAsia="Times New Roman"/>
                <w:highlight w:val="lightGray"/>
                <w:lang w:val="hu-HU" w:eastAsia="ko-KR"/>
              </w:rPr>
              <w:t>- Ragtapasz</w:t>
            </w:r>
          </w:p>
          <w:p w14:paraId="1E05CCF7" w14:textId="77777777" w:rsidR="0037407E" w:rsidRPr="000405CC" w:rsidRDefault="0037407E" w:rsidP="007E7849">
            <w:pPr>
              <w:pStyle w:val="a3"/>
              <w:ind w:left="720"/>
              <w:rPr>
                <w:highlight w:val="lightGray"/>
                <w:lang w:val="hu-HU" w:eastAsia="ko-KR"/>
              </w:rPr>
            </w:pPr>
            <w:r w:rsidRPr="000405CC">
              <w:rPr>
                <w:rFonts w:eastAsia="Times New Roman"/>
                <w:highlight w:val="lightGray"/>
                <w:lang w:val="hu-HU" w:eastAsia="ko-KR"/>
              </w:rPr>
              <w:t>- Éles tárgyak tárolására szolgáló tartály</w:t>
            </w:r>
          </w:p>
        </w:tc>
      </w:tr>
      <w:tr w:rsidR="0037407E" w14:paraId="7AF1DF7E" w14:textId="77777777" w:rsidTr="009C7DB8">
        <w:trPr>
          <w:trHeight w:val="4706"/>
        </w:trPr>
        <w:tc>
          <w:tcPr>
            <w:tcW w:w="9550" w:type="dxa"/>
          </w:tcPr>
          <w:p w14:paraId="7045B292" w14:textId="77777777" w:rsidR="0037407E" w:rsidRPr="000405CC" w:rsidRDefault="0037407E" w:rsidP="007E7849">
            <w:pPr>
              <w:ind w:left="224" w:right="1248"/>
              <w:rPr>
                <w:rFonts w:ascii="Times New Roman" w:eastAsia="Times New Roman" w:hAnsi="Times New Roman" w:cs="Times New Roman"/>
                <w:b/>
                <w:bCs/>
                <w:spacing w:val="-1"/>
                <w:highlight w:val="lightGray"/>
                <w:lang w:val="hu-HU"/>
              </w:rPr>
            </w:pPr>
          </w:p>
          <w:p w14:paraId="3CE08BB1" w14:textId="77777777" w:rsidR="0037407E" w:rsidRPr="000405CC" w:rsidRDefault="0037407E" w:rsidP="007E7849">
            <w:pPr>
              <w:pStyle w:val="a3"/>
              <w:rPr>
                <w:highlight w:val="lightGray"/>
                <w:lang w:val="hu-HU"/>
              </w:rPr>
            </w:pPr>
            <w:r>
              <w:rPr>
                <w:noProof/>
                <w:lang w:eastAsia="ko-KR"/>
              </w:rPr>
              <mc:AlternateContent>
                <mc:Choice Requires="wpg">
                  <w:drawing>
                    <wp:anchor distT="0" distB="0" distL="114300" distR="114300" simplePos="0" relativeHeight="251658308" behindDoc="1" locked="0" layoutInCell="1" allowOverlap="1" wp14:anchorId="0F4BE7FD" wp14:editId="7E546876">
                      <wp:simplePos x="0" y="0"/>
                      <wp:positionH relativeFrom="column">
                        <wp:posOffset>100573</wp:posOffset>
                      </wp:positionH>
                      <wp:positionV relativeFrom="paragraph">
                        <wp:posOffset>19392</wp:posOffset>
                      </wp:positionV>
                      <wp:extent cx="2070100" cy="2725420"/>
                      <wp:effectExtent l="19050" t="19050" r="6350" b="0"/>
                      <wp:wrapTight wrapText="bothSides">
                        <wp:wrapPolygon edited="0">
                          <wp:start x="-199" y="-151"/>
                          <wp:lineTo x="-199" y="20382"/>
                          <wp:lineTo x="14510" y="21439"/>
                          <wp:lineTo x="21467" y="21439"/>
                          <wp:lineTo x="21467" y="-151"/>
                          <wp:lineTo x="-199" y="-151"/>
                        </wp:wrapPolygon>
                      </wp:wrapTight>
                      <wp:docPr id="99" name="그룹 99"/>
                      <wp:cNvGraphicFramePr/>
                      <a:graphic xmlns:a="http://schemas.openxmlformats.org/drawingml/2006/main">
                        <a:graphicData uri="http://schemas.microsoft.com/office/word/2010/wordprocessingGroup">
                          <wpg:wgp>
                            <wpg:cNvGrpSpPr/>
                            <wpg:grpSpPr>
                              <a:xfrm>
                                <a:off x="0" y="0"/>
                                <a:ext cx="2070100" cy="2725420"/>
                                <a:chOff x="-8468" y="0"/>
                                <a:chExt cx="2321405" cy="3007013"/>
                              </a:xfrm>
                            </wpg:grpSpPr>
                            <wps:wsp>
                              <wps:cNvPr id="111" name="Text Box 66"/>
                              <wps:cNvSpPr txBox="1"/>
                              <wps:spPr>
                                <a:xfrm>
                                  <a:off x="1593273" y="2860963"/>
                                  <a:ext cx="719664" cy="146050"/>
                                </a:xfrm>
                                <a:prstGeom prst="rect">
                                  <a:avLst/>
                                </a:prstGeom>
                                <a:solidFill>
                                  <a:prstClr val="white"/>
                                </a:solidFill>
                                <a:ln>
                                  <a:noFill/>
                                </a:ln>
                              </wps:spPr>
                              <wps:txbx>
                                <w:txbxContent>
                                  <w:p w14:paraId="4FC0EB00"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w:t>
                                    </w:r>
                                    <w:r>
                                      <w:rPr>
                                        <w:rFonts w:ascii="Times New Roman" w:eastAsia="Times New Roman" w:hAnsi="Times New Roman" w:cs="Times New Roman"/>
                                        <w:highlight w:val="lightGray"/>
                                        <w:lang w:val="hu-HU"/>
                                      </w:rPr>
                                      <w:t xml:space="preserve">B. </w:t>
                                    </w:r>
                                    <w:r>
                                      <w:rPr>
                                        <w:rFonts w:ascii="Times New Roman" w:eastAsia="Times New Roman" w:hAnsi="Times New Roman" w:cs="Times New Roman"/>
                                        <w:highlight w:val="lightGray"/>
                                        <w:lang w:val="hu-HU"/>
                                      </w:rPr>
                                      <w:t>ábra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12" name="그림 10"/>
                                <pic:cNvPicPr>
                                  <a:picLocks noChangeAspect="1"/>
                                </pic:cNvPicPr>
                              </pic:nvPicPr>
                              <pic:blipFill>
                                <a:blip r:embed="rId120" cstate="print">
                                  <a:extLst>
                                    <a:ext uri="{28A0092B-C50C-407E-A947-70E740481C1C}">
                                      <a14:useLocalDpi xmlns:a14="http://schemas.microsoft.com/office/drawing/2010/main" val="0"/>
                                    </a:ext>
                                  </a:extLst>
                                </a:blip>
                                <a:srcRect/>
                                <a:stretch/>
                              </pic:blipFill>
                              <pic:spPr>
                                <a:xfrm>
                                  <a:off x="-8468" y="0"/>
                                  <a:ext cx="2308860" cy="2832735"/>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0F4BE7FD" id="그룹 99" o:spid="_x0000_s1164" style="position:absolute;margin-left:7.9pt;margin-top:1.55pt;width:163pt;height:214.6pt;z-index:-251658172;mso-width-relative:margin;mso-height-relative:margin" coordorigin="-84" coordsize="23214,30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">
                      <v:shape id="Text Box 66" o:spid="_x0000_s1165" type="#_x0000_t202" style="position:absolute;left:15932;top:2860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" stroked="f">
                        <v:textbox inset="0,0,0,0">
                          <w:txbxContent>
                            <w:p w14:paraId="4FC0EB00"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w:t>
                              </w:r>
                              <w:r>
                                <w:rPr>
                                  <w:rFonts w:ascii="Times New Roman" w:eastAsia="Times New Roman" w:hAnsi="Times New Roman" w:cs="Times New Roman"/>
                                  <w:highlight w:val="lightGray"/>
                                  <w:lang w:val="hu-HU"/>
                                </w:rPr>
                                <w:t xml:space="preserve">B. </w:t>
                              </w:r>
                              <w:r>
                                <w:rPr>
                                  <w:rFonts w:ascii="Times New Roman" w:eastAsia="Times New Roman" w:hAnsi="Times New Roman" w:cs="Times New Roman"/>
                                  <w:highlight w:val="lightGray"/>
                                  <w:lang w:val="hu-HU"/>
                                </w:rPr>
                                <w:t>ábra</w:t>
                              </w:r>
                            </w:p>
                          </w:txbxContent>
                        </v:textbox>
                      </v:shape>
                      <v:shape id="그림 10" o:spid="_x0000_s1166" type="#_x0000_t75" style="position:absolute;left:-84;width:23087;height:28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" stroked="t" strokecolor="black [3213]">
                        <v:imagedata r:id="rId121" o:title=""/>
                        <v:path arrowok="t"/>
                      </v:shape>
                      <w10:wrap type="tight"/>
                    </v:group>
                  </w:pict>
                </mc:Fallback>
              </mc:AlternateContent>
            </w:r>
          </w:p>
          <w:p w14:paraId="0D5BDA7F" w14:textId="77777777" w:rsidR="0037407E" w:rsidRPr="000405CC" w:rsidRDefault="0037407E" w:rsidP="007E7849">
            <w:pPr>
              <w:pStyle w:val="a3"/>
              <w:rPr>
                <w:highlight w:val="lightGray"/>
                <w:lang w:val="hu-HU"/>
              </w:rPr>
            </w:pPr>
          </w:p>
          <w:p w14:paraId="17DA01C5" w14:textId="77777777" w:rsidR="0037407E" w:rsidRPr="00010223" w:rsidRDefault="0037407E" w:rsidP="00FD05AA">
            <w:pPr>
              <w:pStyle w:val="a3"/>
              <w:numPr>
                <w:ilvl w:val="0"/>
                <w:numId w:val="64"/>
              </w:numPr>
              <w:rPr>
                <w:b/>
                <w:highlight w:val="lightGray"/>
                <w:lang w:val="hu-HU"/>
              </w:rPr>
            </w:pPr>
            <w:r w:rsidRPr="001E2F31">
              <w:rPr>
                <w:rFonts w:eastAsia="Times New Roman"/>
                <w:b/>
                <w:highlight w:val="lightGray"/>
                <w:lang w:val="hu-HU"/>
              </w:rPr>
              <w:t xml:space="preserve">Vizsgálja meg az </w:t>
            </w:r>
            <w:r w:rsidRPr="00010223">
              <w:rPr>
                <w:rFonts w:eastAsia="Times New Roman"/>
                <w:b/>
                <w:bCs/>
                <w:highlight w:val="lightGray"/>
                <w:lang w:val="hu-HU"/>
              </w:rPr>
              <w:t xml:space="preserve">előretöltött </w:t>
            </w:r>
            <w:r w:rsidRPr="001E2F31">
              <w:rPr>
                <w:rFonts w:eastAsia="Times New Roman"/>
                <w:b/>
                <w:highlight w:val="lightGray"/>
                <w:lang w:val="hu-HU"/>
              </w:rPr>
              <w:t>fecskendőt</w:t>
            </w:r>
          </w:p>
          <w:p w14:paraId="2182AEEC" w14:textId="77777777" w:rsidR="0037407E" w:rsidRPr="000405CC" w:rsidRDefault="0037407E" w:rsidP="007E7849">
            <w:pPr>
              <w:pStyle w:val="a3"/>
              <w:numPr>
                <w:ilvl w:val="0"/>
                <w:numId w:val="0"/>
              </w:numPr>
              <w:ind w:left="471"/>
              <w:rPr>
                <w:b/>
                <w:highlight w:val="lightGray"/>
                <w:lang w:val="hu-HU"/>
              </w:rPr>
            </w:pPr>
          </w:p>
          <w:p w14:paraId="2D7D4ABC" w14:textId="77777777" w:rsidR="0037407E" w:rsidRPr="000405CC" w:rsidRDefault="0037407E" w:rsidP="007E7849">
            <w:pPr>
              <w:pStyle w:val="a3"/>
              <w:numPr>
                <w:ilvl w:val="0"/>
                <w:numId w:val="0"/>
              </w:numPr>
              <w:ind w:left="675"/>
              <w:rPr>
                <w:highlight w:val="lightGray"/>
                <w:lang w:val="hu-HU" w:eastAsia="ko-KR"/>
              </w:rPr>
            </w:pPr>
            <w:r w:rsidRPr="000405CC">
              <w:rPr>
                <w:rFonts w:eastAsia="Times New Roman"/>
                <w:b/>
                <w:bCs/>
                <w:highlight w:val="lightGray"/>
                <w:lang w:val="hu-HU" w:eastAsia="ko-KR"/>
              </w:rPr>
              <w:t xml:space="preserve">a. </w:t>
            </w:r>
            <w:r w:rsidRPr="000405CC">
              <w:rPr>
                <w:rFonts w:eastAsia="Times New Roman"/>
                <w:highlight w:val="lightGray"/>
                <w:lang w:val="hu-HU" w:eastAsia="ko-KR"/>
              </w:rPr>
              <w:t>Győződjön meg arról, hogy a megfelelő gyógyszert (Yuflyma) és adagot kapta.</w:t>
            </w:r>
          </w:p>
          <w:p w14:paraId="3AA8CE36" w14:textId="77777777" w:rsidR="0037407E" w:rsidRPr="000405CC" w:rsidRDefault="0037407E" w:rsidP="007E7849">
            <w:pPr>
              <w:pStyle w:val="a3"/>
              <w:rPr>
                <w:highlight w:val="lightGray"/>
                <w:lang w:val="hu-HU" w:eastAsia="ko-KR"/>
              </w:rPr>
            </w:pPr>
            <w:r w:rsidRPr="000405CC">
              <w:rPr>
                <w:rFonts w:eastAsia="Times New Roman"/>
                <w:b/>
                <w:bCs/>
                <w:highlight w:val="lightGray"/>
                <w:lang w:val="hu-HU" w:eastAsia="ko-KR"/>
              </w:rPr>
              <w:t xml:space="preserve">b. </w:t>
            </w:r>
            <w:r w:rsidRPr="001E2F31">
              <w:rPr>
                <w:rFonts w:eastAsia="Times New Roman"/>
                <w:bCs/>
                <w:highlight w:val="lightGray"/>
                <w:lang w:val="hu-HU" w:eastAsia="ko-KR"/>
              </w:rPr>
              <w:t>N</w:t>
            </w:r>
            <w:r w:rsidRPr="00010223">
              <w:rPr>
                <w:rFonts w:eastAsia="Times New Roman"/>
                <w:highlight w:val="lightGray"/>
                <w:lang w:val="hu-HU" w:eastAsia="ko-KR"/>
              </w:rPr>
              <w:t>é</w:t>
            </w:r>
            <w:r w:rsidRPr="000405CC">
              <w:rPr>
                <w:rFonts w:eastAsia="Times New Roman"/>
                <w:highlight w:val="lightGray"/>
                <w:lang w:val="hu-HU" w:eastAsia="ko-KR"/>
              </w:rPr>
              <w:t>zze meg az előretöltött fecskendőt, és ellenőrizze, hogy nincs-e megrepedve vagy megsérülve.</w:t>
            </w:r>
          </w:p>
          <w:p w14:paraId="78FBC521" w14:textId="77777777" w:rsidR="0037407E" w:rsidRPr="000405CC" w:rsidRDefault="0037407E" w:rsidP="007E7849">
            <w:pPr>
              <w:pStyle w:val="a3"/>
              <w:rPr>
                <w:highlight w:val="lightGray"/>
                <w:lang w:val="hu-HU" w:eastAsia="ko-KR"/>
              </w:rPr>
            </w:pPr>
            <w:r w:rsidRPr="000405CC">
              <w:rPr>
                <w:rFonts w:eastAsia="Times New Roman"/>
                <w:b/>
                <w:bCs/>
                <w:highlight w:val="lightGray"/>
                <w:lang w:val="hu-HU" w:eastAsia="ko-KR"/>
              </w:rPr>
              <w:t xml:space="preserve">c. </w:t>
            </w:r>
            <w:r w:rsidRPr="001E2F31">
              <w:rPr>
                <w:rFonts w:eastAsia="Times New Roman"/>
                <w:bCs/>
                <w:highlight w:val="lightGray"/>
                <w:lang w:val="hu-HU" w:eastAsia="ko-KR"/>
              </w:rPr>
              <w:t>E</w:t>
            </w:r>
            <w:r w:rsidRPr="00010223">
              <w:rPr>
                <w:rFonts w:eastAsia="Times New Roman"/>
                <w:highlight w:val="lightGray"/>
                <w:lang w:val="hu-HU" w:eastAsia="ko-KR"/>
              </w:rPr>
              <w:t>l</w:t>
            </w:r>
            <w:r w:rsidRPr="000405CC">
              <w:rPr>
                <w:rFonts w:eastAsia="Times New Roman"/>
                <w:highlight w:val="lightGray"/>
                <w:lang w:val="hu-HU" w:eastAsia="ko-KR"/>
              </w:rPr>
              <w:t>lenőrizze az előretöltött fecskendő címkéjén található lejárati dátumot.</w:t>
            </w:r>
          </w:p>
          <w:p w14:paraId="6DC6892F" w14:textId="77777777" w:rsidR="0037407E" w:rsidRPr="000405CC" w:rsidRDefault="0037407E" w:rsidP="007E7849">
            <w:pPr>
              <w:pStyle w:val="a3"/>
              <w:rPr>
                <w:highlight w:val="lightGray"/>
                <w:lang w:val="hu-HU" w:eastAsia="ko-KR"/>
              </w:rPr>
            </w:pPr>
            <w:r w:rsidRPr="000405CC">
              <w:rPr>
                <w:rFonts w:eastAsia="Times New Roman"/>
                <w:highlight w:val="lightGray"/>
                <w:lang w:val="hu-HU" w:eastAsia="ko-KR"/>
              </w:rPr>
              <w:t>.</w:t>
            </w:r>
          </w:p>
          <w:p w14:paraId="7489B633" w14:textId="77777777" w:rsidR="0037407E" w:rsidRPr="000405CC" w:rsidRDefault="0037407E" w:rsidP="007E7849">
            <w:pPr>
              <w:spacing w:line="260" w:lineRule="exact"/>
              <w:rPr>
                <w:sz w:val="26"/>
                <w:szCs w:val="26"/>
                <w:highlight w:val="lightGray"/>
                <w:lang w:val="hu-HU"/>
              </w:rPr>
            </w:pPr>
          </w:p>
          <w:p w14:paraId="621FB28B" w14:textId="77777777" w:rsidR="0037407E" w:rsidRPr="00010223" w:rsidRDefault="0037407E" w:rsidP="007E7849">
            <w:pPr>
              <w:pStyle w:val="a3"/>
              <w:numPr>
                <w:ilvl w:val="0"/>
                <w:numId w:val="0"/>
              </w:numPr>
              <w:rPr>
                <w:highlight w:val="lightGray"/>
                <w:lang w:val="hu-HU" w:eastAsia="ko-KR"/>
              </w:rPr>
            </w:pPr>
            <w:r w:rsidRPr="001E2F31">
              <w:rPr>
                <w:rFonts w:eastAsia="Times New Roman"/>
                <w:bCs/>
                <w:highlight w:val="lightGray"/>
                <w:lang w:val="hu-HU" w:eastAsia="ko-KR"/>
              </w:rPr>
              <w:t xml:space="preserve">Azelőretöltött fecskendőt </w:t>
            </w:r>
            <w:r w:rsidRPr="00010223">
              <w:rPr>
                <w:rFonts w:eastAsia="Times New Roman"/>
                <w:b/>
                <w:bCs/>
                <w:highlight w:val="lightGray"/>
                <w:lang w:val="hu-HU" w:eastAsia="ko-KR"/>
              </w:rPr>
              <w:t>ne</w:t>
            </w:r>
            <w:r w:rsidRPr="001E2F31">
              <w:rPr>
                <w:rFonts w:eastAsia="Times New Roman"/>
                <w:bCs/>
                <w:highlight w:val="lightGray"/>
                <w:lang w:val="hu-HU" w:eastAsia="ko-KR"/>
              </w:rPr>
              <w:t xml:space="preserve"> használja újra, ha:</w:t>
            </w:r>
          </w:p>
          <w:p w14:paraId="75116D9D" w14:textId="77777777" w:rsidR="0037407E" w:rsidRPr="000405CC" w:rsidRDefault="0037407E" w:rsidP="007E7849">
            <w:pPr>
              <w:pStyle w:val="a3"/>
              <w:numPr>
                <w:ilvl w:val="2"/>
                <w:numId w:val="38"/>
              </w:numPr>
              <w:rPr>
                <w:sz w:val="26"/>
                <w:szCs w:val="26"/>
                <w:highlight w:val="lightGray"/>
                <w:lang w:val="hu-HU"/>
              </w:rPr>
            </w:pPr>
            <w:r w:rsidRPr="000405CC">
              <w:rPr>
                <w:rFonts w:eastAsia="Times New Roman"/>
                <w:highlight w:val="lightGray"/>
                <w:lang w:val="hu-HU" w:eastAsia="ko-KR"/>
              </w:rPr>
              <w:t>megrepedt vagy sérült</w:t>
            </w:r>
          </w:p>
          <w:p w14:paraId="0931CB83" w14:textId="77777777" w:rsidR="0037407E" w:rsidRPr="004A2083" w:rsidRDefault="0037407E" w:rsidP="007E7849">
            <w:pPr>
              <w:pStyle w:val="a3"/>
              <w:numPr>
                <w:ilvl w:val="2"/>
                <w:numId w:val="38"/>
              </w:numPr>
              <w:rPr>
                <w:rFonts w:eastAsia="Times New Roman"/>
                <w:highlight w:val="lightGray"/>
                <w:lang w:val="hu-HU" w:eastAsia="ko-KR"/>
              </w:rPr>
            </w:pPr>
            <w:r w:rsidRPr="000405CC">
              <w:rPr>
                <w:rFonts w:eastAsia="Times New Roman"/>
                <w:highlight w:val="lightGray"/>
                <w:lang w:val="hu-HU" w:eastAsia="ko-KR"/>
              </w:rPr>
              <w:t xml:space="preserve">a lejárati dátum lejárt. </w:t>
            </w:r>
          </w:p>
          <w:p w14:paraId="38A70830" w14:textId="339B0BE6" w:rsidR="004A2083" w:rsidRPr="000405CC" w:rsidRDefault="004A2083" w:rsidP="007E7849">
            <w:pPr>
              <w:pStyle w:val="a3"/>
              <w:numPr>
                <w:ilvl w:val="2"/>
                <w:numId w:val="38"/>
              </w:numPr>
              <w:rPr>
                <w:sz w:val="26"/>
                <w:szCs w:val="26"/>
                <w:highlight w:val="lightGray"/>
                <w:lang w:val="hu-HU"/>
              </w:rPr>
            </w:pPr>
            <w:r w:rsidRPr="00FB6A69">
              <w:rPr>
                <w:rFonts w:eastAsia="Times New Roman"/>
                <w:highlight w:val="lightGray"/>
                <w:lang w:val="hu-HU" w:eastAsia="ko-KR"/>
              </w:rPr>
              <w:t>kemény felületre ejtette.</w:t>
            </w:r>
          </w:p>
        </w:tc>
      </w:tr>
      <w:tr w:rsidR="0037407E" w:rsidRPr="000405CC" w14:paraId="71474B86" w14:textId="77777777" w:rsidTr="00600C35">
        <w:trPr>
          <w:trHeight w:val="4535"/>
        </w:trPr>
        <w:tc>
          <w:tcPr>
            <w:tcW w:w="9550" w:type="dxa"/>
          </w:tcPr>
          <w:p w14:paraId="33CE7E33" w14:textId="77777777" w:rsidR="0037407E" w:rsidRDefault="0037407E" w:rsidP="007E7849">
            <w:pPr>
              <w:spacing w:line="260" w:lineRule="exact"/>
              <w:rPr>
                <w:sz w:val="26"/>
                <w:szCs w:val="26"/>
                <w:lang w:val="hu-HU"/>
              </w:rPr>
            </w:pPr>
          </w:p>
          <w:p w14:paraId="13CC3708" w14:textId="77777777" w:rsidR="0037407E" w:rsidRPr="000405CC" w:rsidRDefault="0037407E" w:rsidP="007E7849">
            <w:pPr>
              <w:spacing w:line="260" w:lineRule="exact"/>
              <w:rPr>
                <w:sz w:val="26"/>
                <w:szCs w:val="26"/>
                <w:highlight w:val="lightGray"/>
                <w:lang w:val="hu-HU"/>
              </w:rPr>
            </w:pPr>
            <w:r>
              <w:rPr>
                <w:noProof/>
                <w:sz w:val="26"/>
                <w:szCs w:val="26"/>
                <w:highlight w:val="lightGray"/>
                <w:lang w:eastAsia="ko-KR"/>
              </w:rPr>
              <mc:AlternateContent>
                <mc:Choice Requires="wpg">
                  <w:drawing>
                    <wp:anchor distT="0" distB="0" distL="114300" distR="114300" simplePos="0" relativeHeight="251658291" behindDoc="0" locked="0" layoutInCell="1" allowOverlap="1" wp14:anchorId="67265628" wp14:editId="1F32EE43">
                      <wp:simplePos x="0" y="0"/>
                      <wp:positionH relativeFrom="column">
                        <wp:posOffset>85725</wp:posOffset>
                      </wp:positionH>
                      <wp:positionV relativeFrom="paragraph">
                        <wp:posOffset>22225</wp:posOffset>
                      </wp:positionV>
                      <wp:extent cx="2095500" cy="2639060"/>
                      <wp:effectExtent l="19050" t="19050" r="19050" b="8890"/>
                      <wp:wrapSquare wrapText="bothSides"/>
                      <wp:docPr id="113" name="그룹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5500" cy="2639060"/>
                                <a:chOff x="0" y="-759"/>
                                <a:chExt cx="22310" cy="28826"/>
                              </a:xfrm>
                            </wpg:grpSpPr>
                            <pic:pic xmlns:pic="http://schemas.openxmlformats.org/drawingml/2006/picture">
                              <pic:nvPicPr>
                                <pic:cNvPr id="114" name="그림 92"/>
                                <pic:cNvPicPr>
                                  <a:picLocks noChangeAspect="1"/>
                                </pic:cNvPicPr>
                              </pic:nvPicPr>
                              <pic:blipFill>
                                <a:blip r:embed="rId122" cstate="print">
                                  <a:extLst>
                                    <a:ext uri="{28A0092B-C50C-407E-A947-70E740481C1C}">
                                      <a14:useLocalDpi xmlns:a14="http://schemas.microsoft.com/office/drawing/2010/main" val="0"/>
                                    </a:ext>
                                  </a:extLst>
                                </a:blip>
                                <a:srcRect/>
                                <a:stretch/>
                              </pic:blipFill>
                              <pic:spPr bwMode="auto">
                                <a:xfrm>
                                  <a:off x="0" y="-759"/>
                                  <a:ext cx="22307" cy="26905"/>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wps:wsp>
                              <wps:cNvPr id="115" name="Text Box 68"/>
                              <wps:cNvSpPr txBox="1">
                                <a:spLocks noChangeArrowheads="1"/>
                              </wps:cNvSpPr>
                              <wps:spPr bwMode="auto">
                                <a:xfrm>
                                  <a:off x="15113" y="26606"/>
                                  <a:ext cx="7197" cy="14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B510E9"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C. </w:t>
                                    </w:r>
                                    <w:r>
                                      <w:rPr>
                                        <w:rFonts w:ascii="Times New Roman" w:eastAsia="Times New Roman" w:hAnsi="Times New Roman" w:cs="Times New Roman"/>
                                        <w:highlight w:val="lightGray"/>
                                        <w:lang w:val="hu-HU"/>
                                      </w:rPr>
                                      <w:t>ábra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265628" id="_x0000_s1167" style="position:absolute;margin-left:6.75pt;margin-top:1.75pt;width:165pt;height:207.8pt;z-index:251658291" coordorigin=",-759" coordsize="22310,28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">
                      <v:shape id="그림 92" o:spid="_x0000_s1168" type="#_x0000_t75" style="position:absolute;top:-759;width:22307;height:26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" stroked="t" strokecolor="black [3213]">
                        <v:imagedata r:id="rId123" o:title=""/>
                        <v:path arrowok="t"/>
                      </v:shape>
                      <v:shape id="Text Box 68" o:spid="_x0000_s1169" type="#_x0000_t202" style="position:absolute;left:15113;top:26606;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" stroked="f">
                        <v:textbox inset="0,0,0,0">
                          <w:txbxContent>
                            <w:p w14:paraId="36B510E9"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C. </w:t>
                              </w:r>
                              <w:r>
                                <w:rPr>
                                  <w:rFonts w:ascii="Times New Roman" w:eastAsia="Times New Roman" w:hAnsi="Times New Roman" w:cs="Times New Roman"/>
                                  <w:highlight w:val="lightGray"/>
                                  <w:lang w:val="hu-HU"/>
                                </w:rPr>
                                <w:t>ábra</w:t>
                              </w:r>
                            </w:p>
                          </w:txbxContent>
                        </v:textbox>
                      </v:shape>
                      <w10:wrap type="square"/>
                    </v:group>
                  </w:pict>
                </mc:Fallback>
              </mc:AlternateContent>
            </w:r>
          </w:p>
          <w:p w14:paraId="1C67F2D8" w14:textId="77777777" w:rsidR="0037407E" w:rsidRPr="000405CC" w:rsidRDefault="0037407E" w:rsidP="00FD05AA">
            <w:pPr>
              <w:pStyle w:val="a3"/>
              <w:numPr>
                <w:ilvl w:val="0"/>
                <w:numId w:val="64"/>
              </w:numPr>
              <w:rPr>
                <w:b/>
                <w:highlight w:val="lightGray"/>
                <w:lang w:val="hu-HU" w:eastAsia="ko-KR"/>
              </w:rPr>
            </w:pPr>
            <w:r w:rsidRPr="000405CC">
              <w:rPr>
                <w:rFonts w:eastAsia="Times New Roman"/>
                <w:b/>
                <w:bCs/>
                <w:highlight w:val="lightGray"/>
                <w:lang w:val="hu-HU"/>
              </w:rPr>
              <w:t>Vizsgálja meg a gyógyszert</w:t>
            </w:r>
          </w:p>
          <w:p w14:paraId="5ADC0024" w14:textId="77777777" w:rsidR="0037407E" w:rsidRPr="000405CC" w:rsidRDefault="0037407E" w:rsidP="007E7849">
            <w:pPr>
              <w:pStyle w:val="a3"/>
              <w:rPr>
                <w:b/>
                <w:highlight w:val="lightGray"/>
                <w:lang w:val="hu-HU" w:eastAsia="ko-KR"/>
              </w:rPr>
            </w:pPr>
          </w:p>
          <w:p w14:paraId="44FE3D58" w14:textId="77777777" w:rsidR="0037407E" w:rsidRPr="000405CC" w:rsidRDefault="0037407E" w:rsidP="007E7849">
            <w:pPr>
              <w:pStyle w:val="a3"/>
              <w:ind w:left="4410" w:hanging="4410"/>
              <w:rPr>
                <w:highlight w:val="lightGray"/>
                <w:lang w:val="hu-HU" w:eastAsia="ko-KR"/>
              </w:rPr>
            </w:pPr>
            <w:r w:rsidRPr="000405CC">
              <w:rPr>
                <w:rFonts w:eastAsia="Times New Roman"/>
                <w:b/>
                <w:bCs/>
                <w:highlight w:val="lightGray"/>
                <w:lang w:val="hu-HU" w:eastAsia="ko-KR"/>
              </w:rPr>
              <w:t xml:space="preserve">      a. </w:t>
            </w:r>
            <w:r w:rsidRPr="001E2F31">
              <w:rPr>
                <w:rFonts w:eastAsia="Times New Roman"/>
                <w:bCs/>
                <w:highlight w:val="lightGray"/>
                <w:lang w:val="hu-HU" w:eastAsia="ko-KR"/>
              </w:rPr>
              <w:t>E</w:t>
            </w:r>
            <w:r w:rsidRPr="00010223">
              <w:rPr>
                <w:rFonts w:eastAsia="Times New Roman"/>
                <w:highlight w:val="lightGray"/>
                <w:lang w:val="hu-HU" w:eastAsia="ko-KR"/>
              </w:rPr>
              <w:t>l</w:t>
            </w:r>
            <w:r w:rsidRPr="000405CC">
              <w:rPr>
                <w:rFonts w:eastAsia="Times New Roman"/>
                <w:highlight w:val="lightGray"/>
                <w:lang w:val="hu-HU" w:eastAsia="ko-KR"/>
              </w:rPr>
              <w:t>lenőrizze a gyógyszert, bizonyosodjon meg róla, hogy a folyadék tiszta, színtelen vagy halványbarna, részecskéktől mentes.</w:t>
            </w:r>
          </w:p>
          <w:p w14:paraId="688431C2" w14:textId="17DCB830" w:rsidR="0037407E" w:rsidRPr="000405CC" w:rsidRDefault="0037407E" w:rsidP="007E7849">
            <w:pPr>
              <w:pStyle w:val="a3"/>
              <w:rPr>
                <w:sz w:val="26"/>
                <w:szCs w:val="26"/>
                <w:highlight w:val="lightGray"/>
                <w:lang w:val="hu-HU"/>
              </w:rPr>
            </w:pPr>
          </w:p>
          <w:p w14:paraId="3275C2AF" w14:textId="77777777" w:rsidR="0037407E" w:rsidRPr="000405CC" w:rsidRDefault="0037407E" w:rsidP="007E7849">
            <w:pPr>
              <w:pStyle w:val="a3"/>
              <w:numPr>
                <w:ilvl w:val="0"/>
                <w:numId w:val="16"/>
              </w:numPr>
              <w:ind w:left="4236" w:hanging="4236"/>
              <w:rPr>
                <w:highlight w:val="lightGray"/>
                <w:lang w:val="hu-HU"/>
              </w:rPr>
            </w:pPr>
            <w:r w:rsidRPr="000405CC">
              <w:rPr>
                <w:rFonts w:eastAsia="Times New Roman"/>
                <w:b/>
                <w:bCs/>
                <w:highlight w:val="lightGray"/>
                <w:lang w:val="hu-HU"/>
              </w:rPr>
              <w:t>Ne</w:t>
            </w:r>
            <w:r w:rsidRPr="000405CC">
              <w:rPr>
                <w:rFonts w:eastAsia="Times New Roman"/>
                <w:highlight w:val="lightGray"/>
                <w:lang w:val="hu-HU"/>
              </w:rPr>
              <w:t xml:space="preserve"> használja az előretöltött fecskendőt, ha a folyadék elszíneződött (sárga vagy sötétbarna), zavaros vagy részecskéket tartalmaz.</w:t>
            </w:r>
          </w:p>
          <w:p w14:paraId="6ABA79EE" w14:textId="77777777" w:rsidR="0037407E" w:rsidRPr="000405CC" w:rsidRDefault="0037407E" w:rsidP="007E7849">
            <w:pPr>
              <w:pStyle w:val="a3"/>
              <w:numPr>
                <w:ilvl w:val="0"/>
                <w:numId w:val="0"/>
              </w:numPr>
              <w:rPr>
                <w:highlight w:val="lightGray"/>
                <w:lang w:val="hu-HU"/>
              </w:rPr>
            </w:pPr>
          </w:p>
          <w:p w14:paraId="0EE48ECF" w14:textId="77777777" w:rsidR="0037407E" w:rsidRPr="000405CC" w:rsidRDefault="0037407E" w:rsidP="007E7849">
            <w:pPr>
              <w:pStyle w:val="a3"/>
              <w:numPr>
                <w:ilvl w:val="0"/>
                <w:numId w:val="16"/>
              </w:numPr>
              <w:ind w:left="4236" w:hanging="4236"/>
              <w:rPr>
                <w:sz w:val="26"/>
                <w:szCs w:val="26"/>
                <w:highlight w:val="lightGray"/>
                <w:lang w:val="hu-HU"/>
              </w:rPr>
            </w:pPr>
            <w:r w:rsidRPr="000405CC">
              <w:rPr>
                <w:rFonts w:eastAsia="Times New Roman"/>
                <w:highlight w:val="lightGray"/>
                <w:lang w:val="hu-HU"/>
              </w:rPr>
              <w:t>Előfordulhat, hogy légbuborékokat lát a folyadékban. Ez normális jelenség.</w:t>
            </w:r>
          </w:p>
        </w:tc>
      </w:tr>
      <w:tr w:rsidR="0037407E" w:rsidRPr="00BE4D18" w14:paraId="091C09CE" w14:textId="77777777" w:rsidTr="009C7DB8">
        <w:trPr>
          <w:trHeight w:val="4535"/>
        </w:trPr>
        <w:tc>
          <w:tcPr>
            <w:tcW w:w="9550" w:type="dxa"/>
          </w:tcPr>
          <w:p w14:paraId="686CAC4C" w14:textId="77777777" w:rsidR="0037407E" w:rsidRPr="000405CC" w:rsidRDefault="0037407E" w:rsidP="007E7849">
            <w:pPr>
              <w:ind w:left="224" w:right="1248"/>
              <w:rPr>
                <w:rFonts w:asciiTheme="majorBidi" w:eastAsia="Times New Roman" w:hAnsiTheme="majorBidi" w:cstheme="majorBidi"/>
                <w:b/>
                <w:bCs/>
                <w:spacing w:val="-1"/>
                <w:highlight w:val="lightGray"/>
                <w:lang w:val="hu-HU"/>
              </w:rPr>
            </w:pPr>
          </w:p>
          <w:p w14:paraId="19EFCF71" w14:textId="0D2DBF7E" w:rsidR="0037407E" w:rsidRPr="000405CC" w:rsidRDefault="009C7DB8" w:rsidP="007E7849">
            <w:pPr>
              <w:spacing w:line="260" w:lineRule="exact"/>
              <w:rPr>
                <w:rFonts w:asciiTheme="majorBidi" w:hAnsiTheme="majorBidi" w:cstheme="majorBidi"/>
                <w:sz w:val="26"/>
                <w:szCs w:val="26"/>
                <w:highlight w:val="lightGray"/>
                <w:lang w:val="hu-HU"/>
              </w:rPr>
            </w:pPr>
            <w:r>
              <w:rPr>
                <w:rFonts w:asciiTheme="majorBidi" w:eastAsia="Times New Roman" w:hAnsiTheme="majorBidi" w:cstheme="majorBidi"/>
                <w:noProof/>
                <w:sz w:val="20"/>
                <w:szCs w:val="20"/>
                <w:lang w:eastAsia="ko-KR"/>
              </w:rPr>
              <mc:AlternateContent>
                <mc:Choice Requires="wpg">
                  <w:drawing>
                    <wp:anchor distT="0" distB="0" distL="114300" distR="114300" simplePos="0" relativeHeight="251658320" behindDoc="0" locked="0" layoutInCell="1" allowOverlap="1" wp14:anchorId="365DD55A" wp14:editId="1F47C443">
                      <wp:simplePos x="0" y="0"/>
                      <wp:positionH relativeFrom="column">
                        <wp:posOffset>77470</wp:posOffset>
                      </wp:positionH>
                      <wp:positionV relativeFrom="paragraph">
                        <wp:posOffset>39370</wp:posOffset>
                      </wp:positionV>
                      <wp:extent cx="2038350" cy="2655570"/>
                      <wp:effectExtent l="19050" t="19050" r="19050" b="0"/>
                      <wp:wrapSquare wrapText="bothSides"/>
                      <wp:docPr id="116" name="그룹 116"/>
                      <wp:cNvGraphicFramePr/>
                      <a:graphic xmlns:a="http://schemas.openxmlformats.org/drawingml/2006/main">
                        <a:graphicData uri="http://schemas.microsoft.com/office/word/2010/wordprocessingGroup">
                          <wpg:wgp>
                            <wpg:cNvGrpSpPr/>
                            <wpg:grpSpPr>
                              <a:xfrm>
                                <a:off x="0" y="0"/>
                                <a:ext cx="2038350" cy="2655570"/>
                                <a:chOff x="0" y="0"/>
                                <a:chExt cx="2169795" cy="2863900"/>
                              </a:xfrm>
                            </wpg:grpSpPr>
                            <pic:pic xmlns:pic="http://schemas.openxmlformats.org/drawingml/2006/picture">
                              <pic:nvPicPr>
                                <pic:cNvPr id="117" name="그림 11"/>
                                <pic:cNvPicPr>
                                  <a:picLocks noChangeAspect="1"/>
                                </pic:cNvPicPr>
                              </pic:nvPicPr>
                              <pic:blipFill>
                                <a:blip r:embed="rId124" cstate="print">
                                  <a:extLst>
                                    <a:ext uri="{28A0092B-C50C-407E-A947-70E740481C1C}">
                                      <a14:useLocalDpi xmlns:a14="http://schemas.microsoft.com/office/drawing/2010/main" val="0"/>
                                    </a:ext>
                                  </a:extLst>
                                </a:blip>
                                <a:srcRect/>
                                <a:stretch/>
                              </pic:blipFill>
                              <pic:spPr>
                                <a:xfrm>
                                  <a:off x="0" y="0"/>
                                  <a:ext cx="2169795" cy="2656205"/>
                                </a:xfrm>
                                <a:prstGeom prst="rect">
                                  <a:avLst/>
                                </a:prstGeom>
                                <a:ln>
                                  <a:solidFill>
                                    <a:schemeClr val="tx1"/>
                                  </a:solidFill>
                                </a:ln>
                              </pic:spPr>
                            </pic:pic>
                            <wps:wsp>
                              <wps:cNvPr id="118" name="Text Box 68"/>
                              <wps:cNvSpPr txBox="1">
                                <a:spLocks noChangeArrowheads="1"/>
                              </wps:cNvSpPr>
                              <wps:spPr bwMode="auto">
                                <a:xfrm>
                                  <a:off x="1405466" y="2717800"/>
                                  <a:ext cx="719621" cy="146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FEA814" w14:textId="77777777" w:rsidR="004A2986" w:rsidRDefault="004A2986" w:rsidP="0037407E">
                                    <w:pPr>
                                      <w:pStyle w:val="af0"/>
                                      <w:jc w:val="right"/>
                                      <w:rPr>
                                        <w:rFonts w:ascii="Times New Roman" w:hAnsi="Times New Roman" w:cs="Times New Roman"/>
                                        <w:noProof/>
                                        <w:spacing w:val="-1"/>
                                      </w:rPr>
                                    </w:pPr>
                                    <w:r>
                                      <w:rPr>
                                        <w:rFonts w:ascii="Times New Roman" w:hAnsi="Times New Roman" w:cs="Times New Roman" w:hint="eastAsia"/>
                                        <w:highlight w:val="lightGray"/>
                                        <w:lang w:val="hu-HU" w:eastAsia="ko-KR"/>
                                      </w:rPr>
                                      <w:t>D</w:t>
                                    </w:r>
                                    <w:r>
                                      <w:rPr>
                                        <w:rFonts w:ascii="Times New Roman" w:eastAsia="Times New Roman" w:hAnsi="Times New Roman" w:cs="Times New Roman"/>
                                        <w:highlight w:val="lightGray"/>
                                        <w:lang w:val="hu-HU"/>
                                      </w:rPr>
                                      <w:t xml:space="preserve">. </w:t>
                                    </w:r>
                                    <w:r>
                                      <w:rPr>
                                        <w:rFonts w:ascii="Times New Roman" w:eastAsia="Times New Roman" w:hAnsi="Times New Roman" w:cs="Times New Roman"/>
                                        <w:highlight w:val="lightGray"/>
                                        <w:lang w:val="hu-HU"/>
                                      </w:rPr>
                                      <w:t>ábra</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65DD55A" id="그룹 116" o:spid="_x0000_s1170" style="position:absolute;margin-left:6.1pt;margin-top:3.1pt;width:160.5pt;height:209.1pt;z-index:251658320;mso-width-relative:margin;mso-height-relative:margin" coordsize="21697,286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">
                      <v:shape id="그림 11" o:spid="_x0000_s1171" type="#_x0000_t75" style="position:absolute;width:21697;height:26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" stroked="t" strokecolor="black [3213]">
                        <v:imagedata r:id="rId125" o:title=""/>
                        <v:path arrowok="t"/>
                      </v:shape>
                      <v:shape id="Text Box 68" o:spid="_x0000_s1172" type="#_x0000_t202" style="position:absolute;left:14054;top:27178;width:7196;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" stroked="f">
                        <v:textbox inset="0,0,0,0">
                          <w:txbxContent>
                            <w:p w14:paraId="20FEA814" w14:textId="77777777" w:rsidR="004A2986" w:rsidRDefault="004A2986" w:rsidP="0037407E">
                              <w:pPr>
                                <w:pStyle w:val="af0"/>
                                <w:jc w:val="right"/>
                                <w:rPr>
                                  <w:rFonts w:ascii="Times New Roman" w:hAnsi="Times New Roman" w:cs="Times New Roman"/>
                                  <w:noProof/>
                                  <w:spacing w:val="-1"/>
                                </w:rPr>
                              </w:pPr>
                              <w:r>
                                <w:rPr>
                                  <w:rFonts w:ascii="Times New Roman" w:hAnsi="Times New Roman" w:cs="Times New Roman" w:hint="eastAsia"/>
                                  <w:highlight w:val="lightGray"/>
                                  <w:lang w:val="hu-HU" w:eastAsia="ko-KR"/>
                                </w:rPr>
                                <w:t>D</w:t>
                              </w:r>
                              <w:r>
                                <w:rPr>
                                  <w:rFonts w:ascii="Times New Roman" w:eastAsia="Times New Roman" w:hAnsi="Times New Roman" w:cs="Times New Roman"/>
                                  <w:highlight w:val="lightGray"/>
                                  <w:lang w:val="hu-HU"/>
                                </w:rPr>
                                <w:t xml:space="preserve">. </w:t>
                              </w:r>
                              <w:r>
                                <w:rPr>
                                  <w:rFonts w:ascii="Times New Roman" w:eastAsia="Times New Roman" w:hAnsi="Times New Roman" w:cs="Times New Roman"/>
                                  <w:highlight w:val="lightGray"/>
                                  <w:lang w:val="hu-HU"/>
                                </w:rPr>
                                <w:t>ábra</w:t>
                              </w:r>
                            </w:p>
                          </w:txbxContent>
                        </v:textbox>
                      </v:shape>
                      <w10:wrap type="square"/>
                    </v:group>
                  </w:pict>
                </mc:Fallback>
              </mc:AlternateContent>
            </w:r>
          </w:p>
          <w:p w14:paraId="1FF5DD19" w14:textId="1F4D2A54" w:rsidR="0037407E" w:rsidRPr="000405CC" w:rsidRDefault="0037407E" w:rsidP="007E7849">
            <w:pPr>
              <w:spacing w:line="260" w:lineRule="exact"/>
              <w:rPr>
                <w:rFonts w:asciiTheme="majorBidi" w:hAnsiTheme="majorBidi" w:cstheme="majorBidi"/>
                <w:sz w:val="26"/>
                <w:szCs w:val="26"/>
                <w:highlight w:val="lightGray"/>
                <w:lang w:val="hu-HU"/>
              </w:rPr>
            </w:pPr>
          </w:p>
          <w:p w14:paraId="362FC0A7" w14:textId="77777777" w:rsidR="0037407E" w:rsidRPr="000405CC" w:rsidRDefault="0037407E" w:rsidP="00FD05AA">
            <w:pPr>
              <w:pStyle w:val="a3"/>
              <w:numPr>
                <w:ilvl w:val="0"/>
                <w:numId w:val="64"/>
              </w:numPr>
              <w:rPr>
                <w:rFonts w:asciiTheme="majorBidi" w:hAnsiTheme="majorBidi" w:cstheme="majorBidi"/>
                <w:b/>
                <w:highlight w:val="lightGray"/>
                <w:lang w:val="hu-HU"/>
              </w:rPr>
            </w:pPr>
            <w:r w:rsidRPr="000405CC">
              <w:rPr>
                <w:rFonts w:asciiTheme="majorBidi" w:eastAsia="Times New Roman" w:hAnsiTheme="majorBidi" w:cstheme="majorBidi"/>
                <w:b/>
                <w:bCs/>
                <w:highlight w:val="lightGray"/>
                <w:lang w:val="hu-HU"/>
              </w:rPr>
              <w:t xml:space="preserve">Várjon 15-30 percet </w:t>
            </w:r>
          </w:p>
          <w:p w14:paraId="60FEA5D3" w14:textId="77777777" w:rsidR="0037407E" w:rsidRPr="000405CC" w:rsidRDefault="0037407E" w:rsidP="007E7849">
            <w:pPr>
              <w:pStyle w:val="Default"/>
              <w:rPr>
                <w:rFonts w:asciiTheme="majorBidi" w:hAnsiTheme="majorBidi" w:cstheme="majorBidi"/>
                <w:highlight w:val="lightGray"/>
                <w:lang w:val="hu-HU"/>
              </w:rPr>
            </w:pPr>
            <w:r w:rsidRPr="000405CC">
              <w:rPr>
                <w:rFonts w:asciiTheme="majorBidi" w:hAnsiTheme="majorBidi" w:cstheme="majorBidi"/>
                <w:highlight w:val="lightGray"/>
                <w:lang w:val="hu-HU"/>
              </w:rPr>
              <w:t xml:space="preserve"> </w:t>
            </w:r>
          </w:p>
          <w:p w14:paraId="242C83B8" w14:textId="77777777" w:rsidR="0037407E" w:rsidRPr="000405CC" w:rsidRDefault="0037407E" w:rsidP="007E7849">
            <w:pPr>
              <w:pStyle w:val="a3"/>
              <w:ind w:left="4320" w:hanging="4320"/>
              <w:rPr>
                <w:rFonts w:asciiTheme="majorBidi" w:hAnsiTheme="majorBidi" w:cstheme="majorBidi"/>
                <w:highlight w:val="lightGray"/>
                <w:lang w:val="hu-HU"/>
              </w:rPr>
            </w:pPr>
            <w:r w:rsidRPr="000405CC">
              <w:rPr>
                <w:rFonts w:asciiTheme="majorBidi" w:eastAsia="Times New Roman" w:hAnsiTheme="majorBidi" w:cstheme="majorBidi"/>
                <w:b/>
                <w:bCs/>
                <w:highlight w:val="lightGray"/>
                <w:lang w:val="hu-HU"/>
              </w:rPr>
              <w:t xml:space="preserve">      a. </w:t>
            </w:r>
            <w:r w:rsidRPr="001E2F31">
              <w:rPr>
                <w:rFonts w:asciiTheme="majorBidi" w:eastAsia="Times New Roman" w:hAnsiTheme="majorBidi" w:cstheme="majorBidi"/>
                <w:bCs/>
                <w:highlight w:val="lightGray"/>
                <w:lang w:val="hu-HU"/>
              </w:rPr>
              <w:t>H</w:t>
            </w:r>
            <w:r w:rsidRPr="00010223">
              <w:rPr>
                <w:rFonts w:asciiTheme="majorBidi" w:eastAsia="Times New Roman" w:hAnsiTheme="majorBidi" w:cstheme="majorBidi"/>
                <w:highlight w:val="lightGray"/>
                <w:lang w:val="hu-HU"/>
              </w:rPr>
              <w:t>a</w:t>
            </w:r>
            <w:r w:rsidRPr="000405CC">
              <w:rPr>
                <w:rFonts w:asciiTheme="majorBidi" w:eastAsia="Times New Roman" w:hAnsiTheme="majorBidi" w:cstheme="majorBidi"/>
                <w:highlight w:val="lightGray"/>
                <w:lang w:val="hu-HU"/>
              </w:rPr>
              <w:t xml:space="preserve">gyja az előretöltött fecskendőt szobahőmérsékleten </w:t>
            </w:r>
            <w:r>
              <w:rPr>
                <w:rFonts w:asciiTheme="majorBidi" w:eastAsia="Times New Roman" w:hAnsiTheme="majorBidi" w:cstheme="majorBidi"/>
                <w:highlight w:val="lightGray"/>
                <w:lang w:val="hu-HU"/>
              </w:rPr>
              <w:t xml:space="preserve">felmelegedni </w:t>
            </w:r>
            <w:r w:rsidRPr="000405CC">
              <w:rPr>
                <w:rFonts w:asciiTheme="majorBidi" w:eastAsia="Times New Roman" w:hAnsiTheme="majorBidi" w:cstheme="majorBidi"/>
                <w:highlight w:val="lightGray"/>
                <w:lang w:val="hu-HU"/>
              </w:rPr>
              <w:t>15–30 percig</w:t>
            </w:r>
            <w:r>
              <w:rPr>
                <w:rFonts w:asciiTheme="majorBidi" w:eastAsia="Times New Roman" w:hAnsiTheme="majorBidi" w:cstheme="majorBidi"/>
                <w:highlight w:val="lightGray"/>
                <w:lang w:val="hu-HU"/>
              </w:rPr>
              <w:t>.</w:t>
            </w:r>
          </w:p>
          <w:p w14:paraId="5AC5EB2E" w14:textId="77777777" w:rsidR="0037407E" w:rsidRPr="000405CC" w:rsidRDefault="0037407E" w:rsidP="007E7849">
            <w:pPr>
              <w:pStyle w:val="Default"/>
              <w:rPr>
                <w:rFonts w:asciiTheme="majorBidi" w:hAnsiTheme="majorBidi" w:cstheme="majorBidi"/>
                <w:color w:val="211D1E"/>
                <w:sz w:val="20"/>
                <w:szCs w:val="20"/>
                <w:highlight w:val="lightGray"/>
                <w:lang w:val="hu-HU"/>
              </w:rPr>
            </w:pPr>
          </w:p>
          <w:p w14:paraId="75DC2C88" w14:textId="77777777" w:rsidR="0037407E" w:rsidRPr="000405CC" w:rsidRDefault="0037407E" w:rsidP="007E7849">
            <w:pPr>
              <w:pStyle w:val="a3"/>
              <w:numPr>
                <w:ilvl w:val="0"/>
                <w:numId w:val="0"/>
              </w:numPr>
              <w:tabs>
                <w:tab w:val="left" w:pos="3861"/>
              </w:tabs>
              <w:ind w:left="911"/>
              <w:rPr>
                <w:rFonts w:asciiTheme="majorBidi" w:hAnsiTheme="majorBidi" w:cstheme="majorBidi"/>
                <w:b/>
                <w:highlight w:val="lightGray"/>
                <w:lang w:val="hu-HU"/>
              </w:rPr>
            </w:pPr>
          </w:p>
          <w:p w14:paraId="1AA56208" w14:textId="77777777" w:rsidR="0037407E" w:rsidRPr="000405CC" w:rsidRDefault="0037407E" w:rsidP="007E7849">
            <w:pPr>
              <w:pStyle w:val="a3"/>
              <w:numPr>
                <w:ilvl w:val="0"/>
                <w:numId w:val="40"/>
              </w:numPr>
              <w:ind w:left="4100" w:hanging="4100"/>
              <w:rPr>
                <w:rFonts w:asciiTheme="majorBidi" w:eastAsia="Times New Roman" w:hAnsiTheme="majorBidi" w:cstheme="majorBidi"/>
                <w:highlight w:val="lightGray"/>
                <w:lang w:val="hu-HU"/>
              </w:rPr>
            </w:pPr>
            <w:r w:rsidRPr="000405CC">
              <w:rPr>
                <w:rFonts w:asciiTheme="majorBidi" w:eastAsia="Times New Roman" w:hAnsiTheme="majorBidi" w:cstheme="majorBidi"/>
                <w:b/>
                <w:bCs/>
                <w:highlight w:val="lightGray"/>
                <w:lang w:val="hu-HU"/>
              </w:rPr>
              <w:t>Ne</w:t>
            </w:r>
            <w:r w:rsidRPr="000405CC">
              <w:rPr>
                <w:rFonts w:asciiTheme="majorBidi" w:eastAsia="Times New Roman" w:hAnsiTheme="majorBidi" w:cstheme="majorBidi"/>
                <w:highlight w:val="lightGray"/>
                <w:lang w:val="hu-HU"/>
              </w:rPr>
              <w:t xml:space="preserve"> melegítse az előretöltött fecskendőt</w:t>
            </w:r>
            <w:r>
              <w:rPr>
                <w:rFonts w:asciiTheme="majorBidi" w:eastAsia="Times New Roman" w:hAnsiTheme="majorBidi" w:cstheme="majorBidi"/>
                <w:highlight w:val="lightGray"/>
                <w:lang w:val="hu-HU"/>
              </w:rPr>
              <w:t xml:space="preserve"> más</w:t>
            </w:r>
            <w:r w:rsidRPr="000405CC">
              <w:rPr>
                <w:rFonts w:asciiTheme="majorBidi" w:eastAsia="Times New Roman" w:hAnsiTheme="majorBidi" w:cstheme="majorBidi"/>
                <w:highlight w:val="lightGray"/>
                <w:lang w:val="hu-HU"/>
              </w:rPr>
              <w:t xml:space="preserve"> hőforrások</w:t>
            </w:r>
            <w:r>
              <w:rPr>
                <w:rFonts w:asciiTheme="majorBidi" w:eastAsia="Times New Roman" w:hAnsiTheme="majorBidi" w:cstheme="majorBidi"/>
                <w:highlight w:val="lightGray"/>
                <w:lang w:val="hu-HU"/>
              </w:rPr>
              <w:t xml:space="preserve"> alkalmazásával</w:t>
            </w:r>
            <w:r w:rsidRPr="000405CC">
              <w:rPr>
                <w:rFonts w:asciiTheme="majorBidi" w:eastAsia="Times New Roman" w:hAnsiTheme="majorBidi" w:cstheme="majorBidi"/>
                <w:highlight w:val="lightGray"/>
                <w:lang w:val="hu-HU"/>
              </w:rPr>
              <w:t xml:space="preserve"> </w:t>
            </w:r>
            <w:r w:rsidRPr="000405CC">
              <w:rPr>
                <w:rFonts w:asciiTheme="majorBidi" w:eastAsia="Calibri" w:hAnsiTheme="majorBidi" w:cstheme="majorBidi"/>
                <w:highlight w:val="lightGray"/>
                <w:lang w:val="hu-HU"/>
              </w:rPr>
              <w:t>például forró víz vagy mikrohullámú sütő</w:t>
            </w:r>
            <w:r>
              <w:rPr>
                <w:rFonts w:asciiTheme="majorBidi" w:eastAsia="Times New Roman" w:hAnsiTheme="majorBidi" w:cstheme="majorBidi"/>
                <w:sz w:val="20"/>
                <w:szCs w:val="20"/>
                <w:highlight w:val="lightGray"/>
                <w:lang w:val="hu-HU"/>
              </w:rPr>
              <w:t>.</w:t>
            </w:r>
          </w:p>
          <w:p w14:paraId="59D05332" w14:textId="77777777" w:rsidR="0037407E" w:rsidRDefault="0037407E" w:rsidP="007E7849">
            <w:pPr>
              <w:spacing w:line="260" w:lineRule="exact"/>
              <w:ind w:firstLineChars="250" w:firstLine="650"/>
              <w:rPr>
                <w:rFonts w:asciiTheme="majorBidi" w:hAnsiTheme="majorBidi" w:cstheme="majorBidi"/>
                <w:sz w:val="26"/>
                <w:szCs w:val="26"/>
                <w:lang w:val="hu-HU"/>
              </w:rPr>
            </w:pPr>
          </w:p>
          <w:p w14:paraId="28148047" w14:textId="77777777" w:rsidR="0037407E" w:rsidRDefault="0037407E" w:rsidP="007E7849">
            <w:pPr>
              <w:spacing w:line="260" w:lineRule="exact"/>
              <w:ind w:firstLineChars="250" w:firstLine="650"/>
              <w:rPr>
                <w:rFonts w:asciiTheme="majorBidi" w:hAnsiTheme="majorBidi" w:cstheme="majorBidi"/>
                <w:sz w:val="26"/>
                <w:szCs w:val="26"/>
                <w:lang w:val="hu-HU"/>
              </w:rPr>
            </w:pPr>
          </w:p>
          <w:p w14:paraId="3589F8D6" w14:textId="77777777" w:rsidR="0037407E" w:rsidRDefault="0037407E" w:rsidP="007E7849">
            <w:pPr>
              <w:spacing w:line="260" w:lineRule="exact"/>
              <w:ind w:firstLineChars="250" w:firstLine="650"/>
              <w:rPr>
                <w:rFonts w:asciiTheme="majorBidi" w:hAnsiTheme="majorBidi" w:cstheme="majorBidi"/>
                <w:sz w:val="26"/>
                <w:szCs w:val="26"/>
                <w:lang w:val="hu-HU"/>
              </w:rPr>
            </w:pPr>
          </w:p>
        </w:tc>
      </w:tr>
      <w:tr w:rsidR="0037407E" w:rsidRPr="00BE4D18" w14:paraId="517E2149" w14:textId="77777777" w:rsidTr="007E7849">
        <w:trPr>
          <w:trHeight w:val="6517"/>
        </w:trPr>
        <w:tc>
          <w:tcPr>
            <w:tcW w:w="9550" w:type="dxa"/>
          </w:tcPr>
          <w:p w14:paraId="13B0D212" w14:textId="77777777" w:rsidR="0037407E" w:rsidRDefault="0037407E" w:rsidP="007E7849">
            <w:pPr>
              <w:ind w:left="224" w:right="1248"/>
              <w:rPr>
                <w:rFonts w:ascii="Times New Roman" w:eastAsia="Times New Roman" w:hAnsi="Times New Roman" w:cs="Times New Roman"/>
                <w:b/>
                <w:bCs/>
                <w:spacing w:val="-1"/>
                <w:lang w:val="hu-HU"/>
              </w:rPr>
            </w:pPr>
          </w:p>
          <w:p w14:paraId="0177B2CB" w14:textId="77777777" w:rsidR="0037407E" w:rsidRDefault="0037407E" w:rsidP="007E7849">
            <w:pPr>
              <w:spacing w:line="260" w:lineRule="exact"/>
              <w:rPr>
                <w:lang w:val="hu-HU" w:eastAsia="ko-KR"/>
              </w:rPr>
            </w:pPr>
            <w:r>
              <w:rPr>
                <w:rFonts w:hint="eastAsia"/>
                <w:lang w:val="hu-HU" w:eastAsia="ko-KR"/>
              </w:rPr>
              <w:t xml:space="preserve">      </w:t>
            </w:r>
          </w:p>
          <w:p w14:paraId="6812B656" w14:textId="77777777" w:rsidR="0037407E" w:rsidRPr="000405CC" w:rsidRDefault="0037407E" w:rsidP="007E7849">
            <w:pPr>
              <w:pStyle w:val="a4"/>
              <w:ind w:left="471"/>
              <w:rPr>
                <w:rFonts w:ascii="Times New Roman" w:eastAsia="Times New Roman" w:hAnsi="Times New Roman" w:cs="Times New Roman"/>
                <w:spacing w:val="-1"/>
                <w:highlight w:val="lightGray"/>
                <w:lang w:val="hu-HU"/>
              </w:rPr>
            </w:pPr>
            <w:r>
              <w:rPr>
                <w:rFonts w:ascii="Times New Roman" w:eastAsia="Times New Roman" w:hAnsi="Times New Roman" w:cs="Times New Roman"/>
                <w:noProof/>
                <w:spacing w:val="-1"/>
                <w:lang w:eastAsia="ko-KR"/>
              </w:rPr>
              <mc:AlternateContent>
                <mc:Choice Requires="wpg">
                  <w:drawing>
                    <wp:anchor distT="0" distB="0" distL="114300" distR="114300" simplePos="0" relativeHeight="251658309" behindDoc="1" locked="0" layoutInCell="1" allowOverlap="1" wp14:anchorId="3A2DB96E" wp14:editId="072F7FB7">
                      <wp:simplePos x="0" y="0"/>
                      <wp:positionH relativeFrom="column">
                        <wp:posOffset>114127</wp:posOffset>
                      </wp:positionH>
                      <wp:positionV relativeFrom="paragraph">
                        <wp:posOffset>82377</wp:posOffset>
                      </wp:positionV>
                      <wp:extent cx="2097958" cy="3720573"/>
                      <wp:effectExtent l="0" t="0" r="0" b="0"/>
                      <wp:wrapTight wrapText="bothSides">
                        <wp:wrapPolygon edited="0">
                          <wp:start x="0" y="0"/>
                          <wp:lineTo x="0" y="20571"/>
                          <wp:lineTo x="13733" y="21235"/>
                          <wp:lineTo x="13733" y="21456"/>
                          <wp:lineTo x="21384" y="21456"/>
                          <wp:lineTo x="21384" y="0"/>
                          <wp:lineTo x="0" y="0"/>
                        </wp:wrapPolygon>
                      </wp:wrapTight>
                      <wp:docPr id="119" name="그룹 119"/>
                      <wp:cNvGraphicFramePr/>
                      <a:graphic xmlns:a="http://schemas.openxmlformats.org/drawingml/2006/main">
                        <a:graphicData uri="http://schemas.microsoft.com/office/word/2010/wordprocessingGroup">
                          <wpg:wgp>
                            <wpg:cNvGrpSpPr/>
                            <wpg:grpSpPr>
                              <a:xfrm>
                                <a:off x="0" y="0"/>
                                <a:ext cx="2097958" cy="3720573"/>
                                <a:chOff x="0" y="0"/>
                                <a:chExt cx="2097958" cy="3720573"/>
                              </a:xfrm>
                            </wpg:grpSpPr>
                            <wps:wsp>
                              <wps:cNvPr id="120" name="Text Box 72"/>
                              <wps:cNvSpPr txBox="1">
                                <a:spLocks noChangeArrowheads="1"/>
                              </wps:cNvSpPr>
                              <wps:spPr bwMode="auto">
                                <a:xfrm>
                                  <a:off x="1378527" y="3574473"/>
                                  <a:ext cx="719431" cy="146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67E3FF"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E </w:t>
                                    </w:r>
                                    <w:r>
                                      <w:rPr>
                                        <w:rFonts w:ascii="Times New Roman" w:eastAsia="Times New Roman" w:hAnsi="Times New Roman" w:cs="Times New Roman"/>
                                        <w:highlight w:val="lightGray"/>
                                        <w:lang w:val="hu-HU"/>
                                      </w:rPr>
                                      <w:t>ábra</w:t>
                                    </w:r>
                                  </w:p>
                                </w:txbxContent>
                              </wps:txbx>
                              <wps:bodyPr rot="0" vert="horz" wrap="square" lIns="0" tIns="0" rIns="0" bIns="0" anchor="t" anchorCtr="0" upright="1">
                                <a:spAutoFit/>
                              </wps:bodyPr>
                            </wps:wsp>
                            <pic:pic xmlns:pic="http://schemas.openxmlformats.org/drawingml/2006/picture">
                              <pic:nvPicPr>
                                <pic:cNvPr id="121" name="그림 13"/>
                                <pic:cNvPicPr>
                                  <a:picLocks noChangeAspect="1"/>
                                </pic:cNvPicPr>
                              </pic:nvPicPr>
                              <pic:blipFill rotWithShape="1">
                                <a:blip r:embed="rId57" cstate="print">
                                  <a:extLst>
                                    <a:ext uri="{28A0092B-C50C-407E-A947-70E740481C1C}">
                                      <a14:useLocalDpi xmlns:a14="http://schemas.microsoft.com/office/drawing/2010/main" val="0"/>
                                    </a:ext>
                                  </a:extLst>
                                </a:blip>
                                <a:srcRect/>
                                <a:stretch/>
                              </pic:blipFill>
                              <pic:spPr>
                                <a:xfrm>
                                  <a:off x="0" y="0"/>
                                  <a:ext cx="2096770" cy="3538220"/>
                                </a:xfrm>
                                <a:prstGeom prst="rect">
                                  <a:avLst/>
                                </a:prstGeom>
                              </pic:spPr>
                            </pic:pic>
                          </wpg:wgp>
                        </a:graphicData>
                      </a:graphic>
                    </wp:anchor>
                  </w:drawing>
                </mc:Choice>
                <mc:Fallback>
                  <w:pict>
                    <v:group w14:anchorId="3A2DB96E" id="그룹 119" o:spid="_x0000_s1173" style="position:absolute;left:0;text-align:left;margin-left:9pt;margin-top:6.5pt;width:165.2pt;height:292.95pt;z-index:-251658171" coordsize="20979,37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">
                      <v:shape id="Text Box 72" o:spid="_x0000_s1174" type="#_x0000_t202" style="position:absolute;left:13785;top:35744;width:719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" stroked="f">
                        <v:textbox style="mso-fit-shape-to-text:t" inset="0,0,0,0">
                          <w:txbxContent>
                            <w:p w14:paraId="0867E3FF"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E </w:t>
                              </w:r>
                              <w:r>
                                <w:rPr>
                                  <w:rFonts w:ascii="Times New Roman" w:eastAsia="Times New Roman" w:hAnsi="Times New Roman" w:cs="Times New Roman"/>
                                  <w:highlight w:val="lightGray"/>
                                  <w:lang w:val="hu-HU"/>
                                </w:rPr>
                                <w:t>ábra</w:t>
                              </w:r>
                            </w:p>
                          </w:txbxContent>
                        </v:textbox>
                      </v:shape>
                      <v:shape id="그림 13" o:spid="_x0000_s1175" type="#_x0000_t75" style="position:absolute;width:20967;height:35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">
                        <v:imagedata r:id="rId58" o:title=""/>
                      </v:shape>
                      <w10:wrap type="tight"/>
                    </v:group>
                  </w:pict>
                </mc:Fallback>
              </mc:AlternateContent>
            </w:r>
          </w:p>
          <w:p w14:paraId="30EA01F9" w14:textId="77777777" w:rsidR="0037407E" w:rsidRPr="000405CC" w:rsidRDefault="0037407E" w:rsidP="00FD05AA">
            <w:pPr>
              <w:pStyle w:val="a4"/>
              <w:numPr>
                <w:ilvl w:val="0"/>
                <w:numId w:val="64"/>
              </w:numPr>
              <w:rPr>
                <w:rFonts w:ascii="Times New Roman" w:eastAsia="Times New Roman" w:hAnsi="Times New Roman" w:cs="Times New Roman"/>
                <w:b/>
                <w:spacing w:val="-1"/>
                <w:highlight w:val="lightGray"/>
                <w:lang w:val="hu-HU"/>
              </w:rPr>
            </w:pPr>
            <w:r w:rsidRPr="000405CC">
              <w:rPr>
                <w:rFonts w:ascii="Times New Roman" w:eastAsia="Times New Roman" w:hAnsi="Times New Roman" w:cs="Times New Roman"/>
                <w:b/>
                <w:bCs/>
                <w:spacing w:val="-1"/>
                <w:highlight w:val="lightGray"/>
                <w:lang w:val="hu-HU"/>
              </w:rPr>
              <w:t>Válassza ki a megfelelő injekció   beadási helyet</w:t>
            </w:r>
          </w:p>
          <w:p w14:paraId="1C5A6EA6" w14:textId="77777777" w:rsidR="0037407E" w:rsidRPr="000405CC" w:rsidRDefault="0037407E" w:rsidP="007E7849">
            <w:pPr>
              <w:pStyle w:val="a3"/>
              <w:rPr>
                <w:highlight w:val="lightGray"/>
                <w:lang w:val="hu-HU"/>
              </w:rPr>
            </w:pPr>
          </w:p>
          <w:p w14:paraId="54538AD4" w14:textId="77777777" w:rsidR="0037407E" w:rsidRPr="000405CC" w:rsidRDefault="0037407E" w:rsidP="007E7849">
            <w:pPr>
              <w:pStyle w:val="a3"/>
              <w:rPr>
                <w:highlight w:val="lightGray"/>
                <w:lang w:val="hu-HU"/>
              </w:rPr>
            </w:pPr>
            <w:r w:rsidRPr="000405CC">
              <w:rPr>
                <w:rFonts w:eastAsia="Times New Roman"/>
                <w:b/>
                <w:bCs/>
                <w:highlight w:val="lightGray"/>
                <w:lang w:val="hu-HU"/>
              </w:rPr>
              <w:t xml:space="preserve">       a. </w:t>
            </w:r>
            <w:r w:rsidRPr="000405CC">
              <w:rPr>
                <w:rFonts w:eastAsia="Times New Roman"/>
                <w:highlight w:val="lightGray"/>
                <w:lang w:val="hu-HU"/>
              </w:rPr>
              <w:t>Beadhatja az injekciót:</w:t>
            </w:r>
          </w:p>
          <w:p w14:paraId="2401CD85" w14:textId="77777777" w:rsidR="0037407E" w:rsidRPr="000405CC" w:rsidRDefault="0037407E" w:rsidP="007E7849">
            <w:pPr>
              <w:pStyle w:val="a3"/>
              <w:ind w:firstLineChars="300" w:firstLine="660"/>
              <w:rPr>
                <w:highlight w:val="lightGray"/>
                <w:lang w:val="hu-HU"/>
              </w:rPr>
            </w:pPr>
            <w:r w:rsidRPr="000405CC">
              <w:rPr>
                <w:rFonts w:eastAsia="Times New Roman"/>
                <w:highlight w:val="lightGray"/>
                <w:lang w:val="hu-HU"/>
              </w:rPr>
              <w:t>- a comb elülső részébe.</w:t>
            </w:r>
          </w:p>
          <w:p w14:paraId="74362D5F" w14:textId="77777777" w:rsidR="0037407E" w:rsidRPr="000405CC" w:rsidRDefault="0037407E" w:rsidP="007E7849">
            <w:pPr>
              <w:pStyle w:val="a3"/>
              <w:ind w:firstLineChars="300" w:firstLine="660"/>
              <w:rPr>
                <w:highlight w:val="lightGray"/>
                <w:lang w:val="hu-HU"/>
              </w:rPr>
            </w:pPr>
            <w:r w:rsidRPr="000405CC">
              <w:rPr>
                <w:rFonts w:eastAsia="Times New Roman"/>
                <w:highlight w:val="lightGray"/>
                <w:lang w:val="hu-HU"/>
              </w:rPr>
              <w:t>- a hasába, kivéve a köldököt.</w:t>
            </w:r>
          </w:p>
          <w:p w14:paraId="5D778F58" w14:textId="77777777" w:rsidR="0037407E" w:rsidRDefault="0037407E" w:rsidP="007E7849">
            <w:pPr>
              <w:pStyle w:val="a3"/>
              <w:ind w:firstLineChars="300" w:firstLine="660"/>
              <w:rPr>
                <w:rFonts w:eastAsia="Times New Roman"/>
                <w:highlight w:val="lightGray"/>
                <w:lang w:val="hu-HU"/>
              </w:rPr>
            </w:pPr>
            <w:r w:rsidRPr="000405CC">
              <w:rPr>
                <w:rFonts w:eastAsia="Times New Roman"/>
                <w:highlight w:val="lightGray"/>
                <w:lang w:val="hu-HU"/>
              </w:rPr>
              <w:t xml:space="preserve">- a felkar külső részébe (KIZÁRÓLAG akkor, ha Ön </w:t>
            </w:r>
            <w:r>
              <w:rPr>
                <w:rFonts w:eastAsia="Times New Roman"/>
                <w:highlight w:val="lightGray"/>
                <w:lang w:val="hu-HU"/>
              </w:rPr>
              <w:t xml:space="preserve">     </w:t>
            </w:r>
          </w:p>
          <w:p w14:paraId="4EC30A4B" w14:textId="77777777" w:rsidR="0037407E" w:rsidRPr="000405CC" w:rsidRDefault="0037407E" w:rsidP="007E7849">
            <w:pPr>
              <w:pStyle w:val="a3"/>
              <w:ind w:firstLineChars="350" w:firstLine="770"/>
              <w:rPr>
                <w:highlight w:val="lightGray"/>
                <w:lang w:val="hu-HU"/>
              </w:rPr>
            </w:pPr>
            <w:r w:rsidRPr="000405CC">
              <w:rPr>
                <w:rFonts w:eastAsia="Times New Roman"/>
                <w:highlight w:val="lightGray"/>
                <w:lang w:val="hu-HU"/>
              </w:rPr>
              <w:t>gondozó).</w:t>
            </w:r>
          </w:p>
          <w:p w14:paraId="2B6ECB98" w14:textId="77777777" w:rsidR="0037407E" w:rsidRPr="000405CC" w:rsidRDefault="0037407E" w:rsidP="007E7849">
            <w:pPr>
              <w:pStyle w:val="a3"/>
              <w:rPr>
                <w:highlight w:val="lightGray"/>
                <w:lang w:val="hu-HU"/>
              </w:rPr>
            </w:pPr>
          </w:p>
          <w:p w14:paraId="548552B8" w14:textId="77777777" w:rsidR="0037407E" w:rsidRPr="000405CC" w:rsidRDefault="0037407E" w:rsidP="007E7849">
            <w:pPr>
              <w:pStyle w:val="a3"/>
              <w:numPr>
                <w:ilvl w:val="0"/>
                <w:numId w:val="17"/>
              </w:numPr>
              <w:ind w:left="3899" w:hanging="3899"/>
              <w:rPr>
                <w:highlight w:val="lightGray"/>
                <w:lang w:val="hu-HU"/>
              </w:rPr>
            </w:pPr>
            <w:r w:rsidRPr="000405CC">
              <w:rPr>
                <w:rFonts w:eastAsia="Times New Roman"/>
                <w:b/>
                <w:bCs/>
                <w:highlight w:val="lightGray"/>
                <w:lang w:val="hu-HU"/>
              </w:rPr>
              <w:t>Ne</w:t>
            </w:r>
            <w:r w:rsidRPr="000405CC">
              <w:rPr>
                <w:rFonts w:eastAsia="Times New Roman"/>
                <w:highlight w:val="lightGray"/>
                <w:lang w:val="hu-HU"/>
              </w:rPr>
              <w:t xml:space="preserve"> adja be az injekciót </w:t>
            </w:r>
            <w:r w:rsidRPr="009167C6">
              <w:rPr>
                <w:rFonts w:eastAsia="Times New Roman"/>
                <w:lang w:val="hu-HU"/>
              </w:rPr>
              <w:t>olyan bőr</w:t>
            </w:r>
            <w:r>
              <w:rPr>
                <w:rFonts w:eastAsia="Times New Roman"/>
                <w:lang w:val="hu-HU"/>
              </w:rPr>
              <w:t>területbe</w:t>
            </w:r>
            <w:r w:rsidRPr="000405CC">
              <w:rPr>
                <w:rFonts w:eastAsia="Times New Roman"/>
                <w:highlight w:val="lightGray"/>
                <w:lang w:val="hu-HU"/>
              </w:rPr>
              <w:t xml:space="preserve"> amely </w:t>
            </w:r>
            <w:r>
              <w:rPr>
                <w:rFonts w:eastAsia="Times New Roman"/>
                <w:highlight w:val="lightGray"/>
                <w:lang w:val="hu-HU"/>
              </w:rPr>
              <w:t xml:space="preserve">kevesebb mint </w:t>
            </w:r>
            <w:r w:rsidRPr="000405CC">
              <w:rPr>
                <w:rFonts w:eastAsia="Times New Roman"/>
                <w:highlight w:val="lightGray"/>
                <w:lang w:val="hu-HU"/>
              </w:rPr>
              <w:t xml:space="preserve">5 cm-re </w:t>
            </w:r>
            <w:r>
              <w:rPr>
                <w:rFonts w:eastAsia="Times New Roman"/>
                <w:highlight w:val="lightGray"/>
                <w:lang w:val="hu-HU"/>
              </w:rPr>
              <w:t>található</w:t>
            </w:r>
            <w:r w:rsidRPr="000405CC">
              <w:rPr>
                <w:rFonts w:eastAsia="Times New Roman"/>
                <w:highlight w:val="lightGray"/>
                <w:lang w:val="hu-HU"/>
              </w:rPr>
              <w:t xml:space="preserve"> a köldöktől</w:t>
            </w:r>
            <w:r>
              <w:rPr>
                <w:rFonts w:eastAsia="Times New Roman"/>
                <w:highlight w:val="lightGray"/>
                <w:lang w:val="hu-HU"/>
              </w:rPr>
              <w:t>,</w:t>
            </w:r>
            <w:r w:rsidRPr="000405CC">
              <w:rPr>
                <w:rFonts w:eastAsia="Times New Roman"/>
                <w:highlight w:val="lightGray"/>
                <w:lang w:val="hu-HU"/>
              </w:rPr>
              <w:t xml:space="preserve"> vagy bepirosodott, kemény, érzékeny, sérült, véraláfutásos vagy heges.</w:t>
            </w:r>
          </w:p>
          <w:p w14:paraId="19C34825" w14:textId="77777777" w:rsidR="0037407E" w:rsidRPr="000405CC" w:rsidRDefault="0037407E" w:rsidP="007E7849">
            <w:pPr>
              <w:pStyle w:val="a3"/>
              <w:numPr>
                <w:ilvl w:val="0"/>
                <w:numId w:val="17"/>
              </w:numPr>
              <w:ind w:left="3899" w:hanging="3899"/>
              <w:rPr>
                <w:highlight w:val="lightGray"/>
                <w:lang w:val="hu-HU"/>
              </w:rPr>
            </w:pPr>
            <w:r w:rsidRPr="000405CC">
              <w:rPr>
                <w:rFonts w:eastAsia="Times New Roman"/>
                <w:highlight w:val="lightGray"/>
                <w:lang w:val="hu-HU"/>
              </w:rPr>
              <w:t xml:space="preserve">Ha pikkelysömörben szenved, </w:t>
            </w:r>
            <w:r w:rsidRPr="000405CC">
              <w:rPr>
                <w:rFonts w:eastAsia="Times New Roman"/>
                <w:b/>
                <w:bCs/>
                <w:highlight w:val="lightGray"/>
                <w:lang w:val="hu-HU"/>
              </w:rPr>
              <w:t>ne</w:t>
            </w:r>
            <w:r w:rsidRPr="000405CC">
              <w:rPr>
                <w:rFonts w:eastAsia="Times New Roman"/>
                <w:highlight w:val="lightGray"/>
                <w:lang w:val="hu-HU"/>
              </w:rPr>
              <w:t xml:space="preserve"> adja be közvetlenül az injekciót kiemelkedő, megvastagodott, piros vagy pikkelyesen hámló foltok, illetve bőrelváltozások területén.</w:t>
            </w:r>
          </w:p>
          <w:p w14:paraId="73B36B1C" w14:textId="77777777" w:rsidR="0037407E" w:rsidRPr="000405CC" w:rsidRDefault="0037407E" w:rsidP="007E7849">
            <w:pPr>
              <w:pStyle w:val="a3"/>
              <w:numPr>
                <w:ilvl w:val="0"/>
                <w:numId w:val="17"/>
              </w:numPr>
              <w:ind w:left="3899" w:hanging="3899"/>
              <w:rPr>
                <w:highlight w:val="lightGray"/>
                <w:lang w:val="hu-HU"/>
              </w:rPr>
            </w:pPr>
            <w:r w:rsidRPr="000405CC">
              <w:rPr>
                <w:rFonts w:eastAsia="Times New Roman"/>
                <w:b/>
                <w:bCs/>
                <w:highlight w:val="lightGray"/>
                <w:lang w:val="hu-HU"/>
              </w:rPr>
              <w:t>Ne</w:t>
            </w:r>
            <w:r w:rsidRPr="000405CC">
              <w:rPr>
                <w:rFonts w:eastAsia="Times New Roman"/>
                <w:highlight w:val="lightGray"/>
                <w:lang w:val="hu-HU"/>
              </w:rPr>
              <w:t xml:space="preserve"> ruhán keresztül adja be az injekciót</w:t>
            </w:r>
          </w:p>
          <w:p w14:paraId="45210FCD" w14:textId="77777777" w:rsidR="0037407E" w:rsidRPr="000405CC" w:rsidRDefault="0037407E" w:rsidP="007E7849">
            <w:pPr>
              <w:pStyle w:val="a3"/>
              <w:numPr>
                <w:ilvl w:val="0"/>
                <w:numId w:val="0"/>
              </w:numPr>
              <w:ind w:left="911"/>
              <w:rPr>
                <w:highlight w:val="lightGray"/>
                <w:lang w:val="hu-HU"/>
              </w:rPr>
            </w:pPr>
          </w:p>
          <w:p w14:paraId="2068046A" w14:textId="77777777" w:rsidR="0037407E" w:rsidRDefault="0037407E" w:rsidP="007E7849">
            <w:pPr>
              <w:pStyle w:val="a3"/>
              <w:ind w:left="4050" w:hanging="4050"/>
              <w:rPr>
                <w:sz w:val="26"/>
                <w:szCs w:val="26"/>
                <w:lang w:val="hu-HU"/>
              </w:rPr>
            </w:pPr>
            <w:r>
              <w:rPr>
                <w:rFonts w:eastAsia="Times New Roman"/>
                <w:noProof/>
                <w:sz w:val="20"/>
                <w:szCs w:val="20"/>
                <w:highlight w:val="lightGray"/>
                <w:lang w:eastAsia="ko-KR"/>
              </w:rPr>
              <mc:AlternateContent>
                <mc:Choice Requires="wps">
                  <w:drawing>
                    <wp:anchor distT="0" distB="0" distL="114300" distR="114300" simplePos="0" relativeHeight="251658301" behindDoc="0" locked="0" layoutInCell="1" allowOverlap="1" wp14:anchorId="44433F49" wp14:editId="62DFA903">
                      <wp:simplePos x="0" y="0"/>
                      <wp:positionH relativeFrom="column">
                        <wp:posOffset>723265</wp:posOffset>
                      </wp:positionH>
                      <wp:positionV relativeFrom="paragraph">
                        <wp:posOffset>178435</wp:posOffset>
                      </wp:positionV>
                      <wp:extent cx="1391920" cy="787400"/>
                      <wp:effectExtent l="0" t="0" r="0" b="0"/>
                      <wp:wrapNone/>
                      <wp:docPr id="122"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1920" cy="787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729280A" w14:textId="77777777" w:rsidR="004A2986" w:rsidRDefault="004A2986" w:rsidP="0037407E">
                                  <w:pPr>
                                    <w:rPr>
                                      <w:rFonts w:asciiTheme="majorBidi" w:hAnsiTheme="majorBidi" w:cstheme="majorBidi"/>
                                      <w:b/>
                                      <w:bCs/>
                                      <w:sz w:val="20"/>
                                      <w:szCs w:val="20"/>
                                    </w:rPr>
                                  </w:pPr>
                                  <w:r>
                                    <w:rPr>
                                      <w:rFonts w:ascii="Times New Roman" w:eastAsia="Times New Roman" w:hAnsi="Times New Roman" w:cs="Times New Roman"/>
                                      <w:b/>
                                      <w:bCs/>
                                      <w:sz w:val="20"/>
                                      <w:szCs w:val="20"/>
                                      <w:lang w:val="hu-HU"/>
                                    </w:rPr>
                                    <w:t xml:space="preserve">KIZÁRÓLAG </w:t>
                                  </w:r>
                                  <w:r>
                                    <w:rPr>
                                      <w:rFonts w:ascii="Times New Roman" w:eastAsia="Times New Roman" w:hAnsi="Times New Roman" w:cs="Times New Roman"/>
                                      <w:b/>
                                      <w:bCs/>
                                      <w:sz w:val="20"/>
                                      <w:szCs w:val="20"/>
                                      <w:lang w:val="hu-HU"/>
                                    </w:rPr>
                                    <w:t>gondozó esetén</w:t>
                                  </w:r>
                                </w:p>
                                <w:p w14:paraId="40F1E54B" w14:textId="77777777" w:rsidR="004A2986" w:rsidRDefault="004A2986" w:rsidP="0037407E">
                                  <w:pPr>
                                    <w:rPr>
                                      <w:rFonts w:asciiTheme="majorBidi" w:hAnsiTheme="majorBidi" w:cstheme="majorBidi"/>
                                      <w:b/>
                                      <w:bCs/>
                                      <w:sz w:val="10"/>
                                      <w:szCs w:val="10"/>
                                    </w:rPr>
                                  </w:pPr>
                                </w:p>
                                <w:p w14:paraId="1AF64A09" w14:textId="77777777" w:rsidR="004A2986" w:rsidRDefault="004A2986" w:rsidP="0037407E">
                                  <w:pPr>
                                    <w:rPr>
                                      <w:rFonts w:asciiTheme="majorBidi" w:hAnsiTheme="majorBidi" w:cstheme="majorBidi"/>
                                      <w:b/>
                                      <w:bCs/>
                                      <w:sz w:val="20"/>
                                      <w:szCs w:val="20"/>
                                    </w:rPr>
                                  </w:pPr>
                                  <w:r>
                                    <w:rPr>
                                      <w:rFonts w:ascii="Times New Roman" w:eastAsia="Times New Roman" w:hAnsi="Times New Roman" w:cs="Times New Roman"/>
                                      <w:b/>
                                      <w:bCs/>
                                      <w:sz w:val="20"/>
                                      <w:szCs w:val="20"/>
                                      <w:lang w:val="hu-HU"/>
                                    </w:rPr>
                                    <w:t xml:space="preserve">Öninjekciózás és gondozó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33F49" id="Text Box 122" o:spid="_x0000_s1176" type="#_x0000_t202" style="position:absolute;left:0;text-align:left;margin-left:56.95pt;margin-top:14.05pt;width:109.6pt;height:62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" fillcolor="white [3212]" stroked="f" strokeweight=".5pt">
                      <v:textbox inset="0,0,0,0">
                        <w:txbxContent>
                          <w:p w14:paraId="3729280A" w14:textId="77777777" w:rsidR="004A2986" w:rsidRDefault="004A2986" w:rsidP="0037407E">
                            <w:pPr>
                              <w:rPr>
                                <w:rFonts w:asciiTheme="majorBidi" w:hAnsiTheme="majorBidi" w:cstheme="majorBidi"/>
                                <w:b/>
                                <w:bCs/>
                                <w:sz w:val="20"/>
                                <w:szCs w:val="20"/>
                              </w:rPr>
                            </w:pPr>
                            <w:r>
                              <w:rPr>
                                <w:rFonts w:ascii="Times New Roman" w:eastAsia="Times New Roman" w:hAnsi="Times New Roman" w:cs="Times New Roman"/>
                                <w:b/>
                                <w:bCs/>
                                <w:sz w:val="20"/>
                                <w:szCs w:val="20"/>
                                <w:lang w:val="hu-HU"/>
                              </w:rPr>
                              <w:t xml:space="preserve">KIZÁRÓLAG </w:t>
                            </w:r>
                            <w:r>
                              <w:rPr>
                                <w:rFonts w:ascii="Times New Roman" w:eastAsia="Times New Roman" w:hAnsi="Times New Roman" w:cs="Times New Roman"/>
                                <w:b/>
                                <w:bCs/>
                                <w:sz w:val="20"/>
                                <w:szCs w:val="20"/>
                                <w:lang w:val="hu-HU"/>
                              </w:rPr>
                              <w:t>gondozó esetén</w:t>
                            </w:r>
                          </w:p>
                          <w:p w14:paraId="40F1E54B" w14:textId="77777777" w:rsidR="004A2986" w:rsidRDefault="004A2986" w:rsidP="0037407E">
                            <w:pPr>
                              <w:rPr>
                                <w:rFonts w:asciiTheme="majorBidi" w:hAnsiTheme="majorBidi" w:cstheme="majorBidi"/>
                                <w:b/>
                                <w:bCs/>
                                <w:sz w:val="10"/>
                                <w:szCs w:val="10"/>
                              </w:rPr>
                            </w:pPr>
                          </w:p>
                          <w:p w14:paraId="1AF64A09" w14:textId="77777777" w:rsidR="004A2986" w:rsidRDefault="004A2986" w:rsidP="0037407E">
                            <w:pPr>
                              <w:rPr>
                                <w:rFonts w:asciiTheme="majorBidi" w:hAnsiTheme="majorBidi" w:cstheme="majorBidi"/>
                                <w:b/>
                                <w:bCs/>
                                <w:sz w:val="20"/>
                                <w:szCs w:val="20"/>
                              </w:rPr>
                            </w:pPr>
                            <w:r>
                              <w:rPr>
                                <w:rFonts w:ascii="Times New Roman" w:eastAsia="Times New Roman" w:hAnsi="Times New Roman" w:cs="Times New Roman"/>
                                <w:b/>
                                <w:bCs/>
                                <w:sz w:val="20"/>
                                <w:szCs w:val="20"/>
                                <w:lang w:val="hu-HU"/>
                              </w:rPr>
                              <w:t xml:space="preserve">Öninjekciózás és gondozó </w:t>
                            </w:r>
                          </w:p>
                        </w:txbxContent>
                      </v:textbox>
                    </v:shape>
                  </w:pict>
                </mc:Fallback>
              </mc:AlternateContent>
            </w:r>
            <w:r w:rsidRPr="000405CC">
              <w:rPr>
                <w:rFonts w:eastAsia="Times New Roman"/>
                <w:b/>
                <w:bCs/>
                <w:highlight w:val="lightGray"/>
                <w:lang w:val="hu-HU"/>
              </w:rPr>
              <w:t xml:space="preserve">   b. </w:t>
            </w:r>
            <w:r w:rsidRPr="001E2F31">
              <w:rPr>
                <w:rFonts w:eastAsia="Times New Roman"/>
                <w:bCs/>
                <w:highlight w:val="lightGray"/>
                <w:lang w:val="hu-HU"/>
              </w:rPr>
              <w:t>M</w:t>
            </w:r>
            <w:r w:rsidRPr="00010223">
              <w:rPr>
                <w:rFonts w:eastAsia="Times New Roman"/>
                <w:highlight w:val="lightGray"/>
                <w:lang w:val="hu-HU"/>
              </w:rPr>
              <w:t>in</w:t>
            </w:r>
            <w:r w:rsidRPr="000405CC">
              <w:rPr>
                <w:rFonts w:eastAsia="Times New Roman"/>
                <w:highlight w:val="lightGray"/>
                <w:lang w:val="hu-HU"/>
              </w:rPr>
              <w:t>den alkalommal, amikor injekciót ad be, váltogassa az injekció beadásának helyét. Minden új injekció beadási helynek legalább 3 cm-re kell lennie az előzőleg beadott injekció beadási helyétől.</w:t>
            </w:r>
          </w:p>
        </w:tc>
      </w:tr>
      <w:tr w:rsidR="0037407E" w:rsidRPr="0050426A" w14:paraId="2E9D3DEC" w14:textId="77777777" w:rsidTr="009C7DB8">
        <w:trPr>
          <w:trHeight w:val="5805"/>
        </w:trPr>
        <w:tc>
          <w:tcPr>
            <w:tcW w:w="9550" w:type="dxa"/>
          </w:tcPr>
          <w:p w14:paraId="71D9BC94" w14:textId="77777777" w:rsidR="0037407E" w:rsidRPr="000405CC" w:rsidRDefault="0037407E" w:rsidP="007E7849">
            <w:pPr>
              <w:pStyle w:val="a3"/>
              <w:rPr>
                <w:highlight w:val="lightGray"/>
                <w:lang w:val="hu-HU" w:eastAsia="ko-KR"/>
              </w:rPr>
            </w:pPr>
          </w:p>
          <w:p w14:paraId="49247D31" w14:textId="3C68C64B" w:rsidR="0037407E" w:rsidRPr="000405CC" w:rsidRDefault="009C7DB8" w:rsidP="007E7849">
            <w:pPr>
              <w:pStyle w:val="1"/>
              <w:spacing w:before="76"/>
              <w:ind w:left="0" w:right="2736"/>
              <w:rPr>
                <w:rFonts w:eastAsiaTheme="minorEastAsia"/>
                <w:highlight w:val="lightGray"/>
                <w:lang w:val="hu-HU" w:eastAsia="ko-KR"/>
              </w:rPr>
            </w:pPr>
            <w:r>
              <w:rPr>
                <w:rFonts w:eastAsiaTheme="minorEastAsia"/>
                <w:noProof/>
                <w:lang w:eastAsia="ko-KR"/>
              </w:rPr>
              <mc:AlternateContent>
                <mc:Choice Requires="wpg">
                  <w:drawing>
                    <wp:anchor distT="0" distB="0" distL="114300" distR="114300" simplePos="0" relativeHeight="251658317" behindDoc="0" locked="0" layoutInCell="1" allowOverlap="1" wp14:anchorId="3963BB98" wp14:editId="4C42A77E">
                      <wp:simplePos x="0" y="0"/>
                      <wp:positionH relativeFrom="column">
                        <wp:posOffset>-8890</wp:posOffset>
                      </wp:positionH>
                      <wp:positionV relativeFrom="paragraph">
                        <wp:posOffset>69850</wp:posOffset>
                      </wp:positionV>
                      <wp:extent cx="2216785" cy="2803525"/>
                      <wp:effectExtent l="0" t="0" r="0" b="0"/>
                      <wp:wrapSquare wrapText="bothSides"/>
                      <wp:docPr id="124" name="그룹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16785" cy="2803525"/>
                                <a:chOff x="0" y="0"/>
                                <a:chExt cx="2407920" cy="3092450"/>
                              </a:xfrm>
                            </wpg:grpSpPr>
                            <pic:pic xmlns:pic="http://schemas.openxmlformats.org/drawingml/2006/picture">
                              <pic:nvPicPr>
                                <pic:cNvPr id="125" name="그림 59"/>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1025" name="Text Box 47"/>
                              <wps:cNvSpPr txBox="1"/>
                              <wps:spPr>
                                <a:xfrm>
                                  <a:off x="1670050" y="2946400"/>
                                  <a:ext cx="719758" cy="146050"/>
                                </a:xfrm>
                                <a:prstGeom prst="rect">
                                  <a:avLst/>
                                </a:prstGeom>
                                <a:solidFill>
                                  <a:prstClr val="white"/>
                                </a:solidFill>
                                <a:ln>
                                  <a:noFill/>
                                </a:ln>
                              </wps:spPr>
                              <wps:txbx>
                                <w:txbxContent>
                                  <w:p w14:paraId="3DFC254E" w14:textId="77777777" w:rsidR="004A2986" w:rsidRDefault="004A2986" w:rsidP="0037407E">
                                    <w:pPr>
                                      <w:pStyle w:val="af0"/>
                                      <w:jc w:val="right"/>
                                      <w:rPr>
                                        <w:rFonts w:ascii="Times New Roman" w:hAnsi="Times New Roman" w:cs="Times New Roman"/>
                                        <w:noProof/>
                                        <w:spacing w:val="-1"/>
                                      </w:rPr>
                                    </w:pPr>
                                    <w:r w:rsidRPr="004B23C8">
                                      <w:rPr>
                                        <w:rFonts w:ascii="Times New Roman" w:eastAsia="Times New Roman" w:hAnsi="Times New Roman" w:cs="Times New Roman"/>
                                        <w:highlight w:val="lightGray"/>
                                        <w:lang w:val="hu-HU"/>
                                      </w:rPr>
                                      <w:t xml:space="preserve">F. </w:t>
                                    </w:r>
                                    <w:r w:rsidRPr="004B23C8">
                                      <w:rPr>
                                        <w:rFonts w:ascii="Times New Roman" w:eastAsia="Times New Roman" w:hAnsi="Times New Roman" w:cs="Times New Roman"/>
                                        <w:highlight w:val="lightGray"/>
                                        <w:lang w:val="hu-HU"/>
                                      </w:rPr>
                                      <w:t>ábra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963BB98" id="_x0000_s1177" style="position:absolute;margin-left:-.7pt;margin-top:5.5pt;width:174.55pt;height:220.75pt;z-index:251658317"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">
                      <v:shape id="그림 59" o:spid="_x0000_s1178"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">
                        <v:imagedata r:id="rId37" o:title=""/>
                      </v:shape>
                      <v:shape id="Text Box 47" o:spid="_x0000_s1179"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" stroked="f">
                        <v:textbox inset="0,0,0,0">
                          <w:txbxContent>
                            <w:p w14:paraId="3DFC254E" w14:textId="77777777" w:rsidR="004A2986" w:rsidRDefault="004A2986" w:rsidP="0037407E">
                              <w:pPr>
                                <w:pStyle w:val="af0"/>
                                <w:jc w:val="right"/>
                                <w:rPr>
                                  <w:rFonts w:ascii="Times New Roman" w:hAnsi="Times New Roman" w:cs="Times New Roman"/>
                                  <w:noProof/>
                                  <w:spacing w:val="-1"/>
                                </w:rPr>
                              </w:pPr>
                              <w:r w:rsidRPr="004B23C8">
                                <w:rPr>
                                  <w:rFonts w:ascii="Times New Roman" w:eastAsia="Times New Roman" w:hAnsi="Times New Roman" w:cs="Times New Roman"/>
                                  <w:highlight w:val="lightGray"/>
                                  <w:lang w:val="hu-HU"/>
                                </w:rPr>
                                <w:t xml:space="preserve">F. </w:t>
                              </w:r>
                              <w:r w:rsidRPr="004B23C8">
                                <w:rPr>
                                  <w:rFonts w:ascii="Times New Roman" w:eastAsia="Times New Roman" w:hAnsi="Times New Roman" w:cs="Times New Roman"/>
                                  <w:highlight w:val="lightGray"/>
                                  <w:lang w:val="hu-HU"/>
                                </w:rPr>
                                <w:t>ábra</w:t>
                              </w:r>
                            </w:p>
                          </w:txbxContent>
                        </v:textbox>
                      </v:shape>
                      <w10:wrap type="square"/>
                    </v:group>
                  </w:pict>
                </mc:Fallback>
              </mc:AlternateContent>
            </w:r>
            <w:r w:rsidR="0037407E">
              <w:rPr>
                <w:rFonts w:eastAsiaTheme="minorEastAsia" w:cs="Times New Roman" w:hint="eastAsia"/>
                <w:spacing w:val="-1"/>
                <w:highlight w:val="lightGray"/>
                <w:lang w:val="hu-HU" w:eastAsia="ko-KR"/>
              </w:rPr>
              <w:t xml:space="preserve">  </w:t>
            </w:r>
          </w:p>
          <w:p w14:paraId="17E38B5B" w14:textId="77777777" w:rsidR="0037407E" w:rsidRPr="000405CC" w:rsidRDefault="0037407E" w:rsidP="00FD05AA">
            <w:pPr>
              <w:pStyle w:val="a3"/>
              <w:numPr>
                <w:ilvl w:val="0"/>
                <w:numId w:val="64"/>
              </w:numPr>
              <w:rPr>
                <w:b/>
                <w:highlight w:val="lightGray"/>
                <w:lang w:val="hu-HU"/>
              </w:rPr>
            </w:pPr>
            <w:r w:rsidRPr="000405CC">
              <w:rPr>
                <w:rFonts w:eastAsia="Times New Roman"/>
                <w:b/>
                <w:bCs/>
                <w:highlight w:val="lightGray"/>
                <w:lang w:val="hu-HU"/>
              </w:rPr>
              <w:t>Mosson kezet</w:t>
            </w:r>
          </w:p>
          <w:p w14:paraId="0F65F1A3" w14:textId="77777777" w:rsidR="0037407E" w:rsidRPr="000405CC" w:rsidRDefault="0037407E" w:rsidP="007E7849">
            <w:pPr>
              <w:pStyle w:val="a3"/>
              <w:rPr>
                <w:highlight w:val="lightGray"/>
                <w:lang w:val="hu-HU"/>
              </w:rPr>
            </w:pPr>
          </w:p>
          <w:p w14:paraId="54F3A9F1" w14:textId="77777777" w:rsidR="0037407E" w:rsidRDefault="0037407E" w:rsidP="00FD05AA">
            <w:pPr>
              <w:pStyle w:val="a3"/>
              <w:numPr>
                <w:ilvl w:val="0"/>
                <w:numId w:val="70"/>
              </w:numPr>
              <w:rPr>
                <w:rFonts w:eastAsia="Times New Roman"/>
                <w:highlight w:val="lightGray"/>
                <w:lang w:val="hu-HU"/>
              </w:rPr>
            </w:pPr>
            <w:r w:rsidRPr="001E2F31">
              <w:rPr>
                <w:rFonts w:eastAsia="Times New Roman"/>
                <w:bCs/>
                <w:highlight w:val="lightGray"/>
                <w:lang w:val="hu-HU"/>
              </w:rPr>
              <w:t>Alaposan m</w:t>
            </w:r>
            <w:r w:rsidRPr="001E2F31">
              <w:rPr>
                <w:rFonts w:eastAsia="Times New Roman"/>
                <w:highlight w:val="lightGray"/>
                <w:lang w:val="hu-HU"/>
              </w:rPr>
              <w:t xml:space="preserve">ossa meg a kezét szappanal és vízzel és </w:t>
            </w:r>
          </w:p>
          <w:p w14:paraId="22CB7771" w14:textId="77777777" w:rsidR="0037407E" w:rsidRPr="001E2F31" w:rsidRDefault="0037407E" w:rsidP="007E7849">
            <w:pPr>
              <w:pStyle w:val="a3"/>
              <w:numPr>
                <w:ilvl w:val="0"/>
                <w:numId w:val="0"/>
              </w:numPr>
              <w:ind w:left="108"/>
              <w:rPr>
                <w:highlight w:val="lightGray"/>
                <w:lang w:val="hu-HU"/>
              </w:rPr>
            </w:pPr>
            <w:r w:rsidRPr="001E2F31">
              <w:rPr>
                <w:rFonts w:eastAsia="Times New Roman"/>
                <w:highlight w:val="lightGray"/>
                <w:lang w:val="hu-HU"/>
              </w:rPr>
              <w:t>szárítsa meg.</w:t>
            </w:r>
          </w:p>
          <w:p w14:paraId="72B1EB50" w14:textId="77777777" w:rsidR="0037407E" w:rsidRPr="000405CC" w:rsidRDefault="0037407E" w:rsidP="007E7849">
            <w:pPr>
              <w:pStyle w:val="1"/>
              <w:spacing w:before="76"/>
              <w:ind w:left="0" w:right="2736"/>
              <w:rPr>
                <w:rFonts w:eastAsiaTheme="minorEastAsia"/>
                <w:highlight w:val="lightGray"/>
                <w:lang w:val="hu-HU" w:eastAsia="ko-KR"/>
              </w:rPr>
            </w:pPr>
          </w:p>
        </w:tc>
      </w:tr>
      <w:tr w:rsidR="0037407E" w:rsidRPr="00BE4D18" w14:paraId="019E7832" w14:textId="77777777" w:rsidTr="009C7DB8">
        <w:trPr>
          <w:trHeight w:val="5201"/>
        </w:trPr>
        <w:tc>
          <w:tcPr>
            <w:tcW w:w="9550" w:type="dxa"/>
          </w:tcPr>
          <w:p w14:paraId="615D42E6" w14:textId="77777777" w:rsidR="0037407E" w:rsidRPr="000405CC" w:rsidRDefault="0037407E" w:rsidP="007E7849">
            <w:pPr>
              <w:ind w:left="104"/>
              <w:rPr>
                <w:rFonts w:asciiTheme="majorBidi" w:eastAsia="Times New Roman" w:hAnsiTheme="majorBidi" w:cstheme="majorBidi"/>
                <w:b/>
                <w:bCs/>
                <w:spacing w:val="-1"/>
                <w:highlight w:val="lightGray"/>
                <w:lang w:val="hu-HU"/>
              </w:rPr>
            </w:pPr>
          </w:p>
          <w:p w14:paraId="51DC6C49" w14:textId="77777777" w:rsidR="0037407E" w:rsidRPr="000405CC" w:rsidRDefault="0037407E" w:rsidP="007E7849">
            <w:pPr>
              <w:ind w:left="104"/>
              <w:rPr>
                <w:rFonts w:asciiTheme="majorBidi" w:eastAsia="Times New Roman" w:hAnsiTheme="majorBidi" w:cstheme="majorBidi"/>
                <w:highlight w:val="lightGray"/>
                <w:lang w:val="hu-HU"/>
              </w:rPr>
            </w:pPr>
          </w:p>
          <w:p w14:paraId="10331A98" w14:textId="77777777" w:rsidR="0037407E" w:rsidRPr="000405CC" w:rsidRDefault="0037407E" w:rsidP="00FD05AA">
            <w:pPr>
              <w:pStyle w:val="a3"/>
              <w:numPr>
                <w:ilvl w:val="0"/>
                <w:numId w:val="64"/>
              </w:numPr>
              <w:rPr>
                <w:rFonts w:asciiTheme="majorBidi" w:hAnsiTheme="majorBidi" w:cstheme="majorBidi"/>
                <w:b/>
                <w:highlight w:val="lightGray"/>
                <w:lang w:val="hu-HU"/>
              </w:rPr>
            </w:pPr>
            <w:r>
              <w:rPr>
                <w:rFonts w:asciiTheme="majorBidi" w:hAnsiTheme="majorBidi" w:cstheme="majorBidi"/>
                <w:b/>
                <w:noProof/>
                <w:highlight w:val="lightGray"/>
                <w:lang w:eastAsia="ko-KR"/>
              </w:rPr>
              <mc:AlternateContent>
                <mc:Choice Requires="wpg">
                  <w:drawing>
                    <wp:anchor distT="0" distB="0" distL="114300" distR="114300" simplePos="0" relativeHeight="251658292" behindDoc="0" locked="0" layoutInCell="1" allowOverlap="1" wp14:anchorId="778552A2" wp14:editId="50C00F68">
                      <wp:simplePos x="0" y="0"/>
                      <wp:positionH relativeFrom="column">
                        <wp:posOffset>10795</wp:posOffset>
                      </wp:positionH>
                      <wp:positionV relativeFrom="paragraph">
                        <wp:posOffset>31115</wp:posOffset>
                      </wp:positionV>
                      <wp:extent cx="2256155" cy="2901950"/>
                      <wp:effectExtent l="0" t="0" r="3175" b="3175"/>
                      <wp:wrapSquare wrapText="bothSides"/>
                      <wp:docPr id="1028" name="그룹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6155" cy="2901950"/>
                                <a:chOff x="0" y="0"/>
                                <a:chExt cx="22564" cy="29019"/>
                              </a:xfrm>
                            </wpg:grpSpPr>
                            <pic:pic xmlns:pic="http://schemas.openxmlformats.org/drawingml/2006/picture">
                              <pic:nvPicPr>
                                <pic:cNvPr id="1030" name="그림 4012"/>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555" cy="27647"/>
                                </a:xfrm>
                                <a:prstGeom prst="rect">
                                  <a:avLst/>
                                </a:prstGeom>
                                <a:noFill/>
                                <a:extLst>
                                  <a:ext uri="{909E8E84-426E-40DD-AFC4-6F175D3DCCD1}">
                                    <a14:hiddenFill xmlns:a14="http://schemas.microsoft.com/office/drawing/2010/main">
                                      <a:solidFill>
                                        <a:srgbClr val="FFFFFF"/>
                                      </a:solidFill>
                                    </a14:hiddenFill>
                                  </a:ext>
                                </a:extLst>
                              </pic:spPr>
                            </pic:pic>
                            <wps:wsp>
                              <wps:cNvPr id="1031" name="Text Box 78"/>
                              <wps:cNvSpPr txBox="1">
                                <a:spLocks noChangeArrowheads="1"/>
                              </wps:cNvSpPr>
                              <wps:spPr bwMode="auto">
                                <a:xfrm>
                                  <a:off x="15367" y="27559"/>
                                  <a:ext cx="7197" cy="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7EC221"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G </w:t>
                                    </w:r>
                                    <w:r>
                                      <w:rPr>
                                        <w:rFonts w:ascii="Times New Roman" w:eastAsia="Times New Roman" w:hAnsi="Times New Roman" w:cs="Times New Roman"/>
                                        <w:highlight w:val="lightGray"/>
                                        <w:lang w:val="hu-HU"/>
                                      </w:rPr>
                                      <w:t>ábra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778552A2" id="_x0000_s1180" style="position:absolute;left:0;text-align:left;margin-left:.85pt;margin-top:2.45pt;width:177.65pt;height:228.5pt;z-index:251658292" coordsize="22564,290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">
                      <v:shape id="그림 4012" o:spid="_x0000_s1181"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">
                        <v:imagedata r:id="rId39" o:title=""/>
                      </v:shape>
                      <v:shape id="_x0000_s1182" type="#_x0000_t202" style="position:absolute;left:15367;top:27559;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" stroked="f">
                        <v:textbox style="mso-fit-shape-to-text:t" inset="0,0,0,0">
                          <w:txbxContent>
                            <w:p w14:paraId="047EC221"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G </w:t>
                              </w:r>
                              <w:r>
                                <w:rPr>
                                  <w:rFonts w:ascii="Times New Roman" w:eastAsia="Times New Roman" w:hAnsi="Times New Roman" w:cs="Times New Roman"/>
                                  <w:highlight w:val="lightGray"/>
                                  <w:lang w:val="hu-HU"/>
                                </w:rPr>
                                <w:t>ábra</w:t>
                              </w:r>
                            </w:p>
                          </w:txbxContent>
                        </v:textbox>
                      </v:shape>
                      <w10:wrap type="square"/>
                    </v:group>
                  </w:pict>
                </mc:Fallback>
              </mc:AlternateContent>
            </w:r>
            <w:r w:rsidRPr="000405CC">
              <w:rPr>
                <w:rFonts w:asciiTheme="majorBidi" w:eastAsia="Times New Roman" w:hAnsiTheme="majorBidi" w:cstheme="majorBidi"/>
                <w:b/>
                <w:bCs/>
                <w:highlight w:val="lightGray"/>
                <w:lang w:val="hu-HU"/>
              </w:rPr>
              <w:t>Tisztítsa meg az injekció beadási helyét</w:t>
            </w:r>
          </w:p>
          <w:p w14:paraId="138FE62E" w14:textId="77777777" w:rsidR="0037407E" w:rsidRPr="000405CC" w:rsidRDefault="0037407E" w:rsidP="007E7849">
            <w:pPr>
              <w:pStyle w:val="a3"/>
              <w:numPr>
                <w:ilvl w:val="0"/>
                <w:numId w:val="0"/>
              </w:numPr>
              <w:ind w:left="471"/>
              <w:rPr>
                <w:rFonts w:asciiTheme="majorBidi" w:hAnsiTheme="majorBidi" w:cstheme="majorBidi"/>
                <w:b/>
                <w:highlight w:val="lightGray"/>
                <w:lang w:val="hu-HU"/>
              </w:rPr>
            </w:pPr>
          </w:p>
          <w:p w14:paraId="127E2597" w14:textId="77777777" w:rsidR="0037407E" w:rsidRPr="000405CC" w:rsidRDefault="0037407E" w:rsidP="007E7849">
            <w:pPr>
              <w:pStyle w:val="a3"/>
              <w:ind w:left="4139" w:hanging="4139"/>
              <w:rPr>
                <w:rFonts w:asciiTheme="majorBidi" w:hAnsiTheme="majorBidi" w:cstheme="majorBidi"/>
                <w:highlight w:val="lightGray"/>
                <w:lang w:val="hu-HU"/>
              </w:rPr>
            </w:pPr>
            <w:r w:rsidRPr="000405CC">
              <w:rPr>
                <w:rFonts w:asciiTheme="majorBidi" w:eastAsia="Times New Roman" w:hAnsiTheme="majorBidi" w:cstheme="majorBidi"/>
                <w:b/>
                <w:bCs/>
                <w:highlight w:val="lightGray"/>
                <w:lang w:val="hu-HU"/>
              </w:rPr>
              <w:t xml:space="preserve">  a.</w:t>
            </w:r>
            <w:r w:rsidRPr="001E2F31">
              <w:rPr>
                <w:rFonts w:asciiTheme="majorBidi" w:eastAsia="Times New Roman" w:hAnsiTheme="majorBidi" w:cstheme="majorBidi"/>
                <w:bCs/>
                <w:highlight w:val="lightGray"/>
                <w:lang w:val="hu-HU"/>
              </w:rPr>
              <w:t xml:space="preserve"> </w:t>
            </w:r>
            <w:r>
              <w:rPr>
                <w:rFonts w:asciiTheme="majorBidi" w:eastAsia="Times New Roman" w:hAnsiTheme="majorBidi" w:cstheme="majorBidi"/>
                <w:bCs/>
                <w:highlight w:val="lightGray"/>
                <w:lang w:val="hu-HU"/>
              </w:rPr>
              <w:t xml:space="preserve"> </w:t>
            </w:r>
            <w:r w:rsidRPr="001E2F31">
              <w:rPr>
                <w:rFonts w:asciiTheme="majorBidi" w:eastAsia="Times New Roman" w:hAnsiTheme="majorBidi" w:cstheme="majorBidi"/>
                <w:bCs/>
                <w:highlight w:val="lightGray"/>
                <w:lang w:val="hu-HU"/>
              </w:rPr>
              <w:t>T</w:t>
            </w:r>
            <w:r w:rsidRPr="000405CC">
              <w:rPr>
                <w:rFonts w:asciiTheme="majorBidi" w:eastAsia="Times New Roman" w:hAnsiTheme="majorBidi" w:cstheme="majorBidi"/>
                <w:highlight w:val="lightGray"/>
                <w:lang w:val="hu-HU"/>
              </w:rPr>
              <w:t xml:space="preserve">isztítsa meg az injekció beadási helyét alkoholos </w:t>
            </w:r>
            <w:r>
              <w:rPr>
                <w:rFonts w:asciiTheme="majorBidi" w:eastAsia="Times New Roman" w:hAnsiTheme="majorBidi" w:cstheme="majorBidi"/>
                <w:highlight w:val="lightGray"/>
                <w:lang w:val="hu-HU"/>
              </w:rPr>
              <w:t xml:space="preserve">  </w:t>
            </w:r>
            <w:r w:rsidRPr="000405CC">
              <w:rPr>
                <w:rFonts w:asciiTheme="majorBidi" w:eastAsia="Times New Roman" w:hAnsiTheme="majorBidi" w:cstheme="majorBidi"/>
                <w:highlight w:val="lightGray"/>
                <w:lang w:val="hu-HU"/>
              </w:rPr>
              <w:t>törlő</w:t>
            </w:r>
            <w:r>
              <w:rPr>
                <w:rFonts w:asciiTheme="majorBidi" w:eastAsia="Times New Roman" w:hAnsiTheme="majorBidi" w:cstheme="majorBidi"/>
                <w:highlight w:val="lightGray"/>
                <w:lang w:val="hu-HU"/>
              </w:rPr>
              <w:t xml:space="preserve"> segítségével</w:t>
            </w:r>
            <w:r w:rsidRPr="000405CC">
              <w:rPr>
                <w:rFonts w:asciiTheme="majorBidi" w:eastAsia="Times New Roman" w:hAnsiTheme="majorBidi" w:cstheme="majorBidi"/>
                <w:highlight w:val="lightGray"/>
                <w:lang w:val="hu-HU"/>
              </w:rPr>
              <w:t xml:space="preserve"> körkörös mozdulattal.</w:t>
            </w:r>
          </w:p>
          <w:p w14:paraId="0C74D226" w14:textId="77777777" w:rsidR="0037407E" w:rsidRPr="000405CC" w:rsidRDefault="0037407E" w:rsidP="007E7849">
            <w:pPr>
              <w:pStyle w:val="a3"/>
              <w:ind w:left="4050" w:hanging="4050"/>
              <w:rPr>
                <w:rFonts w:asciiTheme="majorBidi" w:hAnsiTheme="majorBidi" w:cstheme="majorBidi"/>
                <w:highlight w:val="lightGray"/>
                <w:lang w:val="hu-HU"/>
              </w:rPr>
            </w:pPr>
            <w:r w:rsidRPr="000405CC">
              <w:rPr>
                <w:rFonts w:asciiTheme="majorBidi" w:eastAsia="Times New Roman" w:hAnsiTheme="majorBidi" w:cstheme="majorBidi"/>
                <w:b/>
                <w:bCs/>
                <w:highlight w:val="lightGray"/>
                <w:lang w:val="hu-HU"/>
              </w:rPr>
              <w:t xml:space="preserve">   b. </w:t>
            </w:r>
            <w:r w:rsidRPr="001E2F31">
              <w:rPr>
                <w:rFonts w:asciiTheme="majorBidi" w:eastAsia="Times New Roman" w:hAnsiTheme="majorBidi" w:cstheme="majorBidi"/>
                <w:bCs/>
                <w:highlight w:val="lightGray"/>
                <w:lang w:val="hu-HU"/>
              </w:rPr>
              <w:t>A</w:t>
            </w:r>
            <w:r w:rsidRPr="00010223">
              <w:rPr>
                <w:rFonts w:asciiTheme="majorBidi" w:eastAsia="Times New Roman" w:hAnsiTheme="majorBidi" w:cstheme="majorBidi"/>
                <w:highlight w:val="lightGray"/>
                <w:lang w:val="hu-HU"/>
              </w:rPr>
              <w:t>z</w:t>
            </w:r>
            <w:r w:rsidRPr="000405CC">
              <w:rPr>
                <w:rFonts w:asciiTheme="majorBidi" w:eastAsia="Times New Roman" w:hAnsiTheme="majorBidi" w:cstheme="majorBidi"/>
                <w:highlight w:val="lightGray"/>
                <w:lang w:val="hu-HU"/>
              </w:rPr>
              <w:t xml:space="preserve"> injekció beadása előtt hagyja a bőrt megszáradni.</w:t>
            </w:r>
          </w:p>
          <w:p w14:paraId="78AEA96F" w14:textId="77777777" w:rsidR="0037407E" w:rsidRPr="000405CC" w:rsidRDefault="0037407E" w:rsidP="007E7849">
            <w:pPr>
              <w:pStyle w:val="a3"/>
              <w:rPr>
                <w:rFonts w:asciiTheme="majorBidi" w:hAnsiTheme="majorBidi" w:cstheme="majorBidi"/>
                <w:highlight w:val="lightGray"/>
                <w:lang w:val="hu-HU"/>
              </w:rPr>
            </w:pPr>
          </w:p>
          <w:p w14:paraId="5FA6F8EA" w14:textId="77777777" w:rsidR="0037407E" w:rsidRPr="000405CC" w:rsidRDefault="0037407E" w:rsidP="007E7849">
            <w:pPr>
              <w:pStyle w:val="a3"/>
              <w:rPr>
                <w:rFonts w:asciiTheme="majorBidi" w:hAnsiTheme="majorBidi" w:cstheme="majorBidi"/>
                <w:highlight w:val="lightGray"/>
                <w:lang w:val="hu-HU"/>
              </w:rPr>
            </w:pPr>
          </w:p>
          <w:p w14:paraId="23A810EF" w14:textId="77777777" w:rsidR="0037407E" w:rsidRPr="000405CC" w:rsidRDefault="0037407E" w:rsidP="007E7849">
            <w:pPr>
              <w:pStyle w:val="a3"/>
              <w:rPr>
                <w:rFonts w:asciiTheme="majorBidi" w:hAnsiTheme="majorBidi" w:cstheme="majorBidi"/>
                <w:highlight w:val="lightGray"/>
                <w:lang w:val="hu-HU" w:eastAsia="ko-KR"/>
              </w:rPr>
            </w:pPr>
            <w:r w:rsidRPr="000405CC">
              <w:rPr>
                <w:rFonts w:asciiTheme="majorBidi" w:eastAsia="맑은 고딕" w:hAnsiTheme="majorBidi" w:cstheme="majorBidi"/>
                <w:b/>
                <w:bCs/>
                <w:highlight w:val="lightGray"/>
                <w:lang w:val="hu-HU"/>
              </w:rPr>
              <w:t>•</w:t>
            </w:r>
            <w:r w:rsidRPr="000405CC">
              <w:rPr>
                <w:rFonts w:asciiTheme="majorBidi" w:eastAsia="Times New Roman" w:hAnsiTheme="majorBidi" w:cstheme="majorBidi"/>
                <w:b/>
                <w:bCs/>
                <w:highlight w:val="lightGray"/>
                <w:lang w:val="hu-HU"/>
              </w:rPr>
              <w:t xml:space="preserve"> </w:t>
            </w:r>
            <w:r w:rsidRPr="001E2F31">
              <w:rPr>
                <w:rFonts w:asciiTheme="majorBidi" w:eastAsia="Times New Roman" w:hAnsiTheme="majorBidi" w:cstheme="majorBidi"/>
                <w:bCs/>
                <w:highlight w:val="lightGray"/>
                <w:lang w:val="hu-HU"/>
              </w:rPr>
              <w:t xml:space="preserve">Az </w:t>
            </w:r>
            <w:r w:rsidRPr="000405CC">
              <w:rPr>
                <w:rFonts w:asciiTheme="majorBidi" w:eastAsia="맑은 고딕" w:hAnsiTheme="majorBidi" w:cstheme="majorBidi"/>
                <w:highlight w:val="lightGray"/>
                <w:lang w:val="hu-HU"/>
              </w:rPr>
              <w:t>injekció beadása előtt ne</w:t>
            </w:r>
            <w:r w:rsidRPr="000405CC">
              <w:rPr>
                <w:rFonts w:asciiTheme="majorBidi" w:eastAsia="Times New Roman" w:hAnsiTheme="majorBidi" w:cstheme="majorBidi"/>
                <w:highlight w:val="lightGray"/>
                <w:lang w:val="hu-HU"/>
              </w:rPr>
              <w:t xml:space="preserve"> fújjon rá vagy érintse meg újra az injekció beadásának helyét.</w:t>
            </w:r>
          </w:p>
        </w:tc>
      </w:tr>
      <w:tr w:rsidR="0037407E" w:rsidRPr="00BE4D18" w14:paraId="7BAA7B64" w14:textId="77777777" w:rsidTr="009C7DB8">
        <w:trPr>
          <w:trHeight w:val="4941"/>
        </w:trPr>
        <w:tc>
          <w:tcPr>
            <w:tcW w:w="9550" w:type="dxa"/>
          </w:tcPr>
          <w:p w14:paraId="47E26637" w14:textId="35B84170" w:rsidR="00903402" w:rsidRPr="000405CC" w:rsidRDefault="00903402" w:rsidP="007E7849">
            <w:pPr>
              <w:pStyle w:val="Default"/>
              <w:rPr>
                <w:highlight w:val="lightGray"/>
                <w:lang w:val="hu-HU"/>
              </w:rPr>
            </w:pPr>
          </w:p>
          <w:p w14:paraId="774CE285" w14:textId="5E250F09" w:rsidR="0037407E" w:rsidRPr="000405CC" w:rsidRDefault="0037407E" w:rsidP="004C5B28">
            <w:pPr>
              <w:pStyle w:val="a3"/>
              <w:numPr>
                <w:ilvl w:val="0"/>
                <w:numId w:val="64"/>
              </w:numPr>
              <w:ind w:left="4410" w:hanging="4299"/>
              <w:rPr>
                <w:b/>
                <w:highlight w:val="lightGray"/>
                <w:lang w:val="hu-HU"/>
              </w:rPr>
            </w:pPr>
            <w:r>
              <w:rPr>
                <w:rFonts w:ascii="Arial" w:hAnsi="Arial" w:cs="Arial"/>
                <w:noProof/>
                <w:color w:val="000000"/>
                <w:sz w:val="24"/>
                <w:szCs w:val="24"/>
                <w:highlight w:val="lightGray"/>
                <w:lang w:eastAsia="ko-KR"/>
              </w:rPr>
              <mc:AlternateContent>
                <mc:Choice Requires="wpg">
                  <w:drawing>
                    <wp:anchor distT="0" distB="0" distL="114300" distR="114300" simplePos="0" relativeHeight="251658293" behindDoc="0" locked="0" layoutInCell="1" allowOverlap="1" wp14:anchorId="731BDAAD" wp14:editId="2B7B3544">
                      <wp:simplePos x="0" y="0"/>
                      <wp:positionH relativeFrom="column">
                        <wp:posOffset>23495</wp:posOffset>
                      </wp:positionH>
                      <wp:positionV relativeFrom="paragraph">
                        <wp:posOffset>24130</wp:posOffset>
                      </wp:positionV>
                      <wp:extent cx="2160905" cy="2717800"/>
                      <wp:effectExtent l="0" t="19050" r="0" b="6350"/>
                      <wp:wrapSquare wrapText="bothSides"/>
                      <wp:docPr id="1033" name="그룹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8309" cy="2717800"/>
                                <a:chOff x="326" y="0"/>
                                <a:chExt cx="21286" cy="27178"/>
                              </a:xfrm>
                            </wpg:grpSpPr>
                            <pic:pic xmlns:pic="http://schemas.openxmlformats.org/drawingml/2006/picture">
                              <pic:nvPicPr>
                                <pic:cNvPr id="1036" name="그림 4023"/>
                                <pic:cNvPicPr>
                                  <a:picLocks noChangeAspect="1"/>
                                </pic:cNvPicPr>
                              </pic:nvPicPr>
                              <pic:blipFill>
                                <a:blip r:embed="rId126" cstate="print">
                                  <a:extLst>
                                    <a:ext uri="{28A0092B-C50C-407E-A947-70E740481C1C}">
                                      <a14:useLocalDpi xmlns:a14="http://schemas.microsoft.com/office/drawing/2010/main" val="0"/>
                                    </a:ext>
                                  </a:extLst>
                                </a:blip>
                                <a:srcRect/>
                                <a:stretch/>
                              </pic:blipFill>
                              <pic:spPr bwMode="auto">
                                <a:xfrm>
                                  <a:off x="326" y="0"/>
                                  <a:ext cx="20938" cy="25825"/>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wps:wsp>
                              <wps:cNvPr id="1038" name="Text Box 88"/>
                              <wps:cNvSpPr txBox="1">
                                <a:spLocks noChangeArrowheads="1"/>
                              </wps:cNvSpPr>
                              <wps:spPr bwMode="auto">
                                <a:xfrm>
                                  <a:off x="14414" y="25717"/>
                                  <a:ext cx="7198" cy="14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47C69C"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H. </w:t>
                                    </w:r>
                                    <w:r>
                                      <w:rPr>
                                        <w:rFonts w:ascii="Times New Roman" w:eastAsia="Times New Roman" w:hAnsi="Times New Roman" w:cs="Times New Roman"/>
                                        <w:highlight w:val="lightGray"/>
                                        <w:lang w:val="hu-HU"/>
                                      </w:rPr>
                                      <w:t>ábra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731BDAAD" id="_x0000_s1183" style="position:absolute;left:0;text-align:left;margin-left:1.85pt;margin-top:1.9pt;width:170.15pt;height:214pt;z-index:251658293" coordorigin="326" coordsize="21286,2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">
                      <v:shape id="그림 4023" o:spid="_x0000_s1184" type="#_x0000_t75" style="position:absolute;left:326;width:20938;height:25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" stroked="t" strokecolor="black [3213]">
                        <v:imagedata r:id="rId127" o:title=""/>
                        <v:path arrowok="t"/>
                      </v:shape>
                      <v:shape id="Text Box 88" o:spid="_x0000_s1185" type="#_x0000_t202" style="position:absolute;left:14414;top:25717;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" stroked="f">
                        <v:textbox style="mso-fit-shape-to-text:t" inset="0,0,0,0">
                          <w:txbxContent>
                            <w:p w14:paraId="6747C69C"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H. </w:t>
                              </w:r>
                              <w:r>
                                <w:rPr>
                                  <w:rFonts w:ascii="Times New Roman" w:eastAsia="Times New Roman" w:hAnsi="Times New Roman" w:cs="Times New Roman"/>
                                  <w:highlight w:val="lightGray"/>
                                  <w:lang w:val="hu-HU"/>
                                </w:rPr>
                                <w:t>ábra</w:t>
                              </w:r>
                            </w:p>
                          </w:txbxContent>
                        </v:textbox>
                      </v:shape>
                      <w10:wrap type="square"/>
                    </v:group>
                  </w:pict>
                </mc:Fallback>
              </mc:AlternateContent>
            </w:r>
            <w:r w:rsidRPr="000405CC">
              <w:rPr>
                <w:rFonts w:eastAsia="Times New Roman"/>
                <w:b/>
                <w:bCs/>
                <w:highlight w:val="lightGray"/>
                <w:lang w:val="hu-HU"/>
              </w:rPr>
              <w:t>Vegye le a tűvédő tokot</w:t>
            </w:r>
          </w:p>
          <w:p w14:paraId="5B9B05BF" w14:textId="77777777" w:rsidR="0037407E" w:rsidRPr="000405CC" w:rsidRDefault="0037407E" w:rsidP="007E7849">
            <w:pPr>
              <w:pStyle w:val="a3"/>
              <w:rPr>
                <w:b/>
                <w:highlight w:val="lightGray"/>
                <w:lang w:val="hu-HU"/>
              </w:rPr>
            </w:pPr>
          </w:p>
          <w:p w14:paraId="65384CEC" w14:textId="77777777" w:rsidR="0037407E" w:rsidRPr="000405CC" w:rsidRDefault="0037407E" w:rsidP="007E7849">
            <w:pPr>
              <w:pStyle w:val="a3"/>
              <w:ind w:left="4050" w:hanging="4050"/>
              <w:rPr>
                <w:highlight w:val="lightGray"/>
                <w:lang w:val="hu-HU"/>
              </w:rPr>
            </w:pPr>
            <w:r w:rsidRPr="000405CC">
              <w:rPr>
                <w:rFonts w:eastAsia="Times New Roman"/>
                <w:b/>
                <w:bCs/>
                <w:highlight w:val="lightGray"/>
                <w:lang w:val="hu-HU"/>
              </w:rPr>
              <w:t xml:space="preserve"> </w:t>
            </w:r>
            <w:r w:rsidRPr="000405CC">
              <w:rPr>
                <w:rFonts w:eastAsia="Times New Roman"/>
                <w:highlight w:val="lightGray"/>
                <w:lang w:val="hu-HU"/>
              </w:rPr>
              <w:t xml:space="preserve"> </w:t>
            </w:r>
            <w:r w:rsidRPr="000405CC">
              <w:rPr>
                <w:rFonts w:eastAsia="Times New Roman"/>
                <w:b/>
                <w:bCs/>
                <w:highlight w:val="lightGray"/>
                <w:lang w:val="hu-HU"/>
              </w:rPr>
              <w:t xml:space="preserve">  a.</w:t>
            </w:r>
            <w:r w:rsidRPr="000405CC">
              <w:rPr>
                <w:rFonts w:eastAsia="Times New Roman"/>
                <w:highlight w:val="lightGray"/>
                <w:lang w:val="hu-HU"/>
              </w:rPr>
              <w:t xml:space="preserve"> Az előretöltött fecskendő testét az egyik kezével tartva vegye le a tűvédő tokot.</w:t>
            </w:r>
            <w:r>
              <w:rPr>
                <w:rFonts w:eastAsia="Times New Roman"/>
                <w:highlight w:val="lightGray"/>
                <w:lang w:val="hu-HU"/>
              </w:rPr>
              <w:t xml:space="preserve"> </w:t>
            </w:r>
            <w:r w:rsidRPr="000405CC">
              <w:rPr>
                <w:rFonts w:eastAsia="Times New Roman"/>
                <w:highlight w:val="lightGray"/>
                <w:lang w:val="hu-HU"/>
              </w:rPr>
              <w:t>Óvatosan húzza le a tűvédő tokot a másik kezével.</w:t>
            </w:r>
          </w:p>
          <w:p w14:paraId="3BEBE016" w14:textId="77777777" w:rsidR="0037407E" w:rsidRPr="000405CC" w:rsidRDefault="0037407E" w:rsidP="007E7849">
            <w:pPr>
              <w:pStyle w:val="a3"/>
              <w:numPr>
                <w:ilvl w:val="0"/>
                <w:numId w:val="0"/>
              </w:numPr>
              <w:ind w:left="1384"/>
              <w:rPr>
                <w:highlight w:val="lightGray"/>
                <w:lang w:val="hu-HU"/>
              </w:rPr>
            </w:pPr>
            <w:r w:rsidRPr="000405CC">
              <w:rPr>
                <w:b/>
                <w:highlight w:val="lightGray"/>
                <w:lang w:val="hu-HU"/>
              </w:rPr>
              <w:t xml:space="preserve"> </w:t>
            </w:r>
          </w:p>
          <w:p w14:paraId="63008A7A" w14:textId="77777777" w:rsidR="0037407E" w:rsidRPr="000405CC" w:rsidRDefault="0037407E" w:rsidP="007E7849">
            <w:pPr>
              <w:pStyle w:val="a3"/>
              <w:numPr>
                <w:ilvl w:val="0"/>
                <w:numId w:val="16"/>
              </w:numPr>
              <w:ind w:left="3966" w:hanging="3966"/>
              <w:rPr>
                <w:highlight w:val="lightGray"/>
                <w:lang w:val="hu-HU"/>
              </w:rPr>
            </w:pPr>
            <w:r w:rsidRPr="000405CC">
              <w:rPr>
                <w:rFonts w:eastAsia="Times New Roman"/>
                <w:b/>
                <w:bCs/>
                <w:highlight w:val="lightGray"/>
                <w:lang w:val="hu-HU"/>
              </w:rPr>
              <w:t>Ne</w:t>
            </w:r>
            <w:r w:rsidRPr="000405CC">
              <w:rPr>
                <w:rFonts w:eastAsia="Times New Roman"/>
                <w:highlight w:val="lightGray"/>
                <w:lang w:val="hu-HU"/>
              </w:rPr>
              <w:t xml:space="preserve"> vegye le a tokot, amíg készen nem áll az injekció beadására</w:t>
            </w:r>
          </w:p>
          <w:p w14:paraId="26CD4609" w14:textId="77777777" w:rsidR="0037407E" w:rsidRPr="000405CC" w:rsidRDefault="0037407E" w:rsidP="007E7849">
            <w:pPr>
              <w:pStyle w:val="a3"/>
              <w:numPr>
                <w:ilvl w:val="0"/>
                <w:numId w:val="0"/>
              </w:numPr>
              <w:ind w:left="1384"/>
              <w:rPr>
                <w:highlight w:val="lightGray"/>
                <w:lang w:val="hu-HU"/>
              </w:rPr>
            </w:pPr>
          </w:p>
          <w:p w14:paraId="2C048756" w14:textId="77777777" w:rsidR="0037407E" w:rsidRPr="000405CC" w:rsidRDefault="0037407E" w:rsidP="007E7849">
            <w:pPr>
              <w:pStyle w:val="a3"/>
              <w:numPr>
                <w:ilvl w:val="0"/>
                <w:numId w:val="16"/>
              </w:numPr>
              <w:ind w:left="3966" w:hanging="3966"/>
              <w:rPr>
                <w:highlight w:val="lightGray"/>
                <w:lang w:val="hu-HU"/>
              </w:rPr>
            </w:pPr>
            <w:r w:rsidRPr="000405CC">
              <w:rPr>
                <w:rFonts w:eastAsia="Times New Roman"/>
                <w:b/>
                <w:bCs/>
                <w:highlight w:val="lightGray"/>
                <w:lang w:val="hu-HU"/>
              </w:rPr>
              <w:t xml:space="preserve">Ne </w:t>
            </w:r>
            <w:r w:rsidRPr="000405CC">
              <w:rPr>
                <w:rFonts w:eastAsia="Times New Roman"/>
                <w:highlight w:val="lightGray"/>
                <w:lang w:val="hu-HU"/>
              </w:rPr>
              <w:t>érintse meg a dugattyút. Ebben az esetben tűszúrásos sérülés következhet be.</w:t>
            </w:r>
            <w:r w:rsidRPr="000405CC">
              <w:rPr>
                <w:rFonts w:eastAsia="Times New Roman"/>
                <w:b/>
                <w:bCs/>
                <w:highlight w:val="lightGray"/>
                <w:lang w:val="hu-HU"/>
              </w:rPr>
              <w:t xml:space="preserve"> </w:t>
            </w:r>
          </w:p>
          <w:p w14:paraId="44C8AD55" w14:textId="77777777" w:rsidR="0037407E" w:rsidRPr="000405CC" w:rsidRDefault="0037407E" w:rsidP="007E7849">
            <w:pPr>
              <w:pStyle w:val="a4"/>
              <w:rPr>
                <w:highlight w:val="lightGray"/>
                <w:lang w:val="hu-HU"/>
              </w:rPr>
            </w:pPr>
          </w:p>
          <w:p w14:paraId="39E4E994" w14:textId="77777777" w:rsidR="0037407E" w:rsidRPr="004C5B28" w:rsidRDefault="0037407E" w:rsidP="007E7849">
            <w:pPr>
              <w:pStyle w:val="a3"/>
              <w:numPr>
                <w:ilvl w:val="0"/>
                <w:numId w:val="16"/>
              </w:numPr>
              <w:ind w:left="3966" w:hanging="3966"/>
              <w:rPr>
                <w:highlight w:val="lightGray"/>
                <w:lang w:val="hu-HU"/>
              </w:rPr>
            </w:pPr>
            <w:r w:rsidRPr="000405CC">
              <w:rPr>
                <w:rFonts w:eastAsia="Times New Roman"/>
                <w:b/>
                <w:bCs/>
                <w:highlight w:val="lightGray"/>
                <w:lang w:val="hu-HU"/>
              </w:rPr>
              <w:t>Ne</w:t>
            </w:r>
            <w:r w:rsidRPr="000405CC">
              <w:rPr>
                <w:rFonts w:eastAsia="Times New Roman"/>
                <w:highlight w:val="lightGray"/>
                <w:lang w:val="hu-HU"/>
              </w:rPr>
              <w:t xml:space="preserve"> rakja vissza a tűvédő tokot az</w:t>
            </w:r>
            <w:r>
              <w:rPr>
                <w:rFonts w:eastAsia="Times New Roman"/>
                <w:highlight w:val="lightGray"/>
                <w:lang w:val="hu-HU"/>
              </w:rPr>
              <w:t xml:space="preserve"> </w:t>
            </w:r>
            <w:r w:rsidRPr="000405CC">
              <w:rPr>
                <w:rFonts w:eastAsia="Times New Roman"/>
                <w:highlight w:val="lightGray"/>
                <w:lang w:val="hu-HU"/>
              </w:rPr>
              <w:t>előretöltött fecskendőre. Azonnal dobja a tokot az éles tárgyak tárolására szolgáló tartályba.</w:t>
            </w:r>
          </w:p>
          <w:p w14:paraId="1BA089AF" w14:textId="77777777" w:rsidR="00903402" w:rsidRDefault="00903402" w:rsidP="004C5B28">
            <w:pPr>
              <w:pStyle w:val="a4"/>
              <w:rPr>
                <w:highlight w:val="lightGray"/>
                <w:lang w:val="hu-HU"/>
              </w:rPr>
            </w:pPr>
          </w:p>
          <w:p w14:paraId="61AE6D78" w14:textId="20838882" w:rsidR="00903402" w:rsidRPr="000405CC" w:rsidRDefault="00903402" w:rsidP="007E7849">
            <w:pPr>
              <w:pStyle w:val="a3"/>
              <w:numPr>
                <w:ilvl w:val="0"/>
                <w:numId w:val="16"/>
              </w:numPr>
              <w:ind w:left="3966" w:hanging="3966"/>
              <w:rPr>
                <w:highlight w:val="lightGray"/>
                <w:lang w:val="hu-HU"/>
              </w:rPr>
            </w:pPr>
            <w:r w:rsidRPr="00903402">
              <w:rPr>
                <w:highlight w:val="lightGray"/>
                <w:lang w:val="hu-HU"/>
              </w:rPr>
              <w:t>Normális, ha lát néhány csepp folyadékot kijönni a tűből</w:t>
            </w:r>
            <w:r>
              <w:rPr>
                <w:highlight w:val="lightGray"/>
                <w:lang w:val="hu-HU"/>
              </w:rPr>
              <w:t>.</w:t>
            </w:r>
          </w:p>
        </w:tc>
      </w:tr>
      <w:tr w:rsidR="0037407E" w:rsidRPr="00BE4D18" w14:paraId="1186040C" w14:textId="77777777" w:rsidTr="009C7DB8">
        <w:trPr>
          <w:trHeight w:val="7028"/>
        </w:trPr>
        <w:tc>
          <w:tcPr>
            <w:tcW w:w="9550" w:type="dxa"/>
          </w:tcPr>
          <w:p w14:paraId="564CB39F" w14:textId="77777777" w:rsidR="0037407E" w:rsidRPr="001E2F31" w:rsidRDefault="0037407E" w:rsidP="007E7849">
            <w:pPr>
              <w:ind w:left="104"/>
              <w:rPr>
                <w:rFonts w:ascii="Times New Roman" w:hAnsi="Times New Roman" w:cs="Times New Roman"/>
                <w:b/>
                <w:bCs/>
                <w:spacing w:val="-1"/>
                <w:highlight w:val="lightGray"/>
                <w:lang w:val="hu-HU" w:eastAsia="ko-KR"/>
              </w:rPr>
            </w:pPr>
          </w:p>
          <w:p w14:paraId="5793C42F" w14:textId="77777777" w:rsidR="0037407E" w:rsidRPr="000405CC" w:rsidRDefault="0037407E" w:rsidP="007E7849">
            <w:pPr>
              <w:pStyle w:val="1"/>
              <w:spacing w:before="76"/>
              <w:ind w:left="0" w:right="2736"/>
              <w:rPr>
                <w:rFonts w:eastAsiaTheme="minorEastAsia"/>
                <w:highlight w:val="lightGray"/>
                <w:lang w:val="hu-HU" w:eastAsia="ko-KR"/>
              </w:rPr>
            </w:pPr>
            <w:r>
              <w:rPr>
                <w:rFonts w:eastAsiaTheme="minorEastAsia"/>
                <w:noProof/>
                <w:lang w:eastAsia="ko-KR"/>
              </w:rPr>
              <mc:AlternateContent>
                <mc:Choice Requires="wpg">
                  <w:drawing>
                    <wp:anchor distT="0" distB="0" distL="114300" distR="114300" simplePos="0" relativeHeight="251658310" behindDoc="1" locked="0" layoutInCell="1" allowOverlap="1" wp14:anchorId="5382064D" wp14:editId="4FADC18E">
                      <wp:simplePos x="0" y="0"/>
                      <wp:positionH relativeFrom="column">
                        <wp:posOffset>72563</wp:posOffset>
                      </wp:positionH>
                      <wp:positionV relativeFrom="paragraph">
                        <wp:posOffset>144665</wp:posOffset>
                      </wp:positionV>
                      <wp:extent cx="2288540" cy="4018347"/>
                      <wp:effectExtent l="19050" t="19050" r="16510" b="1270"/>
                      <wp:wrapTight wrapText="bothSides">
                        <wp:wrapPolygon edited="0">
                          <wp:start x="-180" y="-102"/>
                          <wp:lineTo x="-180" y="20480"/>
                          <wp:lineTo x="14384" y="21197"/>
                          <wp:lineTo x="14384" y="21504"/>
                          <wp:lineTo x="21576" y="21504"/>
                          <wp:lineTo x="21576" y="-102"/>
                          <wp:lineTo x="-180" y="-102"/>
                        </wp:wrapPolygon>
                      </wp:wrapTight>
                      <wp:docPr id="1039" name="그룹 1039"/>
                      <wp:cNvGraphicFramePr/>
                      <a:graphic xmlns:a="http://schemas.openxmlformats.org/drawingml/2006/main">
                        <a:graphicData uri="http://schemas.microsoft.com/office/word/2010/wordprocessingGroup">
                          <wpg:wgp>
                            <wpg:cNvGrpSpPr/>
                            <wpg:grpSpPr>
                              <a:xfrm>
                                <a:off x="0" y="0"/>
                                <a:ext cx="2288540" cy="4018347"/>
                                <a:chOff x="0" y="0"/>
                                <a:chExt cx="2288540" cy="4018347"/>
                              </a:xfrm>
                            </wpg:grpSpPr>
                            <wps:wsp>
                              <wps:cNvPr id="1045" name="Text Box 93"/>
                              <wps:cNvSpPr txBox="1">
                                <a:spLocks noChangeArrowheads="1"/>
                              </wps:cNvSpPr>
                              <wps:spPr bwMode="auto">
                                <a:xfrm>
                                  <a:off x="1565564" y="3872345"/>
                                  <a:ext cx="719803" cy="1460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3C43E9"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I. </w:t>
                                    </w:r>
                                    <w:r>
                                      <w:rPr>
                                        <w:rFonts w:ascii="Times New Roman" w:eastAsia="Times New Roman" w:hAnsi="Times New Roman" w:cs="Times New Roman"/>
                                        <w:highlight w:val="lightGray"/>
                                        <w:lang w:val="hu-HU"/>
                                      </w:rPr>
                                      <w:t>ábra</w:t>
                                    </w:r>
                                  </w:p>
                                </w:txbxContent>
                              </wps:txbx>
                              <wps:bodyPr rot="0" vert="horz" wrap="square" lIns="0" tIns="0" rIns="0" bIns="0" anchor="t" anchorCtr="0" upright="1">
                                <a:spAutoFit/>
                              </wps:bodyPr>
                            </wps:wsp>
                            <pic:pic xmlns:pic="http://schemas.openxmlformats.org/drawingml/2006/picture">
                              <pic:nvPicPr>
                                <pic:cNvPr id="1051" name="그림 14"/>
                                <pic:cNvPicPr>
                                  <a:picLocks noChangeAspect="1"/>
                                </pic:cNvPicPr>
                              </pic:nvPicPr>
                              <pic:blipFill>
                                <a:blip r:embed="rId128" cstate="print">
                                  <a:extLst>
                                    <a:ext uri="{28A0092B-C50C-407E-A947-70E740481C1C}">
                                      <a14:useLocalDpi xmlns:a14="http://schemas.microsoft.com/office/drawing/2010/main" val="0"/>
                                    </a:ext>
                                  </a:extLst>
                                </a:blip>
                                <a:srcRect/>
                                <a:stretch/>
                              </pic:blipFill>
                              <pic:spPr>
                                <a:xfrm>
                                  <a:off x="0" y="0"/>
                                  <a:ext cx="2288540" cy="3808730"/>
                                </a:xfrm>
                                <a:prstGeom prst="rect">
                                  <a:avLst/>
                                </a:prstGeom>
                                <a:ln>
                                  <a:solidFill>
                                    <a:schemeClr val="tx1"/>
                                  </a:solidFill>
                                </a:ln>
                              </pic:spPr>
                            </pic:pic>
                          </wpg:wgp>
                        </a:graphicData>
                      </a:graphic>
                    </wp:anchor>
                  </w:drawing>
                </mc:Choice>
                <mc:Fallback>
                  <w:pict>
                    <v:group w14:anchorId="5382064D" id="그룹 1039" o:spid="_x0000_s1186" style="position:absolute;margin-left:5.7pt;margin-top:11.4pt;width:180.2pt;height:316.4pt;z-index:-251658170" coordsize="22885,401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">
                      <v:shape id="Text Box 93" o:spid="_x0000_s1187" type="#_x0000_t202" style="position:absolute;left:15655;top:38723;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" stroked="f">
                        <v:textbox style="mso-fit-shape-to-text:t" inset="0,0,0,0">
                          <w:txbxContent>
                            <w:p w14:paraId="2B3C43E9"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I. </w:t>
                              </w:r>
                              <w:r>
                                <w:rPr>
                                  <w:rFonts w:ascii="Times New Roman" w:eastAsia="Times New Roman" w:hAnsi="Times New Roman" w:cs="Times New Roman"/>
                                  <w:highlight w:val="lightGray"/>
                                  <w:lang w:val="hu-HU"/>
                                </w:rPr>
                                <w:t>ábra</w:t>
                              </w:r>
                            </w:p>
                          </w:txbxContent>
                        </v:textbox>
                      </v:shape>
                      <v:shape id="그림 14" o:spid="_x0000_s1188" type="#_x0000_t75" style="position:absolute;width:22885;height:38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" stroked="t" strokecolor="black [3213]">
                        <v:imagedata r:id="rId129" o:title=""/>
                        <v:path arrowok="t"/>
                      </v:shape>
                      <w10:wrap type="tight"/>
                    </v:group>
                  </w:pict>
                </mc:Fallback>
              </mc:AlternateContent>
            </w:r>
          </w:p>
          <w:p w14:paraId="5ADA2EB7" w14:textId="77777777" w:rsidR="0037407E" w:rsidRPr="000405CC" w:rsidRDefault="0037407E" w:rsidP="00FD05AA">
            <w:pPr>
              <w:pStyle w:val="a3"/>
              <w:numPr>
                <w:ilvl w:val="0"/>
                <w:numId w:val="64"/>
              </w:numPr>
              <w:ind w:left="4410" w:hanging="4299"/>
              <w:rPr>
                <w:b/>
                <w:highlight w:val="lightGray"/>
                <w:lang w:val="hu-HU"/>
              </w:rPr>
            </w:pPr>
            <w:r w:rsidRPr="000405CC">
              <w:rPr>
                <w:rFonts w:eastAsia="Times New Roman"/>
                <w:b/>
                <w:bCs/>
                <w:highlight w:val="lightGray"/>
                <w:lang w:val="hu-HU"/>
              </w:rPr>
              <w:t xml:space="preserve">Helyezze az előretöltött fecskendőt az injekció beadási helyére </w:t>
            </w:r>
          </w:p>
          <w:p w14:paraId="7F3F150B" w14:textId="77777777" w:rsidR="0037407E" w:rsidRPr="000405CC" w:rsidRDefault="0037407E" w:rsidP="007E7849">
            <w:pPr>
              <w:pStyle w:val="a3"/>
              <w:numPr>
                <w:ilvl w:val="0"/>
                <w:numId w:val="0"/>
              </w:numPr>
              <w:ind w:left="471"/>
              <w:rPr>
                <w:b/>
                <w:highlight w:val="lightGray"/>
                <w:lang w:val="hu-HU"/>
              </w:rPr>
            </w:pPr>
          </w:p>
          <w:p w14:paraId="32173CC9" w14:textId="77777777" w:rsidR="0037407E" w:rsidRDefault="0037407E" w:rsidP="00FD05AA">
            <w:pPr>
              <w:pStyle w:val="a3"/>
              <w:numPr>
                <w:ilvl w:val="0"/>
                <w:numId w:val="69"/>
              </w:numPr>
              <w:rPr>
                <w:rFonts w:eastAsia="Times New Roman"/>
                <w:highlight w:val="lightGray"/>
                <w:lang w:val="hu-HU"/>
              </w:rPr>
            </w:pPr>
            <w:r w:rsidRPr="000405CC">
              <w:rPr>
                <w:rFonts w:eastAsia="Times New Roman"/>
                <w:highlight w:val="lightGray"/>
                <w:lang w:val="hu-HU"/>
              </w:rPr>
              <w:t xml:space="preserve">Óvatosan csípje össze a bőrredőt az injekció </w:t>
            </w:r>
          </w:p>
          <w:p w14:paraId="4083B32D" w14:textId="77777777" w:rsidR="0037407E" w:rsidRPr="00010223" w:rsidRDefault="0037407E" w:rsidP="007E7849">
            <w:pPr>
              <w:pStyle w:val="a3"/>
              <w:numPr>
                <w:ilvl w:val="0"/>
                <w:numId w:val="0"/>
              </w:numPr>
              <w:rPr>
                <w:highlight w:val="lightGray"/>
                <w:lang w:val="hu-HU"/>
              </w:rPr>
            </w:pPr>
            <w:r w:rsidRPr="00010223">
              <w:rPr>
                <w:rFonts w:eastAsia="Times New Roman"/>
                <w:highlight w:val="lightGray"/>
                <w:lang w:val="hu-HU"/>
              </w:rPr>
              <w:t>beadásának helyén egy kézzel.</w:t>
            </w:r>
          </w:p>
          <w:p w14:paraId="177D9C1E" w14:textId="77777777" w:rsidR="0037407E" w:rsidRPr="000405CC" w:rsidRDefault="0037407E" w:rsidP="007E7849">
            <w:pPr>
              <w:pStyle w:val="a3"/>
              <w:rPr>
                <w:highlight w:val="lightGray"/>
                <w:lang w:val="hu-HU"/>
              </w:rPr>
            </w:pPr>
          </w:p>
          <w:p w14:paraId="48DAEB69" w14:textId="77777777" w:rsidR="0037407E" w:rsidRPr="000405CC" w:rsidRDefault="0037407E" w:rsidP="00FD05AA">
            <w:pPr>
              <w:pStyle w:val="a3"/>
              <w:numPr>
                <w:ilvl w:val="0"/>
                <w:numId w:val="69"/>
              </w:numPr>
              <w:rPr>
                <w:highlight w:val="lightGray"/>
                <w:lang w:val="hu-HU" w:eastAsia="ko-KR"/>
              </w:rPr>
            </w:pPr>
            <w:r w:rsidRPr="001E2F31">
              <w:rPr>
                <w:rFonts w:eastAsia="Times New Roman"/>
                <w:highlight w:val="lightGray"/>
                <w:lang w:val="hu-HU"/>
              </w:rPr>
              <w:t>A</w:t>
            </w:r>
            <w:r w:rsidRPr="00010223">
              <w:rPr>
                <w:rFonts w:eastAsia="Times New Roman"/>
                <w:highlight w:val="lightGray"/>
                <w:lang w:val="hu-HU"/>
              </w:rPr>
              <w:t>z</w:t>
            </w:r>
            <w:r w:rsidRPr="000405CC">
              <w:rPr>
                <w:rFonts w:eastAsia="Times New Roman"/>
                <w:highlight w:val="lightGray"/>
                <w:lang w:val="hu-HU"/>
              </w:rPr>
              <w:t xml:space="preserve"> előretöltött </w:t>
            </w:r>
            <w:r w:rsidRPr="009167C6">
              <w:rPr>
                <w:rFonts w:eastAsia="Times New Roman"/>
                <w:lang w:val="hu-HU"/>
              </w:rPr>
              <w:t>fecskendő</w:t>
            </w:r>
            <w:r>
              <w:rPr>
                <w:rFonts w:eastAsia="Times New Roman"/>
                <w:lang w:val="hu-HU"/>
              </w:rPr>
              <w:t>vel</w:t>
            </w:r>
            <w:r w:rsidRPr="009167C6">
              <w:rPr>
                <w:rFonts w:eastAsia="Times New Roman"/>
                <w:lang w:val="hu-HU"/>
              </w:rPr>
              <w:t xml:space="preserve"> </w:t>
            </w:r>
            <w:r w:rsidRPr="000405CC">
              <w:rPr>
                <w:rFonts w:eastAsia="Times New Roman"/>
                <w:highlight w:val="lightGray"/>
                <w:lang w:val="hu-HU"/>
              </w:rPr>
              <w:t>szúrja be be a tűt teljesen a</w:t>
            </w:r>
            <w:r w:rsidRPr="00064A81">
              <w:rPr>
                <w:rFonts w:eastAsia="Times New Roman"/>
                <w:lang w:val="hu-HU"/>
              </w:rPr>
              <w:t xml:space="preserve"> test</w:t>
            </w:r>
            <w:r>
              <w:rPr>
                <w:rFonts w:eastAsia="Times New Roman"/>
                <w:lang w:val="hu-HU"/>
              </w:rPr>
              <w:t xml:space="preserve">felületi </w:t>
            </w:r>
            <w:r w:rsidRPr="000405CC">
              <w:rPr>
                <w:rFonts w:eastAsia="Times New Roman"/>
                <w:highlight w:val="lightGray"/>
                <w:lang w:val="hu-HU"/>
              </w:rPr>
              <w:t>bőrredőbe 45 fokos szögben, gyors és rövid mozdulattal</w:t>
            </w:r>
          </w:p>
        </w:tc>
      </w:tr>
      <w:tr w:rsidR="0037407E" w:rsidRPr="00BE4D18" w14:paraId="463198BF" w14:textId="77777777" w:rsidTr="009C7DB8">
        <w:trPr>
          <w:trHeight w:val="6293"/>
        </w:trPr>
        <w:tc>
          <w:tcPr>
            <w:tcW w:w="9550" w:type="dxa"/>
          </w:tcPr>
          <w:p w14:paraId="5D55FF39" w14:textId="77777777" w:rsidR="0037407E" w:rsidRPr="000405CC" w:rsidRDefault="0037407E" w:rsidP="007E7849">
            <w:pPr>
              <w:ind w:left="104"/>
              <w:rPr>
                <w:rFonts w:ascii="Times New Roman" w:eastAsia="Times New Roman" w:hAnsi="Times New Roman" w:cs="Times New Roman"/>
                <w:b/>
                <w:bCs/>
                <w:spacing w:val="-1"/>
                <w:highlight w:val="lightGray"/>
                <w:lang w:val="hu-HU"/>
              </w:rPr>
            </w:pPr>
          </w:p>
          <w:p w14:paraId="472D16C2" w14:textId="77777777" w:rsidR="0037407E" w:rsidRPr="000405CC" w:rsidRDefault="0037407E" w:rsidP="007E7849">
            <w:pPr>
              <w:pStyle w:val="1"/>
              <w:spacing w:before="76"/>
              <w:ind w:left="0" w:right="2736"/>
              <w:rPr>
                <w:rFonts w:eastAsiaTheme="minorEastAsia"/>
                <w:highlight w:val="lightGray"/>
                <w:lang w:val="hu-HU" w:eastAsia="ko-KR"/>
              </w:rPr>
            </w:pPr>
          </w:p>
          <w:p w14:paraId="27CEDD48" w14:textId="77777777" w:rsidR="0037407E" w:rsidRPr="000405CC" w:rsidRDefault="0037407E" w:rsidP="007E7849">
            <w:pPr>
              <w:pStyle w:val="Default"/>
              <w:rPr>
                <w:highlight w:val="lightGray"/>
                <w:lang w:val="hu-HU"/>
              </w:rPr>
            </w:pPr>
            <w:r>
              <w:rPr>
                <w:noProof/>
                <w:highlight w:val="lightGray"/>
                <w:lang w:eastAsia="ko-KR"/>
              </w:rPr>
              <mc:AlternateContent>
                <mc:Choice Requires="wpg">
                  <w:drawing>
                    <wp:anchor distT="0" distB="0" distL="114300" distR="114300" simplePos="0" relativeHeight="251658294" behindDoc="0" locked="0" layoutInCell="1" allowOverlap="1" wp14:anchorId="1F0D1E65" wp14:editId="2129CD4E">
                      <wp:simplePos x="0" y="0"/>
                      <wp:positionH relativeFrom="column">
                        <wp:posOffset>34290</wp:posOffset>
                      </wp:positionH>
                      <wp:positionV relativeFrom="paragraph">
                        <wp:posOffset>45720</wp:posOffset>
                      </wp:positionV>
                      <wp:extent cx="2136775" cy="2975610"/>
                      <wp:effectExtent l="19050" t="19050" r="15875" b="0"/>
                      <wp:wrapSquare wrapText="bothSides"/>
                      <wp:docPr id="1055" name="그룹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6775" cy="2975610"/>
                                <a:chOff x="27" y="0"/>
                                <a:chExt cx="27962" cy="36189"/>
                              </a:xfrm>
                            </wpg:grpSpPr>
                            <pic:pic xmlns:pic="http://schemas.openxmlformats.org/drawingml/2006/picture">
                              <pic:nvPicPr>
                                <pic:cNvPr id="1057" name="그림 4025"/>
                                <pic:cNvPicPr>
                                  <a:picLocks noChangeAspect="1"/>
                                </pic:cNvPicPr>
                              </pic:nvPicPr>
                              <pic:blipFill>
                                <a:blip r:embed="rId130" cstate="print">
                                  <a:extLst>
                                    <a:ext uri="{28A0092B-C50C-407E-A947-70E740481C1C}">
                                      <a14:useLocalDpi xmlns:a14="http://schemas.microsoft.com/office/drawing/2010/main" val="0"/>
                                    </a:ext>
                                  </a:extLst>
                                </a:blip>
                                <a:srcRect/>
                                <a:stretch/>
                              </pic:blipFill>
                              <pic:spPr bwMode="auto">
                                <a:xfrm>
                                  <a:off x="27" y="0"/>
                                  <a:ext cx="27962" cy="34118"/>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wps:wsp>
                              <wps:cNvPr id="1058" name="Text Box 96"/>
                              <wps:cNvSpPr txBox="1">
                                <a:spLocks noChangeArrowheads="1"/>
                              </wps:cNvSpPr>
                              <wps:spPr bwMode="auto">
                                <a:xfrm>
                                  <a:off x="20791" y="34728"/>
                                  <a:ext cx="7198" cy="14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6A74F0"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J. </w:t>
                                    </w:r>
                                    <w:r>
                                      <w:rPr>
                                        <w:rFonts w:ascii="Times New Roman" w:eastAsia="Times New Roman" w:hAnsi="Times New Roman" w:cs="Times New Roman"/>
                                        <w:highlight w:val="lightGray"/>
                                        <w:lang w:val="hu-HU"/>
                                      </w:rPr>
                                      <w:t>ábra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0D1E65" id="_x0000_s1189" style="position:absolute;margin-left:2.7pt;margin-top:3.6pt;width:168.25pt;height:234.3pt;z-index:251658294" coordorigin="27" coordsize="27962,36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">
                      <v:shape id="그림 4025" o:spid="_x0000_s1190" type="#_x0000_t75" style="position:absolute;left:27;width:27962;height:34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" stroked="t" strokecolor="black [3213]">
                        <v:imagedata r:id="rId131" o:title=""/>
                        <v:path arrowok="t"/>
                      </v:shape>
                      <v:shape id="Text Box 96" o:spid="_x0000_s1191" type="#_x0000_t202" style="position:absolute;left:20791;top:34728;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" stroked="f">
                        <v:textbox inset="0,0,0,0">
                          <w:txbxContent>
                            <w:p w14:paraId="7F6A74F0"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J. </w:t>
                              </w:r>
                              <w:r>
                                <w:rPr>
                                  <w:rFonts w:ascii="Times New Roman" w:eastAsia="Times New Roman" w:hAnsi="Times New Roman" w:cs="Times New Roman"/>
                                  <w:highlight w:val="lightGray"/>
                                  <w:lang w:val="hu-HU"/>
                                </w:rPr>
                                <w:t>ábra</w:t>
                              </w:r>
                            </w:p>
                          </w:txbxContent>
                        </v:textbox>
                      </v:shape>
                      <w10:wrap type="square"/>
                    </v:group>
                  </w:pict>
                </mc:Fallback>
              </mc:AlternateContent>
            </w:r>
          </w:p>
          <w:p w14:paraId="460BCD9A" w14:textId="77777777" w:rsidR="0037407E" w:rsidRPr="00010223" w:rsidRDefault="0037407E" w:rsidP="00FD05AA">
            <w:pPr>
              <w:pStyle w:val="a3"/>
              <w:numPr>
                <w:ilvl w:val="0"/>
                <w:numId w:val="64"/>
              </w:numPr>
              <w:rPr>
                <w:b/>
                <w:highlight w:val="lightGray"/>
                <w:lang w:val="hu-HU"/>
              </w:rPr>
            </w:pPr>
            <w:r w:rsidRPr="00010223">
              <w:rPr>
                <w:rFonts w:eastAsia="Times New Roman"/>
                <w:b/>
                <w:bCs/>
                <w:highlight w:val="lightGray"/>
                <w:lang w:val="hu-HU"/>
              </w:rPr>
              <w:t xml:space="preserve">Az  </w:t>
            </w:r>
            <w:r w:rsidRPr="001E2F31">
              <w:rPr>
                <w:rFonts w:eastAsia="Times New Roman"/>
                <w:b/>
                <w:highlight w:val="lightGray"/>
                <w:lang w:val="hu-HU"/>
              </w:rPr>
              <w:t>injekció beadása</w:t>
            </w:r>
          </w:p>
          <w:p w14:paraId="4DDB5A7F" w14:textId="77777777" w:rsidR="0037407E" w:rsidRPr="000405CC" w:rsidRDefault="0037407E" w:rsidP="007E7849">
            <w:pPr>
              <w:pStyle w:val="a3"/>
              <w:rPr>
                <w:highlight w:val="lightGray"/>
                <w:lang w:val="hu-HU"/>
              </w:rPr>
            </w:pPr>
          </w:p>
          <w:p w14:paraId="732B93E6" w14:textId="77777777" w:rsidR="0037407E" w:rsidRPr="000405CC" w:rsidRDefault="0037407E" w:rsidP="007E7849">
            <w:pPr>
              <w:pStyle w:val="a3"/>
              <w:ind w:left="5130" w:hanging="5130"/>
              <w:rPr>
                <w:highlight w:val="lightGray"/>
                <w:lang w:val="hu-HU"/>
              </w:rPr>
            </w:pPr>
            <w:r w:rsidRPr="000405CC">
              <w:rPr>
                <w:rFonts w:eastAsia="Times New Roman"/>
                <w:b/>
                <w:bCs/>
                <w:highlight w:val="lightGray"/>
                <w:lang w:val="hu-HU"/>
              </w:rPr>
              <w:t xml:space="preserve">     a. </w:t>
            </w:r>
            <w:r w:rsidRPr="001E2F31">
              <w:rPr>
                <w:rFonts w:eastAsia="Times New Roman"/>
                <w:bCs/>
                <w:highlight w:val="lightGray"/>
                <w:lang w:val="hu-HU"/>
              </w:rPr>
              <w:t>A</w:t>
            </w:r>
            <w:r w:rsidRPr="00010223">
              <w:rPr>
                <w:rFonts w:eastAsia="Times New Roman"/>
                <w:highlight w:val="lightGray"/>
                <w:lang w:val="hu-HU"/>
              </w:rPr>
              <w:t xml:space="preserve"> </w:t>
            </w:r>
            <w:r w:rsidRPr="000405CC">
              <w:rPr>
                <w:rFonts w:eastAsia="Times New Roman"/>
                <w:highlight w:val="lightGray"/>
                <w:lang w:val="hu-HU"/>
              </w:rPr>
              <w:t xml:space="preserve">tű </w:t>
            </w:r>
            <w:r>
              <w:rPr>
                <w:rFonts w:eastAsia="Times New Roman"/>
                <w:highlight w:val="lightGray"/>
                <w:lang w:val="hu-HU"/>
              </w:rPr>
              <w:t>beszúrása</w:t>
            </w:r>
            <w:r w:rsidRPr="000405CC">
              <w:rPr>
                <w:rFonts w:eastAsia="Times New Roman"/>
                <w:highlight w:val="lightGray"/>
                <w:lang w:val="hu-HU"/>
              </w:rPr>
              <w:t xml:space="preserve"> után engedje el az összecsípett bőrt.</w:t>
            </w:r>
          </w:p>
          <w:p w14:paraId="69D5CF9F" w14:textId="77777777" w:rsidR="0037407E" w:rsidRPr="000405CC" w:rsidRDefault="0037407E" w:rsidP="007E7849">
            <w:pPr>
              <w:pStyle w:val="a3"/>
              <w:ind w:left="5130" w:hanging="5130"/>
              <w:rPr>
                <w:highlight w:val="lightGray"/>
                <w:lang w:val="hu-HU"/>
              </w:rPr>
            </w:pPr>
            <w:r w:rsidRPr="000405CC">
              <w:rPr>
                <w:rFonts w:eastAsia="Times New Roman"/>
                <w:b/>
                <w:bCs/>
                <w:highlight w:val="lightGray"/>
                <w:lang w:val="hu-HU"/>
              </w:rPr>
              <w:t xml:space="preserve">     b. </w:t>
            </w:r>
            <w:r w:rsidRPr="001E2F31">
              <w:rPr>
                <w:rFonts w:eastAsia="Times New Roman"/>
                <w:bCs/>
                <w:highlight w:val="lightGray"/>
                <w:lang w:val="hu-HU"/>
              </w:rPr>
              <w:t>L</w:t>
            </w:r>
            <w:r w:rsidRPr="000405CC">
              <w:rPr>
                <w:rFonts w:eastAsia="Times New Roman"/>
                <w:highlight w:val="lightGray"/>
                <w:lang w:val="hu-HU"/>
              </w:rPr>
              <w:t xml:space="preserve">assan nyomja le teljesen a dugattyút, </w:t>
            </w:r>
            <w:r>
              <w:rPr>
                <w:rFonts w:eastAsia="Times New Roman"/>
                <w:highlight w:val="lightGray"/>
                <w:lang w:val="hu-HU"/>
              </w:rPr>
              <w:t>mindaddig</w:t>
            </w:r>
            <w:r w:rsidRPr="000405CC">
              <w:rPr>
                <w:rFonts w:eastAsia="Times New Roman"/>
                <w:highlight w:val="lightGray"/>
                <w:lang w:val="hu-HU"/>
              </w:rPr>
              <w:t xml:space="preserve"> amíg az összes folyadékot be nem fecskendezte és a fecskendő kiürült.</w:t>
            </w:r>
          </w:p>
          <w:p w14:paraId="4A8AE459" w14:textId="77777777" w:rsidR="0037407E" w:rsidRPr="000405CC" w:rsidRDefault="0037407E" w:rsidP="007E7849">
            <w:pPr>
              <w:pStyle w:val="a3"/>
              <w:rPr>
                <w:highlight w:val="lightGray"/>
                <w:lang w:val="hu-HU"/>
              </w:rPr>
            </w:pPr>
          </w:p>
          <w:p w14:paraId="4D66FF26" w14:textId="77777777" w:rsidR="0037407E" w:rsidRPr="000405CC" w:rsidRDefault="0037407E" w:rsidP="007E7849">
            <w:pPr>
              <w:pStyle w:val="a3"/>
              <w:rPr>
                <w:highlight w:val="lightGray"/>
                <w:lang w:val="hu-HU"/>
              </w:rPr>
            </w:pPr>
          </w:p>
          <w:p w14:paraId="03574653" w14:textId="77777777" w:rsidR="0037407E" w:rsidRPr="000405CC" w:rsidRDefault="0037407E" w:rsidP="007E7849">
            <w:pPr>
              <w:pStyle w:val="a3"/>
              <w:rPr>
                <w:highlight w:val="lightGray"/>
                <w:lang w:val="hu-HU"/>
              </w:rPr>
            </w:pPr>
            <w:r w:rsidRPr="009167C6">
              <w:rPr>
                <w:rFonts w:eastAsia="맑은 고딕"/>
                <w:highlight w:val="lightGray"/>
                <w:lang w:val="hu-HU"/>
              </w:rPr>
              <w:t>•</w:t>
            </w:r>
            <w:r w:rsidRPr="00222050">
              <w:rPr>
                <w:rFonts w:eastAsia="Times New Roman"/>
                <w:highlight w:val="lightGray"/>
                <w:lang w:val="hu-HU"/>
              </w:rPr>
              <w:t xml:space="preserve"> </w:t>
            </w:r>
            <w:r w:rsidRPr="001E2F31">
              <w:rPr>
                <w:rFonts w:eastAsia="Times New Roman"/>
                <w:bCs/>
                <w:highlight w:val="lightGray"/>
                <w:lang w:val="hu-HU"/>
              </w:rPr>
              <w:t xml:space="preserve">Az </w:t>
            </w:r>
            <w:r w:rsidRPr="009167C6">
              <w:rPr>
                <w:rFonts w:eastAsia="맑은 고딕"/>
                <w:highlight w:val="lightGray"/>
                <w:lang w:val="hu-HU"/>
              </w:rPr>
              <w:t xml:space="preserve">injekció beadása után </w:t>
            </w:r>
            <w:r w:rsidRPr="001E2F31">
              <w:rPr>
                <w:rFonts w:eastAsia="맑은 고딕"/>
                <w:b/>
                <w:highlight w:val="lightGray"/>
                <w:lang w:val="hu-HU"/>
              </w:rPr>
              <w:t>ne</w:t>
            </w:r>
            <w:r w:rsidRPr="00222050">
              <w:rPr>
                <w:rFonts w:eastAsia="Times New Roman"/>
                <w:highlight w:val="lightGray"/>
                <w:lang w:val="hu-HU"/>
              </w:rPr>
              <w:t xml:space="preserve"> változtassa meg az előretöltött fecskendő helyzetét</w:t>
            </w:r>
            <w:r w:rsidRPr="000405CC">
              <w:rPr>
                <w:rFonts w:eastAsia="Times New Roman"/>
                <w:highlight w:val="lightGray"/>
                <w:lang w:val="hu-HU"/>
              </w:rPr>
              <w:t>.</w:t>
            </w:r>
            <w:r w:rsidRPr="000405CC">
              <w:rPr>
                <w:highlight w:val="lightGray"/>
                <w:lang w:val="hu-HU"/>
              </w:rPr>
              <w:t xml:space="preserve"> </w:t>
            </w:r>
          </w:p>
        </w:tc>
      </w:tr>
      <w:tr w:rsidR="0037407E" w:rsidRPr="00BE4D18" w14:paraId="30CEA0F6" w14:textId="77777777" w:rsidTr="009C7DB8">
        <w:trPr>
          <w:trHeight w:val="6520"/>
        </w:trPr>
        <w:tc>
          <w:tcPr>
            <w:tcW w:w="9550" w:type="dxa"/>
          </w:tcPr>
          <w:p w14:paraId="77BDB2DF" w14:textId="77777777" w:rsidR="0037407E" w:rsidRPr="000405CC" w:rsidRDefault="0037407E" w:rsidP="007E7849">
            <w:pPr>
              <w:ind w:left="104"/>
              <w:rPr>
                <w:rFonts w:ascii="Times New Roman" w:eastAsia="Times New Roman" w:hAnsi="Times New Roman" w:cs="Times New Roman"/>
                <w:b/>
                <w:bCs/>
                <w:spacing w:val="-1"/>
                <w:highlight w:val="lightGray"/>
                <w:lang w:val="hu-HU"/>
              </w:rPr>
            </w:pPr>
            <w:r w:rsidRPr="000405CC">
              <w:rPr>
                <w:rFonts w:ascii="Times New Roman" w:eastAsia="Times New Roman" w:hAnsi="Times New Roman" w:cs="Times New Roman"/>
                <w:b/>
                <w:bCs/>
                <w:spacing w:val="-1"/>
                <w:highlight w:val="lightGray"/>
                <w:lang w:val="hu-HU"/>
              </w:rPr>
              <w:lastRenderedPageBreak/>
              <w:t xml:space="preserve"> </w:t>
            </w:r>
          </w:p>
          <w:p w14:paraId="43840CE6" w14:textId="77777777" w:rsidR="0037407E" w:rsidRPr="000405CC" w:rsidRDefault="0037407E" w:rsidP="007E7849">
            <w:pPr>
              <w:ind w:left="104"/>
              <w:rPr>
                <w:rFonts w:ascii="Times New Roman" w:eastAsia="Times New Roman" w:hAnsi="Times New Roman" w:cs="Times New Roman"/>
                <w:b/>
                <w:bCs/>
                <w:spacing w:val="-1"/>
                <w:highlight w:val="lightGray"/>
                <w:lang w:val="hu-HU"/>
              </w:rPr>
            </w:pPr>
          </w:p>
          <w:p w14:paraId="3BEF9F02" w14:textId="77777777" w:rsidR="0037407E" w:rsidRPr="000405CC" w:rsidRDefault="0037407E" w:rsidP="007E7849">
            <w:pPr>
              <w:ind w:left="104"/>
              <w:rPr>
                <w:rFonts w:ascii="Times New Roman" w:eastAsia="Times New Roman" w:hAnsi="Times New Roman" w:cs="Times New Roman"/>
                <w:highlight w:val="lightGray"/>
                <w:lang w:val="hu-HU"/>
              </w:rPr>
            </w:pPr>
          </w:p>
          <w:p w14:paraId="72B3E631" w14:textId="77777777" w:rsidR="0037407E" w:rsidRPr="000405CC" w:rsidRDefault="0037407E" w:rsidP="007E7849">
            <w:pPr>
              <w:pStyle w:val="a3"/>
              <w:rPr>
                <w:highlight w:val="lightGray"/>
                <w:lang w:val="hu-HU"/>
              </w:rPr>
            </w:pPr>
            <w:r>
              <w:rPr>
                <w:noProof/>
                <w:highlight w:val="lightGray"/>
                <w:lang w:eastAsia="ko-KR"/>
              </w:rPr>
              <mc:AlternateContent>
                <mc:Choice Requires="wpg">
                  <w:drawing>
                    <wp:anchor distT="0" distB="0" distL="114300" distR="114300" simplePos="0" relativeHeight="251658295" behindDoc="0" locked="0" layoutInCell="1" allowOverlap="1" wp14:anchorId="0BB0C967" wp14:editId="2675A052">
                      <wp:simplePos x="0" y="0"/>
                      <wp:positionH relativeFrom="column">
                        <wp:posOffset>42545</wp:posOffset>
                      </wp:positionH>
                      <wp:positionV relativeFrom="paragraph">
                        <wp:posOffset>11430</wp:posOffset>
                      </wp:positionV>
                      <wp:extent cx="2466975" cy="3139440"/>
                      <wp:effectExtent l="19050" t="19050" r="9525" b="3810"/>
                      <wp:wrapSquare wrapText="bothSides"/>
                      <wp:docPr id="1059" name="그룹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6975" cy="3139440"/>
                                <a:chOff x="0" y="1002"/>
                                <a:chExt cx="27962" cy="34367"/>
                              </a:xfrm>
                            </wpg:grpSpPr>
                            <pic:pic xmlns:pic="http://schemas.openxmlformats.org/drawingml/2006/picture">
                              <pic:nvPicPr>
                                <pic:cNvPr id="1063" name="그림 4026"/>
                                <pic:cNvPicPr>
                                  <a:picLocks noChangeAspect="1"/>
                                </pic:cNvPicPr>
                              </pic:nvPicPr>
                              <pic:blipFill>
                                <a:blip r:embed="rId132" cstate="print">
                                  <a:extLst>
                                    <a:ext uri="{28A0092B-C50C-407E-A947-70E740481C1C}">
                                      <a14:useLocalDpi xmlns:a14="http://schemas.microsoft.com/office/drawing/2010/main" val="0"/>
                                    </a:ext>
                                  </a:extLst>
                                </a:blip>
                                <a:srcRect/>
                                <a:stretch/>
                              </pic:blipFill>
                              <pic:spPr bwMode="auto">
                                <a:xfrm>
                                  <a:off x="0" y="1002"/>
                                  <a:ext cx="27940" cy="32286"/>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wps:wsp>
                              <wps:cNvPr id="1064" name="Text Box 99"/>
                              <wps:cNvSpPr txBox="1">
                                <a:spLocks noChangeArrowheads="1"/>
                              </wps:cNvSpPr>
                              <wps:spPr bwMode="auto">
                                <a:xfrm>
                                  <a:off x="20764" y="33909"/>
                                  <a:ext cx="7198" cy="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C28650"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K. </w:t>
                                    </w:r>
                                    <w:r>
                                      <w:rPr>
                                        <w:rFonts w:ascii="Times New Roman" w:eastAsia="Times New Roman" w:hAnsi="Times New Roman" w:cs="Times New Roman"/>
                                        <w:highlight w:val="lightGray"/>
                                        <w:lang w:val="hu-HU"/>
                                      </w:rPr>
                                      <w:t xml:space="preserve">ábra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B0C967" id="_x0000_s1192" style="position:absolute;margin-left:3.35pt;margin-top:.9pt;width:194.25pt;height:247.2pt;z-index:251658295" coordorigin=",1002" coordsize="27962,34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">
                      <v:shape id="그림 4026" o:spid="_x0000_s1193" type="#_x0000_t75" style="position:absolute;top:1002;width:27940;height:3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" stroked="t" strokecolor="black [3213]">
                        <v:imagedata r:id="rId133" o:title=""/>
                        <v:path arrowok="t"/>
                      </v:shape>
                      <v:shape id="Text Box 99" o:spid="_x0000_s1194" type="#_x0000_t202" style="position:absolute;left:20764;top:33909;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" stroked="f">
                        <v:textbox inset="0,0,0,0">
                          <w:txbxContent>
                            <w:p w14:paraId="70C28650" w14:textId="7777777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hu-HU"/>
                                </w:rPr>
                                <w:t xml:space="preserve">K. </w:t>
                              </w:r>
                              <w:r>
                                <w:rPr>
                                  <w:rFonts w:ascii="Times New Roman" w:eastAsia="Times New Roman" w:hAnsi="Times New Roman" w:cs="Times New Roman"/>
                                  <w:highlight w:val="lightGray"/>
                                  <w:lang w:val="hu-HU"/>
                                </w:rPr>
                                <w:t xml:space="preserve">ábra </w:t>
                              </w:r>
                            </w:p>
                          </w:txbxContent>
                        </v:textbox>
                      </v:shape>
                      <w10:wrap type="square"/>
                    </v:group>
                  </w:pict>
                </mc:Fallback>
              </mc:AlternateContent>
            </w:r>
          </w:p>
          <w:p w14:paraId="7A92D72A" w14:textId="77777777" w:rsidR="0037407E" w:rsidRPr="009167C6" w:rsidRDefault="0037407E" w:rsidP="00FD05AA">
            <w:pPr>
              <w:pStyle w:val="a3"/>
              <w:numPr>
                <w:ilvl w:val="0"/>
                <w:numId w:val="64"/>
              </w:numPr>
              <w:ind w:left="5220" w:hanging="5109"/>
              <w:rPr>
                <w:b/>
                <w:highlight w:val="lightGray"/>
                <w:lang w:val="hu-HU"/>
              </w:rPr>
            </w:pPr>
            <w:r>
              <w:rPr>
                <w:rFonts w:eastAsia="Times New Roman"/>
                <w:b/>
                <w:bCs/>
                <w:highlight w:val="lightGray"/>
                <w:lang w:val="hu-HU"/>
              </w:rPr>
              <w:t>Húzza ki</w:t>
            </w:r>
            <w:r w:rsidRPr="000405CC">
              <w:rPr>
                <w:rFonts w:eastAsia="Times New Roman"/>
                <w:b/>
                <w:bCs/>
                <w:highlight w:val="lightGray"/>
                <w:lang w:val="hu-HU"/>
              </w:rPr>
              <w:t xml:space="preserve"> az előretöltött fecskendőt az injekció beadási helyéről, és</w:t>
            </w:r>
            <w:r w:rsidRPr="000405CC">
              <w:rPr>
                <w:rFonts w:eastAsia="Times New Roman"/>
                <w:highlight w:val="lightGray"/>
                <w:lang w:val="hu-HU"/>
              </w:rPr>
              <w:t xml:space="preserve"> </w:t>
            </w:r>
            <w:r w:rsidRPr="000405CC">
              <w:rPr>
                <w:rFonts w:eastAsia="Times New Roman"/>
                <w:b/>
                <w:bCs/>
                <w:highlight w:val="lightGray"/>
                <w:lang w:val="hu-HU"/>
              </w:rPr>
              <w:t xml:space="preserve">lássa el az </w:t>
            </w:r>
            <w:r w:rsidRPr="004D7188">
              <w:rPr>
                <w:rFonts w:eastAsia="Times New Roman"/>
                <w:b/>
                <w:bCs/>
                <w:highlight w:val="lightGray"/>
                <w:lang w:val="hu-HU"/>
              </w:rPr>
              <w:t xml:space="preserve">injekció beadási </w:t>
            </w:r>
            <w:r w:rsidRPr="009167C6">
              <w:rPr>
                <w:rFonts w:eastAsia="Times New Roman"/>
                <w:b/>
                <w:highlight w:val="lightGray"/>
                <w:lang w:val="hu-HU"/>
              </w:rPr>
              <w:t>helyét.</w:t>
            </w:r>
          </w:p>
          <w:p w14:paraId="6E555FB7" w14:textId="77777777" w:rsidR="0037407E" w:rsidRPr="000405CC" w:rsidRDefault="0037407E" w:rsidP="007E7849">
            <w:pPr>
              <w:pStyle w:val="a3"/>
              <w:numPr>
                <w:ilvl w:val="0"/>
                <w:numId w:val="0"/>
              </w:numPr>
              <w:ind w:left="471"/>
              <w:rPr>
                <w:highlight w:val="lightGray"/>
                <w:lang w:val="hu-HU"/>
              </w:rPr>
            </w:pPr>
          </w:p>
          <w:p w14:paraId="5C45DA40" w14:textId="77777777" w:rsidR="0037407E" w:rsidRPr="000405CC" w:rsidRDefault="0037407E" w:rsidP="007E7849">
            <w:pPr>
              <w:pStyle w:val="a3"/>
              <w:ind w:left="5220" w:hanging="5220"/>
              <w:rPr>
                <w:highlight w:val="lightGray"/>
                <w:lang w:val="hu-HU"/>
              </w:rPr>
            </w:pPr>
            <w:r w:rsidRPr="000405CC">
              <w:rPr>
                <w:rFonts w:eastAsia="Times New Roman"/>
                <w:b/>
                <w:bCs/>
                <w:highlight w:val="lightGray"/>
                <w:lang w:val="hu-HU"/>
              </w:rPr>
              <w:t xml:space="preserve">      a. M</w:t>
            </w:r>
            <w:r w:rsidRPr="000405CC">
              <w:rPr>
                <w:rFonts w:eastAsia="Times New Roman"/>
                <w:highlight w:val="lightGray"/>
                <w:lang w:val="hu-HU"/>
              </w:rPr>
              <w:t>iután az előretöltött fecskendő kiürült,</w:t>
            </w:r>
            <w:r w:rsidRPr="000405CC">
              <w:rPr>
                <w:highlight w:val="lightGray"/>
                <w:lang w:val="hu-HU"/>
              </w:rPr>
              <w:t xml:space="preserve"> </w:t>
            </w:r>
            <w:r w:rsidRPr="000405CC">
              <w:rPr>
                <w:rFonts w:eastAsia="Times New Roman"/>
                <w:highlight w:val="lightGray"/>
                <w:lang w:val="hu-HU"/>
              </w:rPr>
              <w:t>lassan emelje fel hüvelykujját a</w:t>
            </w:r>
            <w:r w:rsidRPr="000405CC">
              <w:rPr>
                <w:highlight w:val="lightGray"/>
                <w:lang w:val="hu-HU"/>
              </w:rPr>
              <w:t xml:space="preserve"> </w:t>
            </w:r>
            <w:r w:rsidRPr="000405CC">
              <w:rPr>
                <w:rFonts w:eastAsia="Times New Roman"/>
                <w:highlight w:val="lightGray"/>
                <w:lang w:val="hu-HU"/>
              </w:rPr>
              <w:t>dugattyúról, amíg a tűt teljesen</w:t>
            </w:r>
            <w:r w:rsidRPr="000405CC">
              <w:rPr>
                <w:highlight w:val="lightGray"/>
                <w:lang w:val="hu-HU"/>
              </w:rPr>
              <w:t xml:space="preserve"> </w:t>
            </w:r>
            <w:r w:rsidRPr="000405CC">
              <w:rPr>
                <w:rFonts w:eastAsia="Times New Roman"/>
                <w:highlight w:val="lightGray"/>
                <w:lang w:val="hu-HU"/>
              </w:rPr>
              <w:t>lefedi a tűvédő.</w:t>
            </w:r>
          </w:p>
          <w:p w14:paraId="7ED2C34E" w14:textId="77777777" w:rsidR="0037407E" w:rsidRPr="000405CC" w:rsidRDefault="0037407E" w:rsidP="007E7849">
            <w:pPr>
              <w:pStyle w:val="a3"/>
              <w:ind w:left="5220" w:hanging="5220"/>
              <w:rPr>
                <w:highlight w:val="lightGray"/>
                <w:lang w:val="hu-HU"/>
              </w:rPr>
            </w:pPr>
            <w:r w:rsidRPr="000405CC">
              <w:rPr>
                <w:rFonts w:eastAsia="Times New Roman"/>
                <w:b/>
                <w:bCs/>
                <w:highlight w:val="lightGray"/>
                <w:lang w:val="hu-HU"/>
              </w:rPr>
              <w:t xml:space="preserve">      b. L</w:t>
            </w:r>
            <w:r w:rsidRPr="000405CC">
              <w:rPr>
                <w:rFonts w:eastAsia="Times New Roman"/>
                <w:highlight w:val="lightGray"/>
                <w:lang w:val="hu-HU"/>
              </w:rPr>
              <w:t xml:space="preserve">ássa el az injekció beadásának helyét óvatosan, nyomjon vattacsomót vagy gézdarabot a beadási helyre, </w:t>
            </w:r>
            <w:r>
              <w:rPr>
                <w:rFonts w:eastAsia="Times New Roman"/>
                <w:highlight w:val="lightGray"/>
                <w:lang w:val="hu-HU"/>
              </w:rPr>
              <w:t xml:space="preserve">de </w:t>
            </w:r>
            <w:r w:rsidRPr="000405CC">
              <w:rPr>
                <w:rFonts w:eastAsia="Times New Roman"/>
                <w:highlight w:val="lightGray"/>
                <w:lang w:val="hu-HU"/>
              </w:rPr>
              <w:t>ne dörzsölje, használjon ragtapaszt, ha szükséges. Vérzés</w:t>
            </w:r>
            <w:r>
              <w:rPr>
                <w:rFonts w:eastAsia="Times New Roman"/>
                <w:highlight w:val="lightGray"/>
                <w:lang w:val="hu-HU"/>
              </w:rPr>
              <w:t xml:space="preserve"> is</w:t>
            </w:r>
            <w:r w:rsidRPr="000405CC">
              <w:rPr>
                <w:highlight w:val="lightGray"/>
                <w:lang w:val="hu-HU"/>
              </w:rPr>
              <w:t xml:space="preserve"> </w:t>
            </w:r>
            <w:r w:rsidRPr="000405CC">
              <w:rPr>
                <w:rFonts w:eastAsia="Times New Roman"/>
                <w:highlight w:val="lightGray"/>
                <w:lang w:val="hu-HU"/>
              </w:rPr>
              <w:t>előfordulhat.</w:t>
            </w:r>
          </w:p>
          <w:p w14:paraId="769B836A" w14:textId="77777777" w:rsidR="0037407E" w:rsidRPr="000405CC" w:rsidRDefault="0037407E" w:rsidP="007E7849">
            <w:pPr>
              <w:pStyle w:val="a3"/>
              <w:rPr>
                <w:highlight w:val="lightGray"/>
                <w:lang w:val="hu-HU"/>
              </w:rPr>
            </w:pPr>
          </w:p>
          <w:p w14:paraId="470D71EB" w14:textId="77777777" w:rsidR="0037407E" w:rsidRPr="000405CC" w:rsidRDefault="0037407E" w:rsidP="007E7849">
            <w:pPr>
              <w:pStyle w:val="a3"/>
              <w:rPr>
                <w:highlight w:val="lightGray"/>
                <w:lang w:val="hu-HU"/>
              </w:rPr>
            </w:pPr>
          </w:p>
          <w:p w14:paraId="69D81A50" w14:textId="77777777" w:rsidR="0037407E" w:rsidRPr="000405CC" w:rsidRDefault="0037407E" w:rsidP="007E7849">
            <w:pPr>
              <w:pStyle w:val="a3"/>
              <w:rPr>
                <w:highlight w:val="lightGray"/>
                <w:lang w:val="hu-HU"/>
              </w:rPr>
            </w:pPr>
            <w:r w:rsidRPr="000405CC">
              <w:rPr>
                <w:rFonts w:ascii="맑은 고딕" w:eastAsia="맑은 고딕" w:hAnsi="맑은 고딕"/>
                <w:highlight w:val="lightGray"/>
                <w:lang w:val="hu-HU"/>
              </w:rPr>
              <w:t>•</w:t>
            </w:r>
            <w:r w:rsidRPr="000405CC">
              <w:rPr>
                <w:rFonts w:eastAsia="Times New Roman"/>
                <w:highlight w:val="lightGray"/>
                <w:lang w:val="hu-HU"/>
              </w:rPr>
              <w:t xml:space="preserve"> </w:t>
            </w:r>
            <w:r w:rsidRPr="000405CC">
              <w:rPr>
                <w:rFonts w:eastAsia="Times New Roman"/>
                <w:b/>
                <w:bCs/>
                <w:highlight w:val="lightGray"/>
                <w:lang w:val="hu-HU"/>
              </w:rPr>
              <w:t>Ne</w:t>
            </w:r>
            <w:r w:rsidRPr="000405CC">
              <w:rPr>
                <w:rFonts w:eastAsia="Times New Roman"/>
                <w:highlight w:val="lightGray"/>
                <w:lang w:val="hu-HU"/>
              </w:rPr>
              <w:t xml:space="preserve"> használja újra az</w:t>
            </w:r>
            <w:r>
              <w:rPr>
                <w:rFonts w:eastAsia="Times New Roman"/>
                <w:highlight w:val="lightGray"/>
                <w:lang w:val="hu-HU"/>
              </w:rPr>
              <w:t xml:space="preserve"> </w:t>
            </w:r>
            <w:r w:rsidRPr="000405CC">
              <w:rPr>
                <w:rFonts w:eastAsia="Times New Roman"/>
                <w:highlight w:val="lightGray"/>
                <w:lang w:val="hu-HU"/>
              </w:rPr>
              <w:t>előretöltött fecskendőt.</w:t>
            </w:r>
          </w:p>
          <w:p w14:paraId="22765604" w14:textId="77777777" w:rsidR="0037407E" w:rsidRPr="000405CC" w:rsidRDefault="0037407E" w:rsidP="007E7849">
            <w:pPr>
              <w:pStyle w:val="a3"/>
              <w:rPr>
                <w:b/>
                <w:bCs/>
                <w:spacing w:val="-1"/>
                <w:highlight w:val="lightGray"/>
                <w:lang w:val="hu-HU"/>
              </w:rPr>
            </w:pPr>
            <w:r w:rsidRPr="000405CC">
              <w:rPr>
                <w:rFonts w:ascii="맑은 고딕" w:eastAsia="맑은 고딕" w:hAnsi="맑은 고딕"/>
                <w:b/>
                <w:bCs/>
                <w:highlight w:val="lightGray"/>
                <w:lang w:val="hu-HU"/>
              </w:rPr>
              <w:t>•</w:t>
            </w:r>
            <w:r>
              <w:rPr>
                <w:rFonts w:ascii="맑은 고딕" w:eastAsia="맑은 고딕" w:hAnsi="맑은 고딕"/>
                <w:b/>
                <w:bCs/>
                <w:highlight w:val="lightGray"/>
                <w:lang w:val="hu-HU"/>
              </w:rPr>
              <w:t xml:space="preserve"> </w:t>
            </w:r>
            <w:r w:rsidRPr="000405CC">
              <w:rPr>
                <w:rFonts w:eastAsia="Times New Roman"/>
                <w:b/>
                <w:bCs/>
                <w:highlight w:val="lightGray"/>
                <w:lang w:val="hu-HU"/>
              </w:rPr>
              <w:t>Ne</w:t>
            </w:r>
            <w:r w:rsidRPr="000405CC">
              <w:rPr>
                <w:rFonts w:eastAsia="Times New Roman"/>
                <w:highlight w:val="lightGray"/>
                <w:lang w:val="hu-HU"/>
              </w:rPr>
              <w:t xml:space="preserve"> dörzsölje az injekció beadásának helyét.</w:t>
            </w:r>
          </w:p>
        </w:tc>
      </w:tr>
      <w:tr w:rsidR="0037407E" w:rsidRPr="00BE4D18" w14:paraId="0AA4F48B" w14:textId="77777777" w:rsidTr="009C7DB8">
        <w:trPr>
          <w:trHeight w:val="6372"/>
        </w:trPr>
        <w:tc>
          <w:tcPr>
            <w:tcW w:w="9550" w:type="dxa"/>
          </w:tcPr>
          <w:p w14:paraId="0201B81D" w14:textId="77777777" w:rsidR="0037407E" w:rsidRDefault="0037407E" w:rsidP="007E7849">
            <w:pPr>
              <w:ind w:left="104"/>
              <w:rPr>
                <w:rFonts w:ascii="Times New Roman" w:eastAsia="Times New Roman" w:hAnsi="Times New Roman" w:cs="Times New Roman"/>
                <w:b/>
                <w:bCs/>
                <w:spacing w:val="-1"/>
                <w:lang w:val="hu-HU"/>
              </w:rPr>
            </w:pPr>
          </w:p>
          <w:p w14:paraId="1700F399" w14:textId="77777777" w:rsidR="0037407E" w:rsidRDefault="0037407E" w:rsidP="007E7849">
            <w:pPr>
              <w:pStyle w:val="a3"/>
              <w:rPr>
                <w:lang w:val="hu-HU"/>
              </w:rPr>
            </w:pPr>
          </w:p>
          <w:p w14:paraId="1A8DFDDE" w14:textId="77777777" w:rsidR="0037407E" w:rsidRDefault="0037407E" w:rsidP="007E7849">
            <w:pPr>
              <w:pStyle w:val="a3"/>
              <w:rPr>
                <w:lang w:val="hu-HU"/>
              </w:rPr>
            </w:pPr>
            <w:r>
              <w:rPr>
                <w:noProof/>
                <w:lang w:eastAsia="ko-KR"/>
              </w:rPr>
              <mc:AlternateContent>
                <mc:Choice Requires="wpg">
                  <w:drawing>
                    <wp:anchor distT="0" distB="0" distL="114300" distR="114300" simplePos="0" relativeHeight="251658296" behindDoc="0" locked="0" layoutInCell="1" allowOverlap="1" wp14:anchorId="4D9A4BDA" wp14:editId="0BE1A59D">
                      <wp:simplePos x="0" y="0"/>
                      <wp:positionH relativeFrom="column">
                        <wp:posOffset>34290</wp:posOffset>
                      </wp:positionH>
                      <wp:positionV relativeFrom="paragraph">
                        <wp:posOffset>106045</wp:posOffset>
                      </wp:positionV>
                      <wp:extent cx="2423795" cy="3190875"/>
                      <wp:effectExtent l="19050" t="19050" r="0" b="9525"/>
                      <wp:wrapSquare wrapText="bothSides"/>
                      <wp:docPr id="1065" name="그룹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3795" cy="3190875"/>
                                <a:chOff x="313" y="0"/>
                                <a:chExt cx="27960" cy="36081"/>
                              </a:xfrm>
                            </wpg:grpSpPr>
                            <pic:pic xmlns:pic="http://schemas.openxmlformats.org/drawingml/2006/picture">
                              <pic:nvPicPr>
                                <pic:cNvPr id="1066" name="그림 4027"/>
                                <pic:cNvPicPr>
                                  <a:picLocks noChangeAspect="1"/>
                                </pic:cNvPicPr>
                              </pic:nvPicPr>
                              <pic:blipFill>
                                <a:blip r:embed="rId134" cstate="print">
                                  <a:extLst>
                                    <a:ext uri="{28A0092B-C50C-407E-A947-70E740481C1C}">
                                      <a14:useLocalDpi xmlns:a14="http://schemas.microsoft.com/office/drawing/2010/main" val="0"/>
                                    </a:ext>
                                  </a:extLst>
                                </a:blip>
                                <a:srcRect/>
                                <a:stretch/>
                              </pic:blipFill>
                              <pic:spPr bwMode="auto">
                                <a:xfrm>
                                  <a:off x="313" y="0"/>
                                  <a:ext cx="27649" cy="34036"/>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wps:wsp>
                              <wps:cNvPr id="1067" name="Text Box 101"/>
                              <wps:cNvSpPr txBox="1">
                                <a:spLocks noChangeArrowheads="1"/>
                              </wps:cNvSpPr>
                              <wps:spPr bwMode="auto">
                                <a:xfrm>
                                  <a:off x="21078" y="34621"/>
                                  <a:ext cx="7195" cy="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267248" w14:textId="77777777" w:rsidR="004A2986" w:rsidRDefault="004A2986" w:rsidP="0037407E">
                                    <w:pPr>
                                      <w:pStyle w:val="af0"/>
                                      <w:jc w:val="right"/>
                                      <w:rPr>
                                        <w:rFonts w:ascii="Times New Roman" w:hAnsi="Times New Roman" w:cs="Times New Roman"/>
                                        <w:noProof/>
                                        <w:spacing w:val="-1"/>
                                      </w:rPr>
                                    </w:pPr>
                                    <w:r>
                                      <w:rPr>
                                        <w:rFonts w:ascii="Times New Roman" w:hAnsi="Times New Roman" w:cs="Times New Roman" w:hint="eastAsia"/>
                                        <w:highlight w:val="lightGray"/>
                                        <w:lang w:val="hu-HU" w:eastAsia="ko-KR"/>
                                      </w:rPr>
                                      <w:t xml:space="preserve">L. </w:t>
                                    </w:r>
                                    <w:r>
                                      <w:rPr>
                                        <w:rFonts w:ascii="Times New Roman" w:eastAsia="Times New Roman" w:hAnsi="Times New Roman" w:cs="Times New Roman"/>
                                        <w:highlight w:val="lightGray"/>
                                        <w:lang w:val="hu-HU"/>
                                      </w:rPr>
                                      <w:t>ábra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9A4BDA" id="_x0000_s1195" style="position:absolute;margin-left:2.7pt;margin-top:8.35pt;width:190.85pt;height:251.25pt;z-index:251658296" coordorigin="313" coordsize="27960,36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">
                      <v:shape id="그림 4027" o:spid="_x0000_s1196" type="#_x0000_t75" style="position:absolute;left:313;width:27649;height:34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" stroked="t" strokecolor="black [3213]">
                        <v:imagedata r:id="rId135" o:title=""/>
                        <v:path arrowok="t"/>
                      </v:shape>
                      <v:shape id="Text Box 101" o:spid="_x0000_s1197" type="#_x0000_t202" style="position:absolute;left:21078;top:34621;width:7195;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" stroked="f">
                        <v:textbox inset="0,0,0,0">
                          <w:txbxContent>
                            <w:p w14:paraId="44267248" w14:textId="77777777" w:rsidR="004A2986" w:rsidRDefault="004A2986" w:rsidP="0037407E">
                              <w:pPr>
                                <w:pStyle w:val="af0"/>
                                <w:jc w:val="right"/>
                                <w:rPr>
                                  <w:rFonts w:ascii="Times New Roman" w:hAnsi="Times New Roman" w:cs="Times New Roman"/>
                                  <w:noProof/>
                                  <w:spacing w:val="-1"/>
                                </w:rPr>
                              </w:pPr>
                              <w:r>
                                <w:rPr>
                                  <w:rFonts w:ascii="Times New Roman" w:hAnsi="Times New Roman" w:cs="Times New Roman" w:hint="eastAsia"/>
                                  <w:highlight w:val="lightGray"/>
                                  <w:lang w:val="hu-HU" w:eastAsia="ko-KR"/>
                                </w:rPr>
                                <w:t xml:space="preserve">L. </w:t>
                              </w:r>
                              <w:r>
                                <w:rPr>
                                  <w:rFonts w:ascii="Times New Roman" w:eastAsia="Times New Roman" w:hAnsi="Times New Roman" w:cs="Times New Roman"/>
                                  <w:highlight w:val="lightGray"/>
                                  <w:lang w:val="hu-HU"/>
                                </w:rPr>
                                <w:t>ábra</w:t>
                              </w:r>
                            </w:p>
                          </w:txbxContent>
                        </v:textbox>
                      </v:shape>
                      <w10:wrap type="square"/>
                    </v:group>
                  </w:pict>
                </mc:Fallback>
              </mc:AlternateContent>
            </w:r>
          </w:p>
          <w:p w14:paraId="5450EA7D" w14:textId="77777777" w:rsidR="0037407E" w:rsidRDefault="0037407E" w:rsidP="007E7849">
            <w:pPr>
              <w:pStyle w:val="a3"/>
              <w:rPr>
                <w:lang w:val="hu-HU"/>
              </w:rPr>
            </w:pPr>
          </w:p>
          <w:p w14:paraId="3F40AA22" w14:textId="77777777" w:rsidR="0037407E" w:rsidRPr="00010223" w:rsidRDefault="0037407E" w:rsidP="00FD05AA">
            <w:pPr>
              <w:pStyle w:val="a3"/>
              <w:numPr>
                <w:ilvl w:val="0"/>
                <w:numId w:val="64"/>
              </w:numPr>
              <w:rPr>
                <w:b/>
                <w:highlight w:val="lightGray"/>
                <w:lang w:val="hu-HU"/>
              </w:rPr>
            </w:pPr>
            <w:r w:rsidRPr="00010223">
              <w:rPr>
                <w:rFonts w:eastAsia="Times New Roman"/>
                <w:b/>
                <w:bCs/>
                <w:highlight w:val="lightGray"/>
                <w:lang w:val="hu-HU"/>
              </w:rPr>
              <w:t xml:space="preserve">Azelőretöltött </w:t>
            </w:r>
            <w:r w:rsidRPr="001E2F31">
              <w:rPr>
                <w:rFonts w:eastAsia="Times New Roman"/>
                <w:b/>
                <w:highlight w:val="lightGray"/>
                <w:lang w:val="hu-HU"/>
              </w:rPr>
              <w:t>fecskendő eldobása.</w:t>
            </w:r>
          </w:p>
          <w:p w14:paraId="2ECBA355" w14:textId="77777777" w:rsidR="0037407E" w:rsidRPr="000405CC" w:rsidRDefault="0037407E" w:rsidP="007E7849">
            <w:pPr>
              <w:pStyle w:val="a3"/>
              <w:rPr>
                <w:highlight w:val="lightGray"/>
                <w:lang w:val="hu-HU"/>
              </w:rPr>
            </w:pPr>
          </w:p>
          <w:p w14:paraId="5545CA92" w14:textId="77777777" w:rsidR="0037407E" w:rsidRPr="000405CC" w:rsidRDefault="0037407E" w:rsidP="007E7849">
            <w:pPr>
              <w:pStyle w:val="a3"/>
              <w:ind w:left="5310" w:hanging="5310"/>
              <w:rPr>
                <w:highlight w:val="lightGray"/>
                <w:lang w:val="hu-HU"/>
              </w:rPr>
            </w:pPr>
            <w:r w:rsidRPr="000405CC">
              <w:rPr>
                <w:rFonts w:eastAsia="Times New Roman"/>
                <w:b/>
                <w:bCs/>
                <w:highlight w:val="lightGray"/>
                <w:lang w:val="hu-HU"/>
              </w:rPr>
              <w:t xml:space="preserve">        a.</w:t>
            </w:r>
            <w:r w:rsidRPr="001E2F31">
              <w:rPr>
                <w:rFonts w:eastAsia="Times New Roman"/>
                <w:bCs/>
                <w:highlight w:val="lightGray"/>
                <w:lang w:val="hu-HU"/>
              </w:rPr>
              <w:t xml:space="preserve"> D</w:t>
            </w:r>
            <w:r w:rsidRPr="000405CC">
              <w:rPr>
                <w:rFonts w:eastAsia="Times New Roman"/>
                <w:highlight w:val="lightGray"/>
                <w:lang w:val="hu-HU"/>
              </w:rPr>
              <w:t>obja a használt előretöltött fecskendőt</w:t>
            </w:r>
            <w:r w:rsidRPr="000405CC">
              <w:rPr>
                <w:highlight w:val="lightGray"/>
                <w:lang w:val="hu-HU"/>
              </w:rPr>
              <w:t xml:space="preserve"> </w:t>
            </w:r>
            <w:r w:rsidRPr="000405CC">
              <w:rPr>
                <w:rFonts w:eastAsia="Times New Roman"/>
                <w:highlight w:val="lightGray"/>
                <w:lang w:val="hu-HU"/>
              </w:rPr>
              <w:t>speciális éles tárgyak tárolására szolgáló tartályba</w:t>
            </w:r>
            <w:r>
              <w:rPr>
                <w:rFonts w:eastAsia="Times New Roman"/>
                <w:highlight w:val="lightGray"/>
                <w:lang w:val="hu-HU"/>
              </w:rPr>
              <w:t>,</w:t>
            </w:r>
            <w:r w:rsidRPr="000405CC">
              <w:rPr>
                <w:highlight w:val="lightGray"/>
                <w:lang w:val="hu-HU"/>
              </w:rPr>
              <w:t xml:space="preserve"> </w:t>
            </w:r>
            <w:r w:rsidRPr="000405CC">
              <w:rPr>
                <w:rFonts w:eastAsia="Times New Roman"/>
                <w:highlight w:val="lightGray"/>
                <w:lang w:val="hu-HU"/>
              </w:rPr>
              <w:t>a kezelőorvosa, a gondozását végző egészségügyi szakember vagy</w:t>
            </w:r>
            <w:r w:rsidRPr="000405CC">
              <w:rPr>
                <w:highlight w:val="lightGray"/>
                <w:lang w:val="hu-HU"/>
              </w:rPr>
              <w:t xml:space="preserve"> </w:t>
            </w:r>
            <w:r w:rsidRPr="000405CC">
              <w:rPr>
                <w:rFonts w:eastAsia="Times New Roman"/>
                <w:highlight w:val="lightGray"/>
                <w:lang w:val="hu-HU"/>
              </w:rPr>
              <w:t>gyógyszerész utasításai szerint.</w:t>
            </w:r>
          </w:p>
          <w:p w14:paraId="717922F2" w14:textId="77777777" w:rsidR="0037407E" w:rsidRPr="000405CC" w:rsidRDefault="0037407E" w:rsidP="007E7849">
            <w:pPr>
              <w:pStyle w:val="a3"/>
              <w:rPr>
                <w:highlight w:val="lightGray"/>
                <w:lang w:val="hu-HU"/>
              </w:rPr>
            </w:pPr>
          </w:p>
          <w:p w14:paraId="4F3E8AEF" w14:textId="77777777" w:rsidR="0037407E" w:rsidRPr="000405CC" w:rsidRDefault="0037407E" w:rsidP="007E7849">
            <w:pPr>
              <w:pStyle w:val="a3"/>
              <w:ind w:left="5310" w:hanging="5310"/>
              <w:rPr>
                <w:b/>
                <w:highlight w:val="lightGray"/>
                <w:lang w:val="hu-HU"/>
              </w:rPr>
            </w:pPr>
            <w:r w:rsidRPr="000405CC">
              <w:rPr>
                <w:rFonts w:eastAsia="Times New Roman"/>
                <w:b/>
                <w:bCs/>
                <w:highlight w:val="lightGray"/>
                <w:lang w:val="hu-HU"/>
              </w:rPr>
              <w:t xml:space="preserve">        b. </w:t>
            </w:r>
            <w:r w:rsidRPr="001E2F31">
              <w:rPr>
                <w:rFonts w:eastAsia="Times New Roman"/>
                <w:bCs/>
                <w:highlight w:val="lightGray"/>
                <w:lang w:val="hu-HU"/>
              </w:rPr>
              <w:t>A</w:t>
            </w:r>
            <w:r w:rsidRPr="000405CC">
              <w:rPr>
                <w:rFonts w:eastAsia="Times New Roman"/>
                <w:highlight w:val="lightGray"/>
                <w:lang w:val="hu-HU"/>
              </w:rPr>
              <w:t>z alkoholos törlőt és a csomagolást a háztartási hulladékba helyezheti.</w:t>
            </w:r>
          </w:p>
          <w:p w14:paraId="2D64D7C1" w14:textId="77777777" w:rsidR="0037407E" w:rsidRPr="000405CC" w:rsidRDefault="0037407E" w:rsidP="007E7849">
            <w:pPr>
              <w:pStyle w:val="a3"/>
              <w:rPr>
                <w:b/>
                <w:highlight w:val="lightGray"/>
                <w:lang w:val="hu-HU"/>
              </w:rPr>
            </w:pPr>
          </w:p>
          <w:p w14:paraId="10B5D44B" w14:textId="77777777" w:rsidR="0037407E" w:rsidRPr="000405CC" w:rsidRDefault="0037407E" w:rsidP="007E7849">
            <w:pPr>
              <w:pStyle w:val="a3"/>
              <w:numPr>
                <w:ilvl w:val="0"/>
                <w:numId w:val="17"/>
              </w:numPr>
              <w:ind w:left="4979" w:hanging="4979"/>
              <w:rPr>
                <w:highlight w:val="lightGray"/>
                <w:lang w:val="hu-HU"/>
              </w:rPr>
            </w:pPr>
            <w:r w:rsidRPr="000405CC">
              <w:rPr>
                <w:rFonts w:eastAsia="Times New Roman"/>
                <w:highlight w:val="lightGray"/>
                <w:lang w:val="hu-HU"/>
              </w:rPr>
              <w:t>Mindig tartsa az</w:t>
            </w:r>
            <w:r>
              <w:rPr>
                <w:rFonts w:eastAsia="Times New Roman"/>
                <w:highlight w:val="lightGray"/>
                <w:lang w:val="hu-HU"/>
              </w:rPr>
              <w:t xml:space="preserve"> </w:t>
            </w:r>
            <w:r w:rsidRPr="000405CC">
              <w:rPr>
                <w:rFonts w:eastAsia="Times New Roman"/>
                <w:highlight w:val="lightGray"/>
                <w:lang w:val="hu-HU"/>
              </w:rPr>
              <w:t>előretöltött fecskendőt és a külön, az éles tárgyak tárolására szolgáló speciális tartályt gyermekektől elzárva.</w:t>
            </w:r>
          </w:p>
          <w:p w14:paraId="2A9DF82C" w14:textId="77777777" w:rsidR="0037407E" w:rsidRDefault="0037407E" w:rsidP="007E7849">
            <w:pPr>
              <w:pStyle w:val="a3"/>
              <w:rPr>
                <w:lang w:val="hu-HU"/>
              </w:rPr>
            </w:pPr>
          </w:p>
          <w:p w14:paraId="094668EF" w14:textId="77777777" w:rsidR="0037407E" w:rsidRDefault="0037407E" w:rsidP="007E7849">
            <w:pPr>
              <w:pStyle w:val="a3"/>
              <w:rPr>
                <w:lang w:val="hu-HU"/>
              </w:rPr>
            </w:pPr>
          </w:p>
          <w:p w14:paraId="6D344E19" w14:textId="77777777" w:rsidR="0037407E" w:rsidRDefault="0037407E" w:rsidP="007E7849">
            <w:pPr>
              <w:pStyle w:val="a3"/>
              <w:rPr>
                <w:b/>
                <w:bCs/>
                <w:spacing w:val="-1"/>
                <w:lang w:val="hu-HU" w:eastAsia="ko-KR"/>
              </w:rPr>
            </w:pPr>
          </w:p>
        </w:tc>
      </w:tr>
    </w:tbl>
    <w:p w14:paraId="75463BDB" w14:textId="77777777" w:rsidR="0037407E" w:rsidRDefault="0037407E" w:rsidP="0037407E">
      <w:pPr>
        <w:spacing w:line="241" w:lineRule="auto"/>
        <w:rPr>
          <w:lang w:val="hu-HU" w:eastAsia="ko-KR"/>
        </w:rPr>
      </w:pPr>
    </w:p>
    <w:p w14:paraId="227325B7" w14:textId="77777777" w:rsidR="0037407E" w:rsidRDefault="0037407E" w:rsidP="0037407E">
      <w:pPr>
        <w:rPr>
          <w:lang w:val="hu-HU" w:eastAsia="ko-KR"/>
        </w:rPr>
      </w:pPr>
      <w:r>
        <w:rPr>
          <w:lang w:val="hu-HU" w:eastAsia="ko-KR"/>
        </w:rPr>
        <w:br w:type="page"/>
      </w:r>
    </w:p>
    <w:p w14:paraId="367A9959" w14:textId="77777777" w:rsidR="0037407E" w:rsidRDefault="0037407E" w:rsidP="0037407E">
      <w:pPr>
        <w:ind w:left="2350" w:right="2268"/>
        <w:jc w:val="center"/>
        <w:rPr>
          <w:rFonts w:ascii="Times New Roman" w:eastAsia="Times New Roman" w:hAnsi="Times New Roman" w:cs="Times New Roman"/>
          <w:b/>
          <w:bCs/>
          <w:lang w:val="hu-HU"/>
        </w:rPr>
      </w:pPr>
      <w:r>
        <w:rPr>
          <w:rFonts w:ascii="Times New Roman" w:eastAsia="Times New Roman" w:hAnsi="Times New Roman" w:cs="Times New Roman"/>
          <w:b/>
          <w:bCs/>
          <w:lang w:val="hu-HU"/>
        </w:rPr>
        <w:lastRenderedPageBreak/>
        <w:t>Betegtájékoztató:Információk a felhasználó számára</w:t>
      </w:r>
    </w:p>
    <w:p w14:paraId="1859CA32" w14:textId="77777777" w:rsidR="0037407E" w:rsidRDefault="0037407E" w:rsidP="0037407E">
      <w:pPr>
        <w:spacing w:before="13" w:line="240" w:lineRule="exact"/>
        <w:rPr>
          <w:sz w:val="24"/>
          <w:szCs w:val="24"/>
          <w:lang w:val="hu-HU"/>
        </w:rPr>
      </w:pPr>
    </w:p>
    <w:p w14:paraId="47AE91FE" w14:textId="47A97390" w:rsidR="0037407E" w:rsidRDefault="0037407E" w:rsidP="0037407E">
      <w:pPr>
        <w:jc w:val="center"/>
        <w:rPr>
          <w:rFonts w:ascii="Times New Roman" w:eastAsia="Times New Roman" w:hAnsi="Times New Roman" w:cs="Times New Roman"/>
          <w:lang w:val="hu-HU"/>
        </w:rPr>
      </w:pPr>
      <w:r>
        <w:rPr>
          <w:rFonts w:ascii="Times New Roman" w:eastAsia="Times New Roman" w:hAnsi="Times New Roman" w:cs="Times New Roman"/>
          <w:b/>
          <w:bCs/>
          <w:lang w:val="hu-HU"/>
        </w:rPr>
        <w:t xml:space="preserve">Yuflyma </w:t>
      </w:r>
      <w:r w:rsidR="005656A4">
        <w:rPr>
          <w:rFonts w:ascii="Times New Roman" w:eastAsia="Times New Roman" w:hAnsi="Times New Roman" w:cs="Times New Roman"/>
          <w:b/>
          <w:bCs/>
          <w:lang w:val="hu-HU"/>
        </w:rPr>
        <w:t>8</w:t>
      </w:r>
      <w:r>
        <w:rPr>
          <w:rFonts w:ascii="Times New Roman" w:eastAsia="Times New Roman" w:hAnsi="Times New Roman" w:cs="Times New Roman"/>
          <w:b/>
          <w:bCs/>
          <w:lang w:val="hu-HU"/>
        </w:rPr>
        <w:t>0 mg oldatos injekció előretöltött injekciós tollban</w:t>
      </w:r>
    </w:p>
    <w:p w14:paraId="0F238F19" w14:textId="77777777" w:rsidR="0037407E" w:rsidRDefault="0037407E" w:rsidP="0037407E">
      <w:pPr>
        <w:pStyle w:val="a3"/>
        <w:jc w:val="center"/>
        <w:rPr>
          <w:lang w:val="hu-HU"/>
        </w:rPr>
      </w:pPr>
      <w:r>
        <w:rPr>
          <w:rFonts w:eastAsia="Times New Roman"/>
          <w:lang w:val="hu-HU"/>
        </w:rPr>
        <w:t>adalimumab</w:t>
      </w:r>
    </w:p>
    <w:p w14:paraId="6235730B" w14:textId="77777777" w:rsidR="0037407E" w:rsidRDefault="0037407E" w:rsidP="0037407E">
      <w:pPr>
        <w:spacing w:before="18" w:line="240" w:lineRule="exact"/>
        <w:rPr>
          <w:sz w:val="24"/>
          <w:szCs w:val="24"/>
          <w:lang w:val="hu-HU"/>
        </w:rPr>
      </w:pPr>
    </w:p>
    <w:p w14:paraId="378B5958" w14:textId="77777777" w:rsidR="0037407E" w:rsidRDefault="0037407E" w:rsidP="0037407E">
      <w:pPr>
        <w:spacing w:before="18" w:line="240" w:lineRule="exact"/>
        <w:ind w:left="108"/>
        <w:rPr>
          <w:sz w:val="24"/>
          <w:szCs w:val="24"/>
          <w:lang w:val="hu-HU"/>
        </w:rPr>
      </w:pPr>
      <w:r>
        <w:rPr>
          <w:rFonts w:ascii="Times New Roman" w:hAnsi="Times New Roman" w:cs="Times New Roman"/>
          <w:noProof/>
          <w:lang w:eastAsia="ko-KR"/>
        </w:rPr>
        <w:drawing>
          <wp:inline distT="0" distB="0" distL="0" distR="0" wp14:anchorId="07555067" wp14:editId="6EFA45B3">
            <wp:extent cx="203200" cy="169545"/>
            <wp:effectExtent l="0" t="0" r="6350" b="1905"/>
            <wp:docPr id="157" name="그림 157"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98365"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Pr>
          <w:rFonts w:ascii="Times New Roman" w:eastAsia="Times New Roman" w:hAnsi="Times New Roman" w:cs="Times New Roman"/>
          <w:lang w:val="hu-HU"/>
        </w:rPr>
        <w:t>Ez a gyógyszer fokozott felügyelet alatt áll,mely lehetővé teszi az új gyógyszerbiztonsági információk gyors azonosítását. Ehhez Ön is hozzájárulhat a tudomására jutó bármilyen mellékhatás bejelentésével. A mellékhatások jelentésének módjairól a 4. pont végén (Mellékhatások bejelentése) talál további tájékoztatást.</w:t>
      </w:r>
    </w:p>
    <w:p w14:paraId="77EF5178" w14:textId="77777777" w:rsidR="0037407E" w:rsidRDefault="0037407E" w:rsidP="0037407E">
      <w:pPr>
        <w:spacing w:before="18" w:line="240" w:lineRule="exact"/>
        <w:rPr>
          <w:sz w:val="24"/>
          <w:szCs w:val="24"/>
          <w:lang w:val="hu-HU"/>
        </w:rPr>
      </w:pPr>
    </w:p>
    <w:p w14:paraId="331553E4" w14:textId="77777777" w:rsidR="0037407E" w:rsidRDefault="0037407E" w:rsidP="0037407E">
      <w:pPr>
        <w:spacing w:before="18" w:line="240" w:lineRule="exact"/>
        <w:ind w:left="108"/>
        <w:rPr>
          <w:rFonts w:ascii="Times New Roman" w:hAnsi="Times New Roman" w:cs="Times New Roman"/>
          <w:b/>
          <w:lang w:val="hu-HU"/>
        </w:rPr>
      </w:pPr>
      <w:r>
        <w:rPr>
          <w:rFonts w:ascii="Times New Roman" w:eastAsia="Times New Roman" w:hAnsi="Times New Roman" w:cs="Times New Roman"/>
          <w:b/>
          <w:bCs/>
          <w:lang w:val="hu-HU"/>
        </w:rPr>
        <w:t>Mielőtt elkezdi alkalmazni ezt a gyógyszert, olvassa el figyelmesen az alábbi betegtájékoztatót, mert az Ön számára fontos információkat tartalmaz.</w:t>
      </w:r>
    </w:p>
    <w:p w14:paraId="54402FDD" w14:textId="2323CFA9" w:rsidR="0037407E" w:rsidRDefault="0037407E" w:rsidP="0037407E">
      <w:pPr>
        <w:pStyle w:val="a3"/>
        <w:numPr>
          <w:ilvl w:val="0"/>
          <w:numId w:val="5"/>
        </w:numPr>
        <w:ind w:left="660" w:hanging="660"/>
        <w:rPr>
          <w:lang w:val="hu-HU"/>
        </w:rPr>
      </w:pPr>
      <w:r>
        <w:rPr>
          <w:rFonts w:eastAsia="Times New Roman"/>
          <w:lang w:val="hu-HU"/>
        </w:rPr>
        <w:t>Tartsa meg a betegtájékoztatót,</w:t>
      </w:r>
      <w:r w:rsidR="005F5974">
        <w:rPr>
          <w:rFonts w:eastAsia="Times New Roman"/>
          <w:lang w:val="hu-HU"/>
        </w:rPr>
        <w:t xml:space="preserve"> </w:t>
      </w:r>
      <w:r>
        <w:rPr>
          <w:rFonts w:eastAsia="Times New Roman"/>
          <w:lang w:val="hu-HU"/>
        </w:rPr>
        <w:t>mert a benne szereplő információkra a későbbiekben is szüksége lehet.</w:t>
      </w:r>
    </w:p>
    <w:p w14:paraId="3D79098D" w14:textId="1E6B3B98" w:rsidR="0037407E" w:rsidRDefault="0037407E" w:rsidP="0037407E">
      <w:pPr>
        <w:pStyle w:val="a3"/>
        <w:numPr>
          <w:ilvl w:val="0"/>
          <w:numId w:val="5"/>
        </w:numPr>
        <w:ind w:left="660" w:hanging="660"/>
        <w:rPr>
          <w:lang w:val="hu-HU"/>
        </w:rPr>
      </w:pPr>
      <w:r>
        <w:rPr>
          <w:rFonts w:eastAsia="Times New Roman"/>
          <w:lang w:val="hu-HU"/>
        </w:rPr>
        <w:t>Kezelőorvosától egy</w:t>
      </w:r>
      <w:r>
        <w:rPr>
          <w:rFonts w:eastAsia="Times New Roman"/>
          <w:b/>
          <w:bCs/>
          <w:lang w:val="hu-HU"/>
        </w:rPr>
        <w:t xml:space="preserve"> Betegkártyát </w:t>
      </w:r>
      <w:r>
        <w:rPr>
          <w:rFonts w:eastAsia="Times New Roman"/>
          <w:lang w:val="hu-HU"/>
        </w:rPr>
        <w:t xml:space="preserve">is fog kapni fontos biztonsági információkkal, amit a Yuflyma alkalmazása előtt és a Yuflyma-val történő kezelés során is figyelembe kell venni. </w:t>
      </w:r>
      <w:r w:rsidRPr="003664D3">
        <w:rPr>
          <w:color w:val="000000"/>
          <w:lang w:val="hu-HU"/>
        </w:rPr>
        <w:t xml:space="preserve">Tartsa magánál ezt a </w:t>
      </w:r>
      <w:r w:rsidRPr="003664D3">
        <w:rPr>
          <w:b/>
          <w:color w:val="000000"/>
          <w:lang w:val="hu-HU"/>
        </w:rPr>
        <w:t>Betegkártyát</w:t>
      </w:r>
      <w:r w:rsidRPr="003664D3">
        <w:rPr>
          <w:color w:val="000000"/>
          <w:lang w:val="hu-HU"/>
        </w:rPr>
        <w:t xml:space="preserve"> a kezelés ideje alatt és az Ön (vagy a gyermeke) utolsó </w:t>
      </w:r>
      <w:r w:rsidRPr="003664D3">
        <w:rPr>
          <w:rFonts w:eastAsia="Times New Roman"/>
          <w:lang w:val="hu-HU"/>
        </w:rPr>
        <w:t>Yuflyma</w:t>
      </w:r>
      <w:r w:rsidRPr="003664D3">
        <w:rPr>
          <w:color w:val="000000"/>
          <w:lang w:val="hu-HU"/>
        </w:rPr>
        <w:t xml:space="preserve"> injekciójától számított 4 hónapon keresztül. </w:t>
      </w:r>
    </w:p>
    <w:p w14:paraId="67703F03" w14:textId="77777777" w:rsidR="0037407E" w:rsidRDefault="0037407E" w:rsidP="0037407E">
      <w:pPr>
        <w:pStyle w:val="a3"/>
        <w:numPr>
          <w:ilvl w:val="0"/>
          <w:numId w:val="5"/>
        </w:numPr>
        <w:ind w:left="660" w:hanging="660"/>
        <w:rPr>
          <w:lang w:val="hu-HU"/>
        </w:rPr>
      </w:pPr>
      <w:r>
        <w:rPr>
          <w:rFonts w:eastAsia="Times New Roman"/>
          <w:lang w:val="hu-HU"/>
        </w:rPr>
        <w:t>További kérdéseivel forduljon kezelőorvosához vagy gyógyszerészéhez.</w:t>
      </w:r>
    </w:p>
    <w:p w14:paraId="582E394B" w14:textId="47E13F34" w:rsidR="0037407E" w:rsidRDefault="0037407E" w:rsidP="0037407E">
      <w:pPr>
        <w:pStyle w:val="a3"/>
        <w:numPr>
          <w:ilvl w:val="0"/>
          <w:numId w:val="5"/>
        </w:numPr>
        <w:ind w:left="660" w:hanging="660"/>
        <w:rPr>
          <w:lang w:val="hu-HU"/>
        </w:rPr>
      </w:pPr>
      <w:r>
        <w:rPr>
          <w:rFonts w:eastAsia="Times New Roman"/>
          <w:lang w:val="hu-HU"/>
        </w:rPr>
        <w:t>Ezt a gyógyszert az orvos kizárólag Önnek írta fel. Ne adja át a készítményt másnak,</w:t>
      </w:r>
      <w:r w:rsidR="005F5974">
        <w:rPr>
          <w:rFonts w:eastAsia="Times New Roman"/>
          <w:lang w:val="hu-HU"/>
        </w:rPr>
        <w:t xml:space="preserve"> </w:t>
      </w:r>
      <w:r>
        <w:rPr>
          <w:rFonts w:eastAsia="Times New Roman"/>
          <w:lang w:val="hu-HU"/>
        </w:rPr>
        <w:t>mert számára ártalmas lehet még abban az esetben is, ha a betegsége tünetei az Önéhez hasonlók.</w:t>
      </w:r>
    </w:p>
    <w:p w14:paraId="0058DEF9" w14:textId="77777777" w:rsidR="0037407E" w:rsidRDefault="0037407E" w:rsidP="0037407E">
      <w:pPr>
        <w:pStyle w:val="a3"/>
        <w:numPr>
          <w:ilvl w:val="0"/>
          <w:numId w:val="5"/>
        </w:numPr>
        <w:ind w:left="660" w:hanging="660"/>
        <w:rPr>
          <w:lang w:val="hu-HU"/>
        </w:rPr>
      </w:pPr>
      <w:r>
        <w:rPr>
          <w:rFonts w:eastAsia="Times New Roman"/>
          <w:lang w:val="hu-HU"/>
        </w:rPr>
        <w:t>Ha Önnél bármilyen mellékhatás jelentkezik, tájékoztassa kezelőorvosát, vagy gyógyszerészét. Ez a betegtájékoztatóban fel nem sorolt bármilyen lehetséges mellékhatásra is vonatkozik. Lásd 4. pont.</w:t>
      </w:r>
    </w:p>
    <w:p w14:paraId="6C6E9912" w14:textId="77777777" w:rsidR="0037407E" w:rsidRDefault="0037407E" w:rsidP="0037407E">
      <w:pPr>
        <w:pStyle w:val="a3"/>
        <w:rPr>
          <w:lang w:val="hu-HU"/>
        </w:rPr>
      </w:pPr>
    </w:p>
    <w:p w14:paraId="69F34498" w14:textId="77777777" w:rsidR="0037407E" w:rsidRDefault="0037407E" w:rsidP="0037407E">
      <w:pPr>
        <w:pStyle w:val="a3"/>
        <w:rPr>
          <w:b/>
          <w:lang w:val="hu-HU"/>
        </w:rPr>
      </w:pPr>
      <w:r>
        <w:rPr>
          <w:rFonts w:eastAsia="Times New Roman"/>
          <w:b/>
          <w:bCs/>
          <w:lang w:val="hu-HU"/>
        </w:rPr>
        <w:t>A betegtájékoztató tartalma</w:t>
      </w:r>
    </w:p>
    <w:p w14:paraId="349B6997" w14:textId="77777777" w:rsidR="0037407E" w:rsidRDefault="0037407E" w:rsidP="00FD05AA">
      <w:pPr>
        <w:pStyle w:val="a3"/>
        <w:numPr>
          <w:ilvl w:val="0"/>
          <w:numId w:val="65"/>
        </w:numPr>
        <w:ind w:hanging="760"/>
        <w:rPr>
          <w:lang w:val="hu-HU"/>
        </w:rPr>
      </w:pPr>
      <w:r>
        <w:rPr>
          <w:rFonts w:eastAsia="Times New Roman"/>
          <w:lang w:val="hu-HU"/>
        </w:rPr>
        <w:t>Milyen típusú gyógyszer a Yuflyma és milyen betegségek esetén alkalmazható?</w:t>
      </w:r>
    </w:p>
    <w:p w14:paraId="492E8EAF" w14:textId="77777777" w:rsidR="0037407E" w:rsidRDefault="0037407E" w:rsidP="00FD05AA">
      <w:pPr>
        <w:pStyle w:val="a3"/>
        <w:numPr>
          <w:ilvl w:val="0"/>
          <w:numId w:val="65"/>
        </w:numPr>
        <w:ind w:hanging="760"/>
        <w:rPr>
          <w:lang w:val="hu-HU"/>
        </w:rPr>
      </w:pPr>
      <w:r>
        <w:rPr>
          <w:rFonts w:eastAsia="Times New Roman"/>
          <w:lang w:val="hu-HU"/>
        </w:rPr>
        <w:t>Tudnivalók a Yuflyma alkalmazása előtt</w:t>
      </w:r>
    </w:p>
    <w:p w14:paraId="1A24BEB2" w14:textId="77777777" w:rsidR="0037407E" w:rsidRDefault="0037407E" w:rsidP="00FD05AA">
      <w:pPr>
        <w:pStyle w:val="a3"/>
        <w:numPr>
          <w:ilvl w:val="0"/>
          <w:numId w:val="65"/>
        </w:numPr>
        <w:ind w:hanging="760"/>
        <w:rPr>
          <w:lang w:val="hu-HU"/>
        </w:rPr>
      </w:pPr>
      <w:r>
        <w:rPr>
          <w:rFonts w:eastAsia="Times New Roman"/>
          <w:lang w:val="hu-HU"/>
        </w:rPr>
        <w:t>Hogyan kell alkalmazni a Yuflyma-t?</w:t>
      </w:r>
    </w:p>
    <w:p w14:paraId="0EB47474" w14:textId="77777777" w:rsidR="0037407E" w:rsidRDefault="0037407E" w:rsidP="00FD05AA">
      <w:pPr>
        <w:pStyle w:val="a3"/>
        <w:numPr>
          <w:ilvl w:val="0"/>
          <w:numId w:val="65"/>
        </w:numPr>
        <w:ind w:hanging="760"/>
        <w:rPr>
          <w:lang w:val="hu-HU"/>
        </w:rPr>
      </w:pPr>
      <w:r>
        <w:rPr>
          <w:rFonts w:eastAsia="Times New Roman"/>
          <w:lang w:val="hu-HU"/>
        </w:rPr>
        <w:t>Lehetséges mellékhatások</w:t>
      </w:r>
    </w:p>
    <w:p w14:paraId="3BE44C0D" w14:textId="77777777" w:rsidR="0037407E" w:rsidRDefault="0037407E" w:rsidP="00FD05AA">
      <w:pPr>
        <w:pStyle w:val="a3"/>
        <w:numPr>
          <w:ilvl w:val="0"/>
          <w:numId w:val="65"/>
        </w:numPr>
        <w:ind w:hanging="760"/>
        <w:rPr>
          <w:lang w:val="hu-HU"/>
        </w:rPr>
      </w:pPr>
      <w:r>
        <w:rPr>
          <w:rFonts w:eastAsia="Times New Roman"/>
          <w:lang w:val="hu-HU"/>
        </w:rPr>
        <w:t>Hogyan kell a Yuflyma-t tárolni?</w:t>
      </w:r>
    </w:p>
    <w:p w14:paraId="40465442" w14:textId="77777777" w:rsidR="0037407E" w:rsidRDefault="0037407E" w:rsidP="00FD05AA">
      <w:pPr>
        <w:pStyle w:val="a3"/>
        <w:numPr>
          <w:ilvl w:val="0"/>
          <w:numId w:val="65"/>
        </w:numPr>
        <w:ind w:hanging="760"/>
        <w:rPr>
          <w:lang w:val="hu-HU"/>
        </w:rPr>
      </w:pPr>
      <w:r>
        <w:rPr>
          <w:rFonts w:eastAsia="Times New Roman"/>
          <w:lang w:val="hu-HU"/>
        </w:rPr>
        <w:t>A csomagolás tartalma és egyéb információk</w:t>
      </w:r>
    </w:p>
    <w:p w14:paraId="651B3108" w14:textId="77777777" w:rsidR="0037407E" w:rsidRDefault="0037407E" w:rsidP="00FD05AA">
      <w:pPr>
        <w:pStyle w:val="a3"/>
        <w:numPr>
          <w:ilvl w:val="0"/>
          <w:numId w:val="65"/>
        </w:numPr>
        <w:ind w:hanging="760"/>
        <w:rPr>
          <w:lang w:val="hu-HU"/>
        </w:rPr>
      </w:pPr>
      <w:r>
        <w:rPr>
          <w:rFonts w:eastAsia="Times New Roman"/>
          <w:lang w:val="hu-HU"/>
        </w:rPr>
        <w:t>Használati utasítás</w:t>
      </w:r>
    </w:p>
    <w:p w14:paraId="5F34DD91" w14:textId="77777777" w:rsidR="0037407E" w:rsidRDefault="0037407E" w:rsidP="0037407E">
      <w:pPr>
        <w:spacing w:line="200" w:lineRule="exact"/>
        <w:rPr>
          <w:sz w:val="20"/>
          <w:szCs w:val="20"/>
          <w:lang w:val="hu-HU"/>
        </w:rPr>
      </w:pPr>
    </w:p>
    <w:p w14:paraId="0A24DF77" w14:textId="77777777" w:rsidR="0037407E" w:rsidRDefault="0037407E" w:rsidP="0037407E">
      <w:pPr>
        <w:spacing w:line="200" w:lineRule="exact"/>
        <w:rPr>
          <w:sz w:val="20"/>
          <w:szCs w:val="20"/>
          <w:lang w:val="hu-HU"/>
        </w:rPr>
      </w:pPr>
    </w:p>
    <w:p w14:paraId="439D9F43" w14:textId="77777777" w:rsidR="0037407E" w:rsidRDefault="0037407E" w:rsidP="00FD05AA">
      <w:pPr>
        <w:pStyle w:val="a4"/>
        <w:numPr>
          <w:ilvl w:val="0"/>
          <w:numId w:val="66"/>
        </w:numPr>
        <w:spacing w:line="240" w:lineRule="exact"/>
        <w:rPr>
          <w:rFonts w:ascii="Times New Roman" w:hAnsi="Times New Roman" w:cs="Times New Roman"/>
          <w:b/>
          <w:lang w:val="hu-HU"/>
        </w:rPr>
      </w:pPr>
      <w:r>
        <w:rPr>
          <w:rFonts w:ascii="Times New Roman" w:eastAsia="Times New Roman" w:hAnsi="Times New Roman" w:cs="Times New Roman"/>
          <w:b/>
          <w:bCs/>
          <w:lang w:val="hu-HU"/>
        </w:rPr>
        <w:t>Milyen típusú gyógyszer a Yuflyma és milyen betegségek esetén alkalmazható?</w:t>
      </w:r>
    </w:p>
    <w:p w14:paraId="10F3AEAD" w14:textId="77777777" w:rsidR="0037407E" w:rsidRDefault="0037407E" w:rsidP="0037407E">
      <w:pPr>
        <w:spacing w:line="240" w:lineRule="exact"/>
        <w:rPr>
          <w:rFonts w:ascii="Times New Roman" w:hAnsi="Times New Roman" w:cs="Times New Roman"/>
          <w:b/>
          <w:lang w:val="hu-HU"/>
        </w:rPr>
      </w:pPr>
    </w:p>
    <w:p w14:paraId="6F80D473" w14:textId="77777777" w:rsidR="0037407E" w:rsidRDefault="0037407E" w:rsidP="0037407E">
      <w:pPr>
        <w:pStyle w:val="a3"/>
        <w:rPr>
          <w:lang w:val="hu-HU"/>
        </w:rPr>
      </w:pPr>
      <w:r>
        <w:rPr>
          <w:rFonts w:eastAsia="Times New Roman"/>
          <w:lang w:val="hu-HU"/>
        </w:rPr>
        <w:t>A Yuflyma hatóanyaga az adalimumab, amely a szervezet immunrendszerére (védekező rendszerére) ható gyógyszer.</w:t>
      </w:r>
    </w:p>
    <w:p w14:paraId="3C63230F" w14:textId="77777777" w:rsidR="0037407E" w:rsidRDefault="0037407E" w:rsidP="0037407E">
      <w:pPr>
        <w:pStyle w:val="a3"/>
        <w:rPr>
          <w:lang w:val="hu-HU"/>
        </w:rPr>
      </w:pPr>
    </w:p>
    <w:p w14:paraId="4244C3DA" w14:textId="77777777" w:rsidR="0037407E" w:rsidRDefault="0037407E" w:rsidP="0037407E">
      <w:pPr>
        <w:pStyle w:val="a3"/>
        <w:rPr>
          <w:lang w:val="hu-HU"/>
        </w:rPr>
      </w:pPr>
      <w:r>
        <w:rPr>
          <w:rFonts w:eastAsia="Times New Roman"/>
          <w:lang w:val="hu-HU"/>
        </w:rPr>
        <w:t>A Yuflyma a következő gyulladásos betegségek kezelésére szolgál:</w:t>
      </w:r>
    </w:p>
    <w:p w14:paraId="631A4E05" w14:textId="77777777" w:rsidR="0037407E" w:rsidRDefault="0037407E" w:rsidP="0037407E">
      <w:pPr>
        <w:pStyle w:val="a3"/>
        <w:numPr>
          <w:ilvl w:val="0"/>
          <w:numId w:val="5"/>
        </w:numPr>
        <w:ind w:left="660" w:hanging="660"/>
        <w:rPr>
          <w:lang w:val="hu-HU"/>
        </w:rPr>
      </w:pPr>
      <w:r>
        <w:rPr>
          <w:rFonts w:eastAsia="Times New Roman"/>
          <w:lang w:val="hu-HU"/>
        </w:rPr>
        <w:t>Reumás ízületi gyulladás (reumatoid artritisz)</w:t>
      </w:r>
    </w:p>
    <w:p w14:paraId="1722F4AD" w14:textId="77777777" w:rsidR="0037407E" w:rsidRDefault="0037407E" w:rsidP="0037407E">
      <w:pPr>
        <w:pStyle w:val="a3"/>
        <w:numPr>
          <w:ilvl w:val="0"/>
          <w:numId w:val="5"/>
        </w:numPr>
        <w:ind w:left="660" w:hanging="660"/>
        <w:rPr>
          <w:lang w:val="hu-HU"/>
        </w:rPr>
      </w:pPr>
      <w:r>
        <w:rPr>
          <w:rFonts w:eastAsia="Times New Roman"/>
          <w:lang w:val="hu-HU"/>
        </w:rPr>
        <w:t>Plakkos pikkelysömör</w:t>
      </w:r>
    </w:p>
    <w:p w14:paraId="33115ED9" w14:textId="77777777" w:rsidR="0037407E" w:rsidRDefault="0037407E" w:rsidP="0037407E">
      <w:pPr>
        <w:pStyle w:val="a3"/>
        <w:numPr>
          <w:ilvl w:val="0"/>
          <w:numId w:val="5"/>
        </w:numPr>
        <w:ind w:left="660" w:hanging="660"/>
        <w:rPr>
          <w:lang w:val="hu-HU"/>
        </w:rPr>
      </w:pPr>
      <w:r>
        <w:rPr>
          <w:rFonts w:eastAsia="Times New Roman"/>
          <w:lang w:val="hu-HU"/>
        </w:rPr>
        <w:t>Gennyes verejtékmirigy-gyulladás (hidradenitisz szuppuratíva)</w:t>
      </w:r>
    </w:p>
    <w:p w14:paraId="3C70880B" w14:textId="77777777" w:rsidR="0037407E" w:rsidRDefault="0037407E" w:rsidP="0037407E">
      <w:pPr>
        <w:pStyle w:val="a3"/>
        <w:numPr>
          <w:ilvl w:val="0"/>
          <w:numId w:val="5"/>
        </w:numPr>
        <w:ind w:left="660" w:hanging="660"/>
        <w:rPr>
          <w:lang w:val="hu-HU"/>
        </w:rPr>
      </w:pPr>
      <w:r>
        <w:rPr>
          <w:rFonts w:eastAsia="Times New Roman"/>
          <w:lang w:val="hu-HU"/>
        </w:rPr>
        <w:t>A bélfal minden rétegére kiterjedő, nem fertőzéses eredetű gyulladás (Crohn-betegség)</w:t>
      </w:r>
    </w:p>
    <w:p w14:paraId="441FE656" w14:textId="77777777" w:rsidR="0037407E" w:rsidRDefault="0037407E" w:rsidP="0037407E">
      <w:pPr>
        <w:pStyle w:val="a3"/>
        <w:numPr>
          <w:ilvl w:val="0"/>
          <w:numId w:val="5"/>
        </w:numPr>
        <w:ind w:left="660" w:hanging="660"/>
        <w:rPr>
          <w:lang w:val="hu-HU"/>
        </w:rPr>
      </w:pPr>
      <w:r>
        <w:rPr>
          <w:rFonts w:eastAsia="Times New Roman"/>
          <w:lang w:val="hu-HU"/>
        </w:rPr>
        <w:t>Nem fertőzéses eredetű, kifekélyesedő vastagbélgyulladás (kolitisz ulceróza)</w:t>
      </w:r>
    </w:p>
    <w:p w14:paraId="16D45101" w14:textId="77777777" w:rsidR="0037407E" w:rsidRDefault="0037407E" w:rsidP="0037407E">
      <w:pPr>
        <w:pStyle w:val="a3"/>
        <w:numPr>
          <w:ilvl w:val="0"/>
          <w:numId w:val="5"/>
        </w:numPr>
        <w:ind w:left="660" w:hanging="660"/>
        <w:rPr>
          <w:lang w:val="hu-HU"/>
        </w:rPr>
      </w:pPr>
      <w:r>
        <w:rPr>
          <w:rFonts w:eastAsia="Times New Roman"/>
          <w:lang w:val="hu-HU"/>
        </w:rPr>
        <w:t>Nem fertőzéses eredetű szemgyulladás (uveitisz)</w:t>
      </w:r>
    </w:p>
    <w:p w14:paraId="6A344C15" w14:textId="77777777" w:rsidR="0037407E" w:rsidRDefault="0037407E" w:rsidP="0037407E">
      <w:pPr>
        <w:spacing w:before="10" w:line="240" w:lineRule="exact"/>
        <w:rPr>
          <w:sz w:val="24"/>
          <w:szCs w:val="24"/>
          <w:lang w:val="hu-HU"/>
        </w:rPr>
      </w:pPr>
    </w:p>
    <w:p w14:paraId="7357AEB9" w14:textId="77777777" w:rsidR="0037407E" w:rsidRDefault="0037407E" w:rsidP="0037407E">
      <w:pPr>
        <w:pStyle w:val="a3"/>
        <w:rPr>
          <w:lang w:val="hu-HU"/>
        </w:rPr>
      </w:pPr>
      <w:r>
        <w:rPr>
          <w:rFonts w:eastAsia="Times New Roman"/>
          <w:lang w:val="hu-HU"/>
        </w:rPr>
        <w:t>A Yuflyma hatóanyaga, az adalimumab egy emberi monoklonális antitest (ellenanyag). A monoklonális antitestek fehérjék, amelyek speciális célponthoz kötődnek a szervezetben.</w:t>
      </w:r>
    </w:p>
    <w:p w14:paraId="05D6DB08" w14:textId="77777777" w:rsidR="0037407E" w:rsidRDefault="0037407E" w:rsidP="0037407E">
      <w:pPr>
        <w:spacing w:before="16" w:line="240" w:lineRule="exact"/>
        <w:rPr>
          <w:sz w:val="24"/>
          <w:szCs w:val="24"/>
          <w:lang w:val="hu-HU"/>
        </w:rPr>
      </w:pPr>
    </w:p>
    <w:p w14:paraId="1E9D8412" w14:textId="77777777" w:rsidR="0037407E" w:rsidRDefault="0037407E" w:rsidP="0037407E">
      <w:pPr>
        <w:pStyle w:val="a3"/>
        <w:rPr>
          <w:lang w:val="hu-HU"/>
        </w:rPr>
      </w:pPr>
      <w:r>
        <w:rPr>
          <w:rFonts w:eastAsia="Times New Roman"/>
          <w:lang w:val="hu-HU"/>
        </w:rPr>
        <w:t xml:space="preserve">Az adalimumab célpontja a tumor nekrózis faktor (TNFα) nevű fehérje, mely az immun (védekező) rendszer működésében vesz részt, és a fent felsorolt gyulladásos betegségekben megnövekedett mennyiségben van jelen. A TNFα-hoz való kötődéssel a Yuflyma csökkenti </w:t>
      </w:r>
      <w:r>
        <w:rPr>
          <w:lang w:val="hu-HU"/>
        </w:rPr>
        <w:t>a gyulladást ezen betegségekben</w:t>
      </w:r>
      <w:r>
        <w:rPr>
          <w:rFonts w:eastAsia="Times New Roman"/>
          <w:lang w:val="hu-HU"/>
        </w:rPr>
        <w:t>.</w:t>
      </w:r>
    </w:p>
    <w:p w14:paraId="1BE068EE" w14:textId="77777777" w:rsidR="0037407E" w:rsidRDefault="0037407E" w:rsidP="0037407E">
      <w:pPr>
        <w:pStyle w:val="a3"/>
        <w:rPr>
          <w:lang w:val="hu-HU"/>
        </w:rPr>
      </w:pPr>
    </w:p>
    <w:p w14:paraId="0B262365" w14:textId="77777777" w:rsidR="0037407E" w:rsidRPr="00167BF3" w:rsidRDefault="0037407E" w:rsidP="0037407E">
      <w:pPr>
        <w:ind w:right="-2"/>
        <w:rPr>
          <w:rFonts w:ascii="Times New Roman" w:hAnsi="Times New Roman" w:cs="Times New Roman"/>
          <w:b/>
          <w:u w:val="single"/>
          <w:lang w:val="hu-HU"/>
        </w:rPr>
      </w:pPr>
      <w:r w:rsidRPr="00167BF3">
        <w:rPr>
          <w:rFonts w:ascii="Times New Roman" w:hAnsi="Times New Roman" w:cs="Times New Roman"/>
          <w:b/>
          <w:u w:val="single"/>
          <w:lang w:val="hu-HU"/>
        </w:rPr>
        <w:lastRenderedPageBreak/>
        <w:t>Reumatoid artritisz</w:t>
      </w:r>
    </w:p>
    <w:p w14:paraId="51287E41" w14:textId="77777777" w:rsidR="0037407E" w:rsidRDefault="0037407E" w:rsidP="0037407E">
      <w:pPr>
        <w:pStyle w:val="a3"/>
        <w:rPr>
          <w:u w:val="single"/>
          <w:lang w:val="hu-HU"/>
        </w:rPr>
      </w:pPr>
    </w:p>
    <w:p w14:paraId="19807608" w14:textId="77777777" w:rsidR="0037407E" w:rsidRDefault="0037407E" w:rsidP="0037407E">
      <w:pPr>
        <w:pStyle w:val="a3"/>
        <w:rPr>
          <w:lang w:val="hu-HU"/>
        </w:rPr>
      </w:pPr>
      <w:r>
        <w:rPr>
          <w:rFonts w:eastAsia="Times New Roman"/>
          <w:lang w:val="hu-HU"/>
        </w:rPr>
        <w:t>A reumatoid artritisz az ízületek gyulladásos betegsége.</w:t>
      </w:r>
    </w:p>
    <w:p w14:paraId="703CD264" w14:textId="77777777" w:rsidR="0037407E" w:rsidRDefault="0037407E" w:rsidP="0037407E">
      <w:pPr>
        <w:spacing w:before="11" w:line="240" w:lineRule="exact"/>
        <w:rPr>
          <w:sz w:val="24"/>
          <w:szCs w:val="24"/>
          <w:lang w:val="hu-HU"/>
        </w:rPr>
      </w:pPr>
    </w:p>
    <w:p w14:paraId="68603D16" w14:textId="77777777" w:rsidR="0037407E" w:rsidRDefault="0037407E" w:rsidP="0037407E">
      <w:pPr>
        <w:pStyle w:val="a3"/>
        <w:rPr>
          <w:lang w:val="hu-HU"/>
        </w:rPr>
      </w:pPr>
      <w:r>
        <w:rPr>
          <w:rFonts w:eastAsia="Times New Roman"/>
          <w:lang w:val="hu-HU"/>
        </w:rPr>
        <w:t xml:space="preserve">A Yuflyma közepesen súlyos - súlyos felnőttkori reumatoid arthritisz kezelésére alkalmazható.Ön először egyéb betegséget módosító gyógyszereket (például metotrexátot) kaphat. </w:t>
      </w:r>
      <w:r>
        <w:rPr>
          <w:lang w:val="hu-HU"/>
        </w:rPr>
        <w:t>Abban az esetben hanem reagál</w:t>
      </w:r>
      <w:r>
        <w:rPr>
          <w:rFonts w:eastAsia="Times New Roman"/>
          <w:lang w:val="hu-HU"/>
        </w:rPr>
        <w:t xml:space="preserve"> megfelelő módon ezekre a gyógyszerekre, akkor Yuflyma-t fog kapni.</w:t>
      </w:r>
    </w:p>
    <w:p w14:paraId="4F147173" w14:textId="77777777" w:rsidR="0037407E" w:rsidRDefault="0037407E" w:rsidP="0037407E">
      <w:pPr>
        <w:spacing w:before="17" w:line="240" w:lineRule="exact"/>
        <w:rPr>
          <w:sz w:val="24"/>
          <w:szCs w:val="24"/>
          <w:lang w:val="hu-HU"/>
        </w:rPr>
      </w:pPr>
    </w:p>
    <w:p w14:paraId="5E51174D" w14:textId="4EBEA5CF" w:rsidR="0037407E" w:rsidRDefault="0037407E" w:rsidP="0037407E">
      <w:pPr>
        <w:pStyle w:val="a3"/>
        <w:rPr>
          <w:lang w:val="hu-HU"/>
        </w:rPr>
      </w:pPr>
      <w:r>
        <w:rPr>
          <w:rFonts w:eastAsia="Times New Roman"/>
          <w:lang w:val="hu-HU"/>
        </w:rPr>
        <w:t>A Yuflyma</w:t>
      </w:r>
      <w:r w:rsidR="005F5974" w:rsidRPr="005F5974">
        <w:rPr>
          <w:rFonts w:eastAsia="Times New Roman"/>
          <w:lang w:val="hu-HU"/>
        </w:rPr>
        <w:t xml:space="preserve"> </w:t>
      </w:r>
      <w:r w:rsidR="005F5974" w:rsidRPr="00B81FCD">
        <w:rPr>
          <w:rFonts w:eastAsia="Times New Roman"/>
          <w:lang w:val="hu-HU"/>
        </w:rPr>
        <w:t>használható</w:t>
      </w:r>
      <w:r>
        <w:rPr>
          <w:rFonts w:eastAsia="Times New Roman"/>
          <w:lang w:val="hu-HU"/>
        </w:rPr>
        <w:t>-súlyos, aktív és súlyosbodó reumatoid artritiszben előzetes metotrexát-kezelés nélkül.</w:t>
      </w:r>
    </w:p>
    <w:p w14:paraId="67F7CC99" w14:textId="77777777" w:rsidR="0037407E" w:rsidRDefault="0037407E" w:rsidP="0037407E">
      <w:pPr>
        <w:spacing w:before="11" w:line="240" w:lineRule="exact"/>
        <w:rPr>
          <w:sz w:val="24"/>
          <w:szCs w:val="24"/>
          <w:lang w:val="hu-HU"/>
        </w:rPr>
      </w:pPr>
    </w:p>
    <w:p w14:paraId="2870EB71" w14:textId="77777777" w:rsidR="0037407E" w:rsidRDefault="0037407E" w:rsidP="0037407E">
      <w:pPr>
        <w:pStyle w:val="a3"/>
        <w:rPr>
          <w:lang w:val="hu-HU"/>
        </w:rPr>
      </w:pPr>
      <w:r>
        <w:rPr>
          <w:rFonts w:eastAsia="Times New Roman"/>
          <w:lang w:val="hu-HU"/>
        </w:rPr>
        <w:t>A Yuflyma lelassítja a gyulladásos betegség okozta ízületi károsodást és segíti a szabadabb mozgást.</w:t>
      </w:r>
    </w:p>
    <w:p w14:paraId="0F050A12" w14:textId="77777777" w:rsidR="0037407E" w:rsidRDefault="0037407E" w:rsidP="0037407E">
      <w:pPr>
        <w:spacing w:before="10" w:line="240" w:lineRule="exact"/>
        <w:rPr>
          <w:sz w:val="24"/>
          <w:szCs w:val="24"/>
          <w:lang w:val="hu-HU"/>
        </w:rPr>
      </w:pPr>
    </w:p>
    <w:p w14:paraId="4F601AF9" w14:textId="02EBD25D" w:rsidR="0037407E" w:rsidRDefault="0037407E" w:rsidP="0037407E">
      <w:pPr>
        <w:pStyle w:val="a3"/>
        <w:rPr>
          <w:lang w:val="hu-HU"/>
        </w:rPr>
      </w:pPr>
      <w:r>
        <w:rPr>
          <w:rFonts w:eastAsia="Times New Roman"/>
          <w:lang w:val="hu-HU"/>
        </w:rPr>
        <w:t>Az Ön kezelőorvosa fogja eldönteni, hogy a Yuflym</w:t>
      </w:r>
      <w:r w:rsidR="005F5974">
        <w:rPr>
          <w:rFonts w:eastAsia="Times New Roman"/>
          <w:lang w:val="hu-HU"/>
        </w:rPr>
        <w:t>á</w:t>
      </w:r>
      <w:r>
        <w:rPr>
          <w:rFonts w:eastAsia="Times New Roman"/>
          <w:lang w:val="hu-HU"/>
        </w:rPr>
        <w:t xml:space="preserve"> metotrexáttal együtt, vagy önmagában alkalmazza Önnél.</w:t>
      </w:r>
    </w:p>
    <w:p w14:paraId="34F79268" w14:textId="77777777" w:rsidR="0037407E" w:rsidRDefault="0037407E" w:rsidP="0037407E">
      <w:pPr>
        <w:spacing w:before="18" w:line="240" w:lineRule="exact"/>
        <w:rPr>
          <w:sz w:val="24"/>
          <w:szCs w:val="24"/>
          <w:lang w:val="hu-HU"/>
        </w:rPr>
      </w:pPr>
    </w:p>
    <w:p w14:paraId="68E51472" w14:textId="77777777" w:rsidR="0037407E" w:rsidRDefault="0037407E" w:rsidP="0037407E">
      <w:pPr>
        <w:pStyle w:val="a3"/>
        <w:rPr>
          <w:b/>
          <w:lang w:val="hu-HU"/>
        </w:rPr>
      </w:pPr>
      <w:r>
        <w:rPr>
          <w:rFonts w:eastAsia="Times New Roman"/>
          <w:b/>
          <w:bCs/>
          <w:lang w:val="hu-HU"/>
        </w:rPr>
        <w:t>Plakkos pikkelysömör</w:t>
      </w:r>
    </w:p>
    <w:p w14:paraId="374E39C6" w14:textId="77777777" w:rsidR="0037407E" w:rsidRDefault="0037407E" w:rsidP="0037407E">
      <w:pPr>
        <w:spacing w:before="9" w:line="240" w:lineRule="exact"/>
        <w:rPr>
          <w:sz w:val="24"/>
          <w:szCs w:val="24"/>
          <w:lang w:val="hu-HU"/>
        </w:rPr>
      </w:pPr>
    </w:p>
    <w:p w14:paraId="4F0B2B08" w14:textId="77777777" w:rsidR="0037407E" w:rsidRDefault="0037407E" w:rsidP="0037407E">
      <w:pPr>
        <w:pStyle w:val="a3"/>
        <w:rPr>
          <w:lang w:val="hu-HU"/>
        </w:rPr>
      </w:pPr>
      <w:r>
        <w:rPr>
          <w:rFonts w:eastAsia="Times New Roman"/>
          <w:lang w:val="hu-HU"/>
        </w:rPr>
        <w:t>A plakkos pszoriázis egy gyulladásos bőrbetegség, amely ezüstös pikkelyekkel borított piros, hámló, kérges foltokat okoz a bőrön. A plakkos pszoriázis a körmöket is érintheti, a köröm töredezését, megvastagodását, a körömágytól való elválását okozva, ami fájdalmas lehet.</w:t>
      </w:r>
    </w:p>
    <w:p w14:paraId="7A7EC465" w14:textId="77777777" w:rsidR="0037407E" w:rsidRDefault="0037407E" w:rsidP="0037407E">
      <w:pPr>
        <w:spacing w:before="13" w:line="240" w:lineRule="exact"/>
        <w:rPr>
          <w:sz w:val="24"/>
          <w:szCs w:val="24"/>
          <w:lang w:val="hu-HU"/>
        </w:rPr>
      </w:pPr>
    </w:p>
    <w:p w14:paraId="4B3670CB" w14:textId="5F8BA7ED" w:rsidR="0037407E" w:rsidRPr="00CE42DC" w:rsidRDefault="0037407E" w:rsidP="00CE42DC">
      <w:pPr>
        <w:pStyle w:val="a3"/>
        <w:rPr>
          <w:lang w:val="hu-HU"/>
        </w:rPr>
      </w:pPr>
      <w:r>
        <w:rPr>
          <w:rFonts w:eastAsia="Times New Roman"/>
          <w:lang w:val="hu-HU"/>
        </w:rPr>
        <w:t>A Yuflyma alkalmazható</w:t>
      </w:r>
      <w:r w:rsidR="005656A4">
        <w:rPr>
          <w:rFonts w:hint="eastAsia"/>
          <w:lang w:val="hu-HU" w:eastAsia="ko-KR"/>
        </w:rPr>
        <w:t xml:space="preserve"> </w:t>
      </w:r>
      <w:r>
        <w:rPr>
          <w:rFonts w:eastAsia="Times New Roman"/>
          <w:lang w:val="hu-HU"/>
        </w:rPr>
        <w:t>a közepesen súlyos vagy súlyos felnőttkori krónikus plakkos pszoriázis kezelésére</w:t>
      </w:r>
      <w:r w:rsidR="005656A4">
        <w:rPr>
          <w:rFonts w:eastAsia="Times New Roman"/>
          <w:lang w:val="hu-HU"/>
        </w:rPr>
        <w:t>.</w:t>
      </w:r>
    </w:p>
    <w:p w14:paraId="0291EF4C" w14:textId="77777777" w:rsidR="0037407E" w:rsidRDefault="0037407E" w:rsidP="0037407E">
      <w:pPr>
        <w:spacing w:before="15" w:line="240" w:lineRule="exact"/>
        <w:rPr>
          <w:sz w:val="24"/>
          <w:szCs w:val="24"/>
          <w:lang w:val="hu-HU"/>
        </w:rPr>
      </w:pPr>
    </w:p>
    <w:p w14:paraId="3395D807" w14:textId="77777777" w:rsidR="0037407E" w:rsidRDefault="0037407E" w:rsidP="0037407E">
      <w:pPr>
        <w:spacing w:before="9" w:line="240" w:lineRule="exact"/>
        <w:rPr>
          <w:rFonts w:ascii="Times New Roman" w:eastAsia="TimesNewRomanPSMT" w:hAnsi="Times New Roman" w:cs="Times New Roman"/>
          <w:b/>
          <w:lang w:val="hu-HU"/>
        </w:rPr>
      </w:pPr>
      <w:r w:rsidRPr="00DA48CC">
        <w:rPr>
          <w:rFonts w:ascii="Times New Roman" w:eastAsia="TimesNewRomanPSMT" w:hAnsi="Times New Roman" w:cs="Times New Roman"/>
          <w:b/>
          <w:lang w:val="hu-HU"/>
        </w:rPr>
        <w:t>Hidradenitisz szuppurativa</w:t>
      </w:r>
    </w:p>
    <w:p w14:paraId="168D5ED6" w14:textId="77777777" w:rsidR="0037407E" w:rsidRDefault="0037407E" w:rsidP="0037407E">
      <w:pPr>
        <w:spacing w:before="9" w:line="240" w:lineRule="exact"/>
        <w:rPr>
          <w:sz w:val="24"/>
          <w:szCs w:val="24"/>
          <w:lang w:val="hu-HU"/>
        </w:rPr>
      </w:pPr>
    </w:p>
    <w:p w14:paraId="487BFD80" w14:textId="12D9F829" w:rsidR="0037407E" w:rsidRDefault="0037407E" w:rsidP="0037407E">
      <w:pPr>
        <w:pStyle w:val="a3"/>
        <w:rPr>
          <w:lang w:val="hu-HU"/>
        </w:rPr>
      </w:pPr>
      <w:r>
        <w:rPr>
          <w:rFonts w:eastAsia="Times New Roman"/>
          <w:lang w:val="hu-HU"/>
        </w:rPr>
        <w:t xml:space="preserve">A hidradenitisz szuppuratíva (más néven fordított akne) egy hosszú lefolyású és gyakran fájdalmas, gyulladásos bőrbetegség. A tünetek közé tartozhatnak a bőr alatti gócok (csomók) és tályogok (kelések), melyekből genny szivároghat. Ez leggyakrabban a bőr bizonyos területein jelenik meg, például </w:t>
      </w:r>
      <w:r>
        <w:fldChar w:fldCharType="begin"/>
      </w:r>
      <w:r w:rsidRPr="00BE4D18">
        <w:rPr>
          <w:lang w:val="hu-HU"/>
        </w:rPr>
        <w:instrText>HYPERLINK "http://en.wikipedia.org/wiki/Inframammary_fold"</w:instrText>
      </w:r>
      <w:r>
        <w:fldChar w:fldCharType="separate"/>
      </w:r>
      <w:r>
        <w:rPr>
          <w:rFonts w:eastAsia="Times New Roman"/>
          <w:lang w:val="hu-HU"/>
        </w:rPr>
        <w:t xml:space="preserve">a mellek alatt, </w:t>
      </w:r>
      <w:r>
        <w:fldChar w:fldCharType="end"/>
      </w:r>
      <w:r>
        <w:rPr>
          <w:rFonts w:eastAsia="Times New Roman"/>
          <w:lang w:val="hu-HU"/>
        </w:rPr>
        <w:t>hónaljban, a combok belső felszínén, lágyékon és fenéken. Hegesedés is előfordulhat az érintett területeken.</w:t>
      </w:r>
    </w:p>
    <w:p w14:paraId="57B8F575" w14:textId="77777777" w:rsidR="0037407E" w:rsidRDefault="0037407E" w:rsidP="0037407E">
      <w:pPr>
        <w:spacing w:before="13" w:line="240" w:lineRule="exact"/>
        <w:rPr>
          <w:sz w:val="24"/>
          <w:szCs w:val="24"/>
          <w:lang w:val="hu-HU"/>
        </w:rPr>
      </w:pPr>
    </w:p>
    <w:p w14:paraId="6DAD8129" w14:textId="77777777" w:rsidR="0037407E" w:rsidRDefault="0037407E" w:rsidP="0037407E">
      <w:pPr>
        <w:pStyle w:val="a3"/>
        <w:rPr>
          <w:lang w:val="hu-HU"/>
        </w:rPr>
      </w:pPr>
      <w:r>
        <w:rPr>
          <w:rFonts w:eastAsia="Times New Roman"/>
          <w:lang w:val="hu-HU"/>
        </w:rPr>
        <w:t>A Yuflyma alkalmazható</w:t>
      </w:r>
    </w:p>
    <w:p w14:paraId="3441052C" w14:textId="77777777" w:rsidR="0037407E" w:rsidRDefault="0037407E" w:rsidP="0037407E">
      <w:pPr>
        <w:pStyle w:val="a3"/>
        <w:numPr>
          <w:ilvl w:val="1"/>
          <w:numId w:val="4"/>
        </w:numPr>
        <w:ind w:left="660" w:hanging="660"/>
        <w:rPr>
          <w:lang w:val="hu-HU"/>
        </w:rPr>
      </w:pPr>
      <w:r>
        <w:rPr>
          <w:rFonts w:eastAsia="Times New Roman"/>
          <w:lang w:val="hu-HU"/>
        </w:rPr>
        <w:t>közepesen súlyos – súlyos hidradenitisz szuppurativában szenvedő felnőttek</w:t>
      </w:r>
    </w:p>
    <w:p w14:paraId="3D702574" w14:textId="4F11EA60" w:rsidR="0037407E" w:rsidRPr="004B23C8" w:rsidRDefault="0037407E" w:rsidP="0037407E">
      <w:pPr>
        <w:pStyle w:val="a3"/>
        <w:numPr>
          <w:ilvl w:val="1"/>
          <w:numId w:val="4"/>
        </w:numPr>
        <w:ind w:left="660" w:hanging="660"/>
        <w:rPr>
          <w:color w:val="000000" w:themeColor="text1"/>
          <w:lang w:val="hu-HU"/>
        </w:rPr>
      </w:pPr>
      <w:r>
        <w:rPr>
          <w:rFonts w:eastAsia="Times New Roman"/>
          <w:lang w:val="hu-HU"/>
        </w:rPr>
        <w:t xml:space="preserve">közepesen súlyos – súlyos hidradenitisz szuppurativában szenvedő </w:t>
      </w:r>
      <w:r w:rsidRPr="004B23C8">
        <w:rPr>
          <w:rFonts w:eastAsia="Times New Roman"/>
          <w:color w:val="000000" w:themeColor="text1"/>
          <w:lang w:val="hu-HU"/>
        </w:rPr>
        <w:t xml:space="preserve">serdülők (12-től betöltött </w:t>
      </w:r>
      <w:r w:rsidR="00AE0D26">
        <w:rPr>
          <w:rFonts w:eastAsia="Times New Roman"/>
          <w:color w:val="000000" w:themeColor="text1"/>
          <w:lang w:val="hu-HU"/>
        </w:rPr>
        <w:t>1</w:t>
      </w:r>
      <w:r w:rsidR="005D4167">
        <w:rPr>
          <w:rFonts w:eastAsia="Times New Roman"/>
          <w:color w:val="000000" w:themeColor="text1"/>
          <w:lang w:val="hu-HU"/>
        </w:rPr>
        <w:t>8</w:t>
      </w:r>
      <w:r w:rsidRPr="004B23C8">
        <w:rPr>
          <w:rFonts w:eastAsia="Times New Roman"/>
          <w:color w:val="000000" w:themeColor="text1"/>
          <w:lang w:val="hu-HU"/>
        </w:rPr>
        <w:t xml:space="preserve"> éves korig) kezelésére.</w:t>
      </w:r>
    </w:p>
    <w:p w14:paraId="12599D06" w14:textId="77777777" w:rsidR="0037407E" w:rsidRPr="004B23C8" w:rsidRDefault="0037407E" w:rsidP="0037407E">
      <w:pPr>
        <w:spacing w:before="10" w:line="240" w:lineRule="exact"/>
        <w:rPr>
          <w:color w:val="000000" w:themeColor="text1"/>
          <w:sz w:val="24"/>
          <w:szCs w:val="24"/>
          <w:lang w:val="hu-HU"/>
        </w:rPr>
      </w:pPr>
    </w:p>
    <w:p w14:paraId="12E9A668" w14:textId="77777777" w:rsidR="0037407E" w:rsidRPr="004B23C8" w:rsidRDefault="0037407E" w:rsidP="0037407E">
      <w:pPr>
        <w:pStyle w:val="a3"/>
        <w:rPr>
          <w:color w:val="000000" w:themeColor="text1"/>
          <w:lang w:val="hu-HU"/>
        </w:rPr>
      </w:pPr>
      <w:r w:rsidRPr="004B23C8">
        <w:rPr>
          <w:rFonts w:eastAsia="Times New Roman"/>
          <w:color w:val="000000" w:themeColor="text1"/>
          <w:lang w:val="hu-HU"/>
        </w:rPr>
        <w:t>Yuflyma csökkenti a csomók és tályogok számát és enyhítheti a fájdalmat, ami gyakran jár együtt a betegséggel. Először más gyógyszerekekkel kezelhetik.Ha nem reagál megfelelő módon ezekre a gyógyszerekre, akkor Yuflymá-t fog kapni.</w:t>
      </w:r>
    </w:p>
    <w:p w14:paraId="28A1923D" w14:textId="77777777" w:rsidR="0037407E" w:rsidRPr="004B23C8" w:rsidRDefault="0037407E" w:rsidP="0037407E">
      <w:pPr>
        <w:spacing w:before="18" w:line="240" w:lineRule="exact"/>
        <w:rPr>
          <w:color w:val="000000" w:themeColor="text1"/>
          <w:sz w:val="24"/>
          <w:szCs w:val="24"/>
          <w:lang w:val="hu-HU"/>
        </w:rPr>
      </w:pPr>
    </w:p>
    <w:p w14:paraId="5973F950" w14:textId="77777777" w:rsidR="0037407E" w:rsidRPr="004B23C8" w:rsidRDefault="0037407E" w:rsidP="0037407E">
      <w:pPr>
        <w:pStyle w:val="a3"/>
        <w:rPr>
          <w:b/>
          <w:color w:val="000000" w:themeColor="text1"/>
          <w:lang w:val="hu-HU"/>
        </w:rPr>
      </w:pPr>
      <w:r w:rsidRPr="004B23C8">
        <w:rPr>
          <w:rFonts w:eastAsia="Times New Roman"/>
          <w:b/>
          <w:bCs/>
          <w:color w:val="000000" w:themeColor="text1"/>
          <w:lang w:val="hu-HU"/>
        </w:rPr>
        <w:t>Crohn-betegség</w:t>
      </w:r>
    </w:p>
    <w:p w14:paraId="51305305" w14:textId="77777777" w:rsidR="0037407E" w:rsidRPr="004B23C8" w:rsidRDefault="0037407E" w:rsidP="0037407E">
      <w:pPr>
        <w:pStyle w:val="a3"/>
        <w:rPr>
          <w:color w:val="000000" w:themeColor="text1"/>
          <w:u w:val="single"/>
          <w:lang w:val="hu-HU"/>
        </w:rPr>
      </w:pPr>
    </w:p>
    <w:p w14:paraId="45EDC24E" w14:textId="0F9BDE20" w:rsidR="0037407E" w:rsidRPr="004B23C8" w:rsidRDefault="0037407E" w:rsidP="0037407E">
      <w:pPr>
        <w:pStyle w:val="a3"/>
        <w:rPr>
          <w:color w:val="000000" w:themeColor="text1"/>
          <w:lang w:val="hu-HU"/>
        </w:rPr>
      </w:pPr>
      <w:r w:rsidRPr="004B23C8">
        <w:rPr>
          <w:rFonts w:eastAsia="Times New Roman"/>
          <w:color w:val="000000" w:themeColor="text1"/>
          <w:lang w:val="hu-HU"/>
        </w:rPr>
        <w:t xml:space="preserve">A Crohn- betegség </w:t>
      </w:r>
      <w:r w:rsidR="005F5974">
        <w:rPr>
          <w:rFonts w:eastAsia="Times New Roman"/>
          <w:color w:val="000000" w:themeColor="text1"/>
          <w:lang w:val="hu-HU"/>
        </w:rPr>
        <w:t>a</w:t>
      </w:r>
      <w:r w:rsidR="005F5974" w:rsidRPr="004B23C8">
        <w:rPr>
          <w:rFonts w:eastAsia="Times New Roman"/>
          <w:color w:val="000000" w:themeColor="text1"/>
          <w:lang w:val="hu-HU"/>
        </w:rPr>
        <w:t xml:space="preserve"> </w:t>
      </w:r>
      <w:r w:rsidRPr="004B23C8">
        <w:rPr>
          <w:rFonts w:eastAsia="Times New Roman"/>
          <w:color w:val="000000" w:themeColor="text1"/>
          <w:lang w:val="hu-HU"/>
        </w:rPr>
        <w:t>az</w:t>
      </w:r>
      <w:r w:rsidRPr="004B23C8">
        <w:rPr>
          <w:color w:val="000000" w:themeColor="text1"/>
          <w:lang w:val="hu-HU"/>
        </w:rPr>
        <w:t xml:space="preserve"> vékonybél gyulladásos betegsége</w:t>
      </w:r>
      <w:r w:rsidRPr="004B23C8">
        <w:rPr>
          <w:rFonts w:eastAsia="Times New Roman"/>
          <w:color w:val="000000" w:themeColor="text1"/>
          <w:lang w:val="hu-HU"/>
        </w:rPr>
        <w:t>. A Yuflyma alkalmazható</w:t>
      </w:r>
    </w:p>
    <w:p w14:paraId="4D43FBDC" w14:textId="77777777" w:rsidR="0037407E" w:rsidRPr="004B23C8" w:rsidRDefault="0037407E" w:rsidP="0037407E">
      <w:pPr>
        <w:pStyle w:val="a3"/>
        <w:numPr>
          <w:ilvl w:val="1"/>
          <w:numId w:val="4"/>
        </w:numPr>
        <w:ind w:left="660" w:hanging="660"/>
        <w:rPr>
          <w:color w:val="000000" w:themeColor="text1"/>
          <w:lang w:val="hu-HU"/>
        </w:rPr>
      </w:pPr>
      <w:r w:rsidRPr="004B23C8">
        <w:rPr>
          <w:rFonts w:eastAsia="Times New Roman"/>
          <w:color w:val="000000" w:themeColor="text1"/>
          <w:lang w:val="hu-HU"/>
        </w:rPr>
        <w:t>közepesen súlyos – súlyos Crohn-betegségben szenvedő felnőttek és</w:t>
      </w:r>
    </w:p>
    <w:p w14:paraId="4421F260" w14:textId="77777777" w:rsidR="0037407E" w:rsidRPr="004B23C8" w:rsidRDefault="0037407E" w:rsidP="0037407E">
      <w:pPr>
        <w:pStyle w:val="a3"/>
        <w:numPr>
          <w:ilvl w:val="1"/>
          <w:numId w:val="4"/>
        </w:numPr>
        <w:ind w:left="660" w:hanging="660"/>
        <w:rPr>
          <w:color w:val="000000" w:themeColor="text1"/>
          <w:lang w:val="hu-HU"/>
        </w:rPr>
      </w:pPr>
      <w:r w:rsidRPr="004B23C8">
        <w:rPr>
          <w:rFonts w:eastAsia="Times New Roman"/>
          <w:color w:val="000000" w:themeColor="text1"/>
          <w:lang w:val="hu-HU"/>
        </w:rPr>
        <w:t>közepesen súlyos – súlyos Crohn-betegségben szenvedő serdülők ( 6-tól betöltött 18 éves korig).</w:t>
      </w:r>
    </w:p>
    <w:p w14:paraId="655C2357" w14:textId="77777777" w:rsidR="0037407E" w:rsidRPr="004B23C8" w:rsidRDefault="0037407E" w:rsidP="0037407E">
      <w:pPr>
        <w:spacing w:before="16" w:line="240" w:lineRule="exact"/>
        <w:rPr>
          <w:color w:val="000000" w:themeColor="text1"/>
          <w:sz w:val="24"/>
          <w:szCs w:val="24"/>
          <w:lang w:val="hu-HU"/>
        </w:rPr>
      </w:pPr>
    </w:p>
    <w:p w14:paraId="1AC4B1F9" w14:textId="77777777" w:rsidR="0037407E" w:rsidRDefault="0037407E" w:rsidP="0037407E">
      <w:pPr>
        <w:pStyle w:val="a3"/>
        <w:rPr>
          <w:lang w:val="hu-HU"/>
        </w:rPr>
      </w:pPr>
      <w:r>
        <w:rPr>
          <w:rFonts w:eastAsia="Times New Roman"/>
          <w:lang w:val="hu-HU"/>
        </w:rPr>
        <w:t>Ön először más gyógyszereket kaphat. Ha nem reagál megfelelő módon ezekre a gyógyszerekre, akkor Yuflymá-t fog kapni.</w:t>
      </w:r>
    </w:p>
    <w:p w14:paraId="06EC707B" w14:textId="77777777" w:rsidR="0037407E" w:rsidRDefault="0037407E" w:rsidP="0037407E">
      <w:pPr>
        <w:spacing w:before="15" w:line="240" w:lineRule="exact"/>
        <w:rPr>
          <w:sz w:val="24"/>
          <w:szCs w:val="24"/>
          <w:lang w:val="hu-HU"/>
        </w:rPr>
      </w:pPr>
    </w:p>
    <w:p w14:paraId="37A3DC0D" w14:textId="77777777" w:rsidR="0037407E" w:rsidRPr="0002589E" w:rsidRDefault="0037407E" w:rsidP="0037407E">
      <w:pPr>
        <w:pStyle w:val="a3"/>
        <w:rPr>
          <w:b/>
          <w:lang w:val="hu-HU"/>
        </w:rPr>
      </w:pPr>
      <w:r w:rsidRPr="009167C6">
        <w:rPr>
          <w:b/>
          <w:lang w:val="hu-HU"/>
        </w:rPr>
        <w:t>Kolitisz ulceróza</w:t>
      </w:r>
      <w:r w:rsidRPr="0002589E" w:rsidDel="00BB4C3C">
        <w:rPr>
          <w:rFonts w:eastAsia="Times New Roman"/>
          <w:b/>
          <w:bCs/>
          <w:lang w:val="hu-HU"/>
        </w:rPr>
        <w:t xml:space="preserve"> </w:t>
      </w:r>
    </w:p>
    <w:p w14:paraId="243DAF7F" w14:textId="77777777" w:rsidR="0037407E" w:rsidRDefault="0037407E" w:rsidP="0037407E">
      <w:pPr>
        <w:pStyle w:val="a3"/>
        <w:rPr>
          <w:b/>
          <w:lang w:val="hu-HU"/>
        </w:rPr>
      </w:pPr>
    </w:p>
    <w:p w14:paraId="6D826DA1" w14:textId="77777777" w:rsidR="0037407E" w:rsidRDefault="0037407E" w:rsidP="0037407E">
      <w:pPr>
        <w:pStyle w:val="a3"/>
        <w:rPr>
          <w:lang w:val="hu-HU"/>
        </w:rPr>
      </w:pPr>
      <w:r>
        <w:rPr>
          <w:rFonts w:eastAsia="Times New Roman"/>
          <w:lang w:val="hu-HU"/>
        </w:rPr>
        <w:t xml:space="preserve">A </w:t>
      </w:r>
      <w:r w:rsidRPr="00167BF3">
        <w:rPr>
          <w:lang w:val="hu-HU"/>
        </w:rPr>
        <w:t xml:space="preserve">kolitisz ulceróza </w:t>
      </w:r>
      <w:r>
        <w:rPr>
          <w:rFonts w:eastAsia="Times New Roman"/>
          <w:lang w:val="hu-HU"/>
        </w:rPr>
        <w:t>a vastagbél gyulladásos betegsége.</w:t>
      </w:r>
    </w:p>
    <w:p w14:paraId="3FB4B92B" w14:textId="77777777" w:rsidR="0037407E" w:rsidRDefault="0037407E" w:rsidP="0037407E">
      <w:pPr>
        <w:keepNext/>
        <w:autoSpaceDE w:val="0"/>
        <w:autoSpaceDN w:val="0"/>
        <w:adjustRightInd w:val="0"/>
        <w:rPr>
          <w:rFonts w:eastAsia="Times New Roman"/>
          <w:lang w:val="hu-HU"/>
        </w:rPr>
      </w:pPr>
    </w:p>
    <w:p w14:paraId="13306DE2" w14:textId="77777777" w:rsidR="0037407E" w:rsidRPr="00EF09AD" w:rsidRDefault="0037407E" w:rsidP="0037407E">
      <w:pPr>
        <w:keepNext/>
        <w:autoSpaceDE w:val="0"/>
        <w:autoSpaceDN w:val="0"/>
        <w:adjustRightInd w:val="0"/>
        <w:rPr>
          <w:rFonts w:ascii="Times New Roman" w:eastAsia="바탕" w:hAnsi="Times New Roman" w:cs="Times New Roman"/>
          <w:bCs/>
          <w:lang w:val="hu-HU" w:eastAsia="hu-HU"/>
        </w:rPr>
      </w:pPr>
      <w:r w:rsidRPr="00EF09AD">
        <w:rPr>
          <w:rFonts w:ascii="Times New Roman" w:eastAsia="바탕" w:hAnsi="Times New Roman" w:cs="Times New Roman"/>
          <w:bCs/>
          <w:lang w:val="hu-HU" w:eastAsia="hu-HU"/>
        </w:rPr>
        <w:t xml:space="preserve">A </w:t>
      </w:r>
      <w:r>
        <w:rPr>
          <w:rFonts w:ascii="Times New Roman" w:eastAsia="바탕" w:hAnsi="Times New Roman" w:cs="Times New Roman"/>
          <w:bCs/>
          <w:lang w:val="hu-HU" w:eastAsia="hu-HU"/>
        </w:rPr>
        <w:t>Yuflyma</w:t>
      </w:r>
      <w:r w:rsidRPr="00EF09AD">
        <w:rPr>
          <w:rFonts w:ascii="Times New Roman" w:eastAsia="바탕" w:hAnsi="Times New Roman" w:cs="Times New Roman"/>
          <w:bCs/>
          <w:lang w:val="hu-HU" w:eastAsia="hu-HU"/>
        </w:rPr>
        <w:t xml:space="preserve"> alkalmazható</w:t>
      </w:r>
    </w:p>
    <w:p w14:paraId="43F4209D" w14:textId="77777777" w:rsidR="0037407E" w:rsidRPr="00EF09AD" w:rsidRDefault="0037407E" w:rsidP="00FD05AA">
      <w:pPr>
        <w:keepNext/>
        <w:widowControl/>
        <w:numPr>
          <w:ilvl w:val="0"/>
          <w:numId w:val="51"/>
        </w:numPr>
        <w:suppressAutoHyphens/>
        <w:autoSpaceDE w:val="0"/>
        <w:autoSpaceDN w:val="0"/>
        <w:adjustRightInd w:val="0"/>
        <w:spacing w:line="260" w:lineRule="exact"/>
        <w:rPr>
          <w:rFonts w:ascii="Times New Roman" w:eastAsia="바탕" w:hAnsi="Times New Roman" w:cs="Times New Roman"/>
          <w:lang w:val="hu-HU" w:eastAsia="hu-HU"/>
        </w:rPr>
      </w:pPr>
      <w:r w:rsidRPr="00EF09AD">
        <w:rPr>
          <w:rFonts w:ascii="Times New Roman" w:eastAsia="바탕" w:hAnsi="Times New Roman" w:cs="Times New Roman"/>
          <w:bCs/>
          <w:lang w:val="hu-HU" w:eastAsia="hu-HU"/>
        </w:rPr>
        <w:t>közepesen súlyos</w:t>
      </w:r>
      <w:r w:rsidRPr="00EF09AD">
        <w:rPr>
          <w:rFonts w:ascii="Times New Roman" w:eastAsia="바탕" w:hAnsi="Times New Roman" w:cs="Times New Roman"/>
          <w:bCs/>
          <w:lang w:val="hu-HU" w:eastAsia="hu-HU"/>
        </w:rPr>
        <w:noBreakHyphen/>
        <w:t>súlyos felnőttkori kolitisz ulceróza kezelésére és</w:t>
      </w:r>
    </w:p>
    <w:p w14:paraId="0793F2A4" w14:textId="77777777" w:rsidR="0037407E" w:rsidRPr="00EF09AD" w:rsidRDefault="0037407E" w:rsidP="00FD05AA">
      <w:pPr>
        <w:keepNext/>
        <w:widowControl/>
        <w:numPr>
          <w:ilvl w:val="0"/>
          <w:numId w:val="51"/>
        </w:numPr>
        <w:suppressAutoHyphens/>
        <w:autoSpaceDE w:val="0"/>
        <w:autoSpaceDN w:val="0"/>
        <w:adjustRightInd w:val="0"/>
        <w:spacing w:line="260" w:lineRule="exact"/>
        <w:rPr>
          <w:rFonts w:ascii="Times New Roman" w:eastAsia="바탕" w:hAnsi="Times New Roman" w:cs="Times New Roman"/>
          <w:bCs/>
          <w:lang w:val="hu-HU" w:eastAsia="hu-HU"/>
        </w:rPr>
      </w:pPr>
      <w:r w:rsidRPr="00EF09AD">
        <w:rPr>
          <w:rFonts w:ascii="Times New Roman" w:eastAsia="바탕" w:hAnsi="Times New Roman" w:cs="Times New Roman"/>
          <w:bCs/>
          <w:lang w:val="hu-HU" w:eastAsia="hu-HU"/>
        </w:rPr>
        <w:t>közepesen súlyos</w:t>
      </w:r>
      <w:r w:rsidRPr="00EF09AD">
        <w:rPr>
          <w:rFonts w:ascii="Times New Roman" w:eastAsia="바탕" w:hAnsi="Times New Roman" w:cs="Times New Roman"/>
          <w:bCs/>
          <w:lang w:val="hu-HU" w:eastAsia="hu-HU"/>
        </w:rPr>
        <w:noBreakHyphen/>
        <w:t>súlyos kolitisz ulceróza kezelésére 6 és 17 éves kor közötti gyermekeknél és serdülőknél.</w:t>
      </w:r>
    </w:p>
    <w:p w14:paraId="51D03B9E" w14:textId="77777777" w:rsidR="0037407E" w:rsidRDefault="0037407E" w:rsidP="0037407E">
      <w:pPr>
        <w:pStyle w:val="a3"/>
        <w:rPr>
          <w:rFonts w:eastAsia="Times New Roman"/>
          <w:lang w:val="hu-HU"/>
        </w:rPr>
      </w:pPr>
    </w:p>
    <w:p w14:paraId="3C8C0586" w14:textId="77777777" w:rsidR="0037407E" w:rsidRDefault="0037407E" w:rsidP="0037407E">
      <w:pPr>
        <w:pStyle w:val="a3"/>
        <w:rPr>
          <w:lang w:val="hu-HU"/>
        </w:rPr>
      </w:pPr>
      <w:r w:rsidRPr="004E2591">
        <w:rPr>
          <w:lang w:val="hu-HU"/>
        </w:rPr>
        <w:t xml:space="preserve">Ön először egyéb gyógyszereket kaphat. </w:t>
      </w:r>
      <w:r w:rsidRPr="0050547A">
        <w:rPr>
          <w:lang w:val="hu-HU"/>
        </w:rPr>
        <w:t>Ha ezekre a gyógyszerekre nem reagál megfelelően</w:t>
      </w:r>
      <w:r>
        <w:rPr>
          <w:rFonts w:eastAsia="Times New Roman"/>
          <w:lang w:val="hu-HU"/>
        </w:rPr>
        <w:t>, akkor Yuflyma-t fog kapni.</w:t>
      </w:r>
    </w:p>
    <w:p w14:paraId="62BCB973" w14:textId="77777777" w:rsidR="0037407E" w:rsidRPr="0050547A" w:rsidRDefault="0037407E" w:rsidP="0037407E">
      <w:pPr>
        <w:spacing w:before="15" w:line="240" w:lineRule="exact"/>
        <w:rPr>
          <w:sz w:val="24"/>
          <w:szCs w:val="24"/>
          <w:lang w:val="hu-HU"/>
        </w:rPr>
      </w:pPr>
    </w:p>
    <w:p w14:paraId="7D234D76" w14:textId="77777777" w:rsidR="0037407E" w:rsidRDefault="0037407E" w:rsidP="0037407E">
      <w:pPr>
        <w:pStyle w:val="a3"/>
        <w:rPr>
          <w:b/>
          <w:lang w:val="hu-HU"/>
        </w:rPr>
      </w:pPr>
      <w:r>
        <w:rPr>
          <w:rFonts w:eastAsia="Times New Roman"/>
          <w:b/>
          <w:bCs/>
          <w:lang w:val="hu-HU"/>
        </w:rPr>
        <w:t>Nem fertőzéses eredetű szemgyulladás (uveitisz)</w:t>
      </w:r>
    </w:p>
    <w:p w14:paraId="4E5F9C28" w14:textId="77777777" w:rsidR="0037407E" w:rsidRDefault="0037407E" w:rsidP="0037407E">
      <w:pPr>
        <w:pStyle w:val="a3"/>
        <w:rPr>
          <w:lang w:val="hu-HU"/>
        </w:rPr>
      </w:pPr>
    </w:p>
    <w:p w14:paraId="44F680C6" w14:textId="77777777" w:rsidR="0037407E" w:rsidRPr="009167C6" w:rsidRDefault="0037407E" w:rsidP="0037407E">
      <w:pPr>
        <w:pStyle w:val="a3"/>
        <w:rPr>
          <w:rFonts w:eastAsia="TimesNewRomanPSMT"/>
          <w:lang w:val="hu-HU"/>
        </w:rPr>
      </w:pPr>
      <w:r>
        <w:rPr>
          <w:rFonts w:eastAsia="Times New Roman"/>
          <w:lang w:val="hu-HU"/>
        </w:rPr>
        <w:t xml:space="preserve">A nem fertőzéses eredetű szemgyulladás </w:t>
      </w:r>
      <w:r w:rsidRPr="004A1EF4">
        <w:rPr>
          <w:rFonts w:eastAsia="Times New Roman"/>
          <w:lang w:val="hu-HU"/>
        </w:rPr>
        <w:t xml:space="preserve">a </w:t>
      </w:r>
      <w:r w:rsidRPr="00DA48CC">
        <w:rPr>
          <w:rFonts w:eastAsia="TimesNewRomanPSMT"/>
          <w:lang w:val="hu-HU"/>
        </w:rPr>
        <w:t>szem bizonyos részeit érintő gyulladásos betegség</w:t>
      </w:r>
      <w:r>
        <w:rPr>
          <w:rFonts w:eastAsia="Times New Roman"/>
          <w:lang w:val="hu-HU"/>
        </w:rPr>
        <w:t>. A Yuflyma alkalmazható</w:t>
      </w:r>
    </w:p>
    <w:p w14:paraId="3FB70864" w14:textId="2BF1FD4C" w:rsidR="0037407E" w:rsidRPr="00CE42DC" w:rsidRDefault="005F5974" w:rsidP="00FD05AA">
      <w:pPr>
        <w:keepNext/>
        <w:widowControl/>
        <w:numPr>
          <w:ilvl w:val="0"/>
          <w:numId w:val="51"/>
        </w:numPr>
        <w:suppressAutoHyphens/>
        <w:autoSpaceDE w:val="0"/>
        <w:autoSpaceDN w:val="0"/>
        <w:adjustRightInd w:val="0"/>
        <w:spacing w:line="260" w:lineRule="exact"/>
        <w:rPr>
          <w:rFonts w:ascii="Times New Roman" w:eastAsia="바탕" w:hAnsi="Times New Roman" w:cs="Times New Roman"/>
          <w:bCs/>
          <w:lang w:val="hu-HU" w:eastAsia="hu-HU"/>
        </w:rPr>
      </w:pPr>
      <w:r>
        <w:rPr>
          <w:rFonts w:ascii="Times New Roman" w:eastAsia="바탕" w:hAnsi="Times New Roman" w:cs="Times New Roman"/>
          <w:bCs/>
          <w:lang w:val="hu-HU" w:eastAsia="hu-HU"/>
        </w:rPr>
        <w:t>f</w:t>
      </w:r>
      <w:r w:rsidR="0037407E" w:rsidRPr="00CE42DC">
        <w:rPr>
          <w:rFonts w:ascii="Times New Roman" w:eastAsia="바탕" w:hAnsi="Times New Roman" w:cs="Times New Roman"/>
          <w:bCs/>
          <w:lang w:val="hu-HU" w:eastAsia="hu-HU"/>
        </w:rPr>
        <w:t>elnőttkori, nem fertőzéses eredetű szemgyulladás kezelésére, amikor a gyulladás a szemfeneket érinti</w:t>
      </w:r>
    </w:p>
    <w:p w14:paraId="6BC9C3B6" w14:textId="77777777" w:rsidR="0037407E" w:rsidRPr="009167C6" w:rsidRDefault="0037407E" w:rsidP="00FD05AA">
      <w:pPr>
        <w:keepNext/>
        <w:widowControl/>
        <w:numPr>
          <w:ilvl w:val="0"/>
          <w:numId w:val="51"/>
        </w:numPr>
        <w:suppressAutoHyphens/>
        <w:autoSpaceDE w:val="0"/>
        <w:autoSpaceDN w:val="0"/>
        <w:adjustRightInd w:val="0"/>
        <w:spacing w:line="260" w:lineRule="exact"/>
        <w:rPr>
          <w:rFonts w:ascii="Times New Roman" w:hAnsi="Times New Roman" w:cs="Times New Roman"/>
          <w:lang w:val="hu-HU"/>
        </w:rPr>
      </w:pPr>
      <w:r w:rsidRPr="00CE42DC">
        <w:rPr>
          <w:rFonts w:ascii="Times New Roman" w:eastAsia="바탕" w:hAnsi="Times New Roman" w:cs="Times New Roman"/>
          <w:bCs/>
          <w:lang w:val="hu-HU" w:eastAsia="hu-HU"/>
        </w:rPr>
        <w:t>2 évnél idősebb gyermekeknél a krónikus, nem fertőzéses eredetű szemgyulladás kezelésére, amikor a gyulladás a szem elülső részét érinti.</w:t>
      </w:r>
    </w:p>
    <w:p w14:paraId="3665FFB9" w14:textId="77777777" w:rsidR="0037407E" w:rsidRDefault="0037407E" w:rsidP="0037407E">
      <w:pPr>
        <w:pStyle w:val="a3"/>
        <w:rPr>
          <w:lang w:val="hu-HU"/>
        </w:rPr>
      </w:pPr>
    </w:p>
    <w:p w14:paraId="0210378C" w14:textId="7D8F1956" w:rsidR="0037407E" w:rsidRDefault="0037407E" w:rsidP="0037407E">
      <w:pPr>
        <w:pStyle w:val="a3"/>
        <w:rPr>
          <w:lang w:val="hu-HU"/>
        </w:rPr>
      </w:pPr>
      <w:r>
        <w:rPr>
          <w:rFonts w:eastAsia="Times New Roman"/>
          <w:lang w:val="hu-HU"/>
        </w:rPr>
        <w:t xml:space="preserve">A gyulladás látáscsökkenéshez és/vagy a szemben úszkáló homályok (fekete pontok vagy vékony csíkok, melyek a </w:t>
      </w:r>
      <w:r w:rsidR="005F5974" w:rsidRPr="005A6F51">
        <w:rPr>
          <w:rFonts w:eastAsia="Times New Roman"/>
          <w:lang w:val="hu-HU"/>
        </w:rPr>
        <w:t>látótérben</w:t>
      </w:r>
      <w:r w:rsidR="005F5974">
        <w:rPr>
          <w:rFonts w:eastAsia="Times New Roman"/>
          <w:lang w:val="hu-HU"/>
        </w:rPr>
        <w:t xml:space="preserve"> </w:t>
      </w:r>
      <w:r>
        <w:rPr>
          <w:rFonts w:eastAsia="Times New Roman"/>
          <w:lang w:val="hu-HU"/>
        </w:rPr>
        <w:t>mozognak) jelenlétéhez vezethet. A Yuflyma ezt a gyulladást csökkenti.</w:t>
      </w:r>
    </w:p>
    <w:p w14:paraId="432FB972" w14:textId="77777777" w:rsidR="0037407E" w:rsidRDefault="0037407E" w:rsidP="0037407E">
      <w:pPr>
        <w:spacing w:before="10" w:line="240" w:lineRule="exact"/>
        <w:rPr>
          <w:sz w:val="24"/>
          <w:szCs w:val="24"/>
          <w:lang w:val="hu-HU"/>
        </w:rPr>
      </w:pPr>
    </w:p>
    <w:p w14:paraId="18EA1E1D" w14:textId="77777777" w:rsidR="0037407E" w:rsidRDefault="0037407E" w:rsidP="0037407E">
      <w:pPr>
        <w:pStyle w:val="a3"/>
        <w:rPr>
          <w:lang w:val="hu-HU"/>
        </w:rPr>
      </w:pPr>
      <w:r>
        <w:rPr>
          <w:rFonts w:eastAsia="Times New Roman"/>
          <w:lang w:val="hu-HU"/>
        </w:rPr>
        <w:t>Először más gyógyszereket kaphat. Ha nem reagál megfelelő módon ezekre a gyógyszerekre, akkor Yuflyma-t fog kapni.</w:t>
      </w:r>
    </w:p>
    <w:p w14:paraId="689204E4" w14:textId="77777777" w:rsidR="0037407E" w:rsidRDefault="0037407E" w:rsidP="0037407E">
      <w:pPr>
        <w:spacing w:before="18" w:line="240" w:lineRule="exact"/>
        <w:rPr>
          <w:rFonts w:ascii="Times New Roman" w:hAnsi="Times New Roman" w:cs="Times New Roman"/>
          <w:b/>
          <w:lang w:val="hu-HU"/>
        </w:rPr>
      </w:pPr>
    </w:p>
    <w:p w14:paraId="44D28E2C" w14:textId="77777777" w:rsidR="0037407E" w:rsidRDefault="0037407E" w:rsidP="0037407E">
      <w:pPr>
        <w:spacing w:before="18" w:line="240" w:lineRule="exact"/>
        <w:ind w:left="108"/>
        <w:rPr>
          <w:rFonts w:ascii="Times New Roman" w:hAnsi="Times New Roman" w:cs="Times New Roman"/>
          <w:b/>
          <w:lang w:val="hu-HU"/>
        </w:rPr>
      </w:pPr>
    </w:p>
    <w:p w14:paraId="5CA504AD" w14:textId="77777777" w:rsidR="0037407E" w:rsidRDefault="0037407E" w:rsidP="00FD05AA">
      <w:pPr>
        <w:pStyle w:val="a4"/>
        <w:numPr>
          <w:ilvl w:val="0"/>
          <w:numId w:val="66"/>
        </w:numPr>
        <w:spacing w:line="240" w:lineRule="exact"/>
        <w:ind w:hanging="468"/>
        <w:rPr>
          <w:lang w:val="hu-HU"/>
        </w:rPr>
      </w:pPr>
      <w:r>
        <w:rPr>
          <w:rFonts w:ascii="Times New Roman" w:eastAsia="Times New Roman" w:hAnsi="Times New Roman" w:cs="Times New Roman"/>
          <w:b/>
          <w:bCs/>
          <w:lang w:val="hu-HU"/>
        </w:rPr>
        <w:t>Tudnivalók a Yuflyma alkalmazása előtt</w:t>
      </w:r>
    </w:p>
    <w:p w14:paraId="41B140C2" w14:textId="77777777" w:rsidR="0037407E" w:rsidRDefault="0037407E" w:rsidP="0037407E">
      <w:pPr>
        <w:spacing w:before="18" w:line="240" w:lineRule="exact"/>
        <w:ind w:left="108"/>
        <w:rPr>
          <w:b/>
          <w:bCs/>
          <w:lang w:val="hu-HU"/>
        </w:rPr>
      </w:pPr>
    </w:p>
    <w:p w14:paraId="480E1922" w14:textId="77777777" w:rsidR="0037407E" w:rsidRDefault="0037407E" w:rsidP="0037407E">
      <w:pPr>
        <w:pStyle w:val="a3"/>
        <w:rPr>
          <w:b/>
          <w:lang w:val="hu-HU"/>
        </w:rPr>
      </w:pPr>
      <w:r>
        <w:rPr>
          <w:rFonts w:eastAsia="Times New Roman"/>
          <w:b/>
          <w:bCs/>
          <w:lang w:val="hu-HU"/>
        </w:rPr>
        <w:t>Ne alkalmazza a Yuflymát:</w:t>
      </w:r>
    </w:p>
    <w:p w14:paraId="5FE71234" w14:textId="77777777" w:rsidR="0037407E" w:rsidRDefault="0037407E" w:rsidP="0037407E">
      <w:pPr>
        <w:pStyle w:val="a3"/>
        <w:rPr>
          <w:b/>
          <w:lang w:val="hu-HU"/>
        </w:rPr>
      </w:pPr>
    </w:p>
    <w:p w14:paraId="3EB24176" w14:textId="77777777" w:rsidR="0037407E" w:rsidRDefault="0037407E" w:rsidP="0037407E">
      <w:pPr>
        <w:pStyle w:val="a3"/>
        <w:numPr>
          <w:ilvl w:val="1"/>
          <w:numId w:val="4"/>
        </w:numPr>
        <w:ind w:left="660" w:hanging="660"/>
        <w:rPr>
          <w:lang w:val="hu-HU"/>
        </w:rPr>
      </w:pPr>
      <w:r>
        <w:rPr>
          <w:rFonts w:eastAsia="Times New Roman"/>
          <w:lang w:val="hu-HU"/>
        </w:rPr>
        <w:t>ha allergiás az adalimumabra vagy a gyógyszer (6. pontban felsorolt) egyéb összetevőjére;</w:t>
      </w:r>
    </w:p>
    <w:p w14:paraId="57862D46" w14:textId="77777777" w:rsidR="0037407E" w:rsidRDefault="0037407E" w:rsidP="0037407E">
      <w:pPr>
        <w:pStyle w:val="a3"/>
        <w:numPr>
          <w:ilvl w:val="0"/>
          <w:numId w:val="0"/>
        </w:numPr>
        <w:ind w:left="660"/>
        <w:rPr>
          <w:lang w:val="hu-HU"/>
        </w:rPr>
      </w:pPr>
    </w:p>
    <w:p w14:paraId="5183B55D" w14:textId="75CBE915" w:rsidR="0037407E" w:rsidRDefault="005F5974" w:rsidP="0037407E">
      <w:pPr>
        <w:pStyle w:val="a3"/>
        <w:numPr>
          <w:ilvl w:val="1"/>
          <w:numId w:val="4"/>
        </w:numPr>
        <w:ind w:left="660" w:hanging="660"/>
        <w:rPr>
          <w:lang w:val="hu-HU"/>
        </w:rPr>
      </w:pPr>
      <w:r>
        <w:rPr>
          <w:rFonts w:eastAsia="Times New Roman"/>
          <w:lang w:val="hu-HU"/>
        </w:rPr>
        <w:t>h</w:t>
      </w:r>
      <w:r w:rsidR="0037407E">
        <w:rPr>
          <w:rFonts w:eastAsia="Times New Roman"/>
          <w:lang w:val="hu-HU"/>
        </w:rPr>
        <w:t>a aktív tuberkulózisban vagy más súlyos fertőzésben szenved (lásd „Figyelmeztetések és óvintézkedések”). Kezelőorvosával feltétlenül közölje, ha bármilyen fertőzésre utaló tünete van, mint például láz, sebek, fáradtságérzés, fogászati problémák.</w:t>
      </w:r>
    </w:p>
    <w:p w14:paraId="44D18FF2" w14:textId="77777777" w:rsidR="0037407E" w:rsidRDefault="0037407E" w:rsidP="0037407E">
      <w:pPr>
        <w:pStyle w:val="a3"/>
        <w:numPr>
          <w:ilvl w:val="0"/>
          <w:numId w:val="0"/>
        </w:numPr>
        <w:ind w:left="660"/>
        <w:rPr>
          <w:lang w:val="hu-HU"/>
        </w:rPr>
      </w:pPr>
    </w:p>
    <w:p w14:paraId="368C049E" w14:textId="53AB9FE9" w:rsidR="0037407E" w:rsidRDefault="005F5974" w:rsidP="0037407E">
      <w:pPr>
        <w:pStyle w:val="a3"/>
        <w:numPr>
          <w:ilvl w:val="1"/>
          <w:numId w:val="4"/>
        </w:numPr>
        <w:ind w:left="660" w:hanging="660"/>
        <w:rPr>
          <w:lang w:val="hu-HU"/>
        </w:rPr>
      </w:pPr>
      <w:r>
        <w:rPr>
          <w:rFonts w:eastAsia="Times New Roman"/>
          <w:lang w:val="hu-HU"/>
        </w:rPr>
        <w:t>h</w:t>
      </w:r>
      <w:r w:rsidR="0037407E">
        <w:rPr>
          <w:rFonts w:eastAsia="Times New Roman"/>
          <w:lang w:val="hu-HU"/>
        </w:rPr>
        <w:t xml:space="preserve">a Ön közepesen súlyos vagy súlyos szívelégtelenségben szenved. Kezelőorvosával feltétlenül közölje, ha Önnek </w:t>
      </w:r>
      <w:r w:rsidRPr="00664C6D">
        <w:rPr>
          <w:rFonts w:eastAsia="Times New Roman"/>
          <w:lang w:val="hu-HU"/>
        </w:rPr>
        <w:t>korábban</w:t>
      </w:r>
      <w:r w:rsidR="0037407E">
        <w:rPr>
          <w:rFonts w:eastAsia="Times New Roman"/>
          <w:lang w:val="hu-HU"/>
        </w:rPr>
        <w:t xml:space="preserve">, vagy </w:t>
      </w:r>
      <w:r>
        <w:rPr>
          <w:rFonts w:eastAsia="Times New Roman"/>
          <w:lang w:val="hu-HU"/>
        </w:rPr>
        <w:t xml:space="preserve">most </w:t>
      </w:r>
      <w:r w:rsidRPr="00664C6D">
        <w:rPr>
          <w:rFonts w:eastAsia="Times New Roman"/>
          <w:lang w:val="hu-HU"/>
        </w:rPr>
        <w:t>fennálló</w:t>
      </w:r>
      <w:r>
        <w:rPr>
          <w:rFonts w:eastAsia="Times New Roman"/>
          <w:lang w:val="hu-HU"/>
        </w:rPr>
        <w:t xml:space="preserve"> </w:t>
      </w:r>
      <w:r w:rsidR="0037407E">
        <w:rPr>
          <w:rFonts w:eastAsia="Times New Roman"/>
          <w:lang w:val="hu-HU"/>
        </w:rPr>
        <w:t xml:space="preserve">súlyos szívproblémája </w:t>
      </w:r>
      <w:r>
        <w:rPr>
          <w:rFonts w:eastAsia="Times New Roman"/>
          <w:lang w:val="hu-HU"/>
        </w:rPr>
        <w:t xml:space="preserve">van </w:t>
      </w:r>
      <w:r w:rsidR="0037407E">
        <w:rPr>
          <w:rFonts w:eastAsia="Times New Roman"/>
          <w:lang w:val="hu-HU"/>
        </w:rPr>
        <w:t>(lásd „Figyelmeztetések és óvintézkedések”).</w:t>
      </w:r>
    </w:p>
    <w:p w14:paraId="3499E2BD" w14:textId="77777777" w:rsidR="0037407E" w:rsidRDefault="0037407E" w:rsidP="0037407E">
      <w:pPr>
        <w:spacing w:before="13" w:line="240" w:lineRule="exact"/>
        <w:rPr>
          <w:sz w:val="24"/>
          <w:szCs w:val="24"/>
          <w:lang w:val="hu-HU"/>
        </w:rPr>
      </w:pPr>
    </w:p>
    <w:p w14:paraId="0E9C2F20" w14:textId="77777777" w:rsidR="0037407E" w:rsidRDefault="0037407E" w:rsidP="0037407E">
      <w:pPr>
        <w:pStyle w:val="a3"/>
        <w:rPr>
          <w:b/>
          <w:lang w:val="hu-HU"/>
        </w:rPr>
      </w:pPr>
      <w:r>
        <w:rPr>
          <w:rFonts w:eastAsia="Times New Roman"/>
          <w:b/>
          <w:bCs/>
          <w:lang w:val="hu-HU"/>
        </w:rPr>
        <w:t>Figyelmeztetések és óvintézkedések</w:t>
      </w:r>
    </w:p>
    <w:p w14:paraId="18C89686" w14:textId="77777777" w:rsidR="0037407E" w:rsidRDefault="0037407E" w:rsidP="0037407E">
      <w:pPr>
        <w:spacing w:before="9" w:line="240" w:lineRule="exact"/>
        <w:rPr>
          <w:sz w:val="24"/>
          <w:szCs w:val="24"/>
          <w:lang w:val="hu-HU"/>
        </w:rPr>
      </w:pPr>
    </w:p>
    <w:p w14:paraId="6243597C" w14:textId="77777777" w:rsidR="0037407E" w:rsidRDefault="0037407E" w:rsidP="0037407E">
      <w:pPr>
        <w:pStyle w:val="a3"/>
        <w:rPr>
          <w:lang w:val="hu-HU"/>
        </w:rPr>
      </w:pPr>
      <w:r>
        <w:rPr>
          <w:rFonts w:eastAsia="Times New Roman"/>
          <w:lang w:val="hu-HU"/>
        </w:rPr>
        <w:t>A Yuflyma alkalmazása előtt beszéljen kezelőorvosával vagy gyógyszerészével</w:t>
      </w:r>
    </w:p>
    <w:p w14:paraId="4CCCDCD6" w14:textId="77777777" w:rsidR="0037407E" w:rsidRDefault="0037407E" w:rsidP="0037407E">
      <w:pPr>
        <w:pStyle w:val="a3"/>
        <w:rPr>
          <w:lang w:val="hu-HU"/>
        </w:rPr>
      </w:pPr>
    </w:p>
    <w:p w14:paraId="6A40E212" w14:textId="77777777" w:rsidR="0037407E" w:rsidRDefault="0037407E" w:rsidP="0037407E">
      <w:pPr>
        <w:pStyle w:val="a3"/>
        <w:rPr>
          <w:u w:val="single" w:color="000000"/>
          <w:lang w:val="hu-HU"/>
        </w:rPr>
      </w:pPr>
      <w:r>
        <w:rPr>
          <w:rFonts w:eastAsia="Times New Roman"/>
          <w:u w:val="single" w:color="000000"/>
          <w:lang w:val="hu-HU"/>
        </w:rPr>
        <w:t>Allergiás reakciók</w:t>
      </w:r>
    </w:p>
    <w:p w14:paraId="562DAEB2" w14:textId="77777777" w:rsidR="0037407E" w:rsidRDefault="0037407E" w:rsidP="0037407E">
      <w:pPr>
        <w:pStyle w:val="a3"/>
        <w:rPr>
          <w:u w:val="single"/>
          <w:lang w:val="hu-HU"/>
        </w:rPr>
      </w:pPr>
    </w:p>
    <w:p w14:paraId="3193BA8E" w14:textId="77777777" w:rsidR="0037407E" w:rsidRDefault="0037407E" w:rsidP="0037407E">
      <w:pPr>
        <w:pStyle w:val="a3"/>
        <w:numPr>
          <w:ilvl w:val="1"/>
          <w:numId w:val="4"/>
        </w:numPr>
        <w:ind w:left="660" w:hanging="660"/>
        <w:rPr>
          <w:lang w:val="hu-HU"/>
        </w:rPr>
      </w:pPr>
      <w:r>
        <w:rPr>
          <w:rFonts w:eastAsia="Times New Roman"/>
          <w:lang w:val="hu-HU"/>
        </w:rPr>
        <w:t xml:space="preserve">Ha olyan allergiás reakciókat észlel, mint mellkasi szorítás, </w:t>
      </w:r>
      <w:r>
        <w:rPr>
          <w:lang w:val="hu-HU"/>
        </w:rPr>
        <w:t>ziháló légzés</w:t>
      </w:r>
      <w:r>
        <w:rPr>
          <w:rFonts w:eastAsia="Times New Roman"/>
          <w:lang w:val="hu-HU"/>
        </w:rPr>
        <w:t>, szédülés, duzzanat vagy viszketés, ne használja tovább a Yuflymá-t, és azonnal forduljon kezelőorvosához, mivel ritka esetekben ezek a reakciók életveszélyesek lehetnek.</w:t>
      </w:r>
    </w:p>
    <w:p w14:paraId="0B68B5E7" w14:textId="77777777" w:rsidR="0037407E" w:rsidRDefault="0037407E" w:rsidP="0037407E">
      <w:pPr>
        <w:pStyle w:val="a3"/>
        <w:rPr>
          <w:b/>
          <w:lang w:val="hu-HU"/>
        </w:rPr>
      </w:pPr>
    </w:p>
    <w:p w14:paraId="4B170A00" w14:textId="77777777" w:rsidR="0037407E" w:rsidRDefault="0037407E" w:rsidP="0037407E">
      <w:pPr>
        <w:pStyle w:val="a3"/>
        <w:rPr>
          <w:u w:val="single"/>
          <w:lang w:val="hu-HU"/>
        </w:rPr>
      </w:pPr>
      <w:r>
        <w:rPr>
          <w:rFonts w:eastAsia="Times New Roman"/>
          <w:u w:val="single"/>
          <w:lang w:val="hu-HU"/>
        </w:rPr>
        <w:t>Fertőzések</w:t>
      </w:r>
    </w:p>
    <w:p w14:paraId="4DE78CD9" w14:textId="77777777" w:rsidR="0037407E" w:rsidRDefault="0037407E" w:rsidP="0037407E">
      <w:pPr>
        <w:pStyle w:val="a3"/>
        <w:rPr>
          <w:b/>
          <w:lang w:val="hu-HU"/>
        </w:rPr>
      </w:pPr>
    </w:p>
    <w:p w14:paraId="47133B6C" w14:textId="77777777" w:rsidR="0037407E" w:rsidRDefault="0037407E" w:rsidP="0037407E">
      <w:pPr>
        <w:pStyle w:val="a3"/>
        <w:numPr>
          <w:ilvl w:val="1"/>
          <w:numId w:val="4"/>
        </w:numPr>
        <w:ind w:left="660" w:hanging="660"/>
        <w:rPr>
          <w:lang w:val="hu-HU"/>
        </w:rPr>
      </w:pPr>
      <w:r>
        <w:rPr>
          <w:rFonts w:eastAsia="Times New Roman"/>
          <w:lang w:val="hu-HU"/>
        </w:rPr>
        <w:t>Ha fertőzésben szenved, ideértve a hosszantartó vagy a test egy részét érintő fertőzést (például lábszárfekély), beszéljen kezelőorvosával a Yuflyma alkalmazása előtt. Ha kétségei vannak, forduljon kezelőorvosához.</w:t>
      </w:r>
    </w:p>
    <w:p w14:paraId="47DB68DD" w14:textId="77777777" w:rsidR="0037407E" w:rsidRDefault="0037407E" w:rsidP="0037407E">
      <w:pPr>
        <w:pStyle w:val="a3"/>
        <w:rPr>
          <w:lang w:val="hu-HU"/>
        </w:rPr>
      </w:pPr>
    </w:p>
    <w:p w14:paraId="4752BCD4" w14:textId="7A22956B" w:rsidR="0037407E" w:rsidRDefault="0037407E" w:rsidP="0037407E">
      <w:pPr>
        <w:pStyle w:val="a3"/>
        <w:numPr>
          <w:ilvl w:val="1"/>
          <w:numId w:val="4"/>
        </w:numPr>
        <w:ind w:left="660" w:hanging="660"/>
        <w:rPr>
          <w:lang w:val="hu-HU"/>
        </w:rPr>
      </w:pPr>
      <w:r>
        <w:rPr>
          <w:rFonts w:eastAsia="Times New Roman"/>
          <w:lang w:val="hu-HU"/>
        </w:rPr>
        <w:t xml:space="preserve">A Yuflyma-kezelés során könnyebben </w:t>
      </w:r>
      <w:r w:rsidR="00C77F0E">
        <w:rPr>
          <w:rFonts w:eastAsia="Times New Roman"/>
          <w:lang w:val="hu-HU"/>
        </w:rPr>
        <w:t>el</w:t>
      </w:r>
      <w:r>
        <w:rPr>
          <w:rFonts w:eastAsia="Times New Roman"/>
          <w:lang w:val="hu-HU"/>
        </w:rPr>
        <w:t xml:space="preserve">kaphat </w:t>
      </w:r>
      <w:r w:rsidR="005F5974" w:rsidRPr="0019185C">
        <w:rPr>
          <w:rFonts w:eastAsia="Times New Roman"/>
          <w:lang w:val="hu-HU"/>
        </w:rPr>
        <w:t>megfertőződhet</w:t>
      </w:r>
      <w:r>
        <w:rPr>
          <w:rFonts w:eastAsia="Times New Roman"/>
          <w:lang w:val="hu-HU"/>
        </w:rPr>
        <w:t>. Ennek veszélye nagyobb lehet, ha tüdőbetegsége van. Ezek a fertőzések súlyosak lehetnek és közéjük tartozik:</w:t>
      </w:r>
    </w:p>
    <w:p w14:paraId="4C22E2FD" w14:textId="77777777" w:rsidR="0037407E" w:rsidRDefault="0037407E" w:rsidP="0037407E">
      <w:pPr>
        <w:pStyle w:val="a3"/>
        <w:numPr>
          <w:ilvl w:val="1"/>
          <w:numId w:val="4"/>
        </w:numPr>
        <w:ind w:left="660" w:firstLine="49"/>
        <w:rPr>
          <w:lang w:val="hu-HU"/>
        </w:rPr>
      </w:pPr>
      <w:r>
        <w:rPr>
          <w:rFonts w:eastAsia="Times New Roman"/>
          <w:lang w:val="hu-HU"/>
        </w:rPr>
        <w:t>tuberkulózis</w:t>
      </w:r>
    </w:p>
    <w:p w14:paraId="716AD2CF" w14:textId="77777777" w:rsidR="0037407E" w:rsidRDefault="0037407E" w:rsidP="0037407E">
      <w:pPr>
        <w:pStyle w:val="a3"/>
        <w:numPr>
          <w:ilvl w:val="1"/>
          <w:numId w:val="4"/>
        </w:numPr>
        <w:ind w:left="660" w:firstLine="49"/>
        <w:rPr>
          <w:lang w:val="hu-HU"/>
        </w:rPr>
      </w:pPr>
      <w:r>
        <w:rPr>
          <w:rFonts w:eastAsia="Times New Roman"/>
          <w:lang w:val="hu-HU"/>
        </w:rPr>
        <w:t>vírusok, gombák, paraziták vagy baktériumok okozta fertőzések</w:t>
      </w:r>
    </w:p>
    <w:p w14:paraId="2A26334E" w14:textId="77777777" w:rsidR="0037407E" w:rsidRDefault="0037407E" w:rsidP="0037407E">
      <w:pPr>
        <w:pStyle w:val="a3"/>
        <w:numPr>
          <w:ilvl w:val="1"/>
          <w:numId w:val="4"/>
        </w:numPr>
        <w:ind w:left="660" w:firstLine="49"/>
        <w:rPr>
          <w:lang w:val="hu-HU"/>
        </w:rPr>
      </w:pPr>
      <w:r>
        <w:rPr>
          <w:rFonts w:eastAsia="Times New Roman"/>
          <w:lang w:val="hu-HU"/>
        </w:rPr>
        <w:t>súlyos fertőzés a vérben (szepszis)</w:t>
      </w:r>
    </w:p>
    <w:p w14:paraId="168B0497" w14:textId="77777777" w:rsidR="0037407E" w:rsidRDefault="0037407E" w:rsidP="0037407E">
      <w:pPr>
        <w:pStyle w:val="a3"/>
        <w:rPr>
          <w:lang w:val="hu-HU"/>
        </w:rPr>
      </w:pPr>
    </w:p>
    <w:p w14:paraId="6E3BD2BE" w14:textId="77777777" w:rsidR="0037407E" w:rsidRDefault="0037407E" w:rsidP="0037407E">
      <w:pPr>
        <w:pStyle w:val="a3"/>
        <w:numPr>
          <w:ilvl w:val="0"/>
          <w:numId w:val="0"/>
        </w:numPr>
        <w:ind w:left="660"/>
        <w:rPr>
          <w:lang w:val="hu-HU"/>
        </w:rPr>
      </w:pPr>
      <w:r>
        <w:rPr>
          <w:rFonts w:eastAsia="Times New Roman"/>
          <w:lang w:val="hu-HU"/>
        </w:rPr>
        <w:t>Ritkán ezek a fertőzések életveszélyesek lehetnek. Kezelőorvosával feltétlenül közölje, ha bármilyen fertőzésre utaló tünete van, mint láz, sebek, fáradtságérzés, fogászati problémák. Kezelőorvosa a Yuflyma-kezelés átmeneti felfüggesztését javasolhatja.</w:t>
      </w:r>
    </w:p>
    <w:p w14:paraId="0810C494" w14:textId="77777777" w:rsidR="0037407E" w:rsidRDefault="0037407E" w:rsidP="0037407E">
      <w:pPr>
        <w:pStyle w:val="a3"/>
        <w:rPr>
          <w:lang w:val="hu-HU"/>
        </w:rPr>
      </w:pPr>
    </w:p>
    <w:p w14:paraId="0652177E" w14:textId="77777777" w:rsidR="0037407E" w:rsidRDefault="0037407E" w:rsidP="0037407E">
      <w:pPr>
        <w:pStyle w:val="a3"/>
        <w:numPr>
          <w:ilvl w:val="1"/>
          <w:numId w:val="4"/>
        </w:numPr>
        <w:ind w:left="660" w:hanging="660"/>
        <w:rPr>
          <w:lang w:val="hu-HU"/>
        </w:rPr>
      </w:pPr>
      <w:r>
        <w:rPr>
          <w:rFonts w:eastAsia="Times New Roman"/>
          <w:lang w:val="hu-HU"/>
        </w:rPr>
        <w:t>Tájékoztassa kezelőorvosát, ha olyan területen él vagy olyan területre utazik, ahol nagyon gyakoriak a gombák okozta fertőzések (például a hisztoplazmózis, kokcidioidomikózis vagy a blasztomikózis).</w:t>
      </w:r>
    </w:p>
    <w:p w14:paraId="165BF952" w14:textId="77777777" w:rsidR="0037407E" w:rsidRDefault="0037407E" w:rsidP="0037407E">
      <w:pPr>
        <w:pStyle w:val="a3"/>
        <w:rPr>
          <w:lang w:val="hu-HU"/>
        </w:rPr>
      </w:pPr>
    </w:p>
    <w:p w14:paraId="61786946" w14:textId="77777777" w:rsidR="0037407E" w:rsidRDefault="0037407E" w:rsidP="0037407E">
      <w:pPr>
        <w:pStyle w:val="a3"/>
        <w:numPr>
          <w:ilvl w:val="1"/>
          <w:numId w:val="4"/>
        </w:numPr>
        <w:ind w:left="660" w:hanging="660"/>
        <w:rPr>
          <w:lang w:val="hu-HU"/>
        </w:rPr>
      </w:pPr>
      <w:r>
        <w:rPr>
          <w:rFonts w:eastAsia="Times New Roman"/>
          <w:lang w:val="hu-HU"/>
        </w:rPr>
        <w:t>Tájékoztassa kezelőorvosát, ha visszatérő fertőzései, vagy egyéb olyan betegségei vannak, amelyek fokozzák a fertőzés lehetőségét.</w:t>
      </w:r>
    </w:p>
    <w:p w14:paraId="636B7BE4" w14:textId="77777777" w:rsidR="0037407E" w:rsidRDefault="0037407E" w:rsidP="0037407E">
      <w:pPr>
        <w:pStyle w:val="a3"/>
        <w:numPr>
          <w:ilvl w:val="0"/>
          <w:numId w:val="0"/>
        </w:numPr>
        <w:rPr>
          <w:lang w:val="hu-HU"/>
        </w:rPr>
      </w:pPr>
    </w:p>
    <w:p w14:paraId="2D7CD563" w14:textId="77777777" w:rsidR="0037407E" w:rsidRDefault="0037407E" w:rsidP="0037407E">
      <w:pPr>
        <w:pStyle w:val="a3"/>
        <w:numPr>
          <w:ilvl w:val="1"/>
          <w:numId w:val="4"/>
        </w:numPr>
        <w:ind w:left="660" w:hanging="660"/>
        <w:rPr>
          <w:lang w:val="hu-HU"/>
        </w:rPr>
      </w:pPr>
      <w:r>
        <w:rPr>
          <w:rFonts w:eastAsia="Times New Roman"/>
          <w:lang w:val="hu-HU"/>
        </w:rPr>
        <w:t>Ha Ön 65 évnél idősebb, a Yuflyma-kezelés ideje alatt fogékonyabb lehet a fertőzésekre. A Yuflyma-kezelés ideje alatt Önnek és kezelőorvosának különös figyelmet kell fordítania a fertőzések tüneteire. Feltétlenül tájékoztassa kezelőorvosát, ha fertőzésre utaló tünetei vannak, mint például láz, sebek, fáradtságérzés vagy fogászati problémák.</w:t>
      </w:r>
    </w:p>
    <w:p w14:paraId="2912FE99" w14:textId="77777777" w:rsidR="0037407E" w:rsidRDefault="0037407E" w:rsidP="0037407E">
      <w:pPr>
        <w:spacing w:before="11" w:line="240" w:lineRule="exact"/>
        <w:rPr>
          <w:sz w:val="24"/>
          <w:szCs w:val="24"/>
          <w:lang w:val="hu-HU"/>
        </w:rPr>
      </w:pPr>
    </w:p>
    <w:p w14:paraId="58BDFFEF" w14:textId="7A071F07" w:rsidR="0037407E" w:rsidRDefault="00D71745" w:rsidP="0037407E">
      <w:pPr>
        <w:pStyle w:val="a3"/>
        <w:rPr>
          <w:u w:val="single"/>
          <w:lang w:val="hu-HU"/>
        </w:rPr>
      </w:pPr>
      <w:r>
        <w:rPr>
          <w:rFonts w:eastAsia="Times New Roman"/>
          <w:lang w:val="hu-HU"/>
        </w:rPr>
        <w:t>Tuberkulózis</w:t>
      </w:r>
    </w:p>
    <w:p w14:paraId="0C105130" w14:textId="77777777" w:rsidR="0037407E" w:rsidRDefault="0037407E" w:rsidP="0037407E">
      <w:pPr>
        <w:spacing w:before="4" w:line="190" w:lineRule="exact"/>
        <w:rPr>
          <w:sz w:val="19"/>
          <w:szCs w:val="19"/>
          <w:lang w:val="hu-HU"/>
        </w:rPr>
      </w:pPr>
    </w:p>
    <w:p w14:paraId="69075E59" w14:textId="77777777" w:rsidR="0037407E" w:rsidRDefault="0037407E" w:rsidP="0037407E">
      <w:pPr>
        <w:pStyle w:val="a3"/>
        <w:numPr>
          <w:ilvl w:val="1"/>
          <w:numId w:val="4"/>
        </w:numPr>
        <w:ind w:left="660" w:hanging="660"/>
        <w:rPr>
          <w:lang w:val="hu-HU"/>
        </w:rPr>
      </w:pPr>
      <w:r>
        <w:rPr>
          <w:rFonts w:eastAsia="Times New Roman"/>
          <w:lang w:val="hu-HU"/>
        </w:rPr>
        <w:t>Feltétlenül tájékoztassa kezelőorvosát, ha bármikor tuberkulózisban szenvedett vagy közeli kapcsolatban volt valakivel, akinek tuberkulózisa volt. Ha aktív tuberkulózisa van, ne alkalmazza a Yuflyma-t.</w:t>
      </w:r>
    </w:p>
    <w:p w14:paraId="5ABB7A36" w14:textId="7D594887" w:rsidR="0037407E" w:rsidRDefault="0037407E" w:rsidP="0037407E">
      <w:pPr>
        <w:pStyle w:val="a3"/>
        <w:numPr>
          <w:ilvl w:val="1"/>
          <w:numId w:val="4"/>
        </w:numPr>
        <w:ind w:left="998" w:hanging="340"/>
        <w:rPr>
          <w:lang w:val="hu-HU"/>
        </w:rPr>
      </w:pPr>
      <w:r>
        <w:rPr>
          <w:rFonts w:eastAsia="Times New Roman"/>
          <w:lang w:val="hu-HU"/>
        </w:rPr>
        <w:t xml:space="preserve">Mivel a Yuflyma-val kezelt betegeknél tuberkulózisos eseteket jelentettek, kezelőorvosa a Yuflyma-kezelés megkezdése előtt ellenőrizni fogja a tuberkulózis jeleit és tüneteit. Részletes orvosi kórelőzmény felvételére és megfelelő szűrővizsgálatokra (mint például mellkasröntgen vizsgálatra és tuberkulin teszt végzésére) kerül sor. A </w:t>
      </w:r>
      <w:r>
        <w:rPr>
          <w:rFonts w:eastAsia="Times New Roman"/>
          <w:b/>
          <w:bCs/>
          <w:lang w:val="hu-HU"/>
        </w:rPr>
        <w:t>Betegkártyán</w:t>
      </w:r>
      <w:r>
        <w:rPr>
          <w:rFonts w:eastAsia="Times New Roman"/>
          <w:lang w:val="hu-HU"/>
        </w:rPr>
        <w:t xml:space="preserve"> a vizsgálatok elvégzésének tényét és eredményét vezetni kell.</w:t>
      </w:r>
    </w:p>
    <w:p w14:paraId="654C4973" w14:textId="77777777" w:rsidR="0037407E" w:rsidRDefault="0037407E" w:rsidP="0037407E">
      <w:pPr>
        <w:pStyle w:val="a3"/>
        <w:numPr>
          <w:ilvl w:val="1"/>
          <w:numId w:val="4"/>
        </w:numPr>
        <w:ind w:left="998" w:hanging="340"/>
        <w:rPr>
          <w:lang w:val="hu-HU"/>
        </w:rPr>
      </w:pPr>
      <w:r>
        <w:rPr>
          <w:rFonts w:eastAsia="Times New Roman"/>
          <w:lang w:val="hu-HU"/>
        </w:rPr>
        <w:t>A tuberkulózis kialakulhat a kezelés során annak ellenére, hogy Ön tuberkulózis elleni megelőző terápiát kapott.</w:t>
      </w:r>
    </w:p>
    <w:p w14:paraId="3AAAA6D5" w14:textId="77777777" w:rsidR="0037407E" w:rsidRDefault="0037407E" w:rsidP="0037407E">
      <w:pPr>
        <w:pStyle w:val="a3"/>
        <w:numPr>
          <w:ilvl w:val="1"/>
          <w:numId w:val="4"/>
        </w:numPr>
        <w:ind w:left="998" w:hanging="340"/>
        <w:rPr>
          <w:lang w:val="hu-HU"/>
        </w:rPr>
      </w:pPr>
      <w:r>
        <w:rPr>
          <w:rFonts w:eastAsia="Times New Roman"/>
          <w:lang w:val="hu-HU"/>
        </w:rPr>
        <w:t>Ha a tuberkulózis tünetei (például hosszan tartó köhögés, testsúlycsökkenés, levertség, hőemelkedés), vagy más fertőzésre utaló tünetek jelentkeznek a kezelés alatt vagy a kezelést követően, azonnal tájékoztassa kezelőorvosát.</w:t>
      </w:r>
    </w:p>
    <w:p w14:paraId="3FCEFBFE" w14:textId="77777777" w:rsidR="0037407E" w:rsidRDefault="0037407E" w:rsidP="0037407E">
      <w:pPr>
        <w:spacing w:before="11" w:line="240" w:lineRule="exact"/>
        <w:rPr>
          <w:sz w:val="24"/>
          <w:szCs w:val="24"/>
          <w:lang w:val="hu-HU"/>
        </w:rPr>
      </w:pPr>
    </w:p>
    <w:p w14:paraId="02A6051C" w14:textId="77777777" w:rsidR="0037407E" w:rsidRDefault="0037407E" w:rsidP="0037407E">
      <w:pPr>
        <w:pStyle w:val="a3"/>
        <w:rPr>
          <w:u w:val="single"/>
          <w:lang w:val="hu-HU"/>
        </w:rPr>
      </w:pPr>
      <w:r>
        <w:rPr>
          <w:rFonts w:eastAsia="Times New Roman"/>
          <w:u w:val="single" w:color="000000"/>
          <w:lang w:val="hu-HU"/>
        </w:rPr>
        <w:t>Hepatitisz B</w:t>
      </w:r>
    </w:p>
    <w:p w14:paraId="361EC1BD" w14:textId="77777777" w:rsidR="0037407E" w:rsidRDefault="0037407E" w:rsidP="0037407E">
      <w:pPr>
        <w:spacing w:before="4" w:line="190" w:lineRule="exact"/>
        <w:rPr>
          <w:sz w:val="19"/>
          <w:szCs w:val="19"/>
          <w:lang w:val="hu-HU"/>
        </w:rPr>
      </w:pPr>
    </w:p>
    <w:p w14:paraId="54FB3CD6" w14:textId="77777777" w:rsidR="0037407E" w:rsidRDefault="0037407E" w:rsidP="0037407E">
      <w:pPr>
        <w:pStyle w:val="a3"/>
        <w:numPr>
          <w:ilvl w:val="1"/>
          <w:numId w:val="4"/>
        </w:numPr>
        <w:ind w:left="660" w:hanging="660"/>
        <w:rPr>
          <w:lang w:val="hu-HU"/>
        </w:rPr>
      </w:pPr>
      <w:r>
        <w:rPr>
          <w:rFonts w:eastAsia="Times New Roman"/>
          <w:lang w:val="hu-HU"/>
        </w:rPr>
        <w:t>Tájékoztassa kezelőorvosát, ha Ön hepatitisz B vírus (HBV) -hordozó, netán aktív HBV-fertőzésben szenved, vagy feltételezi, hogy hepatitisz B fertőzés veszélye fenyegetheti.</w:t>
      </w:r>
    </w:p>
    <w:p w14:paraId="4559D208" w14:textId="77777777" w:rsidR="0037407E" w:rsidRDefault="0037407E" w:rsidP="0037407E">
      <w:pPr>
        <w:pStyle w:val="a3"/>
        <w:numPr>
          <w:ilvl w:val="1"/>
          <w:numId w:val="4"/>
        </w:numPr>
        <w:ind w:left="998" w:hanging="340"/>
        <w:rPr>
          <w:lang w:val="hu-HU"/>
        </w:rPr>
      </w:pPr>
      <w:r>
        <w:rPr>
          <w:rFonts w:eastAsia="Times New Roman"/>
          <w:lang w:val="hu-HU"/>
        </w:rPr>
        <w:t>Kezelőorvosának HBV-vizsgálatot kell végeznie Önnél. A HBV-t hordozó embereknél a Yuflyma ismét aktiválhatja a vírust.</w:t>
      </w:r>
    </w:p>
    <w:p w14:paraId="21DB5327" w14:textId="77777777" w:rsidR="0037407E" w:rsidRDefault="0037407E" w:rsidP="0037407E">
      <w:pPr>
        <w:pStyle w:val="a3"/>
        <w:numPr>
          <w:ilvl w:val="1"/>
          <w:numId w:val="4"/>
        </w:numPr>
        <w:ind w:left="998" w:hanging="340"/>
        <w:rPr>
          <w:lang w:val="hu-HU"/>
        </w:rPr>
      </w:pPr>
      <w:r>
        <w:rPr>
          <w:rFonts w:eastAsia="Times New Roman"/>
          <w:lang w:val="hu-HU"/>
        </w:rPr>
        <w:t>Egyes ritka esetekben – különösen, ha más, az immunrendszer működését gátló szereket is szed – a HBV ismételt aktiválódása életveszélyes lehet.</w:t>
      </w:r>
    </w:p>
    <w:p w14:paraId="7611B543" w14:textId="77777777" w:rsidR="0037407E" w:rsidRDefault="0037407E" w:rsidP="0037407E">
      <w:pPr>
        <w:spacing w:before="11" w:line="240" w:lineRule="exact"/>
        <w:rPr>
          <w:sz w:val="24"/>
          <w:szCs w:val="24"/>
          <w:lang w:val="hu-HU"/>
        </w:rPr>
      </w:pPr>
    </w:p>
    <w:p w14:paraId="2063D117" w14:textId="77777777" w:rsidR="0037407E" w:rsidRDefault="0037407E" w:rsidP="0037407E">
      <w:pPr>
        <w:pStyle w:val="a3"/>
        <w:rPr>
          <w:u w:val="single"/>
          <w:lang w:val="hu-HU"/>
        </w:rPr>
      </w:pPr>
      <w:r>
        <w:rPr>
          <w:rFonts w:eastAsia="Times New Roman"/>
          <w:u w:val="single" w:color="000000"/>
          <w:lang w:val="hu-HU"/>
        </w:rPr>
        <w:t>Sebészeti vagy fogászati beavatkozás</w:t>
      </w:r>
    </w:p>
    <w:p w14:paraId="30591BAD" w14:textId="77777777" w:rsidR="0037407E" w:rsidRDefault="0037407E" w:rsidP="0037407E">
      <w:pPr>
        <w:spacing w:before="4" w:line="190" w:lineRule="exact"/>
        <w:rPr>
          <w:sz w:val="19"/>
          <w:szCs w:val="19"/>
          <w:lang w:val="hu-HU"/>
        </w:rPr>
      </w:pPr>
    </w:p>
    <w:p w14:paraId="658777CA" w14:textId="77777777" w:rsidR="0037407E" w:rsidRDefault="0037407E" w:rsidP="0037407E">
      <w:pPr>
        <w:pStyle w:val="a3"/>
        <w:numPr>
          <w:ilvl w:val="1"/>
          <w:numId w:val="4"/>
        </w:numPr>
        <w:ind w:left="660" w:hanging="660"/>
        <w:rPr>
          <w:lang w:val="hu-HU"/>
        </w:rPr>
      </w:pPr>
      <w:r>
        <w:rPr>
          <w:rFonts w:eastAsia="Times New Roman"/>
          <w:lang w:val="hu-HU"/>
        </w:rPr>
        <w:t>Ha sebészeti vagy fogászati beavatkozás előtt áll tájékoztassa orvosát, hogy Yuflyma- kezelésben részesül. Kezelőorvosa a kezelés átmeneti felfüggesztését javasolhatja.</w:t>
      </w:r>
    </w:p>
    <w:p w14:paraId="190B6637" w14:textId="77777777" w:rsidR="0037407E" w:rsidRDefault="0037407E" w:rsidP="0037407E">
      <w:pPr>
        <w:spacing w:before="8" w:line="240" w:lineRule="exact"/>
        <w:rPr>
          <w:sz w:val="24"/>
          <w:szCs w:val="24"/>
          <w:lang w:val="hu-HU"/>
        </w:rPr>
      </w:pPr>
    </w:p>
    <w:p w14:paraId="655CF9AF" w14:textId="77777777" w:rsidR="0037407E" w:rsidRDefault="0037407E" w:rsidP="0037407E">
      <w:pPr>
        <w:pStyle w:val="a3"/>
        <w:rPr>
          <w:u w:val="single"/>
          <w:lang w:val="hu-HU"/>
        </w:rPr>
      </w:pPr>
      <w:r>
        <w:rPr>
          <w:rFonts w:eastAsia="Times New Roman"/>
          <w:u w:val="single" w:color="000000"/>
          <w:lang w:val="hu-HU"/>
        </w:rPr>
        <w:t>Demielinizációval járó betegségek</w:t>
      </w:r>
    </w:p>
    <w:p w14:paraId="3AE3A722" w14:textId="77777777" w:rsidR="0037407E" w:rsidRDefault="0037407E" w:rsidP="0037407E">
      <w:pPr>
        <w:spacing w:before="4" w:line="190" w:lineRule="exact"/>
        <w:rPr>
          <w:sz w:val="19"/>
          <w:szCs w:val="19"/>
          <w:lang w:val="hu-HU"/>
        </w:rPr>
      </w:pPr>
    </w:p>
    <w:p w14:paraId="4A8FA728" w14:textId="77777777" w:rsidR="0037407E" w:rsidRDefault="0037407E" w:rsidP="0037407E">
      <w:pPr>
        <w:pStyle w:val="a3"/>
        <w:numPr>
          <w:ilvl w:val="1"/>
          <w:numId w:val="4"/>
        </w:numPr>
        <w:ind w:left="660" w:hanging="660"/>
        <w:rPr>
          <w:lang w:val="hu-HU"/>
        </w:rPr>
      </w:pPr>
      <w:r>
        <w:rPr>
          <w:rFonts w:eastAsia="Times New Roman"/>
          <w:lang w:val="hu-HU"/>
        </w:rPr>
        <w:lastRenderedPageBreak/>
        <w:t>Ha szklerózis multiplexben, vagy egyéb, az idegrostok velőshüvelyének lebomlásával (demielinizációval) járó betegségben szenved, vagy ilyen típusú betegség alakul ki Önnél, kezelőorvosa dönti el, hogy kaphat-e Yuflyma-kezelést, vagy folytatható-e az Ön esetében. Azonnal tájékoztassa kezelőorvosát, ha olyan tüneteket tapasztal, mint a megváltozott látás, kar- vagy lábgyengeség, illetve zsibbadás vagy bizsergés a test bármelyik részén.</w:t>
      </w:r>
    </w:p>
    <w:p w14:paraId="040C8147" w14:textId="77777777" w:rsidR="0037407E" w:rsidRDefault="0037407E" w:rsidP="0037407E">
      <w:pPr>
        <w:spacing w:before="14" w:line="240" w:lineRule="exact"/>
        <w:rPr>
          <w:sz w:val="24"/>
          <w:szCs w:val="24"/>
          <w:lang w:val="hu-HU"/>
        </w:rPr>
      </w:pPr>
    </w:p>
    <w:p w14:paraId="6EC828CD" w14:textId="77777777" w:rsidR="0037407E" w:rsidRDefault="0037407E" w:rsidP="0037407E">
      <w:pPr>
        <w:pStyle w:val="a3"/>
        <w:rPr>
          <w:u w:val="single"/>
          <w:lang w:val="hu-HU"/>
        </w:rPr>
      </w:pPr>
      <w:r>
        <w:rPr>
          <w:rFonts w:eastAsia="Times New Roman"/>
          <w:u w:val="single" w:color="000000"/>
          <w:lang w:val="hu-HU"/>
        </w:rPr>
        <w:t>Védőoltások</w:t>
      </w:r>
    </w:p>
    <w:p w14:paraId="0FD24087" w14:textId="77777777" w:rsidR="0037407E" w:rsidRDefault="0037407E" w:rsidP="0037407E">
      <w:pPr>
        <w:spacing w:before="4" w:line="190" w:lineRule="exact"/>
        <w:rPr>
          <w:sz w:val="19"/>
          <w:szCs w:val="19"/>
          <w:lang w:val="hu-HU"/>
        </w:rPr>
      </w:pPr>
    </w:p>
    <w:p w14:paraId="10023EDB" w14:textId="77777777" w:rsidR="0037407E" w:rsidRDefault="0037407E" w:rsidP="0037407E">
      <w:pPr>
        <w:pStyle w:val="a3"/>
        <w:numPr>
          <w:ilvl w:val="1"/>
          <w:numId w:val="4"/>
        </w:numPr>
        <w:ind w:left="660" w:hanging="660"/>
        <w:rPr>
          <w:lang w:val="hu-HU"/>
        </w:rPr>
      </w:pPr>
      <w:r>
        <w:rPr>
          <w:rFonts w:eastAsia="Times New Roman"/>
          <w:lang w:val="hu-HU"/>
        </w:rPr>
        <w:t>Yuflyma alkalmazása során bizonyos védőoltások fertőzést okozhatnak, és ezért nem adhatóak.</w:t>
      </w:r>
    </w:p>
    <w:p w14:paraId="413219CC" w14:textId="77777777" w:rsidR="0037407E" w:rsidRDefault="0037407E" w:rsidP="0037407E">
      <w:pPr>
        <w:spacing w:before="11" w:line="240" w:lineRule="exact"/>
        <w:rPr>
          <w:sz w:val="24"/>
          <w:szCs w:val="24"/>
          <w:lang w:val="hu-HU"/>
        </w:rPr>
      </w:pPr>
    </w:p>
    <w:p w14:paraId="3A147077" w14:textId="77777777" w:rsidR="0037407E" w:rsidRDefault="0037407E" w:rsidP="0037407E">
      <w:pPr>
        <w:pStyle w:val="a3"/>
        <w:numPr>
          <w:ilvl w:val="1"/>
          <w:numId w:val="4"/>
        </w:numPr>
        <w:ind w:left="998" w:hanging="340"/>
        <w:rPr>
          <w:lang w:val="hu-HU"/>
        </w:rPr>
      </w:pPr>
      <w:r>
        <w:rPr>
          <w:rFonts w:eastAsia="Times New Roman"/>
          <w:lang w:val="hu-HU"/>
        </w:rPr>
        <w:t>Védőoltás adását megelőzően beszéljen kezelőorvosával.</w:t>
      </w:r>
    </w:p>
    <w:p w14:paraId="3D2B5867" w14:textId="77777777" w:rsidR="0037407E" w:rsidRDefault="0037407E" w:rsidP="0037407E">
      <w:pPr>
        <w:pStyle w:val="a3"/>
        <w:numPr>
          <w:ilvl w:val="1"/>
          <w:numId w:val="4"/>
        </w:numPr>
        <w:ind w:left="998" w:hanging="340"/>
        <w:rPr>
          <w:lang w:val="hu-HU"/>
        </w:rPr>
      </w:pPr>
      <w:r>
        <w:rPr>
          <w:rFonts w:eastAsia="Times New Roman"/>
          <w:lang w:val="hu-HU"/>
        </w:rPr>
        <w:t>A Yuflyma-kezelés megkezdése előtt javasolt, hogy a gyermekek, ha lehetséges, megkapják az életkoruknak megfelelő összes ütemezett oltást.</w:t>
      </w:r>
    </w:p>
    <w:p w14:paraId="42EB32B9" w14:textId="1BCB19AB" w:rsidR="0037407E" w:rsidRDefault="0037407E" w:rsidP="0037407E">
      <w:pPr>
        <w:pStyle w:val="a3"/>
        <w:numPr>
          <w:ilvl w:val="1"/>
          <w:numId w:val="4"/>
        </w:numPr>
        <w:ind w:left="998" w:hanging="340"/>
        <w:rPr>
          <w:lang w:val="hu-HU"/>
        </w:rPr>
      </w:pPr>
      <w:r>
        <w:rPr>
          <w:rFonts w:eastAsia="Times New Roman"/>
          <w:lang w:val="hu-HU"/>
        </w:rPr>
        <w:t xml:space="preserve">Ha a terhessége alatt Yuflymá-t kapott, a kisbabája a terhesség alatt kapott utolsó adag Yuflyma-t követően legfeljebb 5 hónapig nagyobb eséllyel </w:t>
      </w:r>
      <w:r w:rsidR="005F5974" w:rsidRPr="0022589B">
        <w:rPr>
          <w:rFonts w:eastAsia="Times New Roman"/>
          <w:lang w:val="hu-HU"/>
        </w:rPr>
        <w:t>fertőződhet meg</w:t>
      </w:r>
      <w:r>
        <w:rPr>
          <w:rFonts w:eastAsia="Times New Roman"/>
          <w:lang w:val="hu-HU"/>
        </w:rPr>
        <w:t>. Fontos, hogy elmondja kisbabája kezelőorvosának vagy az őt kezelő egészségügyi személyzetnek, hogy a terhessége alatt Yuflyma-t kapott, így ők el tudják dönteni, hogy kisbabájának mikor kell valamilyen védőoltást kapnia.</w:t>
      </w:r>
    </w:p>
    <w:p w14:paraId="5405ABBD" w14:textId="77777777" w:rsidR="0037407E" w:rsidRDefault="0037407E" w:rsidP="0037407E">
      <w:pPr>
        <w:spacing w:before="14" w:line="240" w:lineRule="exact"/>
        <w:rPr>
          <w:sz w:val="24"/>
          <w:szCs w:val="24"/>
          <w:lang w:val="hu-HU"/>
        </w:rPr>
      </w:pPr>
    </w:p>
    <w:p w14:paraId="789A44E7" w14:textId="77777777" w:rsidR="0037407E" w:rsidRDefault="0037407E" w:rsidP="0037407E">
      <w:pPr>
        <w:pStyle w:val="a3"/>
        <w:rPr>
          <w:u w:val="single"/>
          <w:lang w:val="hu-HU"/>
        </w:rPr>
      </w:pPr>
      <w:r>
        <w:rPr>
          <w:rFonts w:eastAsia="Times New Roman"/>
          <w:u w:val="single" w:color="000000"/>
          <w:lang w:val="hu-HU"/>
        </w:rPr>
        <w:t>Szívelégtelenség</w:t>
      </w:r>
    </w:p>
    <w:p w14:paraId="51524A8D" w14:textId="77777777" w:rsidR="0037407E" w:rsidRDefault="0037407E" w:rsidP="0037407E">
      <w:pPr>
        <w:spacing w:before="4" w:line="190" w:lineRule="exact"/>
        <w:rPr>
          <w:sz w:val="19"/>
          <w:szCs w:val="19"/>
          <w:lang w:val="hu-HU"/>
        </w:rPr>
      </w:pPr>
    </w:p>
    <w:p w14:paraId="5D02EE25" w14:textId="59A468E5" w:rsidR="0037407E" w:rsidRDefault="0037407E" w:rsidP="0037407E">
      <w:pPr>
        <w:pStyle w:val="a3"/>
        <w:numPr>
          <w:ilvl w:val="1"/>
          <w:numId w:val="4"/>
        </w:numPr>
        <w:ind w:left="660" w:hanging="660"/>
        <w:rPr>
          <w:lang w:val="hu-HU"/>
        </w:rPr>
      </w:pPr>
      <w:r>
        <w:rPr>
          <w:rFonts w:eastAsia="Times New Roman"/>
          <w:lang w:val="hu-HU"/>
        </w:rPr>
        <w:t>Ha Önnek enyhe szívelégtelensége van és Yuflyma-kezelést kap, a szívelégtelenség állapotát orvosának szorosan követnie kell. Fontos, hogy közölje kezelőorvosával, ha súlyos szívbetegsége volt, vagy jelenleg is van. Ha új tünetek kialakulását vagy a szívelégtelenség tüneteinek rosszabbodását észleli (például légszomj, vagy lábdagadás), azonnal tájékoztassa kezelőorvosát. Kezelőorvosa el fogja dönteni, hogy Ön kaphat-e Yuflym</w:t>
      </w:r>
      <w:r w:rsidR="005F5974">
        <w:rPr>
          <w:rFonts w:eastAsia="Times New Roman"/>
          <w:lang w:val="hu-HU"/>
        </w:rPr>
        <w:t>a</w:t>
      </w:r>
      <w:r>
        <w:rPr>
          <w:rFonts w:eastAsia="Times New Roman"/>
          <w:lang w:val="hu-HU"/>
        </w:rPr>
        <w:t>-t.</w:t>
      </w:r>
    </w:p>
    <w:p w14:paraId="5476E2FF" w14:textId="77777777" w:rsidR="0037407E" w:rsidRDefault="0037407E" w:rsidP="0037407E">
      <w:pPr>
        <w:spacing w:before="14" w:line="240" w:lineRule="exact"/>
        <w:rPr>
          <w:sz w:val="24"/>
          <w:szCs w:val="24"/>
          <w:lang w:val="hu-HU"/>
        </w:rPr>
      </w:pPr>
    </w:p>
    <w:p w14:paraId="6FEF3D81" w14:textId="77777777" w:rsidR="0037407E" w:rsidRDefault="0037407E" w:rsidP="0037407E">
      <w:pPr>
        <w:pStyle w:val="a3"/>
        <w:rPr>
          <w:u w:val="single"/>
          <w:lang w:val="hu-HU"/>
        </w:rPr>
      </w:pPr>
      <w:r>
        <w:rPr>
          <w:rFonts w:eastAsia="Times New Roman"/>
          <w:u w:val="single" w:color="000000"/>
          <w:lang w:val="hu-HU"/>
        </w:rPr>
        <w:t>Láz, véraláfutás, vérzés vagy sápadtság</w:t>
      </w:r>
    </w:p>
    <w:p w14:paraId="48177B25" w14:textId="77777777" w:rsidR="0037407E" w:rsidRDefault="0037407E" w:rsidP="0037407E">
      <w:pPr>
        <w:spacing w:before="4" w:line="190" w:lineRule="exact"/>
        <w:rPr>
          <w:sz w:val="19"/>
          <w:szCs w:val="19"/>
          <w:lang w:val="hu-HU"/>
        </w:rPr>
      </w:pPr>
    </w:p>
    <w:p w14:paraId="47DC08E4" w14:textId="77777777" w:rsidR="0037407E" w:rsidRDefault="0037407E" w:rsidP="0037407E">
      <w:pPr>
        <w:pStyle w:val="a3"/>
        <w:numPr>
          <w:ilvl w:val="1"/>
          <w:numId w:val="4"/>
        </w:numPr>
        <w:ind w:left="660" w:hanging="660"/>
        <w:rPr>
          <w:lang w:val="hu-HU"/>
        </w:rPr>
      </w:pPr>
      <w:r>
        <w:rPr>
          <w:rFonts w:eastAsia="Times New Roman"/>
          <w:lang w:val="hu-HU"/>
        </w:rPr>
        <w:t>Egyes betegek esetében a szervezet nem termel elég olyan vérsejtet, melyek leküzdenék a fertőzést, vagy segítenének megállítani a vérzést. Kezelőorvosa eldönti, hogy folytassák-e a kezelést. Ha nem múló láza van, vagy könnyen alakul ki véraláfutása vagy vérzik, vagy nagyon sápadtnak látszik, azonnal értesítse kezelőorvosát.</w:t>
      </w:r>
    </w:p>
    <w:p w14:paraId="5F4DF37C" w14:textId="77777777" w:rsidR="0037407E" w:rsidRDefault="0037407E" w:rsidP="0037407E">
      <w:pPr>
        <w:pStyle w:val="a3"/>
        <w:rPr>
          <w:u w:val="single"/>
          <w:lang w:val="hu-HU"/>
        </w:rPr>
      </w:pPr>
    </w:p>
    <w:p w14:paraId="4C82C206" w14:textId="77777777" w:rsidR="0037407E" w:rsidRDefault="0037407E" w:rsidP="0037407E">
      <w:pPr>
        <w:pStyle w:val="a3"/>
        <w:rPr>
          <w:u w:val="single"/>
          <w:lang w:val="hu-HU"/>
        </w:rPr>
      </w:pPr>
      <w:r>
        <w:rPr>
          <w:rFonts w:eastAsia="Times New Roman"/>
          <w:u w:val="single"/>
          <w:lang w:val="hu-HU"/>
        </w:rPr>
        <w:t>Daganatos betegség</w:t>
      </w:r>
    </w:p>
    <w:p w14:paraId="4F5A422F" w14:textId="77777777" w:rsidR="0037407E" w:rsidRDefault="0037407E" w:rsidP="0037407E">
      <w:pPr>
        <w:pStyle w:val="a3"/>
        <w:rPr>
          <w:u w:val="single"/>
          <w:lang w:val="hu-HU"/>
        </w:rPr>
      </w:pPr>
    </w:p>
    <w:p w14:paraId="54A9F564" w14:textId="135906BD" w:rsidR="0037407E" w:rsidRDefault="0037407E" w:rsidP="0037407E">
      <w:pPr>
        <w:pStyle w:val="a3"/>
        <w:numPr>
          <w:ilvl w:val="1"/>
          <w:numId w:val="4"/>
        </w:numPr>
        <w:ind w:left="660" w:hanging="660"/>
        <w:rPr>
          <w:lang w:val="hu-HU"/>
        </w:rPr>
      </w:pPr>
      <w:r>
        <w:rPr>
          <w:rFonts w:eastAsia="Times New Roman"/>
          <w:lang w:val="hu-HU"/>
        </w:rPr>
        <w:t>Nagyon ritkán előfordul, hogy a Yuflymá-t vagy más TNF-</w:t>
      </w:r>
      <w:r w:rsidR="005F5974" w:rsidRPr="005F5974">
        <w:rPr>
          <w:rFonts w:eastAsia="Times New Roman"/>
          <w:lang w:val="hu-HU"/>
        </w:rPr>
        <w:t xml:space="preserve"> </w:t>
      </w:r>
      <w:r w:rsidR="005F5974" w:rsidRPr="005560AB">
        <w:rPr>
          <w:rFonts w:eastAsia="Times New Roman"/>
          <w:lang w:val="hu-HU"/>
        </w:rPr>
        <w:t>gátló</w:t>
      </w:r>
      <w:r w:rsidR="005F5974">
        <w:rPr>
          <w:rFonts w:eastAsia="Times New Roman"/>
          <w:lang w:val="hu-HU"/>
        </w:rPr>
        <w:t xml:space="preserve"> </w:t>
      </w:r>
      <w:r>
        <w:rPr>
          <w:rFonts w:eastAsia="Times New Roman"/>
          <w:lang w:val="hu-HU"/>
        </w:rPr>
        <w:t>gyógyszert szedő betegeknél bizonyos daganatfajta jelentkezik.</w:t>
      </w:r>
    </w:p>
    <w:p w14:paraId="1737E1E2" w14:textId="77777777" w:rsidR="0037407E" w:rsidRDefault="0037407E" w:rsidP="0037407E">
      <w:pPr>
        <w:pStyle w:val="a3"/>
        <w:rPr>
          <w:lang w:val="hu-HU"/>
        </w:rPr>
      </w:pPr>
    </w:p>
    <w:p w14:paraId="55E16BCC" w14:textId="77777777" w:rsidR="0037407E" w:rsidRDefault="0037407E" w:rsidP="0037407E">
      <w:pPr>
        <w:pStyle w:val="a3"/>
        <w:numPr>
          <w:ilvl w:val="1"/>
          <w:numId w:val="4"/>
        </w:numPr>
        <w:ind w:left="998" w:hanging="340"/>
        <w:rPr>
          <w:lang w:val="hu-HU"/>
        </w:rPr>
      </w:pPr>
      <w:r>
        <w:rPr>
          <w:rFonts w:eastAsia="Times New Roman"/>
          <w:lang w:val="hu-HU"/>
        </w:rPr>
        <w:t>A hosszú ideje súlyos reumatoid artritiszben szenvedő betegeknek az átlagosnál nagyobb a kockázatuk, hogy limfóma (a nyirokrendszert érintő daganat) vagy leukémia (a csontvelőt, vérképzést érintő daganat) alakul ki.</w:t>
      </w:r>
    </w:p>
    <w:p w14:paraId="43F16300" w14:textId="77777777" w:rsidR="0037407E" w:rsidRDefault="0037407E" w:rsidP="0037407E">
      <w:pPr>
        <w:pStyle w:val="a3"/>
        <w:numPr>
          <w:ilvl w:val="1"/>
          <w:numId w:val="4"/>
        </w:numPr>
        <w:ind w:left="998" w:hanging="340"/>
        <w:rPr>
          <w:lang w:val="hu-HU"/>
        </w:rPr>
      </w:pPr>
      <w:r>
        <w:rPr>
          <w:rFonts w:eastAsia="Times New Roman"/>
          <w:lang w:val="hu-HU"/>
        </w:rPr>
        <w:t>Amennyiben Yuflyma-t kap, a limfóma, leukémia és az egyéb daganatos betegségek kialakulásának kockázata fokozódhat. Ritkán a nyirokdaganat (limfóma) egy nem gyakori és súlyos típusát észlelték Yuflymá-val kezelt betegeknél. E betegek közül egyeseket egyidejűleg azatioprinnel, illetve 6- merkaptopurinnal is kezeltek.</w:t>
      </w:r>
    </w:p>
    <w:p w14:paraId="1E6FD470" w14:textId="2784193E" w:rsidR="0037407E" w:rsidRDefault="0037407E" w:rsidP="0037407E">
      <w:pPr>
        <w:pStyle w:val="a3"/>
        <w:numPr>
          <w:ilvl w:val="1"/>
          <w:numId w:val="4"/>
        </w:numPr>
        <w:ind w:left="998" w:hanging="340"/>
        <w:rPr>
          <w:lang w:val="hu-HU"/>
        </w:rPr>
      </w:pPr>
      <w:r>
        <w:rPr>
          <w:rFonts w:eastAsia="Times New Roman"/>
          <w:lang w:val="hu-HU"/>
        </w:rPr>
        <w:t>Tájékoztassa kezelőorvosát, ha a Yuflymá-val egyidejűleg azatioprint vagy 6-merkapto</w:t>
      </w:r>
      <w:r w:rsidR="005F5974">
        <w:rPr>
          <w:rFonts w:eastAsia="Times New Roman"/>
          <w:lang w:val="hu-HU"/>
        </w:rPr>
        <w:t>-</w:t>
      </w:r>
      <w:r>
        <w:rPr>
          <w:rFonts w:eastAsia="Times New Roman"/>
          <w:lang w:val="hu-HU"/>
        </w:rPr>
        <w:t>purint szed.</w:t>
      </w:r>
    </w:p>
    <w:p w14:paraId="43359392" w14:textId="77777777" w:rsidR="0037407E" w:rsidRDefault="0037407E" w:rsidP="0037407E">
      <w:pPr>
        <w:pStyle w:val="a3"/>
        <w:numPr>
          <w:ilvl w:val="1"/>
          <w:numId w:val="4"/>
        </w:numPr>
        <w:ind w:left="998" w:hanging="340"/>
        <w:rPr>
          <w:lang w:val="hu-HU"/>
        </w:rPr>
      </w:pPr>
      <w:r>
        <w:rPr>
          <w:rFonts w:eastAsia="Times New Roman"/>
          <w:lang w:val="hu-HU"/>
        </w:rPr>
        <w:t>Esetenként nem melanomás bőrrák kialakulását észlelték Yuflymá-val kezelt betegeken.</w:t>
      </w:r>
    </w:p>
    <w:p w14:paraId="796B1B6E" w14:textId="77777777" w:rsidR="0037407E" w:rsidRDefault="0037407E" w:rsidP="0037407E">
      <w:pPr>
        <w:pStyle w:val="a3"/>
        <w:numPr>
          <w:ilvl w:val="1"/>
          <w:numId w:val="4"/>
        </w:numPr>
        <w:ind w:left="998" w:hanging="340"/>
        <w:rPr>
          <w:lang w:val="hu-HU"/>
        </w:rPr>
      </w:pPr>
      <w:r>
        <w:rPr>
          <w:rFonts w:eastAsia="Times New Roman"/>
          <w:lang w:val="hu-HU"/>
        </w:rPr>
        <w:t>Ha új bőrelváltozások jelennek meg a kezelés alatt, vagy a meglévők külleme megváltozik, tájékoztassa orvosát.</w:t>
      </w:r>
    </w:p>
    <w:p w14:paraId="1D085189" w14:textId="77777777" w:rsidR="0037407E" w:rsidRDefault="0037407E" w:rsidP="0037407E">
      <w:pPr>
        <w:pStyle w:val="a3"/>
        <w:rPr>
          <w:lang w:val="hu-HU"/>
        </w:rPr>
      </w:pPr>
    </w:p>
    <w:p w14:paraId="632CB0EF" w14:textId="6E2E1C78" w:rsidR="0037407E" w:rsidRDefault="00BE2389" w:rsidP="0037407E">
      <w:pPr>
        <w:pStyle w:val="a3"/>
        <w:numPr>
          <w:ilvl w:val="1"/>
          <w:numId w:val="4"/>
        </w:numPr>
        <w:ind w:left="660" w:hanging="660"/>
        <w:rPr>
          <w:lang w:val="hu-HU"/>
        </w:rPr>
      </w:pPr>
      <w:r>
        <w:rPr>
          <w:rFonts w:eastAsia="Times New Roman"/>
          <w:lang w:val="hu-HU"/>
        </w:rPr>
        <w:t>Voltak esetek</w:t>
      </w:r>
      <w:r w:rsidR="0037407E">
        <w:rPr>
          <w:rFonts w:eastAsia="Times New Roman"/>
          <w:lang w:val="hu-HU"/>
        </w:rPr>
        <w:t>, amikor egy adott tüdőbetegségben (</w:t>
      </w:r>
      <w:r>
        <w:rPr>
          <w:rFonts w:eastAsia="Times New Roman"/>
          <w:lang w:val="hu-HU"/>
        </w:rPr>
        <w:t>amelyet</w:t>
      </w:r>
      <w:r w:rsidR="0037407E">
        <w:rPr>
          <w:rFonts w:eastAsia="Times New Roman"/>
          <w:lang w:val="hu-HU"/>
        </w:rPr>
        <w:t xml:space="preserve"> idült obstruktív tüdőbetegség </w:t>
      </w:r>
      <w:r>
        <w:rPr>
          <w:rFonts w:eastAsia="Times New Roman"/>
          <w:lang w:val="hu-HU"/>
        </w:rPr>
        <w:t>(</w:t>
      </w:r>
      <w:r w:rsidR="0037407E">
        <w:rPr>
          <w:rFonts w:eastAsia="Times New Roman"/>
          <w:lang w:val="hu-HU"/>
        </w:rPr>
        <w:t xml:space="preserve">COPD) </w:t>
      </w:r>
      <w:r>
        <w:rPr>
          <w:rFonts w:eastAsia="Times New Roman"/>
          <w:lang w:val="hu-HU"/>
        </w:rPr>
        <w:t xml:space="preserve"> neveznek) szenvedő, </w:t>
      </w:r>
      <w:r w:rsidR="0037407E">
        <w:rPr>
          <w:rFonts w:eastAsia="Times New Roman"/>
          <w:lang w:val="hu-HU"/>
        </w:rPr>
        <w:t xml:space="preserve">TNF- gátlóval kezelt betegeken nem limfóma természetű rákos daganatok </w:t>
      </w:r>
      <w:r w:rsidR="0037407E">
        <w:rPr>
          <w:rFonts w:eastAsia="Times New Roman"/>
          <w:lang w:val="hu-HU"/>
        </w:rPr>
        <w:lastRenderedPageBreak/>
        <w:t>kialakulását észlelték. Ha Ön COPD- ba n szenved vagy erős dohányos, kérje kezelőorvosa tanácsát, hogy a TNF- gátlóval végzett kezelés megfelelő- e az Ön számára.</w:t>
      </w:r>
    </w:p>
    <w:p w14:paraId="448CBB8F" w14:textId="77777777" w:rsidR="0037407E" w:rsidRPr="00BE2389" w:rsidRDefault="0037407E" w:rsidP="0037407E">
      <w:pPr>
        <w:spacing w:before="11" w:line="240" w:lineRule="exact"/>
        <w:rPr>
          <w:sz w:val="24"/>
          <w:szCs w:val="24"/>
          <w:lang w:val="hu-HU"/>
        </w:rPr>
      </w:pPr>
    </w:p>
    <w:p w14:paraId="660424A7" w14:textId="77777777" w:rsidR="0037407E" w:rsidRDefault="0037407E" w:rsidP="0037407E">
      <w:pPr>
        <w:pStyle w:val="a3"/>
        <w:rPr>
          <w:u w:val="single"/>
          <w:lang w:val="hu-HU"/>
        </w:rPr>
      </w:pPr>
      <w:r>
        <w:rPr>
          <w:rFonts w:eastAsia="Times New Roman"/>
          <w:u w:val="single" w:color="000000"/>
          <w:lang w:val="hu-HU"/>
        </w:rPr>
        <w:t>Autoimmun betegség</w:t>
      </w:r>
    </w:p>
    <w:p w14:paraId="47FF145A" w14:textId="77777777" w:rsidR="0037407E" w:rsidRDefault="0037407E" w:rsidP="0037407E">
      <w:pPr>
        <w:spacing w:before="4" w:line="190" w:lineRule="exact"/>
        <w:rPr>
          <w:sz w:val="19"/>
          <w:szCs w:val="19"/>
          <w:lang w:val="hu-HU"/>
        </w:rPr>
      </w:pPr>
    </w:p>
    <w:p w14:paraId="1FBC99F0" w14:textId="59644990" w:rsidR="0037407E" w:rsidRDefault="0037407E" w:rsidP="0037407E">
      <w:pPr>
        <w:pStyle w:val="a3"/>
        <w:numPr>
          <w:ilvl w:val="1"/>
          <w:numId w:val="4"/>
        </w:numPr>
        <w:ind w:left="660" w:hanging="660"/>
        <w:rPr>
          <w:lang w:val="hu-HU"/>
        </w:rPr>
      </w:pPr>
      <w:r>
        <w:rPr>
          <w:rFonts w:eastAsia="Times New Roman"/>
          <w:lang w:val="hu-HU"/>
        </w:rPr>
        <w:t xml:space="preserve">Ritka esetekben a Yuflyma lupusz-szerű </w:t>
      </w:r>
      <w:r w:rsidR="005F5974" w:rsidRPr="00431BC5">
        <w:rPr>
          <w:rFonts w:eastAsia="Times New Roman"/>
          <w:lang w:val="hu-HU"/>
        </w:rPr>
        <w:t>tünetegyüttest</w:t>
      </w:r>
      <w:r w:rsidR="005F5974">
        <w:rPr>
          <w:rFonts w:eastAsia="Times New Roman"/>
          <w:lang w:val="hu-HU"/>
        </w:rPr>
        <w:t xml:space="preserve"> </w:t>
      </w:r>
      <w:r>
        <w:rPr>
          <w:rFonts w:eastAsia="Times New Roman"/>
          <w:lang w:val="hu-HU"/>
        </w:rPr>
        <w:t>okozhat. Keresse fel kezelőorvosát, ha olyan tüneteket észlel, mint a tartós, tisztázatlan eredetű kiütés, láz, ízületi fájdalom vagy fáradtság</w:t>
      </w:r>
    </w:p>
    <w:p w14:paraId="216A4C7A" w14:textId="77777777" w:rsidR="0037407E" w:rsidRDefault="0037407E" w:rsidP="0037407E">
      <w:pPr>
        <w:spacing w:before="15" w:line="240" w:lineRule="exact"/>
        <w:rPr>
          <w:sz w:val="24"/>
          <w:szCs w:val="24"/>
          <w:lang w:val="hu-HU"/>
        </w:rPr>
      </w:pPr>
    </w:p>
    <w:p w14:paraId="0604B852" w14:textId="77777777" w:rsidR="0037407E" w:rsidRDefault="0037407E" w:rsidP="0037407E">
      <w:pPr>
        <w:pStyle w:val="a3"/>
        <w:rPr>
          <w:b/>
          <w:lang w:val="hu-HU"/>
        </w:rPr>
      </w:pPr>
      <w:r>
        <w:rPr>
          <w:rFonts w:eastAsia="Times New Roman"/>
          <w:b/>
          <w:bCs/>
          <w:lang w:val="hu-HU"/>
        </w:rPr>
        <w:t>Gyermekek és serdülők</w:t>
      </w:r>
    </w:p>
    <w:p w14:paraId="7E1FC6A6" w14:textId="77777777" w:rsidR="0037407E" w:rsidRDefault="0037407E" w:rsidP="0037407E">
      <w:pPr>
        <w:spacing w:before="10" w:line="240" w:lineRule="exact"/>
        <w:rPr>
          <w:sz w:val="24"/>
          <w:szCs w:val="24"/>
          <w:lang w:val="hu-HU"/>
        </w:rPr>
      </w:pPr>
    </w:p>
    <w:p w14:paraId="2414DC98" w14:textId="77777777" w:rsidR="0037407E" w:rsidRDefault="0037407E" w:rsidP="0037407E">
      <w:pPr>
        <w:pStyle w:val="a3"/>
        <w:numPr>
          <w:ilvl w:val="1"/>
          <w:numId w:val="4"/>
        </w:numPr>
        <w:ind w:left="660" w:hanging="660"/>
        <w:rPr>
          <w:lang w:val="hu-HU"/>
        </w:rPr>
      </w:pPr>
      <w:r>
        <w:rPr>
          <w:rFonts w:eastAsia="Times New Roman"/>
          <w:lang w:val="hu-HU"/>
        </w:rPr>
        <w:t>Védőoltások: ha lehetséges, a gyermeknek és serdülőknek meg kell kapnia az összes esedékes védőoltást a Yuflyma alkalmazásának megkezdése előtt.</w:t>
      </w:r>
    </w:p>
    <w:p w14:paraId="4F5F8AA9" w14:textId="77777777" w:rsidR="0037407E" w:rsidRDefault="0037407E" w:rsidP="0037407E">
      <w:pPr>
        <w:pStyle w:val="a3"/>
        <w:rPr>
          <w:b/>
          <w:lang w:val="hu-HU"/>
        </w:rPr>
      </w:pPr>
    </w:p>
    <w:p w14:paraId="1F574E43" w14:textId="77777777" w:rsidR="0037407E" w:rsidRDefault="0037407E" w:rsidP="0037407E">
      <w:pPr>
        <w:pStyle w:val="a3"/>
        <w:rPr>
          <w:b/>
          <w:lang w:val="hu-HU"/>
        </w:rPr>
      </w:pPr>
      <w:r>
        <w:rPr>
          <w:rFonts w:eastAsia="Times New Roman"/>
          <w:b/>
          <w:bCs/>
          <w:lang w:val="hu-HU"/>
        </w:rPr>
        <w:t>Egyéb gyógyszerek és a Yuflyma</w:t>
      </w:r>
    </w:p>
    <w:p w14:paraId="73622426" w14:textId="77777777" w:rsidR="0037407E" w:rsidRDefault="0037407E" w:rsidP="0037407E">
      <w:pPr>
        <w:pStyle w:val="a3"/>
        <w:rPr>
          <w:b/>
          <w:lang w:val="hu-HU"/>
        </w:rPr>
      </w:pPr>
    </w:p>
    <w:p w14:paraId="1C5C9523" w14:textId="0DFBE966" w:rsidR="0037407E" w:rsidRDefault="0037407E" w:rsidP="0037407E">
      <w:pPr>
        <w:pStyle w:val="a3"/>
        <w:rPr>
          <w:lang w:val="hu-HU"/>
        </w:rPr>
      </w:pPr>
      <w:r>
        <w:rPr>
          <w:rFonts w:eastAsia="Times New Roman"/>
          <w:lang w:val="hu-HU"/>
        </w:rPr>
        <w:t xml:space="preserve">Feltétlenül tájékoztassa kezelőorvosát vagy gyógyszerészét </w:t>
      </w:r>
      <w:r w:rsidR="005F5974">
        <w:rPr>
          <w:rFonts w:eastAsia="Times New Roman"/>
          <w:lang w:val="hu-HU"/>
        </w:rPr>
        <w:t xml:space="preserve">a </w:t>
      </w:r>
      <w:r>
        <w:rPr>
          <w:rFonts w:eastAsia="Times New Roman"/>
          <w:lang w:val="hu-HU"/>
        </w:rPr>
        <w:t>jelenleg vagy nemrégiben szedett, valamint szedni tervezett egyéb gyógyszereiről. Nem alkalmazhatja a Yuflymá-t, a következő hatóanyagokat tartalmazó gyógyszerekkel</w:t>
      </w:r>
      <w:r w:rsidR="005F5974" w:rsidRPr="005F5974">
        <w:rPr>
          <w:rFonts w:eastAsia="Times New Roman"/>
          <w:lang w:val="hu-HU"/>
        </w:rPr>
        <w:t xml:space="preserve"> </w:t>
      </w:r>
      <w:r w:rsidR="005F5974" w:rsidRPr="00194A8F">
        <w:rPr>
          <w:rFonts w:eastAsia="Times New Roman"/>
          <w:lang w:val="hu-HU"/>
        </w:rPr>
        <w:t>együtt</w:t>
      </w:r>
      <w:r>
        <w:rPr>
          <w:rFonts w:eastAsia="Times New Roman"/>
          <w:lang w:val="hu-HU"/>
        </w:rPr>
        <w:t>, mert fokozódik</w:t>
      </w:r>
      <w:r w:rsidR="00BE2389">
        <w:rPr>
          <w:rFonts w:eastAsia="Times New Roman"/>
          <w:lang w:val="hu-HU"/>
        </w:rPr>
        <w:t xml:space="preserve"> </w:t>
      </w:r>
      <w:r>
        <w:rPr>
          <w:rFonts w:eastAsia="Times New Roman"/>
          <w:lang w:val="hu-HU"/>
        </w:rPr>
        <w:t>a súlyos fertőzések kockázata:</w:t>
      </w:r>
    </w:p>
    <w:p w14:paraId="26D232E3" w14:textId="77777777" w:rsidR="0037407E" w:rsidRDefault="0037407E" w:rsidP="0037407E">
      <w:pPr>
        <w:pStyle w:val="a3"/>
        <w:rPr>
          <w:lang w:val="hu-HU"/>
        </w:rPr>
      </w:pPr>
    </w:p>
    <w:p w14:paraId="68F6F9C4" w14:textId="77777777" w:rsidR="0037407E" w:rsidRDefault="0037407E" w:rsidP="0037407E">
      <w:pPr>
        <w:pStyle w:val="a3"/>
        <w:numPr>
          <w:ilvl w:val="1"/>
          <w:numId w:val="4"/>
        </w:numPr>
        <w:ind w:left="660" w:hanging="660"/>
        <w:rPr>
          <w:lang w:val="hu-HU"/>
        </w:rPr>
      </w:pPr>
      <w:r>
        <w:rPr>
          <w:rFonts w:eastAsia="Times New Roman"/>
          <w:lang w:val="hu-HU"/>
        </w:rPr>
        <w:t>anakinra</w:t>
      </w:r>
    </w:p>
    <w:p w14:paraId="65D8C318" w14:textId="77777777" w:rsidR="0037407E" w:rsidRDefault="0037407E" w:rsidP="0037407E">
      <w:pPr>
        <w:pStyle w:val="a3"/>
        <w:numPr>
          <w:ilvl w:val="1"/>
          <w:numId w:val="4"/>
        </w:numPr>
        <w:ind w:left="660" w:hanging="660"/>
        <w:rPr>
          <w:lang w:val="hu-HU"/>
        </w:rPr>
      </w:pPr>
      <w:r>
        <w:rPr>
          <w:rFonts w:eastAsia="Times New Roman"/>
          <w:lang w:val="hu-HU"/>
        </w:rPr>
        <w:t>abatacept.</w:t>
      </w:r>
    </w:p>
    <w:p w14:paraId="47C16954" w14:textId="77777777" w:rsidR="0037407E" w:rsidRDefault="0037407E" w:rsidP="0037407E">
      <w:pPr>
        <w:pStyle w:val="a3"/>
        <w:rPr>
          <w:lang w:val="hu-HU"/>
        </w:rPr>
      </w:pPr>
    </w:p>
    <w:p w14:paraId="61F28DC9" w14:textId="77777777" w:rsidR="0037407E" w:rsidRDefault="0037407E" w:rsidP="0037407E">
      <w:pPr>
        <w:pStyle w:val="a3"/>
        <w:rPr>
          <w:lang w:val="hu-HU"/>
        </w:rPr>
      </w:pPr>
      <w:r>
        <w:rPr>
          <w:rFonts w:eastAsia="Times New Roman"/>
          <w:lang w:val="hu-HU"/>
        </w:rPr>
        <w:t>A Yuflyma együtt alkalmazható:</w:t>
      </w:r>
    </w:p>
    <w:p w14:paraId="313642CB" w14:textId="77777777" w:rsidR="0037407E" w:rsidRDefault="0037407E" w:rsidP="0037407E">
      <w:pPr>
        <w:pStyle w:val="a3"/>
        <w:numPr>
          <w:ilvl w:val="1"/>
          <w:numId w:val="4"/>
        </w:numPr>
        <w:ind w:left="660" w:hanging="660"/>
        <w:rPr>
          <w:lang w:val="hu-HU"/>
        </w:rPr>
      </w:pPr>
      <w:r>
        <w:rPr>
          <w:rFonts w:eastAsia="Times New Roman"/>
          <w:lang w:val="hu-HU"/>
        </w:rPr>
        <w:t>metotrexáttal</w:t>
      </w:r>
    </w:p>
    <w:p w14:paraId="09AD395F" w14:textId="77777777" w:rsidR="0037407E" w:rsidRDefault="0037407E" w:rsidP="0037407E">
      <w:pPr>
        <w:pStyle w:val="a3"/>
        <w:numPr>
          <w:ilvl w:val="1"/>
          <w:numId w:val="4"/>
        </w:numPr>
        <w:ind w:left="660" w:hanging="660"/>
        <w:rPr>
          <w:lang w:val="hu-HU"/>
        </w:rPr>
      </w:pPr>
      <w:r>
        <w:rPr>
          <w:rFonts w:eastAsia="Times New Roman"/>
          <w:lang w:val="hu-HU"/>
        </w:rPr>
        <w:t>egyéb, a betegséget befolyásoló reumaellenes szerrel (szulfaszalazin, hidroxiklorokin, leflunomid és arany injekció)</w:t>
      </w:r>
    </w:p>
    <w:p w14:paraId="557E99E6" w14:textId="77777777" w:rsidR="0037407E" w:rsidRDefault="0037407E" w:rsidP="0037407E">
      <w:pPr>
        <w:pStyle w:val="a3"/>
        <w:numPr>
          <w:ilvl w:val="1"/>
          <w:numId w:val="4"/>
        </w:numPr>
        <w:ind w:left="660" w:hanging="660"/>
        <w:rPr>
          <w:lang w:val="hu-HU"/>
        </w:rPr>
      </w:pPr>
      <w:r>
        <w:rPr>
          <w:rFonts w:eastAsia="Times New Roman"/>
          <w:lang w:val="hu-HU"/>
        </w:rPr>
        <w:t>szteroidokkal vagy fájdalomcsillapító készítményekkel, beleértve a nem-szteroid gyulladásgátlókat (NSAID-ket).</w:t>
      </w:r>
    </w:p>
    <w:p w14:paraId="74E2E2B8" w14:textId="77777777" w:rsidR="0037407E" w:rsidRDefault="0037407E" w:rsidP="0037407E">
      <w:pPr>
        <w:pStyle w:val="a3"/>
        <w:rPr>
          <w:lang w:val="hu-HU"/>
        </w:rPr>
      </w:pPr>
    </w:p>
    <w:p w14:paraId="3F20A8B3" w14:textId="77777777" w:rsidR="0037407E" w:rsidRDefault="0037407E" w:rsidP="0037407E">
      <w:pPr>
        <w:pStyle w:val="a3"/>
        <w:rPr>
          <w:lang w:val="hu-HU"/>
        </w:rPr>
      </w:pPr>
      <w:r>
        <w:rPr>
          <w:rFonts w:eastAsia="Times New Roman"/>
          <w:lang w:val="hu-HU"/>
        </w:rPr>
        <w:t>Ha kérdése van, kérdezze meg kezelőorvosát.</w:t>
      </w:r>
    </w:p>
    <w:p w14:paraId="62F4BE9B" w14:textId="77777777" w:rsidR="0037407E" w:rsidRDefault="0037407E" w:rsidP="0037407E">
      <w:pPr>
        <w:spacing w:before="18" w:line="240" w:lineRule="exact"/>
        <w:rPr>
          <w:sz w:val="24"/>
          <w:szCs w:val="24"/>
          <w:lang w:val="hu-HU"/>
        </w:rPr>
      </w:pPr>
    </w:p>
    <w:p w14:paraId="62412982" w14:textId="77777777" w:rsidR="0037407E" w:rsidRDefault="0037407E" w:rsidP="0037407E">
      <w:pPr>
        <w:pStyle w:val="a3"/>
        <w:rPr>
          <w:b/>
          <w:lang w:val="hu-HU"/>
        </w:rPr>
      </w:pPr>
      <w:r>
        <w:rPr>
          <w:rFonts w:eastAsia="Times New Roman"/>
          <w:b/>
          <w:bCs/>
          <w:lang w:val="hu-HU"/>
        </w:rPr>
        <w:t>Terhesség és szoptatás</w:t>
      </w:r>
    </w:p>
    <w:p w14:paraId="78E23AF6" w14:textId="77777777" w:rsidR="0037407E" w:rsidRDefault="0037407E" w:rsidP="0037407E">
      <w:pPr>
        <w:spacing w:before="9" w:line="260" w:lineRule="exact"/>
        <w:rPr>
          <w:sz w:val="26"/>
          <w:szCs w:val="26"/>
          <w:lang w:val="hu-HU"/>
        </w:rPr>
      </w:pPr>
    </w:p>
    <w:p w14:paraId="19FCEE4C" w14:textId="77670F65" w:rsidR="0037407E" w:rsidRDefault="0037407E" w:rsidP="0037407E">
      <w:pPr>
        <w:pStyle w:val="a3"/>
        <w:numPr>
          <w:ilvl w:val="1"/>
          <w:numId w:val="4"/>
        </w:numPr>
        <w:ind w:left="660" w:hanging="660"/>
        <w:rPr>
          <w:lang w:val="hu-HU"/>
        </w:rPr>
      </w:pPr>
      <w:r>
        <w:rPr>
          <w:rFonts w:eastAsia="Times New Roman"/>
          <w:lang w:val="hu-HU"/>
        </w:rPr>
        <w:t>A terhesség megelőzése érdekében meg kell fontolnia a megfelelő fogamzásgátlás alkalmazását és</w:t>
      </w:r>
      <w:r w:rsidR="005F5974" w:rsidRPr="005F5974">
        <w:rPr>
          <w:rFonts w:eastAsia="Times New Roman"/>
          <w:lang w:val="hu-HU"/>
        </w:rPr>
        <w:t xml:space="preserve"> </w:t>
      </w:r>
      <w:r w:rsidR="005F5974" w:rsidRPr="00105A2E">
        <w:rPr>
          <w:rFonts w:eastAsia="Times New Roman"/>
          <w:lang w:val="hu-HU"/>
        </w:rPr>
        <w:t>annak</w:t>
      </w:r>
      <w:r>
        <w:rPr>
          <w:rFonts w:eastAsia="Times New Roman"/>
          <w:lang w:val="hu-HU"/>
        </w:rPr>
        <w:t xml:space="preserve"> folytatását a Yuflyma-val történt utolsó kezelést követően legalább 5 hónapig.</w:t>
      </w:r>
    </w:p>
    <w:p w14:paraId="174EA810" w14:textId="77777777" w:rsidR="0037407E" w:rsidRDefault="0037407E" w:rsidP="0037407E">
      <w:pPr>
        <w:pStyle w:val="a3"/>
        <w:numPr>
          <w:ilvl w:val="1"/>
          <w:numId w:val="4"/>
        </w:numPr>
        <w:ind w:left="660" w:hanging="660"/>
        <w:rPr>
          <w:lang w:val="hu-HU"/>
        </w:rPr>
      </w:pPr>
      <w:r>
        <w:rPr>
          <w:rFonts w:eastAsia="Times New Roman"/>
          <w:lang w:val="hu-HU"/>
        </w:rPr>
        <w:t>Ha Ön terhes, ha fennáll Önnél a terhesség lehetősége vagy gyermeket szeretne, a gyógyszer alkalmazása előtt beszéljen kezelőorvosával vagy gyógyszerészével.</w:t>
      </w:r>
    </w:p>
    <w:p w14:paraId="3F92281B" w14:textId="77777777" w:rsidR="0037407E" w:rsidRDefault="0037407E" w:rsidP="0037407E">
      <w:pPr>
        <w:pStyle w:val="a3"/>
        <w:numPr>
          <w:ilvl w:val="1"/>
          <w:numId w:val="4"/>
        </w:numPr>
        <w:ind w:left="660" w:hanging="660"/>
        <w:rPr>
          <w:lang w:val="hu-HU"/>
        </w:rPr>
      </w:pPr>
      <w:r>
        <w:rPr>
          <w:rFonts w:eastAsia="Times New Roman"/>
          <w:lang w:val="hu-HU"/>
        </w:rPr>
        <w:t>A Yuflyma csak akkor alkalmazható terhesség alatt, ha egyértelműen szükséges.</w:t>
      </w:r>
    </w:p>
    <w:p w14:paraId="651979C9" w14:textId="77777777" w:rsidR="0037407E" w:rsidRDefault="0037407E" w:rsidP="0037407E">
      <w:pPr>
        <w:pStyle w:val="a3"/>
        <w:numPr>
          <w:ilvl w:val="1"/>
          <w:numId w:val="4"/>
        </w:numPr>
        <w:ind w:left="660" w:hanging="660"/>
        <w:rPr>
          <w:lang w:val="hu-HU"/>
        </w:rPr>
      </w:pPr>
      <w:r>
        <w:rPr>
          <w:rFonts w:eastAsia="Times New Roman"/>
          <w:lang w:val="hu-HU"/>
        </w:rPr>
        <w:t>Egy terhes nőkkel végzett klinikai vizsgálat alapján nem volt magasabb a születési rendellenességek kockázata azoknál a nőknél, akik a terhességük alatt Yuflyma-kezelésben részesültek, mint az azonos betegségben szenvedő, Yuflyma-kezelésben nem részesült nőknél.</w:t>
      </w:r>
    </w:p>
    <w:p w14:paraId="1D61F607" w14:textId="77777777" w:rsidR="0037407E" w:rsidRDefault="0037407E" w:rsidP="0037407E">
      <w:pPr>
        <w:pStyle w:val="a3"/>
        <w:numPr>
          <w:ilvl w:val="1"/>
          <w:numId w:val="4"/>
        </w:numPr>
        <w:ind w:left="660" w:hanging="660"/>
        <w:rPr>
          <w:lang w:val="hu-HU"/>
        </w:rPr>
      </w:pPr>
      <w:r>
        <w:rPr>
          <w:rFonts w:eastAsia="Times New Roman"/>
          <w:lang w:val="hu-HU"/>
        </w:rPr>
        <w:t>Szoptatás alatt a Yuflyma alkalmazható.</w:t>
      </w:r>
    </w:p>
    <w:p w14:paraId="5228347F" w14:textId="77777777" w:rsidR="0037407E" w:rsidRDefault="0037407E" w:rsidP="0037407E">
      <w:pPr>
        <w:pStyle w:val="a3"/>
        <w:numPr>
          <w:ilvl w:val="1"/>
          <w:numId w:val="4"/>
        </w:numPr>
        <w:ind w:left="660" w:hanging="660"/>
        <w:rPr>
          <w:lang w:val="hu-HU"/>
        </w:rPr>
      </w:pPr>
      <w:r>
        <w:rPr>
          <w:rFonts w:eastAsia="Times New Roman"/>
          <w:lang w:val="hu-HU"/>
        </w:rPr>
        <w:t>Ha a terhessége alatt Yuflyma-t kapott, a kisbabája nagyobb eséllyel kap el valamilyen fertőzést.</w:t>
      </w:r>
    </w:p>
    <w:p w14:paraId="6B72D0B0" w14:textId="77777777" w:rsidR="0037407E" w:rsidRDefault="0037407E" w:rsidP="0037407E">
      <w:pPr>
        <w:pStyle w:val="a3"/>
        <w:numPr>
          <w:ilvl w:val="1"/>
          <w:numId w:val="4"/>
        </w:numPr>
        <w:ind w:left="660" w:hanging="660"/>
        <w:rPr>
          <w:lang w:val="hu-HU"/>
        </w:rPr>
      </w:pPr>
      <w:r>
        <w:rPr>
          <w:rFonts w:eastAsia="Times New Roman"/>
          <w:lang w:val="hu-HU"/>
        </w:rPr>
        <w:t>Fontos, hogy elmondja kisbabája orvosának vagy az őt kezelő egészségügyi személyzetnek, hogy a terhessége alatt Yuflyma-t kapott, mielőtt a kisbaba bármilyen védőoltást kapna. A védőoltásokról további információt talál a „Figyelmeztetések és óvintézkedések” részben.</w:t>
      </w:r>
    </w:p>
    <w:p w14:paraId="2EBCE700" w14:textId="77777777" w:rsidR="0037407E" w:rsidRDefault="0037407E" w:rsidP="0037407E">
      <w:pPr>
        <w:spacing w:before="15" w:line="240" w:lineRule="exact"/>
        <w:rPr>
          <w:b/>
          <w:sz w:val="24"/>
          <w:szCs w:val="24"/>
          <w:lang w:val="hu-HU"/>
        </w:rPr>
      </w:pPr>
    </w:p>
    <w:p w14:paraId="1FF6B69B" w14:textId="77777777" w:rsidR="0037407E" w:rsidRDefault="0037407E" w:rsidP="0037407E">
      <w:pPr>
        <w:pStyle w:val="a3"/>
        <w:rPr>
          <w:b/>
          <w:lang w:val="hu-HU"/>
        </w:rPr>
      </w:pPr>
      <w:r>
        <w:rPr>
          <w:rFonts w:eastAsia="Times New Roman"/>
          <w:b/>
          <w:bCs/>
          <w:lang w:val="hu-HU"/>
        </w:rPr>
        <w:t>A készítmény hatásai a gépjárművezetéshez és a gépek kezeléséhez szükséges képességekre</w:t>
      </w:r>
    </w:p>
    <w:p w14:paraId="56C81659" w14:textId="77777777" w:rsidR="0037407E" w:rsidRDefault="0037407E" w:rsidP="0037407E">
      <w:pPr>
        <w:spacing w:before="12" w:line="240" w:lineRule="exact"/>
        <w:rPr>
          <w:sz w:val="24"/>
          <w:szCs w:val="24"/>
          <w:lang w:val="hu-HU"/>
        </w:rPr>
      </w:pPr>
    </w:p>
    <w:p w14:paraId="550E3D75" w14:textId="11889831" w:rsidR="0037407E" w:rsidRDefault="0037407E" w:rsidP="0037407E">
      <w:pPr>
        <w:pStyle w:val="a3"/>
        <w:rPr>
          <w:lang w:val="hu-HU"/>
        </w:rPr>
      </w:pPr>
      <w:r>
        <w:rPr>
          <w:rFonts w:eastAsia="Times New Roman"/>
          <w:lang w:val="hu-HU"/>
        </w:rPr>
        <w:t>A Yuflyma csak csekély mértékben befolyásolhatja a gépjárművezetéshez, kerékpározáshoz vagy a gépek kezeléséhez szükséges képességeket. A Yuflyma alkalmazását követően előfordulhat olyan érzés, mintha forogna a szoba vagy a tér, továbbá látászavar is előfordulhat</w:t>
      </w:r>
      <w:r w:rsidR="00CA2C60">
        <w:rPr>
          <w:rFonts w:eastAsia="Times New Roman"/>
          <w:lang w:val="hu-HU"/>
        </w:rPr>
        <w:t>.</w:t>
      </w:r>
    </w:p>
    <w:p w14:paraId="1E588547" w14:textId="77777777" w:rsidR="0037407E" w:rsidRDefault="0037407E" w:rsidP="0037407E">
      <w:pPr>
        <w:spacing w:line="200" w:lineRule="exact"/>
        <w:rPr>
          <w:sz w:val="20"/>
          <w:szCs w:val="20"/>
          <w:lang w:val="hu-HU"/>
        </w:rPr>
      </w:pPr>
    </w:p>
    <w:p w14:paraId="44FDAB1E" w14:textId="27DDBE37" w:rsidR="0037407E" w:rsidRDefault="0037407E" w:rsidP="0037407E">
      <w:pPr>
        <w:pStyle w:val="a3"/>
        <w:rPr>
          <w:b/>
          <w:lang w:val="hu-HU"/>
        </w:rPr>
      </w:pPr>
      <w:r>
        <w:rPr>
          <w:rFonts w:eastAsia="Times New Roman"/>
          <w:b/>
          <w:bCs/>
          <w:lang w:val="hu-HU"/>
        </w:rPr>
        <w:t>A</w:t>
      </w:r>
      <w:r w:rsidR="006136D3">
        <w:rPr>
          <w:rFonts w:hint="eastAsia"/>
          <w:b/>
          <w:bCs/>
          <w:lang w:val="hu-HU" w:eastAsia="ko-KR"/>
        </w:rPr>
        <w:t>Yuflyma</w:t>
      </w:r>
      <w:r>
        <w:rPr>
          <w:rFonts w:eastAsia="Times New Roman"/>
          <w:b/>
          <w:bCs/>
          <w:lang w:val="hu-HU"/>
        </w:rPr>
        <w:t xml:space="preserve"> nátriumot tartalmaz</w:t>
      </w:r>
    </w:p>
    <w:p w14:paraId="529A6BD3" w14:textId="77777777" w:rsidR="0037407E" w:rsidRDefault="0037407E" w:rsidP="0037407E">
      <w:pPr>
        <w:spacing w:before="12" w:line="240" w:lineRule="exact"/>
        <w:rPr>
          <w:sz w:val="24"/>
          <w:szCs w:val="24"/>
          <w:lang w:val="hu-HU"/>
        </w:rPr>
      </w:pPr>
    </w:p>
    <w:p w14:paraId="092753E6" w14:textId="47C6A015" w:rsidR="0037407E" w:rsidRDefault="0037407E" w:rsidP="0037407E">
      <w:pPr>
        <w:spacing w:line="200" w:lineRule="exact"/>
        <w:rPr>
          <w:sz w:val="20"/>
          <w:szCs w:val="20"/>
          <w:lang w:val="hu-HU"/>
        </w:rPr>
      </w:pPr>
      <w:r>
        <w:rPr>
          <w:rFonts w:ascii="Times New Roman" w:eastAsia="Times New Roman" w:hAnsi="Times New Roman" w:cs="Times New Roman"/>
          <w:lang w:val="hu-HU"/>
        </w:rPr>
        <w:t>Ez a gyógyszer kevesebb mint 1 mmol nátriumot (23 mg) tartalmaz 0,</w:t>
      </w:r>
      <w:r w:rsidR="00C73957">
        <w:rPr>
          <w:rFonts w:ascii="Times New Roman" w:eastAsia="Times New Roman" w:hAnsi="Times New Roman" w:cs="Times New Roman"/>
          <w:lang w:val="hu-HU"/>
        </w:rPr>
        <w:t>8</w:t>
      </w:r>
      <w:r>
        <w:rPr>
          <w:rFonts w:ascii="Times New Roman" w:eastAsia="Times New Roman" w:hAnsi="Times New Roman" w:cs="Times New Roman"/>
          <w:lang w:val="hu-HU"/>
        </w:rPr>
        <w:t xml:space="preserve">  ml-es </w:t>
      </w:r>
      <w:r w:rsidR="005F5974" w:rsidRPr="00105A2E">
        <w:rPr>
          <w:rFonts w:ascii="Times New Roman" w:eastAsia="Times New Roman" w:hAnsi="Times New Roman" w:cs="Times New Roman"/>
          <w:lang w:val="hu-HU"/>
        </w:rPr>
        <w:t>adagonként</w:t>
      </w:r>
      <w:r>
        <w:rPr>
          <w:rFonts w:ascii="Times New Roman" w:eastAsia="Times New Roman" w:hAnsi="Times New Roman" w:cs="Times New Roman"/>
          <w:lang w:val="hu-HU"/>
        </w:rPr>
        <w:t>, azaz lényegében „nátriummentes”.</w:t>
      </w:r>
    </w:p>
    <w:p w14:paraId="44CA54A7" w14:textId="77777777" w:rsidR="0037407E" w:rsidRDefault="0037407E" w:rsidP="0037407E">
      <w:pPr>
        <w:spacing w:line="200" w:lineRule="exact"/>
        <w:rPr>
          <w:sz w:val="20"/>
          <w:szCs w:val="20"/>
          <w:lang w:val="hu-HU"/>
        </w:rPr>
      </w:pPr>
    </w:p>
    <w:p w14:paraId="211E6A0E" w14:textId="77777777" w:rsidR="0037407E" w:rsidRDefault="0037407E" w:rsidP="0037407E">
      <w:pPr>
        <w:spacing w:line="200" w:lineRule="exact"/>
        <w:rPr>
          <w:sz w:val="20"/>
          <w:szCs w:val="20"/>
          <w:lang w:val="hu-HU"/>
        </w:rPr>
      </w:pPr>
    </w:p>
    <w:p w14:paraId="26D75755" w14:textId="3CA7F994" w:rsidR="0037407E" w:rsidRDefault="0037407E" w:rsidP="00FD05AA">
      <w:pPr>
        <w:pStyle w:val="a4"/>
        <w:numPr>
          <w:ilvl w:val="0"/>
          <w:numId w:val="66"/>
        </w:numPr>
        <w:spacing w:line="240" w:lineRule="exact"/>
        <w:ind w:hanging="468"/>
        <w:rPr>
          <w:rFonts w:ascii="Times New Roman" w:hAnsi="Times New Roman" w:cs="Times New Roman"/>
          <w:b/>
          <w:lang w:val="hu-HU"/>
        </w:rPr>
      </w:pPr>
      <w:r>
        <w:rPr>
          <w:rFonts w:ascii="Times New Roman" w:eastAsia="Times New Roman" w:hAnsi="Times New Roman" w:cs="Times New Roman"/>
          <w:b/>
          <w:bCs/>
          <w:lang w:val="hu-HU"/>
        </w:rPr>
        <w:t>Hogyan kell alkalmazni a Yuflyma-t</w:t>
      </w:r>
      <w:r w:rsidR="0032768D">
        <w:rPr>
          <w:rFonts w:ascii="Times New Roman" w:eastAsia="Times New Roman" w:hAnsi="Times New Roman" w:cs="Times New Roman"/>
          <w:b/>
          <w:bCs/>
          <w:lang w:val="hu-HU"/>
        </w:rPr>
        <w:t>?</w:t>
      </w:r>
    </w:p>
    <w:p w14:paraId="2E3E0CDB" w14:textId="77777777" w:rsidR="0037407E" w:rsidRDefault="0037407E" w:rsidP="0037407E">
      <w:pPr>
        <w:spacing w:before="9" w:line="240" w:lineRule="exact"/>
        <w:rPr>
          <w:sz w:val="24"/>
          <w:szCs w:val="24"/>
          <w:lang w:val="hu-HU"/>
        </w:rPr>
      </w:pPr>
    </w:p>
    <w:p w14:paraId="1D7FF125" w14:textId="77777777" w:rsidR="0037407E" w:rsidRDefault="0037407E" w:rsidP="0037407E">
      <w:pPr>
        <w:pStyle w:val="a3"/>
        <w:rPr>
          <w:lang w:val="hu-HU"/>
        </w:rPr>
      </w:pPr>
      <w:r>
        <w:rPr>
          <w:rFonts w:eastAsia="Times New Roman"/>
          <w:lang w:val="hu-HU"/>
        </w:rPr>
        <w:t>A gyógyszert mindig a kezelőorvosa vagy gyógyszerésze által elmondottaknak megfelelően alkalmazza. Forduljon orvosához vagy gyógyszerészéhez, ha bizonytalan valamiben.</w:t>
      </w:r>
    </w:p>
    <w:p w14:paraId="5BCFEE49" w14:textId="77777777" w:rsidR="00E71758" w:rsidRDefault="00E71758" w:rsidP="00E71758">
      <w:pPr>
        <w:pStyle w:val="a3"/>
        <w:rPr>
          <w:lang w:val="hu-HU"/>
        </w:rPr>
      </w:pPr>
    </w:p>
    <w:p w14:paraId="1839D070" w14:textId="5BBA7FD5" w:rsidR="0037407E" w:rsidRDefault="00E71758" w:rsidP="0037407E">
      <w:pPr>
        <w:pStyle w:val="a3"/>
        <w:rPr>
          <w:rFonts w:eastAsia="Times New Roman"/>
          <w:lang w:val="hu-HU"/>
        </w:rPr>
      </w:pPr>
      <w:r w:rsidRPr="00167BF3">
        <w:rPr>
          <w:lang w:val="hu-HU"/>
        </w:rPr>
        <w:t xml:space="preserve">A </w:t>
      </w:r>
      <w:r w:rsidR="00151C9A" w:rsidRPr="00167BF3">
        <w:rPr>
          <w:lang w:val="hu-HU"/>
        </w:rPr>
        <w:t>Yuflyma</w:t>
      </w:r>
      <w:r w:rsidRPr="00167BF3">
        <w:rPr>
          <w:lang w:val="hu-HU"/>
        </w:rPr>
        <w:t xml:space="preserve"> javasolt adagját az alábbi táblázat mutatja, alkalmazási terület szerint. Kezelőorvosa más hatáserősségű </w:t>
      </w:r>
      <w:r w:rsidR="00151C9A" w:rsidRPr="00167BF3">
        <w:rPr>
          <w:lang w:val="hu-HU"/>
        </w:rPr>
        <w:t>Yuflyma</w:t>
      </w:r>
      <w:r w:rsidRPr="00167BF3">
        <w:rPr>
          <w:lang w:val="hu-HU"/>
        </w:rPr>
        <w:t>-t is felírhat, ha Önnek más dózisra van szüksége.</w:t>
      </w:r>
    </w:p>
    <w:p w14:paraId="498D7E63" w14:textId="77777777" w:rsidR="00E71758" w:rsidRDefault="00E71758" w:rsidP="0037407E">
      <w:pPr>
        <w:pStyle w:val="a3"/>
        <w:rPr>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37407E" w:rsidRPr="00AD741E" w14:paraId="68477312" w14:textId="77777777" w:rsidTr="007E7849">
        <w:tc>
          <w:tcPr>
            <w:tcW w:w="9288" w:type="dxa"/>
            <w:gridSpan w:val="3"/>
            <w:tcBorders>
              <w:top w:val="single" w:sz="5" w:space="0" w:color="000000"/>
              <w:left w:val="single" w:sz="5" w:space="0" w:color="000000"/>
              <w:bottom w:val="single" w:sz="5" w:space="0" w:color="000000"/>
              <w:right w:val="single" w:sz="5" w:space="0" w:color="000000"/>
            </w:tcBorders>
          </w:tcPr>
          <w:p w14:paraId="21021760" w14:textId="142D8EC3" w:rsidR="0037407E" w:rsidRDefault="0037407E" w:rsidP="00CE42DC">
            <w:pPr>
              <w:pStyle w:val="TableParagraph"/>
              <w:spacing w:line="251"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Reumatoid artritisz</w:t>
            </w:r>
          </w:p>
        </w:tc>
      </w:tr>
      <w:tr w:rsidR="0037407E" w14:paraId="451A002C" w14:textId="77777777" w:rsidTr="007E7849">
        <w:tc>
          <w:tcPr>
            <w:tcW w:w="3096" w:type="dxa"/>
            <w:tcBorders>
              <w:top w:val="single" w:sz="5" w:space="0" w:color="000000"/>
              <w:left w:val="single" w:sz="5" w:space="0" w:color="000000"/>
              <w:bottom w:val="single" w:sz="5" w:space="0" w:color="000000"/>
              <w:right w:val="single" w:sz="5" w:space="0" w:color="000000"/>
            </w:tcBorders>
          </w:tcPr>
          <w:p w14:paraId="18167865"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5" w:space="0" w:color="000000"/>
              <w:bottom w:val="single" w:sz="5" w:space="0" w:color="000000"/>
              <w:right w:val="single" w:sz="5" w:space="0" w:color="000000"/>
            </w:tcBorders>
          </w:tcPr>
          <w:p w14:paraId="31158206"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w:t>
            </w:r>
          </w:p>
          <w:p w14:paraId="2129F706" w14:textId="77777777" w:rsidR="0037407E" w:rsidRDefault="0037407E" w:rsidP="007E7849">
            <w:pPr>
              <w:pStyle w:val="TableParagraph"/>
              <w:spacing w:before="1" w:line="252"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alkalmazni?</w:t>
            </w:r>
          </w:p>
        </w:tc>
        <w:tc>
          <w:tcPr>
            <w:tcW w:w="3096" w:type="dxa"/>
            <w:tcBorders>
              <w:top w:val="single" w:sz="5" w:space="0" w:color="000000"/>
              <w:left w:val="single" w:sz="5" w:space="0" w:color="000000"/>
              <w:bottom w:val="single" w:sz="5" w:space="0" w:color="000000"/>
              <w:right w:val="single" w:sz="5" w:space="0" w:color="000000"/>
            </w:tcBorders>
          </w:tcPr>
          <w:p w14:paraId="61F668A9"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37407E" w:rsidRPr="00BE4D18" w14:paraId="10AF6E1B" w14:textId="77777777" w:rsidTr="007E7849">
        <w:tc>
          <w:tcPr>
            <w:tcW w:w="3096" w:type="dxa"/>
            <w:tcBorders>
              <w:top w:val="single" w:sz="5" w:space="0" w:color="000000"/>
              <w:left w:val="single" w:sz="5" w:space="0" w:color="000000"/>
              <w:bottom w:val="single" w:sz="5" w:space="0" w:color="000000"/>
              <w:right w:val="single" w:sz="5" w:space="0" w:color="000000"/>
            </w:tcBorders>
          </w:tcPr>
          <w:p w14:paraId="11857D97" w14:textId="77777777" w:rsidR="0037407E" w:rsidRDefault="0037407E" w:rsidP="007E784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Felnőttek</w:t>
            </w:r>
          </w:p>
        </w:tc>
        <w:tc>
          <w:tcPr>
            <w:tcW w:w="3096" w:type="dxa"/>
            <w:tcBorders>
              <w:top w:val="single" w:sz="5" w:space="0" w:color="000000"/>
              <w:left w:val="single" w:sz="5" w:space="0" w:color="000000"/>
              <w:bottom w:val="single" w:sz="5" w:space="0" w:color="000000"/>
              <w:right w:val="single" w:sz="5" w:space="0" w:color="000000"/>
            </w:tcBorders>
          </w:tcPr>
          <w:p w14:paraId="492FC905" w14:textId="1703AFCB" w:rsidR="0037407E" w:rsidRDefault="0037407E" w:rsidP="007E7849">
            <w:pPr>
              <w:pStyle w:val="TableParagraph"/>
              <w:spacing w:line="246" w:lineRule="exact"/>
              <w:ind w:left="102" w:right="57"/>
              <w:rPr>
                <w:rFonts w:ascii="Times New Roman" w:eastAsia="Times New Roman" w:hAnsi="Times New Roman" w:cs="Times New Roman"/>
                <w:lang w:val="hu-HU"/>
              </w:rPr>
            </w:pPr>
            <w:r w:rsidRPr="005D58A4">
              <w:rPr>
                <w:rFonts w:ascii="Times New Roman" w:eastAsia="Times New Roman" w:hAnsi="Times New Roman" w:cs="Times New Roman"/>
                <w:spacing w:val="-1"/>
                <w:lang w:val="hu-HU"/>
              </w:rPr>
              <w:t xml:space="preserve">40 mg </w:t>
            </w:r>
            <w:r w:rsidR="00AC52FB">
              <w:rPr>
                <w:rFonts w:ascii="Times New Roman" w:hAnsi="Times New Roman" w:cs="Times New Roman"/>
                <w:lang w:val="hu-HU"/>
              </w:rPr>
              <w:t>kéthetente</w:t>
            </w:r>
          </w:p>
        </w:tc>
        <w:tc>
          <w:tcPr>
            <w:tcW w:w="3096" w:type="dxa"/>
            <w:tcBorders>
              <w:top w:val="single" w:sz="5" w:space="0" w:color="000000"/>
              <w:left w:val="single" w:sz="5" w:space="0" w:color="000000"/>
              <w:bottom w:val="single" w:sz="5" w:space="0" w:color="000000"/>
              <w:right w:val="single" w:sz="5" w:space="0" w:color="000000"/>
            </w:tcBorders>
          </w:tcPr>
          <w:p w14:paraId="296B7C8F" w14:textId="29F8325A" w:rsidR="0037407E" w:rsidRDefault="0037407E" w:rsidP="00545FC6">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Reumatoid artritiszben</w:t>
            </w:r>
            <w:r w:rsidR="0036087F">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 xml:space="preserve">a Yuflyma alkalmazása során a metotrexát-kezelést folytatni kell. Amennyiben az Ön kezelőorvosa a metotrexát adását szükségtelennek tartja, abban az esetben a Yuflyma </w:t>
            </w:r>
            <w:r w:rsidR="005F5974" w:rsidRPr="00575ED4">
              <w:rPr>
                <w:rFonts w:ascii="Times New Roman" w:eastAsia="Times New Roman" w:hAnsi="Times New Roman" w:cs="Times New Roman" w:hint="eastAsia"/>
                <w:spacing w:val="-1"/>
                <w:lang w:val="hu-HU"/>
              </w:rPr>
              <w:t>ö</w:t>
            </w:r>
            <w:r w:rsidR="005F5974" w:rsidRPr="00575ED4">
              <w:rPr>
                <w:rFonts w:ascii="Times New Roman" w:eastAsia="Times New Roman" w:hAnsi="Times New Roman" w:cs="Times New Roman"/>
                <w:spacing w:val="-1"/>
                <w:lang w:val="hu-HU"/>
              </w:rPr>
              <w:t>nmagában</w:t>
            </w:r>
            <w:r w:rsidR="005F5974">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alkalmazható.</w:t>
            </w:r>
          </w:p>
          <w:p w14:paraId="1B9635E5" w14:textId="77777777" w:rsidR="0037407E" w:rsidRDefault="0037407E" w:rsidP="007E7849">
            <w:pPr>
              <w:pStyle w:val="TableParagraph"/>
              <w:spacing w:before="13" w:line="240" w:lineRule="exact"/>
              <w:rPr>
                <w:sz w:val="24"/>
                <w:szCs w:val="24"/>
                <w:lang w:val="hu-HU"/>
              </w:rPr>
            </w:pPr>
          </w:p>
          <w:p w14:paraId="6C9E51A7" w14:textId="77777777" w:rsidR="0037407E" w:rsidRDefault="0037407E" w:rsidP="007E7849">
            <w:pPr>
              <w:pStyle w:val="TableParagraph"/>
              <w:ind w:left="102" w:right="127"/>
              <w:rPr>
                <w:rFonts w:ascii="Times New Roman" w:eastAsia="Times New Roman" w:hAnsi="Times New Roman" w:cs="Times New Roman"/>
                <w:lang w:val="hu-HU"/>
              </w:rPr>
            </w:pPr>
            <w:r>
              <w:rPr>
                <w:rFonts w:ascii="Times New Roman" w:eastAsia="Times New Roman" w:hAnsi="Times New Roman" w:cs="Times New Roman"/>
                <w:spacing w:val="-1"/>
                <w:lang w:val="hu-HU"/>
              </w:rPr>
              <w:t>Ha Önnek reumatoid artritisze van és a Yuflyma alkalmazása során nem kap metotrexát-kezelést, abban az esetben kezelőorvosa hetente 40 mg vagy kéthetente 80 mg adalimumab adása mellett dönthet.</w:t>
            </w:r>
          </w:p>
        </w:tc>
      </w:tr>
    </w:tbl>
    <w:p w14:paraId="0A8D31FA" w14:textId="77777777" w:rsidR="0037407E" w:rsidRDefault="0037407E" w:rsidP="0037407E">
      <w:pPr>
        <w:spacing w:before="10"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37407E" w:rsidRPr="00BE4D18" w14:paraId="04B5635A" w14:textId="77777777" w:rsidTr="007E7849">
        <w:tc>
          <w:tcPr>
            <w:tcW w:w="9288" w:type="dxa"/>
            <w:gridSpan w:val="3"/>
            <w:tcBorders>
              <w:top w:val="single" w:sz="5" w:space="0" w:color="000000"/>
              <w:left w:val="single" w:sz="5" w:space="0" w:color="000000"/>
              <w:bottom w:val="single" w:sz="5" w:space="0" w:color="000000"/>
              <w:right w:val="single" w:sz="5" w:space="0" w:color="000000"/>
            </w:tcBorders>
          </w:tcPr>
          <w:p w14:paraId="65C2FEC9" w14:textId="77777777" w:rsidR="0037407E" w:rsidRDefault="0037407E" w:rsidP="007E7849">
            <w:pPr>
              <w:pStyle w:val="TableParagraph"/>
              <w:spacing w:line="252"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Plakkos pikkelysömör</w:t>
            </w:r>
          </w:p>
        </w:tc>
      </w:tr>
      <w:tr w:rsidR="0037407E" w14:paraId="2361FE44" w14:textId="77777777" w:rsidTr="007E7849">
        <w:tc>
          <w:tcPr>
            <w:tcW w:w="3096" w:type="dxa"/>
            <w:tcBorders>
              <w:top w:val="single" w:sz="5" w:space="0" w:color="000000"/>
              <w:left w:val="single" w:sz="5" w:space="0" w:color="000000"/>
              <w:bottom w:val="single" w:sz="5" w:space="0" w:color="000000"/>
              <w:right w:val="single" w:sz="5" w:space="0" w:color="000000"/>
            </w:tcBorders>
          </w:tcPr>
          <w:p w14:paraId="3DB1309D"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5" w:space="0" w:color="000000"/>
              <w:bottom w:val="single" w:sz="5" w:space="0" w:color="000000"/>
              <w:right w:val="single" w:sz="5" w:space="0" w:color="000000"/>
            </w:tcBorders>
          </w:tcPr>
          <w:p w14:paraId="51A2C45C"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w:t>
            </w:r>
          </w:p>
          <w:p w14:paraId="6C53E8A4" w14:textId="77777777" w:rsidR="0037407E" w:rsidRDefault="0037407E" w:rsidP="007E7849">
            <w:pPr>
              <w:pStyle w:val="TableParagraph"/>
              <w:spacing w:before="1" w:line="252"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alkalmazni?</w:t>
            </w:r>
          </w:p>
        </w:tc>
        <w:tc>
          <w:tcPr>
            <w:tcW w:w="3096" w:type="dxa"/>
            <w:tcBorders>
              <w:top w:val="single" w:sz="5" w:space="0" w:color="000000"/>
              <w:left w:val="single" w:sz="5" w:space="0" w:color="000000"/>
              <w:bottom w:val="single" w:sz="5" w:space="0" w:color="000000"/>
              <w:right w:val="single" w:sz="5" w:space="0" w:color="000000"/>
            </w:tcBorders>
          </w:tcPr>
          <w:p w14:paraId="6A10D901"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37407E" w:rsidRPr="00BE4D18" w14:paraId="20662221" w14:textId="77777777" w:rsidTr="007E7849">
        <w:tc>
          <w:tcPr>
            <w:tcW w:w="3096" w:type="dxa"/>
            <w:tcBorders>
              <w:top w:val="single" w:sz="5" w:space="0" w:color="000000"/>
              <w:left w:val="single" w:sz="5" w:space="0" w:color="000000"/>
              <w:bottom w:val="single" w:sz="5" w:space="0" w:color="000000"/>
              <w:right w:val="single" w:sz="5" w:space="0" w:color="000000"/>
            </w:tcBorders>
          </w:tcPr>
          <w:p w14:paraId="016436B2" w14:textId="77777777" w:rsidR="0037407E" w:rsidRDefault="0037407E" w:rsidP="007E784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Felnőttek</w:t>
            </w:r>
          </w:p>
        </w:tc>
        <w:tc>
          <w:tcPr>
            <w:tcW w:w="3096" w:type="dxa"/>
            <w:tcBorders>
              <w:top w:val="single" w:sz="5" w:space="0" w:color="000000"/>
              <w:left w:val="single" w:sz="5" w:space="0" w:color="000000"/>
              <w:bottom w:val="single" w:sz="5" w:space="0" w:color="000000"/>
              <w:right w:val="single" w:sz="5" w:space="0" w:color="000000"/>
            </w:tcBorders>
          </w:tcPr>
          <w:p w14:paraId="2EDEB4BC" w14:textId="31B06FAD" w:rsidR="0037407E" w:rsidRDefault="0037407E" w:rsidP="007E7849">
            <w:pPr>
              <w:pStyle w:val="TableParagraph"/>
              <w:spacing w:before="1" w:line="239" w:lineRule="auto"/>
              <w:ind w:left="102" w:right="51"/>
              <w:rPr>
                <w:rFonts w:ascii="Times New Roman" w:eastAsia="Times New Roman" w:hAnsi="Times New Roman" w:cs="Times New Roman"/>
                <w:lang w:val="hu-HU"/>
              </w:rPr>
            </w:pPr>
            <w:r>
              <w:rPr>
                <w:rFonts w:ascii="Times New Roman" w:eastAsia="Times New Roman" w:hAnsi="Times New Roman" w:cs="Times New Roman"/>
                <w:spacing w:val="-1"/>
                <w:lang w:val="hu-HU"/>
              </w:rPr>
              <w:t>A kezdő adag 80 mg (</w:t>
            </w:r>
            <w:r w:rsidR="00C73957" w:rsidRPr="00C73957">
              <w:rPr>
                <w:rFonts w:ascii="Times New Roman" w:eastAsia="Times New Roman" w:hAnsi="Times New Roman" w:cs="Times New Roman"/>
                <w:spacing w:val="-1"/>
                <w:lang w:val="hu-HU"/>
              </w:rPr>
              <w:t>egy 80 mg-os injekció</w:t>
            </w:r>
            <w:r w:rsidR="00C73957">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 xml:space="preserve">egy napon beadva), amelyet </w:t>
            </w:r>
            <w:r w:rsidR="00AC52FB">
              <w:rPr>
                <w:rFonts w:ascii="Times New Roman" w:hAnsi="Times New Roman" w:cs="Times New Roman"/>
                <w:lang w:val="hu-HU"/>
              </w:rPr>
              <w:t>kéthetente</w:t>
            </w:r>
            <w:r w:rsidR="00AC52FB">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 xml:space="preserve">adott 40 mg követ a kezdő </w:t>
            </w:r>
            <w:r w:rsidR="005F5974">
              <w:rPr>
                <w:rFonts w:ascii="Times New Roman" w:eastAsia="Times New Roman" w:hAnsi="Times New Roman" w:cs="Times New Roman"/>
                <w:spacing w:val="-1"/>
                <w:lang w:val="hu-HU"/>
              </w:rPr>
              <w:t xml:space="preserve">adag </w:t>
            </w:r>
            <w:r>
              <w:rPr>
                <w:rFonts w:ascii="Times New Roman" w:eastAsia="Times New Roman" w:hAnsi="Times New Roman" w:cs="Times New Roman"/>
                <w:spacing w:val="-1"/>
                <w:lang w:val="hu-HU"/>
              </w:rPr>
              <w:t>utáni első héttől kezdve.</w:t>
            </w:r>
          </w:p>
        </w:tc>
        <w:tc>
          <w:tcPr>
            <w:tcW w:w="3096" w:type="dxa"/>
            <w:tcBorders>
              <w:top w:val="single" w:sz="5" w:space="0" w:color="000000"/>
              <w:left w:val="single" w:sz="5" w:space="0" w:color="000000"/>
              <w:bottom w:val="single" w:sz="5" w:space="0" w:color="000000"/>
              <w:right w:val="single" w:sz="5" w:space="0" w:color="000000"/>
            </w:tcBorders>
          </w:tcPr>
          <w:p w14:paraId="117A6AF6" w14:textId="58B9168A" w:rsidR="0037407E" w:rsidRDefault="0037407E" w:rsidP="005F5974">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Ha Ön nem reagál</w:t>
            </w:r>
            <w:r w:rsidR="0036087F">
              <w:rPr>
                <w:rFonts w:ascii="Times New Roman" w:eastAsia="Times New Roman" w:hAnsi="Times New Roman" w:cs="Times New Roman"/>
                <w:spacing w:val="-1"/>
                <w:lang w:val="hu-HU"/>
              </w:rPr>
              <w:t xml:space="preserve"> </w:t>
            </w:r>
            <w:r w:rsidR="005F5974">
              <w:rPr>
                <w:rFonts w:ascii="Times New Roman" w:eastAsia="Times New Roman" w:hAnsi="Times New Roman" w:cs="Times New Roman"/>
                <w:spacing w:val="-1"/>
                <w:lang w:val="hu-HU"/>
              </w:rPr>
              <w:t xml:space="preserve">megfelelően </w:t>
            </w:r>
            <w:r>
              <w:rPr>
                <w:rFonts w:ascii="Times New Roman" w:eastAsia="Times New Roman" w:hAnsi="Times New Roman" w:cs="Times New Roman"/>
                <w:spacing w:val="-1"/>
                <w:lang w:val="hu-HU"/>
              </w:rPr>
              <w:t>a kezelésre, a kezelőorvosa heti 40 mg-ra vagy kéthetente 80 mg-ra emelheti az adagot.</w:t>
            </w:r>
          </w:p>
        </w:tc>
      </w:tr>
    </w:tbl>
    <w:p w14:paraId="4181E0B3" w14:textId="77777777" w:rsidR="0037407E" w:rsidRDefault="0037407E" w:rsidP="0037407E">
      <w:pPr>
        <w:spacing w:before="7" w:line="90" w:lineRule="exact"/>
        <w:rPr>
          <w:sz w:val="9"/>
          <w:szCs w:val="9"/>
          <w:lang w:val="hu-HU"/>
        </w:rPr>
      </w:pPr>
    </w:p>
    <w:p w14:paraId="2E9614F6" w14:textId="77777777" w:rsidR="0037407E" w:rsidRDefault="0037407E" w:rsidP="0037407E">
      <w:pPr>
        <w:spacing w:before="10"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37407E" w14:paraId="267B395F" w14:textId="77777777" w:rsidTr="007E7849">
        <w:tc>
          <w:tcPr>
            <w:tcW w:w="9288" w:type="dxa"/>
            <w:gridSpan w:val="3"/>
            <w:tcBorders>
              <w:top w:val="single" w:sz="5" w:space="0" w:color="000000"/>
              <w:left w:val="single" w:sz="5" w:space="0" w:color="000000"/>
              <w:bottom w:val="single" w:sz="5" w:space="0" w:color="000000"/>
              <w:right w:val="single" w:sz="5" w:space="0" w:color="000000"/>
            </w:tcBorders>
          </w:tcPr>
          <w:p w14:paraId="4EAEE45A" w14:textId="77777777" w:rsidR="0037407E" w:rsidRDefault="0037407E" w:rsidP="007E7849">
            <w:pPr>
              <w:pStyle w:val="TableParagraph"/>
              <w:spacing w:line="251" w:lineRule="exact"/>
              <w:ind w:left="102"/>
              <w:rPr>
                <w:rFonts w:ascii="Times New Roman" w:eastAsia="Times New Roman" w:hAnsi="Times New Roman" w:cs="Times New Roman"/>
                <w:lang w:val="hu-HU"/>
              </w:rPr>
            </w:pPr>
            <w:r w:rsidRPr="008A092B">
              <w:rPr>
                <w:rFonts w:ascii="Times New Roman" w:eastAsia="TimesNewRomanPSMT" w:hAnsi="Times New Roman" w:cs="Times New Roman"/>
                <w:b/>
                <w:lang w:val="hu-HU"/>
              </w:rPr>
              <w:t>Hidradenitisz szuppurativa</w:t>
            </w:r>
          </w:p>
        </w:tc>
      </w:tr>
      <w:tr w:rsidR="0037407E" w14:paraId="2705BA9C" w14:textId="77777777" w:rsidTr="007E7849">
        <w:tc>
          <w:tcPr>
            <w:tcW w:w="3096" w:type="dxa"/>
            <w:tcBorders>
              <w:top w:val="single" w:sz="5" w:space="0" w:color="000000"/>
              <w:left w:val="single" w:sz="5" w:space="0" w:color="000000"/>
              <w:bottom w:val="single" w:sz="5" w:space="0" w:color="000000"/>
              <w:right w:val="single" w:sz="5" w:space="0" w:color="000000"/>
            </w:tcBorders>
          </w:tcPr>
          <w:p w14:paraId="6054C1D5"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5" w:space="0" w:color="000000"/>
              <w:bottom w:val="single" w:sz="5" w:space="0" w:color="000000"/>
              <w:right w:val="single" w:sz="5" w:space="0" w:color="000000"/>
            </w:tcBorders>
          </w:tcPr>
          <w:p w14:paraId="2E9CFDCB" w14:textId="77777777" w:rsidR="0037407E" w:rsidRDefault="0037407E" w:rsidP="007E7849">
            <w:pPr>
              <w:pStyle w:val="TableParagraph"/>
              <w:spacing w:before="1" w:line="252"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 alkalmazni?</w:t>
            </w:r>
          </w:p>
        </w:tc>
        <w:tc>
          <w:tcPr>
            <w:tcW w:w="3096" w:type="dxa"/>
            <w:tcBorders>
              <w:top w:val="single" w:sz="5" w:space="0" w:color="000000"/>
              <w:left w:val="single" w:sz="5" w:space="0" w:color="000000"/>
              <w:bottom w:val="single" w:sz="5" w:space="0" w:color="000000"/>
              <w:right w:val="single" w:sz="5" w:space="0" w:color="000000"/>
            </w:tcBorders>
          </w:tcPr>
          <w:p w14:paraId="57C1206C"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37407E" w:rsidRPr="00BE4D18" w14:paraId="00D38861" w14:textId="77777777" w:rsidTr="007E7849">
        <w:tc>
          <w:tcPr>
            <w:tcW w:w="3096" w:type="dxa"/>
            <w:tcBorders>
              <w:top w:val="single" w:sz="5" w:space="0" w:color="000000"/>
              <w:left w:val="single" w:sz="5" w:space="0" w:color="000000"/>
              <w:bottom w:val="single" w:sz="5" w:space="0" w:color="000000"/>
              <w:right w:val="single" w:sz="5" w:space="0" w:color="000000"/>
            </w:tcBorders>
          </w:tcPr>
          <w:p w14:paraId="21D4B150" w14:textId="77777777" w:rsidR="0037407E" w:rsidRDefault="0037407E" w:rsidP="007E7849">
            <w:pPr>
              <w:pStyle w:val="TableParagraph"/>
              <w:spacing w:line="248"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Felnőttek</w:t>
            </w:r>
          </w:p>
        </w:tc>
        <w:tc>
          <w:tcPr>
            <w:tcW w:w="3096" w:type="dxa"/>
            <w:tcBorders>
              <w:top w:val="single" w:sz="5" w:space="0" w:color="000000"/>
              <w:left w:val="single" w:sz="5" w:space="0" w:color="000000"/>
              <w:bottom w:val="single" w:sz="5" w:space="0" w:color="000000"/>
              <w:right w:val="single" w:sz="5" w:space="0" w:color="000000"/>
            </w:tcBorders>
          </w:tcPr>
          <w:p w14:paraId="47CAB06B" w14:textId="4725EED9" w:rsidR="0037407E" w:rsidRDefault="0037407E" w:rsidP="007E7849">
            <w:pPr>
              <w:pStyle w:val="TableParagraph"/>
              <w:spacing w:before="3" w:line="252" w:lineRule="exact"/>
              <w:ind w:left="102" w:right="73"/>
              <w:rPr>
                <w:rFonts w:ascii="Times New Roman" w:eastAsia="Times New Roman" w:hAnsi="Times New Roman" w:cs="Times New Roman"/>
                <w:lang w:val="hu-HU"/>
              </w:rPr>
            </w:pPr>
            <w:r>
              <w:rPr>
                <w:rFonts w:ascii="Times New Roman" w:eastAsia="Times New Roman" w:hAnsi="Times New Roman" w:cs="Times New Roman"/>
                <w:spacing w:val="-1"/>
                <w:lang w:val="hu-HU"/>
              </w:rPr>
              <w:t>A kezdő adag 160 mg (</w:t>
            </w:r>
            <w:r w:rsidR="00147764" w:rsidRPr="00147764">
              <w:rPr>
                <w:rFonts w:ascii="Times New Roman" w:eastAsia="Times New Roman" w:hAnsi="Times New Roman" w:cs="Times New Roman"/>
                <w:spacing w:val="-1"/>
                <w:lang w:val="hu-HU"/>
              </w:rPr>
              <w:t>két 80 mg-os injekció</w:t>
            </w:r>
            <w:r>
              <w:rPr>
                <w:rFonts w:ascii="Times New Roman" w:eastAsia="Times New Roman" w:hAnsi="Times New Roman" w:cs="Times New Roman"/>
                <w:spacing w:val="-1"/>
                <w:lang w:val="hu-HU"/>
              </w:rPr>
              <w:t xml:space="preserve"> egyetlen napon, vagy </w:t>
            </w:r>
            <w:r w:rsidR="00147764" w:rsidRPr="00147764">
              <w:rPr>
                <w:rFonts w:ascii="Times New Roman" w:eastAsia="Times New Roman" w:hAnsi="Times New Roman" w:cs="Times New Roman"/>
                <w:spacing w:val="-1"/>
                <w:lang w:val="hu-HU"/>
              </w:rPr>
              <w:t>egy 80 mg-os injekció</w:t>
            </w:r>
            <w:r>
              <w:rPr>
                <w:rFonts w:ascii="Times New Roman" w:eastAsia="Times New Roman" w:hAnsi="Times New Roman" w:cs="Times New Roman"/>
                <w:spacing w:val="-1"/>
                <w:lang w:val="hu-HU"/>
              </w:rPr>
              <w:t xml:space="preserve"> naponta két</w:t>
            </w:r>
          </w:p>
          <w:p w14:paraId="112C5772" w14:textId="78D0996A" w:rsidR="0037407E" w:rsidRDefault="0037407E" w:rsidP="007E7849">
            <w:pPr>
              <w:pStyle w:val="TableParagraph"/>
              <w:spacing w:before="2" w:line="252" w:lineRule="exact"/>
              <w:ind w:left="102" w:right="193"/>
              <w:rPr>
                <w:rFonts w:ascii="Times New Roman" w:eastAsia="Times New Roman" w:hAnsi="Times New Roman" w:cs="Times New Roman"/>
                <w:lang w:val="hu-HU"/>
              </w:rPr>
            </w:pPr>
            <w:r>
              <w:rPr>
                <w:rFonts w:ascii="Times New Roman" w:eastAsia="Times New Roman" w:hAnsi="Times New Roman" w:cs="Times New Roman"/>
                <w:spacing w:val="-1"/>
                <w:lang w:val="hu-HU"/>
              </w:rPr>
              <w:t>egymást követő napon beadva), majd egy 80 mg-os dózis (</w:t>
            </w:r>
            <w:r w:rsidR="00147764" w:rsidRPr="00147764">
              <w:rPr>
                <w:rFonts w:ascii="Times New Roman" w:eastAsia="Times New Roman" w:hAnsi="Times New Roman" w:cs="Times New Roman"/>
                <w:spacing w:val="-1"/>
                <w:lang w:val="hu-HU"/>
              </w:rPr>
              <w:t>egy 80 mg-os injekció</w:t>
            </w:r>
            <w:r w:rsidR="00C73957">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 xml:space="preserve">egy napon </w:t>
            </w:r>
            <w:r>
              <w:rPr>
                <w:rFonts w:ascii="Times New Roman" w:eastAsia="Times New Roman" w:hAnsi="Times New Roman" w:cs="Times New Roman"/>
                <w:spacing w:val="-1"/>
                <w:lang w:val="hu-HU"/>
              </w:rPr>
              <w:lastRenderedPageBreak/>
              <w:t>beadva), két héttel később. További két héttel később</w:t>
            </w:r>
          </w:p>
          <w:p w14:paraId="04009961" w14:textId="29E348A8" w:rsidR="0037407E" w:rsidRDefault="0037407E" w:rsidP="004C5B28">
            <w:pPr>
              <w:pStyle w:val="TableParagraph"/>
              <w:spacing w:before="2" w:line="252" w:lineRule="exact"/>
              <w:ind w:left="102" w:right="193"/>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később heti 40 mg-os vagy kéthetente 80 mg-os </w:t>
            </w:r>
            <w:r w:rsidR="005F5974" w:rsidRPr="00575ED4">
              <w:rPr>
                <w:rFonts w:ascii="Times New Roman" w:eastAsia="Times New Roman" w:hAnsi="Times New Roman" w:cs="Times New Roman"/>
                <w:spacing w:val="-1"/>
                <w:lang w:val="hu-HU"/>
              </w:rPr>
              <w:t>adaggal</w:t>
            </w:r>
            <w:r w:rsidR="005F5974">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folytassa, kezelőorvosának előírása szerint.</w:t>
            </w:r>
          </w:p>
        </w:tc>
        <w:tc>
          <w:tcPr>
            <w:tcW w:w="3096" w:type="dxa"/>
            <w:tcBorders>
              <w:top w:val="single" w:sz="5" w:space="0" w:color="000000"/>
              <w:left w:val="single" w:sz="5" w:space="0" w:color="000000"/>
              <w:bottom w:val="single" w:sz="5" w:space="0" w:color="000000"/>
              <w:right w:val="single" w:sz="5" w:space="0" w:color="000000"/>
            </w:tcBorders>
          </w:tcPr>
          <w:p w14:paraId="3D0B9803" w14:textId="0B60C255" w:rsidR="0037407E" w:rsidRDefault="0037407E" w:rsidP="00545FC6">
            <w:pPr>
              <w:pStyle w:val="TableParagraph"/>
              <w:spacing w:line="248"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4"/>
                <w:lang w:val="hu-HU"/>
              </w:rPr>
              <w:lastRenderedPageBreak/>
              <w:t>Javasolt, hogy naponta</w:t>
            </w:r>
            <w:r w:rsidR="0036087F">
              <w:rPr>
                <w:rFonts w:ascii="Times New Roman" w:eastAsia="Times New Roman" w:hAnsi="Times New Roman" w:cs="Times New Roman"/>
                <w:spacing w:val="-4"/>
                <w:lang w:val="hu-HU"/>
              </w:rPr>
              <w:t xml:space="preserve"> </w:t>
            </w:r>
            <w:r>
              <w:rPr>
                <w:rFonts w:ascii="Times New Roman" w:eastAsia="Times New Roman" w:hAnsi="Times New Roman" w:cs="Times New Roman"/>
                <w:spacing w:val="-1"/>
                <w:lang w:val="hu-HU"/>
              </w:rPr>
              <w:t>használjon fertőtlenítő lemosót az érintett területeken.</w:t>
            </w:r>
          </w:p>
        </w:tc>
      </w:tr>
      <w:tr w:rsidR="0037407E" w:rsidRPr="00BE4D18" w14:paraId="173F7298" w14:textId="77777777" w:rsidTr="007E7849">
        <w:tc>
          <w:tcPr>
            <w:tcW w:w="3096" w:type="dxa"/>
            <w:tcBorders>
              <w:top w:val="single" w:sz="5" w:space="0" w:color="000000"/>
              <w:left w:val="single" w:sz="5" w:space="0" w:color="000000"/>
              <w:bottom w:val="single" w:sz="5" w:space="0" w:color="000000"/>
              <w:right w:val="single" w:sz="5" w:space="0" w:color="000000"/>
            </w:tcBorders>
          </w:tcPr>
          <w:p w14:paraId="4944A8B6" w14:textId="0535C29B" w:rsidR="0037407E" w:rsidRDefault="0037407E" w:rsidP="00545FC6">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S</w:t>
            </w:r>
            <w:r w:rsidRPr="00211C4E">
              <w:rPr>
                <w:rFonts w:ascii="Times New Roman" w:eastAsia="Times New Roman" w:hAnsi="Times New Roman" w:cs="Times New Roman"/>
                <w:spacing w:val="-1"/>
                <w:lang w:val="hu-HU"/>
              </w:rPr>
              <w:t xml:space="preserve">erdülők </w:t>
            </w:r>
            <w:r>
              <w:rPr>
                <w:rFonts w:ascii="Times New Roman" w:eastAsia="Times New Roman" w:hAnsi="Times New Roman" w:cs="Times New Roman"/>
                <w:spacing w:val="-1"/>
                <w:lang w:val="hu-HU"/>
              </w:rPr>
              <w:t>(</w:t>
            </w:r>
            <w:r w:rsidRPr="00211C4E">
              <w:rPr>
                <w:rFonts w:ascii="Times New Roman" w:eastAsia="Times New Roman" w:hAnsi="Times New Roman" w:cs="Times New Roman"/>
                <w:spacing w:val="-1"/>
                <w:lang w:val="hu-HU"/>
              </w:rPr>
              <w:t>12-</w:t>
            </w:r>
            <w:r>
              <w:rPr>
                <w:rFonts w:ascii="Times New Roman" w:eastAsia="Times New Roman" w:hAnsi="Times New Roman" w:cs="Times New Roman"/>
                <w:spacing w:val="-1"/>
                <w:lang w:val="hu-HU"/>
              </w:rPr>
              <w:t xml:space="preserve">től betöltött </w:t>
            </w:r>
            <w:r w:rsidR="00AE0D26">
              <w:rPr>
                <w:rFonts w:ascii="Times New Roman" w:eastAsia="Times New Roman" w:hAnsi="Times New Roman" w:cs="Times New Roman"/>
                <w:spacing w:val="-1"/>
                <w:lang w:val="hu-HU"/>
              </w:rPr>
              <w:t>1</w:t>
            </w:r>
            <w:r w:rsidR="00F62CD2">
              <w:rPr>
                <w:rFonts w:ascii="Times New Roman" w:eastAsia="Times New Roman" w:hAnsi="Times New Roman" w:cs="Times New Roman"/>
                <w:spacing w:val="-1"/>
                <w:lang w:val="hu-HU"/>
              </w:rPr>
              <w:t xml:space="preserve">8 </w:t>
            </w:r>
            <w:r w:rsidRPr="00211C4E">
              <w:rPr>
                <w:rFonts w:ascii="Times New Roman" w:eastAsia="Times New Roman" w:hAnsi="Times New Roman" w:cs="Times New Roman"/>
                <w:spacing w:val="-1"/>
                <w:lang w:val="hu-HU"/>
              </w:rPr>
              <w:t>éves</w:t>
            </w:r>
            <w:r>
              <w:rPr>
                <w:rFonts w:ascii="Times New Roman" w:eastAsia="Times New Roman" w:hAnsi="Times New Roman" w:cs="Times New Roman"/>
                <w:spacing w:val="-1"/>
                <w:lang w:val="hu-HU"/>
              </w:rPr>
              <w:t xml:space="preserve"> korig)</w:t>
            </w:r>
            <w:r w:rsidRPr="00211C4E">
              <w:rPr>
                <w:rFonts w:ascii="Times New Roman" w:eastAsia="Times New Roman" w:hAnsi="Times New Roman" w:cs="Times New Roman"/>
                <w:spacing w:val="-1"/>
                <w:lang w:val="hu-HU"/>
              </w:rPr>
              <w:t xml:space="preserve"> </w:t>
            </w:r>
            <w:r>
              <w:rPr>
                <w:rFonts w:ascii="Times New Roman" w:eastAsia="Times New Roman" w:hAnsi="Times New Roman" w:cs="Times New Roman"/>
                <w:lang w:val="hu-HU"/>
              </w:rPr>
              <w:t>testsúlyuk</w:t>
            </w:r>
            <w:r>
              <w:rPr>
                <w:rFonts w:ascii="Times New Roman" w:eastAsia="Times New Roman" w:hAnsi="Times New Roman" w:cs="Times New Roman"/>
                <w:spacing w:val="-1"/>
                <w:lang w:val="hu-HU"/>
              </w:rPr>
              <w:t xml:space="preserve"> 30 kg vagy annál nagyobb </w:t>
            </w:r>
          </w:p>
        </w:tc>
        <w:tc>
          <w:tcPr>
            <w:tcW w:w="3096" w:type="dxa"/>
            <w:tcBorders>
              <w:top w:val="single" w:sz="5" w:space="0" w:color="000000"/>
              <w:left w:val="single" w:sz="5" w:space="0" w:color="000000"/>
              <w:bottom w:val="single" w:sz="5" w:space="0" w:color="000000"/>
              <w:right w:val="single" w:sz="5" w:space="0" w:color="000000"/>
            </w:tcBorders>
          </w:tcPr>
          <w:p w14:paraId="7EDE1630" w14:textId="3C6DFB00" w:rsidR="0037407E" w:rsidRDefault="0037407E" w:rsidP="007E7849">
            <w:pPr>
              <w:pStyle w:val="TableParagraph"/>
              <w:spacing w:before="1"/>
              <w:ind w:left="102" w:right="51"/>
              <w:rPr>
                <w:rFonts w:ascii="Times New Roman" w:eastAsia="Times New Roman" w:hAnsi="Times New Roman" w:cs="Times New Roman"/>
                <w:lang w:val="hu-HU"/>
              </w:rPr>
            </w:pPr>
            <w:r>
              <w:rPr>
                <w:rFonts w:ascii="Times New Roman" w:eastAsia="Times New Roman" w:hAnsi="Times New Roman" w:cs="Times New Roman"/>
                <w:spacing w:val="-1"/>
                <w:lang w:val="hu-HU"/>
              </w:rPr>
              <w:t>A kezdő adag 80 mg (</w:t>
            </w:r>
            <w:r w:rsidR="00147764" w:rsidRPr="00147764">
              <w:rPr>
                <w:rFonts w:ascii="Times New Roman" w:eastAsia="Times New Roman" w:hAnsi="Times New Roman" w:cs="Times New Roman"/>
                <w:spacing w:val="-1"/>
                <w:lang w:val="hu-HU"/>
              </w:rPr>
              <w:t>egy 80 mg-os injekció</w:t>
            </w:r>
            <w:r w:rsidR="002B2F88">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 xml:space="preserve">egyetlen napon), amelyet egy héttel később </w:t>
            </w:r>
            <w:r w:rsidR="00AC52FB">
              <w:rPr>
                <w:rFonts w:ascii="Times New Roman" w:hAnsi="Times New Roman" w:cs="Times New Roman"/>
                <w:lang w:val="hu-HU"/>
              </w:rPr>
              <w:t>kéthetente</w:t>
            </w:r>
            <w:r>
              <w:rPr>
                <w:rFonts w:ascii="Times New Roman" w:eastAsia="Times New Roman" w:hAnsi="Times New Roman" w:cs="Times New Roman"/>
                <w:spacing w:val="-1"/>
                <w:lang w:val="hu-HU"/>
              </w:rPr>
              <w:t xml:space="preserve"> adott 40 mg követ.</w:t>
            </w:r>
          </w:p>
        </w:tc>
        <w:tc>
          <w:tcPr>
            <w:tcW w:w="3096" w:type="dxa"/>
            <w:tcBorders>
              <w:top w:val="single" w:sz="5" w:space="0" w:color="000000"/>
              <w:left w:val="single" w:sz="5" w:space="0" w:color="000000"/>
              <w:bottom w:val="single" w:sz="5" w:space="0" w:color="000000"/>
              <w:right w:val="single" w:sz="5" w:space="0" w:color="000000"/>
            </w:tcBorders>
          </w:tcPr>
          <w:p w14:paraId="394430B8" w14:textId="52AFD1DD" w:rsidR="0037407E" w:rsidRDefault="0037407E" w:rsidP="00545FC6">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Ha Ön nem megfelelően </w:t>
            </w:r>
            <w:r>
              <w:rPr>
                <w:rFonts w:ascii="Times New Roman" w:eastAsia="Times New Roman" w:hAnsi="Times New Roman" w:cs="Times New Roman"/>
                <w:lang w:val="hu-HU"/>
              </w:rPr>
              <w:t>reagál a kezelésre, a kezelőorvosa heti 40 mg-ra vagy</w:t>
            </w:r>
            <w:r w:rsidR="0036087F">
              <w:rPr>
                <w:rFonts w:ascii="Times New Roman" w:eastAsia="Times New Roman" w:hAnsi="Times New Roman" w:cs="Times New Roman"/>
                <w:lang w:val="hu-HU"/>
              </w:rPr>
              <w:t xml:space="preserve"> </w:t>
            </w:r>
            <w:r>
              <w:rPr>
                <w:rFonts w:ascii="Times New Roman" w:eastAsia="Times New Roman" w:hAnsi="Times New Roman" w:cs="Times New Roman"/>
                <w:spacing w:val="-1"/>
                <w:lang w:val="hu-HU"/>
              </w:rPr>
              <w:t>kéthetente 80 mg-ra emelheti az adagot.</w:t>
            </w:r>
          </w:p>
          <w:p w14:paraId="080DDF62" w14:textId="77777777" w:rsidR="0037407E" w:rsidRDefault="0037407E" w:rsidP="007E7849">
            <w:pPr>
              <w:pStyle w:val="TableParagraph"/>
              <w:spacing w:before="1"/>
              <w:ind w:left="102" w:right="223"/>
              <w:jc w:val="both"/>
              <w:rPr>
                <w:rFonts w:ascii="Times New Roman" w:eastAsia="Times New Roman" w:hAnsi="Times New Roman" w:cs="Times New Roman"/>
                <w:lang w:val="hu-HU"/>
              </w:rPr>
            </w:pPr>
            <w:r>
              <w:rPr>
                <w:rFonts w:ascii="Times New Roman" w:eastAsia="Times New Roman" w:hAnsi="Times New Roman" w:cs="Times New Roman"/>
                <w:spacing w:val="-4"/>
                <w:lang w:val="hu-HU"/>
              </w:rPr>
              <w:t>Javasolt, hogy naponta használjon fertőtlenítő lemosót az érintett területeken.</w:t>
            </w:r>
          </w:p>
        </w:tc>
      </w:tr>
    </w:tbl>
    <w:p w14:paraId="781BE956" w14:textId="77777777" w:rsidR="0037407E" w:rsidRDefault="0037407E" w:rsidP="0037407E">
      <w:pPr>
        <w:spacing w:before="10"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37407E" w14:paraId="0B6E2BDB" w14:textId="77777777" w:rsidTr="007E7849">
        <w:tc>
          <w:tcPr>
            <w:tcW w:w="9288" w:type="dxa"/>
            <w:gridSpan w:val="3"/>
            <w:tcBorders>
              <w:top w:val="single" w:sz="5" w:space="0" w:color="000000"/>
              <w:left w:val="single" w:sz="5" w:space="0" w:color="000000"/>
              <w:bottom w:val="single" w:sz="5" w:space="0" w:color="000000"/>
              <w:right w:val="single" w:sz="5" w:space="0" w:color="000000"/>
            </w:tcBorders>
          </w:tcPr>
          <w:p w14:paraId="61D38A51" w14:textId="77777777" w:rsidR="0037407E" w:rsidRDefault="0037407E" w:rsidP="007E7849">
            <w:pPr>
              <w:pStyle w:val="TableParagraph"/>
              <w:spacing w:line="251"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Crohn-betegség</w:t>
            </w:r>
          </w:p>
        </w:tc>
      </w:tr>
      <w:tr w:rsidR="0037407E" w14:paraId="07DD8735" w14:textId="77777777" w:rsidTr="007E7849">
        <w:tc>
          <w:tcPr>
            <w:tcW w:w="3096" w:type="dxa"/>
            <w:tcBorders>
              <w:top w:val="single" w:sz="5" w:space="0" w:color="000000"/>
              <w:left w:val="single" w:sz="5" w:space="0" w:color="000000"/>
              <w:bottom w:val="single" w:sz="5" w:space="0" w:color="000000"/>
              <w:right w:val="single" w:sz="5" w:space="0" w:color="000000"/>
            </w:tcBorders>
          </w:tcPr>
          <w:p w14:paraId="1C952FA7"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5" w:space="0" w:color="000000"/>
              <w:bottom w:val="single" w:sz="5" w:space="0" w:color="000000"/>
              <w:right w:val="single" w:sz="5" w:space="0" w:color="000000"/>
            </w:tcBorders>
          </w:tcPr>
          <w:p w14:paraId="2251CAE6" w14:textId="77777777" w:rsidR="0037407E" w:rsidRDefault="0037407E" w:rsidP="007E7849">
            <w:pPr>
              <w:pStyle w:val="TableParagraph"/>
              <w:spacing w:before="1" w:line="252"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 alkalmazni?</w:t>
            </w:r>
          </w:p>
        </w:tc>
        <w:tc>
          <w:tcPr>
            <w:tcW w:w="3096" w:type="dxa"/>
            <w:tcBorders>
              <w:top w:val="single" w:sz="5" w:space="0" w:color="000000"/>
              <w:left w:val="single" w:sz="5" w:space="0" w:color="000000"/>
              <w:bottom w:val="single" w:sz="5" w:space="0" w:color="000000"/>
              <w:right w:val="single" w:sz="5" w:space="0" w:color="000000"/>
            </w:tcBorders>
          </w:tcPr>
          <w:p w14:paraId="36E199FE"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37407E" w:rsidRPr="00BE4D18" w14:paraId="589ED7CE" w14:textId="77777777" w:rsidTr="007E7849">
        <w:tc>
          <w:tcPr>
            <w:tcW w:w="3096" w:type="dxa"/>
            <w:tcBorders>
              <w:top w:val="single" w:sz="5" w:space="0" w:color="000000"/>
              <w:left w:val="single" w:sz="5" w:space="0" w:color="000000"/>
              <w:bottom w:val="single" w:sz="5" w:space="0" w:color="000000"/>
              <w:right w:val="single" w:sz="5" w:space="0" w:color="000000"/>
            </w:tcBorders>
          </w:tcPr>
          <w:p w14:paraId="76ED6FD5" w14:textId="777A4875" w:rsidR="0037407E" w:rsidRDefault="005F5974" w:rsidP="005F5974">
            <w:pPr>
              <w:pStyle w:val="TableParagraph"/>
              <w:spacing w:line="246" w:lineRule="exact"/>
              <w:ind w:left="102" w:right="57"/>
              <w:rPr>
                <w:rFonts w:ascii="Times New Roman" w:eastAsia="Times New Roman" w:hAnsi="Times New Roman" w:cs="Times New Roman"/>
                <w:lang w:val="hu-HU"/>
              </w:rPr>
            </w:pPr>
            <w:r w:rsidRPr="00F967AD">
              <w:rPr>
                <w:rFonts w:ascii="Times New Roman" w:eastAsia="Times New Roman" w:hAnsi="Times New Roman" w:cs="Times New Roman"/>
                <w:lang w:val="hu-HU"/>
              </w:rPr>
              <w:t>6 éves kor feletti, 40 kg-os vagy annál nagyobb testtömegű gyermekek, serdülők és felnőttek</w:t>
            </w:r>
          </w:p>
        </w:tc>
        <w:tc>
          <w:tcPr>
            <w:tcW w:w="3096" w:type="dxa"/>
            <w:tcBorders>
              <w:top w:val="single" w:sz="5" w:space="0" w:color="000000"/>
              <w:left w:val="single" w:sz="5" w:space="0" w:color="000000"/>
              <w:bottom w:val="single" w:sz="5" w:space="0" w:color="000000"/>
              <w:right w:val="single" w:sz="5" w:space="0" w:color="000000"/>
            </w:tcBorders>
          </w:tcPr>
          <w:p w14:paraId="20489C3A" w14:textId="50F19B95" w:rsidR="0037407E" w:rsidRDefault="0037407E" w:rsidP="007E7849">
            <w:pPr>
              <w:pStyle w:val="TableParagraph"/>
              <w:spacing w:before="3" w:line="252" w:lineRule="exact"/>
              <w:ind w:left="102" w:right="51"/>
              <w:rPr>
                <w:rFonts w:ascii="Times New Roman" w:eastAsia="Times New Roman" w:hAnsi="Times New Roman" w:cs="Times New Roman"/>
                <w:lang w:val="hu-HU"/>
              </w:rPr>
            </w:pPr>
            <w:r>
              <w:rPr>
                <w:rFonts w:ascii="Times New Roman" w:eastAsia="Times New Roman" w:hAnsi="Times New Roman" w:cs="Times New Roman"/>
                <w:spacing w:val="-1"/>
                <w:lang w:val="hu-HU"/>
              </w:rPr>
              <w:t>A kezdő adag 80 mg (</w:t>
            </w:r>
            <w:r w:rsidR="00147764" w:rsidRPr="00147764">
              <w:rPr>
                <w:rFonts w:ascii="Times New Roman" w:eastAsia="Times New Roman" w:hAnsi="Times New Roman" w:cs="Times New Roman"/>
                <w:spacing w:val="-1"/>
                <w:lang w:val="hu-HU"/>
              </w:rPr>
              <w:t>egy 80 mg-os injekció</w:t>
            </w:r>
            <w:r w:rsidR="00C73957">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 xml:space="preserve">egy napon beadva), </w:t>
            </w:r>
            <w:r w:rsidR="005F5974" w:rsidRPr="004C65CD">
              <w:rPr>
                <w:rFonts w:ascii="Times New Roman" w:eastAsia="Times New Roman" w:hAnsi="Times New Roman" w:cs="Times New Roman"/>
                <w:spacing w:val="-1"/>
                <w:lang w:val="hu-HU"/>
              </w:rPr>
              <w:t>amelyet</w:t>
            </w:r>
            <w:r w:rsidR="005F5974">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két héttel később 40 mg követ.</w:t>
            </w:r>
          </w:p>
          <w:p w14:paraId="1C9E28C0" w14:textId="77777777" w:rsidR="0037407E" w:rsidRDefault="0037407E" w:rsidP="007E7849">
            <w:pPr>
              <w:pStyle w:val="TableParagraph"/>
              <w:spacing w:before="11" w:line="240" w:lineRule="exact"/>
              <w:rPr>
                <w:sz w:val="24"/>
                <w:szCs w:val="24"/>
                <w:lang w:val="hu-HU"/>
              </w:rPr>
            </w:pPr>
          </w:p>
          <w:p w14:paraId="7A8E12C1" w14:textId="4E154549" w:rsidR="0037407E" w:rsidRDefault="0037407E" w:rsidP="007E7849">
            <w:pPr>
              <w:pStyle w:val="TableParagraph"/>
              <w:ind w:left="102" w:right="76"/>
              <w:rPr>
                <w:rFonts w:ascii="Times New Roman" w:eastAsia="Times New Roman" w:hAnsi="Times New Roman" w:cs="Times New Roman"/>
                <w:lang w:val="hu-HU"/>
              </w:rPr>
            </w:pPr>
            <w:r>
              <w:rPr>
                <w:rFonts w:ascii="Times New Roman" w:eastAsia="Times New Roman" w:hAnsi="Times New Roman" w:cs="Times New Roman"/>
                <w:spacing w:val="-1"/>
                <w:lang w:val="hu-HU"/>
              </w:rPr>
              <w:t>Ha gyorsabb hatásra van szükség, a kezelőorvos rendelhet egy 160 mg-os kezdő adagot (</w:t>
            </w:r>
            <w:r w:rsidR="007D21DE" w:rsidRPr="007D21DE">
              <w:rPr>
                <w:rFonts w:ascii="Times New Roman" w:eastAsia="Times New Roman" w:hAnsi="Times New Roman" w:cs="Times New Roman"/>
                <w:spacing w:val="-1"/>
                <w:lang w:val="hu-HU"/>
              </w:rPr>
              <w:t xml:space="preserve">két 80 mg-os injekció </w:t>
            </w:r>
            <w:r>
              <w:rPr>
                <w:rFonts w:ascii="Times New Roman" w:eastAsia="Times New Roman" w:hAnsi="Times New Roman" w:cs="Times New Roman"/>
                <w:spacing w:val="-1"/>
                <w:lang w:val="hu-HU"/>
              </w:rPr>
              <w:t xml:space="preserve">egyetlen napon, vagy napi </w:t>
            </w:r>
            <w:r w:rsidR="007D21DE" w:rsidRPr="007D21DE">
              <w:rPr>
                <w:rFonts w:ascii="Times New Roman" w:eastAsia="Times New Roman" w:hAnsi="Times New Roman" w:cs="Times New Roman"/>
                <w:spacing w:val="-1"/>
                <w:lang w:val="hu-HU"/>
              </w:rPr>
              <w:t>egy 80 mg-os injekció</w:t>
            </w:r>
            <w:r>
              <w:rPr>
                <w:rFonts w:ascii="Times New Roman" w:eastAsia="Times New Roman" w:hAnsi="Times New Roman" w:cs="Times New Roman"/>
                <w:spacing w:val="-1"/>
                <w:lang w:val="hu-HU"/>
              </w:rPr>
              <w:t xml:space="preserve"> két egymást követő napon), amelyet két héttel később 80 mg követ (</w:t>
            </w:r>
            <w:r w:rsidR="007D21DE" w:rsidRPr="007D21DE">
              <w:rPr>
                <w:rFonts w:ascii="Times New Roman" w:eastAsia="Times New Roman" w:hAnsi="Times New Roman" w:cs="Times New Roman"/>
                <w:spacing w:val="-1"/>
                <w:lang w:val="hu-HU"/>
              </w:rPr>
              <w:t>egy 80 mg-os injekció</w:t>
            </w:r>
            <w:r>
              <w:rPr>
                <w:rFonts w:ascii="Times New Roman" w:eastAsia="Times New Roman" w:hAnsi="Times New Roman" w:cs="Times New Roman"/>
                <w:spacing w:val="-1"/>
                <w:lang w:val="hu-HU"/>
              </w:rPr>
              <w:t xml:space="preserve"> egyetlen napon).</w:t>
            </w:r>
          </w:p>
          <w:p w14:paraId="3772817B" w14:textId="77777777" w:rsidR="0037407E" w:rsidRDefault="0037407E" w:rsidP="007E7849">
            <w:pPr>
              <w:pStyle w:val="TableParagraph"/>
              <w:spacing w:before="17" w:line="240" w:lineRule="exact"/>
              <w:rPr>
                <w:sz w:val="24"/>
                <w:szCs w:val="24"/>
                <w:lang w:val="hu-HU"/>
              </w:rPr>
            </w:pPr>
          </w:p>
          <w:p w14:paraId="3EDE1FD4" w14:textId="6242F701" w:rsidR="0037407E" w:rsidRDefault="0037407E" w:rsidP="007E7849">
            <w:pPr>
              <w:pStyle w:val="TableParagraph"/>
              <w:spacing w:line="252"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Ezután a szokásos adag 40 mg </w:t>
            </w:r>
            <w:r w:rsidR="00AC52FB">
              <w:rPr>
                <w:rFonts w:ascii="Times New Roman" w:hAnsi="Times New Roman" w:cs="Times New Roman"/>
                <w:lang w:val="hu-HU"/>
              </w:rPr>
              <w:t>kéthetente</w:t>
            </w:r>
            <w:r>
              <w:rPr>
                <w:rFonts w:ascii="Times New Roman" w:eastAsia="Times New Roman" w:hAnsi="Times New Roman" w:cs="Times New Roman"/>
                <w:spacing w:val="-1"/>
                <w:lang w:val="hu-HU"/>
              </w:rPr>
              <w:t>.</w:t>
            </w:r>
          </w:p>
        </w:tc>
        <w:tc>
          <w:tcPr>
            <w:tcW w:w="3096" w:type="dxa"/>
            <w:tcBorders>
              <w:top w:val="single" w:sz="5" w:space="0" w:color="000000"/>
              <w:left w:val="single" w:sz="5" w:space="0" w:color="000000"/>
              <w:bottom w:val="single" w:sz="5" w:space="0" w:color="000000"/>
              <w:right w:val="single" w:sz="5" w:space="0" w:color="000000"/>
            </w:tcBorders>
          </w:tcPr>
          <w:p w14:paraId="14068166" w14:textId="74EFD9AD" w:rsidR="0037407E" w:rsidRDefault="0037407E" w:rsidP="00545FC6">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Kezelőorvosa heti</w:t>
            </w:r>
            <w:r w:rsidR="0036087F">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40 mg-ra vagy kéthetente 80 mg-ra emelheti az adagot.</w:t>
            </w:r>
          </w:p>
        </w:tc>
      </w:tr>
      <w:tr w:rsidR="00DE4842" w:rsidRPr="00BE4D18" w14:paraId="6E3EABCD" w14:textId="77777777" w:rsidTr="007E7849">
        <w:tc>
          <w:tcPr>
            <w:tcW w:w="3096" w:type="dxa"/>
            <w:tcBorders>
              <w:top w:val="single" w:sz="5" w:space="0" w:color="000000"/>
              <w:left w:val="single" w:sz="5" w:space="0" w:color="000000"/>
              <w:bottom w:val="single" w:sz="5" w:space="0" w:color="000000"/>
              <w:right w:val="single" w:sz="5" w:space="0" w:color="000000"/>
            </w:tcBorders>
          </w:tcPr>
          <w:p w14:paraId="22436E8D" w14:textId="3FEFC6B4" w:rsidR="00DE4842" w:rsidRDefault="00DE4842" w:rsidP="00203387">
            <w:pPr>
              <w:pStyle w:val="TableParagraph"/>
              <w:spacing w:line="246" w:lineRule="exact"/>
              <w:ind w:left="102" w:right="57"/>
              <w:rPr>
                <w:rFonts w:ascii="Times New Roman" w:eastAsia="Times New Roman" w:hAnsi="Times New Roman" w:cs="Times New Roman"/>
                <w:lang w:val="hu-HU"/>
              </w:rPr>
            </w:pPr>
            <w:r w:rsidRPr="001E41EB">
              <w:rPr>
                <w:rFonts w:ascii="Times New Roman" w:eastAsia="Times New Roman" w:hAnsi="Times New Roman" w:cs="Times New Roman"/>
                <w:lang w:val="hu-HU"/>
              </w:rPr>
              <w:t>6-</w:t>
            </w:r>
            <w:r w:rsidR="00203387">
              <w:rPr>
                <w:rFonts w:ascii="Times New Roman" w:eastAsia="Times New Roman" w:hAnsi="Times New Roman" w:cs="Times New Roman"/>
                <w:spacing w:val="-1"/>
                <w:lang w:val="hu-HU"/>
              </w:rPr>
              <w:t xml:space="preserve">tól betöltött 18 </w:t>
            </w:r>
            <w:r w:rsidR="00203387" w:rsidRPr="00211C4E">
              <w:rPr>
                <w:rFonts w:ascii="Times New Roman" w:eastAsia="Times New Roman" w:hAnsi="Times New Roman" w:cs="Times New Roman"/>
                <w:spacing w:val="-1"/>
                <w:lang w:val="hu-HU"/>
              </w:rPr>
              <w:t>éves</w:t>
            </w:r>
            <w:r w:rsidR="00203387">
              <w:rPr>
                <w:rFonts w:ascii="Times New Roman" w:eastAsia="Times New Roman" w:hAnsi="Times New Roman" w:cs="Times New Roman"/>
                <w:spacing w:val="-1"/>
                <w:lang w:val="hu-HU"/>
              </w:rPr>
              <w:t xml:space="preserve"> korig)</w:t>
            </w:r>
            <w:r w:rsidRPr="001E41EB">
              <w:rPr>
                <w:rFonts w:ascii="Times New Roman" w:eastAsia="Times New Roman" w:hAnsi="Times New Roman" w:cs="Times New Roman"/>
                <w:lang w:val="hu-HU"/>
              </w:rPr>
              <w:t>, 40 kg-nál kisebb testtömegű gyermekek vagy serdülők</w:t>
            </w:r>
          </w:p>
        </w:tc>
        <w:tc>
          <w:tcPr>
            <w:tcW w:w="3096" w:type="dxa"/>
            <w:tcBorders>
              <w:top w:val="single" w:sz="5" w:space="0" w:color="000000"/>
              <w:left w:val="single" w:sz="5" w:space="0" w:color="000000"/>
              <w:bottom w:val="single" w:sz="5" w:space="0" w:color="000000"/>
              <w:right w:val="single" w:sz="5" w:space="0" w:color="000000"/>
            </w:tcBorders>
          </w:tcPr>
          <w:p w14:paraId="55C65A0A" w14:textId="77777777" w:rsidR="00DE4842" w:rsidRDefault="00DE4842" w:rsidP="00DE4842">
            <w:pPr>
              <w:pStyle w:val="TableParagraph"/>
              <w:spacing w:line="246" w:lineRule="exact"/>
              <w:ind w:left="102" w:right="57"/>
              <w:rPr>
                <w:rFonts w:ascii="Times New Roman" w:eastAsia="Times New Roman" w:hAnsi="Times New Roman" w:cs="Times New Roman"/>
                <w:lang w:val="hu-HU"/>
              </w:rPr>
            </w:pPr>
            <w:r w:rsidRPr="001E41EB">
              <w:rPr>
                <w:rFonts w:ascii="Times New Roman" w:eastAsia="Times New Roman" w:hAnsi="Times New Roman" w:cs="Times New Roman"/>
                <w:lang w:val="hu-HU"/>
              </w:rPr>
              <w:t>A kezdő adag 40 mg, melyet két héttel később 20 mg követ.</w:t>
            </w:r>
          </w:p>
          <w:p w14:paraId="357904E1" w14:textId="77777777" w:rsidR="00DE4842" w:rsidRDefault="00DE4842" w:rsidP="00DE4842">
            <w:pPr>
              <w:pStyle w:val="TableParagraph"/>
              <w:spacing w:line="246" w:lineRule="exact"/>
              <w:ind w:left="102" w:right="57"/>
              <w:rPr>
                <w:rFonts w:ascii="Times New Roman" w:eastAsia="Times New Roman" w:hAnsi="Times New Roman" w:cs="Times New Roman"/>
                <w:lang w:val="hu-HU"/>
              </w:rPr>
            </w:pPr>
          </w:p>
          <w:p w14:paraId="7EBCFE02" w14:textId="77777777" w:rsidR="00DE4842" w:rsidRDefault="00DE4842" w:rsidP="00DE4842">
            <w:pPr>
              <w:pStyle w:val="TableParagraph"/>
              <w:spacing w:line="246" w:lineRule="exact"/>
              <w:ind w:left="102" w:right="57"/>
              <w:rPr>
                <w:rFonts w:ascii="Times New Roman" w:eastAsia="Times New Roman" w:hAnsi="Times New Roman" w:cs="Times New Roman"/>
                <w:lang w:val="hu-HU"/>
              </w:rPr>
            </w:pPr>
            <w:r w:rsidRPr="001E41EB">
              <w:rPr>
                <w:rFonts w:ascii="Times New Roman" w:eastAsia="Times New Roman" w:hAnsi="Times New Roman" w:cs="Times New Roman"/>
                <w:lang w:val="hu-HU"/>
              </w:rPr>
              <w:t>Ha gyorsabb hatásra van szükség, a kezelőorvos rendelhet 80 mg-os kezdő adagot (egy 80 mg-os injekció), melyet 2 héttel később 40 mg követ.</w:t>
            </w:r>
          </w:p>
          <w:p w14:paraId="33697D80" w14:textId="77777777" w:rsidR="00DE4842" w:rsidRDefault="00DE4842" w:rsidP="00DE4842">
            <w:pPr>
              <w:pStyle w:val="TableParagraph"/>
              <w:spacing w:line="246" w:lineRule="exact"/>
              <w:ind w:left="102" w:right="57"/>
              <w:rPr>
                <w:rFonts w:ascii="Times New Roman" w:eastAsia="Times New Roman" w:hAnsi="Times New Roman" w:cs="Times New Roman"/>
                <w:lang w:val="hu-HU"/>
              </w:rPr>
            </w:pPr>
          </w:p>
          <w:p w14:paraId="0FF4DFAE" w14:textId="71006B31" w:rsidR="00DE4842" w:rsidRDefault="00DE4842" w:rsidP="00DE4842">
            <w:pPr>
              <w:pStyle w:val="TableParagraph"/>
              <w:spacing w:before="3" w:line="252" w:lineRule="exact"/>
              <w:ind w:left="102" w:right="51"/>
              <w:rPr>
                <w:rFonts w:ascii="Times New Roman" w:eastAsia="Times New Roman" w:hAnsi="Times New Roman" w:cs="Times New Roman"/>
                <w:spacing w:val="-1"/>
                <w:lang w:val="hu-HU"/>
              </w:rPr>
            </w:pPr>
            <w:r w:rsidRPr="001E41EB">
              <w:rPr>
                <w:rFonts w:ascii="Times New Roman" w:eastAsia="Times New Roman" w:hAnsi="Times New Roman" w:cs="Times New Roman"/>
                <w:lang w:val="hu-HU"/>
              </w:rPr>
              <w:t>Ezután a szokásos adag kéthetente 20 mg.</w:t>
            </w:r>
          </w:p>
        </w:tc>
        <w:tc>
          <w:tcPr>
            <w:tcW w:w="3096" w:type="dxa"/>
            <w:tcBorders>
              <w:top w:val="single" w:sz="5" w:space="0" w:color="000000"/>
              <w:left w:val="single" w:sz="5" w:space="0" w:color="000000"/>
              <w:bottom w:val="single" w:sz="5" w:space="0" w:color="000000"/>
              <w:right w:val="single" w:sz="5" w:space="0" w:color="000000"/>
            </w:tcBorders>
          </w:tcPr>
          <w:p w14:paraId="4035E27D" w14:textId="381D32E2" w:rsidR="00DE4842" w:rsidRDefault="00DE4842" w:rsidP="00DE4842">
            <w:pPr>
              <w:pStyle w:val="TableParagraph"/>
              <w:spacing w:line="246" w:lineRule="exact"/>
              <w:ind w:left="102" w:right="57"/>
              <w:rPr>
                <w:rFonts w:ascii="Times New Roman" w:eastAsia="Times New Roman" w:hAnsi="Times New Roman" w:cs="Times New Roman"/>
                <w:spacing w:val="-1"/>
                <w:lang w:val="hu-HU"/>
              </w:rPr>
            </w:pPr>
            <w:r w:rsidRPr="001E41EB">
              <w:rPr>
                <w:rFonts w:ascii="Times New Roman" w:eastAsia="Times New Roman" w:hAnsi="Times New Roman" w:cs="Times New Roman"/>
                <w:lang w:val="hu-HU"/>
              </w:rPr>
              <w:t>Kezelőorvosa heti 20 mg-ra emelheti az adagolás gyakoriságát.</w:t>
            </w:r>
          </w:p>
        </w:tc>
      </w:tr>
    </w:tbl>
    <w:p w14:paraId="60C9EB0D" w14:textId="77777777" w:rsidR="0037407E" w:rsidRDefault="0037407E" w:rsidP="0037407E">
      <w:pPr>
        <w:spacing w:before="7" w:line="90" w:lineRule="exact"/>
        <w:rPr>
          <w:sz w:val="9"/>
          <w:szCs w:val="9"/>
          <w:lang w:val="hu-HU"/>
        </w:rPr>
      </w:pPr>
    </w:p>
    <w:p w14:paraId="3D4B3D2C" w14:textId="77777777" w:rsidR="0037407E" w:rsidRDefault="0037407E" w:rsidP="0037407E">
      <w:pPr>
        <w:spacing w:before="10" w:line="240" w:lineRule="exact"/>
        <w:rPr>
          <w:sz w:val="24"/>
          <w:szCs w:val="24"/>
          <w:lang w:val="hu-HU"/>
        </w:rPr>
      </w:pPr>
    </w:p>
    <w:p w14:paraId="0A768699" w14:textId="77777777" w:rsidR="0037407E" w:rsidRDefault="0037407E" w:rsidP="0037407E">
      <w:pPr>
        <w:spacing w:before="10"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37407E" w14:paraId="716B350F" w14:textId="77777777" w:rsidTr="007E7849">
        <w:tc>
          <w:tcPr>
            <w:tcW w:w="9288" w:type="dxa"/>
            <w:gridSpan w:val="3"/>
            <w:tcBorders>
              <w:top w:val="single" w:sz="5" w:space="0" w:color="000000"/>
              <w:left w:val="single" w:sz="5" w:space="0" w:color="000000"/>
              <w:bottom w:val="single" w:sz="5" w:space="0" w:color="000000"/>
              <w:right w:val="single" w:sz="5" w:space="0" w:color="000000"/>
            </w:tcBorders>
          </w:tcPr>
          <w:p w14:paraId="0016453F" w14:textId="0E88ED5E" w:rsidR="0037407E" w:rsidRDefault="0037407E" w:rsidP="00D71745">
            <w:pPr>
              <w:pStyle w:val="TableParagraph"/>
              <w:spacing w:line="252"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Kolitisz ulcer</w:t>
            </w:r>
            <w:r w:rsidR="00D71745">
              <w:rPr>
                <w:rFonts w:ascii="Times New Roman" w:eastAsia="Times New Roman" w:hAnsi="Times New Roman" w:cs="Times New Roman"/>
                <w:b/>
                <w:bCs/>
                <w:spacing w:val="-1"/>
                <w:lang w:val="hu-HU"/>
              </w:rPr>
              <w:t>ó</w:t>
            </w:r>
            <w:r>
              <w:rPr>
                <w:rFonts w:ascii="Times New Roman" w:eastAsia="Times New Roman" w:hAnsi="Times New Roman" w:cs="Times New Roman"/>
                <w:b/>
                <w:bCs/>
                <w:spacing w:val="-1"/>
                <w:lang w:val="hu-HU"/>
              </w:rPr>
              <w:t>za</w:t>
            </w:r>
          </w:p>
        </w:tc>
      </w:tr>
      <w:tr w:rsidR="0037407E" w14:paraId="384341C9" w14:textId="77777777" w:rsidTr="007E7849">
        <w:tc>
          <w:tcPr>
            <w:tcW w:w="3096" w:type="dxa"/>
            <w:tcBorders>
              <w:top w:val="single" w:sz="5" w:space="0" w:color="000000"/>
              <w:left w:val="single" w:sz="5" w:space="0" w:color="000000"/>
              <w:bottom w:val="single" w:sz="5" w:space="0" w:color="000000"/>
              <w:right w:val="single" w:sz="5" w:space="0" w:color="000000"/>
            </w:tcBorders>
          </w:tcPr>
          <w:p w14:paraId="38DF82FA"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5" w:space="0" w:color="000000"/>
              <w:bottom w:val="single" w:sz="5" w:space="0" w:color="000000"/>
              <w:right w:val="single" w:sz="5" w:space="0" w:color="000000"/>
            </w:tcBorders>
          </w:tcPr>
          <w:p w14:paraId="71B0821D"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w:t>
            </w:r>
          </w:p>
          <w:p w14:paraId="1B7C95D0" w14:textId="77777777" w:rsidR="0037407E" w:rsidRDefault="0037407E" w:rsidP="007E7849">
            <w:pPr>
              <w:pStyle w:val="TableParagraph"/>
              <w:spacing w:before="1" w:line="252"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alkalmazni?</w:t>
            </w:r>
          </w:p>
        </w:tc>
        <w:tc>
          <w:tcPr>
            <w:tcW w:w="3096" w:type="dxa"/>
            <w:tcBorders>
              <w:top w:val="single" w:sz="5" w:space="0" w:color="000000"/>
              <w:left w:val="single" w:sz="5" w:space="0" w:color="000000"/>
              <w:bottom w:val="single" w:sz="5" w:space="0" w:color="000000"/>
              <w:right w:val="single" w:sz="5" w:space="0" w:color="000000"/>
            </w:tcBorders>
          </w:tcPr>
          <w:p w14:paraId="158C0908"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37407E" w:rsidRPr="00BE4D18" w14:paraId="6476229B" w14:textId="77777777" w:rsidTr="007E7849">
        <w:tc>
          <w:tcPr>
            <w:tcW w:w="3096" w:type="dxa"/>
            <w:tcBorders>
              <w:top w:val="single" w:sz="5" w:space="0" w:color="000000"/>
              <w:left w:val="single" w:sz="5" w:space="0" w:color="000000"/>
              <w:bottom w:val="single" w:sz="5" w:space="0" w:color="000000"/>
              <w:right w:val="single" w:sz="5" w:space="0" w:color="000000"/>
            </w:tcBorders>
          </w:tcPr>
          <w:p w14:paraId="073F999C" w14:textId="77777777" w:rsidR="0037407E" w:rsidRDefault="0037407E" w:rsidP="007E784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Felnőttek</w:t>
            </w:r>
          </w:p>
        </w:tc>
        <w:tc>
          <w:tcPr>
            <w:tcW w:w="3096" w:type="dxa"/>
            <w:tcBorders>
              <w:top w:val="single" w:sz="5" w:space="0" w:color="000000"/>
              <w:left w:val="single" w:sz="5" w:space="0" w:color="000000"/>
              <w:bottom w:val="single" w:sz="5" w:space="0" w:color="000000"/>
              <w:right w:val="single" w:sz="5" w:space="0" w:color="000000"/>
            </w:tcBorders>
          </w:tcPr>
          <w:p w14:paraId="1D495125" w14:textId="162DD88E" w:rsidR="0037407E" w:rsidRDefault="0037407E" w:rsidP="007E7849">
            <w:pPr>
              <w:pStyle w:val="TableParagraph"/>
              <w:spacing w:before="1" w:line="239" w:lineRule="auto"/>
              <w:ind w:left="102" w:right="73"/>
              <w:rPr>
                <w:rFonts w:ascii="Times New Roman" w:eastAsia="Times New Roman" w:hAnsi="Times New Roman" w:cs="Times New Roman"/>
                <w:lang w:val="hu-HU"/>
              </w:rPr>
            </w:pPr>
            <w:r>
              <w:rPr>
                <w:rFonts w:ascii="Times New Roman" w:eastAsia="Times New Roman" w:hAnsi="Times New Roman" w:cs="Times New Roman"/>
                <w:spacing w:val="-1"/>
                <w:lang w:val="hu-HU"/>
              </w:rPr>
              <w:t>A kezdő adag 160 mg (</w:t>
            </w:r>
            <w:r w:rsidR="007D21DE" w:rsidRPr="007D21DE">
              <w:rPr>
                <w:rFonts w:ascii="Times New Roman" w:eastAsia="Times New Roman" w:hAnsi="Times New Roman" w:cs="Times New Roman"/>
                <w:spacing w:val="-1"/>
                <w:lang w:val="hu-HU"/>
              </w:rPr>
              <w:t>két 80 mg-os injekció</w:t>
            </w:r>
            <w:r>
              <w:rPr>
                <w:rFonts w:ascii="Times New Roman" w:eastAsia="Times New Roman" w:hAnsi="Times New Roman" w:cs="Times New Roman"/>
                <w:spacing w:val="-1"/>
                <w:lang w:val="hu-HU"/>
              </w:rPr>
              <w:t xml:space="preserve"> egyetlen napon, vagy napi </w:t>
            </w:r>
            <w:r w:rsidR="007D21DE" w:rsidRPr="007D21DE">
              <w:rPr>
                <w:rFonts w:ascii="Times New Roman" w:eastAsia="Times New Roman" w:hAnsi="Times New Roman" w:cs="Times New Roman"/>
                <w:spacing w:val="-1"/>
                <w:lang w:val="hu-HU"/>
              </w:rPr>
              <w:t xml:space="preserve">egy 80 mg-os injekció </w:t>
            </w:r>
            <w:r>
              <w:rPr>
                <w:rFonts w:ascii="Times New Roman" w:eastAsia="Times New Roman" w:hAnsi="Times New Roman" w:cs="Times New Roman"/>
                <w:spacing w:val="-1"/>
                <w:lang w:val="hu-HU"/>
              </w:rPr>
              <w:lastRenderedPageBreak/>
              <w:t>két egymást követő napon), amelyet két héttel később 80 mg követ (</w:t>
            </w:r>
            <w:r w:rsidR="007D21DE" w:rsidRPr="007D21DE">
              <w:rPr>
                <w:rFonts w:ascii="Times New Roman" w:eastAsia="Times New Roman" w:hAnsi="Times New Roman" w:cs="Times New Roman"/>
                <w:spacing w:val="-1"/>
                <w:lang w:val="hu-HU"/>
              </w:rPr>
              <w:t xml:space="preserve">egy 80 mg-os injekció </w:t>
            </w:r>
            <w:r>
              <w:rPr>
                <w:rFonts w:ascii="Times New Roman" w:eastAsia="Times New Roman" w:hAnsi="Times New Roman" w:cs="Times New Roman"/>
                <w:spacing w:val="-1"/>
                <w:lang w:val="hu-HU"/>
              </w:rPr>
              <w:t>egyetlen napon).</w:t>
            </w:r>
          </w:p>
          <w:p w14:paraId="20BAB30A" w14:textId="77777777" w:rsidR="0037407E" w:rsidRDefault="0037407E" w:rsidP="007E7849">
            <w:pPr>
              <w:pStyle w:val="TableParagraph"/>
              <w:spacing w:before="17" w:line="240" w:lineRule="exact"/>
              <w:rPr>
                <w:sz w:val="24"/>
                <w:szCs w:val="24"/>
                <w:lang w:val="hu-HU"/>
              </w:rPr>
            </w:pPr>
          </w:p>
          <w:p w14:paraId="35733BC2" w14:textId="6CA6CF8A" w:rsidR="0037407E" w:rsidRDefault="0037407E" w:rsidP="007E7849">
            <w:pPr>
              <w:pStyle w:val="TableParagraph"/>
              <w:spacing w:line="252" w:lineRule="exact"/>
              <w:ind w:left="102"/>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Ezután a szokásos adag 40 mg </w:t>
            </w:r>
            <w:r w:rsidR="00664F58">
              <w:rPr>
                <w:rFonts w:ascii="Times New Roman" w:hAnsi="Times New Roman" w:cs="Times New Roman"/>
                <w:lang w:val="hu-HU"/>
              </w:rPr>
              <w:t>kéthetente</w:t>
            </w:r>
            <w:r>
              <w:rPr>
                <w:rFonts w:ascii="Times New Roman" w:eastAsia="Times New Roman" w:hAnsi="Times New Roman" w:cs="Times New Roman"/>
                <w:spacing w:val="-1"/>
                <w:lang w:val="hu-HU"/>
              </w:rPr>
              <w:t>.</w:t>
            </w:r>
          </w:p>
        </w:tc>
        <w:tc>
          <w:tcPr>
            <w:tcW w:w="3096" w:type="dxa"/>
            <w:tcBorders>
              <w:top w:val="single" w:sz="5" w:space="0" w:color="000000"/>
              <w:left w:val="single" w:sz="5" w:space="0" w:color="000000"/>
              <w:bottom w:val="single" w:sz="5" w:space="0" w:color="000000"/>
              <w:right w:val="single" w:sz="5" w:space="0" w:color="000000"/>
            </w:tcBorders>
          </w:tcPr>
          <w:p w14:paraId="4024F274" w14:textId="307EAC9F" w:rsidR="0037407E" w:rsidRDefault="0037407E" w:rsidP="00545FC6">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lastRenderedPageBreak/>
              <w:t>Kezelőorvosa heti</w:t>
            </w:r>
            <w:r w:rsidR="0036087F">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40 mg-ra vagy kéthetente 80 mg-ra emelheti az adagot.</w:t>
            </w:r>
          </w:p>
        </w:tc>
      </w:tr>
      <w:tr w:rsidR="0037407E" w:rsidRPr="00D436BA" w14:paraId="16F9E6CF" w14:textId="77777777" w:rsidTr="007E7849">
        <w:tc>
          <w:tcPr>
            <w:tcW w:w="3096" w:type="dxa"/>
            <w:tcBorders>
              <w:top w:val="single" w:sz="5" w:space="0" w:color="000000"/>
              <w:left w:val="single" w:sz="5" w:space="0" w:color="000000"/>
              <w:bottom w:val="single" w:sz="5" w:space="0" w:color="000000"/>
              <w:right w:val="single" w:sz="5" w:space="0" w:color="000000"/>
            </w:tcBorders>
          </w:tcPr>
          <w:p w14:paraId="231A85AD" w14:textId="77777777" w:rsidR="0037407E" w:rsidRDefault="0037407E" w:rsidP="007E7849">
            <w:pPr>
              <w:pStyle w:val="TableParagraph"/>
              <w:spacing w:line="246" w:lineRule="exact"/>
              <w:ind w:left="102" w:right="57"/>
              <w:rPr>
                <w:rFonts w:ascii="Times New Roman" w:eastAsia="Times New Roman" w:hAnsi="Times New Roman" w:cs="Times New Roman"/>
                <w:spacing w:val="-1"/>
                <w:lang w:val="hu-HU"/>
              </w:rPr>
            </w:pPr>
            <w:r w:rsidRPr="00167BF3">
              <w:rPr>
                <w:rFonts w:ascii="Times New Roman" w:hAnsi="Times New Roman" w:cs="Times New Roman"/>
                <w:lang w:val="hu-HU"/>
              </w:rPr>
              <w:t>6 éves kor feletti, 40 kg</w:t>
            </w:r>
            <w:r w:rsidRPr="00167BF3">
              <w:rPr>
                <w:rFonts w:ascii="Times New Roman" w:hAnsi="Times New Roman" w:cs="Times New Roman"/>
                <w:lang w:val="hu-HU"/>
              </w:rPr>
              <w:noBreakHyphen/>
              <w:t>nál kisebb testtömegű gyermekek és serdülők</w:t>
            </w:r>
          </w:p>
        </w:tc>
        <w:tc>
          <w:tcPr>
            <w:tcW w:w="3096" w:type="dxa"/>
            <w:tcBorders>
              <w:top w:val="single" w:sz="5" w:space="0" w:color="000000"/>
              <w:left w:val="single" w:sz="5" w:space="0" w:color="000000"/>
              <w:bottom w:val="single" w:sz="5" w:space="0" w:color="000000"/>
              <w:right w:val="single" w:sz="5" w:space="0" w:color="000000"/>
            </w:tcBorders>
          </w:tcPr>
          <w:p w14:paraId="4B8710DE" w14:textId="7E90F7AF" w:rsidR="0037407E" w:rsidRPr="004E2591" w:rsidRDefault="0037407E" w:rsidP="007E7849">
            <w:pPr>
              <w:pStyle w:val="TableParagraph"/>
              <w:spacing w:line="246" w:lineRule="exact"/>
              <w:ind w:left="102" w:right="57"/>
              <w:rPr>
                <w:rFonts w:ascii="Times New Roman" w:eastAsia="Times New Roman" w:hAnsi="Times New Roman" w:cs="Times New Roman"/>
                <w:spacing w:val="-1"/>
                <w:lang w:val="hu-HU"/>
              </w:rPr>
            </w:pPr>
            <w:r w:rsidRPr="004E2591">
              <w:rPr>
                <w:rFonts w:ascii="Times New Roman" w:eastAsia="Times New Roman" w:hAnsi="Times New Roman" w:cs="Times New Roman"/>
                <w:spacing w:val="-1"/>
                <w:lang w:val="hu-HU"/>
              </w:rPr>
              <w:t>A kezdő adag 80 mg (</w:t>
            </w:r>
            <w:r w:rsidR="00A3122E" w:rsidRPr="00A3122E">
              <w:rPr>
                <w:rFonts w:ascii="Times New Roman" w:eastAsia="Times New Roman" w:hAnsi="Times New Roman" w:cs="Times New Roman"/>
                <w:spacing w:val="-1"/>
                <w:lang w:val="hu-HU"/>
              </w:rPr>
              <w:t>egy 80 mg-os injekció</w:t>
            </w:r>
            <w:r w:rsidRPr="004E2591">
              <w:rPr>
                <w:rFonts w:ascii="Times New Roman" w:eastAsia="Times New Roman" w:hAnsi="Times New Roman" w:cs="Times New Roman"/>
                <w:spacing w:val="-1"/>
                <w:lang w:val="hu-HU"/>
              </w:rPr>
              <w:t xml:space="preserve"> formájában egyetlen napon), melyet két héttel később 40 mg (egy 40 mg-os injekció formájában) követ.</w:t>
            </w:r>
          </w:p>
          <w:p w14:paraId="179EF861" w14:textId="77777777" w:rsidR="0037407E" w:rsidRPr="004E2591" w:rsidRDefault="0037407E" w:rsidP="007E7849">
            <w:pPr>
              <w:pStyle w:val="TableParagraph"/>
              <w:spacing w:line="246" w:lineRule="exact"/>
              <w:ind w:left="102" w:right="57"/>
              <w:rPr>
                <w:rFonts w:ascii="Times New Roman" w:eastAsia="Times New Roman" w:hAnsi="Times New Roman" w:cs="Times New Roman"/>
                <w:spacing w:val="-1"/>
                <w:lang w:val="hu-HU"/>
              </w:rPr>
            </w:pPr>
          </w:p>
          <w:p w14:paraId="48AB7203" w14:textId="77777777" w:rsidR="0037407E" w:rsidRDefault="0037407E" w:rsidP="007E7849">
            <w:pPr>
              <w:pStyle w:val="TableParagraph"/>
              <w:spacing w:line="246" w:lineRule="exact"/>
              <w:ind w:left="102" w:right="57"/>
              <w:rPr>
                <w:rFonts w:ascii="Times New Roman" w:eastAsia="Times New Roman" w:hAnsi="Times New Roman" w:cs="Times New Roman"/>
                <w:spacing w:val="-1"/>
                <w:lang w:val="hu-HU"/>
              </w:rPr>
            </w:pPr>
            <w:r w:rsidRPr="004E2591">
              <w:rPr>
                <w:rFonts w:ascii="Times New Roman" w:eastAsia="Times New Roman" w:hAnsi="Times New Roman" w:cs="Times New Roman"/>
                <w:spacing w:val="-1"/>
                <w:lang w:val="hu-HU"/>
              </w:rPr>
              <w:t>Ezt követően a szokásos adag 40 mg kéthetente.</w:t>
            </w:r>
          </w:p>
        </w:tc>
        <w:tc>
          <w:tcPr>
            <w:tcW w:w="3096" w:type="dxa"/>
            <w:tcBorders>
              <w:top w:val="single" w:sz="5" w:space="0" w:color="000000"/>
              <w:left w:val="single" w:sz="5" w:space="0" w:color="000000"/>
              <w:bottom w:val="single" w:sz="5" w:space="0" w:color="000000"/>
              <w:right w:val="single" w:sz="5" w:space="0" w:color="000000"/>
            </w:tcBorders>
          </w:tcPr>
          <w:p w14:paraId="7441AF95" w14:textId="77777777" w:rsidR="0037407E" w:rsidRDefault="0037407E" w:rsidP="007E7849">
            <w:pPr>
              <w:pStyle w:val="TableParagraph"/>
              <w:spacing w:line="246" w:lineRule="exact"/>
              <w:ind w:left="102" w:right="57"/>
              <w:rPr>
                <w:rFonts w:ascii="Times New Roman" w:eastAsia="Times New Roman" w:hAnsi="Times New Roman" w:cs="Times New Roman"/>
                <w:spacing w:val="-1"/>
                <w:lang w:val="hu-HU"/>
              </w:rPr>
            </w:pPr>
            <w:r w:rsidRPr="004E2591">
              <w:rPr>
                <w:rFonts w:ascii="Times New Roman" w:eastAsia="Times New Roman" w:hAnsi="Times New Roman" w:cs="Times New Roman"/>
                <w:spacing w:val="-1"/>
                <w:lang w:val="hu-HU"/>
              </w:rPr>
              <w:t>A Yuflyma alkalmazását a szokásos adagban kell folytatnia, a 18 éves kor betöltése után is.</w:t>
            </w:r>
          </w:p>
        </w:tc>
      </w:tr>
      <w:tr w:rsidR="0037407E" w:rsidRPr="00D436BA" w14:paraId="03C76E78" w14:textId="77777777" w:rsidTr="00CE42DC">
        <w:trPr>
          <w:trHeight w:val="2541"/>
        </w:trPr>
        <w:tc>
          <w:tcPr>
            <w:tcW w:w="3096" w:type="dxa"/>
            <w:tcBorders>
              <w:top w:val="single" w:sz="5" w:space="0" w:color="000000"/>
              <w:left w:val="single" w:sz="5" w:space="0" w:color="000000"/>
              <w:bottom w:val="single" w:sz="5" w:space="0" w:color="000000"/>
              <w:right w:val="single" w:sz="5" w:space="0" w:color="000000"/>
            </w:tcBorders>
          </w:tcPr>
          <w:p w14:paraId="0C185A76" w14:textId="77777777" w:rsidR="0037407E" w:rsidRDefault="0037407E" w:rsidP="007E7849">
            <w:pPr>
              <w:pStyle w:val="TableParagraph"/>
              <w:spacing w:line="246" w:lineRule="exact"/>
              <w:ind w:left="102" w:right="57"/>
              <w:rPr>
                <w:rFonts w:ascii="Times New Roman" w:eastAsia="Times New Roman" w:hAnsi="Times New Roman" w:cs="Times New Roman"/>
                <w:spacing w:val="-1"/>
                <w:lang w:val="hu-HU"/>
              </w:rPr>
            </w:pPr>
            <w:r w:rsidRPr="00167BF3">
              <w:rPr>
                <w:rFonts w:ascii="Times New Roman" w:hAnsi="Times New Roman" w:cs="Times New Roman"/>
                <w:lang w:val="hu-HU"/>
              </w:rPr>
              <w:t>6 éves kor feletti, 40 kg</w:t>
            </w:r>
            <w:r w:rsidRPr="00167BF3">
              <w:rPr>
                <w:rFonts w:ascii="Times New Roman" w:hAnsi="Times New Roman" w:cs="Times New Roman"/>
                <w:lang w:val="hu-HU"/>
              </w:rPr>
              <w:noBreakHyphen/>
              <w:t>os vagy annál nagyobb testtömegű gyermekek és serdülők</w:t>
            </w:r>
          </w:p>
        </w:tc>
        <w:tc>
          <w:tcPr>
            <w:tcW w:w="3096" w:type="dxa"/>
            <w:tcBorders>
              <w:top w:val="single" w:sz="5" w:space="0" w:color="000000"/>
              <w:left w:val="single" w:sz="5" w:space="0" w:color="000000"/>
              <w:bottom w:val="single" w:sz="5" w:space="0" w:color="000000"/>
              <w:right w:val="single" w:sz="5" w:space="0" w:color="000000"/>
            </w:tcBorders>
          </w:tcPr>
          <w:p w14:paraId="1D530A61" w14:textId="25264014" w:rsidR="0037407E" w:rsidRPr="004E2591" w:rsidRDefault="0037407E" w:rsidP="007E7849">
            <w:pPr>
              <w:pStyle w:val="TableParagraph"/>
              <w:spacing w:line="246" w:lineRule="exact"/>
              <w:ind w:left="102" w:right="57"/>
              <w:rPr>
                <w:rFonts w:ascii="Times New Roman" w:eastAsia="Times New Roman" w:hAnsi="Times New Roman" w:cs="Times New Roman"/>
                <w:spacing w:val="-1"/>
                <w:lang w:val="hu-HU"/>
              </w:rPr>
            </w:pPr>
            <w:r w:rsidRPr="004E2591">
              <w:rPr>
                <w:rFonts w:ascii="Times New Roman" w:eastAsia="Times New Roman" w:hAnsi="Times New Roman" w:cs="Times New Roman"/>
                <w:spacing w:val="-1"/>
                <w:lang w:val="hu-HU"/>
              </w:rPr>
              <w:t>A kezdő adag 160 mg (</w:t>
            </w:r>
            <w:r w:rsidR="00A3122E" w:rsidRPr="00A3122E">
              <w:rPr>
                <w:rFonts w:ascii="Times New Roman" w:eastAsia="Times New Roman" w:hAnsi="Times New Roman" w:cs="Times New Roman"/>
                <w:spacing w:val="-1"/>
                <w:lang w:val="hu-HU"/>
              </w:rPr>
              <w:t xml:space="preserve">két 80 mg-os injekció </w:t>
            </w:r>
            <w:r w:rsidRPr="004E2591">
              <w:rPr>
                <w:rFonts w:ascii="Times New Roman" w:eastAsia="Times New Roman" w:hAnsi="Times New Roman" w:cs="Times New Roman"/>
                <w:spacing w:val="-1"/>
                <w:lang w:val="hu-HU"/>
              </w:rPr>
              <w:t xml:space="preserve">egyetlen napon vagy </w:t>
            </w:r>
            <w:r w:rsidR="00A3122E" w:rsidRPr="00A3122E">
              <w:rPr>
                <w:rFonts w:ascii="Times New Roman" w:eastAsia="Times New Roman" w:hAnsi="Times New Roman" w:cs="Times New Roman"/>
                <w:spacing w:val="-1"/>
                <w:lang w:val="hu-HU"/>
              </w:rPr>
              <w:t xml:space="preserve">egy 80 mg-os injekció </w:t>
            </w:r>
            <w:r w:rsidRPr="004E2591">
              <w:rPr>
                <w:rFonts w:ascii="Times New Roman" w:eastAsia="Times New Roman" w:hAnsi="Times New Roman" w:cs="Times New Roman"/>
                <w:spacing w:val="-1"/>
                <w:lang w:val="hu-HU"/>
              </w:rPr>
              <w:t>két egymást követő napon), majd két hét múlva 80 mg (</w:t>
            </w:r>
            <w:r w:rsidR="00A3122E" w:rsidRPr="00A3122E">
              <w:rPr>
                <w:rFonts w:ascii="Times New Roman" w:eastAsia="Times New Roman" w:hAnsi="Times New Roman" w:cs="Times New Roman"/>
                <w:spacing w:val="-1"/>
                <w:lang w:val="hu-HU"/>
              </w:rPr>
              <w:t xml:space="preserve">egy 80 mg-os injekció </w:t>
            </w:r>
            <w:r w:rsidRPr="004E2591">
              <w:rPr>
                <w:rFonts w:ascii="Times New Roman" w:eastAsia="Times New Roman" w:hAnsi="Times New Roman" w:cs="Times New Roman"/>
                <w:spacing w:val="-1"/>
                <w:lang w:val="hu-HU"/>
              </w:rPr>
              <w:t>egyetlen napon).</w:t>
            </w:r>
          </w:p>
          <w:p w14:paraId="15C1F6D8" w14:textId="77777777" w:rsidR="0037407E" w:rsidRPr="004E2591" w:rsidRDefault="0037407E" w:rsidP="007E7849">
            <w:pPr>
              <w:pStyle w:val="TableParagraph"/>
              <w:spacing w:line="246" w:lineRule="exact"/>
              <w:ind w:left="102" w:right="57"/>
              <w:rPr>
                <w:rFonts w:ascii="Times New Roman" w:eastAsia="Times New Roman" w:hAnsi="Times New Roman" w:cs="Times New Roman"/>
                <w:spacing w:val="-1"/>
                <w:lang w:val="hu-HU"/>
              </w:rPr>
            </w:pPr>
          </w:p>
          <w:p w14:paraId="4D277A82" w14:textId="77777777" w:rsidR="0037407E" w:rsidRDefault="0037407E" w:rsidP="007E7849">
            <w:pPr>
              <w:pStyle w:val="TableParagraph"/>
              <w:spacing w:line="246" w:lineRule="exact"/>
              <w:ind w:left="102" w:right="57"/>
              <w:rPr>
                <w:rFonts w:ascii="Times New Roman" w:eastAsia="Times New Roman" w:hAnsi="Times New Roman" w:cs="Times New Roman"/>
                <w:spacing w:val="-1"/>
                <w:lang w:val="hu-HU"/>
              </w:rPr>
            </w:pPr>
            <w:r w:rsidRPr="004E2591">
              <w:rPr>
                <w:rFonts w:ascii="Times New Roman" w:eastAsia="Times New Roman" w:hAnsi="Times New Roman" w:cs="Times New Roman"/>
                <w:spacing w:val="-1"/>
                <w:lang w:val="hu-HU"/>
              </w:rPr>
              <w:t>Ezt követően a szokásos adag 80 mg kéthetente.</w:t>
            </w:r>
          </w:p>
        </w:tc>
        <w:tc>
          <w:tcPr>
            <w:tcW w:w="3096" w:type="dxa"/>
            <w:tcBorders>
              <w:top w:val="single" w:sz="5" w:space="0" w:color="000000"/>
              <w:left w:val="single" w:sz="5" w:space="0" w:color="000000"/>
              <w:bottom w:val="single" w:sz="5" w:space="0" w:color="000000"/>
              <w:right w:val="single" w:sz="5" w:space="0" w:color="000000"/>
            </w:tcBorders>
          </w:tcPr>
          <w:p w14:paraId="7E93B659" w14:textId="77777777" w:rsidR="0037407E" w:rsidRDefault="0037407E" w:rsidP="007E7849">
            <w:pPr>
              <w:pStyle w:val="TableParagraph"/>
              <w:spacing w:line="246" w:lineRule="exact"/>
              <w:ind w:left="102" w:right="57"/>
              <w:rPr>
                <w:rFonts w:ascii="Times New Roman" w:eastAsia="Times New Roman" w:hAnsi="Times New Roman" w:cs="Times New Roman"/>
                <w:spacing w:val="-1"/>
                <w:lang w:val="hu-HU"/>
              </w:rPr>
            </w:pPr>
            <w:r w:rsidRPr="004E2591">
              <w:rPr>
                <w:rFonts w:ascii="Times New Roman" w:eastAsia="Times New Roman" w:hAnsi="Times New Roman" w:cs="Times New Roman"/>
                <w:spacing w:val="-1"/>
                <w:lang w:val="hu-HU"/>
              </w:rPr>
              <w:t>A Yuflyma alkalmazását a szokásos adagban kell folytatnia, a 18 éves kor betöltése után is.</w:t>
            </w:r>
          </w:p>
        </w:tc>
      </w:tr>
    </w:tbl>
    <w:p w14:paraId="14E5A812" w14:textId="77777777" w:rsidR="0037407E" w:rsidRDefault="0037407E" w:rsidP="0037407E">
      <w:pPr>
        <w:spacing w:before="10"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37407E" w:rsidRPr="00BE4D18" w14:paraId="066FFDA3" w14:textId="77777777" w:rsidTr="007E7849">
        <w:tc>
          <w:tcPr>
            <w:tcW w:w="9288" w:type="dxa"/>
            <w:gridSpan w:val="3"/>
            <w:tcBorders>
              <w:top w:val="single" w:sz="5" w:space="0" w:color="000000"/>
              <w:left w:val="single" w:sz="5" w:space="0" w:color="000000"/>
              <w:bottom w:val="single" w:sz="5" w:space="0" w:color="000000"/>
              <w:right w:val="single" w:sz="5" w:space="0" w:color="000000"/>
            </w:tcBorders>
          </w:tcPr>
          <w:p w14:paraId="496D700A" w14:textId="77777777" w:rsidR="0037407E" w:rsidRDefault="0037407E" w:rsidP="007E7849">
            <w:pPr>
              <w:pStyle w:val="TableParagraph"/>
              <w:spacing w:line="252"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Nem fertőzéses eredetű szemgyulladás (uveitisz)</w:t>
            </w:r>
          </w:p>
        </w:tc>
      </w:tr>
      <w:tr w:rsidR="0037407E" w14:paraId="14300AA0" w14:textId="77777777" w:rsidTr="007E7849">
        <w:tc>
          <w:tcPr>
            <w:tcW w:w="3096" w:type="dxa"/>
            <w:tcBorders>
              <w:top w:val="single" w:sz="5" w:space="0" w:color="000000"/>
              <w:left w:val="single" w:sz="5" w:space="0" w:color="000000"/>
              <w:bottom w:val="single" w:sz="5" w:space="0" w:color="000000"/>
              <w:right w:val="single" w:sz="5" w:space="0" w:color="000000"/>
            </w:tcBorders>
          </w:tcPr>
          <w:p w14:paraId="11620D11"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5" w:space="0" w:color="000000"/>
              <w:bottom w:val="single" w:sz="5" w:space="0" w:color="000000"/>
              <w:right w:val="single" w:sz="5" w:space="0" w:color="000000"/>
            </w:tcBorders>
          </w:tcPr>
          <w:p w14:paraId="799BF726"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w:t>
            </w:r>
          </w:p>
          <w:p w14:paraId="6F6572EC" w14:textId="77777777" w:rsidR="0037407E" w:rsidRDefault="0037407E" w:rsidP="007E7849">
            <w:pPr>
              <w:pStyle w:val="TableParagraph"/>
              <w:spacing w:before="1" w:line="252"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alkalmazni?</w:t>
            </w:r>
          </w:p>
        </w:tc>
        <w:tc>
          <w:tcPr>
            <w:tcW w:w="3096" w:type="dxa"/>
            <w:tcBorders>
              <w:top w:val="single" w:sz="5" w:space="0" w:color="000000"/>
              <w:left w:val="single" w:sz="5" w:space="0" w:color="000000"/>
              <w:bottom w:val="single" w:sz="5" w:space="0" w:color="000000"/>
              <w:right w:val="single" w:sz="5" w:space="0" w:color="000000"/>
            </w:tcBorders>
          </w:tcPr>
          <w:p w14:paraId="21F6CD55" w14:textId="77777777" w:rsidR="0037407E" w:rsidRDefault="0037407E" w:rsidP="007E7849">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37407E" w14:paraId="7F4803DE" w14:textId="77777777" w:rsidTr="007E7849">
        <w:tc>
          <w:tcPr>
            <w:tcW w:w="3096" w:type="dxa"/>
            <w:tcBorders>
              <w:top w:val="single" w:sz="5" w:space="0" w:color="000000"/>
              <w:left w:val="single" w:sz="5" w:space="0" w:color="000000"/>
              <w:bottom w:val="single" w:sz="5" w:space="0" w:color="000000"/>
              <w:right w:val="single" w:sz="5" w:space="0" w:color="000000"/>
            </w:tcBorders>
          </w:tcPr>
          <w:p w14:paraId="12146050" w14:textId="77777777" w:rsidR="0037407E" w:rsidRDefault="0037407E" w:rsidP="007E784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Felnőttek</w:t>
            </w:r>
          </w:p>
        </w:tc>
        <w:tc>
          <w:tcPr>
            <w:tcW w:w="3096" w:type="dxa"/>
            <w:tcBorders>
              <w:top w:val="single" w:sz="5" w:space="0" w:color="000000"/>
              <w:left w:val="single" w:sz="5" w:space="0" w:color="000000"/>
              <w:bottom w:val="single" w:sz="5" w:space="0" w:color="000000"/>
              <w:right w:val="single" w:sz="5" w:space="0" w:color="000000"/>
            </w:tcBorders>
          </w:tcPr>
          <w:p w14:paraId="7BC7FC67" w14:textId="5674CD67" w:rsidR="0037407E" w:rsidRDefault="0037407E" w:rsidP="007E7849">
            <w:pPr>
              <w:pStyle w:val="TableParagraph"/>
              <w:spacing w:before="1" w:line="254" w:lineRule="exact"/>
              <w:ind w:left="102" w:right="51"/>
              <w:rPr>
                <w:rFonts w:ascii="Times New Roman" w:eastAsia="Times New Roman" w:hAnsi="Times New Roman" w:cs="Times New Roman"/>
                <w:lang w:val="hu-HU"/>
              </w:rPr>
            </w:pPr>
            <w:r>
              <w:rPr>
                <w:rFonts w:ascii="Times New Roman" w:eastAsia="Times New Roman" w:hAnsi="Times New Roman" w:cs="Times New Roman"/>
                <w:spacing w:val="-1"/>
                <w:lang w:val="hu-HU"/>
              </w:rPr>
              <w:t>A kezdő adag 80 mg (</w:t>
            </w:r>
            <w:r w:rsidR="007D21DE" w:rsidRPr="007D21DE">
              <w:rPr>
                <w:rFonts w:ascii="Times New Roman" w:eastAsia="Times New Roman" w:hAnsi="Times New Roman" w:cs="Times New Roman"/>
                <w:spacing w:val="-1"/>
                <w:lang w:val="hu-HU"/>
              </w:rPr>
              <w:t xml:space="preserve">egy 80 mg-os injekció </w:t>
            </w:r>
            <w:r>
              <w:rPr>
                <w:rFonts w:ascii="Times New Roman" w:eastAsia="Times New Roman" w:hAnsi="Times New Roman" w:cs="Times New Roman"/>
                <w:spacing w:val="-1"/>
                <w:lang w:val="hu-HU"/>
              </w:rPr>
              <w:t xml:space="preserve">egyetlen napon), majd 40 mg </w:t>
            </w:r>
            <w:r w:rsidR="00664F58">
              <w:rPr>
                <w:rFonts w:ascii="Times New Roman" w:hAnsi="Times New Roman" w:cs="Times New Roman"/>
                <w:lang w:val="hu-HU"/>
              </w:rPr>
              <w:t>kéthetente</w:t>
            </w:r>
            <w:r>
              <w:rPr>
                <w:rFonts w:ascii="Times New Roman" w:eastAsia="Times New Roman" w:hAnsi="Times New Roman" w:cs="Times New Roman"/>
                <w:spacing w:val="-1"/>
                <w:lang w:val="hu-HU"/>
              </w:rPr>
              <w:t>,</w:t>
            </w:r>
          </w:p>
          <w:p w14:paraId="422AF6D3" w14:textId="77777777" w:rsidR="0037407E" w:rsidRDefault="0037407E" w:rsidP="007E7849">
            <w:pPr>
              <w:pStyle w:val="TableParagraph"/>
              <w:spacing w:line="249"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a kezdő</w:t>
            </w:r>
          </w:p>
          <w:p w14:paraId="054BDCCA" w14:textId="77777777" w:rsidR="0037407E" w:rsidRDefault="0037407E" w:rsidP="007E7849">
            <w:pPr>
              <w:pStyle w:val="TableParagraph"/>
              <w:spacing w:before="1"/>
              <w:ind w:left="102" w:right="57"/>
              <w:rPr>
                <w:rFonts w:ascii="Times New Roman" w:eastAsia="Times New Roman" w:hAnsi="Times New Roman" w:cs="Times New Roman"/>
                <w:lang w:val="hu-HU"/>
              </w:rPr>
            </w:pPr>
            <w:r>
              <w:rPr>
                <w:rFonts w:ascii="Times New Roman" w:eastAsia="Times New Roman" w:hAnsi="Times New Roman" w:cs="Times New Roman"/>
                <w:lang w:val="hu-HU"/>
              </w:rPr>
              <w:t>adag után egy héttel indítva.</w:t>
            </w:r>
          </w:p>
        </w:tc>
        <w:tc>
          <w:tcPr>
            <w:tcW w:w="3096" w:type="dxa"/>
            <w:tcBorders>
              <w:top w:val="single" w:sz="5" w:space="0" w:color="000000"/>
              <w:left w:val="single" w:sz="5" w:space="0" w:color="000000"/>
              <w:bottom w:val="single" w:sz="5" w:space="0" w:color="000000"/>
              <w:right w:val="single" w:sz="5" w:space="0" w:color="000000"/>
            </w:tcBorders>
          </w:tcPr>
          <w:p w14:paraId="4A61E695" w14:textId="77777777" w:rsidR="0037407E" w:rsidRDefault="0037407E" w:rsidP="007E784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A Yuflyma alkalmazásával egyidejűleg kortikoszteroidok</w:t>
            </w:r>
          </w:p>
          <w:p w14:paraId="771F2D17" w14:textId="06B12376" w:rsidR="0037407E" w:rsidRDefault="0037407E" w:rsidP="00545FC6">
            <w:pPr>
              <w:pStyle w:val="TableParagraph"/>
              <w:spacing w:before="1" w:line="254" w:lineRule="exact"/>
              <w:ind w:left="102" w:right="76"/>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vagy egyéb, az immunrendszer működését befolyásoló gyógyszerek </w:t>
            </w:r>
            <w:r w:rsidR="0036087F">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alkalmazása folytatható.</w:t>
            </w:r>
          </w:p>
          <w:p w14:paraId="0211C891" w14:textId="77777777" w:rsidR="0037407E" w:rsidRDefault="0037407E" w:rsidP="007E7849">
            <w:pPr>
              <w:pStyle w:val="TableParagraph"/>
              <w:spacing w:before="1"/>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A Yuflyma önmagában is alkalmazható</w:t>
            </w:r>
          </w:p>
        </w:tc>
      </w:tr>
      <w:tr w:rsidR="00DE4842" w14:paraId="7D67406F" w14:textId="77777777" w:rsidTr="007E7849">
        <w:tc>
          <w:tcPr>
            <w:tcW w:w="3096" w:type="dxa"/>
            <w:tcBorders>
              <w:top w:val="single" w:sz="5" w:space="0" w:color="000000"/>
              <w:left w:val="single" w:sz="5" w:space="0" w:color="000000"/>
              <w:bottom w:val="single" w:sz="5" w:space="0" w:color="000000"/>
              <w:right w:val="single" w:sz="5" w:space="0" w:color="000000"/>
            </w:tcBorders>
          </w:tcPr>
          <w:p w14:paraId="2C003BB3" w14:textId="62976388" w:rsidR="00DE4842" w:rsidRDefault="00DE4842" w:rsidP="00DE4842">
            <w:pPr>
              <w:pStyle w:val="TableParagraph"/>
              <w:spacing w:line="246" w:lineRule="exact"/>
              <w:ind w:left="102" w:right="57"/>
              <w:rPr>
                <w:rFonts w:ascii="Times New Roman" w:eastAsia="Times New Roman" w:hAnsi="Times New Roman" w:cs="Times New Roman"/>
                <w:spacing w:val="-1"/>
                <w:lang w:val="hu-HU"/>
              </w:rPr>
            </w:pPr>
            <w:r w:rsidRPr="001E41EB">
              <w:rPr>
                <w:rFonts w:ascii="Times New Roman" w:eastAsia="Times New Roman" w:hAnsi="Times New Roman" w:cs="Times New Roman"/>
                <w:spacing w:val="-1"/>
                <w:lang w:val="hu-HU"/>
              </w:rPr>
              <w:t>2 éves kor feletti, 30 kg-nál kisebb testtömegű gyermekek és serdülők</w:t>
            </w:r>
          </w:p>
        </w:tc>
        <w:tc>
          <w:tcPr>
            <w:tcW w:w="3096" w:type="dxa"/>
            <w:tcBorders>
              <w:top w:val="single" w:sz="5" w:space="0" w:color="000000"/>
              <w:left w:val="single" w:sz="5" w:space="0" w:color="000000"/>
              <w:bottom w:val="single" w:sz="5" w:space="0" w:color="000000"/>
              <w:right w:val="single" w:sz="5" w:space="0" w:color="000000"/>
            </w:tcBorders>
          </w:tcPr>
          <w:p w14:paraId="1FFF0F5B" w14:textId="64D23DC8" w:rsidR="00DE4842" w:rsidRDefault="00DE4842" w:rsidP="00DE4842">
            <w:pPr>
              <w:pStyle w:val="TableParagraph"/>
              <w:spacing w:before="1" w:line="254" w:lineRule="exact"/>
              <w:ind w:left="102" w:right="51"/>
              <w:rPr>
                <w:rFonts w:ascii="Times New Roman" w:eastAsia="Times New Roman" w:hAnsi="Times New Roman" w:cs="Times New Roman"/>
                <w:spacing w:val="-1"/>
                <w:lang w:val="hu-HU"/>
              </w:rPr>
            </w:pPr>
            <w:r w:rsidRPr="001E41EB">
              <w:rPr>
                <w:rFonts w:ascii="Times New Roman" w:eastAsia="Times New Roman" w:hAnsi="Times New Roman" w:cs="Times New Roman"/>
                <w:spacing w:val="-1"/>
                <w:lang w:val="hu-HU"/>
              </w:rPr>
              <w:t>20 mg kéthetente</w:t>
            </w:r>
          </w:p>
        </w:tc>
        <w:tc>
          <w:tcPr>
            <w:tcW w:w="3096" w:type="dxa"/>
            <w:tcBorders>
              <w:top w:val="single" w:sz="5" w:space="0" w:color="000000"/>
              <w:left w:val="single" w:sz="5" w:space="0" w:color="000000"/>
              <w:bottom w:val="single" w:sz="5" w:space="0" w:color="000000"/>
              <w:right w:val="single" w:sz="5" w:space="0" w:color="000000"/>
            </w:tcBorders>
          </w:tcPr>
          <w:p w14:paraId="16FCDAEC" w14:textId="2BBD1A98" w:rsidR="00DE4842" w:rsidRDefault="00DE4842" w:rsidP="00DE4842">
            <w:pPr>
              <w:pStyle w:val="TableParagraph"/>
              <w:spacing w:line="246" w:lineRule="exact"/>
              <w:ind w:left="102" w:right="57"/>
              <w:rPr>
                <w:rFonts w:ascii="Times New Roman" w:eastAsia="Times New Roman" w:hAnsi="Times New Roman" w:cs="Times New Roman"/>
                <w:spacing w:val="-1"/>
                <w:lang w:val="hu-HU"/>
              </w:rPr>
            </w:pPr>
            <w:r w:rsidRPr="001E41EB">
              <w:rPr>
                <w:rFonts w:ascii="Times New Roman" w:eastAsia="Times New Roman" w:hAnsi="Times New Roman" w:cs="Times New Roman"/>
                <w:spacing w:val="-1"/>
                <w:lang w:val="hu-HU"/>
              </w:rPr>
              <w:t xml:space="preserve">Kezelőorvosa egy 40 mg-os kezdő dózist is felírhat, melyet egy héttel a szokásos, kéthetente 20 mg-os adagolás megkezdése előtt kell beadni. A </w:t>
            </w:r>
            <w:r w:rsidR="00151C9A">
              <w:rPr>
                <w:rFonts w:ascii="Times New Roman" w:eastAsia="Times New Roman" w:hAnsi="Times New Roman" w:cs="Times New Roman"/>
                <w:spacing w:val="-1"/>
                <w:lang w:val="hu-HU"/>
              </w:rPr>
              <w:t>Yuflyma</w:t>
            </w:r>
            <w:r w:rsidRPr="001E41EB">
              <w:rPr>
                <w:rFonts w:ascii="Times New Roman" w:eastAsia="Times New Roman" w:hAnsi="Times New Roman" w:cs="Times New Roman"/>
                <w:spacing w:val="-1"/>
                <w:lang w:val="hu-HU"/>
              </w:rPr>
              <w:t>-t metotrexáttal kombinálva javasolt alkalmazni.</w:t>
            </w:r>
          </w:p>
        </w:tc>
      </w:tr>
      <w:tr w:rsidR="0037407E" w14:paraId="160CC3DB" w14:textId="77777777" w:rsidTr="007E7849">
        <w:tc>
          <w:tcPr>
            <w:tcW w:w="3096" w:type="dxa"/>
            <w:tcBorders>
              <w:top w:val="single" w:sz="5" w:space="0" w:color="000000"/>
              <w:left w:val="single" w:sz="5" w:space="0" w:color="000000"/>
              <w:bottom w:val="single" w:sz="5" w:space="0" w:color="000000"/>
              <w:right w:val="single" w:sz="5" w:space="0" w:color="000000"/>
            </w:tcBorders>
          </w:tcPr>
          <w:p w14:paraId="2CC4E641" w14:textId="54AA1539" w:rsidR="0037407E" w:rsidRDefault="0037407E" w:rsidP="00545FC6">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Gyermekek és serdülők</w:t>
            </w:r>
            <w:r w:rsidR="00AE0D26">
              <w:rPr>
                <w:rFonts w:ascii="Times New Roman" w:eastAsia="Times New Roman" w:hAnsi="Times New Roman" w:cs="Times New Roman"/>
                <w:spacing w:val="-1"/>
                <w:lang w:val="hu-HU"/>
              </w:rPr>
              <w:t xml:space="preserve"> </w:t>
            </w:r>
            <w:r>
              <w:rPr>
                <w:rFonts w:ascii="Times New Roman" w:eastAsia="Times New Roman" w:hAnsi="Times New Roman" w:cs="Times New Roman"/>
                <w:lang w:val="hu-HU"/>
              </w:rPr>
              <w:t>akik legalább 2 évesek, a testsúlyuk legalább 30 kg</w:t>
            </w:r>
          </w:p>
        </w:tc>
        <w:tc>
          <w:tcPr>
            <w:tcW w:w="3096" w:type="dxa"/>
            <w:tcBorders>
              <w:top w:val="single" w:sz="5" w:space="0" w:color="000000"/>
              <w:left w:val="single" w:sz="5" w:space="0" w:color="000000"/>
              <w:bottom w:val="single" w:sz="5" w:space="0" w:color="000000"/>
              <w:right w:val="single" w:sz="5" w:space="0" w:color="000000"/>
            </w:tcBorders>
          </w:tcPr>
          <w:p w14:paraId="18C2090F" w14:textId="77777777" w:rsidR="0037407E" w:rsidRDefault="0037407E" w:rsidP="007E7849">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lang w:val="hu-HU"/>
              </w:rPr>
              <w:t>40 mg kéthetente</w:t>
            </w:r>
          </w:p>
        </w:tc>
        <w:tc>
          <w:tcPr>
            <w:tcW w:w="3096" w:type="dxa"/>
            <w:tcBorders>
              <w:top w:val="single" w:sz="5" w:space="0" w:color="000000"/>
              <w:left w:val="single" w:sz="5" w:space="0" w:color="000000"/>
              <w:bottom w:val="single" w:sz="5" w:space="0" w:color="000000"/>
              <w:right w:val="single" w:sz="5" w:space="0" w:color="000000"/>
            </w:tcBorders>
          </w:tcPr>
          <w:p w14:paraId="6C47B58D" w14:textId="2F6F3F2B" w:rsidR="0037407E" w:rsidRDefault="0037407E" w:rsidP="00545FC6">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Kezelőorvosa egy</w:t>
            </w:r>
            <w:r w:rsidR="0036087F">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80 mg-os kezdő dózist is felírhat, melyet egy héttel a</w:t>
            </w:r>
            <w:r w:rsidR="0036087F">
              <w:rPr>
                <w:rFonts w:ascii="Times New Roman" w:eastAsia="Times New Roman" w:hAnsi="Times New Roman" w:cs="Times New Roman"/>
                <w:spacing w:val="-1"/>
                <w:lang w:val="hu-HU"/>
              </w:rPr>
              <w:t xml:space="preserve"> </w:t>
            </w:r>
            <w:r>
              <w:rPr>
                <w:rFonts w:ascii="Times New Roman" w:eastAsia="Times New Roman" w:hAnsi="Times New Roman" w:cs="Times New Roman"/>
                <w:spacing w:val="-1"/>
                <w:lang w:val="hu-HU"/>
              </w:rPr>
              <w:t>szokásos</w:t>
            </w:r>
            <w:r w:rsidR="0036087F">
              <w:rPr>
                <w:rFonts w:ascii="Times New Roman" w:eastAsia="Times New Roman" w:hAnsi="Times New Roman" w:cs="Times New Roman"/>
                <w:spacing w:val="-1"/>
                <w:lang w:val="hu-HU"/>
              </w:rPr>
              <w:t xml:space="preserve"> </w:t>
            </w:r>
            <w:r>
              <w:rPr>
                <w:rFonts w:ascii="Times New Roman" w:eastAsia="Times New Roman" w:hAnsi="Times New Roman" w:cs="Times New Roman"/>
                <w:lang w:val="hu-HU"/>
              </w:rPr>
              <w:t>kéthetente 40 mg-os adagolás megkezdése előtt kell beadni. A Yuflyma használata a metotrexáttal együtt javasolt.</w:t>
            </w:r>
          </w:p>
        </w:tc>
      </w:tr>
    </w:tbl>
    <w:p w14:paraId="02C2761D" w14:textId="77777777" w:rsidR="0037407E" w:rsidRDefault="0037407E" w:rsidP="0037407E">
      <w:pPr>
        <w:pStyle w:val="a3"/>
        <w:rPr>
          <w:lang w:val="hu-HU"/>
        </w:rPr>
      </w:pPr>
    </w:p>
    <w:p w14:paraId="7939E9EF" w14:textId="77777777" w:rsidR="0037407E" w:rsidRDefault="0037407E" w:rsidP="0037407E">
      <w:pPr>
        <w:pStyle w:val="a3"/>
        <w:rPr>
          <w:b/>
          <w:lang w:val="hu-HU"/>
        </w:rPr>
      </w:pPr>
      <w:r>
        <w:rPr>
          <w:rFonts w:eastAsia="Times New Roman"/>
          <w:b/>
          <w:bCs/>
          <w:lang w:val="hu-HU"/>
        </w:rPr>
        <w:t>Az alkalmazással kapcsolatos tudnivalók és az alkalmazás módja</w:t>
      </w:r>
    </w:p>
    <w:p w14:paraId="3DD066E5" w14:textId="77777777" w:rsidR="0037407E" w:rsidRDefault="0037407E" w:rsidP="0037407E">
      <w:pPr>
        <w:spacing w:before="9" w:line="240" w:lineRule="exact"/>
        <w:rPr>
          <w:sz w:val="24"/>
          <w:szCs w:val="24"/>
          <w:lang w:val="hu-HU"/>
        </w:rPr>
      </w:pPr>
    </w:p>
    <w:p w14:paraId="7F082D57" w14:textId="77777777" w:rsidR="0037407E" w:rsidRDefault="0037407E" w:rsidP="0037407E">
      <w:pPr>
        <w:pStyle w:val="a3"/>
        <w:rPr>
          <w:lang w:val="hu-HU"/>
        </w:rPr>
      </w:pPr>
      <w:r>
        <w:rPr>
          <w:rFonts w:eastAsia="Times New Roman"/>
          <w:lang w:val="hu-HU"/>
        </w:rPr>
        <w:t>A Yuflyma injekciót a bőr alá (szubkután injekció formájában) kell beadni.</w:t>
      </w:r>
    </w:p>
    <w:p w14:paraId="77C04DC0" w14:textId="77777777" w:rsidR="0037407E" w:rsidRDefault="0037407E" w:rsidP="0037407E">
      <w:pPr>
        <w:spacing w:before="18" w:line="240" w:lineRule="exact"/>
        <w:rPr>
          <w:sz w:val="24"/>
          <w:szCs w:val="24"/>
          <w:lang w:val="hu-HU"/>
        </w:rPr>
      </w:pPr>
    </w:p>
    <w:p w14:paraId="2773B55D" w14:textId="49103EBA" w:rsidR="0037407E" w:rsidRDefault="0037407E" w:rsidP="0037407E">
      <w:pPr>
        <w:pStyle w:val="a3"/>
        <w:rPr>
          <w:rFonts w:eastAsia="Times New Roman"/>
          <w:b/>
          <w:bCs/>
          <w:lang w:val="hu-HU"/>
        </w:rPr>
      </w:pPr>
      <w:r>
        <w:rPr>
          <w:rFonts w:eastAsia="Times New Roman"/>
          <w:b/>
          <w:bCs/>
          <w:lang w:val="hu-HU"/>
        </w:rPr>
        <w:t>A Yuflyma injekció beadásával kapcsolatos részletes útmutatás a 7</w:t>
      </w:r>
      <w:r w:rsidR="005F5974">
        <w:rPr>
          <w:rFonts w:eastAsia="Times New Roman"/>
          <w:b/>
          <w:bCs/>
          <w:lang w:val="hu-HU"/>
        </w:rPr>
        <w:t>.</w:t>
      </w:r>
      <w:r>
        <w:rPr>
          <w:rFonts w:eastAsia="Times New Roman"/>
          <w:b/>
          <w:bCs/>
          <w:lang w:val="hu-HU"/>
        </w:rPr>
        <w:t xml:space="preserve"> </w:t>
      </w:r>
      <w:r w:rsidR="005F5974" w:rsidRPr="004C5B28">
        <w:rPr>
          <w:rStyle w:val="ui-provider"/>
          <w:b/>
          <w:bCs/>
          <w:lang w:val="hu-HU"/>
        </w:rPr>
        <w:t>“</w:t>
      </w:r>
      <w:r w:rsidRPr="00992BD3">
        <w:rPr>
          <w:rFonts w:eastAsia="Times New Roman"/>
          <w:b/>
          <w:bCs/>
          <w:lang w:val="hu-HU"/>
        </w:rPr>
        <w:t>Használati utasítás</w:t>
      </w:r>
      <w:r w:rsidR="005F5974">
        <w:rPr>
          <w:rFonts w:eastAsia="Times New Roman"/>
          <w:b/>
          <w:bCs/>
          <w:lang w:val="hu-HU"/>
        </w:rPr>
        <w:t>”</w:t>
      </w:r>
      <w:r>
        <w:rPr>
          <w:rFonts w:eastAsia="Times New Roman"/>
          <w:b/>
          <w:bCs/>
          <w:lang w:val="hu-HU"/>
        </w:rPr>
        <w:t xml:space="preserve"> című pontban található</w:t>
      </w:r>
    </w:p>
    <w:p w14:paraId="1D0178F2" w14:textId="77777777" w:rsidR="0037407E" w:rsidRDefault="0037407E" w:rsidP="0037407E">
      <w:pPr>
        <w:pStyle w:val="a3"/>
        <w:rPr>
          <w:b/>
          <w:lang w:val="hu-HU"/>
        </w:rPr>
      </w:pPr>
    </w:p>
    <w:p w14:paraId="5C898C51" w14:textId="77777777" w:rsidR="0037407E" w:rsidRDefault="0037407E" w:rsidP="0037407E">
      <w:pPr>
        <w:pStyle w:val="a3"/>
        <w:rPr>
          <w:b/>
          <w:lang w:val="hu-HU"/>
        </w:rPr>
      </w:pPr>
      <w:r>
        <w:rPr>
          <w:rFonts w:eastAsia="Times New Roman"/>
          <w:b/>
          <w:bCs/>
          <w:lang w:val="hu-HU"/>
        </w:rPr>
        <w:t>Ha az előírtnál több Yuflyma-t alkalmazott</w:t>
      </w:r>
    </w:p>
    <w:p w14:paraId="23D8E64E" w14:textId="77777777" w:rsidR="0037407E" w:rsidRDefault="0037407E" w:rsidP="0037407E">
      <w:pPr>
        <w:pStyle w:val="a3"/>
        <w:rPr>
          <w:lang w:val="hu-HU"/>
        </w:rPr>
      </w:pPr>
    </w:p>
    <w:p w14:paraId="530800DF" w14:textId="77777777" w:rsidR="0037407E" w:rsidRDefault="0037407E" w:rsidP="0037407E">
      <w:pPr>
        <w:pStyle w:val="a3"/>
        <w:rPr>
          <w:lang w:val="hu-HU"/>
        </w:rPr>
      </w:pPr>
      <w:r>
        <w:rPr>
          <w:rFonts w:eastAsia="Times New Roman"/>
          <w:lang w:val="hu-HU"/>
        </w:rPr>
        <w:t>Ha véletlenül a kezelőorvosa vagy gyógyszerésze által előírtnál gyakrabban alkalmazta a Yuflyma-t, azonnal beszéljen kezelőorvosával vagy gyógyszerészével. Őrizze meg a külső csomagolást, abban az esetben is, ha üres.</w:t>
      </w:r>
    </w:p>
    <w:p w14:paraId="7516503D" w14:textId="77777777" w:rsidR="0037407E" w:rsidRDefault="0037407E" w:rsidP="0037407E">
      <w:pPr>
        <w:spacing w:before="18" w:line="240" w:lineRule="exact"/>
        <w:rPr>
          <w:b/>
          <w:sz w:val="24"/>
          <w:szCs w:val="24"/>
          <w:lang w:val="hu-HU"/>
        </w:rPr>
      </w:pPr>
    </w:p>
    <w:p w14:paraId="74111D35" w14:textId="77777777" w:rsidR="0037407E" w:rsidRDefault="0037407E" w:rsidP="0037407E">
      <w:pPr>
        <w:pStyle w:val="a3"/>
        <w:rPr>
          <w:b/>
          <w:lang w:val="hu-HU"/>
        </w:rPr>
      </w:pPr>
      <w:r>
        <w:rPr>
          <w:rFonts w:eastAsia="Times New Roman"/>
          <w:b/>
          <w:bCs/>
          <w:lang w:val="hu-HU"/>
        </w:rPr>
        <w:t>Ha elfelejtette alkalmazni a Yuflyma-t</w:t>
      </w:r>
    </w:p>
    <w:p w14:paraId="4F9A6D91" w14:textId="77777777" w:rsidR="0037407E" w:rsidRDefault="0037407E" w:rsidP="0037407E">
      <w:pPr>
        <w:spacing w:before="9" w:line="240" w:lineRule="exact"/>
        <w:rPr>
          <w:sz w:val="24"/>
          <w:szCs w:val="24"/>
          <w:lang w:val="hu-HU"/>
        </w:rPr>
      </w:pPr>
    </w:p>
    <w:p w14:paraId="726A427E" w14:textId="0F435092" w:rsidR="0037407E" w:rsidRDefault="0037407E" w:rsidP="0037407E">
      <w:pPr>
        <w:pStyle w:val="a3"/>
        <w:rPr>
          <w:lang w:val="hu-HU"/>
        </w:rPr>
      </w:pPr>
      <w:r>
        <w:rPr>
          <w:rFonts w:eastAsia="Times New Roman"/>
          <w:lang w:val="hu-HU"/>
        </w:rPr>
        <w:t xml:space="preserve">Ha elfelejtette beadni az injekciót, adja be a következő Yuflyma adagot rögtön, amikor eszébe jutott. A </w:t>
      </w:r>
      <w:r w:rsidR="005F5974">
        <w:rPr>
          <w:rFonts w:eastAsia="Times New Roman"/>
          <w:lang w:val="hu-HU"/>
        </w:rPr>
        <w:t>ra</w:t>
      </w:r>
      <w:r>
        <w:rPr>
          <w:rFonts w:eastAsia="Times New Roman"/>
          <w:lang w:val="hu-HU"/>
        </w:rPr>
        <w:t xml:space="preserve">következő adagot az eredeti kezelési terv alapján meghatározott napon alkalmazza, úgy mintha </w:t>
      </w:r>
      <w:r w:rsidR="005F5974">
        <w:rPr>
          <w:rFonts w:eastAsia="Times New Roman"/>
          <w:lang w:val="hu-HU"/>
        </w:rPr>
        <w:t xml:space="preserve">a most beadott </w:t>
      </w:r>
      <w:r>
        <w:rPr>
          <w:rFonts w:eastAsia="Times New Roman"/>
          <w:lang w:val="hu-HU"/>
        </w:rPr>
        <w:t>adagot az előírás szerinti időpontban adta volna be.</w:t>
      </w:r>
    </w:p>
    <w:p w14:paraId="7185CE69" w14:textId="77777777" w:rsidR="0037407E" w:rsidRDefault="0037407E" w:rsidP="0037407E">
      <w:pPr>
        <w:spacing w:before="18" w:line="240" w:lineRule="exact"/>
        <w:rPr>
          <w:sz w:val="24"/>
          <w:szCs w:val="24"/>
          <w:lang w:val="hu-HU"/>
        </w:rPr>
      </w:pPr>
    </w:p>
    <w:p w14:paraId="354C8F0D" w14:textId="77777777" w:rsidR="0037407E" w:rsidRDefault="0037407E" w:rsidP="0037407E">
      <w:pPr>
        <w:pStyle w:val="a3"/>
        <w:rPr>
          <w:b/>
          <w:lang w:val="hu-HU"/>
        </w:rPr>
      </w:pPr>
      <w:r>
        <w:rPr>
          <w:rFonts w:eastAsia="Times New Roman"/>
          <w:b/>
          <w:bCs/>
          <w:lang w:val="hu-HU"/>
        </w:rPr>
        <w:t>Ha idő előtt abbahagyja a Yuflyma alkalmazását</w:t>
      </w:r>
    </w:p>
    <w:p w14:paraId="5518B7C5" w14:textId="77777777" w:rsidR="0037407E" w:rsidRDefault="0037407E" w:rsidP="0037407E">
      <w:pPr>
        <w:spacing w:before="6" w:line="240" w:lineRule="exact"/>
        <w:rPr>
          <w:sz w:val="24"/>
          <w:szCs w:val="24"/>
          <w:lang w:val="hu-HU"/>
        </w:rPr>
      </w:pPr>
    </w:p>
    <w:p w14:paraId="304ED66F" w14:textId="2476B334" w:rsidR="0037407E" w:rsidRDefault="0037407E" w:rsidP="0037407E">
      <w:pPr>
        <w:pStyle w:val="a3"/>
        <w:rPr>
          <w:lang w:val="hu-HU"/>
        </w:rPr>
      </w:pPr>
      <w:r>
        <w:rPr>
          <w:rFonts w:eastAsia="Times New Roman"/>
          <w:lang w:val="hu-HU"/>
        </w:rPr>
        <w:t xml:space="preserve">A </w:t>
      </w:r>
      <w:r w:rsidR="005F5974" w:rsidRPr="00642D2B">
        <w:rPr>
          <w:rFonts w:eastAsia="Times New Roman"/>
          <w:lang w:val="hu-HU"/>
        </w:rPr>
        <w:t>döntést, hogy abbahagyja</w:t>
      </w:r>
      <w:r w:rsidR="005F5974">
        <w:rPr>
          <w:rFonts w:eastAsia="Times New Roman"/>
          <w:lang w:val="hu-HU"/>
        </w:rPr>
        <w:t xml:space="preserve"> </w:t>
      </w:r>
      <w:r>
        <w:rPr>
          <w:rFonts w:eastAsia="Times New Roman"/>
          <w:lang w:val="hu-HU"/>
        </w:rPr>
        <w:t>a Yuflyma alkalmazását, meg kell beszélni a kezelőorvosával. Tünetei visszatérhetnek, ha abbahagyja a Yuflyma alkalmazását.</w:t>
      </w:r>
    </w:p>
    <w:p w14:paraId="5B85404E" w14:textId="77777777" w:rsidR="0037407E" w:rsidRDefault="0037407E" w:rsidP="0037407E">
      <w:pPr>
        <w:spacing w:before="12" w:line="240" w:lineRule="exact"/>
        <w:rPr>
          <w:sz w:val="24"/>
          <w:szCs w:val="24"/>
          <w:lang w:val="hu-HU"/>
        </w:rPr>
      </w:pPr>
    </w:p>
    <w:p w14:paraId="2200E454" w14:textId="77777777" w:rsidR="0037407E" w:rsidRDefault="0037407E" w:rsidP="0037407E">
      <w:pPr>
        <w:pStyle w:val="a3"/>
        <w:rPr>
          <w:lang w:val="hu-HU"/>
        </w:rPr>
      </w:pPr>
      <w:r>
        <w:rPr>
          <w:rFonts w:eastAsia="Times New Roman"/>
          <w:lang w:val="hu-HU"/>
        </w:rPr>
        <w:t>Ha bármilyen további kérdése van a gyógyszer alkalmazásával kapcsolatban, kérdezze meg kezelőorvosát vagy gyógyszerészét.</w:t>
      </w:r>
    </w:p>
    <w:p w14:paraId="2C47DF0C" w14:textId="77777777" w:rsidR="0037407E" w:rsidRDefault="0037407E" w:rsidP="0037407E">
      <w:pPr>
        <w:spacing w:line="200" w:lineRule="exact"/>
        <w:rPr>
          <w:sz w:val="20"/>
          <w:szCs w:val="20"/>
          <w:lang w:val="hu-HU"/>
        </w:rPr>
      </w:pPr>
    </w:p>
    <w:p w14:paraId="5C44AD3E" w14:textId="77777777" w:rsidR="0037407E" w:rsidRDefault="0037407E" w:rsidP="0037407E">
      <w:pPr>
        <w:spacing w:line="200" w:lineRule="exact"/>
        <w:rPr>
          <w:sz w:val="20"/>
          <w:szCs w:val="20"/>
          <w:lang w:val="hu-HU"/>
        </w:rPr>
      </w:pPr>
    </w:p>
    <w:p w14:paraId="51B71437" w14:textId="77777777" w:rsidR="0037407E" w:rsidRDefault="0037407E" w:rsidP="00FD05AA">
      <w:pPr>
        <w:pStyle w:val="a4"/>
        <w:numPr>
          <w:ilvl w:val="0"/>
          <w:numId w:val="66"/>
        </w:numPr>
        <w:spacing w:line="240" w:lineRule="exact"/>
        <w:ind w:hanging="468"/>
        <w:rPr>
          <w:rFonts w:ascii="Times New Roman" w:hAnsi="Times New Roman" w:cs="Times New Roman"/>
          <w:b/>
          <w:lang w:val="hu-HU"/>
        </w:rPr>
      </w:pPr>
      <w:r>
        <w:rPr>
          <w:rFonts w:ascii="Times New Roman" w:eastAsia="Times New Roman" w:hAnsi="Times New Roman" w:cs="Times New Roman"/>
          <w:b/>
          <w:bCs/>
          <w:lang w:val="hu-HU"/>
        </w:rPr>
        <w:t>Lehetséges mellékhatások</w:t>
      </w:r>
    </w:p>
    <w:p w14:paraId="778F6302" w14:textId="77777777" w:rsidR="0037407E" w:rsidRDefault="0037407E" w:rsidP="0037407E">
      <w:pPr>
        <w:spacing w:before="12" w:line="240" w:lineRule="exact"/>
        <w:rPr>
          <w:sz w:val="24"/>
          <w:szCs w:val="24"/>
          <w:lang w:val="hu-HU"/>
        </w:rPr>
      </w:pPr>
    </w:p>
    <w:p w14:paraId="52D64C8B" w14:textId="77777777" w:rsidR="0037407E" w:rsidRDefault="0037407E" w:rsidP="0037407E">
      <w:pPr>
        <w:pStyle w:val="a3"/>
        <w:rPr>
          <w:lang w:val="hu-HU"/>
        </w:rPr>
      </w:pPr>
      <w:r>
        <w:rPr>
          <w:rFonts w:eastAsia="Times New Roman"/>
          <w:lang w:val="hu-HU"/>
        </w:rPr>
        <w:t>Mint minden gyógyszer, így ez a gyógyszer is okozhat mellékhatásokat, amelyek azonban nem mindenkinél jelentkeznek. A legtöbb mellékhatás enyhe vagy közepes fokú. Néhány esetben kezelést igénylő, súlyos mellékhatás is előfordulhat. Mellékhatások az utolsó Yuflyma injekciótkövetően legalább 4 hónapig még bekövetkezhetnek.</w:t>
      </w:r>
    </w:p>
    <w:p w14:paraId="0243646A" w14:textId="77777777" w:rsidR="0037407E" w:rsidRDefault="0037407E" w:rsidP="0037407E">
      <w:pPr>
        <w:spacing w:before="15" w:line="240" w:lineRule="exact"/>
        <w:rPr>
          <w:sz w:val="24"/>
          <w:szCs w:val="24"/>
          <w:lang w:val="hu-HU"/>
        </w:rPr>
      </w:pPr>
    </w:p>
    <w:p w14:paraId="6E6FE9E8" w14:textId="77777777" w:rsidR="0037407E" w:rsidRDefault="0037407E" w:rsidP="0037407E">
      <w:pPr>
        <w:pStyle w:val="a3"/>
        <w:rPr>
          <w:b/>
          <w:lang w:val="hu-HU"/>
        </w:rPr>
      </w:pPr>
      <w:r>
        <w:rPr>
          <w:rFonts w:eastAsia="Times New Roman"/>
          <w:b/>
          <w:bCs/>
          <w:lang w:val="hu-HU"/>
        </w:rPr>
        <w:t>Közölje azonnal kezelőorvosával, ha az alábbiak közül bármit észlel</w:t>
      </w:r>
    </w:p>
    <w:p w14:paraId="566D5A59" w14:textId="77777777" w:rsidR="0037407E" w:rsidRDefault="0037407E" w:rsidP="0037407E">
      <w:pPr>
        <w:spacing w:before="10" w:line="240" w:lineRule="exact"/>
        <w:rPr>
          <w:sz w:val="24"/>
          <w:szCs w:val="24"/>
          <w:lang w:val="hu-HU"/>
        </w:rPr>
      </w:pPr>
    </w:p>
    <w:p w14:paraId="3C2FFCD9" w14:textId="77777777" w:rsidR="0037407E" w:rsidRDefault="0037407E" w:rsidP="0037407E">
      <w:pPr>
        <w:pStyle w:val="a3"/>
        <w:numPr>
          <w:ilvl w:val="0"/>
          <w:numId w:val="15"/>
        </w:numPr>
        <w:ind w:left="660" w:hanging="660"/>
        <w:rPr>
          <w:lang w:val="hu-HU"/>
        </w:rPr>
      </w:pPr>
      <w:r>
        <w:rPr>
          <w:rFonts w:eastAsia="Times New Roman"/>
          <w:lang w:val="hu-HU"/>
        </w:rPr>
        <w:t>súlyos bőrkiütés, csalánkiütés vagy más allergiára utaló tünet</w:t>
      </w:r>
    </w:p>
    <w:p w14:paraId="1803D59E" w14:textId="77777777" w:rsidR="0037407E" w:rsidRDefault="0037407E" w:rsidP="0037407E">
      <w:pPr>
        <w:pStyle w:val="a3"/>
        <w:numPr>
          <w:ilvl w:val="0"/>
          <w:numId w:val="15"/>
        </w:numPr>
        <w:ind w:left="660" w:hanging="660"/>
        <w:rPr>
          <w:lang w:val="hu-HU"/>
        </w:rPr>
      </w:pPr>
      <w:r>
        <w:rPr>
          <w:rFonts w:eastAsia="Times New Roman"/>
          <w:lang w:val="hu-HU"/>
        </w:rPr>
        <w:t xml:space="preserve">duzzanat az arcon, </w:t>
      </w:r>
      <w:proofErr w:type="spellStart"/>
      <w:r w:rsidRPr="00167BF3">
        <w:rPr>
          <w:lang w:val="es-ES"/>
        </w:rPr>
        <w:t>kézen</w:t>
      </w:r>
      <w:proofErr w:type="spellEnd"/>
      <w:r w:rsidRPr="00167BF3">
        <w:rPr>
          <w:lang w:val="es-ES"/>
        </w:rPr>
        <w:t xml:space="preserve"> </w:t>
      </w:r>
      <w:proofErr w:type="spellStart"/>
      <w:r w:rsidRPr="00167BF3">
        <w:rPr>
          <w:lang w:val="es-ES"/>
        </w:rPr>
        <w:t>vagy</w:t>
      </w:r>
      <w:proofErr w:type="spellEnd"/>
      <w:r w:rsidRPr="00167BF3">
        <w:rPr>
          <w:lang w:val="es-ES"/>
        </w:rPr>
        <w:t xml:space="preserve"> </w:t>
      </w:r>
      <w:proofErr w:type="spellStart"/>
      <w:r w:rsidRPr="00167BF3">
        <w:rPr>
          <w:lang w:val="es-ES"/>
        </w:rPr>
        <w:t>lábon</w:t>
      </w:r>
      <w:proofErr w:type="spellEnd"/>
    </w:p>
    <w:p w14:paraId="6626DE7F" w14:textId="77777777" w:rsidR="0037407E" w:rsidRDefault="0037407E" w:rsidP="0037407E">
      <w:pPr>
        <w:pStyle w:val="a3"/>
        <w:numPr>
          <w:ilvl w:val="0"/>
          <w:numId w:val="15"/>
        </w:numPr>
        <w:ind w:left="660" w:hanging="660"/>
        <w:rPr>
          <w:lang w:val="hu-HU"/>
        </w:rPr>
      </w:pPr>
      <w:r>
        <w:rPr>
          <w:rFonts w:eastAsia="Times New Roman"/>
          <w:lang w:val="hu-HU"/>
        </w:rPr>
        <w:t>nehézlégzés vagy nehézség a nyelés során</w:t>
      </w:r>
    </w:p>
    <w:p w14:paraId="7C328EA4" w14:textId="77777777" w:rsidR="0037407E" w:rsidRDefault="0037407E" w:rsidP="0037407E">
      <w:pPr>
        <w:pStyle w:val="a3"/>
        <w:numPr>
          <w:ilvl w:val="0"/>
          <w:numId w:val="15"/>
        </w:numPr>
        <w:ind w:left="660" w:hanging="660"/>
        <w:rPr>
          <w:lang w:val="hu-HU"/>
        </w:rPr>
      </w:pPr>
      <w:r>
        <w:rPr>
          <w:rFonts w:eastAsia="Times New Roman"/>
          <w:lang w:val="hu-HU"/>
        </w:rPr>
        <w:t>megerőltetéskor vagy lefekvéskor jelentkező nehézlégzés, vagy lábdagadás</w:t>
      </w:r>
    </w:p>
    <w:p w14:paraId="3A9727FC" w14:textId="77777777" w:rsidR="0037407E" w:rsidRDefault="0037407E" w:rsidP="0037407E">
      <w:pPr>
        <w:spacing w:before="15" w:line="240" w:lineRule="exact"/>
        <w:rPr>
          <w:sz w:val="24"/>
          <w:szCs w:val="24"/>
          <w:lang w:val="hu-HU"/>
        </w:rPr>
      </w:pPr>
    </w:p>
    <w:p w14:paraId="53E5B282" w14:textId="77777777" w:rsidR="0037407E" w:rsidRDefault="0037407E" w:rsidP="0037407E">
      <w:pPr>
        <w:pStyle w:val="a3"/>
        <w:rPr>
          <w:b/>
          <w:lang w:val="hu-HU"/>
        </w:rPr>
      </w:pPr>
      <w:r>
        <w:rPr>
          <w:rFonts w:eastAsia="Times New Roman"/>
          <w:b/>
          <w:bCs/>
          <w:lang w:val="hu-HU"/>
        </w:rPr>
        <w:t>Közölje kezelőorvosával amint lehetséges, ha az alábbiak közül bármit észlel</w:t>
      </w:r>
    </w:p>
    <w:p w14:paraId="2DFDF567" w14:textId="77777777" w:rsidR="0037407E" w:rsidRDefault="0037407E" w:rsidP="0037407E">
      <w:pPr>
        <w:spacing w:before="10" w:line="240" w:lineRule="exact"/>
        <w:rPr>
          <w:sz w:val="24"/>
          <w:szCs w:val="24"/>
          <w:lang w:val="hu-HU"/>
        </w:rPr>
      </w:pPr>
    </w:p>
    <w:p w14:paraId="02BC3189" w14:textId="77777777" w:rsidR="0037407E" w:rsidRDefault="0037407E" w:rsidP="0037407E">
      <w:pPr>
        <w:pStyle w:val="a3"/>
        <w:numPr>
          <w:ilvl w:val="0"/>
          <w:numId w:val="15"/>
        </w:numPr>
        <w:ind w:left="660" w:hanging="660"/>
        <w:rPr>
          <w:lang w:val="hu-HU"/>
        </w:rPr>
      </w:pPr>
      <w:r>
        <w:rPr>
          <w:rFonts w:eastAsia="Times New Roman"/>
          <w:lang w:val="hu-HU"/>
        </w:rPr>
        <w:t>fertőzésre utaló tünet, mint láz, gyengeség, sebek, fogászati problémák, vizeléskor jelentkező égő érzés</w:t>
      </w:r>
    </w:p>
    <w:p w14:paraId="08C50254" w14:textId="77777777" w:rsidR="0037407E" w:rsidRDefault="0037407E" w:rsidP="0037407E">
      <w:pPr>
        <w:pStyle w:val="a3"/>
        <w:numPr>
          <w:ilvl w:val="0"/>
          <w:numId w:val="15"/>
        </w:numPr>
        <w:ind w:left="660" w:hanging="660"/>
        <w:rPr>
          <w:lang w:val="hu-HU"/>
        </w:rPr>
      </w:pPr>
      <w:r>
        <w:rPr>
          <w:rFonts w:eastAsia="Times New Roman"/>
          <w:lang w:val="hu-HU"/>
        </w:rPr>
        <w:t>gyengeség vagy fáradtságérzés</w:t>
      </w:r>
    </w:p>
    <w:p w14:paraId="08F714C8" w14:textId="77777777" w:rsidR="0037407E" w:rsidRDefault="0037407E" w:rsidP="0037407E">
      <w:pPr>
        <w:pStyle w:val="a3"/>
        <w:numPr>
          <w:ilvl w:val="0"/>
          <w:numId w:val="15"/>
        </w:numPr>
        <w:ind w:left="660" w:hanging="660"/>
        <w:rPr>
          <w:lang w:val="hu-HU"/>
        </w:rPr>
      </w:pPr>
      <w:r>
        <w:rPr>
          <w:rFonts w:eastAsia="Times New Roman"/>
          <w:lang w:val="hu-HU"/>
        </w:rPr>
        <w:t>köhögés</w:t>
      </w:r>
    </w:p>
    <w:p w14:paraId="09E4F2F9" w14:textId="77777777" w:rsidR="0037407E" w:rsidRDefault="0037407E" w:rsidP="0037407E">
      <w:pPr>
        <w:pStyle w:val="a3"/>
        <w:numPr>
          <w:ilvl w:val="0"/>
          <w:numId w:val="15"/>
        </w:numPr>
        <w:ind w:left="660" w:hanging="660"/>
        <w:rPr>
          <w:lang w:val="hu-HU"/>
        </w:rPr>
      </w:pPr>
      <w:r>
        <w:rPr>
          <w:rFonts w:eastAsia="Times New Roman"/>
          <w:lang w:val="hu-HU"/>
        </w:rPr>
        <w:t>fülzúgás</w:t>
      </w:r>
    </w:p>
    <w:p w14:paraId="2F49F920" w14:textId="77777777" w:rsidR="0037407E" w:rsidRDefault="0037407E" w:rsidP="0037407E">
      <w:pPr>
        <w:pStyle w:val="a3"/>
        <w:numPr>
          <w:ilvl w:val="0"/>
          <w:numId w:val="15"/>
        </w:numPr>
        <w:ind w:left="660" w:hanging="660"/>
        <w:rPr>
          <w:lang w:val="hu-HU"/>
        </w:rPr>
      </w:pPr>
      <w:r>
        <w:rPr>
          <w:rFonts w:eastAsia="Times New Roman"/>
          <w:lang w:val="hu-HU"/>
        </w:rPr>
        <w:t>zsibbadás</w:t>
      </w:r>
    </w:p>
    <w:p w14:paraId="43E71C2E" w14:textId="77777777" w:rsidR="0037407E" w:rsidRDefault="0037407E" w:rsidP="0037407E">
      <w:pPr>
        <w:pStyle w:val="a3"/>
        <w:numPr>
          <w:ilvl w:val="0"/>
          <w:numId w:val="15"/>
        </w:numPr>
        <w:ind w:left="660" w:hanging="660"/>
        <w:rPr>
          <w:lang w:val="hu-HU"/>
        </w:rPr>
      </w:pPr>
      <w:r>
        <w:rPr>
          <w:rFonts w:eastAsia="Times New Roman"/>
          <w:lang w:val="hu-HU"/>
        </w:rPr>
        <w:t>kettőslátás</w:t>
      </w:r>
    </w:p>
    <w:p w14:paraId="1430D9F5" w14:textId="77777777" w:rsidR="0037407E" w:rsidRDefault="0037407E" w:rsidP="0037407E">
      <w:pPr>
        <w:pStyle w:val="a3"/>
        <w:numPr>
          <w:ilvl w:val="0"/>
          <w:numId w:val="15"/>
        </w:numPr>
        <w:ind w:left="660" w:hanging="660"/>
        <w:rPr>
          <w:lang w:val="hu-HU"/>
        </w:rPr>
      </w:pPr>
      <w:r>
        <w:rPr>
          <w:rFonts w:eastAsia="Times New Roman"/>
          <w:lang w:val="hu-HU"/>
        </w:rPr>
        <w:t>kar- vagy lábgyengeség</w:t>
      </w:r>
    </w:p>
    <w:p w14:paraId="31264181" w14:textId="59D7223F" w:rsidR="0037407E" w:rsidRDefault="0037407E" w:rsidP="0037407E">
      <w:pPr>
        <w:pStyle w:val="a3"/>
        <w:numPr>
          <w:ilvl w:val="0"/>
          <w:numId w:val="15"/>
        </w:numPr>
        <w:ind w:left="660" w:hanging="660"/>
        <w:rPr>
          <w:lang w:val="hu-HU"/>
        </w:rPr>
      </w:pPr>
      <w:r>
        <w:rPr>
          <w:rFonts w:eastAsia="Times New Roman"/>
          <w:lang w:val="hu-HU"/>
        </w:rPr>
        <w:t>duzzanat vagy nyílt fekély, amelyik nem gyógyúl</w:t>
      </w:r>
    </w:p>
    <w:p w14:paraId="23ABBFDE" w14:textId="77777777" w:rsidR="0037407E" w:rsidRDefault="0037407E" w:rsidP="0037407E">
      <w:pPr>
        <w:pStyle w:val="a3"/>
        <w:numPr>
          <w:ilvl w:val="0"/>
          <w:numId w:val="15"/>
        </w:numPr>
        <w:ind w:left="660" w:hanging="660"/>
        <w:rPr>
          <w:lang w:val="hu-HU"/>
        </w:rPr>
      </w:pPr>
      <w:r>
        <w:rPr>
          <w:rFonts w:eastAsia="Times New Roman"/>
          <w:lang w:val="hu-HU"/>
        </w:rPr>
        <w:t>vérképzőszervi rendellenességre utaló jelek és tünetek, például tartós láz, véraláfutás, vérzés, sápadtság</w:t>
      </w:r>
    </w:p>
    <w:p w14:paraId="0EEC5E80" w14:textId="77777777" w:rsidR="0037407E" w:rsidRDefault="0037407E" w:rsidP="0037407E">
      <w:pPr>
        <w:pStyle w:val="a3"/>
        <w:numPr>
          <w:ilvl w:val="0"/>
          <w:numId w:val="0"/>
        </w:numPr>
        <w:ind w:left="660"/>
        <w:rPr>
          <w:lang w:val="hu-HU"/>
        </w:rPr>
      </w:pPr>
    </w:p>
    <w:p w14:paraId="1CF2067B" w14:textId="77777777" w:rsidR="0037407E" w:rsidRDefault="0037407E" w:rsidP="0037407E">
      <w:pPr>
        <w:pStyle w:val="a3"/>
        <w:rPr>
          <w:lang w:val="hu-HU"/>
        </w:rPr>
      </w:pPr>
      <w:r>
        <w:rPr>
          <w:rFonts w:eastAsia="Times New Roman"/>
          <w:lang w:val="hu-HU"/>
        </w:rPr>
        <w:t>A fent leírt tünetek az alábbiakban felsorolt mellékhatások jelei is lehetnek, melyeket a Yuflyma alkalmazása során észleltek:</w:t>
      </w:r>
    </w:p>
    <w:p w14:paraId="0BEF5615" w14:textId="77777777" w:rsidR="0037407E" w:rsidRDefault="0037407E" w:rsidP="0037407E">
      <w:pPr>
        <w:spacing w:before="10" w:line="240" w:lineRule="exact"/>
        <w:rPr>
          <w:sz w:val="24"/>
          <w:szCs w:val="24"/>
          <w:lang w:val="hu-HU"/>
        </w:rPr>
      </w:pPr>
    </w:p>
    <w:p w14:paraId="77C61C59" w14:textId="77777777" w:rsidR="0037407E" w:rsidRDefault="0037407E" w:rsidP="0037407E">
      <w:pPr>
        <w:pStyle w:val="a3"/>
        <w:rPr>
          <w:lang w:val="hu-HU"/>
        </w:rPr>
      </w:pPr>
      <w:r>
        <w:rPr>
          <w:rFonts w:eastAsia="Times New Roman"/>
          <w:b/>
          <w:bCs/>
          <w:lang w:val="hu-HU"/>
        </w:rPr>
        <w:t xml:space="preserve">Nagyon gyakori </w:t>
      </w:r>
      <w:r>
        <w:rPr>
          <w:rFonts w:eastAsia="Times New Roman"/>
          <w:lang w:val="hu-HU"/>
        </w:rPr>
        <w:t>(10 beteg közül több mint 1-nél kialakuló)</w:t>
      </w:r>
    </w:p>
    <w:p w14:paraId="063A6F6E" w14:textId="77777777" w:rsidR="0037407E" w:rsidRDefault="0037407E" w:rsidP="0037407E">
      <w:pPr>
        <w:spacing w:before="14" w:line="240" w:lineRule="exact"/>
        <w:rPr>
          <w:sz w:val="24"/>
          <w:szCs w:val="24"/>
          <w:lang w:val="hu-HU"/>
        </w:rPr>
      </w:pPr>
    </w:p>
    <w:p w14:paraId="0AD1946C" w14:textId="77777777" w:rsidR="0037407E" w:rsidRDefault="0037407E" w:rsidP="0037407E">
      <w:pPr>
        <w:pStyle w:val="a3"/>
        <w:numPr>
          <w:ilvl w:val="0"/>
          <w:numId w:val="15"/>
        </w:numPr>
        <w:ind w:left="660" w:hanging="660"/>
        <w:rPr>
          <w:lang w:val="hu-HU"/>
        </w:rPr>
      </w:pPr>
      <w:r>
        <w:rPr>
          <w:rFonts w:eastAsia="Times New Roman"/>
          <w:lang w:val="hu-HU"/>
        </w:rPr>
        <w:t>helyi reakció az injekció beadásának helyén (beleértve fájdalom, duzzadás, vörösség vagy viszketés)</w:t>
      </w:r>
    </w:p>
    <w:p w14:paraId="2537B553" w14:textId="77777777" w:rsidR="0037407E" w:rsidRDefault="0037407E" w:rsidP="0037407E">
      <w:pPr>
        <w:pStyle w:val="a3"/>
        <w:numPr>
          <w:ilvl w:val="0"/>
          <w:numId w:val="15"/>
        </w:numPr>
        <w:ind w:left="660" w:hanging="660"/>
        <w:rPr>
          <w:lang w:val="hu-HU"/>
        </w:rPr>
      </w:pPr>
      <w:r>
        <w:rPr>
          <w:rFonts w:eastAsia="Times New Roman"/>
          <w:lang w:val="hu-HU"/>
        </w:rPr>
        <w:t>légúti fertőzések (beleértve a megfázást, orrfolyást, melléküreg-gyulladást, tüdőgyulladást is</w:t>
      </w:r>
    </w:p>
    <w:p w14:paraId="6533EC92" w14:textId="77777777" w:rsidR="0037407E" w:rsidRDefault="0037407E" w:rsidP="0037407E">
      <w:pPr>
        <w:pStyle w:val="a3"/>
        <w:numPr>
          <w:ilvl w:val="0"/>
          <w:numId w:val="15"/>
        </w:numPr>
        <w:ind w:left="660" w:hanging="660"/>
        <w:rPr>
          <w:lang w:val="hu-HU"/>
        </w:rPr>
      </w:pPr>
      <w:r>
        <w:rPr>
          <w:rFonts w:eastAsia="Times New Roman"/>
          <w:lang w:val="hu-HU"/>
        </w:rPr>
        <w:t>fejfájás</w:t>
      </w:r>
    </w:p>
    <w:p w14:paraId="14077874" w14:textId="77777777" w:rsidR="0037407E" w:rsidRDefault="0037407E" w:rsidP="0037407E">
      <w:pPr>
        <w:pStyle w:val="a3"/>
        <w:numPr>
          <w:ilvl w:val="0"/>
          <w:numId w:val="15"/>
        </w:numPr>
        <w:ind w:left="660" w:hanging="660"/>
        <w:rPr>
          <w:lang w:val="hu-HU"/>
        </w:rPr>
      </w:pPr>
      <w:r>
        <w:rPr>
          <w:rFonts w:eastAsia="Times New Roman"/>
          <w:lang w:val="hu-HU"/>
        </w:rPr>
        <w:t>hasi fájdalom</w:t>
      </w:r>
    </w:p>
    <w:p w14:paraId="7DA4C4B1" w14:textId="77777777" w:rsidR="0037407E" w:rsidRDefault="0037407E" w:rsidP="0037407E">
      <w:pPr>
        <w:pStyle w:val="a3"/>
        <w:numPr>
          <w:ilvl w:val="0"/>
          <w:numId w:val="15"/>
        </w:numPr>
        <w:ind w:left="660" w:hanging="660"/>
        <w:rPr>
          <w:lang w:val="hu-HU"/>
        </w:rPr>
      </w:pPr>
      <w:r>
        <w:rPr>
          <w:rFonts w:eastAsia="Times New Roman"/>
          <w:lang w:val="hu-HU"/>
        </w:rPr>
        <w:t>hányinger és hányás</w:t>
      </w:r>
    </w:p>
    <w:p w14:paraId="351AB03D" w14:textId="77777777" w:rsidR="0037407E" w:rsidRDefault="0037407E" w:rsidP="0037407E">
      <w:pPr>
        <w:pStyle w:val="a3"/>
        <w:numPr>
          <w:ilvl w:val="0"/>
          <w:numId w:val="15"/>
        </w:numPr>
        <w:ind w:left="660" w:hanging="660"/>
        <w:rPr>
          <w:lang w:val="hu-HU"/>
        </w:rPr>
      </w:pPr>
      <w:r>
        <w:rPr>
          <w:rFonts w:eastAsia="Times New Roman"/>
          <w:lang w:val="hu-HU"/>
        </w:rPr>
        <w:t>bőrkiütés</w:t>
      </w:r>
    </w:p>
    <w:p w14:paraId="5BE7EA67" w14:textId="77777777" w:rsidR="0037407E" w:rsidRPr="003A2D67" w:rsidRDefault="0037407E" w:rsidP="0037407E">
      <w:pPr>
        <w:pStyle w:val="a3"/>
        <w:numPr>
          <w:ilvl w:val="0"/>
          <w:numId w:val="15"/>
        </w:numPr>
        <w:ind w:left="660" w:hanging="660"/>
        <w:rPr>
          <w:lang w:val="hu-HU"/>
        </w:rPr>
      </w:pPr>
      <w:r w:rsidRPr="004B23C8">
        <w:rPr>
          <w:color w:val="000000" w:themeColor="text1"/>
          <w:lang w:val="hu-HU"/>
        </w:rPr>
        <w:t>izomfájdalom.</w:t>
      </w:r>
    </w:p>
    <w:p w14:paraId="6B184DE1" w14:textId="77777777" w:rsidR="0037407E" w:rsidRDefault="0037407E" w:rsidP="0037407E">
      <w:pPr>
        <w:spacing w:before="9" w:line="220" w:lineRule="exact"/>
        <w:rPr>
          <w:lang w:val="hu-HU"/>
        </w:rPr>
      </w:pPr>
    </w:p>
    <w:p w14:paraId="1E709020" w14:textId="78C59446" w:rsidR="0037407E" w:rsidRDefault="0037407E" w:rsidP="0037407E">
      <w:pPr>
        <w:pStyle w:val="a3"/>
        <w:rPr>
          <w:lang w:val="hu-HU"/>
        </w:rPr>
      </w:pPr>
      <w:r>
        <w:rPr>
          <w:rFonts w:eastAsia="Times New Roman"/>
          <w:b/>
          <w:bCs/>
          <w:lang w:val="hu-HU"/>
        </w:rPr>
        <w:t xml:space="preserve">Gyakori </w:t>
      </w:r>
      <w:r>
        <w:rPr>
          <w:rFonts w:eastAsia="Times New Roman"/>
          <w:lang w:val="hu-HU"/>
        </w:rPr>
        <w:t xml:space="preserve">(10 beteg közül </w:t>
      </w:r>
      <w:r w:rsidR="005F5974" w:rsidRPr="008D6BF1">
        <w:rPr>
          <w:rFonts w:eastAsia="Times New Roman"/>
          <w:lang w:val="hu-HU"/>
        </w:rPr>
        <w:t>beszélnie</w:t>
      </w:r>
      <w:r w:rsidR="005F5974">
        <w:rPr>
          <w:rFonts w:eastAsia="Times New Roman"/>
          <w:lang w:val="hu-HU"/>
        </w:rPr>
        <w:t xml:space="preserve"> </w:t>
      </w:r>
      <w:r>
        <w:rPr>
          <w:rFonts w:eastAsia="Times New Roman"/>
          <w:lang w:val="hu-HU"/>
        </w:rPr>
        <w:t>1-nél kialakuló)</w:t>
      </w:r>
    </w:p>
    <w:p w14:paraId="5F55D7F1" w14:textId="77777777" w:rsidR="0037407E" w:rsidRDefault="0037407E" w:rsidP="0037407E">
      <w:pPr>
        <w:spacing w:before="14" w:line="240" w:lineRule="exact"/>
        <w:rPr>
          <w:sz w:val="24"/>
          <w:szCs w:val="24"/>
          <w:lang w:val="hu-HU"/>
        </w:rPr>
      </w:pPr>
    </w:p>
    <w:p w14:paraId="7B4A1ADA" w14:textId="77777777" w:rsidR="0037407E" w:rsidRDefault="0037407E" w:rsidP="0037407E">
      <w:pPr>
        <w:pStyle w:val="a3"/>
        <w:numPr>
          <w:ilvl w:val="0"/>
          <w:numId w:val="15"/>
        </w:numPr>
        <w:ind w:left="660" w:hanging="660"/>
        <w:rPr>
          <w:lang w:val="hu-HU"/>
        </w:rPr>
      </w:pPr>
      <w:r>
        <w:rPr>
          <w:rFonts w:eastAsia="Times New Roman"/>
          <w:lang w:val="hu-HU"/>
        </w:rPr>
        <w:t>súlyos fertőzések (beleértve a vérmérgezést és az influenzát is)</w:t>
      </w:r>
    </w:p>
    <w:p w14:paraId="64F52962" w14:textId="77777777" w:rsidR="0037407E" w:rsidRDefault="0037407E" w:rsidP="0037407E">
      <w:pPr>
        <w:pStyle w:val="a3"/>
        <w:numPr>
          <w:ilvl w:val="0"/>
          <w:numId w:val="15"/>
        </w:numPr>
        <w:ind w:left="660" w:hanging="660"/>
        <w:rPr>
          <w:lang w:val="hu-HU"/>
        </w:rPr>
      </w:pPr>
      <w:r>
        <w:rPr>
          <w:rFonts w:eastAsia="Times New Roman"/>
          <w:lang w:val="hu-HU"/>
        </w:rPr>
        <w:t>bélfertőzések (beleértve a gyomor-bélgyulladást is),</w:t>
      </w:r>
    </w:p>
    <w:p w14:paraId="2C418F1C" w14:textId="77777777" w:rsidR="0037407E" w:rsidRDefault="0037407E" w:rsidP="0037407E">
      <w:pPr>
        <w:pStyle w:val="a3"/>
        <w:numPr>
          <w:ilvl w:val="0"/>
          <w:numId w:val="15"/>
        </w:numPr>
        <w:ind w:left="660" w:hanging="660"/>
        <w:rPr>
          <w:lang w:val="hu-HU"/>
        </w:rPr>
      </w:pPr>
      <w:r>
        <w:rPr>
          <w:rFonts w:eastAsia="Times New Roman"/>
          <w:lang w:val="hu-HU"/>
        </w:rPr>
        <w:t>bőrfertőzések (beleértve a kötőszövet-gyulladást és az övsömört is)</w:t>
      </w:r>
    </w:p>
    <w:p w14:paraId="6A1BFE56" w14:textId="77777777" w:rsidR="0037407E" w:rsidRDefault="0037407E" w:rsidP="0037407E">
      <w:pPr>
        <w:pStyle w:val="a3"/>
        <w:numPr>
          <w:ilvl w:val="0"/>
          <w:numId w:val="15"/>
        </w:numPr>
        <w:ind w:left="660" w:hanging="660"/>
        <w:rPr>
          <w:lang w:val="hu-HU"/>
        </w:rPr>
      </w:pPr>
      <w:r>
        <w:rPr>
          <w:rFonts w:eastAsia="Times New Roman"/>
          <w:lang w:val="hu-HU"/>
        </w:rPr>
        <w:t>fülfertőzések</w:t>
      </w:r>
    </w:p>
    <w:p w14:paraId="4EF908ED" w14:textId="77777777" w:rsidR="0037407E" w:rsidRDefault="0037407E" w:rsidP="0037407E">
      <w:pPr>
        <w:pStyle w:val="a3"/>
        <w:numPr>
          <w:ilvl w:val="0"/>
          <w:numId w:val="15"/>
        </w:numPr>
        <w:ind w:left="660" w:hanging="660"/>
        <w:rPr>
          <w:lang w:val="hu-HU"/>
        </w:rPr>
      </w:pPr>
      <w:r>
        <w:rPr>
          <w:rFonts w:eastAsia="Times New Roman"/>
          <w:lang w:val="hu-HU"/>
        </w:rPr>
        <w:t>szájüregi fertőzések (beleértve a fogfertőzéseket és az ajakherpeszt is)</w:t>
      </w:r>
    </w:p>
    <w:p w14:paraId="42D84437" w14:textId="77777777" w:rsidR="0037407E" w:rsidRDefault="0037407E" w:rsidP="0037407E">
      <w:pPr>
        <w:pStyle w:val="a3"/>
        <w:numPr>
          <w:ilvl w:val="0"/>
          <w:numId w:val="15"/>
        </w:numPr>
        <w:ind w:left="660" w:hanging="660"/>
        <w:rPr>
          <w:lang w:val="hu-HU"/>
        </w:rPr>
      </w:pPr>
      <w:r>
        <w:rPr>
          <w:rFonts w:eastAsia="Times New Roman"/>
          <w:lang w:val="hu-HU"/>
        </w:rPr>
        <w:t>nemi szervek fertőzései</w:t>
      </w:r>
    </w:p>
    <w:p w14:paraId="7DBDBCD5" w14:textId="77777777" w:rsidR="0037407E" w:rsidRDefault="0037407E" w:rsidP="0037407E">
      <w:pPr>
        <w:pStyle w:val="a3"/>
        <w:numPr>
          <w:ilvl w:val="0"/>
          <w:numId w:val="15"/>
        </w:numPr>
        <w:ind w:left="660" w:hanging="660"/>
        <w:rPr>
          <w:lang w:val="hu-HU"/>
        </w:rPr>
      </w:pPr>
      <w:r>
        <w:rPr>
          <w:rFonts w:eastAsia="Times New Roman"/>
          <w:lang w:val="hu-HU"/>
        </w:rPr>
        <w:t>húgyúti fertőzés</w:t>
      </w:r>
    </w:p>
    <w:p w14:paraId="730222D3" w14:textId="77777777" w:rsidR="0037407E" w:rsidRDefault="0037407E" w:rsidP="0037407E">
      <w:pPr>
        <w:pStyle w:val="a3"/>
        <w:numPr>
          <w:ilvl w:val="0"/>
          <w:numId w:val="15"/>
        </w:numPr>
        <w:ind w:left="660" w:hanging="660"/>
        <w:rPr>
          <w:lang w:val="hu-HU"/>
        </w:rPr>
      </w:pPr>
      <w:r>
        <w:rPr>
          <w:rFonts w:eastAsia="Times New Roman"/>
          <w:lang w:val="hu-HU"/>
        </w:rPr>
        <w:t>gombás fertőzések</w:t>
      </w:r>
    </w:p>
    <w:p w14:paraId="33FEE4C6" w14:textId="00D6457A" w:rsidR="0037407E" w:rsidRDefault="0037407E" w:rsidP="0037407E">
      <w:pPr>
        <w:pStyle w:val="a3"/>
        <w:numPr>
          <w:ilvl w:val="0"/>
          <w:numId w:val="15"/>
        </w:numPr>
        <w:ind w:left="660" w:hanging="660"/>
        <w:rPr>
          <w:lang w:val="hu-HU"/>
        </w:rPr>
      </w:pPr>
      <w:r>
        <w:rPr>
          <w:rFonts w:eastAsia="Times New Roman"/>
          <w:lang w:val="hu-HU"/>
        </w:rPr>
        <w:t>ízület</w:t>
      </w:r>
      <w:r w:rsidR="00A02F4B">
        <w:rPr>
          <w:rFonts w:eastAsia="Times New Roman"/>
          <w:lang w:val="hu-HU"/>
        </w:rPr>
        <w:t>i</w:t>
      </w:r>
      <w:r>
        <w:rPr>
          <w:rFonts w:eastAsia="Times New Roman"/>
          <w:lang w:val="hu-HU"/>
        </w:rPr>
        <w:t xml:space="preserve"> fertőzések</w:t>
      </w:r>
    </w:p>
    <w:p w14:paraId="549B5DF7" w14:textId="77777777" w:rsidR="0037407E" w:rsidRDefault="0037407E" w:rsidP="0037407E">
      <w:pPr>
        <w:pStyle w:val="a3"/>
        <w:numPr>
          <w:ilvl w:val="0"/>
          <w:numId w:val="15"/>
        </w:numPr>
        <w:ind w:left="660" w:hanging="660"/>
        <w:rPr>
          <w:lang w:val="hu-HU"/>
        </w:rPr>
      </w:pPr>
      <w:r>
        <w:rPr>
          <w:rFonts w:eastAsia="Times New Roman"/>
          <w:lang w:val="hu-HU"/>
        </w:rPr>
        <w:t>jóindulatú daganatok</w:t>
      </w:r>
    </w:p>
    <w:p w14:paraId="6770A4FE" w14:textId="77777777" w:rsidR="0037407E" w:rsidRDefault="0037407E" w:rsidP="0037407E">
      <w:pPr>
        <w:pStyle w:val="a3"/>
        <w:numPr>
          <w:ilvl w:val="0"/>
          <w:numId w:val="15"/>
        </w:numPr>
        <w:ind w:left="660" w:hanging="660"/>
        <w:rPr>
          <w:lang w:val="hu-HU"/>
        </w:rPr>
      </w:pPr>
      <w:r>
        <w:rPr>
          <w:rFonts w:eastAsia="Times New Roman"/>
          <w:lang w:val="hu-HU"/>
        </w:rPr>
        <w:t>bőrrák</w:t>
      </w:r>
    </w:p>
    <w:p w14:paraId="6776A36D" w14:textId="77777777" w:rsidR="0037407E" w:rsidRDefault="0037407E" w:rsidP="0037407E">
      <w:pPr>
        <w:pStyle w:val="a3"/>
        <w:numPr>
          <w:ilvl w:val="0"/>
          <w:numId w:val="15"/>
        </w:numPr>
        <w:ind w:left="660" w:hanging="660"/>
        <w:rPr>
          <w:lang w:val="hu-HU"/>
        </w:rPr>
      </w:pPr>
      <w:r>
        <w:rPr>
          <w:rFonts w:eastAsia="Times New Roman"/>
          <w:lang w:val="hu-HU"/>
        </w:rPr>
        <w:t>allergiás reakciók (beleértve a szezonális allergiát)</w:t>
      </w:r>
    </w:p>
    <w:p w14:paraId="4D686FCD" w14:textId="77777777" w:rsidR="0037407E" w:rsidRDefault="0037407E" w:rsidP="0037407E">
      <w:pPr>
        <w:pStyle w:val="a3"/>
        <w:numPr>
          <w:ilvl w:val="0"/>
          <w:numId w:val="15"/>
        </w:numPr>
        <w:ind w:left="660" w:hanging="660"/>
        <w:rPr>
          <w:lang w:val="hu-HU"/>
        </w:rPr>
      </w:pPr>
      <w:r>
        <w:rPr>
          <w:rFonts w:eastAsia="Times New Roman"/>
          <w:lang w:val="hu-HU"/>
        </w:rPr>
        <w:t>kiszáradás</w:t>
      </w:r>
    </w:p>
    <w:p w14:paraId="3A95F832" w14:textId="77777777" w:rsidR="0037407E" w:rsidRDefault="0037407E" w:rsidP="0037407E">
      <w:pPr>
        <w:pStyle w:val="a3"/>
        <w:numPr>
          <w:ilvl w:val="0"/>
          <w:numId w:val="15"/>
        </w:numPr>
        <w:ind w:left="660" w:hanging="660"/>
        <w:rPr>
          <w:lang w:val="hu-HU"/>
        </w:rPr>
      </w:pPr>
      <w:r>
        <w:rPr>
          <w:rFonts w:eastAsia="Times New Roman"/>
          <w:lang w:val="hu-HU"/>
        </w:rPr>
        <w:t>hangulatváltozás (beleértve a depressziót)</w:t>
      </w:r>
    </w:p>
    <w:p w14:paraId="265F5F25" w14:textId="77777777" w:rsidR="0037407E" w:rsidRDefault="0037407E" w:rsidP="0037407E">
      <w:pPr>
        <w:pStyle w:val="a3"/>
        <w:numPr>
          <w:ilvl w:val="0"/>
          <w:numId w:val="15"/>
        </w:numPr>
        <w:ind w:left="660" w:hanging="660"/>
        <w:rPr>
          <w:lang w:val="hu-HU"/>
        </w:rPr>
      </w:pPr>
      <w:r>
        <w:rPr>
          <w:rFonts w:eastAsia="Times New Roman"/>
          <w:lang w:val="hu-HU"/>
        </w:rPr>
        <w:t>szorongás</w:t>
      </w:r>
    </w:p>
    <w:p w14:paraId="33D1E522" w14:textId="77777777" w:rsidR="0037407E" w:rsidRDefault="0037407E" w:rsidP="0037407E">
      <w:pPr>
        <w:pStyle w:val="a3"/>
        <w:numPr>
          <w:ilvl w:val="0"/>
          <w:numId w:val="15"/>
        </w:numPr>
        <w:ind w:left="660" w:hanging="660"/>
        <w:rPr>
          <w:lang w:val="hu-HU"/>
        </w:rPr>
      </w:pPr>
      <w:r>
        <w:rPr>
          <w:rFonts w:eastAsia="Times New Roman"/>
          <w:lang w:val="hu-HU"/>
        </w:rPr>
        <w:t>álmatlanság</w:t>
      </w:r>
    </w:p>
    <w:p w14:paraId="16502943" w14:textId="77777777" w:rsidR="0037407E" w:rsidRDefault="0037407E" w:rsidP="0037407E">
      <w:pPr>
        <w:pStyle w:val="a3"/>
        <w:numPr>
          <w:ilvl w:val="0"/>
          <w:numId w:val="15"/>
        </w:numPr>
        <w:ind w:left="660" w:hanging="660"/>
        <w:rPr>
          <w:lang w:val="hu-HU"/>
        </w:rPr>
      </w:pPr>
      <w:r>
        <w:rPr>
          <w:rFonts w:eastAsia="Times New Roman"/>
          <w:lang w:val="hu-HU"/>
        </w:rPr>
        <w:t>érzészavarok, például bizsergés, szurkáló érzés vagy zsibbadás</w:t>
      </w:r>
    </w:p>
    <w:p w14:paraId="1C4BB600" w14:textId="77777777" w:rsidR="0037407E" w:rsidRDefault="0037407E" w:rsidP="0037407E">
      <w:pPr>
        <w:pStyle w:val="a3"/>
        <w:numPr>
          <w:ilvl w:val="0"/>
          <w:numId w:val="15"/>
        </w:numPr>
        <w:ind w:left="660" w:hanging="660"/>
        <w:rPr>
          <w:lang w:val="hu-HU"/>
        </w:rPr>
      </w:pPr>
      <w:r>
        <w:rPr>
          <w:rFonts w:eastAsia="Times New Roman"/>
          <w:lang w:val="hu-HU"/>
        </w:rPr>
        <w:t>migrén</w:t>
      </w:r>
    </w:p>
    <w:p w14:paraId="1F91DC7E" w14:textId="77777777" w:rsidR="0037407E" w:rsidRDefault="0037407E" w:rsidP="0037407E">
      <w:pPr>
        <w:pStyle w:val="a3"/>
        <w:numPr>
          <w:ilvl w:val="0"/>
          <w:numId w:val="15"/>
        </w:numPr>
        <w:ind w:left="660" w:hanging="660"/>
        <w:rPr>
          <w:lang w:val="hu-HU"/>
        </w:rPr>
      </w:pPr>
      <w:r>
        <w:rPr>
          <w:rFonts w:eastAsia="Times New Roman"/>
          <w:lang w:val="hu-HU"/>
        </w:rPr>
        <w:t>ideggyök nyomási tünetei (beleértve a derékfájdalmat és a lábfájást is)</w:t>
      </w:r>
    </w:p>
    <w:p w14:paraId="39C493FB" w14:textId="77777777" w:rsidR="0037407E" w:rsidRDefault="0037407E" w:rsidP="0037407E">
      <w:pPr>
        <w:pStyle w:val="a3"/>
        <w:numPr>
          <w:ilvl w:val="0"/>
          <w:numId w:val="15"/>
        </w:numPr>
        <w:ind w:left="660" w:hanging="660"/>
        <w:rPr>
          <w:lang w:val="hu-HU"/>
        </w:rPr>
      </w:pPr>
      <w:r>
        <w:rPr>
          <w:rFonts w:eastAsia="Times New Roman"/>
          <w:lang w:val="hu-HU"/>
        </w:rPr>
        <w:t>látászavar</w:t>
      </w:r>
    </w:p>
    <w:p w14:paraId="456DE597" w14:textId="77777777" w:rsidR="0037407E" w:rsidRDefault="0037407E" w:rsidP="0037407E">
      <w:pPr>
        <w:pStyle w:val="a3"/>
        <w:numPr>
          <w:ilvl w:val="0"/>
          <w:numId w:val="15"/>
        </w:numPr>
        <w:ind w:left="660" w:hanging="660"/>
        <w:rPr>
          <w:lang w:val="hu-HU"/>
        </w:rPr>
      </w:pPr>
      <w:r>
        <w:rPr>
          <w:rFonts w:eastAsia="Times New Roman"/>
          <w:lang w:val="hu-HU"/>
        </w:rPr>
        <w:t>szemgyulladás</w:t>
      </w:r>
    </w:p>
    <w:p w14:paraId="240DB0CB" w14:textId="77777777" w:rsidR="0037407E" w:rsidRDefault="0037407E" w:rsidP="0037407E">
      <w:pPr>
        <w:pStyle w:val="a3"/>
        <w:numPr>
          <w:ilvl w:val="0"/>
          <w:numId w:val="15"/>
        </w:numPr>
        <w:ind w:left="660" w:hanging="660"/>
        <w:rPr>
          <w:lang w:val="hu-HU"/>
        </w:rPr>
      </w:pPr>
      <w:r>
        <w:rPr>
          <w:rFonts w:eastAsia="Times New Roman"/>
          <w:lang w:val="hu-HU"/>
        </w:rPr>
        <w:t>szemhéj gyulladása és a szem duzzanata</w:t>
      </w:r>
    </w:p>
    <w:p w14:paraId="3C44148B" w14:textId="77777777" w:rsidR="0037407E" w:rsidRDefault="0037407E" w:rsidP="0037407E">
      <w:pPr>
        <w:pStyle w:val="a3"/>
        <w:numPr>
          <w:ilvl w:val="0"/>
          <w:numId w:val="15"/>
        </w:numPr>
        <w:ind w:left="660" w:hanging="660"/>
        <w:rPr>
          <w:lang w:val="hu-HU"/>
        </w:rPr>
      </w:pPr>
      <w:r>
        <w:rPr>
          <w:rFonts w:eastAsia="Times New Roman"/>
          <w:lang w:val="hu-HU"/>
        </w:rPr>
        <w:t>forgó jellegű szédülés (vertigo)</w:t>
      </w:r>
    </w:p>
    <w:p w14:paraId="1AD4E633" w14:textId="77777777" w:rsidR="0037407E" w:rsidRDefault="0037407E" w:rsidP="0037407E">
      <w:pPr>
        <w:pStyle w:val="a3"/>
        <w:numPr>
          <w:ilvl w:val="0"/>
          <w:numId w:val="15"/>
        </w:numPr>
        <w:ind w:left="660" w:hanging="660"/>
        <w:rPr>
          <w:lang w:val="hu-HU"/>
        </w:rPr>
      </w:pPr>
      <w:r>
        <w:rPr>
          <w:rFonts w:eastAsia="Times New Roman"/>
          <w:lang w:val="hu-HU"/>
        </w:rPr>
        <w:t>gyors szívverés érzés</w:t>
      </w:r>
    </w:p>
    <w:p w14:paraId="748FF3DD" w14:textId="77777777" w:rsidR="0037407E" w:rsidRDefault="0037407E" w:rsidP="0037407E">
      <w:pPr>
        <w:pStyle w:val="a3"/>
        <w:numPr>
          <w:ilvl w:val="0"/>
          <w:numId w:val="15"/>
        </w:numPr>
        <w:ind w:left="660" w:hanging="660"/>
        <w:rPr>
          <w:lang w:val="hu-HU"/>
        </w:rPr>
      </w:pPr>
      <w:r>
        <w:rPr>
          <w:rFonts w:eastAsia="Times New Roman"/>
          <w:lang w:val="hu-HU"/>
        </w:rPr>
        <w:t>magas vérnyomás</w:t>
      </w:r>
    </w:p>
    <w:p w14:paraId="518B4E1C" w14:textId="77777777" w:rsidR="0037407E" w:rsidRDefault="0037407E" w:rsidP="0037407E">
      <w:pPr>
        <w:pStyle w:val="a3"/>
        <w:numPr>
          <w:ilvl w:val="0"/>
          <w:numId w:val="15"/>
        </w:numPr>
        <w:ind w:left="660" w:hanging="660"/>
        <w:rPr>
          <w:lang w:val="hu-HU"/>
        </w:rPr>
      </w:pPr>
      <w:r>
        <w:rPr>
          <w:rFonts w:eastAsia="Times New Roman"/>
          <w:lang w:val="hu-HU"/>
        </w:rPr>
        <w:t>kipirulás</w:t>
      </w:r>
    </w:p>
    <w:p w14:paraId="68406681" w14:textId="77777777" w:rsidR="0037407E" w:rsidRDefault="0037407E" w:rsidP="0037407E">
      <w:pPr>
        <w:pStyle w:val="a3"/>
        <w:numPr>
          <w:ilvl w:val="0"/>
          <w:numId w:val="15"/>
        </w:numPr>
        <w:ind w:left="660" w:hanging="660"/>
        <w:rPr>
          <w:lang w:val="hu-HU"/>
        </w:rPr>
      </w:pPr>
      <w:r>
        <w:rPr>
          <w:rFonts w:eastAsia="Times New Roman"/>
          <w:lang w:val="hu-HU"/>
        </w:rPr>
        <w:t>vérömleny (vérgyülem az ereken kívül)</w:t>
      </w:r>
    </w:p>
    <w:p w14:paraId="09A95701" w14:textId="77777777" w:rsidR="0037407E" w:rsidRDefault="0037407E" w:rsidP="0037407E">
      <w:pPr>
        <w:pStyle w:val="a3"/>
        <w:numPr>
          <w:ilvl w:val="0"/>
          <w:numId w:val="15"/>
        </w:numPr>
        <w:ind w:left="660" w:hanging="660"/>
        <w:rPr>
          <w:lang w:val="hu-HU"/>
        </w:rPr>
      </w:pPr>
      <w:r>
        <w:rPr>
          <w:rFonts w:eastAsia="Times New Roman"/>
          <w:lang w:val="hu-HU"/>
        </w:rPr>
        <w:t>köhögés</w:t>
      </w:r>
    </w:p>
    <w:p w14:paraId="407B89AB" w14:textId="77777777" w:rsidR="0037407E" w:rsidRDefault="0037407E" w:rsidP="0037407E">
      <w:pPr>
        <w:pStyle w:val="a3"/>
        <w:numPr>
          <w:ilvl w:val="0"/>
          <w:numId w:val="15"/>
        </w:numPr>
        <w:ind w:left="660" w:hanging="660"/>
        <w:rPr>
          <w:lang w:val="hu-HU"/>
        </w:rPr>
      </w:pPr>
      <w:r>
        <w:rPr>
          <w:rFonts w:eastAsia="Times New Roman"/>
          <w:lang w:val="hu-HU"/>
        </w:rPr>
        <w:t>asztma</w:t>
      </w:r>
    </w:p>
    <w:p w14:paraId="5E5D49D3" w14:textId="77777777" w:rsidR="0037407E" w:rsidRDefault="0037407E" w:rsidP="0037407E">
      <w:pPr>
        <w:pStyle w:val="a3"/>
        <w:numPr>
          <w:ilvl w:val="0"/>
          <w:numId w:val="15"/>
        </w:numPr>
        <w:ind w:left="660" w:hanging="660"/>
        <w:rPr>
          <w:lang w:val="hu-HU"/>
        </w:rPr>
      </w:pPr>
      <w:r>
        <w:rPr>
          <w:rFonts w:eastAsia="Times New Roman"/>
          <w:lang w:val="hu-HU"/>
        </w:rPr>
        <w:t>légszomj</w:t>
      </w:r>
    </w:p>
    <w:p w14:paraId="3BE6024A" w14:textId="77777777" w:rsidR="0037407E" w:rsidRDefault="0037407E" w:rsidP="0037407E">
      <w:pPr>
        <w:pStyle w:val="a3"/>
        <w:numPr>
          <w:ilvl w:val="0"/>
          <w:numId w:val="15"/>
        </w:numPr>
        <w:ind w:left="660" w:hanging="660"/>
        <w:rPr>
          <w:lang w:val="hu-HU"/>
        </w:rPr>
      </w:pPr>
      <w:r>
        <w:rPr>
          <w:rFonts w:eastAsia="Times New Roman"/>
          <w:lang w:val="hu-HU"/>
        </w:rPr>
        <w:t>tápcsatorna eredetű vérzés</w:t>
      </w:r>
    </w:p>
    <w:p w14:paraId="01F2942C" w14:textId="77777777" w:rsidR="0037407E" w:rsidRDefault="0037407E" w:rsidP="0037407E">
      <w:pPr>
        <w:pStyle w:val="a3"/>
        <w:numPr>
          <w:ilvl w:val="0"/>
          <w:numId w:val="15"/>
        </w:numPr>
        <w:ind w:left="660" w:hanging="660"/>
        <w:rPr>
          <w:lang w:val="hu-HU"/>
        </w:rPr>
      </w:pPr>
      <w:r>
        <w:rPr>
          <w:rFonts w:eastAsia="Times New Roman"/>
          <w:lang w:val="hu-HU"/>
        </w:rPr>
        <w:t>diszpepszia (emésztési zavar, puffadás, gyomorégés)</w:t>
      </w:r>
    </w:p>
    <w:p w14:paraId="522B13CE" w14:textId="77777777" w:rsidR="0037407E" w:rsidRDefault="0037407E" w:rsidP="0037407E">
      <w:pPr>
        <w:pStyle w:val="a3"/>
        <w:numPr>
          <w:ilvl w:val="0"/>
          <w:numId w:val="15"/>
        </w:numPr>
        <w:ind w:left="660" w:hanging="660"/>
        <w:rPr>
          <w:lang w:val="hu-HU"/>
        </w:rPr>
      </w:pPr>
      <w:r>
        <w:rPr>
          <w:rFonts w:eastAsia="Times New Roman"/>
          <w:lang w:val="hu-HU"/>
        </w:rPr>
        <w:t>a gyomorsav visszafolyása a nyelőcsőbe</w:t>
      </w:r>
    </w:p>
    <w:p w14:paraId="59A3AC0A" w14:textId="77777777" w:rsidR="0037407E" w:rsidRDefault="0037407E" w:rsidP="0037407E">
      <w:pPr>
        <w:pStyle w:val="a3"/>
        <w:numPr>
          <w:ilvl w:val="0"/>
          <w:numId w:val="15"/>
        </w:numPr>
        <w:ind w:left="660" w:hanging="660"/>
        <w:rPr>
          <w:lang w:val="hu-HU"/>
        </w:rPr>
      </w:pPr>
      <w:r>
        <w:rPr>
          <w:rFonts w:eastAsia="Times New Roman"/>
          <w:lang w:val="hu-HU"/>
        </w:rPr>
        <w:t>szikka szindróma (beleértve a szemszárazságot és a szájszárazságot)</w:t>
      </w:r>
    </w:p>
    <w:p w14:paraId="770BE32E" w14:textId="77777777" w:rsidR="0037407E" w:rsidRDefault="0037407E" w:rsidP="0037407E">
      <w:pPr>
        <w:pStyle w:val="a3"/>
        <w:numPr>
          <w:ilvl w:val="0"/>
          <w:numId w:val="15"/>
        </w:numPr>
        <w:ind w:left="660" w:hanging="660"/>
        <w:rPr>
          <w:lang w:val="hu-HU"/>
        </w:rPr>
      </w:pPr>
      <w:r>
        <w:rPr>
          <w:rFonts w:eastAsia="Times New Roman"/>
          <w:lang w:val="hu-HU"/>
        </w:rPr>
        <w:t>viszketés</w:t>
      </w:r>
    </w:p>
    <w:p w14:paraId="1E175CF7" w14:textId="77777777" w:rsidR="0037407E" w:rsidRDefault="0037407E" w:rsidP="0037407E">
      <w:pPr>
        <w:pStyle w:val="a3"/>
        <w:numPr>
          <w:ilvl w:val="0"/>
          <w:numId w:val="15"/>
        </w:numPr>
        <w:ind w:left="660" w:hanging="660"/>
        <w:rPr>
          <w:rFonts w:eastAsia="Times New Roman"/>
          <w:spacing w:val="-1"/>
          <w:lang w:val="hu-HU"/>
        </w:rPr>
      </w:pPr>
      <w:r>
        <w:rPr>
          <w:rFonts w:eastAsia="Times New Roman"/>
          <w:lang w:val="hu-HU"/>
        </w:rPr>
        <w:t>viszkető bőrkiütés</w:t>
      </w:r>
    </w:p>
    <w:p w14:paraId="01562FF3" w14:textId="77777777" w:rsidR="0037407E" w:rsidRDefault="0037407E" w:rsidP="0037407E">
      <w:pPr>
        <w:pStyle w:val="a3"/>
        <w:numPr>
          <w:ilvl w:val="0"/>
          <w:numId w:val="15"/>
        </w:numPr>
        <w:ind w:left="660" w:hanging="660"/>
        <w:rPr>
          <w:lang w:val="hu-HU"/>
        </w:rPr>
      </w:pPr>
      <w:r>
        <w:rPr>
          <w:rFonts w:eastAsia="Times New Roman"/>
          <w:lang w:val="hu-HU"/>
        </w:rPr>
        <w:lastRenderedPageBreak/>
        <w:t>véraláfutás</w:t>
      </w:r>
    </w:p>
    <w:p w14:paraId="627A23F0" w14:textId="77777777" w:rsidR="0037407E" w:rsidRDefault="0037407E" w:rsidP="0037407E">
      <w:pPr>
        <w:pStyle w:val="a3"/>
        <w:numPr>
          <w:ilvl w:val="0"/>
          <w:numId w:val="15"/>
        </w:numPr>
        <w:ind w:left="660" w:hanging="660"/>
        <w:rPr>
          <w:lang w:val="hu-HU"/>
        </w:rPr>
      </w:pPr>
      <w:r>
        <w:rPr>
          <w:rFonts w:eastAsia="Times New Roman"/>
          <w:lang w:val="hu-HU"/>
        </w:rPr>
        <w:t>bőrgyulladás (például ekcéma)</w:t>
      </w:r>
    </w:p>
    <w:p w14:paraId="02C1A3E8" w14:textId="77777777" w:rsidR="0037407E" w:rsidRDefault="0037407E" w:rsidP="0037407E">
      <w:pPr>
        <w:pStyle w:val="a3"/>
        <w:numPr>
          <w:ilvl w:val="0"/>
          <w:numId w:val="15"/>
        </w:numPr>
        <w:ind w:left="660" w:hanging="660"/>
        <w:rPr>
          <w:lang w:val="hu-HU"/>
        </w:rPr>
      </w:pPr>
      <w:r>
        <w:rPr>
          <w:rFonts w:eastAsia="Times New Roman"/>
          <w:lang w:val="hu-HU"/>
        </w:rPr>
        <w:t>a kéz- és lábujjkörmök töredezése</w:t>
      </w:r>
    </w:p>
    <w:p w14:paraId="59B9A192" w14:textId="77777777" w:rsidR="0037407E" w:rsidRDefault="0037407E" w:rsidP="0037407E">
      <w:pPr>
        <w:pStyle w:val="a3"/>
        <w:numPr>
          <w:ilvl w:val="0"/>
          <w:numId w:val="15"/>
        </w:numPr>
        <w:ind w:left="660" w:hanging="660"/>
        <w:rPr>
          <w:lang w:val="hu-HU"/>
        </w:rPr>
      </w:pPr>
      <w:r>
        <w:rPr>
          <w:rFonts w:eastAsia="Times New Roman"/>
          <w:lang w:val="hu-HU"/>
        </w:rPr>
        <w:t>fokozott verejtékezés</w:t>
      </w:r>
    </w:p>
    <w:p w14:paraId="417830EA" w14:textId="77777777" w:rsidR="0037407E" w:rsidRDefault="0037407E" w:rsidP="0037407E">
      <w:pPr>
        <w:pStyle w:val="a3"/>
        <w:numPr>
          <w:ilvl w:val="0"/>
          <w:numId w:val="15"/>
        </w:numPr>
        <w:ind w:left="660" w:hanging="660"/>
        <w:rPr>
          <w:lang w:val="hu-HU"/>
        </w:rPr>
      </w:pPr>
      <w:r>
        <w:rPr>
          <w:rFonts w:eastAsia="Times New Roman"/>
          <w:lang w:val="hu-HU"/>
        </w:rPr>
        <w:t>hajhullás</w:t>
      </w:r>
    </w:p>
    <w:p w14:paraId="3AF94771" w14:textId="77777777" w:rsidR="0037407E" w:rsidRDefault="0037407E" w:rsidP="0037407E">
      <w:pPr>
        <w:pStyle w:val="a3"/>
        <w:numPr>
          <w:ilvl w:val="0"/>
          <w:numId w:val="15"/>
        </w:numPr>
        <w:ind w:left="660" w:hanging="660"/>
        <w:rPr>
          <w:lang w:val="hu-HU"/>
        </w:rPr>
      </w:pPr>
      <w:r>
        <w:rPr>
          <w:rFonts w:eastAsia="Times New Roman"/>
          <w:lang w:val="hu-HU"/>
        </w:rPr>
        <w:t>pikkelysömör megjelenése vagy rosszabbodása</w:t>
      </w:r>
    </w:p>
    <w:p w14:paraId="08368A01" w14:textId="77777777" w:rsidR="0037407E" w:rsidRDefault="0037407E" w:rsidP="0037407E">
      <w:pPr>
        <w:pStyle w:val="a3"/>
        <w:numPr>
          <w:ilvl w:val="0"/>
          <w:numId w:val="15"/>
        </w:numPr>
        <w:ind w:left="660" w:hanging="660"/>
        <w:rPr>
          <w:lang w:val="hu-HU"/>
        </w:rPr>
      </w:pPr>
      <w:r>
        <w:rPr>
          <w:rFonts w:eastAsia="Times New Roman"/>
          <w:lang w:val="hu-HU"/>
        </w:rPr>
        <w:t>izomgörcsök</w:t>
      </w:r>
    </w:p>
    <w:p w14:paraId="2F58F493" w14:textId="77777777" w:rsidR="0037407E" w:rsidRDefault="0037407E" w:rsidP="0037407E">
      <w:pPr>
        <w:pStyle w:val="a3"/>
        <w:numPr>
          <w:ilvl w:val="0"/>
          <w:numId w:val="15"/>
        </w:numPr>
        <w:ind w:left="660" w:hanging="660"/>
        <w:rPr>
          <w:lang w:val="hu-HU"/>
        </w:rPr>
      </w:pPr>
      <w:r>
        <w:rPr>
          <w:rFonts w:eastAsia="Times New Roman"/>
          <w:lang w:val="hu-HU"/>
        </w:rPr>
        <w:t>véres vizelet</w:t>
      </w:r>
    </w:p>
    <w:p w14:paraId="02AB6553" w14:textId="77777777" w:rsidR="0037407E" w:rsidRDefault="0037407E" w:rsidP="0037407E">
      <w:pPr>
        <w:pStyle w:val="a3"/>
        <w:numPr>
          <w:ilvl w:val="0"/>
          <w:numId w:val="15"/>
        </w:numPr>
        <w:ind w:left="660" w:hanging="660"/>
        <w:rPr>
          <w:lang w:val="hu-HU"/>
        </w:rPr>
      </w:pPr>
      <w:r>
        <w:rPr>
          <w:rFonts w:eastAsia="Times New Roman"/>
          <w:lang w:val="hu-HU"/>
        </w:rPr>
        <w:t>veseproblémák</w:t>
      </w:r>
    </w:p>
    <w:p w14:paraId="045AE44B" w14:textId="77777777" w:rsidR="0037407E" w:rsidRDefault="0037407E" w:rsidP="0037407E">
      <w:pPr>
        <w:pStyle w:val="a3"/>
        <w:numPr>
          <w:ilvl w:val="0"/>
          <w:numId w:val="15"/>
        </w:numPr>
        <w:ind w:left="660" w:hanging="660"/>
        <w:rPr>
          <w:lang w:val="hu-HU"/>
        </w:rPr>
      </w:pPr>
      <w:r>
        <w:rPr>
          <w:rFonts w:eastAsia="Times New Roman"/>
          <w:lang w:val="hu-HU"/>
        </w:rPr>
        <w:t>mellkasi fájdalom</w:t>
      </w:r>
    </w:p>
    <w:p w14:paraId="2DF4BB23" w14:textId="77777777" w:rsidR="0037407E" w:rsidRDefault="0037407E" w:rsidP="0037407E">
      <w:pPr>
        <w:pStyle w:val="a3"/>
        <w:numPr>
          <w:ilvl w:val="0"/>
          <w:numId w:val="15"/>
        </w:numPr>
        <w:ind w:left="660" w:hanging="660"/>
        <w:rPr>
          <w:lang w:val="hu-HU"/>
        </w:rPr>
      </w:pPr>
      <w:r>
        <w:rPr>
          <w:rFonts w:eastAsia="Times New Roman"/>
          <w:lang w:val="hu-HU"/>
        </w:rPr>
        <w:t>vizenyő (duzzanat)</w:t>
      </w:r>
    </w:p>
    <w:p w14:paraId="20BBE66E" w14:textId="77777777" w:rsidR="0037407E" w:rsidRDefault="0037407E" w:rsidP="0037407E">
      <w:pPr>
        <w:pStyle w:val="a3"/>
        <w:numPr>
          <w:ilvl w:val="0"/>
          <w:numId w:val="15"/>
        </w:numPr>
        <w:ind w:left="660" w:hanging="660"/>
        <w:rPr>
          <w:lang w:val="hu-HU"/>
        </w:rPr>
      </w:pPr>
      <w:r>
        <w:rPr>
          <w:rFonts w:eastAsia="Times New Roman"/>
          <w:lang w:val="hu-HU"/>
        </w:rPr>
        <w:t>láz</w:t>
      </w:r>
    </w:p>
    <w:p w14:paraId="6383C172" w14:textId="4ED63F15" w:rsidR="0037407E" w:rsidRDefault="005F5974" w:rsidP="0037407E">
      <w:pPr>
        <w:pStyle w:val="a3"/>
        <w:numPr>
          <w:ilvl w:val="0"/>
          <w:numId w:val="15"/>
        </w:numPr>
        <w:ind w:left="660" w:hanging="660"/>
        <w:rPr>
          <w:lang w:val="hu-HU"/>
        </w:rPr>
      </w:pPr>
      <w:r>
        <w:rPr>
          <w:rFonts w:eastAsia="Times New Roman"/>
          <w:lang w:val="hu-HU"/>
        </w:rPr>
        <w:t>a</w:t>
      </w:r>
      <w:r w:rsidR="0037407E">
        <w:rPr>
          <w:rFonts w:eastAsia="Times New Roman"/>
          <w:lang w:val="hu-HU"/>
        </w:rPr>
        <w:t xml:space="preserve"> vérlemezkék számának csökkenése, ami növeli a vérzés vagy véraláfutás kialakulásának kockázatát</w:t>
      </w:r>
    </w:p>
    <w:p w14:paraId="50A10C71" w14:textId="77777777" w:rsidR="0037407E" w:rsidRDefault="0037407E" w:rsidP="0037407E">
      <w:pPr>
        <w:pStyle w:val="a3"/>
        <w:numPr>
          <w:ilvl w:val="0"/>
          <w:numId w:val="15"/>
        </w:numPr>
        <w:ind w:left="660" w:hanging="660"/>
        <w:rPr>
          <w:lang w:val="hu-HU"/>
        </w:rPr>
      </w:pPr>
      <w:r>
        <w:rPr>
          <w:rFonts w:eastAsia="Times New Roman"/>
          <w:lang w:val="hu-HU"/>
        </w:rPr>
        <w:t>csökkent gyógyulási készség</w:t>
      </w:r>
    </w:p>
    <w:p w14:paraId="4D671AED" w14:textId="77777777" w:rsidR="0037407E" w:rsidRDefault="0037407E" w:rsidP="0037407E">
      <w:pPr>
        <w:spacing w:before="10" w:line="240" w:lineRule="exact"/>
        <w:rPr>
          <w:sz w:val="24"/>
          <w:szCs w:val="24"/>
          <w:lang w:val="hu-HU"/>
        </w:rPr>
      </w:pPr>
    </w:p>
    <w:p w14:paraId="0780C1B4" w14:textId="77777777" w:rsidR="0037407E" w:rsidRDefault="0037407E" w:rsidP="0037407E">
      <w:pPr>
        <w:pStyle w:val="a3"/>
        <w:rPr>
          <w:lang w:val="hu-HU"/>
        </w:rPr>
      </w:pPr>
      <w:r>
        <w:rPr>
          <w:rFonts w:eastAsia="Times New Roman"/>
          <w:b/>
          <w:bCs/>
          <w:lang w:val="hu-HU"/>
        </w:rPr>
        <w:t xml:space="preserve">Nem gyakori </w:t>
      </w:r>
      <w:r>
        <w:rPr>
          <w:rFonts w:eastAsia="Times New Roman"/>
          <w:lang w:val="hu-HU"/>
        </w:rPr>
        <w:t>(100 beteg közül legfeljebb 1-nél kialakuló)</w:t>
      </w:r>
    </w:p>
    <w:p w14:paraId="7193D46E" w14:textId="77777777" w:rsidR="0037407E" w:rsidRPr="004B23C8" w:rsidRDefault="0037407E" w:rsidP="0037407E">
      <w:pPr>
        <w:spacing w:before="14" w:line="260" w:lineRule="exact"/>
        <w:rPr>
          <w:color w:val="000000" w:themeColor="text1"/>
          <w:sz w:val="26"/>
          <w:szCs w:val="26"/>
          <w:lang w:val="hu-HU"/>
        </w:rPr>
      </w:pPr>
    </w:p>
    <w:p w14:paraId="4F496916" w14:textId="77777777" w:rsidR="0037407E" w:rsidRDefault="0037407E" w:rsidP="0037407E">
      <w:pPr>
        <w:pStyle w:val="a3"/>
        <w:numPr>
          <w:ilvl w:val="0"/>
          <w:numId w:val="15"/>
        </w:numPr>
        <w:ind w:left="660" w:hanging="660"/>
        <w:rPr>
          <w:lang w:val="hu-HU"/>
        </w:rPr>
      </w:pPr>
      <w:r w:rsidRPr="004B23C8">
        <w:rPr>
          <w:rFonts w:eastAsia="Times New Roman"/>
          <w:color w:val="000000" w:themeColor="text1"/>
          <w:lang w:val="hu-HU"/>
        </w:rPr>
        <w:t>szokatlan a</w:t>
      </w:r>
      <w:r>
        <w:rPr>
          <w:rFonts w:eastAsia="Times New Roman"/>
          <w:lang w:val="hu-HU"/>
        </w:rPr>
        <w:t xml:space="preserve"> fertőzések (ezek közé tartozik a tuberkulózis és más, olyan fertőzések, amelyek akkor alakulnak ki, amikor a betegségekkel szembeni ellenállóképesség lecsökken)</w:t>
      </w:r>
    </w:p>
    <w:p w14:paraId="4E5144D6" w14:textId="77777777" w:rsidR="0037407E" w:rsidRDefault="0037407E" w:rsidP="0037407E">
      <w:pPr>
        <w:pStyle w:val="a3"/>
        <w:numPr>
          <w:ilvl w:val="0"/>
          <w:numId w:val="15"/>
        </w:numPr>
        <w:ind w:left="660" w:hanging="660"/>
        <w:rPr>
          <w:lang w:val="hu-HU"/>
        </w:rPr>
      </w:pPr>
      <w:r>
        <w:rPr>
          <w:rFonts w:eastAsia="Times New Roman"/>
          <w:lang w:val="hu-HU"/>
        </w:rPr>
        <w:t>ideggyógyászati eredetű fertőzések (beleértve a vírusos eredetű agyhártyagyulladást is)</w:t>
      </w:r>
    </w:p>
    <w:p w14:paraId="1ECAA966" w14:textId="77777777" w:rsidR="0037407E" w:rsidRDefault="0037407E" w:rsidP="0037407E">
      <w:pPr>
        <w:pStyle w:val="a3"/>
        <w:numPr>
          <w:ilvl w:val="0"/>
          <w:numId w:val="15"/>
        </w:numPr>
        <w:ind w:left="660" w:hanging="660"/>
        <w:rPr>
          <w:lang w:val="hu-HU"/>
        </w:rPr>
      </w:pPr>
      <w:r>
        <w:rPr>
          <w:rFonts w:eastAsia="Times New Roman"/>
          <w:lang w:val="hu-HU"/>
        </w:rPr>
        <w:t>szemfertőzések</w:t>
      </w:r>
    </w:p>
    <w:p w14:paraId="5FD177DC" w14:textId="77777777" w:rsidR="0037407E" w:rsidRDefault="0037407E" w:rsidP="0037407E">
      <w:pPr>
        <w:pStyle w:val="a3"/>
        <w:numPr>
          <w:ilvl w:val="0"/>
          <w:numId w:val="15"/>
        </w:numPr>
        <w:ind w:left="660" w:hanging="660"/>
        <w:rPr>
          <w:lang w:val="hu-HU"/>
        </w:rPr>
      </w:pPr>
      <w:r>
        <w:rPr>
          <w:rFonts w:eastAsia="Times New Roman"/>
          <w:lang w:val="hu-HU"/>
        </w:rPr>
        <w:t>baktériumok okozta fertőzések</w:t>
      </w:r>
    </w:p>
    <w:p w14:paraId="01F0098B" w14:textId="2D49AB9F" w:rsidR="0037407E" w:rsidRDefault="0037407E" w:rsidP="0037407E">
      <w:pPr>
        <w:pStyle w:val="a3"/>
        <w:numPr>
          <w:ilvl w:val="0"/>
          <w:numId w:val="15"/>
        </w:numPr>
        <w:ind w:left="660" w:hanging="660"/>
        <w:rPr>
          <w:lang w:val="hu-HU"/>
        </w:rPr>
      </w:pPr>
      <w:r>
        <w:rPr>
          <w:rFonts w:eastAsia="Times New Roman"/>
          <w:lang w:val="hu-HU"/>
        </w:rPr>
        <w:t>vastagbélgyulladás és fertőzés (divertikulitisz)</w:t>
      </w:r>
    </w:p>
    <w:p w14:paraId="70AACC12" w14:textId="77777777" w:rsidR="0037407E" w:rsidRDefault="0037407E" w:rsidP="0037407E">
      <w:pPr>
        <w:pStyle w:val="a3"/>
        <w:numPr>
          <w:ilvl w:val="0"/>
          <w:numId w:val="15"/>
        </w:numPr>
        <w:ind w:left="660" w:hanging="660"/>
        <w:rPr>
          <w:lang w:val="hu-HU"/>
        </w:rPr>
      </w:pPr>
      <w:r>
        <w:rPr>
          <w:rFonts w:eastAsia="Times New Roman"/>
          <w:lang w:val="hu-HU"/>
        </w:rPr>
        <w:t>rák</w:t>
      </w:r>
    </w:p>
    <w:p w14:paraId="6363BFAE" w14:textId="77777777" w:rsidR="0037407E" w:rsidRDefault="0037407E" w:rsidP="0037407E">
      <w:pPr>
        <w:pStyle w:val="a3"/>
        <w:numPr>
          <w:ilvl w:val="0"/>
          <w:numId w:val="15"/>
        </w:numPr>
        <w:ind w:left="660" w:hanging="660"/>
        <w:rPr>
          <w:lang w:val="hu-HU"/>
        </w:rPr>
      </w:pPr>
      <w:r>
        <w:rPr>
          <w:rFonts w:eastAsia="Times New Roman"/>
          <w:lang w:val="hu-HU"/>
        </w:rPr>
        <w:t>rák, amely a nyirokrendszert támadja meg</w:t>
      </w:r>
    </w:p>
    <w:p w14:paraId="04BD71C6" w14:textId="77777777" w:rsidR="0037407E" w:rsidRDefault="0037407E" w:rsidP="0037407E">
      <w:pPr>
        <w:pStyle w:val="a3"/>
        <w:numPr>
          <w:ilvl w:val="0"/>
          <w:numId w:val="15"/>
        </w:numPr>
        <w:ind w:left="660" w:hanging="660"/>
        <w:rPr>
          <w:lang w:val="hu-HU"/>
        </w:rPr>
      </w:pPr>
      <w:r>
        <w:rPr>
          <w:rFonts w:eastAsia="Times New Roman"/>
          <w:lang w:val="hu-HU"/>
        </w:rPr>
        <w:t>melanóma</w:t>
      </w:r>
    </w:p>
    <w:p w14:paraId="72C25A32" w14:textId="4FF7D02E" w:rsidR="0037407E" w:rsidRDefault="0037407E" w:rsidP="0037407E">
      <w:pPr>
        <w:pStyle w:val="a3"/>
        <w:numPr>
          <w:ilvl w:val="0"/>
          <w:numId w:val="15"/>
        </w:numPr>
        <w:ind w:left="660" w:hanging="660"/>
        <w:rPr>
          <w:lang w:val="hu-HU"/>
        </w:rPr>
      </w:pPr>
      <w:r>
        <w:rPr>
          <w:rFonts w:eastAsia="Times New Roman"/>
          <w:lang w:val="hu-HU"/>
        </w:rPr>
        <w:t>immunrenszeri zavarok, amelyek érinthetik a tüdőt, a bőrt és a nyirokcsomókat (leggyakrabban szarkoidózisként jelentkezik</w:t>
      </w:r>
      <w:r w:rsidR="005F5974">
        <w:rPr>
          <w:rFonts w:eastAsia="Times New Roman"/>
          <w:lang w:val="hu-HU"/>
        </w:rPr>
        <w:t>)</w:t>
      </w:r>
    </w:p>
    <w:p w14:paraId="250B22E2" w14:textId="77777777" w:rsidR="0037407E" w:rsidRDefault="0037407E" w:rsidP="0037407E">
      <w:pPr>
        <w:pStyle w:val="a3"/>
        <w:numPr>
          <w:ilvl w:val="0"/>
          <w:numId w:val="15"/>
        </w:numPr>
        <w:ind w:left="660" w:hanging="660"/>
        <w:rPr>
          <w:lang w:val="hu-HU"/>
        </w:rPr>
      </w:pPr>
      <w:r>
        <w:rPr>
          <w:rFonts w:eastAsia="Times New Roman"/>
          <w:lang w:val="hu-HU"/>
        </w:rPr>
        <w:t>érgyulladás (vaszkulitisz)</w:t>
      </w:r>
    </w:p>
    <w:p w14:paraId="3745EF2D" w14:textId="77777777" w:rsidR="0037407E" w:rsidRDefault="0037407E" w:rsidP="0037407E">
      <w:pPr>
        <w:pStyle w:val="a3"/>
        <w:numPr>
          <w:ilvl w:val="0"/>
          <w:numId w:val="15"/>
        </w:numPr>
        <w:ind w:left="660" w:hanging="660"/>
        <w:rPr>
          <w:lang w:val="hu-HU"/>
        </w:rPr>
      </w:pPr>
      <w:r>
        <w:rPr>
          <w:rFonts w:eastAsia="Times New Roman"/>
          <w:lang w:val="hu-HU"/>
        </w:rPr>
        <w:t>remegés</w:t>
      </w:r>
    </w:p>
    <w:p w14:paraId="10F5583C" w14:textId="77777777" w:rsidR="0037407E" w:rsidRDefault="0037407E" w:rsidP="0037407E">
      <w:pPr>
        <w:pStyle w:val="a3"/>
        <w:numPr>
          <w:ilvl w:val="0"/>
          <w:numId w:val="15"/>
        </w:numPr>
        <w:ind w:left="660" w:hanging="660"/>
        <w:rPr>
          <w:lang w:val="hu-HU"/>
        </w:rPr>
      </w:pPr>
      <w:r>
        <w:rPr>
          <w:rFonts w:eastAsia="Times New Roman"/>
          <w:lang w:val="hu-HU"/>
        </w:rPr>
        <w:t>idegbántalom (neuropátia)</w:t>
      </w:r>
    </w:p>
    <w:p w14:paraId="2F46A2D5" w14:textId="77777777" w:rsidR="0037407E" w:rsidRDefault="0037407E" w:rsidP="0037407E">
      <w:pPr>
        <w:pStyle w:val="a3"/>
        <w:numPr>
          <w:ilvl w:val="0"/>
          <w:numId w:val="15"/>
        </w:numPr>
        <w:ind w:left="660" w:hanging="660"/>
        <w:rPr>
          <w:lang w:val="hu-HU"/>
        </w:rPr>
      </w:pPr>
      <w:r>
        <w:rPr>
          <w:rFonts w:eastAsia="Times New Roman"/>
          <w:lang w:val="hu-HU"/>
        </w:rPr>
        <w:t>szélütés</w:t>
      </w:r>
    </w:p>
    <w:p w14:paraId="43E17F39" w14:textId="77777777" w:rsidR="0037407E" w:rsidRDefault="0037407E" w:rsidP="0037407E">
      <w:pPr>
        <w:pStyle w:val="a3"/>
        <w:numPr>
          <w:ilvl w:val="0"/>
          <w:numId w:val="15"/>
        </w:numPr>
        <w:ind w:left="660" w:hanging="660"/>
        <w:rPr>
          <w:lang w:val="hu-HU"/>
        </w:rPr>
      </w:pPr>
      <w:r>
        <w:rPr>
          <w:rFonts w:eastAsia="Times New Roman"/>
          <w:lang w:val="hu-HU"/>
        </w:rPr>
        <w:t>halláscsökkenés, fülzúgás</w:t>
      </w:r>
    </w:p>
    <w:p w14:paraId="3CDA903D" w14:textId="77777777" w:rsidR="0037407E" w:rsidRDefault="0037407E" w:rsidP="0037407E">
      <w:pPr>
        <w:pStyle w:val="a3"/>
        <w:numPr>
          <w:ilvl w:val="0"/>
          <w:numId w:val="15"/>
        </w:numPr>
        <w:ind w:left="660" w:hanging="660"/>
        <w:rPr>
          <w:lang w:val="hu-HU"/>
        </w:rPr>
      </w:pPr>
      <w:r>
        <w:rPr>
          <w:rFonts w:eastAsia="Times New Roman"/>
          <w:lang w:val="hu-HU"/>
        </w:rPr>
        <w:t>szabálytalan szívverés érzése, mint például kimaradó szívverés</w:t>
      </w:r>
    </w:p>
    <w:p w14:paraId="27DC4888" w14:textId="77777777" w:rsidR="0037407E" w:rsidRDefault="0037407E" w:rsidP="0037407E">
      <w:pPr>
        <w:pStyle w:val="a3"/>
        <w:numPr>
          <w:ilvl w:val="0"/>
          <w:numId w:val="15"/>
        </w:numPr>
        <w:ind w:left="660" w:hanging="660"/>
        <w:rPr>
          <w:lang w:val="hu-HU"/>
        </w:rPr>
      </w:pPr>
      <w:r>
        <w:rPr>
          <w:rFonts w:eastAsia="Times New Roman"/>
          <w:lang w:val="hu-HU"/>
        </w:rPr>
        <w:t>szívproblémák, amelyek például nehézlégzést vagy bokadagadást okozhatnak</w:t>
      </w:r>
    </w:p>
    <w:p w14:paraId="48D7511D" w14:textId="77777777" w:rsidR="0037407E" w:rsidRDefault="0037407E" w:rsidP="0037407E">
      <w:pPr>
        <w:pStyle w:val="a3"/>
        <w:numPr>
          <w:ilvl w:val="0"/>
          <w:numId w:val="15"/>
        </w:numPr>
        <w:ind w:left="660" w:hanging="660"/>
        <w:rPr>
          <w:lang w:val="hu-HU"/>
        </w:rPr>
      </w:pPr>
      <w:r>
        <w:rPr>
          <w:rFonts w:eastAsia="Times New Roman"/>
          <w:lang w:val="hu-HU"/>
        </w:rPr>
        <w:t>szívroham</w:t>
      </w:r>
    </w:p>
    <w:p w14:paraId="074F98DC" w14:textId="77777777" w:rsidR="0037407E" w:rsidRDefault="0037407E" w:rsidP="0037407E">
      <w:pPr>
        <w:pStyle w:val="a3"/>
        <w:numPr>
          <w:ilvl w:val="0"/>
          <w:numId w:val="15"/>
        </w:numPr>
        <w:ind w:left="660" w:hanging="660"/>
        <w:rPr>
          <w:lang w:val="hu-HU"/>
        </w:rPr>
      </w:pPr>
      <w:r>
        <w:rPr>
          <w:rFonts w:eastAsia="Times New Roman"/>
          <w:lang w:val="hu-HU"/>
        </w:rPr>
        <w:t>kiöblösödés valamely nagy ütőérben, gyulladás és vérrögképződes valamelyik vénában, érelzáródás</w:t>
      </w:r>
    </w:p>
    <w:p w14:paraId="13A7E2CD" w14:textId="0C3EFA00" w:rsidR="0037407E" w:rsidRDefault="0037407E" w:rsidP="0037407E">
      <w:pPr>
        <w:pStyle w:val="a3"/>
        <w:numPr>
          <w:ilvl w:val="0"/>
          <w:numId w:val="15"/>
        </w:numPr>
        <w:ind w:left="660" w:hanging="660"/>
        <w:rPr>
          <w:lang w:val="hu-HU"/>
        </w:rPr>
      </w:pPr>
      <w:r>
        <w:rPr>
          <w:rFonts w:eastAsia="Times New Roman"/>
          <w:lang w:val="hu-HU"/>
        </w:rPr>
        <w:t>nehézlégz</w:t>
      </w:r>
      <w:r w:rsidR="005F5974">
        <w:rPr>
          <w:rFonts w:eastAsia="Times New Roman"/>
          <w:lang w:val="hu-HU"/>
        </w:rPr>
        <w:t>é</w:t>
      </w:r>
      <w:r>
        <w:rPr>
          <w:rFonts w:eastAsia="Times New Roman"/>
          <w:lang w:val="hu-HU"/>
        </w:rPr>
        <w:t>st okozó tüdőbetegségek (beleértve a gyulladást is)</w:t>
      </w:r>
    </w:p>
    <w:p w14:paraId="2AB492C3" w14:textId="77777777" w:rsidR="0037407E" w:rsidRDefault="0037407E" w:rsidP="0037407E">
      <w:pPr>
        <w:pStyle w:val="a3"/>
        <w:numPr>
          <w:ilvl w:val="0"/>
          <w:numId w:val="15"/>
        </w:numPr>
        <w:ind w:left="660" w:hanging="660"/>
        <w:rPr>
          <w:lang w:val="hu-HU"/>
        </w:rPr>
      </w:pPr>
      <w:r>
        <w:rPr>
          <w:rFonts w:eastAsia="Times New Roman"/>
          <w:lang w:val="hu-HU"/>
        </w:rPr>
        <w:t>tüdőembólia (a tüdőt ellátó ér elzáródása)</w:t>
      </w:r>
    </w:p>
    <w:p w14:paraId="6C6F16D5" w14:textId="67097EA8" w:rsidR="0037407E" w:rsidRDefault="0037407E" w:rsidP="0037407E">
      <w:pPr>
        <w:pStyle w:val="a3"/>
        <w:numPr>
          <w:ilvl w:val="0"/>
          <w:numId w:val="15"/>
        </w:numPr>
        <w:ind w:left="660" w:hanging="660"/>
        <w:rPr>
          <w:lang w:val="hu-HU"/>
        </w:rPr>
      </w:pPr>
      <w:r>
        <w:rPr>
          <w:rFonts w:eastAsia="Times New Roman"/>
          <w:lang w:val="hu-HU"/>
        </w:rPr>
        <w:t xml:space="preserve">pleurális folyadékgyülem (rendellenes folyadékgyülem a </w:t>
      </w:r>
      <w:r w:rsidR="005F5974" w:rsidRPr="00D44CC9">
        <w:rPr>
          <w:rFonts w:eastAsia="Times New Roman"/>
          <w:lang w:val="hu-HU"/>
        </w:rPr>
        <w:t>mellkasi</w:t>
      </w:r>
      <w:r w:rsidR="005F5974">
        <w:rPr>
          <w:rFonts w:eastAsia="Times New Roman"/>
          <w:lang w:val="hu-HU"/>
        </w:rPr>
        <w:t xml:space="preserve"> </w:t>
      </w:r>
      <w:r>
        <w:rPr>
          <w:rFonts w:eastAsia="Times New Roman"/>
          <w:lang w:val="hu-HU"/>
        </w:rPr>
        <w:t>térben)</w:t>
      </w:r>
    </w:p>
    <w:p w14:paraId="7CCBDAF8" w14:textId="77777777" w:rsidR="0037407E" w:rsidRDefault="0037407E" w:rsidP="0037407E">
      <w:pPr>
        <w:pStyle w:val="a3"/>
        <w:numPr>
          <w:ilvl w:val="0"/>
          <w:numId w:val="15"/>
        </w:numPr>
        <w:ind w:left="660" w:hanging="660"/>
        <w:rPr>
          <w:lang w:val="hu-HU"/>
        </w:rPr>
      </w:pPr>
      <w:r>
        <w:rPr>
          <w:rFonts w:eastAsia="Times New Roman"/>
          <w:lang w:val="hu-HU"/>
        </w:rPr>
        <w:t>hasnyálmirigy-gyulladás ami erős hasi fájdalmat es hátfájást okoz</w:t>
      </w:r>
    </w:p>
    <w:p w14:paraId="339C4405" w14:textId="77777777" w:rsidR="0037407E" w:rsidRDefault="0037407E" w:rsidP="0037407E">
      <w:pPr>
        <w:pStyle w:val="a3"/>
        <w:numPr>
          <w:ilvl w:val="0"/>
          <w:numId w:val="15"/>
        </w:numPr>
        <w:ind w:left="660" w:hanging="660"/>
        <w:rPr>
          <w:lang w:val="hu-HU"/>
        </w:rPr>
      </w:pPr>
      <w:r>
        <w:rPr>
          <w:rFonts w:eastAsia="Times New Roman"/>
          <w:lang w:val="hu-HU"/>
        </w:rPr>
        <w:t>nyelési nehézség</w:t>
      </w:r>
    </w:p>
    <w:p w14:paraId="0CEA4B43" w14:textId="77777777" w:rsidR="0037407E" w:rsidRDefault="0037407E" w:rsidP="0037407E">
      <w:pPr>
        <w:pStyle w:val="a3"/>
        <w:numPr>
          <w:ilvl w:val="0"/>
          <w:numId w:val="15"/>
        </w:numPr>
        <w:ind w:left="660" w:hanging="660"/>
        <w:rPr>
          <w:lang w:val="hu-HU"/>
        </w:rPr>
      </w:pPr>
      <w:r>
        <w:rPr>
          <w:rFonts w:eastAsia="Times New Roman"/>
          <w:lang w:val="hu-HU"/>
        </w:rPr>
        <w:t>az arc feldagadása</w:t>
      </w:r>
    </w:p>
    <w:p w14:paraId="1355FBD8" w14:textId="77777777" w:rsidR="0037407E" w:rsidRDefault="0037407E" w:rsidP="0037407E">
      <w:pPr>
        <w:pStyle w:val="a3"/>
        <w:numPr>
          <w:ilvl w:val="0"/>
          <w:numId w:val="15"/>
        </w:numPr>
        <w:ind w:left="660" w:hanging="660"/>
        <w:rPr>
          <w:lang w:val="hu-HU"/>
        </w:rPr>
      </w:pPr>
      <w:r>
        <w:rPr>
          <w:rFonts w:eastAsia="Times New Roman"/>
          <w:lang w:val="hu-HU"/>
        </w:rPr>
        <w:t>epehólyaggyulladás, epehólyagkő</w:t>
      </w:r>
    </w:p>
    <w:p w14:paraId="64AB5147" w14:textId="77777777" w:rsidR="0037407E" w:rsidRDefault="0037407E" w:rsidP="0037407E">
      <w:pPr>
        <w:pStyle w:val="a3"/>
        <w:numPr>
          <w:ilvl w:val="0"/>
          <w:numId w:val="15"/>
        </w:numPr>
        <w:ind w:left="660" w:hanging="660"/>
        <w:rPr>
          <w:lang w:val="hu-HU"/>
        </w:rPr>
      </w:pPr>
      <w:r>
        <w:rPr>
          <w:rFonts w:eastAsia="Times New Roman"/>
          <w:lang w:val="hu-HU"/>
        </w:rPr>
        <w:t>zsírmáj</w:t>
      </w:r>
    </w:p>
    <w:p w14:paraId="1B59F965" w14:textId="77777777" w:rsidR="0037407E" w:rsidRDefault="0037407E" w:rsidP="0037407E">
      <w:pPr>
        <w:pStyle w:val="a3"/>
        <w:numPr>
          <w:ilvl w:val="0"/>
          <w:numId w:val="15"/>
        </w:numPr>
        <w:ind w:left="660" w:hanging="660"/>
        <w:rPr>
          <w:lang w:val="hu-HU"/>
        </w:rPr>
      </w:pPr>
      <w:r>
        <w:rPr>
          <w:rFonts w:eastAsia="Times New Roman"/>
          <w:lang w:val="hu-HU"/>
        </w:rPr>
        <w:t>éjszakai verítékezés</w:t>
      </w:r>
    </w:p>
    <w:p w14:paraId="65C1610B" w14:textId="77777777" w:rsidR="0037407E" w:rsidRDefault="0037407E" w:rsidP="0037407E">
      <w:pPr>
        <w:pStyle w:val="a3"/>
        <w:numPr>
          <w:ilvl w:val="0"/>
          <w:numId w:val="15"/>
        </w:numPr>
        <w:ind w:left="660" w:hanging="660"/>
        <w:rPr>
          <w:lang w:val="hu-HU"/>
        </w:rPr>
      </w:pPr>
      <w:r>
        <w:rPr>
          <w:rFonts w:eastAsia="Times New Roman"/>
          <w:lang w:val="hu-HU"/>
        </w:rPr>
        <w:t>hegképződés</w:t>
      </w:r>
    </w:p>
    <w:p w14:paraId="46B4DC88" w14:textId="77777777" w:rsidR="0037407E" w:rsidRDefault="0037407E" w:rsidP="0037407E">
      <w:pPr>
        <w:pStyle w:val="a3"/>
        <w:numPr>
          <w:ilvl w:val="0"/>
          <w:numId w:val="15"/>
        </w:numPr>
        <w:ind w:left="660" w:hanging="660"/>
        <w:rPr>
          <w:lang w:val="hu-HU"/>
        </w:rPr>
      </w:pPr>
      <w:r>
        <w:rPr>
          <w:rFonts w:eastAsia="Times New Roman"/>
          <w:lang w:val="hu-HU"/>
        </w:rPr>
        <w:t>az izomszövet kóros szétesése</w:t>
      </w:r>
    </w:p>
    <w:p w14:paraId="237D18B6" w14:textId="77777777" w:rsidR="0037407E" w:rsidRDefault="0037407E" w:rsidP="0037407E">
      <w:pPr>
        <w:pStyle w:val="a3"/>
        <w:numPr>
          <w:ilvl w:val="0"/>
          <w:numId w:val="15"/>
        </w:numPr>
        <w:ind w:left="660" w:hanging="660"/>
        <w:rPr>
          <w:rFonts w:eastAsia="Times New Roman"/>
          <w:spacing w:val="-1"/>
          <w:lang w:val="hu-HU"/>
        </w:rPr>
      </w:pPr>
      <w:r>
        <w:rPr>
          <w:rFonts w:eastAsia="Times New Roman"/>
          <w:lang w:val="hu-HU"/>
        </w:rPr>
        <w:t>szisztémás lupusz eritematózusz (beleértve a bőr, a szív, a tüdő, az ízületek és más szervrendszerek gyulladását)</w:t>
      </w:r>
    </w:p>
    <w:p w14:paraId="1129C6A7" w14:textId="77777777" w:rsidR="0037407E" w:rsidRDefault="0037407E" w:rsidP="0037407E">
      <w:pPr>
        <w:pStyle w:val="a3"/>
        <w:numPr>
          <w:ilvl w:val="0"/>
          <w:numId w:val="15"/>
        </w:numPr>
        <w:ind w:left="660" w:hanging="660"/>
        <w:rPr>
          <w:lang w:val="hu-HU"/>
        </w:rPr>
      </w:pPr>
      <w:r>
        <w:rPr>
          <w:rFonts w:eastAsia="Times New Roman"/>
          <w:lang w:val="hu-HU"/>
        </w:rPr>
        <w:t>az alvás megszakadása</w:t>
      </w:r>
    </w:p>
    <w:p w14:paraId="0AB6A18E" w14:textId="77777777" w:rsidR="0037407E" w:rsidRDefault="0037407E" w:rsidP="0037407E">
      <w:pPr>
        <w:pStyle w:val="a3"/>
        <w:numPr>
          <w:ilvl w:val="0"/>
          <w:numId w:val="15"/>
        </w:numPr>
        <w:ind w:left="660" w:hanging="660"/>
        <w:rPr>
          <w:lang w:val="hu-HU"/>
        </w:rPr>
      </w:pPr>
      <w:r>
        <w:rPr>
          <w:rFonts w:eastAsia="Times New Roman"/>
          <w:lang w:val="hu-HU"/>
        </w:rPr>
        <w:lastRenderedPageBreak/>
        <w:t>merevedési zavar</w:t>
      </w:r>
    </w:p>
    <w:p w14:paraId="1B60707F" w14:textId="77777777" w:rsidR="0037407E" w:rsidRDefault="0037407E" w:rsidP="0037407E">
      <w:pPr>
        <w:pStyle w:val="a3"/>
        <w:numPr>
          <w:ilvl w:val="0"/>
          <w:numId w:val="15"/>
        </w:numPr>
        <w:ind w:left="660" w:hanging="660"/>
        <w:rPr>
          <w:lang w:val="hu-HU"/>
        </w:rPr>
      </w:pPr>
      <w:r>
        <w:rPr>
          <w:rFonts w:eastAsia="Times New Roman"/>
          <w:lang w:val="hu-HU"/>
        </w:rPr>
        <w:t>gyulladások</w:t>
      </w:r>
    </w:p>
    <w:p w14:paraId="5DC87C8B" w14:textId="77777777" w:rsidR="0037407E" w:rsidRDefault="0037407E" w:rsidP="0037407E">
      <w:pPr>
        <w:spacing w:before="13" w:line="240" w:lineRule="exact"/>
        <w:rPr>
          <w:sz w:val="24"/>
          <w:szCs w:val="24"/>
          <w:lang w:val="hu-HU"/>
        </w:rPr>
      </w:pPr>
    </w:p>
    <w:p w14:paraId="6F5EDA7A" w14:textId="77777777" w:rsidR="0037407E" w:rsidRDefault="0037407E" w:rsidP="0037407E">
      <w:pPr>
        <w:pStyle w:val="a3"/>
        <w:rPr>
          <w:lang w:val="hu-HU"/>
        </w:rPr>
      </w:pPr>
      <w:r>
        <w:rPr>
          <w:rFonts w:eastAsia="Times New Roman"/>
          <w:b/>
          <w:bCs/>
          <w:lang w:val="hu-HU"/>
        </w:rPr>
        <w:t xml:space="preserve">Ritka </w:t>
      </w:r>
      <w:r>
        <w:rPr>
          <w:rFonts w:eastAsia="Times New Roman"/>
          <w:lang w:val="hu-HU"/>
        </w:rPr>
        <w:t>(1000 beteg közül legfeljebb 1-nél kialakuló)</w:t>
      </w:r>
    </w:p>
    <w:p w14:paraId="24F06F6F" w14:textId="77777777" w:rsidR="0037407E" w:rsidRDefault="0037407E" w:rsidP="0037407E">
      <w:pPr>
        <w:spacing w:before="12" w:line="240" w:lineRule="exact"/>
        <w:rPr>
          <w:sz w:val="24"/>
          <w:szCs w:val="24"/>
          <w:lang w:val="hu-HU"/>
        </w:rPr>
      </w:pPr>
    </w:p>
    <w:p w14:paraId="36EFCB91" w14:textId="77777777" w:rsidR="0037407E" w:rsidRDefault="0037407E" w:rsidP="0037407E">
      <w:pPr>
        <w:pStyle w:val="a3"/>
        <w:numPr>
          <w:ilvl w:val="0"/>
          <w:numId w:val="15"/>
        </w:numPr>
        <w:ind w:left="660" w:hanging="660"/>
        <w:rPr>
          <w:lang w:val="hu-HU"/>
        </w:rPr>
      </w:pPr>
      <w:r>
        <w:rPr>
          <w:rFonts w:eastAsia="Times New Roman"/>
          <w:lang w:val="hu-HU"/>
        </w:rPr>
        <w:t>leukémia (fehérvérűség, a vérképző rendszer daganata, ami a csontvelőt érinti)</w:t>
      </w:r>
    </w:p>
    <w:p w14:paraId="28615624" w14:textId="77777777" w:rsidR="0037407E" w:rsidRDefault="0037407E" w:rsidP="0037407E">
      <w:pPr>
        <w:pStyle w:val="a3"/>
        <w:numPr>
          <w:ilvl w:val="0"/>
          <w:numId w:val="15"/>
        </w:numPr>
        <w:ind w:left="660" w:hanging="660"/>
        <w:rPr>
          <w:lang w:val="hu-HU"/>
        </w:rPr>
      </w:pPr>
      <w:r>
        <w:rPr>
          <w:rFonts w:eastAsia="Times New Roman"/>
          <w:lang w:val="hu-HU"/>
        </w:rPr>
        <w:t>súlyos, sokkot okozó allergiás reakció</w:t>
      </w:r>
    </w:p>
    <w:p w14:paraId="39325C19" w14:textId="77777777" w:rsidR="0037407E" w:rsidRDefault="0037407E" w:rsidP="0037407E">
      <w:pPr>
        <w:pStyle w:val="a3"/>
        <w:numPr>
          <w:ilvl w:val="0"/>
          <w:numId w:val="15"/>
        </w:numPr>
        <w:ind w:left="660" w:hanging="660"/>
        <w:rPr>
          <w:lang w:val="hu-HU"/>
        </w:rPr>
      </w:pPr>
      <w:r>
        <w:rPr>
          <w:rFonts w:eastAsia="Times New Roman"/>
          <w:lang w:val="hu-HU"/>
        </w:rPr>
        <w:t>szklerózis multiplex</w:t>
      </w:r>
    </w:p>
    <w:p w14:paraId="5C040DB0" w14:textId="724CD6C2" w:rsidR="0037407E" w:rsidRDefault="0037407E" w:rsidP="0037407E">
      <w:pPr>
        <w:pStyle w:val="a3"/>
        <w:numPr>
          <w:ilvl w:val="0"/>
          <w:numId w:val="15"/>
        </w:numPr>
        <w:ind w:left="660" w:hanging="660"/>
        <w:rPr>
          <w:lang w:val="hu-HU"/>
        </w:rPr>
      </w:pPr>
      <w:r>
        <w:rPr>
          <w:rFonts w:eastAsia="Times New Roman"/>
          <w:lang w:val="hu-HU"/>
        </w:rPr>
        <w:t>ideggyógyászati betegségek (például a látóideg gyulladása vagy Guillain–Barré-</w:t>
      </w:r>
      <w:r w:rsidR="005F5974" w:rsidRPr="00887A75">
        <w:rPr>
          <w:rFonts w:eastAsia="Times New Roman"/>
          <w:lang w:val="hu-HU"/>
        </w:rPr>
        <w:t>tünetegyüttes</w:t>
      </w:r>
      <w:r>
        <w:rPr>
          <w:rFonts w:eastAsia="Times New Roman"/>
          <w:lang w:val="hu-HU"/>
        </w:rPr>
        <w:t>, ami izomgyengeséget, érzészavart, a karok és a felsőtest zsibbadását okozhatja)</w:t>
      </w:r>
    </w:p>
    <w:p w14:paraId="228DF447" w14:textId="77777777" w:rsidR="0037407E" w:rsidRDefault="0037407E" w:rsidP="0037407E">
      <w:pPr>
        <w:pStyle w:val="a3"/>
        <w:numPr>
          <w:ilvl w:val="0"/>
          <w:numId w:val="15"/>
        </w:numPr>
        <w:ind w:left="660" w:hanging="660"/>
        <w:rPr>
          <w:lang w:val="hu-HU"/>
        </w:rPr>
      </w:pPr>
      <w:r>
        <w:rPr>
          <w:rFonts w:eastAsia="Times New Roman"/>
          <w:lang w:val="hu-HU"/>
        </w:rPr>
        <w:t>szívleállás</w:t>
      </w:r>
    </w:p>
    <w:p w14:paraId="3AE10B61" w14:textId="77777777" w:rsidR="0037407E" w:rsidRDefault="0037407E" w:rsidP="0037407E">
      <w:pPr>
        <w:pStyle w:val="a3"/>
        <w:numPr>
          <w:ilvl w:val="0"/>
          <w:numId w:val="15"/>
        </w:numPr>
        <w:ind w:left="660" w:hanging="660"/>
        <w:rPr>
          <w:lang w:val="hu-HU"/>
        </w:rPr>
      </w:pPr>
      <w:r>
        <w:rPr>
          <w:rFonts w:eastAsia="Times New Roman"/>
          <w:lang w:val="hu-HU"/>
        </w:rPr>
        <w:t>tüdőfibrózis (tüdőhegesedés)</w:t>
      </w:r>
    </w:p>
    <w:p w14:paraId="667E5BEE" w14:textId="7E49B957" w:rsidR="0037407E" w:rsidRDefault="0095248B" w:rsidP="0037407E">
      <w:pPr>
        <w:pStyle w:val="a3"/>
        <w:numPr>
          <w:ilvl w:val="0"/>
          <w:numId w:val="15"/>
        </w:numPr>
        <w:ind w:left="660" w:hanging="660"/>
        <w:rPr>
          <w:lang w:val="hu-HU"/>
        </w:rPr>
      </w:pPr>
      <w:r w:rsidRPr="00545FC6">
        <w:rPr>
          <w:lang w:val="hu-HU"/>
        </w:rPr>
        <w:t>bél átlyukadás</w:t>
      </w:r>
    </w:p>
    <w:p w14:paraId="1899B58B" w14:textId="77777777" w:rsidR="0037407E" w:rsidRDefault="0037407E" w:rsidP="0037407E">
      <w:pPr>
        <w:pStyle w:val="a3"/>
        <w:numPr>
          <w:ilvl w:val="0"/>
          <w:numId w:val="15"/>
        </w:numPr>
        <w:ind w:left="660" w:hanging="660"/>
        <w:rPr>
          <w:lang w:val="hu-HU"/>
        </w:rPr>
      </w:pPr>
      <w:r>
        <w:rPr>
          <w:rFonts w:eastAsia="Times New Roman"/>
          <w:lang w:val="hu-HU"/>
        </w:rPr>
        <w:t>májgyulladás</w:t>
      </w:r>
    </w:p>
    <w:p w14:paraId="5BD6678B" w14:textId="77777777" w:rsidR="0037407E" w:rsidRDefault="0037407E" w:rsidP="0037407E">
      <w:pPr>
        <w:pStyle w:val="a3"/>
        <w:numPr>
          <w:ilvl w:val="0"/>
          <w:numId w:val="15"/>
        </w:numPr>
        <w:ind w:left="660" w:hanging="660"/>
        <w:rPr>
          <w:lang w:val="hu-HU"/>
        </w:rPr>
      </w:pPr>
      <w:r>
        <w:rPr>
          <w:rFonts w:eastAsia="Times New Roman"/>
          <w:lang w:val="hu-HU"/>
        </w:rPr>
        <w:t>B típusú fertőző májgyulladás kiújulása</w:t>
      </w:r>
    </w:p>
    <w:p w14:paraId="4B4F155D" w14:textId="77777777" w:rsidR="0037407E" w:rsidRDefault="0037407E" w:rsidP="0037407E">
      <w:pPr>
        <w:pStyle w:val="a3"/>
        <w:numPr>
          <w:ilvl w:val="0"/>
          <w:numId w:val="15"/>
        </w:numPr>
        <w:ind w:left="660" w:hanging="660"/>
        <w:rPr>
          <w:lang w:val="hu-HU"/>
        </w:rPr>
      </w:pPr>
      <w:r>
        <w:rPr>
          <w:rFonts w:eastAsia="Times New Roman"/>
          <w:lang w:val="hu-HU"/>
        </w:rPr>
        <w:t>autoimmun májgyulladás (a máj gyulladása, melyet a saját immunrendszer vált ki)</w:t>
      </w:r>
    </w:p>
    <w:p w14:paraId="33F370C5" w14:textId="6D5842DA" w:rsidR="0037407E" w:rsidRDefault="0037407E" w:rsidP="0037407E">
      <w:pPr>
        <w:pStyle w:val="a3"/>
        <w:numPr>
          <w:ilvl w:val="0"/>
          <w:numId w:val="15"/>
        </w:numPr>
        <w:ind w:left="660" w:hanging="660"/>
        <w:rPr>
          <w:lang w:val="hu-HU"/>
        </w:rPr>
      </w:pPr>
      <w:r>
        <w:rPr>
          <w:rFonts w:eastAsia="Times New Roman"/>
          <w:lang w:val="hu-HU"/>
        </w:rPr>
        <w:t>a bőrben található erek gyulladása (kután vaszkulitisz)</w:t>
      </w:r>
    </w:p>
    <w:p w14:paraId="1D3A0332" w14:textId="77777777" w:rsidR="0037407E" w:rsidRDefault="0037407E" w:rsidP="0037407E">
      <w:pPr>
        <w:pStyle w:val="a3"/>
        <w:numPr>
          <w:ilvl w:val="0"/>
          <w:numId w:val="15"/>
        </w:numPr>
        <w:ind w:left="660" w:hanging="660"/>
        <w:rPr>
          <w:lang w:val="hu-HU"/>
        </w:rPr>
      </w:pPr>
      <w:r>
        <w:rPr>
          <w:rFonts w:eastAsia="Times New Roman"/>
          <w:lang w:val="hu-HU"/>
        </w:rPr>
        <w:t>Stevens–Johnson-szindróma (korai tünetei a rossz közérzet, láz, fejfájás és bőrkiütés)</w:t>
      </w:r>
    </w:p>
    <w:p w14:paraId="55994F88" w14:textId="77777777" w:rsidR="0037407E" w:rsidRDefault="0037407E" w:rsidP="0037407E">
      <w:pPr>
        <w:pStyle w:val="a3"/>
        <w:numPr>
          <w:ilvl w:val="0"/>
          <w:numId w:val="15"/>
        </w:numPr>
        <w:ind w:left="660" w:hanging="660"/>
        <w:rPr>
          <w:lang w:val="hu-HU"/>
        </w:rPr>
      </w:pPr>
      <w:r>
        <w:rPr>
          <w:rFonts w:eastAsia="Times New Roman"/>
          <w:lang w:val="hu-HU"/>
        </w:rPr>
        <w:t>arcduzzanat, amit allergiás reakció kísér</w:t>
      </w:r>
    </w:p>
    <w:p w14:paraId="758D0159" w14:textId="77777777" w:rsidR="0037407E" w:rsidRDefault="0037407E" w:rsidP="0037407E">
      <w:pPr>
        <w:pStyle w:val="a3"/>
        <w:numPr>
          <w:ilvl w:val="0"/>
          <w:numId w:val="15"/>
        </w:numPr>
        <w:ind w:left="660" w:hanging="660"/>
        <w:rPr>
          <w:lang w:val="hu-HU"/>
        </w:rPr>
      </w:pPr>
      <w:r>
        <w:rPr>
          <w:rFonts w:eastAsia="Times New Roman"/>
          <w:lang w:val="hu-HU"/>
        </w:rPr>
        <w:t>gyulladásos bőrkiütés (eritéma multiforme)</w:t>
      </w:r>
    </w:p>
    <w:p w14:paraId="3D79B795" w14:textId="77777777" w:rsidR="0037407E" w:rsidRDefault="0037407E" w:rsidP="0037407E">
      <w:pPr>
        <w:pStyle w:val="a3"/>
        <w:numPr>
          <w:ilvl w:val="0"/>
          <w:numId w:val="15"/>
        </w:numPr>
        <w:ind w:left="660" w:hanging="660"/>
        <w:rPr>
          <w:lang w:val="hu-HU"/>
        </w:rPr>
      </w:pPr>
      <w:r>
        <w:rPr>
          <w:rFonts w:eastAsia="Times New Roman"/>
          <w:lang w:val="hu-HU"/>
        </w:rPr>
        <w:t>lupusz-szerű szindróma</w:t>
      </w:r>
    </w:p>
    <w:p w14:paraId="01849989" w14:textId="77777777" w:rsidR="0037407E" w:rsidRDefault="0037407E" w:rsidP="0037407E">
      <w:pPr>
        <w:pStyle w:val="a3"/>
        <w:numPr>
          <w:ilvl w:val="0"/>
          <w:numId w:val="15"/>
        </w:numPr>
        <w:ind w:left="660" w:hanging="660"/>
        <w:rPr>
          <w:lang w:val="hu-HU"/>
        </w:rPr>
      </w:pPr>
      <w:r>
        <w:rPr>
          <w:rFonts w:eastAsia="Times New Roman"/>
          <w:lang w:val="hu-HU"/>
        </w:rPr>
        <w:t>helyi bőrduzzanat (angioödéma)</w:t>
      </w:r>
    </w:p>
    <w:p w14:paraId="5702DE68" w14:textId="77777777" w:rsidR="0037407E" w:rsidRDefault="0037407E" w:rsidP="0037407E">
      <w:pPr>
        <w:pStyle w:val="a3"/>
        <w:numPr>
          <w:ilvl w:val="0"/>
          <w:numId w:val="15"/>
        </w:numPr>
        <w:ind w:left="660" w:hanging="660"/>
        <w:rPr>
          <w:lang w:val="hu-HU"/>
        </w:rPr>
      </w:pPr>
      <w:r>
        <w:rPr>
          <w:rFonts w:eastAsia="Times New Roman"/>
          <w:lang w:val="hu-HU"/>
        </w:rPr>
        <w:t>lichenoid bőrreakció (viszkető, vöröses-lilás bőrkiütés).</w:t>
      </w:r>
    </w:p>
    <w:p w14:paraId="241B1A1F" w14:textId="77777777" w:rsidR="0037407E" w:rsidRDefault="0037407E" w:rsidP="0037407E">
      <w:pPr>
        <w:spacing w:before="10" w:line="240" w:lineRule="exact"/>
        <w:rPr>
          <w:sz w:val="24"/>
          <w:szCs w:val="24"/>
          <w:lang w:val="hu-HU"/>
        </w:rPr>
      </w:pPr>
    </w:p>
    <w:p w14:paraId="3EC5CA23" w14:textId="77777777" w:rsidR="0037407E" w:rsidRDefault="0037407E" w:rsidP="0037407E">
      <w:pPr>
        <w:pStyle w:val="a3"/>
        <w:rPr>
          <w:lang w:val="hu-HU"/>
        </w:rPr>
      </w:pPr>
      <w:r>
        <w:rPr>
          <w:rFonts w:eastAsia="Times New Roman"/>
          <w:b/>
          <w:bCs/>
          <w:lang w:val="hu-HU"/>
        </w:rPr>
        <w:t>Nem ismert</w:t>
      </w:r>
      <w:r>
        <w:rPr>
          <w:rFonts w:eastAsia="Times New Roman"/>
          <w:lang w:val="hu-HU"/>
        </w:rPr>
        <w:t xml:space="preserve"> (a gyakoriság a rendelkezésre álló adatokból nem állapítható meg)</w:t>
      </w:r>
    </w:p>
    <w:p w14:paraId="44E8875E" w14:textId="77777777" w:rsidR="0037407E" w:rsidRDefault="0037407E" w:rsidP="0037407E">
      <w:pPr>
        <w:spacing w:before="14" w:line="240" w:lineRule="exact"/>
        <w:rPr>
          <w:sz w:val="24"/>
          <w:szCs w:val="24"/>
          <w:lang w:val="hu-HU"/>
        </w:rPr>
      </w:pPr>
    </w:p>
    <w:p w14:paraId="279DF525" w14:textId="77777777" w:rsidR="0037407E" w:rsidRDefault="0037407E" w:rsidP="0037407E">
      <w:pPr>
        <w:pStyle w:val="a3"/>
        <w:numPr>
          <w:ilvl w:val="0"/>
          <w:numId w:val="15"/>
        </w:numPr>
        <w:ind w:left="660" w:hanging="660"/>
        <w:rPr>
          <w:lang w:val="hu-HU"/>
        </w:rPr>
      </w:pPr>
      <w:r>
        <w:rPr>
          <w:rFonts w:eastAsia="Times New Roman"/>
          <w:lang w:val="hu-HU"/>
        </w:rPr>
        <w:t>hepatoszplénikus T-sejtes limfóma (ritka vérrák, amely gyakran halálos kimenetelű)</w:t>
      </w:r>
    </w:p>
    <w:p w14:paraId="71D257AB" w14:textId="77777777" w:rsidR="0037407E" w:rsidRDefault="0037407E" w:rsidP="0037407E">
      <w:pPr>
        <w:pStyle w:val="a3"/>
        <w:numPr>
          <w:ilvl w:val="0"/>
          <w:numId w:val="15"/>
        </w:numPr>
        <w:ind w:left="660" w:hanging="660"/>
        <w:rPr>
          <w:lang w:val="hu-HU"/>
        </w:rPr>
      </w:pPr>
      <w:r>
        <w:rPr>
          <w:rFonts w:eastAsia="Times New Roman"/>
          <w:lang w:val="hu-HU"/>
        </w:rPr>
        <w:t>Merkel-sejtes karcinóma (a bőrrák egyik típusa)</w:t>
      </w:r>
    </w:p>
    <w:p w14:paraId="2D7A230C" w14:textId="5911A4AE" w:rsidR="0037407E" w:rsidRDefault="0037407E" w:rsidP="0037407E">
      <w:pPr>
        <w:pStyle w:val="a3"/>
        <w:numPr>
          <w:ilvl w:val="0"/>
          <w:numId w:val="15"/>
        </w:numPr>
        <w:ind w:left="660" w:hanging="660"/>
        <w:rPr>
          <w:lang w:val="hu-HU"/>
        </w:rPr>
      </w:pPr>
      <w:r>
        <w:rPr>
          <w:rFonts w:eastAsia="Times New Roman"/>
          <w:lang w:val="hu-HU"/>
        </w:rPr>
        <w:t>Kaposi-szarkóma, egy ritka rák, amely humán herpeszvírus 8-fertőzéssel függ össze. A Kaposi</w:t>
      </w:r>
      <w:r w:rsidR="005F5974">
        <w:rPr>
          <w:rFonts w:eastAsia="Times New Roman"/>
          <w:lang w:val="hu-HU"/>
        </w:rPr>
        <w:t>-</w:t>
      </w:r>
      <w:r>
        <w:rPr>
          <w:rFonts w:eastAsia="Times New Roman"/>
          <w:lang w:val="hu-HU"/>
        </w:rPr>
        <w:t xml:space="preserve">szarkóma leggyakrabban lila </w:t>
      </w:r>
      <w:r w:rsidR="005F5974" w:rsidRPr="00485330">
        <w:rPr>
          <w:rFonts w:eastAsia="Times New Roman"/>
          <w:lang w:val="hu-HU"/>
        </w:rPr>
        <w:t>sérülésként</w:t>
      </w:r>
      <w:r w:rsidR="005F5974">
        <w:rPr>
          <w:rFonts w:eastAsia="Times New Roman"/>
          <w:lang w:val="hu-HU"/>
        </w:rPr>
        <w:t xml:space="preserve"> </w:t>
      </w:r>
      <w:r>
        <w:rPr>
          <w:rFonts w:eastAsia="Times New Roman"/>
          <w:lang w:val="hu-HU"/>
        </w:rPr>
        <w:t>jelenik meg a bőrön.</w:t>
      </w:r>
    </w:p>
    <w:p w14:paraId="419F5ACD" w14:textId="77777777" w:rsidR="0037407E" w:rsidRDefault="0037407E" w:rsidP="0037407E">
      <w:pPr>
        <w:pStyle w:val="a3"/>
        <w:numPr>
          <w:ilvl w:val="0"/>
          <w:numId w:val="15"/>
        </w:numPr>
        <w:ind w:left="660" w:hanging="660"/>
        <w:rPr>
          <w:lang w:val="hu-HU"/>
        </w:rPr>
      </w:pPr>
      <w:r>
        <w:rPr>
          <w:rFonts w:eastAsia="Times New Roman"/>
          <w:lang w:val="hu-HU"/>
        </w:rPr>
        <w:t>májelégtelenség</w:t>
      </w:r>
    </w:p>
    <w:p w14:paraId="196B4357" w14:textId="77777777" w:rsidR="0037407E" w:rsidRPr="00526958" w:rsidRDefault="0037407E" w:rsidP="0037407E">
      <w:pPr>
        <w:pStyle w:val="a3"/>
        <w:numPr>
          <w:ilvl w:val="0"/>
          <w:numId w:val="15"/>
        </w:numPr>
        <w:ind w:left="660" w:hanging="660"/>
        <w:rPr>
          <w:lang w:val="hu-HU"/>
        </w:rPr>
      </w:pPr>
      <w:r>
        <w:rPr>
          <w:rFonts w:eastAsia="Times New Roman"/>
          <w:lang w:val="hu-HU"/>
        </w:rPr>
        <w:t>dermatomiozitisz nevű betegség (izomgyengeséghez társult bőrkiütés formájában jelentkezik) súlyosbodása</w:t>
      </w:r>
    </w:p>
    <w:p w14:paraId="4303246A" w14:textId="14E78E77" w:rsidR="0037407E" w:rsidRPr="00ED0DD9" w:rsidRDefault="005F5974" w:rsidP="0037407E">
      <w:pPr>
        <w:pStyle w:val="a3"/>
        <w:numPr>
          <w:ilvl w:val="0"/>
          <w:numId w:val="15"/>
        </w:numPr>
        <w:ind w:left="660" w:hanging="660"/>
        <w:rPr>
          <w:lang w:val="hu-HU"/>
        </w:rPr>
      </w:pPr>
      <w:r>
        <w:rPr>
          <w:rFonts w:eastAsia="Times New Roman"/>
          <w:lang w:val="hu-HU"/>
        </w:rPr>
        <w:t>t</w:t>
      </w:r>
      <w:r w:rsidR="0037407E" w:rsidRPr="00ED0DD9">
        <w:rPr>
          <w:rFonts w:eastAsia="Times New Roman"/>
          <w:lang w:val="hu-HU"/>
        </w:rPr>
        <w:t>estsúlynövekedés (a legtöbb betegnél ez kismértékű volt)</w:t>
      </w:r>
    </w:p>
    <w:p w14:paraId="6A98DF1B" w14:textId="77777777" w:rsidR="0037407E" w:rsidRDefault="0037407E" w:rsidP="0037407E">
      <w:pPr>
        <w:spacing w:before="14" w:line="240" w:lineRule="exact"/>
        <w:rPr>
          <w:sz w:val="24"/>
          <w:szCs w:val="24"/>
          <w:lang w:val="hu-HU"/>
        </w:rPr>
      </w:pPr>
    </w:p>
    <w:p w14:paraId="05B3FE88" w14:textId="77777777" w:rsidR="0037407E" w:rsidRDefault="0037407E" w:rsidP="0037407E">
      <w:pPr>
        <w:pStyle w:val="a3"/>
        <w:rPr>
          <w:lang w:val="hu-HU"/>
        </w:rPr>
      </w:pPr>
      <w:r>
        <w:rPr>
          <w:rFonts w:eastAsia="Times New Roman"/>
          <w:lang w:val="hu-HU"/>
        </w:rPr>
        <w:t>A Yuflyma alkalmazása során észlelt némelyik mellékhatás nem okoz tüneteket, és lehet, hogy csak vérvizsgálattal deríthető ki. Ezek köze tartozik:</w:t>
      </w:r>
    </w:p>
    <w:p w14:paraId="65385436" w14:textId="77777777" w:rsidR="0037407E" w:rsidRDefault="0037407E" w:rsidP="0037407E">
      <w:pPr>
        <w:pStyle w:val="a3"/>
        <w:rPr>
          <w:lang w:val="hu-HU"/>
        </w:rPr>
      </w:pPr>
    </w:p>
    <w:p w14:paraId="3D038D49" w14:textId="77777777" w:rsidR="0037407E" w:rsidRDefault="0037407E" w:rsidP="0037407E">
      <w:pPr>
        <w:pStyle w:val="a3"/>
        <w:rPr>
          <w:rFonts w:eastAsia="Times New Roman"/>
          <w:lang w:val="hu-HU"/>
        </w:rPr>
      </w:pPr>
      <w:r>
        <w:rPr>
          <w:rFonts w:eastAsia="Times New Roman"/>
          <w:b/>
          <w:bCs/>
          <w:spacing w:val="-1"/>
          <w:lang w:val="hu-HU"/>
        </w:rPr>
        <w:t xml:space="preserve">Nagyon gyakori </w:t>
      </w:r>
      <w:r>
        <w:rPr>
          <w:rFonts w:eastAsia="Times New Roman"/>
          <w:spacing w:val="-1"/>
          <w:lang w:val="hu-HU"/>
        </w:rPr>
        <w:t>(10 beteg közül több mint 1-nél kialakuló)</w:t>
      </w:r>
    </w:p>
    <w:p w14:paraId="4C4FF20D" w14:textId="77777777" w:rsidR="0037407E" w:rsidRDefault="0037407E" w:rsidP="0037407E">
      <w:pPr>
        <w:pStyle w:val="a3"/>
        <w:rPr>
          <w:lang w:val="hu-HU"/>
        </w:rPr>
      </w:pPr>
    </w:p>
    <w:p w14:paraId="3205AFF8" w14:textId="77777777" w:rsidR="0037407E" w:rsidRDefault="0037407E" w:rsidP="0037407E">
      <w:pPr>
        <w:pStyle w:val="a3"/>
        <w:numPr>
          <w:ilvl w:val="0"/>
          <w:numId w:val="15"/>
        </w:numPr>
        <w:ind w:left="660" w:hanging="660"/>
        <w:rPr>
          <w:lang w:val="hu-HU"/>
        </w:rPr>
      </w:pPr>
      <w:r>
        <w:rPr>
          <w:rFonts w:eastAsia="Times New Roman"/>
          <w:lang w:val="hu-HU"/>
        </w:rPr>
        <w:t>alacsony fehérvérsejtszám</w:t>
      </w:r>
    </w:p>
    <w:p w14:paraId="1F3C8F5E" w14:textId="77777777" w:rsidR="0037407E" w:rsidRDefault="0037407E" w:rsidP="0037407E">
      <w:pPr>
        <w:pStyle w:val="a3"/>
        <w:numPr>
          <w:ilvl w:val="0"/>
          <w:numId w:val="15"/>
        </w:numPr>
        <w:ind w:left="660" w:hanging="660"/>
        <w:rPr>
          <w:lang w:val="hu-HU"/>
        </w:rPr>
      </w:pPr>
      <w:r>
        <w:rPr>
          <w:rFonts w:eastAsia="Times New Roman"/>
          <w:lang w:val="hu-HU"/>
        </w:rPr>
        <w:t>alacsony fehérvértestszám</w:t>
      </w:r>
    </w:p>
    <w:p w14:paraId="7154CD8E" w14:textId="77777777" w:rsidR="0037407E" w:rsidRDefault="0037407E" w:rsidP="0037407E">
      <w:pPr>
        <w:pStyle w:val="a3"/>
        <w:numPr>
          <w:ilvl w:val="0"/>
          <w:numId w:val="15"/>
        </w:numPr>
        <w:ind w:left="660" w:hanging="660"/>
        <w:rPr>
          <w:lang w:val="hu-HU"/>
        </w:rPr>
      </w:pPr>
      <w:r>
        <w:rPr>
          <w:rFonts w:eastAsia="Times New Roman"/>
          <w:lang w:val="hu-HU"/>
        </w:rPr>
        <w:t>a vérzsírszint emelkedése</w:t>
      </w:r>
    </w:p>
    <w:p w14:paraId="5D5EBA91" w14:textId="77777777" w:rsidR="0037407E" w:rsidRDefault="0037407E" w:rsidP="0037407E">
      <w:pPr>
        <w:pStyle w:val="a3"/>
        <w:numPr>
          <w:ilvl w:val="0"/>
          <w:numId w:val="15"/>
        </w:numPr>
        <w:ind w:left="660" w:hanging="660"/>
        <w:rPr>
          <w:lang w:val="hu-HU"/>
        </w:rPr>
      </w:pPr>
      <w:r>
        <w:rPr>
          <w:rFonts w:eastAsia="Times New Roman"/>
          <w:lang w:val="hu-HU"/>
        </w:rPr>
        <w:t>emelkedett májenzimszintek</w:t>
      </w:r>
    </w:p>
    <w:p w14:paraId="162841CB" w14:textId="77777777" w:rsidR="0037407E" w:rsidRDefault="0037407E" w:rsidP="0037407E">
      <w:pPr>
        <w:spacing w:before="10" w:line="240" w:lineRule="exact"/>
        <w:rPr>
          <w:sz w:val="24"/>
          <w:szCs w:val="24"/>
          <w:lang w:val="hu-HU"/>
        </w:rPr>
      </w:pPr>
    </w:p>
    <w:p w14:paraId="2170B88D" w14:textId="12512A40" w:rsidR="0037407E" w:rsidRDefault="0037407E" w:rsidP="0037407E">
      <w:pPr>
        <w:pStyle w:val="a3"/>
        <w:rPr>
          <w:lang w:val="hu-HU"/>
        </w:rPr>
      </w:pPr>
      <w:r>
        <w:rPr>
          <w:rFonts w:eastAsia="Times New Roman"/>
          <w:b/>
          <w:bCs/>
          <w:lang w:val="hu-HU"/>
        </w:rPr>
        <w:t xml:space="preserve">Gyakori </w:t>
      </w:r>
      <w:r>
        <w:rPr>
          <w:rFonts w:eastAsia="Times New Roman"/>
          <w:lang w:val="hu-HU"/>
        </w:rPr>
        <w:t xml:space="preserve">(10 beteg közül </w:t>
      </w:r>
      <w:r w:rsidR="005F5974" w:rsidRPr="00D80A01">
        <w:rPr>
          <w:rFonts w:eastAsia="Times New Roman"/>
          <w:lang w:val="hu-HU"/>
        </w:rPr>
        <w:t>legfeljebb</w:t>
      </w:r>
      <w:r w:rsidR="005F5974" w:rsidRPr="00D80A01" w:rsidDel="00D80A01">
        <w:rPr>
          <w:rFonts w:eastAsia="Times New Roman"/>
          <w:lang w:val="hu-HU"/>
        </w:rPr>
        <w:t xml:space="preserve"> </w:t>
      </w:r>
      <w:r>
        <w:rPr>
          <w:rFonts w:eastAsia="Times New Roman"/>
          <w:lang w:val="hu-HU"/>
        </w:rPr>
        <w:t>1-nél kialakuló)</w:t>
      </w:r>
    </w:p>
    <w:p w14:paraId="7C64CEB6" w14:textId="77777777" w:rsidR="0037407E" w:rsidRDefault="0037407E" w:rsidP="0037407E">
      <w:pPr>
        <w:spacing w:before="14" w:line="240" w:lineRule="exact"/>
        <w:rPr>
          <w:sz w:val="24"/>
          <w:szCs w:val="24"/>
          <w:lang w:val="hu-HU"/>
        </w:rPr>
      </w:pPr>
    </w:p>
    <w:p w14:paraId="425B25FC" w14:textId="4ECE8382" w:rsidR="0037407E" w:rsidRDefault="005F5974" w:rsidP="0037407E">
      <w:pPr>
        <w:pStyle w:val="a3"/>
        <w:numPr>
          <w:ilvl w:val="0"/>
          <w:numId w:val="15"/>
        </w:numPr>
        <w:ind w:left="660" w:hanging="660"/>
        <w:rPr>
          <w:lang w:val="hu-HU"/>
        </w:rPr>
      </w:pPr>
      <w:r>
        <w:rPr>
          <w:rFonts w:eastAsia="Times New Roman"/>
          <w:lang w:val="hu-HU"/>
        </w:rPr>
        <w:t xml:space="preserve">magas </w:t>
      </w:r>
      <w:r w:rsidR="0037407E">
        <w:rPr>
          <w:rFonts w:eastAsia="Times New Roman"/>
          <w:lang w:val="hu-HU"/>
        </w:rPr>
        <w:t>fehérvérsejtszám</w:t>
      </w:r>
    </w:p>
    <w:p w14:paraId="3DCD16C7" w14:textId="77777777" w:rsidR="0037407E" w:rsidRDefault="0037407E" w:rsidP="0037407E">
      <w:pPr>
        <w:pStyle w:val="a3"/>
        <w:numPr>
          <w:ilvl w:val="0"/>
          <w:numId w:val="15"/>
        </w:numPr>
        <w:ind w:left="660" w:hanging="660"/>
        <w:rPr>
          <w:lang w:val="hu-HU"/>
        </w:rPr>
      </w:pPr>
      <w:r>
        <w:rPr>
          <w:rFonts w:eastAsia="Times New Roman"/>
          <w:lang w:val="hu-HU"/>
        </w:rPr>
        <w:t>alacsony vérlemezkeszám</w:t>
      </w:r>
    </w:p>
    <w:p w14:paraId="7FEFAF26" w14:textId="77777777" w:rsidR="0037407E" w:rsidRDefault="0037407E" w:rsidP="0037407E">
      <w:pPr>
        <w:pStyle w:val="a3"/>
        <w:numPr>
          <w:ilvl w:val="0"/>
          <w:numId w:val="15"/>
        </w:numPr>
        <w:ind w:left="660" w:hanging="660"/>
        <w:rPr>
          <w:lang w:val="hu-HU"/>
        </w:rPr>
      </w:pPr>
      <w:r w:rsidRPr="00C321A3">
        <w:rPr>
          <w:rFonts w:eastAsia="Times New Roman"/>
          <w:lang w:val="hu-HU"/>
        </w:rPr>
        <w:t>emelkedett</w:t>
      </w:r>
      <w:r>
        <w:rPr>
          <w:rFonts w:eastAsia="Times New Roman"/>
          <w:lang w:val="hu-HU"/>
        </w:rPr>
        <w:t xml:space="preserve"> húgysavszint a vérben</w:t>
      </w:r>
    </w:p>
    <w:p w14:paraId="291F435C" w14:textId="77777777" w:rsidR="0037407E" w:rsidRDefault="0037407E" w:rsidP="0037407E">
      <w:pPr>
        <w:pStyle w:val="a3"/>
        <w:numPr>
          <w:ilvl w:val="0"/>
          <w:numId w:val="15"/>
        </w:numPr>
        <w:ind w:left="660" w:hanging="660"/>
        <w:rPr>
          <w:lang w:val="hu-HU"/>
        </w:rPr>
      </w:pPr>
      <w:r>
        <w:rPr>
          <w:rFonts w:eastAsia="Times New Roman"/>
          <w:lang w:val="hu-HU"/>
        </w:rPr>
        <w:t>kóros nátriumszint a vérben</w:t>
      </w:r>
    </w:p>
    <w:p w14:paraId="2F67F252" w14:textId="77777777" w:rsidR="0037407E" w:rsidRDefault="0037407E" w:rsidP="0037407E">
      <w:pPr>
        <w:pStyle w:val="a3"/>
        <w:numPr>
          <w:ilvl w:val="0"/>
          <w:numId w:val="15"/>
        </w:numPr>
        <w:ind w:left="660" w:hanging="660"/>
        <w:rPr>
          <w:lang w:val="hu-HU"/>
        </w:rPr>
      </w:pPr>
      <w:r>
        <w:rPr>
          <w:rFonts w:eastAsia="Times New Roman"/>
          <w:lang w:val="hu-HU"/>
        </w:rPr>
        <w:t>alacsony kalciumszint a vérben</w:t>
      </w:r>
    </w:p>
    <w:p w14:paraId="41C7FBB8" w14:textId="77777777" w:rsidR="0037407E" w:rsidRDefault="0037407E" w:rsidP="0037407E">
      <w:pPr>
        <w:pStyle w:val="a3"/>
        <w:numPr>
          <w:ilvl w:val="0"/>
          <w:numId w:val="15"/>
        </w:numPr>
        <w:ind w:left="660" w:hanging="660"/>
        <w:rPr>
          <w:lang w:val="hu-HU"/>
        </w:rPr>
      </w:pPr>
      <w:r>
        <w:rPr>
          <w:rFonts w:eastAsia="Times New Roman"/>
          <w:lang w:val="hu-HU"/>
        </w:rPr>
        <w:lastRenderedPageBreak/>
        <w:t>alacsony foszfátszint a vérben</w:t>
      </w:r>
    </w:p>
    <w:p w14:paraId="3010AA12" w14:textId="77777777" w:rsidR="0037407E" w:rsidRDefault="0037407E" w:rsidP="0037407E">
      <w:pPr>
        <w:pStyle w:val="a3"/>
        <w:numPr>
          <w:ilvl w:val="0"/>
          <w:numId w:val="15"/>
        </w:numPr>
        <w:ind w:left="660" w:hanging="660"/>
        <w:rPr>
          <w:lang w:val="hu-HU"/>
        </w:rPr>
      </w:pPr>
      <w:r>
        <w:rPr>
          <w:rFonts w:eastAsia="Times New Roman"/>
          <w:lang w:val="hu-HU"/>
        </w:rPr>
        <w:t>magas vércukorszint</w:t>
      </w:r>
    </w:p>
    <w:p w14:paraId="0A59416B" w14:textId="77777777" w:rsidR="0037407E" w:rsidRDefault="0037407E" w:rsidP="0037407E">
      <w:pPr>
        <w:pStyle w:val="a3"/>
        <w:numPr>
          <w:ilvl w:val="0"/>
          <w:numId w:val="15"/>
        </w:numPr>
        <w:ind w:left="660" w:hanging="660"/>
        <w:rPr>
          <w:lang w:val="hu-HU"/>
        </w:rPr>
      </w:pPr>
      <w:r>
        <w:rPr>
          <w:rFonts w:eastAsia="Times New Roman"/>
          <w:lang w:val="hu-HU"/>
        </w:rPr>
        <w:t>magas laktát-dehidrogenáz-szint a vérben</w:t>
      </w:r>
    </w:p>
    <w:p w14:paraId="1D2F6749" w14:textId="77777777" w:rsidR="0037407E" w:rsidRDefault="0037407E" w:rsidP="0037407E">
      <w:pPr>
        <w:pStyle w:val="a3"/>
        <w:numPr>
          <w:ilvl w:val="0"/>
          <w:numId w:val="15"/>
        </w:numPr>
        <w:ind w:left="660" w:hanging="660"/>
        <w:rPr>
          <w:lang w:val="hu-HU"/>
        </w:rPr>
      </w:pPr>
      <w:r>
        <w:rPr>
          <w:rFonts w:eastAsia="Times New Roman"/>
          <w:lang w:val="hu-HU"/>
        </w:rPr>
        <w:t>autoantitestek megjelenése a vérben</w:t>
      </w:r>
    </w:p>
    <w:p w14:paraId="3E9A24F3" w14:textId="77777777" w:rsidR="0037407E" w:rsidRDefault="0037407E" w:rsidP="0037407E">
      <w:pPr>
        <w:pStyle w:val="a3"/>
        <w:numPr>
          <w:ilvl w:val="0"/>
          <w:numId w:val="15"/>
        </w:numPr>
        <w:ind w:left="660" w:hanging="660"/>
        <w:rPr>
          <w:lang w:val="hu-HU"/>
        </w:rPr>
      </w:pPr>
      <w:r>
        <w:rPr>
          <w:rFonts w:eastAsia="Times New Roman"/>
          <w:lang w:val="hu-HU"/>
        </w:rPr>
        <w:t>alacsony káliumszint a vérben</w:t>
      </w:r>
    </w:p>
    <w:p w14:paraId="3A88586B" w14:textId="77777777" w:rsidR="0037407E" w:rsidRDefault="0037407E" w:rsidP="0037407E">
      <w:pPr>
        <w:spacing w:before="13" w:line="240" w:lineRule="exact"/>
        <w:rPr>
          <w:sz w:val="24"/>
          <w:szCs w:val="24"/>
          <w:lang w:val="hu-HU"/>
        </w:rPr>
      </w:pPr>
    </w:p>
    <w:p w14:paraId="1BB4C80E" w14:textId="77777777" w:rsidR="0037407E" w:rsidRDefault="0037407E" w:rsidP="0037407E">
      <w:pPr>
        <w:pStyle w:val="a3"/>
        <w:rPr>
          <w:lang w:val="hu-HU"/>
        </w:rPr>
      </w:pPr>
      <w:r>
        <w:rPr>
          <w:rFonts w:eastAsia="Times New Roman"/>
          <w:b/>
          <w:bCs/>
          <w:lang w:val="hu-HU"/>
        </w:rPr>
        <w:t xml:space="preserve">Nem gyakori </w:t>
      </w:r>
      <w:r>
        <w:rPr>
          <w:rFonts w:eastAsia="Times New Roman"/>
          <w:lang w:val="hu-HU"/>
        </w:rPr>
        <w:t>(100 beteg közül legfeljebb 1-nél kialakuló)</w:t>
      </w:r>
    </w:p>
    <w:p w14:paraId="016B89FF" w14:textId="77777777" w:rsidR="0037407E" w:rsidRDefault="0037407E" w:rsidP="0037407E">
      <w:pPr>
        <w:spacing w:before="12" w:line="240" w:lineRule="exact"/>
        <w:rPr>
          <w:sz w:val="24"/>
          <w:szCs w:val="24"/>
          <w:lang w:val="hu-HU"/>
        </w:rPr>
      </w:pPr>
    </w:p>
    <w:p w14:paraId="1599A500" w14:textId="77777777" w:rsidR="0037407E" w:rsidRDefault="0037407E" w:rsidP="0037407E">
      <w:pPr>
        <w:pStyle w:val="a3"/>
        <w:numPr>
          <w:ilvl w:val="0"/>
          <w:numId w:val="15"/>
        </w:numPr>
        <w:ind w:left="660" w:hanging="660"/>
        <w:rPr>
          <w:lang w:val="hu-HU"/>
        </w:rPr>
      </w:pPr>
      <w:r>
        <w:rPr>
          <w:rFonts w:eastAsia="Times New Roman"/>
          <w:lang w:val="hu-HU"/>
        </w:rPr>
        <w:t>emelkedett bilirubinszint (májfunkciós vizsgálati eredmény)</w:t>
      </w:r>
    </w:p>
    <w:p w14:paraId="425BAEAB" w14:textId="77777777" w:rsidR="0037407E" w:rsidRDefault="0037407E" w:rsidP="0037407E">
      <w:pPr>
        <w:spacing w:before="13" w:line="240" w:lineRule="exact"/>
        <w:rPr>
          <w:sz w:val="24"/>
          <w:szCs w:val="24"/>
          <w:lang w:val="hu-HU"/>
        </w:rPr>
      </w:pPr>
    </w:p>
    <w:p w14:paraId="5248A7E8" w14:textId="4081FBDC" w:rsidR="0037407E" w:rsidRDefault="0037407E" w:rsidP="0037407E">
      <w:pPr>
        <w:pStyle w:val="a3"/>
        <w:rPr>
          <w:lang w:val="hu-HU"/>
        </w:rPr>
      </w:pPr>
      <w:r>
        <w:rPr>
          <w:rFonts w:eastAsia="Times New Roman"/>
          <w:b/>
          <w:bCs/>
          <w:lang w:val="hu-HU"/>
        </w:rPr>
        <w:t xml:space="preserve">Ritka </w:t>
      </w:r>
      <w:r>
        <w:rPr>
          <w:rFonts w:eastAsia="Times New Roman"/>
          <w:lang w:val="hu-HU"/>
        </w:rPr>
        <w:t>(1000 beteg közül legfeljebb 1-nél kialakuló)</w:t>
      </w:r>
    </w:p>
    <w:p w14:paraId="485E3FE7" w14:textId="77777777" w:rsidR="0037407E" w:rsidRDefault="0037407E" w:rsidP="0037407E">
      <w:pPr>
        <w:spacing w:before="14" w:line="240" w:lineRule="exact"/>
        <w:rPr>
          <w:sz w:val="24"/>
          <w:szCs w:val="24"/>
          <w:lang w:val="hu-HU"/>
        </w:rPr>
      </w:pPr>
    </w:p>
    <w:p w14:paraId="62C66BD7" w14:textId="77777777" w:rsidR="0037407E" w:rsidRDefault="0037407E" w:rsidP="0037407E">
      <w:pPr>
        <w:pStyle w:val="a3"/>
        <w:numPr>
          <w:ilvl w:val="0"/>
          <w:numId w:val="15"/>
        </w:numPr>
        <w:ind w:left="660" w:hanging="660"/>
        <w:rPr>
          <w:lang w:val="hu-HU"/>
        </w:rPr>
      </w:pPr>
      <w:r>
        <w:rPr>
          <w:rFonts w:eastAsia="Times New Roman"/>
          <w:lang w:val="hu-HU"/>
        </w:rPr>
        <w:t>alacsony fehérvérsejtszám, vörösvértestszám és vérlemezkeszám</w:t>
      </w:r>
    </w:p>
    <w:p w14:paraId="7123F8A9" w14:textId="77777777" w:rsidR="0037407E" w:rsidRDefault="0037407E" w:rsidP="0037407E">
      <w:pPr>
        <w:spacing w:before="15" w:line="240" w:lineRule="exact"/>
        <w:rPr>
          <w:sz w:val="24"/>
          <w:szCs w:val="24"/>
          <w:lang w:val="hu-HU"/>
        </w:rPr>
      </w:pPr>
    </w:p>
    <w:p w14:paraId="0C075845" w14:textId="77777777" w:rsidR="0037407E" w:rsidRDefault="0037407E" w:rsidP="0037407E">
      <w:pPr>
        <w:pStyle w:val="a3"/>
        <w:rPr>
          <w:b/>
          <w:lang w:val="hu-HU"/>
        </w:rPr>
      </w:pPr>
      <w:r>
        <w:rPr>
          <w:rFonts w:eastAsia="Times New Roman"/>
          <w:b/>
          <w:bCs/>
          <w:lang w:val="hu-HU"/>
        </w:rPr>
        <w:t>Mellékhatások bejelentése</w:t>
      </w:r>
    </w:p>
    <w:p w14:paraId="10D1FFB3" w14:textId="77777777" w:rsidR="0037407E" w:rsidRDefault="0037407E" w:rsidP="0037407E">
      <w:pPr>
        <w:pStyle w:val="a3"/>
        <w:rPr>
          <w:sz w:val="10"/>
          <w:szCs w:val="10"/>
          <w:lang w:val="hu-HU"/>
        </w:rPr>
      </w:pPr>
    </w:p>
    <w:p w14:paraId="634B2515" w14:textId="77777777" w:rsidR="0037407E" w:rsidRDefault="0037407E" w:rsidP="0037407E">
      <w:pPr>
        <w:pStyle w:val="a3"/>
        <w:rPr>
          <w:lang w:val="hu-HU"/>
        </w:rPr>
      </w:pPr>
      <w:r>
        <w:rPr>
          <w:rFonts w:eastAsia="Times New Roman"/>
          <w:lang w:val="hu-HU"/>
        </w:rPr>
        <w:t xml:space="preserve">Ha Önnél bármilyen mellékhatás jelentkezik, tájékoztassa kezelőorvosát, vagy gyógyszerészét. Ez a betegtájékoztatóban fel nem sorolt bármilyen lehetséges mellékhatásra is vonatkozik. A mellékhatásokat közvetlenül a hatóság részére is bejelentheti </w:t>
      </w:r>
      <w:r w:rsidRPr="000405CC">
        <w:rPr>
          <w:rFonts w:eastAsia="Times New Roman"/>
          <w:highlight w:val="lightGray"/>
          <w:lang w:val="hu-HU"/>
        </w:rPr>
        <w:t xml:space="preserve">az </w:t>
      </w:r>
      <w:hyperlink r:id="rId136" w:history="1">
        <w:r w:rsidRPr="000405CC">
          <w:rPr>
            <w:rFonts w:eastAsia="Times New Roman"/>
            <w:color w:val="0000FF"/>
            <w:highlight w:val="lightGray"/>
            <w:u w:val="single"/>
            <w:lang w:val="hu-HU"/>
          </w:rPr>
          <w:t>V. függelékben</w:t>
        </w:r>
      </w:hyperlink>
      <w:r w:rsidRPr="000405CC">
        <w:rPr>
          <w:rFonts w:eastAsia="Times New Roman"/>
          <w:highlight w:val="lightGray"/>
          <w:lang w:val="hu-HU"/>
        </w:rPr>
        <w:t xml:space="preserve"> található elérhetőségeken keresztül</w:t>
      </w:r>
      <w:r>
        <w:rPr>
          <w:rFonts w:eastAsia="Times New Roman"/>
          <w:lang w:val="hu-HU"/>
        </w:rPr>
        <w:t>. A mellékhatások bejelentésével Ön is hozzájárulhat ahhoz, hogy minél több információ álljon rendelkezésre a gyógyszer biztonságos alkalmazásával kapcsolatban.</w:t>
      </w:r>
    </w:p>
    <w:p w14:paraId="54DA732A" w14:textId="77777777" w:rsidR="0037407E" w:rsidRDefault="0037407E" w:rsidP="0037407E">
      <w:pPr>
        <w:spacing w:line="200" w:lineRule="exact"/>
        <w:rPr>
          <w:sz w:val="20"/>
          <w:szCs w:val="20"/>
          <w:lang w:val="hu-HU"/>
        </w:rPr>
      </w:pPr>
    </w:p>
    <w:p w14:paraId="5B80F89C" w14:textId="77777777" w:rsidR="0037407E" w:rsidRPr="00BE0A8F" w:rsidRDefault="0037407E" w:rsidP="00FD05AA">
      <w:pPr>
        <w:pStyle w:val="a4"/>
        <w:numPr>
          <w:ilvl w:val="0"/>
          <w:numId w:val="66"/>
        </w:numPr>
        <w:spacing w:line="240" w:lineRule="exact"/>
        <w:ind w:left="357" w:hanging="357"/>
        <w:rPr>
          <w:rFonts w:ascii="Times New Roman" w:eastAsia="Times New Roman" w:hAnsi="Times New Roman" w:cs="Times New Roman"/>
          <w:b/>
          <w:noProof/>
          <w:lang w:val="hu-HU"/>
        </w:rPr>
      </w:pPr>
      <w:r w:rsidRPr="00BE0A8F">
        <w:rPr>
          <w:rFonts w:ascii="Times New Roman" w:eastAsia="Times New Roman" w:hAnsi="Times New Roman" w:cs="Times New Roman"/>
          <w:b/>
          <w:bCs/>
          <w:noProof/>
          <w:lang w:val="hu-HU"/>
        </w:rPr>
        <w:t xml:space="preserve">Hogyan kell a Yuflymá-t </w:t>
      </w:r>
      <w:r w:rsidRPr="001E2F31">
        <w:rPr>
          <w:rFonts w:ascii="Times New Roman" w:eastAsia="Times New Roman" w:hAnsi="Times New Roman" w:cs="Times New Roman"/>
          <w:b/>
          <w:noProof/>
          <w:lang w:val="hu-HU"/>
        </w:rPr>
        <w:t>tárolni?</w:t>
      </w:r>
    </w:p>
    <w:p w14:paraId="7DCE5727" w14:textId="77777777" w:rsidR="0037407E" w:rsidRDefault="0037407E" w:rsidP="0037407E">
      <w:pPr>
        <w:pStyle w:val="a3"/>
        <w:rPr>
          <w:lang w:val="hu-HU"/>
        </w:rPr>
      </w:pPr>
    </w:p>
    <w:p w14:paraId="6FF2753E" w14:textId="77777777" w:rsidR="0037407E" w:rsidRDefault="0037407E" w:rsidP="0037407E">
      <w:pPr>
        <w:pStyle w:val="a3"/>
        <w:rPr>
          <w:lang w:val="hu-HU"/>
        </w:rPr>
      </w:pPr>
      <w:r>
        <w:rPr>
          <w:rFonts w:eastAsia="Times New Roman"/>
          <w:lang w:val="hu-HU"/>
        </w:rPr>
        <w:t>A gyógyszer gyermekektől elzárva tartandó.</w:t>
      </w:r>
    </w:p>
    <w:p w14:paraId="4388B1F3" w14:textId="77777777" w:rsidR="0037407E" w:rsidRDefault="0037407E" w:rsidP="0037407E">
      <w:pPr>
        <w:pStyle w:val="a3"/>
        <w:rPr>
          <w:lang w:val="hu-HU"/>
        </w:rPr>
      </w:pPr>
    </w:p>
    <w:p w14:paraId="6E1F9CCD" w14:textId="77777777" w:rsidR="0037407E" w:rsidRDefault="0037407E" w:rsidP="0037407E">
      <w:pPr>
        <w:pStyle w:val="a3"/>
        <w:rPr>
          <w:lang w:val="hu-HU"/>
        </w:rPr>
      </w:pPr>
      <w:r>
        <w:rPr>
          <w:rFonts w:eastAsia="Times New Roman"/>
          <w:lang w:val="hu-HU"/>
        </w:rPr>
        <w:t>A címkén és a dobozon feltüntetett lejárati idő után (EXP) ne alkalmazza ezt a gyógyszert.</w:t>
      </w:r>
    </w:p>
    <w:p w14:paraId="4DCF6965" w14:textId="77777777" w:rsidR="0037407E" w:rsidRDefault="0037407E" w:rsidP="0037407E">
      <w:pPr>
        <w:pStyle w:val="a3"/>
        <w:rPr>
          <w:lang w:val="hu-HU"/>
        </w:rPr>
      </w:pPr>
    </w:p>
    <w:p w14:paraId="290B2A86" w14:textId="2E2FE1CF" w:rsidR="0037407E" w:rsidRDefault="0037407E" w:rsidP="0037407E">
      <w:pPr>
        <w:pStyle w:val="a3"/>
        <w:rPr>
          <w:lang w:val="hu-HU"/>
        </w:rPr>
      </w:pPr>
      <w:r>
        <w:rPr>
          <w:rFonts w:eastAsia="Times New Roman"/>
          <w:lang w:val="hu-HU"/>
        </w:rPr>
        <w:t>Hűtőszekrényben tárolandó (2</w:t>
      </w:r>
      <w:r w:rsidR="005F5974" w:rsidRPr="00944B5B">
        <w:rPr>
          <w:lang w:val="hu-HU"/>
        </w:rPr>
        <w:t xml:space="preserve"> </w:t>
      </w:r>
      <w:r w:rsidR="005F5974" w:rsidRPr="00EB3E52">
        <w:rPr>
          <w:rFonts w:eastAsia="Times New Roman" w:hint="eastAsia"/>
          <w:lang w:val="hu-HU"/>
        </w:rPr>
        <w:t>°</w:t>
      </w:r>
      <w:r>
        <w:rPr>
          <w:rFonts w:eastAsia="Times New Roman"/>
          <w:lang w:val="hu-HU"/>
        </w:rPr>
        <w:t>C – 8</w:t>
      </w:r>
      <w:r w:rsidR="005F5974" w:rsidRPr="00944B5B">
        <w:rPr>
          <w:lang w:val="hu-HU"/>
        </w:rPr>
        <w:t xml:space="preserve"> </w:t>
      </w:r>
      <w:r w:rsidR="005F5974" w:rsidRPr="00EB3E52">
        <w:rPr>
          <w:rFonts w:eastAsia="Times New Roman" w:hint="eastAsia"/>
          <w:lang w:val="hu-HU"/>
        </w:rPr>
        <w:t>°</w:t>
      </w:r>
      <w:r>
        <w:rPr>
          <w:rFonts w:eastAsia="Times New Roman"/>
          <w:lang w:val="hu-HU"/>
        </w:rPr>
        <w:t>C). Nem fagyasztható!</w:t>
      </w:r>
    </w:p>
    <w:p w14:paraId="2C6B208F" w14:textId="77777777" w:rsidR="0037407E" w:rsidRDefault="0037407E" w:rsidP="0037407E">
      <w:pPr>
        <w:pStyle w:val="a3"/>
        <w:rPr>
          <w:lang w:val="hu-HU"/>
        </w:rPr>
      </w:pPr>
    </w:p>
    <w:p w14:paraId="24CCEB89" w14:textId="77777777" w:rsidR="0037407E" w:rsidRDefault="0037407E" w:rsidP="0037407E">
      <w:pPr>
        <w:pStyle w:val="a3"/>
        <w:rPr>
          <w:lang w:val="hu-HU"/>
        </w:rPr>
      </w:pPr>
      <w:r>
        <w:rPr>
          <w:rFonts w:eastAsia="Times New Roman"/>
          <w:lang w:val="hu-HU"/>
        </w:rPr>
        <w:t>A fénytől való védelem érdekében az előretöltött injekciós toll eredeti dobozban tárolandó.</w:t>
      </w:r>
    </w:p>
    <w:p w14:paraId="6474BB96" w14:textId="77777777" w:rsidR="0037407E" w:rsidRDefault="0037407E" w:rsidP="0037407E">
      <w:pPr>
        <w:spacing w:before="13" w:line="240" w:lineRule="exact"/>
        <w:rPr>
          <w:sz w:val="24"/>
          <w:szCs w:val="24"/>
          <w:lang w:val="hu-HU"/>
        </w:rPr>
      </w:pPr>
    </w:p>
    <w:p w14:paraId="6D4D5B02" w14:textId="77777777" w:rsidR="0037407E" w:rsidRDefault="0037407E" w:rsidP="0037407E">
      <w:pPr>
        <w:pStyle w:val="a3"/>
        <w:rPr>
          <w:lang w:val="hu-HU"/>
        </w:rPr>
      </w:pPr>
      <w:r>
        <w:rPr>
          <w:rFonts w:eastAsia="Times New Roman"/>
          <w:lang w:val="hu-HU"/>
        </w:rPr>
        <w:t>További tárolási lehetőség:</w:t>
      </w:r>
    </w:p>
    <w:p w14:paraId="4BA93CAF" w14:textId="77777777" w:rsidR="0037407E" w:rsidRDefault="0037407E" w:rsidP="0037407E">
      <w:pPr>
        <w:spacing w:before="14" w:line="240" w:lineRule="exact"/>
        <w:rPr>
          <w:sz w:val="24"/>
          <w:szCs w:val="24"/>
          <w:lang w:val="hu-HU"/>
        </w:rPr>
      </w:pPr>
    </w:p>
    <w:p w14:paraId="3689E136" w14:textId="6397FD26" w:rsidR="0037407E" w:rsidRDefault="0037407E" w:rsidP="0037407E">
      <w:pPr>
        <w:pStyle w:val="a3"/>
        <w:rPr>
          <w:lang w:val="hu-HU"/>
        </w:rPr>
      </w:pPr>
      <w:r>
        <w:rPr>
          <w:rFonts w:eastAsia="Times New Roman"/>
          <w:lang w:val="hu-HU"/>
        </w:rPr>
        <w:t xml:space="preserve">Amennyiben szükséges (például utazás alatt), </w:t>
      </w:r>
      <w:r w:rsidR="005F5974">
        <w:rPr>
          <w:rFonts w:eastAsia="Times New Roman"/>
          <w:lang w:val="hu-HU"/>
        </w:rPr>
        <w:t>a</w:t>
      </w:r>
      <w:r>
        <w:rPr>
          <w:rFonts w:eastAsia="Times New Roman"/>
          <w:lang w:val="hu-HU"/>
        </w:rPr>
        <w:t xml:space="preserve"> Yuflyma előretöltött injekciós toll szobahőmérsékleten (legfeljebb 25 °C-on) maximum </w:t>
      </w:r>
      <w:r w:rsidR="005F473D">
        <w:rPr>
          <w:rFonts w:eastAsia="Times New Roman"/>
          <w:lang w:val="hu-HU"/>
        </w:rPr>
        <w:t xml:space="preserve">31 </w:t>
      </w:r>
      <w:r>
        <w:rPr>
          <w:rFonts w:eastAsia="Times New Roman"/>
          <w:lang w:val="hu-HU"/>
        </w:rPr>
        <w:t>napig tárolható. A fénytől való védelmet biztosítani kell. Miután kivette a hűtőszekrényből a szobahőmérsékletű tároláshoz, az injekciós tollat</w:t>
      </w:r>
      <w:r>
        <w:rPr>
          <w:rFonts w:eastAsia="Times New Roman"/>
          <w:b/>
          <w:bCs/>
          <w:lang w:val="hu-HU"/>
        </w:rPr>
        <w:t xml:space="preserve"> </w:t>
      </w:r>
      <w:r w:rsidR="005F473D">
        <w:rPr>
          <w:rFonts w:eastAsia="Times New Roman"/>
          <w:b/>
          <w:bCs/>
          <w:lang w:val="hu-HU"/>
        </w:rPr>
        <w:t xml:space="preserve">31 </w:t>
      </w:r>
      <w:r>
        <w:rPr>
          <w:rFonts w:eastAsia="Times New Roman"/>
          <w:b/>
          <w:bCs/>
          <w:lang w:val="hu-HU"/>
        </w:rPr>
        <w:t>napon belül fel kell használni, vagy meg kell semmisíteni</w:t>
      </w:r>
      <w:r>
        <w:rPr>
          <w:rFonts w:eastAsia="Times New Roman"/>
          <w:lang w:val="hu-HU"/>
        </w:rPr>
        <w:t>, még akkor is, ha visszatette a hűtőszekrénybe.</w:t>
      </w:r>
    </w:p>
    <w:p w14:paraId="6291B413" w14:textId="77777777" w:rsidR="0037407E" w:rsidRDefault="0037407E" w:rsidP="0037407E">
      <w:pPr>
        <w:spacing w:before="17" w:line="240" w:lineRule="exact"/>
        <w:rPr>
          <w:sz w:val="24"/>
          <w:szCs w:val="24"/>
          <w:lang w:val="hu-HU"/>
        </w:rPr>
      </w:pPr>
    </w:p>
    <w:p w14:paraId="0AB6267B" w14:textId="77777777" w:rsidR="0037407E" w:rsidRDefault="0037407E" w:rsidP="0037407E">
      <w:pPr>
        <w:pStyle w:val="a3"/>
        <w:rPr>
          <w:lang w:val="hu-HU"/>
        </w:rPr>
      </w:pPr>
      <w:r>
        <w:rPr>
          <w:rFonts w:eastAsia="Times New Roman"/>
          <w:lang w:val="hu-HU"/>
        </w:rPr>
        <w:t>Jegyezze fel, hogy mikor vette ki először az injekciós tollat a hűtőszekrényből, és azt a dátumot is, ami után azt meg kell semmisíteni</w:t>
      </w:r>
    </w:p>
    <w:p w14:paraId="08EEED8A" w14:textId="77777777" w:rsidR="0037407E" w:rsidRDefault="0037407E" w:rsidP="0037407E">
      <w:pPr>
        <w:spacing w:before="14" w:line="240" w:lineRule="exact"/>
        <w:rPr>
          <w:sz w:val="24"/>
          <w:szCs w:val="24"/>
          <w:lang w:val="hu-HU"/>
        </w:rPr>
      </w:pPr>
    </w:p>
    <w:p w14:paraId="511B8B18" w14:textId="77777777" w:rsidR="0037407E" w:rsidRDefault="0037407E" w:rsidP="0037407E">
      <w:pPr>
        <w:pStyle w:val="a3"/>
        <w:rPr>
          <w:lang w:val="hu-HU"/>
        </w:rPr>
      </w:pPr>
      <w:r>
        <w:rPr>
          <w:rFonts w:eastAsia="Times New Roman"/>
          <w:lang w:val="hu-HU"/>
        </w:rPr>
        <w:t>Semmilyen gyógyszert ne dobjon a szennyvízbe vagy a háztartási hulladékba. Kérdezze meg gyógyszerészét, hogy mit tegyen a már nem használt gyógyszereivel. Ezek az intézkedések elősegítik a környezet védelmét.</w:t>
      </w:r>
    </w:p>
    <w:p w14:paraId="28B3E7E5" w14:textId="77777777" w:rsidR="0037407E" w:rsidRDefault="0037407E" w:rsidP="0037407E">
      <w:pPr>
        <w:spacing w:before="7" w:line="100" w:lineRule="exact"/>
        <w:rPr>
          <w:sz w:val="10"/>
          <w:szCs w:val="10"/>
          <w:lang w:val="hu-HU"/>
        </w:rPr>
      </w:pPr>
    </w:p>
    <w:p w14:paraId="18D3FD4F" w14:textId="77777777" w:rsidR="0037407E" w:rsidRDefault="0037407E" w:rsidP="0037407E">
      <w:pPr>
        <w:spacing w:line="200" w:lineRule="exact"/>
        <w:rPr>
          <w:sz w:val="20"/>
          <w:szCs w:val="20"/>
          <w:lang w:val="hu-HU"/>
        </w:rPr>
      </w:pPr>
    </w:p>
    <w:p w14:paraId="17A96D42" w14:textId="77777777" w:rsidR="0037407E" w:rsidRDefault="0037407E" w:rsidP="0037407E">
      <w:pPr>
        <w:spacing w:line="200" w:lineRule="exact"/>
        <w:rPr>
          <w:sz w:val="20"/>
          <w:szCs w:val="20"/>
          <w:lang w:val="hu-HU"/>
        </w:rPr>
      </w:pPr>
    </w:p>
    <w:p w14:paraId="59D1413C" w14:textId="77777777" w:rsidR="0037407E" w:rsidRDefault="0037407E" w:rsidP="00FD05AA">
      <w:pPr>
        <w:pStyle w:val="a4"/>
        <w:numPr>
          <w:ilvl w:val="0"/>
          <w:numId w:val="66"/>
        </w:numPr>
        <w:spacing w:line="240" w:lineRule="exact"/>
        <w:ind w:left="357" w:hanging="357"/>
        <w:rPr>
          <w:rFonts w:ascii="Times New Roman" w:eastAsia="Times New Roman" w:hAnsi="Times New Roman" w:cs="Times New Roman"/>
          <w:b/>
          <w:noProof/>
          <w:lang w:val="hu-HU"/>
        </w:rPr>
      </w:pPr>
      <w:r>
        <w:rPr>
          <w:rFonts w:ascii="Times New Roman" w:eastAsia="Times New Roman" w:hAnsi="Times New Roman" w:cs="Times New Roman"/>
          <w:b/>
          <w:bCs/>
          <w:noProof/>
          <w:lang w:val="hu-HU"/>
        </w:rPr>
        <w:t>A csomagolás tartalma és egyéb információk</w:t>
      </w:r>
    </w:p>
    <w:p w14:paraId="4BC086D8" w14:textId="77777777" w:rsidR="0037407E" w:rsidRDefault="0037407E" w:rsidP="0037407E">
      <w:pPr>
        <w:widowControl/>
        <w:tabs>
          <w:tab w:val="left" w:pos="567"/>
        </w:tabs>
        <w:spacing w:line="260" w:lineRule="exact"/>
        <w:ind w:left="360"/>
        <w:rPr>
          <w:rFonts w:ascii="Times New Roman" w:eastAsia="Times New Roman" w:hAnsi="Times New Roman" w:cs="Times New Roman"/>
          <w:b/>
          <w:noProof/>
          <w:lang w:val="hu-HU"/>
        </w:rPr>
      </w:pPr>
    </w:p>
    <w:p w14:paraId="3401E376" w14:textId="77777777" w:rsidR="0037407E" w:rsidRDefault="0037407E" w:rsidP="0037407E">
      <w:pPr>
        <w:pStyle w:val="a3"/>
        <w:rPr>
          <w:b/>
          <w:lang w:val="hu-HU"/>
        </w:rPr>
      </w:pPr>
      <w:r>
        <w:rPr>
          <w:rFonts w:eastAsia="Times New Roman"/>
          <w:b/>
          <w:bCs/>
          <w:lang w:val="hu-HU"/>
        </w:rPr>
        <w:t>Mit tartalmaz a Yuflyma?</w:t>
      </w:r>
    </w:p>
    <w:p w14:paraId="477FFB49" w14:textId="77777777" w:rsidR="0037407E" w:rsidRDefault="0037407E" w:rsidP="0037407E">
      <w:pPr>
        <w:pStyle w:val="a3"/>
        <w:rPr>
          <w:b/>
          <w:bCs/>
          <w:lang w:val="hu-HU"/>
        </w:rPr>
      </w:pPr>
    </w:p>
    <w:p w14:paraId="13D7FC0F" w14:textId="462A54F0" w:rsidR="0037407E" w:rsidRDefault="0037407E" w:rsidP="0037407E">
      <w:pPr>
        <w:pStyle w:val="a3"/>
        <w:rPr>
          <w:lang w:val="hu-HU"/>
        </w:rPr>
      </w:pPr>
      <w:r>
        <w:rPr>
          <w:rFonts w:eastAsia="Times New Roman"/>
          <w:lang w:val="hu-HU"/>
        </w:rPr>
        <w:t>A készítmény hatóanyaga</w:t>
      </w:r>
      <w:r w:rsidR="005F5974">
        <w:rPr>
          <w:rFonts w:eastAsia="Times New Roman"/>
          <w:lang w:val="hu-HU"/>
        </w:rPr>
        <w:t>:</w:t>
      </w:r>
      <w:r>
        <w:rPr>
          <w:rFonts w:eastAsia="Times New Roman"/>
          <w:lang w:val="hu-HU"/>
        </w:rPr>
        <w:t xml:space="preserve"> adalimumab.</w:t>
      </w:r>
    </w:p>
    <w:p w14:paraId="5FED8B70" w14:textId="77777777" w:rsidR="0037407E" w:rsidRDefault="0037407E" w:rsidP="0037407E">
      <w:pPr>
        <w:pStyle w:val="a3"/>
        <w:rPr>
          <w:lang w:val="hu-HU"/>
        </w:rPr>
      </w:pPr>
      <w:r>
        <w:rPr>
          <w:rFonts w:eastAsia="Times New Roman"/>
          <w:lang w:val="hu-HU"/>
        </w:rPr>
        <w:t>Egyéb összetevők: ecetsav, nátrium-acetát-trihidrát, glicin, poliszorbát 80 és  injekcióhoz való víz.</w:t>
      </w:r>
    </w:p>
    <w:p w14:paraId="370B262C" w14:textId="77777777" w:rsidR="0037407E" w:rsidRDefault="0037407E" w:rsidP="0037407E">
      <w:pPr>
        <w:pStyle w:val="a3"/>
        <w:rPr>
          <w:lang w:val="hu-HU"/>
        </w:rPr>
      </w:pPr>
    </w:p>
    <w:p w14:paraId="41C441B2" w14:textId="77777777" w:rsidR="0037407E" w:rsidRDefault="0037407E" w:rsidP="0037407E">
      <w:pPr>
        <w:pStyle w:val="a3"/>
        <w:rPr>
          <w:b/>
          <w:bCs/>
          <w:lang w:val="hu-HU"/>
        </w:rPr>
      </w:pPr>
      <w:r>
        <w:rPr>
          <w:rFonts w:eastAsia="Times New Roman"/>
          <w:b/>
          <w:bCs/>
          <w:lang w:val="hu-HU"/>
        </w:rPr>
        <w:t>Milyen a Yuflyma előretöltött injekciós toll külleme és mit tartalmaz a csomagolás?</w:t>
      </w:r>
    </w:p>
    <w:p w14:paraId="21193018" w14:textId="77777777" w:rsidR="0037407E" w:rsidRDefault="0037407E" w:rsidP="0037407E">
      <w:pPr>
        <w:spacing w:before="12" w:line="240" w:lineRule="exact"/>
        <w:rPr>
          <w:sz w:val="24"/>
          <w:szCs w:val="24"/>
          <w:lang w:val="hu-HU"/>
        </w:rPr>
      </w:pPr>
    </w:p>
    <w:p w14:paraId="5E56C7CF" w14:textId="58D77C5C" w:rsidR="0037407E" w:rsidRDefault="0037407E" w:rsidP="0037407E">
      <w:pPr>
        <w:pStyle w:val="a3"/>
        <w:rPr>
          <w:lang w:val="hu-HU"/>
        </w:rPr>
      </w:pPr>
      <w:r>
        <w:rPr>
          <w:rFonts w:eastAsia="Times New Roman"/>
          <w:lang w:val="hu-HU"/>
        </w:rPr>
        <w:t xml:space="preserve">A </w:t>
      </w:r>
      <w:r w:rsidR="002D4997">
        <w:rPr>
          <w:rFonts w:eastAsia="Times New Roman"/>
          <w:lang w:val="hu-HU"/>
        </w:rPr>
        <w:t>8</w:t>
      </w:r>
      <w:r>
        <w:rPr>
          <w:rFonts w:eastAsia="Times New Roman"/>
          <w:lang w:val="hu-HU"/>
        </w:rPr>
        <w:t xml:space="preserve">0 mg-os Yuflyma oldatos injekció előretöltött injekciós tollban </w:t>
      </w:r>
      <w:r w:rsidR="002D4997">
        <w:rPr>
          <w:rFonts w:eastAsia="Times New Roman"/>
          <w:lang w:val="hu-HU"/>
        </w:rPr>
        <w:t>8</w:t>
      </w:r>
      <w:r>
        <w:rPr>
          <w:rFonts w:eastAsia="Times New Roman"/>
          <w:lang w:val="hu-HU"/>
        </w:rPr>
        <w:t>0 mg adalimumabot tartalmazó 0,</w:t>
      </w:r>
      <w:r w:rsidR="002D4997">
        <w:rPr>
          <w:rFonts w:eastAsia="Times New Roman"/>
          <w:lang w:val="hu-HU"/>
        </w:rPr>
        <w:t>8</w:t>
      </w:r>
      <w:r>
        <w:rPr>
          <w:rFonts w:eastAsia="Times New Roman"/>
          <w:lang w:val="hu-HU"/>
        </w:rPr>
        <w:t xml:space="preserve"> ml  steril oldat formájában kerül forgalomba.</w:t>
      </w:r>
    </w:p>
    <w:p w14:paraId="423C27CA" w14:textId="77777777" w:rsidR="0037407E" w:rsidRDefault="0037407E" w:rsidP="0037407E">
      <w:pPr>
        <w:spacing w:before="11" w:line="240" w:lineRule="exact"/>
        <w:rPr>
          <w:sz w:val="24"/>
          <w:szCs w:val="24"/>
          <w:lang w:val="hu-HU"/>
        </w:rPr>
      </w:pPr>
    </w:p>
    <w:p w14:paraId="18CF5730" w14:textId="5DCAC24B" w:rsidR="0037407E" w:rsidRDefault="0037407E" w:rsidP="0037407E">
      <w:pPr>
        <w:pStyle w:val="a3"/>
        <w:rPr>
          <w:lang w:val="hu-HU"/>
        </w:rPr>
      </w:pPr>
      <w:r>
        <w:rPr>
          <w:rFonts w:eastAsia="Times New Roman"/>
          <w:lang w:val="hu-HU"/>
        </w:rPr>
        <w:t>A Yuflyma előretöltött injekciós toll egyszer használatos, tűalapú injekciós rendszer, amely automatizált funkciókkal rendelkezik. Azinjekciós toll mindkét oldalán elhelyezett ablakon keresztül látható a Yuflyma oldat a toll belsejében.</w:t>
      </w:r>
    </w:p>
    <w:p w14:paraId="65508801" w14:textId="77777777" w:rsidR="0037407E" w:rsidRDefault="0037407E" w:rsidP="0037407E">
      <w:pPr>
        <w:spacing w:before="13" w:line="240" w:lineRule="exact"/>
        <w:rPr>
          <w:sz w:val="24"/>
          <w:szCs w:val="24"/>
          <w:lang w:val="hu-HU"/>
        </w:rPr>
      </w:pPr>
    </w:p>
    <w:p w14:paraId="6962BD81" w14:textId="77777777" w:rsidR="002D4997" w:rsidRPr="002D4997" w:rsidRDefault="002D4997" w:rsidP="002D4997">
      <w:pPr>
        <w:spacing w:before="11" w:line="240" w:lineRule="exact"/>
        <w:rPr>
          <w:rFonts w:ascii="Times New Roman" w:eastAsia="Times New Roman" w:hAnsi="Times New Roman" w:cs="Times New Roman"/>
          <w:lang w:val="hu-HU"/>
        </w:rPr>
      </w:pPr>
      <w:r w:rsidRPr="002D4997">
        <w:rPr>
          <w:rFonts w:ascii="Times New Roman" w:eastAsia="Times New Roman" w:hAnsi="Times New Roman" w:cs="Times New Roman"/>
          <w:lang w:val="hu-HU"/>
        </w:rPr>
        <w:t>A Yuflyma előretöltött injekciós toll a következőket tartalmazó csomagolásban kapható:</w:t>
      </w:r>
    </w:p>
    <w:p w14:paraId="0C0CDE86" w14:textId="011E136E" w:rsidR="002D4997" w:rsidRPr="00CE42DC" w:rsidRDefault="002D4997" w:rsidP="00CE42DC">
      <w:pPr>
        <w:pStyle w:val="a3"/>
        <w:numPr>
          <w:ilvl w:val="0"/>
          <w:numId w:val="15"/>
        </w:numPr>
        <w:ind w:left="800" w:hanging="400"/>
        <w:rPr>
          <w:lang w:val="hu-HU"/>
        </w:rPr>
      </w:pPr>
      <w:r w:rsidRPr="00CE42DC">
        <w:rPr>
          <w:lang w:val="hu-HU"/>
        </w:rPr>
        <w:t>1 előretöltött injekciós toll, 2 alkoholos törlőkendővel (1 tartalék)</w:t>
      </w:r>
    </w:p>
    <w:p w14:paraId="57C369CA" w14:textId="0BBD13B5" w:rsidR="0037407E" w:rsidRDefault="002D4997" w:rsidP="00CE42DC">
      <w:pPr>
        <w:pStyle w:val="a3"/>
        <w:numPr>
          <w:ilvl w:val="0"/>
          <w:numId w:val="15"/>
        </w:numPr>
        <w:ind w:left="800" w:hanging="400"/>
        <w:rPr>
          <w:sz w:val="24"/>
          <w:szCs w:val="24"/>
          <w:lang w:val="hu-HU"/>
        </w:rPr>
      </w:pPr>
      <w:r w:rsidRPr="00167BF3">
        <w:rPr>
          <w:lang w:val="hu-HU"/>
        </w:rPr>
        <w:t>3 előretöltött toll, 4 alkoholos törlőkendővel (1 tartalék)</w:t>
      </w:r>
    </w:p>
    <w:p w14:paraId="7EBE6111" w14:textId="77777777" w:rsidR="0037407E" w:rsidRDefault="0037407E" w:rsidP="0037407E">
      <w:pPr>
        <w:pStyle w:val="a3"/>
        <w:rPr>
          <w:lang w:val="hu-HU"/>
        </w:rPr>
      </w:pPr>
      <w:r>
        <w:rPr>
          <w:rFonts w:eastAsia="Times New Roman"/>
          <w:lang w:val="hu-HU"/>
        </w:rPr>
        <w:t>Nem feltétlenül mindegyik kiszerelés kerül kereskedelmi forgalomba.</w:t>
      </w:r>
    </w:p>
    <w:p w14:paraId="689EBE96" w14:textId="77777777" w:rsidR="0037407E" w:rsidRDefault="0037407E" w:rsidP="0037407E">
      <w:pPr>
        <w:spacing w:before="13" w:line="240" w:lineRule="exact"/>
        <w:rPr>
          <w:sz w:val="24"/>
          <w:szCs w:val="24"/>
          <w:lang w:val="hu-HU"/>
        </w:rPr>
      </w:pPr>
    </w:p>
    <w:p w14:paraId="2D02729C" w14:textId="7EE67923" w:rsidR="0037407E" w:rsidRDefault="0037407E" w:rsidP="0037407E">
      <w:pPr>
        <w:pStyle w:val="a3"/>
        <w:rPr>
          <w:lang w:val="hu-HU"/>
        </w:rPr>
      </w:pPr>
      <w:r>
        <w:rPr>
          <w:rFonts w:eastAsia="Times New Roman"/>
          <w:lang w:val="hu-HU"/>
        </w:rPr>
        <w:t>A Yuflyma előretöltött fecskendőben és/vagy</w:t>
      </w:r>
      <w:r w:rsidR="005F5974">
        <w:rPr>
          <w:rFonts w:eastAsia="Times New Roman"/>
          <w:lang w:val="hu-HU"/>
        </w:rPr>
        <w:t xml:space="preserve"> </w:t>
      </w:r>
      <w:r>
        <w:rPr>
          <w:rFonts w:eastAsia="Times New Roman"/>
          <w:lang w:val="hu-HU"/>
        </w:rPr>
        <w:t>előretöltött injekciós toll kiszerelésben elérhető.</w:t>
      </w:r>
    </w:p>
    <w:p w14:paraId="51F396A6" w14:textId="77777777" w:rsidR="0037407E" w:rsidRDefault="0037407E" w:rsidP="0037407E">
      <w:pPr>
        <w:spacing w:before="18" w:line="240" w:lineRule="exact"/>
        <w:rPr>
          <w:sz w:val="24"/>
          <w:szCs w:val="24"/>
          <w:lang w:val="hu-HU"/>
        </w:rPr>
      </w:pPr>
    </w:p>
    <w:p w14:paraId="08E73F31" w14:textId="77777777" w:rsidR="0037407E" w:rsidRDefault="0037407E" w:rsidP="0037407E">
      <w:pPr>
        <w:pStyle w:val="a3"/>
        <w:rPr>
          <w:b/>
          <w:bCs/>
          <w:lang w:val="hu-HU"/>
        </w:rPr>
      </w:pPr>
      <w:r>
        <w:rPr>
          <w:rFonts w:eastAsia="Times New Roman"/>
          <w:b/>
          <w:bCs/>
          <w:lang w:val="hu-HU"/>
        </w:rPr>
        <w:t>A forgalomba hozatali engedély jogosultja</w:t>
      </w:r>
    </w:p>
    <w:p w14:paraId="2A6FE8F5" w14:textId="77777777" w:rsidR="0037407E" w:rsidRDefault="0037407E" w:rsidP="0037407E">
      <w:pPr>
        <w:spacing w:before="12" w:line="240" w:lineRule="exact"/>
        <w:rPr>
          <w:sz w:val="24"/>
          <w:szCs w:val="24"/>
          <w:lang w:val="hu-HU"/>
        </w:rPr>
      </w:pPr>
    </w:p>
    <w:p w14:paraId="2248D4A6" w14:textId="77777777" w:rsidR="0037407E" w:rsidRDefault="0037407E" w:rsidP="0037407E">
      <w:pPr>
        <w:pStyle w:val="a3"/>
        <w:rPr>
          <w:lang w:val="hu-HU"/>
        </w:rPr>
      </w:pPr>
      <w:r>
        <w:rPr>
          <w:lang w:val="hu-HU"/>
        </w:rPr>
        <w:t xml:space="preserve">Celltrion Healthcare Hungary Kft. </w:t>
      </w:r>
    </w:p>
    <w:p w14:paraId="5F12AF62" w14:textId="77777777" w:rsidR="0037407E" w:rsidRDefault="0037407E" w:rsidP="0037407E">
      <w:pPr>
        <w:pStyle w:val="a3"/>
        <w:rPr>
          <w:lang w:val="hu-HU"/>
        </w:rPr>
      </w:pPr>
      <w:r>
        <w:rPr>
          <w:lang w:val="hu-HU"/>
        </w:rPr>
        <w:t>1062 Budapest</w:t>
      </w:r>
    </w:p>
    <w:p w14:paraId="6ADF1C97" w14:textId="77777777" w:rsidR="0037407E" w:rsidRDefault="0037407E" w:rsidP="0037407E">
      <w:pPr>
        <w:pStyle w:val="a3"/>
        <w:rPr>
          <w:lang w:val="hu-HU"/>
        </w:rPr>
      </w:pPr>
      <w:r>
        <w:rPr>
          <w:lang w:val="hu-HU"/>
        </w:rPr>
        <w:t>Váci út 1-3. WestEnd Office Building B torony</w:t>
      </w:r>
    </w:p>
    <w:p w14:paraId="0C58AC78" w14:textId="77777777" w:rsidR="0037407E" w:rsidRDefault="0037407E" w:rsidP="0037407E">
      <w:pPr>
        <w:pStyle w:val="a3"/>
        <w:rPr>
          <w:lang w:val="hu-HU"/>
        </w:rPr>
      </w:pPr>
      <w:r>
        <w:rPr>
          <w:rFonts w:eastAsia="Times New Roman"/>
          <w:lang w:val="hu-HU"/>
        </w:rPr>
        <w:t>Magyarország</w:t>
      </w:r>
    </w:p>
    <w:p w14:paraId="40DD2261" w14:textId="77777777" w:rsidR="0037407E" w:rsidRDefault="0037407E" w:rsidP="0037407E">
      <w:pPr>
        <w:spacing w:before="15" w:line="240" w:lineRule="exact"/>
        <w:rPr>
          <w:sz w:val="24"/>
          <w:szCs w:val="24"/>
          <w:lang w:val="hu-HU"/>
        </w:rPr>
      </w:pPr>
    </w:p>
    <w:p w14:paraId="7E7CB236" w14:textId="77777777" w:rsidR="0037407E" w:rsidRDefault="0037407E" w:rsidP="0037407E">
      <w:pPr>
        <w:pStyle w:val="a3"/>
        <w:rPr>
          <w:b/>
          <w:bCs/>
          <w:lang w:val="hu-HU"/>
        </w:rPr>
      </w:pPr>
      <w:r>
        <w:rPr>
          <w:rFonts w:eastAsia="Times New Roman"/>
          <w:b/>
          <w:bCs/>
          <w:lang w:val="hu-HU"/>
        </w:rPr>
        <w:t>Gyártó</w:t>
      </w:r>
    </w:p>
    <w:p w14:paraId="10CDACB1" w14:textId="77777777" w:rsidR="0037407E" w:rsidRDefault="0037407E" w:rsidP="0037407E">
      <w:pPr>
        <w:spacing w:before="12" w:line="240" w:lineRule="exact"/>
        <w:rPr>
          <w:sz w:val="24"/>
          <w:szCs w:val="24"/>
          <w:lang w:val="hu-HU"/>
        </w:rPr>
      </w:pPr>
    </w:p>
    <w:p w14:paraId="3D66CB82" w14:textId="777A818B" w:rsidR="0037407E" w:rsidRPr="002C78FA" w:rsidDel="002C78FA" w:rsidRDefault="0037407E" w:rsidP="0037407E">
      <w:pPr>
        <w:pStyle w:val="a3"/>
        <w:rPr>
          <w:del w:id="141" w:author="만든 이"/>
          <w:lang w:val="hu-HU"/>
        </w:rPr>
      </w:pPr>
      <w:del w:id="142" w:author="만든 이">
        <w:r w:rsidRPr="002C78FA" w:rsidDel="002C78FA">
          <w:rPr>
            <w:lang w:val="hu-HU"/>
          </w:rPr>
          <w:delText>Millmount Healthcare Ltd.</w:delText>
        </w:r>
      </w:del>
    </w:p>
    <w:p w14:paraId="2B99FF76" w14:textId="7A7B7B9A" w:rsidR="0037407E" w:rsidRPr="002C78FA" w:rsidDel="002C78FA" w:rsidRDefault="0037407E" w:rsidP="0037407E">
      <w:pPr>
        <w:pStyle w:val="a3"/>
        <w:rPr>
          <w:del w:id="143" w:author="만든 이"/>
          <w:lang w:val="hu-HU"/>
        </w:rPr>
      </w:pPr>
      <w:del w:id="144" w:author="만든 이">
        <w:r w:rsidRPr="002C78FA" w:rsidDel="002C78FA">
          <w:rPr>
            <w:lang w:val="hu-HU"/>
          </w:rPr>
          <w:delText>Block 7</w:delText>
        </w:r>
      </w:del>
    </w:p>
    <w:p w14:paraId="4DEA2569" w14:textId="681426B9" w:rsidR="0037407E" w:rsidRPr="002C78FA" w:rsidDel="002C78FA" w:rsidRDefault="0037407E" w:rsidP="0037407E">
      <w:pPr>
        <w:pStyle w:val="a3"/>
        <w:rPr>
          <w:del w:id="145" w:author="만든 이"/>
          <w:lang w:val="hu-HU"/>
        </w:rPr>
      </w:pPr>
      <w:del w:id="146" w:author="만든 이">
        <w:r w:rsidRPr="002C78FA" w:rsidDel="002C78FA">
          <w:rPr>
            <w:lang w:val="hu-HU"/>
          </w:rPr>
          <w:delText xml:space="preserve">City North Business Campus </w:delText>
        </w:r>
      </w:del>
    </w:p>
    <w:p w14:paraId="2AAA1B4A" w14:textId="762699D9" w:rsidR="0037407E" w:rsidRPr="002C78FA" w:rsidDel="002C78FA" w:rsidRDefault="0037407E" w:rsidP="0037407E">
      <w:pPr>
        <w:pStyle w:val="a3"/>
        <w:rPr>
          <w:del w:id="147" w:author="만든 이"/>
          <w:lang w:val="hu-HU"/>
        </w:rPr>
      </w:pPr>
      <w:del w:id="148" w:author="만든 이">
        <w:r w:rsidRPr="002C78FA" w:rsidDel="002C78FA">
          <w:rPr>
            <w:lang w:val="hu-HU"/>
          </w:rPr>
          <w:delText>Stamullen, Co. Meath K32 YD60</w:delText>
        </w:r>
      </w:del>
    </w:p>
    <w:p w14:paraId="5AE5C02C" w14:textId="25B8671B" w:rsidR="0037407E" w:rsidRPr="002C78FA" w:rsidDel="002C78FA" w:rsidRDefault="0037407E" w:rsidP="0037407E">
      <w:pPr>
        <w:pStyle w:val="a3"/>
        <w:rPr>
          <w:del w:id="149" w:author="만든 이"/>
          <w:lang w:val="hu-HU"/>
        </w:rPr>
      </w:pPr>
      <w:del w:id="150" w:author="만든 이">
        <w:r w:rsidRPr="002C78FA" w:rsidDel="002C78FA">
          <w:rPr>
            <w:rFonts w:eastAsia="Times New Roman"/>
            <w:lang w:val="hu-HU"/>
          </w:rPr>
          <w:delText>Írország</w:delText>
        </w:r>
      </w:del>
    </w:p>
    <w:p w14:paraId="3B0A2D1B" w14:textId="2E583F57" w:rsidR="0037407E" w:rsidRPr="002C78FA" w:rsidDel="002C78FA" w:rsidRDefault="0037407E" w:rsidP="0037407E">
      <w:pPr>
        <w:spacing w:before="14" w:line="240" w:lineRule="exact"/>
        <w:rPr>
          <w:del w:id="151" w:author="만든 이"/>
          <w:rFonts w:ascii="Times New Roman" w:hAnsi="Times New Roman" w:cs="Times New Roman"/>
          <w:sz w:val="24"/>
          <w:szCs w:val="24"/>
          <w:lang w:val="hu-HU"/>
        </w:rPr>
      </w:pPr>
    </w:p>
    <w:p w14:paraId="40063846" w14:textId="77777777" w:rsidR="002C78FA" w:rsidRPr="007D68C5" w:rsidRDefault="002C78FA" w:rsidP="002C78FA">
      <w:pPr>
        <w:spacing w:before="10" w:line="240" w:lineRule="exact"/>
        <w:rPr>
          <w:moveTo w:id="152" w:author="만든 이" w16du:dateUtc="2025-09-09T05:36:00Z"/>
          <w:rFonts w:ascii="Times New Roman" w:eastAsia="Times New Roman" w:hAnsi="Times New Roman" w:cs="Times New Roman"/>
          <w:lang w:val="fr-CA"/>
        </w:rPr>
      </w:pPr>
      <w:moveToRangeStart w:id="153" w:author="만든 이" w:name="move208321007"/>
      <w:proofErr w:type="spellStart"/>
      <w:moveTo w:id="154" w:author="만든 이" w16du:dateUtc="2025-09-09T05:36:00Z">
        <w:r w:rsidRPr="007D68C5">
          <w:rPr>
            <w:rFonts w:ascii="Times New Roman" w:eastAsia="Times New Roman" w:hAnsi="Times New Roman" w:cs="Times New Roman"/>
            <w:lang w:val="fr-CA"/>
          </w:rPr>
          <w:t>Nuvisan</w:t>
        </w:r>
        <w:proofErr w:type="spellEnd"/>
        <w:r w:rsidRPr="007D68C5">
          <w:rPr>
            <w:rFonts w:ascii="Times New Roman" w:eastAsia="Times New Roman" w:hAnsi="Times New Roman" w:cs="Times New Roman"/>
            <w:lang w:val="fr-CA"/>
          </w:rPr>
          <w:t xml:space="preserve"> France SARL</w:t>
        </w:r>
      </w:moveTo>
    </w:p>
    <w:p w14:paraId="49A9B244" w14:textId="77777777" w:rsidR="002C78FA" w:rsidRPr="007D68C5" w:rsidRDefault="002C78FA" w:rsidP="002C78FA">
      <w:pPr>
        <w:spacing w:before="10" w:line="240" w:lineRule="exact"/>
        <w:rPr>
          <w:moveTo w:id="155" w:author="만든 이" w16du:dateUtc="2025-09-09T05:36:00Z"/>
          <w:rFonts w:ascii="Times New Roman" w:hAnsi="Times New Roman" w:cs="Times New Roman"/>
          <w:lang w:val="fr-CA" w:eastAsia="ko-KR"/>
        </w:rPr>
      </w:pPr>
      <w:moveTo w:id="156" w:author="만든 이" w16du:dateUtc="2025-09-09T05:36:00Z">
        <w:r w:rsidRPr="007D68C5">
          <w:rPr>
            <w:rFonts w:ascii="Times New Roman" w:eastAsia="Times New Roman" w:hAnsi="Times New Roman" w:cs="Times New Roman"/>
            <w:lang w:val="fr-CA"/>
          </w:rPr>
          <w:t>2400, Route des Colles</w:t>
        </w:r>
      </w:moveTo>
    </w:p>
    <w:p w14:paraId="0E28B692" w14:textId="77777777" w:rsidR="002C78FA" w:rsidRPr="002C78FA" w:rsidRDefault="002C78FA" w:rsidP="002C78FA">
      <w:pPr>
        <w:spacing w:before="10" w:line="240" w:lineRule="exact"/>
        <w:rPr>
          <w:moveTo w:id="157" w:author="만든 이" w16du:dateUtc="2025-09-09T05:36:00Z"/>
          <w:rFonts w:ascii="Times New Roman" w:hAnsi="Times New Roman" w:cs="Times New Roman"/>
          <w:lang w:eastAsia="ko-KR"/>
        </w:rPr>
      </w:pPr>
      <w:moveTo w:id="158" w:author="만든 이" w16du:dateUtc="2025-09-09T05:36:00Z">
        <w:r w:rsidRPr="002C78FA">
          <w:rPr>
            <w:rFonts w:ascii="Times New Roman" w:eastAsia="Times New Roman" w:hAnsi="Times New Roman" w:cs="Times New Roman"/>
          </w:rPr>
          <w:t xml:space="preserve">06410, </w:t>
        </w:r>
        <w:proofErr w:type="spellStart"/>
        <w:r w:rsidRPr="002C78FA">
          <w:rPr>
            <w:rFonts w:ascii="Times New Roman" w:eastAsia="Times New Roman" w:hAnsi="Times New Roman" w:cs="Times New Roman"/>
          </w:rPr>
          <w:t>Biot</w:t>
        </w:r>
        <w:proofErr w:type="spellEnd"/>
      </w:moveTo>
    </w:p>
    <w:p w14:paraId="4AF0A6AD" w14:textId="77777777" w:rsidR="002C78FA" w:rsidRPr="002C78FA" w:rsidRDefault="002C78FA" w:rsidP="002C78FA">
      <w:pPr>
        <w:autoSpaceDE w:val="0"/>
        <w:autoSpaceDN w:val="0"/>
        <w:adjustRightInd w:val="0"/>
        <w:rPr>
          <w:moveTo w:id="159" w:author="만든 이" w16du:dateUtc="2025-09-09T05:36:00Z"/>
          <w:rFonts w:ascii="Times New Roman" w:eastAsia="Times New Roman" w:hAnsi="Times New Roman" w:cs="Times New Roman"/>
        </w:rPr>
      </w:pPr>
      <w:proofErr w:type="spellStart"/>
      <w:moveTo w:id="160" w:author="만든 이" w16du:dateUtc="2025-09-09T05:36:00Z">
        <w:r w:rsidRPr="002C78FA">
          <w:rPr>
            <w:rFonts w:ascii="Times New Roman" w:eastAsia="Times New Roman" w:hAnsi="Times New Roman" w:cs="Times New Roman"/>
          </w:rPr>
          <w:t>Franciaország</w:t>
        </w:r>
        <w:proofErr w:type="spellEnd"/>
      </w:moveTo>
    </w:p>
    <w:p w14:paraId="0D371810" w14:textId="77777777" w:rsidR="002C78FA" w:rsidRPr="002C78FA" w:rsidRDefault="002C78FA" w:rsidP="002C78FA">
      <w:pPr>
        <w:pStyle w:val="a3"/>
        <w:rPr>
          <w:moveTo w:id="161" w:author="만든 이" w16du:dateUtc="2025-09-09T05:36:00Z"/>
        </w:rPr>
      </w:pPr>
    </w:p>
    <w:moveToRangeEnd w:id="153"/>
    <w:p w14:paraId="1071257A" w14:textId="77777777" w:rsidR="0037407E" w:rsidRPr="00167BF3" w:rsidRDefault="0037407E" w:rsidP="0037407E">
      <w:pPr>
        <w:spacing w:before="10" w:line="240" w:lineRule="exact"/>
        <w:rPr>
          <w:rFonts w:ascii="Times New Roman" w:eastAsia="Times New Roman" w:hAnsi="Times New Roman" w:cs="Times New Roman"/>
          <w:shd w:val="pct15" w:color="auto" w:fill="FFFFFF"/>
          <w:lang w:val="es-ES"/>
        </w:rPr>
      </w:pPr>
      <w:proofErr w:type="spellStart"/>
      <w:r w:rsidRPr="00167BF3">
        <w:rPr>
          <w:rFonts w:ascii="Times New Roman" w:eastAsia="Times New Roman" w:hAnsi="Times New Roman" w:cs="Times New Roman"/>
          <w:shd w:val="pct15" w:color="auto" w:fill="FFFFFF"/>
          <w:lang w:val="es-ES"/>
        </w:rPr>
        <w:t>Nuvisan</w:t>
      </w:r>
      <w:proofErr w:type="spellEnd"/>
      <w:r w:rsidRPr="00167BF3">
        <w:rPr>
          <w:rFonts w:ascii="Times New Roman" w:eastAsia="Times New Roman" w:hAnsi="Times New Roman" w:cs="Times New Roman"/>
          <w:shd w:val="pct15" w:color="auto" w:fill="FFFFFF"/>
          <w:lang w:val="es-ES"/>
        </w:rPr>
        <w:t xml:space="preserve"> </w:t>
      </w:r>
      <w:proofErr w:type="spellStart"/>
      <w:r w:rsidRPr="00167BF3">
        <w:rPr>
          <w:rFonts w:ascii="Times New Roman" w:eastAsia="Times New Roman" w:hAnsi="Times New Roman" w:cs="Times New Roman"/>
          <w:shd w:val="pct15" w:color="auto" w:fill="FFFFFF"/>
          <w:lang w:val="es-ES"/>
        </w:rPr>
        <w:t>GmbH</w:t>
      </w:r>
      <w:proofErr w:type="spellEnd"/>
    </w:p>
    <w:p w14:paraId="5FB7636E" w14:textId="632D178B" w:rsidR="0037407E" w:rsidRPr="004537E9" w:rsidRDefault="0037407E" w:rsidP="0037407E">
      <w:pPr>
        <w:spacing w:before="10" w:line="240" w:lineRule="exact"/>
        <w:rPr>
          <w:rFonts w:ascii="Times New Roman" w:hAnsi="Times New Roman" w:cs="Times New Roman"/>
          <w:shd w:val="pct15" w:color="auto" w:fill="FFFFFF"/>
          <w:lang w:val="es-ES" w:eastAsia="ko-KR"/>
        </w:rPr>
      </w:pPr>
      <w:proofErr w:type="spellStart"/>
      <w:r w:rsidRPr="00167BF3">
        <w:rPr>
          <w:rFonts w:ascii="Times New Roman" w:eastAsia="Times New Roman" w:hAnsi="Times New Roman" w:cs="Times New Roman"/>
          <w:shd w:val="pct15" w:color="auto" w:fill="FFFFFF"/>
          <w:lang w:val="es-ES"/>
        </w:rPr>
        <w:t>Wegenerstraße</w:t>
      </w:r>
      <w:proofErr w:type="spellEnd"/>
      <w:r w:rsidRPr="00167BF3">
        <w:rPr>
          <w:rFonts w:ascii="Times New Roman" w:eastAsia="Times New Roman" w:hAnsi="Times New Roman" w:cs="Times New Roman"/>
          <w:shd w:val="pct15" w:color="auto" w:fill="FFFFFF"/>
          <w:lang w:val="es-ES"/>
        </w:rPr>
        <w:t xml:space="preserve"> 13</w:t>
      </w:r>
    </w:p>
    <w:p w14:paraId="196E4FF3" w14:textId="28A54AA2" w:rsidR="0037407E" w:rsidRPr="004537E9" w:rsidRDefault="0037407E" w:rsidP="0037407E">
      <w:pPr>
        <w:spacing w:before="10" w:line="240" w:lineRule="exact"/>
        <w:rPr>
          <w:rFonts w:ascii="Times New Roman" w:hAnsi="Times New Roman" w:cs="Times New Roman"/>
          <w:shd w:val="pct15" w:color="auto" w:fill="FFFFFF"/>
          <w:lang w:val="es-ES" w:eastAsia="ko-KR"/>
        </w:rPr>
      </w:pPr>
      <w:r w:rsidRPr="00167BF3">
        <w:rPr>
          <w:rFonts w:ascii="Times New Roman" w:eastAsia="Times New Roman" w:hAnsi="Times New Roman" w:cs="Times New Roman"/>
          <w:shd w:val="pct15" w:color="auto" w:fill="FFFFFF"/>
          <w:lang w:val="es-ES"/>
        </w:rPr>
        <w:t xml:space="preserve">89231 </w:t>
      </w:r>
      <w:proofErr w:type="spellStart"/>
      <w:r w:rsidRPr="00167BF3">
        <w:rPr>
          <w:rFonts w:ascii="Times New Roman" w:eastAsia="Times New Roman" w:hAnsi="Times New Roman" w:cs="Times New Roman"/>
          <w:shd w:val="pct15" w:color="auto" w:fill="FFFFFF"/>
          <w:lang w:val="es-ES"/>
        </w:rPr>
        <w:t>Neu</w:t>
      </w:r>
      <w:proofErr w:type="spellEnd"/>
      <w:r w:rsidR="004537E9">
        <w:rPr>
          <w:rFonts w:ascii="Times New Roman" w:hAnsi="Times New Roman" w:cs="Times New Roman" w:hint="eastAsia"/>
          <w:shd w:val="pct15" w:color="auto" w:fill="FFFFFF"/>
          <w:lang w:val="es-ES" w:eastAsia="ko-KR"/>
        </w:rPr>
        <w:t>-</w:t>
      </w:r>
      <w:r w:rsidRPr="00167BF3">
        <w:rPr>
          <w:rFonts w:ascii="Times New Roman" w:eastAsia="Times New Roman" w:hAnsi="Times New Roman" w:cs="Times New Roman"/>
          <w:shd w:val="pct15" w:color="auto" w:fill="FFFFFF"/>
          <w:lang w:val="es-ES"/>
        </w:rPr>
        <w:t>Ulm</w:t>
      </w:r>
    </w:p>
    <w:p w14:paraId="37FDE0B7" w14:textId="77777777" w:rsidR="0037407E" w:rsidRPr="00167BF3" w:rsidRDefault="0037407E" w:rsidP="0037407E">
      <w:pPr>
        <w:spacing w:before="10" w:line="240" w:lineRule="exact"/>
        <w:rPr>
          <w:rFonts w:ascii="Times New Roman" w:eastAsia="Times New Roman" w:hAnsi="Times New Roman" w:cs="Times New Roman"/>
          <w:shd w:val="pct15" w:color="auto" w:fill="FFFFFF"/>
          <w:lang w:val="es-ES"/>
        </w:rPr>
      </w:pPr>
      <w:proofErr w:type="spellStart"/>
      <w:r w:rsidRPr="00167BF3">
        <w:rPr>
          <w:rFonts w:ascii="Times New Roman" w:eastAsia="Times New Roman" w:hAnsi="Times New Roman" w:cs="Times New Roman"/>
          <w:shd w:val="pct15" w:color="auto" w:fill="FFFFFF"/>
          <w:lang w:val="es-ES"/>
        </w:rPr>
        <w:t>Németország</w:t>
      </w:r>
      <w:proofErr w:type="spellEnd"/>
    </w:p>
    <w:p w14:paraId="21A2923E" w14:textId="77777777" w:rsidR="0037407E" w:rsidRPr="00167BF3" w:rsidRDefault="0037407E" w:rsidP="0037407E">
      <w:pPr>
        <w:spacing w:before="10" w:line="240" w:lineRule="exact"/>
        <w:rPr>
          <w:rFonts w:ascii="Times New Roman" w:eastAsia="Times New Roman" w:hAnsi="Times New Roman" w:cs="Times New Roman"/>
          <w:shd w:val="pct15" w:color="auto" w:fill="FFFFFF"/>
          <w:lang w:val="es-ES"/>
        </w:rPr>
      </w:pPr>
    </w:p>
    <w:p w14:paraId="74D10C1E" w14:textId="5EE116A5" w:rsidR="0037407E" w:rsidRPr="00167BF3" w:rsidDel="002C78FA" w:rsidRDefault="0037407E" w:rsidP="0037407E">
      <w:pPr>
        <w:spacing w:before="10" w:line="240" w:lineRule="exact"/>
        <w:rPr>
          <w:moveFrom w:id="162" w:author="만든 이" w16du:dateUtc="2025-09-09T05:36:00Z"/>
          <w:rFonts w:ascii="Times New Roman" w:eastAsia="Times New Roman" w:hAnsi="Times New Roman" w:cs="Times New Roman"/>
          <w:shd w:val="pct15" w:color="auto" w:fill="FFFFFF"/>
        </w:rPr>
      </w:pPr>
      <w:moveFromRangeStart w:id="163" w:author="만든 이" w:name="move208321007"/>
      <w:moveFrom w:id="164" w:author="만든 이" w16du:dateUtc="2025-09-09T05:36:00Z">
        <w:r w:rsidRPr="00167BF3" w:rsidDel="002C78FA">
          <w:rPr>
            <w:rFonts w:ascii="Times New Roman" w:eastAsia="Times New Roman" w:hAnsi="Times New Roman" w:cs="Times New Roman"/>
            <w:shd w:val="pct15" w:color="auto" w:fill="FFFFFF"/>
          </w:rPr>
          <w:t>Nuvisan France SARL</w:t>
        </w:r>
      </w:moveFrom>
    </w:p>
    <w:p w14:paraId="12CAD290" w14:textId="221431E6" w:rsidR="0037407E" w:rsidRPr="004537E9" w:rsidDel="002C78FA" w:rsidRDefault="0037407E" w:rsidP="0037407E">
      <w:pPr>
        <w:spacing w:before="10" w:line="240" w:lineRule="exact"/>
        <w:rPr>
          <w:moveFrom w:id="165" w:author="만든 이" w16du:dateUtc="2025-09-09T05:36:00Z"/>
          <w:rFonts w:ascii="Times New Roman" w:hAnsi="Times New Roman" w:cs="Times New Roman"/>
          <w:shd w:val="pct15" w:color="auto" w:fill="FFFFFF"/>
          <w:lang w:eastAsia="ko-KR"/>
        </w:rPr>
      </w:pPr>
      <w:moveFrom w:id="166" w:author="만든 이" w16du:dateUtc="2025-09-09T05:36:00Z">
        <w:r w:rsidRPr="00167BF3" w:rsidDel="002C78FA">
          <w:rPr>
            <w:rFonts w:ascii="Times New Roman" w:eastAsia="Times New Roman" w:hAnsi="Times New Roman" w:cs="Times New Roman"/>
            <w:shd w:val="pct15" w:color="auto" w:fill="FFFFFF"/>
          </w:rPr>
          <w:t>2400, Route des Colles</w:t>
        </w:r>
      </w:moveFrom>
    </w:p>
    <w:p w14:paraId="09FC94F0" w14:textId="37577D06" w:rsidR="0037407E" w:rsidRPr="004537E9" w:rsidDel="002C78FA" w:rsidRDefault="0037407E" w:rsidP="0037407E">
      <w:pPr>
        <w:spacing w:before="10" w:line="240" w:lineRule="exact"/>
        <w:rPr>
          <w:moveFrom w:id="167" w:author="만든 이" w16du:dateUtc="2025-09-09T05:36:00Z"/>
          <w:rFonts w:ascii="Times New Roman" w:hAnsi="Times New Roman" w:cs="Times New Roman"/>
          <w:shd w:val="pct15" w:color="auto" w:fill="FFFFFF"/>
          <w:lang w:eastAsia="ko-KR"/>
        </w:rPr>
      </w:pPr>
      <w:moveFrom w:id="168" w:author="만든 이" w16du:dateUtc="2025-09-09T05:36:00Z">
        <w:r w:rsidRPr="00167BF3" w:rsidDel="002C78FA">
          <w:rPr>
            <w:rFonts w:ascii="Times New Roman" w:eastAsia="Times New Roman" w:hAnsi="Times New Roman" w:cs="Times New Roman"/>
            <w:shd w:val="pct15" w:color="auto" w:fill="FFFFFF"/>
          </w:rPr>
          <w:t>06410, Biot</w:t>
        </w:r>
      </w:moveFrom>
    </w:p>
    <w:p w14:paraId="39EA7EA0" w14:textId="464484F9" w:rsidR="0037407E" w:rsidRPr="00167BF3" w:rsidDel="002C78FA" w:rsidRDefault="0037407E" w:rsidP="0037407E">
      <w:pPr>
        <w:autoSpaceDE w:val="0"/>
        <w:autoSpaceDN w:val="0"/>
        <w:adjustRightInd w:val="0"/>
        <w:rPr>
          <w:moveFrom w:id="169" w:author="만든 이" w16du:dateUtc="2025-09-09T05:36:00Z"/>
          <w:rFonts w:ascii="Times New Roman" w:eastAsia="Times New Roman" w:hAnsi="Times New Roman" w:cs="Times New Roman"/>
          <w:shd w:val="pct15" w:color="auto" w:fill="FFFFFF"/>
        </w:rPr>
      </w:pPr>
      <w:moveFrom w:id="170" w:author="만든 이" w16du:dateUtc="2025-09-09T05:36:00Z">
        <w:r w:rsidRPr="00167BF3" w:rsidDel="002C78FA">
          <w:rPr>
            <w:rFonts w:ascii="Times New Roman" w:eastAsia="Times New Roman" w:hAnsi="Times New Roman" w:cs="Times New Roman"/>
            <w:shd w:val="pct15" w:color="auto" w:fill="FFFFFF"/>
          </w:rPr>
          <w:t>Franciaország</w:t>
        </w:r>
      </w:moveFrom>
    </w:p>
    <w:p w14:paraId="5DE4B466" w14:textId="4DAE1F0B" w:rsidR="007A3DE2" w:rsidRPr="00167BF3" w:rsidDel="002C78FA" w:rsidRDefault="007A3DE2" w:rsidP="007A3DE2">
      <w:pPr>
        <w:pStyle w:val="a3"/>
        <w:rPr>
          <w:moveFrom w:id="171" w:author="만든 이" w16du:dateUtc="2025-09-09T05:36:00Z"/>
          <w:shd w:val="pct15" w:color="auto" w:fill="FFFFFF"/>
        </w:rPr>
      </w:pPr>
    </w:p>
    <w:moveFromRangeEnd w:id="163"/>
    <w:p w14:paraId="29E9827A" w14:textId="77777777" w:rsidR="007A3DE2" w:rsidRPr="007D68C5" w:rsidRDefault="007A3DE2" w:rsidP="007A3DE2">
      <w:pPr>
        <w:pStyle w:val="a3"/>
        <w:rPr>
          <w:shd w:val="pct15" w:color="auto" w:fill="FFFFFF"/>
        </w:rPr>
      </w:pPr>
      <w:r w:rsidRPr="007D68C5">
        <w:rPr>
          <w:shd w:val="pct15" w:color="auto" w:fill="FFFFFF"/>
        </w:rPr>
        <w:t>Midas Pharma GmbH</w:t>
      </w:r>
    </w:p>
    <w:p w14:paraId="7E3F387D" w14:textId="54283C15" w:rsidR="007A3DE2" w:rsidRPr="007D68C5" w:rsidRDefault="007A3DE2" w:rsidP="007A3DE2">
      <w:pPr>
        <w:pStyle w:val="a3"/>
        <w:rPr>
          <w:shd w:val="pct15" w:color="auto" w:fill="FFFFFF"/>
        </w:rPr>
      </w:pPr>
      <w:proofErr w:type="spellStart"/>
      <w:r w:rsidRPr="007D68C5">
        <w:rPr>
          <w:shd w:val="pct15" w:color="auto" w:fill="FFFFFF"/>
        </w:rPr>
        <w:t>Rheinstr</w:t>
      </w:r>
      <w:proofErr w:type="spellEnd"/>
      <w:r w:rsidRPr="007D68C5">
        <w:rPr>
          <w:shd w:val="pct15" w:color="auto" w:fill="FFFFFF"/>
        </w:rPr>
        <w:t>. 49</w:t>
      </w:r>
    </w:p>
    <w:p w14:paraId="5A672020" w14:textId="2C8AD90D" w:rsidR="007A3DE2" w:rsidRPr="007D68C5" w:rsidRDefault="007A3DE2" w:rsidP="007A3DE2">
      <w:pPr>
        <w:pStyle w:val="a3"/>
        <w:rPr>
          <w:shd w:val="pct15" w:color="auto" w:fill="FFFFFF"/>
        </w:rPr>
      </w:pPr>
      <w:r w:rsidRPr="007D68C5">
        <w:rPr>
          <w:shd w:val="pct15" w:color="auto" w:fill="FFFFFF"/>
        </w:rPr>
        <w:t>55218 Ingelheim</w:t>
      </w:r>
    </w:p>
    <w:p w14:paraId="41484A42" w14:textId="77777777" w:rsidR="007A3DE2" w:rsidRPr="007D68C5" w:rsidRDefault="007A3DE2" w:rsidP="007A3DE2">
      <w:pPr>
        <w:pStyle w:val="a3"/>
        <w:rPr>
          <w:shd w:val="pct15" w:color="auto" w:fill="FFFFFF"/>
        </w:rPr>
      </w:pPr>
      <w:proofErr w:type="spellStart"/>
      <w:r w:rsidRPr="007D68C5">
        <w:rPr>
          <w:shd w:val="pct15" w:color="auto" w:fill="FFFFFF"/>
        </w:rPr>
        <w:t>Németország</w:t>
      </w:r>
      <w:proofErr w:type="spellEnd"/>
    </w:p>
    <w:p w14:paraId="0D55AFA1" w14:textId="77777777" w:rsidR="007A3DE2" w:rsidRPr="007D68C5" w:rsidRDefault="007A3DE2" w:rsidP="007A3DE2">
      <w:pPr>
        <w:pStyle w:val="a3"/>
        <w:rPr>
          <w:shd w:val="pct15" w:color="auto" w:fill="FFFFFF"/>
        </w:rPr>
      </w:pPr>
    </w:p>
    <w:p w14:paraId="2B3F6B50" w14:textId="04F45026" w:rsidR="007A3DE2" w:rsidRPr="00167BF3" w:rsidRDefault="007A3DE2" w:rsidP="007A3DE2">
      <w:pPr>
        <w:pStyle w:val="a3"/>
        <w:rPr>
          <w:shd w:val="pct15" w:color="auto" w:fill="FFFFFF"/>
          <w:lang w:val="fr-FR"/>
        </w:rPr>
      </w:pPr>
      <w:r w:rsidRPr="00167BF3">
        <w:rPr>
          <w:shd w:val="pct15" w:color="auto" w:fill="FFFFFF"/>
          <w:lang w:val="fr-FR"/>
        </w:rPr>
        <w:t>KYMOS S.L.</w:t>
      </w:r>
    </w:p>
    <w:p w14:paraId="3B049BE7" w14:textId="3159A883" w:rsidR="007A3DE2" w:rsidRPr="00167BF3" w:rsidRDefault="007A3DE2" w:rsidP="007A3DE2">
      <w:pPr>
        <w:pStyle w:val="a3"/>
        <w:rPr>
          <w:shd w:val="pct15" w:color="auto" w:fill="FFFFFF"/>
          <w:lang w:val="fr-FR"/>
        </w:rPr>
      </w:pPr>
      <w:r w:rsidRPr="00167BF3">
        <w:rPr>
          <w:shd w:val="pct15" w:color="auto" w:fill="FFFFFF"/>
          <w:lang w:val="fr-FR"/>
        </w:rPr>
        <w:t xml:space="preserve">Ronda Can </w:t>
      </w:r>
      <w:proofErr w:type="spellStart"/>
      <w:r w:rsidRPr="00167BF3">
        <w:rPr>
          <w:shd w:val="pct15" w:color="auto" w:fill="FFFFFF"/>
          <w:lang w:val="fr-FR"/>
        </w:rPr>
        <w:t>Fatjó</w:t>
      </w:r>
      <w:proofErr w:type="spellEnd"/>
      <w:r w:rsidRPr="00167BF3">
        <w:rPr>
          <w:shd w:val="pct15" w:color="auto" w:fill="FFFFFF"/>
          <w:lang w:val="fr-FR"/>
        </w:rPr>
        <w:t>, 7B.</w:t>
      </w:r>
    </w:p>
    <w:p w14:paraId="3ADDBD77" w14:textId="27A20A85" w:rsidR="007A3DE2" w:rsidRPr="00167BF3" w:rsidRDefault="007A3DE2" w:rsidP="007A3DE2">
      <w:pPr>
        <w:pStyle w:val="a3"/>
        <w:rPr>
          <w:shd w:val="pct15" w:color="auto" w:fill="FFFFFF"/>
          <w:lang w:val="fr-FR"/>
        </w:rPr>
      </w:pPr>
      <w:r w:rsidRPr="00167BF3">
        <w:rPr>
          <w:shd w:val="pct15" w:color="auto" w:fill="FFFFFF"/>
          <w:lang w:val="fr-FR"/>
        </w:rPr>
        <w:t xml:space="preserve">08290 </w:t>
      </w:r>
      <w:proofErr w:type="spellStart"/>
      <w:r w:rsidRPr="00167BF3">
        <w:rPr>
          <w:shd w:val="pct15" w:color="auto" w:fill="FFFFFF"/>
          <w:lang w:val="fr-FR"/>
        </w:rPr>
        <w:t>Cerdanyola</w:t>
      </w:r>
      <w:proofErr w:type="spellEnd"/>
      <w:r w:rsidRPr="00167BF3">
        <w:rPr>
          <w:shd w:val="pct15" w:color="auto" w:fill="FFFFFF"/>
          <w:lang w:val="fr-FR"/>
        </w:rPr>
        <w:t xml:space="preserve"> </w:t>
      </w:r>
      <w:proofErr w:type="spellStart"/>
      <w:r w:rsidRPr="00167BF3">
        <w:rPr>
          <w:shd w:val="pct15" w:color="auto" w:fill="FFFFFF"/>
          <w:lang w:val="fr-FR"/>
        </w:rPr>
        <w:t>del</w:t>
      </w:r>
      <w:proofErr w:type="spellEnd"/>
      <w:r w:rsidRPr="00167BF3">
        <w:rPr>
          <w:shd w:val="pct15" w:color="auto" w:fill="FFFFFF"/>
          <w:lang w:val="fr-FR"/>
        </w:rPr>
        <w:t xml:space="preserve"> Vallès</w:t>
      </w:r>
    </w:p>
    <w:p w14:paraId="67BA622F" w14:textId="11F1699F" w:rsidR="007A3DE2" w:rsidRPr="00167BF3" w:rsidRDefault="007A3DE2" w:rsidP="007A3DE2">
      <w:pPr>
        <w:pStyle w:val="a3"/>
        <w:rPr>
          <w:shd w:val="pct15" w:color="auto" w:fill="FFFFFF"/>
          <w:lang w:val="fr-FR"/>
        </w:rPr>
      </w:pPr>
      <w:r w:rsidRPr="00167BF3">
        <w:rPr>
          <w:shd w:val="pct15" w:color="auto" w:fill="FFFFFF"/>
          <w:lang w:val="fr-FR"/>
        </w:rPr>
        <w:t>Barcelona</w:t>
      </w:r>
    </w:p>
    <w:p w14:paraId="74558AC0" w14:textId="77777777" w:rsidR="007A3DE2" w:rsidRPr="00167BF3" w:rsidRDefault="007A3DE2" w:rsidP="007A3DE2">
      <w:pPr>
        <w:pStyle w:val="a3"/>
        <w:rPr>
          <w:shd w:val="pct15" w:color="auto" w:fill="FFFFFF"/>
          <w:lang w:val="fr-FR"/>
        </w:rPr>
      </w:pPr>
      <w:proofErr w:type="spellStart"/>
      <w:r w:rsidRPr="00167BF3">
        <w:rPr>
          <w:shd w:val="pct15" w:color="auto" w:fill="FFFFFF"/>
          <w:lang w:val="fr-FR"/>
        </w:rPr>
        <w:lastRenderedPageBreak/>
        <w:t>Spanyolország</w:t>
      </w:r>
      <w:proofErr w:type="spellEnd"/>
    </w:p>
    <w:p w14:paraId="740885E1" w14:textId="77777777" w:rsidR="0037407E" w:rsidRPr="00644E8D" w:rsidRDefault="0037407E" w:rsidP="0037407E">
      <w:pPr>
        <w:spacing w:before="14" w:line="240" w:lineRule="exact"/>
        <w:rPr>
          <w:sz w:val="24"/>
          <w:szCs w:val="24"/>
          <w:lang w:val="fr-FR"/>
        </w:rPr>
      </w:pPr>
    </w:p>
    <w:p w14:paraId="06050D11" w14:textId="77777777" w:rsidR="0037407E" w:rsidRDefault="0037407E" w:rsidP="0037407E">
      <w:pPr>
        <w:pStyle w:val="a3"/>
        <w:rPr>
          <w:lang w:val="hu-HU"/>
        </w:rPr>
      </w:pPr>
      <w:r>
        <w:rPr>
          <w:rFonts w:eastAsia="Times New Roman"/>
          <w:lang w:val="hu-HU"/>
        </w:rPr>
        <w:t>A készítményhez kapcsolódó további kérdéseivel forduljon a forgalomba hozatali engedély jogosultjának helyi képviseletéhez:</w:t>
      </w:r>
    </w:p>
    <w:p w14:paraId="0AD2F043" w14:textId="77777777" w:rsidR="0037407E" w:rsidRDefault="0037407E" w:rsidP="0037407E">
      <w:pPr>
        <w:numPr>
          <w:ilvl w:val="12"/>
          <w:numId w:val="0"/>
        </w:numPr>
        <w:ind w:right="-2"/>
        <w:rPr>
          <w:rFonts w:ascii="Times New Roman" w:hAnsi="Times New Roman" w:cs="Times New Roman"/>
          <w:b/>
          <w:noProof/>
          <w:lang w:val="hu-HU"/>
        </w:rPr>
      </w:pPr>
    </w:p>
    <w:tbl>
      <w:tblPr>
        <w:tblW w:w="5000" w:type="pct"/>
        <w:tblLook w:val="04A0" w:firstRow="1" w:lastRow="0" w:firstColumn="1" w:lastColumn="0" w:noHBand="0" w:noVBand="1"/>
      </w:tblPr>
      <w:tblGrid>
        <w:gridCol w:w="4800"/>
        <w:gridCol w:w="4800"/>
      </w:tblGrid>
      <w:tr w:rsidR="0037407E" w14:paraId="16B0FC28" w14:textId="77777777" w:rsidTr="007E7849">
        <w:tc>
          <w:tcPr>
            <w:tcW w:w="2500" w:type="pct"/>
            <w:hideMark/>
          </w:tcPr>
          <w:p w14:paraId="5957FED3" w14:textId="77777777" w:rsidR="0037407E" w:rsidRDefault="0037407E" w:rsidP="007E7849">
            <w:pPr>
              <w:rPr>
                <w:rFonts w:ascii="Times New Roman" w:hAnsi="Times New Roman" w:cs="Times New Roman"/>
                <w:b/>
                <w:noProof/>
                <w:lang w:val="hu-HU" w:eastAsia="fr-FR"/>
              </w:rPr>
            </w:pPr>
            <w:r>
              <w:rPr>
                <w:rFonts w:ascii="Times New Roman" w:eastAsia="맑은 고딕" w:hAnsi="Times New Roman" w:cs="Times New Roman"/>
                <w:b/>
                <w:noProof/>
                <w:lang w:val="hu-HU" w:eastAsia="fr-FR"/>
              </w:rPr>
              <w:t>België/Belgique/Belgien</w:t>
            </w:r>
          </w:p>
          <w:p w14:paraId="1FD7BF3E" w14:textId="77777777" w:rsidR="0037407E" w:rsidRDefault="0037407E" w:rsidP="007E7849">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Belgium BVBA</w:t>
            </w:r>
          </w:p>
          <w:p w14:paraId="32D07827" w14:textId="77777777" w:rsidR="0037407E" w:rsidRDefault="0037407E" w:rsidP="007E7849">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Tél/Tel: + 32 1528 7418</w:t>
            </w:r>
          </w:p>
          <w:p w14:paraId="029E46B7" w14:textId="77777777" w:rsidR="0037407E" w:rsidRDefault="0037407E" w:rsidP="007E7849">
            <w:pPr>
              <w:rPr>
                <w:rFonts w:ascii="Times New Roman" w:eastAsia="맑은 고딕" w:hAnsi="Times New Roman" w:cs="Times New Roman"/>
                <w:noProof/>
                <w:lang w:val="hu-HU" w:eastAsia="ko-KR"/>
              </w:rPr>
            </w:pPr>
          </w:p>
        </w:tc>
        <w:tc>
          <w:tcPr>
            <w:tcW w:w="2500" w:type="pct"/>
          </w:tcPr>
          <w:p w14:paraId="0D0B8618" w14:textId="77777777" w:rsidR="0037407E" w:rsidRDefault="0037407E" w:rsidP="007E7849">
            <w:pPr>
              <w:tabs>
                <w:tab w:val="left" w:pos="-720"/>
              </w:tabs>
              <w:suppressAutoHyphens/>
              <w:rPr>
                <w:rFonts w:ascii="Times New Roman" w:hAnsi="Times New Roman" w:cs="Times New Roman"/>
                <w:b/>
                <w:noProof/>
                <w:lang w:val="hu-HU" w:eastAsia="fr-FR"/>
              </w:rPr>
            </w:pPr>
            <w:r>
              <w:rPr>
                <w:rFonts w:ascii="Times New Roman" w:hAnsi="Times New Roman" w:cs="Times New Roman"/>
                <w:b/>
                <w:noProof/>
                <w:lang w:val="hu-HU" w:eastAsia="fr-FR"/>
              </w:rPr>
              <w:t>Lietuva</w:t>
            </w:r>
          </w:p>
          <w:p w14:paraId="0E23EF43" w14:textId="77777777" w:rsidR="0037407E" w:rsidRDefault="0037407E" w:rsidP="007E7849">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139E8BB7" w14:textId="77777777" w:rsidR="0037407E" w:rsidRDefault="0037407E" w:rsidP="007E7849">
            <w:pPr>
              <w:tabs>
                <w:tab w:val="left" w:pos="-720"/>
              </w:tabs>
              <w:suppressAutoHyphens/>
              <w:rPr>
                <w:rFonts w:ascii="Times New Roman" w:hAnsi="Times New Roman" w:cs="Times New Roman"/>
                <w:noProof/>
                <w:lang w:val="hu-HU" w:eastAsia="fr-FR"/>
              </w:rPr>
            </w:pPr>
            <w:r w:rsidRPr="00EF4B09">
              <w:rPr>
                <w:rFonts w:ascii="Times New Roman" w:eastAsia="맑은 고딕" w:hAnsi="Times New Roman" w:cs="Times New Roman"/>
                <w:noProof/>
                <w:lang w:eastAsia="fr-FR"/>
              </w:rPr>
              <w:t xml:space="preserve">Tel.: </w:t>
            </w:r>
            <w:r>
              <w:rPr>
                <w:rFonts w:ascii="Times New Roman" w:eastAsia="맑은 고딕" w:hAnsi="Times New Roman" w:cs="Times New Roman"/>
                <w:noProof/>
                <w:lang w:eastAsia="fr-FR"/>
              </w:rPr>
              <w:t>+36 1 231 0493</w:t>
            </w:r>
          </w:p>
          <w:p w14:paraId="4462A06B" w14:textId="77777777" w:rsidR="0037407E" w:rsidRPr="00120A76" w:rsidRDefault="0037407E" w:rsidP="007E7849">
            <w:pPr>
              <w:autoSpaceDE w:val="0"/>
              <w:autoSpaceDN w:val="0"/>
              <w:adjustRightInd w:val="0"/>
              <w:rPr>
                <w:rFonts w:ascii="Times New Roman" w:hAnsi="Times New Roman" w:cs="Times New Roman"/>
                <w:noProof/>
                <w:lang w:val="hu-HU" w:eastAsia="fr-FR"/>
              </w:rPr>
            </w:pPr>
          </w:p>
        </w:tc>
      </w:tr>
      <w:tr w:rsidR="0037407E" w14:paraId="7AB1A0C9" w14:textId="77777777" w:rsidTr="007E7849">
        <w:trPr>
          <w:trHeight w:val="619"/>
        </w:trPr>
        <w:tc>
          <w:tcPr>
            <w:tcW w:w="2500" w:type="pct"/>
          </w:tcPr>
          <w:p w14:paraId="1EC64D12" w14:textId="77777777" w:rsidR="0037407E" w:rsidRDefault="0037407E" w:rsidP="002C78FA">
            <w:pPr>
              <w:keepNext/>
              <w:keepLines/>
              <w:rPr>
                <w:rFonts w:ascii="Times New Roman" w:eastAsia="맑은 고딕" w:hAnsi="Times New Roman" w:cs="Times New Roman"/>
                <w:b/>
                <w:noProof/>
                <w:lang w:val="hu-HU" w:eastAsia="fr-FR"/>
              </w:rPr>
            </w:pPr>
            <w:r>
              <w:rPr>
                <w:rFonts w:ascii="Times New Roman" w:hAnsi="Times New Roman" w:cs="Times New Roman"/>
                <w:b/>
                <w:bCs/>
                <w:lang w:val="hu-HU"/>
              </w:rPr>
              <w:t>България</w:t>
            </w:r>
          </w:p>
          <w:p w14:paraId="38876A68" w14:textId="77777777" w:rsidR="0037407E" w:rsidRDefault="0037407E" w:rsidP="002C78FA">
            <w:pPr>
              <w:keepNext/>
              <w:keepLines/>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3E09DA78" w14:textId="77777777" w:rsidR="0037407E" w:rsidRPr="00120A76" w:rsidRDefault="0037407E" w:rsidP="002C78FA">
            <w:pPr>
              <w:keepNext/>
              <w:keepLines/>
              <w:rPr>
                <w:rFonts w:ascii="Times New Roman" w:hAnsi="Times New Roman" w:cs="Times New Roman"/>
                <w:noProof/>
                <w:lang w:val="hu-HU" w:eastAsia="fr-FR"/>
              </w:rPr>
            </w:pPr>
            <w:r w:rsidRPr="00F814F0">
              <w:rPr>
                <w:rFonts w:ascii="Times New Roman" w:eastAsia="맑은 고딕" w:hAnsi="Times New Roman" w:cs="Times New Roman"/>
                <w:noProof/>
                <w:lang w:eastAsia="fr-FR"/>
              </w:rPr>
              <w:t xml:space="preserve">Teл.: </w:t>
            </w:r>
            <w:r>
              <w:rPr>
                <w:rFonts w:ascii="Times New Roman" w:eastAsia="맑은 고딕" w:hAnsi="Times New Roman" w:cs="Times New Roman"/>
                <w:noProof/>
                <w:lang w:eastAsia="fr-FR"/>
              </w:rPr>
              <w:t>+36 1 231 0493</w:t>
            </w:r>
          </w:p>
        </w:tc>
        <w:tc>
          <w:tcPr>
            <w:tcW w:w="2500" w:type="pct"/>
            <w:hideMark/>
          </w:tcPr>
          <w:p w14:paraId="1B0EFA66" w14:textId="77777777" w:rsidR="0037407E" w:rsidRDefault="0037407E" w:rsidP="002C78FA">
            <w:pPr>
              <w:keepNext/>
              <w:keepLines/>
              <w:tabs>
                <w:tab w:val="left" w:pos="-720"/>
              </w:tabs>
              <w:suppressAutoHyphens/>
              <w:rPr>
                <w:rFonts w:ascii="Times New Roman" w:hAnsi="Times New Roman" w:cs="Times New Roman"/>
                <w:noProof/>
                <w:lang w:val="hu-HU" w:eastAsia="fr-FR"/>
              </w:rPr>
            </w:pPr>
            <w:r>
              <w:rPr>
                <w:rFonts w:ascii="Times New Roman" w:eastAsia="맑은 고딕" w:hAnsi="Times New Roman" w:cs="Times New Roman"/>
                <w:b/>
                <w:noProof/>
                <w:lang w:val="hu-HU" w:eastAsia="fr-FR"/>
              </w:rPr>
              <w:t>Luxembourg/Luxemburg</w:t>
            </w:r>
          </w:p>
          <w:p w14:paraId="28A8D580" w14:textId="77777777" w:rsidR="0037407E" w:rsidRDefault="0037407E" w:rsidP="002C78FA">
            <w:pPr>
              <w:keepNext/>
              <w:keepLine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Belgium BVBA</w:t>
            </w:r>
          </w:p>
          <w:p w14:paraId="70135D0C" w14:textId="77777777" w:rsidR="0037407E" w:rsidRDefault="0037407E" w:rsidP="002C78FA">
            <w:pPr>
              <w:keepNext/>
              <w:keepLines/>
              <w:tabs>
                <w:tab w:val="left" w:pos="-720"/>
              </w:tabs>
              <w:suppressAutoHyphen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Tél/Tel: + 32 1528 7418</w:t>
            </w:r>
          </w:p>
          <w:p w14:paraId="31E5957D" w14:textId="77777777" w:rsidR="0037407E" w:rsidRDefault="0037407E" w:rsidP="002C78FA">
            <w:pPr>
              <w:keepNext/>
              <w:keepLines/>
              <w:tabs>
                <w:tab w:val="left" w:pos="-720"/>
              </w:tabs>
              <w:suppressAutoHyphens/>
              <w:rPr>
                <w:rFonts w:ascii="Times New Roman" w:eastAsia="맑은 고딕" w:hAnsi="Times New Roman" w:cs="Times New Roman"/>
                <w:lang w:val="hu-HU" w:eastAsia="ko-KR"/>
              </w:rPr>
            </w:pPr>
          </w:p>
          <w:p w14:paraId="4FA4A743" w14:textId="77777777" w:rsidR="0037407E" w:rsidRDefault="0037407E" w:rsidP="002C78FA">
            <w:pPr>
              <w:keepNext/>
              <w:keepLines/>
              <w:tabs>
                <w:tab w:val="left" w:pos="-720"/>
              </w:tabs>
              <w:suppressAutoHyphens/>
              <w:rPr>
                <w:rFonts w:ascii="Times New Roman" w:eastAsia="맑은 고딕" w:hAnsi="Times New Roman" w:cs="Times New Roman"/>
                <w:lang w:val="hu-HU" w:eastAsia="ko-KR"/>
              </w:rPr>
            </w:pPr>
          </w:p>
        </w:tc>
      </w:tr>
      <w:tr w:rsidR="0037407E" w14:paraId="19DE5300" w14:textId="77777777" w:rsidTr="007E7849">
        <w:tc>
          <w:tcPr>
            <w:tcW w:w="2500" w:type="pct"/>
            <w:hideMark/>
          </w:tcPr>
          <w:p w14:paraId="0B722AFF" w14:textId="77777777" w:rsidR="0037407E" w:rsidRDefault="0037407E" w:rsidP="007E7849">
            <w:pPr>
              <w:tabs>
                <w:tab w:val="left" w:pos="-720"/>
              </w:tabs>
              <w:suppressAutoHyphens/>
              <w:rPr>
                <w:rFonts w:ascii="Times New Roman" w:eastAsia="맑은 고딕" w:hAnsi="Times New Roman" w:cs="Times New Roman"/>
                <w:b/>
                <w:noProof/>
                <w:lang w:val="hu-HU" w:eastAsia="fr-FR"/>
              </w:rPr>
            </w:pPr>
            <w:r>
              <w:rPr>
                <w:rFonts w:ascii="Times New Roman" w:eastAsia="맑은 고딕" w:hAnsi="Times New Roman" w:cs="Times New Roman"/>
                <w:b/>
                <w:noProof/>
                <w:lang w:val="hu-HU" w:eastAsia="fr-FR"/>
              </w:rPr>
              <w:t>Česká republika</w:t>
            </w:r>
          </w:p>
          <w:p w14:paraId="35E8225F" w14:textId="77777777" w:rsidR="0037407E" w:rsidRDefault="0037407E" w:rsidP="007E7849">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257B7705" w14:textId="77777777" w:rsidR="0037407E" w:rsidRPr="00120A76" w:rsidRDefault="0037407E" w:rsidP="007E7849">
            <w:pPr>
              <w:tabs>
                <w:tab w:val="left" w:pos="-720"/>
              </w:tabs>
              <w:suppressAutoHyphens/>
              <w:rPr>
                <w:rFonts w:ascii="Times New Roman" w:hAnsi="Times New Roman" w:cs="Times New Roman"/>
                <w:noProof/>
                <w:lang w:val="hu-HU" w:eastAsia="fr-FR"/>
              </w:rPr>
            </w:pPr>
            <w:r w:rsidRPr="00EF4B09">
              <w:rPr>
                <w:rFonts w:ascii="Times New Roman" w:eastAsia="맑은 고딕" w:hAnsi="Times New Roman" w:cs="Times New Roman"/>
                <w:noProof/>
                <w:lang w:eastAsia="fr-FR"/>
              </w:rPr>
              <w:t xml:space="preserve">Tel: </w:t>
            </w:r>
            <w:r>
              <w:rPr>
                <w:rFonts w:ascii="Times New Roman" w:eastAsia="맑은 고딕" w:hAnsi="Times New Roman" w:cs="Times New Roman"/>
                <w:noProof/>
                <w:lang w:eastAsia="fr-FR"/>
              </w:rPr>
              <w:t>+36 1 231 0493</w:t>
            </w:r>
          </w:p>
        </w:tc>
        <w:tc>
          <w:tcPr>
            <w:tcW w:w="2500" w:type="pct"/>
          </w:tcPr>
          <w:p w14:paraId="0C91D2DC" w14:textId="77777777" w:rsidR="0037407E" w:rsidRDefault="0037407E" w:rsidP="007E7849">
            <w:pPr>
              <w:rPr>
                <w:rFonts w:ascii="Times New Roman" w:eastAsia="맑은 고딕" w:hAnsi="Times New Roman" w:cs="Times New Roman"/>
                <w:b/>
                <w:noProof/>
                <w:lang w:val="hu-HU" w:eastAsia="fr-FR"/>
              </w:rPr>
            </w:pPr>
            <w:r>
              <w:rPr>
                <w:rFonts w:ascii="Times New Roman" w:hAnsi="Times New Roman" w:cs="Times New Roman"/>
                <w:b/>
                <w:noProof/>
                <w:lang w:val="hu-HU"/>
              </w:rPr>
              <w:t>Magyarország</w:t>
            </w:r>
          </w:p>
          <w:p w14:paraId="515305CE" w14:textId="77777777" w:rsidR="0037407E" w:rsidRDefault="0037407E" w:rsidP="007E7849">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79129F67" w14:textId="77777777" w:rsidR="0037407E" w:rsidRDefault="0037407E" w:rsidP="007E7849">
            <w:pPr>
              <w:rPr>
                <w:rFonts w:ascii="Times New Roman" w:eastAsia="맑은 고딕" w:hAnsi="Times New Roman" w:cs="Times New Roman"/>
                <w:noProof/>
                <w:lang w:val="hu-HU" w:eastAsia="fr-FR"/>
              </w:rPr>
            </w:pPr>
            <w:r w:rsidRPr="00EF4B09">
              <w:rPr>
                <w:rFonts w:ascii="Times New Roman" w:eastAsia="맑은 고딕" w:hAnsi="Times New Roman" w:cs="Times New Roman"/>
                <w:noProof/>
                <w:lang w:eastAsia="fr-FR"/>
              </w:rPr>
              <w:t xml:space="preserve">Tel.: </w:t>
            </w:r>
            <w:r>
              <w:rPr>
                <w:rFonts w:ascii="Times New Roman" w:eastAsia="맑은 고딕" w:hAnsi="Times New Roman" w:cs="Times New Roman"/>
                <w:noProof/>
                <w:lang w:eastAsia="fr-FR"/>
              </w:rPr>
              <w:t>+36 1 231 0493</w:t>
            </w:r>
          </w:p>
          <w:p w14:paraId="5A7A1E04" w14:textId="77777777" w:rsidR="0037407E" w:rsidRPr="00120A76" w:rsidRDefault="0037407E" w:rsidP="007E7849">
            <w:pPr>
              <w:rPr>
                <w:rFonts w:ascii="Times New Roman" w:eastAsia="맑은 고딕" w:hAnsi="Times New Roman" w:cs="Times New Roman"/>
                <w:noProof/>
                <w:lang w:val="hu-HU" w:eastAsia="ko-KR"/>
              </w:rPr>
            </w:pPr>
          </w:p>
        </w:tc>
      </w:tr>
      <w:tr w:rsidR="009816A0" w14:paraId="321DBBC5" w14:textId="77777777" w:rsidTr="007E7849">
        <w:tc>
          <w:tcPr>
            <w:tcW w:w="2500" w:type="pct"/>
            <w:hideMark/>
          </w:tcPr>
          <w:p w14:paraId="11B7EF8D" w14:textId="77777777" w:rsidR="009816A0" w:rsidRPr="009816A0" w:rsidRDefault="009816A0" w:rsidP="009816A0">
            <w:pPr>
              <w:tabs>
                <w:tab w:val="left" w:pos="-720"/>
              </w:tabs>
              <w:suppressAutoHyphens/>
              <w:rPr>
                <w:rFonts w:ascii="Times New Roman" w:hAnsi="Times New Roman" w:cs="Times New Roman"/>
                <w:b/>
                <w:bCs/>
                <w:i/>
                <w:iCs/>
                <w:noProof/>
                <w:lang w:eastAsia="fr-FR"/>
              </w:rPr>
            </w:pPr>
            <w:r w:rsidRPr="009816A0">
              <w:rPr>
                <w:rFonts w:ascii="Times New Roman" w:hAnsi="Times New Roman" w:cs="Times New Roman"/>
                <w:b/>
                <w:noProof/>
              </w:rPr>
              <w:t>Danmark</w:t>
            </w:r>
          </w:p>
          <w:p w14:paraId="586DAAB2" w14:textId="289306C3" w:rsidR="009816A0" w:rsidRPr="009816A0" w:rsidRDefault="009816A0" w:rsidP="009816A0">
            <w:pPr>
              <w:tabs>
                <w:tab w:val="left" w:pos="-720"/>
              </w:tabs>
              <w:suppressAutoHyphens/>
              <w:rPr>
                <w:rFonts w:ascii="Times New Roman" w:eastAsia="맑은 고딕" w:hAnsi="Times New Roman" w:cs="Times New Roman"/>
                <w:noProof/>
                <w:lang w:eastAsia="fr-FR"/>
              </w:rPr>
            </w:pPr>
            <w:r w:rsidRPr="009816A0">
              <w:rPr>
                <w:rFonts w:ascii="Times New Roman" w:eastAsia="맑은 고딕" w:hAnsi="Times New Roman" w:cs="Times New Roman"/>
                <w:noProof/>
                <w:lang w:eastAsia="fr-FR"/>
              </w:rPr>
              <w:t>Celltrion Healthcare Denmark ApS</w:t>
            </w:r>
          </w:p>
          <w:p w14:paraId="6B5D3398" w14:textId="77777777" w:rsidR="00DB7244" w:rsidRPr="006C0F01" w:rsidRDefault="00DB7244" w:rsidP="00DB7244">
            <w:pPr>
              <w:tabs>
                <w:tab w:val="left" w:pos="-720"/>
              </w:tabs>
              <w:suppressAutoHyphens/>
              <w:rPr>
                <w:rFonts w:ascii="Times New Roman" w:eastAsia="맑은 고딕" w:hAnsi="Times New Roman" w:cs="Times New Roman"/>
                <w:noProof/>
                <w:lang w:eastAsia="fr-FR"/>
              </w:rPr>
            </w:pPr>
            <w:r w:rsidRPr="006C0F01">
              <w:rPr>
                <w:rFonts w:ascii="Times New Roman" w:eastAsia="맑은 고딕" w:hAnsi="Times New Roman" w:cs="Times New Roman"/>
                <w:noProof/>
                <w:lang w:eastAsia="fr-FR"/>
              </w:rPr>
              <w:t>Tlf: +</w:t>
            </w:r>
            <w:r w:rsidRPr="006C0F01">
              <w:rPr>
                <w:rFonts w:ascii="Times New Roman" w:eastAsia="맑은 고딕" w:hAnsi="Times New Roman" w:cs="Times New Roman"/>
                <w:noProof/>
                <w:lang w:eastAsia="ko-KR"/>
              </w:rPr>
              <w:t>45 35352989</w:t>
            </w:r>
          </w:p>
          <w:p w14:paraId="5BCAE235" w14:textId="77777777" w:rsidR="009816A0" w:rsidRPr="009816A0" w:rsidRDefault="009816A0" w:rsidP="009816A0">
            <w:pPr>
              <w:tabs>
                <w:tab w:val="left" w:pos="-720"/>
              </w:tabs>
              <w:suppressAutoHyphens/>
              <w:rPr>
                <w:rStyle w:val="ad"/>
                <w:rFonts w:ascii="Times New Roman" w:eastAsia="맑은 고딕" w:hAnsi="Times New Roman" w:cs="Times New Roman"/>
                <w:lang w:eastAsia="ko-KR"/>
              </w:rPr>
            </w:pPr>
            <w:r w:rsidRPr="009816A0">
              <w:rPr>
                <w:rStyle w:val="ad"/>
                <w:rFonts w:ascii="Times New Roman" w:eastAsia="맑은 고딕" w:hAnsi="Times New Roman" w:cs="Times New Roman"/>
                <w:noProof/>
                <w:lang w:eastAsia="ko-KR"/>
              </w:rPr>
              <w:t>Contact_dk@celltrionhc.com</w:t>
            </w:r>
          </w:p>
          <w:p w14:paraId="041E9647" w14:textId="77777777" w:rsidR="009816A0" w:rsidRPr="009816A0" w:rsidRDefault="009816A0" w:rsidP="009816A0">
            <w:pPr>
              <w:tabs>
                <w:tab w:val="left" w:pos="-720"/>
              </w:tabs>
              <w:suppressAutoHyphens/>
              <w:rPr>
                <w:rFonts w:ascii="Times New Roman" w:eastAsia="맑은 고딕" w:hAnsi="Times New Roman" w:cs="Times New Roman"/>
                <w:noProof/>
                <w:lang w:eastAsia="fr-FR"/>
              </w:rPr>
            </w:pPr>
          </w:p>
          <w:p w14:paraId="150E4109" w14:textId="7DF74250" w:rsidR="009816A0" w:rsidRPr="009816A0" w:rsidRDefault="009816A0" w:rsidP="009816A0">
            <w:pPr>
              <w:tabs>
                <w:tab w:val="left" w:pos="-720"/>
              </w:tabs>
              <w:suppressAutoHyphens/>
              <w:rPr>
                <w:rFonts w:ascii="Times New Roman" w:eastAsia="맑은 고딕" w:hAnsi="Times New Roman" w:cs="Times New Roman"/>
                <w:noProof/>
                <w:lang w:val="hu-HU" w:eastAsia="fr-FR"/>
              </w:rPr>
            </w:pPr>
          </w:p>
        </w:tc>
        <w:tc>
          <w:tcPr>
            <w:tcW w:w="2500" w:type="pct"/>
          </w:tcPr>
          <w:p w14:paraId="2477DB57" w14:textId="77777777" w:rsidR="009816A0" w:rsidRPr="009816A0" w:rsidRDefault="009816A0" w:rsidP="009816A0">
            <w:pPr>
              <w:rPr>
                <w:rFonts w:ascii="Times New Roman" w:hAnsi="Times New Roman" w:cs="Times New Roman"/>
                <w:noProof/>
                <w:lang w:eastAsia="fr-FR"/>
              </w:rPr>
            </w:pPr>
            <w:r w:rsidRPr="009816A0">
              <w:rPr>
                <w:rFonts w:ascii="Times New Roman" w:eastAsia="맑은 고딕" w:hAnsi="Times New Roman" w:cs="Times New Roman"/>
                <w:b/>
                <w:noProof/>
                <w:lang w:eastAsia="fr-FR"/>
              </w:rPr>
              <w:t>Malta</w:t>
            </w:r>
          </w:p>
          <w:p w14:paraId="25265F44" w14:textId="77777777" w:rsidR="009816A0" w:rsidRPr="009816A0" w:rsidRDefault="009816A0" w:rsidP="009816A0">
            <w:pPr>
              <w:tabs>
                <w:tab w:val="left" w:pos="-720"/>
              </w:tabs>
              <w:suppressAutoHyphens/>
              <w:rPr>
                <w:rFonts w:ascii="Times New Roman" w:eastAsia="맑은 고딕" w:hAnsi="Times New Roman" w:cs="Times New Roman"/>
                <w:noProof/>
                <w:lang w:eastAsia="fr-FR"/>
              </w:rPr>
            </w:pPr>
            <w:r w:rsidRPr="009816A0">
              <w:rPr>
                <w:rFonts w:ascii="Times New Roman" w:eastAsia="맑은 고딕" w:hAnsi="Times New Roman" w:cs="Times New Roman"/>
                <w:noProof/>
                <w:lang w:eastAsia="fr-FR"/>
              </w:rPr>
              <w:t>Mint Health Ltd.</w:t>
            </w:r>
          </w:p>
          <w:p w14:paraId="4C217231" w14:textId="77777777" w:rsidR="009816A0" w:rsidRPr="009816A0" w:rsidRDefault="009816A0" w:rsidP="009816A0">
            <w:pPr>
              <w:rPr>
                <w:rFonts w:ascii="Times New Roman" w:eastAsia="맑은 고딕" w:hAnsi="Times New Roman" w:cs="Times New Roman"/>
                <w:noProof/>
                <w:lang w:eastAsia="ko-KR"/>
              </w:rPr>
            </w:pPr>
            <w:r w:rsidRPr="009816A0">
              <w:rPr>
                <w:rFonts w:ascii="Times New Roman" w:eastAsia="맑은 고딕" w:hAnsi="Times New Roman" w:cs="Times New Roman"/>
                <w:noProof/>
                <w:lang w:eastAsia="fr-FR"/>
              </w:rPr>
              <w:t>Tel: +356 2093 9800</w:t>
            </w:r>
          </w:p>
          <w:p w14:paraId="58578F35" w14:textId="77777777" w:rsidR="009816A0" w:rsidRPr="009816A0" w:rsidRDefault="009816A0" w:rsidP="009816A0">
            <w:pPr>
              <w:rPr>
                <w:rFonts w:ascii="Times New Roman" w:eastAsia="맑은 고딕" w:hAnsi="Times New Roman" w:cs="Times New Roman"/>
                <w:noProof/>
                <w:lang w:val="hu-HU" w:eastAsia="ko-KR"/>
              </w:rPr>
            </w:pPr>
          </w:p>
        </w:tc>
      </w:tr>
      <w:tr w:rsidR="009816A0" w14:paraId="0CECA3A9" w14:textId="77777777" w:rsidTr="007E7849">
        <w:tc>
          <w:tcPr>
            <w:tcW w:w="2500" w:type="pct"/>
            <w:hideMark/>
          </w:tcPr>
          <w:p w14:paraId="78FC53EA" w14:textId="77777777" w:rsidR="009816A0" w:rsidRPr="009816A0" w:rsidRDefault="009816A0" w:rsidP="009816A0">
            <w:pPr>
              <w:rPr>
                <w:rFonts w:ascii="Times New Roman" w:hAnsi="Times New Roman" w:cs="Times New Roman"/>
                <w:b/>
                <w:noProof/>
                <w:lang w:eastAsia="fr-FR"/>
              </w:rPr>
            </w:pPr>
            <w:r w:rsidRPr="009816A0">
              <w:rPr>
                <w:rFonts w:ascii="Times New Roman" w:eastAsia="맑은 고딕" w:hAnsi="Times New Roman" w:cs="Times New Roman"/>
                <w:b/>
                <w:noProof/>
                <w:lang w:eastAsia="fr-FR"/>
              </w:rPr>
              <w:t>Deutschland</w:t>
            </w:r>
          </w:p>
          <w:p w14:paraId="032C3D4F" w14:textId="77777777" w:rsidR="009816A0" w:rsidRPr="009816A0" w:rsidRDefault="009816A0" w:rsidP="009816A0">
            <w:pPr>
              <w:rPr>
                <w:rFonts w:ascii="Times New Roman" w:hAnsi="Times New Roman" w:cs="Times New Roman"/>
                <w:noProof/>
                <w:lang w:eastAsia="ko-KR"/>
              </w:rPr>
            </w:pPr>
            <w:r w:rsidRPr="009816A0">
              <w:rPr>
                <w:rFonts w:ascii="Times New Roman" w:hAnsi="Times New Roman" w:cs="Times New Roman"/>
                <w:noProof/>
                <w:lang w:eastAsia="ko-KR"/>
              </w:rPr>
              <w:t xml:space="preserve">Celltrion Healthcare Deutschland </w:t>
            </w:r>
            <w:r w:rsidRPr="009816A0">
              <w:rPr>
                <w:rFonts w:ascii="Times New Roman" w:eastAsia="바탕" w:hAnsi="Times New Roman" w:cs="Times New Roman"/>
                <w:noProof/>
                <w:lang w:eastAsia="ko-KR"/>
              </w:rPr>
              <w:t>GmbH</w:t>
            </w:r>
          </w:p>
          <w:p w14:paraId="5338B892" w14:textId="0C5D71CD" w:rsidR="009816A0" w:rsidRPr="009816A0" w:rsidRDefault="009816A0" w:rsidP="009816A0">
            <w:pPr>
              <w:tabs>
                <w:tab w:val="left" w:pos="-720"/>
              </w:tabs>
              <w:suppressAutoHyphens/>
              <w:rPr>
                <w:rFonts w:ascii="Times New Roman" w:hAnsi="Times New Roman" w:cs="Times New Roman"/>
                <w:noProof/>
                <w:lang w:eastAsia="ko-KR"/>
              </w:rPr>
            </w:pPr>
            <w:r w:rsidRPr="009816A0">
              <w:rPr>
                <w:rFonts w:ascii="Times New Roman" w:hAnsi="Times New Roman" w:cs="Times New Roman"/>
                <w:noProof/>
                <w:lang w:eastAsia="ko-KR"/>
              </w:rPr>
              <w:t>T</w:t>
            </w:r>
            <w:r w:rsidR="0004011B">
              <w:rPr>
                <w:rFonts w:ascii="Times New Roman" w:hAnsi="Times New Roman" w:cs="Times New Roman" w:hint="eastAsia"/>
                <w:noProof/>
                <w:lang w:eastAsia="ko-KR"/>
              </w:rPr>
              <w:t>e</w:t>
            </w:r>
            <w:r w:rsidRPr="009816A0">
              <w:rPr>
                <w:rFonts w:ascii="Times New Roman" w:hAnsi="Times New Roman" w:cs="Times New Roman"/>
                <w:noProof/>
                <w:lang w:eastAsia="ko-KR"/>
              </w:rPr>
              <w:t>l.: +49 (0)30 346494150</w:t>
            </w:r>
          </w:p>
          <w:p w14:paraId="420D8DB6" w14:textId="77777777" w:rsidR="009816A0" w:rsidRPr="009816A0" w:rsidRDefault="009816A0" w:rsidP="009816A0">
            <w:pPr>
              <w:tabs>
                <w:tab w:val="left" w:pos="-720"/>
              </w:tabs>
              <w:suppressAutoHyphens/>
              <w:rPr>
                <w:rFonts w:ascii="Times New Roman" w:eastAsia="맑은 고딕" w:hAnsi="Times New Roman" w:cs="Times New Roman"/>
                <w:noProof/>
                <w:lang w:eastAsia="ko-KR"/>
              </w:rPr>
            </w:pPr>
            <w:hyperlink r:id="rId137" w:history="1">
              <w:r w:rsidRPr="009816A0">
                <w:rPr>
                  <w:rStyle w:val="ad"/>
                  <w:rFonts w:ascii="Times New Roman" w:eastAsia="맑은 고딕" w:hAnsi="Times New Roman" w:cs="Times New Roman"/>
                  <w:noProof/>
                  <w:lang w:eastAsia="ko-KR"/>
                </w:rPr>
                <w:t>infoDE@celltrionhc.com</w:t>
              </w:r>
            </w:hyperlink>
          </w:p>
          <w:p w14:paraId="1D025357" w14:textId="77777777" w:rsidR="009816A0" w:rsidRPr="009816A0" w:rsidRDefault="009816A0" w:rsidP="009816A0">
            <w:pPr>
              <w:tabs>
                <w:tab w:val="left" w:pos="-720"/>
              </w:tabs>
              <w:suppressAutoHyphens/>
              <w:rPr>
                <w:rFonts w:ascii="Times New Roman" w:eastAsia="맑은 고딕" w:hAnsi="Times New Roman" w:cs="Times New Roman"/>
                <w:noProof/>
                <w:lang w:eastAsia="ko-KR"/>
              </w:rPr>
            </w:pPr>
          </w:p>
          <w:p w14:paraId="439E13DA" w14:textId="3A26AE5F" w:rsidR="009816A0" w:rsidRPr="009816A0" w:rsidRDefault="009816A0" w:rsidP="009816A0">
            <w:pPr>
              <w:tabs>
                <w:tab w:val="left" w:pos="-720"/>
              </w:tabs>
              <w:suppressAutoHyphens/>
              <w:rPr>
                <w:rFonts w:ascii="Times New Roman" w:eastAsia="맑은 고딕" w:hAnsi="Times New Roman" w:cs="Times New Roman"/>
                <w:noProof/>
                <w:lang w:val="hu-HU" w:eastAsia="fr-FR"/>
              </w:rPr>
            </w:pPr>
          </w:p>
        </w:tc>
        <w:tc>
          <w:tcPr>
            <w:tcW w:w="2500" w:type="pct"/>
          </w:tcPr>
          <w:p w14:paraId="7D43EA5F" w14:textId="77777777" w:rsidR="009816A0" w:rsidRPr="009816A0" w:rsidRDefault="009816A0" w:rsidP="009816A0">
            <w:pPr>
              <w:rPr>
                <w:rFonts w:ascii="Times New Roman" w:hAnsi="Times New Roman" w:cs="Times New Roman"/>
                <w:noProof/>
                <w:lang w:eastAsia="fr-FR"/>
              </w:rPr>
            </w:pPr>
            <w:r w:rsidRPr="009816A0">
              <w:rPr>
                <w:rFonts w:ascii="Times New Roman" w:eastAsia="맑은 고딕" w:hAnsi="Times New Roman" w:cs="Times New Roman"/>
                <w:b/>
                <w:noProof/>
                <w:lang w:eastAsia="fr-FR"/>
              </w:rPr>
              <w:t>Nederland</w:t>
            </w:r>
          </w:p>
          <w:p w14:paraId="31834070" w14:textId="77777777" w:rsidR="009816A0" w:rsidRPr="009816A0" w:rsidRDefault="009816A0" w:rsidP="009816A0">
            <w:pPr>
              <w:rPr>
                <w:rFonts w:ascii="Times New Roman" w:eastAsia="맑은 고딕" w:hAnsi="Times New Roman" w:cs="Times New Roman"/>
                <w:noProof/>
                <w:lang w:eastAsia="fr-FR"/>
              </w:rPr>
            </w:pPr>
            <w:r w:rsidRPr="009816A0">
              <w:rPr>
                <w:rFonts w:ascii="Times New Roman" w:eastAsia="맑은 고딕" w:hAnsi="Times New Roman" w:cs="Times New Roman"/>
                <w:noProof/>
                <w:lang w:eastAsia="fr-FR"/>
              </w:rPr>
              <w:t>Celltrion Healthcare Netherlands B.V.</w:t>
            </w:r>
          </w:p>
          <w:p w14:paraId="134BE155" w14:textId="77777777" w:rsidR="009816A0" w:rsidRPr="009816A0" w:rsidRDefault="009816A0" w:rsidP="009816A0">
            <w:pPr>
              <w:rPr>
                <w:rFonts w:ascii="Times New Roman" w:eastAsia="맑은 고딕" w:hAnsi="Times New Roman" w:cs="Times New Roman"/>
                <w:noProof/>
                <w:lang w:eastAsia="fr-FR"/>
              </w:rPr>
            </w:pPr>
            <w:r w:rsidRPr="009816A0">
              <w:rPr>
                <w:rFonts w:ascii="Times New Roman" w:eastAsia="맑은 고딕" w:hAnsi="Times New Roman" w:cs="Times New Roman"/>
                <w:noProof/>
                <w:lang w:eastAsia="fr-FR"/>
              </w:rPr>
              <w:t>Tel: + 31 20 888 7300</w:t>
            </w:r>
          </w:p>
          <w:p w14:paraId="163BBDCA" w14:textId="77777777" w:rsidR="009816A0" w:rsidRPr="009816A0" w:rsidRDefault="009816A0" w:rsidP="009816A0">
            <w:pPr>
              <w:rPr>
                <w:rFonts w:ascii="Times New Roman" w:eastAsia="맑은 고딕" w:hAnsi="Times New Roman" w:cs="Times New Roman"/>
                <w:noProof/>
                <w:lang w:val="hu-HU" w:eastAsia="fr-FR"/>
              </w:rPr>
            </w:pPr>
          </w:p>
        </w:tc>
      </w:tr>
      <w:tr w:rsidR="009816A0" w14:paraId="2AE7E8AA" w14:textId="77777777" w:rsidTr="007E7849">
        <w:tc>
          <w:tcPr>
            <w:tcW w:w="2500" w:type="pct"/>
            <w:hideMark/>
          </w:tcPr>
          <w:p w14:paraId="611028C8" w14:textId="77777777" w:rsidR="009816A0" w:rsidRPr="009816A0" w:rsidRDefault="009816A0" w:rsidP="009816A0">
            <w:pPr>
              <w:tabs>
                <w:tab w:val="left" w:pos="-720"/>
                <w:tab w:val="left" w:pos="4536"/>
              </w:tabs>
              <w:suppressAutoHyphens/>
              <w:rPr>
                <w:rFonts w:ascii="Times New Roman" w:hAnsi="Times New Roman" w:cs="Times New Roman"/>
                <w:b/>
                <w:noProof/>
                <w:lang w:val="en-GB" w:eastAsia="fr-FR"/>
              </w:rPr>
            </w:pPr>
            <w:r w:rsidRPr="009816A0">
              <w:rPr>
                <w:rFonts w:ascii="Times New Roman" w:eastAsia="맑은 고딕" w:hAnsi="Times New Roman" w:cs="Times New Roman"/>
                <w:b/>
                <w:noProof/>
                <w:lang w:val="en-GB" w:eastAsia="fr-FR"/>
              </w:rPr>
              <w:t>Eesti</w:t>
            </w:r>
          </w:p>
          <w:p w14:paraId="43F9759F" w14:textId="77777777" w:rsidR="009816A0" w:rsidRPr="009816A0" w:rsidRDefault="009816A0" w:rsidP="009816A0">
            <w:pPr>
              <w:rPr>
                <w:rFonts w:ascii="Times New Roman" w:eastAsia="맑은 고딕" w:hAnsi="Times New Roman" w:cs="Times New Roman"/>
                <w:noProof/>
                <w:lang w:val="en-GB" w:eastAsia="fr-FR"/>
              </w:rPr>
            </w:pPr>
            <w:r w:rsidRPr="009816A0">
              <w:rPr>
                <w:rFonts w:ascii="Times New Roman" w:eastAsia="맑은 고딕" w:hAnsi="Times New Roman" w:cs="Times New Roman"/>
                <w:noProof/>
                <w:lang w:val="en-GB" w:eastAsia="fr-FR"/>
              </w:rPr>
              <w:t>Celltrion Healthcare Hungary Kft.</w:t>
            </w:r>
          </w:p>
          <w:p w14:paraId="54221CFE" w14:textId="77777777" w:rsidR="009816A0" w:rsidRPr="009816A0" w:rsidRDefault="009816A0" w:rsidP="009816A0">
            <w:pPr>
              <w:tabs>
                <w:tab w:val="left" w:pos="-720"/>
              </w:tabs>
              <w:suppressAutoHyphens/>
              <w:rPr>
                <w:rFonts w:ascii="Times New Roman" w:eastAsia="맑은 고딕" w:hAnsi="Times New Roman" w:cs="Times New Roman"/>
                <w:noProof/>
                <w:lang w:val="fi-FI" w:eastAsia="fr-FR"/>
              </w:rPr>
            </w:pPr>
            <w:r w:rsidRPr="009816A0">
              <w:rPr>
                <w:rFonts w:ascii="Times New Roman" w:eastAsia="맑은 고딕" w:hAnsi="Times New Roman" w:cs="Times New Roman"/>
                <w:noProof/>
                <w:lang w:eastAsia="fr-FR"/>
              </w:rPr>
              <w:t xml:space="preserve">Tel: </w:t>
            </w:r>
            <w:r w:rsidRPr="009816A0">
              <w:rPr>
                <w:rFonts w:ascii="Times New Roman" w:eastAsia="맑은 고딕" w:hAnsi="Times New Roman" w:cs="Times New Roman"/>
                <w:noProof/>
                <w:lang w:val="fi-FI" w:eastAsia="fr-FR"/>
              </w:rPr>
              <w:t>+36 1 231 0493</w:t>
            </w:r>
          </w:p>
          <w:p w14:paraId="4B3B0809" w14:textId="77777777" w:rsidR="009816A0" w:rsidRPr="009816A0" w:rsidRDefault="009816A0" w:rsidP="009816A0">
            <w:pPr>
              <w:tabs>
                <w:tab w:val="left" w:pos="-720"/>
              </w:tabs>
              <w:suppressAutoHyphens/>
              <w:rPr>
                <w:rFonts w:ascii="Times New Roman" w:eastAsia="맑은 고딕" w:hAnsi="Times New Roman" w:cs="Times New Roman"/>
                <w:noProof/>
                <w:lang w:val="hu-HU" w:eastAsia="ko-KR"/>
              </w:rPr>
            </w:pPr>
          </w:p>
        </w:tc>
        <w:tc>
          <w:tcPr>
            <w:tcW w:w="2500" w:type="pct"/>
          </w:tcPr>
          <w:p w14:paraId="3BBF1A02" w14:textId="77777777" w:rsidR="009816A0" w:rsidRPr="009816A0" w:rsidRDefault="009816A0" w:rsidP="009816A0">
            <w:pPr>
              <w:tabs>
                <w:tab w:val="left" w:pos="-720"/>
              </w:tabs>
              <w:suppressAutoHyphens/>
              <w:rPr>
                <w:rFonts w:ascii="Times New Roman" w:hAnsi="Times New Roman" w:cs="Times New Roman"/>
                <w:noProof/>
                <w:lang w:eastAsia="fr-FR"/>
              </w:rPr>
            </w:pPr>
            <w:r w:rsidRPr="009816A0">
              <w:rPr>
                <w:rFonts w:ascii="Times New Roman" w:eastAsia="맑은 고딕" w:hAnsi="Times New Roman" w:cs="Times New Roman"/>
                <w:b/>
                <w:noProof/>
                <w:lang w:eastAsia="fr-FR"/>
              </w:rPr>
              <w:t>Norge</w:t>
            </w:r>
          </w:p>
          <w:p w14:paraId="2D55A17C" w14:textId="182FEDF0" w:rsidR="009816A0" w:rsidRPr="009816A0" w:rsidRDefault="009816A0" w:rsidP="009816A0">
            <w:pPr>
              <w:rPr>
                <w:rFonts w:ascii="Times New Roman" w:eastAsia="맑은 고딕" w:hAnsi="Times New Roman" w:cs="Times New Roman"/>
                <w:noProof/>
                <w:lang w:eastAsia="fr-FR"/>
              </w:rPr>
            </w:pPr>
            <w:r w:rsidRPr="009816A0">
              <w:rPr>
                <w:rFonts w:ascii="Times New Roman" w:eastAsia="맑은 고딕" w:hAnsi="Times New Roman" w:cs="Times New Roman"/>
                <w:noProof/>
                <w:lang w:eastAsia="fr-FR"/>
              </w:rPr>
              <w:t xml:space="preserve">Celltrion Healthcare </w:t>
            </w:r>
            <w:r w:rsidRPr="009816A0">
              <w:rPr>
                <w:rFonts w:ascii="Times New Roman" w:eastAsia="맑은 고딕" w:hAnsi="Times New Roman" w:cs="Times New Roman"/>
                <w:noProof/>
                <w:lang w:eastAsia="ko-KR"/>
              </w:rPr>
              <w:t>Norway AS</w:t>
            </w:r>
          </w:p>
          <w:p w14:paraId="2C06C690" w14:textId="6A9580CD" w:rsidR="009816A0" w:rsidRPr="009816A0" w:rsidRDefault="009816A0" w:rsidP="009816A0">
            <w:pPr>
              <w:tabs>
                <w:tab w:val="left" w:pos="-720"/>
              </w:tabs>
              <w:suppressAutoHyphens/>
              <w:rPr>
                <w:rStyle w:val="ad"/>
                <w:rFonts w:ascii="Times New Roman" w:eastAsia="맑은 고딕" w:hAnsi="Times New Roman" w:cs="Times New Roman"/>
                <w:lang w:eastAsia="ko-KR"/>
              </w:rPr>
            </w:pPr>
            <w:hyperlink r:id="rId138" w:history="1">
              <w:r w:rsidRPr="009816A0">
                <w:rPr>
                  <w:rStyle w:val="ad"/>
                  <w:rFonts w:ascii="Times New Roman" w:eastAsia="맑은 고딕" w:hAnsi="Times New Roman" w:cs="Times New Roman"/>
                  <w:noProof/>
                  <w:lang w:eastAsia="ko-KR"/>
                </w:rPr>
                <w:t>Contact_no@celltrionhc.com</w:t>
              </w:r>
            </w:hyperlink>
          </w:p>
          <w:p w14:paraId="3205FDD7" w14:textId="77777777" w:rsidR="009816A0" w:rsidRPr="009816A0" w:rsidRDefault="009816A0" w:rsidP="009816A0">
            <w:pPr>
              <w:tabs>
                <w:tab w:val="left" w:pos="-720"/>
              </w:tabs>
              <w:suppressAutoHyphens/>
              <w:rPr>
                <w:rFonts w:ascii="Times New Roman" w:eastAsia="맑은 고딕" w:hAnsi="Times New Roman" w:cs="Times New Roman"/>
                <w:noProof/>
                <w:lang w:val="hu-HU" w:eastAsia="ko-KR"/>
              </w:rPr>
            </w:pPr>
          </w:p>
        </w:tc>
      </w:tr>
      <w:tr w:rsidR="0037407E" w14:paraId="73F853FD" w14:textId="77777777" w:rsidTr="007E7849">
        <w:tc>
          <w:tcPr>
            <w:tcW w:w="2500" w:type="pct"/>
            <w:hideMark/>
          </w:tcPr>
          <w:p w14:paraId="1DD58725" w14:textId="77777777" w:rsidR="0037407E" w:rsidRDefault="0037407E" w:rsidP="007E7849">
            <w:pPr>
              <w:rPr>
                <w:rFonts w:ascii="Times New Roman" w:hAnsi="Times New Roman" w:cs="Times New Roman"/>
                <w:noProof/>
                <w:lang w:val="hu-HU" w:eastAsia="fr-FR"/>
              </w:rPr>
            </w:pPr>
            <w:r>
              <w:rPr>
                <w:rFonts w:ascii="Times New Roman" w:hAnsi="Times New Roman" w:cs="Times New Roman"/>
                <w:b/>
                <w:noProof/>
                <w:lang w:val="hu-HU"/>
              </w:rPr>
              <w:t>España</w:t>
            </w:r>
          </w:p>
          <w:p w14:paraId="23AE5190" w14:textId="77777777" w:rsidR="0037407E" w:rsidRDefault="0037407E" w:rsidP="007E7849">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Kern Pharma, S.L.</w:t>
            </w:r>
          </w:p>
          <w:p w14:paraId="717BC0D9" w14:textId="77777777" w:rsidR="0037407E" w:rsidRDefault="0037407E" w:rsidP="007E7849">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Tel: +34 93 700 2525</w:t>
            </w:r>
          </w:p>
          <w:p w14:paraId="33A2463C" w14:textId="77777777" w:rsidR="0037407E" w:rsidRDefault="0037407E" w:rsidP="007E7849">
            <w:pPr>
              <w:rPr>
                <w:rFonts w:ascii="Times New Roman" w:hAnsi="Times New Roman" w:cs="Times New Roman"/>
                <w:b/>
                <w:noProof/>
                <w:lang w:val="hu-HU" w:eastAsia="fr-FR"/>
              </w:rPr>
            </w:pPr>
          </w:p>
        </w:tc>
        <w:tc>
          <w:tcPr>
            <w:tcW w:w="2500" w:type="pct"/>
          </w:tcPr>
          <w:p w14:paraId="736D39F2" w14:textId="77777777" w:rsidR="0037407E" w:rsidRDefault="0037407E" w:rsidP="007E7849">
            <w:pPr>
              <w:rPr>
                <w:rFonts w:ascii="Times New Roman" w:hAnsi="Times New Roman" w:cs="Times New Roman"/>
                <w:noProof/>
                <w:lang w:val="hu-HU" w:eastAsia="fr-FR"/>
              </w:rPr>
            </w:pPr>
            <w:r>
              <w:rPr>
                <w:rFonts w:ascii="Times New Roman" w:hAnsi="Times New Roman" w:cs="Times New Roman"/>
                <w:b/>
                <w:noProof/>
                <w:lang w:val="hu-HU"/>
              </w:rPr>
              <w:t>Österreich</w:t>
            </w:r>
          </w:p>
          <w:p w14:paraId="4054E410" w14:textId="77777777" w:rsidR="0037407E" w:rsidRDefault="0037407E" w:rsidP="007E7849">
            <w:pPr>
              <w:rPr>
                <w:rFonts w:ascii="Times New Roman" w:eastAsia="맑은 고딕" w:hAnsi="Times New Roman" w:cs="Times New Roman"/>
                <w:noProof/>
                <w:lang w:val="hu-HU" w:eastAsia="ko-KR"/>
              </w:rPr>
            </w:pPr>
            <w:r>
              <w:rPr>
                <w:rFonts w:ascii="Times New Roman" w:eastAsia="맑은 고딕" w:hAnsi="Times New Roman" w:cs="Times New Roman"/>
                <w:noProof/>
                <w:lang w:val="hu-HU" w:eastAsia="fr-FR"/>
              </w:rPr>
              <w:t>Astro-Pharma GmbH</w:t>
            </w:r>
          </w:p>
          <w:p w14:paraId="13BE0A10" w14:textId="77777777" w:rsidR="0037407E" w:rsidRDefault="0037407E" w:rsidP="007E7849">
            <w:pPr>
              <w:tabs>
                <w:tab w:val="left" w:pos="-720"/>
              </w:tabs>
              <w:suppressAutoHyphen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Tel: +43 1 97 99 860</w:t>
            </w:r>
          </w:p>
          <w:p w14:paraId="7C94CFE4" w14:textId="77777777" w:rsidR="0037407E" w:rsidRDefault="0037407E" w:rsidP="007E7849">
            <w:pPr>
              <w:tabs>
                <w:tab w:val="left" w:pos="-720"/>
              </w:tabs>
              <w:suppressAutoHyphens/>
              <w:rPr>
                <w:rFonts w:ascii="Times New Roman" w:hAnsi="Times New Roman" w:cs="Times New Roman"/>
                <w:noProof/>
                <w:lang w:val="hu-HU" w:eastAsia="fr-FR"/>
              </w:rPr>
            </w:pPr>
          </w:p>
        </w:tc>
      </w:tr>
      <w:tr w:rsidR="0037407E" w14:paraId="1AE0CBA0" w14:textId="77777777" w:rsidTr="007E7849">
        <w:tc>
          <w:tcPr>
            <w:tcW w:w="2500" w:type="pct"/>
          </w:tcPr>
          <w:p w14:paraId="18BAFBFC" w14:textId="77777777" w:rsidR="0037407E" w:rsidRDefault="0037407E" w:rsidP="007E7849">
            <w:pPr>
              <w:rPr>
                <w:rFonts w:ascii="Times New Roman" w:hAnsi="Times New Roman" w:cs="Times New Roman"/>
                <w:b/>
                <w:noProof/>
                <w:lang w:val="hu-HU" w:eastAsia="fr-FR"/>
              </w:rPr>
            </w:pPr>
            <w:r>
              <w:rPr>
                <w:rFonts w:ascii="Times New Roman" w:hAnsi="Times New Roman" w:cs="Times New Roman"/>
                <w:b/>
                <w:noProof/>
                <w:lang w:val="hu-HU" w:eastAsia="fr-FR"/>
              </w:rPr>
              <w:t>Ελλάδα</w:t>
            </w:r>
          </w:p>
          <w:p w14:paraId="5861BBC0" w14:textId="77777777" w:rsidR="0037407E" w:rsidRDefault="0037407E" w:rsidP="007E7849">
            <w:pPr>
              <w:rPr>
                <w:rFonts w:ascii="Times New Roman" w:hAnsi="Times New Roman" w:cs="Times New Roman"/>
                <w:noProof/>
                <w:lang w:val="hu-HU" w:eastAsia="fr-FR"/>
              </w:rPr>
            </w:pPr>
            <w:r>
              <w:rPr>
                <w:rFonts w:ascii="Times New Roman" w:hAnsi="Times New Roman" w:cs="Times New Roman"/>
                <w:noProof/>
                <w:lang w:val="hu-HU" w:eastAsia="fr-FR"/>
              </w:rPr>
              <w:t>ΒΙΑΝΕΞ Α.Ε.</w:t>
            </w:r>
          </w:p>
          <w:p w14:paraId="386CA059" w14:textId="02B5CC46" w:rsidR="0037407E" w:rsidRDefault="0037407E" w:rsidP="007E7849">
            <w:pPr>
              <w:rPr>
                <w:rFonts w:ascii="Times New Roman" w:hAnsi="Times New Roman" w:cs="Times New Roman"/>
                <w:noProof/>
                <w:lang w:val="hu-HU" w:eastAsia="fr-FR"/>
              </w:rPr>
            </w:pPr>
            <w:r>
              <w:rPr>
                <w:rFonts w:ascii="Times New Roman" w:hAnsi="Times New Roman" w:cs="Times New Roman"/>
                <w:noProof/>
                <w:lang w:val="hu-HU" w:eastAsia="fr-FR"/>
              </w:rPr>
              <w:t>Τηλ: +30 210 8009111</w:t>
            </w:r>
          </w:p>
          <w:p w14:paraId="3A5049E1" w14:textId="77777777" w:rsidR="0037407E" w:rsidRDefault="0037407E" w:rsidP="007E7849">
            <w:pPr>
              <w:rPr>
                <w:rFonts w:ascii="Times New Roman" w:eastAsia="맑은 고딕" w:hAnsi="Times New Roman" w:cs="Times New Roman"/>
                <w:noProof/>
                <w:lang w:val="hu-HU" w:eastAsia="fr-FR"/>
              </w:rPr>
            </w:pPr>
          </w:p>
        </w:tc>
        <w:tc>
          <w:tcPr>
            <w:tcW w:w="2500" w:type="pct"/>
          </w:tcPr>
          <w:p w14:paraId="352F0485" w14:textId="77777777" w:rsidR="0037407E" w:rsidRDefault="0037407E" w:rsidP="007E7849">
            <w:pPr>
              <w:rPr>
                <w:rFonts w:ascii="Times New Roman" w:eastAsia="맑은 고딕" w:hAnsi="Times New Roman" w:cs="Times New Roman"/>
                <w:b/>
                <w:noProof/>
                <w:lang w:val="hu-HU" w:eastAsia="fr-FR"/>
              </w:rPr>
            </w:pPr>
            <w:r>
              <w:rPr>
                <w:rFonts w:ascii="Times New Roman" w:eastAsia="맑은 고딕" w:hAnsi="Times New Roman" w:cs="Times New Roman"/>
                <w:b/>
                <w:noProof/>
                <w:lang w:val="hu-HU" w:eastAsia="fr-FR"/>
              </w:rPr>
              <w:t>Polska</w:t>
            </w:r>
          </w:p>
          <w:p w14:paraId="67CD3C9A" w14:textId="77777777" w:rsidR="0037407E" w:rsidRDefault="0037407E" w:rsidP="007E7849">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479ADB6D" w14:textId="77777777" w:rsidR="0037407E" w:rsidRPr="00120A76" w:rsidRDefault="0037407E" w:rsidP="007E7849">
            <w:pPr>
              <w:rPr>
                <w:rFonts w:ascii="Times New Roman" w:hAnsi="Times New Roman" w:cs="Times New Roman"/>
                <w:b/>
                <w:noProof/>
                <w:lang w:val="hu-HU"/>
              </w:rPr>
            </w:pPr>
            <w:r w:rsidRPr="00EF4B09">
              <w:rPr>
                <w:rFonts w:ascii="Times New Roman" w:eastAsia="맑은 고딕" w:hAnsi="Times New Roman" w:cs="Times New Roman"/>
                <w:noProof/>
                <w:lang w:eastAsia="fr-FR"/>
              </w:rPr>
              <w:t xml:space="preserve">Tel.: </w:t>
            </w:r>
            <w:r>
              <w:rPr>
                <w:rFonts w:ascii="Times New Roman" w:eastAsia="맑은 고딕" w:hAnsi="Times New Roman" w:cs="Times New Roman"/>
                <w:noProof/>
                <w:lang w:eastAsia="fr-FR"/>
              </w:rPr>
              <w:t>+36 1 231 0493</w:t>
            </w:r>
          </w:p>
        </w:tc>
      </w:tr>
      <w:tr w:rsidR="00887453" w:rsidRPr="00BE4D18" w14:paraId="3C081030" w14:textId="77777777" w:rsidTr="007E7849">
        <w:tc>
          <w:tcPr>
            <w:tcW w:w="2500" w:type="pct"/>
          </w:tcPr>
          <w:p w14:paraId="3CF08999" w14:textId="77777777" w:rsidR="00887453" w:rsidRDefault="00887453" w:rsidP="00887453">
            <w:pPr>
              <w:rPr>
                <w:rFonts w:ascii="Times New Roman" w:hAnsi="Times New Roman" w:cs="Times New Roman"/>
                <w:b/>
                <w:noProof/>
                <w:lang w:val="hu-HU" w:eastAsia="ko-KR"/>
              </w:rPr>
            </w:pPr>
            <w:r>
              <w:rPr>
                <w:rFonts w:ascii="Times New Roman" w:hAnsi="Times New Roman" w:cs="Times New Roman"/>
                <w:b/>
                <w:noProof/>
                <w:lang w:val="hu-HU" w:eastAsia="ko-KR"/>
              </w:rPr>
              <w:t>France</w:t>
            </w:r>
          </w:p>
          <w:p w14:paraId="72DB8F91" w14:textId="2E63753A" w:rsidR="00887453" w:rsidRDefault="00887453" w:rsidP="00887453">
            <w:pPr>
              <w:rPr>
                <w:rFonts w:ascii="Times New Roman" w:hAnsi="Times New Roman" w:cs="Times New Roman"/>
                <w:noProof/>
                <w:lang w:val="hu-HU" w:eastAsia="ko-KR"/>
              </w:rPr>
            </w:pPr>
            <w:r w:rsidRPr="00BB53E6">
              <w:rPr>
                <w:rFonts w:ascii="Times New Roman" w:hAnsi="Times New Roman" w:cs="Times New Roman"/>
                <w:noProof/>
                <w:lang w:val="hu-HU" w:eastAsia="ko-KR"/>
              </w:rPr>
              <w:t>Celltrion Healthcare France SAS</w:t>
            </w:r>
          </w:p>
          <w:p w14:paraId="6C1F9779" w14:textId="77777777" w:rsidR="00887453" w:rsidRDefault="00887453" w:rsidP="00887453">
            <w:pPr>
              <w:rPr>
                <w:rFonts w:ascii="Times New Roman" w:eastAsia="맑은 고딕" w:hAnsi="Times New Roman" w:cs="Times New Roman"/>
                <w:noProof/>
                <w:lang w:val="hu-HU" w:eastAsia="ko-KR"/>
              </w:rPr>
            </w:pPr>
            <w:r>
              <w:rPr>
                <w:rFonts w:ascii="Times New Roman" w:hAnsi="Times New Roman" w:cs="Times New Roman"/>
                <w:noProof/>
                <w:lang w:val="hu-HU" w:eastAsia="ko-KR"/>
              </w:rPr>
              <w:t>T</w:t>
            </w:r>
            <w:r>
              <w:rPr>
                <w:rFonts w:ascii="Times New Roman" w:hAnsi="Times New Roman" w:cs="Times New Roman"/>
                <w:lang w:val="hu-HU"/>
              </w:rPr>
              <w:t>é</w:t>
            </w:r>
            <w:r>
              <w:rPr>
                <w:rFonts w:ascii="Times New Roman" w:hAnsi="Times New Roman" w:cs="Times New Roman"/>
                <w:noProof/>
                <w:lang w:val="hu-HU" w:eastAsia="ko-KR"/>
              </w:rPr>
              <w:t>l.: +33 (0)1 71 25 27 00</w:t>
            </w:r>
          </w:p>
          <w:p w14:paraId="1302E915" w14:textId="77777777" w:rsidR="00887453" w:rsidRDefault="00887453" w:rsidP="00887453">
            <w:pPr>
              <w:rPr>
                <w:rFonts w:ascii="Times New Roman" w:eastAsia="맑은 고딕" w:hAnsi="Times New Roman" w:cs="Times New Roman"/>
                <w:noProof/>
                <w:lang w:val="hu-HU" w:eastAsia="fr-FR"/>
              </w:rPr>
            </w:pPr>
          </w:p>
        </w:tc>
        <w:tc>
          <w:tcPr>
            <w:tcW w:w="2500" w:type="pct"/>
          </w:tcPr>
          <w:p w14:paraId="43179A5B" w14:textId="77777777" w:rsidR="00887453" w:rsidRPr="002F72A3" w:rsidRDefault="00887453" w:rsidP="00887453">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7B897E54" w14:textId="14654520" w:rsidR="00887453" w:rsidRDefault="00887453" w:rsidP="00887453">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64C06495" w14:textId="0C199F04" w:rsidR="00887453" w:rsidRPr="009C0F1B" w:rsidRDefault="00887453" w:rsidP="00887453">
            <w:pPr>
              <w:rPr>
                <w:rFonts w:ascii="Times New Roman" w:eastAsia="맑은 고딕" w:hAnsi="Times New Roman" w:cs="Times New Roman"/>
                <w:noProof/>
                <w:lang w:val="fr-CA" w:eastAsia="fr-FR"/>
              </w:rPr>
            </w:pPr>
            <w:r w:rsidRPr="009C0F1B">
              <w:rPr>
                <w:rFonts w:ascii="Times New Roman" w:eastAsia="맑은 고딕" w:hAnsi="Times New Roman" w:cs="Times New Roman"/>
                <w:noProof/>
                <w:lang w:val="fr-CA" w:eastAsia="fr-FR"/>
              </w:rPr>
              <w:t>Tel: +351 21 936 8542</w:t>
            </w:r>
          </w:p>
          <w:p w14:paraId="7E311538" w14:textId="77777777" w:rsidR="00887453" w:rsidRDefault="00887453" w:rsidP="00887453">
            <w:pPr>
              <w:rPr>
                <w:rFonts w:ascii="Times New Roman" w:hAnsi="Times New Roman" w:cs="Times New Roman"/>
                <w:b/>
                <w:noProof/>
                <w:lang w:val="hu-HU"/>
              </w:rPr>
            </w:pPr>
          </w:p>
        </w:tc>
      </w:tr>
      <w:tr w:rsidR="00887453" w14:paraId="2AA85D0E" w14:textId="77777777" w:rsidTr="007E7849">
        <w:tc>
          <w:tcPr>
            <w:tcW w:w="2500" w:type="pct"/>
          </w:tcPr>
          <w:p w14:paraId="1C61CB3F" w14:textId="77777777" w:rsidR="00887453" w:rsidRDefault="00887453" w:rsidP="00887453">
            <w:pPr>
              <w:rPr>
                <w:rFonts w:ascii="Times New Roman" w:hAnsi="Times New Roman" w:cs="Times New Roman"/>
                <w:b/>
                <w:noProof/>
                <w:lang w:val="hu-HU" w:eastAsia="ko-KR"/>
              </w:rPr>
            </w:pPr>
            <w:r>
              <w:rPr>
                <w:rFonts w:ascii="Times New Roman" w:hAnsi="Times New Roman" w:cs="Times New Roman"/>
                <w:b/>
                <w:noProof/>
                <w:lang w:val="hu-HU" w:eastAsia="ko-KR"/>
              </w:rPr>
              <w:t>Hrvatska</w:t>
            </w:r>
          </w:p>
          <w:p w14:paraId="6EBEE023" w14:textId="77777777" w:rsidR="00887453" w:rsidRDefault="00887453" w:rsidP="00887453">
            <w:pPr>
              <w:rPr>
                <w:rFonts w:ascii="Times New Roman" w:hAnsi="Times New Roman" w:cs="Times New Roman"/>
                <w:noProof/>
                <w:lang w:val="hu-HU" w:eastAsia="ko-KR"/>
              </w:rPr>
            </w:pPr>
            <w:r>
              <w:rPr>
                <w:rFonts w:ascii="Times New Roman" w:hAnsi="Times New Roman" w:cs="Times New Roman"/>
                <w:noProof/>
                <w:lang w:val="hu-HU" w:eastAsia="ko-KR"/>
              </w:rPr>
              <w:t>Oktal Pharma d.o.o.</w:t>
            </w:r>
          </w:p>
          <w:p w14:paraId="2BA99E05" w14:textId="77777777" w:rsidR="00887453" w:rsidRDefault="00887453" w:rsidP="00887453">
            <w:pPr>
              <w:rPr>
                <w:rFonts w:ascii="Times New Roman" w:hAnsi="Times New Roman" w:cs="Times New Roman"/>
                <w:noProof/>
                <w:lang w:val="hu-HU" w:eastAsia="ko-KR"/>
              </w:rPr>
            </w:pPr>
            <w:r>
              <w:rPr>
                <w:rFonts w:ascii="Times New Roman" w:hAnsi="Times New Roman" w:cs="Times New Roman"/>
                <w:noProof/>
                <w:lang w:val="hu-HU" w:eastAsia="ko-KR"/>
              </w:rPr>
              <w:t>Tel: +385 1 6595 777</w:t>
            </w:r>
          </w:p>
          <w:p w14:paraId="251FF0AC" w14:textId="77777777" w:rsidR="00887453" w:rsidRDefault="00887453" w:rsidP="00887453">
            <w:pPr>
              <w:rPr>
                <w:rFonts w:ascii="Times New Roman" w:eastAsia="맑은 고딕" w:hAnsi="Times New Roman" w:cs="Times New Roman"/>
                <w:noProof/>
                <w:lang w:val="hu-HU" w:eastAsia="fr-FR"/>
              </w:rPr>
            </w:pPr>
          </w:p>
        </w:tc>
        <w:tc>
          <w:tcPr>
            <w:tcW w:w="2500" w:type="pct"/>
          </w:tcPr>
          <w:p w14:paraId="5560BB91" w14:textId="77777777" w:rsidR="00887453" w:rsidRDefault="00887453" w:rsidP="00887453">
            <w:pPr>
              <w:tabs>
                <w:tab w:val="left" w:pos="-720"/>
              </w:tabs>
              <w:suppressAutoHyphens/>
              <w:rPr>
                <w:rFonts w:ascii="Times New Roman" w:eastAsia="맑은 고딕" w:hAnsi="Times New Roman" w:cs="Times New Roman"/>
                <w:b/>
                <w:noProof/>
                <w:lang w:val="hu-HU" w:eastAsia="fr-FR"/>
              </w:rPr>
            </w:pPr>
            <w:r>
              <w:rPr>
                <w:rFonts w:ascii="Times New Roman" w:hAnsi="Times New Roman" w:cs="Times New Roman"/>
                <w:b/>
                <w:noProof/>
                <w:lang w:val="hu-HU"/>
              </w:rPr>
              <w:t>România</w:t>
            </w:r>
          </w:p>
          <w:p w14:paraId="7B0895A5" w14:textId="77777777" w:rsidR="00887453" w:rsidRDefault="00887453" w:rsidP="00887453">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1361D155" w14:textId="77777777" w:rsidR="00887453" w:rsidRPr="00120A76" w:rsidRDefault="00887453" w:rsidP="00887453">
            <w:pPr>
              <w:rPr>
                <w:rFonts w:ascii="Times New Roman" w:hAnsi="Times New Roman" w:cs="Times New Roman"/>
                <w:b/>
                <w:noProof/>
                <w:lang w:val="hu-HU"/>
              </w:rPr>
            </w:pPr>
            <w:r w:rsidRPr="00EF4B09">
              <w:rPr>
                <w:rFonts w:ascii="Times New Roman" w:eastAsia="맑은 고딕" w:hAnsi="Times New Roman" w:cs="Times New Roman"/>
                <w:noProof/>
                <w:lang w:eastAsia="fr-FR"/>
              </w:rPr>
              <w:t xml:space="preserve">Tel: </w:t>
            </w:r>
            <w:r>
              <w:rPr>
                <w:rFonts w:ascii="Times New Roman" w:eastAsia="맑은 고딕" w:hAnsi="Times New Roman" w:cs="Times New Roman"/>
                <w:noProof/>
                <w:lang w:eastAsia="fr-FR"/>
              </w:rPr>
              <w:t>+36 1 231 0493</w:t>
            </w:r>
          </w:p>
        </w:tc>
      </w:tr>
      <w:tr w:rsidR="00887453" w14:paraId="295ACA81" w14:textId="77777777" w:rsidTr="007E7849">
        <w:tc>
          <w:tcPr>
            <w:tcW w:w="2500" w:type="pct"/>
          </w:tcPr>
          <w:p w14:paraId="1806BE40" w14:textId="77777777" w:rsidR="00887453" w:rsidRDefault="00887453" w:rsidP="00887453">
            <w:pPr>
              <w:tabs>
                <w:tab w:val="left" w:pos="-720"/>
              </w:tabs>
              <w:suppressAutoHyphens/>
              <w:rPr>
                <w:rFonts w:ascii="Times New Roman" w:hAnsi="Times New Roman" w:cs="Times New Roman"/>
                <w:noProof/>
                <w:lang w:val="hu-HU" w:eastAsia="fr-FR"/>
              </w:rPr>
            </w:pPr>
            <w:r>
              <w:rPr>
                <w:rFonts w:ascii="Times New Roman" w:eastAsia="맑은 고딕" w:hAnsi="Times New Roman" w:cs="Times New Roman"/>
                <w:b/>
                <w:noProof/>
                <w:lang w:val="hu-HU" w:eastAsia="fr-FR"/>
              </w:rPr>
              <w:t>Ireland</w:t>
            </w:r>
          </w:p>
          <w:p w14:paraId="55BD60C2" w14:textId="77777777"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Ireland Limited</w:t>
            </w:r>
          </w:p>
          <w:p w14:paraId="5D35E591" w14:textId="77777777"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Tel: +353 1 223 4026</w:t>
            </w:r>
          </w:p>
          <w:p w14:paraId="77B4C583" w14:textId="77777777" w:rsidR="00887453" w:rsidRDefault="00887453" w:rsidP="00887453">
            <w:pPr>
              <w:rPr>
                <w:rFonts w:ascii="Times New Roman" w:eastAsia="맑은 고딕" w:hAnsi="Times New Roman" w:cs="Times New Roman"/>
                <w:noProof/>
                <w:lang w:val="hu-HU" w:eastAsia="fr-FR"/>
              </w:rPr>
            </w:pPr>
          </w:p>
        </w:tc>
        <w:tc>
          <w:tcPr>
            <w:tcW w:w="2500" w:type="pct"/>
          </w:tcPr>
          <w:p w14:paraId="6D0A2A9F" w14:textId="77777777" w:rsidR="00887453" w:rsidRDefault="00887453" w:rsidP="00887453">
            <w:pPr>
              <w:rPr>
                <w:rFonts w:ascii="Times New Roman" w:eastAsia="맑은 고딕" w:hAnsi="Times New Roman" w:cs="Times New Roman"/>
                <w:b/>
                <w:noProof/>
                <w:lang w:val="hu-HU" w:eastAsia="fr-FR"/>
              </w:rPr>
            </w:pPr>
            <w:r>
              <w:rPr>
                <w:rFonts w:ascii="Times New Roman" w:eastAsia="맑은 고딕" w:hAnsi="Times New Roman" w:cs="Times New Roman"/>
                <w:b/>
                <w:noProof/>
                <w:lang w:val="hu-HU" w:eastAsia="fr-FR"/>
              </w:rPr>
              <w:t>Slovenija</w:t>
            </w:r>
          </w:p>
          <w:p w14:paraId="3A1215AA" w14:textId="77777777"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OPH Oktal Pharma d.o.o.</w:t>
            </w:r>
          </w:p>
          <w:p w14:paraId="62D5F6FE" w14:textId="77777777"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Tel.: +386 1 519 29 22</w:t>
            </w:r>
          </w:p>
          <w:p w14:paraId="45715F1E" w14:textId="77777777" w:rsidR="00887453" w:rsidRDefault="00887453" w:rsidP="00887453">
            <w:pPr>
              <w:rPr>
                <w:rFonts w:ascii="Times New Roman" w:hAnsi="Times New Roman" w:cs="Times New Roman"/>
                <w:b/>
                <w:noProof/>
                <w:lang w:val="hu-HU"/>
              </w:rPr>
            </w:pPr>
          </w:p>
        </w:tc>
      </w:tr>
      <w:tr w:rsidR="00887453" w14:paraId="0B16A787" w14:textId="77777777" w:rsidTr="007E7849">
        <w:tc>
          <w:tcPr>
            <w:tcW w:w="2500" w:type="pct"/>
          </w:tcPr>
          <w:p w14:paraId="1B179114" w14:textId="77777777"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b/>
                <w:noProof/>
                <w:lang w:val="hu-HU" w:eastAsia="fr-FR"/>
              </w:rPr>
              <w:t>Ísland</w:t>
            </w:r>
          </w:p>
          <w:p w14:paraId="72257A6A" w14:textId="77777777" w:rsidR="00887453" w:rsidRDefault="00887453" w:rsidP="00887453">
            <w:pPr>
              <w:tabs>
                <w:tab w:val="left" w:pos="-720"/>
              </w:tabs>
              <w:suppressAutoHyphen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Hungary Kft.</w:t>
            </w:r>
          </w:p>
          <w:p w14:paraId="22D61FA8" w14:textId="77777777"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Sími: +36 1 231 0493</w:t>
            </w:r>
          </w:p>
          <w:p w14:paraId="0B894048" w14:textId="77777777" w:rsidR="00887453" w:rsidRDefault="00887453" w:rsidP="00887453">
            <w:pPr>
              <w:rPr>
                <w:rFonts w:ascii="Times New Roman" w:eastAsia="맑은 고딕" w:hAnsi="Times New Roman" w:cs="Times New Roman"/>
                <w:noProof/>
                <w:lang w:val="hu-HU" w:eastAsia="fr-FR"/>
              </w:rPr>
            </w:pPr>
          </w:p>
        </w:tc>
        <w:tc>
          <w:tcPr>
            <w:tcW w:w="2500" w:type="pct"/>
          </w:tcPr>
          <w:p w14:paraId="2B73D23D" w14:textId="77777777" w:rsidR="00887453" w:rsidRDefault="00887453" w:rsidP="00887453">
            <w:pPr>
              <w:rPr>
                <w:rFonts w:ascii="Times New Roman" w:eastAsia="맑은 고딕" w:hAnsi="Times New Roman" w:cs="Times New Roman"/>
                <w:b/>
                <w:noProof/>
                <w:lang w:val="hu-HU" w:eastAsia="fr-FR"/>
              </w:rPr>
            </w:pPr>
            <w:r>
              <w:rPr>
                <w:rFonts w:ascii="Times New Roman" w:hAnsi="Times New Roman" w:cs="Times New Roman"/>
                <w:b/>
                <w:noProof/>
                <w:lang w:val="hu-HU"/>
              </w:rPr>
              <w:lastRenderedPageBreak/>
              <w:t>Slovenská republika</w:t>
            </w:r>
          </w:p>
          <w:p w14:paraId="15553DF6" w14:textId="77777777" w:rsidR="00887453" w:rsidRDefault="00887453" w:rsidP="00887453">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0236CB01" w14:textId="77777777" w:rsidR="00887453" w:rsidRPr="00120A76" w:rsidRDefault="00887453" w:rsidP="00887453">
            <w:pPr>
              <w:rPr>
                <w:rFonts w:ascii="Times New Roman" w:eastAsia="맑은 고딕" w:hAnsi="Times New Roman" w:cs="Times New Roman"/>
                <w:b/>
                <w:noProof/>
                <w:lang w:val="hu-HU" w:eastAsia="fr-FR"/>
              </w:rPr>
            </w:pPr>
            <w:r w:rsidRPr="00EF4B09">
              <w:rPr>
                <w:rFonts w:ascii="Times New Roman" w:eastAsia="맑은 고딕" w:hAnsi="Times New Roman" w:cs="Times New Roman"/>
                <w:noProof/>
                <w:lang w:eastAsia="fr-FR"/>
              </w:rPr>
              <w:t xml:space="preserve">Tel: </w:t>
            </w:r>
            <w:r>
              <w:rPr>
                <w:rFonts w:ascii="Times New Roman" w:eastAsia="맑은 고딕" w:hAnsi="Times New Roman" w:cs="Times New Roman"/>
                <w:noProof/>
                <w:lang w:eastAsia="fr-FR"/>
              </w:rPr>
              <w:t>+36 1 231 0493</w:t>
            </w:r>
          </w:p>
        </w:tc>
      </w:tr>
      <w:tr w:rsidR="00887453" w14:paraId="77A520A5" w14:textId="77777777" w:rsidTr="007E7849">
        <w:tc>
          <w:tcPr>
            <w:tcW w:w="2500" w:type="pct"/>
          </w:tcPr>
          <w:p w14:paraId="7F25A86E" w14:textId="77777777" w:rsidR="00887453" w:rsidRDefault="00887453" w:rsidP="00887453">
            <w:pPr>
              <w:rPr>
                <w:rFonts w:ascii="Times New Roman" w:hAnsi="Times New Roman" w:cs="Times New Roman"/>
                <w:noProof/>
                <w:lang w:val="hu-HU" w:eastAsia="fr-FR"/>
              </w:rPr>
            </w:pPr>
            <w:r>
              <w:rPr>
                <w:rFonts w:ascii="Times New Roman" w:eastAsia="맑은 고딕" w:hAnsi="Times New Roman" w:cs="Times New Roman"/>
                <w:b/>
                <w:noProof/>
                <w:lang w:val="hu-HU" w:eastAsia="fr-FR"/>
              </w:rPr>
              <w:t>Italia</w:t>
            </w:r>
          </w:p>
          <w:p w14:paraId="62BB723F" w14:textId="48FC7B0F"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Italy S.r.l.</w:t>
            </w:r>
          </w:p>
          <w:p w14:paraId="4C1AB3FA" w14:textId="298EF630"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 xml:space="preserve">Tel: +39 </w:t>
            </w:r>
            <w:r w:rsidRPr="00BB53E6">
              <w:rPr>
                <w:rFonts w:ascii="Times New Roman" w:eastAsia="맑은 고딕" w:hAnsi="Times New Roman" w:cs="Times New Roman"/>
                <w:noProof/>
                <w:lang w:val="hu-HU" w:eastAsia="fr-FR"/>
              </w:rPr>
              <w:t>02</w:t>
            </w:r>
            <w:r>
              <w:rPr>
                <w:rFonts w:ascii="Times New Roman" w:eastAsia="맑은 고딕" w:hAnsi="Times New Roman" w:cs="Times New Roman"/>
                <w:noProof/>
                <w:lang w:val="hu-HU" w:eastAsia="fr-FR"/>
              </w:rPr>
              <w:t xml:space="preserve"> </w:t>
            </w:r>
            <w:r w:rsidRPr="00BB53E6">
              <w:rPr>
                <w:rFonts w:ascii="Times New Roman" w:eastAsia="맑은 고딕" w:hAnsi="Times New Roman" w:cs="Times New Roman"/>
                <w:noProof/>
                <w:lang w:val="hu-HU" w:eastAsia="fr-FR"/>
              </w:rPr>
              <w:t>47927040</w:t>
            </w:r>
          </w:p>
          <w:p w14:paraId="37775689" w14:textId="77777777" w:rsidR="00887453" w:rsidRDefault="00887453" w:rsidP="00887453">
            <w:pPr>
              <w:rPr>
                <w:rFonts w:ascii="Times New Roman" w:eastAsia="맑은 고딕" w:hAnsi="Times New Roman" w:cs="Times New Roman"/>
                <w:noProof/>
                <w:lang w:val="hu-HU" w:eastAsia="fr-FR"/>
              </w:rPr>
            </w:pPr>
          </w:p>
        </w:tc>
        <w:tc>
          <w:tcPr>
            <w:tcW w:w="2500" w:type="pct"/>
          </w:tcPr>
          <w:p w14:paraId="783FA201" w14:textId="77777777" w:rsidR="00887453" w:rsidRDefault="00887453" w:rsidP="00887453">
            <w:pPr>
              <w:rPr>
                <w:rFonts w:ascii="Times New Roman" w:hAnsi="Times New Roman" w:cs="Times New Roman"/>
                <w:noProof/>
                <w:lang w:val="hu-HU" w:eastAsia="fr-FR"/>
              </w:rPr>
            </w:pPr>
            <w:r>
              <w:rPr>
                <w:rFonts w:ascii="Times New Roman" w:eastAsia="맑은 고딕" w:hAnsi="Times New Roman" w:cs="Times New Roman"/>
                <w:b/>
                <w:noProof/>
                <w:lang w:val="hu-HU" w:eastAsia="fr-FR"/>
              </w:rPr>
              <w:t>Suomi/Finland</w:t>
            </w:r>
          </w:p>
          <w:p w14:paraId="598DC75A" w14:textId="77777777" w:rsidR="00887453" w:rsidRPr="00F15659" w:rsidRDefault="00887453" w:rsidP="00887453">
            <w:pPr>
              <w:tabs>
                <w:tab w:val="left" w:pos="-720"/>
              </w:tabs>
              <w:suppressAutoHyphens/>
              <w:rPr>
                <w:rFonts w:ascii="Times New Roman" w:eastAsia="맑은 고딕" w:hAnsi="Times New Roman" w:cs="Times New Roman"/>
                <w:noProof/>
                <w:lang w:val="hu-HU" w:eastAsia="fr-FR"/>
              </w:rPr>
            </w:pPr>
            <w:r w:rsidRPr="00F15659">
              <w:rPr>
                <w:rFonts w:ascii="Times New Roman" w:eastAsia="맑은 고딕" w:hAnsi="Times New Roman" w:cs="Times New Roman"/>
                <w:noProof/>
                <w:lang w:val="hu-HU" w:eastAsia="fr-FR"/>
              </w:rPr>
              <w:t xml:space="preserve">Celltrion Healthcare Finland Oy. </w:t>
            </w:r>
          </w:p>
          <w:p w14:paraId="22D04703" w14:textId="4ECE0971" w:rsidR="00887453" w:rsidRDefault="00887453" w:rsidP="00887453">
            <w:pPr>
              <w:autoSpaceDE w:val="0"/>
              <w:autoSpaceDN w:val="0"/>
              <w:adjustRightInd w:val="0"/>
              <w:rPr>
                <w:rFonts w:ascii="Times New Roman" w:eastAsia="맑은 고딕" w:hAnsi="Times New Roman" w:cs="Times New Roman"/>
                <w:noProof/>
                <w:lang w:val="hu-HU" w:eastAsia="ko-KR"/>
              </w:rPr>
            </w:pPr>
            <w:r w:rsidRPr="00F15659">
              <w:rPr>
                <w:rFonts w:ascii="Times New Roman" w:eastAsia="맑은 고딕" w:hAnsi="Times New Roman" w:cs="Times New Roman"/>
                <w:noProof/>
                <w:lang w:val="hu-HU" w:eastAsia="fr-FR"/>
              </w:rPr>
              <w:t>Puh/Tel: +358 29 170 7755</w:t>
            </w:r>
          </w:p>
          <w:p w14:paraId="2B40FFE1" w14:textId="77777777" w:rsidR="00887453" w:rsidRDefault="00887453" w:rsidP="00887453">
            <w:pPr>
              <w:autoSpaceDE w:val="0"/>
              <w:autoSpaceDN w:val="0"/>
              <w:adjustRightInd w:val="0"/>
              <w:rPr>
                <w:rFonts w:ascii="Times New Roman" w:eastAsia="맑은 고딕" w:hAnsi="Times New Roman" w:cs="Times New Roman"/>
                <w:noProof/>
                <w:lang w:val="hu-HU" w:eastAsia="ko-KR"/>
              </w:rPr>
            </w:pPr>
          </w:p>
        </w:tc>
      </w:tr>
      <w:tr w:rsidR="00887453" w14:paraId="14002A3A" w14:textId="77777777" w:rsidTr="007E7849">
        <w:tc>
          <w:tcPr>
            <w:tcW w:w="2500" w:type="pct"/>
          </w:tcPr>
          <w:p w14:paraId="14E245D7" w14:textId="77777777" w:rsidR="00887453" w:rsidRDefault="00887453" w:rsidP="00887453">
            <w:pPr>
              <w:tabs>
                <w:tab w:val="left" w:pos="-720"/>
              </w:tabs>
              <w:suppressAutoHyphens/>
              <w:rPr>
                <w:rFonts w:ascii="Times New Roman" w:hAnsi="Times New Roman" w:cs="Times New Roman"/>
                <w:b/>
                <w:bCs/>
                <w:noProof/>
                <w:lang w:val="hu-HU" w:eastAsia="fr-FR"/>
              </w:rPr>
            </w:pPr>
            <w:r>
              <w:rPr>
                <w:rFonts w:ascii="Times New Roman" w:hAnsi="Times New Roman" w:cs="Times New Roman"/>
                <w:b/>
                <w:noProof/>
                <w:lang w:val="hu-HU"/>
              </w:rPr>
              <w:t>Κύπρος</w:t>
            </w:r>
          </w:p>
          <w:p w14:paraId="479E1229" w14:textId="77777777" w:rsidR="00887453" w:rsidRDefault="00887453" w:rsidP="00887453">
            <w:pPr>
              <w:tabs>
                <w:tab w:val="left" w:pos="-720"/>
              </w:tabs>
              <w:suppressAutoHyphens/>
              <w:rPr>
                <w:rFonts w:ascii="Times New Roman" w:eastAsia="맑은 고딕" w:hAnsi="Times New Roman" w:cs="Times New Roman"/>
                <w:noProof/>
                <w:lang w:val="hu-HU" w:eastAsia="ko-KR"/>
              </w:rPr>
            </w:pPr>
            <w:r>
              <w:rPr>
                <w:rFonts w:ascii="Times New Roman" w:eastAsia="맑은 고딕" w:hAnsi="Times New Roman" w:cs="Times New Roman"/>
                <w:noProof/>
                <w:lang w:val="hu-HU" w:eastAsia="fr-FR"/>
              </w:rPr>
              <w:t>C. A. Papaellinas Ltd</w:t>
            </w:r>
          </w:p>
          <w:p w14:paraId="162B8C8F" w14:textId="77777777" w:rsidR="00887453" w:rsidRDefault="00887453" w:rsidP="00887453">
            <w:pPr>
              <w:autoSpaceDE w:val="0"/>
              <w:autoSpaceDN w:val="0"/>
              <w:adjustRightInd w:val="0"/>
              <w:rPr>
                <w:rFonts w:ascii="Times New Roman" w:eastAsia="맑은 고딕" w:hAnsi="Times New Roman" w:cs="Times New Roman"/>
                <w:b/>
                <w:bCs/>
                <w:lang w:val="hu-HU" w:eastAsia="fr-FR"/>
              </w:rPr>
            </w:pPr>
            <w:r>
              <w:rPr>
                <w:rFonts w:ascii="Times New Roman" w:hAnsi="Times New Roman" w:cs="Times New Roman"/>
                <w:noProof/>
                <w:lang w:val="hu-HU"/>
              </w:rPr>
              <w:t xml:space="preserve">Τηλ: </w:t>
            </w:r>
            <w:r>
              <w:rPr>
                <w:rFonts w:ascii="Times New Roman" w:eastAsia="맑은 고딕" w:hAnsi="Times New Roman" w:cs="Times New Roman"/>
                <w:noProof/>
                <w:lang w:val="hu-HU" w:eastAsia="fr-FR"/>
              </w:rPr>
              <w:t>+357 22741741</w:t>
            </w:r>
          </w:p>
          <w:p w14:paraId="1FBBFF60" w14:textId="77777777" w:rsidR="00887453" w:rsidRDefault="00887453" w:rsidP="00887453">
            <w:pPr>
              <w:autoSpaceDE w:val="0"/>
              <w:autoSpaceDN w:val="0"/>
              <w:adjustRightInd w:val="0"/>
              <w:rPr>
                <w:rFonts w:ascii="Times New Roman" w:eastAsia="맑은 고딕" w:hAnsi="Times New Roman" w:cs="Times New Roman"/>
                <w:b/>
                <w:noProof/>
                <w:lang w:val="hu-HU" w:eastAsia="fr-FR"/>
              </w:rPr>
            </w:pPr>
          </w:p>
        </w:tc>
        <w:tc>
          <w:tcPr>
            <w:tcW w:w="2500" w:type="pct"/>
          </w:tcPr>
          <w:p w14:paraId="3977BDBD" w14:textId="77777777" w:rsidR="00887453" w:rsidRPr="00D86615" w:rsidRDefault="00887453" w:rsidP="00887453">
            <w:pPr>
              <w:tabs>
                <w:tab w:val="left" w:pos="-720"/>
              </w:tabs>
              <w:suppressAutoHyphens/>
              <w:rPr>
                <w:rFonts w:ascii="Times New Roman" w:hAnsi="Times New Roman" w:cs="Times New Roman"/>
                <w:b/>
                <w:noProof/>
                <w:lang w:eastAsia="fr-FR"/>
              </w:rPr>
            </w:pPr>
            <w:r w:rsidRPr="00D86615">
              <w:rPr>
                <w:rFonts w:ascii="Times New Roman" w:hAnsi="Times New Roman" w:cs="Times New Roman"/>
                <w:b/>
                <w:noProof/>
              </w:rPr>
              <w:t>Sverige</w:t>
            </w:r>
          </w:p>
          <w:p w14:paraId="1E3D8045" w14:textId="736C3387" w:rsidR="00887453" w:rsidRPr="00ED2012" w:rsidRDefault="00887453" w:rsidP="00887453">
            <w:pPr>
              <w:tabs>
                <w:tab w:val="left" w:pos="-720"/>
              </w:tabs>
              <w:suppressAutoHyphens/>
              <w:rPr>
                <w:rFonts w:ascii="Times New Roman" w:eastAsia="맑은 고딕" w:hAnsi="Times New Roman" w:cs="Times New Roman"/>
                <w:noProof/>
                <w:lang w:eastAsia="ko-KR"/>
              </w:rPr>
            </w:pPr>
            <w:r w:rsidRPr="00ED2012">
              <w:rPr>
                <w:rFonts w:ascii="Times New Roman" w:eastAsia="맑은 고딕" w:hAnsi="Times New Roman" w:cs="Times New Roman"/>
                <w:noProof/>
                <w:lang w:eastAsia="ko-KR"/>
              </w:rPr>
              <w:t>Celltrion Sweden AB</w:t>
            </w:r>
          </w:p>
          <w:p w14:paraId="386E939C" w14:textId="77777777" w:rsidR="00887453" w:rsidRPr="00ED2012" w:rsidRDefault="00887453" w:rsidP="00887453">
            <w:pPr>
              <w:tabs>
                <w:tab w:val="left" w:pos="-720"/>
              </w:tabs>
              <w:suppressAutoHyphens/>
              <w:rPr>
                <w:rFonts w:ascii="Times New Roman" w:eastAsia="맑은 고딕" w:hAnsi="Times New Roman" w:cs="Times New Roman"/>
                <w:bCs/>
                <w:noProof/>
                <w:u w:val="single"/>
                <w:lang w:eastAsia="ko-KR"/>
              </w:rPr>
            </w:pPr>
            <w:hyperlink r:id="rId139" w:history="1">
              <w:r w:rsidRPr="00ED2012">
                <w:rPr>
                  <w:rStyle w:val="ad"/>
                  <w:rFonts w:ascii="Times New Roman" w:eastAsia="맑은 고딕" w:hAnsi="Times New Roman" w:cs="Times New Roman"/>
                  <w:noProof/>
                  <w:lang w:eastAsia="ko-KR"/>
                </w:rPr>
                <w:t>contact_se@celltrionhc.com</w:t>
              </w:r>
            </w:hyperlink>
          </w:p>
          <w:p w14:paraId="743AEF6D" w14:textId="77777777" w:rsidR="00887453" w:rsidRPr="00887453" w:rsidRDefault="00887453" w:rsidP="00887453">
            <w:pPr>
              <w:tabs>
                <w:tab w:val="left" w:pos="-720"/>
              </w:tabs>
              <w:suppressAutoHyphens/>
              <w:rPr>
                <w:rFonts w:ascii="Times New Roman" w:eastAsia="맑은 고딕" w:hAnsi="Times New Roman" w:cs="Times New Roman"/>
                <w:b/>
                <w:noProof/>
                <w:lang w:eastAsia="fr-FR"/>
              </w:rPr>
            </w:pPr>
          </w:p>
        </w:tc>
      </w:tr>
      <w:tr w:rsidR="00887453" w14:paraId="0BDACD5C" w14:textId="77777777" w:rsidTr="007E7849">
        <w:tc>
          <w:tcPr>
            <w:tcW w:w="2500" w:type="pct"/>
          </w:tcPr>
          <w:p w14:paraId="6560AFD6" w14:textId="77777777" w:rsidR="00887453" w:rsidRDefault="00887453" w:rsidP="00887453">
            <w:pPr>
              <w:rPr>
                <w:rFonts w:ascii="Times New Roman" w:eastAsia="맑은 고딕" w:hAnsi="Times New Roman" w:cs="Times New Roman"/>
                <w:b/>
                <w:noProof/>
                <w:lang w:val="hu-HU" w:eastAsia="fr-FR"/>
              </w:rPr>
            </w:pPr>
            <w:r>
              <w:rPr>
                <w:rFonts w:ascii="Times New Roman" w:eastAsia="맑은 고딕" w:hAnsi="Times New Roman" w:cs="Times New Roman"/>
                <w:b/>
                <w:noProof/>
                <w:lang w:val="hu-HU" w:eastAsia="fr-FR"/>
              </w:rPr>
              <w:t>Latvija</w:t>
            </w:r>
          </w:p>
          <w:p w14:paraId="49468A7F" w14:textId="77777777" w:rsidR="00887453" w:rsidRDefault="00887453" w:rsidP="00887453">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3D333CF8" w14:textId="77777777" w:rsidR="00887453" w:rsidRDefault="00887453" w:rsidP="00887453">
            <w:pPr>
              <w:autoSpaceDE w:val="0"/>
              <w:autoSpaceDN w:val="0"/>
              <w:adjustRightInd w:val="0"/>
              <w:rPr>
                <w:rFonts w:ascii="Times New Roman" w:eastAsia="맑은 고딕" w:hAnsi="Times New Roman" w:cs="Times New Roman"/>
                <w:noProof/>
                <w:lang w:eastAsia="fr-FR"/>
              </w:rPr>
            </w:pPr>
            <w:r w:rsidRPr="00E1504B">
              <w:rPr>
                <w:rFonts w:ascii="Times New Roman" w:eastAsia="맑은 고딕" w:hAnsi="Times New Roman" w:cs="Times New Roman"/>
                <w:noProof/>
                <w:lang w:eastAsia="fr-FR"/>
              </w:rPr>
              <w:t xml:space="preserve">Tālr.: </w:t>
            </w:r>
            <w:r>
              <w:rPr>
                <w:rFonts w:ascii="Times New Roman" w:eastAsia="맑은 고딕" w:hAnsi="Times New Roman" w:cs="Times New Roman"/>
                <w:noProof/>
                <w:lang w:eastAsia="fr-FR"/>
              </w:rPr>
              <w:t>+36 1 231 0493</w:t>
            </w:r>
          </w:p>
          <w:p w14:paraId="323BF73D" w14:textId="77777777" w:rsidR="007D68C5" w:rsidRPr="00120A76" w:rsidRDefault="007D68C5" w:rsidP="00887453">
            <w:pPr>
              <w:autoSpaceDE w:val="0"/>
              <w:autoSpaceDN w:val="0"/>
              <w:adjustRightInd w:val="0"/>
              <w:rPr>
                <w:rFonts w:ascii="Times New Roman" w:eastAsia="맑은 고딕" w:hAnsi="Times New Roman" w:cs="Times New Roman"/>
                <w:b/>
                <w:bCs/>
                <w:lang w:val="hu-HU" w:eastAsia="fr-FR"/>
              </w:rPr>
            </w:pPr>
          </w:p>
        </w:tc>
        <w:tc>
          <w:tcPr>
            <w:tcW w:w="2500" w:type="pct"/>
          </w:tcPr>
          <w:p w14:paraId="4E5E1F12" w14:textId="77777777" w:rsidR="00887453" w:rsidRDefault="00887453" w:rsidP="00887453">
            <w:pPr>
              <w:tabs>
                <w:tab w:val="left" w:pos="-720"/>
              </w:tabs>
              <w:suppressAutoHyphens/>
              <w:rPr>
                <w:rFonts w:ascii="Times New Roman" w:eastAsia="맑은 고딕" w:hAnsi="Times New Roman" w:cs="Times New Roman"/>
                <w:b/>
                <w:noProof/>
                <w:lang w:val="hu-HU" w:eastAsia="fr-FR"/>
              </w:rPr>
            </w:pPr>
          </w:p>
        </w:tc>
      </w:tr>
    </w:tbl>
    <w:p w14:paraId="64050867" w14:textId="77777777" w:rsidR="0037407E" w:rsidRDefault="0037407E" w:rsidP="0037407E">
      <w:pPr>
        <w:numPr>
          <w:ilvl w:val="12"/>
          <w:numId w:val="0"/>
        </w:numPr>
        <w:rPr>
          <w:rFonts w:ascii="Times New Roman" w:eastAsia="맑은 고딕" w:hAnsi="Times New Roman" w:cs="Times New Roman"/>
          <w:noProof/>
          <w:lang w:val="hu-HU" w:eastAsia="ko-KR"/>
        </w:rPr>
      </w:pPr>
      <w:r>
        <w:rPr>
          <w:rFonts w:ascii="Times New Roman" w:eastAsia="Times New Roman" w:hAnsi="Times New Roman" w:cs="Times New Roman"/>
          <w:b/>
          <w:bCs/>
          <w:noProof/>
          <w:lang w:val="hu-HU"/>
        </w:rPr>
        <w:t>A betegtájékoztató legutóbbi felülvizsgálatának dátuma:</w:t>
      </w:r>
    </w:p>
    <w:p w14:paraId="30204A49" w14:textId="77777777" w:rsidR="0037407E" w:rsidRDefault="0037407E" w:rsidP="0037407E">
      <w:pPr>
        <w:numPr>
          <w:ilvl w:val="12"/>
          <w:numId w:val="0"/>
        </w:numPr>
        <w:rPr>
          <w:rFonts w:ascii="Times New Roman" w:hAnsi="Times New Roman" w:cs="Times New Roman"/>
          <w:noProof/>
          <w:lang w:val="hu-HU"/>
        </w:rPr>
      </w:pPr>
    </w:p>
    <w:p w14:paraId="61CE9774" w14:textId="77777777" w:rsidR="0037407E" w:rsidRDefault="0037407E" w:rsidP="0037407E">
      <w:pPr>
        <w:numPr>
          <w:ilvl w:val="12"/>
          <w:numId w:val="0"/>
        </w:numPr>
        <w:rPr>
          <w:rFonts w:ascii="Times New Roman" w:hAnsi="Times New Roman" w:cs="Times New Roman"/>
          <w:b/>
          <w:noProof/>
          <w:lang w:val="hu-HU"/>
        </w:rPr>
      </w:pPr>
      <w:r>
        <w:rPr>
          <w:rFonts w:ascii="Times New Roman" w:eastAsia="Times New Roman" w:hAnsi="Times New Roman" w:cs="Times New Roman"/>
          <w:b/>
          <w:bCs/>
          <w:noProof/>
          <w:lang w:val="hu-HU"/>
        </w:rPr>
        <w:t>Egyéb információforrások</w:t>
      </w:r>
    </w:p>
    <w:p w14:paraId="4D951B2D" w14:textId="77777777" w:rsidR="0037407E" w:rsidRDefault="0037407E" w:rsidP="0037407E">
      <w:pPr>
        <w:pStyle w:val="a3"/>
        <w:rPr>
          <w:lang w:val="hu-HU"/>
        </w:rPr>
      </w:pPr>
    </w:p>
    <w:p w14:paraId="6C40659C" w14:textId="77777777" w:rsidR="0037407E" w:rsidRDefault="0037407E" w:rsidP="0037407E">
      <w:pPr>
        <w:numPr>
          <w:ilvl w:val="12"/>
          <w:numId w:val="0"/>
        </w:numPr>
        <w:rPr>
          <w:rFonts w:ascii="Times New Roman" w:eastAsia="맑은 고딕" w:hAnsi="Times New Roman" w:cs="Times New Roman"/>
          <w:noProof/>
          <w:color w:val="0000FF"/>
          <w:lang w:val="hu-HU" w:eastAsia="ko-KR"/>
        </w:rPr>
      </w:pPr>
      <w:r>
        <w:rPr>
          <w:rFonts w:ascii="Times New Roman" w:eastAsia="Times New Roman" w:hAnsi="Times New Roman" w:cs="Times New Roman"/>
          <w:lang w:val="hu-HU"/>
        </w:rPr>
        <w:t>A gyógyszerről részletes információ az Európai Gyógyszerügynökség internetes honlapján (</w:t>
      </w:r>
      <w:r>
        <w:rPr>
          <w:rFonts w:ascii="Times New Roman" w:eastAsia="Times New Roman" w:hAnsi="Times New Roman" w:cs="Times New Roman"/>
          <w:color w:val="0000FF"/>
          <w:u w:val="single"/>
          <w:lang w:val="hu-HU"/>
        </w:rPr>
        <w:t>http://www. Ema. Europa. Eu</w:t>
      </w:r>
      <w:r>
        <w:rPr>
          <w:rFonts w:ascii="Times New Roman" w:eastAsia="Times New Roman" w:hAnsi="Times New Roman" w:cs="Times New Roman"/>
          <w:lang w:val="hu-HU"/>
        </w:rPr>
        <w:t>) található.</w:t>
      </w:r>
    </w:p>
    <w:p w14:paraId="7D8710D2" w14:textId="77777777" w:rsidR="0037407E" w:rsidRDefault="0037407E" w:rsidP="0037407E">
      <w:pPr>
        <w:spacing w:line="252" w:lineRule="exact"/>
        <w:rPr>
          <w:rFonts w:ascii="Times New Roman" w:hAnsi="Times New Roman" w:cs="Times New Roman"/>
          <w:b/>
          <w:lang w:val="hu-HU"/>
        </w:rPr>
      </w:pPr>
    </w:p>
    <w:p w14:paraId="419D51EF" w14:textId="77777777" w:rsidR="0037407E" w:rsidRPr="004B23C8" w:rsidRDefault="0037407E" w:rsidP="00FD05AA">
      <w:pPr>
        <w:pStyle w:val="a4"/>
        <w:numPr>
          <w:ilvl w:val="0"/>
          <w:numId w:val="66"/>
        </w:numPr>
        <w:spacing w:line="240" w:lineRule="exact"/>
        <w:ind w:left="357" w:hanging="357"/>
        <w:rPr>
          <w:rFonts w:ascii="Times New Roman" w:eastAsia="Times New Roman" w:hAnsi="Times New Roman" w:cs="Times New Roman"/>
          <w:b/>
          <w:bCs/>
          <w:noProof/>
          <w:color w:val="000000" w:themeColor="text1"/>
          <w:lang w:val="hu-HU"/>
        </w:rPr>
      </w:pPr>
      <w:r w:rsidRPr="004B23C8">
        <w:rPr>
          <w:rFonts w:ascii="Times New Roman" w:eastAsia="Times New Roman" w:hAnsi="Times New Roman" w:cs="Times New Roman"/>
          <w:b/>
          <w:bCs/>
          <w:noProof/>
          <w:color w:val="000000" w:themeColor="text1"/>
          <w:lang w:val="hu-HU"/>
        </w:rPr>
        <w:t>Használati utasítás</w:t>
      </w:r>
    </w:p>
    <w:p w14:paraId="4B5D0B3A" w14:textId="77777777" w:rsidR="0037407E" w:rsidRDefault="0037407E" w:rsidP="0037407E">
      <w:pPr>
        <w:spacing w:before="16" w:line="280" w:lineRule="exact"/>
        <w:rPr>
          <w:sz w:val="28"/>
          <w:szCs w:val="28"/>
          <w:lang w:val="hu-HU"/>
        </w:rPr>
      </w:pPr>
    </w:p>
    <w:p w14:paraId="4B847BE6" w14:textId="77777777" w:rsidR="0037407E" w:rsidRDefault="0037407E" w:rsidP="0037407E">
      <w:pPr>
        <w:pStyle w:val="a3"/>
        <w:numPr>
          <w:ilvl w:val="1"/>
          <w:numId w:val="2"/>
        </w:numPr>
        <w:ind w:left="660" w:hanging="660"/>
        <w:rPr>
          <w:lang w:val="hu-HU"/>
        </w:rPr>
      </w:pPr>
      <w:r>
        <w:rPr>
          <w:rFonts w:eastAsia="Times New Roman"/>
          <w:lang w:val="hu-HU"/>
        </w:rPr>
        <w:t>A következő útmutató elmagyarázza, hogyan kell beadnia magának a bőr alá adandó Yuflyma injekciót az előretöltött injekciós tollal. Kérjük, figyelmesen olvassa el az útmutatót, és kövesse lépésről-lépésre.</w:t>
      </w:r>
    </w:p>
    <w:p w14:paraId="3491F980" w14:textId="77777777" w:rsidR="0037407E" w:rsidRDefault="0037407E" w:rsidP="0037407E">
      <w:pPr>
        <w:spacing w:before="12" w:line="240" w:lineRule="exact"/>
        <w:rPr>
          <w:sz w:val="24"/>
          <w:szCs w:val="24"/>
          <w:lang w:val="hu-HU"/>
        </w:rPr>
      </w:pPr>
    </w:p>
    <w:p w14:paraId="5F1D8042" w14:textId="77777777" w:rsidR="0037407E" w:rsidRDefault="0037407E" w:rsidP="0037407E">
      <w:pPr>
        <w:pStyle w:val="a3"/>
        <w:numPr>
          <w:ilvl w:val="1"/>
          <w:numId w:val="2"/>
        </w:numPr>
        <w:ind w:left="660" w:hanging="660"/>
        <w:rPr>
          <w:lang w:val="hu-HU"/>
        </w:rPr>
      </w:pPr>
      <w:r>
        <w:rPr>
          <w:rFonts w:eastAsia="Times New Roman"/>
          <w:lang w:val="hu-HU"/>
        </w:rPr>
        <w:t>Az öninjekciózás technikáját meg fogja Önnek tanítani kezelőorvosa, a gondozását végző egészségügyi szakember vagy a gyógyszerész.</w:t>
      </w:r>
    </w:p>
    <w:p w14:paraId="09CE5F3D" w14:textId="77777777" w:rsidR="0037407E" w:rsidRDefault="0037407E" w:rsidP="0037407E">
      <w:pPr>
        <w:spacing w:before="11" w:line="260" w:lineRule="exact"/>
        <w:rPr>
          <w:sz w:val="26"/>
          <w:szCs w:val="26"/>
          <w:lang w:val="hu-HU"/>
        </w:rPr>
      </w:pPr>
    </w:p>
    <w:p w14:paraId="4D2852EB" w14:textId="77777777" w:rsidR="0037407E" w:rsidRDefault="0037407E" w:rsidP="0037407E">
      <w:pPr>
        <w:pStyle w:val="a3"/>
        <w:numPr>
          <w:ilvl w:val="1"/>
          <w:numId w:val="2"/>
        </w:numPr>
        <w:ind w:left="660" w:hanging="660"/>
        <w:rPr>
          <w:lang w:val="hu-HU"/>
        </w:rPr>
      </w:pPr>
      <w:r>
        <w:rPr>
          <w:rFonts w:eastAsia="Times New Roman"/>
          <w:b/>
          <w:bCs/>
          <w:spacing w:val="-2"/>
          <w:lang w:val="hu-HU"/>
        </w:rPr>
        <w:t>Ne</w:t>
      </w:r>
      <w:r>
        <w:rPr>
          <w:rFonts w:eastAsia="Times New Roman"/>
          <w:spacing w:val="-2"/>
          <w:lang w:val="hu-HU"/>
        </w:rPr>
        <w:t xml:space="preserve"> próbálja meg beadni magának az injekciót, amíg nem biztos abban, hogy megértette, hogyan kell előkészíteni és beadni az injekciót.</w:t>
      </w:r>
    </w:p>
    <w:p w14:paraId="1F01DE36" w14:textId="77777777" w:rsidR="0037407E" w:rsidRDefault="0037407E" w:rsidP="0037407E">
      <w:pPr>
        <w:spacing w:before="11" w:line="260" w:lineRule="exact"/>
        <w:rPr>
          <w:sz w:val="26"/>
          <w:szCs w:val="26"/>
          <w:lang w:val="hu-HU"/>
        </w:rPr>
      </w:pPr>
    </w:p>
    <w:p w14:paraId="25B6731E" w14:textId="77777777" w:rsidR="0037407E" w:rsidRDefault="0037407E" w:rsidP="0037407E">
      <w:pPr>
        <w:pStyle w:val="a3"/>
        <w:numPr>
          <w:ilvl w:val="1"/>
          <w:numId w:val="2"/>
        </w:numPr>
        <w:ind w:left="660" w:hanging="660"/>
        <w:rPr>
          <w:lang w:val="hu-HU"/>
        </w:rPr>
      </w:pPr>
      <w:r>
        <w:rPr>
          <w:rFonts w:eastAsia="Times New Roman"/>
          <w:lang w:val="hu-HU"/>
        </w:rPr>
        <w:t>A megfelelő betanítás után az  injekciót beadhatja saját magának vagy beadhatja Önnek valaki más, például egy családtag vagy barát.</w:t>
      </w:r>
    </w:p>
    <w:p w14:paraId="636B13E6" w14:textId="77777777" w:rsidR="0037407E" w:rsidRDefault="0037407E" w:rsidP="0037407E">
      <w:pPr>
        <w:spacing w:before="12" w:line="240" w:lineRule="exact"/>
        <w:rPr>
          <w:sz w:val="24"/>
          <w:szCs w:val="24"/>
          <w:lang w:val="hu-HU"/>
        </w:rPr>
      </w:pPr>
    </w:p>
    <w:p w14:paraId="1DE73BC5" w14:textId="77777777" w:rsidR="0037407E" w:rsidRDefault="0037407E" w:rsidP="0037407E">
      <w:pPr>
        <w:pStyle w:val="a3"/>
        <w:numPr>
          <w:ilvl w:val="1"/>
          <w:numId w:val="2"/>
        </w:numPr>
        <w:ind w:left="660" w:hanging="660"/>
        <w:rPr>
          <w:lang w:val="hu-HU"/>
        </w:rPr>
      </w:pPr>
      <w:r>
        <w:rPr>
          <w:rFonts w:eastAsia="Times New Roman"/>
          <w:lang w:val="hu-HU"/>
        </w:rPr>
        <w:t>Mindegyik előretöltött tollat csak egy injekcióhoz szabad használni</w:t>
      </w:r>
    </w:p>
    <w:p w14:paraId="4AECA68B" w14:textId="77777777" w:rsidR="0037407E" w:rsidRDefault="0037407E" w:rsidP="0037407E">
      <w:pPr>
        <w:spacing w:before="15" w:line="240" w:lineRule="exact"/>
        <w:rPr>
          <w:sz w:val="24"/>
          <w:szCs w:val="24"/>
          <w:lang w:val="hu-HU"/>
        </w:rPr>
      </w:pPr>
    </w:p>
    <w:p w14:paraId="39C0D034" w14:textId="77777777" w:rsidR="009C7DB8" w:rsidRDefault="009C7DB8">
      <w:pPr>
        <w:rPr>
          <w:rFonts w:ascii="Times New Roman" w:eastAsia="Times New Roman" w:hAnsi="Times New Roman" w:cs="Times New Roman"/>
          <w:b/>
          <w:bCs/>
          <w:spacing w:val="-1"/>
          <w:lang w:val="hu-HU"/>
        </w:rPr>
      </w:pPr>
      <w:r>
        <w:rPr>
          <w:rFonts w:eastAsia="Times New Roman"/>
          <w:b/>
          <w:bCs/>
          <w:spacing w:val="-1"/>
          <w:lang w:val="hu-HU"/>
        </w:rPr>
        <w:br w:type="page"/>
      </w:r>
    </w:p>
    <w:p w14:paraId="73BE0240" w14:textId="62E30196" w:rsidR="0037407E" w:rsidRDefault="0037407E" w:rsidP="0037407E">
      <w:pPr>
        <w:pStyle w:val="a3"/>
        <w:rPr>
          <w:b/>
          <w:bCs/>
          <w:lang w:val="hu-HU"/>
        </w:rPr>
      </w:pPr>
      <w:r>
        <w:rPr>
          <w:rFonts w:eastAsia="Times New Roman"/>
          <w:b/>
          <w:bCs/>
          <w:spacing w:val="-1"/>
          <w:lang w:val="hu-HU"/>
        </w:rPr>
        <w:lastRenderedPageBreak/>
        <w:t>Yuflyma előretöltött injekciós toll</w:t>
      </w:r>
    </w:p>
    <w:p w14:paraId="5B6956B2" w14:textId="77777777" w:rsidR="0037407E" w:rsidRDefault="0037407E" w:rsidP="0037407E">
      <w:pPr>
        <w:spacing w:before="13" w:line="240" w:lineRule="exact"/>
        <w:rPr>
          <w:sz w:val="24"/>
          <w:szCs w:val="24"/>
          <w:lang w:val="hu-HU"/>
        </w:rPr>
      </w:pPr>
      <w:r w:rsidRPr="00525F72">
        <w:rPr>
          <w:noProof/>
          <w:lang w:eastAsia="ko-KR"/>
        </w:rPr>
        <w:drawing>
          <wp:anchor distT="0" distB="0" distL="114300" distR="114300" simplePos="0" relativeHeight="251658311" behindDoc="0" locked="0" layoutInCell="1" allowOverlap="1" wp14:anchorId="1250CC68" wp14:editId="0D72867E">
            <wp:simplePos x="0" y="0"/>
            <wp:positionH relativeFrom="column">
              <wp:posOffset>1169670</wp:posOffset>
            </wp:positionH>
            <wp:positionV relativeFrom="paragraph">
              <wp:posOffset>164465</wp:posOffset>
            </wp:positionV>
            <wp:extent cx="3726180" cy="3394710"/>
            <wp:effectExtent l="19050" t="19050" r="26670" b="15240"/>
            <wp:wrapTopAndBottom/>
            <wp:docPr id="158"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그림 15"/>
                    <pic:cNvPicPr>
                      <a:picLocks noChangeAspect="1"/>
                    </pic:cNvPicPr>
                  </pic:nvPicPr>
                  <pic:blipFill>
                    <a:blip r:embed="rId140" cstate="print">
                      <a:extLst>
                        <a:ext uri="{28A0092B-C50C-407E-A947-70E740481C1C}">
                          <a14:useLocalDpi xmlns:a14="http://schemas.microsoft.com/office/drawing/2010/main" val="0"/>
                        </a:ext>
                      </a:extLst>
                    </a:blip>
                    <a:srcRect/>
                    <a:stretch>
                      <a:fillRect/>
                    </a:stretch>
                  </pic:blipFill>
                  <pic:spPr>
                    <a:xfrm>
                      <a:off x="0" y="0"/>
                      <a:ext cx="3726180" cy="33947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32FD7D5" w14:textId="5B4D66DF" w:rsidR="0037407E" w:rsidRDefault="007817C8" w:rsidP="0037407E">
      <w:pPr>
        <w:pStyle w:val="af0"/>
        <w:ind w:left="4320" w:firstLine="720"/>
        <w:jc w:val="center"/>
        <w:rPr>
          <w:rFonts w:ascii="Times New Roman" w:hAnsi="Times New Roman" w:cs="Times New Roman"/>
          <w:lang w:val="hu-HU"/>
        </w:rPr>
      </w:pPr>
      <w:r>
        <w:rPr>
          <w:rFonts w:ascii="Times New Roman" w:hAnsi="Times New Roman" w:cs="Times New Roman"/>
          <w:lang w:val="hu-HU"/>
        </w:rPr>
        <w:t>A</w:t>
      </w:r>
      <w:r w:rsidR="0037407E">
        <w:rPr>
          <w:rFonts w:ascii="Times New Roman" w:hAnsi="Times New Roman" w:cs="Times New Roman"/>
          <w:lang w:val="hu-HU"/>
        </w:rPr>
        <w:t xml:space="preserve">. </w:t>
      </w:r>
      <w:r w:rsidR="0037407E">
        <w:rPr>
          <w:rFonts w:ascii="Times New Roman" w:eastAsia="Times New Roman" w:hAnsi="Times New Roman" w:cs="Times New Roman"/>
          <w:lang w:val="hu-HU"/>
        </w:rPr>
        <w:t>ábra</w:t>
      </w:r>
    </w:p>
    <w:p w14:paraId="0D77F92C" w14:textId="77777777" w:rsidR="0037407E" w:rsidRDefault="0037407E" w:rsidP="0037407E">
      <w:pPr>
        <w:tabs>
          <w:tab w:val="left" w:pos="3004"/>
          <w:tab w:val="left" w:pos="5932"/>
        </w:tabs>
        <w:spacing w:before="33" w:line="480" w:lineRule="auto"/>
        <w:ind w:left="111" w:right="1474" w:firstLine="1653"/>
        <w:rPr>
          <w:rFonts w:ascii="Times New Roman" w:eastAsia="Times New Roman" w:hAnsi="Times New Roman" w:cs="Times New Roman"/>
          <w:b/>
          <w:bCs/>
          <w:lang w:val="hu-HU"/>
        </w:rPr>
      </w:pPr>
    </w:p>
    <w:p w14:paraId="4E9ECAF3" w14:textId="222394CB" w:rsidR="0037407E" w:rsidRDefault="0037407E" w:rsidP="0037407E">
      <w:pPr>
        <w:tabs>
          <w:tab w:val="left" w:pos="3004"/>
          <w:tab w:val="left" w:pos="5932"/>
        </w:tabs>
        <w:spacing w:before="33" w:line="480" w:lineRule="auto"/>
        <w:ind w:left="113" w:right="1474"/>
        <w:rPr>
          <w:rFonts w:ascii="Times New Roman" w:eastAsia="Times New Roman" w:hAnsi="Times New Roman" w:cs="Times New Roman"/>
          <w:lang w:val="hu-HU"/>
        </w:rPr>
      </w:pPr>
      <w:r>
        <w:rPr>
          <w:rFonts w:ascii="Times New Roman" w:eastAsia="Times New Roman" w:hAnsi="Times New Roman" w:cs="Times New Roman"/>
          <w:b/>
          <w:bCs/>
          <w:spacing w:val="-1"/>
          <w:lang w:val="hu-HU"/>
        </w:rPr>
        <w:t>Az</w:t>
      </w:r>
      <w:r w:rsidR="005F5974">
        <w:rPr>
          <w:rFonts w:ascii="Times New Roman" w:eastAsia="Times New Roman" w:hAnsi="Times New Roman" w:cs="Times New Roman"/>
          <w:b/>
          <w:bCs/>
          <w:spacing w:val="-1"/>
          <w:lang w:val="hu-HU"/>
        </w:rPr>
        <w:t xml:space="preserve"> </w:t>
      </w:r>
      <w:r>
        <w:rPr>
          <w:rFonts w:ascii="Times New Roman" w:eastAsia="Times New Roman" w:hAnsi="Times New Roman" w:cs="Times New Roman"/>
          <w:b/>
          <w:bCs/>
          <w:spacing w:val="-1"/>
          <w:lang w:val="hu-HU"/>
        </w:rPr>
        <w:t>előretöltött tollat ne használja fel, ha:</w:t>
      </w:r>
    </w:p>
    <w:p w14:paraId="3CDCAE6F" w14:textId="7BAAB737" w:rsidR="0037407E" w:rsidRDefault="0037407E" w:rsidP="0037407E">
      <w:pPr>
        <w:pStyle w:val="a3"/>
        <w:numPr>
          <w:ilvl w:val="1"/>
          <w:numId w:val="2"/>
        </w:numPr>
        <w:ind w:left="660" w:hanging="660"/>
        <w:rPr>
          <w:lang w:val="hu-HU"/>
        </w:rPr>
      </w:pPr>
      <w:r>
        <w:rPr>
          <w:rFonts w:eastAsia="Times New Roman"/>
          <w:lang w:val="hu-HU"/>
        </w:rPr>
        <w:t>megrepedt vagy sérült</w:t>
      </w:r>
      <w:r w:rsidR="004A2083">
        <w:rPr>
          <w:rFonts w:eastAsia="Times New Roman"/>
          <w:lang w:val="hu-HU"/>
        </w:rPr>
        <w:t>.</w:t>
      </w:r>
    </w:p>
    <w:p w14:paraId="791CB036" w14:textId="77777777" w:rsidR="0037407E" w:rsidRPr="00FB6A69" w:rsidRDefault="0037407E" w:rsidP="0037407E">
      <w:pPr>
        <w:pStyle w:val="a3"/>
        <w:numPr>
          <w:ilvl w:val="1"/>
          <w:numId w:val="2"/>
        </w:numPr>
        <w:ind w:left="660" w:hanging="660"/>
        <w:rPr>
          <w:sz w:val="26"/>
          <w:szCs w:val="26"/>
          <w:lang w:val="hu-HU"/>
        </w:rPr>
      </w:pPr>
      <w:r>
        <w:rPr>
          <w:rFonts w:eastAsia="Times New Roman"/>
          <w:lang w:val="hu-HU"/>
        </w:rPr>
        <w:t>a lejárati idő lejárt.</w:t>
      </w:r>
    </w:p>
    <w:p w14:paraId="7FEA64AA" w14:textId="1F671239" w:rsidR="004A2083" w:rsidRDefault="004A2083" w:rsidP="0037407E">
      <w:pPr>
        <w:pStyle w:val="a3"/>
        <w:numPr>
          <w:ilvl w:val="1"/>
          <w:numId w:val="2"/>
        </w:numPr>
        <w:ind w:left="660" w:hanging="660"/>
        <w:rPr>
          <w:sz w:val="26"/>
          <w:szCs w:val="26"/>
          <w:lang w:val="hu-HU"/>
        </w:rPr>
      </w:pPr>
      <w:proofErr w:type="spellStart"/>
      <w:r>
        <w:t>kemény</w:t>
      </w:r>
      <w:proofErr w:type="spellEnd"/>
      <w:r>
        <w:t xml:space="preserve"> </w:t>
      </w:r>
      <w:proofErr w:type="spellStart"/>
      <w:r>
        <w:t>felületre</w:t>
      </w:r>
      <w:proofErr w:type="spellEnd"/>
      <w:r>
        <w:t xml:space="preserve"> </w:t>
      </w:r>
      <w:proofErr w:type="spellStart"/>
      <w:r>
        <w:t>ejtette</w:t>
      </w:r>
      <w:proofErr w:type="spellEnd"/>
      <w:r>
        <w:t>.</w:t>
      </w:r>
    </w:p>
    <w:p w14:paraId="5CA10A4A" w14:textId="77777777" w:rsidR="0037407E" w:rsidRDefault="0037407E" w:rsidP="0037407E">
      <w:pPr>
        <w:pStyle w:val="a3"/>
        <w:rPr>
          <w:lang w:val="hu-HU"/>
        </w:rPr>
      </w:pPr>
    </w:p>
    <w:p w14:paraId="2914B0B2" w14:textId="6172C430" w:rsidR="0037407E" w:rsidRDefault="0037407E" w:rsidP="0037407E">
      <w:pPr>
        <w:pStyle w:val="a3"/>
        <w:rPr>
          <w:b/>
          <w:bCs/>
          <w:lang w:val="hu-HU"/>
        </w:rPr>
      </w:pPr>
      <w:r>
        <w:rPr>
          <w:rFonts w:eastAsia="Times New Roman"/>
          <w:b/>
          <w:bCs/>
          <w:lang w:val="hu-HU"/>
        </w:rPr>
        <w:t>Ne vegye le a tokot, amíg készen nem áll az injekció beadására</w:t>
      </w:r>
      <w:r w:rsidR="005F5974">
        <w:rPr>
          <w:rFonts w:eastAsia="Times New Roman"/>
          <w:b/>
          <w:bCs/>
          <w:lang w:val="hu-HU"/>
        </w:rPr>
        <w:t xml:space="preserve">. </w:t>
      </w:r>
      <w:r>
        <w:rPr>
          <w:rFonts w:eastAsia="Times New Roman"/>
          <w:b/>
          <w:bCs/>
          <w:lang w:val="hu-HU"/>
        </w:rPr>
        <w:t>A Yuflyma gyermekektől elzárva tartandó.</w:t>
      </w:r>
    </w:p>
    <w:tbl>
      <w:tblPr>
        <w:tblStyle w:val="ac"/>
        <w:tblW w:w="0" w:type="auto"/>
        <w:tblLook w:val="04A0" w:firstRow="1" w:lastRow="0" w:firstColumn="1" w:lastColumn="0" w:noHBand="0" w:noVBand="1"/>
      </w:tblPr>
      <w:tblGrid>
        <w:gridCol w:w="9550"/>
      </w:tblGrid>
      <w:tr w:rsidR="0037407E" w:rsidRPr="00BE4D18" w14:paraId="57530DAA" w14:textId="77777777" w:rsidTr="009C7DB8">
        <w:trPr>
          <w:trHeight w:val="2551"/>
        </w:trPr>
        <w:tc>
          <w:tcPr>
            <w:tcW w:w="9550" w:type="dxa"/>
          </w:tcPr>
          <w:p w14:paraId="19CB6127" w14:textId="77777777" w:rsidR="0037407E" w:rsidRDefault="0037407E" w:rsidP="007E7849">
            <w:pPr>
              <w:spacing w:line="260" w:lineRule="exact"/>
              <w:rPr>
                <w:rFonts w:ascii="Times New Roman" w:eastAsia="Times New Roman" w:hAnsi="Times New Roman" w:cs="Times New Roman"/>
                <w:b/>
                <w:bCs/>
                <w:spacing w:val="-1"/>
                <w:lang w:val="hu-HU"/>
              </w:rPr>
            </w:pPr>
          </w:p>
          <w:p w14:paraId="2A5AC965" w14:textId="77777777" w:rsidR="0037407E" w:rsidRPr="005D79EA" w:rsidRDefault="0037407E" w:rsidP="00FD05AA">
            <w:pPr>
              <w:pStyle w:val="a3"/>
              <w:numPr>
                <w:ilvl w:val="0"/>
                <w:numId w:val="67"/>
              </w:numPr>
              <w:rPr>
                <w:b/>
                <w:lang w:val="hu-HU"/>
              </w:rPr>
            </w:pPr>
            <w:r w:rsidRPr="005D79EA">
              <w:rPr>
                <w:rFonts w:eastAsia="Times New Roman"/>
                <w:b/>
                <w:bCs/>
                <w:lang w:val="hu-HU"/>
              </w:rPr>
              <w:t xml:space="preserve">Készítse elő az </w:t>
            </w:r>
            <w:r w:rsidRPr="001E2F31">
              <w:rPr>
                <w:rFonts w:eastAsia="Times New Roman"/>
                <w:b/>
                <w:lang w:val="hu-HU"/>
              </w:rPr>
              <w:t>injekció beadásához szükséges eszközöket.</w:t>
            </w:r>
          </w:p>
          <w:p w14:paraId="77ECF251" w14:textId="77777777" w:rsidR="0037407E" w:rsidRDefault="0037407E" w:rsidP="007E7849">
            <w:pPr>
              <w:pStyle w:val="a3"/>
              <w:numPr>
                <w:ilvl w:val="0"/>
                <w:numId w:val="0"/>
              </w:numPr>
              <w:ind w:left="470"/>
              <w:rPr>
                <w:b/>
                <w:lang w:val="hu-HU"/>
              </w:rPr>
            </w:pPr>
          </w:p>
          <w:p w14:paraId="58190A55" w14:textId="514D124F" w:rsidR="0037407E" w:rsidRDefault="0037407E" w:rsidP="007E7849">
            <w:pPr>
              <w:pStyle w:val="a3"/>
              <w:ind w:leftChars="50" w:left="110"/>
              <w:rPr>
                <w:lang w:val="hu-HU" w:eastAsia="ko-KR"/>
              </w:rPr>
            </w:pPr>
            <w:r>
              <w:rPr>
                <w:rFonts w:eastAsia="Times New Roman"/>
                <w:b/>
                <w:bCs/>
                <w:lang w:val="hu-HU" w:eastAsia="ko-KR"/>
              </w:rPr>
              <w:t xml:space="preserve">      a. </w:t>
            </w:r>
            <w:r w:rsidRPr="001E2F31">
              <w:rPr>
                <w:rFonts w:eastAsia="Times New Roman"/>
                <w:bCs/>
                <w:lang w:val="hu-HU" w:eastAsia="ko-KR"/>
              </w:rPr>
              <w:t>K</w:t>
            </w:r>
            <w:r>
              <w:rPr>
                <w:rFonts w:eastAsia="Times New Roman"/>
                <w:lang w:val="hu-HU" w:eastAsia="ko-KR"/>
              </w:rPr>
              <w:t>észítse elő a szükséges eszközöket egy tiszta, s</w:t>
            </w:r>
            <w:r w:rsidR="005F5974">
              <w:rPr>
                <w:rFonts w:eastAsia="Times New Roman"/>
                <w:lang w:val="hu-HU" w:eastAsia="ko-KR"/>
              </w:rPr>
              <w:t>i</w:t>
            </w:r>
            <w:r>
              <w:rPr>
                <w:rFonts w:eastAsia="Times New Roman"/>
                <w:lang w:val="hu-HU" w:eastAsia="ko-KR"/>
              </w:rPr>
              <w:t>ma felületen, például az asztalon vagy a konyhapulton:</w:t>
            </w:r>
          </w:p>
          <w:p w14:paraId="53AE30ED" w14:textId="77777777" w:rsidR="0037407E" w:rsidRDefault="0037407E" w:rsidP="007E7849">
            <w:pPr>
              <w:pStyle w:val="a3"/>
              <w:ind w:leftChars="50" w:left="110"/>
              <w:rPr>
                <w:lang w:val="hu-HU" w:eastAsia="ko-KR"/>
              </w:rPr>
            </w:pPr>
            <w:r>
              <w:rPr>
                <w:rFonts w:eastAsia="Times New Roman"/>
                <w:b/>
                <w:bCs/>
                <w:lang w:val="hu-HU" w:eastAsia="ko-KR"/>
              </w:rPr>
              <w:t xml:space="preserve">     b. </w:t>
            </w:r>
            <w:r w:rsidRPr="001E2F31">
              <w:rPr>
                <w:rFonts w:eastAsia="Times New Roman"/>
                <w:bCs/>
                <w:lang w:val="hu-HU" w:eastAsia="ko-KR"/>
              </w:rPr>
              <w:t>V</w:t>
            </w:r>
            <w:r>
              <w:rPr>
                <w:rFonts w:eastAsia="Times New Roman"/>
                <w:lang w:val="hu-HU" w:eastAsia="ko-KR"/>
              </w:rPr>
              <w:t>egyen ki 1 előretöltött tollat a hűtőszekrényben tárolt dobozból.</w:t>
            </w:r>
          </w:p>
          <w:p w14:paraId="5C97C9F7" w14:textId="77777777" w:rsidR="0037407E" w:rsidRDefault="0037407E" w:rsidP="007E7849">
            <w:pPr>
              <w:pStyle w:val="a3"/>
              <w:ind w:leftChars="50" w:left="110"/>
              <w:rPr>
                <w:lang w:val="hu-HU" w:eastAsia="ko-KR"/>
              </w:rPr>
            </w:pPr>
            <w:r>
              <w:rPr>
                <w:rFonts w:eastAsia="Times New Roman"/>
                <w:b/>
                <w:bCs/>
                <w:lang w:val="hu-HU" w:eastAsia="ko-KR"/>
              </w:rPr>
              <w:t xml:space="preserve">     c. </w:t>
            </w:r>
            <w:r w:rsidRPr="001E2F31">
              <w:rPr>
                <w:rFonts w:eastAsia="Times New Roman"/>
                <w:bCs/>
                <w:lang w:val="hu-HU" w:eastAsia="ko-KR"/>
              </w:rPr>
              <w:t>B</w:t>
            </w:r>
            <w:r>
              <w:rPr>
                <w:rFonts w:eastAsia="Times New Roman"/>
                <w:lang w:val="hu-HU" w:eastAsia="ko-KR"/>
              </w:rPr>
              <w:t>izonyosodjon meg róla, hogy Önnél vannak a következők:</w:t>
            </w:r>
          </w:p>
          <w:p w14:paraId="462BE8B7" w14:textId="77777777" w:rsidR="0037407E" w:rsidRDefault="0037407E" w:rsidP="007E7849">
            <w:pPr>
              <w:pStyle w:val="a3"/>
              <w:ind w:leftChars="402" w:left="884"/>
              <w:rPr>
                <w:lang w:val="hu-HU" w:eastAsia="ko-KR"/>
              </w:rPr>
            </w:pPr>
            <w:r>
              <w:rPr>
                <w:rFonts w:eastAsia="Times New Roman"/>
                <w:lang w:val="hu-HU" w:eastAsia="ko-KR"/>
              </w:rPr>
              <w:t>- Előretöltött toll</w:t>
            </w:r>
          </w:p>
          <w:p w14:paraId="1D8B821C" w14:textId="77777777" w:rsidR="0037407E" w:rsidRDefault="0037407E" w:rsidP="007E7849">
            <w:pPr>
              <w:pStyle w:val="a3"/>
              <w:ind w:leftChars="402" w:left="1659" w:hanging="775"/>
              <w:rPr>
                <w:lang w:val="hu-HU" w:eastAsia="ko-KR"/>
              </w:rPr>
            </w:pPr>
            <w:r>
              <w:rPr>
                <w:rFonts w:eastAsia="Times New Roman"/>
                <w:lang w:val="hu-HU" w:eastAsia="ko-KR"/>
              </w:rPr>
              <w:t>- 1 alkoholos törlő</w:t>
            </w:r>
          </w:p>
          <w:p w14:paraId="0C0B268B" w14:textId="77777777" w:rsidR="0037407E" w:rsidRDefault="0037407E" w:rsidP="007E7849">
            <w:pPr>
              <w:pStyle w:val="a3"/>
              <w:ind w:leftChars="402" w:left="1659" w:hanging="775"/>
              <w:rPr>
                <w:lang w:val="hu-HU" w:eastAsia="ko-KR"/>
              </w:rPr>
            </w:pPr>
          </w:p>
          <w:p w14:paraId="22D26915" w14:textId="77777777" w:rsidR="0037407E" w:rsidRDefault="0037407E" w:rsidP="007E7849">
            <w:pPr>
              <w:pStyle w:val="a3"/>
              <w:ind w:left="720"/>
              <w:rPr>
                <w:b/>
                <w:lang w:val="hu-HU" w:eastAsia="ko-KR"/>
              </w:rPr>
            </w:pPr>
            <w:r>
              <w:rPr>
                <w:rFonts w:eastAsia="Times New Roman"/>
                <w:b/>
                <w:bCs/>
                <w:lang w:val="hu-HU" w:eastAsia="ko-KR"/>
              </w:rPr>
              <w:t>A doboz nem tartalmazza:</w:t>
            </w:r>
          </w:p>
          <w:p w14:paraId="7D160226" w14:textId="77777777" w:rsidR="0037407E" w:rsidRDefault="0037407E" w:rsidP="007E7849">
            <w:pPr>
              <w:pStyle w:val="a3"/>
              <w:ind w:left="720"/>
              <w:rPr>
                <w:lang w:val="hu-HU" w:eastAsia="ko-KR"/>
              </w:rPr>
            </w:pPr>
            <w:r>
              <w:rPr>
                <w:rFonts w:eastAsia="Times New Roman"/>
                <w:lang w:val="hu-HU" w:eastAsia="ko-KR"/>
              </w:rPr>
              <w:t>- Vattacsomó vagy géz</w:t>
            </w:r>
          </w:p>
          <w:p w14:paraId="505D5C7F" w14:textId="77777777" w:rsidR="0037407E" w:rsidRDefault="0037407E" w:rsidP="007E7849">
            <w:pPr>
              <w:pStyle w:val="a3"/>
              <w:ind w:left="720"/>
              <w:rPr>
                <w:lang w:val="hu-HU" w:eastAsia="ko-KR"/>
              </w:rPr>
            </w:pPr>
            <w:r>
              <w:rPr>
                <w:rFonts w:eastAsia="Times New Roman"/>
                <w:lang w:val="hu-HU" w:eastAsia="ko-KR"/>
              </w:rPr>
              <w:t>- Ragtapasz</w:t>
            </w:r>
          </w:p>
          <w:p w14:paraId="28B2552C" w14:textId="77777777" w:rsidR="0037407E" w:rsidRDefault="0037407E" w:rsidP="007E7849">
            <w:pPr>
              <w:pStyle w:val="a3"/>
              <w:ind w:left="720"/>
              <w:rPr>
                <w:lang w:val="hu-HU" w:eastAsia="ko-KR"/>
              </w:rPr>
            </w:pPr>
            <w:r>
              <w:rPr>
                <w:rFonts w:eastAsia="Times New Roman"/>
                <w:lang w:val="hu-HU" w:eastAsia="ko-KR"/>
              </w:rPr>
              <w:t>- Éles tárgyak tárolására szolgáló tartály</w:t>
            </w:r>
          </w:p>
          <w:p w14:paraId="5C7A3513" w14:textId="77777777" w:rsidR="0037407E" w:rsidRDefault="0037407E" w:rsidP="007E7849">
            <w:pPr>
              <w:pStyle w:val="a3"/>
              <w:ind w:leftChars="402" w:left="1659" w:hanging="775"/>
              <w:rPr>
                <w:sz w:val="26"/>
                <w:szCs w:val="26"/>
                <w:lang w:val="hu-HU"/>
              </w:rPr>
            </w:pPr>
          </w:p>
        </w:tc>
      </w:tr>
      <w:tr w:rsidR="0037407E" w14:paraId="26863650" w14:textId="77777777" w:rsidTr="009C7DB8">
        <w:trPr>
          <w:trHeight w:val="4252"/>
        </w:trPr>
        <w:tc>
          <w:tcPr>
            <w:tcW w:w="9550" w:type="dxa"/>
          </w:tcPr>
          <w:p w14:paraId="284024F3" w14:textId="77777777" w:rsidR="0037407E" w:rsidRDefault="0037407E" w:rsidP="007E7849">
            <w:pPr>
              <w:spacing w:line="260" w:lineRule="exact"/>
              <w:rPr>
                <w:sz w:val="26"/>
                <w:szCs w:val="26"/>
                <w:lang w:val="hu-HU"/>
              </w:rPr>
            </w:pPr>
            <w:r>
              <w:rPr>
                <w:noProof/>
                <w:sz w:val="26"/>
                <w:szCs w:val="26"/>
                <w:lang w:eastAsia="ko-KR"/>
              </w:rPr>
              <w:lastRenderedPageBreak/>
              <mc:AlternateContent>
                <mc:Choice Requires="wpg">
                  <w:drawing>
                    <wp:anchor distT="0" distB="0" distL="114300" distR="114300" simplePos="0" relativeHeight="251658312" behindDoc="1" locked="0" layoutInCell="1" allowOverlap="1" wp14:anchorId="6367A4D6" wp14:editId="5D1E97D8">
                      <wp:simplePos x="0" y="0"/>
                      <wp:positionH relativeFrom="column">
                        <wp:posOffset>128905</wp:posOffset>
                      </wp:positionH>
                      <wp:positionV relativeFrom="paragraph">
                        <wp:posOffset>139700</wp:posOffset>
                      </wp:positionV>
                      <wp:extent cx="1949450" cy="2490470"/>
                      <wp:effectExtent l="19050" t="19050" r="12700" b="5080"/>
                      <wp:wrapTight wrapText="bothSides">
                        <wp:wrapPolygon edited="0">
                          <wp:start x="-211" y="-165"/>
                          <wp:lineTo x="-211" y="19992"/>
                          <wp:lineTo x="13298" y="20983"/>
                          <wp:lineTo x="13298" y="21479"/>
                          <wp:lineTo x="21530" y="21479"/>
                          <wp:lineTo x="21530" y="-165"/>
                          <wp:lineTo x="-211" y="-165"/>
                        </wp:wrapPolygon>
                      </wp:wrapTight>
                      <wp:docPr id="1068" name="그룹 1068"/>
                      <wp:cNvGraphicFramePr/>
                      <a:graphic xmlns:a="http://schemas.openxmlformats.org/drawingml/2006/main">
                        <a:graphicData uri="http://schemas.microsoft.com/office/word/2010/wordprocessingGroup">
                          <wpg:wgp>
                            <wpg:cNvGrpSpPr/>
                            <wpg:grpSpPr>
                              <a:xfrm>
                                <a:off x="0" y="0"/>
                                <a:ext cx="1949450" cy="2490470"/>
                                <a:chOff x="0" y="0"/>
                                <a:chExt cx="2029460" cy="2688313"/>
                              </a:xfrm>
                            </wpg:grpSpPr>
                            <wps:wsp>
                              <wps:cNvPr id="1069" name="Text Box 5"/>
                              <wps:cNvSpPr txBox="1">
                                <a:spLocks noChangeArrowheads="1"/>
                              </wps:cNvSpPr>
                              <wps:spPr bwMode="auto">
                                <a:xfrm>
                                  <a:off x="1295400" y="2542310"/>
                                  <a:ext cx="720102" cy="1460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7A4B23" w14:textId="47BCC024" w:rsidR="004A2986" w:rsidRDefault="004A2986" w:rsidP="0037407E">
                                    <w:pPr>
                                      <w:pStyle w:val="af0"/>
                                      <w:jc w:val="right"/>
                                      <w:rPr>
                                        <w:rFonts w:ascii="Times New Roman" w:hAnsi="Times New Roman" w:cs="Times New Roman"/>
                                        <w:noProof/>
                                        <w:spacing w:val="-1"/>
                                      </w:rPr>
                                    </w:pPr>
                                    <w:r>
                                      <w:rPr>
                                        <w:rFonts w:ascii="Times New Roman" w:hAnsi="Times New Roman" w:cs="Times New Roman"/>
                                      </w:rPr>
                                      <w:t>B</w:t>
                                    </w:r>
                                    <w:r>
                                      <w:rPr>
                                        <w:rFonts w:ascii="Times New Roman" w:eastAsia="Times New Roman" w:hAnsi="Times New Roman" w:cs="Times New Roman"/>
                                        <w:lang w:val="hu-HU"/>
                                      </w:rPr>
                                      <w:t>. ábra</w:t>
                                    </w:r>
                                  </w:p>
                                </w:txbxContent>
                              </wps:txbx>
                              <wps:bodyPr rot="0" vert="horz" wrap="square" lIns="0" tIns="0" rIns="0" bIns="0" anchor="t" anchorCtr="0" upright="1">
                                <a:noAutofit/>
                              </wps:bodyPr>
                            </wps:wsp>
                            <pic:pic xmlns:pic="http://schemas.openxmlformats.org/drawingml/2006/picture">
                              <pic:nvPicPr>
                                <pic:cNvPr id="1070" name="그림 16"/>
                                <pic:cNvPicPr>
                                  <a:picLocks noChangeAspect="1"/>
                                </pic:cNvPicPr>
                              </pic:nvPicPr>
                              <pic:blipFill>
                                <a:blip r:embed="rId141" cstate="print">
                                  <a:extLst>
                                    <a:ext uri="{28A0092B-C50C-407E-A947-70E740481C1C}">
                                      <a14:useLocalDpi xmlns:a14="http://schemas.microsoft.com/office/drawing/2010/main" val="0"/>
                                    </a:ext>
                                  </a:extLst>
                                </a:blip>
                                <a:srcRect/>
                                <a:stretch/>
                              </pic:blipFill>
                              <pic:spPr>
                                <a:xfrm>
                                  <a:off x="0" y="0"/>
                                  <a:ext cx="2029460" cy="2491105"/>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6367A4D6" id="그룹 1068" o:spid="_x0000_s1198" style="position:absolute;margin-left:10.15pt;margin-top:11pt;width:153.5pt;height:196.1pt;z-index:-251658168;mso-width-relative:margin;mso-height-relative:margin" coordsize="20294,26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">
                      <v:shape id="Text Box 5" o:spid="_x0000_s1199" type="#_x0000_t202" style="position:absolute;left:12954;top:25423;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" stroked="f">
                        <v:textbox inset="0,0,0,0">
                          <w:txbxContent>
                            <w:p w14:paraId="667A4B23" w14:textId="47BCC024" w:rsidR="004A2986" w:rsidRDefault="004A2986" w:rsidP="0037407E">
                              <w:pPr>
                                <w:pStyle w:val="af0"/>
                                <w:jc w:val="right"/>
                                <w:rPr>
                                  <w:rFonts w:ascii="Times New Roman" w:hAnsi="Times New Roman" w:cs="Times New Roman"/>
                                  <w:noProof/>
                                  <w:spacing w:val="-1"/>
                                </w:rPr>
                              </w:pPr>
                              <w:r>
                                <w:rPr>
                                  <w:rFonts w:ascii="Times New Roman" w:hAnsi="Times New Roman" w:cs="Times New Roman"/>
                                </w:rPr>
                                <w:t>B</w:t>
                              </w:r>
                              <w:r>
                                <w:rPr>
                                  <w:rFonts w:ascii="Times New Roman" w:eastAsia="Times New Roman" w:hAnsi="Times New Roman" w:cs="Times New Roman"/>
                                  <w:lang w:val="hu-HU"/>
                                </w:rPr>
                                <w:t>. ábra</w:t>
                              </w:r>
                            </w:p>
                          </w:txbxContent>
                        </v:textbox>
                      </v:shape>
                      <v:shape id="그림 16" o:spid="_x0000_s1200" type="#_x0000_t75" style="position:absolute;width:20294;height:24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" stroked="t" strokecolor="black [3213]">
                        <v:imagedata r:id="rId142" o:title=""/>
                        <v:path arrowok="t"/>
                      </v:shape>
                      <w10:wrap type="tight"/>
                    </v:group>
                  </w:pict>
                </mc:Fallback>
              </mc:AlternateContent>
            </w:r>
          </w:p>
          <w:p w14:paraId="3FD65139" w14:textId="77777777" w:rsidR="0037407E" w:rsidRDefault="0037407E" w:rsidP="00FD05AA">
            <w:pPr>
              <w:pStyle w:val="a3"/>
              <w:numPr>
                <w:ilvl w:val="0"/>
                <w:numId w:val="67"/>
              </w:numPr>
              <w:rPr>
                <w:b/>
                <w:lang w:val="hu-HU"/>
              </w:rPr>
            </w:pPr>
            <w:r>
              <w:rPr>
                <w:rFonts w:eastAsia="Times New Roman"/>
                <w:b/>
                <w:bCs/>
                <w:lang w:val="hu-HU"/>
              </w:rPr>
              <w:t>Az előretöltött injekciós toll ellenőrzése</w:t>
            </w:r>
          </w:p>
          <w:p w14:paraId="1BF6D479" w14:textId="77777777" w:rsidR="0037407E" w:rsidRDefault="0037407E" w:rsidP="007E7849">
            <w:pPr>
              <w:pStyle w:val="a3"/>
              <w:numPr>
                <w:ilvl w:val="0"/>
                <w:numId w:val="0"/>
              </w:numPr>
              <w:ind w:left="471"/>
              <w:rPr>
                <w:b/>
                <w:lang w:val="hu-HU"/>
              </w:rPr>
            </w:pPr>
          </w:p>
          <w:p w14:paraId="6741D47C" w14:textId="77777777" w:rsidR="0037407E" w:rsidRDefault="0037407E" w:rsidP="007E7849">
            <w:pPr>
              <w:pStyle w:val="a3"/>
              <w:numPr>
                <w:ilvl w:val="0"/>
                <w:numId w:val="0"/>
              </w:numPr>
              <w:ind w:left="3960" w:hanging="3960"/>
              <w:rPr>
                <w:lang w:val="hu-HU" w:eastAsia="ko-KR"/>
              </w:rPr>
            </w:pPr>
            <w:r>
              <w:rPr>
                <w:rFonts w:eastAsia="Times New Roman"/>
                <w:b/>
                <w:bCs/>
                <w:lang w:val="hu-HU" w:eastAsia="ko-KR"/>
              </w:rPr>
              <w:t xml:space="preserve">     a. </w:t>
            </w:r>
            <w:r>
              <w:rPr>
                <w:rFonts w:eastAsia="Times New Roman"/>
                <w:lang w:val="hu-HU" w:eastAsia="ko-KR"/>
              </w:rPr>
              <w:t>Győződjön meg arról, hogy a megfelelő gyógyszert (Yuflyma) és adagot kapta.</w:t>
            </w:r>
          </w:p>
          <w:p w14:paraId="63819188" w14:textId="77777777" w:rsidR="0037407E" w:rsidRDefault="0037407E" w:rsidP="007E7849">
            <w:pPr>
              <w:pStyle w:val="a3"/>
              <w:ind w:left="3960" w:hanging="3960"/>
              <w:rPr>
                <w:lang w:val="hu-HU" w:eastAsia="ko-KR"/>
              </w:rPr>
            </w:pPr>
            <w:r>
              <w:rPr>
                <w:rFonts w:eastAsia="Times New Roman"/>
                <w:b/>
                <w:bCs/>
                <w:lang w:val="hu-HU" w:eastAsia="ko-KR"/>
              </w:rPr>
              <w:t xml:space="preserve">     b. </w:t>
            </w:r>
            <w:r>
              <w:rPr>
                <w:rFonts w:eastAsia="Times New Roman"/>
                <w:lang w:val="hu-HU" w:eastAsia="ko-KR"/>
              </w:rPr>
              <w:t>Nézze meg az előretöltött tollat, és ellenőrizze, hogy nincs-e megrepedve vagy megsérülve.</w:t>
            </w:r>
          </w:p>
          <w:p w14:paraId="7CB8EB3D" w14:textId="77777777" w:rsidR="0037407E" w:rsidRDefault="0037407E" w:rsidP="007E7849">
            <w:pPr>
              <w:spacing w:line="260" w:lineRule="exact"/>
              <w:ind w:left="3960" w:hanging="3960"/>
              <w:rPr>
                <w:rFonts w:ascii="Times New Roman" w:hAnsi="Times New Roman" w:cs="Times New Roman"/>
                <w:spacing w:val="-1"/>
                <w:lang w:val="hu-HU" w:eastAsia="ko-KR"/>
              </w:rPr>
            </w:pPr>
            <w:r>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00" behindDoc="0" locked="0" layoutInCell="1" allowOverlap="1" wp14:anchorId="149328BB" wp14:editId="6C8E4EBF">
                      <wp:simplePos x="0" y="0"/>
                      <wp:positionH relativeFrom="column">
                        <wp:posOffset>975995</wp:posOffset>
                      </wp:positionH>
                      <wp:positionV relativeFrom="paragraph">
                        <wp:posOffset>306070</wp:posOffset>
                      </wp:positionV>
                      <wp:extent cx="939800" cy="342900"/>
                      <wp:effectExtent l="0" t="0" r="0" b="0"/>
                      <wp:wrapNone/>
                      <wp:docPr id="1071" name="Text Box 1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9800" cy="3429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588EA2B" w14:textId="77777777" w:rsidR="004A2986" w:rsidRPr="009167C6" w:rsidRDefault="004A2986" w:rsidP="0037407E">
                                  <w:pPr>
                                    <w:rPr>
                                      <w:rFonts w:asciiTheme="majorBidi" w:hAnsiTheme="majorBidi" w:cstheme="majorBidi"/>
                                      <w:b/>
                                      <w:bCs/>
                                      <w:sz w:val="16"/>
                                      <w:szCs w:val="16"/>
                                    </w:rPr>
                                  </w:pPr>
                                  <w:r w:rsidRPr="009167C6">
                                    <w:rPr>
                                      <w:rFonts w:ascii="Times New Roman" w:eastAsia="Times New Roman" w:hAnsi="Times New Roman" w:cs="Times New Roman"/>
                                      <w:b/>
                                      <w:bCs/>
                                      <w:sz w:val="16"/>
                                      <w:szCs w:val="16"/>
                                      <w:lang w:val="hu-HU"/>
                                    </w:rPr>
                                    <w:t xml:space="preserve">EXP.: </w:t>
                                  </w:r>
                                  <w:r w:rsidRPr="009167C6">
                                    <w:rPr>
                                      <w:rFonts w:ascii="Times New Roman" w:eastAsia="Times New Roman" w:hAnsi="Times New Roman" w:cs="Times New Roman"/>
                                      <w:sz w:val="16"/>
                                      <w:szCs w:val="16"/>
                                      <w:lang w:val="hu-HU"/>
                                    </w:rPr>
                                    <w:t>HÓNAP ÉV</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9328BB" id="Text Box 1071" o:spid="_x0000_s1201" type="#_x0000_t202" style="position:absolute;left:0;text-align:left;margin-left:76.85pt;margin-top:24.1pt;width:74pt;height:27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" fillcolor="white [3212]" stroked="f" strokeweight=".5pt">
                      <v:textbox inset="0,0,0,0">
                        <w:txbxContent>
                          <w:p w14:paraId="5588EA2B" w14:textId="77777777" w:rsidR="004A2986" w:rsidRPr="009167C6" w:rsidRDefault="004A2986" w:rsidP="0037407E">
                            <w:pPr>
                              <w:rPr>
                                <w:rFonts w:asciiTheme="majorBidi" w:hAnsiTheme="majorBidi" w:cstheme="majorBidi"/>
                                <w:b/>
                                <w:bCs/>
                                <w:sz w:val="16"/>
                                <w:szCs w:val="16"/>
                              </w:rPr>
                            </w:pPr>
                            <w:r w:rsidRPr="009167C6">
                              <w:rPr>
                                <w:rFonts w:ascii="Times New Roman" w:eastAsia="Times New Roman" w:hAnsi="Times New Roman" w:cs="Times New Roman"/>
                                <w:b/>
                                <w:bCs/>
                                <w:sz w:val="16"/>
                                <w:szCs w:val="16"/>
                                <w:lang w:val="hu-HU"/>
                              </w:rPr>
                              <w:t xml:space="preserve">EXP.: </w:t>
                            </w:r>
                            <w:r w:rsidRPr="009167C6">
                              <w:rPr>
                                <w:rFonts w:ascii="Times New Roman" w:eastAsia="Times New Roman" w:hAnsi="Times New Roman" w:cs="Times New Roman"/>
                                <w:sz w:val="16"/>
                                <w:szCs w:val="16"/>
                                <w:lang w:val="hu-HU"/>
                              </w:rPr>
                              <w:t>HÓNAP ÉV</w:t>
                            </w:r>
                          </w:p>
                        </w:txbxContent>
                      </v:textbox>
                    </v:shape>
                  </w:pict>
                </mc:Fallback>
              </mc:AlternateContent>
            </w:r>
            <w:r>
              <w:rPr>
                <w:rFonts w:ascii="Times New Roman" w:eastAsia="Times New Roman" w:hAnsi="Times New Roman" w:cs="Times New Roman"/>
                <w:b/>
                <w:bCs/>
                <w:spacing w:val="-1"/>
                <w:lang w:val="hu-HU" w:eastAsia="ko-KR"/>
              </w:rPr>
              <w:t xml:space="preserve">     c</w:t>
            </w:r>
            <w:r>
              <w:rPr>
                <w:rFonts w:ascii="Calibri" w:eastAsia="Calibri" w:hAnsi="Calibri" w:cs="Arial"/>
                <w:b/>
                <w:bCs/>
                <w:spacing w:val="-1"/>
                <w:lang w:val="hu-HU" w:eastAsia="ko-KR"/>
              </w:rPr>
              <w:t>.</w:t>
            </w:r>
            <w:r>
              <w:rPr>
                <w:rFonts w:ascii="Calibri" w:eastAsia="Calibri" w:hAnsi="Calibri" w:cs="Arial"/>
                <w:spacing w:val="-1"/>
                <w:lang w:val="hu-HU" w:eastAsia="ko-KR"/>
              </w:rPr>
              <w:t xml:space="preserve"> </w:t>
            </w:r>
            <w:r>
              <w:rPr>
                <w:rFonts w:ascii="Times New Roman" w:eastAsia="Times New Roman" w:hAnsi="Times New Roman" w:cs="Times New Roman"/>
                <w:spacing w:val="-1"/>
                <w:lang w:val="hu-HU" w:eastAsia="ko-KR"/>
              </w:rPr>
              <w:t xml:space="preserve">Ellenőrizze az előretöltött injekciós toll címkéjén található lejárati dátumot. </w:t>
            </w:r>
          </w:p>
          <w:p w14:paraId="5D258562" w14:textId="2AE50141" w:rsidR="0037407E" w:rsidRDefault="0037407E" w:rsidP="007E7849">
            <w:pPr>
              <w:spacing w:line="260" w:lineRule="exact"/>
              <w:rPr>
                <w:spacing w:val="-1"/>
                <w:lang w:val="hu-HU" w:eastAsia="ko-KR"/>
              </w:rPr>
            </w:pPr>
          </w:p>
          <w:p w14:paraId="037AF51E" w14:textId="77777777" w:rsidR="0037407E" w:rsidRDefault="0037407E" w:rsidP="007E7849">
            <w:pPr>
              <w:pStyle w:val="a3"/>
              <w:numPr>
                <w:ilvl w:val="0"/>
                <w:numId w:val="0"/>
              </w:numPr>
              <w:ind w:left="1384"/>
              <w:rPr>
                <w:lang w:val="hu-HU" w:eastAsia="ko-KR"/>
              </w:rPr>
            </w:pPr>
          </w:p>
          <w:p w14:paraId="1F1A44AF" w14:textId="77777777" w:rsidR="0037407E" w:rsidRDefault="0037407E" w:rsidP="007E7849">
            <w:pPr>
              <w:pStyle w:val="a3"/>
              <w:numPr>
                <w:ilvl w:val="0"/>
                <w:numId w:val="0"/>
              </w:numPr>
              <w:ind w:left="984"/>
              <w:rPr>
                <w:b/>
                <w:lang w:val="hu-HU" w:eastAsia="ko-KR"/>
              </w:rPr>
            </w:pPr>
          </w:p>
          <w:p w14:paraId="4DC9BDAC" w14:textId="77777777" w:rsidR="0037407E" w:rsidRPr="005D79EA" w:rsidRDefault="0037407E" w:rsidP="007E7849">
            <w:pPr>
              <w:pStyle w:val="a3"/>
              <w:numPr>
                <w:ilvl w:val="0"/>
                <w:numId w:val="0"/>
              </w:numPr>
              <w:ind w:left="984"/>
              <w:rPr>
                <w:lang w:val="hu-HU" w:eastAsia="ko-KR"/>
              </w:rPr>
            </w:pPr>
            <w:r w:rsidRPr="001E2F31">
              <w:rPr>
                <w:rFonts w:eastAsia="Times New Roman"/>
                <w:bCs/>
                <w:lang w:val="hu-HU" w:eastAsia="ko-KR"/>
              </w:rPr>
              <w:t xml:space="preserve">Az előretöltött tollat </w:t>
            </w:r>
            <w:r w:rsidRPr="005D79EA">
              <w:rPr>
                <w:rFonts w:eastAsia="Times New Roman"/>
                <w:b/>
                <w:bCs/>
                <w:lang w:val="hu-HU" w:eastAsia="ko-KR"/>
              </w:rPr>
              <w:t>ne</w:t>
            </w:r>
            <w:r w:rsidRPr="001E2F31">
              <w:rPr>
                <w:rFonts w:eastAsia="Times New Roman"/>
                <w:bCs/>
                <w:lang w:val="hu-HU" w:eastAsia="ko-KR"/>
              </w:rPr>
              <w:t xml:space="preserve"> használja fel, ha:</w:t>
            </w:r>
          </w:p>
          <w:p w14:paraId="4F7E4FFE" w14:textId="019ED9E2" w:rsidR="0037407E" w:rsidRDefault="0037407E" w:rsidP="007E7849">
            <w:pPr>
              <w:pStyle w:val="a3"/>
              <w:numPr>
                <w:ilvl w:val="0"/>
                <w:numId w:val="17"/>
              </w:numPr>
              <w:rPr>
                <w:lang w:val="hu-HU" w:eastAsia="ko-KR"/>
              </w:rPr>
            </w:pPr>
            <w:r>
              <w:rPr>
                <w:rFonts w:eastAsia="Times New Roman"/>
                <w:lang w:val="hu-HU" w:eastAsia="ko-KR"/>
              </w:rPr>
              <w:t>megrepedt vagy sérült</w:t>
            </w:r>
            <w:r w:rsidR="004A2083">
              <w:rPr>
                <w:rFonts w:eastAsia="Times New Roman"/>
                <w:lang w:val="hu-HU" w:eastAsia="ko-KR"/>
              </w:rPr>
              <w:t>.</w:t>
            </w:r>
          </w:p>
          <w:p w14:paraId="439CF7D3" w14:textId="77777777" w:rsidR="0037407E" w:rsidRPr="00FB6A69" w:rsidRDefault="0037407E" w:rsidP="007E7849">
            <w:pPr>
              <w:pStyle w:val="a3"/>
              <w:numPr>
                <w:ilvl w:val="0"/>
                <w:numId w:val="17"/>
              </w:numPr>
              <w:rPr>
                <w:sz w:val="26"/>
                <w:szCs w:val="26"/>
                <w:lang w:val="hu-HU"/>
              </w:rPr>
            </w:pPr>
            <w:r>
              <w:rPr>
                <w:rFonts w:eastAsia="Times New Roman"/>
                <w:lang w:val="hu-HU" w:eastAsia="ko-KR"/>
              </w:rPr>
              <w:t>a lejárati idő lejárt.</w:t>
            </w:r>
            <w:r w:rsidRPr="00525F72">
              <w:rPr>
                <w:rFonts w:asciiTheme="minorHAnsi" w:hAnsiTheme="minorHAnsi" w:cstheme="minorBidi"/>
                <w:noProof/>
                <w:lang w:eastAsia="ko-KR"/>
              </w:rPr>
              <w:t xml:space="preserve"> </w:t>
            </w:r>
          </w:p>
          <w:p w14:paraId="3BCF9B51" w14:textId="6A4E18C2" w:rsidR="004A2083" w:rsidRDefault="004A2083" w:rsidP="007E7849">
            <w:pPr>
              <w:pStyle w:val="a3"/>
              <w:numPr>
                <w:ilvl w:val="0"/>
                <w:numId w:val="17"/>
              </w:numPr>
              <w:rPr>
                <w:sz w:val="26"/>
                <w:szCs w:val="26"/>
                <w:lang w:val="hu-HU"/>
              </w:rPr>
            </w:pPr>
            <w:proofErr w:type="spellStart"/>
            <w:r>
              <w:t>kemény</w:t>
            </w:r>
            <w:proofErr w:type="spellEnd"/>
            <w:r>
              <w:t xml:space="preserve"> </w:t>
            </w:r>
            <w:proofErr w:type="spellStart"/>
            <w:r>
              <w:t>felületre</w:t>
            </w:r>
            <w:proofErr w:type="spellEnd"/>
            <w:r>
              <w:t xml:space="preserve"> </w:t>
            </w:r>
            <w:proofErr w:type="spellStart"/>
            <w:r>
              <w:t>ejtette</w:t>
            </w:r>
            <w:proofErr w:type="spellEnd"/>
            <w:r>
              <w:t>.</w:t>
            </w:r>
          </w:p>
        </w:tc>
      </w:tr>
      <w:tr w:rsidR="0037407E" w14:paraId="451B40AC" w14:textId="77777777" w:rsidTr="009C7DB8">
        <w:trPr>
          <w:trHeight w:val="4592"/>
        </w:trPr>
        <w:tc>
          <w:tcPr>
            <w:tcW w:w="9550" w:type="dxa"/>
          </w:tcPr>
          <w:p w14:paraId="05DE6445" w14:textId="77777777" w:rsidR="0037407E" w:rsidRDefault="0037407E" w:rsidP="007E7849">
            <w:pPr>
              <w:spacing w:line="260" w:lineRule="exact"/>
              <w:rPr>
                <w:rFonts w:ascii="Times New Roman" w:eastAsia="Times New Roman" w:hAnsi="Times New Roman" w:cs="Times New Roman"/>
                <w:b/>
                <w:bCs/>
                <w:spacing w:val="-1"/>
                <w:lang w:val="hu-HU"/>
              </w:rPr>
            </w:pPr>
          </w:p>
          <w:p w14:paraId="3FB9704D" w14:textId="3BA321F8" w:rsidR="0037407E" w:rsidRDefault="009C7DB8" w:rsidP="007E7849">
            <w:pPr>
              <w:spacing w:line="260" w:lineRule="exact"/>
              <w:rPr>
                <w:sz w:val="26"/>
                <w:szCs w:val="26"/>
                <w:lang w:val="hu-HU"/>
              </w:rPr>
            </w:pPr>
            <w:r>
              <w:rPr>
                <w:noProof/>
                <w:sz w:val="26"/>
                <w:szCs w:val="26"/>
                <w:lang w:eastAsia="ko-KR"/>
              </w:rPr>
              <mc:AlternateContent>
                <mc:Choice Requires="wpg">
                  <w:drawing>
                    <wp:anchor distT="0" distB="0" distL="114300" distR="114300" simplePos="0" relativeHeight="251658282" behindDoc="0" locked="0" layoutInCell="1" allowOverlap="1" wp14:anchorId="2A6FD3CC" wp14:editId="56B69F7F">
                      <wp:simplePos x="0" y="0"/>
                      <wp:positionH relativeFrom="column">
                        <wp:posOffset>88265</wp:posOffset>
                      </wp:positionH>
                      <wp:positionV relativeFrom="paragraph">
                        <wp:posOffset>24201</wp:posOffset>
                      </wp:positionV>
                      <wp:extent cx="2066925" cy="2687320"/>
                      <wp:effectExtent l="19050" t="19050" r="9525" b="0"/>
                      <wp:wrapSquare wrapText="bothSides"/>
                      <wp:docPr id="1072" name="그룹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66925" cy="2687320"/>
                                <a:chOff x="173" y="-144"/>
                                <a:chExt cx="20674" cy="26877"/>
                              </a:xfrm>
                            </wpg:grpSpPr>
                            <pic:pic xmlns:pic="http://schemas.openxmlformats.org/drawingml/2006/picture">
                              <pic:nvPicPr>
                                <pic:cNvPr id="1073" name="그림 34"/>
                                <pic:cNvPicPr>
                                  <a:picLocks noChangeAspect="1"/>
                                </pic:cNvPicPr>
                              </pic:nvPicPr>
                              <pic:blipFill>
                                <a:blip r:embed="rId143" cstate="print">
                                  <a:extLst>
                                    <a:ext uri="{28A0092B-C50C-407E-A947-70E740481C1C}">
                                      <a14:useLocalDpi xmlns:a14="http://schemas.microsoft.com/office/drawing/2010/main" val="0"/>
                                    </a:ext>
                                  </a:extLst>
                                </a:blip>
                                <a:srcRect/>
                                <a:stretch/>
                              </pic:blipFill>
                              <pic:spPr bwMode="auto">
                                <a:xfrm>
                                  <a:off x="173" y="-144"/>
                                  <a:ext cx="20462" cy="25311"/>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wps:wsp>
                              <wps:cNvPr id="1074" name="Text Box 6"/>
                              <wps:cNvSpPr txBox="1">
                                <a:spLocks noChangeArrowheads="1"/>
                              </wps:cNvSpPr>
                              <wps:spPr bwMode="auto">
                                <a:xfrm>
                                  <a:off x="13646" y="25273"/>
                                  <a:ext cx="7201" cy="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055131" w14:textId="15477468" w:rsidR="004A2986" w:rsidRDefault="004A2986" w:rsidP="0037407E">
                                    <w:pPr>
                                      <w:pStyle w:val="af0"/>
                                      <w:jc w:val="right"/>
                                      <w:rPr>
                                        <w:rFonts w:ascii="Times New Roman" w:hAnsi="Times New Roman" w:cs="Times New Roman"/>
                                      </w:rPr>
                                    </w:pPr>
                                    <w:r>
                                      <w:rPr>
                                        <w:rFonts w:ascii="Times New Roman" w:hAnsi="Times New Roman" w:cs="Times New Roman"/>
                                      </w:rPr>
                                      <w:t>C</w:t>
                                    </w:r>
                                    <w:r>
                                      <w:rPr>
                                        <w:rFonts w:ascii="Times New Roman" w:eastAsia="Times New Roman" w:hAnsi="Times New Roman" w:cs="Times New Roman"/>
                                        <w:lang w:val="hu-HU"/>
                                      </w:rPr>
                                      <w:t>. ábra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2A6FD3CC" id="_x0000_s1202" style="position:absolute;margin-left:6.95pt;margin-top:1.9pt;width:162.75pt;height:211.6pt;z-index:251658282" coordorigin="173,-144" coordsize="20674,26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">
                      <v:shape id="그림 34" o:spid="_x0000_s1203" type="#_x0000_t75" style="position:absolute;left:173;top:-144;width:20462;height:25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" stroked="t" strokecolor="black [3213]">
                        <v:imagedata r:id="rId144" o:title=""/>
                        <v:path arrowok="t"/>
                      </v:shape>
                      <v:shape id="Text Box 6" o:spid="_x0000_s1204" type="#_x0000_t202" style="position:absolute;left:13646;top:25273;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" stroked="f">
                        <v:textbox style="mso-fit-shape-to-text:t" inset="0,0,0,0">
                          <w:txbxContent>
                            <w:p w14:paraId="25055131" w14:textId="15477468" w:rsidR="004A2986" w:rsidRDefault="004A2986" w:rsidP="0037407E">
                              <w:pPr>
                                <w:pStyle w:val="af0"/>
                                <w:jc w:val="right"/>
                                <w:rPr>
                                  <w:rFonts w:ascii="Times New Roman" w:hAnsi="Times New Roman" w:cs="Times New Roman"/>
                                </w:rPr>
                              </w:pPr>
                              <w:r>
                                <w:rPr>
                                  <w:rFonts w:ascii="Times New Roman" w:hAnsi="Times New Roman" w:cs="Times New Roman"/>
                                </w:rPr>
                                <w:t>C</w:t>
                              </w:r>
                              <w:r>
                                <w:rPr>
                                  <w:rFonts w:ascii="Times New Roman" w:eastAsia="Times New Roman" w:hAnsi="Times New Roman" w:cs="Times New Roman"/>
                                  <w:lang w:val="hu-HU"/>
                                </w:rPr>
                                <w:t>. ábra</w:t>
                              </w:r>
                            </w:p>
                          </w:txbxContent>
                        </v:textbox>
                      </v:shape>
                      <w10:wrap type="square"/>
                    </v:group>
                  </w:pict>
                </mc:Fallback>
              </mc:AlternateContent>
            </w:r>
          </w:p>
          <w:p w14:paraId="48160D84" w14:textId="48CB55B0" w:rsidR="0037407E" w:rsidRDefault="0037407E" w:rsidP="007E7849">
            <w:pPr>
              <w:spacing w:line="260" w:lineRule="exact"/>
              <w:rPr>
                <w:sz w:val="26"/>
                <w:szCs w:val="26"/>
                <w:lang w:val="hu-HU"/>
              </w:rPr>
            </w:pPr>
          </w:p>
          <w:p w14:paraId="11116F1A" w14:textId="77777777" w:rsidR="0037407E" w:rsidRDefault="0037407E" w:rsidP="00FD05AA">
            <w:pPr>
              <w:pStyle w:val="a3"/>
              <w:numPr>
                <w:ilvl w:val="0"/>
                <w:numId w:val="67"/>
              </w:numPr>
              <w:rPr>
                <w:b/>
                <w:lang w:val="hu-HU"/>
              </w:rPr>
            </w:pPr>
            <w:r>
              <w:rPr>
                <w:rFonts w:eastAsia="Times New Roman"/>
                <w:b/>
                <w:bCs/>
                <w:spacing w:val="-1"/>
                <w:lang w:val="hu-HU"/>
              </w:rPr>
              <w:t>Vizsgálja meg a gyógyszert</w:t>
            </w:r>
          </w:p>
          <w:p w14:paraId="64DFEC5E" w14:textId="77777777" w:rsidR="0037407E" w:rsidRDefault="0037407E" w:rsidP="007E7849">
            <w:pPr>
              <w:spacing w:line="260" w:lineRule="exact"/>
              <w:rPr>
                <w:sz w:val="26"/>
                <w:szCs w:val="26"/>
                <w:lang w:val="hu-HU"/>
              </w:rPr>
            </w:pPr>
          </w:p>
          <w:p w14:paraId="7D7BCDA0" w14:textId="14C44DDF" w:rsidR="0037407E" w:rsidRDefault="0037407E" w:rsidP="007E7849">
            <w:pPr>
              <w:pStyle w:val="a3"/>
              <w:numPr>
                <w:ilvl w:val="0"/>
                <w:numId w:val="0"/>
              </w:numPr>
              <w:ind w:left="4050" w:hanging="4050"/>
              <w:rPr>
                <w:lang w:val="hu-HU"/>
              </w:rPr>
            </w:pPr>
            <w:r>
              <w:rPr>
                <w:rFonts w:eastAsia="Times New Roman"/>
                <w:b/>
                <w:bCs/>
                <w:lang w:val="hu-HU"/>
              </w:rPr>
              <w:t xml:space="preserve">     a. </w:t>
            </w:r>
            <w:r>
              <w:rPr>
                <w:rFonts w:eastAsia="Times New Roman"/>
                <w:lang w:val="hu-HU"/>
              </w:rPr>
              <w:t>Nézzen át a kijelző ablakon, és győződjön meg arról, hogy a folyadék tiszta, színtelen vagy halványbarna, részecskéktől mentes.</w:t>
            </w:r>
          </w:p>
          <w:p w14:paraId="118C8085" w14:textId="77777777" w:rsidR="0037407E" w:rsidRDefault="0037407E" w:rsidP="007E7849">
            <w:pPr>
              <w:pStyle w:val="a3"/>
              <w:rPr>
                <w:lang w:val="hu-HU"/>
              </w:rPr>
            </w:pPr>
          </w:p>
          <w:p w14:paraId="562B1880" w14:textId="77777777" w:rsidR="0037407E" w:rsidRDefault="0037407E" w:rsidP="007E7849">
            <w:pPr>
              <w:pStyle w:val="a3"/>
              <w:numPr>
                <w:ilvl w:val="0"/>
                <w:numId w:val="39"/>
              </w:numPr>
              <w:ind w:left="4230" w:hanging="3870"/>
              <w:rPr>
                <w:lang w:val="hu-HU"/>
              </w:rPr>
            </w:pPr>
            <w:r>
              <w:rPr>
                <w:rFonts w:eastAsia="Times New Roman"/>
                <w:b/>
                <w:bCs/>
                <w:lang w:val="hu-HU"/>
              </w:rPr>
              <w:t>Ne</w:t>
            </w:r>
            <w:r>
              <w:rPr>
                <w:rFonts w:eastAsia="Times New Roman"/>
                <w:lang w:val="hu-HU"/>
              </w:rPr>
              <w:t xml:space="preserve"> használja az előretöltött fecskendőt, ha a folyadék elszíneződött (sárga vagy sötétbarna), zavaros vagy részecskéket tartalmaz.</w:t>
            </w:r>
          </w:p>
          <w:p w14:paraId="4E57CA74" w14:textId="77777777" w:rsidR="0037407E" w:rsidRDefault="0037407E" w:rsidP="007E7849">
            <w:pPr>
              <w:pStyle w:val="a3"/>
              <w:numPr>
                <w:ilvl w:val="0"/>
                <w:numId w:val="0"/>
              </w:numPr>
              <w:ind w:firstLineChars="350" w:firstLine="770"/>
              <w:rPr>
                <w:lang w:val="hu-HU"/>
              </w:rPr>
            </w:pPr>
          </w:p>
          <w:p w14:paraId="18FEA9D2" w14:textId="77777777" w:rsidR="0037407E" w:rsidRDefault="0037407E" w:rsidP="007E7849">
            <w:pPr>
              <w:pStyle w:val="a3"/>
              <w:numPr>
                <w:ilvl w:val="0"/>
                <w:numId w:val="16"/>
              </w:numPr>
              <w:ind w:left="4235" w:hanging="3878"/>
              <w:rPr>
                <w:sz w:val="26"/>
                <w:szCs w:val="26"/>
                <w:lang w:val="hu-HU"/>
              </w:rPr>
            </w:pPr>
            <w:r>
              <w:rPr>
                <w:rFonts w:eastAsia="Times New Roman"/>
                <w:lang w:val="hu-HU"/>
              </w:rPr>
              <w:t>Előfordulhat, hogy légbuborékokat lát a folyadékban. Ez normális jelenség.</w:t>
            </w:r>
          </w:p>
          <w:p w14:paraId="7CC5A36B" w14:textId="77777777" w:rsidR="0037407E" w:rsidRDefault="0037407E" w:rsidP="007E7849">
            <w:pPr>
              <w:pStyle w:val="a3"/>
              <w:rPr>
                <w:lang w:val="hu-HU"/>
              </w:rPr>
            </w:pPr>
          </w:p>
        </w:tc>
      </w:tr>
      <w:tr w:rsidR="0037407E" w:rsidRPr="00BE4D18" w14:paraId="26199CBB" w14:textId="77777777" w:rsidTr="009C7DB8">
        <w:trPr>
          <w:trHeight w:val="4819"/>
        </w:trPr>
        <w:tc>
          <w:tcPr>
            <w:tcW w:w="9550" w:type="dxa"/>
          </w:tcPr>
          <w:p w14:paraId="04612938" w14:textId="77777777" w:rsidR="0037407E" w:rsidRDefault="0037407E" w:rsidP="007E7849">
            <w:pPr>
              <w:spacing w:line="260" w:lineRule="exact"/>
              <w:rPr>
                <w:rFonts w:ascii="Times New Roman" w:eastAsia="Times New Roman" w:hAnsi="Times New Roman" w:cs="Times New Roman"/>
                <w:b/>
                <w:bCs/>
                <w:spacing w:val="-1"/>
                <w:lang w:val="hu-HU"/>
              </w:rPr>
            </w:pPr>
          </w:p>
          <w:p w14:paraId="1E76FE3F" w14:textId="77777777" w:rsidR="0037407E" w:rsidRDefault="0037407E" w:rsidP="007E7849">
            <w:pPr>
              <w:spacing w:line="260" w:lineRule="exact"/>
              <w:rPr>
                <w:rFonts w:ascii="Times New Roman" w:eastAsia="Times New Roman" w:hAnsi="Times New Roman" w:cs="Times New Roman"/>
                <w:b/>
                <w:bCs/>
                <w:lang w:val="hu-HU"/>
              </w:rPr>
            </w:pPr>
            <w:r>
              <w:rPr>
                <w:rFonts w:ascii="Times New Roman" w:eastAsia="Times New Roman" w:hAnsi="Times New Roman" w:cs="Times New Roman"/>
                <w:b/>
                <w:bCs/>
                <w:noProof/>
                <w:lang w:eastAsia="ko-KR"/>
              </w:rPr>
              <mc:AlternateContent>
                <mc:Choice Requires="wpg">
                  <w:drawing>
                    <wp:anchor distT="0" distB="0" distL="114300" distR="114300" simplePos="0" relativeHeight="251658313" behindDoc="1" locked="0" layoutInCell="1" allowOverlap="1" wp14:anchorId="38A94EBE" wp14:editId="262E06C5">
                      <wp:simplePos x="0" y="0"/>
                      <wp:positionH relativeFrom="column">
                        <wp:posOffset>71120</wp:posOffset>
                      </wp:positionH>
                      <wp:positionV relativeFrom="paragraph">
                        <wp:posOffset>16510</wp:posOffset>
                      </wp:positionV>
                      <wp:extent cx="2133600" cy="2770505"/>
                      <wp:effectExtent l="19050" t="19050" r="19050" b="0"/>
                      <wp:wrapTight wrapText="bothSides">
                        <wp:wrapPolygon edited="0">
                          <wp:start x="-193" y="-149"/>
                          <wp:lineTo x="-193" y="20496"/>
                          <wp:lineTo x="13886" y="21239"/>
                          <wp:lineTo x="13886" y="21387"/>
                          <wp:lineTo x="21600" y="21387"/>
                          <wp:lineTo x="21600" y="-149"/>
                          <wp:lineTo x="-193" y="-149"/>
                        </wp:wrapPolygon>
                      </wp:wrapTight>
                      <wp:docPr id="1075" name="그룹 1075"/>
                      <wp:cNvGraphicFramePr/>
                      <a:graphic xmlns:a="http://schemas.openxmlformats.org/drawingml/2006/main">
                        <a:graphicData uri="http://schemas.microsoft.com/office/word/2010/wordprocessingGroup">
                          <wpg:wgp>
                            <wpg:cNvGrpSpPr/>
                            <wpg:grpSpPr>
                              <a:xfrm>
                                <a:off x="0" y="0"/>
                                <a:ext cx="2133600" cy="2770505"/>
                                <a:chOff x="0" y="0"/>
                                <a:chExt cx="2134051" cy="2770670"/>
                              </a:xfrm>
                            </wpg:grpSpPr>
                            <wps:wsp>
                              <wps:cNvPr id="1076" name="Text Box 7"/>
                              <wps:cNvSpPr txBox="1">
                                <a:spLocks noChangeArrowheads="1"/>
                              </wps:cNvSpPr>
                              <wps:spPr bwMode="auto">
                                <a:xfrm>
                                  <a:off x="1413933" y="2624667"/>
                                  <a:ext cx="720118" cy="1460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B2B9AB" w14:textId="282257F6" w:rsidR="004A2986" w:rsidRDefault="004A2986" w:rsidP="0037407E">
                                    <w:pPr>
                                      <w:pStyle w:val="af0"/>
                                      <w:jc w:val="right"/>
                                      <w:rPr>
                                        <w:rFonts w:ascii="Times New Roman" w:hAnsi="Times New Roman" w:cs="Times New Roman"/>
                                        <w:szCs w:val="22"/>
                                      </w:rPr>
                                    </w:pPr>
                                    <w:r>
                                      <w:rPr>
                                        <w:rFonts w:ascii="Times New Roman" w:hAnsi="Times New Roman" w:cs="Times New Roman"/>
                                      </w:rPr>
                                      <w:t>D</w:t>
                                    </w:r>
                                    <w:r>
                                      <w:rPr>
                                        <w:rFonts w:ascii="Times New Roman" w:eastAsia="Times New Roman" w:hAnsi="Times New Roman" w:cs="Times New Roman"/>
                                        <w:lang w:val="hu-HU"/>
                                      </w:rPr>
                                      <w:t>. ábra</w:t>
                                    </w:r>
                                  </w:p>
                                </w:txbxContent>
                              </wps:txbx>
                              <wps:bodyPr rot="0" vert="horz" wrap="square" lIns="0" tIns="0" rIns="0" bIns="0" anchor="t" anchorCtr="0" upright="1">
                                <a:spAutoFit/>
                              </wps:bodyPr>
                            </wps:wsp>
                            <pic:pic xmlns:pic="http://schemas.openxmlformats.org/drawingml/2006/picture">
                              <pic:nvPicPr>
                                <pic:cNvPr id="1077" name="그림 17"/>
                                <pic:cNvPicPr>
                                  <a:picLocks noChangeAspect="1"/>
                                </pic:cNvPicPr>
                              </pic:nvPicPr>
                              <pic:blipFill>
                                <a:blip r:embed="rId145" cstate="print">
                                  <a:extLst>
                                    <a:ext uri="{28A0092B-C50C-407E-A947-70E740481C1C}">
                                      <a14:useLocalDpi xmlns:a14="http://schemas.microsoft.com/office/drawing/2010/main" val="0"/>
                                    </a:ext>
                                  </a:extLst>
                                </a:blip>
                                <a:srcRect/>
                                <a:stretch/>
                              </pic:blipFill>
                              <pic:spPr>
                                <a:xfrm>
                                  <a:off x="0" y="0"/>
                                  <a:ext cx="2129155" cy="2627630"/>
                                </a:xfrm>
                                <a:prstGeom prst="rect">
                                  <a:avLst/>
                                </a:prstGeom>
                                <a:ln>
                                  <a:solidFill>
                                    <a:schemeClr val="tx1"/>
                                  </a:solidFill>
                                </a:ln>
                              </pic:spPr>
                            </pic:pic>
                          </wpg:wgp>
                        </a:graphicData>
                      </a:graphic>
                    </wp:anchor>
                  </w:drawing>
                </mc:Choice>
                <mc:Fallback>
                  <w:pict>
                    <v:group w14:anchorId="38A94EBE" id="그룹 1075" o:spid="_x0000_s1205" style="position:absolute;margin-left:5.6pt;margin-top:1.3pt;width:168pt;height:218.15pt;z-index:-251658167" coordsize="21340,27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">
                      <v:shape id="Text Box 7" o:spid="_x0000_s1206" type="#_x0000_t202" style="position:absolute;left:14139;top:26246;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" stroked="f">
                        <v:textbox style="mso-fit-shape-to-text:t" inset="0,0,0,0">
                          <w:txbxContent>
                            <w:p w14:paraId="5AB2B9AB" w14:textId="282257F6" w:rsidR="004A2986" w:rsidRDefault="004A2986" w:rsidP="0037407E">
                              <w:pPr>
                                <w:pStyle w:val="af0"/>
                                <w:jc w:val="right"/>
                                <w:rPr>
                                  <w:rFonts w:ascii="Times New Roman" w:hAnsi="Times New Roman" w:cs="Times New Roman"/>
                                  <w:szCs w:val="22"/>
                                </w:rPr>
                              </w:pPr>
                              <w:r>
                                <w:rPr>
                                  <w:rFonts w:ascii="Times New Roman" w:hAnsi="Times New Roman" w:cs="Times New Roman"/>
                                </w:rPr>
                                <w:t>D</w:t>
                              </w:r>
                              <w:r>
                                <w:rPr>
                                  <w:rFonts w:ascii="Times New Roman" w:eastAsia="Times New Roman" w:hAnsi="Times New Roman" w:cs="Times New Roman"/>
                                  <w:lang w:val="hu-HU"/>
                                </w:rPr>
                                <w:t>. ábra</w:t>
                              </w:r>
                            </w:p>
                          </w:txbxContent>
                        </v:textbox>
                      </v:shape>
                      <v:shape id="그림 17" o:spid="_x0000_s1207" type="#_x0000_t75" style="position:absolute;width:21291;height:26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" stroked="t" strokecolor="black [3213]">
                        <v:imagedata r:id="rId146" o:title=""/>
                        <v:path arrowok="t"/>
                      </v:shape>
                      <w10:wrap type="tight"/>
                    </v:group>
                  </w:pict>
                </mc:Fallback>
              </mc:AlternateContent>
            </w:r>
          </w:p>
          <w:p w14:paraId="03CFF3AF" w14:textId="77777777" w:rsidR="0037407E" w:rsidRDefault="0037407E" w:rsidP="007E7849">
            <w:pPr>
              <w:spacing w:line="260" w:lineRule="exact"/>
              <w:rPr>
                <w:rFonts w:ascii="Times New Roman" w:eastAsia="Times New Roman" w:hAnsi="Times New Roman" w:cs="Times New Roman"/>
                <w:b/>
                <w:bCs/>
                <w:lang w:val="hu-HU"/>
              </w:rPr>
            </w:pPr>
          </w:p>
          <w:p w14:paraId="5BC42F8E" w14:textId="77777777" w:rsidR="0037407E" w:rsidRDefault="0037407E" w:rsidP="00FD05AA">
            <w:pPr>
              <w:pStyle w:val="a3"/>
              <w:numPr>
                <w:ilvl w:val="0"/>
                <w:numId w:val="67"/>
              </w:numPr>
              <w:rPr>
                <w:b/>
                <w:lang w:val="hu-HU"/>
              </w:rPr>
            </w:pPr>
            <w:r>
              <w:rPr>
                <w:rFonts w:eastAsia="Times New Roman"/>
                <w:b/>
                <w:bCs/>
                <w:lang w:val="hu-HU"/>
              </w:rPr>
              <w:t xml:space="preserve">Várjon 15-30 percet </w:t>
            </w:r>
          </w:p>
          <w:p w14:paraId="10613028" w14:textId="77777777" w:rsidR="0037407E" w:rsidRDefault="0037407E" w:rsidP="007E7849">
            <w:pPr>
              <w:pStyle w:val="Default"/>
              <w:rPr>
                <w:lang w:val="hu-HU"/>
              </w:rPr>
            </w:pPr>
            <w:r>
              <w:rPr>
                <w:lang w:val="hu-HU"/>
              </w:rPr>
              <w:t xml:space="preserve"> </w:t>
            </w:r>
          </w:p>
          <w:p w14:paraId="7B8132A3" w14:textId="77777777" w:rsidR="0037407E" w:rsidRDefault="0037407E" w:rsidP="00FD05AA">
            <w:pPr>
              <w:pStyle w:val="a3"/>
              <w:numPr>
                <w:ilvl w:val="0"/>
                <w:numId w:val="68"/>
              </w:numPr>
              <w:rPr>
                <w:lang w:val="hu-HU"/>
              </w:rPr>
            </w:pPr>
            <w:r>
              <w:rPr>
                <w:rFonts w:eastAsia="Times New Roman"/>
                <w:lang w:val="hu-HU"/>
              </w:rPr>
              <w:t>Hagyja az előretöltött fecskendőt szobahőmérsékleten felmelegedni 15-30 percig</w:t>
            </w:r>
          </w:p>
          <w:p w14:paraId="26809BB1" w14:textId="77777777" w:rsidR="0037407E" w:rsidRDefault="0037407E" w:rsidP="007E7849">
            <w:pPr>
              <w:pStyle w:val="Default"/>
              <w:rPr>
                <w:color w:val="211D1E"/>
                <w:sz w:val="20"/>
                <w:szCs w:val="20"/>
                <w:lang w:val="hu-HU"/>
              </w:rPr>
            </w:pPr>
          </w:p>
          <w:p w14:paraId="2EE18E2C" w14:textId="77777777" w:rsidR="0037407E" w:rsidRDefault="0037407E" w:rsidP="007E7849">
            <w:pPr>
              <w:pStyle w:val="a3"/>
              <w:numPr>
                <w:ilvl w:val="0"/>
                <w:numId w:val="0"/>
              </w:numPr>
              <w:ind w:left="911"/>
              <w:rPr>
                <w:b/>
                <w:lang w:val="hu-HU"/>
              </w:rPr>
            </w:pPr>
          </w:p>
          <w:p w14:paraId="1E1802A8" w14:textId="77777777" w:rsidR="0037407E" w:rsidRDefault="0037407E" w:rsidP="007E7849">
            <w:pPr>
              <w:pStyle w:val="a3"/>
              <w:numPr>
                <w:ilvl w:val="0"/>
                <w:numId w:val="16"/>
              </w:numPr>
              <w:ind w:left="5040" w:hanging="4056"/>
              <w:rPr>
                <w:lang w:val="hu-HU"/>
              </w:rPr>
            </w:pPr>
            <w:r>
              <w:rPr>
                <w:rFonts w:eastAsia="Times New Roman"/>
                <w:b/>
                <w:bCs/>
                <w:lang w:val="hu-HU"/>
              </w:rPr>
              <w:t xml:space="preserve">Ne </w:t>
            </w:r>
            <w:r>
              <w:rPr>
                <w:rFonts w:eastAsia="Times New Roman"/>
                <w:lang w:val="hu-HU"/>
              </w:rPr>
              <w:t>melegítse az előretöltött injekciós tollat más hőforrás alkalmazásával, például forró víz vagy mikrohullámú sütő alkalmazásával.</w:t>
            </w:r>
          </w:p>
          <w:p w14:paraId="1A2AA440" w14:textId="77777777" w:rsidR="0037407E" w:rsidRDefault="0037407E" w:rsidP="007E7849">
            <w:pPr>
              <w:pStyle w:val="a3"/>
              <w:numPr>
                <w:ilvl w:val="0"/>
                <w:numId w:val="0"/>
              </w:numPr>
              <w:ind w:left="1384" w:firstLineChars="300" w:firstLine="660"/>
              <w:rPr>
                <w:lang w:val="hu-HU"/>
              </w:rPr>
            </w:pPr>
          </w:p>
          <w:p w14:paraId="70EBEE15" w14:textId="77777777" w:rsidR="0037407E" w:rsidRDefault="0037407E" w:rsidP="007E7849">
            <w:pPr>
              <w:pStyle w:val="a3"/>
              <w:rPr>
                <w:lang w:val="hu-HU"/>
              </w:rPr>
            </w:pPr>
          </w:p>
        </w:tc>
      </w:tr>
      <w:tr w:rsidR="0037407E" w:rsidRPr="00BE4D18" w14:paraId="3EC5AA01" w14:textId="77777777" w:rsidTr="009C7DB8">
        <w:trPr>
          <w:trHeight w:val="5025"/>
        </w:trPr>
        <w:tc>
          <w:tcPr>
            <w:tcW w:w="9550" w:type="dxa"/>
          </w:tcPr>
          <w:p w14:paraId="3F9E8A93" w14:textId="77777777" w:rsidR="0037407E" w:rsidRDefault="0037407E" w:rsidP="007E7849">
            <w:pPr>
              <w:spacing w:line="260" w:lineRule="exact"/>
              <w:rPr>
                <w:rFonts w:ascii="Times New Roman" w:eastAsia="Times New Roman" w:hAnsi="Times New Roman" w:cs="Times New Roman"/>
                <w:b/>
                <w:bCs/>
                <w:spacing w:val="-1"/>
                <w:lang w:val="hu-HU"/>
              </w:rPr>
            </w:pPr>
          </w:p>
          <w:p w14:paraId="4036FEAC" w14:textId="77777777" w:rsidR="0037407E" w:rsidRDefault="0037407E" w:rsidP="007E7849">
            <w:pPr>
              <w:pStyle w:val="a3"/>
              <w:rPr>
                <w:lang w:val="hu-HU"/>
              </w:rPr>
            </w:pPr>
            <w:r>
              <w:rPr>
                <w:rFonts w:eastAsia="Times New Roman"/>
                <w:noProof/>
                <w:spacing w:val="-1"/>
                <w:lang w:eastAsia="ko-KR"/>
              </w:rPr>
              <mc:AlternateContent>
                <mc:Choice Requires="wpg">
                  <w:drawing>
                    <wp:anchor distT="0" distB="0" distL="114300" distR="114300" simplePos="0" relativeHeight="251658318" behindDoc="1" locked="0" layoutInCell="1" allowOverlap="1" wp14:anchorId="4A90248F" wp14:editId="6DF36E27">
                      <wp:simplePos x="0" y="0"/>
                      <wp:positionH relativeFrom="column">
                        <wp:posOffset>-8890</wp:posOffset>
                      </wp:positionH>
                      <wp:positionV relativeFrom="paragraph">
                        <wp:posOffset>86995</wp:posOffset>
                      </wp:positionV>
                      <wp:extent cx="2251075" cy="3950335"/>
                      <wp:effectExtent l="0" t="0" r="0" b="0"/>
                      <wp:wrapTight wrapText="bothSides">
                        <wp:wrapPolygon edited="0">
                          <wp:start x="0" y="0"/>
                          <wp:lineTo x="0" y="20520"/>
                          <wp:lineTo x="13892" y="21458"/>
                          <wp:lineTo x="21387" y="21458"/>
                          <wp:lineTo x="21387" y="0"/>
                          <wp:lineTo x="0" y="0"/>
                        </wp:wrapPolygon>
                      </wp:wrapTight>
                      <wp:docPr id="1078" name="그룹 1078"/>
                      <wp:cNvGraphicFramePr/>
                      <a:graphic xmlns:a="http://schemas.openxmlformats.org/drawingml/2006/main">
                        <a:graphicData uri="http://schemas.microsoft.com/office/word/2010/wordprocessingGroup">
                          <wpg:wgp>
                            <wpg:cNvGrpSpPr/>
                            <wpg:grpSpPr>
                              <a:xfrm>
                                <a:off x="0" y="0"/>
                                <a:ext cx="2251075" cy="3950335"/>
                                <a:chOff x="0" y="0"/>
                                <a:chExt cx="2097958" cy="3720573"/>
                              </a:xfrm>
                            </wpg:grpSpPr>
                            <wps:wsp>
                              <wps:cNvPr id="1079" name="Text Box 72"/>
                              <wps:cNvSpPr txBox="1">
                                <a:spLocks noChangeArrowheads="1"/>
                              </wps:cNvSpPr>
                              <wps:spPr bwMode="auto">
                                <a:xfrm>
                                  <a:off x="1378527" y="3574473"/>
                                  <a:ext cx="719431" cy="146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2EEC56" w14:textId="21ED1F09"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E.</w:t>
                                    </w:r>
                                    <w:r w:rsidRPr="004B23C8">
                                      <w:rPr>
                                        <w:rFonts w:ascii="Times New Roman" w:eastAsia="Times New Roman" w:hAnsi="Times New Roman" w:cs="Times New Roman"/>
                                        <w:lang w:val="hu-HU"/>
                                      </w:rPr>
                                      <w:t xml:space="preserve"> </w:t>
                                    </w:r>
                                    <w:r w:rsidRPr="004B23C8">
                                      <w:rPr>
                                        <w:rFonts w:ascii="Times New Roman" w:eastAsia="Times New Roman" w:hAnsi="Times New Roman" w:cs="Times New Roman"/>
                                        <w:lang w:val="hu-HU"/>
                                      </w:rPr>
                                      <w:t>ábra</w:t>
                                    </w:r>
                                  </w:p>
                                </w:txbxContent>
                              </wps:txbx>
                              <wps:bodyPr rot="0" vert="horz" wrap="square" lIns="0" tIns="0" rIns="0" bIns="0" anchor="t" anchorCtr="0" upright="1">
                                <a:noAutofit/>
                              </wps:bodyPr>
                            </wps:wsp>
                            <pic:pic xmlns:pic="http://schemas.openxmlformats.org/drawingml/2006/picture">
                              <pic:nvPicPr>
                                <pic:cNvPr id="1080" name="그림 13"/>
                                <pic:cNvPicPr>
                                  <a:picLocks noChangeAspect="1"/>
                                </pic:cNvPicPr>
                              </pic:nvPicPr>
                              <pic:blipFill rotWithShape="1">
                                <a:blip r:embed="rId57" cstate="print">
                                  <a:extLst>
                                    <a:ext uri="{28A0092B-C50C-407E-A947-70E740481C1C}">
                                      <a14:useLocalDpi xmlns:a14="http://schemas.microsoft.com/office/drawing/2010/main" val="0"/>
                                    </a:ext>
                                  </a:extLst>
                                </a:blip>
                                <a:srcRect/>
                                <a:stretch/>
                              </pic:blipFill>
                              <pic:spPr>
                                <a:xfrm>
                                  <a:off x="0" y="0"/>
                                  <a:ext cx="2096770" cy="35382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A90248F" id="그룹 1078" o:spid="_x0000_s1208" style="position:absolute;margin-left:-.7pt;margin-top:6.85pt;width:177.25pt;height:311.05pt;z-index:-251658162;mso-width-relative:margin;mso-height-relative:margin" coordsize="20979,37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">
                      <v:shape id="Text Box 72" o:spid="_x0000_s1209" type="#_x0000_t202" style="position:absolute;left:13785;top:35744;width:719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" stroked="f">
                        <v:textbox inset="0,0,0,0">
                          <w:txbxContent>
                            <w:p w14:paraId="602EEC56" w14:textId="21ED1F09"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E.</w:t>
                              </w:r>
                              <w:r w:rsidRPr="004B23C8">
                                <w:rPr>
                                  <w:rFonts w:ascii="Times New Roman" w:eastAsia="Times New Roman" w:hAnsi="Times New Roman" w:cs="Times New Roman"/>
                                  <w:lang w:val="hu-HU"/>
                                </w:rPr>
                                <w:t xml:space="preserve"> </w:t>
                              </w:r>
                              <w:r w:rsidRPr="004B23C8">
                                <w:rPr>
                                  <w:rFonts w:ascii="Times New Roman" w:eastAsia="Times New Roman" w:hAnsi="Times New Roman" w:cs="Times New Roman"/>
                                  <w:lang w:val="hu-HU"/>
                                </w:rPr>
                                <w:t>ábra</w:t>
                              </w:r>
                            </w:p>
                          </w:txbxContent>
                        </v:textbox>
                      </v:shape>
                      <v:shape id="그림 13" o:spid="_x0000_s1210" type="#_x0000_t75" style="position:absolute;width:20967;height:35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">
                        <v:imagedata r:id="rId58" o:title=""/>
                      </v:shape>
                      <w10:wrap type="tight"/>
                    </v:group>
                  </w:pict>
                </mc:Fallback>
              </mc:AlternateContent>
            </w:r>
          </w:p>
          <w:p w14:paraId="18D4DB16" w14:textId="77777777" w:rsidR="0037407E" w:rsidRDefault="0037407E" w:rsidP="00FD05AA">
            <w:pPr>
              <w:pStyle w:val="a3"/>
              <w:numPr>
                <w:ilvl w:val="0"/>
                <w:numId w:val="67"/>
              </w:numPr>
              <w:rPr>
                <w:b/>
                <w:lang w:val="hu-HU"/>
              </w:rPr>
            </w:pPr>
            <w:r>
              <w:rPr>
                <w:rFonts w:eastAsia="Times New Roman"/>
                <w:b/>
                <w:bCs/>
                <w:lang w:val="hu-HU"/>
              </w:rPr>
              <w:t>Válassza ki a megfelelő injekció beadási helyet</w:t>
            </w:r>
          </w:p>
          <w:p w14:paraId="38E5A339" w14:textId="77777777" w:rsidR="0037407E" w:rsidRDefault="0037407E" w:rsidP="007E7849">
            <w:pPr>
              <w:pStyle w:val="a3"/>
              <w:rPr>
                <w:lang w:val="hu-HU"/>
              </w:rPr>
            </w:pPr>
          </w:p>
          <w:p w14:paraId="5CB39F71" w14:textId="77777777" w:rsidR="0037407E" w:rsidRDefault="0037407E" w:rsidP="007E7849">
            <w:pPr>
              <w:pStyle w:val="a3"/>
              <w:rPr>
                <w:lang w:val="hu-HU"/>
              </w:rPr>
            </w:pPr>
            <w:r>
              <w:rPr>
                <w:rFonts w:eastAsia="Times New Roman"/>
                <w:b/>
                <w:bCs/>
                <w:lang w:val="hu-HU"/>
              </w:rPr>
              <w:t xml:space="preserve">      a. </w:t>
            </w:r>
            <w:r w:rsidRPr="001E2F31">
              <w:rPr>
                <w:rFonts w:eastAsia="Times New Roman"/>
                <w:bCs/>
                <w:lang w:val="hu-HU"/>
              </w:rPr>
              <w:t>B</w:t>
            </w:r>
            <w:r>
              <w:rPr>
                <w:rFonts w:eastAsia="Times New Roman"/>
                <w:lang w:val="hu-HU"/>
              </w:rPr>
              <w:t>eadhatja az injekciót:</w:t>
            </w:r>
          </w:p>
          <w:p w14:paraId="71F894CE" w14:textId="77777777" w:rsidR="0037407E" w:rsidRDefault="0037407E" w:rsidP="007E7849">
            <w:pPr>
              <w:pStyle w:val="a3"/>
              <w:ind w:firstLineChars="250" w:firstLine="550"/>
              <w:rPr>
                <w:lang w:val="hu-HU"/>
              </w:rPr>
            </w:pPr>
            <w:r>
              <w:rPr>
                <w:rFonts w:eastAsia="Times New Roman"/>
                <w:lang w:val="hu-HU"/>
              </w:rPr>
              <w:t>- a comb elülső részébe.</w:t>
            </w:r>
          </w:p>
          <w:p w14:paraId="68718C1C" w14:textId="77777777" w:rsidR="0037407E" w:rsidRDefault="0037407E" w:rsidP="007E7849">
            <w:pPr>
              <w:pStyle w:val="a3"/>
              <w:ind w:firstLineChars="250" w:firstLine="550"/>
              <w:rPr>
                <w:lang w:val="hu-HU"/>
              </w:rPr>
            </w:pPr>
            <w:r>
              <w:rPr>
                <w:rFonts w:eastAsia="Times New Roman"/>
                <w:lang w:val="hu-HU"/>
              </w:rPr>
              <w:t>- a hasába, kivéve a köldök körüli 5 cm-es területet.</w:t>
            </w:r>
          </w:p>
          <w:p w14:paraId="6718EFF4" w14:textId="77777777" w:rsidR="0037407E" w:rsidRDefault="0037407E" w:rsidP="007E7849">
            <w:pPr>
              <w:pStyle w:val="a3"/>
              <w:ind w:firstLineChars="250" w:firstLine="550"/>
              <w:rPr>
                <w:rFonts w:eastAsia="Times New Roman"/>
                <w:lang w:val="hu-HU"/>
              </w:rPr>
            </w:pPr>
            <w:r>
              <w:rPr>
                <w:rFonts w:eastAsia="Times New Roman"/>
                <w:lang w:val="hu-HU"/>
              </w:rPr>
              <w:t xml:space="preserve">- a felkar külső részébe (KIZÁRÓLAG akkor, ha Ön </w:t>
            </w:r>
          </w:p>
          <w:p w14:paraId="42BA3F0E" w14:textId="77777777" w:rsidR="0037407E" w:rsidRDefault="0037407E" w:rsidP="007E7849">
            <w:pPr>
              <w:pStyle w:val="a3"/>
              <w:ind w:firstLineChars="300" w:firstLine="660"/>
              <w:rPr>
                <w:lang w:val="hu-HU"/>
              </w:rPr>
            </w:pPr>
            <w:r>
              <w:rPr>
                <w:rFonts w:eastAsia="Times New Roman"/>
                <w:lang w:val="hu-HU"/>
              </w:rPr>
              <w:t>gondozó.</w:t>
            </w:r>
          </w:p>
          <w:p w14:paraId="7E11C6A3" w14:textId="77777777" w:rsidR="0037407E" w:rsidRDefault="0037407E" w:rsidP="007E7849">
            <w:pPr>
              <w:pStyle w:val="a3"/>
              <w:rPr>
                <w:lang w:val="hu-HU"/>
              </w:rPr>
            </w:pPr>
          </w:p>
          <w:p w14:paraId="0AFE5128" w14:textId="77777777" w:rsidR="0037407E" w:rsidRDefault="0037407E" w:rsidP="007E7849">
            <w:pPr>
              <w:pStyle w:val="a3"/>
              <w:rPr>
                <w:lang w:val="hu-HU"/>
              </w:rPr>
            </w:pPr>
          </w:p>
          <w:p w14:paraId="597C1B69" w14:textId="77777777" w:rsidR="0037407E" w:rsidRDefault="0037407E" w:rsidP="007E7849">
            <w:pPr>
              <w:pStyle w:val="a3"/>
              <w:numPr>
                <w:ilvl w:val="0"/>
                <w:numId w:val="17"/>
              </w:numPr>
              <w:ind w:left="3600" w:hanging="3089"/>
              <w:rPr>
                <w:lang w:val="hu-HU"/>
              </w:rPr>
            </w:pPr>
            <w:r>
              <w:rPr>
                <w:rFonts w:eastAsia="Times New Roman"/>
                <w:b/>
                <w:bCs/>
                <w:lang w:val="hu-HU"/>
              </w:rPr>
              <w:t>Ne</w:t>
            </w:r>
            <w:r>
              <w:rPr>
                <w:rFonts w:eastAsia="Times New Roman"/>
                <w:lang w:val="hu-HU"/>
              </w:rPr>
              <w:t xml:space="preserve"> adja be az injekciót olyan bőrterületbe, amely kevesebb mint 5 cm-re található a köldöktől vagy bepirosodott, kemény, érzékeny, sérült, véraláfutásos vagy heges.</w:t>
            </w:r>
          </w:p>
          <w:p w14:paraId="0934679C" w14:textId="77777777" w:rsidR="0037407E" w:rsidRDefault="0037407E" w:rsidP="007E7849">
            <w:pPr>
              <w:pStyle w:val="a3"/>
              <w:numPr>
                <w:ilvl w:val="0"/>
                <w:numId w:val="17"/>
              </w:numPr>
              <w:ind w:left="3600" w:hanging="3089"/>
              <w:rPr>
                <w:lang w:val="hu-HU"/>
              </w:rPr>
            </w:pPr>
            <w:r>
              <w:rPr>
                <w:rFonts w:eastAsia="Times New Roman"/>
                <w:lang w:val="hu-HU"/>
              </w:rPr>
              <w:t>Ha pikkelysömörben szenved, ne adja be közvetlenül az injekciót kiemelkedő, megvastagodott, piros vagy pikkelyesen hámló foltok, illetve bőrelváltozások területén.</w:t>
            </w:r>
          </w:p>
          <w:p w14:paraId="3A7784B1" w14:textId="5E1109ED" w:rsidR="0037407E" w:rsidRDefault="0037407E" w:rsidP="007E7849">
            <w:pPr>
              <w:pStyle w:val="a3"/>
              <w:numPr>
                <w:ilvl w:val="0"/>
                <w:numId w:val="17"/>
              </w:numPr>
              <w:ind w:left="3600" w:hanging="3089"/>
              <w:rPr>
                <w:lang w:val="hu-HU"/>
              </w:rPr>
            </w:pPr>
            <w:r>
              <w:rPr>
                <w:rFonts w:eastAsia="Times New Roman"/>
                <w:b/>
                <w:bCs/>
                <w:lang w:val="hu-HU"/>
              </w:rPr>
              <w:t>Ne</w:t>
            </w:r>
            <w:r>
              <w:rPr>
                <w:rFonts w:eastAsia="Times New Roman"/>
                <w:lang w:val="hu-HU"/>
              </w:rPr>
              <w:t xml:space="preserve"> ruhán keresztül adja be az injekciót</w:t>
            </w:r>
            <w:r w:rsidR="005F5974">
              <w:rPr>
                <w:rFonts w:eastAsia="Times New Roman"/>
                <w:lang w:val="hu-HU"/>
              </w:rPr>
              <w:t>.</w:t>
            </w:r>
          </w:p>
          <w:p w14:paraId="162A5CE9" w14:textId="77777777" w:rsidR="0037407E" w:rsidRDefault="0037407E" w:rsidP="007E7849">
            <w:pPr>
              <w:pStyle w:val="a3"/>
              <w:rPr>
                <w:lang w:val="hu-HU"/>
              </w:rPr>
            </w:pPr>
          </w:p>
          <w:p w14:paraId="723B0B9E" w14:textId="77777777" w:rsidR="0037407E" w:rsidRDefault="0037407E" w:rsidP="007E7849">
            <w:pPr>
              <w:pStyle w:val="a3"/>
              <w:ind w:left="3969" w:hanging="3969"/>
              <w:rPr>
                <w:lang w:val="hu-HU"/>
              </w:rPr>
            </w:pPr>
            <w:r>
              <w:rPr>
                <w:rFonts w:eastAsia="Times New Roman"/>
                <w:b/>
                <w:bCs/>
                <w:lang w:val="hu-HU"/>
              </w:rPr>
              <w:t xml:space="preserve">     b. </w:t>
            </w:r>
            <w:r w:rsidRPr="001E2F31">
              <w:rPr>
                <w:rFonts w:eastAsia="Times New Roman"/>
                <w:bCs/>
                <w:lang w:val="hu-HU"/>
              </w:rPr>
              <w:t>M</w:t>
            </w:r>
            <w:r w:rsidRPr="005D79EA">
              <w:rPr>
                <w:rFonts w:eastAsia="Times New Roman"/>
                <w:lang w:val="hu-HU"/>
              </w:rPr>
              <w:t>i</w:t>
            </w:r>
            <w:r>
              <w:rPr>
                <w:rFonts w:eastAsia="Times New Roman"/>
                <w:lang w:val="hu-HU"/>
              </w:rPr>
              <w:t>nden alkalommal, amikor injekciót ad be, váltogassa az injekció beadásának helyét. Minden új injekció beadási helynek legalább 3 cm-re kell lennie az előzőleg használt injekció beadási helytől.</w:t>
            </w:r>
          </w:p>
          <w:p w14:paraId="5E399658" w14:textId="77777777" w:rsidR="0037407E" w:rsidRDefault="0037407E" w:rsidP="007E7849">
            <w:pPr>
              <w:pStyle w:val="a3"/>
              <w:rPr>
                <w:sz w:val="26"/>
                <w:szCs w:val="26"/>
                <w:lang w:val="hu-HU" w:eastAsia="ko-KR"/>
              </w:rPr>
            </w:pPr>
          </w:p>
          <w:p w14:paraId="6249A82D" w14:textId="77777777" w:rsidR="0037407E" w:rsidRDefault="0037407E" w:rsidP="007E7849">
            <w:pPr>
              <w:pStyle w:val="a3"/>
              <w:rPr>
                <w:sz w:val="26"/>
                <w:szCs w:val="26"/>
                <w:lang w:val="hu-HU" w:eastAsia="ko-KR"/>
              </w:rPr>
            </w:pPr>
          </w:p>
        </w:tc>
      </w:tr>
      <w:tr w:rsidR="0037407E" w:rsidRPr="00BE4D18" w14:paraId="48855D21" w14:textId="77777777" w:rsidTr="009C7DB8">
        <w:trPr>
          <w:trHeight w:val="5805"/>
        </w:trPr>
        <w:tc>
          <w:tcPr>
            <w:tcW w:w="9550" w:type="dxa"/>
          </w:tcPr>
          <w:p w14:paraId="656D9B39" w14:textId="77777777" w:rsidR="0037407E" w:rsidRDefault="0037407E" w:rsidP="007E7849">
            <w:pPr>
              <w:pStyle w:val="1"/>
              <w:spacing w:before="76"/>
              <w:ind w:left="0" w:right="2736"/>
              <w:rPr>
                <w:rFonts w:eastAsiaTheme="minorEastAsia"/>
                <w:lang w:val="hu-HU" w:eastAsia="ko-KR"/>
              </w:rPr>
            </w:pPr>
          </w:p>
          <w:p w14:paraId="38E8BE56" w14:textId="77777777" w:rsidR="0037407E" w:rsidRDefault="0037407E" w:rsidP="007E7849">
            <w:pPr>
              <w:pStyle w:val="1"/>
              <w:spacing w:before="76"/>
              <w:ind w:left="0" w:right="2736"/>
              <w:rPr>
                <w:rFonts w:eastAsiaTheme="minorEastAsia"/>
                <w:lang w:val="hu-HU" w:eastAsia="ko-KR"/>
              </w:rPr>
            </w:pPr>
            <w:r>
              <w:rPr>
                <w:rFonts w:eastAsiaTheme="minorEastAsia"/>
                <w:noProof/>
                <w:lang w:eastAsia="ko-KR"/>
              </w:rPr>
              <mc:AlternateContent>
                <mc:Choice Requires="wpg">
                  <w:drawing>
                    <wp:anchor distT="0" distB="0" distL="114300" distR="114300" simplePos="0" relativeHeight="251658283" behindDoc="0" locked="0" layoutInCell="1" allowOverlap="1" wp14:anchorId="5E312E54" wp14:editId="37EA1C42">
                      <wp:simplePos x="0" y="0"/>
                      <wp:positionH relativeFrom="column">
                        <wp:posOffset>-17780</wp:posOffset>
                      </wp:positionH>
                      <wp:positionV relativeFrom="paragraph">
                        <wp:posOffset>121920</wp:posOffset>
                      </wp:positionV>
                      <wp:extent cx="2303145" cy="3035935"/>
                      <wp:effectExtent l="0" t="0" r="1905" b="0"/>
                      <wp:wrapSquare wrapText="bothSides"/>
                      <wp:docPr id="1081" name="그룹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3145" cy="3035935"/>
                                <a:chOff x="0" y="0"/>
                                <a:chExt cx="24085" cy="30924"/>
                              </a:xfrm>
                            </wpg:grpSpPr>
                            <pic:pic xmlns:pic="http://schemas.openxmlformats.org/drawingml/2006/picture">
                              <pic:nvPicPr>
                                <pic:cNvPr id="1082" name="그림 165"/>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079" cy="29514"/>
                                </a:xfrm>
                                <a:prstGeom prst="rect">
                                  <a:avLst/>
                                </a:prstGeom>
                                <a:noFill/>
                                <a:extLst>
                                  <a:ext uri="{909E8E84-426E-40DD-AFC4-6F175D3DCCD1}">
                                    <a14:hiddenFill xmlns:a14="http://schemas.microsoft.com/office/drawing/2010/main">
                                      <a:solidFill>
                                        <a:srgbClr val="FFFFFF"/>
                                      </a:solidFill>
                                    </a14:hiddenFill>
                                  </a:ext>
                                </a:extLst>
                              </pic:spPr>
                            </pic:pic>
                            <wps:wsp>
                              <wps:cNvPr id="1083" name="Text Box 9"/>
                              <wps:cNvSpPr txBox="1">
                                <a:spLocks noChangeArrowheads="1"/>
                              </wps:cNvSpPr>
                              <wps:spPr bwMode="auto">
                                <a:xfrm>
                                  <a:off x="16884" y="29464"/>
                                  <a:ext cx="7201" cy="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3FAD23" w14:textId="5944623F" w:rsidR="004A2986" w:rsidRDefault="004A2986" w:rsidP="0037407E">
                                    <w:pPr>
                                      <w:pStyle w:val="af0"/>
                                      <w:jc w:val="right"/>
                                      <w:rPr>
                                        <w:rFonts w:cs="Times New Roman"/>
                                        <w:noProof/>
                                      </w:rPr>
                                    </w:pPr>
                                    <w:r>
                                      <w:rPr>
                                        <w:rFonts w:ascii="Times New Roman" w:hAnsi="Times New Roman" w:cs="Times New Roman"/>
                                      </w:rPr>
                                      <w:t xml:space="preserve">F. </w:t>
                                    </w:r>
                                    <w:r>
                                      <w:rPr>
                                        <w:rFonts w:ascii="Times New Roman" w:eastAsia="Times New Roman" w:hAnsi="Times New Roman" w:cs="Times New Roman"/>
                                        <w:lang w:val="hu-HU"/>
                                      </w:rPr>
                                      <w:t>Ábra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312E54" id="_x0000_s1211" style="position:absolute;margin-left:-1.4pt;margin-top:9.6pt;width:181.35pt;height:239.05pt;z-index:251658283" coordsize="24085,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icyVu6kcEeDMAADPRj&#10;IIvHmRxf9PMFtsSWMAADLQayeJzJW7qRwR4MwAAM9GMgi8eZHF/08wW2xJYwAAMtBrJ4nMlbupHB&#10;HgzAAA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">
                      <v:shape id="그림 165" o:spid="_x0000_s1212"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">
                        <v:imagedata r:id="rId37" o:title=""/>
                      </v:shape>
                      <v:shape id="Text Box 9" o:spid="_x0000_s1213" type="#_x0000_t202" style="position:absolute;left:16884;top:29464;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" stroked="f">
                        <v:textbox inset="0,0,0,0">
                          <w:txbxContent>
                            <w:p w14:paraId="053FAD23" w14:textId="5944623F" w:rsidR="004A2986" w:rsidRDefault="004A2986" w:rsidP="0037407E">
                              <w:pPr>
                                <w:pStyle w:val="af0"/>
                                <w:jc w:val="right"/>
                                <w:rPr>
                                  <w:rFonts w:cs="Times New Roman"/>
                                  <w:noProof/>
                                </w:rPr>
                              </w:pPr>
                              <w:r>
                                <w:rPr>
                                  <w:rFonts w:ascii="Times New Roman" w:hAnsi="Times New Roman" w:cs="Times New Roman"/>
                                </w:rPr>
                                <w:t xml:space="preserve">F. </w:t>
                              </w:r>
                              <w:r>
                                <w:rPr>
                                  <w:rFonts w:ascii="Times New Roman" w:eastAsia="Times New Roman" w:hAnsi="Times New Roman" w:cs="Times New Roman"/>
                                  <w:lang w:val="hu-HU"/>
                                </w:rPr>
                                <w:t>Ábra</w:t>
                              </w:r>
                            </w:p>
                          </w:txbxContent>
                        </v:textbox>
                      </v:shape>
                      <w10:wrap type="square"/>
                    </v:group>
                  </w:pict>
                </mc:Fallback>
              </mc:AlternateContent>
            </w:r>
          </w:p>
          <w:p w14:paraId="53DAC0E8" w14:textId="77777777" w:rsidR="0037407E" w:rsidRDefault="0037407E" w:rsidP="00FD05AA">
            <w:pPr>
              <w:pStyle w:val="a3"/>
              <w:numPr>
                <w:ilvl w:val="0"/>
                <w:numId w:val="67"/>
              </w:numPr>
              <w:rPr>
                <w:b/>
                <w:lang w:val="hu-HU"/>
              </w:rPr>
            </w:pPr>
            <w:r>
              <w:rPr>
                <w:rFonts w:eastAsia="Times New Roman"/>
                <w:b/>
                <w:bCs/>
                <w:lang w:val="hu-HU"/>
              </w:rPr>
              <w:t>Mosson kezet</w:t>
            </w:r>
          </w:p>
          <w:p w14:paraId="0A27720E" w14:textId="77777777" w:rsidR="0037407E" w:rsidRDefault="0037407E" w:rsidP="007E7849">
            <w:pPr>
              <w:pStyle w:val="a3"/>
              <w:rPr>
                <w:b/>
                <w:lang w:val="hu-HU"/>
              </w:rPr>
            </w:pPr>
          </w:p>
          <w:p w14:paraId="264F3A89" w14:textId="77777777" w:rsidR="0037407E" w:rsidRDefault="0037407E" w:rsidP="00FD05AA">
            <w:pPr>
              <w:pStyle w:val="a3"/>
              <w:numPr>
                <w:ilvl w:val="0"/>
                <w:numId w:val="72"/>
              </w:numPr>
              <w:rPr>
                <w:lang w:val="hu-HU" w:eastAsia="ko-KR"/>
              </w:rPr>
            </w:pPr>
            <w:r w:rsidRPr="005D79EA">
              <w:rPr>
                <w:lang w:val="hu-HU"/>
              </w:rPr>
              <w:t>Alaposan mossa meg a kezét szappannal és vízzel és szárítsa meg</w:t>
            </w:r>
            <w:r w:rsidRPr="005D79EA">
              <w:rPr>
                <w:rFonts w:eastAsia="Times New Roman"/>
                <w:lang w:val="hu-HU"/>
              </w:rPr>
              <w:t>.</w:t>
            </w:r>
          </w:p>
        </w:tc>
      </w:tr>
      <w:tr w:rsidR="0037407E" w:rsidRPr="00BE4D18" w14:paraId="370CC93A" w14:textId="77777777" w:rsidTr="009C7DB8">
        <w:trPr>
          <w:trHeight w:val="5201"/>
        </w:trPr>
        <w:tc>
          <w:tcPr>
            <w:tcW w:w="9550" w:type="dxa"/>
          </w:tcPr>
          <w:p w14:paraId="3F52A024" w14:textId="77777777" w:rsidR="0037407E" w:rsidRDefault="0037407E" w:rsidP="007E7849">
            <w:pPr>
              <w:ind w:left="104"/>
              <w:rPr>
                <w:rFonts w:ascii="Times New Roman" w:eastAsia="Times New Roman" w:hAnsi="Times New Roman" w:cs="Times New Roman"/>
                <w:b/>
                <w:bCs/>
                <w:spacing w:val="-1"/>
                <w:lang w:val="hu-HU"/>
              </w:rPr>
            </w:pPr>
          </w:p>
          <w:p w14:paraId="5FD66728" w14:textId="77777777" w:rsidR="0037407E" w:rsidRDefault="0037407E" w:rsidP="00FD05AA">
            <w:pPr>
              <w:pStyle w:val="a3"/>
              <w:numPr>
                <w:ilvl w:val="0"/>
                <w:numId w:val="67"/>
              </w:numPr>
              <w:rPr>
                <w:lang w:val="hu-HU"/>
              </w:rPr>
            </w:pPr>
            <w:r>
              <w:rPr>
                <w:rFonts w:asciiTheme="majorBidi" w:hAnsiTheme="majorBidi" w:cstheme="majorBidi"/>
                <w:b/>
                <w:noProof/>
                <w:highlight w:val="lightGray"/>
                <w:lang w:eastAsia="ko-KR"/>
              </w:rPr>
              <mc:AlternateContent>
                <mc:Choice Requires="wpg">
                  <w:drawing>
                    <wp:anchor distT="0" distB="0" distL="114300" distR="114300" simplePos="0" relativeHeight="251658319" behindDoc="0" locked="0" layoutInCell="1" allowOverlap="1" wp14:anchorId="5481C991" wp14:editId="121EAD00">
                      <wp:simplePos x="0" y="0"/>
                      <wp:positionH relativeFrom="column">
                        <wp:posOffset>-6350</wp:posOffset>
                      </wp:positionH>
                      <wp:positionV relativeFrom="paragraph">
                        <wp:posOffset>26717</wp:posOffset>
                      </wp:positionV>
                      <wp:extent cx="2256155" cy="2901950"/>
                      <wp:effectExtent l="0" t="0" r="3175" b="3175"/>
                      <wp:wrapSquare wrapText="bothSides"/>
                      <wp:docPr id="1084" name="그룹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6155" cy="2901950"/>
                                <a:chOff x="0" y="0"/>
                                <a:chExt cx="22564" cy="29019"/>
                              </a:xfrm>
                            </wpg:grpSpPr>
                            <pic:pic xmlns:pic="http://schemas.openxmlformats.org/drawingml/2006/picture">
                              <pic:nvPicPr>
                                <pic:cNvPr id="1085" name="그림 4012"/>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555" cy="27647"/>
                                </a:xfrm>
                                <a:prstGeom prst="rect">
                                  <a:avLst/>
                                </a:prstGeom>
                                <a:noFill/>
                                <a:extLst>
                                  <a:ext uri="{909E8E84-426E-40DD-AFC4-6F175D3DCCD1}">
                                    <a14:hiddenFill xmlns:a14="http://schemas.microsoft.com/office/drawing/2010/main">
                                      <a:solidFill>
                                        <a:srgbClr val="FFFFFF"/>
                                      </a:solidFill>
                                    </a14:hiddenFill>
                                  </a:ext>
                                </a:extLst>
                              </pic:spPr>
                            </pic:pic>
                            <wps:wsp>
                              <wps:cNvPr id="1086" name="Text Box 78"/>
                              <wps:cNvSpPr txBox="1">
                                <a:spLocks noChangeArrowheads="1"/>
                              </wps:cNvSpPr>
                              <wps:spPr bwMode="auto">
                                <a:xfrm>
                                  <a:off x="15367" y="27559"/>
                                  <a:ext cx="7197" cy="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CF98DF" w14:textId="7511652B"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G</w:t>
                                    </w:r>
                                    <w:r w:rsidRPr="004B23C8">
                                      <w:rPr>
                                        <w:rFonts w:ascii="Times New Roman" w:eastAsia="Times New Roman" w:hAnsi="Times New Roman" w:cs="Times New Roman"/>
                                        <w:lang w:val="hu-HU"/>
                                      </w:rPr>
                                      <w:t xml:space="preserve">. </w:t>
                                    </w:r>
                                    <w:r w:rsidRPr="004B23C8">
                                      <w:rPr>
                                        <w:rFonts w:ascii="Times New Roman" w:eastAsia="Times New Roman" w:hAnsi="Times New Roman" w:cs="Times New Roman"/>
                                        <w:lang w:val="hu-HU"/>
                                      </w:rPr>
                                      <w:t>ábra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5481C991" id="_x0000_s1214" style="position:absolute;left:0;text-align:left;margin-left:-.5pt;margin-top:2.1pt;width:177.65pt;height:228.5pt;z-index:251658319" coordsize="22564,290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">
                      <v:shape id="그림 4012" o:spid="_x0000_s1215"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">
                        <v:imagedata r:id="rId39" o:title=""/>
                      </v:shape>
                      <v:shape id="_x0000_s1216" type="#_x0000_t202" style="position:absolute;left:15367;top:27559;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" stroked="f">
                        <v:textbox style="mso-fit-shape-to-text:t" inset="0,0,0,0">
                          <w:txbxContent>
                            <w:p w14:paraId="4FCF98DF" w14:textId="7511652B"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G</w:t>
                              </w:r>
                              <w:r w:rsidRPr="004B23C8">
                                <w:rPr>
                                  <w:rFonts w:ascii="Times New Roman" w:eastAsia="Times New Roman" w:hAnsi="Times New Roman" w:cs="Times New Roman"/>
                                  <w:lang w:val="hu-HU"/>
                                </w:rPr>
                                <w:t xml:space="preserve">. </w:t>
                              </w:r>
                              <w:r w:rsidRPr="004B23C8">
                                <w:rPr>
                                  <w:rFonts w:ascii="Times New Roman" w:eastAsia="Times New Roman" w:hAnsi="Times New Roman" w:cs="Times New Roman"/>
                                  <w:lang w:val="hu-HU"/>
                                </w:rPr>
                                <w:t>ábra</w:t>
                              </w:r>
                            </w:p>
                          </w:txbxContent>
                        </v:textbox>
                      </v:shape>
                      <w10:wrap type="square"/>
                    </v:group>
                  </w:pict>
                </mc:Fallback>
              </mc:AlternateContent>
            </w:r>
            <w:r>
              <w:rPr>
                <w:rFonts w:eastAsia="Times New Roman"/>
                <w:b/>
                <w:bCs/>
                <w:lang w:val="hu-HU"/>
              </w:rPr>
              <w:t>Tisztítsa meg az injekció beadási helyét</w:t>
            </w:r>
          </w:p>
          <w:p w14:paraId="3F4060D1" w14:textId="77777777" w:rsidR="0037407E" w:rsidRDefault="0037407E" w:rsidP="007E7849">
            <w:pPr>
              <w:pStyle w:val="a3"/>
              <w:numPr>
                <w:ilvl w:val="0"/>
                <w:numId w:val="0"/>
              </w:numPr>
              <w:ind w:left="471"/>
              <w:rPr>
                <w:lang w:val="hu-HU"/>
              </w:rPr>
            </w:pPr>
          </w:p>
          <w:p w14:paraId="23CF125C" w14:textId="77777777" w:rsidR="0037407E" w:rsidRDefault="0037407E" w:rsidP="00FD05AA">
            <w:pPr>
              <w:pStyle w:val="a3"/>
              <w:numPr>
                <w:ilvl w:val="0"/>
                <w:numId w:val="71"/>
              </w:numPr>
              <w:rPr>
                <w:lang w:val="hu-HU"/>
              </w:rPr>
            </w:pPr>
            <w:r w:rsidRPr="00523BE5">
              <w:rPr>
                <w:rFonts w:eastAsia="TimesNewRomanPSMT"/>
                <w:lang w:val="hu-HU"/>
              </w:rPr>
              <w:t>T</w:t>
            </w:r>
            <w:r w:rsidRPr="009A259D">
              <w:rPr>
                <w:rFonts w:eastAsia="TimesNewRomanPSMT" w:hint="eastAsia"/>
                <w:lang w:val="hu-HU"/>
              </w:rPr>
              <w:t>ö</w:t>
            </w:r>
            <w:r w:rsidRPr="009A259D">
              <w:rPr>
                <w:rFonts w:eastAsia="TimesNewRomanPSMT"/>
                <w:lang w:val="hu-HU"/>
              </w:rPr>
              <w:t>r</w:t>
            </w:r>
            <w:r w:rsidRPr="009A259D">
              <w:rPr>
                <w:rFonts w:eastAsia="TimesNewRomanPSMT" w:hint="eastAsia"/>
                <w:lang w:val="hu-HU"/>
              </w:rPr>
              <w:t>ö</w:t>
            </w:r>
            <w:r w:rsidRPr="009A259D">
              <w:rPr>
                <w:rFonts w:eastAsia="TimesNewRomanPSMT"/>
                <w:lang w:val="hu-HU"/>
              </w:rPr>
              <w:t>lje le a</w:t>
            </w:r>
            <w:r>
              <w:rPr>
                <w:rFonts w:eastAsia="Times New Roman"/>
                <w:lang w:val="hu-HU"/>
              </w:rPr>
              <w:t>z injekció beadási helyét alkoholos törlő segítségével</w:t>
            </w:r>
            <w:r>
              <w:rPr>
                <w:lang w:val="hu-HU"/>
              </w:rPr>
              <w:t xml:space="preserve"> </w:t>
            </w:r>
            <w:r>
              <w:rPr>
                <w:rFonts w:eastAsia="Times New Roman"/>
                <w:lang w:val="hu-HU"/>
              </w:rPr>
              <w:t>körkörös mozdulattal.</w:t>
            </w:r>
          </w:p>
          <w:p w14:paraId="5A00247E" w14:textId="77777777" w:rsidR="0037407E" w:rsidRDefault="0037407E" w:rsidP="00FD05AA">
            <w:pPr>
              <w:pStyle w:val="a3"/>
              <w:numPr>
                <w:ilvl w:val="0"/>
                <w:numId w:val="71"/>
              </w:numPr>
              <w:ind w:left="648"/>
              <w:rPr>
                <w:lang w:val="hu-HU"/>
              </w:rPr>
            </w:pPr>
            <w:r w:rsidRPr="001E2F31">
              <w:rPr>
                <w:rFonts w:eastAsia="Times New Roman"/>
                <w:bCs/>
                <w:lang w:val="hu-HU"/>
              </w:rPr>
              <w:t>A</w:t>
            </w:r>
            <w:r>
              <w:rPr>
                <w:rFonts w:eastAsia="Times New Roman"/>
                <w:lang w:val="hu-HU"/>
              </w:rPr>
              <w:t>z injekció beadása előtt hagyja a bőrt megszáradni.</w:t>
            </w:r>
          </w:p>
          <w:p w14:paraId="5284E424" w14:textId="77777777" w:rsidR="0037407E" w:rsidRDefault="0037407E" w:rsidP="007E7849">
            <w:pPr>
              <w:pStyle w:val="a3"/>
              <w:rPr>
                <w:lang w:val="hu-HU"/>
              </w:rPr>
            </w:pPr>
          </w:p>
          <w:p w14:paraId="4F312845" w14:textId="77777777" w:rsidR="0037407E" w:rsidRDefault="0037407E" w:rsidP="007E7849">
            <w:pPr>
              <w:pStyle w:val="a3"/>
              <w:rPr>
                <w:lang w:val="hu-HU"/>
              </w:rPr>
            </w:pPr>
          </w:p>
          <w:p w14:paraId="2BE2CE30" w14:textId="77777777" w:rsidR="0037407E" w:rsidRDefault="0037407E" w:rsidP="007E7849">
            <w:pPr>
              <w:pStyle w:val="a3"/>
              <w:rPr>
                <w:lang w:val="hu-HU" w:eastAsia="ko-KR"/>
              </w:rPr>
            </w:pPr>
            <w:r>
              <w:rPr>
                <w:rFonts w:ascii="맑은 고딕" w:eastAsia="맑은 고딕" w:hAnsi="맑은 고딕"/>
                <w:b/>
                <w:bCs/>
                <w:lang w:val="hu-HU"/>
              </w:rPr>
              <w:t>•</w:t>
            </w:r>
            <w:r>
              <w:rPr>
                <w:rFonts w:eastAsia="Times New Roman"/>
                <w:b/>
                <w:bCs/>
                <w:lang w:val="hu-HU"/>
              </w:rPr>
              <w:t xml:space="preserve"> </w:t>
            </w:r>
            <w:r w:rsidRPr="001E2F31">
              <w:rPr>
                <w:rFonts w:eastAsia="Times New Roman"/>
                <w:bCs/>
                <w:lang w:val="hu-HU"/>
              </w:rPr>
              <w:t xml:space="preserve">Az </w:t>
            </w:r>
            <w:r w:rsidRPr="005D79EA">
              <w:rPr>
                <w:rFonts w:eastAsia="맑은 고딕"/>
                <w:lang w:val="hu-HU"/>
              </w:rPr>
              <w:t>inje</w:t>
            </w:r>
            <w:r w:rsidRPr="009167C6">
              <w:rPr>
                <w:rFonts w:eastAsia="맑은 고딕"/>
                <w:lang w:val="hu-HU"/>
              </w:rPr>
              <w:t>kció beadása el</w:t>
            </w:r>
            <w:r w:rsidRPr="009167C6">
              <w:rPr>
                <w:rFonts w:eastAsia="맑은 고딕" w:hint="cs"/>
                <w:lang w:val="hu-HU"/>
              </w:rPr>
              <w:t>ő</w:t>
            </w:r>
            <w:r w:rsidRPr="009167C6">
              <w:rPr>
                <w:rFonts w:eastAsia="맑은 고딕"/>
                <w:lang w:val="hu-HU"/>
              </w:rPr>
              <w:t xml:space="preserve">tt </w:t>
            </w:r>
            <w:r w:rsidRPr="001E2F31">
              <w:rPr>
                <w:rFonts w:eastAsia="맑은 고딕"/>
                <w:b/>
                <w:lang w:val="hu-HU"/>
              </w:rPr>
              <w:t>ne</w:t>
            </w:r>
            <w:r w:rsidRPr="00520761">
              <w:rPr>
                <w:rFonts w:eastAsia="Times New Roman"/>
                <w:lang w:val="hu-HU"/>
              </w:rPr>
              <w:t xml:space="preserve"> fújjon rá vagy érintse meg újra az injekció beadásának helyét</w:t>
            </w:r>
            <w:r>
              <w:rPr>
                <w:rFonts w:eastAsia="Times New Roman"/>
                <w:lang w:val="hu-HU"/>
              </w:rPr>
              <w:t>.</w:t>
            </w:r>
          </w:p>
        </w:tc>
      </w:tr>
      <w:tr w:rsidR="0037407E" w:rsidRPr="00BE4D18" w14:paraId="4A8E71B8" w14:textId="77777777" w:rsidTr="009C7DB8">
        <w:trPr>
          <w:trHeight w:val="5664"/>
        </w:trPr>
        <w:tc>
          <w:tcPr>
            <w:tcW w:w="9550" w:type="dxa"/>
          </w:tcPr>
          <w:p w14:paraId="00907BFC" w14:textId="78785F0B" w:rsidR="0037407E" w:rsidRDefault="009C7DB8" w:rsidP="007E7849">
            <w:pPr>
              <w:pStyle w:val="Default"/>
              <w:rPr>
                <w:lang w:val="hu-HU"/>
              </w:rPr>
            </w:pPr>
            <w:r>
              <w:rPr>
                <w:noProof/>
                <w:lang w:eastAsia="ko-KR"/>
              </w:rPr>
              <mc:AlternateContent>
                <mc:Choice Requires="wpg">
                  <w:drawing>
                    <wp:anchor distT="0" distB="0" distL="114300" distR="114300" simplePos="0" relativeHeight="251658314" behindDoc="1" locked="0" layoutInCell="1" allowOverlap="1" wp14:anchorId="3DDF8D00" wp14:editId="09CD6CFC">
                      <wp:simplePos x="0" y="0"/>
                      <wp:positionH relativeFrom="column">
                        <wp:posOffset>27305</wp:posOffset>
                      </wp:positionH>
                      <wp:positionV relativeFrom="paragraph">
                        <wp:posOffset>180340</wp:posOffset>
                      </wp:positionV>
                      <wp:extent cx="2278380" cy="2997200"/>
                      <wp:effectExtent l="19050" t="19050" r="7620" b="0"/>
                      <wp:wrapTight wrapText="bothSides">
                        <wp:wrapPolygon edited="0">
                          <wp:start x="-181" y="-137"/>
                          <wp:lineTo x="-181" y="20319"/>
                          <wp:lineTo x="14448" y="21417"/>
                          <wp:lineTo x="21492" y="21417"/>
                          <wp:lineTo x="21492" y="-137"/>
                          <wp:lineTo x="-181" y="-137"/>
                        </wp:wrapPolygon>
                      </wp:wrapTight>
                      <wp:docPr id="1087" name="그룹 1087"/>
                      <wp:cNvGraphicFramePr/>
                      <a:graphic xmlns:a="http://schemas.openxmlformats.org/drawingml/2006/main">
                        <a:graphicData uri="http://schemas.microsoft.com/office/word/2010/wordprocessingGroup">
                          <wpg:wgp>
                            <wpg:cNvGrpSpPr/>
                            <wpg:grpSpPr>
                              <a:xfrm>
                                <a:off x="0" y="0"/>
                                <a:ext cx="2278380" cy="2997200"/>
                                <a:chOff x="0" y="-25404"/>
                                <a:chExt cx="2278753" cy="2997831"/>
                              </a:xfrm>
                            </wpg:grpSpPr>
                            <wps:wsp>
                              <wps:cNvPr id="129" name="Text Box 12"/>
                              <wps:cNvSpPr txBox="1">
                                <a:spLocks noChangeArrowheads="1"/>
                              </wps:cNvSpPr>
                              <wps:spPr bwMode="auto">
                                <a:xfrm>
                                  <a:off x="1558636" y="2826327"/>
                                  <a:ext cx="720117" cy="146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spAutoFit/>
                              </wps:bodyPr>
                            </wps:wsp>
                            <pic:pic xmlns:pic="http://schemas.openxmlformats.org/drawingml/2006/picture">
                              <pic:nvPicPr>
                                <pic:cNvPr id="134" name="그림 18"/>
                                <pic:cNvPicPr>
                                  <a:picLocks noChangeAspect="1"/>
                                </pic:cNvPicPr>
                              </pic:nvPicPr>
                              <pic:blipFill>
                                <a:blip r:embed="rId147" cstate="print">
                                  <a:extLst>
                                    <a:ext uri="{28A0092B-C50C-407E-A947-70E740481C1C}">
                                      <a14:useLocalDpi xmlns:a14="http://schemas.microsoft.com/office/drawing/2010/main" val="0"/>
                                    </a:ext>
                                  </a:extLst>
                                </a:blip>
                                <a:srcRect/>
                                <a:stretch/>
                              </pic:blipFill>
                              <pic:spPr>
                                <a:xfrm>
                                  <a:off x="0" y="-25404"/>
                                  <a:ext cx="2275205" cy="2818765"/>
                                </a:xfrm>
                                <a:prstGeom prst="rect">
                                  <a:avLst/>
                                </a:prstGeom>
                                <a:ln>
                                  <a:solidFill>
                                    <a:schemeClr val="tx1"/>
                                  </a:solidFill>
                                </a:ln>
                              </pic:spPr>
                            </pic:pic>
                          </wpg:wgp>
                        </a:graphicData>
                      </a:graphic>
                      <wp14:sizeRelV relativeFrom="margin">
                        <wp14:pctHeight>0</wp14:pctHeight>
                      </wp14:sizeRelV>
                    </wp:anchor>
                  </w:drawing>
                </mc:Choice>
                <mc:Fallback>
                  <w:pict>
                    <v:group w14:anchorId="6E5C28A4" id="그룹 1087" o:spid="_x0000_s1026" style="position:absolute;margin-left:2.15pt;margin-top:14.2pt;width:179.4pt;height:236pt;z-index:-251658166;mso-height-relative:margin" coordorigin=",-254" coordsize="22787,29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">
                      <v:shape id="Text Box 12" o:spid="_x0000_s1027" type="#_x0000_t202" style="position:absolute;left:15586;top:28263;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" stroked="f">
                        <v:textbox style="mso-fit-shape-to-text:t" inset="0,0,0,0"/>
                      </v:shape>
                      <v:shape id="그림 18" o:spid="_x0000_s1028" type="#_x0000_t75" style="position:absolute;top:-254;width:22752;height:28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" stroked="t" strokecolor="black [3213]">
                        <v:imagedata r:id="rId151" o:title=""/>
                        <v:path arrowok="t"/>
                      </v:shape>
                      <w10:wrap type="tight"/>
                    </v:group>
                  </w:pict>
                </mc:Fallback>
              </mc:AlternateContent>
            </w:r>
          </w:p>
          <w:p w14:paraId="28788EFC" w14:textId="77777777" w:rsidR="0037407E" w:rsidRDefault="0037407E" w:rsidP="00903402">
            <w:pPr>
              <w:pStyle w:val="a3"/>
              <w:numPr>
                <w:ilvl w:val="0"/>
                <w:numId w:val="67"/>
              </w:numPr>
              <w:rPr>
                <w:b/>
                <w:lang w:val="hu-HU"/>
              </w:rPr>
            </w:pPr>
            <w:r w:rsidRPr="00903402">
              <w:rPr>
                <w:rFonts w:eastAsia="Times New Roman"/>
                <w:b/>
                <w:bCs/>
                <w:lang w:val="hu-HU"/>
              </w:rPr>
              <w:t>Vegye</w:t>
            </w:r>
            <w:r>
              <w:rPr>
                <w:rFonts w:eastAsia="Times New Roman"/>
                <w:b/>
                <w:bCs/>
                <w:lang w:val="hu-HU"/>
              </w:rPr>
              <w:t xml:space="preserve"> le a tűvédő tokot</w:t>
            </w:r>
          </w:p>
          <w:p w14:paraId="34120FDF" w14:textId="77777777" w:rsidR="0037407E" w:rsidRDefault="0037407E" w:rsidP="007E7849">
            <w:pPr>
              <w:pStyle w:val="a3"/>
              <w:rPr>
                <w:lang w:val="hu-HU"/>
              </w:rPr>
            </w:pPr>
          </w:p>
          <w:p w14:paraId="33F7ABF0" w14:textId="77777777" w:rsidR="0037407E" w:rsidRDefault="0037407E" w:rsidP="007E7849">
            <w:pPr>
              <w:pStyle w:val="a3"/>
              <w:ind w:left="4320" w:hanging="4320"/>
              <w:rPr>
                <w:lang w:val="hu-HU"/>
              </w:rPr>
            </w:pPr>
            <w:r>
              <w:rPr>
                <w:rFonts w:eastAsia="Times New Roman"/>
                <w:b/>
                <w:bCs/>
                <w:lang w:val="hu-HU"/>
              </w:rPr>
              <w:t xml:space="preserve">      a. </w:t>
            </w:r>
            <w:r w:rsidRPr="001E2F31">
              <w:rPr>
                <w:rFonts w:eastAsia="Times New Roman"/>
                <w:bCs/>
                <w:lang w:val="hu-HU"/>
              </w:rPr>
              <w:t>T</w:t>
            </w:r>
            <w:r>
              <w:rPr>
                <w:rFonts w:eastAsia="Times New Roman"/>
                <w:lang w:val="hu-HU"/>
              </w:rPr>
              <w:t>artsa az egyik kezével az előretöltött injekciós tollat az injektor testénél fogva, úgy hogy a tűvédő tok még a helyén legyen. Óvatosan húzza le a tűvédő tokot a másik kezével.</w:t>
            </w:r>
          </w:p>
          <w:p w14:paraId="3F8BEC6E" w14:textId="77777777" w:rsidR="0037407E" w:rsidRDefault="0037407E" w:rsidP="007E7849">
            <w:pPr>
              <w:pStyle w:val="a3"/>
              <w:rPr>
                <w:lang w:val="hu-HU"/>
              </w:rPr>
            </w:pPr>
          </w:p>
          <w:p w14:paraId="75FA146B" w14:textId="77777777" w:rsidR="0037407E" w:rsidRDefault="0037407E" w:rsidP="007E7849">
            <w:pPr>
              <w:pStyle w:val="a3"/>
              <w:numPr>
                <w:ilvl w:val="0"/>
                <w:numId w:val="18"/>
              </w:numPr>
              <w:ind w:left="5130" w:hanging="4146"/>
              <w:rPr>
                <w:lang w:val="hu-HU"/>
              </w:rPr>
            </w:pPr>
            <w:r>
              <w:rPr>
                <w:rFonts w:eastAsia="Times New Roman"/>
                <w:b/>
                <w:bCs/>
                <w:lang w:val="hu-HU"/>
              </w:rPr>
              <w:t>Ne</w:t>
            </w:r>
            <w:r>
              <w:rPr>
                <w:rFonts w:eastAsia="Times New Roman"/>
                <w:lang w:val="hu-HU"/>
              </w:rPr>
              <w:t xml:space="preserve"> vegye le a tűvédő tokot, amíg készen nem áll az injekció beadására</w:t>
            </w:r>
          </w:p>
          <w:p w14:paraId="15EE529F" w14:textId="77777777" w:rsidR="0037407E" w:rsidRDefault="0037407E" w:rsidP="007E7849">
            <w:pPr>
              <w:pStyle w:val="a3"/>
              <w:numPr>
                <w:ilvl w:val="0"/>
                <w:numId w:val="0"/>
              </w:numPr>
              <w:ind w:left="1384"/>
              <w:rPr>
                <w:lang w:val="hu-HU"/>
              </w:rPr>
            </w:pPr>
          </w:p>
          <w:p w14:paraId="72E45A14" w14:textId="77777777" w:rsidR="0037407E" w:rsidRDefault="0037407E" w:rsidP="007E7849">
            <w:pPr>
              <w:pStyle w:val="a3"/>
              <w:numPr>
                <w:ilvl w:val="0"/>
                <w:numId w:val="18"/>
              </w:numPr>
              <w:ind w:left="5130" w:hanging="4146"/>
              <w:rPr>
                <w:lang w:val="hu-HU"/>
              </w:rPr>
            </w:pPr>
            <w:r>
              <w:rPr>
                <w:rFonts w:eastAsia="Times New Roman"/>
                <w:b/>
                <w:bCs/>
                <w:lang w:val="hu-HU"/>
              </w:rPr>
              <w:t>Ne</w:t>
            </w:r>
            <w:r>
              <w:rPr>
                <w:rFonts w:eastAsia="Times New Roman"/>
                <w:lang w:val="hu-HU"/>
              </w:rPr>
              <w:t xml:space="preserve"> érintse meg a tűt vagy a tűvédőt. Ebben az esetben, tűszúrásos sérülés következhet be.</w:t>
            </w:r>
          </w:p>
          <w:p w14:paraId="3D609392" w14:textId="77777777" w:rsidR="0037407E" w:rsidRDefault="0037407E" w:rsidP="007E7849">
            <w:pPr>
              <w:pStyle w:val="a3"/>
              <w:numPr>
                <w:ilvl w:val="0"/>
                <w:numId w:val="0"/>
              </w:numPr>
              <w:ind w:left="1384"/>
              <w:rPr>
                <w:lang w:val="hu-HU"/>
              </w:rPr>
            </w:pPr>
          </w:p>
          <w:p w14:paraId="5B2AD134" w14:textId="77777777" w:rsidR="0037407E" w:rsidRPr="004C5B28" w:rsidRDefault="0037407E" w:rsidP="007E7849">
            <w:pPr>
              <w:pStyle w:val="a3"/>
              <w:numPr>
                <w:ilvl w:val="0"/>
                <w:numId w:val="18"/>
              </w:numPr>
              <w:ind w:left="5130" w:hanging="4146"/>
              <w:rPr>
                <w:lang w:val="hu-HU"/>
              </w:rPr>
            </w:pPr>
            <w:r>
              <w:rPr>
                <w:noProof/>
                <w:lang w:eastAsia="ko-KR"/>
              </w:rPr>
              <mc:AlternateContent>
                <mc:Choice Requires="wps">
                  <w:drawing>
                    <wp:anchor distT="0" distB="0" distL="114300" distR="114300" simplePos="0" relativeHeight="251658321" behindDoc="0" locked="0" layoutInCell="1" allowOverlap="1" wp14:anchorId="2A02CFE6" wp14:editId="1DED0518">
                      <wp:simplePos x="0" y="0"/>
                      <wp:positionH relativeFrom="column">
                        <wp:posOffset>1572260</wp:posOffset>
                      </wp:positionH>
                      <wp:positionV relativeFrom="paragraph">
                        <wp:posOffset>601285</wp:posOffset>
                      </wp:positionV>
                      <wp:extent cx="719622" cy="146003"/>
                      <wp:effectExtent l="0" t="0" r="0" b="0"/>
                      <wp:wrapNone/>
                      <wp:docPr id="13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622" cy="1460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9850E3" w14:textId="6D7BB59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H</w:t>
                                  </w:r>
                                  <w:r w:rsidRPr="004B23C8">
                                    <w:rPr>
                                      <w:rFonts w:ascii="Times New Roman" w:eastAsia="Times New Roman" w:hAnsi="Times New Roman" w:cs="Times New Roman"/>
                                      <w:lang w:val="hu-HU"/>
                                    </w:rPr>
                                    <w:t xml:space="preserve">. </w:t>
                                  </w:r>
                                  <w:r w:rsidRPr="004B23C8">
                                    <w:rPr>
                                      <w:rFonts w:ascii="Times New Roman" w:eastAsia="Times New Roman" w:hAnsi="Times New Roman" w:cs="Times New Roman"/>
                                      <w:lang w:val="hu-HU"/>
                                    </w:rPr>
                                    <w:t>ábra</w:t>
                                  </w:r>
                                </w:p>
                              </w:txbxContent>
                            </wps:txbx>
                            <wps:bodyPr rot="0" vert="horz" wrap="square" lIns="0" tIns="0" rIns="0" bIns="0" anchor="t" anchorCtr="0" upright="1">
                              <a:spAutoFit/>
                            </wps:bodyPr>
                          </wps:wsp>
                        </a:graphicData>
                      </a:graphic>
                    </wp:anchor>
                  </w:drawing>
                </mc:Choice>
                <mc:Fallback>
                  <w:pict>
                    <v:shape w14:anchorId="2A02CFE6" id="_x0000_s1217" type="#_x0000_t202" style="position:absolute;left:0;text-align:left;margin-left:123.8pt;margin-top:47.35pt;width:56.65pt;height:11.5pt;z-index:25165832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" stroked="f">
                      <v:textbox style="mso-fit-shape-to-text:t" inset="0,0,0,0">
                        <w:txbxContent>
                          <w:p w14:paraId="2D9850E3" w14:textId="6D7BB597" w:rsidR="004A2986" w:rsidRDefault="004A2986" w:rsidP="0037407E">
                            <w:pPr>
                              <w:pStyle w:val="af0"/>
                              <w:jc w:val="right"/>
                              <w:rPr>
                                <w:rFonts w:ascii="Times New Roman" w:hAnsi="Times New Roman" w:cs="Times New Roman"/>
                                <w:noProof/>
                                <w:spacing w:val="-1"/>
                              </w:rPr>
                            </w:pPr>
                            <w:r>
                              <w:rPr>
                                <w:rFonts w:ascii="Times New Roman" w:eastAsia="Times New Roman" w:hAnsi="Times New Roman" w:cs="Times New Roman"/>
                                <w:lang w:val="hu-HU"/>
                              </w:rPr>
                              <w:t>H</w:t>
                            </w:r>
                            <w:r w:rsidRPr="004B23C8">
                              <w:rPr>
                                <w:rFonts w:ascii="Times New Roman" w:eastAsia="Times New Roman" w:hAnsi="Times New Roman" w:cs="Times New Roman"/>
                                <w:lang w:val="hu-HU"/>
                              </w:rPr>
                              <w:t xml:space="preserve">. </w:t>
                            </w:r>
                            <w:r w:rsidRPr="004B23C8">
                              <w:rPr>
                                <w:rFonts w:ascii="Times New Roman" w:eastAsia="Times New Roman" w:hAnsi="Times New Roman" w:cs="Times New Roman"/>
                                <w:lang w:val="hu-HU"/>
                              </w:rPr>
                              <w:t>ábra</w:t>
                            </w:r>
                          </w:p>
                        </w:txbxContent>
                      </v:textbox>
                    </v:shape>
                  </w:pict>
                </mc:Fallback>
              </mc:AlternateContent>
            </w:r>
            <w:r>
              <w:rPr>
                <w:rFonts w:eastAsia="Times New Roman"/>
                <w:b/>
                <w:bCs/>
                <w:lang w:val="hu-HU"/>
              </w:rPr>
              <w:t>Ne</w:t>
            </w:r>
            <w:r>
              <w:rPr>
                <w:rFonts w:eastAsia="Times New Roman"/>
                <w:lang w:val="hu-HU"/>
              </w:rPr>
              <w:t xml:space="preserve"> rakja vissza a tűvédő tokot az előretöltött tollra. Dobja ki a tűvédő tokot Azonnal dobja a tűvédő tokot az éles tárgyak tárolására szolgáló tartályba.</w:t>
            </w:r>
          </w:p>
          <w:p w14:paraId="35F7D0E0" w14:textId="77777777" w:rsidR="00903402" w:rsidRDefault="00903402" w:rsidP="004C5B28">
            <w:pPr>
              <w:pStyle w:val="a4"/>
              <w:rPr>
                <w:lang w:val="hu-HU"/>
              </w:rPr>
            </w:pPr>
          </w:p>
          <w:p w14:paraId="3D0A2DDE" w14:textId="7F325060" w:rsidR="00903402" w:rsidRDefault="00903402" w:rsidP="007E7849">
            <w:pPr>
              <w:pStyle w:val="a3"/>
              <w:numPr>
                <w:ilvl w:val="0"/>
                <w:numId w:val="18"/>
              </w:numPr>
              <w:ind w:left="5130" w:hanging="4146"/>
              <w:rPr>
                <w:lang w:val="hu-HU"/>
              </w:rPr>
            </w:pPr>
            <w:r w:rsidRPr="00944B5B">
              <w:rPr>
                <w:lang w:val="hu-HU"/>
              </w:rPr>
              <w:t>Normális, ha lát néhány csepp folyadékot kijönni a tűből</w:t>
            </w:r>
            <w:r>
              <w:rPr>
                <w:lang w:val="hu-HU"/>
              </w:rPr>
              <w:t>.</w:t>
            </w:r>
          </w:p>
        </w:tc>
      </w:tr>
      <w:tr w:rsidR="0037407E" w:rsidRPr="00BE4D18" w14:paraId="0FDB44AD" w14:textId="77777777" w:rsidTr="009C7DB8">
        <w:trPr>
          <w:trHeight w:val="7028"/>
        </w:trPr>
        <w:tc>
          <w:tcPr>
            <w:tcW w:w="9550" w:type="dxa"/>
          </w:tcPr>
          <w:p w14:paraId="55AD720A" w14:textId="77777777" w:rsidR="0037407E" w:rsidRDefault="0037407E" w:rsidP="007E7849">
            <w:pPr>
              <w:ind w:left="104"/>
              <w:rPr>
                <w:rFonts w:ascii="Times New Roman" w:eastAsia="Times New Roman" w:hAnsi="Times New Roman" w:cs="Times New Roman"/>
                <w:b/>
                <w:bCs/>
                <w:spacing w:val="-1"/>
                <w:lang w:val="hu-HU"/>
              </w:rPr>
            </w:pPr>
          </w:p>
          <w:p w14:paraId="79FCCD6F" w14:textId="77777777" w:rsidR="0037407E" w:rsidRDefault="0037407E" w:rsidP="007E7849">
            <w:pPr>
              <w:pStyle w:val="1"/>
              <w:spacing w:before="76"/>
              <w:ind w:left="0" w:right="2736"/>
              <w:rPr>
                <w:rFonts w:eastAsiaTheme="minorEastAsia"/>
                <w:lang w:val="hu-HU" w:eastAsia="ko-KR"/>
              </w:rPr>
            </w:pPr>
            <w:r>
              <w:rPr>
                <w:rFonts w:eastAsiaTheme="minorEastAsia"/>
                <w:noProof/>
                <w:lang w:eastAsia="ko-KR"/>
              </w:rPr>
              <mc:AlternateContent>
                <mc:Choice Requires="wpg">
                  <w:drawing>
                    <wp:anchor distT="0" distB="0" distL="114300" distR="114300" simplePos="0" relativeHeight="251658315" behindDoc="1" locked="0" layoutInCell="1" allowOverlap="1" wp14:anchorId="0000F7E3" wp14:editId="753E83DA">
                      <wp:simplePos x="0" y="0"/>
                      <wp:positionH relativeFrom="column">
                        <wp:posOffset>31000</wp:posOffset>
                      </wp:positionH>
                      <wp:positionV relativeFrom="paragraph">
                        <wp:posOffset>157134</wp:posOffset>
                      </wp:positionV>
                      <wp:extent cx="2261235" cy="4004591"/>
                      <wp:effectExtent l="19050" t="19050" r="24765" b="0"/>
                      <wp:wrapTight wrapText="bothSides">
                        <wp:wrapPolygon edited="0">
                          <wp:start x="-182" y="-103"/>
                          <wp:lineTo x="-182" y="20552"/>
                          <wp:lineTo x="14194" y="21271"/>
                          <wp:lineTo x="14194" y="21477"/>
                          <wp:lineTo x="21655" y="21477"/>
                          <wp:lineTo x="21655" y="-103"/>
                          <wp:lineTo x="-182" y="-103"/>
                        </wp:wrapPolygon>
                      </wp:wrapTight>
                      <wp:docPr id="138" name="그룹 138"/>
                      <wp:cNvGraphicFramePr/>
                      <a:graphic xmlns:a="http://schemas.openxmlformats.org/drawingml/2006/main">
                        <a:graphicData uri="http://schemas.microsoft.com/office/word/2010/wordprocessingGroup">
                          <wpg:wgp>
                            <wpg:cNvGrpSpPr/>
                            <wpg:grpSpPr>
                              <a:xfrm>
                                <a:off x="0" y="0"/>
                                <a:ext cx="2261235" cy="4004591"/>
                                <a:chOff x="0" y="0"/>
                                <a:chExt cx="2261235" cy="4004591"/>
                              </a:xfrm>
                            </wpg:grpSpPr>
                            <wps:wsp>
                              <wps:cNvPr id="139" name="Text Box 14"/>
                              <wps:cNvSpPr txBox="1">
                                <a:spLocks noChangeArrowheads="1"/>
                              </wps:cNvSpPr>
                              <wps:spPr bwMode="auto">
                                <a:xfrm>
                                  <a:off x="1530927" y="3858491"/>
                                  <a:ext cx="719526" cy="146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B48F49" w14:textId="16F087E4" w:rsidR="004A2986" w:rsidRDefault="004A2986" w:rsidP="0037407E">
                                    <w:pPr>
                                      <w:pStyle w:val="af0"/>
                                      <w:jc w:val="right"/>
                                      <w:rPr>
                                        <w:rFonts w:cs="Times New Roman"/>
                                        <w:noProof/>
                                      </w:rPr>
                                    </w:pPr>
                                    <w:r>
                                      <w:rPr>
                                        <w:rFonts w:ascii="Times New Roman" w:hAnsi="Times New Roman" w:cs="Times New Roman"/>
                                      </w:rPr>
                                      <w:t>I</w:t>
                                    </w:r>
                                    <w:r>
                                      <w:rPr>
                                        <w:rFonts w:ascii="Times New Roman" w:eastAsia="Times New Roman" w:hAnsi="Times New Roman" w:cs="Times New Roman"/>
                                        <w:lang w:val="hu-HU"/>
                                      </w:rPr>
                                      <w:t>. ábra</w:t>
                                    </w:r>
                                  </w:p>
                                </w:txbxContent>
                              </wps:txbx>
                              <wps:bodyPr rot="0" vert="horz" wrap="square" lIns="0" tIns="0" rIns="0" bIns="0" anchor="t" anchorCtr="0" upright="1">
                                <a:spAutoFit/>
                              </wps:bodyPr>
                            </wps:wsp>
                            <pic:pic xmlns:pic="http://schemas.openxmlformats.org/drawingml/2006/picture">
                              <pic:nvPicPr>
                                <pic:cNvPr id="140" name="그림 19"/>
                                <pic:cNvPicPr>
                                  <a:picLocks noChangeAspect="1"/>
                                </pic:cNvPicPr>
                              </pic:nvPicPr>
                              <pic:blipFill>
                                <a:blip r:embed="rId152" cstate="print">
                                  <a:extLst>
                                    <a:ext uri="{28A0092B-C50C-407E-A947-70E740481C1C}">
                                      <a14:useLocalDpi xmlns:a14="http://schemas.microsoft.com/office/drawing/2010/main" val="0"/>
                                    </a:ext>
                                  </a:extLst>
                                </a:blip>
                                <a:srcRect/>
                                <a:stretch/>
                              </pic:blipFill>
                              <pic:spPr>
                                <a:xfrm>
                                  <a:off x="0" y="0"/>
                                  <a:ext cx="2261235" cy="3811905"/>
                                </a:xfrm>
                                <a:prstGeom prst="rect">
                                  <a:avLst/>
                                </a:prstGeom>
                                <a:ln>
                                  <a:solidFill>
                                    <a:schemeClr val="tx1"/>
                                  </a:solidFill>
                                </a:ln>
                              </pic:spPr>
                            </pic:pic>
                          </wpg:wgp>
                        </a:graphicData>
                      </a:graphic>
                    </wp:anchor>
                  </w:drawing>
                </mc:Choice>
                <mc:Fallback>
                  <w:pict>
                    <v:group w14:anchorId="0000F7E3" id="그룹 138" o:spid="_x0000_s1218" style="position:absolute;margin-left:2.45pt;margin-top:12.35pt;width:178.05pt;height:315.3pt;z-index:-251658165" coordsize="22612,40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">
                      <v:shape id="Text Box 14" o:spid="_x0000_s1219" type="#_x0000_t202" style="position:absolute;left:15309;top:38584;width:7195;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" stroked="f">
                        <v:textbox style="mso-fit-shape-to-text:t" inset="0,0,0,0">
                          <w:txbxContent>
                            <w:p w14:paraId="5DB48F49" w14:textId="16F087E4" w:rsidR="004A2986" w:rsidRDefault="004A2986" w:rsidP="0037407E">
                              <w:pPr>
                                <w:pStyle w:val="af0"/>
                                <w:jc w:val="right"/>
                                <w:rPr>
                                  <w:rFonts w:cs="Times New Roman"/>
                                  <w:noProof/>
                                </w:rPr>
                              </w:pPr>
                              <w:r>
                                <w:rPr>
                                  <w:rFonts w:ascii="Times New Roman" w:hAnsi="Times New Roman" w:cs="Times New Roman"/>
                                </w:rPr>
                                <w:t>I</w:t>
                              </w:r>
                              <w:r>
                                <w:rPr>
                                  <w:rFonts w:ascii="Times New Roman" w:eastAsia="Times New Roman" w:hAnsi="Times New Roman" w:cs="Times New Roman"/>
                                  <w:lang w:val="hu-HU"/>
                                </w:rPr>
                                <w:t>. ábra</w:t>
                              </w:r>
                            </w:p>
                          </w:txbxContent>
                        </v:textbox>
                      </v:shape>
                      <v:shape id="그림 19" o:spid="_x0000_s1220" type="#_x0000_t75" style="position:absolute;width:22612;height:38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" stroked="t" strokecolor="black [3213]">
                        <v:imagedata r:id="rId153" o:title=""/>
                        <v:path arrowok="t"/>
                      </v:shape>
                      <w10:wrap type="tight"/>
                    </v:group>
                  </w:pict>
                </mc:Fallback>
              </mc:AlternateContent>
            </w:r>
          </w:p>
          <w:p w14:paraId="7262196D" w14:textId="77777777" w:rsidR="0037407E" w:rsidRDefault="0037407E" w:rsidP="00FD05AA">
            <w:pPr>
              <w:pStyle w:val="a3"/>
              <w:numPr>
                <w:ilvl w:val="0"/>
                <w:numId w:val="67"/>
              </w:numPr>
              <w:ind w:left="4320" w:hanging="4209"/>
              <w:rPr>
                <w:b/>
                <w:lang w:val="hu-HU"/>
              </w:rPr>
            </w:pPr>
            <w:r>
              <w:rPr>
                <w:rFonts w:eastAsia="Times New Roman"/>
                <w:b/>
                <w:bCs/>
                <w:lang w:val="hu-HU"/>
              </w:rPr>
              <w:t>Helyezze az előretöltött injekciós tollat az injekció beadási helyére.</w:t>
            </w:r>
          </w:p>
          <w:p w14:paraId="38765F69" w14:textId="77777777" w:rsidR="0037407E" w:rsidRDefault="0037407E" w:rsidP="007E7849">
            <w:pPr>
              <w:pStyle w:val="a3"/>
              <w:rPr>
                <w:lang w:val="hu-HU"/>
              </w:rPr>
            </w:pPr>
          </w:p>
          <w:p w14:paraId="30371FE1" w14:textId="77777777" w:rsidR="0037407E" w:rsidRDefault="0037407E" w:rsidP="007E7849">
            <w:pPr>
              <w:pStyle w:val="a3"/>
              <w:numPr>
                <w:ilvl w:val="0"/>
                <w:numId w:val="0"/>
              </w:numPr>
              <w:ind w:left="4320" w:hanging="4320"/>
              <w:rPr>
                <w:lang w:val="hu-HU"/>
              </w:rPr>
            </w:pPr>
            <w:r>
              <w:rPr>
                <w:rFonts w:eastAsia="Times New Roman"/>
                <w:b/>
                <w:bCs/>
                <w:lang w:val="hu-HU"/>
              </w:rPr>
              <w:t xml:space="preserve">     a. </w:t>
            </w:r>
            <w:r>
              <w:rPr>
                <w:rFonts w:eastAsia="Times New Roman"/>
                <w:lang w:val="hu-HU"/>
              </w:rPr>
              <w:t>Fogja meg az előretöltött injekciós tollat, hogy lássa az</w:t>
            </w:r>
            <w:r>
              <w:rPr>
                <w:lang w:val="hu-HU"/>
              </w:rPr>
              <w:t xml:space="preserve"> kijelző </w:t>
            </w:r>
            <w:r>
              <w:rPr>
                <w:rFonts w:eastAsia="Times New Roman"/>
                <w:lang w:val="hu-HU"/>
              </w:rPr>
              <w:t>ablakot.</w:t>
            </w:r>
          </w:p>
          <w:p w14:paraId="4DCEC152" w14:textId="77777777" w:rsidR="0037407E" w:rsidRDefault="0037407E" w:rsidP="007E7849">
            <w:pPr>
              <w:pStyle w:val="a3"/>
              <w:ind w:left="4320" w:hanging="4320"/>
              <w:rPr>
                <w:lang w:val="hu-HU" w:eastAsia="ko-KR"/>
              </w:rPr>
            </w:pPr>
            <w:r>
              <w:rPr>
                <w:rFonts w:eastAsia="Times New Roman"/>
                <w:b/>
                <w:bCs/>
                <w:lang w:val="hu-HU"/>
              </w:rPr>
              <w:t xml:space="preserve">     b. </w:t>
            </w:r>
            <w:r w:rsidRPr="001E2F31">
              <w:rPr>
                <w:rFonts w:eastAsia="Times New Roman"/>
                <w:bCs/>
                <w:lang w:val="hu-HU"/>
              </w:rPr>
              <w:t>A</w:t>
            </w:r>
            <w:r w:rsidRPr="005D79EA">
              <w:rPr>
                <w:rFonts w:eastAsia="Times New Roman"/>
                <w:lang w:val="hu-HU"/>
              </w:rPr>
              <w:t xml:space="preserve"> </w:t>
            </w:r>
            <w:r>
              <w:rPr>
                <w:rFonts w:eastAsia="Times New Roman"/>
                <w:lang w:val="hu-HU"/>
              </w:rPr>
              <w:t>bőr összecsípése vagy megnyújtása nélkül helyezze a az előretöltött tollat az injekció beadásának helyére 90 fokos szögben.</w:t>
            </w:r>
          </w:p>
        </w:tc>
      </w:tr>
      <w:tr w:rsidR="0037407E" w:rsidRPr="00BE4D18" w14:paraId="29557ECE" w14:textId="77777777" w:rsidTr="009C7DB8">
        <w:trPr>
          <w:trHeight w:val="8391"/>
        </w:trPr>
        <w:tc>
          <w:tcPr>
            <w:tcW w:w="9550" w:type="dxa"/>
          </w:tcPr>
          <w:p w14:paraId="69E66B2D" w14:textId="77777777" w:rsidR="0037407E" w:rsidRDefault="0037407E" w:rsidP="007E7849">
            <w:pPr>
              <w:ind w:left="104"/>
              <w:rPr>
                <w:rFonts w:ascii="Times New Roman" w:eastAsia="Times New Roman" w:hAnsi="Times New Roman" w:cs="Times New Roman"/>
                <w:b/>
                <w:bCs/>
                <w:spacing w:val="-1"/>
                <w:lang w:val="hu-HU"/>
              </w:rPr>
            </w:pPr>
          </w:p>
          <w:p w14:paraId="47AA7E61" w14:textId="77777777" w:rsidR="0037407E" w:rsidRDefault="0037407E" w:rsidP="007E7849">
            <w:pPr>
              <w:pStyle w:val="1"/>
              <w:spacing w:before="76"/>
              <w:ind w:left="0" w:right="2736"/>
              <w:rPr>
                <w:rFonts w:eastAsiaTheme="minorEastAsia"/>
                <w:lang w:val="hu-HU" w:eastAsia="ko-KR"/>
              </w:rPr>
            </w:pPr>
            <w:r>
              <w:rPr>
                <w:rFonts w:eastAsiaTheme="minorEastAsia"/>
                <w:noProof/>
                <w:lang w:eastAsia="ko-KR"/>
              </w:rPr>
              <mc:AlternateContent>
                <mc:Choice Requires="wpg">
                  <w:drawing>
                    <wp:anchor distT="0" distB="0" distL="114300" distR="114300" simplePos="0" relativeHeight="251658324" behindDoc="1" locked="0" layoutInCell="1" allowOverlap="1" wp14:anchorId="69BE213D" wp14:editId="2B087438">
                      <wp:simplePos x="0" y="0"/>
                      <wp:positionH relativeFrom="column">
                        <wp:posOffset>77470</wp:posOffset>
                      </wp:positionH>
                      <wp:positionV relativeFrom="paragraph">
                        <wp:posOffset>151765</wp:posOffset>
                      </wp:positionV>
                      <wp:extent cx="2094865" cy="4697095"/>
                      <wp:effectExtent l="19050" t="19050" r="19685" b="8255"/>
                      <wp:wrapTight wrapText="bothSides">
                        <wp:wrapPolygon edited="0">
                          <wp:start x="-196" y="-88"/>
                          <wp:lineTo x="-196" y="20762"/>
                          <wp:lineTo x="13357" y="20937"/>
                          <wp:lineTo x="13357" y="21550"/>
                          <wp:lineTo x="21410" y="21550"/>
                          <wp:lineTo x="21607" y="20937"/>
                          <wp:lineTo x="21607" y="-88"/>
                          <wp:lineTo x="-196" y="-88"/>
                        </wp:wrapPolygon>
                      </wp:wrapTight>
                      <wp:docPr id="141" name="그룹 141"/>
                      <wp:cNvGraphicFramePr/>
                      <a:graphic xmlns:a="http://schemas.openxmlformats.org/drawingml/2006/main">
                        <a:graphicData uri="http://schemas.microsoft.com/office/word/2010/wordprocessingGroup">
                          <wpg:wgp>
                            <wpg:cNvGrpSpPr/>
                            <wpg:grpSpPr>
                              <a:xfrm>
                                <a:off x="0" y="0"/>
                                <a:ext cx="2094865" cy="4697095"/>
                                <a:chOff x="-19050" y="0"/>
                                <a:chExt cx="2094865" cy="4884256"/>
                              </a:xfrm>
                            </wpg:grpSpPr>
                            <wps:wsp>
                              <wps:cNvPr id="142" name="Text Box 15"/>
                              <wps:cNvSpPr txBox="1">
                                <a:spLocks noChangeArrowheads="1"/>
                              </wps:cNvSpPr>
                              <wps:spPr bwMode="auto">
                                <a:xfrm>
                                  <a:off x="1323109" y="4738255"/>
                                  <a:ext cx="719419" cy="1460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EF6EA1" w14:textId="4155B2F6" w:rsidR="004A2986" w:rsidRDefault="004A2986" w:rsidP="0037407E">
                                    <w:pPr>
                                      <w:pStyle w:val="af0"/>
                                      <w:jc w:val="right"/>
                                      <w:rPr>
                                        <w:rFonts w:cs="Times New Roman"/>
                                        <w:noProof/>
                                      </w:rPr>
                                    </w:pPr>
                                    <w:r>
                                      <w:rPr>
                                        <w:rFonts w:ascii="Times New Roman" w:hAnsi="Times New Roman" w:cs="Times New Roman"/>
                                      </w:rPr>
                                      <w:t>J</w:t>
                                    </w:r>
                                    <w:r>
                                      <w:rPr>
                                        <w:rFonts w:ascii="Times New Roman" w:eastAsia="Times New Roman" w:hAnsi="Times New Roman" w:cs="Times New Roman"/>
                                        <w:lang w:val="hu-HU"/>
                                      </w:rPr>
                                      <w:t>. ábra</w:t>
                                    </w:r>
                                  </w:p>
                                </w:txbxContent>
                              </wps:txbx>
                              <wps:bodyPr rot="0" vert="horz" wrap="square" lIns="0" tIns="0" rIns="0" bIns="0" anchor="t" anchorCtr="0" upright="1">
                                <a:noAutofit/>
                              </wps:bodyPr>
                            </wps:wsp>
                            <pic:pic xmlns:pic="http://schemas.openxmlformats.org/drawingml/2006/picture">
                              <pic:nvPicPr>
                                <pic:cNvPr id="143" name="그림 20"/>
                                <pic:cNvPicPr>
                                  <a:picLocks noChangeAspect="1"/>
                                </pic:cNvPicPr>
                              </pic:nvPicPr>
                              <pic:blipFill>
                                <a:blip r:embed="rId154" cstate="print">
                                  <a:extLst>
                                    <a:ext uri="{28A0092B-C50C-407E-A947-70E740481C1C}">
                                      <a14:useLocalDpi xmlns:a14="http://schemas.microsoft.com/office/drawing/2010/main" val="0"/>
                                    </a:ext>
                                  </a:extLst>
                                </a:blip>
                                <a:srcRect/>
                                <a:stretch/>
                              </pic:blipFill>
                              <pic:spPr>
                                <a:xfrm>
                                  <a:off x="-19050" y="0"/>
                                  <a:ext cx="2094865" cy="4697730"/>
                                </a:xfrm>
                                <a:prstGeom prst="rect">
                                  <a:avLst/>
                                </a:prstGeom>
                                <a:ln>
                                  <a:solidFill>
                                    <a:schemeClr val="tx1"/>
                                  </a:solidFill>
                                </a:ln>
                              </pic:spPr>
                            </pic:pic>
                          </wpg:wgp>
                        </a:graphicData>
                      </a:graphic>
                      <wp14:sizeRelV relativeFrom="margin">
                        <wp14:pctHeight>0</wp14:pctHeight>
                      </wp14:sizeRelV>
                    </wp:anchor>
                  </w:drawing>
                </mc:Choice>
                <mc:Fallback>
                  <w:pict>
                    <v:group w14:anchorId="69BE213D" id="그룹 141" o:spid="_x0000_s1221" style="position:absolute;margin-left:6.1pt;margin-top:11.95pt;width:164.95pt;height:369.85pt;z-index:-251658156;mso-height-relative:margin" coordorigin="-190" coordsize="20948,48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">
                      <v:shape id="Text Box 15" o:spid="_x0000_s1222" type="#_x0000_t202" style="position:absolute;left:13231;top:47382;width:719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" stroked="f">
                        <v:textbox inset="0,0,0,0">
                          <w:txbxContent>
                            <w:p w14:paraId="0DEF6EA1" w14:textId="4155B2F6" w:rsidR="004A2986" w:rsidRDefault="004A2986" w:rsidP="0037407E">
                              <w:pPr>
                                <w:pStyle w:val="af0"/>
                                <w:jc w:val="right"/>
                                <w:rPr>
                                  <w:rFonts w:cs="Times New Roman"/>
                                  <w:noProof/>
                                </w:rPr>
                              </w:pPr>
                              <w:r>
                                <w:rPr>
                                  <w:rFonts w:ascii="Times New Roman" w:hAnsi="Times New Roman" w:cs="Times New Roman"/>
                                </w:rPr>
                                <w:t>J</w:t>
                              </w:r>
                              <w:r>
                                <w:rPr>
                                  <w:rFonts w:ascii="Times New Roman" w:eastAsia="Times New Roman" w:hAnsi="Times New Roman" w:cs="Times New Roman"/>
                                  <w:lang w:val="hu-HU"/>
                                </w:rPr>
                                <w:t>. ábra</w:t>
                              </w:r>
                            </w:p>
                          </w:txbxContent>
                        </v:textbox>
                      </v:shape>
                      <v:shape id="그림 20" o:spid="_x0000_s1223" type="#_x0000_t75" style="position:absolute;left:-190;width:20948;height:46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" stroked="t" strokecolor="black [3213]">
                        <v:imagedata r:id="rId155" o:title=""/>
                        <v:path arrowok="t"/>
                      </v:shape>
                      <w10:wrap type="tight"/>
                    </v:group>
                  </w:pict>
                </mc:Fallback>
              </mc:AlternateContent>
            </w:r>
          </w:p>
          <w:p w14:paraId="22CD2315" w14:textId="77777777" w:rsidR="0037407E" w:rsidRDefault="0037407E" w:rsidP="007E7849">
            <w:pPr>
              <w:pStyle w:val="Default"/>
              <w:rPr>
                <w:lang w:val="hu-HU"/>
              </w:rPr>
            </w:pPr>
            <w:r>
              <w:rPr>
                <w:lang w:val="hu-HU"/>
              </w:rPr>
              <w:t xml:space="preserve"> </w:t>
            </w:r>
          </w:p>
          <w:p w14:paraId="32C7902E" w14:textId="77777777" w:rsidR="0037407E" w:rsidRPr="005D79EA" w:rsidRDefault="0037407E" w:rsidP="00FD05AA">
            <w:pPr>
              <w:pStyle w:val="a3"/>
              <w:numPr>
                <w:ilvl w:val="0"/>
                <w:numId w:val="67"/>
              </w:numPr>
              <w:rPr>
                <w:b/>
                <w:lang w:val="hu-HU"/>
              </w:rPr>
            </w:pPr>
            <w:r w:rsidRPr="005D79EA">
              <w:rPr>
                <w:rFonts w:eastAsia="Times New Roman"/>
                <w:b/>
                <w:bCs/>
                <w:lang w:val="hu-HU"/>
              </w:rPr>
              <w:t xml:space="preserve">Az </w:t>
            </w:r>
            <w:r w:rsidRPr="001E2F31">
              <w:rPr>
                <w:rFonts w:eastAsia="Times New Roman"/>
                <w:b/>
                <w:lang w:val="hu-HU"/>
              </w:rPr>
              <w:t>injekció beadása</w:t>
            </w:r>
          </w:p>
          <w:p w14:paraId="2CF30D5A" w14:textId="77777777" w:rsidR="0037407E" w:rsidRDefault="0037407E" w:rsidP="007E7849">
            <w:pPr>
              <w:pStyle w:val="a3"/>
              <w:rPr>
                <w:lang w:val="hu-HU"/>
              </w:rPr>
            </w:pPr>
          </w:p>
          <w:p w14:paraId="03540AF8" w14:textId="050B1D05" w:rsidR="0037407E" w:rsidRDefault="0037407E" w:rsidP="007E7849">
            <w:pPr>
              <w:pStyle w:val="a3"/>
              <w:ind w:left="3960" w:hanging="3960"/>
              <w:rPr>
                <w:lang w:val="hu-HU"/>
              </w:rPr>
            </w:pPr>
            <w:r>
              <w:rPr>
                <w:rFonts w:eastAsia="Times New Roman"/>
                <w:b/>
                <w:bCs/>
                <w:lang w:val="hu-HU"/>
              </w:rPr>
              <w:t xml:space="preserve">     a. </w:t>
            </w:r>
            <w:r w:rsidRPr="005D79EA">
              <w:rPr>
                <w:rFonts w:eastAsia="Times New Roman"/>
                <w:b/>
                <w:bCs/>
                <w:lang w:val="hu-HU"/>
              </w:rPr>
              <w:t>H</w:t>
            </w:r>
            <w:r w:rsidRPr="001E2F31">
              <w:rPr>
                <w:rFonts w:eastAsia="Times New Roman"/>
                <w:b/>
                <w:lang w:val="hu-HU"/>
              </w:rPr>
              <w:t>atározottan</w:t>
            </w:r>
            <w:r>
              <w:rPr>
                <w:rFonts w:eastAsia="Times New Roman"/>
                <w:lang w:val="hu-HU"/>
              </w:rPr>
              <w:t xml:space="preserve"> nyomja az </w:t>
            </w:r>
            <w:r w:rsidRPr="001E2F31">
              <w:rPr>
                <w:rFonts w:eastAsia="Times New Roman"/>
                <w:bCs/>
                <w:lang w:val="hu-HU"/>
              </w:rPr>
              <w:t>előretöltött injekciós</w:t>
            </w:r>
            <w:r>
              <w:rPr>
                <w:rFonts w:eastAsia="Times New Roman"/>
                <w:b/>
                <w:bCs/>
                <w:lang w:val="hu-HU"/>
              </w:rPr>
              <w:t xml:space="preserve"> </w:t>
            </w:r>
            <w:r>
              <w:rPr>
                <w:rFonts w:eastAsia="Times New Roman"/>
                <w:lang w:val="hu-HU"/>
              </w:rPr>
              <w:t xml:space="preserve">tollat a bőrhöz. Az injekció beadásának megkezdésekor </w:t>
            </w:r>
            <w:r w:rsidR="005F5974">
              <w:rPr>
                <w:rFonts w:eastAsia="Times New Roman"/>
                <w:lang w:val="hu-HU"/>
              </w:rPr>
              <w:t>egy</w:t>
            </w:r>
            <w:r>
              <w:rPr>
                <w:rFonts w:eastAsia="Times New Roman"/>
                <w:lang w:val="hu-HU"/>
              </w:rPr>
              <w:t>. hangos „kattanás” hallatszik</w:t>
            </w:r>
            <w:r>
              <w:rPr>
                <w:lang w:val="hu-HU"/>
              </w:rPr>
              <w:t xml:space="preserve"> </w:t>
            </w:r>
            <w:r>
              <w:rPr>
                <w:rFonts w:eastAsia="Times New Roman"/>
                <w:lang w:val="hu-HU"/>
              </w:rPr>
              <w:t>és a kék dugattyúrúd elkezdi feltölteni a</w:t>
            </w:r>
            <w:r>
              <w:rPr>
                <w:lang w:val="hu-HU"/>
              </w:rPr>
              <w:t xml:space="preserve"> kijelző </w:t>
            </w:r>
            <w:r>
              <w:rPr>
                <w:rFonts w:eastAsia="Times New Roman"/>
                <w:lang w:val="hu-HU"/>
              </w:rPr>
              <w:t>ablakot.</w:t>
            </w:r>
          </w:p>
          <w:p w14:paraId="4A357454" w14:textId="77777777" w:rsidR="0037407E" w:rsidRDefault="0037407E" w:rsidP="007E7849">
            <w:pPr>
              <w:pStyle w:val="a3"/>
              <w:rPr>
                <w:lang w:val="hu-HU"/>
              </w:rPr>
            </w:pPr>
            <w:r>
              <w:rPr>
                <w:lang w:val="hu-HU"/>
              </w:rPr>
              <w:t xml:space="preserve"> </w:t>
            </w:r>
          </w:p>
          <w:p w14:paraId="7FBCA91C" w14:textId="1665049D" w:rsidR="0037407E" w:rsidRDefault="0037407E" w:rsidP="007E7849">
            <w:pPr>
              <w:pStyle w:val="a3"/>
              <w:numPr>
                <w:ilvl w:val="0"/>
                <w:numId w:val="0"/>
              </w:numPr>
              <w:ind w:left="3960" w:hanging="3960"/>
              <w:rPr>
                <w:lang w:val="hu-HU"/>
              </w:rPr>
            </w:pPr>
            <w:r>
              <w:rPr>
                <w:rFonts w:eastAsia="Times New Roman"/>
                <w:b/>
                <w:bCs/>
                <w:lang w:val="hu-HU"/>
              </w:rPr>
              <w:t xml:space="preserve">     b. T</w:t>
            </w:r>
            <w:r>
              <w:rPr>
                <w:rFonts w:eastAsia="Times New Roman"/>
                <w:lang w:val="hu-HU"/>
              </w:rPr>
              <w:t xml:space="preserve">artsa az előretöltött injekciós  tollat szorosan a bőrhöz nyomva, amíg meg nem hallja a </w:t>
            </w:r>
            <w:r w:rsidR="005F5974">
              <w:rPr>
                <w:rFonts w:eastAsia="Times New Roman"/>
                <w:lang w:val="hu-HU"/>
              </w:rPr>
              <w:t>második</w:t>
            </w:r>
            <w:r>
              <w:rPr>
                <w:rFonts w:eastAsia="Times New Roman"/>
                <w:lang w:val="hu-HU"/>
              </w:rPr>
              <w:t xml:space="preserve"> hangos „kattanást”.</w:t>
            </w:r>
          </w:p>
          <w:p w14:paraId="03B08BEA" w14:textId="77777777" w:rsidR="0037407E" w:rsidRDefault="0037407E" w:rsidP="007E7849">
            <w:pPr>
              <w:pStyle w:val="a3"/>
              <w:numPr>
                <w:ilvl w:val="0"/>
                <w:numId w:val="0"/>
              </w:numPr>
              <w:rPr>
                <w:lang w:val="hu-HU"/>
              </w:rPr>
            </w:pPr>
          </w:p>
          <w:p w14:paraId="26F4437C" w14:textId="7CDEEC9F" w:rsidR="0037407E" w:rsidRDefault="0037407E" w:rsidP="007E7849">
            <w:pPr>
              <w:pStyle w:val="a3"/>
              <w:ind w:left="3960" w:hanging="3960"/>
              <w:rPr>
                <w:lang w:val="hu-HU"/>
              </w:rPr>
            </w:pPr>
            <w:r>
              <w:rPr>
                <w:rFonts w:asciiTheme="minorHAnsi" w:hAnsiTheme="minorHAnsi" w:cstheme="minorBidi"/>
                <w:noProof/>
                <w:lang w:eastAsia="ko-KR"/>
              </w:rPr>
              <mc:AlternateContent>
                <mc:Choice Requires="wps">
                  <w:drawing>
                    <wp:anchor distT="0" distB="0" distL="114300" distR="114300" simplePos="0" relativeHeight="251658302" behindDoc="0" locked="0" layoutInCell="1" allowOverlap="1" wp14:anchorId="3F311DD0" wp14:editId="5A517958">
                      <wp:simplePos x="0" y="0"/>
                      <wp:positionH relativeFrom="column">
                        <wp:posOffset>-2043430</wp:posOffset>
                      </wp:positionH>
                      <wp:positionV relativeFrom="paragraph">
                        <wp:posOffset>590550</wp:posOffset>
                      </wp:positionV>
                      <wp:extent cx="810895" cy="828040"/>
                      <wp:effectExtent l="19050" t="19050" r="27305" b="10160"/>
                      <wp:wrapNone/>
                      <wp:docPr id="144" name="12-Point Star 10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0895" cy="828040"/>
                              </a:xfrm>
                              <a:prstGeom prst="star12">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FDD00F" w14:textId="77777777" w:rsidR="004A2986" w:rsidRDefault="004A2986" w:rsidP="0037407E">
                                  <w:pPr>
                                    <w:jc w:val="center"/>
                                    <w:rPr>
                                      <w:rFonts w:asciiTheme="majorBidi" w:hAnsiTheme="majorBidi" w:cstheme="majorBidi"/>
                                      <w:sz w:val="28"/>
                                      <w:szCs w:val="28"/>
                                    </w:rPr>
                                  </w:pPr>
                                  <w:r>
                                    <w:rPr>
                                      <w:rFonts w:ascii="Times New Roman" w:eastAsia="Times New Roman" w:hAnsi="Times New Roman" w:cs="Times New Roman"/>
                                      <w:sz w:val="28"/>
                                      <w:szCs w:val="28"/>
                                      <w:lang w:val="hu-HU"/>
                                    </w:rPr>
                                    <w:t xml:space="preserve">2. </w:t>
                                  </w:r>
                                  <w:r>
                                    <w:rPr>
                                      <w:rFonts w:ascii="Times New Roman" w:eastAsia="Times New Roman" w:hAnsi="Times New Roman" w:cs="Times New Roman"/>
                                      <w:sz w:val="28"/>
                                      <w:szCs w:val="28"/>
                                      <w:lang w:val="hu-HU"/>
                                    </w:rPr>
                                    <w:t>kattantás</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3F311DD0" id="_x0000_s1224" style="position:absolute;left:0;text-align:left;margin-left:-160.9pt;margin-top:46.5pt;width:63.85pt;height:65.2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810895,828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" adj="-11796480,,5400" path="m,414020l111723,333653,54320,207010,190426,194453,202724,55468r124020,58618l405448,r78703,114086l608171,55468r12298,138985l756575,207010,699172,333653r111723,80367l699172,494387r57403,126643l620469,633587,608171,772572,484151,713954,405448,828040,326744,713954,202724,772572,190426,633587,54320,621030,111723,494387,,414020xe" fillcolor="black [3213]" strokecolor="black [3213]" strokeweight="2pt">
                      <v:stroke joinstyle="miter"/>
                      <v:formulas/>
                      <v:path arrowok="t" o:connecttype="custom" o:connectlocs="0,414020;111723,333653;54320,207010;190426,194453;202724,55468;326744,114086;405448,0;484151,114086;608171,55468;620469,194453;756575,207010;699172,333653;810895,414020;699172,494387;756575,621030;620469,633587;608171,772572;484151,713954;405448,828040;326744,713954;202724,772572;190426,633587;54320,621030;111723,494387;0,414020" o:connectangles="0,0,0,0,0,0,0,0,0,0,0,0,0,0,0,0,0,0,0,0,0,0,0,0,0" textboxrect="0,0,810895,828040"/>
                      <v:textbox inset="0,0,0,0">
                        <w:txbxContent>
                          <w:p w14:paraId="36FDD00F" w14:textId="77777777" w:rsidR="004A2986" w:rsidRDefault="004A2986" w:rsidP="0037407E">
                            <w:pPr>
                              <w:jc w:val="center"/>
                              <w:rPr>
                                <w:rFonts w:asciiTheme="majorBidi" w:hAnsiTheme="majorBidi" w:cstheme="majorBidi"/>
                                <w:sz w:val="28"/>
                                <w:szCs w:val="28"/>
                              </w:rPr>
                            </w:pPr>
                            <w:r>
                              <w:rPr>
                                <w:rFonts w:ascii="Times New Roman" w:eastAsia="Times New Roman" w:hAnsi="Times New Roman" w:cs="Times New Roman"/>
                                <w:sz w:val="28"/>
                                <w:szCs w:val="28"/>
                                <w:lang w:val="hu-HU"/>
                              </w:rPr>
                              <w:t xml:space="preserve">2. </w:t>
                            </w:r>
                            <w:r>
                              <w:rPr>
                                <w:rFonts w:ascii="Times New Roman" w:eastAsia="Times New Roman" w:hAnsi="Times New Roman" w:cs="Times New Roman"/>
                                <w:sz w:val="28"/>
                                <w:szCs w:val="28"/>
                                <w:lang w:val="hu-HU"/>
                              </w:rPr>
                              <w:t>kattantás</w:t>
                            </w:r>
                          </w:p>
                        </w:txbxContent>
                      </v:textbox>
                    </v:shape>
                  </w:pict>
                </mc:Fallback>
              </mc:AlternateContent>
            </w:r>
            <w:r>
              <w:rPr>
                <w:rFonts w:eastAsia="Times New Roman"/>
                <w:b/>
                <w:bCs/>
                <w:lang w:val="hu-HU"/>
              </w:rPr>
              <w:t xml:space="preserve">     c. M</w:t>
            </w:r>
            <w:r>
              <w:rPr>
                <w:rFonts w:eastAsia="Times New Roman"/>
                <w:lang w:val="hu-HU"/>
              </w:rPr>
              <w:t xml:space="preserve">iután meghallja a </w:t>
            </w:r>
            <w:r w:rsidR="005F5974">
              <w:rPr>
                <w:rFonts w:eastAsia="Times New Roman"/>
                <w:lang w:val="hu-HU"/>
              </w:rPr>
              <w:t>második</w:t>
            </w:r>
            <w:r>
              <w:rPr>
                <w:rFonts w:eastAsia="Times New Roman"/>
                <w:lang w:val="hu-HU"/>
              </w:rPr>
              <w:t>. hangos „kattanást”, továbbra is nyomja határozottan a bőrhöz</w:t>
            </w:r>
            <w:r>
              <w:rPr>
                <w:lang w:val="hu-HU"/>
              </w:rPr>
              <w:t xml:space="preserve"> </w:t>
            </w:r>
            <w:r>
              <w:rPr>
                <w:rFonts w:eastAsia="Times New Roman"/>
                <w:lang w:val="hu-HU"/>
              </w:rPr>
              <w:t xml:space="preserve">az előretöltött injekciós tollat , és lassan számoljon el </w:t>
            </w:r>
            <w:r w:rsidR="005F5974">
              <w:rPr>
                <w:rFonts w:eastAsia="Times New Roman"/>
                <w:lang w:val="hu-HU"/>
              </w:rPr>
              <w:t>öt</w:t>
            </w:r>
            <w:r>
              <w:rPr>
                <w:rFonts w:eastAsia="Times New Roman"/>
                <w:lang w:val="hu-HU"/>
              </w:rPr>
              <w:t>-ig, hogy biztosan beadja a teljes adagot.</w:t>
            </w:r>
            <w:r>
              <w:rPr>
                <w:rFonts w:eastAsia="Times New Roman"/>
                <w:color w:val="211D1E"/>
                <w:sz w:val="20"/>
                <w:szCs w:val="20"/>
                <w:lang w:val="hu-HU"/>
              </w:rPr>
              <w:t xml:space="preserve"> </w:t>
            </w:r>
          </w:p>
          <w:p w14:paraId="03CDBDB9" w14:textId="77777777" w:rsidR="0037407E" w:rsidRDefault="0037407E" w:rsidP="007E7849">
            <w:pPr>
              <w:pStyle w:val="a3"/>
              <w:rPr>
                <w:color w:val="211D1E"/>
                <w:sz w:val="20"/>
                <w:szCs w:val="20"/>
                <w:lang w:val="hu-HU"/>
              </w:rPr>
            </w:pPr>
          </w:p>
          <w:p w14:paraId="06F4153D" w14:textId="77777777" w:rsidR="0037407E" w:rsidRDefault="0037407E" w:rsidP="007E7849">
            <w:pPr>
              <w:pStyle w:val="a3"/>
              <w:rPr>
                <w:color w:val="211D1E"/>
                <w:sz w:val="20"/>
                <w:szCs w:val="20"/>
                <w:lang w:val="hu-HU"/>
              </w:rPr>
            </w:pPr>
          </w:p>
          <w:p w14:paraId="5CDF6D05" w14:textId="77777777" w:rsidR="0037407E" w:rsidRDefault="0037407E" w:rsidP="007E7849">
            <w:pPr>
              <w:pStyle w:val="a3"/>
              <w:numPr>
                <w:ilvl w:val="0"/>
                <w:numId w:val="19"/>
              </w:numPr>
              <w:ind w:left="4410" w:hanging="3786"/>
              <w:rPr>
                <w:color w:val="211D1E"/>
                <w:sz w:val="20"/>
                <w:szCs w:val="20"/>
                <w:lang w:val="hu-HU"/>
              </w:rPr>
            </w:pPr>
            <w:r>
              <w:rPr>
                <w:rFonts w:eastAsia="Times New Roman"/>
                <w:b/>
                <w:bCs/>
                <w:lang w:val="hu-HU"/>
              </w:rPr>
              <w:t xml:space="preserve">Az </w:t>
            </w:r>
            <w:r>
              <w:rPr>
                <w:rFonts w:eastAsia="Times New Roman"/>
                <w:lang w:val="hu-HU"/>
              </w:rPr>
              <w:t>injekció beadása után ne változtassa meg az előretöltött injekciós toll helyzetét.</w:t>
            </w:r>
          </w:p>
          <w:p w14:paraId="02664AF0" w14:textId="77777777" w:rsidR="0037407E" w:rsidRDefault="0037407E" w:rsidP="007E7849">
            <w:pPr>
              <w:pStyle w:val="a3"/>
              <w:rPr>
                <w:color w:val="211D1E"/>
                <w:sz w:val="20"/>
                <w:szCs w:val="20"/>
                <w:lang w:val="hu-HU"/>
              </w:rPr>
            </w:pPr>
          </w:p>
        </w:tc>
      </w:tr>
      <w:tr w:rsidR="0037407E" w:rsidRPr="00BE4D18" w14:paraId="2AD13D36" w14:textId="77777777" w:rsidTr="009C7DB8">
        <w:trPr>
          <w:trHeight w:val="6463"/>
        </w:trPr>
        <w:tc>
          <w:tcPr>
            <w:tcW w:w="9550" w:type="dxa"/>
          </w:tcPr>
          <w:p w14:paraId="4FEE5F5B" w14:textId="77777777" w:rsidR="0037407E" w:rsidRDefault="0037407E" w:rsidP="007E7849">
            <w:pPr>
              <w:ind w:left="104"/>
              <w:rPr>
                <w:rFonts w:ascii="Times New Roman" w:eastAsia="Times New Roman" w:hAnsi="Times New Roman" w:cs="Times New Roman"/>
                <w:b/>
                <w:bCs/>
                <w:spacing w:val="-1"/>
                <w:lang w:val="hu-HU"/>
              </w:rPr>
            </w:pPr>
          </w:p>
          <w:p w14:paraId="06CD1196" w14:textId="77777777" w:rsidR="0037407E" w:rsidRDefault="0037407E" w:rsidP="007E7849">
            <w:pPr>
              <w:ind w:left="104"/>
              <w:rPr>
                <w:rFonts w:ascii="Times New Roman" w:eastAsia="Times New Roman" w:hAnsi="Times New Roman" w:cs="Times New Roman"/>
                <w:lang w:val="hu-HU"/>
              </w:rPr>
            </w:pPr>
          </w:p>
          <w:p w14:paraId="04284DB6" w14:textId="77777777" w:rsidR="0037407E" w:rsidRDefault="0037407E" w:rsidP="007E7849">
            <w:pPr>
              <w:pStyle w:val="a3"/>
              <w:rPr>
                <w:lang w:val="hu-HU"/>
              </w:rPr>
            </w:pPr>
            <w:r>
              <w:rPr>
                <w:noProof/>
                <w:lang w:eastAsia="ko-KR"/>
              </w:rPr>
              <mc:AlternateContent>
                <mc:Choice Requires="wpg">
                  <w:drawing>
                    <wp:anchor distT="0" distB="0" distL="114300" distR="114300" simplePos="0" relativeHeight="251658284" behindDoc="0" locked="0" layoutInCell="1" allowOverlap="1" wp14:anchorId="02A91B6F" wp14:editId="5FD448A3">
                      <wp:simplePos x="0" y="0"/>
                      <wp:positionH relativeFrom="column">
                        <wp:posOffset>25400</wp:posOffset>
                      </wp:positionH>
                      <wp:positionV relativeFrom="paragraph">
                        <wp:posOffset>59690</wp:posOffset>
                      </wp:positionV>
                      <wp:extent cx="2065655" cy="2397760"/>
                      <wp:effectExtent l="19050" t="19050" r="10795" b="2540"/>
                      <wp:wrapSquare wrapText="bothSides"/>
                      <wp:docPr id="145" name="그룹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65655" cy="2397760"/>
                                <a:chOff x="0" y="248"/>
                                <a:chExt cx="19050" cy="22231"/>
                              </a:xfrm>
                            </wpg:grpSpPr>
                            <pic:pic xmlns:pic="http://schemas.openxmlformats.org/drawingml/2006/picture">
                              <pic:nvPicPr>
                                <pic:cNvPr id="146" name="그림 172"/>
                                <pic:cNvPicPr>
                                  <a:picLocks noChangeAspect="1"/>
                                </pic:cNvPicPr>
                              </pic:nvPicPr>
                              <pic:blipFill>
                                <a:blip r:embed="rId156" cstate="print">
                                  <a:extLst>
                                    <a:ext uri="{28A0092B-C50C-407E-A947-70E740481C1C}">
                                      <a14:useLocalDpi xmlns:a14="http://schemas.microsoft.com/office/drawing/2010/main" val="0"/>
                                    </a:ext>
                                  </a:extLst>
                                </a:blip>
                                <a:srcRect/>
                                <a:stretch/>
                              </pic:blipFill>
                              <pic:spPr bwMode="auto">
                                <a:xfrm>
                                  <a:off x="0" y="248"/>
                                  <a:ext cx="19050" cy="20427"/>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pic:spPr>
                            </pic:pic>
                            <wps:wsp>
                              <wps:cNvPr id="147" name="Text Box 16"/>
                              <wps:cNvSpPr txBox="1">
                                <a:spLocks noChangeArrowheads="1"/>
                              </wps:cNvSpPr>
                              <wps:spPr bwMode="auto">
                                <a:xfrm>
                                  <a:off x="13335" y="21082"/>
                                  <a:ext cx="5715" cy="1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A735A5" w14:textId="3DF2498E" w:rsidR="004A2986" w:rsidRDefault="004A2986" w:rsidP="0037407E">
                                    <w:pPr>
                                      <w:pStyle w:val="af0"/>
                                      <w:jc w:val="right"/>
                                      <w:rPr>
                                        <w:noProof/>
                                      </w:rPr>
                                    </w:pPr>
                                    <w:r>
                                      <w:rPr>
                                        <w:rFonts w:ascii="Times New Roman" w:hAnsi="Times New Roman" w:cs="Times New Roman"/>
                                      </w:rPr>
                                      <w:t xml:space="preserve">K. </w:t>
                                    </w:r>
                                    <w:r>
                                      <w:rPr>
                                        <w:rFonts w:ascii="Times New Roman" w:eastAsia="Times New Roman" w:hAnsi="Times New Roman" w:cs="Times New Roman"/>
                                        <w:lang w:val="hu-HU"/>
                                      </w:rPr>
                                      <w:t>ábra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A91B6F" id="_x0000_s1225" style="position:absolute;margin-left:2pt;margin-top:4.7pt;width:162.65pt;height:188.8pt;z-index:251658284" coordorigin=",248" coordsize="19050,22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">
                      <v:shape id="그림 172" o:spid="_x0000_s1226" type="#_x0000_t75" style="position:absolute;top:248;width:19050;height:20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" stroked="t" strokecolor="black [3213]">
                        <v:imagedata r:id="rId157" o:title=""/>
                        <v:path arrowok="t"/>
                      </v:shape>
                      <v:shape id="Text Box 16" o:spid="_x0000_s1227" type="#_x0000_t202" style="position:absolute;left:13335;top:21082;width:571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" stroked="f">
                        <v:textbox inset="0,0,0,0">
                          <w:txbxContent>
                            <w:p w14:paraId="69A735A5" w14:textId="3DF2498E" w:rsidR="004A2986" w:rsidRDefault="004A2986" w:rsidP="0037407E">
                              <w:pPr>
                                <w:pStyle w:val="af0"/>
                                <w:jc w:val="right"/>
                                <w:rPr>
                                  <w:noProof/>
                                </w:rPr>
                              </w:pPr>
                              <w:r>
                                <w:rPr>
                                  <w:rFonts w:ascii="Times New Roman" w:hAnsi="Times New Roman" w:cs="Times New Roman"/>
                                </w:rPr>
                                <w:t xml:space="preserve">K. </w:t>
                              </w:r>
                              <w:r>
                                <w:rPr>
                                  <w:rFonts w:ascii="Times New Roman" w:eastAsia="Times New Roman" w:hAnsi="Times New Roman" w:cs="Times New Roman"/>
                                  <w:lang w:val="hu-HU"/>
                                </w:rPr>
                                <w:t>ábra</w:t>
                              </w:r>
                            </w:p>
                          </w:txbxContent>
                        </v:textbox>
                      </v:shape>
                      <w10:wrap type="square"/>
                    </v:group>
                  </w:pict>
                </mc:Fallback>
              </mc:AlternateContent>
            </w:r>
          </w:p>
          <w:p w14:paraId="1939E4A9" w14:textId="77777777" w:rsidR="0037407E" w:rsidRDefault="0037407E" w:rsidP="00FD05AA">
            <w:pPr>
              <w:pStyle w:val="a3"/>
              <w:numPr>
                <w:ilvl w:val="0"/>
                <w:numId w:val="67"/>
              </w:numPr>
              <w:rPr>
                <w:b/>
                <w:lang w:val="hu-HU"/>
              </w:rPr>
            </w:pPr>
            <w:r>
              <w:rPr>
                <w:rFonts w:eastAsia="Times New Roman"/>
                <w:b/>
                <w:bCs/>
                <w:lang w:val="hu-HU"/>
              </w:rPr>
              <w:t>Távolítsa el előretöltött injekciós tollat az injekció beadási helyéről és lássa el az injekció beadási helyét</w:t>
            </w:r>
          </w:p>
          <w:p w14:paraId="5D05DAF2" w14:textId="77777777" w:rsidR="0037407E" w:rsidRDefault="0037407E" w:rsidP="007E7849">
            <w:pPr>
              <w:pStyle w:val="a3"/>
              <w:numPr>
                <w:ilvl w:val="0"/>
                <w:numId w:val="0"/>
              </w:numPr>
              <w:ind w:left="471"/>
              <w:rPr>
                <w:b/>
                <w:lang w:val="hu-HU"/>
              </w:rPr>
            </w:pPr>
          </w:p>
          <w:p w14:paraId="44AD4E8E" w14:textId="77777777" w:rsidR="0037407E" w:rsidRDefault="0037407E" w:rsidP="007E7849">
            <w:pPr>
              <w:pStyle w:val="a3"/>
              <w:ind w:left="3780" w:hanging="3780"/>
              <w:rPr>
                <w:lang w:val="hu-HU"/>
              </w:rPr>
            </w:pPr>
            <w:r>
              <w:rPr>
                <w:rFonts w:eastAsia="Times New Roman"/>
                <w:b/>
                <w:bCs/>
                <w:lang w:val="hu-HU"/>
              </w:rPr>
              <w:t xml:space="preserve">     a. </w:t>
            </w:r>
            <w:r>
              <w:rPr>
                <w:rFonts w:eastAsia="Times New Roman"/>
                <w:lang w:val="hu-HU"/>
              </w:rPr>
              <w:t>Nézze meg az előretöltött tollat, és ellenőrizze, hogy szürke tetejű kék dugattyúrúd teljesen feltölti-e a kijelző ablakot.</w:t>
            </w:r>
          </w:p>
          <w:p w14:paraId="47AB72DB" w14:textId="77777777" w:rsidR="0037407E" w:rsidRDefault="0037407E" w:rsidP="007E7849">
            <w:pPr>
              <w:pStyle w:val="a3"/>
              <w:ind w:left="3780" w:hanging="3780"/>
              <w:rPr>
                <w:lang w:val="hu-HU"/>
              </w:rPr>
            </w:pPr>
            <w:r>
              <w:rPr>
                <w:rFonts w:eastAsia="Times New Roman"/>
                <w:b/>
                <w:bCs/>
                <w:lang w:val="hu-HU"/>
              </w:rPr>
              <w:t xml:space="preserve">     b. </w:t>
            </w:r>
            <w:r>
              <w:rPr>
                <w:rFonts w:eastAsia="Times New Roman"/>
                <w:lang w:val="hu-HU"/>
              </w:rPr>
              <w:t>Távolítsa el az előretöltött fecskendőt a bőréről.</w:t>
            </w:r>
          </w:p>
          <w:p w14:paraId="17620A29" w14:textId="77777777" w:rsidR="0037407E" w:rsidRDefault="0037407E" w:rsidP="007E7849">
            <w:pPr>
              <w:pStyle w:val="a3"/>
              <w:rPr>
                <w:lang w:val="hu-HU"/>
              </w:rPr>
            </w:pPr>
          </w:p>
          <w:p w14:paraId="272C8F21" w14:textId="77777777" w:rsidR="0037407E" w:rsidRDefault="0037407E" w:rsidP="007E7849">
            <w:pPr>
              <w:pStyle w:val="a3"/>
              <w:numPr>
                <w:ilvl w:val="0"/>
                <w:numId w:val="0"/>
              </w:numPr>
              <w:tabs>
                <w:tab w:val="left" w:pos="3153"/>
                <w:tab w:val="left" w:pos="3294"/>
              </w:tabs>
              <w:rPr>
                <w:rFonts w:asciiTheme="majorBidi" w:hAnsiTheme="majorBidi" w:cstheme="majorBidi"/>
                <w:lang w:val="hu-HU"/>
              </w:rPr>
            </w:pPr>
            <w:r>
              <w:rPr>
                <w:rFonts w:asciiTheme="majorBidi" w:eastAsia="맑은 고딕" w:hAnsiTheme="majorBidi" w:cstheme="majorBidi"/>
                <w:lang w:val="hu-HU"/>
              </w:rPr>
              <w:t xml:space="preserve">• Miután </w:t>
            </w:r>
            <w:r>
              <w:rPr>
                <w:rFonts w:asciiTheme="majorBidi" w:eastAsia="Times New Roman" w:hAnsiTheme="majorBidi" w:cstheme="majorBidi"/>
                <w:lang w:val="hu-HU"/>
              </w:rPr>
              <w:t xml:space="preserve">eltávolította </w:t>
            </w:r>
            <w:r>
              <w:rPr>
                <w:rFonts w:asciiTheme="majorBidi" w:eastAsia="맑은 고딕" w:hAnsiTheme="majorBidi" w:cstheme="majorBidi"/>
                <w:lang w:val="hu-HU"/>
              </w:rPr>
              <w:t xml:space="preserve">az </w:t>
            </w:r>
            <w:r>
              <w:rPr>
                <w:rFonts w:asciiTheme="majorBidi" w:eastAsia="Times New Roman" w:hAnsiTheme="majorBidi" w:cstheme="majorBidi"/>
                <w:lang w:val="hu-HU"/>
              </w:rPr>
              <w:t>előretöltött tollat</w:t>
            </w:r>
            <w:r>
              <w:rPr>
                <w:rFonts w:asciiTheme="majorBidi" w:eastAsia="맑은 고딕" w:hAnsiTheme="majorBidi" w:cstheme="majorBidi"/>
                <w:lang w:val="hu-HU"/>
              </w:rPr>
              <w:t xml:space="preserve"> az</w:t>
            </w:r>
            <w:r>
              <w:rPr>
                <w:rFonts w:asciiTheme="majorBidi" w:eastAsia="Times New Roman" w:hAnsiTheme="majorBidi" w:cstheme="majorBidi"/>
                <w:lang w:val="hu-HU"/>
              </w:rPr>
              <w:t xml:space="preserve"> injekció beadási helyéről,</w:t>
            </w:r>
            <w:r>
              <w:rPr>
                <w:rFonts w:asciiTheme="majorBidi" w:eastAsia="맑은 고딕" w:hAnsiTheme="majorBidi" w:cstheme="majorBidi"/>
                <w:lang w:val="hu-HU"/>
              </w:rPr>
              <w:t xml:space="preserve"> a </w:t>
            </w:r>
            <w:r>
              <w:rPr>
                <w:rFonts w:asciiTheme="majorBidi" w:eastAsia="Times New Roman" w:hAnsiTheme="majorBidi" w:cstheme="majorBidi"/>
                <w:lang w:val="hu-HU"/>
              </w:rPr>
              <w:t xml:space="preserve">tűvédő </w:t>
            </w:r>
            <w:r>
              <w:rPr>
                <w:rFonts w:asciiTheme="majorBidi" w:eastAsia="맑은 고딕" w:hAnsiTheme="majorBidi" w:cstheme="majorBidi"/>
                <w:lang w:val="hu-HU"/>
              </w:rPr>
              <w:t>automatikusan befedi a tűt. N</w:t>
            </w:r>
            <w:r>
              <w:rPr>
                <w:rFonts w:asciiTheme="majorBidi" w:eastAsia="Times New Roman" w:hAnsiTheme="majorBidi" w:cstheme="majorBidi"/>
                <w:b/>
                <w:bCs/>
                <w:lang w:val="hu-HU"/>
              </w:rPr>
              <w:t>e</w:t>
            </w:r>
            <w:r>
              <w:rPr>
                <w:rFonts w:asciiTheme="majorBidi" w:eastAsia="Times New Roman" w:hAnsiTheme="majorBidi" w:cstheme="majorBidi"/>
                <w:lang w:val="hu-HU"/>
              </w:rPr>
              <w:t xml:space="preserve"> tegye vissza a tűvédő tokot a tollra.</w:t>
            </w:r>
          </w:p>
          <w:p w14:paraId="737B9C5C" w14:textId="77777777" w:rsidR="0037407E" w:rsidRDefault="0037407E" w:rsidP="007E7849">
            <w:pPr>
              <w:pStyle w:val="a3"/>
              <w:rPr>
                <w:lang w:val="hu-HU"/>
              </w:rPr>
            </w:pPr>
          </w:p>
          <w:p w14:paraId="682A582D" w14:textId="77777777" w:rsidR="0037407E" w:rsidRDefault="0037407E" w:rsidP="007E7849">
            <w:pPr>
              <w:pStyle w:val="a3"/>
              <w:rPr>
                <w:lang w:val="hu-HU"/>
              </w:rPr>
            </w:pPr>
          </w:p>
          <w:p w14:paraId="3B859FC6" w14:textId="77777777" w:rsidR="0037407E" w:rsidRDefault="0037407E" w:rsidP="007E7849">
            <w:pPr>
              <w:pStyle w:val="a3"/>
              <w:rPr>
                <w:lang w:val="hu-HU"/>
              </w:rPr>
            </w:pPr>
            <w:r>
              <w:rPr>
                <w:noProof/>
                <w:lang w:eastAsia="ko-KR"/>
              </w:rPr>
              <mc:AlternateContent>
                <mc:Choice Requires="wpg">
                  <w:drawing>
                    <wp:anchor distT="0" distB="0" distL="114300" distR="114300" simplePos="0" relativeHeight="251658316" behindDoc="1" locked="0" layoutInCell="1" allowOverlap="1" wp14:anchorId="652672A3" wp14:editId="2A678133">
                      <wp:simplePos x="0" y="0"/>
                      <wp:positionH relativeFrom="column">
                        <wp:posOffset>8255</wp:posOffset>
                      </wp:positionH>
                      <wp:positionV relativeFrom="paragraph">
                        <wp:posOffset>507341</wp:posOffset>
                      </wp:positionV>
                      <wp:extent cx="2087245" cy="1940560"/>
                      <wp:effectExtent l="19050" t="19050" r="8255" b="2540"/>
                      <wp:wrapTight wrapText="bothSides">
                        <wp:wrapPolygon edited="0">
                          <wp:start x="-197" y="-212"/>
                          <wp:lineTo x="-197" y="18872"/>
                          <wp:lineTo x="14983" y="20144"/>
                          <wp:lineTo x="14983" y="21416"/>
                          <wp:lineTo x="21488" y="21416"/>
                          <wp:lineTo x="21488" y="-212"/>
                          <wp:lineTo x="-197" y="-212"/>
                        </wp:wrapPolygon>
                      </wp:wrapTight>
                      <wp:docPr id="148" name="그룹 148"/>
                      <wp:cNvGraphicFramePr/>
                      <a:graphic xmlns:a="http://schemas.openxmlformats.org/drawingml/2006/main">
                        <a:graphicData uri="http://schemas.microsoft.com/office/word/2010/wordprocessingGroup">
                          <wpg:wgp>
                            <wpg:cNvGrpSpPr/>
                            <wpg:grpSpPr>
                              <a:xfrm>
                                <a:off x="0" y="0"/>
                                <a:ext cx="2087245" cy="1940560"/>
                                <a:chOff x="0" y="0"/>
                                <a:chExt cx="1917717" cy="1824955"/>
                              </a:xfrm>
                            </wpg:grpSpPr>
                            <wps:wsp>
                              <wps:cNvPr id="149" name="Text Box 17"/>
                              <wps:cNvSpPr txBox="1">
                                <a:spLocks noChangeArrowheads="1"/>
                              </wps:cNvSpPr>
                              <wps:spPr bwMode="auto">
                                <a:xfrm>
                                  <a:off x="1371600" y="1593850"/>
                                  <a:ext cx="546117" cy="231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B63B2F" w14:textId="7E1CBCB6" w:rsidR="004A2986" w:rsidRDefault="004A2986" w:rsidP="0037407E">
                                    <w:pPr>
                                      <w:pStyle w:val="af0"/>
                                      <w:jc w:val="right"/>
                                      <w:rPr>
                                        <w:noProof/>
                                      </w:rPr>
                                    </w:pPr>
                                    <w:r>
                                      <w:rPr>
                                        <w:rFonts w:ascii="Times New Roman" w:hAnsi="Times New Roman" w:cs="Times New Roman"/>
                                      </w:rPr>
                                      <w:t xml:space="preserve">L. </w:t>
                                    </w:r>
                                    <w:r>
                                      <w:rPr>
                                        <w:rFonts w:ascii="Times New Roman" w:eastAsia="Times New Roman" w:hAnsi="Times New Roman" w:cs="Times New Roman"/>
                                        <w:lang w:val="hu-HU"/>
                                      </w:rPr>
                                      <w:t>ábra</w:t>
                                    </w:r>
                                  </w:p>
                                </w:txbxContent>
                              </wps:txbx>
                              <wps:bodyPr rot="0" vert="horz" wrap="square" lIns="0" tIns="0" rIns="0" bIns="0" anchor="t" anchorCtr="0" upright="1">
                                <a:noAutofit/>
                              </wps:bodyPr>
                            </wps:wsp>
                            <pic:pic xmlns:pic="http://schemas.openxmlformats.org/drawingml/2006/picture">
                              <pic:nvPicPr>
                                <pic:cNvPr id="150" name="그림 1"/>
                                <pic:cNvPicPr>
                                  <a:picLocks noChangeAspect="1"/>
                                </pic:cNvPicPr>
                              </pic:nvPicPr>
                              <pic:blipFill>
                                <a:blip r:embed="rId158" cstate="print">
                                  <a:extLst>
                                    <a:ext uri="{28A0092B-C50C-407E-A947-70E740481C1C}">
                                      <a14:useLocalDpi xmlns:a14="http://schemas.microsoft.com/office/drawing/2010/main" val="0"/>
                                    </a:ext>
                                  </a:extLst>
                                </a:blip>
                                <a:srcRect/>
                                <a:stretch/>
                              </pic:blipFill>
                              <pic:spPr>
                                <a:xfrm>
                                  <a:off x="0" y="0"/>
                                  <a:ext cx="1915160" cy="159385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652672A3" id="그룹 148" o:spid="_x0000_s1228" style="position:absolute;margin-left:.65pt;margin-top:39.95pt;width:164.35pt;height:152.8pt;z-index:-251658164;mso-width-relative:margin;mso-height-relative:margin" coordsize="19177,18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">
                      <v:shape id="Text Box 17" o:spid="_x0000_s1229" type="#_x0000_t202" style="position:absolute;left:13716;top:15938;width:5461;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" stroked="f">
                        <v:textbox inset="0,0,0,0">
                          <w:txbxContent>
                            <w:p w14:paraId="7EB63B2F" w14:textId="7E1CBCB6" w:rsidR="004A2986" w:rsidRDefault="004A2986" w:rsidP="0037407E">
                              <w:pPr>
                                <w:pStyle w:val="af0"/>
                                <w:jc w:val="right"/>
                                <w:rPr>
                                  <w:noProof/>
                                </w:rPr>
                              </w:pPr>
                              <w:r>
                                <w:rPr>
                                  <w:rFonts w:ascii="Times New Roman" w:hAnsi="Times New Roman" w:cs="Times New Roman"/>
                                </w:rPr>
                                <w:t xml:space="preserve">L. </w:t>
                              </w:r>
                              <w:r>
                                <w:rPr>
                                  <w:rFonts w:ascii="Times New Roman" w:eastAsia="Times New Roman" w:hAnsi="Times New Roman" w:cs="Times New Roman"/>
                                  <w:lang w:val="hu-HU"/>
                                </w:rPr>
                                <w:t>ábra</w:t>
                              </w:r>
                            </w:p>
                          </w:txbxContent>
                        </v:textbox>
                      </v:shape>
                      <v:shape id="그림 1" o:spid="_x0000_s1230" type="#_x0000_t75" style="position:absolute;width:19151;height:15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" stroked="t" strokecolor="black [3213]">
                        <v:imagedata r:id="rId159" o:title=""/>
                        <v:path arrowok="t"/>
                      </v:shape>
                      <w10:wrap type="tight"/>
                    </v:group>
                  </w:pict>
                </mc:Fallback>
              </mc:AlternateContent>
            </w:r>
            <w:r>
              <w:rPr>
                <w:rFonts w:ascii="맑은 고딕" w:eastAsia="맑은 고딕" w:hAnsi="맑은 고딕"/>
                <w:lang w:val="hu-HU"/>
              </w:rPr>
              <w:t>•</w:t>
            </w:r>
            <w:r>
              <w:rPr>
                <w:rFonts w:eastAsia="Times New Roman"/>
                <w:lang w:val="hu-HU"/>
              </w:rPr>
              <w:t>Ha az ablak nem vált teljesen kék színűre, vagy ha a gyógyszer még mindig befecskendezés alatt áll, akkor nem kapott teljes adagot. Azonnal hívja fel az egészségügyi szakembert</w:t>
            </w:r>
          </w:p>
          <w:p w14:paraId="104F3836" w14:textId="77777777" w:rsidR="0037407E" w:rsidRDefault="0037407E" w:rsidP="007E7849">
            <w:pPr>
              <w:pStyle w:val="a3"/>
              <w:rPr>
                <w:lang w:val="hu-HU"/>
              </w:rPr>
            </w:pPr>
          </w:p>
          <w:p w14:paraId="4A2C3BD2" w14:textId="77777777" w:rsidR="0037407E" w:rsidRDefault="0037407E" w:rsidP="007E7849">
            <w:pPr>
              <w:pStyle w:val="a3"/>
              <w:ind w:left="3780" w:hanging="3780"/>
              <w:rPr>
                <w:lang w:val="hu-HU"/>
              </w:rPr>
            </w:pPr>
            <w:r>
              <w:rPr>
                <w:rFonts w:eastAsia="Times New Roman"/>
                <w:b/>
                <w:bCs/>
                <w:lang w:val="hu-HU"/>
              </w:rPr>
              <w:t xml:space="preserve">     c. </w:t>
            </w:r>
            <w:r w:rsidRPr="001E2F31">
              <w:rPr>
                <w:rFonts w:eastAsia="Times New Roman"/>
                <w:bCs/>
                <w:lang w:val="hu-HU"/>
              </w:rPr>
              <w:t>L</w:t>
            </w:r>
            <w:r>
              <w:rPr>
                <w:rFonts w:eastAsia="Times New Roman"/>
                <w:lang w:val="hu-HU"/>
              </w:rPr>
              <w:t>ássa el az injekció beadásának helyét óvatosan, nyomjon</w:t>
            </w:r>
            <w:r>
              <w:rPr>
                <w:lang w:val="hu-HU"/>
              </w:rPr>
              <w:t xml:space="preserve"> </w:t>
            </w:r>
            <w:r>
              <w:rPr>
                <w:rFonts w:eastAsia="Times New Roman"/>
                <w:lang w:val="hu-HU"/>
              </w:rPr>
              <w:t>egy vattacsomót vagy gézdarabot a beadási helyre, ne dörzsölje,</w:t>
            </w:r>
            <w:r>
              <w:rPr>
                <w:lang w:val="hu-HU"/>
              </w:rPr>
              <w:t xml:space="preserve"> </w:t>
            </w:r>
            <w:r>
              <w:rPr>
                <w:rFonts w:eastAsia="Times New Roman"/>
                <w:lang w:val="hu-HU"/>
              </w:rPr>
              <w:t>szükség esetén használjon ragtapaszt. Vérzés előfordulhat.</w:t>
            </w:r>
          </w:p>
          <w:p w14:paraId="1DFFB6B7" w14:textId="77777777" w:rsidR="0037407E" w:rsidRDefault="0037407E" w:rsidP="007E7849">
            <w:pPr>
              <w:pStyle w:val="a3"/>
              <w:rPr>
                <w:lang w:val="hu-HU"/>
              </w:rPr>
            </w:pPr>
          </w:p>
          <w:p w14:paraId="761152A2" w14:textId="77777777" w:rsidR="0037407E" w:rsidRDefault="0037407E" w:rsidP="007E7849">
            <w:pPr>
              <w:pStyle w:val="a3"/>
              <w:rPr>
                <w:lang w:val="hu-HU"/>
              </w:rPr>
            </w:pPr>
            <w:r>
              <w:rPr>
                <w:rFonts w:ascii="맑은 고딕" w:eastAsia="맑은 고딕" w:hAnsi="맑은 고딕"/>
                <w:b/>
                <w:bCs/>
                <w:lang w:val="hu-HU"/>
              </w:rPr>
              <w:t>•</w:t>
            </w:r>
            <w:r>
              <w:rPr>
                <w:rFonts w:eastAsia="Times New Roman"/>
                <w:b/>
                <w:bCs/>
                <w:lang w:val="hu-HU"/>
              </w:rPr>
              <w:t>Ne</w:t>
            </w:r>
            <w:r>
              <w:rPr>
                <w:rFonts w:eastAsia="Times New Roman"/>
                <w:lang w:val="hu-HU"/>
              </w:rPr>
              <w:t xml:space="preserve"> használja újraaz előretöltött tollat.</w:t>
            </w:r>
          </w:p>
          <w:p w14:paraId="119C0DFC" w14:textId="77777777" w:rsidR="0037407E" w:rsidRDefault="0037407E" w:rsidP="007E7849">
            <w:pPr>
              <w:pStyle w:val="a3"/>
              <w:numPr>
                <w:ilvl w:val="0"/>
                <w:numId w:val="0"/>
              </w:numPr>
              <w:ind w:left="1024"/>
              <w:rPr>
                <w:lang w:val="hu-HU" w:eastAsia="ko-KR"/>
              </w:rPr>
            </w:pPr>
            <w:r>
              <w:rPr>
                <w:rFonts w:ascii="맑은 고딕" w:eastAsia="맑은 고딕" w:hAnsi="맑은 고딕"/>
                <w:b/>
                <w:bCs/>
                <w:lang w:val="hu-HU"/>
              </w:rPr>
              <w:t>•</w:t>
            </w:r>
            <w:r>
              <w:rPr>
                <w:rFonts w:eastAsia="Times New Roman"/>
                <w:b/>
                <w:bCs/>
                <w:lang w:val="hu-HU"/>
              </w:rPr>
              <w:t>Ne</w:t>
            </w:r>
            <w:r>
              <w:rPr>
                <w:rFonts w:eastAsia="Times New Roman"/>
                <w:lang w:val="hu-HU"/>
              </w:rPr>
              <w:t xml:space="preserve"> dörzsölje azinjekció beadásának helyét.</w:t>
            </w:r>
            <w:r>
              <w:rPr>
                <w:rFonts w:eastAsia="Times New Roman"/>
                <w:sz w:val="20"/>
                <w:szCs w:val="20"/>
                <w:lang w:val="hu-HU"/>
              </w:rPr>
              <w:t xml:space="preserve"> </w:t>
            </w:r>
          </w:p>
        </w:tc>
      </w:tr>
      <w:tr w:rsidR="0037407E" w:rsidRPr="00BE4D18" w14:paraId="3DC260CE" w14:textId="77777777" w:rsidTr="009C7DB8">
        <w:trPr>
          <w:trHeight w:val="5329"/>
        </w:trPr>
        <w:tc>
          <w:tcPr>
            <w:tcW w:w="9550" w:type="dxa"/>
          </w:tcPr>
          <w:p w14:paraId="38261117" w14:textId="77777777" w:rsidR="0037407E" w:rsidRDefault="0037407E" w:rsidP="007E7849">
            <w:pPr>
              <w:ind w:left="104"/>
              <w:rPr>
                <w:rFonts w:ascii="Times New Roman" w:eastAsia="Times New Roman" w:hAnsi="Times New Roman" w:cs="Times New Roman"/>
                <w:b/>
                <w:bCs/>
                <w:spacing w:val="-1"/>
                <w:lang w:val="hu-HU"/>
              </w:rPr>
            </w:pPr>
          </w:p>
          <w:p w14:paraId="276A7C58" w14:textId="77777777" w:rsidR="0037407E" w:rsidRDefault="0037407E" w:rsidP="007E7849">
            <w:pPr>
              <w:pStyle w:val="a3"/>
              <w:numPr>
                <w:ilvl w:val="0"/>
                <w:numId w:val="0"/>
              </w:numPr>
              <w:ind w:left="471"/>
              <w:rPr>
                <w:lang w:val="hu-HU"/>
              </w:rPr>
            </w:pPr>
          </w:p>
          <w:p w14:paraId="3B30FF68" w14:textId="765C888A" w:rsidR="0037407E" w:rsidRPr="001E2F31" w:rsidRDefault="0037407E" w:rsidP="00FD05AA">
            <w:pPr>
              <w:pStyle w:val="a3"/>
              <w:numPr>
                <w:ilvl w:val="0"/>
                <w:numId w:val="67"/>
              </w:numPr>
              <w:rPr>
                <w:b/>
                <w:lang w:val="hu-HU"/>
              </w:rPr>
            </w:pPr>
            <w:r w:rsidRPr="00B624E0">
              <w:rPr>
                <w:b/>
                <w:noProof/>
                <w:lang w:eastAsia="ko-KR"/>
              </w:rPr>
              <mc:AlternateContent>
                <mc:Choice Requires="wpg">
                  <w:drawing>
                    <wp:anchor distT="0" distB="0" distL="114300" distR="114300" simplePos="0" relativeHeight="251658285" behindDoc="0" locked="0" layoutInCell="1" allowOverlap="1" wp14:anchorId="5BA575F2" wp14:editId="2042CF5D">
                      <wp:simplePos x="0" y="0"/>
                      <wp:positionH relativeFrom="column">
                        <wp:posOffset>111760</wp:posOffset>
                      </wp:positionH>
                      <wp:positionV relativeFrom="paragraph">
                        <wp:posOffset>34925</wp:posOffset>
                      </wp:positionV>
                      <wp:extent cx="1983105" cy="2639060"/>
                      <wp:effectExtent l="19050" t="19050" r="17145" b="8890"/>
                      <wp:wrapSquare wrapText="bothSides"/>
                      <wp:docPr id="151" name="그룹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3105" cy="2639060"/>
                                <a:chOff x="41" y="0"/>
                                <a:chExt cx="22215" cy="29375"/>
                              </a:xfrm>
                            </wpg:grpSpPr>
                            <pic:pic xmlns:pic="http://schemas.openxmlformats.org/drawingml/2006/picture">
                              <pic:nvPicPr>
                                <pic:cNvPr id="152" name="그림 4"/>
                                <pic:cNvPicPr>
                                  <a:picLocks noChangeAspect="1"/>
                                </pic:cNvPicPr>
                              </pic:nvPicPr>
                              <pic:blipFill>
                                <a:blip r:embed="rId160" cstate="print">
                                  <a:extLst>
                                    <a:ext uri="{28A0092B-C50C-407E-A947-70E740481C1C}">
                                      <a14:useLocalDpi xmlns:a14="http://schemas.microsoft.com/office/drawing/2010/main" val="0"/>
                                    </a:ext>
                                  </a:extLst>
                                </a:blip>
                                <a:srcRect/>
                                <a:stretch/>
                              </pic:blipFill>
                              <pic:spPr bwMode="auto">
                                <a:xfrm>
                                  <a:off x="41" y="0"/>
                                  <a:ext cx="22174" cy="27355"/>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pic:spPr>
                            </pic:pic>
                            <wps:wsp>
                              <wps:cNvPr id="153" name="Text Box 18"/>
                              <wps:cNvSpPr txBox="1">
                                <a:spLocks noChangeArrowheads="1"/>
                              </wps:cNvSpPr>
                              <wps:spPr bwMode="auto">
                                <a:xfrm>
                                  <a:off x="15494" y="27622"/>
                                  <a:ext cx="6762" cy="17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290196" w14:textId="710D15E2" w:rsidR="004A2986" w:rsidRDefault="004A2986" w:rsidP="0037407E">
                                    <w:pPr>
                                      <w:pStyle w:val="af0"/>
                                      <w:jc w:val="right"/>
                                      <w:rPr>
                                        <w:b w:val="0"/>
                                        <w:noProof/>
                                      </w:rPr>
                                    </w:pPr>
                                    <w:r>
                                      <w:rPr>
                                        <w:rFonts w:ascii="Times New Roman" w:hAnsi="Times New Roman" w:cs="Times New Roman"/>
                                      </w:rPr>
                                      <w:t xml:space="preserve">M. </w:t>
                                    </w:r>
                                    <w:r>
                                      <w:rPr>
                                        <w:rFonts w:ascii="Times New Roman" w:eastAsia="Times New Roman" w:hAnsi="Times New Roman" w:cs="Times New Roman"/>
                                        <w:lang w:val="hu-HU"/>
                                      </w:rPr>
                                      <w:t>ábra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A575F2" id="_x0000_s1231" style="position:absolute;left:0;text-align:left;margin-left:8.8pt;margin-top:2.75pt;width:156.15pt;height:207.8pt;z-index:251658285" coordorigin="41" coordsize="22215,29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">
                      <v:shape id="그림 4" o:spid="_x0000_s1232" type="#_x0000_t75" style="position:absolute;left:41;width:22174;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" stroked="t" strokecolor="black [3213]">
                        <v:imagedata r:id="rId161" o:title=""/>
                        <v:path arrowok="t"/>
                      </v:shape>
                      <v:shape id="Text Box 18" o:spid="_x0000_s1233" type="#_x0000_t202" style="position:absolute;left:15494;top:27622;width:6762;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" stroked="f">
                        <v:textbox inset="0,0,0,0">
                          <w:txbxContent>
                            <w:p w14:paraId="77290196" w14:textId="710D15E2" w:rsidR="004A2986" w:rsidRDefault="004A2986" w:rsidP="0037407E">
                              <w:pPr>
                                <w:pStyle w:val="af0"/>
                                <w:jc w:val="right"/>
                                <w:rPr>
                                  <w:b w:val="0"/>
                                  <w:noProof/>
                                </w:rPr>
                              </w:pPr>
                              <w:r>
                                <w:rPr>
                                  <w:rFonts w:ascii="Times New Roman" w:hAnsi="Times New Roman" w:cs="Times New Roman"/>
                                </w:rPr>
                                <w:t xml:space="preserve">M. </w:t>
                              </w:r>
                              <w:r>
                                <w:rPr>
                                  <w:rFonts w:ascii="Times New Roman" w:eastAsia="Times New Roman" w:hAnsi="Times New Roman" w:cs="Times New Roman"/>
                                  <w:lang w:val="hu-HU"/>
                                </w:rPr>
                                <w:t>ábra</w:t>
                              </w:r>
                            </w:p>
                          </w:txbxContent>
                        </v:textbox>
                      </v:shape>
                      <w10:wrap type="square"/>
                    </v:group>
                  </w:pict>
                </mc:Fallback>
              </mc:AlternateContent>
            </w:r>
            <w:r w:rsidRPr="005D79EA">
              <w:rPr>
                <w:rFonts w:eastAsia="Times New Roman"/>
                <w:b/>
                <w:bCs/>
                <w:lang w:val="hu-HU"/>
              </w:rPr>
              <w:t>Az</w:t>
            </w:r>
            <w:r w:rsidR="005F5974">
              <w:rPr>
                <w:rFonts w:eastAsia="Times New Roman"/>
                <w:b/>
                <w:bCs/>
                <w:lang w:val="hu-HU"/>
              </w:rPr>
              <w:t xml:space="preserve"> </w:t>
            </w:r>
            <w:r w:rsidRPr="005D79EA">
              <w:rPr>
                <w:rFonts w:eastAsia="Times New Roman"/>
                <w:b/>
                <w:bCs/>
                <w:lang w:val="hu-HU"/>
              </w:rPr>
              <w:t xml:space="preserve">előretöltött </w:t>
            </w:r>
            <w:r w:rsidRPr="001E2F31">
              <w:rPr>
                <w:rFonts w:eastAsia="Times New Roman"/>
                <w:b/>
                <w:lang w:val="hu-HU"/>
              </w:rPr>
              <w:t>toll eldobása.</w:t>
            </w:r>
          </w:p>
          <w:p w14:paraId="61C2FE8A" w14:textId="77777777" w:rsidR="0037407E" w:rsidRDefault="0037407E" w:rsidP="007E7849">
            <w:pPr>
              <w:pStyle w:val="a3"/>
              <w:rPr>
                <w:lang w:val="hu-HU"/>
              </w:rPr>
            </w:pPr>
          </w:p>
          <w:p w14:paraId="10ABD219" w14:textId="77777777" w:rsidR="0037407E" w:rsidRDefault="0037407E" w:rsidP="007E7849">
            <w:pPr>
              <w:pStyle w:val="a3"/>
              <w:numPr>
                <w:ilvl w:val="0"/>
                <w:numId w:val="0"/>
              </w:numPr>
              <w:ind w:left="780"/>
              <w:rPr>
                <w:lang w:val="hu-HU"/>
              </w:rPr>
            </w:pPr>
            <w:r>
              <w:rPr>
                <w:rFonts w:eastAsia="Times New Roman"/>
                <w:b/>
                <w:bCs/>
                <w:lang w:val="hu-HU"/>
              </w:rPr>
              <w:t xml:space="preserve">a. </w:t>
            </w:r>
            <w:r>
              <w:rPr>
                <w:rFonts w:eastAsia="Times New Roman"/>
                <w:lang w:val="hu-HU"/>
              </w:rPr>
              <w:t>Dobja a használt előretöltött tollat az éles tárgyak tárolására szolgáló tartályba a kezelőorvos, a gondozását végző egészségügyi szakember vagy a gyógyszerész utasításai szerint.</w:t>
            </w:r>
          </w:p>
          <w:p w14:paraId="2AA7B404" w14:textId="77777777" w:rsidR="0037407E" w:rsidRDefault="0037407E" w:rsidP="007E7849">
            <w:pPr>
              <w:pStyle w:val="a3"/>
              <w:rPr>
                <w:lang w:val="hu-HU"/>
              </w:rPr>
            </w:pPr>
          </w:p>
          <w:p w14:paraId="7EB1DA5C" w14:textId="77777777" w:rsidR="0037407E" w:rsidRDefault="0037407E" w:rsidP="007E7849">
            <w:pPr>
              <w:pStyle w:val="a3"/>
              <w:rPr>
                <w:lang w:val="hu-HU"/>
              </w:rPr>
            </w:pPr>
            <w:r>
              <w:rPr>
                <w:rFonts w:eastAsia="Times New Roman"/>
                <w:b/>
                <w:bCs/>
                <w:lang w:val="hu-HU"/>
              </w:rPr>
              <w:t xml:space="preserve">b. </w:t>
            </w:r>
            <w:r w:rsidRPr="001E2F31">
              <w:rPr>
                <w:rFonts w:eastAsia="Times New Roman"/>
                <w:bCs/>
                <w:lang w:val="hu-HU"/>
              </w:rPr>
              <w:t>A</w:t>
            </w:r>
            <w:r w:rsidRPr="005D79EA">
              <w:rPr>
                <w:rFonts w:eastAsia="Times New Roman"/>
                <w:lang w:val="hu-HU"/>
              </w:rPr>
              <w:t xml:space="preserve">z </w:t>
            </w:r>
            <w:r>
              <w:rPr>
                <w:rFonts w:eastAsia="Times New Roman"/>
                <w:lang w:val="hu-HU"/>
              </w:rPr>
              <w:t>alkoholos törlőt és a csomagolást a háztartási hulladékba helyezheti.</w:t>
            </w:r>
          </w:p>
          <w:p w14:paraId="0813049F" w14:textId="77777777" w:rsidR="0037407E" w:rsidRDefault="0037407E" w:rsidP="007E7849">
            <w:pPr>
              <w:pStyle w:val="a3"/>
              <w:rPr>
                <w:b/>
                <w:lang w:val="hu-HU"/>
              </w:rPr>
            </w:pPr>
          </w:p>
          <w:p w14:paraId="5CA4EB5A" w14:textId="77777777" w:rsidR="0037407E" w:rsidRDefault="0037407E" w:rsidP="007E7849">
            <w:pPr>
              <w:pStyle w:val="a3"/>
              <w:ind w:left="4230" w:hanging="4230"/>
              <w:rPr>
                <w:lang w:val="hu-HU"/>
              </w:rPr>
            </w:pPr>
            <w:r>
              <w:rPr>
                <w:rFonts w:ascii="맑은 고딕" w:eastAsia="맑은 고딕" w:hAnsi="맑은 고딕"/>
                <w:lang w:val="hu-HU"/>
              </w:rPr>
              <w:t>•</w:t>
            </w:r>
            <w:r>
              <w:rPr>
                <w:rFonts w:eastAsia="Times New Roman"/>
                <w:lang w:val="hu-HU"/>
              </w:rPr>
              <w:tab/>
              <w:t>Mindig tartsa azelőretöltött tollatés a külön, éles tárgyak tárolására szolgáló speciális tartályt gyermekektől elzárva.</w:t>
            </w:r>
          </w:p>
          <w:p w14:paraId="3DE5C040" w14:textId="77777777" w:rsidR="0037407E" w:rsidRDefault="0037407E" w:rsidP="007E7849">
            <w:pPr>
              <w:pStyle w:val="a3"/>
              <w:rPr>
                <w:lang w:val="hu-HU"/>
              </w:rPr>
            </w:pPr>
          </w:p>
          <w:p w14:paraId="320D27F3" w14:textId="77777777" w:rsidR="0037407E" w:rsidRDefault="0037407E" w:rsidP="007E7849">
            <w:pPr>
              <w:pStyle w:val="a3"/>
              <w:rPr>
                <w:lang w:val="hu-HU" w:eastAsia="ko-KR"/>
              </w:rPr>
            </w:pPr>
          </w:p>
        </w:tc>
      </w:tr>
    </w:tbl>
    <w:p w14:paraId="65089C45" w14:textId="77777777" w:rsidR="0037407E" w:rsidRDefault="0037407E" w:rsidP="0037407E">
      <w:pPr>
        <w:pStyle w:val="a3"/>
        <w:rPr>
          <w:lang w:val="hu-HU" w:eastAsia="ko-KR"/>
        </w:rPr>
      </w:pPr>
    </w:p>
    <w:p w14:paraId="5F7E3B6B" w14:textId="05597106" w:rsidR="007561B4" w:rsidRDefault="007561B4">
      <w:pPr>
        <w:rPr>
          <w:rFonts w:ascii="Times New Roman" w:hAnsi="Times New Roman" w:cs="Times New Roman"/>
          <w:lang w:val="hu-HU" w:eastAsia="ko-KR"/>
        </w:rPr>
      </w:pPr>
      <w:r>
        <w:rPr>
          <w:lang w:val="hu-HU" w:eastAsia="ko-KR"/>
        </w:rPr>
        <w:br w:type="page"/>
      </w:r>
    </w:p>
    <w:p w14:paraId="562E7642" w14:textId="77777777" w:rsidR="007561B4" w:rsidRDefault="007561B4" w:rsidP="007561B4">
      <w:pPr>
        <w:spacing w:before="76"/>
        <w:ind w:left="39"/>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lastRenderedPageBreak/>
        <w:t>Betegtájékoztató:Információk a felhasználó számára</w:t>
      </w:r>
    </w:p>
    <w:p w14:paraId="4F7BAD33" w14:textId="77777777" w:rsidR="007561B4" w:rsidRDefault="007561B4" w:rsidP="007561B4">
      <w:pPr>
        <w:spacing w:before="13" w:line="240" w:lineRule="exact"/>
        <w:rPr>
          <w:sz w:val="24"/>
          <w:szCs w:val="24"/>
          <w:lang w:val="hu-HU"/>
        </w:rPr>
      </w:pPr>
    </w:p>
    <w:p w14:paraId="56B05498" w14:textId="66E1F6EB" w:rsidR="007561B4" w:rsidRDefault="007561B4" w:rsidP="007561B4">
      <w:pPr>
        <w:ind w:left="818" w:right="776"/>
        <w:jc w:val="center"/>
        <w:rPr>
          <w:rFonts w:ascii="Times New Roman" w:eastAsia="Times New Roman" w:hAnsi="Times New Roman" w:cs="Times New Roman"/>
          <w:lang w:val="hu-HU"/>
        </w:rPr>
      </w:pPr>
      <w:r>
        <w:rPr>
          <w:rFonts w:ascii="Times New Roman" w:eastAsia="Times New Roman" w:hAnsi="Times New Roman" w:cs="Times New Roman"/>
          <w:b/>
          <w:bCs/>
          <w:spacing w:val="-1"/>
          <w:lang w:val="hu-HU"/>
        </w:rPr>
        <w:t xml:space="preserve">Yuflyma </w:t>
      </w:r>
      <w:r w:rsidR="007D275C">
        <w:rPr>
          <w:rFonts w:ascii="Times New Roman" w:eastAsia="Times New Roman" w:hAnsi="Times New Roman" w:cs="Times New Roman"/>
          <w:b/>
          <w:bCs/>
          <w:spacing w:val="-1"/>
          <w:lang w:val="hu-HU"/>
        </w:rPr>
        <w:t>20</w:t>
      </w:r>
      <w:r>
        <w:rPr>
          <w:rFonts w:ascii="Times New Roman" w:eastAsia="Times New Roman" w:hAnsi="Times New Roman" w:cs="Times New Roman"/>
          <w:b/>
          <w:bCs/>
          <w:spacing w:val="-1"/>
          <w:lang w:val="hu-HU"/>
        </w:rPr>
        <w:t> mg oldatos injekció előretöltött fecskendőben</w:t>
      </w:r>
    </w:p>
    <w:p w14:paraId="45AA279B" w14:textId="77777777" w:rsidR="007561B4" w:rsidRDefault="007561B4" w:rsidP="007561B4">
      <w:pPr>
        <w:pStyle w:val="a3"/>
        <w:jc w:val="center"/>
        <w:rPr>
          <w:lang w:val="hu-HU"/>
        </w:rPr>
      </w:pPr>
      <w:r>
        <w:rPr>
          <w:rFonts w:eastAsia="Times New Roman"/>
          <w:lang w:val="hu-HU"/>
        </w:rPr>
        <w:t>adalimumab</w:t>
      </w:r>
    </w:p>
    <w:p w14:paraId="2BBE3DBA" w14:textId="77777777" w:rsidR="007561B4" w:rsidRDefault="007561B4" w:rsidP="007561B4">
      <w:pPr>
        <w:spacing w:before="18" w:line="240" w:lineRule="exact"/>
        <w:rPr>
          <w:sz w:val="24"/>
          <w:szCs w:val="24"/>
          <w:lang w:val="hu-HU"/>
        </w:rPr>
      </w:pPr>
    </w:p>
    <w:p w14:paraId="3C52C8EF" w14:textId="77777777" w:rsidR="007561B4" w:rsidRDefault="007561B4" w:rsidP="007561B4">
      <w:pPr>
        <w:spacing w:before="18" w:line="240" w:lineRule="exact"/>
        <w:ind w:left="108"/>
        <w:rPr>
          <w:sz w:val="24"/>
          <w:szCs w:val="24"/>
          <w:lang w:val="hu-HU"/>
        </w:rPr>
      </w:pPr>
      <w:r>
        <w:rPr>
          <w:rFonts w:ascii="Times New Roman" w:hAnsi="Times New Roman" w:cs="Times New Roman"/>
          <w:noProof/>
          <w:lang w:eastAsia="ko-KR"/>
        </w:rPr>
        <w:drawing>
          <wp:inline distT="0" distB="0" distL="0" distR="0" wp14:anchorId="1BE533D8" wp14:editId="4302B1BF">
            <wp:extent cx="203200" cy="169545"/>
            <wp:effectExtent l="0" t="0" r="6350" b="1905"/>
            <wp:docPr id="4007" name="그림 4007"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9474"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Pr>
          <w:rFonts w:ascii="Times New Roman" w:eastAsia="Times New Roman" w:hAnsi="Times New Roman" w:cs="Times New Roman"/>
          <w:lang w:val="hu-HU"/>
        </w:rPr>
        <w:t>Ez a gyógyszer fokozott felügyelet alatt áll, mely lehetővé teszi az új gyógyszerbiztonsági információk gyors azonosítását. Ehhez Ön is hozzájárulhat a tudomására jutó bármilyen mellékhatás bejelentésével. A mellékhatások jelentésének módjairól a 4. pont végén (Mellékhatások bejelentése) talál további tájékoztatást.</w:t>
      </w:r>
    </w:p>
    <w:p w14:paraId="4EF353C9" w14:textId="77777777" w:rsidR="007561B4" w:rsidRDefault="007561B4" w:rsidP="007561B4">
      <w:pPr>
        <w:spacing w:before="18" w:line="240" w:lineRule="exact"/>
        <w:rPr>
          <w:sz w:val="24"/>
          <w:szCs w:val="24"/>
          <w:lang w:val="hu-HU"/>
        </w:rPr>
      </w:pPr>
    </w:p>
    <w:p w14:paraId="67E2337D" w14:textId="108A766E" w:rsidR="007561B4" w:rsidRPr="005A05DE" w:rsidRDefault="007D275C" w:rsidP="007561B4">
      <w:pPr>
        <w:spacing w:before="18" w:line="240" w:lineRule="exact"/>
        <w:ind w:left="108"/>
        <w:rPr>
          <w:rFonts w:ascii="Times New Roman" w:eastAsia="Times New Roman" w:hAnsi="Times New Roman" w:cs="Times New Roman"/>
          <w:b/>
          <w:bCs/>
          <w:lang w:val="hu-HU"/>
        </w:rPr>
      </w:pPr>
      <w:r w:rsidRPr="005A05DE">
        <w:rPr>
          <w:rFonts w:ascii="Times New Roman" w:eastAsia="Times New Roman" w:hAnsi="Times New Roman" w:cs="Times New Roman"/>
          <w:b/>
          <w:bCs/>
          <w:lang w:val="hu-HU"/>
        </w:rPr>
        <w:t>Mielőtt gyermeke elkezdi alkalmazni ezt a gyógyszert, olvassa el figyelmesen az alábbi betegtájékoztatót, mert az Ön számára fontos információkat tartalmaz</w:t>
      </w:r>
      <w:r w:rsidR="007561B4">
        <w:rPr>
          <w:rFonts w:ascii="Times New Roman" w:eastAsia="Times New Roman" w:hAnsi="Times New Roman" w:cs="Times New Roman"/>
          <w:b/>
          <w:bCs/>
          <w:lang w:val="hu-HU"/>
        </w:rPr>
        <w:t>.</w:t>
      </w:r>
    </w:p>
    <w:p w14:paraId="6BDE2AB5" w14:textId="16C7C8AB" w:rsidR="007561B4" w:rsidRDefault="007561B4" w:rsidP="007561B4">
      <w:pPr>
        <w:pStyle w:val="a3"/>
        <w:numPr>
          <w:ilvl w:val="0"/>
          <w:numId w:val="5"/>
        </w:numPr>
        <w:ind w:left="660" w:hanging="660"/>
        <w:rPr>
          <w:lang w:val="hu-HU"/>
        </w:rPr>
      </w:pPr>
      <w:r>
        <w:rPr>
          <w:rFonts w:eastAsia="Times New Roman"/>
          <w:lang w:val="hu-HU"/>
        </w:rPr>
        <w:t>Tartsa meg a betegtájékoztatót,</w:t>
      </w:r>
      <w:r w:rsidR="00AA4A8A">
        <w:rPr>
          <w:rFonts w:eastAsia="Times New Roman"/>
          <w:lang w:val="hu-HU"/>
        </w:rPr>
        <w:t xml:space="preserve"> </w:t>
      </w:r>
      <w:r>
        <w:rPr>
          <w:rFonts w:eastAsia="Times New Roman"/>
          <w:lang w:val="hu-HU"/>
        </w:rPr>
        <w:t>mert a benne szereplő információkra a későbbiekben is szüksége lehet.</w:t>
      </w:r>
    </w:p>
    <w:p w14:paraId="45195BF6" w14:textId="7627DB27" w:rsidR="007561B4" w:rsidRPr="001E2F31" w:rsidRDefault="00201A71" w:rsidP="007561B4">
      <w:pPr>
        <w:pStyle w:val="a3"/>
        <w:numPr>
          <w:ilvl w:val="0"/>
          <w:numId w:val="5"/>
        </w:numPr>
        <w:ind w:left="660" w:hanging="660"/>
        <w:rPr>
          <w:color w:val="000000"/>
          <w:lang w:val="hu-HU"/>
        </w:rPr>
      </w:pPr>
      <w:r>
        <w:rPr>
          <w:rFonts w:eastAsia="Times New Roman"/>
          <w:lang w:val="hu-HU"/>
        </w:rPr>
        <w:t>Gyermeke kezelőorvosától egy</w:t>
      </w:r>
      <w:r>
        <w:rPr>
          <w:rFonts w:eastAsia="Times New Roman"/>
          <w:b/>
          <w:bCs/>
          <w:lang w:val="hu-HU"/>
        </w:rPr>
        <w:t xml:space="preserve"> Betegkártyát </w:t>
      </w:r>
      <w:r w:rsidR="00196C20" w:rsidRPr="005A05DE">
        <w:rPr>
          <w:lang w:val="hu-HU"/>
        </w:rPr>
        <w:t xml:space="preserve">is fog kapni fontos biztonsági információkkal, amit gyermekénél a </w:t>
      </w:r>
      <w:r w:rsidR="00D92752">
        <w:rPr>
          <w:lang w:val="hu-HU"/>
        </w:rPr>
        <w:t>Yuflyma</w:t>
      </w:r>
      <w:r w:rsidR="00196C20" w:rsidRPr="005A05DE">
        <w:rPr>
          <w:lang w:val="hu-HU"/>
        </w:rPr>
        <w:t xml:space="preserve"> alkalmazása előtt és a </w:t>
      </w:r>
      <w:r w:rsidR="00D92752">
        <w:rPr>
          <w:lang w:val="hu-HU"/>
        </w:rPr>
        <w:t>Yuflyma</w:t>
      </w:r>
      <w:r w:rsidR="00196C20" w:rsidRPr="005A05DE">
        <w:rPr>
          <w:lang w:val="hu-HU"/>
        </w:rPr>
        <w:t xml:space="preserve">-val történő kezelés során is figyelembe kell venni. Tartsa magánál vagy gyermekénél ezt a </w:t>
      </w:r>
      <w:r w:rsidRPr="003664D3">
        <w:rPr>
          <w:b/>
          <w:color w:val="000000"/>
          <w:lang w:val="hu-HU"/>
        </w:rPr>
        <w:t>Betegkártyát</w:t>
      </w:r>
      <w:r w:rsidR="007561B4" w:rsidRPr="001E2F31">
        <w:rPr>
          <w:color w:val="000000"/>
          <w:lang w:val="hu-HU"/>
        </w:rPr>
        <w:t xml:space="preserve">. </w:t>
      </w:r>
    </w:p>
    <w:p w14:paraId="78E9D018" w14:textId="77777777" w:rsidR="007561B4" w:rsidRDefault="007561B4" w:rsidP="007561B4">
      <w:pPr>
        <w:pStyle w:val="a3"/>
        <w:numPr>
          <w:ilvl w:val="0"/>
          <w:numId w:val="5"/>
        </w:numPr>
        <w:ind w:left="660" w:hanging="660"/>
        <w:rPr>
          <w:lang w:val="hu-HU"/>
        </w:rPr>
      </w:pPr>
      <w:r>
        <w:rPr>
          <w:rFonts w:eastAsia="Times New Roman"/>
          <w:lang w:val="hu-HU"/>
        </w:rPr>
        <w:t>További kérdéseivel forduljon kezelőorvosához vagy gyógyszerészéhez.</w:t>
      </w:r>
    </w:p>
    <w:p w14:paraId="3CE11FDB" w14:textId="0B75D3FE" w:rsidR="007561B4" w:rsidRDefault="00196C20" w:rsidP="007561B4">
      <w:pPr>
        <w:pStyle w:val="a3"/>
        <w:numPr>
          <w:ilvl w:val="0"/>
          <w:numId w:val="5"/>
        </w:numPr>
        <w:ind w:left="660" w:hanging="660"/>
        <w:rPr>
          <w:lang w:val="hu-HU"/>
        </w:rPr>
      </w:pPr>
      <w:r w:rsidRPr="005A05DE">
        <w:rPr>
          <w:lang w:val="hu-HU"/>
        </w:rPr>
        <w:t>Ezt a gyógyszert az orvos kizárólag az Ön gyermekének írta fel. Ne adja át a készítményt másnak, mert számára ártalmas lehet még abban az esetben is, ha a betegsége tünetei az Ön gyermekénél jelentkezőkhöz hasonlóak</w:t>
      </w:r>
      <w:r w:rsidR="007561B4">
        <w:rPr>
          <w:rFonts w:eastAsia="Times New Roman"/>
          <w:lang w:val="hu-HU"/>
        </w:rPr>
        <w:t>.</w:t>
      </w:r>
    </w:p>
    <w:p w14:paraId="238FE735" w14:textId="78806CFC" w:rsidR="007561B4" w:rsidRDefault="00196C20" w:rsidP="007561B4">
      <w:pPr>
        <w:pStyle w:val="a3"/>
        <w:numPr>
          <w:ilvl w:val="0"/>
          <w:numId w:val="5"/>
        </w:numPr>
        <w:ind w:left="660" w:hanging="660"/>
        <w:rPr>
          <w:lang w:val="hu-HU"/>
        </w:rPr>
      </w:pPr>
      <w:r w:rsidRPr="005A05DE">
        <w:rPr>
          <w:lang w:val="hu-HU"/>
        </w:rPr>
        <w:t>Ha gyermekénél bármilyen mellékhatás jelentkezik, tájékoztassa erről gyermeke kezelőorvosát vagy gyógyszerészét.</w:t>
      </w:r>
      <w:r w:rsidR="007561B4">
        <w:rPr>
          <w:rFonts w:eastAsia="Times New Roman"/>
          <w:lang w:val="hu-HU"/>
        </w:rPr>
        <w:t xml:space="preserve"> Ez a betegtájékoztatóban fel nem sorolt bármilyen lehetséges mellékhatásra is vonatkozik. Lásd 4. pont.</w:t>
      </w:r>
    </w:p>
    <w:p w14:paraId="62A59D24" w14:textId="77777777" w:rsidR="007561B4" w:rsidRDefault="007561B4" w:rsidP="007561B4">
      <w:pPr>
        <w:pStyle w:val="a3"/>
        <w:rPr>
          <w:lang w:val="hu-HU"/>
        </w:rPr>
      </w:pPr>
    </w:p>
    <w:p w14:paraId="068A5376" w14:textId="77777777" w:rsidR="007561B4" w:rsidRDefault="007561B4" w:rsidP="007561B4">
      <w:pPr>
        <w:pStyle w:val="a3"/>
        <w:rPr>
          <w:b/>
          <w:lang w:val="hu-HU"/>
        </w:rPr>
      </w:pPr>
      <w:r>
        <w:rPr>
          <w:rFonts w:eastAsia="Times New Roman"/>
          <w:b/>
          <w:bCs/>
          <w:lang w:val="hu-HU"/>
        </w:rPr>
        <w:t>A betegtájékoztató tartalma</w:t>
      </w:r>
    </w:p>
    <w:p w14:paraId="03B08021" w14:textId="77777777" w:rsidR="007561B4" w:rsidRPr="005A05DE" w:rsidRDefault="007561B4" w:rsidP="00FD05AA">
      <w:pPr>
        <w:pStyle w:val="a3"/>
        <w:numPr>
          <w:ilvl w:val="0"/>
          <w:numId w:val="81"/>
        </w:numPr>
        <w:ind w:hanging="760"/>
        <w:rPr>
          <w:rFonts w:eastAsia="Times New Roman"/>
          <w:lang w:val="hu-HU"/>
        </w:rPr>
      </w:pPr>
      <w:r>
        <w:rPr>
          <w:rFonts w:eastAsia="Times New Roman"/>
          <w:lang w:val="hu-HU"/>
        </w:rPr>
        <w:t>Milyen típusú gyógyszer a Yuflyma és milyen betegségek esetén alkalmazható?</w:t>
      </w:r>
    </w:p>
    <w:p w14:paraId="2530368D" w14:textId="77777777" w:rsidR="007561B4" w:rsidRDefault="007561B4" w:rsidP="00FD05AA">
      <w:pPr>
        <w:pStyle w:val="a3"/>
        <w:numPr>
          <w:ilvl w:val="0"/>
          <w:numId w:val="81"/>
        </w:numPr>
        <w:ind w:hanging="760"/>
        <w:rPr>
          <w:lang w:val="hu-HU"/>
        </w:rPr>
      </w:pPr>
      <w:r>
        <w:rPr>
          <w:rFonts w:eastAsia="Times New Roman"/>
          <w:lang w:val="hu-HU"/>
        </w:rPr>
        <w:t>Tudnivalók a Yuflyma alkalmazása előtt</w:t>
      </w:r>
    </w:p>
    <w:p w14:paraId="45A97A6A" w14:textId="77777777" w:rsidR="007561B4" w:rsidRDefault="007561B4" w:rsidP="00FD05AA">
      <w:pPr>
        <w:pStyle w:val="a3"/>
        <w:numPr>
          <w:ilvl w:val="0"/>
          <w:numId w:val="81"/>
        </w:numPr>
        <w:ind w:hanging="760"/>
        <w:rPr>
          <w:lang w:val="hu-HU"/>
        </w:rPr>
      </w:pPr>
      <w:r>
        <w:rPr>
          <w:rFonts w:eastAsia="Times New Roman"/>
          <w:lang w:val="hu-HU"/>
        </w:rPr>
        <w:t>Hogyan kell alkalmazni a Yuflyma-t?</w:t>
      </w:r>
    </w:p>
    <w:p w14:paraId="11CA2162" w14:textId="77777777" w:rsidR="007561B4" w:rsidRDefault="007561B4" w:rsidP="00FD05AA">
      <w:pPr>
        <w:pStyle w:val="a3"/>
        <w:numPr>
          <w:ilvl w:val="0"/>
          <w:numId w:val="81"/>
        </w:numPr>
        <w:ind w:hanging="760"/>
        <w:rPr>
          <w:lang w:val="hu-HU"/>
        </w:rPr>
      </w:pPr>
      <w:r>
        <w:rPr>
          <w:rFonts w:eastAsia="Times New Roman"/>
          <w:lang w:val="hu-HU"/>
        </w:rPr>
        <w:t>Lehetséges mellékhatások</w:t>
      </w:r>
    </w:p>
    <w:p w14:paraId="126F5D29" w14:textId="77777777" w:rsidR="007561B4" w:rsidRDefault="007561B4" w:rsidP="00FD05AA">
      <w:pPr>
        <w:pStyle w:val="a3"/>
        <w:numPr>
          <w:ilvl w:val="0"/>
          <w:numId w:val="81"/>
        </w:numPr>
        <w:ind w:hanging="760"/>
        <w:rPr>
          <w:lang w:val="hu-HU"/>
        </w:rPr>
      </w:pPr>
      <w:r>
        <w:rPr>
          <w:rFonts w:eastAsia="Times New Roman"/>
          <w:lang w:val="hu-HU"/>
        </w:rPr>
        <w:t>Hogyan kell a Yuflyma-t tárolni?</w:t>
      </w:r>
    </w:p>
    <w:p w14:paraId="555595FB" w14:textId="77777777" w:rsidR="007561B4" w:rsidRDefault="007561B4" w:rsidP="00FD05AA">
      <w:pPr>
        <w:pStyle w:val="a3"/>
        <w:numPr>
          <w:ilvl w:val="0"/>
          <w:numId w:val="81"/>
        </w:numPr>
        <w:ind w:hanging="760"/>
        <w:rPr>
          <w:lang w:val="hu-HU"/>
        </w:rPr>
      </w:pPr>
      <w:r>
        <w:rPr>
          <w:rFonts w:eastAsia="Times New Roman"/>
          <w:lang w:val="hu-HU"/>
        </w:rPr>
        <w:t>A csomagolás tartalma és egyéb információk</w:t>
      </w:r>
    </w:p>
    <w:p w14:paraId="4F679ED7" w14:textId="77777777" w:rsidR="007561B4" w:rsidRDefault="007561B4" w:rsidP="00FD05AA">
      <w:pPr>
        <w:pStyle w:val="a3"/>
        <w:numPr>
          <w:ilvl w:val="0"/>
          <w:numId w:val="81"/>
        </w:numPr>
        <w:ind w:hanging="760"/>
        <w:rPr>
          <w:lang w:val="hu-HU"/>
        </w:rPr>
      </w:pPr>
      <w:r>
        <w:rPr>
          <w:rFonts w:eastAsia="Times New Roman"/>
          <w:lang w:val="hu-HU"/>
        </w:rPr>
        <w:t>Használati utasítás</w:t>
      </w:r>
    </w:p>
    <w:p w14:paraId="55458415" w14:textId="77777777" w:rsidR="007561B4" w:rsidRDefault="007561B4" w:rsidP="007561B4">
      <w:pPr>
        <w:spacing w:line="200" w:lineRule="exact"/>
        <w:rPr>
          <w:sz w:val="20"/>
          <w:szCs w:val="20"/>
          <w:lang w:val="hu-HU"/>
        </w:rPr>
      </w:pPr>
    </w:p>
    <w:p w14:paraId="66E8FBA2" w14:textId="77777777" w:rsidR="007561B4" w:rsidRDefault="007561B4" w:rsidP="007561B4">
      <w:pPr>
        <w:spacing w:line="200" w:lineRule="exact"/>
        <w:rPr>
          <w:sz w:val="20"/>
          <w:szCs w:val="20"/>
          <w:lang w:val="hu-HU"/>
        </w:rPr>
      </w:pPr>
    </w:p>
    <w:p w14:paraId="130A662C" w14:textId="77777777" w:rsidR="007561B4" w:rsidRDefault="007561B4" w:rsidP="00FD05AA">
      <w:pPr>
        <w:pStyle w:val="a4"/>
        <w:numPr>
          <w:ilvl w:val="0"/>
          <w:numId w:val="82"/>
        </w:numPr>
        <w:spacing w:line="240" w:lineRule="exact"/>
        <w:rPr>
          <w:rFonts w:ascii="Times New Roman" w:hAnsi="Times New Roman" w:cs="Times New Roman"/>
          <w:b/>
          <w:lang w:val="hu-HU"/>
        </w:rPr>
      </w:pPr>
      <w:r>
        <w:rPr>
          <w:rFonts w:ascii="Times New Roman" w:eastAsia="Times New Roman" w:hAnsi="Times New Roman" w:cs="Times New Roman"/>
          <w:b/>
          <w:bCs/>
          <w:lang w:val="hu-HU"/>
        </w:rPr>
        <w:t>Milyen típusú gyógyszer a Yuflyma és milyen betegségek esetén alkalmazható?</w:t>
      </w:r>
    </w:p>
    <w:p w14:paraId="10FE642E" w14:textId="77777777" w:rsidR="007561B4" w:rsidRDefault="007561B4" w:rsidP="007561B4">
      <w:pPr>
        <w:spacing w:line="240" w:lineRule="exact"/>
        <w:rPr>
          <w:rFonts w:ascii="Times New Roman" w:hAnsi="Times New Roman" w:cs="Times New Roman"/>
          <w:b/>
          <w:lang w:val="hu-HU"/>
        </w:rPr>
      </w:pPr>
    </w:p>
    <w:p w14:paraId="0A55E30D" w14:textId="5057DDAF" w:rsidR="007561B4" w:rsidRDefault="007561B4" w:rsidP="007561B4">
      <w:pPr>
        <w:pStyle w:val="a3"/>
        <w:rPr>
          <w:lang w:val="hu-HU"/>
        </w:rPr>
      </w:pPr>
      <w:r>
        <w:rPr>
          <w:rFonts w:eastAsia="Times New Roman"/>
          <w:lang w:val="hu-HU"/>
        </w:rPr>
        <w:t>A Yu</w:t>
      </w:r>
      <w:r w:rsidR="00196C20">
        <w:rPr>
          <w:rFonts w:eastAsia="Times New Roman"/>
          <w:lang w:val="hu-HU"/>
        </w:rPr>
        <w:t>flyma hatóanyaga az adalimumab.</w:t>
      </w:r>
    </w:p>
    <w:p w14:paraId="1BF40EE4" w14:textId="77777777" w:rsidR="007561B4" w:rsidRDefault="007561B4" w:rsidP="007561B4">
      <w:pPr>
        <w:pStyle w:val="a3"/>
        <w:rPr>
          <w:lang w:val="hu-HU"/>
        </w:rPr>
      </w:pPr>
    </w:p>
    <w:p w14:paraId="7CEBF7E6" w14:textId="77777777" w:rsidR="007561B4" w:rsidRDefault="007561B4" w:rsidP="007561B4">
      <w:pPr>
        <w:pStyle w:val="a3"/>
        <w:rPr>
          <w:lang w:val="hu-HU"/>
        </w:rPr>
      </w:pPr>
      <w:r>
        <w:rPr>
          <w:rFonts w:eastAsia="Times New Roman"/>
          <w:lang w:val="hu-HU"/>
        </w:rPr>
        <w:t>A Yuflyma a következő gyulladásos betegségek kezelésére szolgál:</w:t>
      </w:r>
    </w:p>
    <w:p w14:paraId="17DACF05" w14:textId="77777777" w:rsidR="007561B4" w:rsidRDefault="007561B4" w:rsidP="007561B4">
      <w:pPr>
        <w:pStyle w:val="a3"/>
        <w:numPr>
          <w:ilvl w:val="0"/>
          <w:numId w:val="5"/>
        </w:numPr>
        <w:ind w:left="660" w:hanging="660"/>
        <w:rPr>
          <w:lang w:val="hu-HU"/>
        </w:rPr>
      </w:pPr>
      <w:r>
        <w:rPr>
          <w:rFonts w:eastAsia="Times New Roman"/>
          <w:lang w:val="hu-HU"/>
        </w:rPr>
        <w:t>Gyermekkori ismeretlen eredetű sokízületi gyulladás (poliartikuláris juvenilis idiopátiás artritisz)</w:t>
      </w:r>
    </w:p>
    <w:p w14:paraId="4044BA99" w14:textId="20E5D6F7" w:rsidR="007561B4" w:rsidRDefault="007561B4" w:rsidP="007561B4">
      <w:pPr>
        <w:pStyle w:val="a3"/>
        <w:numPr>
          <w:ilvl w:val="0"/>
          <w:numId w:val="5"/>
        </w:numPr>
        <w:ind w:left="660" w:hanging="660"/>
        <w:rPr>
          <w:lang w:val="hu-HU"/>
        </w:rPr>
      </w:pPr>
      <w:r>
        <w:rPr>
          <w:rFonts w:eastAsia="Times New Roman"/>
          <w:lang w:val="hu-HU"/>
        </w:rPr>
        <w:t>Az ín</w:t>
      </w:r>
      <w:r w:rsidR="00C4148F">
        <w:rPr>
          <w:rFonts w:eastAsia="Times New Roman"/>
          <w:lang w:val="hu-HU"/>
        </w:rPr>
        <w:t>á</w:t>
      </w:r>
      <w:r>
        <w:rPr>
          <w:rFonts w:eastAsia="Times New Roman"/>
          <w:lang w:val="hu-HU"/>
        </w:rPr>
        <w:t>k tapadási helyein</w:t>
      </w:r>
      <w:r w:rsidR="00C4148F">
        <w:rPr>
          <w:rFonts w:eastAsia="Times New Roman"/>
          <w:lang w:val="hu-HU"/>
        </w:rPr>
        <w:t>é</w:t>
      </w:r>
      <w:r>
        <w:rPr>
          <w:rFonts w:eastAsia="Times New Roman"/>
          <w:lang w:val="hu-HU"/>
        </w:rPr>
        <w:t>k gyulladásos elváltozásával társult reumás ízületi gyulladás (entezitisszel társult artritisz)</w:t>
      </w:r>
    </w:p>
    <w:p w14:paraId="326C3BED" w14:textId="61C3D810" w:rsidR="007561B4" w:rsidRDefault="00196C20" w:rsidP="007561B4">
      <w:pPr>
        <w:pStyle w:val="a3"/>
        <w:numPr>
          <w:ilvl w:val="0"/>
          <w:numId w:val="5"/>
        </w:numPr>
        <w:ind w:left="660" w:hanging="660"/>
        <w:rPr>
          <w:lang w:val="hu-HU"/>
        </w:rPr>
      </w:pPr>
      <w:r w:rsidRPr="005A05DE">
        <w:rPr>
          <w:lang w:val="hu-HU"/>
        </w:rPr>
        <w:t>Gyermekkori plakkos pszoriázis</w:t>
      </w:r>
    </w:p>
    <w:p w14:paraId="2D929F6E" w14:textId="53B3C058" w:rsidR="007561B4" w:rsidRDefault="00196C20" w:rsidP="007561B4">
      <w:pPr>
        <w:pStyle w:val="a3"/>
        <w:numPr>
          <w:ilvl w:val="0"/>
          <w:numId w:val="5"/>
        </w:numPr>
        <w:ind w:left="660" w:hanging="660"/>
        <w:rPr>
          <w:lang w:val="hu-HU"/>
        </w:rPr>
      </w:pPr>
      <w:r w:rsidRPr="00167BF3">
        <w:rPr>
          <w:lang w:val="hu-HU"/>
        </w:rPr>
        <w:t>A bélfal minden rétegére kiterjedő, nem fertőzéses eredetű gyulladás (gyermekkori Crohn-betegség)</w:t>
      </w:r>
    </w:p>
    <w:p w14:paraId="74F0E4CD" w14:textId="64685F1B" w:rsidR="007561B4" w:rsidRDefault="00196C20" w:rsidP="007561B4">
      <w:pPr>
        <w:pStyle w:val="a3"/>
        <w:numPr>
          <w:ilvl w:val="0"/>
          <w:numId w:val="5"/>
        </w:numPr>
        <w:ind w:left="660" w:hanging="660"/>
        <w:rPr>
          <w:lang w:val="hu-HU"/>
        </w:rPr>
      </w:pPr>
      <w:r w:rsidRPr="005A05DE">
        <w:rPr>
          <w:lang w:val="hu-HU"/>
        </w:rPr>
        <w:t>Gyermekkori nem fertőzéses eredetű szemgyulladás (uveitisz)</w:t>
      </w:r>
    </w:p>
    <w:p w14:paraId="58868448" w14:textId="77777777" w:rsidR="007561B4" w:rsidRDefault="007561B4" w:rsidP="007561B4">
      <w:pPr>
        <w:spacing w:before="10" w:line="240" w:lineRule="exact"/>
        <w:rPr>
          <w:sz w:val="24"/>
          <w:szCs w:val="24"/>
          <w:lang w:val="hu-HU"/>
        </w:rPr>
      </w:pPr>
    </w:p>
    <w:p w14:paraId="3B8DA914" w14:textId="77777777" w:rsidR="007561B4" w:rsidRDefault="007561B4" w:rsidP="007561B4">
      <w:pPr>
        <w:pStyle w:val="a3"/>
        <w:rPr>
          <w:lang w:val="hu-HU"/>
        </w:rPr>
      </w:pPr>
      <w:r>
        <w:rPr>
          <w:rFonts w:eastAsia="Times New Roman"/>
          <w:lang w:val="hu-HU"/>
        </w:rPr>
        <w:t>A Yuflyma hatóanyaga, az adalimumab egy emberi monoklonális antitest (ellenanyag). A monoklonális antitestek fehérjék, amelyek speciális célponthoz kötődnek a szervezetben.</w:t>
      </w:r>
    </w:p>
    <w:p w14:paraId="449C45D3" w14:textId="77777777" w:rsidR="007561B4" w:rsidRDefault="007561B4" w:rsidP="007561B4">
      <w:pPr>
        <w:spacing w:before="16" w:line="240" w:lineRule="exact"/>
        <w:rPr>
          <w:sz w:val="24"/>
          <w:szCs w:val="24"/>
          <w:lang w:val="hu-HU"/>
        </w:rPr>
      </w:pPr>
    </w:p>
    <w:p w14:paraId="3A2F7629" w14:textId="77777777" w:rsidR="007561B4" w:rsidRDefault="007561B4" w:rsidP="007561B4">
      <w:pPr>
        <w:pStyle w:val="a3"/>
        <w:rPr>
          <w:lang w:val="hu-HU"/>
        </w:rPr>
      </w:pPr>
      <w:r>
        <w:rPr>
          <w:rFonts w:eastAsia="Times New Roman"/>
          <w:lang w:val="hu-HU"/>
        </w:rPr>
        <w:t>Az adalimumab célpontja a tumor nekrózis faktor (TNFα) nevű fehérje, mely az immun (védekező) rendszer működésében vesz részt, és a fent felsorolt gyulladásos betegségekben megnövekedett mennyiségben van jelen. A TNFα-hoz való kötődéssel a Yuflyma csökkenti ezen betegségek gyulladásos folyamatait.</w:t>
      </w:r>
    </w:p>
    <w:p w14:paraId="49D4D9D0" w14:textId="77777777" w:rsidR="007561B4" w:rsidRDefault="007561B4" w:rsidP="007561B4">
      <w:pPr>
        <w:pStyle w:val="a3"/>
        <w:rPr>
          <w:lang w:val="hu-HU"/>
        </w:rPr>
      </w:pPr>
    </w:p>
    <w:p w14:paraId="5259C29F" w14:textId="522FF55E" w:rsidR="007561B4" w:rsidRPr="005A05DE" w:rsidRDefault="007561B4" w:rsidP="005A05DE">
      <w:pPr>
        <w:pStyle w:val="a3"/>
        <w:rPr>
          <w:rFonts w:eastAsia="Times New Roman"/>
          <w:b/>
          <w:bCs/>
          <w:lang w:val="hu-HU"/>
        </w:rPr>
      </w:pPr>
      <w:r w:rsidRPr="005A05DE">
        <w:rPr>
          <w:rFonts w:eastAsia="Times New Roman"/>
          <w:b/>
          <w:bCs/>
          <w:lang w:val="hu-HU"/>
        </w:rPr>
        <w:lastRenderedPageBreak/>
        <w:t>Poliartikul</w:t>
      </w:r>
      <w:r w:rsidRPr="005A05DE">
        <w:rPr>
          <w:rFonts w:eastAsia="Times New Roman" w:hint="eastAsia"/>
          <w:b/>
          <w:bCs/>
          <w:lang w:val="hu-HU"/>
        </w:rPr>
        <w:t>á</w:t>
      </w:r>
      <w:r w:rsidRPr="005A05DE">
        <w:rPr>
          <w:rFonts w:eastAsia="Times New Roman"/>
          <w:b/>
          <w:bCs/>
          <w:lang w:val="hu-HU"/>
        </w:rPr>
        <w:t>ris juvenilis idiop</w:t>
      </w:r>
      <w:r w:rsidRPr="005A05DE">
        <w:rPr>
          <w:rFonts w:eastAsia="Times New Roman" w:hint="eastAsia"/>
          <w:b/>
          <w:bCs/>
          <w:lang w:val="hu-HU"/>
        </w:rPr>
        <w:t>á</w:t>
      </w:r>
      <w:r w:rsidRPr="005A05DE">
        <w:rPr>
          <w:rFonts w:eastAsia="Times New Roman"/>
          <w:b/>
          <w:bCs/>
          <w:lang w:val="hu-HU"/>
        </w:rPr>
        <w:t>ti</w:t>
      </w:r>
      <w:r w:rsidRPr="005A05DE">
        <w:rPr>
          <w:rFonts w:eastAsia="Times New Roman" w:hint="eastAsia"/>
          <w:b/>
          <w:bCs/>
          <w:lang w:val="hu-HU"/>
        </w:rPr>
        <w:t>á</w:t>
      </w:r>
      <w:r w:rsidRPr="005A05DE">
        <w:rPr>
          <w:rFonts w:eastAsia="Times New Roman"/>
          <w:b/>
          <w:bCs/>
          <w:lang w:val="hu-HU"/>
        </w:rPr>
        <w:t>s artritisz</w:t>
      </w:r>
    </w:p>
    <w:p w14:paraId="14E4FDE1" w14:textId="77777777" w:rsidR="00196C20" w:rsidRPr="005A05DE" w:rsidRDefault="00196C20" w:rsidP="005A05DE">
      <w:pPr>
        <w:pStyle w:val="a3"/>
        <w:rPr>
          <w:rFonts w:eastAsia="Times New Roman"/>
          <w:b/>
          <w:bCs/>
          <w:lang w:val="hu-HU"/>
        </w:rPr>
      </w:pPr>
    </w:p>
    <w:p w14:paraId="588C2221" w14:textId="1F3E61B1" w:rsidR="007561B4" w:rsidRDefault="00196C20" w:rsidP="007561B4">
      <w:pPr>
        <w:pStyle w:val="a3"/>
        <w:rPr>
          <w:lang w:val="hu-HU"/>
        </w:rPr>
      </w:pPr>
      <w:r w:rsidRPr="005A05DE">
        <w:rPr>
          <w:lang w:val="hu-HU"/>
        </w:rPr>
        <w:t>A gyermekkori ismeretlen eredetű sokízületi gyulladás az ízületek gyulladásos betegsége, mely rendszerint elsőként gyerekkorban jelentkezik</w:t>
      </w:r>
      <w:r>
        <w:rPr>
          <w:lang w:val="hu-HU"/>
        </w:rPr>
        <w:t>.</w:t>
      </w:r>
    </w:p>
    <w:p w14:paraId="13063A10" w14:textId="77777777" w:rsidR="007561B4" w:rsidRDefault="007561B4" w:rsidP="007561B4">
      <w:pPr>
        <w:spacing w:before="13" w:line="240" w:lineRule="exact"/>
        <w:rPr>
          <w:sz w:val="24"/>
          <w:szCs w:val="24"/>
          <w:lang w:val="hu-HU"/>
        </w:rPr>
      </w:pPr>
    </w:p>
    <w:p w14:paraId="70EE24C4" w14:textId="78BAE022" w:rsidR="007561B4" w:rsidRDefault="00196C20" w:rsidP="007561B4">
      <w:pPr>
        <w:pStyle w:val="a3"/>
        <w:rPr>
          <w:lang w:val="hu-HU"/>
        </w:rPr>
      </w:pPr>
      <w:r w:rsidRPr="005A05DE">
        <w:rPr>
          <w:lang w:val="hu-HU"/>
        </w:rPr>
        <w:t xml:space="preserve">A </w:t>
      </w:r>
      <w:r w:rsidR="00D92752">
        <w:rPr>
          <w:lang w:val="hu-HU"/>
        </w:rPr>
        <w:t>Yuflyma</w:t>
      </w:r>
      <w:r w:rsidRPr="005A05DE">
        <w:rPr>
          <w:lang w:val="hu-HU"/>
        </w:rPr>
        <w:t xml:space="preserve"> 2 éves kortól alkalmazható a gyermekkori ismeretlen eredetű sokízületi gyulladás (poliartikuláris juvenilis idiopátiás artritisz) kezelésére. Gyermeke először egyéb betegséget módosító gyógyszereket (például metotrexátot) kaphat. Ha ezek a gyógyszerek nem hatnak megfelelően, akkor fog gyermeke a poliartikuláris juvenilis idiopátiás artritisz kezelésére </w:t>
      </w:r>
      <w:r w:rsidR="00D92752">
        <w:rPr>
          <w:lang w:val="hu-HU"/>
        </w:rPr>
        <w:t>Yuflyma</w:t>
      </w:r>
      <w:r w:rsidRPr="005A05DE">
        <w:rPr>
          <w:lang w:val="hu-HU"/>
        </w:rPr>
        <w:t>-t kapni</w:t>
      </w:r>
      <w:r w:rsidR="007561B4">
        <w:rPr>
          <w:rFonts w:eastAsia="Times New Roman"/>
          <w:lang w:val="hu-HU"/>
        </w:rPr>
        <w:t>.</w:t>
      </w:r>
    </w:p>
    <w:p w14:paraId="7B0572CD" w14:textId="77777777" w:rsidR="007561B4" w:rsidRDefault="007561B4" w:rsidP="007561B4">
      <w:pPr>
        <w:spacing w:before="13" w:line="240" w:lineRule="exact"/>
        <w:rPr>
          <w:sz w:val="24"/>
          <w:szCs w:val="24"/>
          <w:lang w:val="hu-HU"/>
        </w:rPr>
      </w:pPr>
    </w:p>
    <w:p w14:paraId="1B122F91" w14:textId="77777777" w:rsidR="007561B4" w:rsidRDefault="007561B4" w:rsidP="007561B4">
      <w:pPr>
        <w:pStyle w:val="a3"/>
        <w:rPr>
          <w:lang w:val="hu-HU"/>
        </w:rPr>
      </w:pPr>
      <w:r>
        <w:rPr>
          <w:rFonts w:eastAsia="Times New Roman"/>
          <w:lang w:val="hu-HU"/>
        </w:rPr>
        <w:t>Az Ön kezelőorvosa fogja eldönteni, hogy a Yuflyma-t metotrexáttal együtt, vagy önmagában alkalmazza.</w:t>
      </w:r>
    </w:p>
    <w:p w14:paraId="23B7825A" w14:textId="77777777" w:rsidR="007561B4" w:rsidRDefault="007561B4" w:rsidP="007561B4">
      <w:pPr>
        <w:spacing w:before="16" w:line="240" w:lineRule="exact"/>
        <w:rPr>
          <w:sz w:val="24"/>
          <w:szCs w:val="24"/>
          <w:lang w:val="hu-HU"/>
        </w:rPr>
      </w:pPr>
    </w:p>
    <w:p w14:paraId="521084C5" w14:textId="77777777" w:rsidR="007561B4" w:rsidRDefault="007561B4" w:rsidP="007561B4">
      <w:pPr>
        <w:pStyle w:val="a3"/>
        <w:rPr>
          <w:rFonts w:eastAsia="Times New Roman"/>
          <w:b/>
          <w:lang w:val="hu-HU"/>
        </w:rPr>
      </w:pPr>
      <w:r>
        <w:rPr>
          <w:rFonts w:eastAsia="Times New Roman"/>
          <w:b/>
          <w:bCs/>
          <w:lang w:val="hu-HU"/>
        </w:rPr>
        <w:t>E</w:t>
      </w:r>
      <w:r>
        <w:rPr>
          <w:rFonts w:eastAsia="Times New Roman"/>
          <w:b/>
          <w:lang w:val="hu-HU"/>
        </w:rPr>
        <w:t>ntezitisszel társult artritisz</w:t>
      </w:r>
    </w:p>
    <w:p w14:paraId="5EC25DBE" w14:textId="77777777" w:rsidR="007561B4" w:rsidRDefault="007561B4" w:rsidP="007561B4">
      <w:pPr>
        <w:pStyle w:val="a3"/>
        <w:rPr>
          <w:sz w:val="24"/>
          <w:szCs w:val="24"/>
          <w:lang w:val="hu-HU"/>
        </w:rPr>
      </w:pPr>
    </w:p>
    <w:p w14:paraId="61933C9B" w14:textId="77777777" w:rsidR="007561B4" w:rsidRDefault="007561B4" w:rsidP="007561B4">
      <w:pPr>
        <w:pStyle w:val="a3"/>
        <w:rPr>
          <w:lang w:val="hu-HU"/>
        </w:rPr>
      </w:pPr>
      <w:r>
        <w:rPr>
          <w:rFonts w:eastAsia="Times New Roman"/>
          <w:lang w:val="hu-HU"/>
        </w:rPr>
        <w:t>Az ínak tapadási helyeinek gyulladásos elváltozásával társult reumás ízületi gyulladás az ízületek gyulladásos betegsége.</w:t>
      </w:r>
    </w:p>
    <w:p w14:paraId="6888E670" w14:textId="77777777" w:rsidR="007561B4" w:rsidRDefault="007561B4" w:rsidP="007561B4">
      <w:pPr>
        <w:spacing w:before="10" w:line="240" w:lineRule="exact"/>
        <w:rPr>
          <w:sz w:val="24"/>
          <w:szCs w:val="24"/>
          <w:lang w:val="hu-HU"/>
        </w:rPr>
      </w:pPr>
    </w:p>
    <w:p w14:paraId="66FD589C" w14:textId="725125C1" w:rsidR="007561B4" w:rsidRDefault="00196C20" w:rsidP="007561B4">
      <w:pPr>
        <w:pStyle w:val="a3"/>
        <w:rPr>
          <w:lang w:val="hu-HU"/>
        </w:rPr>
      </w:pPr>
      <w:r w:rsidRPr="005A05DE">
        <w:rPr>
          <w:lang w:val="hu-HU"/>
        </w:rPr>
        <w:t xml:space="preserve">A </w:t>
      </w:r>
      <w:r w:rsidR="00D92752">
        <w:rPr>
          <w:lang w:val="hu-HU"/>
        </w:rPr>
        <w:t>Yuflyma</w:t>
      </w:r>
      <w:r w:rsidRPr="005A05DE">
        <w:rPr>
          <w:lang w:val="hu-HU"/>
        </w:rPr>
        <w:t xml:space="preserve"> 6 éves kortól alkalmazható az entezitisszel társult artritisz kezelésére. Gyermeke először egyéb betegséget módosító gyógyszereket (például metotrexátot) kaphat. Ha ezek a gyógyszerek nem hatnak megfelelően, akkor fog gyermeke az entezitisszel társult artritisz kezelésre </w:t>
      </w:r>
      <w:r w:rsidR="00D92752">
        <w:rPr>
          <w:lang w:val="hu-HU"/>
        </w:rPr>
        <w:t>Yuflyma</w:t>
      </w:r>
      <w:r w:rsidRPr="005A05DE">
        <w:rPr>
          <w:lang w:val="hu-HU"/>
        </w:rPr>
        <w:t>-t kapni</w:t>
      </w:r>
      <w:r w:rsidR="007561B4">
        <w:rPr>
          <w:rFonts w:eastAsia="Times New Roman"/>
          <w:lang w:val="hu-HU"/>
        </w:rPr>
        <w:t>.</w:t>
      </w:r>
    </w:p>
    <w:p w14:paraId="203D5787" w14:textId="77777777" w:rsidR="007561B4" w:rsidRDefault="007561B4" w:rsidP="007561B4">
      <w:pPr>
        <w:spacing w:before="2" w:line="260" w:lineRule="exact"/>
        <w:rPr>
          <w:sz w:val="26"/>
          <w:szCs w:val="26"/>
          <w:lang w:val="hu-HU"/>
        </w:rPr>
      </w:pPr>
    </w:p>
    <w:p w14:paraId="23775EDB" w14:textId="0A4248F6" w:rsidR="007561B4" w:rsidRPr="005A05DE" w:rsidRDefault="00196C20" w:rsidP="007561B4">
      <w:pPr>
        <w:pStyle w:val="a3"/>
        <w:rPr>
          <w:rFonts w:eastAsia="Times New Roman"/>
          <w:b/>
          <w:bCs/>
          <w:lang w:val="hu-HU"/>
        </w:rPr>
      </w:pPr>
      <w:r w:rsidRPr="005A05DE">
        <w:rPr>
          <w:rFonts w:eastAsia="Times New Roman"/>
          <w:b/>
          <w:bCs/>
          <w:lang w:val="hu-HU"/>
        </w:rPr>
        <w:t>Gyermekkori plakkos pszoriázis (pikkelysömör)</w:t>
      </w:r>
    </w:p>
    <w:p w14:paraId="357EBC0B" w14:textId="77777777" w:rsidR="007561B4" w:rsidRDefault="007561B4" w:rsidP="007561B4">
      <w:pPr>
        <w:spacing w:before="9" w:line="240" w:lineRule="exact"/>
        <w:rPr>
          <w:sz w:val="24"/>
          <w:szCs w:val="24"/>
          <w:lang w:val="hu-HU"/>
        </w:rPr>
      </w:pPr>
    </w:p>
    <w:p w14:paraId="5A00CC95" w14:textId="4A731469" w:rsidR="007561B4" w:rsidRPr="005A05DE" w:rsidRDefault="007561B4" w:rsidP="007561B4">
      <w:pPr>
        <w:pStyle w:val="a3"/>
        <w:rPr>
          <w:lang w:val="hu-HU"/>
        </w:rPr>
      </w:pPr>
      <w:r>
        <w:rPr>
          <w:rFonts w:eastAsia="Times New Roman"/>
          <w:lang w:val="hu-HU"/>
        </w:rPr>
        <w:t>A plakkos pszoriázis egy gyulladásos bőrbetegség, amely ezüstös pikkelyekkel borított piros, hámló, kérges foltokat okoz a bőrön. A plakkos pszoriázis a körmöket is érintheti, a köröm töredezését, megvastagodását, a körömágytól való elválását okozva, ami fájdalmas lehet.</w:t>
      </w:r>
      <w:r w:rsidR="00037D3F" w:rsidRPr="005A05DE">
        <w:rPr>
          <w:lang w:val="hu-HU"/>
        </w:rPr>
        <w:t xml:space="preserve"> A pszoriázist vélhetően a szervezet immunrendszerének hibája okozza, amely a bőrsejtek fokozott termelődéséhez vezet.</w:t>
      </w:r>
    </w:p>
    <w:p w14:paraId="6BB5611E" w14:textId="77777777" w:rsidR="007561B4" w:rsidRDefault="007561B4" w:rsidP="007561B4">
      <w:pPr>
        <w:spacing w:before="13" w:line="240" w:lineRule="exact"/>
        <w:rPr>
          <w:sz w:val="24"/>
          <w:szCs w:val="24"/>
          <w:lang w:val="hu-HU"/>
        </w:rPr>
      </w:pPr>
    </w:p>
    <w:p w14:paraId="6982D913" w14:textId="78AA6FAE" w:rsidR="007561B4" w:rsidRPr="005A05DE" w:rsidRDefault="007561B4" w:rsidP="005A05DE">
      <w:pPr>
        <w:pStyle w:val="a3"/>
        <w:rPr>
          <w:lang w:val="hu-HU"/>
        </w:rPr>
      </w:pPr>
      <w:r>
        <w:rPr>
          <w:rFonts w:eastAsia="Times New Roman"/>
          <w:lang w:val="hu-HU"/>
        </w:rPr>
        <w:t>A Yuflyma alkalmazható</w:t>
      </w:r>
      <w:r w:rsidR="00037D3F">
        <w:rPr>
          <w:rFonts w:hint="eastAsia"/>
          <w:lang w:val="hu-HU" w:eastAsia="ko-KR"/>
        </w:rPr>
        <w:t xml:space="preserve"> </w:t>
      </w:r>
      <w:r>
        <w:rPr>
          <w:rFonts w:eastAsia="Times New Roman"/>
          <w:lang w:val="hu-HU"/>
        </w:rPr>
        <w:t>továbbá súlyos plakkos pszoriázisban szenvedő, 4-től betöltött 18 éves koráig gyermekeknél és serdülőknél,</w:t>
      </w:r>
      <w:r w:rsidR="00037D3F">
        <w:rPr>
          <w:rFonts w:hint="eastAsia"/>
          <w:lang w:val="hu-HU" w:eastAsia="ko-KR"/>
        </w:rPr>
        <w:t xml:space="preserve"> </w:t>
      </w:r>
      <w:r>
        <w:rPr>
          <w:rFonts w:eastAsia="Times New Roman"/>
          <w:lang w:val="hu-HU"/>
        </w:rPr>
        <w:t>akiknél a helyi kezelés és a fényterápiák nem használtak, vagy nem alkalmazhatóak</w:t>
      </w:r>
    </w:p>
    <w:p w14:paraId="5BCEA1E4" w14:textId="77777777" w:rsidR="007561B4" w:rsidRDefault="007561B4" w:rsidP="007561B4">
      <w:pPr>
        <w:spacing w:before="15" w:line="240" w:lineRule="exact"/>
        <w:rPr>
          <w:sz w:val="24"/>
          <w:szCs w:val="24"/>
          <w:lang w:val="hu-HU"/>
        </w:rPr>
      </w:pPr>
    </w:p>
    <w:p w14:paraId="6016C7B0" w14:textId="48E7C69A" w:rsidR="007561B4" w:rsidRPr="005A05DE" w:rsidRDefault="00037D3F" w:rsidP="007561B4">
      <w:pPr>
        <w:pStyle w:val="a3"/>
        <w:rPr>
          <w:rFonts w:eastAsia="Times New Roman"/>
          <w:b/>
          <w:bCs/>
          <w:lang w:val="hu-HU"/>
        </w:rPr>
      </w:pPr>
      <w:r w:rsidRPr="005A05DE">
        <w:rPr>
          <w:rFonts w:eastAsia="Times New Roman"/>
          <w:b/>
          <w:bCs/>
          <w:lang w:val="hu-HU"/>
        </w:rPr>
        <w:t>Gyermekkori Crohn-betegség</w:t>
      </w:r>
    </w:p>
    <w:p w14:paraId="64F78B12" w14:textId="77777777" w:rsidR="007561B4" w:rsidRDefault="007561B4" w:rsidP="007561B4">
      <w:pPr>
        <w:pStyle w:val="a3"/>
        <w:rPr>
          <w:u w:val="single"/>
          <w:lang w:val="hu-HU"/>
        </w:rPr>
      </w:pPr>
    </w:p>
    <w:p w14:paraId="07CD9C86" w14:textId="212F3699" w:rsidR="007561B4" w:rsidRDefault="007561B4" w:rsidP="005A05DE">
      <w:pPr>
        <w:pStyle w:val="a3"/>
        <w:rPr>
          <w:lang w:val="hu-HU"/>
        </w:rPr>
      </w:pPr>
      <w:r>
        <w:rPr>
          <w:rFonts w:eastAsia="Times New Roman"/>
          <w:lang w:val="hu-HU"/>
        </w:rPr>
        <w:t xml:space="preserve">A Crohn- betegség </w:t>
      </w:r>
      <w:r>
        <w:rPr>
          <w:lang w:val="hu-HU"/>
        </w:rPr>
        <w:t>vékonybél gyulladásos betegsége</w:t>
      </w:r>
      <w:r>
        <w:rPr>
          <w:rFonts w:eastAsia="Times New Roman"/>
          <w:lang w:val="hu-HU"/>
        </w:rPr>
        <w:t>. A Yuflyma alkalmazható</w:t>
      </w:r>
      <w:r w:rsidR="00037D3F">
        <w:rPr>
          <w:rFonts w:eastAsia="Times New Roman"/>
          <w:lang w:val="hu-HU"/>
        </w:rPr>
        <w:t xml:space="preserve"> </w:t>
      </w:r>
      <w:r>
        <w:rPr>
          <w:rFonts w:eastAsia="Times New Roman"/>
          <w:lang w:val="hu-HU"/>
        </w:rPr>
        <w:t xml:space="preserve">közepesen súlyos – </w:t>
      </w:r>
      <w:r w:rsidRPr="009167C6">
        <w:rPr>
          <w:lang w:val="hu-HU"/>
        </w:rPr>
        <w:t> </w:t>
      </w:r>
      <w:r>
        <w:rPr>
          <w:rFonts w:eastAsia="Times New Roman"/>
          <w:lang w:val="hu-HU"/>
        </w:rPr>
        <w:t>súlyos Crohn-betegségben szenved</w:t>
      </w:r>
      <w:r w:rsidRPr="00435A19">
        <w:rPr>
          <w:rFonts w:eastAsia="Times New Roman"/>
          <w:lang w:val="hu-HU"/>
        </w:rPr>
        <w:t>ő</w:t>
      </w:r>
      <w:r>
        <w:rPr>
          <w:rFonts w:eastAsia="Times New Roman"/>
          <w:lang w:val="hu-HU"/>
        </w:rPr>
        <w:t xml:space="preserve"> serdülők (</w:t>
      </w:r>
      <w:r w:rsidRPr="00435A19">
        <w:rPr>
          <w:rFonts w:eastAsia="Times New Roman"/>
          <w:lang w:val="hu-HU"/>
        </w:rPr>
        <w:t xml:space="preserve"> 6-</w:t>
      </w:r>
      <w:r>
        <w:rPr>
          <w:rFonts w:eastAsia="Times New Roman"/>
          <w:lang w:val="hu-HU"/>
        </w:rPr>
        <w:t xml:space="preserve">tól betöltött </w:t>
      </w:r>
      <w:r w:rsidRPr="00435A19">
        <w:rPr>
          <w:rFonts w:eastAsia="Times New Roman"/>
          <w:lang w:val="hu-HU"/>
        </w:rPr>
        <w:t>1</w:t>
      </w:r>
      <w:r>
        <w:rPr>
          <w:rFonts w:eastAsia="Times New Roman"/>
          <w:lang w:val="hu-HU"/>
        </w:rPr>
        <w:t>8</w:t>
      </w:r>
      <w:r w:rsidRPr="00435A19">
        <w:rPr>
          <w:rFonts w:eastAsia="Times New Roman"/>
          <w:lang w:val="hu-HU"/>
        </w:rPr>
        <w:t xml:space="preserve"> éves</w:t>
      </w:r>
      <w:r>
        <w:rPr>
          <w:rFonts w:eastAsia="Times New Roman"/>
          <w:lang w:val="hu-HU"/>
        </w:rPr>
        <w:t xml:space="preserve"> korig) kezelésére.</w:t>
      </w:r>
    </w:p>
    <w:p w14:paraId="75FA7128" w14:textId="77777777" w:rsidR="007561B4" w:rsidRDefault="007561B4" w:rsidP="007561B4">
      <w:pPr>
        <w:spacing w:before="16" w:line="240" w:lineRule="exact"/>
        <w:rPr>
          <w:sz w:val="24"/>
          <w:szCs w:val="24"/>
          <w:lang w:val="hu-HU"/>
        </w:rPr>
      </w:pPr>
    </w:p>
    <w:p w14:paraId="1612BCCE" w14:textId="76E16410" w:rsidR="007561B4" w:rsidRPr="005A05DE" w:rsidRDefault="00037D3F" w:rsidP="005A05DE">
      <w:pPr>
        <w:pStyle w:val="a3"/>
        <w:rPr>
          <w:rFonts w:eastAsia="Times New Roman"/>
          <w:lang w:val="hu-HU"/>
        </w:rPr>
      </w:pPr>
      <w:r w:rsidRPr="005A05DE">
        <w:rPr>
          <w:rFonts w:eastAsia="Times New Roman"/>
          <w:lang w:val="hu-HU"/>
        </w:rPr>
        <w:t xml:space="preserve">Gyermeke először egyéb gyógyszereket kaphat. Ha ezek a gyógyszerek nem hatnak megfelelően, akkor fog gyermeke a betegség jeleinek és tüneteinek enyhítésére </w:t>
      </w:r>
      <w:r w:rsidR="00D92752">
        <w:rPr>
          <w:rFonts w:eastAsia="Times New Roman"/>
          <w:lang w:val="hu-HU"/>
        </w:rPr>
        <w:t>Yuflyma</w:t>
      </w:r>
      <w:r w:rsidRPr="005A05DE">
        <w:rPr>
          <w:rFonts w:eastAsia="Times New Roman"/>
          <w:lang w:val="hu-HU"/>
        </w:rPr>
        <w:t>-t kapni.</w:t>
      </w:r>
    </w:p>
    <w:p w14:paraId="3944E29C" w14:textId="77777777" w:rsidR="00037D3F" w:rsidRPr="005A05DE" w:rsidRDefault="00037D3F" w:rsidP="005A05DE">
      <w:pPr>
        <w:pStyle w:val="a3"/>
        <w:rPr>
          <w:rFonts w:eastAsia="Times New Roman"/>
          <w:lang w:val="hu-HU"/>
        </w:rPr>
      </w:pPr>
    </w:p>
    <w:p w14:paraId="01E014CD" w14:textId="74E0ECD1" w:rsidR="007561B4" w:rsidRDefault="00037D3F" w:rsidP="007561B4">
      <w:pPr>
        <w:pStyle w:val="a3"/>
        <w:rPr>
          <w:b/>
          <w:lang w:val="hu-HU"/>
        </w:rPr>
      </w:pPr>
      <w:r w:rsidRPr="005A05DE">
        <w:rPr>
          <w:rFonts w:eastAsia="Times New Roman"/>
          <w:b/>
          <w:bCs/>
          <w:lang w:val="hu-HU"/>
        </w:rPr>
        <w:t>Gyermekkori, nem fertőzéses eredetű szemgyulladás (uveitisz)</w:t>
      </w:r>
    </w:p>
    <w:p w14:paraId="0C8AA8AF" w14:textId="77777777" w:rsidR="007561B4" w:rsidRDefault="007561B4" w:rsidP="007561B4">
      <w:pPr>
        <w:pStyle w:val="a3"/>
        <w:rPr>
          <w:lang w:val="hu-HU"/>
        </w:rPr>
      </w:pPr>
    </w:p>
    <w:p w14:paraId="1B293BF7" w14:textId="6CCB7830" w:rsidR="007561B4" w:rsidRDefault="007561B4" w:rsidP="005A05DE">
      <w:pPr>
        <w:pStyle w:val="a3"/>
        <w:rPr>
          <w:lang w:val="hu-HU"/>
        </w:rPr>
      </w:pPr>
      <w:r>
        <w:rPr>
          <w:rFonts w:eastAsia="Times New Roman"/>
          <w:lang w:val="hu-HU"/>
        </w:rPr>
        <w:t>A nem fertőzéses eredetű szemgyulladás egy gyulladásos betegség, mely a szem bizonyos részeit érinti. A Yuflyma alkalmazható</w:t>
      </w:r>
      <w:r w:rsidR="00037D3F">
        <w:rPr>
          <w:rFonts w:eastAsia="Times New Roman"/>
          <w:lang w:val="hu-HU"/>
        </w:rPr>
        <w:t xml:space="preserve"> </w:t>
      </w:r>
      <w:r>
        <w:rPr>
          <w:rFonts w:eastAsia="Times New Roman"/>
          <w:lang w:val="hu-HU"/>
        </w:rPr>
        <w:t>2 évnél idősebb gyermekeknél a krónikus, nem fertőzéses eredetű szemgyulladás kezelésére, amikor a gyulladás a szem elülső részét érinti</w:t>
      </w:r>
      <w:r w:rsidR="00201A71">
        <w:rPr>
          <w:rFonts w:eastAsia="Times New Roman"/>
          <w:lang w:val="hu-HU"/>
        </w:rPr>
        <w:t>.</w:t>
      </w:r>
    </w:p>
    <w:p w14:paraId="17EE398A" w14:textId="77777777" w:rsidR="007561B4" w:rsidRDefault="007561B4" w:rsidP="007561B4">
      <w:pPr>
        <w:pStyle w:val="a3"/>
        <w:rPr>
          <w:lang w:val="hu-HU"/>
        </w:rPr>
      </w:pPr>
    </w:p>
    <w:p w14:paraId="29222F90" w14:textId="77777777" w:rsidR="007561B4" w:rsidRDefault="007561B4" w:rsidP="007561B4">
      <w:pPr>
        <w:pStyle w:val="a3"/>
        <w:rPr>
          <w:lang w:val="hu-HU"/>
        </w:rPr>
      </w:pPr>
      <w:r>
        <w:rPr>
          <w:rFonts w:eastAsia="Times New Roman"/>
          <w:lang w:val="hu-HU"/>
        </w:rPr>
        <w:t>A gyulladás látáscsökkenéshez és/vagy a szemben úszkáló homályok (fekete pontok vagy vékony csíkok, melyek a látótéren mozognak) jelenlétéhez vezethet. A Yuflyma ezt a gyulladást csökkenti.</w:t>
      </w:r>
    </w:p>
    <w:p w14:paraId="1F876548" w14:textId="77777777" w:rsidR="007561B4" w:rsidRDefault="007561B4" w:rsidP="007561B4">
      <w:pPr>
        <w:spacing w:before="10" w:line="240" w:lineRule="exact"/>
        <w:rPr>
          <w:sz w:val="24"/>
          <w:szCs w:val="24"/>
          <w:lang w:val="hu-HU"/>
        </w:rPr>
      </w:pPr>
    </w:p>
    <w:p w14:paraId="0259E02C" w14:textId="13A610FE" w:rsidR="007561B4" w:rsidRPr="005A05DE" w:rsidRDefault="00037D3F" w:rsidP="007561B4">
      <w:pPr>
        <w:spacing w:before="18" w:line="240" w:lineRule="exact"/>
        <w:rPr>
          <w:rFonts w:ascii="Times New Roman" w:eastAsia="Times New Roman" w:hAnsi="Times New Roman" w:cs="Times New Roman"/>
          <w:lang w:val="hu-HU"/>
        </w:rPr>
      </w:pPr>
      <w:r w:rsidRPr="005A05DE">
        <w:rPr>
          <w:rFonts w:ascii="Times New Roman" w:eastAsia="Times New Roman" w:hAnsi="Times New Roman" w:cs="Times New Roman"/>
          <w:lang w:val="hu-HU"/>
        </w:rPr>
        <w:t xml:space="preserve">Gyermeke először egyéb gyógyszereket kaphat. Ha ezek a gyógyszerek nem hatnak megfelelően, akkor fog gyermeke a betegség jeleinek és tüneteinek enyhítésére </w:t>
      </w:r>
      <w:r w:rsidR="00D92752">
        <w:rPr>
          <w:rFonts w:ascii="Times New Roman" w:eastAsia="Times New Roman" w:hAnsi="Times New Roman" w:cs="Times New Roman"/>
          <w:lang w:val="hu-HU"/>
        </w:rPr>
        <w:t>Yuflyma</w:t>
      </w:r>
      <w:r w:rsidRPr="005A05DE">
        <w:rPr>
          <w:rFonts w:ascii="Times New Roman" w:eastAsia="Times New Roman" w:hAnsi="Times New Roman" w:cs="Times New Roman"/>
          <w:lang w:val="hu-HU"/>
        </w:rPr>
        <w:t>-t kapni.</w:t>
      </w:r>
    </w:p>
    <w:p w14:paraId="4CF9ADEF" w14:textId="4D64B594" w:rsidR="007561B4" w:rsidRPr="005A05DE" w:rsidRDefault="007561B4" w:rsidP="007561B4">
      <w:pPr>
        <w:spacing w:before="18" w:line="240" w:lineRule="exact"/>
        <w:ind w:left="108"/>
        <w:rPr>
          <w:rFonts w:ascii="Times New Roman" w:eastAsia="Times New Roman" w:hAnsi="Times New Roman" w:cs="Times New Roman"/>
          <w:lang w:val="hu-HU"/>
        </w:rPr>
      </w:pPr>
    </w:p>
    <w:p w14:paraId="2B96CF93" w14:textId="77777777" w:rsidR="00037D3F" w:rsidRPr="005A05DE" w:rsidRDefault="00037D3F" w:rsidP="007561B4">
      <w:pPr>
        <w:spacing w:before="18" w:line="240" w:lineRule="exact"/>
        <w:ind w:left="108"/>
        <w:rPr>
          <w:rFonts w:ascii="Times New Roman" w:eastAsia="Times New Roman" w:hAnsi="Times New Roman" w:cs="Times New Roman"/>
          <w:lang w:val="hu-HU"/>
        </w:rPr>
      </w:pPr>
    </w:p>
    <w:p w14:paraId="21927B47" w14:textId="7D9694B8" w:rsidR="007561B4" w:rsidRPr="005A05DE" w:rsidRDefault="00037D3F" w:rsidP="00FD05AA">
      <w:pPr>
        <w:pStyle w:val="a4"/>
        <w:numPr>
          <w:ilvl w:val="0"/>
          <w:numId w:val="82"/>
        </w:numPr>
        <w:spacing w:before="18" w:line="240" w:lineRule="exact"/>
        <w:ind w:left="357" w:hanging="357"/>
        <w:rPr>
          <w:rFonts w:ascii="Times New Roman" w:eastAsia="Times New Roman" w:hAnsi="Times New Roman" w:cs="Times New Roman"/>
          <w:b/>
          <w:bCs/>
          <w:lang w:val="hu-HU"/>
        </w:rPr>
      </w:pPr>
      <w:r w:rsidRPr="005A05DE">
        <w:rPr>
          <w:rFonts w:ascii="Times New Roman" w:eastAsia="Times New Roman" w:hAnsi="Times New Roman" w:cs="Times New Roman"/>
          <w:b/>
          <w:bCs/>
          <w:lang w:val="hu-HU"/>
        </w:rPr>
        <w:t xml:space="preserve">Tudnivalók a </w:t>
      </w:r>
      <w:r w:rsidR="00D92752">
        <w:rPr>
          <w:rFonts w:ascii="Times New Roman" w:eastAsia="Times New Roman" w:hAnsi="Times New Roman" w:cs="Times New Roman"/>
          <w:b/>
          <w:bCs/>
          <w:lang w:val="hu-HU"/>
        </w:rPr>
        <w:t>Yuflyma</w:t>
      </w:r>
      <w:r w:rsidRPr="005A05DE">
        <w:rPr>
          <w:rFonts w:ascii="Times New Roman" w:eastAsia="Times New Roman" w:hAnsi="Times New Roman" w:cs="Times New Roman"/>
          <w:b/>
          <w:bCs/>
          <w:lang w:val="hu-HU"/>
        </w:rPr>
        <w:t>-nak az Ön gyermekénél történő alkalmazása előtt</w:t>
      </w:r>
    </w:p>
    <w:p w14:paraId="0B9007EC" w14:textId="77777777" w:rsidR="007561B4" w:rsidRDefault="007561B4" w:rsidP="007561B4">
      <w:pPr>
        <w:spacing w:before="18" w:line="240" w:lineRule="exact"/>
        <w:ind w:left="108"/>
        <w:rPr>
          <w:b/>
          <w:bCs/>
          <w:lang w:val="hu-HU"/>
        </w:rPr>
      </w:pPr>
    </w:p>
    <w:p w14:paraId="2F8C93E5" w14:textId="77777777" w:rsidR="007561B4" w:rsidRDefault="007561B4" w:rsidP="007561B4">
      <w:pPr>
        <w:pStyle w:val="a3"/>
        <w:rPr>
          <w:b/>
          <w:lang w:val="hu-HU"/>
        </w:rPr>
      </w:pPr>
      <w:r>
        <w:rPr>
          <w:rFonts w:eastAsia="Times New Roman"/>
          <w:b/>
          <w:bCs/>
          <w:lang w:val="hu-HU"/>
        </w:rPr>
        <w:t>Ne alkalmazza a Yuflymát:</w:t>
      </w:r>
    </w:p>
    <w:p w14:paraId="3F1283A5" w14:textId="77777777" w:rsidR="007561B4" w:rsidRDefault="007561B4" w:rsidP="007561B4">
      <w:pPr>
        <w:pStyle w:val="a3"/>
        <w:rPr>
          <w:b/>
          <w:lang w:val="hu-HU"/>
        </w:rPr>
      </w:pPr>
    </w:p>
    <w:p w14:paraId="44512769" w14:textId="2488D362" w:rsidR="007561B4" w:rsidRDefault="00037D3F" w:rsidP="007561B4">
      <w:pPr>
        <w:pStyle w:val="a3"/>
        <w:numPr>
          <w:ilvl w:val="1"/>
          <w:numId w:val="4"/>
        </w:numPr>
        <w:ind w:left="660" w:hanging="660"/>
        <w:rPr>
          <w:lang w:val="hu-HU"/>
        </w:rPr>
      </w:pPr>
      <w:r w:rsidRPr="00167BF3">
        <w:rPr>
          <w:lang w:val="hu-HU"/>
        </w:rPr>
        <w:t>Ha gyermeke allergiás az adalimumabra vagy a gyógyszer (6. pontban felsorolt) egyéb összetevőjére.</w:t>
      </w:r>
    </w:p>
    <w:p w14:paraId="7861B225" w14:textId="77777777" w:rsidR="007561B4" w:rsidRDefault="007561B4" w:rsidP="007561B4">
      <w:pPr>
        <w:pStyle w:val="a3"/>
        <w:numPr>
          <w:ilvl w:val="0"/>
          <w:numId w:val="0"/>
        </w:numPr>
        <w:ind w:left="660"/>
        <w:rPr>
          <w:lang w:val="hu-HU"/>
        </w:rPr>
      </w:pPr>
    </w:p>
    <w:p w14:paraId="56FC2ED3" w14:textId="2F8C60CA" w:rsidR="007561B4" w:rsidRDefault="00037D3F" w:rsidP="007561B4">
      <w:pPr>
        <w:pStyle w:val="a3"/>
        <w:numPr>
          <w:ilvl w:val="1"/>
          <w:numId w:val="4"/>
        </w:numPr>
        <w:ind w:left="660" w:hanging="660"/>
        <w:rPr>
          <w:lang w:val="hu-HU"/>
        </w:rPr>
      </w:pPr>
      <w:r w:rsidRPr="005A05DE">
        <w:rPr>
          <w:lang w:val="hu-HU"/>
        </w:rPr>
        <w:t>Ha gyermeke súlyos fertőzésben szenved, beleértve az aktív tuberkulózist (lásd „Figyelmeztetések és óvintézkedések”). Kezelőorvosával feltétlenül közölje, ha gyermekének bármilyen fertőzésre utaló tünete van, mint például láz, sebek, fáradtságérzés, fogászati problémák</w:t>
      </w:r>
      <w:r w:rsidR="007561B4">
        <w:rPr>
          <w:rFonts w:eastAsia="Times New Roman"/>
          <w:lang w:val="hu-HU"/>
        </w:rPr>
        <w:t>.</w:t>
      </w:r>
    </w:p>
    <w:p w14:paraId="239D3862" w14:textId="77777777" w:rsidR="007561B4" w:rsidRDefault="007561B4" w:rsidP="007561B4">
      <w:pPr>
        <w:pStyle w:val="a3"/>
        <w:numPr>
          <w:ilvl w:val="0"/>
          <w:numId w:val="0"/>
        </w:numPr>
        <w:ind w:left="660"/>
        <w:rPr>
          <w:lang w:val="hu-HU"/>
        </w:rPr>
      </w:pPr>
    </w:p>
    <w:p w14:paraId="6188D85F" w14:textId="15B5A6FF" w:rsidR="007561B4" w:rsidRDefault="00037D3F" w:rsidP="007561B4">
      <w:pPr>
        <w:pStyle w:val="a3"/>
        <w:numPr>
          <w:ilvl w:val="1"/>
          <w:numId w:val="4"/>
        </w:numPr>
        <w:ind w:left="660" w:hanging="660"/>
        <w:rPr>
          <w:lang w:val="hu-HU"/>
        </w:rPr>
      </w:pPr>
      <w:r w:rsidRPr="005A05DE">
        <w:rPr>
          <w:lang w:val="hu-HU"/>
        </w:rPr>
        <w:t>Ha gyermeke közepesen súlyos vagy súlyos szívelégtelenségben szenved. Kezelőorvosával feltétlenül közölje, ha gyermekének súlyos szívproblémája van vagy volt (lásd „Figyelmeztetések és óvintézkedések”)</w:t>
      </w:r>
      <w:r w:rsidR="007561B4">
        <w:rPr>
          <w:rFonts w:eastAsia="Times New Roman"/>
          <w:lang w:val="hu-HU"/>
        </w:rPr>
        <w:t>.</w:t>
      </w:r>
    </w:p>
    <w:p w14:paraId="59E1AD5F" w14:textId="77777777" w:rsidR="007561B4" w:rsidRDefault="007561B4" w:rsidP="007561B4">
      <w:pPr>
        <w:spacing w:before="13" w:line="240" w:lineRule="exact"/>
        <w:rPr>
          <w:sz w:val="24"/>
          <w:szCs w:val="24"/>
          <w:lang w:val="hu-HU"/>
        </w:rPr>
      </w:pPr>
    </w:p>
    <w:p w14:paraId="41C4EED4" w14:textId="77777777" w:rsidR="007561B4" w:rsidRDefault="007561B4" w:rsidP="007561B4">
      <w:pPr>
        <w:pStyle w:val="a3"/>
        <w:rPr>
          <w:b/>
          <w:lang w:val="hu-HU"/>
        </w:rPr>
      </w:pPr>
      <w:r>
        <w:rPr>
          <w:rFonts w:eastAsia="Times New Roman"/>
          <w:b/>
          <w:bCs/>
          <w:lang w:val="hu-HU"/>
        </w:rPr>
        <w:t>Figyelmeztetések és óvintézkedések</w:t>
      </w:r>
    </w:p>
    <w:p w14:paraId="3B0B0246" w14:textId="77777777" w:rsidR="007561B4" w:rsidRDefault="007561B4" w:rsidP="007561B4">
      <w:pPr>
        <w:spacing w:before="9" w:line="240" w:lineRule="exact"/>
        <w:rPr>
          <w:sz w:val="24"/>
          <w:szCs w:val="24"/>
          <w:lang w:val="hu-HU"/>
        </w:rPr>
      </w:pPr>
    </w:p>
    <w:p w14:paraId="3063074E" w14:textId="77777777" w:rsidR="007561B4" w:rsidRDefault="007561B4" w:rsidP="007561B4">
      <w:pPr>
        <w:pStyle w:val="a3"/>
        <w:rPr>
          <w:lang w:val="hu-HU"/>
        </w:rPr>
      </w:pPr>
      <w:r>
        <w:rPr>
          <w:rFonts w:eastAsia="Times New Roman"/>
          <w:lang w:val="hu-HU"/>
        </w:rPr>
        <w:t>A Yuflyma alkalmazása előtt beszéljen kezelőorvosával vagy gyógyszerészével</w:t>
      </w:r>
    </w:p>
    <w:p w14:paraId="621C06F0" w14:textId="77777777" w:rsidR="007561B4" w:rsidRDefault="007561B4" w:rsidP="007561B4">
      <w:pPr>
        <w:pStyle w:val="a3"/>
        <w:rPr>
          <w:lang w:val="hu-HU"/>
        </w:rPr>
      </w:pPr>
    </w:p>
    <w:p w14:paraId="68430997" w14:textId="77777777" w:rsidR="007561B4" w:rsidRDefault="007561B4" w:rsidP="007561B4">
      <w:pPr>
        <w:pStyle w:val="a3"/>
        <w:rPr>
          <w:u w:val="single" w:color="000000"/>
          <w:lang w:val="hu-HU"/>
        </w:rPr>
      </w:pPr>
      <w:r>
        <w:rPr>
          <w:rFonts w:eastAsia="Times New Roman"/>
          <w:u w:val="single" w:color="000000"/>
          <w:lang w:val="hu-HU"/>
        </w:rPr>
        <w:t>Allergiás reakciók</w:t>
      </w:r>
    </w:p>
    <w:p w14:paraId="6ED3CEFA" w14:textId="77777777" w:rsidR="007561B4" w:rsidRDefault="007561B4" w:rsidP="007561B4">
      <w:pPr>
        <w:pStyle w:val="a3"/>
        <w:rPr>
          <w:u w:val="single"/>
          <w:lang w:val="hu-HU"/>
        </w:rPr>
      </w:pPr>
    </w:p>
    <w:p w14:paraId="4EB846F4" w14:textId="30B79D8F" w:rsidR="007561B4" w:rsidRDefault="00037D3F" w:rsidP="007561B4">
      <w:pPr>
        <w:pStyle w:val="a3"/>
        <w:numPr>
          <w:ilvl w:val="1"/>
          <w:numId w:val="4"/>
        </w:numPr>
        <w:ind w:left="660" w:hanging="660"/>
        <w:rPr>
          <w:lang w:val="hu-HU"/>
        </w:rPr>
      </w:pPr>
      <w:r w:rsidRPr="005A05DE">
        <w:rPr>
          <w:lang w:val="hu-HU"/>
        </w:rPr>
        <w:t xml:space="preserve">Ha gyermeke allergiás reakciót észlel olyan tünetekkel, mint a mellkasi szorítás, asztmás légzés, szédülés, duzzanat vagy bőrkiütés, ne alkalmazza a </w:t>
      </w:r>
      <w:r w:rsidR="00D92752">
        <w:rPr>
          <w:lang w:val="hu-HU"/>
        </w:rPr>
        <w:t>Yuflyma</w:t>
      </w:r>
      <w:r w:rsidRPr="005A05DE">
        <w:rPr>
          <w:lang w:val="hu-HU"/>
        </w:rPr>
        <w:t>-t és azonnal forduljon orvosához, mivel ritka esetekben ezek a reakciók életveszélyesek lehetnek</w:t>
      </w:r>
      <w:r w:rsidR="007561B4">
        <w:rPr>
          <w:rFonts w:eastAsia="Times New Roman"/>
          <w:lang w:val="hu-HU"/>
        </w:rPr>
        <w:t>.</w:t>
      </w:r>
    </w:p>
    <w:p w14:paraId="0E86DB7B" w14:textId="77777777" w:rsidR="007561B4" w:rsidRDefault="007561B4" w:rsidP="007561B4">
      <w:pPr>
        <w:pStyle w:val="a3"/>
        <w:rPr>
          <w:b/>
          <w:lang w:val="hu-HU"/>
        </w:rPr>
      </w:pPr>
    </w:p>
    <w:p w14:paraId="669EB32E" w14:textId="77777777" w:rsidR="007561B4" w:rsidRDefault="007561B4" w:rsidP="007561B4">
      <w:pPr>
        <w:pStyle w:val="a3"/>
        <w:rPr>
          <w:u w:val="single"/>
          <w:lang w:val="hu-HU"/>
        </w:rPr>
      </w:pPr>
      <w:r>
        <w:rPr>
          <w:rFonts w:eastAsia="Times New Roman"/>
          <w:u w:val="single"/>
          <w:lang w:val="hu-HU"/>
        </w:rPr>
        <w:t>Fertőzések</w:t>
      </w:r>
    </w:p>
    <w:p w14:paraId="714CE012" w14:textId="77777777" w:rsidR="007561B4" w:rsidRDefault="007561B4" w:rsidP="007561B4">
      <w:pPr>
        <w:pStyle w:val="a3"/>
        <w:rPr>
          <w:b/>
          <w:lang w:val="hu-HU"/>
        </w:rPr>
      </w:pPr>
    </w:p>
    <w:p w14:paraId="2D3D161D" w14:textId="7DC957BC" w:rsidR="007561B4" w:rsidRDefault="00037D3F" w:rsidP="007561B4">
      <w:pPr>
        <w:pStyle w:val="a3"/>
        <w:numPr>
          <w:ilvl w:val="1"/>
          <w:numId w:val="4"/>
        </w:numPr>
        <w:ind w:left="660" w:hanging="660"/>
        <w:rPr>
          <w:lang w:val="hu-HU"/>
        </w:rPr>
      </w:pPr>
      <w:r w:rsidRPr="005A05DE">
        <w:rPr>
          <w:lang w:val="hu-HU"/>
        </w:rPr>
        <w:t xml:space="preserve">Ha gyermeke fertőzésben szenved, beleértve a hosszantartó vagy helyi fertőzést is (például lábszárfekély), a </w:t>
      </w:r>
      <w:r w:rsidR="00D92752">
        <w:rPr>
          <w:lang w:val="hu-HU"/>
        </w:rPr>
        <w:t>Yuflyma</w:t>
      </w:r>
      <w:r w:rsidRPr="005A05DE">
        <w:rPr>
          <w:lang w:val="hu-HU"/>
        </w:rPr>
        <w:t xml:space="preserve"> alkalmazása előtt beszéljen orvosával. </w:t>
      </w:r>
      <w:r w:rsidRPr="00167BF3">
        <w:rPr>
          <w:lang w:val="hu-HU"/>
        </w:rPr>
        <w:t>Ha kétségei vannak, forduljon orvosához</w:t>
      </w:r>
      <w:r w:rsidR="007561B4">
        <w:rPr>
          <w:rFonts w:eastAsia="Times New Roman"/>
          <w:lang w:val="hu-HU"/>
        </w:rPr>
        <w:t>.</w:t>
      </w:r>
    </w:p>
    <w:p w14:paraId="1B862EE1" w14:textId="77777777" w:rsidR="007561B4" w:rsidRDefault="007561B4" w:rsidP="007561B4">
      <w:pPr>
        <w:pStyle w:val="a3"/>
        <w:rPr>
          <w:lang w:val="hu-HU"/>
        </w:rPr>
      </w:pPr>
    </w:p>
    <w:p w14:paraId="05C12723" w14:textId="660A3563" w:rsidR="007561B4" w:rsidRDefault="00D92752" w:rsidP="007561B4">
      <w:pPr>
        <w:pStyle w:val="a3"/>
        <w:numPr>
          <w:ilvl w:val="1"/>
          <w:numId w:val="4"/>
        </w:numPr>
        <w:ind w:left="660" w:hanging="660"/>
        <w:rPr>
          <w:lang w:val="hu-HU"/>
        </w:rPr>
      </w:pPr>
      <w:r>
        <w:rPr>
          <w:lang w:val="hu-HU"/>
        </w:rPr>
        <w:t>Yuflyma</w:t>
      </w:r>
      <w:r w:rsidR="00037D3F" w:rsidRPr="005A05DE">
        <w:rPr>
          <w:lang w:val="hu-HU"/>
        </w:rPr>
        <w:t>-kezelés során gyermeke könnyebben kaphat meg fertőzéseket. Ennek veszélye nagyobb lehet, ha a légzésfunkciója károsodott. Ezek a fertőzések súlyosak lehetnek és közéjük tartozik</w:t>
      </w:r>
      <w:r w:rsidR="007561B4">
        <w:rPr>
          <w:rFonts w:eastAsia="Times New Roman"/>
          <w:lang w:val="hu-HU"/>
        </w:rPr>
        <w:t>:</w:t>
      </w:r>
    </w:p>
    <w:p w14:paraId="5E07226F" w14:textId="77777777" w:rsidR="007561B4" w:rsidRDefault="007561B4" w:rsidP="007561B4">
      <w:pPr>
        <w:pStyle w:val="a3"/>
        <w:numPr>
          <w:ilvl w:val="1"/>
          <w:numId w:val="4"/>
        </w:numPr>
        <w:ind w:left="660" w:firstLine="49"/>
        <w:rPr>
          <w:lang w:val="hu-HU"/>
        </w:rPr>
      </w:pPr>
      <w:r>
        <w:rPr>
          <w:rFonts w:eastAsia="Times New Roman"/>
          <w:lang w:val="hu-HU"/>
        </w:rPr>
        <w:t>tuberkulózis</w:t>
      </w:r>
    </w:p>
    <w:p w14:paraId="52C0E96B" w14:textId="77777777" w:rsidR="007561B4" w:rsidRDefault="007561B4" w:rsidP="007561B4">
      <w:pPr>
        <w:pStyle w:val="a3"/>
        <w:numPr>
          <w:ilvl w:val="1"/>
          <w:numId w:val="4"/>
        </w:numPr>
        <w:ind w:left="660" w:firstLine="49"/>
        <w:rPr>
          <w:lang w:val="hu-HU"/>
        </w:rPr>
      </w:pPr>
      <w:r>
        <w:rPr>
          <w:rFonts w:eastAsia="Times New Roman"/>
          <w:lang w:val="hu-HU"/>
        </w:rPr>
        <w:t>vírusok, gombák, paraziták vagy baktériumok okozta fertőzések</w:t>
      </w:r>
    </w:p>
    <w:p w14:paraId="4DC799B1" w14:textId="77777777" w:rsidR="007561B4" w:rsidRDefault="007561B4" w:rsidP="007561B4">
      <w:pPr>
        <w:pStyle w:val="a3"/>
        <w:numPr>
          <w:ilvl w:val="1"/>
          <w:numId w:val="4"/>
        </w:numPr>
        <w:ind w:left="660" w:firstLine="49"/>
        <w:rPr>
          <w:lang w:val="hu-HU"/>
        </w:rPr>
      </w:pPr>
      <w:r>
        <w:rPr>
          <w:rFonts w:eastAsia="Times New Roman"/>
          <w:lang w:val="hu-HU"/>
        </w:rPr>
        <w:t>súlyos fertőzés a vérben (szepszis)</w:t>
      </w:r>
    </w:p>
    <w:p w14:paraId="7D6003BF" w14:textId="77777777" w:rsidR="007561B4" w:rsidRDefault="007561B4" w:rsidP="007561B4">
      <w:pPr>
        <w:pStyle w:val="a3"/>
        <w:rPr>
          <w:lang w:val="hu-HU"/>
        </w:rPr>
      </w:pPr>
    </w:p>
    <w:p w14:paraId="677CBE88" w14:textId="0DFCBE19" w:rsidR="007561B4" w:rsidRDefault="007561B4" w:rsidP="005A05DE">
      <w:pPr>
        <w:pStyle w:val="a3"/>
        <w:numPr>
          <w:ilvl w:val="0"/>
          <w:numId w:val="0"/>
        </w:numPr>
        <w:ind w:left="660"/>
        <w:rPr>
          <w:lang w:val="hu-HU"/>
        </w:rPr>
      </w:pPr>
      <w:r>
        <w:rPr>
          <w:rFonts w:eastAsia="Times New Roman"/>
          <w:lang w:val="hu-HU"/>
        </w:rPr>
        <w:t xml:space="preserve">Ritkán ezek a fertőzések életveszélyesek lehetnek. </w:t>
      </w:r>
      <w:r w:rsidR="00BB204D" w:rsidRPr="005A05DE">
        <w:rPr>
          <w:lang w:val="hu-HU"/>
        </w:rPr>
        <w:t>Fontos, hogy közölje kezelőorvosával, ha gyermekének olyan tünete van, mint a láz, sebek, fáradtságérzés, fogászati problémák</w:t>
      </w:r>
      <w:r>
        <w:rPr>
          <w:rFonts w:eastAsia="Times New Roman"/>
          <w:lang w:val="hu-HU"/>
        </w:rPr>
        <w:t>. Kezelőorvosa a Yuflyma-kezelés átmeneti felfüggesztését javasolhatja.</w:t>
      </w:r>
    </w:p>
    <w:p w14:paraId="37A642E5" w14:textId="77777777" w:rsidR="007561B4" w:rsidRDefault="007561B4" w:rsidP="007561B4">
      <w:pPr>
        <w:pStyle w:val="a3"/>
        <w:rPr>
          <w:lang w:val="hu-HU"/>
        </w:rPr>
      </w:pPr>
    </w:p>
    <w:p w14:paraId="00611CB8" w14:textId="48AD9433" w:rsidR="007561B4" w:rsidRDefault="00BB204D" w:rsidP="007561B4">
      <w:pPr>
        <w:pStyle w:val="a3"/>
        <w:numPr>
          <w:ilvl w:val="1"/>
          <w:numId w:val="4"/>
        </w:numPr>
        <w:ind w:left="660" w:hanging="660"/>
        <w:rPr>
          <w:lang w:val="hu-HU"/>
        </w:rPr>
      </w:pPr>
      <w:r w:rsidRPr="005A05DE">
        <w:rPr>
          <w:lang w:val="hu-HU"/>
        </w:rPr>
        <w:t>Tájékoztassa kezelőorvosát, ha gyermeke olyan területen él vagy olyan területre utazik, ahol a gombák okozta fertőzések (mint például a hisztoplazmózis, kokcidioidomikózis vagy a blasztomikózis) nagyon gyakoriak</w:t>
      </w:r>
      <w:r>
        <w:rPr>
          <w:lang w:val="hu-HU"/>
        </w:rPr>
        <w:t>.</w:t>
      </w:r>
    </w:p>
    <w:p w14:paraId="289763EF" w14:textId="77777777" w:rsidR="007561B4" w:rsidRDefault="007561B4" w:rsidP="007561B4">
      <w:pPr>
        <w:pStyle w:val="a3"/>
        <w:rPr>
          <w:lang w:val="hu-HU"/>
        </w:rPr>
      </w:pPr>
    </w:p>
    <w:p w14:paraId="52E19E4B" w14:textId="75D2845B" w:rsidR="007561B4" w:rsidRDefault="00BB204D" w:rsidP="007561B4">
      <w:pPr>
        <w:pStyle w:val="a3"/>
        <w:numPr>
          <w:ilvl w:val="1"/>
          <w:numId w:val="4"/>
        </w:numPr>
        <w:ind w:left="660" w:hanging="660"/>
        <w:rPr>
          <w:lang w:val="hu-HU"/>
        </w:rPr>
      </w:pPr>
      <w:r w:rsidRPr="005A05DE">
        <w:rPr>
          <w:lang w:val="hu-HU"/>
        </w:rPr>
        <w:t>Közölje orvosával, ha gyermeke kórelőzményében visszatérő fertőzés szerepel, vagy egyéb olyan állapot áll fenn, ami a fertőzés lehetőségét fokozza</w:t>
      </w:r>
      <w:r w:rsidR="007561B4">
        <w:rPr>
          <w:rFonts w:eastAsia="Times New Roman"/>
          <w:lang w:val="hu-HU"/>
        </w:rPr>
        <w:t>.</w:t>
      </w:r>
    </w:p>
    <w:p w14:paraId="34827CA3" w14:textId="77777777" w:rsidR="007561B4" w:rsidRDefault="007561B4" w:rsidP="007561B4">
      <w:pPr>
        <w:pStyle w:val="a3"/>
        <w:numPr>
          <w:ilvl w:val="0"/>
          <w:numId w:val="0"/>
        </w:numPr>
        <w:rPr>
          <w:lang w:val="hu-HU"/>
        </w:rPr>
      </w:pPr>
    </w:p>
    <w:p w14:paraId="0CF44772" w14:textId="45136115" w:rsidR="007561B4" w:rsidRDefault="00BB204D" w:rsidP="007561B4">
      <w:pPr>
        <w:pStyle w:val="a3"/>
        <w:numPr>
          <w:ilvl w:val="1"/>
          <w:numId w:val="4"/>
        </w:numPr>
        <w:ind w:left="660" w:hanging="660"/>
        <w:rPr>
          <w:lang w:val="hu-HU"/>
        </w:rPr>
      </w:pPr>
      <w:r w:rsidRPr="00D92752">
        <w:rPr>
          <w:lang w:val="hu-HU"/>
        </w:rPr>
        <w:t xml:space="preserve">Gyermekének és kezelőorvosának kiemelt figyelmet kell fordítania a fertőzés jeleire a </w:t>
      </w:r>
      <w:r w:rsidR="00D92752" w:rsidRPr="00D92752">
        <w:rPr>
          <w:lang w:val="hu-HU"/>
        </w:rPr>
        <w:t>Yuflyma</w:t>
      </w:r>
      <w:r w:rsidRPr="00D92752">
        <w:rPr>
          <w:lang w:val="hu-HU"/>
        </w:rPr>
        <w:t>-kezelés során. Fontos, hogy mondja el gyermeke kezelőorvosának, ha gyermekének fertőzésre utaló tünetei vannak, mint például láz, sebek, fáradtságérzés vagy fogászati problémák</w:t>
      </w:r>
      <w:r w:rsidR="007561B4">
        <w:rPr>
          <w:rFonts w:eastAsia="Times New Roman"/>
          <w:lang w:val="hu-HU"/>
        </w:rPr>
        <w:t>.</w:t>
      </w:r>
    </w:p>
    <w:p w14:paraId="126585CE" w14:textId="77777777" w:rsidR="007561B4" w:rsidRDefault="007561B4" w:rsidP="007561B4">
      <w:pPr>
        <w:spacing w:before="11" w:line="240" w:lineRule="exact"/>
        <w:rPr>
          <w:sz w:val="24"/>
          <w:szCs w:val="24"/>
          <w:lang w:val="hu-HU"/>
        </w:rPr>
      </w:pPr>
    </w:p>
    <w:p w14:paraId="5BCAFBD0" w14:textId="77777777" w:rsidR="007561B4" w:rsidRDefault="007561B4" w:rsidP="007561B4">
      <w:pPr>
        <w:pStyle w:val="a3"/>
        <w:rPr>
          <w:u w:val="single"/>
          <w:lang w:val="hu-HU"/>
        </w:rPr>
      </w:pPr>
      <w:r>
        <w:rPr>
          <w:rFonts w:eastAsia="Times New Roman"/>
          <w:u w:val="single" w:color="000000"/>
          <w:lang w:val="hu-HU"/>
        </w:rPr>
        <w:t>Tuberkulózis</w:t>
      </w:r>
    </w:p>
    <w:p w14:paraId="152B3B73" w14:textId="77777777" w:rsidR="007561B4" w:rsidRDefault="007561B4" w:rsidP="007561B4">
      <w:pPr>
        <w:spacing w:before="12" w:line="240" w:lineRule="exact"/>
        <w:rPr>
          <w:sz w:val="24"/>
          <w:szCs w:val="24"/>
          <w:lang w:val="hu-HU"/>
        </w:rPr>
      </w:pPr>
    </w:p>
    <w:p w14:paraId="74249E77" w14:textId="6BB9630A" w:rsidR="007561B4" w:rsidRPr="005A05DE" w:rsidRDefault="007561B4" w:rsidP="005A05DE">
      <w:pPr>
        <w:pStyle w:val="a3"/>
        <w:numPr>
          <w:ilvl w:val="1"/>
          <w:numId w:val="4"/>
        </w:numPr>
        <w:ind w:left="660" w:hanging="660"/>
        <w:rPr>
          <w:lang w:val="hu-HU"/>
        </w:rPr>
      </w:pPr>
      <w:r w:rsidRPr="005A05DE">
        <w:rPr>
          <w:rFonts w:eastAsia="Times New Roman"/>
          <w:lang w:val="hu-HU"/>
        </w:rPr>
        <w:t xml:space="preserve">Mivel a Yuflyma-val kezelt betegeknél tuberkulózisos eseteket jelentettek, </w:t>
      </w:r>
      <w:r w:rsidR="004E470A">
        <w:rPr>
          <w:rFonts w:eastAsia="Times New Roman"/>
          <w:lang w:val="hu-HU"/>
        </w:rPr>
        <w:t xml:space="preserve">gyermeke </w:t>
      </w:r>
      <w:r w:rsidRPr="005A05DE">
        <w:rPr>
          <w:rFonts w:eastAsia="Times New Roman"/>
          <w:lang w:val="hu-HU"/>
        </w:rPr>
        <w:t xml:space="preserve">kezelőorvosa a </w:t>
      </w:r>
      <w:r w:rsidRPr="005A05DE">
        <w:rPr>
          <w:rFonts w:eastAsia="Times New Roman"/>
          <w:lang w:val="hu-HU"/>
        </w:rPr>
        <w:lastRenderedPageBreak/>
        <w:t>Yuflyma-kezelés megkezdése előtt ellenőrizni fogja</w:t>
      </w:r>
      <w:r w:rsidR="00046E46">
        <w:rPr>
          <w:rFonts w:eastAsia="Times New Roman"/>
          <w:lang w:val="hu-HU"/>
        </w:rPr>
        <w:t xml:space="preserve"> gyermekénél</w:t>
      </w:r>
      <w:r w:rsidRPr="005A05DE">
        <w:rPr>
          <w:rFonts w:eastAsia="Times New Roman"/>
          <w:lang w:val="hu-HU"/>
        </w:rPr>
        <w:t xml:space="preserve"> a tuberkulózis jeleit és tüneteit. Részletes orvosi kórelőzmény felvételére és megfelelő szűrővizsgálatokra (mint például mellkasröntgen vizsgálatra és tuberkulin teszt végzésére) kerül sor. A </w:t>
      </w:r>
      <w:r w:rsidRPr="005A05DE">
        <w:rPr>
          <w:rFonts w:eastAsia="Times New Roman"/>
          <w:b/>
          <w:bCs/>
          <w:lang w:val="hu-HU"/>
        </w:rPr>
        <w:t>Betegkártyán</w:t>
      </w:r>
      <w:r w:rsidRPr="005A05DE">
        <w:rPr>
          <w:rFonts w:eastAsia="Times New Roman"/>
          <w:lang w:val="hu-HU"/>
        </w:rPr>
        <w:t xml:space="preserve"> a vizsgálatok elvégzésének tényét és eredményét vezetni kell.</w:t>
      </w:r>
    </w:p>
    <w:p w14:paraId="7AC59DC2" w14:textId="5DA4D850" w:rsidR="00BB204D" w:rsidRPr="005A05DE" w:rsidRDefault="00BB204D" w:rsidP="007561B4">
      <w:pPr>
        <w:pStyle w:val="a3"/>
        <w:numPr>
          <w:ilvl w:val="1"/>
          <w:numId w:val="4"/>
        </w:numPr>
        <w:ind w:left="998" w:hanging="340"/>
        <w:rPr>
          <w:lang w:val="hu-HU"/>
        </w:rPr>
      </w:pPr>
      <w:r>
        <w:rPr>
          <w:rFonts w:eastAsia="Times New Roman"/>
          <w:lang w:val="hu-HU"/>
        </w:rPr>
        <w:t xml:space="preserve">Feltétlenül tájékoztassa </w:t>
      </w:r>
      <w:r w:rsidR="004E470A">
        <w:rPr>
          <w:rFonts w:eastAsia="Times New Roman"/>
          <w:lang w:val="hu-HU"/>
        </w:rPr>
        <w:t xml:space="preserve">gyermeke </w:t>
      </w:r>
      <w:r>
        <w:rPr>
          <w:rFonts w:eastAsia="Times New Roman"/>
          <w:lang w:val="hu-HU"/>
        </w:rPr>
        <w:t xml:space="preserve">kezelőorvosát, ha </w:t>
      </w:r>
      <w:r w:rsidR="004E470A">
        <w:rPr>
          <w:rFonts w:eastAsia="Times New Roman"/>
          <w:lang w:val="hu-HU"/>
        </w:rPr>
        <w:t xml:space="preserve">gyermeke </w:t>
      </w:r>
      <w:r>
        <w:rPr>
          <w:rFonts w:eastAsia="Times New Roman"/>
          <w:lang w:val="hu-HU"/>
        </w:rPr>
        <w:t>bármikor tuberkulózisban szenvedett vagy közeli kapcsolatban volt valakivel, akinek tuberkulózisa volt. Ha aktív tuberkulózisa van, ne alkalmazza a Yuflyma-t.</w:t>
      </w:r>
    </w:p>
    <w:p w14:paraId="3BE02CAC" w14:textId="720F69B1" w:rsidR="007561B4" w:rsidRDefault="007561B4" w:rsidP="007561B4">
      <w:pPr>
        <w:pStyle w:val="a3"/>
        <w:numPr>
          <w:ilvl w:val="1"/>
          <w:numId w:val="4"/>
        </w:numPr>
        <w:ind w:left="998" w:hanging="340"/>
        <w:rPr>
          <w:lang w:val="hu-HU"/>
        </w:rPr>
      </w:pPr>
      <w:r>
        <w:rPr>
          <w:rFonts w:eastAsia="Times New Roman"/>
          <w:lang w:val="hu-HU"/>
        </w:rPr>
        <w:t xml:space="preserve">A tuberkulózis kialakulhat a kezelés során annak ellenére, hogy </w:t>
      </w:r>
      <w:r w:rsidR="004E470A">
        <w:rPr>
          <w:rFonts w:eastAsia="Times New Roman"/>
          <w:lang w:val="hu-HU"/>
        </w:rPr>
        <w:t>gyermeke</w:t>
      </w:r>
      <w:r>
        <w:rPr>
          <w:rFonts w:eastAsia="Times New Roman"/>
          <w:lang w:val="hu-HU"/>
        </w:rPr>
        <w:t xml:space="preserve"> tuberkulózis elleni megelőző terápiát kapott.</w:t>
      </w:r>
    </w:p>
    <w:p w14:paraId="221E9CA0" w14:textId="54569553" w:rsidR="007561B4" w:rsidRDefault="007561B4" w:rsidP="007561B4">
      <w:pPr>
        <w:pStyle w:val="a3"/>
        <w:numPr>
          <w:ilvl w:val="1"/>
          <w:numId w:val="4"/>
        </w:numPr>
        <w:ind w:left="998" w:hanging="340"/>
        <w:rPr>
          <w:lang w:val="hu-HU"/>
        </w:rPr>
      </w:pPr>
      <w:r>
        <w:rPr>
          <w:rFonts w:eastAsia="Times New Roman"/>
          <w:lang w:val="hu-HU"/>
        </w:rPr>
        <w:t>Ha a tuberkulózis tünetei (például hosszan tartó köhögés, test</w:t>
      </w:r>
      <w:r w:rsidR="00945473">
        <w:rPr>
          <w:rFonts w:eastAsia="Times New Roman"/>
          <w:lang w:val="hu-HU"/>
        </w:rPr>
        <w:t>tömeg</w:t>
      </w:r>
      <w:r>
        <w:rPr>
          <w:rFonts w:eastAsia="Times New Roman"/>
          <w:lang w:val="hu-HU"/>
        </w:rPr>
        <w:t xml:space="preserve">csökkenés, levertség, hőemelkedés), vagy más fertőzésre utaló tünetek jelentkeznek </w:t>
      </w:r>
      <w:r w:rsidR="004E470A">
        <w:rPr>
          <w:rFonts w:eastAsia="Times New Roman"/>
          <w:lang w:val="hu-HU"/>
        </w:rPr>
        <w:t xml:space="preserve">gyermekénél </w:t>
      </w:r>
      <w:r>
        <w:rPr>
          <w:rFonts w:eastAsia="Times New Roman"/>
          <w:lang w:val="hu-HU"/>
        </w:rPr>
        <w:t xml:space="preserve">a kezelés alatt vagy a kezelést követően, azonnal tájékoztassa </w:t>
      </w:r>
      <w:r w:rsidR="00367FDB">
        <w:rPr>
          <w:rFonts w:eastAsia="Times New Roman"/>
          <w:lang w:val="hu-HU"/>
        </w:rPr>
        <w:t xml:space="preserve">gyermeke </w:t>
      </w:r>
      <w:r>
        <w:rPr>
          <w:rFonts w:eastAsia="Times New Roman"/>
          <w:lang w:val="hu-HU"/>
        </w:rPr>
        <w:t>kezelőorvosát.</w:t>
      </w:r>
    </w:p>
    <w:p w14:paraId="0B6B6D4F" w14:textId="77777777" w:rsidR="007561B4" w:rsidRDefault="007561B4" w:rsidP="007561B4">
      <w:pPr>
        <w:spacing w:before="11" w:line="240" w:lineRule="exact"/>
        <w:rPr>
          <w:sz w:val="24"/>
          <w:szCs w:val="24"/>
          <w:lang w:val="hu-HU"/>
        </w:rPr>
      </w:pPr>
    </w:p>
    <w:p w14:paraId="334D389B" w14:textId="77777777" w:rsidR="007561B4" w:rsidRDefault="007561B4" w:rsidP="007561B4">
      <w:pPr>
        <w:pStyle w:val="a3"/>
        <w:rPr>
          <w:u w:val="single"/>
          <w:lang w:val="hu-HU"/>
        </w:rPr>
      </w:pPr>
      <w:r>
        <w:rPr>
          <w:rFonts w:eastAsia="Times New Roman"/>
          <w:u w:val="single" w:color="000000"/>
          <w:lang w:val="hu-HU"/>
        </w:rPr>
        <w:t>Hepatitisz B</w:t>
      </w:r>
    </w:p>
    <w:p w14:paraId="34816209" w14:textId="77777777" w:rsidR="007561B4" w:rsidRDefault="007561B4" w:rsidP="007561B4">
      <w:pPr>
        <w:spacing w:before="4" w:line="190" w:lineRule="exact"/>
        <w:rPr>
          <w:sz w:val="19"/>
          <w:szCs w:val="19"/>
          <w:lang w:val="hu-HU"/>
        </w:rPr>
      </w:pPr>
    </w:p>
    <w:p w14:paraId="629AB0EF" w14:textId="65F3D6FA" w:rsidR="007561B4" w:rsidRDefault="00BB204D" w:rsidP="007561B4">
      <w:pPr>
        <w:pStyle w:val="a3"/>
        <w:numPr>
          <w:ilvl w:val="1"/>
          <w:numId w:val="4"/>
        </w:numPr>
        <w:ind w:left="660" w:hanging="660"/>
        <w:rPr>
          <w:lang w:val="hu-HU"/>
        </w:rPr>
      </w:pPr>
      <w:r w:rsidRPr="005A05DE">
        <w:rPr>
          <w:lang w:val="hu-HU"/>
        </w:rPr>
        <w:t>Figyelmeztesse orvosát arra, ha gyermeke hepatitisz B vírus (HBV) -hordozó, netán aktív HBV-fertőzésben szenved, vagy feltételezi, hogy hepatitisz B fertőzés veszélye fenyegetheti</w:t>
      </w:r>
      <w:r w:rsidR="007561B4">
        <w:rPr>
          <w:rFonts w:eastAsia="Times New Roman"/>
          <w:lang w:val="hu-HU"/>
        </w:rPr>
        <w:t>.</w:t>
      </w:r>
    </w:p>
    <w:p w14:paraId="6382AD78" w14:textId="0356E266" w:rsidR="007561B4" w:rsidRDefault="008F27A6" w:rsidP="007561B4">
      <w:pPr>
        <w:pStyle w:val="a3"/>
        <w:numPr>
          <w:ilvl w:val="1"/>
          <w:numId w:val="4"/>
        </w:numPr>
        <w:ind w:left="998" w:hanging="340"/>
        <w:rPr>
          <w:lang w:val="hu-HU"/>
        </w:rPr>
      </w:pPr>
      <w:r>
        <w:rPr>
          <w:rFonts w:eastAsia="Times New Roman"/>
          <w:lang w:val="hu-HU"/>
        </w:rPr>
        <w:t>Gyermeke k</w:t>
      </w:r>
      <w:r w:rsidR="007561B4">
        <w:rPr>
          <w:rFonts w:eastAsia="Times New Roman"/>
          <w:lang w:val="hu-HU"/>
        </w:rPr>
        <w:t>ezelőorvosának HBV-vizsgálatot kell végeznie</w:t>
      </w:r>
      <w:r>
        <w:rPr>
          <w:rFonts w:eastAsia="Times New Roman"/>
          <w:lang w:val="hu-HU"/>
        </w:rPr>
        <w:t>.</w:t>
      </w:r>
      <w:r w:rsidR="007561B4">
        <w:rPr>
          <w:rFonts w:eastAsia="Times New Roman"/>
          <w:lang w:val="hu-HU"/>
        </w:rPr>
        <w:t xml:space="preserve"> A HBV-t hordozó embereknél a Yuflyma ismét aktiválhatja a vírust.</w:t>
      </w:r>
    </w:p>
    <w:p w14:paraId="2745BCF8" w14:textId="10E8D1E8" w:rsidR="007561B4" w:rsidRDefault="00BB204D" w:rsidP="007561B4">
      <w:pPr>
        <w:pStyle w:val="a3"/>
        <w:numPr>
          <w:ilvl w:val="1"/>
          <w:numId w:val="4"/>
        </w:numPr>
        <w:ind w:left="998" w:hanging="340"/>
        <w:rPr>
          <w:lang w:val="hu-HU"/>
        </w:rPr>
      </w:pPr>
      <w:r w:rsidRPr="005A05DE">
        <w:rPr>
          <w:lang w:val="hu-HU"/>
        </w:rPr>
        <w:t>Egyes ritka esetekben – különösen ha gyermeke más, az immunrendszer működését gátló szereket is szed – a HBV ismételt aktiválódása életveszélyes lehet</w:t>
      </w:r>
      <w:r w:rsidR="007561B4">
        <w:rPr>
          <w:rFonts w:eastAsia="Times New Roman"/>
          <w:lang w:val="hu-HU"/>
        </w:rPr>
        <w:t>.</w:t>
      </w:r>
    </w:p>
    <w:p w14:paraId="396F50E8" w14:textId="77777777" w:rsidR="007561B4" w:rsidRDefault="007561B4" w:rsidP="007561B4">
      <w:pPr>
        <w:spacing w:before="11" w:line="240" w:lineRule="exact"/>
        <w:rPr>
          <w:sz w:val="24"/>
          <w:szCs w:val="24"/>
          <w:lang w:val="hu-HU"/>
        </w:rPr>
      </w:pPr>
    </w:p>
    <w:p w14:paraId="7E7FB3D0" w14:textId="77777777" w:rsidR="007561B4" w:rsidRDefault="007561B4" w:rsidP="007561B4">
      <w:pPr>
        <w:pStyle w:val="a3"/>
        <w:rPr>
          <w:u w:val="single"/>
          <w:lang w:val="hu-HU"/>
        </w:rPr>
      </w:pPr>
      <w:r>
        <w:rPr>
          <w:rFonts w:eastAsia="Times New Roman"/>
          <w:u w:val="single" w:color="000000"/>
          <w:lang w:val="hu-HU"/>
        </w:rPr>
        <w:t>Sebészeti vagy fogászati beavatkozás</w:t>
      </w:r>
    </w:p>
    <w:p w14:paraId="0422231C" w14:textId="77777777" w:rsidR="007561B4" w:rsidRDefault="007561B4" w:rsidP="007561B4">
      <w:pPr>
        <w:spacing w:before="4" w:line="190" w:lineRule="exact"/>
        <w:rPr>
          <w:sz w:val="19"/>
          <w:szCs w:val="19"/>
          <w:lang w:val="hu-HU"/>
        </w:rPr>
      </w:pPr>
    </w:p>
    <w:p w14:paraId="2CA9960E" w14:textId="38F300E6" w:rsidR="007561B4" w:rsidRDefault="00BB204D" w:rsidP="007561B4">
      <w:pPr>
        <w:pStyle w:val="a3"/>
        <w:numPr>
          <w:ilvl w:val="1"/>
          <w:numId w:val="4"/>
        </w:numPr>
        <w:ind w:left="660" w:hanging="660"/>
        <w:rPr>
          <w:lang w:val="hu-HU"/>
        </w:rPr>
      </w:pPr>
      <w:r w:rsidRPr="005A05DE">
        <w:rPr>
          <w:lang w:val="hu-HU"/>
        </w:rPr>
        <w:t xml:space="preserve">Ha gyermeke sebészeti vagy fogászati beavatkozás előtt áll, tájékoztassa orvosát, hogy </w:t>
      </w:r>
      <w:r w:rsidR="00D92752">
        <w:rPr>
          <w:lang w:val="hu-HU"/>
        </w:rPr>
        <w:t>Yuflyma</w:t>
      </w:r>
      <w:r w:rsidRPr="005A05DE">
        <w:rPr>
          <w:lang w:val="hu-HU"/>
        </w:rPr>
        <w:t xml:space="preserve"> kezelésben részesül. Orvosa a kezelés átmeneti felfüggesztését javasolhatja</w:t>
      </w:r>
      <w:r w:rsidR="007561B4">
        <w:rPr>
          <w:rFonts w:eastAsia="Times New Roman"/>
          <w:lang w:val="hu-HU"/>
        </w:rPr>
        <w:t>.</w:t>
      </w:r>
    </w:p>
    <w:p w14:paraId="00EE695D" w14:textId="77777777" w:rsidR="007561B4" w:rsidRDefault="007561B4" w:rsidP="007561B4">
      <w:pPr>
        <w:spacing w:before="8" w:line="240" w:lineRule="exact"/>
        <w:rPr>
          <w:sz w:val="24"/>
          <w:szCs w:val="24"/>
          <w:lang w:val="hu-HU"/>
        </w:rPr>
      </w:pPr>
    </w:p>
    <w:p w14:paraId="554CB2D5" w14:textId="77777777" w:rsidR="007561B4" w:rsidRDefault="007561B4" w:rsidP="007561B4">
      <w:pPr>
        <w:pStyle w:val="a3"/>
        <w:rPr>
          <w:u w:val="single"/>
          <w:lang w:val="hu-HU"/>
        </w:rPr>
      </w:pPr>
      <w:r>
        <w:rPr>
          <w:rFonts w:eastAsia="Times New Roman"/>
          <w:u w:val="single" w:color="000000"/>
          <w:lang w:val="hu-HU"/>
        </w:rPr>
        <w:t>Demielinizációval járó betegségek</w:t>
      </w:r>
    </w:p>
    <w:p w14:paraId="7A7568FF" w14:textId="77777777" w:rsidR="007561B4" w:rsidRDefault="007561B4" w:rsidP="007561B4">
      <w:pPr>
        <w:spacing w:before="4" w:line="190" w:lineRule="exact"/>
        <w:rPr>
          <w:sz w:val="19"/>
          <w:szCs w:val="19"/>
          <w:lang w:val="hu-HU"/>
        </w:rPr>
      </w:pPr>
    </w:p>
    <w:p w14:paraId="0549FF38" w14:textId="1B3DADFC" w:rsidR="007561B4" w:rsidRDefault="00BB204D" w:rsidP="007561B4">
      <w:pPr>
        <w:pStyle w:val="a3"/>
        <w:numPr>
          <w:ilvl w:val="1"/>
          <w:numId w:val="4"/>
        </w:numPr>
        <w:ind w:left="660" w:hanging="660"/>
        <w:rPr>
          <w:lang w:val="hu-HU"/>
        </w:rPr>
      </w:pPr>
      <w:r w:rsidRPr="005A05DE">
        <w:rPr>
          <w:lang w:val="hu-HU"/>
        </w:rPr>
        <w:t xml:space="preserve">Ha gyermeke demielinizációval (az idegrostok velőshüvelyét érintő betegség, mint például szklerózis multiplex) járó betegségben szenved vagy ilyen típusú betegség alakul ki nála, kezelőorvosa dönti el, hogy a </w:t>
      </w:r>
      <w:r w:rsidR="00D92752">
        <w:rPr>
          <w:lang w:val="hu-HU"/>
        </w:rPr>
        <w:t>Yuflyma</w:t>
      </w:r>
      <w:r w:rsidRPr="005A05DE">
        <w:rPr>
          <w:lang w:val="hu-HU"/>
        </w:rPr>
        <w:t>-kezelés alkalmazható-e, vagy folytatható-e gyermeke esetében</w:t>
      </w:r>
      <w:r w:rsidR="007561B4">
        <w:rPr>
          <w:rFonts w:eastAsia="Times New Roman"/>
          <w:lang w:val="hu-HU"/>
        </w:rPr>
        <w:t>. Azonnal tájékoztassa kezelőorvosát, ha olyan tüneteket tapasztal, mint a megváltozott látás, kar- vagy lábgyengeség, illetve zsibbadás vagy bizsergés a test bármelyik részén.</w:t>
      </w:r>
    </w:p>
    <w:p w14:paraId="02D0AF22" w14:textId="77777777" w:rsidR="007561B4" w:rsidRDefault="007561B4" w:rsidP="007561B4">
      <w:pPr>
        <w:spacing w:before="14" w:line="240" w:lineRule="exact"/>
        <w:rPr>
          <w:sz w:val="24"/>
          <w:szCs w:val="24"/>
          <w:lang w:val="hu-HU"/>
        </w:rPr>
      </w:pPr>
    </w:p>
    <w:p w14:paraId="1ADB7023" w14:textId="77777777" w:rsidR="007561B4" w:rsidRDefault="007561B4" w:rsidP="007561B4">
      <w:pPr>
        <w:pStyle w:val="a3"/>
        <w:rPr>
          <w:u w:val="single"/>
          <w:lang w:val="hu-HU"/>
        </w:rPr>
      </w:pPr>
      <w:r>
        <w:rPr>
          <w:rFonts w:eastAsia="Times New Roman"/>
          <w:u w:val="single" w:color="000000"/>
          <w:lang w:val="hu-HU"/>
        </w:rPr>
        <w:t>Védőoltások</w:t>
      </w:r>
    </w:p>
    <w:p w14:paraId="6F69BED0" w14:textId="77777777" w:rsidR="007561B4" w:rsidRDefault="007561B4" w:rsidP="007561B4">
      <w:pPr>
        <w:spacing w:before="4" w:line="190" w:lineRule="exact"/>
        <w:rPr>
          <w:sz w:val="19"/>
          <w:szCs w:val="19"/>
          <w:lang w:val="hu-HU"/>
        </w:rPr>
      </w:pPr>
    </w:p>
    <w:p w14:paraId="46CA2913" w14:textId="77777777" w:rsidR="007561B4" w:rsidRDefault="007561B4" w:rsidP="007561B4">
      <w:pPr>
        <w:pStyle w:val="a3"/>
        <w:numPr>
          <w:ilvl w:val="1"/>
          <w:numId w:val="4"/>
        </w:numPr>
        <w:ind w:left="660" w:hanging="660"/>
        <w:rPr>
          <w:lang w:val="hu-HU"/>
        </w:rPr>
      </w:pPr>
      <w:r>
        <w:rPr>
          <w:rFonts w:eastAsia="Times New Roman"/>
          <w:lang w:val="hu-HU"/>
        </w:rPr>
        <w:t>Yuflyma alkalmazása során bizonyos védőoltások fertőzést okozhatnak, és ezért nem adhatóak.</w:t>
      </w:r>
    </w:p>
    <w:p w14:paraId="54968CF3" w14:textId="77777777" w:rsidR="007561B4" w:rsidRDefault="007561B4" w:rsidP="007561B4">
      <w:pPr>
        <w:spacing w:before="11" w:line="240" w:lineRule="exact"/>
        <w:rPr>
          <w:sz w:val="24"/>
          <w:szCs w:val="24"/>
          <w:lang w:val="hu-HU"/>
        </w:rPr>
      </w:pPr>
    </w:p>
    <w:p w14:paraId="2EAA3852" w14:textId="06607BDF" w:rsidR="007561B4" w:rsidRDefault="00BB204D" w:rsidP="007561B4">
      <w:pPr>
        <w:pStyle w:val="a3"/>
        <w:numPr>
          <w:ilvl w:val="1"/>
          <w:numId w:val="4"/>
        </w:numPr>
        <w:ind w:left="998" w:hanging="340"/>
        <w:rPr>
          <w:lang w:val="hu-HU"/>
        </w:rPr>
      </w:pPr>
      <w:r w:rsidRPr="005A05DE">
        <w:rPr>
          <w:lang w:val="hu-HU"/>
        </w:rPr>
        <w:t>Védőoltás gyermekének történő beadását megelőzően beszéljen orvosával</w:t>
      </w:r>
      <w:r w:rsidR="007561B4">
        <w:rPr>
          <w:rFonts w:eastAsia="Times New Roman"/>
          <w:lang w:val="hu-HU"/>
        </w:rPr>
        <w:t>.</w:t>
      </w:r>
    </w:p>
    <w:p w14:paraId="533F66CC" w14:textId="77777777" w:rsidR="007561B4" w:rsidRDefault="007561B4" w:rsidP="007561B4">
      <w:pPr>
        <w:pStyle w:val="a3"/>
        <w:numPr>
          <w:ilvl w:val="1"/>
          <w:numId w:val="4"/>
        </w:numPr>
        <w:ind w:left="998" w:hanging="340"/>
        <w:rPr>
          <w:lang w:val="hu-HU"/>
        </w:rPr>
      </w:pPr>
      <w:r>
        <w:rPr>
          <w:rFonts w:eastAsia="Times New Roman"/>
          <w:lang w:val="hu-HU"/>
        </w:rPr>
        <w:t>A Yuflyma-kezelés megkezdése előtt javasolt, hogy a gyermekek, ha lehetséges, megkapják az életkoruknak megfelelő összes ütemezett oltást.</w:t>
      </w:r>
    </w:p>
    <w:p w14:paraId="4257851D" w14:textId="27264A70" w:rsidR="007561B4" w:rsidRDefault="00BB204D" w:rsidP="007561B4">
      <w:pPr>
        <w:pStyle w:val="a3"/>
        <w:numPr>
          <w:ilvl w:val="1"/>
          <w:numId w:val="4"/>
        </w:numPr>
        <w:ind w:left="998" w:hanging="340"/>
        <w:rPr>
          <w:lang w:val="hu-HU"/>
        </w:rPr>
      </w:pPr>
      <w:r w:rsidRPr="005A05DE">
        <w:rPr>
          <w:lang w:val="hu-HU"/>
        </w:rPr>
        <w:t xml:space="preserve">Ha a terhessége alatt </w:t>
      </w:r>
      <w:r w:rsidR="006830F9">
        <w:rPr>
          <w:lang w:val="hu-HU"/>
        </w:rPr>
        <w:t>gyermeke</w:t>
      </w:r>
      <w:r w:rsidR="00D92752">
        <w:rPr>
          <w:lang w:val="hu-HU"/>
        </w:rPr>
        <w:t>Yuflyma</w:t>
      </w:r>
      <w:r w:rsidRPr="005A05DE">
        <w:rPr>
          <w:lang w:val="hu-HU"/>
        </w:rPr>
        <w:t>-t kapott, a</w:t>
      </w:r>
      <w:r w:rsidR="00391127">
        <w:rPr>
          <w:lang w:val="hu-HU"/>
        </w:rPr>
        <w:t>gyermeke</w:t>
      </w:r>
      <w:r w:rsidRPr="005A05DE">
        <w:rPr>
          <w:lang w:val="hu-HU"/>
        </w:rPr>
        <w:t xml:space="preserve"> kisbabája a terhesség alatt kapott utolsó adagot követően legfeljebb 5 hónapig nagyobb eséllyel kaphat el valamilyen fertőzést. Fontos, hogy elmondja </w:t>
      </w:r>
      <w:r w:rsidR="006830F9">
        <w:rPr>
          <w:lang w:val="hu-HU"/>
        </w:rPr>
        <w:t xml:space="preserve">gyermeke </w:t>
      </w:r>
      <w:r w:rsidRPr="005A05DE">
        <w:rPr>
          <w:lang w:val="hu-HU"/>
        </w:rPr>
        <w:t xml:space="preserve">kisbabája orvosának vagy az őt kezelő egészségügyi személyzetnek, hogy a </w:t>
      </w:r>
      <w:r w:rsidR="006830F9">
        <w:rPr>
          <w:lang w:val="hu-HU"/>
        </w:rPr>
        <w:t xml:space="preserve">gyermeke </w:t>
      </w:r>
      <w:r w:rsidRPr="005A05DE">
        <w:rPr>
          <w:lang w:val="hu-HU"/>
        </w:rPr>
        <w:t xml:space="preserve">terhessége alatt </w:t>
      </w:r>
      <w:r w:rsidR="00D92752">
        <w:rPr>
          <w:lang w:val="hu-HU"/>
        </w:rPr>
        <w:t>Yuflyma</w:t>
      </w:r>
      <w:r w:rsidRPr="005A05DE">
        <w:rPr>
          <w:lang w:val="hu-HU"/>
        </w:rPr>
        <w:t xml:space="preserve">-t kapott, így ők el tudják dönteni, hogy </w:t>
      </w:r>
      <w:r w:rsidR="006830F9">
        <w:rPr>
          <w:lang w:val="hu-HU"/>
        </w:rPr>
        <w:t xml:space="preserve">gyermeke </w:t>
      </w:r>
      <w:r w:rsidRPr="005A05DE">
        <w:rPr>
          <w:lang w:val="hu-HU"/>
        </w:rPr>
        <w:t>kisbabájának mikor kell valamilyen védőoltást kapnia</w:t>
      </w:r>
      <w:r w:rsidR="007561B4">
        <w:rPr>
          <w:rFonts w:eastAsia="Times New Roman"/>
          <w:lang w:val="hu-HU"/>
        </w:rPr>
        <w:t>.</w:t>
      </w:r>
    </w:p>
    <w:p w14:paraId="329A7DAE" w14:textId="77777777" w:rsidR="007561B4" w:rsidRDefault="007561B4" w:rsidP="007561B4">
      <w:pPr>
        <w:spacing w:before="14" w:line="240" w:lineRule="exact"/>
        <w:rPr>
          <w:sz w:val="24"/>
          <w:szCs w:val="24"/>
          <w:lang w:val="hu-HU"/>
        </w:rPr>
      </w:pPr>
    </w:p>
    <w:p w14:paraId="6BD45560" w14:textId="77777777" w:rsidR="007561B4" w:rsidRDefault="007561B4" w:rsidP="007561B4">
      <w:pPr>
        <w:pStyle w:val="a3"/>
        <w:rPr>
          <w:u w:val="single"/>
          <w:lang w:val="hu-HU"/>
        </w:rPr>
      </w:pPr>
      <w:r>
        <w:rPr>
          <w:rFonts w:eastAsia="Times New Roman"/>
          <w:u w:val="single" w:color="000000"/>
          <w:lang w:val="hu-HU"/>
        </w:rPr>
        <w:t>Szívelégtelenség</w:t>
      </w:r>
    </w:p>
    <w:p w14:paraId="4BDC238F" w14:textId="77777777" w:rsidR="007561B4" w:rsidRDefault="007561B4" w:rsidP="007561B4">
      <w:pPr>
        <w:spacing w:before="4" w:line="190" w:lineRule="exact"/>
        <w:rPr>
          <w:sz w:val="19"/>
          <w:szCs w:val="19"/>
          <w:lang w:val="hu-HU"/>
        </w:rPr>
      </w:pPr>
    </w:p>
    <w:p w14:paraId="574CFD24" w14:textId="1BB2AEE0" w:rsidR="007561B4" w:rsidRDefault="00BB204D" w:rsidP="007561B4">
      <w:pPr>
        <w:pStyle w:val="a3"/>
        <w:numPr>
          <w:ilvl w:val="1"/>
          <w:numId w:val="4"/>
        </w:numPr>
        <w:ind w:left="660" w:hanging="660"/>
        <w:rPr>
          <w:lang w:val="hu-HU"/>
        </w:rPr>
      </w:pPr>
      <w:r w:rsidRPr="005A05DE">
        <w:rPr>
          <w:lang w:val="hu-HU"/>
        </w:rPr>
        <w:t xml:space="preserve">Ha gyermekének enyhe szívelégtelensége van és </w:t>
      </w:r>
      <w:r w:rsidR="00D92752">
        <w:rPr>
          <w:lang w:val="hu-HU"/>
        </w:rPr>
        <w:t>Yuflyma</w:t>
      </w:r>
      <w:r w:rsidRPr="005A05DE">
        <w:rPr>
          <w:lang w:val="hu-HU"/>
        </w:rPr>
        <w:t xml:space="preserve">-kezelést kap, szívelégtelenség állapotát orvosának szorosan követnie kell. Fontos, hogy közölje kezelőorvosával, ha gyermekének súlyos szívbetegsége volt, vagy jelenleg is van. Ha új tünetek kialakulását vagy a szívelégtelenség tüneteinek rosszabbodását észleli (például légszomj, vagy lábdagadás), azonnal közölje orvosával. A kezelőorvos el fogja dönteni, hogy az Ön gyermeke kaphat-e </w:t>
      </w:r>
      <w:r w:rsidR="007561B4">
        <w:rPr>
          <w:rFonts w:eastAsia="Times New Roman"/>
          <w:lang w:val="hu-HU"/>
        </w:rPr>
        <w:t>Yuflyma-t.</w:t>
      </w:r>
    </w:p>
    <w:p w14:paraId="3F981FE6" w14:textId="77777777" w:rsidR="007561B4" w:rsidRDefault="007561B4" w:rsidP="007561B4">
      <w:pPr>
        <w:spacing w:before="14" w:line="240" w:lineRule="exact"/>
        <w:rPr>
          <w:sz w:val="24"/>
          <w:szCs w:val="24"/>
          <w:lang w:val="hu-HU"/>
        </w:rPr>
      </w:pPr>
    </w:p>
    <w:p w14:paraId="4A0CA1E1" w14:textId="77777777" w:rsidR="007561B4" w:rsidRDefault="007561B4" w:rsidP="007561B4">
      <w:pPr>
        <w:pStyle w:val="a3"/>
        <w:rPr>
          <w:u w:val="single"/>
          <w:lang w:val="hu-HU"/>
        </w:rPr>
      </w:pPr>
      <w:r>
        <w:rPr>
          <w:rFonts w:eastAsia="Times New Roman"/>
          <w:u w:val="single" w:color="000000"/>
          <w:lang w:val="hu-HU"/>
        </w:rPr>
        <w:t>Láz, véraláfutás, vérzés vagy sápadtság</w:t>
      </w:r>
    </w:p>
    <w:p w14:paraId="61AB2115" w14:textId="77777777" w:rsidR="007561B4" w:rsidRDefault="007561B4" w:rsidP="007561B4">
      <w:pPr>
        <w:spacing w:before="4" w:line="190" w:lineRule="exact"/>
        <w:rPr>
          <w:sz w:val="19"/>
          <w:szCs w:val="19"/>
          <w:lang w:val="hu-HU"/>
        </w:rPr>
      </w:pPr>
    </w:p>
    <w:p w14:paraId="7D21157E" w14:textId="4A6B47D2" w:rsidR="007561B4" w:rsidRDefault="00BB204D" w:rsidP="007561B4">
      <w:pPr>
        <w:pStyle w:val="a3"/>
        <w:numPr>
          <w:ilvl w:val="1"/>
          <w:numId w:val="4"/>
        </w:numPr>
        <w:ind w:left="660" w:hanging="660"/>
        <w:rPr>
          <w:lang w:val="hu-HU"/>
        </w:rPr>
      </w:pPr>
      <w:r w:rsidRPr="005A05DE">
        <w:rPr>
          <w:lang w:val="hu-HU"/>
        </w:rPr>
        <w:t>Egyes betegek esetében a szervezet nem termel elég olyan vérsejtet, melyek leküzdenék a fertőzést, vagy segítenének megállítani a vérzést. Kezelőorvosa dönthet úgy, hogy abbahagyják a kezelést. Ha gyermekének csillapíthatatlan láza van, véraláfutása van, vagy könnyen vérzik és sápadtnak látszik, azonnal értesítse orvosát</w:t>
      </w:r>
      <w:r w:rsidR="007561B4">
        <w:rPr>
          <w:rFonts w:eastAsia="Times New Roman"/>
          <w:lang w:val="hu-HU"/>
        </w:rPr>
        <w:t>.</w:t>
      </w:r>
    </w:p>
    <w:p w14:paraId="79426E11" w14:textId="77777777" w:rsidR="007561B4" w:rsidRDefault="007561B4" w:rsidP="007561B4">
      <w:pPr>
        <w:pStyle w:val="a3"/>
        <w:rPr>
          <w:u w:val="single"/>
          <w:lang w:val="hu-HU"/>
        </w:rPr>
      </w:pPr>
    </w:p>
    <w:p w14:paraId="04858694" w14:textId="77777777" w:rsidR="007561B4" w:rsidRDefault="007561B4" w:rsidP="007561B4">
      <w:pPr>
        <w:pStyle w:val="a3"/>
        <w:rPr>
          <w:u w:val="single"/>
          <w:lang w:val="hu-HU"/>
        </w:rPr>
      </w:pPr>
      <w:r>
        <w:rPr>
          <w:rFonts w:eastAsia="Times New Roman"/>
          <w:u w:val="single"/>
          <w:lang w:val="hu-HU"/>
        </w:rPr>
        <w:t>Daganatos betegség</w:t>
      </w:r>
    </w:p>
    <w:p w14:paraId="11888DBF" w14:textId="77777777" w:rsidR="007561B4" w:rsidRDefault="007561B4" w:rsidP="007561B4">
      <w:pPr>
        <w:pStyle w:val="a3"/>
        <w:rPr>
          <w:u w:val="single"/>
          <w:lang w:val="hu-HU"/>
        </w:rPr>
      </w:pPr>
    </w:p>
    <w:p w14:paraId="3EB291C8" w14:textId="37380AFE" w:rsidR="007561B4" w:rsidRDefault="007561B4" w:rsidP="007561B4">
      <w:pPr>
        <w:pStyle w:val="a3"/>
        <w:numPr>
          <w:ilvl w:val="1"/>
          <w:numId w:val="4"/>
        </w:numPr>
        <w:ind w:left="660" w:hanging="660"/>
        <w:rPr>
          <w:lang w:val="hu-HU"/>
        </w:rPr>
      </w:pPr>
      <w:r>
        <w:rPr>
          <w:rFonts w:eastAsia="Times New Roman"/>
          <w:lang w:val="hu-HU"/>
        </w:rPr>
        <w:t>Nagyon ritkán fordul</w:t>
      </w:r>
      <w:r w:rsidR="00816B89">
        <w:rPr>
          <w:rFonts w:eastAsia="Times New Roman"/>
          <w:lang w:val="hu-HU"/>
        </w:rPr>
        <w:t xml:space="preserve"> elő</w:t>
      </w:r>
      <w:r>
        <w:rPr>
          <w:rFonts w:eastAsia="Times New Roman"/>
          <w:lang w:val="hu-HU"/>
        </w:rPr>
        <w:t xml:space="preserve">, hogy a Yuflyma-t vagy más TNF-antagonista gyógyszert szedő </w:t>
      </w:r>
      <w:r w:rsidR="00816B89">
        <w:rPr>
          <w:rFonts w:eastAsia="Times New Roman"/>
          <w:lang w:val="hu-HU"/>
        </w:rPr>
        <w:t xml:space="preserve">gyermek és felnőtt </w:t>
      </w:r>
      <w:r>
        <w:rPr>
          <w:rFonts w:eastAsia="Times New Roman"/>
          <w:lang w:val="hu-HU"/>
        </w:rPr>
        <w:t>betegeknél bizonyos daganatfajta jelentkezik</w:t>
      </w:r>
    </w:p>
    <w:p w14:paraId="638F84BD" w14:textId="77777777" w:rsidR="007561B4" w:rsidRDefault="007561B4" w:rsidP="007561B4">
      <w:pPr>
        <w:pStyle w:val="a3"/>
        <w:rPr>
          <w:lang w:val="hu-HU"/>
        </w:rPr>
      </w:pPr>
    </w:p>
    <w:p w14:paraId="13E433C2" w14:textId="77777777" w:rsidR="007561B4" w:rsidRDefault="007561B4" w:rsidP="007561B4">
      <w:pPr>
        <w:pStyle w:val="a3"/>
        <w:numPr>
          <w:ilvl w:val="1"/>
          <w:numId w:val="4"/>
        </w:numPr>
        <w:ind w:left="998" w:hanging="340"/>
        <w:rPr>
          <w:lang w:val="hu-HU"/>
        </w:rPr>
      </w:pPr>
      <w:r>
        <w:rPr>
          <w:rFonts w:eastAsia="Times New Roman"/>
          <w:lang w:val="hu-HU"/>
        </w:rPr>
        <w:t>A hosszú ideje súlyos reumatoid artritiszben szenvedő betegeknek az átlagosnál nagyobb a kockázatuk, hogy limfóma (a nyirokrendszert érintő daganat) vagy leukémia (a csontvelőt, vérképzést érintő daganat) alakul ki.</w:t>
      </w:r>
    </w:p>
    <w:p w14:paraId="34A25EF0" w14:textId="52B9B2B5" w:rsidR="007561B4" w:rsidRDefault="00BB204D" w:rsidP="007561B4">
      <w:pPr>
        <w:pStyle w:val="a3"/>
        <w:numPr>
          <w:ilvl w:val="1"/>
          <w:numId w:val="4"/>
        </w:numPr>
        <w:ind w:left="998" w:hanging="340"/>
        <w:rPr>
          <w:lang w:val="hu-HU"/>
        </w:rPr>
      </w:pPr>
      <w:r w:rsidRPr="005A05DE">
        <w:rPr>
          <w:lang w:val="hu-HU"/>
        </w:rPr>
        <w:t xml:space="preserve">Amennyiben gyermeke </w:t>
      </w:r>
      <w:r w:rsidR="00D92752">
        <w:rPr>
          <w:lang w:val="hu-HU"/>
        </w:rPr>
        <w:t>Yuflyma</w:t>
      </w:r>
      <w:r w:rsidRPr="005A05DE">
        <w:rPr>
          <w:lang w:val="hu-HU"/>
        </w:rPr>
        <w:t xml:space="preserve">-t kap, a limfóma, leukémia vagy egyéb daganat kialakulásának kockázata fokozódhat. Ritka esetekben a nyirokdaganat (limfóma) egy ritka és súlyos típusát észlelték </w:t>
      </w:r>
      <w:r w:rsidR="00D92752">
        <w:rPr>
          <w:lang w:val="hu-HU"/>
        </w:rPr>
        <w:t>Yuflyma</w:t>
      </w:r>
      <w:r w:rsidRPr="005A05DE">
        <w:rPr>
          <w:lang w:val="hu-HU"/>
        </w:rPr>
        <w:t xml:space="preserve">-val kezelt betegeknél. </w:t>
      </w:r>
      <w:r>
        <w:t xml:space="preserve">E </w:t>
      </w:r>
      <w:proofErr w:type="spellStart"/>
      <w:r>
        <w:t>betegek</w:t>
      </w:r>
      <w:proofErr w:type="spellEnd"/>
      <w:r>
        <w:t xml:space="preserve"> </w:t>
      </w:r>
      <w:proofErr w:type="spellStart"/>
      <w:r>
        <w:t>közül</w:t>
      </w:r>
      <w:proofErr w:type="spellEnd"/>
      <w:r>
        <w:t xml:space="preserve"> </w:t>
      </w:r>
      <w:proofErr w:type="spellStart"/>
      <w:r>
        <w:t>egyeseket</w:t>
      </w:r>
      <w:proofErr w:type="spellEnd"/>
      <w:r>
        <w:t xml:space="preserve"> </w:t>
      </w:r>
      <w:proofErr w:type="spellStart"/>
      <w:r>
        <w:t>egyidejűleg</w:t>
      </w:r>
      <w:proofErr w:type="spellEnd"/>
      <w:r>
        <w:t xml:space="preserve"> </w:t>
      </w:r>
      <w:proofErr w:type="spellStart"/>
      <w:r>
        <w:t>azatioprinnel</w:t>
      </w:r>
      <w:proofErr w:type="spellEnd"/>
      <w:r>
        <w:t xml:space="preserve">, </w:t>
      </w:r>
      <w:proofErr w:type="spellStart"/>
      <w:r>
        <w:t>illetve</w:t>
      </w:r>
      <w:proofErr w:type="spellEnd"/>
      <w:r>
        <w:t xml:space="preserve"> 6-merkaptopurinnal is </w:t>
      </w:r>
      <w:proofErr w:type="spellStart"/>
      <w:r>
        <w:t>kezeltek</w:t>
      </w:r>
      <w:proofErr w:type="spellEnd"/>
      <w:r w:rsidR="007561B4">
        <w:rPr>
          <w:rFonts w:eastAsia="Times New Roman"/>
          <w:lang w:val="hu-HU"/>
        </w:rPr>
        <w:t>.</w:t>
      </w:r>
    </w:p>
    <w:p w14:paraId="5420DF46" w14:textId="3077EE43" w:rsidR="007561B4" w:rsidRDefault="00582270" w:rsidP="007561B4">
      <w:pPr>
        <w:pStyle w:val="a3"/>
        <w:numPr>
          <w:ilvl w:val="1"/>
          <w:numId w:val="4"/>
        </w:numPr>
        <w:ind w:left="998" w:hanging="340"/>
        <w:rPr>
          <w:lang w:val="hu-HU"/>
        </w:rPr>
      </w:pPr>
      <w:r w:rsidRPr="00167BF3">
        <w:rPr>
          <w:lang w:val="hu-HU"/>
        </w:rPr>
        <w:t xml:space="preserve">Közölje </w:t>
      </w:r>
      <w:r w:rsidR="004557CB">
        <w:rPr>
          <w:lang w:val="hu-HU"/>
        </w:rPr>
        <w:t xml:space="preserve">gyermeke </w:t>
      </w:r>
      <w:r w:rsidRPr="00167BF3">
        <w:rPr>
          <w:lang w:val="hu-HU"/>
        </w:rPr>
        <w:t xml:space="preserve">orvosával, ha a gyermeke a </w:t>
      </w:r>
      <w:r w:rsidR="00D92752" w:rsidRPr="00167BF3">
        <w:rPr>
          <w:lang w:val="hu-HU"/>
        </w:rPr>
        <w:t>Yuflyma</w:t>
      </w:r>
      <w:r w:rsidRPr="00167BF3">
        <w:rPr>
          <w:lang w:val="hu-HU"/>
        </w:rPr>
        <w:t>-val egyidejűleg azatioprint vagy 6- merkaptopurint szed</w:t>
      </w:r>
      <w:r w:rsidR="007561B4">
        <w:rPr>
          <w:rFonts w:eastAsia="Times New Roman"/>
          <w:lang w:val="hu-HU"/>
        </w:rPr>
        <w:t>.</w:t>
      </w:r>
    </w:p>
    <w:p w14:paraId="0C226237" w14:textId="77777777" w:rsidR="007561B4" w:rsidRDefault="007561B4" w:rsidP="007561B4">
      <w:pPr>
        <w:pStyle w:val="a3"/>
        <w:numPr>
          <w:ilvl w:val="1"/>
          <w:numId w:val="4"/>
        </w:numPr>
        <w:ind w:left="998" w:hanging="340"/>
        <w:rPr>
          <w:lang w:val="hu-HU"/>
        </w:rPr>
      </w:pPr>
      <w:r>
        <w:rPr>
          <w:rFonts w:eastAsia="Times New Roman"/>
          <w:lang w:val="hu-HU"/>
        </w:rPr>
        <w:t>Esetenként nem melanomás bőrrák kialakulását észlelték Yuflyma-val kezelt betegeken.</w:t>
      </w:r>
    </w:p>
    <w:p w14:paraId="1E1E8D08" w14:textId="17FC8527" w:rsidR="007561B4" w:rsidRDefault="007561B4" w:rsidP="007561B4">
      <w:pPr>
        <w:pStyle w:val="a3"/>
        <w:numPr>
          <w:ilvl w:val="1"/>
          <w:numId w:val="4"/>
        </w:numPr>
        <w:ind w:left="998" w:hanging="340"/>
        <w:rPr>
          <w:lang w:val="hu-HU"/>
        </w:rPr>
      </w:pPr>
      <w:r>
        <w:rPr>
          <w:rFonts w:eastAsia="Times New Roman"/>
          <w:lang w:val="hu-HU"/>
        </w:rPr>
        <w:t xml:space="preserve">Ha új bőrelváltozások jelennek meg a kezelés alatt, vagy a meglévők külleme megváltozik, tájékoztassa </w:t>
      </w:r>
      <w:r w:rsidR="004557CB">
        <w:rPr>
          <w:rFonts w:eastAsia="Times New Roman"/>
          <w:lang w:val="hu-HU"/>
        </w:rPr>
        <w:t xml:space="preserve">gyermeke </w:t>
      </w:r>
      <w:r>
        <w:rPr>
          <w:rFonts w:eastAsia="Times New Roman"/>
          <w:lang w:val="hu-HU"/>
        </w:rPr>
        <w:t>orvosát.</w:t>
      </w:r>
    </w:p>
    <w:p w14:paraId="15153676" w14:textId="77777777" w:rsidR="007561B4" w:rsidRDefault="007561B4" w:rsidP="007561B4">
      <w:pPr>
        <w:pStyle w:val="a3"/>
        <w:rPr>
          <w:lang w:val="hu-HU"/>
        </w:rPr>
      </w:pPr>
    </w:p>
    <w:p w14:paraId="69D71C70" w14:textId="6A1C0B6B" w:rsidR="007561B4" w:rsidRDefault="00582270" w:rsidP="007561B4">
      <w:pPr>
        <w:pStyle w:val="a3"/>
        <w:numPr>
          <w:ilvl w:val="1"/>
          <w:numId w:val="4"/>
        </w:numPr>
        <w:ind w:left="660" w:hanging="660"/>
        <w:rPr>
          <w:lang w:val="hu-HU"/>
        </w:rPr>
      </w:pPr>
      <w:r w:rsidRPr="005A05DE">
        <w:rPr>
          <w:lang w:val="hu-HU"/>
        </w:rPr>
        <w:t>Voltak esetek, amikor egy adott tüdőbetegségben (amelyet idült obstruktív tüdőbetegségnek (COPD-nek) neveznek) szenvedő, TNF-antagonistával kezelt betegeken nem limfóma természetű rákos daganatok kialakulását észlelték. Ha gyermeke COPD-ben szenved vagy erős dohányos, kérje orvosa tanácsát, hogy vajon a TNF-antagonistával végzett kezelés megfelelő-e gyermeke számára</w:t>
      </w:r>
      <w:r w:rsidR="007561B4">
        <w:rPr>
          <w:rFonts w:eastAsia="Times New Roman"/>
          <w:lang w:val="hu-HU"/>
        </w:rPr>
        <w:t>.</w:t>
      </w:r>
    </w:p>
    <w:p w14:paraId="7C6AF124" w14:textId="77777777" w:rsidR="007561B4" w:rsidRDefault="007561B4" w:rsidP="007561B4">
      <w:pPr>
        <w:spacing w:before="11" w:line="240" w:lineRule="exact"/>
        <w:rPr>
          <w:sz w:val="24"/>
          <w:szCs w:val="24"/>
          <w:lang w:val="hu-HU"/>
        </w:rPr>
      </w:pPr>
    </w:p>
    <w:p w14:paraId="2DB1E6F8" w14:textId="77777777" w:rsidR="007561B4" w:rsidRDefault="007561B4" w:rsidP="007561B4">
      <w:pPr>
        <w:pStyle w:val="a3"/>
        <w:rPr>
          <w:u w:val="single"/>
          <w:lang w:val="hu-HU"/>
        </w:rPr>
      </w:pPr>
      <w:r>
        <w:rPr>
          <w:rFonts w:eastAsia="Times New Roman"/>
          <w:u w:val="single" w:color="000000"/>
          <w:lang w:val="hu-HU"/>
        </w:rPr>
        <w:t>Autoimmun betegség</w:t>
      </w:r>
    </w:p>
    <w:p w14:paraId="1CF6795C" w14:textId="77777777" w:rsidR="007561B4" w:rsidRDefault="007561B4" w:rsidP="007561B4">
      <w:pPr>
        <w:spacing w:before="4" w:line="190" w:lineRule="exact"/>
        <w:rPr>
          <w:sz w:val="19"/>
          <w:szCs w:val="19"/>
          <w:lang w:val="hu-HU"/>
        </w:rPr>
      </w:pPr>
    </w:p>
    <w:p w14:paraId="369A79EA" w14:textId="77777777" w:rsidR="007561B4" w:rsidRDefault="007561B4" w:rsidP="007561B4">
      <w:pPr>
        <w:pStyle w:val="a3"/>
        <w:numPr>
          <w:ilvl w:val="1"/>
          <w:numId w:val="4"/>
        </w:numPr>
        <w:ind w:left="660" w:hanging="660"/>
        <w:rPr>
          <w:lang w:val="hu-HU"/>
        </w:rPr>
      </w:pPr>
      <w:r>
        <w:rPr>
          <w:rFonts w:eastAsia="Times New Roman"/>
          <w:lang w:val="hu-HU"/>
        </w:rPr>
        <w:t>Ritka esetekben a Yuflyma lupusz-szerű szindrómát okozhat. Keresse fel kezelőorvosát, ha olyan tüneteket észlel, mint a tartós, tisztázatlan eredetű bőrkiütés, láz, ízületi fájdalom vagy fáradtság.</w:t>
      </w:r>
    </w:p>
    <w:p w14:paraId="5F43E863" w14:textId="77777777" w:rsidR="007561B4" w:rsidRDefault="007561B4" w:rsidP="007561B4">
      <w:pPr>
        <w:spacing w:before="15" w:line="240" w:lineRule="exact"/>
        <w:rPr>
          <w:sz w:val="24"/>
          <w:szCs w:val="24"/>
          <w:lang w:val="hu-HU"/>
        </w:rPr>
      </w:pPr>
    </w:p>
    <w:p w14:paraId="639D583B" w14:textId="77777777" w:rsidR="007561B4" w:rsidRDefault="007561B4" w:rsidP="007561B4">
      <w:pPr>
        <w:pStyle w:val="a3"/>
        <w:keepNext/>
        <w:rPr>
          <w:b/>
          <w:lang w:val="hu-HU"/>
        </w:rPr>
      </w:pPr>
      <w:r>
        <w:rPr>
          <w:rFonts w:eastAsia="Times New Roman"/>
          <w:b/>
          <w:bCs/>
          <w:lang w:val="hu-HU"/>
        </w:rPr>
        <w:t>Egyéb gyógyszerek és a Yuflyma</w:t>
      </w:r>
    </w:p>
    <w:p w14:paraId="264EC60C" w14:textId="77777777" w:rsidR="007561B4" w:rsidRDefault="007561B4" w:rsidP="007561B4">
      <w:pPr>
        <w:pStyle w:val="a3"/>
        <w:keepNext/>
        <w:rPr>
          <w:b/>
          <w:lang w:val="hu-HU"/>
        </w:rPr>
      </w:pPr>
    </w:p>
    <w:p w14:paraId="42020FC6" w14:textId="645E8440" w:rsidR="00582270" w:rsidRDefault="00582270" w:rsidP="007561B4">
      <w:pPr>
        <w:pStyle w:val="a3"/>
        <w:keepNext/>
        <w:rPr>
          <w:rFonts w:eastAsia="Times New Roman"/>
          <w:lang w:val="hu-HU"/>
        </w:rPr>
      </w:pPr>
      <w:r w:rsidRPr="005A05DE">
        <w:rPr>
          <w:lang w:val="hu-HU"/>
        </w:rPr>
        <w:t>Feltétlenül tájékoztassa gyermeke kezelőorvosát vagy gyógyszerészét gyermeke jelenleg vagy nemrégiben szedett, valamint szedni tervezett egyéb gyógyszereiről</w:t>
      </w:r>
      <w:r>
        <w:rPr>
          <w:rFonts w:eastAsia="Times New Roman"/>
          <w:lang w:val="hu-HU"/>
        </w:rPr>
        <w:t>.</w:t>
      </w:r>
    </w:p>
    <w:p w14:paraId="389BD82F" w14:textId="77777777" w:rsidR="00582270" w:rsidRDefault="00582270" w:rsidP="007561B4">
      <w:pPr>
        <w:pStyle w:val="a3"/>
        <w:keepNext/>
        <w:rPr>
          <w:rFonts w:eastAsia="Times New Roman"/>
          <w:lang w:val="hu-HU"/>
        </w:rPr>
      </w:pPr>
    </w:p>
    <w:p w14:paraId="37108271" w14:textId="5F15F4D4" w:rsidR="007561B4" w:rsidRDefault="00582270" w:rsidP="007561B4">
      <w:pPr>
        <w:pStyle w:val="a3"/>
        <w:keepNext/>
        <w:rPr>
          <w:lang w:val="hu-HU"/>
        </w:rPr>
      </w:pPr>
      <w:r w:rsidRPr="005A05DE">
        <w:rPr>
          <w:lang w:val="hu-HU"/>
        </w:rPr>
        <w:t xml:space="preserve">Gyermeke nem kaphat </w:t>
      </w:r>
      <w:r w:rsidR="00D92752">
        <w:rPr>
          <w:lang w:val="hu-HU"/>
        </w:rPr>
        <w:t>Yuflyma</w:t>
      </w:r>
      <w:r w:rsidRPr="005A05DE">
        <w:rPr>
          <w:lang w:val="hu-HU"/>
        </w:rPr>
        <w:t>-t a következő hatóanyagot tartalmazó gyógyszerekkel együtt, mert fokozódik a súlyos fertőzések kockázata</w:t>
      </w:r>
      <w:r w:rsidR="007561B4">
        <w:rPr>
          <w:rFonts w:eastAsia="Times New Roman"/>
          <w:lang w:val="hu-HU"/>
        </w:rPr>
        <w:t>:</w:t>
      </w:r>
    </w:p>
    <w:p w14:paraId="491F87D4" w14:textId="77777777" w:rsidR="007561B4" w:rsidRDefault="007561B4" w:rsidP="007561B4">
      <w:pPr>
        <w:pStyle w:val="a3"/>
        <w:numPr>
          <w:ilvl w:val="1"/>
          <w:numId w:val="4"/>
        </w:numPr>
        <w:ind w:left="660" w:hanging="660"/>
        <w:rPr>
          <w:lang w:val="hu-HU"/>
        </w:rPr>
      </w:pPr>
      <w:r>
        <w:rPr>
          <w:rFonts w:eastAsia="Times New Roman"/>
          <w:lang w:val="hu-HU"/>
        </w:rPr>
        <w:t>anakinra</w:t>
      </w:r>
    </w:p>
    <w:p w14:paraId="59AAB88A" w14:textId="77777777" w:rsidR="007561B4" w:rsidRDefault="007561B4" w:rsidP="007561B4">
      <w:pPr>
        <w:pStyle w:val="a3"/>
        <w:numPr>
          <w:ilvl w:val="1"/>
          <w:numId w:val="4"/>
        </w:numPr>
        <w:ind w:left="660" w:hanging="660"/>
        <w:rPr>
          <w:lang w:val="hu-HU"/>
        </w:rPr>
      </w:pPr>
      <w:r>
        <w:rPr>
          <w:rFonts w:eastAsia="Times New Roman"/>
          <w:lang w:val="hu-HU"/>
        </w:rPr>
        <w:t>abatacept.</w:t>
      </w:r>
    </w:p>
    <w:p w14:paraId="05766EE3" w14:textId="77777777" w:rsidR="007561B4" w:rsidRDefault="007561B4" w:rsidP="007561B4">
      <w:pPr>
        <w:pStyle w:val="a3"/>
        <w:rPr>
          <w:lang w:val="hu-HU"/>
        </w:rPr>
      </w:pPr>
    </w:p>
    <w:p w14:paraId="2B88AB65" w14:textId="77777777" w:rsidR="007561B4" w:rsidRDefault="007561B4" w:rsidP="007561B4">
      <w:pPr>
        <w:pStyle w:val="a3"/>
        <w:rPr>
          <w:lang w:val="hu-HU"/>
        </w:rPr>
      </w:pPr>
      <w:r>
        <w:rPr>
          <w:rFonts w:eastAsia="Times New Roman"/>
          <w:lang w:val="hu-HU"/>
        </w:rPr>
        <w:t>A Yuflyma együtt alkalmazható:</w:t>
      </w:r>
    </w:p>
    <w:p w14:paraId="35240C9F" w14:textId="77777777" w:rsidR="007561B4" w:rsidRDefault="007561B4" w:rsidP="007561B4">
      <w:pPr>
        <w:pStyle w:val="a3"/>
        <w:numPr>
          <w:ilvl w:val="1"/>
          <w:numId w:val="4"/>
        </w:numPr>
        <w:ind w:left="660" w:hanging="660"/>
        <w:rPr>
          <w:lang w:val="hu-HU"/>
        </w:rPr>
      </w:pPr>
      <w:r>
        <w:rPr>
          <w:rFonts w:eastAsia="Times New Roman"/>
          <w:lang w:val="hu-HU"/>
        </w:rPr>
        <w:t>metotrexáttal</w:t>
      </w:r>
    </w:p>
    <w:p w14:paraId="4304FBD0" w14:textId="77777777" w:rsidR="007561B4" w:rsidRDefault="007561B4" w:rsidP="007561B4">
      <w:pPr>
        <w:pStyle w:val="a3"/>
        <w:numPr>
          <w:ilvl w:val="1"/>
          <w:numId w:val="4"/>
        </w:numPr>
        <w:ind w:left="660" w:hanging="660"/>
        <w:rPr>
          <w:lang w:val="hu-HU"/>
        </w:rPr>
      </w:pPr>
      <w:r>
        <w:rPr>
          <w:rFonts w:eastAsia="Times New Roman"/>
          <w:lang w:val="hu-HU"/>
        </w:rPr>
        <w:t>egyéb, a betegséget befolyásoló reumaellenes szerrel (szulfaszalazin, hidroxiklorokin, leflunomid és arany injekció)</w:t>
      </w:r>
    </w:p>
    <w:p w14:paraId="313D426A" w14:textId="77777777" w:rsidR="007561B4" w:rsidRDefault="007561B4" w:rsidP="007561B4">
      <w:pPr>
        <w:pStyle w:val="a3"/>
        <w:numPr>
          <w:ilvl w:val="1"/>
          <w:numId w:val="4"/>
        </w:numPr>
        <w:ind w:left="660" w:hanging="660"/>
        <w:rPr>
          <w:lang w:val="hu-HU"/>
        </w:rPr>
      </w:pPr>
      <w:r>
        <w:rPr>
          <w:rFonts w:eastAsia="Times New Roman"/>
          <w:lang w:val="hu-HU"/>
        </w:rPr>
        <w:t>szteroidokkal vagy fájdalomcsillapító készítményekkel, beleértve a nem-szteroid gyulladásgátlókat (NSAID-ket).</w:t>
      </w:r>
    </w:p>
    <w:p w14:paraId="1629ACE9" w14:textId="77777777" w:rsidR="007561B4" w:rsidRDefault="007561B4" w:rsidP="007561B4">
      <w:pPr>
        <w:pStyle w:val="a3"/>
        <w:rPr>
          <w:lang w:val="hu-HU"/>
        </w:rPr>
      </w:pPr>
    </w:p>
    <w:p w14:paraId="57DB164C" w14:textId="77777777" w:rsidR="007561B4" w:rsidRDefault="007561B4" w:rsidP="007561B4">
      <w:pPr>
        <w:pStyle w:val="a3"/>
        <w:rPr>
          <w:lang w:val="hu-HU"/>
        </w:rPr>
      </w:pPr>
      <w:r>
        <w:rPr>
          <w:rFonts w:eastAsia="Times New Roman"/>
          <w:lang w:val="hu-HU"/>
        </w:rPr>
        <w:t>Ha kérdése van, kérdezze meg kezelőorvosát</w:t>
      </w:r>
    </w:p>
    <w:p w14:paraId="0AF34F88" w14:textId="77777777" w:rsidR="007561B4" w:rsidRDefault="007561B4" w:rsidP="007561B4">
      <w:pPr>
        <w:spacing w:before="18" w:line="240" w:lineRule="exact"/>
        <w:rPr>
          <w:sz w:val="24"/>
          <w:szCs w:val="24"/>
          <w:lang w:val="hu-HU"/>
        </w:rPr>
      </w:pPr>
    </w:p>
    <w:p w14:paraId="333ED9CA" w14:textId="77777777" w:rsidR="007561B4" w:rsidRDefault="007561B4" w:rsidP="007561B4">
      <w:pPr>
        <w:pStyle w:val="a3"/>
        <w:rPr>
          <w:b/>
          <w:lang w:val="hu-HU"/>
        </w:rPr>
      </w:pPr>
      <w:r>
        <w:rPr>
          <w:rFonts w:eastAsia="Times New Roman"/>
          <w:b/>
          <w:bCs/>
          <w:lang w:val="hu-HU"/>
        </w:rPr>
        <w:t>Terhesség és szoptatás</w:t>
      </w:r>
    </w:p>
    <w:p w14:paraId="0D35FBDE" w14:textId="77777777" w:rsidR="007561B4" w:rsidRDefault="007561B4" w:rsidP="007561B4">
      <w:pPr>
        <w:spacing w:before="9" w:line="260" w:lineRule="exact"/>
        <w:rPr>
          <w:sz w:val="26"/>
          <w:szCs w:val="26"/>
          <w:lang w:val="hu-HU"/>
        </w:rPr>
      </w:pPr>
    </w:p>
    <w:p w14:paraId="6B0C332F" w14:textId="08C3EF40" w:rsidR="007561B4" w:rsidRDefault="00582270" w:rsidP="007561B4">
      <w:pPr>
        <w:pStyle w:val="a3"/>
        <w:numPr>
          <w:ilvl w:val="1"/>
          <w:numId w:val="4"/>
        </w:numPr>
        <w:ind w:left="660" w:hanging="660"/>
        <w:rPr>
          <w:lang w:val="hu-HU"/>
        </w:rPr>
      </w:pPr>
      <w:r w:rsidRPr="005A05DE">
        <w:rPr>
          <w:lang w:val="hu-HU"/>
        </w:rPr>
        <w:t xml:space="preserve">Gyermekének a terhesség megelőzése érdekében meg kell fontolnia a megfelelő fogamzásgátlás alkalmazását és az alkalmazás folytatását a </w:t>
      </w:r>
      <w:r w:rsidR="00D92752">
        <w:rPr>
          <w:lang w:val="hu-HU"/>
        </w:rPr>
        <w:t>Yuflyma</w:t>
      </w:r>
      <w:r w:rsidRPr="005A05DE">
        <w:rPr>
          <w:lang w:val="hu-HU"/>
        </w:rPr>
        <w:t>-val történt utolsó kezelést követően legalább 5 hónapig</w:t>
      </w:r>
      <w:r w:rsidR="007561B4">
        <w:rPr>
          <w:rFonts w:eastAsia="Times New Roman"/>
          <w:lang w:val="hu-HU"/>
        </w:rPr>
        <w:t>.</w:t>
      </w:r>
    </w:p>
    <w:p w14:paraId="4E14937A" w14:textId="65082985" w:rsidR="007561B4" w:rsidRDefault="00582270" w:rsidP="007561B4">
      <w:pPr>
        <w:pStyle w:val="a3"/>
        <w:numPr>
          <w:ilvl w:val="1"/>
          <w:numId w:val="4"/>
        </w:numPr>
        <w:ind w:left="660" w:hanging="660"/>
        <w:rPr>
          <w:lang w:val="hu-HU"/>
        </w:rPr>
      </w:pPr>
      <w:r w:rsidRPr="005A05DE">
        <w:rPr>
          <w:lang w:val="hu-HU"/>
        </w:rPr>
        <w:t>Amennyiben gyermeke terhes, úgy gondolja, hogy terhes lehet, vagy gyermeket tervez, kérje kezelőorvosa tanácsát ennek a gyógyszernek az alkalmazásáról</w:t>
      </w:r>
      <w:r w:rsidR="007561B4">
        <w:rPr>
          <w:rFonts w:eastAsia="Times New Roman"/>
          <w:lang w:val="hu-HU"/>
        </w:rPr>
        <w:t>.</w:t>
      </w:r>
    </w:p>
    <w:p w14:paraId="066A7D79" w14:textId="77777777" w:rsidR="007561B4" w:rsidRDefault="007561B4" w:rsidP="007561B4">
      <w:pPr>
        <w:pStyle w:val="a3"/>
        <w:numPr>
          <w:ilvl w:val="1"/>
          <w:numId w:val="4"/>
        </w:numPr>
        <w:ind w:left="660" w:hanging="660"/>
        <w:rPr>
          <w:lang w:val="hu-HU"/>
        </w:rPr>
      </w:pPr>
      <w:r>
        <w:rPr>
          <w:rFonts w:eastAsia="Times New Roman"/>
          <w:lang w:val="hu-HU"/>
        </w:rPr>
        <w:t>A Yuflyma csak akkor alkalmazható terhesség alatt, ha egyértelműen szükséges.</w:t>
      </w:r>
    </w:p>
    <w:p w14:paraId="3E5C4FBE" w14:textId="77777777" w:rsidR="007561B4" w:rsidRDefault="007561B4" w:rsidP="007561B4">
      <w:pPr>
        <w:pStyle w:val="a3"/>
        <w:numPr>
          <w:ilvl w:val="1"/>
          <w:numId w:val="4"/>
        </w:numPr>
        <w:ind w:left="660" w:hanging="660"/>
        <w:rPr>
          <w:lang w:val="hu-HU"/>
        </w:rPr>
      </w:pPr>
      <w:r>
        <w:rPr>
          <w:rFonts w:eastAsia="Times New Roman"/>
          <w:lang w:val="hu-HU"/>
        </w:rPr>
        <w:t>Egy terhes nőkkel végzett klinikai vizsgálat alapján nem volt magasabb a születési rendellenességek kockázata azoknál a nőknél, akik a terhességük alatt Yuflyma-kezelésben részesültek, mint az azonos betegségben szenvedő, Yuflyma-kezelésben nem részesült nőknél.</w:t>
      </w:r>
    </w:p>
    <w:p w14:paraId="766BFC1E" w14:textId="77777777" w:rsidR="007561B4" w:rsidRDefault="007561B4" w:rsidP="007561B4">
      <w:pPr>
        <w:pStyle w:val="a3"/>
        <w:numPr>
          <w:ilvl w:val="1"/>
          <w:numId w:val="4"/>
        </w:numPr>
        <w:ind w:left="660" w:hanging="660"/>
        <w:rPr>
          <w:lang w:val="hu-HU"/>
        </w:rPr>
      </w:pPr>
      <w:r>
        <w:rPr>
          <w:rFonts w:eastAsia="Times New Roman"/>
          <w:lang w:val="hu-HU"/>
        </w:rPr>
        <w:t>Szoptatás alatt a Yuflyma alkalmazható.</w:t>
      </w:r>
    </w:p>
    <w:p w14:paraId="27B411C5" w14:textId="1AB563AF" w:rsidR="007561B4" w:rsidRDefault="00582270" w:rsidP="007561B4">
      <w:pPr>
        <w:pStyle w:val="a3"/>
        <w:numPr>
          <w:ilvl w:val="1"/>
          <w:numId w:val="4"/>
        </w:numPr>
        <w:ind w:left="660" w:hanging="660"/>
        <w:rPr>
          <w:lang w:val="hu-HU"/>
        </w:rPr>
      </w:pPr>
      <w:r w:rsidRPr="00D92752">
        <w:rPr>
          <w:lang w:val="hu-HU"/>
        </w:rPr>
        <w:t xml:space="preserve">Ha gyermeke a terhessége alatt </w:t>
      </w:r>
      <w:r w:rsidR="00D92752" w:rsidRPr="00D92752">
        <w:rPr>
          <w:lang w:val="hu-HU"/>
        </w:rPr>
        <w:t>Yuflyma</w:t>
      </w:r>
      <w:r w:rsidRPr="00D92752">
        <w:rPr>
          <w:lang w:val="hu-HU"/>
        </w:rPr>
        <w:t>-t kapott, a kisbabája nagyobb eséllyel kap el valamilyen fertőzést</w:t>
      </w:r>
      <w:r w:rsidR="007561B4">
        <w:rPr>
          <w:rFonts w:eastAsia="Times New Roman"/>
          <w:lang w:val="hu-HU"/>
        </w:rPr>
        <w:t>.</w:t>
      </w:r>
    </w:p>
    <w:p w14:paraId="421A8A9B" w14:textId="03A8416F" w:rsidR="007561B4" w:rsidRDefault="00582270" w:rsidP="007561B4">
      <w:pPr>
        <w:pStyle w:val="a3"/>
        <w:numPr>
          <w:ilvl w:val="1"/>
          <w:numId w:val="4"/>
        </w:numPr>
        <w:ind w:left="660" w:hanging="660"/>
        <w:rPr>
          <w:lang w:val="hu-HU"/>
        </w:rPr>
      </w:pPr>
      <w:r w:rsidRPr="005A05DE">
        <w:rPr>
          <w:lang w:val="hu-HU"/>
        </w:rPr>
        <w:t xml:space="preserve">Fontos, hogy elmondja gyermeke kisbabája orvosának vagy az őt kezelő egészségügyi személyzetnek, hogy a terhessége alatt </w:t>
      </w:r>
      <w:r w:rsidR="00D92752">
        <w:rPr>
          <w:lang w:val="hu-HU"/>
        </w:rPr>
        <w:t>Yuflyma</w:t>
      </w:r>
      <w:r w:rsidRPr="005A05DE">
        <w:rPr>
          <w:lang w:val="hu-HU"/>
        </w:rPr>
        <w:t>-t kapott, mielőtt a kisbaba bármilyen védőoltást kapna. A védőoltásokról további információt talál a „Figyelmeztetések és óvintézkedések” részben</w:t>
      </w:r>
      <w:r w:rsidR="007561B4">
        <w:rPr>
          <w:rFonts w:eastAsia="Times New Roman"/>
          <w:lang w:val="hu-HU"/>
        </w:rPr>
        <w:t>.</w:t>
      </w:r>
    </w:p>
    <w:p w14:paraId="0F44468F" w14:textId="77777777" w:rsidR="007561B4" w:rsidRDefault="007561B4" w:rsidP="007561B4">
      <w:pPr>
        <w:spacing w:before="15" w:line="240" w:lineRule="exact"/>
        <w:rPr>
          <w:b/>
          <w:sz w:val="24"/>
          <w:szCs w:val="24"/>
          <w:lang w:val="hu-HU"/>
        </w:rPr>
      </w:pPr>
    </w:p>
    <w:p w14:paraId="4953A527" w14:textId="77777777" w:rsidR="007561B4" w:rsidRDefault="007561B4" w:rsidP="007561B4">
      <w:pPr>
        <w:pStyle w:val="a3"/>
        <w:rPr>
          <w:b/>
          <w:lang w:val="hu-HU"/>
        </w:rPr>
      </w:pPr>
      <w:r>
        <w:rPr>
          <w:rFonts w:eastAsia="Times New Roman"/>
          <w:b/>
          <w:bCs/>
          <w:lang w:val="hu-HU"/>
        </w:rPr>
        <w:t>A készítmény hatásai a gépjárművezetéshez és a gépek kezeléséhez szükséges képességekre</w:t>
      </w:r>
    </w:p>
    <w:p w14:paraId="28F3B4C4" w14:textId="77777777" w:rsidR="007561B4" w:rsidRDefault="007561B4" w:rsidP="007561B4">
      <w:pPr>
        <w:spacing w:before="12" w:line="240" w:lineRule="exact"/>
        <w:rPr>
          <w:sz w:val="24"/>
          <w:szCs w:val="24"/>
          <w:lang w:val="hu-HU"/>
        </w:rPr>
      </w:pPr>
    </w:p>
    <w:p w14:paraId="286A96C0" w14:textId="298A3803" w:rsidR="007561B4" w:rsidRDefault="00582270" w:rsidP="007561B4">
      <w:pPr>
        <w:pStyle w:val="a3"/>
        <w:rPr>
          <w:lang w:val="hu-HU"/>
        </w:rPr>
      </w:pPr>
      <w:r w:rsidRPr="005A05DE">
        <w:rPr>
          <w:lang w:val="hu-HU"/>
        </w:rPr>
        <w:t xml:space="preserve">A </w:t>
      </w:r>
      <w:r w:rsidR="00D92752">
        <w:rPr>
          <w:lang w:val="hu-HU"/>
        </w:rPr>
        <w:t>Yuflyma</w:t>
      </w:r>
      <w:r w:rsidRPr="005A05DE">
        <w:rPr>
          <w:lang w:val="hu-HU"/>
        </w:rPr>
        <w:t xml:space="preserve"> </w:t>
      </w:r>
      <w:r w:rsidR="002125A9">
        <w:rPr>
          <w:lang w:val="hu-HU"/>
        </w:rPr>
        <w:t xml:space="preserve">csak </w:t>
      </w:r>
      <w:r w:rsidRPr="005A05DE">
        <w:rPr>
          <w:lang w:val="hu-HU"/>
        </w:rPr>
        <w:t xml:space="preserve">csekély mértékben befolyásolhatja gyermeke gépjárművezetéshez, kerékpározáshoz vagy a gépek kezeléséhez szükséges képességeit. </w:t>
      </w:r>
      <w:r w:rsidRPr="00167BF3">
        <w:rPr>
          <w:lang w:val="hu-HU"/>
        </w:rPr>
        <w:t>Előfordulhat olyan érzés, mintha forogna a szoba vagy a tér, továbbá látászavar is előfordulhat</w:t>
      </w:r>
      <w:r w:rsidR="007561B4">
        <w:rPr>
          <w:rFonts w:eastAsia="Times New Roman"/>
          <w:lang w:val="hu-HU"/>
        </w:rPr>
        <w:t>.</w:t>
      </w:r>
    </w:p>
    <w:p w14:paraId="1C260B89" w14:textId="77777777" w:rsidR="007561B4" w:rsidRDefault="007561B4" w:rsidP="007561B4">
      <w:pPr>
        <w:pStyle w:val="a3"/>
        <w:rPr>
          <w:lang w:val="hu-HU"/>
        </w:rPr>
      </w:pPr>
    </w:p>
    <w:p w14:paraId="7A953AB1" w14:textId="695E3F9C" w:rsidR="007561B4" w:rsidRDefault="007561B4" w:rsidP="007561B4">
      <w:pPr>
        <w:pStyle w:val="a3"/>
        <w:rPr>
          <w:b/>
          <w:lang w:val="hu-HU"/>
        </w:rPr>
      </w:pPr>
      <w:r>
        <w:rPr>
          <w:rFonts w:eastAsia="Times New Roman"/>
          <w:b/>
          <w:bCs/>
          <w:lang w:val="hu-HU"/>
        </w:rPr>
        <w:t>A</w:t>
      </w:r>
      <w:r w:rsidR="006136D3">
        <w:rPr>
          <w:rFonts w:hint="eastAsia"/>
          <w:b/>
          <w:bCs/>
          <w:lang w:val="hu-HU" w:eastAsia="ko-KR"/>
        </w:rPr>
        <w:t>Yuflyma</w:t>
      </w:r>
      <w:r>
        <w:rPr>
          <w:rFonts w:eastAsia="Times New Roman"/>
          <w:b/>
          <w:bCs/>
          <w:lang w:val="hu-HU"/>
        </w:rPr>
        <w:t xml:space="preserve"> nátriumot tartalmaz</w:t>
      </w:r>
    </w:p>
    <w:p w14:paraId="49F993C8" w14:textId="77777777" w:rsidR="007561B4" w:rsidRDefault="007561B4" w:rsidP="007561B4">
      <w:pPr>
        <w:spacing w:before="12" w:line="240" w:lineRule="exact"/>
        <w:rPr>
          <w:sz w:val="24"/>
          <w:szCs w:val="24"/>
          <w:lang w:val="hu-HU"/>
        </w:rPr>
      </w:pPr>
    </w:p>
    <w:p w14:paraId="06A746B0" w14:textId="268764A5" w:rsidR="007561B4" w:rsidRDefault="007561B4" w:rsidP="007561B4">
      <w:pPr>
        <w:spacing w:line="200" w:lineRule="exact"/>
        <w:rPr>
          <w:sz w:val="20"/>
          <w:szCs w:val="20"/>
          <w:lang w:val="hu-HU"/>
        </w:rPr>
      </w:pPr>
      <w:r>
        <w:rPr>
          <w:rFonts w:ascii="Times New Roman" w:eastAsia="Times New Roman" w:hAnsi="Times New Roman" w:cs="Times New Roman"/>
          <w:lang w:val="hu-HU"/>
        </w:rPr>
        <w:t>Ez a gyógyszer kevesebb mint 1 mmol</w:t>
      </w:r>
      <w:r w:rsidR="00582270">
        <w:rPr>
          <w:rFonts w:ascii="Times New Roman" w:eastAsia="Times New Roman" w:hAnsi="Times New Roman" w:cs="Times New Roman"/>
          <w:lang w:val="hu-HU"/>
        </w:rPr>
        <w:t xml:space="preserve"> nátriumot (23 mg) tartalmaz 0,2</w:t>
      </w:r>
      <w:r>
        <w:rPr>
          <w:rFonts w:ascii="Times New Roman" w:eastAsia="Times New Roman" w:hAnsi="Times New Roman" w:cs="Times New Roman"/>
          <w:lang w:val="hu-HU"/>
        </w:rPr>
        <w:t xml:space="preserve">  ml-es dózisonként, azaz lényegében „nátriummentes”.</w:t>
      </w:r>
    </w:p>
    <w:p w14:paraId="5A4F780C" w14:textId="77777777" w:rsidR="007561B4" w:rsidRDefault="007561B4" w:rsidP="007561B4">
      <w:pPr>
        <w:spacing w:line="200" w:lineRule="exact"/>
        <w:rPr>
          <w:sz w:val="20"/>
          <w:szCs w:val="20"/>
          <w:lang w:val="hu-HU"/>
        </w:rPr>
      </w:pPr>
    </w:p>
    <w:p w14:paraId="35BD4159" w14:textId="77777777" w:rsidR="007561B4" w:rsidRDefault="007561B4" w:rsidP="007561B4">
      <w:pPr>
        <w:spacing w:line="200" w:lineRule="exact"/>
        <w:rPr>
          <w:sz w:val="20"/>
          <w:szCs w:val="20"/>
          <w:lang w:val="hu-HU"/>
        </w:rPr>
      </w:pPr>
    </w:p>
    <w:p w14:paraId="3880B6C5" w14:textId="5F80AF8A" w:rsidR="007561B4" w:rsidRDefault="007561B4" w:rsidP="00FD05AA">
      <w:pPr>
        <w:pStyle w:val="a4"/>
        <w:numPr>
          <w:ilvl w:val="0"/>
          <w:numId w:val="82"/>
        </w:numPr>
        <w:spacing w:before="18" w:line="240" w:lineRule="exact"/>
        <w:ind w:left="357" w:hanging="357"/>
        <w:rPr>
          <w:rFonts w:ascii="Times New Roman" w:hAnsi="Times New Roman" w:cs="Times New Roman"/>
          <w:b/>
          <w:lang w:val="hu-HU"/>
        </w:rPr>
      </w:pPr>
      <w:r>
        <w:rPr>
          <w:rFonts w:ascii="Times New Roman" w:eastAsia="Times New Roman" w:hAnsi="Times New Roman" w:cs="Times New Roman"/>
          <w:b/>
          <w:bCs/>
          <w:lang w:val="hu-HU"/>
        </w:rPr>
        <w:t>Hogyan kell alkalmazni a Yuflyma-t</w:t>
      </w:r>
      <w:r w:rsidR="0032768D">
        <w:rPr>
          <w:rFonts w:ascii="Times New Roman" w:eastAsia="Times New Roman" w:hAnsi="Times New Roman" w:cs="Times New Roman"/>
          <w:b/>
          <w:bCs/>
          <w:lang w:val="hu-HU"/>
        </w:rPr>
        <w:t>?</w:t>
      </w:r>
    </w:p>
    <w:p w14:paraId="3CF06953" w14:textId="77777777" w:rsidR="007561B4" w:rsidRDefault="007561B4" w:rsidP="007561B4">
      <w:pPr>
        <w:spacing w:before="9" w:line="240" w:lineRule="exact"/>
        <w:rPr>
          <w:sz w:val="24"/>
          <w:szCs w:val="24"/>
          <w:lang w:val="hu-HU"/>
        </w:rPr>
      </w:pPr>
    </w:p>
    <w:p w14:paraId="6E05731C" w14:textId="77777777" w:rsidR="007561B4" w:rsidRDefault="007561B4" w:rsidP="007561B4">
      <w:pPr>
        <w:pStyle w:val="a3"/>
        <w:rPr>
          <w:lang w:val="hu-HU"/>
        </w:rPr>
      </w:pPr>
      <w:r>
        <w:rPr>
          <w:rFonts w:eastAsia="Times New Roman"/>
          <w:lang w:val="hu-HU"/>
        </w:rPr>
        <w:t>A gyógyszert mindig a kezelőorvosa vagy gyógyszerésze által elmondottaknak megfelelően alkalmazza. Forduljon orvosához vagy gyógyszerészéhez, ha bizonytalan valamiben.</w:t>
      </w:r>
    </w:p>
    <w:p w14:paraId="621DF0D5" w14:textId="77777777" w:rsidR="007561B4" w:rsidRDefault="007561B4" w:rsidP="007561B4">
      <w:pPr>
        <w:spacing w:before="10" w:line="240" w:lineRule="exact"/>
        <w:rPr>
          <w:sz w:val="24"/>
          <w:szCs w:val="24"/>
          <w:lang w:val="hu-HU"/>
        </w:rPr>
      </w:pPr>
    </w:p>
    <w:p w14:paraId="31ACF85E" w14:textId="1269F9CB" w:rsidR="007561B4" w:rsidRDefault="00582270" w:rsidP="007561B4">
      <w:pPr>
        <w:pStyle w:val="a3"/>
        <w:rPr>
          <w:lang w:val="hu-HU"/>
        </w:rPr>
      </w:pPr>
      <w:r w:rsidRPr="00D92752">
        <w:rPr>
          <w:lang w:val="hu-HU"/>
        </w:rPr>
        <w:t xml:space="preserve">A </w:t>
      </w:r>
      <w:r w:rsidR="00D92752" w:rsidRPr="00D92752">
        <w:rPr>
          <w:lang w:val="hu-HU"/>
        </w:rPr>
        <w:t>Yuflyma</w:t>
      </w:r>
      <w:r w:rsidRPr="00D92752">
        <w:rPr>
          <w:lang w:val="hu-HU"/>
        </w:rPr>
        <w:t xml:space="preserve"> ajánlott adagját az egyes engedélyezett javallatokban a következő táblázat tartalmazza. Kezelőorvosa más hatáserősségű </w:t>
      </w:r>
      <w:r w:rsidR="00D92752" w:rsidRPr="00D92752">
        <w:rPr>
          <w:lang w:val="hu-HU"/>
        </w:rPr>
        <w:t>Yuflyma</w:t>
      </w:r>
      <w:r w:rsidRPr="00D92752">
        <w:rPr>
          <w:lang w:val="hu-HU"/>
        </w:rPr>
        <w:t>-t is felírhat, ha gyermekének más dózisra van szüksége</w:t>
      </w:r>
      <w:r w:rsidR="007561B4">
        <w:rPr>
          <w:rFonts w:eastAsia="Times New Roman"/>
          <w:lang w:val="hu-HU"/>
        </w:rPr>
        <w:t>.</w:t>
      </w:r>
    </w:p>
    <w:p w14:paraId="2509764A" w14:textId="77777777" w:rsidR="007561B4" w:rsidRDefault="007561B4" w:rsidP="007561B4">
      <w:pPr>
        <w:spacing w:before="12"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7561B4" w14:paraId="454B2DA8" w14:textId="77777777" w:rsidTr="00CC2E43">
        <w:tc>
          <w:tcPr>
            <w:tcW w:w="9288" w:type="dxa"/>
            <w:gridSpan w:val="3"/>
            <w:tcBorders>
              <w:top w:val="single" w:sz="5" w:space="0" w:color="000000"/>
              <w:left w:val="single" w:sz="5" w:space="0" w:color="000000"/>
              <w:bottom w:val="single" w:sz="5" w:space="0" w:color="000000"/>
              <w:right w:val="single" w:sz="5" w:space="0" w:color="000000"/>
            </w:tcBorders>
          </w:tcPr>
          <w:p w14:paraId="770BC8E0" w14:textId="77777777" w:rsidR="007561B4" w:rsidRDefault="007561B4" w:rsidP="00CC2E43">
            <w:pPr>
              <w:pStyle w:val="TableParagraph"/>
              <w:spacing w:line="250" w:lineRule="exact"/>
              <w:ind w:left="102"/>
              <w:rPr>
                <w:rFonts w:ascii="Times New Roman" w:eastAsia="Times New Roman" w:hAnsi="Times New Roman" w:cs="Times New Roman"/>
                <w:b/>
                <w:bCs/>
                <w:spacing w:val="-1"/>
                <w:lang w:val="hu-HU"/>
              </w:rPr>
            </w:pPr>
            <w:r w:rsidRPr="0004267E">
              <w:rPr>
                <w:rFonts w:ascii="Times New Roman" w:hAnsi="Times New Roman" w:cs="Times New Roman"/>
                <w:b/>
                <w:bCs/>
                <w:lang w:val="hu-HU"/>
              </w:rPr>
              <w:t>Poliartikuláris juvenilis</w:t>
            </w:r>
            <w:r>
              <w:rPr>
                <w:rFonts w:ascii="Times New Roman" w:hAnsi="Times New Roman" w:cs="Times New Roman"/>
                <w:b/>
                <w:bCs/>
                <w:lang w:val="hu-HU"/>
              </w:rPr>
              <w:t xml:space="preserve"> idiopátiás artritisz</w:t>
            </w:r>
          </w:p>
          <w:p w14:paraId="1A262AF8" w14:textId="77777777" w:rsidR="007561B4" w:rsidRDefault="007561B4" w:rsidP="00CC2E43">
            <w:pPr>
              <w:pStyle w:val="TableParagraph"/>
              <w:spacing w:line="250" w:lineRule="exact"/>
              <w:ind w:left="102"/>
              <w:rPr>
                <w:rFonts w:ascii="Times New Roman" w:eastAsia="Times New Roman" w:hAnsi="Times New Roman" w:cs="Times New Roman"/>
                <w:lang w:val="hu-HU"/>
              </w:rPr>
            </w:pPr>
          </w:p>
        </w:tc>
      </w:tr>
      <w:tr w:rsidR="007561B4" w14:paraId="35BDDC23" w14:textId="77777777" w:rsidTr="00CC2E43">
        <w:tc>
          <w:tcPr>
            <w:tcW w:w="3096" w:type="dxa"/>
            <w:tcBorders>
              <w:top w:val="single" w:sz="5" w:space="0" w:color="000000"/>
              <w:left w:val="single" w:sz="5" w:space="0" w:color="000000"/>
              <w:bottom w:val="single" w:sz="5" w:space="0" w:color="000000"/>
              <w:right w:val="single" w:sz="5" w:space="0" w:color="000000"/>
            </w:tcBorders>
          </w:tcPr>
          <w:p w14:paraId="70235D65" w14:textId="77777777" w:rsidR="007561B4" w:rsidRDefault="007561B4" w:rsidP="00CC2E43">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5" w:space="0" w:color="000000"/>
              <w:bottom w:val="single" w:sz="5" w:space="0" w:color="000000"/>
              <w:right w:val="single" w:sz="5" w:space="0" w:color="000000"/>
            </w:tcBorders>
          </w:tcPr>
          <w:p w14:paraId="17C2E3F4" w14:textId="77777777" w:rsidR="007561B4" w:rsidRDefault="007561B4" w:rsidP="00CC2E43">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 xml:space="preserve">Milyen adagot és milyen gyakran kell </w:t>
            </w:r>
            <w:r>
              <w:rPr>
                <w:rFonts w:ascii="Times New Roman" w:eastAsia="Times New Roman" w:hAnsi="Times New Roman" w:cs="Times New Roman"/>
                <w:b/>
                <w:bCs/>
                <w:lang w:val="hu-HU"/>
              </w:rPr>
              <w:t xml:space="preserve"> alkalmazni?</w:t>
            </w:r>
          </w:p>
        </w:tc>
        <w:tc>
          <w:tcPr>
            <w:tcW w:w="3096" w:type="dxa"/>
            <w:tcBorders>
              <w:top w:val="single" w:sz="5" w:space="0" w:color="000000"/>
              <w:left w:val="single" w:sz="5" w:space="0" w:color="000000"/>
              <w:bottom w:val="single" w:sz="5" w:space="0" w:color="000000"/>
              <w:right w:val="single" w:sz="5" w:space="0" w:color="000000"/>
            </w:tcBorders>
          </w:tcPr>
          <w:p w14:paraId="2AAFCFA6" w14:textId="77777777" w:rsidR="007561B4" w:rsidRDefault="007561B4" w:rsidP="00CC2E43">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7561B4" w14:paraId="394DD425" w14:textId="77777777" w:rsidTr="00CC2E43">
        <w:tc>
          <w:tcPr>
            <w:tcW w:w="3096" w:type="dxa"/>
            <w:tcBorders>
              <w:top w:val="single" w:sz="5" w:space="0" w:color="000000"/>
              <w:left w:val="single" w:sz="5" w:space="0" w:color="000000"/>
              <w:bottom w:val="single" w:sz="5" w:space="0" w:color="000000"/>
              <w:right w:val="single" w:sz="5" w:space="0" w:color="000000"/>
            </w:tcBorders>
          </w:tcPr>
          <w:p w14:paraId="4FB2F378" w14:textId="7C0A84FE" w:rsidR="007561B4" w:rsidRDefault="007561B4" w:rsidP="00CC2E43">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Gyermekek, serdülők és felnőttek akik 2 évesnél idősebbek, test</w:t>
            </w:r>
            <w:r w:rsidR="0004267E">
              <w:rPr>
                <w:rFonts w:ascii="Times New Roman" w:eastAsia="Times New Roman" w:hAnsi="Times New Roman" w:cs="Times New Roman"/>
                <w:spacing w:val="-1"/>
                <w:lang w:val="hu-HU"/>
              </w:rPr>
              <w:t>tömegük</w:t>
            </w:r>
            <w:r>
              <w:rPr>
                <w:rFonts w:ascii="Times New Roman" w:eastAsia="Times New Roman" w:hAnsi="Times New Roman" w:cs="Times New Roman"/>
                <w:spacing w:val="-1"/>
                <w:lang w:val="hu-HU"/>
              </w:rPr>
              <w:t xml:space="preserve"> 30 kg vagy annál nagyobb</w:t>
            </w:r>
          </w:p>
        </w:tc>
        <w:tc>
          <w:tcPr>
            <w:tcW w:w="3096" w:type="dxa"/>
            <w:tcBorders>
              <w:top w:val="single" w:sz="5" w:space="0" w:color="000000"/>
              <w:left w:val="single" w:sz="5" w:space="0" w:color="000000"/>
              <w:bottom w:val="single" w:sz="5" w:space="0" w:color="000000"/>
              <w:right w:val="single" w:sz="5" w:space="0" w:color="000000"/>
            </w:tcBorders>
          </w:tcPr>
          <w:p w14:paraId="1F332ABF" w14:textId="3A9CF27E" w:rsidR="007561B4" w:rsidRDefault="007561B4" w:rsidP="0004267E">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40 mg </w:t>
            </w:r>
            <w:r w:rsidR="0004267E">
              <w:rPr>
                <w:rFonts w:ascii="Times New Roman" w:hAnsi="Times New Roman" w:cs="Times New Roman"/>
                <w:lang w:val="hu-HU"/>
              </w:rPr>
              <w:t>kéthetente</w:t>
            </w:r>
          </w:p>
        </w:tc>
        <w:tc>
          <w:tcPr>
            <w:tcW w:w="3096" w:type="dxa"/>
            <w:tcBorders>
              <w:top w:val="single" w:sz="5" w:space="0" w:color="000000"/>
              <w:left w:val="single" w:sz="5" w:space="0" w:color="000000"/>
              <w:bottom w:val="single" w:sz="5" w:space="0" w:color="000000"/>
              <w:right w:val="single" w:sz="5" w:space="0" w:color="000000"/>
            </w:tcBorders>
          </w:tcPr>
          <w:p w14:paraId="08FBA74C" w14:textId="77777777" w:rsidR="007561B4" w:rsidRDefault="007561B4" w:rsidP="00CC2E43">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Nem alkalmazható</w:t>
            </w:r>
          </w:p>
        </w:tc>
      </w:tr>
      <w:tr w:rsidR="00582270" w:rsidRPr="005A05DE" w14:paraId="347DF1E8" w14:textId="77777777" w:rsidTr="00CC2E43">
        <w:tc>
          <w:tcPr>
            <w:tcW w:w="3096" w:type="dxa"/>
            <w:tcBorders>
              <w:top w:val="single" w:sz="5" w:space="0" w:color="000000"/>
              <w:left w:val="single" w:sz="5" w:space="0" w:color="000000"/>
              <w:bottom w:val="single" w:sz="5" w:space="0" w:color="000000"/>
              <w:right w:val="single" w:sz="5" w:space="0" w:color="000000"/>
            </w:tcBorders>
          </w:tcPr>
          <w:p w14:paraId="1744709A" w14:textId="48F42CEE" w:rsidR="00582270" w:rsidRDefault="00582270" w:rsidP="00582270">
            <w:pPr>
              <w:pStyle w:val="TableParagraph"/>
              <w:spacing w:line="246" w:lineRule="exact"/>
              <w:ind w:left="102" w:right="57"/>
              <w:rPr>
                <w:rFonts w:ascii="Times New Roman" w:eastAsia="Times New Roman" w:hAnsi="Times New Roman" w:cs="Times New Roman"/>
                <w:spacing w:val="-1"/>
                <w:lang w:val="hu-HU"/>
              </w:rPr>
            </w:pPr>
            <w:r w:rsidRPr="005A05DE">
              <w:rPr>
                <w:rFonts w:ascii="Times New Roman" w:eastAsia="Times New Roman" w:hAnsi="Times New Roman" w:cs="Times New Roman"/>
                <w:spacing w:val="-1"/>
                <w:lang w:val="hu-HU"/>
              </w:rPr>
              <w:t>2 évesnél idősebb, 10 kg-nál nagyobb, de 30 kg-nál kisebb testtömegű gyermekek és serdülők</w:t>
            </w:r>
          </w:p>
        </w:tc>
        <w:tc>
          <w:tcPr>
            <w:tcW w:w="3096" w:type="dxa"/>
            <w:tcBorders>
              <w:top w:val="single" w:sz="5" w:space="0" w:color="000000"/>
              <w:left w:val="single" w:sz="5" w:space="0" w:color="000000"/>
              <w:bottom w:val="single" w:sz="5" w:space="0" w:color="000000"/>
              <w:right w:val="single" w:sz="5" w:space="0" w:color="000000"/>
            </w:tcBorders>
          </w:tcPr>
          <w:p w14:paraId="37A077F2" w14:textId="320FAD1B" w:rsidR="00582270" w:rsidRDefault="00582270" w:rsidP="00582270">
            <w:pPr>
              <w:pStyle w:val="TableParagraph"/>
              <w:spacing w:line="246" w:lineRule="exact"/>
              <w:ind w:left="102" w:right="57"/>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20 mg </w:t>
            </w:r>
            <w:r w:rsidR="0060020D">
              <w:rPr>
                <w:rFonts w:ascii="Times New Roman" w:hAnsi="Times New Roman" w:cs="Times New Roman"/>
                <w:lang w:val="hu-HU"/>
              </w:rPr>
              <w:t>kéthetente</w:t>
            </w:r>
          </w:p>
        </w:tc>
        <w:tc>
          <w:tcPr>
            <w:tcW w:w="3096" w:type="dxa"/>
            <w:tcBorders>
              <w:top w:val="single" w:sz="5" w:space="0" w:color="000000"/>
              <w:left w:val="single" w:sz="5" w:space="0" w:color="000000"/>
              <w:bottom w:val="single" w:sz="5" w:space="0" w:color="000000"/>
              <w:right w:val="single" w:sz="5" w:space="0" w:color="000000"/>
            </w:tcBorders>
          </w:tcPr>
          <w:p w14:paraId="22265B01" w14:textId="70E3D749" w:rsidR="00582270" w:rsidRDefault="00582270" w:rsidP="00582270">
            <w:pPr>
              <w:pStyle w:val="TableParagraph"/>
              <w:spacing w:line="246" w:lineRule="exact"/>
              <w:ind w:left="102" w:right="57"/>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Nem alkalmazható</w:t>
            </w:r>
          </w:p>
        </w:tc>
      </w:tr>
    </w:tbl>
    <w:p w14:paraId="79D0587E" w14:textId="77777777" w:rsidR="007561B4" w:rsidRDefault="007561B4" w:rsidP="007561B4">
      <w:pPr>
        <w:spacing w:before="10"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7561B4" w14:paraId="4F4CB70C" w14:textId="77777777" w:rsidTr="00CC2E43">
        <w:tc>
          <w:tcPr>
            <w:tcW w:w="9288" w:type="dxa"/>
            <w:gridSpan w:val="3"/>
            <w:tcBorders>
              <w:top w:val="single" w:sz="5" w:space="0" w:color="000000"/>
              <w:left w:val="single" w:sz="5" w:space="0" w:color="000000"/>
              <w:bottom w:val="single" w:sz="5" w:space="0" w:color="000000"/>
              <w:right w:val="single" w:sz="5" w:space="0" w:color="000000"/>
            </w:tcBorders>
          </w:tcPr>
          <w:p w14:paraId="48DFDDCC" w14:textId="77777777" w:rsidR="007561B4" w:rsidRDefault="007561B4" w:rsidP="00CC2E43">
            <w:pPr>
              <w:pStyle w:val="TableParagraph"/>
              <w:spacing w:line="252" w:lineRule="exact"/>
              <w:ind w:left="102"/>
              <w:rPr>
                <w:rFonts w:ascii="Times New Roman" w:eastAsia="Times New Roman" w:hAnsi="Times New Roman" w:cs="Times New Roman"/>
                <w:lang w:val="hu-HU"/>
              </w:rPr>
            </w:pPr>
            <w:r>
              <w:rPr>
                <w:rFonts w:ascii="Times New Roman" w:hAnsi="Times New Roman" w:cs="Times New Roman"/>
                <w:b/>
                <w:bCs/>
                <w:lang w:val="hu-HU"/>
              </w:rPr>
              <w:t>Entezitisszel társult artritisz</w:t>
            </w:r>
          </w:p>
        </w:tc>
      </w:tr>
      <w:tr w:rsidR="007561B4" w14:paraId="54395C6A" w14:textId="77777777" w:rsidTr="00CC2E43">
        <w:tc>
          <w:tcPr>
            <w:tcW w:w="3096" w:type="dxa"/>
            <w:tcBorders>
              <w:top w:val="single" w:sz="5" w:space="0" w:color="000000"/>
              <w:left w:val="single" w:sz="5" w:space="0" w:color="000000"/>
              <w:bottom w:val="single" w:sz="5" w:space="0" w:color="000000"/>
              <w:right w:val="single" w:sz="5" w:space="0" w:color="000000"/>
            </w:tcBorders>
          </w:tcPr>
          <w:p w14:paraId="4D171C54" w14:textId="77777777" w:rsidR="007561B4" w:rsidRDefault="007561B4" w:rsidP="00CC2E43">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5" w:space="0" w:color="000000"/>
              <w:bottom w:val="single" w:sz="5" w:space="0" w:color="000000"/>
              <w:right w:val="single" w:sz="5" w:space="0" w:color="000000"/>
            </w:tcBorders>
          </w:tcPr>
          <w:p w14:paraId="0AA69B9C" w14:textId="77777777" w:rsidR="007561B4" w:rsidRDefault="007561B4" w:rsidP="00CC2E43">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 xml:space="preserve">Milyen adagot és milyen gyakran kell </w:t>
            </w:r>
            <w:r>
              <w:rPr>
                <w:rFonts w:ascii="Times New Roman" w:eastAsia="Times New Roman" w:hAnsi="Times New Roman" w:cs="Times New Roman"/>
                <w:b/>
                <w:bCs/>
                <w:lang w:val="hu-HU"/>
              </w:rPr>
              <w:t xml:space="preserve"> alkalmazni?</w:t>
            </w:r>
          </w:p>
        </w:tc>
        <w:tc>
          <w:tcPr>
            <w:tcW w:w="3096" w:type="dxa"/>
            <w:tcBorders>
              <w:top w:val="single" w:sz="5" w:space="0" w:color="000000"/>
              <w:left w:val="single" w:sz="5" w:space="0" w:color="000000"/>
              <w:bottom w:val="single" w:sz="5" w:space="0" w:color="000000"/>
              <w:right w:val="single" w:sz="5" w:space="0" w:color="000000"/>
            </w:tcBorders>
          </w:tcPr>
          <w:p w14:paraId="34AC6206" w14:textId="77777777" w:rsidR="007561B4" w:rsidRDefault="007561B4" w:rsidP="00CC2E43">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7561B4" w14:paraId="0599BB97" w14:textId="77777777" w:rsidTr="00CC2E43">
        <w:tc>
          <w:tcPr>
            <w:tcW w:w="3096" w:type="dxa"/>
            <w:tcBorders>
              <w:top w:val="single" w:sz="5" w:space="0" w:color="000000"/>
              <w:left w:val="single" w:sz="5" w:space="0" w:color="000000"/>
              <w:bottom w:val="single" w:sz="5" w:space="0" w:color="000000"/>
              <w:right w:val="single" w:sz="5" w:space="0" w:color="000000"/>
            </w:tcBorders>
          </w:tcPr>
          <w:p w14:paraId="379B3F5A" w14:textId="1E70BCC7" w:rsidR="007561B4" w:rsidRDefault="007561B4" w:rsidP="00CC2E43">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lastRenderedPageBreak/>
              <w:t>Gyermekek, serdülők és felnőttek akik 6 évesnél idősebbek, tests</w:t>
            </w:r>
            <w:r w:rsidR="00BC7520">
              <w:rPr>
                <w:rFonts w:ascii="Times New Roman" w:eastAsia="Times New Roman" w:hAnsi="Times New Roman" w:cs="Times New Roman"/>
                <w:spacing w:val="-1"/>
                <w:lang w:val="hu-HU"/>
              </w:rPr>
              <w:t>ttömegük</w:t>
            </w:r>
            <w:r>
              <w:rPr>
                <w:rFonts w:ascii="Times New Roman" w:eastAsia="Times New Roman" w:hAnsi="Times New Roman" w:cs="Times New Roman"/>
                <w:spacing w:val="-1"/>
                <w:lang w:val="hu-HU"/>
              </w:rPr>
              <w:t xml:space="preserve"> 30 kg vagy annál nagyobb</w:t>
            </w:r>
          </w:p>
        </w:tc>
        <w:tc>
          <w:tcPr>
            <w:tcW w:w="3096" w:type="dxa"/>
            <w:tcBorders>
              <w:top w:val="single" w:sz="5" w:space="0" w:color="000000"/>
              <w:left w:val="single" w:sz="5" w:space="0" w:color="000000"/>
              <w:bottom w:val="single" w:sz="5" w:space="0" w:color="000000"/>
              <w:right w:val="single" w:sz="5" w:space="0" w:color="000000"/>
            </w:tcBorders>
          </w:tcPr>
          <w:p w14:paraId="59DA284D" w14:textId="6606DB35" w:rsidR="007561B4" w:rsidRDefault="007561B4" w:rsidP="00CC2E43">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40 mg </w:t>
            </w:r>
            <w:r w:rsidR="00BC7520">
              <w:rPr>
                <w:rFonts w:ascii="Times New Roman" w:hAnsi="Times New Roman" w:cs="Times New Roman"/>
                <w:lang w:val="hu-HU"/>
              </w:rPr>
              <w:t>kéthetente</w:t>
            </w:r>
          </w:p>
        </w:tc>
        <w:tc>
          <w:tcPr>
            <w:tcW w:w="3096" w:type="dxa"/>
            <w:tcBorders>
              <w:top w:val="single" w:sz="5" w:space="0" w:color="000000"/>
              <w:left w:val="single" w:sz="5" w:space="0" w:color="000000"/>
              <w:bottom w:val="single" w:sz="5" w:space="0" w:color="000000"/>
              <w:right w:val="single" w:sz="5" w:space="0" w:color="000000"/>
            </w:tcBorders>
          </w:tcPr>
          <w:p w14:paraId="2148EC30" w14:textId="77777777" w:rsidR="007561B4" w:rsidRDefault="007561B4" w:rsidP="00CC2E43">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Nem alkalmazható</w:t>
            </w:r>
          </w:p>
        </w:tc>
      </w:tr>
      <w:tr w:rsidR="00582270" w:rsidRPr="005A05DE" w14:paraId="107E24DA" w14:textId="77777777" w:rsidTr="00CC2E43">
        <w:tc>
          <w:tcPr>
            <w:tcW w:w="3096" w:type="dxa"/>
            <w:tcBorders>
              <w:top w:val="single" w:sz="5" w:space="0" w:color="000000"/>
              <w:left w:val="single" w:sz="5" w:space="0" w:color="000000"/>
              <w:bottom w:val="single" w:sz="5" w:space="0" w:color="000000"/>
              <w:right w:val="single" w:sz="5" w:space="0" w:color="000000"/>
            </w:tcBorders>
          </w:tcPr>
          <w:p w14:paraId="14C47A6D" w14:textId="325F0FE2" w:rsidR="00582270" w:rsidRDefault="00582270" w:rsidP="00582270">
            <w:pPr>
              <w:pStyle w:val="TableParagraph"/>
              <w:spacing w:line="246" w:lineRule="exact"/>
              <w:ind w:left="102" w:right="57"/>
              <w:rPr>
                <w:rFonts w:ascii="Times New Roman" w:eastAsia="Times New Roman" w:hAnsi="Times New Roman" w:cs="Times New Roman"/>
                <w:spacing w:val="-1"/>
                <w:lang w:val="hu-HU"/>
              </w:rPr>
            </w:pPr>
            <w:r w:rsidRPr="005A05DE">
              <w:rPr>
                <w:rFonts w:ascii="Times New Roman" w:eastAsia="Times New Roman" w:hAnsi="Times New Roman" w:cs="Times New Roman"/>
                <w:spacing w:val="-1"/>
                <w:lang w:val="hu-HU"/>
              </w:rPr>
              <w:t>6 évesnél idősebb, 15 kg-nál nagyobb, de 30 kg-nál kisebb testtömegű gyermekek és serdülők</w:t>
            </w:r>
          </w:p>
        </w:tc>
        <w:tc>
          <w:tcPr>
            <w:tcW w:w="3096" w:type="dxa"/>
            <w:tcBorders>
              <w:top w:val="single" w:sz="5" w:space="0" w:color="000000"/>
              <w:left w:val="single" w:sz="5" w:space="0" w:color="000000"/>
              <w:bottom w:val="single" w:sz="5" w:space="0" w:color="000000"/>
              <w:right w:val="single" w:sz="5" w:space="0" w:color="000000"/>
            </w:tcBorders>
          </w:tcPr>
          <w:p w14:paraId="50997047" w14:textId="301473F2" w:rsidR="00582270" w:rsidRDefault="00582270" w:rsidP="00582270">
            <w:pPr>
              <w:pStyle w:val="TableParagraph"/>
              <w:spacing w:line="246" w:lineRule="exact"/>
              <w:ind w:left="102" w:right="57"/>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20 mg </w:t>
            </w:r>
            <w:r w:rsidR="00BC7520">
              <w:rPr>
                <w:rFonts w:ascii="Times New Roman" w:hAnsi="Times New Roman" w:cs="Times New Roman"/>
                <w:lang w:val="hu-HU"/>
              </w:rPr>
              <w:t>kéthetente</w:t>
            </w:r>
          </w:p>
        </w:tc>
        <w:tc>
          <w:tcPr>
            <w:tcW w:w="3096" w:type="dxa"/>
            <w:tcBorders>
              <w:top w:val="single" w:sz="5" w:space="0" w:color="000000"/>
              <w:left w:val="single" w:sz="5" w:space="0" w:color="000000"/>
              <w:bottom w:val="single" w:sz="5" w:space="0" w:color="000000"/>
              <w:right w:val="single" w:sz="5" w:space="0" w:color="000000"/>
            </w:tcBorders>
          </w:tcPr>
          <w:p w14:paraId="297534FA" w14:textId="1A69EEEC" w:rsidR="00582270" w:rsidRDefault="00582270" w:rsidP="00582270">
            <w:pPr>
              <w:pStyle w:val="TableParagraph"/>
              <w:spacing w:line="246" w:lineRule="exact"/>
              <w:ind w:left="102" w:right="57"/>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Nem alkalmazható</w:t>
            </w:r>
          </w:p>
        </w:tc>
      </w:tr>
    </w:tbl>
    <w:p w14:paraId="75BE54A3" w14:textId="77777777" w:rsidR="007561B4" w:rsidRDefault="007561B4" w:rsidP="007561B4">
      <w:pPr>
        <w:spacing w:before="10"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7561B4" w:rsidRPr="00BE4D18" w14:paraId="26E1B86F" w14:textId="77777777" w:rsidTr="005A05DE">
        <w:tc>
          <w:tcPr>
            <w:tcW w:w="9288" w:type="dxa"/>
            <w:gridSpan w:val="3"/>
            <w:tcBorders>
              <w:top w:val="single" w:sz="5" w:space="0" w:color="000000"/>
              <w:left w:val="single" w:sz="5" w:space="0" w:color="000000"/>
              <w:bottom w:val="single" w:sz="5" w:space="0" w:color="000000"/>
              <w:right w:val="single" w:sz="5" w:space="0" w:color="000000"/>
            </w:tcBorders>
          </w:tcPr>
          <w:p w14:paraId="21C1E7AE" w14:textId="1BB0CFC7" w:rsidR="007561B4" w:rsidRPr="00067D49" w:rsidRDefault="00582270" w:rsidP="005A05DE">
            <w:pPr>
              <w:pStyle w:val="TableParagraph"/>
              <w:spacing w:line="252" w:lineRule="exact"/>
              <w:ind w:left="102"/>
              <w:rPr>
                <w:rFonts w:ascii="Times New Roman" w:eastAsia="Times New Roman" w:hAnsi="Times New Roman" w:cs="Times New Roman"/>
                <w:b/>
                <w:bCs/>
                <w:spacing w:val="-1"/>
                <w:lang w:val="hu-HU"/>
              </w:rPr>
            </w:pPr>
            <w:r w:rsidRPr="00067D49">
              <w:rPr>
                <w:rFonts w:ascii="Times New Roman" w:eastAsia="Times New Roman" w:hAnsi="Times New Roman" w:cs="Times New Roman"/>
                <w:b/>
                <w:bCs/>
                <w:spacing w:val="-1"/>
                <w:lang w:val="hu-HU"/>
              </w:rPr>
              <w:t xml:space="preserve">Gyermekkori plakkos </w:t>
            </w:r>
            <w:r w:rsidR="00067D49">
              <w:rPr>
                <w:rFonts w:ascii="Times New Roman" w:eastAsia="Times New Roman" w:hAnsi="Times New Roman" w:cs="Times New Roman"/>
                <w:b/>
                <w:bCs/>
                <w:spacing w:val="-1"/>
                <w:lang w:val="hu-HU"/>
              </w:rPr>
              <w:t>pikkelysömör</w:t>
            </w:r>
          </w:p>
        </w:tc>
      </w:tr>
      <w:tr w:rsidR="007561B4" w14:paraId="0F9FE699" w14:textId="77777777" w:rsidTr="005A05DE">
        <w:tc>
          <w:tcPr>
            <w:tcW w:w="3096" w:type="dxa"/>
            <w:tcBorders>
              <w:top w:val="single" w:sz="6" w:space="0" w:color="000000"/>
              <w:left w:val="single" w:sz="6" w:space="0" w:color="000000"/>
              <w:bottom w:val="single" w:sz="4" w:space="0" w:color="auto"/>
              <w:right w:val="single" w:sz="6" w:space="0" w:color="000000"/>
            </w:tcBorders>
          </w:tcPr>
          <w:p w14:paraId="3C6D32F8" w14:textId="77777777" w:rsidR="007561B4" w:rsidRPr="00067D49" w:rsidRDefault="007561B4" w:rsidP="00CC2E43">
            <w:pPr>
              <w:pStyle w:val="TableParagraph"/>
              <w:spacing w:line="251" w:lineRule="exact"/>
              <w:ind w:left="102" w:right="57"/>
              <w:rPr>
                <w:rFonts w:ascii="Times New Roman" w:eastAsia="Times New Roman" w:hAnsi="Times New Roman" w:cs="Times New Roman"/>
                <w:lang w:val="hu-HU"/>
              </w:rPr>
            </w:pPr>
            <w:r w:rsidRPr="00067D49">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6" w:space="0" w:color="000000"/>
              <w:bottom w:val="single" w:sz="5" w:space="0" w:color="000000"/>
              <w:right w:val="single" w:sz="5" w:space="0" w:color="000000"/>
            </w:tcBorders>
          </w:tcPr>
          <w:p w14:paraId="44493A39" w14:textId="77777777" w:rsidR="007561B4" w:rsidRDefault="007561B4" w:rsidP="00CC2E43">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 xml:space="preserve">Milyen adagot és milyen gyakran kell </w:t>
            </w:r>
            <w:r>
              <w:rPr>
                <w:rFonts w:ascii="Times New Roman" w:eastAsia="Times New Roman" w:hAnsi="Times New Roman" w:cs="Times New Roman"/>
                <w:b/>
                <w:bCs/>
                <w:lang w:val="hu-HU"/>
              </w:rPr>
              <w:t>alkalmazni?</w:t>
            </w:r>
          </w:p>
        </w:tc>
        <w:tc>
          <w:tcPr>
            <w:tcW w:w="3096" w:type="dxa"/>
            <w:tcBorders>
              <w:top w:val="single" w:sz="5" w:space="0" w:color="000000"/>
              <w:left w:val="single" w:sz="5" w:space="0" w:color="000000"/>
              <w:bottom w:val="single" w:sz="5" w:space="0" w:color="000000"/>
              <w:right w:val="single" w:sz="5" w:space="0" w:color="000000"/>
            </w:tcBorders>
          </w:tcPr>
          <w:p w14:paraId="484B6649" w14:textId="77777777" w:rsidR="007561B4" w:rsidRDefault="007561B4" w:rsidP="00CC2E43">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582270" w:rsidRPr="005A05DE" w14:paraId="76C0CDEA" w14:textId="77777777" w:rsidTr="005A05DE">
        <w:tc>
          <w:tcPr>
            <w:tcW w:w="3096" w:type="dxa"/>
            <w:tcBorders>
              <w:top w:val="single" w:sz="5" w:space="0" w:color="000000"/>
              <w:left w:val="single" w:sz="5" w:space="0" w:color="000000"/>
              <w:bottom w:val="single" w:sz="5" w:space="0" w:color="000000"/>
              <w:right w:val="single" w:sz="5" w:space="0" w:color="000000"/>
            </w:tcBorders>
          </w:tcPr>
          <w:p w14:paraId="045E3A87" w14:textId="52E761AF" w:rsidR="00582270" w:rsidRDefault="00582270" w:rsidP="00CC2E43">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Gyermekek és serdülők (4-től betöltött 18 éves korig), testsúlyuk 30 kg vagy annál nagyobb</w:t>
            </w:r>
          </w:p>
        </w:tc>
        <w:tc>
          <w:tcPr>
            <w:tcW w:w="3096" w:type="dxa"/>
            <w:tcBorders>
              <w:top w:val="single" w:sz="5" w:space="0" w:color="000000"/>
              <w:left w:val="single" w:sz="5" w:space="0" w:color="000000"/>
              <w:bottom w:val="single" w:sz="5" w:space="0" w:color="000000"/>
              <w:right w:val="single" w:sz="5" w:space="0" w:color="000000"/>
            </w:tcBorders>
          </w:tcPr>
          <w:p w14:paraId="4AC6AEA1" w14:textId="77777777" w:rsidR="00582270" w:rsidRDefault="00582270" w:rsidP="00CC2E43">
            <w:pPr>
              <w:pStyle w:val="TableParagraph"/>
              <w:spacing w:line="246" w:lineRule="exact"/>
              <w:ind w:left="102" w:right="57"/>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A kezdő adag 40 mg, amelyet egy héttel később 40 mg követ.</w:t>
            </w:r>
          </w:p>
          <w:p w14:paraId="43262DDB" w14:textId="77777777" w:rsidR="00582270" w:rsidRDefault="00582270" w:rsidP="00CC2E43">
            <w:pPr>
              <w:pStyle w:val="TableParagraph"/>
              <w:spacing w:line="246" w:lineRule="exact"/>
              <w:ind w:left="102" w:right="57"/>
              <w:rPr>
                <w:rFonts w:ascii="Times New Roman" w:eastAsia="Times New Roman" w:hAnsi="Times New Roman" w:cs="Times New Roman"/>
                <w:spacing w:val="-1"/>
                <w:lang w:val="hu-HU"/>
              </w:rPr>
            </w:pPr>
          </w:p>
          <w:p w14:paraId="2AB9FC75" w14:textId="77777777" w:rsidR="00582270" w:rsidRDefault="00582270" w:rsidP="00CC2E43">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lang w:val="hu-HU"/>
              </w:rPr>
              <w:t>Ezután a szokásos adag 40</w:t>
            </w:r>
          </w:p>
          <w:p w14:paraId="2DF7F056" w14:textId="691FB5FF" w:rsidR="00582270" w:rsidRDefault="00582270" w:rsidP="00CC2E43">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 xml:space="preserve">mg </w:t>
            </w:r>
            <w:r w:rsidR="00BC7520">
              <w:rPr>
                <w:rFonts w:ascii="Times New Roman" w:hAnsi="Times New Roman" w:cs="Times New Roman"/>
                <w:lang w:val="hu-HU"/>
              </w:rPr>
              <w:t>kéthetente</w:t>
            </w:r>
            <w:r>
              <w:rPr>
                <w:rFonts w:ascii="Times New Roman" w:eastAsia="Times New Roman" w:hAnsi="Times New Roman" w:cs="Times New Roman"/>
                <w:spacing w:val="-1"/>
                <w:lang w:val="hu-HU"/>
              </w:rPr>
              <w:t>.</w:t>
            </w:r>
          </w:p>
        </w:tc>
        <w:tc>
          <w:tcPr>
            <w:tcW w:w="3096" w:type="dxa"/>
            <w:tcBorders>
              <w:top w:val="single" w:sz="5" w:space="0" w:color="000000"/>
              <w:left w:val="single" w:sz="5" w:space="0" w:color="000000"/>
              <w:bottom w:val="single" w:sz="5" w:space="0" w:color="000000"/>
              <w:right w:val="single" w:sz="5" w:space="0" w:color="000000"/>
            </w:tcBorders>
          </w:tcPr>
          <w:p w14:paraId="1BCBDBED" w14:textId="09B7CC1A" w:rsidR="00582270" w:rsidRDefault="00582270" w:rsidP="00CC2E43">
            <w:pPr>
              <w:pStyle w:val="TableParagraph"/>
              <w:spacing w:line="246" w:lineRule="exact"/>
              <w:ind w:left="102" w:right="57"/>
              <w:rPr>
                <w:rFonts w:ascii="Times New Roman" w:eastAsia="Times New Roman" w:hAnsi="Times New Roman" w:cs="Times New Roman"/>
                <w:lang w:val="hu-HU"/>
              </w:rPr>
            </w:pPr>
            <w:r>
              <w:rPr>
                <w:rFonts w:ascii="Times New Roman" w:eastAsia="Times New Roman" w:hAnsi="Times New Roman" w:cs="Times New Roman"/>
                <w:spacing w:val="-1"/>
                <w:lang w:val="hu-HU"/>
              </w:rPr>
              <w:t>Nem alkalmazható</w:t>
            </w:r>
          </w:p>
        </w:tc>
      </w:tr>
      <w:tr w:rsidR="00582270" w:rsidRPr="005A05DE" w14:paraId="258806EE" w14:textId="77777777" w:rsidTr="005A05DE">
        <w:tc>
          <w:tcPr>
            <w:tcW w:w="3096" w:type="dxa"/>
            <w:tcBorders>
              <w:top w:val="single" w:sz="5" w:space="0" w:color="000000"/>
              <w:left w:val="single" w:sz="5" w:space="0" w:color="000000"/>
              <w:bottom w:val="single" w:sz="5" w:space="0" w:color="000000"/>
              <w:right w:val="single" w:sz="5" w:space="0" w:color="000000"/>
            </w:tcBorders>
          </w:tcPr>
          <w:p w14:paraId="5DA87A66" w14:textId="0095D407" w:rsidR="00582270" w:rsidRPr="005A05DE" w:rsidRDefault="00582270" w:rsidP="00582270">
            <w:pPr>
              <w:pStyle w:val="TableParagraph"/>
              <w:spacing w:line="246" w:lineRule="exact"/>
              <w:ind w:left="102" w:right="57"/>
              <w:rPr>
                <w:rFonts w:ascii="Times New Roman" w:eastAsia="Times New Roman" w:hAnsi="Times New Roman" w:cs="Times New Roman"/>
                <w:spacing w:val="-1"/>
                <w:lang w:val="hu-HU"/>
              </w:rPr>
            </w:pPr>
            <w:r w:rsidRPr="005A05DE">
              <w:rPr>
                <w:rFonts w:ascii="Times New Roman" w:eastAsia="Times New Roman" w:hAnsi="Times New Roman" w:cs="Times New Roman"/>
                <w:spacing w:val="-1"/>
                <w:lang w:val="hu-HU"/>
              </w:rPr>
              <w:t>4-</w:t>
            </w:r>
            <w:r w:rsidR="00BC7520">
              <w:rPr>
                <w:rFonts w:ascii="Times New Roman" w:eastAsia="Times New Roman" w:hAnsi="Times New Roman" w:cs="Times New Roman"/>
                <w:spacing w:val="-1"/>
                <w:lang w:val="hu-HU"/>
              </w:rPr>
              <w:t>től betöltött 18 éves korig</w:t>
            </w:r>
            <w:r w:rsidRPr="005A05DE">
              <w:rPr>
                <w:rFonts w:ascii="Times New Roman" w:eastAsia="Times New Roman" w:hAnsi="Times New Roman" w:cs="Times New Roman"/>
                <w:spacing w:val="-1"/>
                <w:lang w:val="hu-HU"/>
              </w:rPr>
              <w:t>, 15 kg</w:t>
            </w:r>
            <w:r w:rsidR="00BC7520">
              <w:rPr>
                <w:rFonts w:ascii="Times New Roman" w:eastAsia="Times New Roman" w:hAnsi="Times New Roman" w:cs="Times New Roman"/>
                <w:spacing w:val="-1"/>
                <w:lang w:val="hu-HU"/>
              </w:rPr>
              <w:t>-</w:t>
            </w:r>
            <w:r w:rsidRPr="005A05DE">
              <w:rPr>
                <w:rFonts w:ascii="Times New Roman" w:eastAsia="Times New Roman" w:hAnsi="Times New Roman" w:cs="Times New Roman"/>
                <w:spacing w:val="-1"/>
                <w:lang w:val="hu-HU"/>
              </w:rPr>
              <w:t>nál nagyobb, de 30 kg-nál kisebb testtömegű gyermekek és serdülők</w:t>
            </w:r>
          </w:p>
        </w:tc>
        <w:tc>
          <w:tcPr>
            <w:tcW w:w="3096" w:type="dxa"/>
            <w:tcBorders>
              <w:top w:val="single" w:sz="5" w:space="0" w:color="000000"/>
              <w:left w:val="single" w:sz="5" w:space="0" w:color="000000"/>
              <w:bottom w:val="single" w:sz="5" w:space="0" w:color="000000"/>
              <w:right w:val="single" w:sz="5" w:space="0" w:color="000000"/>
            </w:tcBorders>
          </w:tcPr>
          <w:p w14:paraId="5484AC87" w14:textId="0F68CFD2" w:rsidR="00582270" w:rsidRDefault="00582270" w:rsidP="00582270">
            <w:pPr>
              <w:pStyle w:val="TableParagraph"/>
              <w:spacing w:line="246" w:lineRule="exact"/>
              <w:ind w:left="102" w:right="57"/>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A kezdő adag 20 mg, amelyet egy héttel később 20 mg követ.</w:t>
            </w:r>
          </w:p>
          <w:p w14:paraId="00DB929C" w14:textId="77777777" w:rsidR="00582270" w:rsidRDefault="00582270" w:rsidP="00582270">
            <w:pPr>
              <w:pStyle w:val="TableParagraph"/>
              <w:spacing w:line="246" w:lineRule="exact"/>
              <w:ind w:left="102" w:right="57"/>
              <w:rPr>
                <w:rFonts w:ascii="Times New Roman" w:eastAsia="Times New Roman" w:hAnsi="Times New Roman" w:cs="Times New Roman"/>
                <w:spacing w:val="-1"/>
                <w:lang w:val="hu-HU"/>
              </w:rPr>
            </w:pPr>
          </w:p>
          <w:p w14:paraId="02941CCE" w14:textId="23E6A314" w:rsidR="00582270" w:rsidRPr="005A05DE" w:rsidRDefault="00582270" w:rsidP="00582270">
            <w:pPr>
              <w:pStyle w:val="TableParagraph"/>
              <w:spacing w:line="246" w:lineRule="exact"/>
              <w:ind w:left="102" w:right="57"/>
              <w:rPr>
                <w:rFonts w:ascii="Times New Roman" w:eastAsia="Times New Roman" w:hAnsi="Times New Roman" w:cs="Times New Roman"/>
                <w:spacing w:val="-1"/>
                <w:lang w:val="hu-HU"/>
              </w:rPr>
            </w:pPr>
            <w:r w:rsidRPr="005A05DE">
              <w:rPr>
                <w:rFonts w:ascii="Times New Roman" w:eastAsia="Times New Roman" w:hAnsi="Times New Roman" w:cs="Times New Roman"/>
                <w:spacing w:val="-1"/>
                <w:lang w:val="hu-HU"/>
              </w:rPr>
              <w:t>Ezután a szokásos adag 20</w:t>
            </w:r>
          </w:p>
          <w:p w14:paraId="61B75BED" w14:textId="0EF3C299" w:rsidR="00582270" w:rsidRPr="005A05DE" w:rsidRDefault="00582270" w:rsidP="005A05DE">
            <w:pPr>
              <w:pStyle w:val="TableParagraph"/>
              <w:spacing w:line="246" w:lineRule="exact"/>
              <w:ind w:left="102" w:right="57"/>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mg </w:t>
            </w:r>
            <w:r w:rsidR="00BC7520">
              <w:rPr>
                <w:rFonts w:ascii="Times New Roman" w:hAnsi="Times New Roman" w:cs="Times New Roman"/>
                <w:lang w:val="hu-HU"/>
              </w:rPr>
              <w:t>kéthetente</w:t>
            </w:r>
            <w:r w:rsidR="00BC7520">
              <w:rPr>
                <w:rFonts w:ascii="Times New Roman" w:eastAsia="Times New Roman" w:hAnsi="Times New Roman" w:cs="Times New Roman"/>
                <w:spacing w:val="-1"/>
                <w:lang w:val="hu-HU"/>
              </w:rPr>
              <w:t>.</w:t>
            </w:r>
          </w:p>
        </w:tc>
        <w:tc>
          <w:tcPr>
            <w:tcW w:w="3096" w:type="dxa"/>
            <w:tcBorders>
              <w:top w:val="single" w:sz="5" w:space="0" w:color="000000"/>
              <w:left w:val="single" w:sz="5" w:space="0" w:color="000000"/>
              <w:bottom w:val="single" w:sz="5" w:space="0" w:color="000000"/>
              <w:right w:val="single" w:sz="5" w:space="0" w:color="000000"/>
            </w:tcBorders>
          </w:tcPr>
          <w:p w14:paraId="524E6BBD" w14:textId="31C8E02E" w:rsidR="00582270" w:rsidRPr="005A05DE" w:rsidRDefault="00582270" w:rsidP="00582270">
            <w:pPr>
              <w:pStyle w:val="TableParagraph"/>
              <w:spacing w:line="246" w:lineRule="exact"/>
              <w:ind w:left="102" w:right="57"/>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Nem alkalmazható</w:t>
            </w:r>
          </w:p>
        </w:tc>
      </w:tr>
    </w:tbl>
    <w:p w14:paraId="113B1FB1" w14:textId="77777777" w:rsidR="007561B4" w:rsidRDefault="007561B4" w:rsidP="007561B4">
      <w:pPr>
        <w:spacing w:before="10"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7561B4" w:rsidRPr="005A05DE" w14:paraId="188DB736" w14:textId="77777777" w:rsidTr="00CC2E43">
        <w:tc>
          <w:tcPr>
            <w:tcW w:w="9288" w:type="dxa"/>
            <w:gridSpan w:val="3"/>
            <w:tcBorders>
              <w:top w:val="single" w:sz="5" w:space="0" w:color="000000"/>
              <w:left w:val="single" w:sz="5" w:space="0" w:color="000000"/>
              <w:bottom w:val="single" w:sz="5" w:space="0" w:color="000000"/>
              <w:right w:val="single" w:sz="5" w:space="0" w:color="000000"/>
            </w:tcBorders>
          </w:tcPr>
          <w:p w14:paraId="243B7895" w14:textId="67B69CD4" w:rsidR="007561B4" w:rsidRPr="005A05DE" w:rsidRDefault="00582270" w:rsidP="005A05DE">
            <w:pPr>
              <w:pStyle w:val="TableParagraph"/>
              <w:spacing w:line="251" w:lineRule="exact"/>
              <w:ind w:left="102"/>
              <w:rPr>
                <w:rFonts w:ascii="Times New Roman" w:eastAsia="Times New Roman" w:hAnsi="Times New Roman" w:cs="Times New Roman"/>
                <w:b/>
                <w:bCs/>
                <w:spacing w:val="-1"/>
                <w:lang w:val="hu-HU"/>
              </w:rPr>
            </w:pPr>
            <w:r w:rsidRPr="005A05DE">
              <w:rPr>
                <w:rFonts w:ascii="Times New Roman" w:eastAsia="Times New Roman" w:hAnsi="Times New Roman" w:cs="Times New Roman"/>
                <w:b/>
                <w:bCs/>
                <w:spacing w:val="-1"/>
                <w:lang w:val="hu-HU"/>
              </w:rPr>
              <w:t>Gyermekkori Crohn-betegség</w:t>
            </w:r>
          </w:p>
        </w:tc>
      </w:tr>
      <w:tr w:rsidR="007561B4" w14:paraId="17F3FA8D" w14:textId="77777777" w:rsidTr="00CC2E43">
        <w:tc>
          <w:tcPr>
            <w:tcW w:w="3096" w:type="dxa"/>
            <w:tcBorders>
              <w:top w:val="single" w:sz="5" w:space="0" w:color="000000"/>
              <w:left w:val="single" w:sz="5" w:space="0" w:color="000000"/>
              <w:bottom w:val="single" w:sz="5" w:space="0" w:color="000000"/>
              <w:right w:val="single" w:sz="5" w:space="0" w:color="000000"/>
            </w:tcBorders>
          </w:tcPr>
          <w:p w14:paraId="0FBA463F" w14:textId="77777777" w:rsidR="007561B4" w:rsidRDefault="007561B4" w:rsidP="00CC2E43">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5" w:space="0" w:color="000000"/>
              <w:bottom w:val="single" w:sz="5" w:space="0" w:color="000000"/>
              <w:right w:val="single" w:sz="5" w:space="0" w:color="000000"/>
            </w:tcBorders>
          </w:tcPr>
          <w:p w14:paraId="78259821" w14:textId="77777777" w:rsidR="007561B4" w:rsidRDefault="007561B4" w:rsidP="00CC2E43">
            <w:pPr>
              <w:pStyle w:val="TableParagraph"/>
              <w:spacing w:before="1" w:line="252"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Milyen adagot és milyen gyakran kell alkalmazni?</w:t>
            </w:r>
          </w:p>
        </w:tc>
        <w:tc>
          <w:tcPr>
            <w:tcW w:w="3096" w:type="dxa"/>
            <w:tcBorders>
              <w:top w:val="single" w:sz="5" w:space="0" w:color="000000"/>
              <w:left w:val="single" w:sz="5" w:space="0" w:color="000000"/>
              <w:bottom w:val="single" w:sz="5" w:space="0" w:color="000000"/>
              <w:right w:val="single" w:sz="5" w:space="0" w:color="000000"/>
            </w:tcBorders>
          </w:tcPr>
          <w:p w14:paraId="554A217F" w14:textId="77777777" w:rsidR="007561B4" w:rsidRDefault="007561B4" w:rsidP="00CC2E43">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7561B4" w:rsidRPr="00BE4D18" w14:paraId="13014541" w14:textId="77777777" w:rsidTr="00CC2E43">
        <w:tc>
          <w:tcPr>
            <w:tcW w:w="3096" w:type="dxa"/>
            <w:tcBorders>
              <w:top w:val="single" w:sz="5" w:space="0" w:color="000000"/>
              <w:left w:val="single" w:sz="5" w:space="0" w:color="000000"/>
              <w:bottom w:val="single" w:sz="5" w:space="0" w:color="000000"/>
              <w:right w:val="single" w:sz="5" w:space="0" w:color="000000"/>
            </w:tcBorders>
          </w:tcPr>
          <w:p w14:paraId="05DFBEE7" w14:textId="387D27F3" w:rsidR="007561B4" w:rsidRPr="005A05DE" w:rsidRDefault="003E3BE5" w:rsidP="00BE4047">
            <w:pPr>
              <w:pStyle w:val="TableParagraph"/>
              <w:spacing w:line="246" w:lineRule="exact"/>
              <w:ind w:left="102" w:right="57"/>
              <w:rPr>
                <w:rFonts w:ascii="Times New Roman" w:eastAsia="Times New Roman" w:hAnsi="Times New Roman" w:cs="Times New Roman"/>
                <w:spacing w:val="-1"/>
                <w:lang w:val="hu-HU"/>
              </w:rPr>
            </w:pPr>
            <w:r w:rsidRPr="005A05DE">
              <w:rPr>
                <w:rFonts w:ascii="Times New Roman" w:eastAsia="Times New Roman" w:hAnsi="Times New Roman" w:cs="Times New Roman"/>
                <w:spacing w:val="-1"/>
                <w:lang w:val="hu-HU"/>
              </w:rPr>
              <w:t>6-</w:t>
            </w:r>
            <w:r w:rsidR="00BE4047">
              <w:rPr>
                <w:rFonts w:ascii="Times New Roman" w:eastAsia="Times New Roman" w:hAnsi="Times New Roman" w:cs="Times New Roman"/>
                <w:spacing w:val="-1"/>
                <w:lang w:val="hu-HU"/>
              </w:rPr>
              <w:t>tól betöltött 18 éves korig</w:t>
            </w:r>
            <w:r w:rsidRPr="005A05DE">
              <w:rPr>
                <w:rFonts w:ascii="Times New Roman" w:eastAsia="Times New Roman" w:hAnsi="Times New Roman" w:cs="Times New Roman"/>
                <w:spacing w:val="-1"/>
                <w:lang w:val="hu-HU"/>
              </w:rPr>
              <w:t>, 40 kg-os vagy annál nagyobb testtömegű gyermekek és serdülők</w:t>
            </w:r>
          </w:p>
        </w:tc>
        <w:tc>
          <w:tcPr>
            <w:tcW w:w="3096" w:type="dxa"/>
            <w:tcBorders>
              <w:top w:val="single" w:sz="5" w:space="0" w:color="000000"/>
              <w:left w:val="single" w:sz="5" w:space="0" w:color="000000"/>
              <w:bottom w:val="single" w:sz="5" w:space="0" w:color="000000"/>
              <w:right w:val="single" w:sz="5" w:space="0" w:color="000000"/>
            </w:tcBorders>
          </w:tcPr>
          <w:p w14:paraId="73AB68ED" w14:textId="18DFFDE7" w:rsidR="007561B4" w:rsidRPr="005A05DE" w:rsidRDefault="00582270" w:rsidP="00CC2E43">
            <w:pPr>
              <w:pStyle w:val="TableParagraph"/>
              <w:spacing w:line="246" w:lineRule="exact"/>
              <w:ind w:left="102" w:right="57"/>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A kezdő adag 80 mg</w:t>
            </w:r>
            <w:r w:rsidR="007561B4">
              <w:rPr>
                <w:rFonts w:ascii="Times New Roman" w:eastAsia="Times New Roman" w:hAnsi="Times New Roman" w:cs="Times New Roman"/>
                <w:spacing w:val="-1"/>
                <w:lang w:val="hu-HU"/>
              </w:rPr>
              <w:t>, két héttel később 40 mg követ.</w:t>
            </w:r>
          </w:p>
          <w:p w14:paraId="11E5311B" w14:textId="77777777" w:rsidR="007561B4" w:rsidRPr="005A05DE" w:rsidRDefault="007561B4" w:rsidP="005A05DE">
            <w:pPr>
              <w:pStyle w:val="TableParagraph"/>
              <w:spacing w:line="246" w:lineRule="exact"/>
              <w:ind w:left="102" w:right="57"/>
              <w:rPr>
                <w:rFonts w:ascii="Times New Roman" w:eastAsia="Times New Roman" w:hAnsi="Times New Roman" w:cs="Times New Roman"/>
                <w:spacing w:val="-1"/>
                <w:lang w:val="hu-HU"/>
              </w:rPr>
            </w:pPr>
          </w:p>
          <w:p w14:paraId="20998698" w14:textId="324F85BA" w:rsidR="007561B4" w:rsidRPr="005A05DE" w:rsidRDefault="00582270" w:rsidP="005A05DE">
            <w:pPr>
              <w:pStyle w:val="TableParagraph"/>
              <w:spacing w:line="246" w:lineRule="exact"/>
              <w:ind w:left="102" w:right="57"/>
              <w:rPr>
                <w:rFonts w:ascii="Times New Roman" w:eastAsia="Times New Roman" w:hAnsi="Times New Roman" w:cs="Times New Roman"/>
                <w:spacing w:val="-1"/>
                <w:lang w:val="hu-HU"/>
              </w:rPr>
            </w:pPr>
            <w:r w:rsidRPr="005A05DE">
              <w:rPr>
                <w:rFonts w:ascii="Times New Roman" w:eastAsia="Times New Roman" w:hAnsi="Times New Roman" w:cs="Times New Roman"/>
                <w:spacing w:val="-1"/>
                <w:lang w:val="hu-HU"/>
              </w:rPr>
              <w:t xml:space="preserve">Amennyiben gyorsabb terápiás válaszra van szükség, gyermeke </w:t>
            </w:r>
            <w:r w:rsidRPr="00067D49">
              <w:rPr>
                <w:rFonts w:ascii="Times New Roman" w:eastAsia="Times New Roman" w:hAnsi="Times New Roman" w:cs="Times New Roman"/>
                <w:spacing w:val="-1"/>
                <w:lang w:val="hu-HU"/>
              </w:rPr>
              <w:t>kezelőorvosa rendelhet 160 mg kezdő dózist, melyet 80 mg követ két héttel későb</w:t>
            </w:r>
            <w:r w:rsidRPr="00BE4047">
              <w:rPr>
                <w:rFonts w:ascii="Times New Roman" w:eastAsia="Times New Roman" w:hAnsi="Times New Roman" w:cs="Times New Roman"/>
                <w:spacing w:val="-1"/>
                <w:lang w:val="hu-HU"/>
              </w:rPr>
              <w:t>b.</w:t>
            </w:r>
          </w:p>
          <w:p w14:paraId="3CCD2805" w14:textId="77777777" w:rsidR="007561B4" w:rsidRPr="005A05DE" w:rsidRDefault="007561B4" w:rsidP="005A05DE">
            <w:pPr>
              <w:pStyle w:val="TableParagraph"/>
              <w:spacing w:line="246" w:lineRule="exact"/>
              <w:ind w:left="102" w:right="57"/>
              <w:rPr>
                <w:rFonts w:ascii="Times New Roman" w:eastAsia="Times New Roman" w:hAnsi="Times New Roman" w:cs="Times New Roman"/>
                <w:spacing w:val="-1"/>
                <w:lang w:val="hu-HU"/>
              </w:rPr>
            </w:pPr>
          </w:p>
          <w:p w14:paraId="25852780" w14:textId="34725561" w:rsidR="007561B4" w:rsidRPr="005A05DE" w:rsidRDefault="007561B4" w:rsidP="005A05DE">
            <w:pPr>
              <w:pStyle w:val="TableParagraph"/>
              <w:spacing w:line="246" w:lineRule="exact"/>
              <w:ind w:left="102" w:right="57"/>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Ezután a szokásos adag 40 mg </w:t>
            </w:r>
            <w:r w:rsidR="00BE4047">
              <w:rPr>
                <w:rFonts w:ascii="Times New Roman" w:hAnsi="Times New Roman" w:cs="Times New Roman"/>
                <w:lang w:val="hu-HU"/>
              </w:rPr>
              <w:t>kéthetente</w:t>
            </w:r>
            <w:r>
              <w:rPr>
                <w:rFonts w:ascii="Times New Roman" w:eastAsia="Times New Roman" w:hAnsi="Times New Roman" w:cs="Times New Roman"/>
                <w:spacing w:val="-1"/>
                <w:lang w:val="hu-HU"/>
              </w:rPr>
              <w:t>.</w:t>
            </w:r>
          </w:p>
        </w:tc>
        <w:tc>
          <w:tcPr>
            <w:tcW w:w="3096" w:type="dxa"/>
            <w:tcBorders>
              <w:top w:val="single" w:sz="5" w:space="0" w:color="000000"/>
              <w:left w:val="single" w:sz="5" w:space="0" w:color="000000"/>
              <w:bottom w:val="single" w:sz="5" w:space="0" w:color="000000"/>
              <w:right w:val="single" w:sz="5" w:space="0" w:color="000000"/>
            </w:tcBorders>
          </w:tcPr>
          <w:p w14:paraId="0049319F" w14:textId="57AFA333" w:rsidR="007561B4" w:rsidRPr="005A05DE" w:rsidRDefault="00582270" w:rsidP="00CC2E43">
            <w:pPr>
              <w:pStyle w:val="TableParagraph"/>
              <w:spacing w:line="246" w:lineRule="exact"/>
              <w:ind w:left="102" w:right="57"/>
              <w:rPr>
                <w:rFonts w:ascii="Times New Roman" w:eastAsia="Times New Roman" w:hAnsi="Times New Roman" w:cs="Times New Roman"/>
                <w:spacing w:val="-1"/>
                <w:lang w:val="hu-HU"/>
              </w:rPr>
            </w:pPr>
            <w:r w:rsidRPr="005A05DE">
              <w:rPr>
                <w:rFonts w:ascii="Times New Roman" w:eastAsia="Times New Roman" w:hAnsi="Times New Roman" w:cs="Times New Roman"/>
                <w:spacing w:val="-1"/>
                <w:lang w:val="hu-HU"/>
              </w:rPr>
              <w:t>Gyermeke kezelőorvosa megemelheti az adagot heti 40 mg-ra vagy kéthetente 80 mg-ra</w:t>
            </w:r>
            <w:r w:rsidR="007561B4">
              <w:rPr>
                <w:rFonts w:ascii="Times New Roman" w:eastAsia="Times New Roman" w:hAnsi="Times New Roman" w:cs="Times New Roman"/>
                <w:spacing w:val="-1"/>
                <w:lang w:val="hu-HU"/>
              </w:rPr>
              <w:t>.</w:t>
            </w:r>
          </w:p>
        </w:tc>
      </w:tr>
      <w:tr w:rsidR="003E3BE5" w:rsidRPr="00BE4D18" w14:paraId="68A3E57A" w14:textId="77777777" w:rsidTr="00CC2E43">
        <w:tc>
          <w:tcPr>
            <w:tcW w:w="3096" w:type="dxa"/>
            <w:tcBorders>
              <w:top w:val="single" w:sz="5" w:space="0" w:color="000000"/>
              <w:left w:val="single" w:sz="5" w:space="0" w:color="000000"/>
              <w:bottom w:val="single" w:sz="5" w:space="0" w:color="000000"/>
              <w:right w:val="single" w:sz="5" w:space="0" w:color="000000"/>
            </w:tcBorders>
          </w:tcPr>
          <w:p w14:paraId="2C38BB18" w14:textId="059C6C0E" w:rsidR="003E3BE5" w:rsidRPr="005A05DE" w:rsidRDefault="003E3BE5" w:rsidP="003E3BE5">
            <w:pPr>
              <w:pStyle w:val="TableParagraph"/>
              <w:spacing w:line="246" w:lineRule="exact"/>
              <w:ind w:left="102" w:right="57"/>
              <w:rPr>
                <w:rFonts w:ascii="Times New Roman" w:eastAsia="Times New Roman" w:hAnsi="Times New Roman" w:cs="Times New Roman"/>
                <w:spacing w:val="-1"/>
                <w:lang w:val="hu-HU"/>
              </w:rPr>
            </w:pPr>
            <w:r w:rsidRPr="005A05DE">
              <w:rPr>
                <w:rFonts w:ascii="Times New Roman" w:eastAsia="Times New Roman" w:hAnsi="Times New Roman" w:cs="Times New Roman"/>
                <w:spacing w:val="-1"/>
                <w:lang w:val="hu-HU"/>
              </w:rPr>
              <w:t>6-</w:t>
            </w:r>
            <w:r w:rsidR="00BE4047">
              <w:rPr>
                <w:rFonts w:ascii="Times New Roman" w:eastAsia="Times New Roman" w:hAnsi="Times New Roman" w:cs="Times New Roman"/>
                <w:spacing w:val="-1"/>
                <w:lang w:val="hu-HU"/>
              </w:rPr>
              <w:t xml:space="preserve"> tól betöltött 18 éves korig</w:t>
            </w:r>
            <w:r w:rsidRPr="005A05DE">
              <w:rPr>
                <w:rFonts w:ascii="Times New Roman" w:eastAsia="Times New Roman" w:hAnsi="Times New Roman" w:cs="Times New Roman"/>
                <w:spacing w:val="-1"/>
                <w:lang w:val="hu-HU"/>
              </w:rPr>
              <w:t>, 40 kg</w:t>
            </w:r>
            <w:r w:rsidR="00BE4047">
              <w:rPr>
                <w:rFonts w:ascii="Times New Roman" w:eastAsia="Times New Roman" w:hAnsi="Times New Roman" w:cs="Times New Roman"/>
                <w:spacing w:val="-1"/>
                <w:lang w:val="hu-HU"/>
              </w:rPr>
              <w:t>-</w:t>
            </w:r>
            <w:r w:rsidRPr="005A05DE">
              <w:rPr>
                <w:rFonts w:ascii="Times New Roman" w:eastAsia="Times New Roman" w:hAnsi="Times New Roman" w:cs="Times New Roman"/>
                <w:spacing w:val="-1"/>
                <w:lang w:val="hu-HU"/>
              </w:rPr>
              <w:t>nál kisebb testtömegű gyermekek és serdülők</w:t>
            </w:r>
          </w:p>
        </w:tc>
        <w:tc>
          <w:tcPr>
            <w:tcW w:w="3096" w:type="dxa"/>
            <w:tcBorders>
              <w:top w:val="single" w:sz="5" w:space="0" w:color="000000"/>
              <w:left w:val="single" w:sz="5" w:space="0" w:color="000000"/>
              <w:bottom w:val="single" w:sz="5" w:space="0" w:color="000000"/>
              <w:right w:val="single" w:sz="5" w:space="0" w:color="000000"/>
            </w:tcBorders>
          </w:tcPr>
          <w:p w14:paraId="296EF108" w14:textId="07C85E25" w:rsidR="003E3BE5" w:rsidRPr="005A05DE" w:rsidRDefault="003E3BE5" w:rsidP="003E3BE5">
            <w:pPr>
              <w:pStyle w:val="TableParagraph"/>
              <w:spacing w:line="246" w:lineRule="exact"/>
              <w:ind w:left="102" w:right="57"/>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A kezdő adag 40 mg, két héttel később 20 mg követ.</w:t>
            </w:r>
          </w:p>
          <w:p w14:paraId="2021988C" w14:textId="77777777" w:rsidR="003E3BE5" w:rsidRPr="005A05DE" w:rsidRDefault="003E3BE5" w:rsidP="005A05DE">
            <w:pPr>
              <w:pStyle w:val="TableParagraph"/>
              <w:spacing w:line="246" w:lineRule="exact"/>
              <w:ind w:left="102" w:right="57"/>
              <w:rPr>
                <w:rFonts w:ascii="Times New Roman" w:eastAsia="Times New Roman" w:hAnsi="Times New Roman" w:cs="Times New Roman"/>
                <w:spacing w:val="-1"/>
                <w:lang w:val="hu-HU"/>
              </w:rPr>
            </w:pPr>
          </w:p>
          <w:p w14:paraId="43E60821" w14:textId="0C245008" w:rsidR="003E3BE5" w:rsidRPr="005A05DE" w:rsidRDefault="003E3BE5" w:rsidP="005A05DE">
            <w:pPr>
              <w:pStyle w:val="TableParagraph"/>
              <w:spacing w:line="246" w:lineRule="exact"/>
              <w:ind w:left="102" w:right="57"/>
              <w:rPr>
                <w:rFonts w:ascii="Times New Roman" w:eastAsia="Times New Roman" w:hAnsi="Times New Roman" w:cs="Times New Roman"/>
                <w:spacing w:val="-1"/>
                <w:lang w:val="hu-HU"/>
              </w:rPr>
            </w:pPr>
            <w:r w:rsidRPr="005A05DE">
              <w:rPr>
                <w:rFonts w:ascii="Times New Roman" w:eastAsia="Times New Roman" w:hAnsi="Times New Roman" w:cs="Times New Roman"/>
                <w:spacing w:val="-1"/>
                <w:lang w:val="hu-HU"/>
              </w:rPr>
              <w:t>Amennyiben gyorsabb terápiás válaszra van szükség, gyermeke kezelőorvosa rendelhet 80 mg kezdő dózist, melyet 40 mg követ két héttel később.</w:t>
            </w:r>
          </w:p>
          <w:p w14:paraId="6AD2A896" w14:textId="77777777" w:rsidR="003E3BE5" w:rsidRPr="005A05DE" w:rsidRDefault="003E3BE5" w:rsidP="005A05DE">
            <w:pPr>
              <w:pStyle w:val="TableParagraph"/>
              <w:spacing w:line="246" w:lineRule="exact"/>
              <w:ind w:left="102" w:right="57"/>
              <w:rPr>
                <w:rFonts w:ascii="Times New Roman" w:eastAsia="Times New Roman" w:hAnsi="Times New Roman" w:cs="Times New Roman"/>
                <w:spacing w:val="-1"/>
                <w:lang w:val="hu-HU"/>
              </w:rPr>
            </w:pPr>
          </w:p>
          <w:p w14:paraId="176E4071" w14:textId="5CEA0497" w:rsidR="003E3BE5" w:rsidRDefault="003E3BE5" w:rsidP="005A05DE">
            <w:pPr>
              <w:pStyle w:val="TableParagraph"/>
              <w:spacing w:line="246" w:lineRule="exact"/>
              <w:ind w:left="102" w:right="57"/>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Ezután a szokásos adag 20 mg </w:t>
            </w:r>
            <w:r w:rsidR="00BE4047">
              <w:rPr>
                <w:rFonts w:ascii="Times New Roman" w:hAnsi="Times New Roman" w:cs="Times New Roman"/>
                <w:lang w:val="hu-HU"/>
              </w:rPr>
              <w:t>kéthetente</w:t>
            </w:r>
            <w:r>
              <w:rPr>
                <w:rFonts w:ascii="Times New Roman" w:eastAsia="Times New Roman" w:hAnsi="Times New Roman" w:cs="Times New Roman"/>
                <w:spacing w:val="-1"/>
                <w:lang w:val="hu-HU"/>
              </w:rPr>
              <w:t>.</w:t>
            </w:r>
          </w:p>
        </w:tc>
        <w:tc>
          <w:tcPr>
            <w:tcW w:w="3096" w:type="dxa"/>
            <w:tcBorders>
              <w:top w:val="single" w:sz="5" w:space="0" w:color="000000"/>
              <w:left w:val="single" w:sz="5" w:space="0" w:color="000000"/>
              <w:bottom w:val="single" w:sz="5" w:space="0" w:color="000000"/>
              <w:right w:val="single" w:sz="5" w:space="0" w:color="000000"/>
            </w:tcBorders>
          </w:tcPr>
          <w:p w14:paraId="7BAAF5C8" w14:textId="0CDE6F28" w:rsidR="003E3BE5" w:rsidRDefault="003E3BE5" w:rsidP="003E3BE5">
            <w:pPr>
              <w:pStyle w:val="TableParagraph"/>
              <w:spacing w:line="246" w:lineRule="exact"/>
              <w:ind w:left="102" w:right="57"/>
              <w:rPr>
                <w:rFonts w:ascii="Times New Roman" w:eastAsia="Times New Roman" w:hAnsi="Times New Roman" w:cs="Times New Roman"/>
                <w:spacing w:val="-1"/>
                <w:lang w:val="hu-HU"/>
              </w:rPr>
            </w:pPr>
            <w:r w:rsidRPr="005A05DE">
              <w:rPr>
                <w:rFonts w:ascii="Times New Roman" w:eastAsia="Times New Roman" w:hAnsi="Times New Roman" w:cs="Times New Roman"/>
                <w:spacing w:val="-1"/>
                <w:lang w:val="hu-HU"/>
              </w:rPr>
              <w:t>Gyermeke kezelőorvosa megemelheti az adagolás gyakoriságát heti 20 mg-ra</w:t>
            </w:r>
            <w:r>
              <w:rPr>
                <w:rFonts w:ascii="Times New Roman" w:eastAsia="Times New Roman" w:hAnsi="Times New Roman" w:cs="Times New Roman"/>
                <w:spacing w:val="-1"/>
                <w:lang w:val="hu-HU"/>
              </w:rPr>
              <w:t>.</w:t>
            </w:r>
          </w:p>
        </w:tc>
      </w:tr>
    </w:tbl>
    <w:p w14:paraId="7DD5EFCD" w14:textId="77777777" w:rsidR="007561B4" w:rsidRDefault="007561B4" w:rsidP="007561B4">
      <w:pPr>
        <w:spacing w:before="10" w:line="240" w:lineRule="exact"/>
        <w:rPr>
          <w:sz w:val="24"/>
          <w:szCs w:val="24"/>
          <w:lang w:val="hu-HU"/>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7561B4" w:rsidRPr="00BE4D18" w14:paraId="08428C53" w14:textId="77777777" w:rsidTr="00CC2E43">
        <w:tc>
          <w:tcPr>
            <w:tcW w:w="9288" w:type="dxa"/>
            <w:gridSpan w:val="3"/>
            <w:tcBorders>
              <w:top w:val="single" w:sz="5" w:space="0" w:color="000000"/>
              <w:left w:val="single" w:sz="5" w:space="0" w:color="000000"/>
              <w:bottom w:val="single" w:sz="5" w:space="0" w:color="000000"/>
              <w:right w:val="single" w:sz="5" w:space="0" w:color="000000"/>
            </w:tcBorders>
          </w:tcPr>
          <w:p w14:paraId="135D95A5" w14:textId="77777777" w:rsidR="007561B4" w:rsidRDefault="007561B4" w:rsidP="00CC2E43">
            <w:pPr>
              <w:pStyle w:val="TableParagraph"/>
              <w:spacing w:line="252" w:lineRule="exact"/>
              <w:ind w:left="102"/>
              <w:rPr>
                <w:rFonts w:ascii="Times New Roman" w:eastAsia="Times New Roman" w:hAnsi="Times New Roman" w:cs="Times New Roman"/>
                <w:lang w:val="hu-HU"/>
              </w:rPr>
            </w:pPr>
            <w:r>
              <w:rPr>
                <w:rFonts w:ascii="Times New Roman" w:eastAsia="Times New Roman" w:hAnsi="Times New Roman" w:cs="Times New Roman"/>
                <w:b/>
                <w:bCs/>
                <w:spacing w:val="-1"/>
                <w:lang w:val="hu-HU"/>
              </w:rPr>
              <w:t>Nem fertőzéses eredetű szemgyulladás (uveitisz)</w:t>
            </w:r>
          </w:p>
        </w:tc>
      </w:tr>
      <w:tr w:rsidR="007561B4" w14:paraId="7742F297" w14:textId="77777777" w:rsidTr="00CC2E43">
        <w:tc>
          <w:tcPr>
            <w:tcW w:w="3096" w:type="dxa"/>
            <w:tcBorders>
              <w:top w:val="single" w:sz="5" w:space="0" w:color="000000"/>
              <w:left w:val="single" w:sz="5" w:space="0" w:color="000000"/>
              <w:bottom w:val="single" w:sz="5" w:space="0" w:color="000000"/>
              <w:right w:val="single" w:sz="5" w:space="0" w:color="000000"/>
            </w:tcBorders>
          </w:tcPr>
          <w:p w14:paraId="7C0DF429" w14:textId="77777777" w:rsidR="007561B4" w:rsidRDefault="007561B4" w:rsidP="00CC2E43">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Életkor vagy testtömeg</w:t>
            </w:r>
          </w:p>
        </w:tc>
        <w:tc>
          <w:tcPr>
            <w:tcW w:w="3096" w:type="dxa"/>
            <w:tcBorders>
              <w:top w:val="single" w:sz="5" w:space="0" w:color="000000"/>
              <w:left w:val="single" w:sz="5" w:space="0" w:color="000000"/>
              <w:bottom w:val="single" w:sz="5" w:space="0" w:color="000000"/>
              <w:right w:val="single" w:sz="5" w:space="0" w:color="000000"/>
            </w:tcBorders>
          </w:tcPr>
          <w:p w14:paraId="3E5CC8F3" w14:textId="77777777" w:rsidR="007561B4" w:rsidRDefault="007561B4" w:rsidP="00CC2E43">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spacing w:val="-1"/>
                <w:lang w:val="hu-HU"/>
              </w:rPr>
              <w:t xml:space="preserve">Milyen adagot és milyen gyakran kell </w:t>
            </w:r>
            <w:r>
              <w:rPr>
                <w:rFonts w:ascii="Times New Roman" w:eastAsia="Times New Roman" w:hAnsi="Times New Roman" w:cs="Times New Roman"/>
                <w:b/>
                <w:bCs/>
                <w:lang w:val="hu-HU"/>
              </w:rPr>
              <w:t>alkalmazni?</w:t>
            </w:r>
          </w:p>
        </w:tc>
        <w:tc>
          <w:tcPr>
            <w:tcW w:w="3096" w:type="dxa"/>
            <w:tcBorders>
              <w:top w:val="single" w:sz="5" w:space="0" w:color="000000"/>
              <w:left w:val="single" w:sz="5" w:space="0" w:color="000000"/>
              <w:bottom w:val="single" w:sz="5" w:space="0" w:color="000000"/>
              <w:right w:val="single" w:sz="5" w:space="0" w:color="000000"/>
            </w:tcBorders>
          </w:tcPr>
          <w:p w14:paraId="0895D617" w14:textId="77777777" w:rsidR="007561B4" w:rsidRDefault="007561B4" w:rsidP="00CC2E43">
            <w:pPr>
              <w:pStyle w:val="TableParagraph"/>
              <w:spacing w:line="251" w:lineRule="exact"/>
              <w:ind w:left="102" w:right="57"/>
              <w:rPr>
                <w:rFonts w:ascii="Times New Roman" w:eastAsia="Times New Roman" w:hAnsi="Times New Roman" w:cs="Times New Roman"/>
                <w:lang w:val="hu-HU"/>
              </w:rPr>
            </w:pPr>
            <w:r>
              <w:rPr>
                <w:rFonts w:ascii="Times New Roman" w:eastAsia="Times New Roman" w:hAnsi="Times New Roman" w:cs="Times New Roman"/>
                <w:b/>
                <w:bCs/>
                <w:lang w:val="hu-HU"/>
              </w:rPr>
              <w:t>Megjegyzések</w:t>
            </w:r>
          </w:p>
        </w:tc>
      </w:tr>
      <w:tr w:rsidR="003E3BE5" w:rsidRPr="005A05DE" w14:paraId="0F5D19F9" w14:textId="77777777" w:rsidTr="00CC2E43">
        <w:tc>
          <w:tcPr>
            <w:tcW w:w="3096" w:type="dxa"/>
            <w:tcBorders>
              <w:top w:val="single" w:sz="5" w:space="0" w:color="000000"/>
              <w:left w:val="single" w:sz="5" w:space="0" w:color="000000"/>
              <w:bottom w:val="single" w:sz="5" w:space="0" w:color="000000"/>
              <w:right w:val="single" w:sz="5" w:space="0" w:color="000000"/>
            </w:tcBorders>
          </w:tcPr>
          <w:p w14:paraId="5E617A92" w14:textId="2491D2EA" w:rsidR="003E3BE5" w:rsidRPr="005A05DE" w:rsidRDefault="003E3BE5" w:rsidP="003E3BE5">
            <w:pPr>
              <w:pStyle w:val="TableParagraph"/>
              <w:spacing w:line="246" w:lineRule="exact"/>
              <w:ind w:left="102" w:right="57"/>
              <w:rPr>
                <w:rFonts w:ascii="Times New Roman" w:eastAsia="Times New Roman" w:hAnsi="Times New Roman" w:cs="Times New Roman"/>
                <w:spacing w:val="-1"/>
                <w:lang w:val="hu-HU"/>
              </w:rPr>
            </w:pPr>
            <w:r w:rsidRPr="005A05DE">
              <w:rPr>
                <w:rFonts w:ascii="Times New Roman" w:eastAsia="Times New Roman" w:hAnsi="Times New Roman" w:cs="Times New Roman"/>
                <w:spacing w:val="-1"/>
                <w:lang w:val="hu-HU"/>
              </w:rPr>
              <w:t>2 éves kor feletti, 30 kg-nál kisebb testtömegű gyermekek és serdülők</w:t>
            </w:r>
          </w:p>
        </w:tc>
        <w:tc>
          <w:tcPr>
            <w:tcW w:w="3096" w:type="dxa"/>
            <w:tcBorders>
              <w:top w:val="single" w:sz="5" w:space="0" w:color="000000"/>
              <w:left w:val="single" w:sz="5" w:space="0" w:color="000000"/>
              <w:bottom w:val="single" w:sz="5" w:space="0" w:color="000000"/>
              <w:right w:val="single" w:sz="5" w:space="0" w:color="000000"/>
            </w:tcBorders>
          </w:tcPr>
          <w:p w14:paraId="5CA82CA5" w14:textId="1CCF8512" w:rsidR="003E3BE5" w:rsidRPr="005A05DE" w:rsidRDefault="003E3BE5" w:rsidP="003E3BE5">
            <w:pPr>
              <w:pStyle w:val="TableParagraph"/>
              <w:spacing w:line="246" w:lineRule="exact"/>
              <w:ind w:left="102" w:right="57"/>
              <w:rPr>
                <w:rFonts w:ascii="Times New Roman" w:eastAsia="Times New Roman" w:hAnsi="Times New Roman" w:cs="Times New Roman"/>
                <w:spacing w:val="-1"/>
                <w:lang w:val="hu-HU"/>
              </w:rPr>
            </w:pPr>
            <w:r w:rsidRPr="005A05DE">
              <w:rPr>
                <w:rFonts w:ascii="Times New Roman" w:eastAsia="Times New Roman" w:hAnsi="Times New Roman" w:cs="Times New Roman"/>
                <w:spacing w:val="-1"/>
                <w:lang w:val="hu-HU"/>
              </w:rPr>
              <w:t>20 mg kéthetente</w:t>
            </w:r>
          </w:p>
        </w:tc>
        <w:tc>
          <w:tcPr>
            <w:tcW w:w="3096" w:type="dxa"/>
            <w:tcBorders>
              <w:top w:val="single" w:sz="5" w:space="0" w:color="000000"/>
              <w:left w:val="single" w:sz="5" w:space="0" w:color="000000"/>
              <w:bottom w:val="single" w:sz="5" w:space="0" w:color="000000"/>
              <w:right w:val="single" w:sz="5" w:space="0" w:color="000000"/>
            </w:tcBorders>
          </w:tcPr>
          <w:p w14:paraId="4CC7282D" w14:textId="29203091" w:rsidR="003E3BE5" w:rsidRPr="005A05DE" w:rsidRDefault="003E3BE5" w:rsidP="005A05DE">
            <w:pPr>
              <w:pStyle w:val="TableParagraph"/>
              <w:spacing w:line="246" w:lineRule="exact"/>
              <w:ind w:left="102" w:right="57"/>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Kezelőorvosa egy 40 mg-os kezdő dózist is felírhat, melyet egy héttel a szokásos </w:t>
            </w:r>
            <w:r w:rsidRPr="005A05DE">
              <w:rPr>
                <w:rFonts w:ascii="Times New Roman" w:eastAsia="Times New Roman" w:hAnsi="Times New Roman" w:cs="Times New Roman"/>
                <w:spacing w:val="-1"/>
                <w:lang w:val="hu-HU"/>
              </w:rPr>
              <w:t xml:space="preserve">kéthetente </w:t>
            </w:r>
            <w:r>
              <w:rPr>
                <w:rFonts w:ascii="Times New Roman" w:eastAsia="Times New Roman" w:hAnsi="Times New Roman" w:cs="Times New Roman"/>
                <w:spacing w:val="-1"/>
                <w:lang w:val="hu-HU"/>
              </w:rPr>
              <w:lastRenderedPageBreak/>
              <w:t>20</w:t>
            </w:r>
            <w:r w:rsidRPr="005A05DE">
              <w:rPr>
                <w:rFonts w:ascii="Times New Roman" w:eastAsia="Times New Roman" w:hAnsi="Times New Roman" w:cs="Times New Roman"/>
                <w:spacing w:val="-1"/>
                <w:lang w:val="hu-HU"/>
              </w:rPr>
              <w:t xml:space="preserve"> mg-os adagolás megkezdése előtt kell beadni. A Yuflyma használata a metotrexáttal együtt javasolt.</w:t>
            </w:r>
          </w:p>
        </w:tc>
      </w:tr>
      <w:tr w:rsidR="003E3BE5" w:rsidRPr="005A05DE" w14:paraId="1B292944" w14:textId="77777777" w:rsidTr="00CC2E43">
        <w:tc>
          <w:tcPr>
            <w:tcW w:w="3096" w:type="dxa"/>
            <w:tcBorders>
              <w:top w:val="single" w:sz="5" w:space="0" w:color="000000"/>
              <w:left w:val="single" w:sz="5" w:space="0" w:color="000000"/>
              <w:bottom w:val="single" w:sz="5" w:space="0" w:color="000000"/>
              <w:right w:val="single" w:sz="5" w:space="0" w:color="000000"/>
            </w:tcBorders>
          </w:tcPr>
          <w:p w14:paraId="01BA0DD9" w14:textId="47967A8A" w:rsidR="003E3BE5" w:rsidRPr="005A05DE" w:rsidRDefault="003E3BE5" w:rsidP="003E3BE5">
            <w:pPr>
              <w:pStyle w:val="TableParagraph"/>
              <w:spacing w:line="246" w:lineRule="exact"/>
              <w:ind w:left="102" w:right="57"/>
              <w:rPr>
                <w:rFonts w:ascii="Times New Roman" w:eastAsia="Times New Roman" w:hAnsi="Times New Roman" w:cs="Times New Roman"/>
                <w:spacing w:val="-1"/>
                <w:lang w:val="hu-HU"/>
              </w:rPr>
            </w:pPr>
            <w:r w:rsidRPr="005A05DE">
              <w:rPr>
                <w:rFonts w:ascii="Times New Roman" w:eastAsia="Times New Roman" w:hAnsi="Times New Roman" w:cs="Times New Roman"/>
                <w:spacing w:val="-1"/>
                <w:lang w:val="hu-HU"/>
              </w:rPr>
              <w:lastRenderedPageBreak/>
              <w:t>2 éves kor feletti, 30 kg vagy annál nagyobb testtömegű gyermekek és serdülők</w:t>
            </w:r>
          </w:p>
        </w:tc>
        <w:tc>
          <w:tcPr>
            <w:tcW w:w="3096" w:type="dxa"/>
            <w:tcBorders>
              <w:top w:val="single" w:sz="5" w:space="0" w:color="000000"/>
              <w:left w:val="single" w:sz="5" w:space="0" w:color="000000"/>
              <w:bottom w:val="single" w:sz="5" w:space="0" w:color="000000"/>
              <w:right w:val="single" w:sz="5" w:space="0" w:color="000000"/>
            </w:tcBorders>
          </w:tcPr>
          <w:p w14:paraId="59B1EDA3" w14:textId="77777777" w:rsidR="003E3BE5" w:rsidRPr="005A05DE" w:rsidRDefault="003E3BE5" w:rsidP="003E3BE5">
            <w:pPr>
              <w:pStyle w:val="TableParagraph"/>
              <w:spacing w:line="246" w:lineRule="exact"/>
              <w:ind w:left="102" w:right="57"/>
              <w:rPr>
                <w:rFonts w:ascii="Times New Roman" w:eastAsia="Times New Roman" w:hAnsi="Times New Roman" w:cs="Times New Roman"/>
                <w:spacing w:val="-1"/>
                <w:lang w:val="hu-HU"/>
              </w:rPr>
            </w:pPr>
            <w:r w:rsidRPr="005A05DE">
              <w:rPr>
                <w:rFonts w:ascii="Times New Roman" w:eastAsia="Times New Roman" w:hAnsi="Times New Roman" w:cs="Times New Roman"/>
                <w:spacing w:val="-1"/>
                <w:lang w:val="hu-HU"/>
              </w:rPr>
              <w:t>40 mg kéthetente</w:t>
            </w:r>
          </w:p>
        </w:tc>
        <w:tc>
          <w:tcPr>
            <w:tcW w:w="3096" w:type="dxa"/>
            <w:tcBorders>
              <w:top w:val="single" w:sz="5" w:space="0" w:color="000000"/>
              <w:left w:val="single" w:sz="5" w:space="0" w:color="000000"/>
              <w:bottom w:val="single" w:sz="5" w:space="0" w:color="000000"/>
              <w:right w:val="single" w:sz="5" w:space="0" w:color="000000"/>
            </w:tcBorders>
          </w:tcPr>
          <w:p w14:paraId="19F65BB7" w14:textId="77777777" w:rsidR="003E3BE5" w:rsidRPr="005A05DE" w:rsidRDefault="003E3BE5" w:rsidP="003E3BE5">
            <w:pPr>
              <w:pStyle w:val="TableParagraph"/>
              <w:spacing w:line="246" w:lineRule="exact"/>
              <w:ind w:left="102" w:right="57"/>
              <w:rPr>
                <w:rFonts w:ascii="Times New Roman" w:eastAsia="Times New Roman" w:hAnsi="Times New Roman" w:cs="Times New Roman"/>
                <w:spacing w:val="-1"/>
                <w:lang w:val="hu-HU"/>
              </w:rPr>
            </w:pPr>
            <w:r>
              <w:rPr>
                <w:rFonts w:ascii="Times New Roman" w:eastAsia="Times New Roman" w:hAnsi="Times New Roman" w:cs="Times New Roman"/>
                <w:spacing w:val="-1"/>
                <w:lang w:val="hu-HU"/>
              </w:rPr>
              <w:t xml:space="preserve">Kezelőorvosa egy 80 mg-os kezdő dózist is felírhat, melyet egy héttel a szokásos </w:t>
            </w:r>
            <w:r w:rsidRPr="005A05DE">
              <w:rPr>
                <w:rFonts w:ascii="Times New Roman" w:eastAsia="Times New Roman" w:hAnsi="Times New Roman" w:cs="Times New Roman"/>
                <w:spacing w:val="-1"/>
                <w:lang w:val="hu-HU"/>
              </w:rPr>
              <w:t>kéthetente 40 mg-os adagolás megkezdése előtt kell beadni. A Yuflyma használata a metotrexáttal együtt javasolt.</w:t>
            </w:r>
          </w:p>
        </w:tc>
      </w:tr>
    </w:tbl>
    <w:p w14:paraId="1520C882" w14:textId="77777777" w:rsidR="007561B4" w:rsidRDefault="007561B4" w:rsidP="007561B4">
      <w:pPr>
        <w:pStyle w:val="a3"/>
        <w:rPr>
          <w:lang w:val="hu-HU"/>
        </w:rPr>
      </w:pPr>
    </w:p>
    <w:p w14:paraId="25B8DC8C" w14:textId="77777777" w:rsidR="007561B4" w:rsidRDefault="007561B4" w:rsidP="007561B4">
      <w:pPr>
        <w:pStyle w:val="a3"/>
        <w:rPr>
          <w:b/>
          <w:lang w:val="hu-HU"/>
        </w:rPr>
      </w:pPr>
      <w:r>
        <w:rPr>
          <w:rFonts w:eastAsia="Times New Roman"/>
          <w:b/>
          <w:bCs/>
          <w:lang w:val="hu-HU"/>
        </w:rPr>
        <w:t>Az alkalmazással kapcsolatos tudnivalók és az alkalmazás módja</w:t>
      </w:r>
    </w:p>
    <w:p w14:paraId="3FF1BEFA" w14:textId="77777777" w:rsidR="007561B4" w:rsidRDefault="007561B4" w:rsidP="007561B4">
      <w:pPr>
        <w:spacing w:before="9" w:line="240" w:lineRule="exact"/>
        <w:rPr>
          <w:sz w:val="24"/>
          <w:szCs w:val="24"/>
          <w:lang w:val="hu-HU"/>
        </w:rPr>
      </w:pPr>
    </w:p>
    <w:p w14:paraId="383847AD" w14:textId="77777777" w:rsidR="007561B4" w:rsidRDefault="007561B4" w:rsidP="007561B4">
      <w:pPr>
        <w:pStyle w:val="a3"/>
        <w:rPr>
          <w:lang w:val="hu-HU"/>
        </w:rPr>
      </w:pPr>
      <w:r>
        <w:rPr>
          <w:rFonts w:eastAsia="Times New Roman"/>
          <w:lang w:val="hu-HU"/>
        </w:rPr>
        <w:t>A Yuflyma injekciót a bőr alá (szubkután injekció formájában) kell beadni.</w:t>
      </w:r>
    </w:p>
    <w:p w14:paraId="62227CEE" w14:textId="77777777" w:rsidR="007561B4" w:rsidRDefault="007561B4" w:rsidP="007561B4">
      <w:pPr>
        <w:spacing w:before="18" w:line="240" w:lineRule="exact"/>
        <w:rPr>
          <w:sz w:val="24"/>
          <w:szCs w:val="24"/>
          <w:lang w:val="hu-HU"/>
        </w:rPr>
      </w:pPr>
    </w:p>
    <w:p w14:paraId="601FA26E" w14:textId="77777777" w:rsidR="007561B4" w:rsidRDefault="007561B4" w:rsidP="007561B4">
      <w:pPr>
        <w:pStyle w:val="a3"/>
        <w:rPr>
          <w:rFonts w:eastAsia="Times New Roman"/>
          <w:b/>
          <w:bCs/>
          <w:lang w:val="hu-HU"/>
        </w:rPr>
      </w:pPr>
      <w:r>
        <w:rPr>
          <w:rFonts w:eastAsia="Times New Roman"/>
          <w:b/>
          <w:bCs/>
          <w:lang w:val="hu-HU"/>
        </w:rPr>
        <w:t xml:space="preserve">A Yuflyma injekció beadásával kapcsolatos részletes útmutatás a 7 </w:t>
      </w:r>
      <w:r w:rsidRPr="001E2F31">
        <w:rPr>
          <w:b/>
          <w:lang w:val="hu-HU"/>
        </w:rPr>
        <w:t>‘</w:t>
      </w:r>
      <w:r w:rsidRPr="00992BD3">
        <w:rPr>
          <w:rFonts w:eastAsia="Times New Roman"/>
          <w:b/>
          <w:bCs/>
          <w:lang w:val="hu-HU"/>
        </w:rPr>
        <w:t>Használati utasítás</w:t>
      </w:r>
      <w:r>
        <w:rPr>
          <w:rFonts w:eastAsia="Times New Roman"/>
          <w:b/>
          <w:bCs/>
          <w:lang w:val="hu-HU"/>
        </w:rPr>
        <w:t>’ című pontban található</w:t>
      </w:r>
    </w:p>
    <w:p w14:paraId="38A74C59" w14:textId="77777777" w:rsidR="007561B4" w:rsidRDefault="007561B4" w:rsidP="007561B4">
      <w:pPr>
        <w:pStyle w:val="a3"/>
        <w:rPr>
          <w:rFonts w:eastAsia="Times New Roman"/>
          <w:b/>
          <w:bCs/>
          <w:lang w:val="hu-HU"/>
        </w:rPr>
      </w:pPr>
    </w:p>
    <w:p w14:paraId="0528CBE0" w14:textId="77777777" w:rsidR="007561B4" w:rsidRDefault="007561B4" w:rsidP="007561B4">
      <w:pPr>
        <w:pStyle w:val="a3"/>
        <w:rPr>
          <w:b/>
          <w:lang w:val="hu-HU"/>
        </w:rPr>
      </w:pPr>
      <w:r>
        <w:rPr>
          <w:rFonts w:eastAsia="Times New Roman"/>
          <w:b/>
          <w:bCs/>
          <w:lang w:val="hu-HU"/>
        </w:rPr>
        <w:t>Ha az előírtnál több Yuflyma-t alkalmazott</w:t>
      </w:r>
    </w:p>
    <w:p w14:paraId="0922062D" w14:textId="77777777" w:rsidR="007561B4" w:rsidRDefault="007561B4" w:rsidP="007561B4">
      <w:pPr>
        <w:pStyle w:val="a3"/>
        <w:rPr>
          <w:lang w:val="hu-HU"/>
        </w:rPr>
      </w:pPr>
    </w:p>
    <w:p w14:paraId="7953AFDB" w14:textId="3480D8F8" w:rsidR="007561B4" w:rsidRDefault="003E3BE5" w:rsidP="007561B4">
      <w:pPr>
        <w:pStyle w:val="a3"/>
        <w:rPr>
          <w:lang w:val="hu-HU"/>
        </w:rPr>
      </w:pPr>
      <w:r w:rsidRPr="005A05DE">
        <w:rPr>
          <w:lang w:val="hu-HU"/>
        </w:rPr>
        <w:t xml:space="preserve">Ha véletlenül a kezelőorvosa vagy gyógyszerésze által előírtnál gyakrabban alkalmazta </w:t>
      </w:r>
      <w:r w:rsidR="00006890">
        <w:rPr>
          <w:lang w:val="hu-HU"/>
        </w:rPr>
        <w:t xml:space="preserve">gyermekénél </w:t>
      </w:r>
      <w:r w:rsidRPr="005A05DE">
        <w:rPr>
          <w:lang w:val="hu-HU"/>
        </w:rPr>
        <w:t xml:space="preserve">a </w:t>
      </w:r>
      <w:r w:rsidR="00D92752">
        <w:rPr>
          <w:lang w:val="hu-HU"/>
        </w:rPr>
        <w:t>Yuflyma</w:t>
      </w:r>
      <w:r w:rsidRPr="005A05DE">
        <w:rPr>
          <w:lang w:val="hu-HU"/>
        </w:rPr>
        <w:t xml:space="preserve">-t, azonnal közölje ezt kezelőorvosával vagy gyógyszerészével. </w:t>
      </w:r>
      <w:r w:rsidRPr="00167BF3">
        <w:rPr>
          <w:lang w:val="hu-HU"/>
        </w:rPr>
        <w:t>Őrizze meg a külső csomagolást, abban az esetben is, ha üres</w:t>
      </w:r>
      <w:r w:rsidR="007561B4">
        <w:rPr>
          <w:rFonts w:eastAsia="Times New Roman"/>
          <w:lang w:val="hu-HU"/>
        </w:rPr>
        <w:t>.</w:t>
      </w:r>
    </w:p>
    <w:p w14:paraId="1A8E57A7" w14:textId="77777777" w:rsidR="007561B4" w:rsidRDefault="007561B4" w:rsidP="007561B4">
      <w:pPr>
        <w:spacing w:before="18" w:line="240" w:lineRule="exact"/>
        <w:rPr>
          <w:b/>
          <w:sz w:val="24"/>
          <w:szCs w:val="24"/>
          <w:lang w:val="hu-HU"/>
        </w:rPr>
      </w:pPr>
    </w:p>
    <w:p w14:paraId="61C55524" w14:textId="77777777" w:rsidR="007561B4" w:rsidRDefault="007561B4" w:rsidP="007561B4">
      <w:pPr>
        <w:pStyle w:val="a3"/>
        <w:rPr>
          <w:b/>
          <w:lang w:val="hu-HU"/>
        </w:rPr>
      </w:pPr>
      <w:r>
        <w:rPr>
          <w:rFonts w:eastAsia="Times New Roman"/>
          <w:b/>
          <w:bCs/>
          <w:lang w:val="hu-HU"/>
        </w:rPr>
        <w:t>Ha elfelejtette alkalmazni a Yuflyma-t</w:t>
      </w:r>
    </w:p>
    <w:p w14:paraId="6A603E1C" w14:textId="77777777" w:rsidR="007561B4" w:rsidRDefault="007561B4" w:rsidP="007561B4">
      <w:pPr>
        <w:spacing w:before="9" w:line="240" w:lineRule="exact"/>
        <w:rPr>
          <w:sz w:val="24"/>
          <w:szCs w:val="24"/>
          <w:lang w:val="hu-HU"/>
        </w:rPr>
      </w:pPr>
    </w:p>
    <w:p w14:paraId="093BB7EE" w14:textId="49C58045" w:rsidR="007561B4" w:rsidRDefault="003E3BE5" w:rsidP="007561B4">
      <w:pPr>
        <w:pStyle w:val="a3"/>
        <w:rPr>
          <w:lang w:val="hu-HU"/>
        </w:rPr>
      </w:pPr>
      <w:r w:rsidRPr="005A05DE">
        <w:rPr>
          <w:lang w:val="hu-HU"/>
        </w:rPr>
        <w:t xml:space="preserve">Ha elfelejtette beadni gyermekéknek az injekciót, adja be a következő </w:t>
      </w:r>
      <w:r w:rsidR="00D92752">
        <w:rPr>
          <w:lang w:val="hu-HU"/>
        </w:rPr>
        <w:t>Yuflyma</w:t>
      </w:r>
      <w:r w:rsidRPr="005A05DE">
        <w:rPr>
          <w:lang w:val="hu-HU"/>
        </w:rPr>
        <w:t xml:space="preserve"> adagot rögtön, amikor eszébe jutott. A következő adagot az eredeti kezelési terv alapján meghatározott napon adja be gyermekének, úgy mintha az előző adagot az előírás szerinti időpontban adta volna be</w:t>
      </w:r>
      <w:r w:rsidR="007561B4">
        <w:rPr>
          <w:rFonts w:eastAsia="Times New Roman"/>
          <w:lang w:val="hu-HU"/>
        </w:rPr>
        <w:t>.</w:t>
      </w:r>
    </w:p>
    <w:p w14:paraId="530BCD52" w14:textId="77777777" w:rsidR="007561B4" w:rsidRDefault="007561B4" w:rsidP="007561B4">
      <w:pPr>
        <w:spacing w:before="18" w:line="240" w:lineRule="exact"/>
        <w:rPr>
          <w:sz w:val="24"/>
          <w:szCs w:val="24"/>
          <w:lang w:val="hu-HU"/>
        </w:rPr>
      </w:pPr>
    </w:p>
    <w:p w14:paraId="06D0B4E9" w14:textId="77777777" w:rsidR="007561B4" w:rsidRDefault="007561B4" w:rsidP="007561B4">
      <w:pPr>
        <w:pStyle w:val="a3"/>
        <w:rPr>
          <w:b/>
          <w:lang w:val="hu-HU"/>
        </w:rPr>
      </w:pPr>
      <w:r>
        <w:rPr>
          <w:rFonts w:eastAsia="Times New Roman"/>
          <w:b/>
          <w:bCs/>
          <w:lang w:val="hu-HU"/>
        </w:rPr>
        <w:t>Ha idő előtt abbahagyja a Yuflyma alkalmazását</w:t>
      </w:r>
    </w:p>
    <w:p w14:paraId="0FB8F443" w14:textId="77777777" w:rsidR="007561B4" w:rsidRDefault="007561B4" w:rsidP="007561B4">
      <w:pPr>
        <w:spacing w:before="6" w:line="240" w:lineRule="exact"/>
        <w:rPr>
          <w:sz w:val="24"/>
          <w:szCs w:val="24"/>
          <w:lang w:val="hu-HU"/>
        </w:rPr>
      </w:pPr>
    </w:p>
    <w:p w14:paraId="457F68DC" w14:textId="7EF742C6" w:rsidR="007561B4" w:rsidRDefault="007561B4" w:rsidP="007561B4">
      <w:pPr>
        <w:pStyle w:val="a3"/>
        <w:rPr>
          <w:lang w:val="hu-HU"/>
        </w:rPr>
      </w:pPr>
      <w:r>
        <w:rPr>
          <w:rFonts w:eastAsia="Times New Roman"/>
          <w:lang w:val="hu-HU"/>
        </w:rPr>
        <w:t xml:space="preserve">A döntés, hogy </w:t>
      </w:r>
      <w:r w:rsidR="00006890">
        <w:rPr>
          <w:rFonts w:eastAsia="Times New Roman"/>
          <w:lang w:val="hu-HU"/>
        </w:rPr>
        <w:t xml:space="preserve">gyermekénél </w:t>
      </w:r>
      <w:r>
        <w:rPr>
          <w:rFonts w:eastAsia="Times New Roman"/>
          <w:lang w:val="hu-HU"/>
        </w:rPr>
        <w:t xml:space="preserve">hagyja abba a Yuflyma alkalmazását, meg kell beszélni a kezelőorvosával. </w:t>
      </w:r>
      <w:r w:rsidR="003E3BE5" w:rsidRPr="005A05DE">
        <w:rPr>
          <w:lang w:val="hu-HU"/>
        </w:rPr>
        <w:t>Gyermekének tünetei visszatérhetnek, ha abbahagyja a kezelést</w:t>
      </w:r>
      <w:r>
        <w:rPr>
          <w:rFonts w:eastAsia="Times New Roman"/>
          <w:lang w:val="hu-HU"/>
        </w:rPr>
        <w:t>.</w:t>
      </w:r>
    </w:p>
    <w:p w14:paraId="43E69471" w14:textId="77777777" w:rsidR="007561B4" w:rsidRDefault="007561B4" w:rsidP="007561B4">
      <w:pPr>
        <w:spacing w:before="12" w:line="240" w:lineRule="exact"/>
        <w:rPr>
          <w:sz w:val="24"/>
          <w:szCs w:val="24"/>
          <w:lang w:val="hu-HU"/>
        </w:rPr>
      </w:pPr>
    </w:p>
    <w:p w14:paraId="7FD988B1" w14:textId="77777777" w:rsidR="007561B4" w:rsidRDefault="007561B4" w:rsidP="007561B4">
      <w:pPr>
        <w:pStyle w:val="a3"/>
        <w:rPr>
          <w:lang w:val="hu-HU"/>
        </w:rPr>
      </w:pPr>
      <w:r>
        <w:rPr>
          <w:rFonts w:eastAsia="Times New Roman"/>
          <w:lang w:val="hu-HU"/>
        </w:rPr>
        <w:t>Ha bármilyen további kérdése van a gyógyszer alkalmazásával kapcsolatban, kérdezze meg kezelőorvosát vagy gyógyszerészét.</w:t>
      </w:r>
    </w:p>
    <w:p w14:paraId="575DDFBE" w14:textId="77777777" w:rsidR="007561B4" w:rsidRDefault="007561B4" w:rsidP="007561B4">
      <w:pPr>
        <w:spacing w:line="110" w:lineRule="exact"/>
        <w:rPr>
          <w:sz w:val="11"/>
          <w:szCs w:val="11"/>
          <w:lang w:val="hu-HU"/>
        </w:rPr>
      </w:pPr>
    </w:p>
    <w:p w14:paraId="475D5629" w14:textId="77777777" w:rsidR="007561B4" w:rsidRDefault="007561B4" w:rsidP="007561B4">
      <w:pPr>
        <w:spacing w:line="200" w:lineRule="exact"/>
        <w:rPr>
          <w:sz w:val="20"/>
          <w:szCs w:val="20"/>
          <w:lang w:val="hu-HU"/>
        </w:rPr>
      </w:pPr>
    </w:p>
    <w:p w14:paraId="62BF5070" w14:textId="77777777" w:rsidR="007561B4" w:rsidRDefault="007561B4" w:rsidP="00FD05AA">
      <w:pPr>
        <w:pStyle w:val="a4"/>
        <w:numPr>
          <w:ilvl w:val="0"/>
          <w:numId w:val="82"/>
        </w:numPr>
        <w:spacing w:before="18" w:line="240" w:lineRule="exact"/>
        <w:ind w:left="357" w:hanging="357"/>
        <w:rPr>
          <w:rFonts w:ascii="Times New Roman" w:hAnsi="Times New Roman" w:cs="Times New Roman"/>
          <w:b/>
          <w:lang w:val="hu-HU"/>
        </w:rPr>
      </w:pPr>
      <w:r>
        <w:rPr>
          <w:rFonts w:ascii="Times New Roman" w:eastAsia="Times New Roman" w:hAnsi="Times New Roman" w:cs="Times New Roman"/>
          <w:b/>
          <w:bCs/>
          <w:lang w:val="hu-HU"/>
        </w:rPr>
        <w:t>Lehetséges mellékhatások</w:t>
      </w:r>
    </w:p>
    <w:p w14:paraId="607DC7F4" w14:textId="77777777" w:rsidR="007561B4" w:rsidRDefault="007561B4" w:rsidP="007561B4">
      <w:pPr>
        <w:spacing w:before="12" w:line="240" w:lineRule="exact"/>
        <w:rPr>
          <w:sz w:val="24"/>
          <w:szCs w:val="24"/>
          <w:lang w:val="hu-HU"/>
        </w:rPr>
      </w:pPr>
    </w:p>
    <w:p w14:paraId="546CD1BA" w14:textId="77777777" w:rsidR="007561B4" w:rsidRDefault="007561B4" w:rsidP="007561B4">
      <w:pPr>
        <w:pStyle w:val="a3"/>
        <w:rPr>
          <w:lang w:val="hu-HU"/>
        </w:rPr>
      </w:pPr>
      <w:r>
        <w:rPr>
          <w:rFonts w:eastAsia="Times New Roman"/>
          <w:lang w:val="hu-HU"/>
        </w:rPr>
        <w:t>Mint minden gyógyszer, így ez a gyógyszer is okozhat mellékhatásokat, amelyek azonban nem mindenkinél jelentkeznek. A legtöbb mellékhatás enyhe vagy közepes fokú. Néhány esetben kezelést igénylő, súlyos mellékhatás is előfordulhat. Mellékhatások az utolsó Yuflyma injekciótkövetően legalább 4 hónapig még bekövetkezhetnek.</w:t>
      </w:r>
    </w:p>
    <w:p w14:paraId="6DB6B099" w14:textId="77777777" w:rsidR="007561B4" w:rsidRDefault="007561B4" w:rsidP="007561B4">
      <w:pPr>
        <w:spacing w:before="15" w:line="240" w:lineRule="exact"/>
        <w:rPr>
          <w:sz w:val="24"/>
          <w:szCs w:val="24"/>
          <w:lang w:val="hu-HU"/>
        </w:rPr>
      </w:pPr>
    </w:p>
    <w:p w14:paraId="14A1CA3B" w14:textId="77777777" w:rsidR="007561B4" w:rsidRDefault="007561B4" w:rsidP="007561B4">
      <w:pPr>
        <w:pStyle w:val="a3"/>
        <w:rPr>
          <w:b/>
          <w:lang w:val="hu-HU"/>
        </w:rPr>
      </w:pPr>
      <w:r>
        <w:rPr>
          <w:rFonts w:eastAsia="Times New Roman"/>
          <w:b/>
          <w:bCs/>
          <w:lang w:val="hu-HU"/>
        </w:rPr>
        <w:t>Közölje azonnal kezelőorvosával, ha az alábbiak közül bármit észlel</w:t>
      </w:r>
    </w:p>
    <w:p w14:paraId="1DD7FB99" w14:textId="77777777" w:rsidR="007561B4" w:rsidRDefault="007561B4" w:rsidP="007561B4">
      <w:pPr>
        <w:spacing w:before="10" w:line="240" w:lineRule="exact"/>
        <w:rPr>
          <w:sz w:val="24"/>
          <w:szCs w:val="24"/>
          <w:lang w:val="hu-HU"/>
        </w:rPr>
      </w:pPr>
    </w:p>
    <w:p w14:paraId="01DBDEF9" w14:textId="77777777" w:rsidR="007561B4" w:rsidRDefault="007561B4" w:rsidP="007561B4">
      <w:pPr>
        <w:pStyle w:val="a3"/>
        <w:numPr>
          <w:ilvl w:val="0"/>
          <w:numId w:val="15"/>
        </w:numPr>
        <w:ind w:left="660" w:hanging="660"/>
        <w:rPr>
          <w:lang w:val="hu-HU"/>
        </w:rPr>
      </w:pPr>
      <w:r>
        <w:rPr>
          <w:rFonts w:eastAsia="Times New Roman"/>
          <w:lang w:val="hu-HU"/>
        </w:rPr>
        <w:t>súlyos bőrkiütés, csalánkiütés vagy más allergiára utaló tünet</w:t>
      </w:r>
    </w:p>
    <w:p w14:paraId="6B05A762" w14:textId="77777777" w:rsidR="007561B4" w:rsidRDefault="007561B4" w:rsidP="007561B4">
      <w:pPr>
        <w:pStyle w:val="a3"/>
        <w:numPr>
          <w:ilvl w:val="0"/>
          <w:numId w:val="15"/>
        </w:numPr>
        <w:ind w:left="660" w:hanging="660"/>
        <w:rPr>
          <w:lang w:val="hu-HU"/>
        </w:rPr>
      </w:pPr>
      <w:r>
        <w:rPr>
          <w:rFonts w:eastAsia="Times New Roman"/>
          <w:lang w:val="hu-HU"/>
        </w:rPr>
        <w:t xml:space="preserve">duzzanat az arcon, </w:t>
      </w:r>
      <w:proofErr w:type="spellStart"/>
      <w:r w:rsidRPr="00167BF3">
        <w:rPr>
          <w:lang w:val="es-ES"/>
        </w:rPr>
        <w:t>kézen</w:t>
      </w:r>
      <w:proofErr w:type="spellEnd"/>
      <w:r w:rsidRPr="00167BF3">
        <w:rPr>
          <w:lang w:val="es-ES"/>
        </w:rPr>
        <w:t xml:space="preserve"> </w:t>
      </w:r>
      <w:proofErr w:type="spellStart"/>
      <w:r w:rsidRPr="00167BF3">
        <w:rPr>
          <w:lang w:val="es-ES"/>
        </w:rPr>
        <w:t>vagy</w:t>
      </w:r>
      <w:proofErr w:type="spellEnd"/>
      <w:r w:rsidRPr="00167BF3">
        <w:rPr>
          <w:lang w:val="es-ES"/>
        </w:rPr>
        <w:t xml:space="preserve"> </w:t>
      </w:r>
      <w:proofErr w:type="spellStart"/>
      <w:r w:rsidRPr="00167BF3">
        <w:rPr>
          <w:lang w:val="es-ES"/>
        </w:rPr>
        <w:t>lábon</w:t>
      </w:r>
      <w:proofErr w:type="spellEnd"/>
    </w:p>
    <w:p w14:paraId="52F34BE5" w14:textId="77777777" w:rsidR="007561B4" w:rsidRDefault="007561B4" w:rsidP="007561B4">
      <w:pPr>
        <w:pStyle w:val="a3"/>
        <w:numPr>
          <w:ilvl w:val="0"/>
          <w:numId w:val="15"/>
        </w:numPr>
        <w:ind w:left="660" w:hanging="660"/>
        <w:rPr>
          <w:lang w:val="hu-HU"/>
        </w:rPr>
      </w:pPr>
      <w:r>
        <w:rPr>
          <w:rFonts w:eastAsia="Times New Roman"/>
          <w:lang w:val="hu-HU"/>
        </w:rPr>
        <w:t>nehézlégzés vagy nehézség a nyelés során</w:t>
      </w:r>
    </w:p>
    <w:p w14:paraId="5AB37352" w14:textId="77777777" w:rsidR="007561B4" w:rsidRDefault="007561B4" w:rsidP="007561B4">
      <w:pPr>
        <w:pStyle w:val="a3"/>
        <w:numPr>
          <w:ilvl w:val="0"/>
          <w:numId w:val="15"/>
        </w:numPr>
        <w:ind w:left="660" w:hanging="660"/>
        <w:rPr>
          <w:lang w:val="hu-HU"/>
        </w:rPr>
      </w:pPr>
      <w:r>
        <w:rPr>
          <w:rFonts w:eastAsia="Times New Roman"/>
          <w:lang w:val="hu-HU"/>
        </w:rPr>
        <w:t>megerőltetéskor vagy lefekvéskor jelentkező nehézlégzés, vagy lábdagadás</w:t>
      </w:r>
    </w:p>
    <w:p w14:paraId="315BF68B" w14:textId="77777777" w:rsidR="007561B4" w:rsidRDefault="007561B4" w:rsidP="007561B4">
      <w:pPr>
        <w:spacing w:before="15" w:line="240" w:lineRule="exact"/>
        <w:rPr>
          <w:sz w:val="24"/>
          <w:szCs w:val="24"/>
          <w:lang w:val="hu-HU"/>
        </w:rPr>
      </w:pPr>
    </w:p>
    <w:p w14:paraId="300DFF99" w14:textId="77777777" w:rsidR="007561B4" w:rsidRDefault="007561B4" w:rsidP="007561B4">
      <w:pPr>
        <w:pStyle w:val="a3"/>
        <w:rPr>
          <w:b/>
          <w:lang w:val="hu-HU"/>
        </w:rPr>
      </w:pPr>
      <w:r>
        <w:rPr>
          <w:rFonts w:eastAsia="Times New Roman"/>
          <w:b/>
          <w:bCs/>
          <w:lang w:val="hu-HU"/>
        </w:rPr>
        <w:t>Közölje kezelőorvosával amint lehetséges, ha az alábbiak közül bármit észlel</w:t>
      </w:r>
    </w:p>
    <w:p w14:paraId="241366E7" w14:textId="77777777" w:rsidR="007561B4" w:rsidRDefault="007561B4" w:rsidP="007561B4">
      <w:pPr>
        <w:spacing w:before="10" w:line="240" w:lineRule="exact"/>
        <w:rPr>
          <w:sz w:val="24"/>
          <w:szCs w:val="24"/>
          <w:lang w:val="hu-HU"/>
        </w:rPr>
      </w:pPr>
    </w:p>
    <w:p w14:paraId="175F68FD" w14:textId="77777777" w:rsidR="007561B4" w:rsidRDefault="007561B4" w:rsidP="007561B4">
      <w:pPr>
        <w:pStyle w:val="a3"/>
        <w:numPr>
          <w:ilvl w:val="0"/>
          <w:numId w:val="15"/>
        </w:numPr>
        <w:ind w:left="660" w:hanging="660"/>
        <w:rPr>
          <w:lang w:val="hu-HU"/>
        </w:rPr>
      </w:pPr>
      <w:r>
        <w:rPr>
          <w:rFonts w:eastAsia="Times New Roman"/>
          <w:lang w:val="hu-HU"/>
        </w:rPr>
        <w:t>fertőzésre utaló tünet, mint láz, gyengeség, sebek, fogászati problémák, vizeléskor jelentkező égő érzés</w:t>
      </w:r>
    </w:p>
    <w:p w14:paraId="424B66CF" w14:textId="77777777" w:rsidR="007561B4" w:rsidRDefault="007561B4" w:rsidP="007561B4">
      <w:pPr>
        <w:pStyle w:val="a3"/>
        <w:numPr>
          <w:ilvl w:val="0"/>
          <w:numId w:val="15"/>
        </w:numPr>
        <w:ind w:left="660" w:hanging="660"/>
        <w:rPr>
          <w:lang w:val="hu-HU"/>
        </w:rPr>
      </w:pPr>
      <w:r>
        <w:rPr>
          <w:rFonts w:eastAsia="Times New Roman"/>
          <w:lang w:val="hu-HU"/>
        </w:rPr>
        <w:t>gyengeség vagy fáradtságérzés</w:t>
      </w:r>
    </w:p>
    <w:p w14:paraId="61B3F62E" w14:textId="77777777" w:rsidR="007561B4" w:rsidRDefault="007561B4" w:rsidP="007561B4">
      <w:pPr>
        <w:pStyle w:val="a3"/>
        <w:numPr>
          <w:ilvl w:val="0"/>
          <w:numId w:val="15"/>
        </w:numPr>
        <w:ind w:left="660" w:hanging="660"/>
        <w:rPr>
          <w:lang w:val="hu-HU"/>
        </w:rPr>
      </w:pPr>
      <w:r>
        <w:rPr>
          <w:rFonts w:eastAsia="Times New Roman"/>
          <w:lang w:val="hu-HU"/>
        </w:rPr>
        <w:t>köhögés</w:t>
      </w:r>
    </w:p>
    <w:p w14:paraId="4FF81A87" w14:textId="77777777" w:rsidR="007561B4" w:rsidRDefault="007561B4" w:rsidP="007561B4">
      <w:pPr>
        <w:pStyle w:val="a3"/>
        <w:numPr>
          <w:ilvl w:val="0"/>
          <w:numId w:val="15"/>
        </w:numPr>
        <w:ind w:left="660" w:hanging="660"/>
        <w:rPr>
          <w:lang w:val="hu-HU"/>
        </w:rPr>
      </w:pPr>
      <w:r>
        <w:rPr>
          <w:rFonts w:eastAsia="Times New Roman"/>
          <w:lang w:val="hu-HU"/>
        </w:rPr>
        <w:t>fülzúgás</w:t>
      </w:r>
    </w:p>
    <w:p w14:paraId="7C1E8262" w14:textId="77777777" w:rsidR="007561B4" w:rsidRDefault="007561B4" w:rsidP="007561B4">
      <w:pPr>
        <w:pStyle w:val="a3"/>
        <w:numPr>
          <w:ilvl w:val="0"/>
          <w:numId w:val="15"/>
        </w:numPr>
        <w:ind w:left="660" w:hanging="660"/>
        <w:rPr>
          <w:lang w:val="hu-HU"/>
        </w:rPr>
      </w:pPr>
      <w:r>
        <w:rPr>
          <w:rFonts w:eastAsia="Times New Roman"/>
          <w:lang w:val="hu-HU"/>
        </w:rPr>
        <w:t>zsibbadás</w:t>
      </w:r>
    </w:p>
    <w:p w14:paraId="397CE589" w14:textId="77777777" w:rsidR="007561B4" w:rsidRDefault="007561B4" w:rsidP="007561B4">
      <w:pPr>
        <w:pStyle w:val="a3"/>
        <w:numPr>
          <w:ilvl w:val="0"/>
          <w:numId w:val="15"/>
        </w:numPr>
        <w:ind w:left="660" w:hanging="660"/>
        <w:rPr>
          <w:lang w:val="hu-HU"/>
        </w:rPr>
      </w:pPr>
      <w:r>
        <w:rPr>
          <w:rFonts w:eastAsia="Times New Roman"/>
          <w:lang w:val="hu-HU"/>
        </w:rPr>
        <w:t>kettőslátás</w:t>
      </w:r>
    </w:p>
    <w:p w14:paraId="077E7D08" w14:textId="77777777" w:rsidR="007561B4" w:rsidRDefault="007561B4" w:rsidP="007561B4">
      <w:pPr>
        <w:pStyle w:val="a3"/>
        <w:numPr>
          <w:ilvl w:val="0"/>
          <w:numId w:val="15"/>
        </w:numPr>
        <w:ind w:left="660" w:hanging="660"/>
        <w:rPr>
          <w:lang w:val="hu-HU"/>
        </w:rPr>
      </w:pPr>
      <w:r>
        <w:rPr>
          <w:rFonts w:eastAsia="Times New Roman"/>
          <w:lang w:val="hu-HU"/>
        </w:rPr>
        <w:t>kar- vagy lábgyengeség</w:t>
      </w:r>
    </w:p>
    <w:p w14:paraId="1A8F6198" w14:textId="77777777" w:rsidR="007561B4" w:rsidRDefault="007561B4" w:rsidP="007561B4">
      <w:pPr>
        <w:pStyle w:val="a3"/>
        <w:numPr>
          <w:ilvl w:val="0"/>
          <w:numId w:val="15"/>
        </w:numPr>
        <w:ind w:left="660" w:hanging="660"/>
        <w:rPr>
          <w:lang w:val="hu-HU"/>
        </w:rPr>
      </w:pPr>
      <w:r>
        <w:rPr>
          <w:rFonts w:eastAsia="Times New Roman"/>
          <w:lang w:val="hu-HU"/>
        </w:rPr>
        <w:t>duzzanat vagy nyílt fekély, amelyik nem gyógyúl</w:t>
      </w:r>
    </w:p>
    <w:p w14:paraId="099FB4DA" w14:textId="77777777" w:rsidR="007561B4" w:rsidRDefault="007561B4" w:rsidP="007561B4">
      <w:pPr>
        <w:pStyle w:val="a3"/>
        <w:numPr>
          <w:ilvl w:val="0"/>
          <w:numId w:val="15"/>
        </w:numPr>
        <w:ind w:left="660" w:hanging="660"/>
        <w:rPr>
          <w:lang w:val="hu-HU"/>
        </w:rPr>
      </w:pPr>
      <w:r>
        <w:rPr>
          <w:rFonts w:eastAsia="Times New Roman"/>
          <w:lang w:val="hu-HU"/>
        </w:rPr>
        <w:t>vérképzőszervi rendellenességre utaló jelek és tünetek, például tartós láz, véraláfutás, vérzés, sápadtság</w:t>
      </w:r>
    </w:p>
    <w:p w14:paraId="4EE9BE40" w14:textId="77777777" w:rsidR="007561B4" w:rsidRDefault="007561B4" w:rsidP="007561B4">
      <w:pPr>
        <w:pStyle w:val="a3"/>
        <w:numPr>
          <w:ilvl w:val="0"/>
          <w:numId w:val="0"/>
        </w:numPr>
        <w:ind w:left="660"/>
        <w:rPr>
          <w:lang w:val="hu-HU"/>
        </w:rPr>
      </w:pPr>
    </w:p>
    <w:p w14:paraId="783479C9" w14:textId="77777777" w:rsidR="007561B4" w:rsidRDefault="007561B4" w:rsidP="007561B4">
      <w:pPr>
        <w:pStyle w:val="a3"/>
        <w:rPr>
          <w:lang w:val="hu-HU"/>
        </w:rPr>
      </w:pPr>
      <w:r>
        <w:rPr>
          <w:rFonts w:eastAsia="Times New Roman"/>
          <w:lang w:val="hu-HU"/>
        </w:rPr>
        <w:t>A fent leírt tünetek az alábbiakban felsorolt mellékhatások jelei is lehetnek, melyeket a Yuflyma alkalmazása során észleltek:</w:t>
      </w:r>
    </w:p>
    <w:p w14:paraId="1030FA60" w14:textId="77777777" w:rsidR="007561B4" w:rsidRDefault="007561B4" w:rsidP="007561B4">
      <w:pPr>
        <w:spacing w:before="10" w:line="240" w:lineRule="exact"/>
        <w:rPr>
          <w:sz w:val="24"/>
          <w:szCs w:val="24"/>
          <w:lang w:val="hu-HU"/>
        </w:rPr>
      </w:pPr>
    </w:p>
    <w:p w14:paraId="4201ED25" w14:textId="77777777" w:rsidR="007561B4" w:rsidRDefault="007561B4" w:rsidP="007561B4">
      <w:pPr>
        <w:pStyle w:val="a3"/>
        <w:rPr>
          <w:lang w:val="hu-HU"/>
        </w:rPr>
      </w:pPr>
      <w:r>
        <w:rPr>
          <w:rFonts w:eastAsia="Times New Roman"/>
          <w:b/>
          <w:bCs/>
          <w:lang w:val="hu-HU"/>
        </w:rPr>
        <w:t xml:space="preserve">Nagyon gyakori </w:t>
      </w:r>
      <w:r>
        <w:rPr>
          <w:rFonts w:eastAsia="Times New Roman"/>
          <w:lang w:val="hu-HU"/>
        </w:rPr>
        <w:t>(10 beteg közül több mint 1-nél kialakuló)</w:t>
      </w:r>
    </w:p>
    <w:p w14:paraId="5EF38E17" w14:textId="77777777" w:rsidR="007561B4" w:rsidRDefault="007561B4" w:rsidP="007561B4">
      <w:pPr>
        <w:spacing w:before="14" w:line="240" w:lineRule="exact"/>
        <w:rPr>
          <w:sz w:val="24"/>
          <w:szCs w:val="24"/>
          <w:lang w:val="hu-HU"/>
        </w:rPr>
      </w:pPr>
    </w:p>
    <w:p w14:paraId="409EE68A" w14:textId="77777777" w:rsidR="007561B4" w:rsidRDefault="007561B4" w:rsidP="007561B4">
      <w:pPr>
        <w:pStyle w:val="a3"/>
        <w:numPr>
          <w:ilvl w:val="0"/>
          <w:numId w:val="15"/>
        </w:numPr>
        <w:ind w:left="660" w:hanging="660"/>
        <w:rPr>
          <w:lang w:val="hu-HU"/>
        </w:rPr>
      </w:pPr>
      <w:r>
        <w:rPr>
          <w:rFonts w:eastAsia="Times New Roman"/>
          <w:lang w:val="hu-HU"/>
        </w:rPr>
        <w:t>helyi reakció az injekció beadásának helyén (beleértve fájdalom, duzzadás, vörösség vagy viszketés)</w:t>
      </w:r>
    </w:p>
    <w:p w14:paraId="2AFF2256" w14:textId="77777777" w:rsidR="007561B4" w:rsidRDefault="007561B4" w:rsidP="007561B4">
      <w:pPr>
        <w:pStyle w:val="a3"/>
        <w:numPr>
          <w:ilvl w:val="0"/>
          <w:numId w:val="15"/>
        </w:numPr>
        <w:ind w:left="660" w:hanging="660"/>
        <w:rPr>
          <w:lang w:val="hu-HU"/>
        </w:rPr>
      </w:pPr>
      <w:r>
        <w:rPr>
          <w:rFonts w:eastAsia="Times New Roman"/>
          <w:lang w:val="hu-HU"/>
        </w:rPr>
        <w:t>légúti fertőzések (beleértve a megfázást, orrfolyást, melléküreg-gyulladást, tüdőgyulladást is</w:t>
      </w:r>
    </w:p>
    <w:p w14:paraId="18D50DCB" w14:textId="77777777" w:rsidR="007561B4" w:rsidRDefault="007561B4" w:rsidP="007561B4">
      <w:pPr>
        <w:pStyle w:val="a3"/>
        <w:numPr>
          <w:ilvl w:val="0"/>
          <w:numId w:val="15"/>
        </w:numPr>
        <w:ind w:left="660" w:hanging="660"/>
        <w:rPr>
          <w:lang w:val="hu-HU"/>
        </w:rPr>
      </w:pPr>
      <w:r>
        <w:rPr>
          <w:rFonts w:eastAsia="Times New Roman"/>
          <w:lang w:val="hu-HU"/>
        </w:rPr>
        <w:t>fejfájás</w:t>
      </w:r>
    </w:p>
    <w:p w14:paraId="407EE256" w14:textId="77777777" w:rsidR="007561B4" w:rsidRDefault="007561B4" w:rsidP="007561B4">
      <w:pPr>
        <w:pStyle w:val="a3"/>
        <w:numPr>
          <w:ilvl w:val="0"/>
          <w:numId w:val="15"/>
        </w:numPr>
        <w:ind w:left="660" w:hanging="660"/>
        <w:rPr>
          <w:lang w:val="hu-HU"/>
        </w:rPr>
      </w:pPr>
      <w:r>
        <w:rPr>
          <w:rFonts w:eastAsia="Times New Roman"/>
          <w:lang w:val="hu-HU"/>
        </w:rPr>
        <w:t>hasi fájdalom</w:t>
      </w:r>
    </w:p>
    <w:p w14:paraId="5EBDE2EB" w14:textId="77777777" w:rsidR="007561B4" w:rsidRDefault="007561B4" w:rsidP="007561B4">
      <w:pPr>
        <w:pStyle w:val="a3"/>
        <w:numPr>
          <w:ilvl w:val="0"/>
          <w:numId w:val="15"/>
        </w:numPr>
        <w:ind w:left="660" w:hanging="660"/>
        <w:rPr>
          <w:lang w:val="hu-HU"/>
        </w:rPr>
      </w:pPr>
      <w:r>
        <w:rPr>
          <w:rFonts w:eastAsia="Times New Roman"/>
          <w:lang w:val="hu-HU"/>
        </w:rPr>
        <w:t>hányinger és hányás</w:t>
      </w:r>
    </w:p>
    <w:p w14:paraId="35B73DDE" w14:textId="77777777" w:rsidR="007561B4" w:rsidRDefault="007561B4" w:rsidP="007561B4">
      <w:pPr>
        <w:pStyle w:val="a3"/>
        <w:numPr>
          <w:ilvl w:val="0"/>
          <w:numId w:val="15"/>
        </w:numPr>
        <w:ind w:left="660" w:hanging="660"/>
        <w:rPr>
          <w:lang w:val="hu-HU"/>
        </w:rPr>
      </w:pPr>
      <w:r>
        <w:rPr>
          <w:rFonts w:eastAsia="Times New Roman"/>
          <w:lang w:val="hu-HU"/>
        </w:rPr>
        <w:t>bőrkiütés</w:t>
      </w:r>
    </w:p>
    <w:p w14:paraId="51CD4816" w14:textId="77777777" w:rsidR="007561B4" w:rsidRDefault="007561B4" w:rsidP="007561B4">
      <w:pPr>
        <w:pStyle w:val="a3"/>
        <w:numPr>
          <w:ilvl w:val="0"/>
          <w:numId w:val="15"/>
        </w:numPr>
        <w:ind w:left="660" w:hanging="660"/>
        <w:rPr>
          <w:lang w:val="hu-HU"/>
        </w:rPr>
      </w:pPr>
      <w:r>
        <w:rPr>
          <w:lang w:val="hu-HU"/>
        </w:rPr>
        <w:t>izomfájdalom.</w:t>
      </w:r>
    </w:p>
    <w:p w14:paraId="4B53570C" w14:textId="77777777" w:rsidR="007561B4" w:rsidRDefault="007561B4" w:rsidP="007561B4">
      <w:pPr>
        <w:spacing w:before="9" w:line="220" w:lineRule="exact"/>
        <w:rPr>
          <w:lang w:val="hu-HU"/>
        </w:rPr>
      </w:pPr>
    </w:p>
    <w:p w14:paraId="573F4624" w14:textId="77777777" w:rsidR="007561B4" w:rsidRDefault="007561B4" w:rsidP="007561B4">
      <w:pPr>
        <w:pStyle w:val="a3"/>
        <w:rPr>
          <w:lang w:val="hu-HU"/>
        </w:rPr>
      </w:pPr>
      <w:r>
        <w:rPr>
          <w:rFonts w:eastAsia="Times New Roman"/>
          <w:b/>
          <w:bCs/>
          <w:lang w:val="hu-HU"/>
        </w:rPr>
        <w:t xml:space="preserve">Gyakori </w:t>
      </w:r>
      <w:r>
        <w:rPr>
          <w:rFonts w:eastAsia="Times New Roman"/>
          <w:lang w:val="hu-HU"/>
        </w:rPr>
        <w:t>(10 beteg közül több mint 1-nél kialakuló)</w:t>
      </w:r>
    </w:p>
    <w:p w14:paraId="3172CAAA" w14:textId="77777777" w:rsidR="007561B4" w:rsidRDefault="007561B4" w:rsidP="007561B4">
      <w:pPr>
        <w:spacing w:before="14" w:line="240" w:lineRule="exact"/>
        <w:rPr>
          <w:sz w:val="24"/>
          <w:szCs w:val="24"/>
          <w:lang w:val="hu-HU"/>
        </w:rPr>
      </w:pPr>
    </w:p>
    <w:p w14:paraId="1BD5B1B4" w14:textId="77777777" w:rsidR="007561B4" w:rsidRDefault="007561B4" w:rsidP="007561B4">
      <w:pPr>
        <w:pStyle w:val="a3"/>
        <w:numPr>
          <w:ilvl w:val="0"/>
          <w:numId w:val="15"/>
        </w:numPr>
        <w:ind w:left="660" w:hanging="660"/>
        <w:rPr>
          <w:lang w:val="hu-HU"/>
        </w:rPr>
      </w:pPr>
      <w:r>
        <w:rPr>
          <w:rFonts w:eastAsia="Times New Roman"/>
          <w:lang w:val="hu-HU"/>
        </w:rPr>
        <w:t>súlyos fertőzések (beleértve a vérmérgezést és az influenzát is)</w:t>
      </w:r>
    </w:p>
    <w:p w14:paraId="700F06FA" w14:textId="77777777" w:rsidR="007561B4" w:rsidRDefault="007561B4" w:rsidP="007561B4">
      <w:pPr>
        <w:pStyle w:val="a3"/>
        <w:numPr>
          <w:ilvl w:val="0"/>
          <w:numId w:val="15"/>
        </w:numPr>
        <w:ind w:left="660" w:hanging="660"/>
        <w:rPr>
          <w:lang w:val="hu-HU"/>
        </w:rPr>
      </w:pPr>
      <w:r>
        <w:rPr>
          <w:rFonts w:eastAsia="Times New Roman"/>
          <w:lang w:val="hu-HU"/>
        </w:rPr>
        <w:t>bélfertőzések (beleértve a gyomor-bélgyulladást is),</w:t>
      </w:r>
    </w:p>
    <w:p w14:paraId="0B8B94B1" w14:textId="77777777" w:rsidR="007561B4" w:rsidRDefault="007561B4" w:rsidP="007561B4">
      <w:pPr>
        <w:pStyle w:val="a3"/>
        <w:numPr>
          <w:ilvl w:val="0"/>
          <w:numId w:val="15"/>
        </w:numPr>
        <w:ind w:left="660" w:hanging="660"/>
        <w:rPr>
          <w:lang w:val="hu-HU"/>
        </w:rPr>
      </w:pPr>
      <w:r>
        <w:rPr>
          <w:rFonts w:eastAsia="Times New Roman"/>
          <w:lang w:val="hu-HU"/>
        </w:rPr>
        <w:t>bőrfertőzések (beleértve a kötőszövet-gyulladást és az övsömört is)</w:t>
      </w:r>
    </w:p>
    <w:p w14:paraId="04D40520" w14:textId="77777777" w:rsidR="007561B4" w:rsidRDefault="007561B4" w:rsidP="007561B4">
      <w:pPr>
        <w:pStyle w:val="a3"/>
        <w:numPr>
          <w:ilvl w:val="0"/>
          <w:numId w:val="15"/>
        </w:numPr>
        <w:ind w:left="660" w:hanging="660"/>
        <w:rPr>
          <w:lang w:val="hu-HU"/>
        </w:rPr>
      </w:pPr>
      <w:r>
        <w:rPr>
          <w:rFonts w:eastAsia="Times New Roman"/>
          <w:lang w:val="hu-HU"/>
        </w:rPr>
        <w:t>fülfertőzések</w:t>
      </w:r>
    </w:p>
    <w:p w14:paraId="54D5404A" w14:textId="77777777" w:rsidR="007561B4" w:rsidRDefault="007561B4" w:rsidP="007561B4">
      <w:pPr>
        <w:pStyle w:val="a3"/>
        <w:numPr>
          <w:ilvl w:val="0"/>
          <w:numId w:val="15"/>
        </w:numPr>
        <w:ind w:left="660" w:hanging="660"/>
        <w:rPr>
          <w:lang w:val="hu-HU"/>
        </w:rPr>
      </w:pPr>
      <w:r>
        <w:rPr>
          <w:rFonts w:eastAsia="Times New Roman"/>
          <w:lang w:val="hu-HU"/>
        </w:rPr>
        <w:t>szájüregi fertőzések (beleértve a fogfertőzéseket és az ajakherpeszt is)</w:t>
      </w:r>
    </w:p>
    <w:p w14:paraId="14104268" w14:textId="77777777" w:rsidR="007561B4" w:rsidRDefault="007561B4" w:rsidP="007561B4">
      <w:pPr>
        <w:pStyle w:val="a3"/>
        <w:numPr>
          <w:ilvl w:val="0"/>
          <w:numId w:val="15"/>
        </w:numPr>
        <w:ind w:left="660" w:hanging="660"/>
        <w:rPr>
          <w:lang w:val="hu-HU"/>
        </w:rPr>
      </w:pPr>
      <w:r>
        <w:rPr>
          <w:rFonts w:eastAsia="Times New Roman"/>
          <w:lang w:val="hu-HU"/>
        </w:rPr>
        <w:t>nemi szervek fertőzései</w:t>
      </w:r>
    </w:p>
    <w:p w14:paraId="4ED05C5B" w14:textId="77777777" w:rsidR="007561B4" w:rsidRDefault="007561B4" w:rsidP="007561B4">
      <w:pPr>
        <w:pStyle w:val="a3"/>
        <w:numPr>
          <w:ilvl w:val="0"/>
          <w:numId w:val="15"/>
        </w:numPr>
        <w:ind w:left="660" w:hanging="660"/>
        <w:rPr>
          <w:lang w:val="hu-HU"/>
        </w:rPr>
      </w:pPr>
      <w:r>
        <w:rPr>
          <w:rFonts w:eastAsia="Times New Roman"/>
          <w:lang w:val="hu-HU"/>
        </w:rPr>
        <w:t>húgyúti fertőzés</w:t>
      </w:r>
    </w:p>
    <w:p w14:paraId="2A740153" w14:textId="77777777" w:rsidR="007561B4" w:rsidRDefault="007561B4" w:rsidP="007561B4">
      <w:pPr>
        <w:pStyle w:val="a3"/>
        <w:numPr>
          <w:ilvl w:val="0"/>
          <w:numId w:val="15"/>
        </w:numPr>
        <w:ind w:left="660" w:hanging="660"/>
        <w:rPr>
          <w:lang w:val="hu-HU"/>
        </w:rPr>
      </w:pPr>
      <w:r>
        <w:rPr>
          <w:rFonts w:eastAsia="Times New Roman"/>
          <w:lang w:val="hu-HU"/>
        </w:rPr>
        <w:t>gombás fertőzések</w:t>
      </w:r>
    </w:p>
    <w:p w14:paraId="3F63A711" w14:textId="77777777" w:rsidR="007561B4" w:rsidRDefault="007561B4" w:rsidP="007561B4">
      <w:pPr>
        <w:pStyle w:val="a3"/>
        <w:numPr>
          <w:ilvl w:val="0"/>
          <w:numId w:val="15"/>
        </w:numPr>
        <w:ind w:left="660" w:hanging="660"/>
        <w:rPr>
          <w:lang w:val="hu-HU"/>
        </w:rPr>
      </w:pPr>
      <w:r>
        <w:rPr>
          <w:rFonts w:eastAsia="Times New Roman"/>
          <w:lang w:val="hu-HU"/>
        </w:rPr>
        <w:t>ízületi fertőzések</w:t>
      </w:r>
    </w:p>
    <w:p w14:paraId="6D0D0FD0" w14:textId="77777777" w:rsidR="007561B4" w:rsidRDefault="007561B4" w:rsidP="007561B4">
      <w:pPr>
        <w:pStyle w:val="a3"/>
        <w:numPr>
          <w:ilvl w:val="0"/>
          <w:numId w:val="15"/>
        </w:numPr>
        <w:ind w:left="660" w:hanging="660"/>
        <w:rPr>
          <w:lang w:val="hu-HU"/>
        </w:rPr>
      </w:pPr>
      <w:r>
        <w:rPr>
          <w:rFonts w:eastAsia="Times New Roman"/>
          <w:lang w:val="hu-HU"/>
        </w:rPr>
        <w:t>jóindulatú daganatok</w:t>
      </w:r>
    </w:p>
    <w:p w14:paraId="29249A32" w14:textId="77777777" w:rsidR="007561B4" w:rsidRDefault="007561B4" w:rsidP="007561B4">
      <w:pPr>
        <w:pStyle w:val="a3"/>
        <w:numPr>
          <w:ilvl w:val="0"/>
          <w:numId w:val="15"/>
        </w:numPr>
        <w:ind w:left="660" w:hanging="660"/>
        <w:rPr>
          <w:lang w:val="hu-HU"/>
        </w:rPr>
      </w:pPr>
      <w:r>
        <w:rPr>
          <w:rFonts w:eastAsia="Times New Roman"/>
          <w:lang w:val="hu-HU"/>
        </w:rPr>
        <w:t>bőrrák</w:t>
      </w:r>
    </w:p>
    <w:p w14:paraId="7C3C3EE9" w14:textId="77777777" w:rsidR="007561B4" w:rsidRDefault="007561B4" w:rsidP="007561B4">
      <w:pPr>
        <w:pStyle w:val="a3"/>
        <w:numPr>
          <w:ilvl w:val="0"/>
          <w:numId w:val="15"/>
        </w:numPr>
        <w:ind w:left="660" w:hanging="660"/>
        <w:rPr>
          <w:lang w:val="hu-HU"/>
        </w:rPr>
      </w:pPr>
      <w:r>
        <w:rPr>
          <w:rFonts w:eastAsia="Times New Roman"/>
          <w:lang w:val="hu-HU"/>
        </w:rPr>
        <w:t>allergiás reakciók (beleértve a szezonális allergiát)</w:t>
      </w:r>
    </w:p>
    <w:p w14:paraId="2E466D2D" w14:textId="77777777" w:rsidR="007561B4" w:rsidRDefault="007561B4" w:rsidP="007561B4">
      <w:pPr>
        <w:pStyle w:val="a3"/>
        <w:numPr>
          <w:ilvl w:val="0"/>
          <w:numId w:val="15"/>
        </w:numPr>
        <w:ind w:left="660" w:hanging="660"/>
        <w:rPr>
          <w:lang w:val="hu-HU"/>
        </w:rPr>
      </w:pPr>
      <w:r>
        <w:rPr>
          <w:rFonts w:eastAsia="Times New Roman"/>
          <w:lang w:val="hu-HU"/>
        </w:rPr>
        <w:t>kiszáradás</w:t>
      </w:r>
    </w:p>
    <w:p w14:paraId="5ED72CFD" w14:textId="77777777" w:rsidR="007561B4" w:rsidRDefault="007561B4" w:rsidP="007561B4">
      <w:pPr>
        <w:pStyle w:val="a3"/>
        <w:numPr>
          <w:ilvl w:val="0"/>
          <w:numId w:val="15"/>
        </w:numPr>
        <w:ind w:left="660" w:hanging="660"/>
        <w:rPr>
          <w:lang w:val="hu-HU"/>
        </w:rPr>
      </w:pPr>
      <w:r>
        <w:rPr>
          <w:rFonts w:eastAsia="Times New Roman"/>
          <w:lang w:val="hu-HU"/>
        </w:rPr>
        <w:t>hangulatváltozás (beleértve a depressziót)</w:t>
      </w:r>
    </w:p>
    <w:p w14:paraId="7FE5D759" w14:textId="77777777" w:rsidR="007561B4" w:rsidRDefault="007561B4" w:rsidP="007561B4">
      <w:pPr>
        <w:pStyle w:val="a3"/>
        <w:numPr>
          <w:ilvl w:val="0"/>
          <w:numId w:val="15"/>
        </w:numPr>
        <w:ind w:left="660" w:hanging="660"/>
        <w:rPr>
          <w:lang w:val="hu-HU"/>
        </w:rPr>
      </w:pPr>
      <w:r>
        <w:rPr>
          <w:rFonts w:eastAsia="Times New Roman"/>
          <w:lang w:val="hu-HU"/>
        </w:rPr>
        <w:t>szorongás</w:t>
      </w:r>
    </w:p>
    <w:p w14:paraId="2F8371AF" w14:textId="77777777" w:rsidR="007561B4" w:rsidRDefault="007561B4" w:rsidP="007561B4">
      <w:pPr>
        <w:pStyle w:val="a3"/>
        <w:numPr>
          <w:ilvl w:val="0"/>
          <w:numId w:val="15"/>
        </w:numPr>
        <w:ind w:left="660" w:hanging="660"/>
        <w:rPr>
          <w:lang w:val="hu-HU"/>
        </w:rPr>
      </w:pPr>
      <w:r>
        <w:rPr>
          <w:rFonts w:eastAsia="Times New Roman"/>
          <w:lang w:val="hu-HU"/>
        </w:rPr>
        <w:t>álmatlanság</w:t>
      </w:r>
    </w:p>
    <w:p w14:paraId="60AD2642" w14:textId="77777777" w:rsidR="007561B4" w:rsidRDefault="007561B4" w:rsidP="007561B4">
      <w:pPr>
        <w:pStyle w:val="a3"/>
        <w:numPr>
          <w:ilvl w:val="0"/>
          <w:numId w:val="15"/>
        </w:numPr>
        <w:ind w:left="660" w:hanging="660"/>
        <w:rPr>
          <w:lang w:val="hu-HU"/>
        </w:rPr>
      </w:pPr>
      <w:r>
        <w:rPr>
          <w:rFonts w:eastAsia="Times New Roman"/>
          <w:lang w:val="hu-HU"/>
        </w:rPr>
        <w:t>érzészavarok, például bizsergés, szurkáló érzés vagy zsibbadás</w:t>
      </w:r>
    </w:p>
    <w:p w14:paraId="6DA18A17" w14:textId="77777777" w:rsidR="007561B4" w:rsidRDefault="007561B4" w:rsidP="007561B4">
      <w:pPr>
        <w:pStyle w:val="a3"/>
        <w:numPr>
          <w:ilvl w:val="0"/>
          <w:numId w:val="15"/>
        </w:numPr>
        <w:ind w:left="660" w:hanging="660"/>
        <w:rPr>
          <w:lang w:val="hu-HU"/>
        </w:rPr>
      </w:pPr>
      <w:r>
        <w:rPr>
          <w:rFonts w:eastAsia="Times New Roman"/>
          <w:lang w:val="hu-HU"/>
        </w:rPr>
        <w:t>migrén</w:t>
      </w:r>
    </w:p>
    <w:p w14:paraId="693B8592" w14:textId="77777777" w:rsidR="007561B4" w:rsidRDefault="007561B4" w:rsidP="007561B4">
      <w:pPr>
        <w:pStyle w:val="a3"/>
        <w:numPr>
          <w:ilvl w:val="0"/>
          <w:numId w:val="15"/>
        </w:numPr>
        <w:ind w:left="660" w:hanging="660"/>
        <w:rPr>
          <w:lang w:val="hu-HU"/>
        </w:rPr>
      </w:pPr>
      <w:r>
        <w:rPr>
          <w:rFonts w:eastAsia="Times New Roman"/>
          <w:lang w:val="hu-HU"/>
        </w:rPr>
        <w:t>ideggyök nyomási tünetei (beleértve a derékfájdalmat és a lábfájást is)</w:t>
      </w:r>
    </w:p>
    <w:p w14:paraId="2B801D90" w14:textId="77777777" w:rsidR="007561B4" w:rsidRDefault="007561B4" w:rsidP="007561B4">
      <w:pPr>
        <w:pStyle w:val="a3"/>
        <w:numPr>
          <w:ilvl w:val="0"/>
          <w:numId w:val="15"/>
        </w:numPr>
        <w:ind w:left="660" w:hanging="660"/>
        <w:rPr>
          <w:lang w:val="hu-HU"/>
        </w:rPr>
      </w:pPr>
      <w:r>
        <w:rPr>
          <w:rFonts w:eastAsia="Times New Roman"/>
          <w:lang w:val="hu-HU"/>
        </w:rPr>
        <w:t>látászavar</w:t>
      </w:r>
    </w:p>
    <w:p w14:paraId="6CFAE9E3" w14:textId="77777777" w:rsidR="007561B4" w:rsidRDefault="007561B4" w:rsidP="007561B4">
      <w:pPr>
        <w:pStyle w:val="a3"/>
        <w:numPr>
          <w:ilvl w:val="0"/>
          <w:numId w:val="15"/>
        </w:numPr>
        <w:ind w:left="660" w:hanging="660"/>
        <w:rPr>
          <w:lang w:val="hu-HU"/>
        </w:rPr>
      </w:pPr>
      <w:r>
        <w:rPr>
          <w:rFonts w:eastAsia="Times New Roman"/>
          <w:lang w:val="hu-HU"/>
        </w:rPr>
        <w:t>szemgyulladás</w:t>
      </w:r>
    </w:p>
    <w:p w14:paraId="70EB9BBA" w14:textId="77777777" w:rsidR="007561B4" w:rsidRDefault="007561B4" w:rsidP="007561B4">
      <w:pPr>
        <w:pStyle w:val="a3"/>
        <w:numPr>
          <w:ilvl w:val="0"/>
          <w:numId w:val="15"/>
        </w:numPr>
        <w:ind w:left="660" w:hanging="660"/>
        <w:rPr>
          <w:lang w:val="hu-HU"/>
        </w:rPr>
      </w:pPr>
      <w:r>
        <w:rPr>
          <w:rFonts w:eastAsia="Times New Roman"/>
          <w:lang w:val="hu-HU"/>
        </w:rPr>
        <w:t>szemhéj gyulladása és a szem duzzanata</w:t>
      </w:r>
    </w:p>
    <w:p w14:paraId="19C22EED" w14:textId="77777777" w:rsidR="007561B4" w:rsidRDefault="007561B4" w:rsidP="007561B4">
      <w:pPr>
        <w:pStyle w:val="a3"/>
        <w:numPr>
          <w:ilvl w:val="0"/>
          <w:numId w:val="15"/>
        </w:numPr>
        <w:ind w:left="660" w:hanging="660"/>
        <w:rPr>
          <w:lang w:val="hu-HU"/>
        </w:rPr>
      </w:pPr>
      <w:r>
        <w:rPr>
          <w:rFonts w:eastAsia="Times New Roman"/>
          <w:lang w:val="hu-HU"/>
        </w:rPr>
        <w:t>forgó jellegű szédülés (vertigo)</w:t>
      </w:r>
    </w:p>
    <w:p w14:paraId="498EF36B" w14:textId="77777777" w:rsidR="007561B4" w:rsidRDefault="007561B4" w:rsidP="007561B4">
      <w:pPr>
        <w:pStyle w:val="a3"/>
        <w:numPr>
          <w:ilvl w:val="0"/>
          <w:numId w:val="15"/>
        </w:numPr>
        <w:ind w:left="660" w:hanging="660"/>
        <w:rPr>
          <w:lang w:val="hu-HU"/>
        </w:rPr>
      </w:pPr>
      <w:r>
        <w:rPr>
          <w:rFonts w:eastAsia="Times New Roman"/>
          <w:lang w:val="hu-HU"/>
        </w:rPr>
        <w:t>gyors szívverés érzés</w:t>
      </w:r>
    </w:p>
    <w:p w14:paraId="0C1D27FE" w14:textId="77777777" w:rsidR="007561B4" w:rsidRDefault="007561B4" w:rsidP="007561B4">
      <w:pPr>
        <w:pStyle w:val="a3"/>
        <w:numPr>
          <w:ilvl w:val="0"/>
          <w:numId w:val="15"/>
        </w:numPr>
        <w:ind w:left="660" w:hanging="660"/>
        <w:rPr>
          <w:lang w:val="hu-HU"/>
        </w:rPr>
      </w:pPr>
      <w:r>
        <w:rPr>
          <w:rFonts w:eastAsia="Times New Roman"/>
          <w:lang w:val="hu-HU"/>
        </w:rPr>
        <w:lastRenderedPageBreak/>
        <w:t>magas vérnyomás</w:t>
      </w:r>
    </w:p>
    <w:p w14:paraId="5593DFC3" w14:textId="77777777" w:rsidR="007561B4" w:rsidRDefault="007561B4" w:rsidP="007561B4">
      <w:pPr>
        <w:pStyle w:val="a3"/>
        <w:numPr>
          <w:ilvl w:val="0"/>
          <w:numId w:val="15"/>
        </w:numPr>
        <w:ind w:left="660" w:hanging="660"/>
        <w:rPr>
          <w:lang w:val="hu-HU"/>
        </w:rPr>
      </w:pPr>
      <w:r>
        <w:rPr>
          <w:rFonts w:eastAsia="Times New Roman"/>
          <w:lang w:val="hu-HU"/>
        </w:rPr>
        <w:t>kipirulás</w:t>
      </w:r>
    </w:p>
    <w:p w14:paraId="24FC274A" w14:textId="77777777" w:rsidR="007561B4" w:rsidRDefault="007561B4" w:rsidP="007561B4">
      <w:pPr>
        <w:pStyle w:val="a3"/>
        <w:numPr>
          <w:ilvl w:val="0"/>
          <w:numId w:val="15"/>
        </w:numPr>
        <w:ind w:left="660" w:hanging="660"/>
        <w:rPr>
          <w:lang w:val="hu-HU"/>
        </w:rPr>
      </w:pPr>
      <w:r>
        <w:rPr>
          <w:rFonts w:eastAsia="Times New Roman"/>
          <w:lang w:val="hu-HU"/>
        </w:rPr>
        <w:t>vérömleny (vérgyülem az ereken kívül)</w:t>
      </w:r>
    </w:p>
    <w:p w14:paraId="787C077D" w14:textId="77777777" w:rsidR="007561B4" w:rsidRDefault="007561B4" w:rsidP="007561B4">
      <w:pPr>
        <w:pStyle w:val="a3"/>
        <w:numPr>
          <w:ilvl w:val="0"/>
          <w:numId w:val="15"/>
        </w:numPr>
        <w:ind w:left="660" w:hanging="660"/>
        <w:rPr>
          <w:lang w:val="hu-HU"/>
        </w:rPr>
      </w:pPr>
      <w:r>
        <w:rPr>
          <w:rFonts w:eastAsia="Times New Roman"/>
          <w:lang w:val="hu-HU"/>
        </w:rPr>
        <w:t>köhögés</w:t>
      </w:r>
    </w:p>
    <w:p w14:paraId="49383CCC" w14:textId="77777777" w:rsidR="007561B4" w:rsidRDefault="007561B4" w:rsidP="007561B4">
      <w:pPr>
        <w:pStyle w:val="a3"/>
        <w:numPr>
          <w:ilvl w:val="0"/>
          <w:numId w:val="15"/>
        </w:numPr>
        <w:ind w:left="660" w:hanging="660"/>
        <w:rPr>
          <w:lang w:val="hu-HU"/>
        </w:rPr>
      </w:pPr>
      <w:r>
        <w:rPr>
          <w:rFonts w:eastAsia="Times New Roman"/>
          <w:lang w:val="hu-HU"/>
        </w:rPr>
        <w:t>asztma</w:t>
      </w:r>
    </w:p>
    <w:p w14:paraId="0D8137A7" w14:textId="77777777" w:rsidR="007561B4" w:rsidRDefault="007561B4" w:rsidP="007561B4">
      <w:pPr>
        <w:pStyle w:val="a3"/>
        <w:numPr>
          <w:ilvl w:val="0"/>
          <w:numId w:val="15"/>
        </w:numPr>
        <w:ind w:left="660" w:hanging="660"/>
        <w:rPr>
          <w:lang w:val="hu-HU"/>
        </w:rPr>
      </w:pPr>
      <w:r>
        <w:rPr>
          <w:rFonts w:eastAsia="Times New Roman"/>
          <w:lang w:val="hu-HU"/>
        </w:rPr>
        <w:t>légszomj</w:t>
      </w:r>
    </w:p>
    <w:p w14:paraId="3140B778" w14:textId="77777777" w:rsidR="007561B4" w:rsidRDefault="007561B4" w:rsidP="007561B4">
      <w:pPr>
        <w:pStyle w:val="a3"/>
        <w:numPr>
          <w:ilvl w:val="0"/>
          <w:numId w:val="15"/>
        </w:numPr>
        <w:ind w:left="660" w:hanging="660"/>
        <w:rPr>
          <w:lang w:val="hu-HU"/>
        </w:rPr>
      </w:pPr>
      <w:r>
        <w:rPr>
          <w:rFonts w:eastAsia="Times New Roman"/>
          <w:lang w:val="hu-HU"/>
        </w:rPr>
        <w:t>tápcsatorna eredetű vérzés</w:t>
      </w:r>
    </w:p>
    <w:p w14:paraId="1ACB3A1B" w14:textId="77777777" w:rsidR="007561B4" w:rsidRDefault="007561B4" w:rsidP="007561B4">
      <w:pPr>
        <w:pStyle w:val="a3"/>
        <w:numPr>
          <w:ilvl w:val="0"/>
          <w:numId w:val="15"/>
        </w:numPr>
        <w:ind w:left="660" w:hanging="660"/>
        <w:rPr>
          <w:lang w:val="hu-HU"/>
        </w:rPr>
      </w:pPr>
      <w:r>
        <w:rPr>
          <w:rFonts w:eastAsia="Times New Roman"/>
          <w:lang w:val="hu-HU"/>
        </w:rPr>
        <w:t>diszpepszia (emésztési zavar, puffadás, gyomorégés)</w:t>
      </w:r>
    </w:p>
    <w:p w14:paraId="0180EA8A" w14:textId="77777777" w:rsidR="007561B4" w:rsidRDefault="007561B4" w:rsidP="007561B4">
      <w:pPr>
        <w:pStyle w:val="a3"/>
        <w:numPr>
          <w:ilvl w:val="0"/>
          <w:numId w:val="15"/>
        </w:numPr>
        <w:ind w:left="660" w:hanging="660"/>
        <w:rPr>
          <w:lang w:val="hu-HU"/>
        </w:rPr>
      </w:pPr>
      <w:r>
        <w:rPr>
          <w:rFonts w:eastAsia="Times New Roman"/>
          <w:lang w:val="hu-HU"/>
        </w:rPr>
        <w:t>a gyomorsav visszafolyása a nyelőcsőbe</w:t>
      </w:r>
    </w:p>
    <w:p w14:paraId="49B2639C" w14:textId="77777777" w:rsidR="007561B4" w:rsidRDefault="007561B4" w:rsidP="007561B4">
      <w:pPr>
        <w:pStyle w:val="a3"/>
        <w:numPr>
          <w:ilvl w:val="0"/>
          <w:numId w:val="15"/>
        </w:numPr>
        <w:ind w:left="660" w:hanging="660"/>
        <w:rPr>
          <w:lang w:val="hu-HU"/>
        </w:rPr>
      </w:pPr>
      <w:r>
        <w:rPr>
          <w:rFonts w:eastAsia="Times New Roman"/>
          <w:lang w:val="hu-HU"/>
        </w:rPr>
        <w:t>szikka szindróma (beleértve a szemszárazságot és a szájszárazságot)</w:t>
      </w:r>
    </w:p>
    <w:p w14:paraId="5BA42958" w14:textId="77777777" w:rsidR="007561B4" w:rsidRDefault="007561B4" w:rsidP="007561B4">
      <w:pPr>
        <w:pStyle w:val="a3"/>
        <w:numPr>
          <w:ilvl w:val="0"/>
          <w:numId w:val="15"/>
        </w:numPr>
        <w:ind w:left="660" w:hanging="660"/>
        <w:rPr>
          <w:lang w:val="hu-HU"/>
        </w:rPr>
      </w:pPr>
      <w:r>
        <w:rPr>
          <w:rFonts w:eastAsia="Times New Roman"/>
          <w:lang w:val="hu-HU"/>
        </w:rPr>
        <w:t>viszketés</w:t>
      </w:r>
    </w:p>
    <w:p w14:paraId="43D2F9D3" w14:textId="77777777" w:rsidR="007561B4" w:rsidRDefault="007561B4" w:rsidP="007561B4">
      <w:pPr>
        <w:pStyle w:val="a3"/>
        <w:numPr>
          <w:ilvl w:val="0"/>
          <w:numId w:val="15"/>
        </w:numPr>
        <w:ind w:left="660" w:hanging="660"/>
        <w:rPr>
          <w:rFonts w:eastAsia="Times New Roman"/>
          <w:spacing w:val="-1"/>
          <w:lang w:val="hu-HU"/>
        </w:rPr>
      </w:pPr>
      <w:r>
        <w:rPr>
          <w:rFonts w:eastAsia="Times New Roman"/>
          <w:lang w:val="hu-HU"/>
        </w:rPr>
        <w:t>viszkető bőrkiütés</w:t>
      </w:r>
    </w:p>
    <w:p w14:paraId="0FC6D9DD" w14:textId="77777777" w:rsidR="007561B4" w:rsidRDefault="007561B4" w:rsidP="007561B4">
      <w:pPr>
        <w:pStyle w:val="a3"/>
        <w:numPr>
          <w:ilvl w:val="0"/>
          <w:numId w:val="15"/>
        </w:numPr>
        <w:ind w:left="660" w:hanging="660"/>
        <w:rPr>
          <w:lang w:val="hu-HU"/>
        </w:rPr>
      </w:pPr>
      <w:r>
        <w:rPr>
          <w:rFonts w:eastAsia="Times New Roman"/>
          <w:lang w:val="hu-HU"/>
        </w:rPr>
        <w:t>véraláfutás</w:t>
      </w:r>
    </w:p>
    <w:p w14:paraId="5AA0AE54" w14:textId="77777777" w:rsidR="007561B4" w:rsidRDefault="007561B4" w:rsidP="007561B4">
      <w:pPr>
        <w:pStyle w:val="a3"/>
        <w:numPr>
          <w:ilvl w:val="0"/>
          <w:numId w:val="15"/>
        </w:numPr>
        <w:ind w:left="660" w:hanging="660"/>
        <w:rPr>
          <w:lang w:val="hu-HU"/>
        </w:rPr>
      </w:pPr>
      <w:r>
        <w:rPr>
          <w:rFonts w:eastAsia="Times New Roman"/>
          <w:lang w:val="hu-HU"/>
        </w:rPr>
        <w:t>bőrgyulladás (például ekcéma)</w:t>
      </w:r>
    </w:p>
    <w:p w14:paraId="614CAB73" w14:textId="77777777" w:rsidR="007561B4" w:rsidRDefault="007561B4" w:rsidP="007561B4">
      <w:pPr>
        <w:pStyle w:val="a3"/>
        <w:numPr>
          <w:ilvl w:val="0"/>
          <w:numId w:val="15"/>
        </w:numPr>
        <w:ind w:left="660" w:hanging="660"/>
        <w:rPr>
          <w:lang w:val="hu-HU"/>
        </w:rPr>
      </w:pPr>
      <w:r>
        <w:rPr>
          <w:rFonts w:eastAsia="Times New Roman"/>
          <w:lang w:val="hu-HU"/>
        </w:rPr>
        <w:t>a kéz- és lábujjkörmök töredezése</w:t>
      </w:r>
    </w:p>
    <w:p w14:paraId="555A39EF" w14:textId="77777777" w:rsidR="007561B4" w:rsidRDefault="007561B4" w:rsidP="007561B4">
      <w:pPr>
        <w:pStyle w:val="a3"/>
        <w:numPr>
          <w:ilvl w:val="0"/>
          <w:numId w:val="15"/>
        </w:numPr>
        <w:ind w:left="660" w:hanging="660"/>
        <w:rPr>
          <w:lang w:val="hu-HU"/>
        </w:rPr>
      </w:pPr>
      <w:r>
        <w:rPr>
          <w:rFonts w:eastAsia="Times New Roman"/>
          <w:lang w:val="hu-HU"/>
        </w:rPr>
        <w:t>fokozott verejtékezés</w:t>
      </w:r>
    </w:p>
    <w:p w14:paraId="016D79E4" w14:textId="77777777" w:rsidR="007561B4" w:rsidRDefault="007561B4" w:rsidP="007561B4">
      <w:pPr>
        <w:pStyle w:val="a3"/>
        <w:numPr>
          <w:ilvl w:val="0"/>
          <w:numId w:val="15"/>
        </w:numPr>
        <w:ind w:left="660" w:hanging="660"/>
        <w:rPr>
          <w:lang w:val="hu-HU"/>
        </w:rPr>
      </w:pPr>
      <w:r>
        <w:rPr>
          <w:rFonts w:eastAsia="Times New Roman"/>
          <w:lang w:val="hu-HU"/>
        </w:rPr>
        <w:t>hajhullás</w:t>
      </w:r>
    </w:p>
    <w:p w14:paraId="5FE9E12A" w14:textId="77777777" w:rsidR="007561B4" w:rsidRDefault="007561B4" w:rsidP="007561B4">
      <w:pPr>
        <w:pStyle w:val="a3"/>
        <w:numPr>
          <w:ilvl w:val="0"/>
          <w:numId w:val="15"/>
        </w:numPr>
        <w:ind w:left="660" w:hanging="660"/>
        <w:rPr>
          <w:lang w:val="hu-HU"/>
        </w:rPr>
      </w:pPr>
      <w:r>
        <w:rPr>
          <w:rFonts w:eastAsia="Times New Roman"/>
          <w:lang w:val="hu-HU"/>
        </w:rPr>
        <w:t>pikkelysömör megjelenése vagy rosszabbodása</w:t>
      </w:r>
    </w:p>
    <w:p w14:paraId="2A6FF116" w14:textId="77777777" w:rsidR="007561B4" w:rsidRDefault="007561B4" w:rsidP="007561B4">
      <w:pPr>
        <w:pStyle w:val="a3"/>
        <w:numPr>
          <w:ilvl w:val="0"/>
          <w:numId w:val="15"/>
        </w:numPr>
        <w:ind w:left="660" w:hanging="660"/>
        <w:rPr>
          <w:lang w:val="hu-HU"/>
        </w:rPr>
      </w:pPr>
      <w:r>
        <w:rPr>
          <w:rFonts w:eastAsia="Times New Roman"/>
          <w:lang w:val="hu-HU"/>
        </w:rPr>
        <w:t>izomgörcsök</w:t>
      </w:r>
    </w:p>
    <w:p w14:paraId="23809C5B" w14:textId="77777777" w:rsidR="007561B4" w:rsidRDefault="007561B4" w:rsidP="007561B4">
      <w:pPr>
        <w:pStyle w:val="a3"/>
        <w:numPr>
          <w:ilvl w:val="0"/>
          <w:numId w:val="15"/>
        </w:numPr>
        <w:ind w:left="660" w:hanging="660"/>
        <w:rPr>
          <w:lang w:val="hu-HU"/>
        </w:rPr>
      </w:pPr>
      <w:r>
        <w:rPr>
          <w:rFonts w:eastAsia="Times New Roman"/>
          <w:lang w:val="hu-HU"/>
        </w:rPr>
        <w:t>véres vizelet</w:t>
      </w:r>
    </w:p>
    <w:p w14:paraId="17FB0DDA" w14:textId="77777777" w:rsidR="007561B4" w:rsidRDefault="007561B4" w:rsidP="007561B4">
      <w:pPr>
        <w:pStyle w:val="a3"/>
        <w:numPr>
          <w:ilvl w:val="0"/>
          <w:numId w:val="15"/>
        </w:numPr>
        <w:ind w:left="660" w:hanging="660"/>
        <w:rPr>
          <w:lang w:val="hu-HU"/>
        </w:rPr>
      </w:pPr>
      <w:r>
        <w:rPr>
          <w:rFonts w:eastAsia="Times New Roman"/>
          <w:lang w:val="hu-HU"/>
        </w:rPr>
        <w:t>veseproblémák</w:t>
      </w:r>
    </w:p>
    <w:p w14:paraId="154F1FEB" w14:textId="77777777" w:rsidR="007561B4" w:rsidRDefault="007561B4" w:rsidP="007561B4">
      <w:pPr>
        <w:pStyle w:val="a3"/>
        <w:numPr>
          <w:ilvl w:val="0"/>
          <w:numId w:val="15"/>
        </w:numPr>
        <w:ind w:left="660" w:hanging="660"/>
        <w:rPr>
          <w:lang w:val="hu-HU"/>
        </w:rPr>
      </w:pPr>
      <w:r>
        <w:rPr>
          <w:rFonts w:eastAsia="Times New Roman"/>
          <w:lang w:val="hu-HU"/>
        </w:rPr>
        <w:t>mellkasi fájdalom</w:t>
      </w:r>
    </w:p>
    <w:p w14:paraId="178824EF" w14:textId="77777777" w:rsidR="007561B4" w:rsidRDefault="007561B4" w:rsidP="007561B4">
      <w:pPr>
        <w:pStyle w:val="a3"/>
        <w:numPr>
          <w:ilvl w:val="0"/>
          <w:numId w:val="15"/>
        </w:numPr>
        <w:ind w:left="660" w:hanging="660"/>
        <w:rPr>
          <w:lang w:val="hu-HU"/>
        </w:rPr>
      </w:pPr>
      <w:r>
        <w:rPr>
          <w:rFonts w:eastAsia="Times New Roman"/>
          <w:lang w:val="hu-HU"/>
        </w:rPr>
        <w:t>vizenyő (duzzanat)</w:t>
      </w:r>
    </w:p>
    <w:p w14:paraId="5CFD9EE4" w14:textId="77777777" w:rsidR="007561B4" w:rsidRDefault="007561B4" w:rsidP="007561B4">
      <w:pPr>
        <w:pStyle w:val="a3"/>
        <w:numPr>
          <w:ilvl w:val="0"/>
          <w:numId w:val="15"/>
        </w:numPr>
        <w:ind w:left="660" w:hanging="660"/>
        <w:rPr>
          <w:lang w:val="hu-HU"/>
        </w:rPr>
      </w:pPr>
      <w:r>
        <w:rPr>
          <w:rFonts w:eastAsia="Times New Roman"/>
          <w:lang w:val="hu-HU"/>
        </w:rPr>
        <w:t>láz</w:t>
      </w:r>
    </w:p>
    <w:p w14:paraId="08C58844" w14:textId="77777777" w:rsidR="007561B4" w:rsidRDefault="007561B4" w:rsidP="007561B4">
      <w:pPr>
        <w:pStyle w:val="a3"/>
        <w:numPr>
          <w:ilvl w:val="0"/>
          <w:numId w:val="15"/>
        </w:numPr>
        <w:ind w:left="660" w:hanging="660"/>
        <w:rPr>
          <w:lang w:val="hu-HU"/>
        </w:rPr>
      </w:pPr>
      <w:r>
        <w:rPr>
          <w:rFonts w:eastAsia="Times New Roman"/>
          <w:lang w:val="hu-HU"/>
        </w:rPr>
        <w:t>A vérlemezkék számának csökkenése, ami növeli a vérzés vagy véraláfutás kialakulásának kockázatát</w:t>
      </w:r>
    </w:p>
    <w:p w14:paraId="1D0960B6" w14:textId="77777777" w:rsidR="007561B4" w:rsidRDefault="007561B4" w:rsidP="007561B4">
      <w:pPr>
        <w:pStyle w:val="a3"/>
        <w:numPr>
          <w:ilvl w:val="0"/>
          <w:numId w:val="15"/>
        </w:numPr>
        <w:ind w:left="660" w:hanging="660"/>
        <w:rPr>
          <w:lang w:val="hu-HU"/>
        </w:rPr>
      </w:pPr>
      <w:r>
        <w:rPr>
          <w:rFonts w:eastAsia="Times New Roman"/>
          <w:lang w:val="hu-HU"/>
        </w:rPr>
        <w:t>csökkent gyógyulási készség</w:t>
      </w:r>
    </w:p>
    <w:p w14:paraId="0BCFEEF3" w14:textId="77777777" w:rsidR="007561B4" w:rsidRDefault="007561B4" w:rsidP="007561B4">
      <w:pPr>
        <w:spacing w:before="10" w:line="240" w:lineRule="exact"/>
        <w:rPr>
          <w:sz w:val="24"/>
          <w:szCs w:val="24"/>
          <w:lang w:val="hu-HU"/>
        </w:rPr>
      </w:pPr>
    </w:p>
    <w:p w14:paraId="430EA908" w14:textId="77777777" w:rsidR="007561B4" w:rsidRDefault="007561B4" w:rsidP="007561B4">
      <w:pPr>
        <w:rPr>
          <w:rFonts w:ascii="Times New Roman" w:eastAsia="Times New Roman" w:hAnsi="Times New Roman" w:cs="Times New Roman"/>
          <w:lang w:val="hu-HU"/>
        </w:rPr>
      </w:pPr>
      <w:r>
        <w:rPr>
          <w:rFonts w:ascii="Times New Roman" w:eastAsia="Times New Roman" w:hAnsi="Times New Roman" w:cs="Times New Roman"/>
          <w:b/>
          <w:bCs/>
          <w:spacing w:val="-1"/>
          <w:lang w:val="hu-HU"/>
        </w:rPr>
        <w:t xml:space="preserve">Nem gyakori </w:t>
      </w:r>
      <w:r>
        <w:rPr>
          <w:rFonts w:ascii="Times New Roman" w:eastAsia="Times New Roman" w:hAnsi="Times New Roman" w:cs="Times New Roman"/>
          <w:spacing w:val="-1"/>
          <w:lang w:val="hu-HU"/>
        </w:rPr>
        <w:t>(100 beteg közül legfeljebb 1-nél kialakuló)</w:t>
      </w:r>
    </w:p>
    <w:p w14:paraId="2477800F" w14:textId="77777777" w:rsidR="007561B4" w:rsidRDefault="007561B4" w:rsidP="007561B4">
      <w:pPr>
        <w:spacing w:before="14" w:line="260" w:lineRule="exact"/>
        <w:rPr>
          <w:sz w:val="26"/>
          <w:szCs w:val="26"/>
          <w:lang w:val="hu-HU"/>
        </w:rPr>
      </w:pPr>
    </w:p>
    <w:p w14:paraId="1778855C" w14:textId="77777777" w:rsidR="007561B4" w:rsidRDefault="007561B4" w:rsidP="007561B4">
      <w:pPr>
        <w:pStyle w:val="a3"/>
        <w:numPr>
          <w:ilvl w:val="0"/>
          <w:numId w:val="15"/>
        </w:numPr>
        <w:ind w:left="660" w:hanging="660"/>
        <w:rPr>
          <w:lang w:val="hu-HU"/>
        </w:rPr>
      </w:pPr>
      <w:r w:rsidRPr="00C17405">
        <w:rPr>
          <w:rFonts w:eastAsia="Times New Roman"/>
          <w:lang w:val="hu-HU"/>
        </w:rPr>
        <w:t>szokatlan f</w:t>
      </w:r>
      <w:r w:rsidRPr="003619B6">
        <w:rPr>
          <w:rFonts w:eastAsia="Times New Roman"/>
          <w:lang w:val="hu-HU"/>
        </w:rPr>
        <w:t>ertőzések</w:t>
      </w:r>
      <w:r>
        <w:rPr>
          <w:rFonts w:eastAsia="Times New Roman"/>
          <w:lang w:val="hu-HU"/>
        </w:rPr>
        <w:t xml:space="preserve"> (ezek közé tartozik a tuberkulózis és más, olyan fertőzések, amelyek akkor alakulnak ki, amikor a betegségekkel szembeni ellenállóképesség lecsökken)</w:t>
      </w:r>
    </w:p>
    <w:p w14:paraId="05A0DFF6" w14:textId="77777777" w:rsidR="007561B4" w:rsidRDefault="007561B4" w:rsidP="007561B4">
      <w:pPr>
        <w:pStyle w:val="a3"/>
        <w:numPr>
          <w:ilvl w:val="0"/>
          <w:numId w:val="15"/>
        </w:numPr>
        <w:ind w:left="660" w:hanging="660"/>
        <w:rPr>
          <w:lang w:val="hu-HU"/>
        </w:rPr>
      </w:pPr>
      <w:r>
        <w:rPr>
          <w:rFonts w:eastAsia="Times New Roman"/>
          <w:lang w:val="hu-HU"/>
        </w:rPr>
        <w:t>ideggyógyászati eredetű fertőzések (beleértve a vírusos eredetű agyhártyagyulladást is)</w:t>
      </w:r>
    </w:p>
    <w:p w14:paraId="07BC8310" w14:textId="77777777" w:rsidR="007561B4" w:rsidRDefault="007561B4" w:rsidP="007561B4">
      <w:pPr>
        <w:pStyle w:val="a3"/>
        <w:numPr>
          <w:ilvl w:val="0"/>
          <w:numId w:val="15"/>
        </w:numPr>
        <w:ind w:left="660" w:hanging="660"/>
        <w:rPr>
          <w:lang w:val="hu-HU"/>
        </w:rPr>
      </w:pPr>
      <w:r>
        <w:rPr>
          <w:rFonts w:eastAsia="Times New Roman"/>
          <w:lang w:val="hu-HU"/>
        </w:rPr>
        <w:t>szemfertőzések</w:t>
      </w:r>
    </w:p>
    <w:p w14:paraId="65FCB41C" w14:textId="77777777" w:rsidR="007561B4" w:rsidRDefault="007561B4" w:rsidP="007561B4">
      <w:pPr>
        <w:pStyle w:val="a3"/>
        <w:numPr>
          <w:ilvl w:val="0"/>
          <w:numId w:val="15"/>
        </w:numPr>
        <w:ind w:left="660" w:hanging="660"/>
        <w:rPr>
          <w:lang w:val="hu-HU"/>
        </w:rPr>
      </w:pPr>
      <w:r>
        <w:rPr>
          <w:rFonts w:eastAsia="Times New Roman"/>
          <w:lang w:val="hu-HU"/>
        </w:rPr>
        <w:t>baktériumok okozta fertőzések</w:t>
      </w:r>
    </w:p>
    <w:p w14:paraId="2A9671F6" w14:textId="77777777" w:rsidR="007561B4" w:rsidRDefault="007561B4" w:rsidP="007561B4">
      <w:pPr>
        <w:pStyle w:val="a3"/>
        <w:numPr>
          <w:ilvl w:val="0"/>
          <w:numId w:val="15"/>
        </w:numPr>
        <w:ind w:left="660" w:hanging="660"/>
        <w:rPr>
          <w:lang w:val="hu-HU"/>
        </w:rPr>
      </w:pPr>
      <w:r>
        <w:rPr>
          <w:rFonts w:eastAsia="Times New Roman"/>
          <w:lang w:val="hu-HU"/>
        </w:rPr>
        <w:t>vastagbélgyulladás és fertőzés (divertikulitisz)</w:t>
      </w:r>
    </w:p>
    <w:p w14:paraId="689EB166" w14:textId="77777777" w:rsidR="007561B4" w:rsidRDefault="007561B4" w:rsidP="007561B4">
      <w:pPr>
        <w:pStyle w:val="a3"/>
        <w:numPr>
          <w:ilvl w:val="0"/>
          <w:numId w:val="15"/>
        </w:numPr>
        <w:ind w:left="660" w:hanging="660"/>
        <w:rPr>
          <w:lang w:val="hu-HU"/>
        </w:rPr>
      </w:pPr>
      <w:r>
        <w:rPr>
          <w:rFonts w:eastAsia="Times New Roman"/>
          <w:lang w:val="hu-HU"/>
        </w:rPr>
        <w:t>rák</w:t>
      </w:r>
    </w:p>
    <w:p w14:paraId="2B087763" w14:textId="77777777" w:rsidR="007561B4" w:rsidRDefault="007561B4" w:rsidP="007561B4">
      <w:pPr>
        <w:pStyle w:val="a3"/>
        <w:numPr>
          <w:ilvl w:val="0"/>
          <w:numId w:val="15"/>
        </w:numPr>
        <w:ind w:left="660" w:hanging="660"/>
        <w:rPr>
          <w:lang w:val="hu-HU"/>
        </w:rPr>
      </w:pPr>
      <w:r>
        <w:rPr>
          <w:rFonts w:eastAsia="Times New Roman"/>
          <w:lang w:val="hu-HU"/>
        </w:rPr>
        <w:t>rák, amely a nyirokrendszert támadja meg</w:t>
      </w:r>
    </w:p>
    <w:p w14:paraId="7ED8E8ED" w14:textId="77777777" w:rsidR="007561B4" w:rsidRDefault="007561B4" w:rsidP="007561B4">
      <w:pPr>
        <w:pStyle w:val="a3"/>
        <w:numPr>
          <w:ilvl w:val="0"/>
          <w:numId w:val="15"/>
        </w:numPr>
        <w:ind w:left="660" w:hanging="660"/>
        <w:rPr>
          <w:lang w:val="hu-HU"/>
        </w:rPr>
      </w:pPr>
      <w:r>
        <w:rPr>
          <w:rFonts w:eastAsia="Times New Roman"/>
          <w:lang w:val="hu-HU"/>
        </w:rPr>
        <w:t>melanóma</w:t>
      </w:r>
    </w:p>
    <w:p w14:paraId="626CD5BD" w14:textId="77777777" w:rsidR="007561B4" w:rsidRDefault="007561B4" w:rsidP="007561B4">
      <w:pPr>
        <w:pStyle w:val="a3"/>
        <w:numPr>
          <w:ilvl w:val="0"/>
          <w:numId w:val="15"/>
        </w:numPr>
        <w:ind w:left="660" w:hanging="660"/>
        <w:rPr>
          <w:lang w:val="hu-HU"/>
        </w:rPr>
      </w:pPr>
      <w:r w:rsidRPr="00DA48CC">
        <w:rPr>
          <w:rFonts w:eastAsia="TimesNewRomanPSMT"/>
          <w:lang w:val="hu-HU"/>
        </w:rPr>
        <w:t>immunrendszeri zavarok</w:t>
      </w:r>
      <w:r>
        <w:rPr>
          <w:rFonts w:eastAsia="Times New Roman"/>
          <w:lang w:val="hu-HU"/>
        </w:rPr>
        <w:t>, amelyek érinthetik a tüdőt, a bőrt és a nyirokcsomókat (leggyakrabban szarkoidózisként jelentkezik</w:t>
      </w:r>
    </w:p>
    <w:p w14:paraId="0450A76E" w14:textId="77777777" w:rsidR="007561B4" w:rsidRDefault="007561B4" w:rsidP="007561B4">
      <w:pPr>
        <w:pStyle w:val="a3"/>
        <w:numPr>
          <w:ilvl w:val="0"/>
          <w:numId w:val="15"/>
        </w:numPr>
        <w:ind w:left="660" w:hanging="660"/>
        <w:rPr>
          <w:lang w:val="hu-HU"/>
        </w:rPr>
      </w:pPr>
      <w:r>
        <w:rPr>
          <w:rFonts w:eastAsia="Times New Roman"/>
          <w:lang w:val="hu-HU"/>
        </w:rPr>
        <w:t>érgyulladás (vaszkulitisz)</w:t>
      </w:r>
    </w:p>
    <w:p w14:paraId="2533CC6D" w14:textId="77777777" w:rsidR="007561B4" w:rsidRDefault="007561B4" w:rsidP="007561B4">
      <w:pPr>
        <w:pStyle w:val="a3"/>
        <w:numPr>
          <w:ilvl w:val="0"/>
          <w:numId w:val="15"/>
        </w:numPr>
        <w:ind w:left="660" w:hanging="660"/>
        <w:rPr>
          <w:lang w:val="hu-HU"/>
        </w:rPr>
      </w:pPr>
      <w:r>
        <w:rPr>
          <w:rFonts w:eastAsia="Times New Roman"/>
          <w:lang w:val="hu-HU"/>
        </w:rPr>
        <w:t>remegés</w:t>
      </w:r>
    </w:p>
    <w:p w14:paraId="4F36448B" w14:textId="77777777" w:rsidR="007561B4" w:rsidRDefault="007561B4" w:rsidP="007561B4">
      <w:pPr>
        <w:pStyle w:val="a3"/>
        <w:numPr>
          <w:ilvl w:val="0"/>
          <w:numId w:val="15"/>
        </w:numPr>
        <w:ind w:left="660" w:hanging="660"/>
        <w:rPr>
          <w:lang w:val="hu-HU"/>
        </w:rPr>
      </w:pPr>
      <w:r>
        <w:rPr>
          <w:rFonts w:eastAsia="Times New Roman"/>
          <w:lang w:val="hu-HU"/>
        </w:rPr>
        <w:t>idegbántalom (neuropátia)</w:t>
      </w:r>
    </w:p>
    <w:p w14:paraId="6FF06541" w14:textId="77777777" w:rsidR="007561B4" w:rsidRDefault="007561B4" w:rsidP="007561B4">
      <w:pPr>
        <w:pStyle w:val="a3"/>
        <w:numPr>
          <w:ilvl w:val="0"/>
          <w:numId w:val="15"/>
        </w:numPr>
        <w:ind w:left="660" w:hanging="660"/>
        <w:rPr>
          <w:lang w:val="hu-HU"/>
        </w:rPr>
      </w:pPr>
      <w:r>
        <w:rPr>
          <w:rFonts w:eastAsia="Times New Roman"/>
          <w:lang w:val="hu-HU"/>
        </w:rPr>
        <w:t>szélütés</w:t>
      </w:r>
    </w:p>
    <w:p w14:paraId="746969DE" w14:textId="77777777" w:rsidR="007561B4" w:rsidRDefault="007561B4" w:rsidP="007561B4">
      <w:pPr>
        <w:pStyle w:val="a3"/>
        <w:numPr>
          <w:ilvl w:val="0"/>
          <w:numId w:val="15"/>
        </w:numPr>
        <w:ind w:left="660" w:hanging="660"/>
        <w:rPr>
          <w:lang w:val="hu-HU"/>
        </w:rPr>
      </w:pPr>
      <w:r>
        <w:rPr>
          <w:rFonts w:eastAsia="Times New Roman"/>
          <w:lang w:val="hu-HU"/>
        </w:rPr>
        <w:t>halláscsökkenés, fülzúgás</w:t>
      </w:r>
    </w:p>
    <w:p w14:paraId="0B0F6236" w14:textId="77777777" w:rsidR="007561B4" w:rsidRDefault="007561B4" w:rsidP="007561B4">
      <w:pPr>
        <w:pStyle w:val="a3"/>
        <w:numPr>
          <w:ilvl w:val="0"/>
          <w:numId w:val="15"/>
        </w:numPr>
        <w:ind w:left="660" w:hanging="660"/>
        <w:rPr>
          <w:lang w:val="hu-HU"/>
        </w:rPr>
      </w:pPr>
      <w:r>
        <w:rPr>
          <w:rFonts w:eastAsia="Times New Roman"/>
          <w:lang w:val="hu-HU"/>
        </w:rPr>
        <w:t>szabálytalan szívverés érzése, mint például kimaradó szívverés</w:t>
      </w:r>
    </w:p>
    <w:p w14:paraId="68376F22" w14:textId="77777777" w:rsidR="007561B4" w:rsidRDefault="007561B4" w:rsidP="007561B4">
      <w:pPr>
        <w:pStyle w:val="a3"/>
        <w:numPr>
          <w:ilvl w:val="0"/>
          <w:numId w:val="15"/>
        </w:numPr>
        <w:ind w:left="660" w:hanging="660"/>
        <w:rPr>
          <w:lang w:val="hu-HU"/>
        </w:rPr>
      </w:pPr>
      <w:r>
        <w:rPr>
          <w:rFonts w:eastAsia="Times New Roman"/>
          <w:lang w:val="hu-HU"/>
        </w:rPr>
        <w:t>szívproblémák, amelyek például nehézlégzést vagy bokadagadást okozhatnak</w:t>
      </w:r>
    </w:p>
    <w:p w14:paraId="31AF4A10" w14:textId="77777777" w:rsidR="007561B4" w:rsidRDefault="007561B4" w:rsidP="007561B4">
      <w:pPr>
        <w:pStyle w:val="a3"/>
        <w:numPr>
          <w:ilvl w:val="0"/>
          <w:numId w:val="15"/>
        </w:numPr>
        <w:ind w:left="660" w:hanging="660"/>
        <w:rPr>
          <w:lang w:val="hu-HU"/>
        </w:rPr>
      </w:pPr>
      <w:r>
        <w:rPr>
          <w:rFonts w:eastAsia="Times New Roman"/>
          <w:lang w:val="hu-HU"/>
        </w:rPr>
        <w:t>szívroham</w:t>
      </w:r>
    </w:p>
    <w:p w14:paraId="2CB91211" w14:textId="77777777" w:rsidR="007561B4" w:rsidRDefault="007561B4" w:rsidP="007561B4">
      <w:pPr>
        <w:pStyle w:val="a3"/>
        <w:numPr>
          <w:ilvl w:val="0"/>
          <w:numId w:val="15"/>
        </w:numPr>
        <w:ind w:left="660" w:hanging="660"/>
        <w:rPr>
          <w:lang w:val="hu-HU"/>
        </w:rPr>
      </w:pPr>
      <w:r>
        <w:rPr>
          <w:rFonts w:eastAsia="Times New Roman"/>
          <w:lang w:val="hu-HU"/>
        </w:rPr>
        <w:t>kiöblösödés valamely nagy ütőérben, gyulladás és vérrögképződes valamelyik vénában, érelzáródás</w:t>
      </w:r>
    </w:p>
    <w:p w14:paraId="52F6F03D" w14:textId="77777777" w:rsidR="007561B4" w:rsidRDefault="007561B4" w:rsidP="007561B4">
      <w:pPr>
        <w:pStyle w:val="a3"/>
        <w:numPr>
          <w:ilvl w:val="0"/>
          <w:numId w:val="15"/>
        </w:numPr>
        <w:ind w:left="660" w:hanging="660"/>
        <w:rPr>
          <w:lang w:val="hu-HU"/>
        </w:rPr>
      </w:pPr>
      <w:r>
        <w:rPr>
          <w:rFonts w:eastAsia="Times New Roman"/>
          <w:lang w:val="hu-HU"/>
        </w:rPr>
        <w:t>nehézlégzest okozó tüdőbetegségek (beleértve a gyulladást is)</w:t>
      </w:r>
    </w:p>
    <w:p w14:paraId="666B3ABC" w14:textId="77777777" w:rsidR="007561B4" w:rsidRDefault="007561B4" w:rsidP="007561B4">
      <w:pPr>
        <w:pStyle w:val="a3"/>
        <w:numPr>
          <w:ilvl w:val="0"/>
          <w:numId w:val="15"/>
        </w:numPr>
        <w:ind w:left="660" w:hanging="660"/>
        <w:rPr>
          <w:lang w:val="hu-HU"/>
        </w:rPr>
      </w:pPr>
      <w:r>
        <w:rPr>
          <w:rFonts w:eastAsia="Times New Roman"/>
          <w:lang w:val="hu-HU"/>
        </w:rPr>
        <w:lastRenderedPageBreak/>
        <w:t>tüdőembólia (a tüdőt ellátó ér elzáródása)</w:t>
      </w:r>
    </w:p>
    <w:p w14:paraId="3AB931B0" w14:textId="77777777" w:rsidR="007561B4" w:rsidRDefault="007561B4" w:rsidP="007561B4">
      <w:pPr>
        <w:pStyle w:val="a3"/>
        <w:numPr>
          <w:ilvl w:val="0"/>
          <w:numId w:val="15"/>
        </w:numPr>
        <w:ind w:left="660" w:hanging="660"/>
        <w:rPr>
          <w:lang w:val="hu-HU"/>
        </w:rPr>
      </w:pPr>
      <w:r>
        <w:rPr>
          <w:rFonts w:eastAsia="Times New Roman"/>
          <w:lang w:val="hu-HU"/>
        </w:rPr>
        <w:t>pleurális folyadékgyülem (rendellenes folyadékgyülem a pleurális térben)</w:t>
      </w:r>
    </w:p>
    <w:p w14:paraId="6DB3FC49" w14:textId="77777777" w:rsidR="007561B4" w:rsidRDefault="007561B4" w:rsidP="007561B4">
      <w:pPr>
        <w:pStyle w:val="a3"/>
        <w:numPr>
          <w:ilvl w:val="0"/>
          <w:numId w:val="15"/>
        </w:numPr>
        <w:ind w:left="660" w:hanging="660"/>
        <w:rPr>
          <w:lang w:val="hu-HU"/>
        </w:rPr>
      </w:pPr>
      <w:r>
        <w:rPr>
          <w:rFonts w:eastAsia="Times New Roman"/>
          <w:lang w:val="hu-HU"/>
        </w:rPr>
        <w:t>hasnyálmirigy-gyulladás ami erős hasi fájdalmat es hátfájást okoz</w:t>
      </w:r>
    </w:p>
    <w:p w14:paraId="2CE26412" w14:textId="77777777" w:rsidR="007561B4" w:rsidRDefault="007561B4" w:rsidP="007561B4">
      <w:pPr>
        <w:pStyle w:val="a3"/>
        <w:numPr>
          <w:ilvl w:val="0"/>
          <w:numId w:val="15"/>
        </w:numPr>
        <w:ind w:left="660" w:hanging="660"/>
        <w:rPr>
          <w:lang w:val="hu-HU"/>
        </w:rPr>
      </w:pPr>
      <w:r>
        <w:rPr>
          <w:rFonts w:eastAsia="Times New Roman"/>
          <w:lang w:val="hu-HU"/>
        </w:rPr>
        <w:t>nyelési nehézség</w:t>
      </w:r>
    </w:p>
    <w:p w14:paraId="0425E195" w14:textId="77777777" w:rsidR="007561B4" w:rsidRDefault="007561B4" w:rsidP="007561B4">
      <w:pPr>
        <w:pStyle w:val="a3"/>
        <w:numPr>
          <w:ilvl w:val="0"/>
          <w:numId w:val="15"/>
        </w:numPr>
        <w:ind w:left="660" w:hanging="660"/>
        <w:rPr>
          <w:lang w:val="hu-HU"/>
        </w:rPr>
      </w:pPr>
      <w:r>
        <w:rPr>
          <w:rFonts w:eastAsia="Times New Roman"/>
          <w:lang w:val="hu-HU"/>
        </w:rPr>
        <w:t>az arc feldagadása</w:t>
      </w:r>
    </w:p>
    <w:p w14:paraId="3C4BB8D7" w14:textId="77777777" w:rsidR="007561B4" w:rsidRDefault="007561B4" w:rsidP="007561B4">
      <w:pPr>
        <w:pStyle w:val="a3"/>
        <w:numPr>
          <w:ilvl w:val="0"/>
          <w:numId w:val="15"/>
        </w:numPr>
        <w:ind w:left="660" w:hanging="660"/>
        <w:rPr>
          <w:lang w:val="hu-HU"/>
        </w:rPr>
      </w:pPr>
      <w:r>
        <w:rPr>
          <w:rFonts w:eastAsia="Times New Roman"/>
          <w:lang w:val="hu-HU"/>
        </w:rPr>
        <w:t>epehólyaggyulladás, epehólyagkő</w:t>
      </w:r>
    </w:p>
    <w:p w14:paraId="3FFEF449" w14:textId="77777777" w:rsidR="007561B4" w:rsidRDefault="007561B4" w:rsidP="007561B4">
      <w:pPr>
        <w:pStyle w:val="a3"/>
        <w:numPr>
          <w:ilvl w:val="0"/>
          <w:numId w:val="15"/>
        </w:numPr>
        <w:ind w:left="660" w:hanging="660"/>
        <w:rPr>
          <w:lang w:val="hu-HU"/>
        </w:rPr>
      </w:pPr>
      <w:r>
        <w:rPr>
          <w:rFonts w:eastAsia="Times New Roman"/>
          <w:lang w:val="hu-HU"/>
        </w:rPr>
        <w:t>zsírmáj</w:t>
      </w:r>
    </w:p>
    <w:p w14:paraId="32EE68BD" w14:textId="77777777" w:rsidR="007561B4" w:rsidRDefault="007561B4" w:rsidP="007561B4">
      <w:pPr>
        <w:pStyle w:val="a3"/>
        <w:numPr>
          <w:ilvl w:val="0"/>
          <w:numId w:val="15"/>
        </w:numPr>
        <w:ind w:left="660" w:hanging="660"/>
        <w:rPr>
          <w:lang w:val="hu-HU"/>
        </w:rPr>
      </w:pPr>
      <w:r>
        <w:rPr>
          <w:rFonts w:eastAsia="Times New Roman"/>
          <w:lang w:val="hu-HU"/>
        </w:rPr>
        <w:t>éjszakai verítékezés</w:t>
      </w:r>
    </w:p>
    <w:p w14:paraId="7F34FACA" w14:textId="77777777" w:rsidR="007561B4" w:rsidRDefault="007561B4" w:rsidP="007561B4">
      <w:pPr>
        <w:pStyle w:val="a3"/>
        <w:numPr>
          <w:ilvl w:val="0"/>
          <w:numId w:val="15"/>
        </w:numPr>
        <w:ind w:left="660" w:hanging="660"/>
        <w:rPr>
          <w:lang w:val="hu-HU"/>
        </w:rPr>
      </w:pPr>
      <w:r>
        <w:rPr>
          <w:rFonts w:eastAsia="Times New Roman"/>
          <w:lang w:val="hu-HU"/>
        </w:rPr>
        <w:t xml:space="preserve">hegképződés </w:t>
      </w:r>
    </w:p>
    <w:p w14:paraId="2E86194F" w14:textId="77777777" w:rsidR="007561B4" w:rsidRDefault="007561B4" w:rsidP="007561B4">
      <w:pPr>
        <w:pStyle w:val="a3"/>
        <w:numPr>
          <w:ilvl w:val="0"/>
          <w:numId w:val="15"/>
        </w:numPr>
        <w:ind w:left="660" w:hanging="660"/>
        <w:rPr>
          <w:lang w:val="hu-HU"/>
        </w:rPr>
      </w:pPr>
      <w:r>
        <w:rPr>
          <w:rFonts w:eastAsia="Times New Roman"/>
          <w:lang w:val="hu-HU"/>
        </w:rPr>
        <w:t>az izomszövet kóros szétesése</w:t>
      </w:r>
    </w:p>
    <w:p w14:paraId="6985C456" w14:textId="77777777" w:rsidR="007561B4" w:rsidRDefault="007561B4" w:rsidP="007561B4">
      <w:pPr>
        <w:pStyle w:val="a3"/>
        <w:numPr>
          <w:ilvl w:val="0"/>
          <w:numId w:val="15"/>
        </w:numPr>
        <w:ind w:left="660" w:hanging="660"/>
        <w:rPr>
          <w:rFonts w:eastAsia="Times New Roman"/>
          <w:spacing w:val="-1"/>
          <w:lang w:val="hu-HU"/>
        </w:rPr>
      </w:pPr>
      <w:r>
        <w:rPr>
          <w:rFonts w:eastAsia="Times New Roman"/>
          <w:lang w:val="hu-HU"/>
        </w:rPr>
        <w:t>szisztémás lupusz eritematózusz (beleértve a bőr, a szív, a tüdő, az ízületek és más szervrendszerek gyulladását)</w:t>
      </w:r>
    </w:p>
    <w:p w14:paraId="4BCA12E0" w14:textId="77777777" w:rsidR="007561B4" w:rsidRDefault="007561B4" w:rsidP="007561B4">
      <w:pPr>
        <w:pStyle w:val="a3"/>
        <w:numPr>
          <w:ilvl w:val="0"/>
          <w:numId w:val="15"/>
        </w:numPr>
        <w:ind w:left="660" w:hanging="660"/>
        <w:rPr>
          <w:lang w:val="hu-HU"/>
        </w:rPr>
      </w:pPr>
      <w:r>
        <w:rPr>
          <w:rFonts w:eastAsia="Times New Roman"/>
          <w:lang w:val="hu-HU"/>
        </w:rPr>
        <w:t>az alvás megszakadása</w:t>
      </w:r>
    </w:p>
    <w:p w14:paraId="2242E9FA" w14:textId="77777777" w:rsidR="007561B4" w:rsidRDefault="007561B4" w:rsidP="007561B4">
      <w:pPr>
        <w:pStyle w:val="a3"/>
        <w:numPr>
          <w:ilvl w:val="0"/>
          <w:numId w:val="15"/>
        </w:numPr>
        <w:ind w:left="660" w:hanging="660"/>
        <w:rPr>
          <w:lang w:val="hu-HU"/>
        </w:rPr>
      </w:pPr>
      <w:r>
        <w:rPr>
          <w:rFonts w:eastAsia="Times New Roman"/>
          <w:lang w:val="hu-HU"/>
        </w:rPr>
        <w:t>merevedési zavar</w:t>
      </w:r>
    </w:p>
    <w:p w14:paraId="7C16E40C" w14:textId="77777777" w:rsidR="007561B4" w:rsidRDefault="007561B4" w:rsidP="007561B4">
      <w:pPr>
        <w:pStyle w:val="a3"/>
        <w:numPr>
          <w:ilvl w:val="0"/>
          <w:numId w:val="15"/>
        </w:numPr>
        <w:ind w:left="660" w:hanging="660"/>
        <w:rPr>
          <w:lang w:val="hu-HU"/>
        </w:rPr>
      </w:pPr>
      <w:r>
        <w:rPr>
          <w:rFonts w:eastAsia="Times New Roman"/>
          <w:lang w:val="hu-HU"/>
        </w:rPr>
        <w:t>gyulladások</w:t>
      </w:r>
    </w:p>
    <w:p w14:paraId="1537A476" w14:textId="77777777" w:rsidR="007561B4" w:rsidRDefault="007561B4" w:rsidP="007561B4">
      <w:pPr>
        <w:spacing w:before="13" w:line="240" w:lineRule="exact"/>
        <w:rPr>
          <w:sz w:val="24"/>
          <w:szCs w:val="24"/>
          <w:lang w:val="hu-HU"/>
        </w:rPr>
      </w:pPr>
    </w:p>
    <w:p w14:paraId="12ACFF56" w14:textId="77777777" w:rsidR="007561B4" w:rsidRDefault="007561B4" w:rsidP="007561B4">
      <w:pPr>
        <w:pStyle w:val="a3"/>
        <w:rPr>
          <w:lang w:val="hu-HU"/>
        </w:rPr>
      </w:pPr>
      <w:r>
        <w:rPr>
          <w:rFonts w:eastAsia="Times New Roman"/>
          <w:b/>
          <w:bCs/>
          <w:lang w:val="hu-HU"/>
        </w:rPr>
        <w:t xml:space="preserve">Ritka </w:t>
      </w:r>
      <w:r>
        <w:rPr>
          <w:rFonts w:eastAsia="Times New Roman"/>
          <w:lang w:val="hu-HU"/>
        </w:rPr>
        <w:t>(1000 beteg közül legfeljebb 1-nél kialakuló)</w:t>
      </w:r>
    </w:p>
    <w:p w14:paraId="11CC5020" w14:textId="77777777" w:rsidR="007561B4" w:rsidRDefault="007561B4" w:rsidP="007561B4">
      <w:pPr>
        <w:spacing w:before="12" w:line="240" w:lineRule="exact"/>
        <w:rPr>
          <w:sz w:val="24"/>
          <w:szCs w:val="24"/>
          <w:lang w:val="hu-HU"/>
        </w:rPr>
      </w:pPr>
    </w:p>
    <w:p w14:paraId="662A92D8" w14:textId="77777777" w:rsidR="007561B4" w:rsidRDefault="007561B4" w:rsidP="007561B4">
      <w:pPr>
        <w:pStyle w:val="a3"/>
        <w:numPr>
          <w:ilvl w:val="0"/>
          <w:numId w:val="15"/>
        </w:numPr>
        <w:ind w:left="660" w:hanging="660"/>
        <w:rPr>
          <w:lang w:val="hu-HU"/>
        </w:rPr>
      </w:pPr>
      <w:r>
        <w:rPr>
          <w:rFonts w:eastAsia="Times New Roman"/>
          <w:lang w:val="hu-HU"/>
        </w:rPr>
        <w:t>leukémia (fehérvérűség, a vérképző rendszer daganata, ami a csontvelőt érinti)</w:t>
      </w:r>
    </w:p>
    <w:p w14:paraId="0A5063A8" w14:textId="77777777" w:rsidR="007561B4" w:rsidRDefault="007561B4" w:rsidP="007561B4">
      <w:pPr>
        <w:pStyle w:val="a3"/>
        <w:numPr>
          <w:ilvl w:val="0"/>
          <w:numId w:val="15"/>
        </w:numPr>
        <w:ind w:left="660" w:hanging="660"/>
        <w:rPr>
          <w:lang w:val="hu-HU"/>
        </w:rPr>
      </w:pPr>
      <w:r>
        <w:rPr>
          <w:rFonts w:eastAsia="Times New Roman"/>
          <w:lang w:val="hu-HU"/>
        </w:rPr>
        <w:t>súlyos, sokkot okozó allergiás reakció</w:t>
      </w:r>
    </w:p>
    <w:p w14:paraId="490BC8D2" w14:textId="77777777" w:rsidR="007561B4" w:rsidRDefault="007561B4" w:rsidP="007561B4">
      <w:pPr>
        <w:pStyle w:val="a3"/>
        <w:numPr>
          <w:ilvl w:val="0"/>
          <w:numId w:val="15"/>
        </w:numPr>
        <w:ind w:left="660" w:hanging="660"/>
        <w:rPr>
          <w:lang w:val="hu-HU"/>
        </w:rPr>
      </w:pPr>
      <w:r>
        <w:rPr>
          <w:rFonts w:eastAsia="Times New Roman"/>
          <w:lang w:val="hu-HU"/>
        </w:rPr>
        <w:t>szklerózis multiplex</w:t>
      </w:r>
    </w:p>
    <w:p w14:paraId="6424013F" w14:textId="77777777" w:rsidR="007561B4" w:rsidRDefault="007561B4" w:rsidP="007561B4">
      <w:pPr>
        <w:pStyle w:val="a3"/>
        <w:numPr>
          <w:ilvl w:val="0"/>
          <w:numId w:val="15"/>
        </w:numPr>
        <w:ind w:left="660" w:hanging="660"/>
        <w:rPr>
          <w:lang w:val="hu-HU"/>
        </w:rPr>
      </w:pPr>
      <w:r>
        <w:rPr>
          <w:rFonts w:eastAsia="Times New Roman"/>
          <w:lang w:val="hu-HU"/>
        </w:rPr>
        <w:t>ideggyógyászati betegségek (például a látóideg gyulladása vagy Guillain–Barré-szindróma, ami izomgyengeséget, érzészavart, a karok és a felsőtest zsibbadását okozhatja)</w:t>
      </w:r>
    </w:p>
    <w:p w14:paraId="5450A960" w14:textId="77777777" w:rsidR="007561B4" w:rsidRDefault="007561B4" w:rsidP="007561B4">
      <w:pPr>
        <w:pStyle w:val="a3"/>
        <w:numPr>
          <w:ilvl w:val="0"/>
          <w:numId w:val="15"/>
        </w:numPr>
        <w:ind w:left="660" w:hanging="660"/>
        <w:rPr>
          <w:lang w:val="hu-HU"/>
        </w:rPr>
      </w:pPr>
      <w:r>
        <w:rPr>
          <w:rFonts w:eastAsia="Times New Roman"/>
          <w:lang w:val="hu-HU"/>
        </w:rPr>
        <w:t>szívleállás</w:t>
      </w:r>
    </w:p>
    <w:p w14:paraId="357E9966" w14:textId="77777777" w:rsidR="007561B4" w:rsidRDefault="007561B4" w:rsidP="007561B4">
      <w:pPr>
        <w:pStyle w:val="a3"/>
        <w:numPr>
          <w:ilvl w:val="0"/>
          <w:numId w:val="15"/>
        </w:numPr>
        <w:ind w:left="660" w:hanging="660"/>
        <w:rPr>
          <w:lang w:val="hu-HU"/>
        </w:rPr>
      </w:pPr>
      <w:r>
        <w:rPr>
          <w:rFonts w:eastAsia="Times New Roman"/>
          <w:lang w:val="hu-HU"/>
        </w:rPr>
        <w:t>tüdőfibrózis (tüdőhegesedés)</w:t>
      </w:r>
    </w:p>
    <w:p w14:paraId="54CFA982" w14:textId="77777777" w:rsidR="007561B4" w:rsidRDefault="007561B4" w:rsidP="007561B4">
      <w:pPr>
        <w:pStyle w:val="a3"/>
        <w:numPr>
          <w:ilvl w:val="0"/>
          <w:numId w:val="15"/>
        </w:numPr>
        <w:ind w:left="660" w:hanging="660"/>
        <w:rPr>
          <w:lang w:val="hu-HU"/>
        </w:rPr>
      </w:pPr>
      <w:r w:rsidRPr="00545FC6">
        <w:rPr>
          <w:lang w:val="hu-HU"/>
        </w:rPr>
        <w:t>bél átlyukadás</w:t>
      </w:r>
    </w:p>
    <w:p w14:paraId="3DA6B6B2" w14:textId="77777777" w:rsidR="007561B4" w:rsidRDefault="007561B4" w:rsidP="007561B4">
      <w:pPr>
        <w:pStyle w:val="a3"/>
        <w:numPr>
          <w:ilvl w:val="0"/>
          <w:numId w:val="15"/>
        </w:numPr>
        <w:ind w:left="660" w:hanging="660"/>
        <w:rPr>
          <w:lang w:val="hu-HU"/>
        </w:rPr>
      </w:pPr>
      <w:r>
        <w:rPr>
          <w:rFonts w:eastAsia="Times New Roman"/>
          <w:lang w:val="hu-HU"/>
        </w:rPr>
        <w:t>májgyulladás</w:t>
      </w:r>
    </w:p>
    <w:p w14:paraId="3FBB95AB" w14:textId="77777777" w:rsidR="007561B4" w:rsidRDefault="007561B4" w:rsidP="007561B4">
      <w:pPr>
        <w:pStyle w:val="a3"/>
        <w:numPr>
          <w:ilvl w:val="0"/>
          <w:numId w:val="15"/>
        </w:numPr>
        <w:ind w:left="660" w:hanging="660"/>
        <w:rPr>
          <w:lang w:val="hu-HU"/>
        </w:rPr>
      </w:pPr>
      <w:r>
        <w:rPr>
          <w:rFonts w:eastAsia="Times New Roman"/>
          <w:lang w:val="hu-HU"/>
        </w:rPr>
        <w:t>B típusú fertőző májgyulladás kiújulása</w:t>
      </w:r>
    </w:p>
    <w:p w14:paraId="1A699425" w14:textId="77777777" w:rsidR="007561B4" w:rsidRDefault="007561B4" w:rsidP="007561B4">
      <w:pPr>
        <w:pStyle w:val="a3"/>
        <w:numPr>
          <w:ilvl w:val="0"/>
          <w:numId w:val="15"/>
        </w:numPr>
        <w:ind w:left="660" w:hanging="660"/>
        <w:rPr>
          <w:lang w:val="hu-HU"/>
        </w:rPr>
      </w:pPr>
      <w:r>
        <w:rPr>
          <w:rFonts w:eastAsia="Times New Roman"/>
          <w:lang w:val="hu-HU"/>
        </w:rPr>
        <w:t>autoimmun májgyulladás (a máj gyulladása, melyet a saját immunrendszer vált ki)</w:t>
      </w:r>
    </w:p>
    <w:p w14:paraId="5F650CCE" w14:textId="77777777" w:rsidR="007561B4" w:rsidRDefault="007561B4" w:rsidP="007561B4">
      <w:pPr>
        <w:pStyle w:val="a3"/>
        <w:numPr>
          <w:ilvl w:val="0"/>
          <w:numId w:val="15"/>
        </w:numPr>
        <w:ind w:left="660" w:hanging="660"/>
        <w:rPr>
          <w:lang w:val="hu-HU"/>
        </w:rPr>
      </w:pPr>
      <w:r>
        <w:rPr>
          <w:rFonts w:eastAsia="Times New Roman"/>
          <w:lang w:val="hu-HU"/>
        </w:rPr>
        <w:t>a bőrben található erek gyulladása (kután vaszkulitisz)</w:t>
      </w:r>
    </w:p>
    <w:p w14:paraId="42A931F9" w14:textId="77777777" w:rsidR="007561B4" w:rsidRDefault="007561B4" w:rsidP="007561B4">
      <w:pPr>
        <w:pStyle w:val="a3"/>
        <w:numPr>
          <w:ilvl w:val="0"/>
          <w:numId w:val="15"/>
        </w:numPr>
        <w:ind w:left="660" w:hanging="660"/>
        <w:rPr>
          <w:lang w:val="hu-HU"/>
        </w:rPr>
      </w:pPr>
      <w:r>
        <w:rPr>
          <w:rFonts w:eastAsia="Times New Roman"/>
          <w:lang w:val="hu-HU"/>
        </w:rPr>
        <w:t>Stevens–Johnson-szindróma (korai tünetei a rossz közérzet, láz, fejfájás és bőrkiütés)</w:t>
      </w:r>
    </w:p>
    <w:p w14:paraId="6FEEEFF3" w14:textId="77777777" w:rsidR="007561B4" w:rsidRDefault="007561B4" w:rsidP="007561B4">
      <w:pPr>
        <w:pStyle w:val="a3"/>
        <w:numPr>
          <w:ilvl w:val="0"/>
          <w:numId w:val="15"/>
        </w:numPr>
        <w:ind w:left="660" w:hanging="660"/>
        <w:rPr>
          <w:lang w:val="hu-HU"/>
        </w:rPr>
      </w:pPr>
      <w:r>
        <w:rPr>
          <w:rFonts w:eastAsia="Times New Roman"/>
          <w:lang w:val="hu-HU"/>
        </w:rPr>
        <w:t>arcduzzanat, amit allergiás reakció kísér</w:t>
      </w:r>
    </w:p>
    <w:p w14:paraId="3C783CF5" w14:textId="77777777" w:rsidR="007561B4" w:rsidRDefault="007561B4" w:rsidP="007561B4">
      <w:pPr>
        <w:pStyle w:val="a3"/>
        <w:numPr>
          <w:ilvl w:val="0"/>
          <w:numId w:val="15"/>
        </w:numPr>
        <w:ind w:left="660" w:hanging="660"/>
        <w:rPr>
          <w:lang w:val="hu-HU"/>
        </w:rPr>
      </w:pPr>
      <w:r>
        <w:rPr>
          <w:rFonts w:eastAsia="Times New Roman"/>
          <w:lang w:val="hu-HU"/>
        </w:rPr>
        <w:t>gyulladásos bőrkiütés (eritéma multiforme)</w:t>
      </w:r>
    </w:p>
    <w:p w14:paraId="6BC74A42" w14:textId="77777777" w:rsidR="007561B4" w:rsidRDefault="007561B4" w:rsidP="007561B4">
      <w:pPr>
        <w:pStyle w:val="a3"/>
        <w:numPr>
          <w:ilvl w:val="0"/>
          <w:numId w:val="15"/>
        </w:numPr>
        <w:ind w:left="660" w:hanging="660"/>
        <w:rPr>
          <w:lang w:val="hu-HU"/>
        </w:rPr>
      </w:pPr>
      <w:r>
        <w:rPr>
          <w:rFonts w:eastAsia="Times New Roman"/>
          <w:lang w:val="hu-HU"/>
        </w:rPr>
        <w:t>lupusz-szerű szindróma</w:t>
      </w:r>
    </w:p>
    <w:p w14:paraId="5778BC36" w14:textId="77777777" w:rsidR="007561B4" w:rsidRDefault="007561B4" w:rsidP="007561B4">
      <w:pPr>
        <w:pStyle w:val="a3"/>
        <w:numPr>
          <w:ilvl w:val="0"/>
          <w:numId w:val="15"/>
        </w:numPr>
        <w:ind w:left="660" w:hanging="660"/>
        <w:rPr>
          <w:lang w:val="hu-HU"/>
        </w:rPr>
      </w:pPr>
      <w:r>
        <w:rPr>
          <w:rFonts w:eastAsia="Times New Roman"/>
          <w:lang w:val="hu-HU"/>
        </w:rPr>
        <w:t>helyi bőrduzzanat (angioödéma)</w:t>
      </w:r>
    </w:p>
    <w:p w14:paraId="4DD955BC" w14:textId="77777777" w:rsidR="007561B4" w:rsidRDefault="007561B4" w:rsidP="007561B4">
      <w:pPr>
        <w:pStyle w:val="a3"/>
        <w:numPr>
          <w:ilvl w:val="0"/>
          <w:numId w:val="15"/>
        </w:numPr>
        <w:ind w:left="660" w:hanging="660"/>
        <w:rPr>
          <w:lang w:val="hu-HU"/>
        </w:rPr>
      </w:pPr>
      <w:r>
        <w:rPr>
          <w:rFonts w:eastAsia="Times New Roman"/>
          <w:lang w:val="hu-HU"/>
        </w:rPr>
        <w:t>lichenoid bőrreakció (viszkető, vöröses-lilás bőrkiütés).</w:t>
      </w:r>
    </w:p>
    <w:p w14:paraId="25BAD947" w14:textId="77777777" w:rsidR="007561B4" w:rsidRDefault="007561B4" w:rsidP="007561B4">
      <w:pPr>
        <w:spacing w:before="10" w:line="240" w:lineRule="exact"/>
        <w:rPr>
          <w:sz w:val="24"/>
          <w:szCs w:val="24"/>
          <w:lang w:val="hu-HU"/>
        </w:rPr>
      </w:pPr>
    </w:p>
    <w:p w14:paraId="0C2E3351" w14:textId="77777777" w:rsidR="007561B4" w:rsidRDefault="007561B4" w:rsidP="007561B4">
      <w:pPr>
        <w:pStyle w:val="a3"/>
        <w:rPr>
          <w:lang w:val="hu-HU"/>
        </w:rPr>
      </w:pPr>
      <w:r>
        <w:rPr>
          <w:rFonts w:eastAsia="Times New Roman"/>
          <w:b/>
          <w:bCs/>
          <w:lang w:val="hu-HU"/>
        </w:rPr>
        <w:t>Nem ismert</w:t>
      </w:r>
      <w:r>
        <w:rPr>
          <w:rFonts w:eastAsia="Times New Roman"/>
          <w:lang w:val="hu-HU"/>
        </w:rPr>
        <w:t xml:space="preserve"> (a gyakoriság a rendelkezésre álló adatokból nem állapítható meg)</w:t>
      </w:r>
    </w:p>
    <w:p w14:paraId="63735894" w14:textId="77777777" w:rsidR="007561B4" w:rsidRDefault="007561B4" w:rsidP="007561B4">
      <w:pPr>
        <w:spacing w:before="14" w:line="240" w:lineRule="exact"/>
        <w:rPr>
          <w:sz w:val="24"/>
          <w:szCs w:val="24"/>
          <w:lang w:val="hu-HU"/>
        </w:rPr>
      </w:pPr>
    </w:p>
    <w:p w14:paraId="5B1A21C5" w14:textId="77777777" w:rsidR="007561B4" w:rsidRDefault="007561B4" w:rsidP="007561B4">
      <w:pPr>
        <w:pStyle w:val="a3"/>
        <w:numPr>
          <w:ilvl w:val="0"/>
          <w:numId w:val="15"/>
        </w:numPr>
        <w:ind w:left="660" w:hanging="660"/>
        <w:rPr>
          <w:lang w:val="hu-HU"/>
        </w:rPr>
      </w:pPr>
      <w:r>
        <w:rPr>
          <w:rFonts w:eastAsia="Times New Roman"/>
          <w:lang w:val="hu-HU"/>
        </w:rPr>
        <w:t>hepatoszplénikus T-sejtes limfóma (ritka vérrák, amely gyakran halálos kimenetelű)</w:t>
      </w:r>
    </w:p>
    <w:p w14:paraId="148E7403" w14:textId="77777777" w:rsidR="007561B4" w:rsidRDefault="007561B4" w:rsidP="007561B4">
      <w:pPr>
        <w:pStyle w:val="a3"/>
        <w:numPr>
          <w:ilvl w:val="0"/>
          <w:numId w:val="15"/>
        </w:numPr>
        <w:ind w:left="660" w:hanging="660"/>
        <w:rPr>
          <w:lang w:val="hu-HU"/>
        </w:rPr>
      </w:pPr>
      <w:r>
        <w:rPr>
          <w:rFonts w:eastAsia="Times New Roman"/>
          <w:lang w:val="hu-HU"/>
        </w:rPr>
        <w:t>Merkel-sejtes karcinóma (a bőrrák egyik típusa)</w:t>
      </w:r>
    </w:p>
    <w:p w14:paraId="38054AB7" w14:textId="77777777" w:rsidR="007561B4" w:rsidRDefault="007561B4" w:rsidP="007561B4">
      <w:pPr>
        <w:pStyle w:val="a3"/>
        <w:numPr>
          <w:ilvl w:val="0"/>
          <w:numId w:val="15"/>
        </w:numPr>
        <w:ind w:left="660" w:hanging="660"/>
        <w:rPr>
          <w:lang w:val="hu-HU"/>
        </w:rPr>
      </w:pPr>
      <w:r>
        <w:rPr>
          <w:rFonts w:eastAsia="Times New Roman"/>
          <w:lang w:val="hu-HU"/>
        </w:rPr>
        <w:t>Kaposi-szarkóma, egy ritka rák, amely humán herpeszvírus 8-fertőzéssel függ össze. A Kaposi szarkóma leggyakrabban lila lézióként jelenik meg a bőrön.</w:t>
      </w:r>
    </w:p>
    <w:p w14:paraId="3E102E17" w14:textId="77777777" w:rsidR="007561B4" w:rsidRDefault="007561B4" w:rsidP="007561B4">
      <w:pPr>
        <w:pStyle w:val="a3"/>
        <w:numPr>
          <w:ilvl w:val="0"/>
          <w:numId w:val="15"/>
        </w:numPr>
        <w:ind w:left="660" w:hanging="660"/>
        <w:rPr>
          <w:lang w:val="hu-HU"/>
        </w:rPr>
      </w:pPr>
      <w:r>
        <w:rPr>
          <w:rFonts w:eastAsia="Times New Roman"/>
          <w:lang w:val="hu-HU"/>
        </w:rPr>
        <w:t>májelégtelenség</w:t>
      </w:r>
    </w:p>
    <w:p w14:paraId="0DC4F982" w14:textId="77777777" w:rsidR="007561B4" w:rsidRPr="00526958" w:rsidRDefault="007561B4" w:rsidP="007561B4">
      <w:pPr>
        <w:pStyle w:val="a3"/>
        <w:numPr>
          <w:ilvl w:val="0"/>
          <w:numId w:val="15"/>
        </w:numPr>
        <w:ind w:left="660" w:hanging="660"/>
        <w:rPr>
          <w:lang w:val="hu-HU"/>
        </w:rPr>
      </w:pPr>
      <w:r>
        <w:rPr>
          <w:rFonts w:eastAsia="Times New Roman"/>
          <w:lang w:val="hu-HU"/>
        </w:rPr>
        <w:t>dermatomiozitisz nevű betegség (izomgyengeséghez társult bőrkiütés formájában jelentkezik) súlyosbodása</w:t>
      </w:r>
    </w:p>
    <w:p w14:paraId="58A498D6" w14:textId="18BEF4D7" w:rsidR="007561B4" w:rsidRDefault="007561B4" w:rsidP="007561B4">
      <w:pPr>
        <w:pStyle w:val="a3"/>
        <w:numPr>
          <w:ilvl w:val="0"/>
          <w:numId w:val="15"/>
        </w:numPr>
        <w:ind w:left="660" w:hanging="660"/>
        <w:rPr>
          <w:lang w:val="hu-HU"/>
        </w:rPr>
      </w:pPr>
      <w:r w:rsidRPr="00526958">
        <w:rPr>
          <w:rFonts w:eastAsia="Times New Roman"/>
          <w:lang w:val="hu-HU"/>
        </w:rPr>
        <w:t>Test</w:t>
      </w:r>
      <w:r w:rsidR="000334EC">
        <w:rPr>
          <w:rFonts w:eastAsia="Times New Roman"/>
          <w:lang w:val="hu-HU"/>
        </w:rPr>
        <w:t>tömegnövekedés</w:t>
      </w:r>
      <w:r w:rsidRPr="00526958">
        <w:rPr>
          <w:rFonts w:eastAsia="Times New Roman"/>
          <w:lang w:val="hu-HU"/>
        </w:rPr>
        <w:t xml:space="preserve"> (a legtöbb betegnél ez kismértékű volt)</w:t>
      </w:r>
    </w:p>
    <w:p w14:paraId="3D8834D1" w14:textId="77777777" w:rsidR="007561B4" w:rsidRDefault="007561B4" w:rsidP="007561B4">
      <w:pPr>
        <w:pStyle w:val="a3"/>
        <w:numPr>
          <w:ilvl w:val="0"/>
          <w:numId w:val="0"/>
        </w:numPr>
        <w:rPr>
          <w:lang w:val="hu-HU"/>
        </w:rPr>
      </w:pPr>
    </w:p>
    <w:p w14:paraId="2D5EFF0F" w14:textId="77777777" w:rsidR="007561B4" w:rsidRDefault="007561B4" w:rsidP="007561B4">
      <w:pPr>
        <w:pStyle w:val="a3"/>
        <w:rPr>
          <w:lang w:val="hu-HU"/>
        </w:rPr>
      </w:pPr>
      <w:r>
        <w:rPr>
          <w:rFonts w:eastAsia="Times New Roman"/>
          <w:lang w:val="hu-HU"/>
        </w:rPr>
        <w:t>A Yuflyma alkalmazása során észlelt némelyik mellékhatás nem okoz tüneteket, és lehet, hogy csak vérvizsgálattal deríthető ki. Ezek köze tartozik:</w:t>
      </w:r>
    </w:p>
    <w:p w14:paraId="306BA0B7" w14:textId="77777777" w:rsidR="007561B4" w:rsidRDefault="007561B4" w:rsidP="007561B4">
      <w:pPr>
        <w:pStyle w:val="a3"/>
        <w:rPr>
          <w:lang w:val="hu-HU"/>
        </w:rPr>
      </w:pPr>
    </w:p>
    <w:p w14:paraId="2C016426" w14:textId="77777777" w:rsidR="007561B4" w:rsidRDefault="007561B4" w:rsidP="007561B4">
      <w:pPr>
        <w:pStyle w:val="a3"/>
        <w:rPr>
          <w:rFonts w:eastAsia="Times New Roman"/>
          <w:lang w:val="hu-HU"/>
        </w:rPr>
      </w:pPr>
      <w:r>
        <w:rPr>
          <w:rFonts w:eastAsia="Times New Roman"/>
          <w:b/>
          <w:bCs/>
          <w:spacing w:val="-1"/>
          <w:lang w:val="hu-HU"/>
        </w:rPr>
        <w:t xml:space="preserve">Nagyon gyakori </w:t>
      </w:r>
      <w:r>
        <w:rPr>
          <w:rFonts w:eastAsia="Times New Roman"/>
          <w:spacing w:val="-1"/>
          <w:lang w:val="hu-HU"/>
        </w:rPr>
        <w:t>(10 beteg közül több mint 1-nél kialakuló)</w:t>
      </w:r>
    </w:p>
    <w:p w14:paraId="4C6BCD36" w14:textId="77777777" w:rsidR="007561B4" w:rsidRDefault="007561B4" w:rsidP="007561B4">
      <w:pPr>
        <w:pStyle w:val="a3"/>
        <w:rPr>
          <w:lang w:val="hu-HU"/>
        </w:rPr>
      </w:pPr>
    </w:p>
    <w:p w14:paraId="5EAC6E6D" w14:textId="77777777" w:rsidR="007561B4" w:rsidRDefault="007561B4" w:rsidP="007561B4">
      <w:pPr>
        <w:pStyle w:val="a3"/>
        <w:numPr>
          <w:ilvl w:val="0"/>
          <w:numId w:val="15"/>
        </w:numPr>
        <w:ind w:left="660" w:hanging="660"/>
        <w:rPr>
          <w:lang w:val="hu-HU"/>
        </w:rPr>
      </w:pPr>
      <w:r>
        <w:rPr>
          <w:rFonts w:eastAsia="Times New Roman"/>
          <w:lang w:val="hu-HU"/>
        </w:rPr>
        <w:t>alacsony fehérvérsejtszám</w:t>
      </w:r>
    </w:p>
    <w:p w14:paraId="18153553" w14:textId="77777777" w:rsidR="007561B4" w:rsidRDefault="007561B4" w:rsidP="007561B4">
      <w:pPr>
        <w:pStyle w:val="a3"/>
        <w:numPr>
          <w:ilvl w:val="0"/>
          <w:numId w:val="15"/>
        </w:numPr>
        <w:ind w:left="660" w:hanging="660"/>
        <w:rPr>
          <w:lang w:val="hu-HU"/>
        </w:rPr>
      </w:pPr>
      <w:r>
        <w:rPr>
          <w:rFonts w:eastAsia="Times New Roman"/>
          <w:lang w:val="hu-HU"/>
        </w:rPr>
        <w:t>alacsony fehérvértestszám</w:t>
      </w:r>
    </w:p>
    <w:p w14:paraId="00AB6FF2" w14:textId="77777777" w:rsidR="007561B4" w:rsidRDefault="007561B4" w:rsidP="007561B4">
      <w:pPr>
        <w:pStyle w:val="a3"/>
        <w:numPr>
          <w:ilvl w:val="0"/>
          <w:numId w:val="15"/>
        </w:numPr>
        <w:ind w:left="660" w:hanging="660"/>
        <w:rPr>
          <w:lang w:val="hu-HU"/>
        </w:rPr>
      </w:pPr>
      <w:r>
        <w:rPr>
          <w:rFonts w:eastAsia="Times New Roman"/>
          <w:lang w:val="hu-HU"/>
        </w:rPr>
        <w:t>a vérzsírszint emelkedése</w:t>
      </w:r>
    </w:p>
    <w:p w14:paraId="4BF252A2" w14:textId="77777777" w:rsidR="007561B4" w:rsidRDefault="007561B4" w:rsidP="007561B4">
      <w:pPr>
        <w:pStyle w:val="a3"/>
        <w:numPr>
          <w:ilvl w:val="0"/>
          <w:numId w:val="15"/>
        </w:numPr>
        <w:ind w:left="660" w:hanging="660"/>
        <w:rPr>
          <w:lang w:val="hu-HU"/>
        </w:rPr>
      </w:pPr>
      <w:r>
        <w:rPr>
          <w:rFonts w:eastAsia="Times New Roman"/>
          <w:lang w:val="hu-HU"/>
        </w:rPr>
        <w:t>emelkedett májenzimszintek</w:t>
      </w:r>
    </w:p>
    <w:p w14:paraId="2A58E1C7" w14:textId="77777777" w:rsidR="007561B4" w:rsidRDefault="007561B4" w:rsidP="007561B4">
      <w:pPr>
        <w:spacing w:before="10" w:line="240" w:lineRule="exact"/>
        <w:rPr>
          <w:sz w:val="24"/>
          <w:szCs w:val="24"/>
          <w:lang w:val="hu-HU"/>
        </w:rPr>
      </w:pPr>
    </w:p>
    <w:p w14:paraId="2EDA54D4" w14:textId="77777777" w:rsidR="007561B4" w:rsidRDefault="007561B4" w:rsidP="007561B4">
      <w:pPr>
        <w:pStyle w:val="a3"/>
        <w:rPr>
          <w:lang w:val="hu-HU"/>
        </w:rPr>
      </w:pPr>
      <w:r>
        <w:rPr>
          <w:rFonts w:eastAsia="Times New Roman"/>
          <w:b/>
          <w:bCs/>
          <w:lang w:val="hu-HU"/>
        </w:rPr>
        <w:t xml:space="preserve">Gyakori </w:t>
      </w:r>
      <w:r>
        <w:rPr>
          <w:rFonts w:eastAsia="Times New Roman"/>
          <w:lang w:val="hu-HU"/>
        </w:rPr>
        <w:t>(10 beteg közül több mint 1-nél kialakuló)</w:t>
      </w:r>
    </w:p>
    <w:p w14:paraId="08F51213" w14:textId="77777777" w:rsidR="007561B4" w:rsidRDefault="007561B4" w:rsidP="007561B4">
      <w:pPr>
        <w:spacing w:before="14" w:line="240" w:lineRule="exact"/>
        <w:rPr>
          <w:sz w:val="24"/>
          <w:szCs w:val="24"/>
          <w:lang w:val="hu-HU"/>
        </w:rPr>
      </w:pPr>
    </w:p>
    <w:p w14:paraId="3CC31A33" w14:textId="77777777" w:rsidR="007561B4" w:rsidRDefault="007561B4" w:rsidP="007561B4">
      <w:pPr>
        <w:pStyle w:val="a3"/>
        <w:numPr>
          <w:ilvl w:val="0"/>
          <w:numId w:val="15"/>
        </w:numPr>
        <w:ind w:left="660" w:hanging="660"/>
        <w:rPr>
          <w:lang w:val="hu-HU"/>
        </w:rPr>
      </w:pPr>
      <w:r>
        <w:rPr>
          <w:rFonts w:eastAsia="Times New Roman"/>
          <w:lang w:val="hu-HU"/>
        </w:rPr>
        <w:t>alacsony fehérvérsejtszám</w:t>
      </w:r>
    </w:p>
    <w:p w14:paraId="23D0F251" w14:textId="77777777" w:rsidR="007561B4" w:rsidRDefault="007561B4" w:rsidP="007561B4">
      <w:pPr>
        <w:pStyle w:val="a3"/>
        <w:numPr>
          <w:ilvl w:val="0"/>
          <w:numId w:val="15"/>
        </w:numPr>
        <w:ind w:left="660" w:hanging="660"/>
        <w:rPr>
          <w:lang w:val="hu-HU"/>
        </w:rPr>
      </w:pPr>
      <w:r>
        <w:rPr>
          <w:rFonts w:eastAsia="Times New Roman"/>
          <w:lang w:val="hu-HU"/>
        </w:rPr>
        <w:t>alacsony vérlemezkeszám</w:t>
      </w:r>
    </w:p>
    <w:p w14:paraId="21ECD476" w14:textId="77777777" w:rsidR="007561B4" w:rsidRDefault="007561B4" w:rsidP="007561B4">
      <w:pPr>
        <w:pStyle w:val="a3"/>
        <w:numPr>
          <w:ilvl w:val="0"/>
          <w:numId w:val="15"/>
        </w:numPr>
        <w:ind w:left="660" w:hanging="660"/>
        <w:rPr>
          <w:lang w:val="hu-HU"/>
        </w:rPr>
      </w:pPr>
      <w:r>
        <w:rPr>
          <w:rFonts w:eastAsia="Times New Roman"/>
          <w:lang w:val="hu-HU"/>
        </w:rPr>
        <w:t>emelkedett húgysavszint a vérben</w:t>
      </w:r>
    </w:p>
    <w:p w14:paraId="159F6DD7" w14:textId="77777777" w:rsidR="007561B4" w:rsidRDefault="007561B4" w:rsidP="007561B4">
      <w:pPr>
        <w:pStyle w:val="a3"/>
        <w:numPr>
          <w:ilvl w:val="0"/>
          <w:numId w:val="15"/>
        </w:numPr>
        <w:ind w:left="660" w:hanging="660"/>
        <w:rPr>
          <w:lang w:val="hu-HU"/>
        </w:rPr>
      </w:pPr>
      <w:r>
        <w:rPr>
          <w:lang w:val="hu-HU"/>
        </w:rPr>
        <w:t>kóro</w:t>
      </w:r>
      <w:r>
        <w:rPr>
          <w:rFonts w:eastAsia="Times New Roman"/>
          <w:lang w:val="hu-HU"/>
        </w:rPr>
        <w:t>s nátriumszint a vérben</w:t>
      </w:r>
    </w:p>
    <w:p w14:paraId="204582B6" w14:textId="77777777" w:rsidR="007561B4" w:rsidRDefault="007561B4" w:rsidP="007561B4">
      <w:pPr>
        <w:pStyle w:val="a3"/>
        <w:numPr>
          <w:ilvl w:val="0"/>
          <w:numId w:val="15"/>
        </w:numPr>
        <w:ind w:left="660" w:hanging="660"/>
        <w:rPr>
          <w:lang w:val="hu-HU"/>
        </w:rPr>
      </w:pPr>
      <w:r>
        <w:rPr>
          <w:rFonts w:eastAsia="Times New Roman"/>
          <w:lang w:val="hu-HU"/>
        </w:rPr>
        <w:t>alacsony kalciumszint a vérben</w:t>
      </w:r>
    </w:p>
    <w:p w14:paraId="25B43D09" w14:textId="77777777" w:rsidR="007561B4" w:rsidRDefault="007561B4" w:rsidP="007561B4">
      <w:pPr>
        <w:pStyle w:val="a3"/>
        <w:numPr>
          <w:ilvl w:val="0"/>
          <w:numId w:val="15"/>
        </w:numPr>
        <w:ind w:left="660" w:hanging="660"/>
        <w:rPr>
          <w:lang w:val="hu-HU"/>
        </w:rPr>
      </w:pPr>
      <w:r>
        <w:rPr>
          <w:rFonts w:eastAsia="Times New Roman"/>
          <w:lang w:val="hu-HU"/>
        </w:rPr>
        <w:t>alacsony foszfátszint a vérben</w:t>
      </w:r>
    </w:p>
    <w:p w14:paraId="0E964F99" w14:textId="77777777" w:rsidR="007561B4" w:rsidRDefault="007561B4" w:rsidP="007561B4">
      <w:pPr>
        <w:pStyle w:val="a3"/>
        <w:numPr>
          <w:ilvl w:val="0"/>
          <w:numId w:val="15"/>
        </w:numPr>
        <w:ind w:left="660" w:hanging="660"/>
        <w:rPr>
          <w:lang w:val="hu-HU"/>
        </w:rPr>
      </w:pPr>
      <w:r>
        <w:rPr>
          <w:rFonts w:eastAsia="Times New Roman"/>
          <w:lang w:val="hu-HU"/>
        </w:rPr>
        <w:t>magas vércukorszint</w:t>
      </w:r>
    </w:p>
    <w:p w14:paraId="37786571" w14:textId="77777777" w:rsidR="007561B4" w:rsidRDefault="007561B4" w:rsidP="007561B4">
      <w:pPr>
        <w:pStyle w:val="a3"/>
        <w:numPr>
          <w:ilvl w:val="0"/>
          <w:numId w:val="15"/>
        </w:numPr>
        <w:ind w:left="660" w:hanging="660"/>
        <w:rPr>
          <w:lang w:val="hu-HU"/>
        </w:rPr>
      </w:pPr>
      <w:r>
        <w:rPr>
          <w:rFonts w:eastAsia="Times New Roman"/>
          <w:lang w:val="hu-HU"/>
        </w:rPr>
        <w:t>magas laktát-dehidrogenáz-szint a vérben</w:t>
      </w:r>
    </w:p>
    <w:p w14:paraId="20D8771F" w14:textId="77777777" w:rsidR="007561B4" w:rsidRDefault="007561B4" w:rsidP="007561B4">
      <w:pPr>
        <w:pStyle w:val="a3"/>
        <w:numPr>
          <w:ilvl w:val="0"/>
          <w:numId w:val="15"/>
        </w:numPr>
        <w:ind w:left="660" w:hanging="660"/>
        <w:rPr>
          <w:lang w:val="hu-HU"/>
        </w:rPr>
      </w:pPr>
      <w:r>
        <w:rPr>
          <w:rFonts w:eastAsia="Times New Roman"/>
          <w:lang w:val="hu-HU"/>
        </w:rPr>
        <w:t>autoantitestek megjelenése a vérben</w:t>
      </w:r>
    </w:p>
    <w:p w14:paraId="2B5E9649" w14:textId="77777777" w:rsidR="007561B4" w:rsidRDefault="007561B4" w:rsidP="007561B4">
      <w:pPr>
        <w:pStyle w:val="a3"/>
        <w:numPr>
          <w:ilvl w:val="0"/>
          <w:numId w:val="15"/>
        </w:numPr>
        <w:ind w:left="660" w:hanging="660"/>
        <w:rPr>
          <w:lang w:val="hu-HU"/>
        </w:rPr>
      </w:pPr>
      <w:r>
        <w:rPr>
          <w:rFonts w:eastAsia="Times New Roman"/>
          <w:lang w:val="hu-HU"/>
        </w:rPr>
        <w:t>alacsony káliumszint a vérben</w:t>
      </w:r>
    </w:p>
    <w:p w14:paraId="66B846EF" w14:textId="77777777" w:rsidR="007561B4" w:rsidRDefault="007561B4" w:rsidP="007561B4">
      <w:pPr>
        <w:spacing w:before="13" w:line="240" w:lineRule="exact"/>
        <w:rPr>
          <w:sz w:val="24"/>
          <w:szCs w:val="24"/>
          <w:lang w:val="hu-HU"/>
        </w:rPr>
      </w:pPr>
    </w:p>
    <w:p w14:paraId="4686258D" w14:textId="77777777" w:rsidR="007561B4" w:rsidRDefault="007561B4" w:rsidP="007561B4">
      <w:pPr>
        <w:rPr>
          <w:rFonts w:ascii="Times New Roman" w:eastAsia="Times New Roman" w:hAnsi="Times New Roman" w:cs="Times New Roman"/>
          <w:lang w:val="hu-HU"/>
        </w:rPr>
      </w:pPr>
      <w:r>
        <w:rPr>
          <w:rFonts w:ascii="Times New Roman" w:eastAsia="Times New Roman" w:hAnsi="Times New Roman" w:cs="Times New Roman"/>
          <w:b/>
          <w:bCs/>
          <w:spacing w:val="-1"/>
          <w:lang w:val="hu-HU"/>
        </w:rPr>
        <w:t xml:space="preserve">Nem gyakori </w:t>
      </w:r>
      <w:r>
        <w:rPr>
          <w:rFonts w:ascii="Times New Roman" w:eastAsia="Times New Roman" w:hAnsi="Times New Roman" w:cs="Times New Roman"/>
          <w:spacing w:val="-1"/>
          <w:lang w:val="hu-HU"/>
        </w:rPr>
        <w:t>(100 beteg közül legfeljebb 1-nél kialakuló)</w:t>
      </w:r>
    </w:p>
    <w:p w14:paraId="235B6D30" w14:textId="77777777" w:rsidR="007561B4" w:rsidRDefault="007561B4" w:rsidP="007561B4">
      <w:pPr>
        <w:spacing w:before="12" w:line="240" w:lineRule="exact"/>
        <w:rPr>
          <w:sz w:val="24"/>
          <w:szCs w:val="24"/>
          <w:lang w:val="hu-HU"/>
        </w:rPr>
      </w:pPr>
    </w:p>
    <w:p w14:paraId="0578918C" w14:textId="77777777" w:rsidR="007561B4" w:rsidRDefault="007561B4" w:rsidP="007561B4">
      <w:pPr>
        <w:pStyle w:val="a3"/>
        <w:numPr>
          <w:ilvl w:val="0"/>
          <w:numId w:val="15"/>
        </w:numPr>
        <w:ind w:left="660" w:hanging="660"/>
        <w:rPr>
          <w:lang w:val="hu-HU"/>
        </w:rPr>
      </w:pPr>
      <w:r>
        <w:rPr>
          <w:rFonts w:eastAsia="Times New Roman"/>
          <w:lang w:val="hu-HU"/>
        </w:rPr>
        <w:t>emelkedett bilirubinszint (májfunkciós vizsgálati eredmény)</w:t>
      </w:r>
    </w:p>
    <w:p w14:paraId="7D7469CB" w14:textId="77777777" w:rsidR="007561B4" w:rsidRDefault="007561B4" w:rsidP="007561B4">
      <w:pPr>
        <w:spacing w:before="13" w:line="240" w:lineRule="exact"/>
        <w:rPr>
          <w:sz w:val="24"/>
          <w:szCs w:val="24"/>
          <w:lang w:val="hu-HU"/>
        </w:rPr>
      </w:pPr>
    </w:p>
    <w:p w14:paraId="760B8AF3" w14:textId="77777777" w:rsidR="007561B4" w:rsidRDefault="007561B4" w:rsidP="007561B4">
      <w:pPr>
        <w:pStyle w:val="a3"/>
        <w:rPr>
          <w:lang w:val="hu-HU"/>
        </w:rPr>
      </w:pPr>
      <w:r>
        <w:rPr>
          <w:rFonts w:eastAsia="Times New Roman"/>
          <w:b/>
          <w:bCs/>
          <w:lang w:val="hu-HU"/>
        </w:rPr>
        <w:t xml:space="preserve">Ritka </w:t>
      </w:r>
      <w:r>
        <w:rPr>
          <w:rFonts w:eastAsia="Times New Roman"/>
          <w:lang w:val="hu-HU"/>
        </w:rPr>
        <w:t>(1000 beteg közül legfeljebb 1-nél kialakuló)</w:t>
      </w:r>
    </w:p>
    <w:p w14:paraId="33DE965F" w14:textId="77777777" w:rsidR="007561B4" w:rsidRDefault="007561B4" w:rsidP="007561B4">
      <w:pPr>
        <w:spacing w:before="14" w:line="240" w:lineRule="exact"/>
        <w:rPr>
          <w:sz w:val="24"/>
          <w:szCs w:val="24"/>
          <w:lang w:val="hu-HU"/>
        </w:rPr>
      </w:pPr>
    </w:p>
    <w:p w14:paraId="7D3B8B5B" w14:textId="77777777" w:rsidR="007561B4" w:rsidRDefault="007561B4" w:rsidP="007561B4">
      <w:pPr>
        <w:pStyle w:val="a3"/>
        <w:numPr>
          <w:ilvl w:val="0"/>
          <w:numId w:val="15"/>
        </w:numPr>
        <w:ind w:left="660" w:hanging="660"/>
        <w:rPr>
          <w:lang w:val="hu-HU"/>
        </w:rPr>
      </w:pPr>
      <w:r>
        <w:rPr>
          <w:rFonts w:eastAsia="Times New Roman"/>
          <w:lang w:val="hu-HU"/>
        </w:rPr>
        <w:t>alacsony fehérvérsejtszám, vörösvértestszám és vérlemezkeszám</w:t>
      </w:r>
    </w:p>
    <w:p w14:paraId="705E21E2" w14:textId="77777777" w:rsidR="007561B4" w:rsidRDefault="007561B4" w:rsidP="007561B4">
      <w:pPr>
        <w:spacing w:before="15" w:line="240" w:lineRule="exact"/>
        <w:rPr>
          <w:sz w:val="24"/>
          <w:szCs w:val="24"/>
          <w:lang w:val="hu-HU"/>
        </w:rPr>
      </w:pPr>
    </w:p>
    <w:p w14:paraId="6646D6CE" w14:textId="77777777" w:rsidR="007561B4" w:rsidRDefault="007561B4" w:rsidP="007561B4">
      <w:pPr>
        <w:pStyle w:val="a3"/>
        <w:rPr>
          <w:b/>
          <w:lang w:val="hu-HU"/>
        </w:rPr>
      </w:pPr>
      <w:r>
        <w:rPr>
          <w:rFonts w:eastAsia="Times New Roman"/>
          <w:b/>
          <w:bCs/>
          <w:lang w:val="hu-HU"/>
        </w:rPr>
        <w:t>Mellékhatások bejelentése</w:t>
      </w:r>
    </w:p>
    <w:p w14:paraId="46AB98D8" w14:textId="77777777" w:rsidR="007561B4" w:rsidRDefault="007561B4" w:rsidP="007561B4">
      <w:pPr>
        <w:pStyle w:val="a3"/>
        <w:rPr>
          <w:sz w:val="10"/>
          <w:szCs w:val="10"/>
          <w:lang w:val="hu-HU"/>
        </w:rPr>
      </w:pPr>
    </w:p>
    <w:p w14:paraId="4013618C" w14:textId="398045ED" w:rsidR="007561B4" w:rsidRDefault="003E3BE5" w:rsidP="007561B4">
      <w:pPr>
        <w:pStyle w:val="a3"/>
        <w:rPr>
          <w:lang w:val="hu-HU"/>
        </w:rPr>
      </w:pPr>
      <w:r w:rsidRPr="005A05DE">
        <w:rPr>
          <w:lang w:val="hu-HU"/>
        </w:rPr>
        <w:t>Ha az Ön gyermekénél bármilyen mellékhatás jelentkezik, tájékoztassa kezelőorvosát vagy gyógyszerészét</w:t>
      </w:r>
      <w:r>
        <w:rPr>
          <w:rFonts w:eastAsia="Times New Roman"/>
          <w:lang w:val="hu-HU"/>
        </w:rPr>
        <w:t xml:space="preserve">. </w:t>
      </w:r>
      <w:r w:rsidR="007561B4">
        <w:rPr>
          <w:rFonts w:eastAsia="Times New Roman"/>
          <w:lang w:val="hu-HU"/>
        </w:rPr>
        <w:t>Ez a betegtájékoztatóban fel nem sorolt bármilyen lehetséges mellékhatásra is vonatkozik. A</w:t>
      </w:r>
      <w:r>
        <w:rPr>
          <w:rFonts w:eastAsia="Times New Roman"/>
          <w:lang w:val="hu-HU"/>
        </w:rPr>
        <w:t xml:space="preserve"> </w:t>
      </w:r>
      <w:r w:rsidR="007561B4">
        <w:rPr>
          <w:rFonts w:eastAsia="Times New Roman"/>
          <w:lang w:val="hu-HU"/>
        </w:rPr>
        <w:t xml:space="preserve">mellékhatásokat közvetlenül a hatóság részére is bejelentheti </w:t>
      </w:r>
      <w:r w:rsidR="007561B4" w:rsidRPr="000405CC">
        <w:rPr>
          <w:rFonts w:eastAsia="Times New Roman"/>
          <w:highlight w:val="lightGray"/>
          <w:lang w:val="hu-HU"/>
        </w:rPr>
        <w:t xml:space="preserve">az </w:t>
      </w:r>
      <w:hyperlink r:id="rId162" w:history="1">
        <w:r w:rsidR="007561B4" w:rsidRPr="000405CC">
          <w:rPr>
            <w:rFonts w:eastAsia="Times New Roman"/>
            <w:color w:val="0000FF"/>
            <w:highlight w:val="lightGray"/>
            <w:u w:val="single"/>
            <w:lang w:val="hu-HU"/>
          </w:rPr>
          <w:t>V. függelékben</w:t>
        </w:r>
      </w:hyperlink>
      <w:r w:rsidR="007561B4" w:rsidRPr="000405CC">
        <w:rPr>
          <w:rFonts w:eastAsia="Times New Roman"/>
          <w:highlight w:val="lightGray"/>
          <w:lang w:val="hu-HU"/>
        </w:rPr>
        <w:t xml:space="preserve"> található elérhetőségeken keresztül</w:t>
      </w:r>
      <w:r w:rsidR="007561B4">
        <w:rPr>
          <w:rFonts w:eastAsia="Times New Roman"/>
          <w:lang w:val="hu-HU"/>
        </w:rPr>
        <w:t>. A mellékhatások bejelentésével Ön is hozzájárulhat ahhoz, hogy minél több információ álljon rendelkezésre a gyógyszer biztonságos alkalmazásával kapcsolatban.</w:t>
      </w:r>
    </w:p>
    <w:p w14:paraId="429211D9" w14:textId="77777777" w:rsidR="007561B4" w:rsidRDefault="007561B4" w:rsidP="007561B4">
      <w:pPr>
        <w:spacing w:line="200" w:lineRule="exact"/>
        <w:rPr>
          <w:sz w:val="20"/>
          <w:szCs w:val="20"/>
          <w:lang w:val="hu-HU"/>
        </w:rPr>
      </w:pPr>
    </w:p>
    <w:p w14:paraId="78C39170" w14:textId="77777777" w:rsidR="007561B4" w:rsidRDefault="007561B4" w:rsidP="007561B4">
      <w:pPr>
        <w:spacing w:line="200" w:lineRule="exact"/>
        <w:rPr>
          <w:sz w:val="20"/>
          <w:szCs w:val="20"/>
          <w:lang w:val="hu-HU"/>
        </w:rPr>
      </w:pPr>
    </w:p>
    <w:p w14:paraId="01AF6D34" w14:textId="77777777" w:rsidR="007561B4" w:rsidRDefault="007561B4" w:rsidP="00FD05AA">
      <w:pPr>
        <w:pStyle w:val="a4"/>
        <w:numPr>
          <w:ilvl w:val="0"/>
          <w:numId w:val="82"/>
        </w:numPr>
        <w:spacing w:before="18" w:line="240" w:lineRule="exact"/>
        <w:ind w:hanging="468"/>
        <w:rPr>
          <w:rFonts w:ascii="Times New Roman" w:hAnsi="Times New Roman" w:cs="Times New Roman"/>
          <w:b/>
          <w:lang w:val="hu-HU"/>
        </w:rPr>
      </w:pPr>
      <w:r>
        <w:rPr>
          <w:rFonts w:ascii="Times New Roman" w:eastAsia="Times New Roman" w:hAnsi="Times New Roman" w:cs="Times New Roman"/>
          <w:b/>
          <w:bCs/>
          <w:lang w:val="hu-HU"/>
        </w:rPr>
        <w:t>Hogyan kell a Yuflyma-t tárolni?</w:t>
      </w:r>
    </w:p>
    <w:p w14:paraId="41FD0C94" w14:textId="77777777" w:rsidR="007561B4" w:rsidRDefault="007561B4" w:rsidP="007561B4">
      <w:pPr>
        <w:pStyle w:val="a3"/>
        <w:rPr>
          <w:lang w:val="hu-HU"/>
        </w:rPr>
      </w:pPr>
    </w:p>
    <w:p w14:paraId="23D85573" w14:textId="77777777" w:rsidR="007561B4" w:rsidRDefault="007561B4" w:rsidP="007561B4">
      <w:pPr>
        <w:pStyle w:val="a3"/>
        <w:rPr>
          <w:lang w:val="hu-HU"/>
        </w:rPr>
      </w:pPr>
      <w:r>
        <w:rPr>
          <w:rFonts w:eastAsia="Times New Roman"/>
          <w:lang w:val="hu-HU"/>
        </w:rPr>
        <w:t>A gyógyszer gyermekektől elzárva tartandó.</w:t>
      </w:r>
    </w:p>
    <w:p w14:paraId="3D52D26D" w14:textId="77777777" w:rsidR="007561B4" w:rsidRDefault="007561B4" w:rsidP="007561B4">
      <w:pPr>
        <w:pStyle w:val="a3"/>
        <w:rPr>
          <w:lang w:val="hu-HU"/>
        </w:rPr>
      </w:pPr>
    </w:p>
    <w:p w14:paraId="2D5F7B89" w14:textId="77777777" w:rsidR="007561B4" w:rsidRDefault="007561B4" w:rsidP="007561B4">
      <w:pPr>
        <w:pStyle w:val="a3"/>
        <w:rPr>
          <w:lang w:val="hu-HU"/>
        </w:rPr>
      </w:pPr>
      <w:r>
        <w:rPr>
          <w:rFonts w:eastAsia="Times New Roman"/>
          <w:lang w:val="hu-HU"/>
        </w:rPr>
        <w:t>A címkén és a dobozon feltüntetett lejárati idő után (EXP) ne alkalmazza ezt a gyógyszert.</w:t>
      </w:r>
    </w:p>
    <w:p w14:paraId="43130BBD" w14:textId="77777777" w:rsidR="007561B4" w:rsidRDefault="007561B4" w:rsidP="007561B4">
      <w:pPr>
        <w:pStyle w:val="a3"/>
        <w:rPr>
          <w:lang w:val="hu-HU"/>
        </w:rPr>
      </w:pPr>
    </w:p>
    <w:p w14:paraId="4CB62AC0" w14:textId="77777777" w:rsidR="007561B4" w:rsidRDefault="007561B4" w:rsidP="007561B4">
      <w:pPr>
        <w:pStyle w:val="a3"/>
        <w:rPr>
          <w:lang w:val="hu-HU"/>
        </w:rPr>
      </w:pPr>
      <w:r>
        <w:rPr>
          <w:rFonts w:eastAsia="Times New Roman"/>
          <w:lang w:val="hu-HU"/>
        </w:rPr>
        <w:t>Hűtőszekrényben tárolandó (2C – 8C). Nem fagyasztható!</w:t>
      </w:r>
    </w:p>
    <w:p w14:paraId="0392E078" w14:textId="77777777" w:rsidR="007561B4" w:rsidRDefault="007561B4" w:rsidP="007561B4">
      <w:pPr>
        <w:pStyle w:val="a3"/>
        <w:rPr>
          <w:lang w:val="hu-HU"/>
        </w:rPr>
      </w:pPr>
    </w:p>
    <w:p w14:paraId="34BA1178" w14:textId="767670AB" w:rsidR="007561B4" w:rsidRDefault="007561B4" w:rsidP="007561B4">
      <w:pPr>
        <w:pStyle w:val="a3"/>
        <w:rPr>
          <w:lang w:val="hu-HU"/>
        </w:rPr>
      </w:pPr>
      <w:r>
        <w:rPr>
          <w:rFonts w:eastAsia="Times New Roman"/>
          <w:lang w:val="hu-HU"/>
        </w:rPr>
        <w:t>A fénytől való védelem érdekében az előretöltött fecskendő az eredeti dobozban tárolandó.</w:t>
      </w:r>
    </w:p>
    <w:p w14:paraId="613CF312" w14:textId="77777777" w:rsidR="007561B4" w:rsidRDefault="007561B4" w:rsidP="007561B4">
      <w:pPr>
        <w:spacing w:before="13" w:line="240" w:lineRule="exact"/>
        <w:rPr>
          <w:sz w:val="24"/>
          <w:szCs w:val="24"/>
          <w:lang w:val="hu-HU"/>
        </w:rPr>
      </w:pPr>
    </w:p>
    <w:p w14:paraId="7A45E881" w14:textId="77777777" w:rsidR="007561B4" w:rsidRDefault="007561B4" w:rsidP="007561B4">
      <w:pPr>
        <w:pStyle w:val="a3"/>
        <w:rPr>
          <w:lang w:val="hu-HU"/>
        </w:rPr>
      </w:pPr>
      <w:r>
        <w:rPr>
          <w:rFonts w:eastAsia="Times New Roman"/>
          <w:lang w:val="hu-HU"/>
        </w:rPr>
        <w:t>További tárolási lehetőség:</w:t>
      </w:r>
    </w:p>
    <w:p w14:paraId="66F59D70" w14:textId="77777777" w:rsidR="007561B4" w:rsidRDefault="007561B4" w:rsidP="007561B4">
      <w:pPr>
        <w:spacing w:before="14" w:line="240" w:lineRule="exact"/>
        <w:rPr>
          <w:sz w:val="24"/>
          <w:szCs w:val="24"/>
          <w:lang w:val="hu-HU"/>
        </w:rPr>
      </w:pPr>
    </w:p>
    <w:p w14:paraId="77A5C633" w14:textId="474B6AE6" w:rsidR="007561B4" w:rsidRDefault="007561B4" w:rsidP="007561B4">
      <w:pPr>
        <w:pStyle w:val="a3"/>
        <w:rPr>
          <w:lang w:val="hu-HU"/>
        </w:rPr>
      </w:pPr>
      <w:r>
        <w:rPr>
          <w:rFonts w:eastAsia="Times New Roman"/>
          <w:lang w:val="hu-HU"/>
        </w:rPr>
        <w:t>Amennyiben szükséges (például utazás alatt), úgy önmagában Yuflyma előretöltött fecskendő szobahőmérsékleten (legfeljebb 25 °C-on) maximum 31 napig tárolható. A fénytől való védelmet biztosítani kell. Miután kivette a hűtőszekrényből a szobahőmérsékletű tároláshoz, a</w:t>
      </w:r>
      <w:r w:rsidR="000334EC">
        <w:rPr>
          <w:rFonts w:eastAsia="Times New Roman"/>
          <w:lang w:val="hu-HU"/>
        </w:rPr>
        <w:t xml:space="preserve"> </w:t>
      </w:r>
      <w:r>
        <w:rPr>
          <w:rFonts w:eastAsia="Times New Roman"/>
          <w:lang w:val="hu-HU"/>
        </w:rPr>
        <w:t>fecskendőt 31</w:t>
      </w:r>
      <w:r>
        <w:rPr>
          <w:rFonts w:eastAsia="Times New Roman"/>
          <w:b/>
          <w:bCs/>
          <w:lang w:val="hu-HU"/>
        </w:rPr>
        <w:t xml:space="preserve"> napon belül fel kell használni, vagy meg kell semmisíteni</w:t>
      </w:r>
      <w:r>
        <w:rPr>
          <w:rFonts w:eastAsia="Times New Roman"/>
          <w:lang w:val="hu-HU"/>
        </w:rPr>
        <w:t>, még akkor is, ha visszatette a hűtőszekrénybe.</w:t>
      </w:r>
    </w:p>
    <w:p w14:paraId="2DB17DAD" w14:textId="77777777" w:rsidR="007561B4" w:rsidRDefault="007561B4" w:rsidP="007561B4">
      <w:pPr>
        <w:spacing w:before="17" w:line="240" w:lineRule="exact"/>
        <w:rPr>
          <w:sz w:val="24"/>
          <w:szCs w:val="24"/>
          <w:lang w:val="hu-HU"/>
        </w:rPr>
      </w:pPr>
    </w:p>
    <w:p w14:paraId="0D2F2619" w14:textId="77777777" w:rsidR="007561B4" w:rsidRDefault="007561B4" w:rsidP="007561B4">
      <w:pPr>
        <w:pStyle w:val="a3"/>
        <w:rPr>
          <w:lang w:val="hu-HU"/>
        </w:rPr>
      </w:pPr>
      <w:r>
        <w:rPr>
          <w:rFonts w:eastAsia="Times New Roman"/>
          <w:lang w:val="hu-HU"/>
        </w:rPr>
        <w:t xml:space="preserve">Jegyezze fel, hogy mikor vette ki először afecskendőt a hűtőszekrényből, és azt a dátumot is, ami után azt </w:t>
      </w:r>
      <w:r>
        <w:rPr>
          <w:rFonts w:eastAsia="Times New Roman"/>
          <w:lang w:val="hu-HU"/>
        </w:rPr>
        <w:lastRenderedPageBreak/>
        <w:t>meg kell ezt semmisíteni</w:t>
      </w:r>
    </w:p>
    <w:p w14:paraId="64D55529" w14:textId="77777777" w:rsidR="007561B4" w:rsidRDefault="007561B4" w:rsidP="007561B4">
      <w:pPr>
        <w:spacing w:before="14" w:line="240" w:lineRule="exact"/>
        <w:rPr>
          <w:sz w:val="24"/>
          <w:szCs w:val="24"/>
          <w:lang w:val="hu-HU"/>
        </w:rPr>
      </w:pPr>
    </w:p>
    <w:p w14:paraId="6730FC0E" w14:textId="77777777" w:rsidR="007561B4" w:rsidRDefault="007561B4" w:rsidP="007561B4">
      <w:pPr>
        <w:pStyle w:val="a3"/>
        <w:rPr>
          <w:lang w:val="hu-HU"/>
        </w:rPr>
      </w:pPr>
      <w:r>
        <w:rPr>
          <w:rFonts w:eastAsia="Times New Roman"/>
          <w:lang w:val="hu-HU"/>
        </w:rPr>
        <w:t>Semmilyen gyógyszert ne dobjon a szennyvízbe vagy a háztartási hulladékba. Kérdezze meg gyógyszerészét, hogy mit tegyen a már nem használt gyógyszereivel. Ezek az intézkedések elősegítik a környezet védelmét.</w:t>
      </w:r>
    </w:p>
    <w:p w14:paraId="5D429015" w14:textId="77777777" w:rsidR="007561B4" w:rsidRDefault="007561B4" w:rsidP="007561B4">
      <w:pPr>
        <w:pStyle w:val="a4"/>
        <w:spacing w:before="18" w:line="240" w:lineRule="exact"/>
        <w:ind w:left="468"/>
        <w:rPr>
          <w:rFonts w:ascii="Times New Roman" w:hAnsi="Times New Roman" w:cs="Times New Roman"/>
          <w:b/>
          <w:lang w:val="hu-HU"/>
        </w:rPr>
      </w:pPr>
    </w:p>
    <w:p w14:paraId="5D9E5E27" w14:textId="77777777" w:rsidR="007561B4" w:rsidRDefault="007561B4" w:rsidP="007561B4">
      <w:pPr>
        <w:spacing w:before="18" w:line="240" w:lineRule="exact"/>
        <w:rPr>
          <w:rFonts w:ascii="Times New Roman" w:hAnsi="Times New Roman" w:cs="Times New Roman"/>
          <w:b/>
          <w:lang w:val="hu-HU"/>
        </w:rPr>
      </w:pPr>
    </w:p>
    <w:p w14:paraId="1F8EE6EC" w14:textId="77777777" w:rsidR="007561B4" w:rsidRDefault="007561B4" w:rsidP="00FD05AA">
      <w:pPr>
        <w:pStyle w:val="a4"/>
        <w:numPr>
          <w:ilvl w:val="0"/>
          <w:numId w:val="82"/>
        </w:numPr>
        <w:spacing w:before="18" w:line="240" w:lineRule="exact"/>
        <w:ind w:hanging="468"/>
        <w:rPr>
          <w:rFonts w:ascii="Times New Roman" w:hAnsi="Times New Roman" w:cs="Times New Roman"/>
          <w:b/>
          <w:lang w:val="hu-HU"/>
        </w:rPr>
      </w:pPr>
      <w:r>
        <w:rPr>
          <w:rFonts w:ascii="Times New Roman" w:eastAsia="Times New Roman" w:hAnsi="Times New Roman" w:cs="Times New Roman"/>
          <w:b/>
          <w:bCs/>
          <w:lang w:val="hu-HU"/>
        </w:rPr>
        <w:t>A csomagolás tartalma és egyéb információk</w:t>
      </w:r>
    </w:p>
    <w:p w14:paraId="483D9CAA" w14:textId="77777777" w:rsidR="007561B4" w:rsidRDefault="007561B4" w:rsidP="007561B4">
      <w:pPr>
        <w:pStyle w:val="a4"/>
        <w:spacing w:before="18" w:line="240" w:lineRule="exact"/>
        <w:ind w:left="468"/>
        <w:rPr>
          <w:rFonts w:ascii="Times New Roman" w:hAnsi="Times New Roman" w:cs="Times New Roman"/>
          <w:b/>
          <w:lang w:val="hu-HU"/>
        </w:rPr>
      </w:pPr>
    </w:p>
    <w:p w14:paraId="7EAFF0AF" w14:textId="77777777" w:rsidR="007561B4" w:rsidRDefault="007561B4" w:rsidP="007561B4">
      <w:pPr>
        <w:spacing w:before="18" w:line="240" w:lineRule="exact"/>
        <w:rPr>
          <w:rFonts w:ascii="Times New Roman" w:hAnsi="Times New Roman" w:cs="Times New Roman"/>
          <w:b/>
          <w:lang w:val="hu-HU"/>
        </w:rPr>
      </w:pPr>
      <w:r>
        <w:rPr>
          <w:rFonts w:ascii="Times New Roman" w:eastAsia="Times New Roman" w:hAnsi="Times New Roman" w:cs="Times New Roman"/>
          <w:b/>
          <w:bCs/>
          <w:lang w:val="hu-HU"/>
        </w:rPr>
        <w:t>Mit tartalmaz a Yuflyma?</w:t>
      </w:r>
    </w:p>
    <w:p w14:paraId="3EB15BFD" w14:textId="77777777" w:rsidR="007561B4" w:rsidRDefault="007561B4" w:rsidP="007561B4">
      <w:pPr>
        <w:spacing w:before="18" w:line="240" w:lineRule="exact"/>
        <w:rPr>
          <w:rFonts w:ascii="Times New Roman" w:hAnsi="Times New Roman" w:cs="Times New Roman"/>
          <w:b/>
          <w:lang w:val="hu-HU"/>
        </w:rPr>
      </w:pPr>
    </w:p>
    <w:p w14:paraId="3522E0D6" w14:textId="77777777" w:rsidR="007561B4" w:rsidRDefault="007561B4" w:rsidP="007561B4">
      <w:pPr>
        <w:pStyle w:val="a3"/>
        <w:rPr>
          <w:lang w:val="hu-HU"/>
        </w:rPr>
      </w:pPr>
      <w:r>
        <w:rPr>
          <w:rFonts w:eastAsia="Times New Roman"/>
          <w:lang w:val="hu-HU"/>
        </w:rPr>
        <w:t>A készítmény hatóanyaga adalimumab.</w:t>
      </w:r>
    </w:p>
    <w:p w14:paraId="1618491D" w14:textId="77777777" w:rsidR="007561B4" w:rsidRDefault="007561B4" w:rsidP="007561B4">
      <w:pPr>
        <w:pStyle w:val="a3"/>
        <w:rPr>
          <w:lang w:val="hu-HU"/>
        </w:rPr>
      </w:pPr>
      <w:r>
        <w:rPr>
          <w:rFonts w:eastAsia="Times New Roman"/>
          <w:lang w:val="hu-HU"/>
        </w:rPr>
        <w:t>Egyéb összetevők: ecetsav, nátrium acetát trihidrát, glicin, poliszorbát 80 és injekcióhoz való víz.</w:t>
      </w:r>
    </w:p>
    <w:p w14:paraId="3CB98912" w14:textId="77777777" w:rsidR="007561B4" w:rsidRDefault="007561B4" w:rsidP="007561B4">
      <w:pPr>
        <w:pStyle w:val="a3"/>
        <w:rPr>
          <w:lang w:val="hu-HU"/>
        </w:rPr>
      </w:pPr>
    </w:p>
    <w:p w14:paraId="34CC3F79" w14:textId="35238341" w:rsidR="007561B4" w:rsidRDefault="007561B4" w:rsidP="007561B4">
      <w:pPr>
        <w:pStyle w:val="a3"/>
        <w:rPr>
          <w:b/>
          <w:lang w:val="hu-HU"/>
        </w:rPr>
      </w:pPr>
      <w:r>
        <w:rPr>
          <w:rFonts w:eastAsia="Times New Roman"/>
          <w:b/>
          <w:bCs/>
          <w:lang w:val="hu-HU"/>
        </w:rPr>
        <w:t>Milyen a Yuflyma ellátott előretöltött fecskendő külleme és mit tartalmaz a csomagolás?</w:t>
      </w:r>
    </w:p>
    <w:p w14:paraId="1AABC6D2" w14:textId="77777777" w:rsidR="007561B4" w:rsidRDefault="007561B4" w:rsidP="007561B4">
      <w:pPr>
        <w:spacing w:before="12" w:line="240" w:lineRule="exact"/>
        <w:rPr>
          <w:sz w:val="24"/>
          <w:szCs w:val="24"/>
          <w:lang w:val="hu-HU"/>
        </w:rPr>
      </w:pPr>
    </w:p>
    <w:p w14:paraId="4AF7332A" w14:textId="12933057" w:rsidR="007561B4" w:rsidRDefault="003E3BE5" w:rsidP="007561B4">
      <w:pPr>
        <w:pStyle w:val="a3"/>
        <w:rPr>
          <w:lang w:val="hu-HU"/>
        </w:rPr>
      </w:pPr>
      <w:r>
        <w:rPr>
          <w:rFonts w:eastAsia="Times New Roman"/>
          <w:lang w:val="hu-HU"/>
        </w:rPr>
        <w:t>20</w:t>
      </w:r>
      <w:r w:rsidR="007561B4">
        <w:rPr>
          <w:rFonts w:eastAsia="Times New Roman"/>
          <w:lang w:val="hu-HU"/>
        </w:rPr>
        <w:t xml:space="preserve"> mg-os Yuflyma oldatos injekció ellátott előretöltött fecskendőben </w:t>
      </w:r>
      <w:r>
        <w:rPr>
          <w:rFonts w:eastAsia="Times New Roman"/>
          <w:lang w:val="hu-HU"/>
        </w:rPr>
        <w:t>20 mg adalimumabot tartalmazó 0,2</w:t>
      </w:r>
      <w:r w:rsidR="007561B4">
        <w:rPr>
          <w:rFonts w:eastAsia="Times New Roman"/>
          <w:lang w:val="hu-HU"/>
        </w:rPr>
        <w:t xml:space="preserve"> ml steriloldat formájában kerül forgalomba.</w:t>
      </w:r>
    </w:p>
    <w:p w14:paraId="0872BA0A" w14:textId="77777777" w:rsidR="007561B4" w:rsidRDefault="007561B4" w:rsidP="007561B4">
      <w:pPr>
        <w:spacing w:before="11" w:line="240" w:lineRule="exact"/>
        <w:rPr>
          <w:sz w:val="24"/>
          <w:szCs w:val="24"/>
          <w:lang w:val="hu-HU"/>
        </w:rPr>
      </w:pPr>
    </w:p>
    <w:p w14:paraId="53F520F6" w14:textId="77777777" w:rsidR="003E3BE5" w:rsidRDefault="007561B4" w:rsidP="007561B4">
      <w:pPr>
        <w:pStyle w:val="a3"/>
        <w:rPr>
          <w:rFonts w:eastAsia="Times New Roman"/>
          <w:lang w:val="hu-HU"/>
        </w:rPr>
      </w:pPr>
      <w:r>
        <w:rPr>
          <w:rFonts w:eastAsia="Times New Roman"/>
          <w:lang w:val="hu-HU"/>
        </w:rPr>
        <w:t>A Yuflyma előretöltött fecskendő egy adalimumab ol</w:t>
      </w:r>
      <w:r w:rsidR="003E3BE5">
        <w:rPr>
          <w:rFonts w:eastAsia="Times New Roman"/>
          <w:lang w:val="hu-HU"/>
        </w:rPr>
        <w:t>datot tartalmazó üvegfecskendő.</w:t>
      </w:r>
    </w:p>
    <w:p w14:paraId="359C0A3B" w14:textId="47090C69" w:rsidR="009621FE" w:rsidRDefault="009621FE" w:rsidP="005A05DE">
      <w:pPr>
        <w:pStyle w:val="a3"/>
        <w:rPr>
          <w:lang w:val="hu-HU" w:eastAsia="ko-KR"/>
        </w:rPr>
      </w:pPr>
      <w:r w:rsidRPr="00F7678E">
        <w:rPr>
          <w:rFonts w:eastAsia="Times New Roman"/>
          <w:lang w:val="hu-HU"/>
        </w:rPr>
        <w:t>Az 1 előretöltött fecskendős csomag 2 alkoholos törlőkendőt tartalmaz (1 tartalék).</w:t>
      </w:r>
    </w:p>
    <w:p w14:paraId="070F725F" w14:textId="6C3E85B3" w:rsidR="007561B4" w:rsidRDefault="003E3BE5" w:rsidP="005A05DE">
      <w:pPr>
        <w:pStyle w:val="a3"/>
        <w:rPr>
          <w:lang w:val="hu-HU"/>
        </w:rPr>
      </w:pPr>
      <w:r>
        <w:rPr>
          <w:rFonts w:eastAsia="Times New Roman"/>
          <w:lang w:val="hu-HU"/>
        </w:rPr>
        <w:t>Az 2</w:t>
      </w:r>
      <w:r w:rsidR="007561B4">
        <w:rPr>
          <w:rFonts w:eastAsia="Times New Roman"/>
          <w:lang w:val="hu-HU"/>
        </w:rPr>
        <w:t xml:space="preserve"> db előretöltött fecskendőt tartalmazó csomagolá</w:t>
      </w:r>
      <w:r>
        <w:rPr>
          <w:rFonts w:eastAsia="Times New Roman"/>
          <w:lang w:val="hu-HU"/>
        </w:rPr>
        <w:t>shoz 2 db alkoholos törlőkendőt.</w:t>
      </w:r>
    </w:p>
    <w:p w14:paraId="76A357E3" w14:textId="77777777" w:rsidR="007561B4" w:rsidRDefault="007561B4" w:rsidP="007561B4">
      <w:pPr>
        <w:spacing w:before="18" w:line="240" w:lineRule="exact"/>
        <w:rPr>
          <w:sz w:val="24"/>
          <w:szCs w:val="24"/>
          <w:lang w:val="hu-HU"/>
        </w:rPr>
      </w:pPr>
    </w:p>
    <w:p w14:paraId="736F9433" w14:textId="77777777" w:rsidR="007561B4" w:rsidRDefault="007561B4" w:rsidP="007561B4">
      <w:pPr>
        <w:pStyle w:val="a3"/>
        <w:rPr>
          <w:b/>
          <w:lang w:val="hu-HU"/>
        </w:rPr>
      </w:pPr>
      <w:r>
        <w:rPr>
          <w:rFonts w:eastAsia="Times New Roman"/>
          <w:b/>
          <w:bCs/>
          <w:lang w:val="hu-HU"/>
        </w:rPr>
        <w:t>A forgalomba hozatali engedély jogosultja</w:t>
      </w:r>
    </w:p>
    <w:p w14:paraId="1A9568BB" w14:textId="77777777" w:rsidR="007561B4" w:rsidRDefault="007561B4" w:rsidP="007561B4">
      <w:pPr>
        <w:spacing w:before="12" w:line="240" w:lineRule="exact"/>
        <w:rPr>
          <w:sz w:val="24"/>
          <w:szCs w:val="24"/>
          <w:lang w:val="hu-HU"/>
        </w:rPr>
      </w:pPr>
    </w:p>
    <w:p w14:paraId="70DF9FAD" w14:textId="77777777" w:rsidR="007561B4" w:rsidRDefault="007561B4" w:rsidP="007561B4">
      <w:pPr>
        <w:pStyle w:val="a3"/>
        <w:rPr>
          <w:lang w:val="hu-HU"/>
        </w:rPr>
      </w:pPr>
      <w:r>
        <w:rPr>
          <w:lang w:val="hu-HU"/>
        </w:rPr>
        <w:t xml:space="preserve">Celltrion Healthcare Hungary Kft. </w:t>
      </w:r>
    </w:p>
    <w:p w14:paraId="4DFDB691" w14:textId="77777777" w:rsidR="007561B4" w:rsidRDefault="007561B4" w:rsidP="007561B4">
      <w:pPr>
        <w:pStyle w:val="a3"/>
        <w:rPr>
          <w:lang w:val="hu-HU"/>
        </w:rPr>
      </w:pPr>
      <w:r>
        <w:rPr>
          <w:lang w:val="hu-HU"/>
        </w:rPr>
        <w:t>1062 Budapest</w:t>
      </w:r>
    </w:p>
    <w:p w14:paraId="1951C94C" w14:textId="77777777" w:rsidR="007561B4" w:rsidRDefault="007561B4" w:rsidP="007561B4">
      <w:pPr>
        <w:pStyle w:val="a3"/>
        <w:rPr>
          <w:lang w:val="hu-HU"/>
        </w:rPr>
      </w:pPr>
      <w:r>
        <w:rPr>
          <w:lang w:val="hu-HU"/>
        </w:rPr>
        <w:t>Váci út 1-3. WestEnd Office Building B torony</w:t>
      </w:r>
    </w:p>
    <w:p w14:paraId="71A41C4F" w14:textId="77777777" w:rsidR="007561B4" w:rsidRDefault="007561B4" w:rsidP="007561B4">
      <w:pPr>
        <w:pStyle w:val="a3"/>
        <w:rPr>
          <w:lang w:val="hu-HU"/>
        </w:rPr>
      </w:pPr>
      <w:r>
        <w:rPr>
          <w:rFonts w:eastAsia="Times New Roman"/>
          <w:lang w:val="hu-HU"/>
        </w:rPr>
        <w:t>Magyarország</w:t>
      </w:r>
    </w:p>
    <w:p w14:paraId="3FDEE947" w14:textId="77777777" w:rsidR="007561B4" w:rsidRDefault="007561B4" w:rsidP="007561B4">
      <w:pPr>
        <w:spacing w:before="15" w:line="240" w:lineRule="exact"/>
        <w:rPr>
          <w:b/>
          <w:sz w:val="24"/>
          <w:szCs w:val="24"/>
          <w:lang w:val="hu-HU"/>
        </w:rPr>
      </w:pPr>
    </w:p>
    <w:p w14:paraId="65A815E4" w14:textId="77777777" w:rsidR="007561B4" w:rsidRDefault="007561B4" w:rsidP="007561B4">
      <w:pPr>
        <w:pStyle w:val="a3"/>
        <w:rPr>
          <w:b/>
          <w:lang w:val="hu-HU"/>
        </w:rPr>
      </w:pPr>
      <w:r>
        <w:rPr>
          <w:rFonts w:eastAsia="Times New Roman"/>
          <w:b/>
          <w:bCs/>
          <w:lang w:val="hu-HU"/>
        </w:rPr>
        <w:t>Gyártó</w:t>
      </w:r>
    </w:p>
    <w:p w14:paraId="7C5CC881" w14:textId="77777777" w:rsidR="007561B4" w:rsidRDefault="007561B4" w:rsidP="007561B4">
      <w:pPr>
        <w:spacing w:before="12" w:line="240" w:lineRule="exact"/>
        <w:rPr>
          <w:b/>
          <w:sz w:val="24"/>
          <w:szCs w:val="24"/>
          <w:lang w:val="hu-HU"/>
        </w:rPr>
      </w:pPr>
    </w:p>
    <w:p w14:paraId="0E8506A9" w14:textId="7BEA4A7E" w:rsidR="007561B4" w:rsidRPr="002C78FA" w:rsidDel="002C78FA" w:rsidRDefault="007561B4" w:rsidP="007561B4">
      <w:pPr>
        <w:pStyle w:val="a3"/>
        <w:rPr>
          <w:del w:id="172" w:author="만든 이"/>
          <w:lang w:val="hu-HU"/>
        </w:rPr>
      </w:pPr>
      <w:del w:id="173" w:author="만든 이">
        <w:r w:rsidRPr="002C78FA" w:rsidDel="002C78FA">
          <w:rPr>
            <w:lang w:val="hu-HU"/>
          </w:rPr>
          <w:delText>Millmount Healthcare Ltd.</w:delText>
        </w:r>
      </w:del>
    </w:p>
    <w:p w14:paraId="205D365F" w14:textId="29F14916" w:rsidR="007561B4" w:rsidRPr="002C78FA" w:rsidDel="002C78FA" w:rsidRDefault="007561B4" w:rsidP="007561B4">
      <w:pPr>
        <w:pStyle w:val="a3"/>
        <w:rPr>
          <w:del w:id="174" w:author="만든 이"/>
          <w:lang w:val="hu-HU"/>
        </w:rPr>
      </w:pPr>
      <w:del w:id="175" w:author="만든 이">
        <w:r w:rsidRPr="002C78FA" w:rsidDel="002C78FA">
          <w:rPr>
            <w:lang w:val="hu-HU"/>
          </w:rPr>
          <w:delText>Block 7</w:delText>
        </w:r>
      </w:del>
    </w:p>
    <w:p w14:paraId="32FB9E19" w14:textId="593C5476" w:rsidR="007561B4" w:rsidRPr="002C78FA" w:rsidDel="002C78FA" w:rsidRDefault="007561B4" w:rsidP="007561B4">
      <w:pPr>
        <w:pStyle w:val="a3"/>
        <w:rPr>
          <w:del w:id="176" w:author="만든 이"/>
          <w:lang w:val="hu-HU"/>
        </w:rPr>
      </w:pPr>
      <w:del w:id="177" w:author="만든 이">
        <w:r w:rsidRPr="002C78FA" w:rsidDel="002C78FA">
          <w:rPr>
            <w:lang w:val="hu-HU"/>
          </w:rPr>
          <w:delText xml:space="preserve">City North Business Campus </w:delText>
        </w:r>
      </w:del>
    </w:p>
    <w:p w14:paraId="79ECF8C6" w14:textId="45D99605" w:rsidR="007561B4" w:rsidRPr="002C78FA" w:rsidDel="002C78FA" w:rsidRDefault="007561B4" w:rsidP="007561B4">
      <w:pPr>
        <w:pStyle w:val="a3"/>
        <w:rPr>
          <w:del w:id="178" w:author="만든 이"/>
          <w:lang w:val="hu-HU"/>
        </w:rPr>
      </w:pPr>
      <w:del w:id="179" w:author="만든 이">
        <w:r w:rsidRPr="002C78FA" w:rsidDel="002C78FA">
          <w:rPr>
            <w:lang w:val="hu-HU"/>
          </w:rPr>
          <w:delText>Stamullen, Co. Meath K32 YD60</w:delText>
        </w:r>
      </w:del>
    </w:p>
    <w:p w14:paraId="1310C004" w14:textId="56C677B5" w:rsidR="007561B4" w:rsidRPr="002C78FA" w:rsidDel="002C78FA" w:rsidRDefault="007561B4" w:rsidP="007561B4">
      <w:pPr>
        <w:pStyle w:val="a3"/>
        <w:rPr>
          <w:del w:id="180" w:author="만든 이"/>
          <w:lang w:val="hu-HU"/>
        </w:rPr>
      </w:pPr>
      <w:del w:id="181" w:author="만든 이">
        <w:r w:rsidRPr="002C78FA" w:rsidDel="002C78FA">
          <w:rPr>
            <w:rFonts w:eastAsia="Times New Roman"/>
            <w:lang w:val="hu-HU"/>
          </w:rPr>
          <w:delText>Írország</w:delText>
        </w:r>
      </w:del>
    </w:p>
    <w:p w14:paraId="04A30524" w14:textId="16EB3126" w:rsidR="007561B4" w:rsidRPr="002C78FA" w:rsidDel="002C78FA" w:rsidRDefault="007561B4" w:rsidP="007561B4">
      <w:pPr>
        <w:spacing w:before="14" w:line="240" w:lineRule="exact"/>
        <w:rPr>
          <w:del w:id="182" w:author="만든 이"/>
          <w:sz w:val="24"/>
          <w:szCs w:val="24"/>
          <w:lang w:val="hu-HU"/>
        </w:rPr>
      </w:pPr>
    </w:p>
    <w:p w14:paraId="6EF5B642" w14:textId="77777777" w:rsidR="002C78FA" w:rsidRPr="007D68C5" w:rsidRDefault="002C78FA" w:rsidP="002C78FA">
      <w:pPr>
        <w:spacing w:before="10" w:line="240" w:lineRule="exact"/>
        <w:rPr>
          <w:moveTo w:id="183" w:author="만든 이" w16du:dateUtc="2025-09-09T05:36:00Z"/>
          <w:rFonts w:ascii="Times New Roman" w:eastAsia="Times New Roman" w:hAnsi="Times New Roman" w:cs="Times New Roman"/>
          <w:lang w:val="fr-CA"/>
        </w:rPr>
      </w:pPr>
      <w:moveToRangeStart w:id="184" w:author="만든 이" w:name="move208321010"/>
      <w:proofErr w:type="spellStart"/>
      <w:moveTo w:id="185" w:author="만든 이" w16du:dateUtc="2025-09-09T05:36:00Z">
        <w:r w:rsidRPr="007D68C5">
          <w:rPr>
            <w:rFonts w:ascii="Times New Roman" w:eastAsia="Times New Roman" w:hAnsi="Times New Roman" w:cs="Times New Roman"/>
            <w:lang w:val="fr-CA"/>
          </w:rPr>
          <w:t>Nuvisan</w:t>
        </w:r>
        <w:proofErr w:type="spellEnd"/>
        <w:r w:rsidRPr="007D68C5">
          <w:rPr>
            <w:rFonts w:ascii="Times New Roman" w:eastAsia="Times New Roman" w:hAnsi="Times New Roman" w:cs="Times New Roman"/>
            <w:lang w:val="fr-CA"/>
          </w:rPr>
          <w:t xml:space="preserve"> France SARL</w:t>
        </w:r>
      </w:moveTo>
    </w:p>
    <w:p w14:paraId="635DE182" w14:textId="77777777" w:rsidR="002C78FA" w:rsidRPr="007D68C5" w:rsidRDefault="002C78FA" w:rsidP="002C78FA">
      <w:pPr>
        <w:spacing w:before="10" w:line="240" w:lineRule="exact"/>
        <w:rPr>
          <w:moveTo w:id="186" w:author="만든 이" w16du:dateUtc="2025-09-09T05:36:00Z"/>
          <w:rFonts w:ascii="Times New Roman" w:hAnsi="Times New Roman" w:cs="Times New Roman"/>
          <w:lang w:val="fr-CA" w:eastAsia="ko-KR"/>
        </w:rPr>
      </w:pPr>
      <w:moveTo w:id="187" w:author="만든 이" w16du:dateUtc="2025-09-09T05:36:00Z">
        <w:r w:rsidRPr="007D68C5">
          <w:rPr>
            <w:rFonts w:ascii="Times New Roman" w:eastAsia="Times New Roman" w:hAnsi="Times New Roman" w:cs="Times New Roman"/>
            <w:lang w:val="fr-CA"/>
          </w:rPr>
          <w:t>2400, Route des Colles</w:t>
        </w:r>
      </w:moveTo>
    </w:p>
    <w:p w14:paraId="23A128D9" w14:textId="77777777" w:rsidR="002C78FA" w:rsidRPr="002C78FA" w:rsidRDefault="002C78FA" w:rsidP="002C78FA">
      <w:pPr>
        <w:spacing w:before="10" w:line="240" w:lineRule="exact"/>
        <w:rPr>
          <w:moveTo w:id="188" w:author="만든 이" w16du:dateUtc="2025-09-09T05:36:00Z"/>
          <w:rFonts w:ascii="Times New Roman" w:hAnsi="Times New Roman" w:cs="Times New Roman"/>
          <w:lang w:eastAsia="ko-KR"/>
        </w:rPr>
      </w:pPr>
      <w:moveTo w:id="189" w:author="만든 이" w16du:dateUtc="2025-09-09T05:36:00Z">
        <w:r w:rsidRPr="002C78FA">
          <w:rPr>
            <w:rFonts w:ascii="Times New Roman" w:eastAsia="Times New Roman" w:hAnsi="Times New Roman" w:cs="Times New Roman"/>
          </w:rPr>
          <w:t xml:space="preserve">06410, </w:t>
        </w:r>
        <w:proofErr w:type="spellStart"/>
        <w:r w:rsidRPr="002C78FA">
          <w:rPr>
            <w:rFonts w:ascii="Times New Roman" w:eastAsia="Times New Roman" w:hAnsi="Times New Roman" w:cs="Times New Roman"/>
          </w:rPr>
          <w:t>Biot</w:t>
        </w:r>
        <w:proofErr w:type="spellEnd"/>
      </w:moveTo>
    </w:p>
    <w:p w14:paraId="78A8C088" w14:textId="77777777" w:rsidR="002C78FA" w:rsidRPr="002C78FA" w:rsidRDefault="002C78FA" w:rsidP="002C78FA">
      <w:pPr>
        <w:autoSpaceDE w:val="0"/>
        <w:autoSpaceDN w:val="0"/>
        <w:adjustRightInd w:val="0"/>
        <w:rPr>
          <w:moveTo w:id="190" w:author="만든 이" w16du:dateUtc="2025-09-09T05:36:00Z"/>
          <w:rFonts w:ascii="Times New Roman" w:eastAsia="Times New Roman" w:hAnsi="Times New Roman" w:cs="Times New Roman"/>
        </w:rPr>
      </w:pPr>
      <w:proofErr w:type="spellStart"/>
      <w:moveTo w:id="191" w:author="만든 이" w16du:dateUtc="2025-09-09T05:36:00Z">
        <w:r w:rsidRPr="002C78FA">
          <w:rPr>
            <w:rFonts w:ascii="Times New Roman" w:eastAsia="Times New Roman" w:hAnsi="Times New Roman" w:cs="Times New Roman"/>
          </w:rPr>
          <w:t>Franciaország</w:t>
        </w:r>
        <w:proofErr w:type="spellEnd"/>
      </w:moveTo>
    </w:p>
    <w:p w14:paraId="7CEF07FB" w14:textId="77777777" w:rsidR="002C78FA" w:rsidRPr="002C78FA" w:rsidRDefault="002C78FA" w:rsidP="002C78FA">
      <w:pPr>
        <w:pStyle w:val="a3"/>
        <w:rPr>
          <w:moveTo w:id="192" w:author="만든 이" w16du:dateUtc="2025-09-09T05:36:00Z"/>
        </w:rPr>
      </w:pPr>
    </w:p>
    <w:moveToRangeEnd w:id="184"/>
    <w:p w14:paraId="7D08E594" w14:textId="77777777" w:rsidR="007561B4" w:rsidRPr="00167BF3" w:rsidRDefault="007561B4" w:rsidP="007561B4">
      <w:pPr>
        <w:spacing w:before="10" w:line="240" w:lineRule="exact"/>
        <w:rPr>
          <w:rFonts w:ascii="Times New Roman" w:eastAsia="Times New Roman" w:hAnsi="Times New Roman" w:cs="Times New Roman"/>
          <w:shd w:val="pct15" w:color="auto" w:fill="FFFFFF"/>
          <w:lang w:val="es-ES"/>
        </w:rPr>
      </w:pPr>
      <w:proofErr w:type="spellStart"/>
      <w:r w:rsidRPr="00167BF3">
        <w:rPr>
          <w:rFonts w:ascii="Times New Roman" w:eastAsia="Times New Roman" w:hAnsi="Times New Roman" w:cs="Times New Roman"/>
          <w:shd w:val="pct15" w:color="auto" w:fill="FFFFFF"/>
          <w:lang w:val="es-ES"/>
        </w:rPr>
        <w:t>Nuvisan</w:t>
      </w:r>
      <w:proofErr w:type="spellEnd"/>
      <w:r w:rsidRPr="00167BF3">
        <w:rPr>
          <w:rFonts w:ascii="Times New Roman" w:eastAsia="Times New Roman" w:hAnsi="Times New Roman" w:cs="Times New Roman"/>
          <w:shd w:val="pct15" w:color="auto" w:fill="FFFFFF"/>
          <w:lang w:val="es-ES"/>
        </w:rPr>
        <w:t xml:space="preserve"> </w:t>
      </w:r>
      <w:proofErr w:type="spellStart"/>
      <w:r w:rsidRPr="00167BF3">
        <w:rPr>
          <w:rFonts w:ascii="Times New Roman" w:eastAsia="Times New Roman" w:hAnsi="Times New Roman" w:cs="Times New Roman"/>
          <w:shd w:val="pct15" w:color="auto" w:fill="FFFFFF"/>
          <w:lang w:val="es-ES"/>
        </w:rPr>
        <w:t>GmbH</w:t>
      </w:r>
      <w:proofErr w:type="spellEnd"/>
    </w:p>
    <w:p w14:paraId="595C651C" w14:textId="7A4B05D6" w:rsidR="007561B4" w:rsidRPr="004537E9" w:rsidRDefault="007561B4" w:rsidP="007561B4">
      <w:pPr>
        <w:spacing w:before="10" w:line="240" w:lineRule="exact"/>
        <w:rPr>
          <w:rFonts w:ascii="Times New Roman" w:hAnsi="Times New Roman" w:cs="Times New Roman"/>
          <w:shd w:val="pct15" w:color="auto" w:fill="FFFFFF"/>
          <w:lang w:val="es-ES" w:eastAsia="ko-KR"/>
        </w:rPr>
      </w:pPr>
      <w:proofErr w:type="spellStart"/>
      <w:r w:rsidRPr="00167BF3">
        <w:rPr>
          <w:rFonts w:ascii="Times New Roman" w:eastAsia="Times New Roman" w:hAnsi="Times New Roman" w:cs="Times New Roman"/>
          <w:shd w:val="pct15" w:color="auto" w:fill="FFFFFF"/>
          <w:lang w:val="es-ES"/>
        </w:rPr>
        <w:t>Wegenerstraße</w:t>
      </w:r>
      <w:proofErr w:type="spellEnd"/>
      <w:r w:rsidRPr="00167BF3">
        <w:rPr>
          <w:rFonts w:ascii="Times New Roman" w:eastAsia="Times New Roman" w:hAnsi="Times New Roman" w:cs="Times New Roman"/>
          <w:shd w:val="pct15" w:color="auto" w:fill="FFFFFF"/>
          <w:lang w:val="es-ES"/>
        </w:rPr>
        <w:t xml:space="preserve"> 13</w:t>
      </w:r>
    </w:p>
    <w:p w14:paraId="489FD73C" w14:textId="3B5C5805" w:rsidR="007561B4" w:rsidRPr="004537E9" w:rsidRDefault="007561B4" w:rsidP="007561B4">
      <w:pPr>
        <w:spacing w:before="10" w:line="240" w:lineRule="exact"/>
        <w:rPr>
          <w:rFonts w:ascii="Times New Roman" w:hAnsi="Times New Roman" w:cs="Times New Roman"/>
          <w:shd w:val="pct15" w:color="auto" w:fill="FFFFFF"/>
          <w:lang w:val="es-ES" w:eastAsia="ko-KR"/>
        </w:rPr>
      </w:pPr>
      <w:r w:rsidRPr="00167BF3">
        <w:rPr>
          <w:rFonts w:ascii="Times New Roman" w:eastAsia="Times New Roman" w:hAnsi="Times New Roman" w:cs="Times New Roman"/>
          <w:shd w:val="pct15" w:color="auto" w:fill="FFFFFF"/>
          <w:lang w:val="es-ES"/>
        </w:rPr>
        <w:t xml:space="preserve">89231 </w:t>
      </w:r>
      <w:proofErr w:type="spellStart"/>
      <w:r w:rsidRPr="00167BF3">
        <w:rPr>
          <w:rFonts w:ascii="Times New Roman" w:eastAsia="Times New Roman" w:hAnsi="Times New Roman" w:cs="Times New Roman"/>
          <w:shd w:val="pct15" w:color="auto" w:fill="FFFFFF"/>
          <w:lang w:val="es-ES"/>
        </w:rPr>
        <w:t>Neu</w:t>
      </w:r>
      <w:proofErr w:type="spellEnd"/>
      <w:r w:rsidR="004537E9">
        <w:rPr>
          <w:rFonts w:ascii="Times New Roman" w:hAnsi="Times New Roman" w:cs="Times New Roman" w:hint="eastAsia"/>
          <w:shd w:val="pct15" w:color="auto" w:fill="FFFFFF"/>
          <w:lang w:val="es-ES" w:eastAsia="ko-KR"/>
        </w:rPr>
        <w:t>-</w:t>
      </w:r>
      <w:r w:rsidRPr="00167BF3">
        <w:rPr>
          <w:rFonts w:ascii="Times New Roman" w:eastAsia="Times New Roman" w:hAnsi="Times New Roman" w:cs="Times New Roman"/>
          <w:shd w:val="pct15" w:color="auto" w:fill="FFFFFF"/>
          <w:lang w:val="es-ES"/>
        </w:rPr>
        <w:t>Ulm</w:t>
      </w:r>
    </w:p>
    <w:p w14:paraId="37110080" w14:textId="77777777" w:rsidR="007561B4" w:rsidRPr="00167BF3" w:rsidRDefault="007561B4" w:rsidP="007561B4">
      <w:pPr>
        <w:spacing w:before="10" w:line="240" w:lineRule="exact"/>
        <w:rPr>
          <w:rFonts w:ascii="Times New Roman" w:eastAsia="Times New Roman" w:hAnsi="Times New Roman" w:cs="Times New Roman"/>
          <w:shd w:val="pct15" w:color="auto" w:fill="FFFFFF"/>
          <w:lang w:val="es-ES"/>
        </w:rPr>
      </w:pPr>
      <w:proofErr w:type="spellStart"/>
      <w:r w:rsidRPr="00167BF3">
        <w:rPr>
          <w:rFonts w:ascii="Times New Roman" w:eastAsia="Times New Roman" w:hAnsi="Times New Roman" w:cs="Times New Roman"/>
          <w:shd w:val="pct15" w:color="auto" w:fill="FFFFFF"/>
          <w:lang w:val="es-ES"/>
        </w:rPr>
        <w:t>Németország</w:t>
      </w:r>
      <w:proofErr w:type="spellEnd"/>
    </w:p>
    <w:p w14:paraId="224CF0F7" w14:textId="77777777" w:rsidR="007561B4" w:rsidRPr="00167BF3" w:rsidRDefault="007561B4" w:rsidP="007561B4">
      <w:pPr>
        <w:spacing w:before="10" w:line="240" w:lineRule="exact"/>
        <w:rPr>
          <w:rFonts w:ascii="Times New Roman" w:eastAsia="Times New Roman" w:hAnsi="Times New Roman" w:cs="Times New Roman"/>
          <w:shd w:val="pct15" w:color="auto" w:fill="FFFFFF"/>
          <w:lang w:val="es-ES"/>
        </w:rPr>
      </w:pPr>
    </w:p>
    <w:p w14:paraId="7CC4EBA0" w14:textId="19B9B812" w:rsidR="007561B4" w:rsidRPr="00167BF3" w:rsidDel="002C78FA" w:rsidRDefault="007561B4" w:rsidP="007561B4">
      <w:pPr>
        <w:spacing w:before="10" w:line="240" w:lineRule="exact"/>
        <w:rPr>
          <w:moveFrom w:id="193" w:author="만든 이" w16du:dateUtc="2025-09-09T05:36:00Z"/>
          <w:rFonts w:ascii="Times New Roman" w:eastAsia="Times New Roman" w:hAnsi="Times New Roman" w:cs="Times New Roman"/>
          <w:shd w:val="pct15" w:color="auto" w:fill="FFFFFF"/>
        </w:rPr>
      </w:pPr>
      <w:moveFromRangeStart w:id="194" w:author="만든 이" w:name="move208321010"/>
      <w:moveFrom w:id="195" w:author="만든 이" w16du:dateUtc="2025-09-09T05:36:00Z">
        <w:r w:rsidRPr="00167BF3" w:rsidDel="002C78FA">
          <w:rPr>
            <w:rFonts w:ascii="Times New Roman" w:eastAsia="Times New Roman" w:hAnsi="Times New Roman" w:cs="Times New Roman"/>
            <w:shd w:val="pct15" w:color="auto" w:fill="FFFFFF"/>
          </w:rPr>
          <w:t>Nuvisan France SARL</w:t>
        </w:r>
      </w:moveFrom>
    </w:p>
    <w:p w14:paraId="2990464C" w14:textId="5494C188" w:rsidR="007561B4" w:rsidRPr="004537E9" w:rsidDel="002C78FA" w:rsidRDefault="007561B4" w:rsidP="007561B4">
      <w:pPr>
        <w:spacing w:before="10" w:line="240" w:lineRule="exact"/>
        <w:rPr>
          <w:moveFrom w:id="196" w:author="만든 이" w16du:dateUtc="2025-09-09T05:36:00Z"/>
          <w:rFonts w:ascii="Times New Roman" w:hAnsi="Times New Roman" w:cs="Times New Roman"/>
          <w:shd w:val="pct15" w:color="auto" w:fill="FFFFFF"/>
          <w:lang w:eastAsia="ko-KR"/>
        </w:rPr>
      </w:pPr>
      <w:moveFrom w:id="197" w:author="만든 이" w16du:dateUtc="2025-09-09T05:36:00Z">
        <w:r w:rsidRPr="00167BF3" w:rsidDel="002C78FA">
          <w:rPr>
            <w:rFonts w:ascii="Times New Roman" w:eastAsia="Times New Roman" w:hAnsi="Times New Roman" w:cs="Times New Roman"/>
            <w:shd w:val="pct15" w:color="auto" w:fill="FFFFFF"/>
          </w:rPr>
          <w:t>2400, Route des Colles</w:t>
        </w:r>
      </w:moveFrom>
    </w:p>
    <w:p w14:paraId="1EE59E1D" w14:textId="21D3DC4C" w:rsidR="007561B4" w:rsidRPr="004537E9" w:rsidDel="002C78FA" w:rsidRDefault="007561B4" w:rsidP="007561B4">
      <w:pPr>
        <w:spacing w:before="10" w:line="240" w:lineRule="exact"/>
        <w:rPr>
          <w:moveFrom w:id="198" w:author="만든 이" w16du:dateUtc="2025-09-09T05:36:00Z"/>
          <w:rFonts w:ascii="Times New Roman" w:hAnsi="Times New Roman" w:cs="Times New Roman"/>
          <w:shd w:val="pct15" w:color="auto" w:fill="FFFFFF"/>
          <w:lang w:eastAsia="ko-KR"/>
        </w:rPr>
      </w:pPr>
      <w:moveFrom w:id="199" w:author="만든 이" w16du:dateUtc="2025-09-09T05:36:00Z">
        <w:r w:rsidRPr="00167BF3" w:rsidDel="002C78FA">
          <w:rPr>
            <w:rFonts w:ascii="Times New Roman" w:eastAsia="Times New Roman" w:hAnsi="Times New Roman" w:cs="Times New Roman"/>
            <w:shd w:val="pct15" w:color="auto" w:fill="FFFFFF"/>
          </w:rPr>
          <w:t>06410, Biot</w:t>
        </w:r>
      </w:moveFrom>
    </w:p>
    <w:p w14:paraId="69EF8378" w14:textId="27E37C48" w:rsidR="007561B4" w:rsidRPr="00167BF3" w:rsidDel="002C78FA" w:rsidRDefault="007561B4" w:rsidP="007561B4">
      <w:pPr>
        <w:autoSpaceDE w:val="0"/>
        <w:autoSpaceDN w:val="0"/>
        <w:adjustRightInd w:val="0"/>
        <w:rPr>
          <w:moveFrom w:id="200" w:author="만든 이" w16du:dateUtc="2025-09-09T05:36:00Z"/>
          <w:rFonts w:ascii="Times New Roman" w:eastAsia="Times New Roman" w:hAnsi="Times New Roman" w:cs="Times New Roman"/>
          <w:shd w:val="pct15" w:color="auto" w:fill="FFFFFF"/>
        </w:rPr>
      </w:pPr>
      <w:moveFrom w:id="201" w:author="만든 이" w16du:dateUtc="2025-09-09T05:36:00Z">
        <w:r w:rsidRPr="00167BF3" w:rsidDel="002C78FA">
          <w:rPr>
            <w:rFonts w:ascii="Times New Roman" w:eastAsia="Times New Roman" w:hAnsi="Times New Roman" w:cs="Times New Roman"/>
            <w:shd w:val="pct15" w:color="auto" w:fill="FFFFFF"/>
          </w:rPr>
          <w:t>Franciaország</w:t>
        </w:r>
      </w:moveFrom>
    </w:p>
    <w:p w14:paraId="249370A1" w14:textId="5D238F7A" w:rsidR="007561B4" w:rsidRPr="00167BF3" w:rsidDel="002C78FA" w:rsidRDefault="007561B4" w:rsidP="007561B4">
      <w:pPr>
        <w:pStyle w:val="a3"/>
        <w:rPr>
          <w:moveFrom w:id="202" w:author="만든 이" w16du:dateUtc="2025-09-09T05:36:00Z"/>
          <w:shd w:val="pct15" w:color="auto" w:fill="FFFFFF"/>
        </w:rPr>
      </w:pPr>
    </w:p>
    <w:moveFromRangeEnd w:id="194"/>
    <w:p w14:paraId="4754A8C1" w14:textId="77777777" w:rsidR="007561B4" w:rsidRPr="007D68C5" w:rsidRDefault="007561B4" w:rsidP="007561B4">
      <w:pPr>
        <w:pStyle w:val="a3"/>
        <w:rPr>
          <w:shd w:val="pct15" w:color="auto" w:fill="FFFFFF"/>
        </w:rPr>
      </w:pPr>
      <w:r w:rsidRPr="007D68C5">
        <w:rPr>
          <w:shd w:val="pct15" w:color="auto" w:fill="FFFFFF"/>
        </w:rPr>
        <w:t>Midas Pharma GmbH</w:t>
      </w:r>
    </w:p>
    <w:p w14:paraId="15DACCE8" w14:textId="2D507DEB" w:rsidR="007561B4" w:rsidRPr="007D68C5" w:rsidRDefault="007561B4" w:rsidP="007561B4">
      <w:pPr>
        <w:pStyle w:val="a3"/>
        <w:rPr>
          <w:shd w:val="pct15" w:color="auto" w:fill="FFFFFF"/>
        </w:rPr>
      </w:pPr>
      <w:proofErr w:type="spellStart"/>
      <w:r w:rsidRPr="007D68C5">
        <w:rPr>
          <w:shd w:val="pct15" w:color="auto" w:fill="FFFFFF"/>
        </w:rPr>
        <w:lastRenderedPageBreak/>
        <w:t>Rheinstr</w:t>
      </w:r>
      <w:proofErr w:type="spellEnd"/>
      <w:r w:rsidRPr="007D68C5">
        <w:rPr>
          <w:shd w:val="pct15" w:color="auto" w:fill="FFFFFF"/>
        </w:rPr>
        <w:t>. 49</w:t>
      </w:r>
    </w:p>
    <w:p w14:paraId="05F39D20" w14:textId="49541AF9" w:rsidR="007561B4" w:rsidRPr="007D68C5" w:rsidRDefault="007561B4" w:rsidP="007561B4">
      <w:pPr>
        <w:pStyle w:val="a3"/>
        <w:rPr>
          <w:shd w:val="pct15" w:color="auto" w:fill="FFFFFF"/>
        </w:rPr>
      </w:pPr>
      <w:r w:rsidRPr="007D68C5">
        <w:rPr>
          <w:shd w:val="pct15" w:color="auto" w:fill="FFFFFF"/>
        </w:rPr>
        <w:t>55218 Ingelheim</w:t>
      </w:r>
    </w:p>
    <w:p w14:paraId="6DDF9AFB" w14:textId="77777777" w:rsidR="007561B4" w:rsidRPr="007D68C5" w:rsidRDefault="007561B4" w:rsidP="007561B4">
      <w:pPr>
        <w:pStyle w:val="a3"/>
        <w:rPr>
          <w:shd w:val="pct15" w:color="auto" w:fill="FFFFFF"/>
        </w:rPr>
      </w:pPr>
      <w:proofErr w:type="spellStart"/>
      <w:r w:rsidRPr="007D68C5">
        <w:rPr>
          <w:shd w:val="pct15" w:color="auto" w:fill="FFFFFF"/>
        </w:rPr>
        <w:t>Németország</w:t>
      </w:r>
      <w:proofErr w:type="spellEnd"/>
    </w:p>
    <w:p w14:paraId="36497E87" w14:textId="77777777" w:rsidR="007561B4" w:rsidRPr="007D68C5" w:rsidRDefault="007561B4" w:rsidP="007561B4">
      <w:pPr>
        <w:pStyle w:val="a3"/>
        <w:rPr>
          <w:shd w:val="pct15" w:color="auto" w:fill="FFFFFF"/>
        </w:rPr>
      </w:pPr>
    </w:p>
    <w:p w14:paraId="3C87D7E3" w14:textId="323B912F" w:rsidR="007561B4" w:rsidRPr="00167BF3" w:rsidRDefault="007561B4" w:rsidP="007561B4">
      <w:pPr>
        <w:pStyle w:val="a3"/>
        <w:rPr>
          <w:shd w:val="pct15" w:color="auto" w:fill="FFFFFF"/>
          <w:lang w:val="fr-FR"/>
        </w:rPr>
      </w:pPr>
      <w:r w:rsidRPr="00167BF3">
        <w:rPr>
          <w:shd w:val="pct15" w:color="auto" w:fill="FFFFFF"/>
          <w:lang w:val="fr-FR"/>
        </w:rPr>
        <w:t>KYMOS S.L.</w:t>
      </w:r>
    </w:p>
    <w:p w14:paraId="4271E6F2" w14:textId="64CB6864" w:rsidR="007561B4" w:rsidRPr="00167BF3" w:rsidRDefault="007561B4" w:rsidP="007561B4">
      <w:pPr>
        <w:pStyle w:val="a3"/>
        <w:rPr>
          <w:shd w:val="pct15" w:color="auto" w:fill="FFFFFF"/>
          <w:lang w:val="fr-FR"/>
        </w:rPr>
      </w:pPr>
      <w:r w:rsidRPr="00167BF3">
        <w:rPr>
          <w:shd w:val="pct15" w:color="auto" w:fill="FFFFFF"/>
          <w:lang w:val="fr-FR"/>
        </w:rPr>
        <w:t xml:space="preserve">Ronda Can </w:t>
      </w:r>
      <w:proofErr w:type="spellStart"/>
      <w:r w:rsidRPr="00167BF3">
        <w:rPr>
          <w:shd w:val="pct15" w:color="auto" w:fill="FFFFFF"/>
          <w:lang w:val="fr-FR"/>
        </w:rPr>
        <w:t>Fatjó</w:t>
      </w:r>
      <w:proofErr w:type="spellEnd"/>
      <w:r w:rsidRPr="00167BF3">
        <w:rPr>
          <w:shd w:val="pct15" w:color="auto" w:fill="FFFFFF"/>
          <w:lang w:val="fr-FR"/>
        </w:rPr>
        <w:t>, 7B.</w:t>
      </w:r>
    </w:p>
    <w:p w14:paraId="26B5B6B2" w14:textId="682AA375" w:rsidR="007561B4" w:rsidRPr="00167BF3" w:rsidRDefault="007561B4" w:rsidP="007561B4">
      <w:pPr>
        <w:pStyle w:val="a3"/>
        <w:rPr>
          <w:shd w:val="pct15" w:color="auto" w:fill="FFFFFF"/>
          <w:lang w:val="fr-FR"/>
        </w:rPr>
      </w:pPr>
      <w:r w:rsidRPr="00167BF3">
        <w:rPr>
          <w:shd w:val="pct15" w:color="auto" w:fill="FFFFFF"/>
          <w:lang w:val="fr-FR"/>
        </w:rPr>
        <w:t xml:space="preserve">08290 </w:t>
      </w:r>
      <w:proofErr w:type="spellStart"/>
      <w:r w:rsidRPr="00167BF3">
        <w:rPr>
          <w:shd w:val="pct15" w:color="auto" w:fill="FFFFFF"/>
          <w:lang w:val="fr-FR"/>
        </w:rPr>
        <w:t>Cerdanyola</w:t>
      </w:r>
      <w:proofErr w:type="spellEnd"/>
      <w:r w:rsidRPr="00167BF3">
        <w:rPr>
          <w:shd w:val="pct15" w:color="auto" w:fill="FFFFFF"/>
          <w:lang w:val="fr-FR"/>
        </w:rPr>
        <w:t xml:space="preserve"> </w:t>
      </w:r>
      <w:proofErr w:type="spellStart"/>
      <w:r w:rsidRPr="00167BF3">
        <w:rPr>
          <w:shd w:val="pct15" w:color="auto" w:fill="FFFFFF"/>
          <w:lang w:val="fr-FR"/>
        </w:rPr>
        <w:t>del</w:t>
      </w:r>
      <w:proofErr w:type="spellEnd"/>
      <w:r w:rsidRPr="00167BF3">
        <w:rPr>
          <w:shd w:val="pct15" w:color="auto" w:fill="FFFFFF"/>
          <w:lang w:val="fr-FR"/>
        </w:rPr>
        <w:t xml:space="preserve"> Vallès</w:t>
      </w:r>
    </w:p>
    <w:p w14:paraId="242E89E8" w14:textId="152A8E34" w:rsidR="007561B4" w:rsidRPr="00167BF3" w:rsidRDefault="007561B4" w:rsidP="007561B4">
      <w:pPr>
        <w:pStyle w:val="a3"/>
        <w:rPr>
          <w:shd w:val="pct15" w:color="auto" w:fill="FFFFFF"/>
          <w:lang w:val="fr-FR"/>
        </w:rPr>
      </w:pPr>
      <w:r w:rsidRPr="00167BF3">
        <w:rPr>
          <w:shd w:val="pct15" w:color="auto" w:fill="FFFFFF"/>
          <w:lang w:val="fr-FR"/>
        </w:rPr>
        <w:t>Barcelona</w:t>
      </w:r>
    </w:p>
    <w:p w14:paraId="286D4873" w14:textId="77777777" w:rsidR="007561B4" w:rsidRPr="00167BF3" w:rsidRDefault="007561B4" w:rsidP="007561B4">
      <w:pPr>
        <w:pStyle w:val="a3"/>
        <w:rPr>
          <w:shd w:val="pct15" w:color="auto" w:fill="FFFFFF"/>
          <w:lang w:val="fr-FR"/>
        </w:rPr>
      </w:pPr>
      <w:proofErr w:type="spellStart"/>
      <w:r w:rsidRPr="00167BF3">
        <w:rPr>
          <w:shd w:val="pct15" w:color="auto" w:fill="FFFFFF"/>
          <w:lang w:val="fr-FR"/>
        </w:rPr>
        <w:t>Spanyolország</w:t>
      </w:r>
      <w:proofErr w:type="spellEnd"/>
    </w:p>
    <w:p w14:paraId="03811BFA" w14:textId="77777777" w:rsidR="007561B4" w:rsidRPr="00644E8D" w:rsidRDefault="007561B4" w:rsidP="007561B4">
      <w:pPr>
        <w:spacing w:before="14" w:line="240" w:lineRule="exact"/>
        <w:rPr>
          <w:sz w:val="24"/>
          <w:szCs w:val="24"/>
          <w:lang w:val="fr-FR"/>
        </w:rPr>
      </w:pPr>
    </w:p>
    <w:p w14:paraId="0B1B0224" w14:textId="77777777" w:rsidR="007561B4" w:rsidRDefault="007561B4" w:rsidP="002C78FA">
      <w:pPr>
        <w:pStyle w:val="a3"/>
        <w:widowControl/>
        <w:rPr>
          <w:lang w:val="hu-HU"/>
        </w:rPr>
      </w:pPr>
      <w:r>
        <w:rPr>
          <w:rFonts w:eastAsia="Times New Roman"/>
          <w:lang w:val="hu-HU"/>
        </w:rPr>
        <w:t>A készítményhez kapcsolódó további kérdéseivel forduljon a forgalomba hozatali engedély jogosultjának helyi képviseletéhez:</w:t>
      </w:r>
    </w:p>
    <w:p w14:paraId="262DDB06" w14:textId="77777777" w:rsidR="007561B4" w:rsidRDefault="007561B4" w:rsidP="007561B4">
      <w:pPr>
        <w:numPr>
          <w:ilvl w:val="12"/>
          <w:numId w:val="0"/>
        </w:numPr>
        <w:ind w:right="-2"/>
        <w:rPr>
          <w:rFonts w:ascii="Times New Roman" w:hAnsi="Times New Roman" w:cs="Times New Roman"/>
          <w:b/>
          <w:noProof/>
          <w:lang w:val="hu-HU"/>
        </w:rPr>
      </w:pPr>
    </w:p>
    <w:tbl>
      <w:tblPr>
        <w:tblW w:w="5000" w:type="pct"/>
        <w:tblLook w:val="04A0" w:firstRow="1" w:lastRow="0" w:firstColumn="1" w:lastColumn="0" w:noHBand="0" w:noVBand="1"/>
      </w:tblPr>
      <w:tblGrid>
        <w:gridCol w:w="4800"/>
        <w:gridCol w:w="4800"/>
      </w:tblGrid>
      <w:tr w:rsidR="007561B4" w14:paraId="40E92EA0" w14:textId="77777777" w:rsidTr="00CC2E43">
        <w:tc>
          <w:tcPr>
            <w:tcW w:w="2500" w:type="pct"/>
            <w:hideMark/>
          </w:tcPr>
          <w:p w14:paraId="483834A5" w14:textId="77777777" w:rsidR="007561B4" w:rsidRDefault="007561B4" w:rsidP="00CC2E43">
            <w:pPr>
              <w:rPr>
                <w:rFonts w:ascii="Times New Roman" w:hAnsi="Times New Roman" w:cs="Times New Roman"/>
                <w:b/>
                <w:noProof/>
                <w:lang w:val="hu-HU" w:eastAsia="fr-FR"/>
              </w:rPr>
            </w:pPr>
            <w:r>
              <w:rPr>
                <w:rFonts w:ascii="Times New Roman" w:eastAsia="맑은 고딕" w:hAnsi="Times New Roman" w:cs="Times New Roman"/>
                <w:b/>
                <w:noProof/>
                <w:lang w:val="hu-HU" w:eastAsia="fr-FR"/>
              </w:rPr>
              <w:t>België/Belgique/Belgien</w:t>
            </w:r>
          </w:p>
          <w:p w14:paraId="2F487203" w14:textId="77777777" w:rsidR="007561B4" w:rsidRDefault="007561B4" w:rsidP="00CC2E4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Belgium BVBA</w:t>
            </w:r>
          </w:p>
          <w:p w14:paraId="094AAF4A" w14:textId="77777777" w:rsidR="007561B4" w:rsidRDefault="007561B4" w:rsidP="00CC2E43">
            <w:pPr>
              <w:rPr>
                <w:rFonts w:ascii="Times New Roman" w:eastAsia="맑은 고딕" w:hAnsi="Times New Roman" w:cs="Times New Roman"/>
                <w:noProof/>
                <w:lang w:val="hu-HU" w:eastAsia="ko-KR"/>
              </w:rPr>
            </w:pPr>
            <w:r>
              <w:rPr>
                <w:rFonts w:ascii="Times New Roman" w:eastAsia="맑은 고딕" w:hAnsi="Times New Roman" w:cs="Times New Roman"/>
                <w:noProof/>
                <w:lang w:val="hu-HU" w:eastAsia="fr-FR"/>
              </w:rPr>
              <w:t>Tél/Tel: + 32 1528 7418</w:t>
            </w:r>
          </w:p>
        </w:tc>
        <w:tc>
          <w:tcPr>
            <w:tcW w:w="2500" w:type="pct"/>
          </w:tcPr>
          <w:p w14:paraId="11336754" w14:textId="77777777" w:rsidR="007561B4" w:rsidRDefault="007561B4" w:rsidP="00CC2E43">
            <w:pPr>
              <w:tabs>
                <w:tab w:val="left" w:pos="-720"/>
              </w:tabs>
              <w:suppressAutoHyphens/>
              <w:rPr>
                <w:rFonts w:ascii="Times New Roman" w:hAnsi="Times New Roman" w:cs="Times New Roman"/>
                <w:b/>
                <w:noProof/>
                <w:lang w:val="hu-HU" w:eastAsia="fr-FR"/>
              </w:rPr>
            </w:pPr>
            <w:r>
              <w:rPr>
                <w:rFonts w:ascii="Times New Roman" w:hAnsi="Times New Roman" w:cs="Times New Roman"/>
                <w:b/>
                <w:noProof/>
                <w:lang w:val="hu-HU" w:eastAsia="fr-FR"/>
              </w:rPr>
              <w:t>Lietuva</w:t>
            </w:r>
          </w:p>
          <w:p w14:paraId="7C0FB2E4" w14:textId="77777777" w:rsidR="007561B4" w:rsidRDefault="007561B4" w:rsidP="00CC2E43">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014EC992" w14:textId="77777777" w:rsidR="007561B4" w:rsidRDefault="007561B4" w:rsidP="00CC2E43">
            <w:pPr>
              <w:tabs>
                <w:tab w:val="left" w:pos="-720"/>
              </w:tabs>
              <w:suppressAutoHyphens/>
              <w:rPr>
                <w:rFonts w:ascii="Times New Roman" w:hAnsi="Times New Roman" w:cs="Times New Roman"/>
                <w:noProof/>
                <w:lang w:val="hu-HU" w:eastAsia="fr-FR"/>
              </w:rPr>
            </w:pPr>
            <w:r w:rsidRPr="00220E63">
              <w:rPr>
                <w:rFonts w:ascii="Times New Roman" w:eastAsia="맑은 고딕" w:hAnsi="Times New Roman" w:cs="Times New Roman"/>
                <w:noProof/>
                <w:lang w:eastAsia="fr-FR"/>
              </w:rPr>
              <w:t xml:space="preserve">Tel.: </w:t>
            </w:r>
            <w:r>
              <w:rPr>
                <w:rFonts w:ascii="Times New Roman" w:eastAsia="맑은 고딕" w:hAnsi="Times New Roman" w:cs="Times New Roman"/>
                <w:noProof/>
                <w:lang w:eastAsia="fr-FR"/>
              </w:rPr>
              <w:t>+36 1 231 0493</w:t>
            </w:r>
          </w:p>
          <w:p w14:paraId="46979984" w14:textId="77777777" w:rsidR="007561B4" w:rsidRPr="00120A76" w:rsidRDefault="007561B4" w:rsidP="00CC2E43">
            <w:pPr>
              <w:autoSpaceDE w:val="0"/>
              <w:autoSpaceDN w:val="0"/>
              <w:adjustRightInd w:val="0"/>
              <w:rPr>
                <w:rFonts w:ascii="Times New Roman" w:hAnsi="Times New Roman" w:cs="Times New Roman"/>
                <w:noProof/>
                <w:lang w:val="hu-HU" w:eastAsia="fr-FR"/>
              </w:rPr>
            </w:pPr>
          </w:p>
        </w:tc>
      </w:tr>
      <w:tr w:rsidR="007561B4" w14:paraId="28A15391" w14:textId="77777777" w:rsidTr="00CC2E43">
        <w:trPr>
          <w:trHeight w:val="619"/>
        </w:trPr>
        <w:tc>
          <w:tcPr>
            <w:tcW w:w="2500" w:type="pct"/>
          </w:tcPr>
          <w:p w14:paraId="4CAE94FA" w14:textId="77777777" w:rsidR="007561B4" w:rsidRDefault="007561B4" w:rsidP="00CC2E43">
            <w:pPr>
              <w:rPr>
                <w:rFonts w:ascii="Times New Roman" w:eastAsia="맑은 고딕" w:hAnsi="Times New Roman" w:cs="Times New Roman"/>
                <w:b/>
                <w:noProof/>
                <w:lang w:val="hu-HU" w:eastAsia="fr-FR"/>
              </w:rPr>
            </w:pPr>
            <w:r>
              <w:rPr>
                <w:rFonts w:ascii="Times New Roman" w:hAnsi="Times New Roman" w:cs="Times New Roman"/>
                <w:b/>
                <w:bCs/>
                <w:lang w:val="hu-HU"/>
              </w:rPr>
              <w:t>България</w:t>
            </w:r>
          </w:p>
          <w:p w14:paraId="60962764" w14:textId="77777777" w:rsidR="007561B4" w:rsidRDefault="007561B4" w:rsidP="00CC2E43">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1A4D5811" w14:textId="77777777" w:rsidR="007561B4" w:rsidRDefault="007561B4" w:rsidP="00CC2E43">
            <w:pPr>
              <w:rPr>
                <w:rFonts w:ascii="Times New Roman" w:eastAsia="맑은 고딕" w:hAnsi="Times New Roman" w:cs="Times New Roman"/>
                <w:noProof/>
                <w:lang w:eastAsia="fr-FR"/>
              </w:rPr>
            </w:pPr>
            <w:r w:rsidRPr="00520ED3">
              <w:rPr>
                <w:rFonts w:ascii="Times New Roman" w:eastAsia="맑은 고딕" w:hAnsi="Times New Roman" w:cs="Times New Roman"/>
                <w:noProof/>
                <w:lang w:eastAsia="fr-FR"/>
              </w:rPr>
              <w:t xml:space="preserve">Teл.: </w:t>
            </w:r>
            <w:r>
              <w:rPr>
                <w:rFonts w:ascii="Times New Roman" w:eastAsia="맑은 고딕" w:hAnsi="Times New Roman" w:cs="Times New Roman"/>
                <w:noProof/>
                <w:lang w:eastAsia="fr-FR"/>
              </w:rPr>
              <w:t>+36 1 231 0493</w:t>
            </w:r>
          </w:p>
          <w:p w14:paraId="7B7208BB" w14:textId="77777777" w:rsidR="00BE4D18" w:rsidRPr="00120A76" w:rsidRDefault="00BE4D18" w:rsidP="00CC2E43">
            <w:pPr>
              <w:rPr>
                <w:rFonts w:ascii="Times New Roman" w:hAnsi="Times New Roman" w:cs="Times New Roman"/>
                <w:noProof/>
                <w:lang w:val="hu-HU" w:eastAsia="fr-FR"/>
              </w:rPr>
            </w:pPr>
          </w:p>
        </w:tc>
        <w:tc>
          <w:tcPr>
            <w:tcW w:w="2500" w:type="pct"/>
            <w:hideMark/>
          </w:tcPr>
          <w:p w14:paraId="60C5F33B" w14:textId="77777777" w:rsidR="007561B4" w:rsidRDefault="007561B4" w:rsidP="00CC2E43">
            <w:pPr>
              <w:tabs>
                <w:tab w:val="left" w:pos="-720"/>
              </w:tabs>
              <w:suppressAutoHyphens/>
              <w:rPr>
                <w:rFonts w:ascii="Times New Roman" w:hAnsi="Times New Roman" w:cs="Times New Roman"/>
                <w:noProof/>
                <w:lang w:val="hu-HU" w:eastAsia="fr-FR"/>
              </w:rPr>
            </w:pPr>
            <w:r>
              <w:rPr>
                <w:rFonts w:ascii="Times New Roman" w:eastAsia="맑은 고딕" w:hAnsi="Times New Roman" w:cs="Times New Roman"/>
                <w:b/>
                <w:noProof/>
                <w:lang w:val="hu-HU" w:eastAsia="fr-FR"/>
              </w:rPr>
              <w:t>Luxembourg/Luxemburg</w:t>
            </w:r>
          </w:p>
          <w:p w14:paraId="2510FDAB" w14:textId="77777777" w:rsidR="007561B4" w:rsidRDefault="007561B4" w:rsidP="00CC2E43">
            <w:pPr>
              <w:tabs>
                <w:tab w:val="left" w:pos="-720"/>
              </w:tabs>
              <w:suppressAutoHyphens/>
              <w:rPr>
                <w:rFonts w:ascii="Times New Roman" w:eastAsia="맑은 고딕" w:hAnsi="Times New Roman" w:cs="Times New Roman"/>
                <w:iCs/>
                <w:noProof/>
                <w:lang w:val="hu-HU" w:eastAsia="fr-FR"/>
              </w:rPr>
            </w:pPr>
            <w:r>
              <w:rPr>
                <w:rFonts w:ascii="Times New Roman" w:eastAsia="맑은 고딕" w:hAnsi="Times New Roman" w:cs="Times New Roman"/>
                <w:iCs/>
                <w:noProof/>
                <w:lang w:val="hu-HU" w:eastAsia="fr-FR"/>
              </w:rPr>
              <w:t>Celltrion Healthcare Belgium BVBA</w:t>
            </w:r>
          </w:p>
          <w:p w14:paraId="17E05DCB" w14:textId="77777777" w:rsidR="007561B4" w:rsidRDefault="007561B4" w:rsidP="00CC2E43">
            <w:pPr>
              <w:tabs>
                <w:tab w:val="left" w:pos="-720"/>
              </w:tabs>
              <w:suppressAutoHyphens/>
              <w:rPr>
                <w:rFonts w:ascii="Times New Roman" w:eastAsia="맑은 고딕" w:hAnsi="Times New Roman" w:cs="Times New Roman"/>
                <w:iCs/>
                <w:noProof/>
                <w:lang w:val="hu-HU" w:eastAsia="fr-FR"/>
              </w:rPr>
            </w:pPr>
            <w:r>
              <w:rPr>
                <w:rFonts w:ascii="Times New Roman" w:eastAsia="맑은 고딕" w:hAnsi="Times New Roman" w:cs="Times New Roman"/>
                <w:noProof/>
                <w:lang w:val="hu-HU" w:eastAsia="fr-FR"/>
              </w:rPr>
              <w:t xml:space="preserve">Tél/Tel: </w:t>
            </w:r>
            <w:r>
              <w:rPr>
                <w:rFonts w:ascii="Times New Roman" w:eastAsia="맑은 고딕" w:hAnsi="Times New Roman" w:cs="Times New Roman"/>
                <w:iCs/>
                <w:noProof/>
                <w:lang w:val="hu-HU" w:eastAsia="fr-FR"/>
              </w:rPr>
              <w:t>+ 32 1528 7418</w:t>
            </w:r>
          </w:p>
          <w:p w14:paraId="157AF1F7" w14:textId="77777777" w:rsidR="007561B4" w:rsidRDefault="007561B4" w:rsidP="00CC2E43">
            <w:pPr>
              <w:tabs>
                <w:tab w:val="left" w:pos="-720"/>
              </w:tabs>
              <w:suppressAutoHyphens/>
              <w:rPr>
                <w:rFonts w:ascii="Times New Roman" w:eastAsia="맑은 고딕" w:hAnsi="Times New Roman" w:cs="Times New Roman"/>
                <w:lang w:val="hu-HU" w:eastAsia="ko-KR"/>
              </w:rPr>
            </w:pPr>
          </w:p>
        </w:tc>
      </w:tr>
      <w:tr w:rsidR="007561B4" w14:paraId="30D46650" w14:textId="77777777" w:rsidTr="00CC2E43">
        <w:tc>
          <w:tcPr>
            <w:tcW w:w="2500" w:type="pct"/>
            <w:hideMark/>
          </w:tcPr>
          <w:p w14:paraId="500FBC6A" w14:textId="77777777" w:rsidR="007561B4" w:rsidRDefault="007561B4" w:rsidP="00CC2E43">
            <w:pPr>
              <w:tabs>
                <w:tab w:val="left" w:pos="-720"/>
              </w:tabs>
              <w:suppressAutoHyphens/>
              <w:rPr>
                <w:rFonts w:ascii="Times New Roman" w:eastAsia="맑은 고딕" w:hAnsi="Times New Roman" w:cs="Times New Roman"/>
                <w:b/>
                <w:noProof/>
                <w:lang w:val="hu-HU" w:eastAsia="fr-FR"/>
              </w:rPr>
            </w:pPr>
            <w:r>
              <w:rPr>
                <w:rFonts w:ascii="Times New Roman" w:eastAsia="맑은 고딕" w:hAnsi="Times New Roman" w:cs="Times New Roman"/>
                <w:b/>
                <w:noProof/>
                <w:lang w:val="hu-HU" w:eastAsia="fr-FR"/>
              </w:rPr>
              <w:t>Česká republika</w:t>
            </w:r>
          </w:p>
          <w:p w14:paraId="06BC0714" w14:textId="77777777" w:rsidR="007561B4" w:rsidRDefault="007561B4" w:rsidP="00CC2E43">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76683233" w14:textId="77777777" w:rsidR="007561B4" w:rsidRPr="00120A76" w:rsidRDefault="007561B4" w:rsidP="00CC2E43">
            <w:pPr>
              <w:tabs>
                <w:tab w:val="left" w:pos="-720"/>
              </w:tabs>
              <w:suppressAutoHyphens/>
              <w:rPr>
                <w:rFonts w:ascii="Times New Roman" w:hAnsi="Times New Roman" w:cs="Times New Roman"/>
                <w:noProof/>
                <w:lang w:val="hu-HU" w:eastAsia="fr-FR"/>
              </w:rPr>
            </w:pPr>
            <w:r w:rsidRPr="00BE43AD">
              <w:rPr>
                <w:rFonts w:ascii="Times New Roman" w:eastAsia="맑은 고딕" w:hAnsi="Times New Roman" w:cs="Times New Roman"/>
                <w:noProof/>
                <w:lang w:eastAsia="fr-FR"/>
              </w:rPr>
              <w:t xml:space="preserve">Tel: </w:t>
            </w:r>
            <w:r>
              <w:rPr>
                <w:rFonts w:ascii="Times New Roman" w:eastAsia="맑은 고딕" w:hAnsi="Times New Roman" w:cs="Times New Roman"/>
                <w:noProof/>
                <w:lang w:eastAsia="fr-FR"/>
              </w:rPr>
              <w:t>+36 1 231 0493</w:t>
            </w:r>
          </w:p>
        </w:tc>
        <w:tc>
          <w:tcPr>
            <w:tcW w:w="2500" w:type="pct"/>
          </w:tcPr>
          <w:p w14:paraId="165AC79D" w14:textId="77777777" w:rsidR="007561B4" w:rsidRDefault="007561B4" w:rsidP="00CC2E43">
            <w:pPr>
              <w:rPr>
                <w:rFonts w:ascii="Times New Roman" w:eastAsia="맑은 고딕" w:hAnsi="Times New Roman" w:cs="Times New Roman"/>
                <w:b/>
                <w:noProof/>
                <w:lang w:val="hu-HU" w:eastAsia="fr-FR"/>
              </w:rPr>
            </w:pPr>
            <w:r>
              <w:rPr>
                <w:rFonts w:ascii="Times New Roman" w:hAnsi="Times New Roman" w:cs="Times New Roman"/>
                <w:b/>
                <w:noProof/>
                <w:lang w:val="hu-HU"/>
              </w:rPr>
              <w:t>Magyarország</w:t>
            </w:r>
          </w:p>
          <w:p w14:paraId="33A899E4" w14:textId="77777777" w:rsidR="007561B4" w:rsidRDefault="007561B4" w:rsidP="00CC2E43">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6624A115" w14:textId="77777777" w:rsidR="007561B4" w:rsidRDefault="007561B4" w:rsidP="00CC2E43">
            <w:pPr>
              <w:rPr>
                <w:rFonts w:ascii="Times New Roman" w:eastAsia="맑은 고딕" w:hAnsi="Times New Roman" w:cs="Times New Roman"/>
                <w:noProof/>
                <w:lang w:val="hu-HU" w:eastAsia="fr-FR"/>
              </w:rPr>
            </w:pPr>
            <w:r w:rsidRPr="00BE43AD">
              <w:rPr>
                <w:rFonts w:ascii="Times New Roman" w:eastAsia="맑은 고딕" w:hAnsi="Times New Roman" w:cs="Times New Roman"/>
                <w:noProof/>
                <w:lang w:eastAsia="fr-FR"/>
              </w:rPr>
              <w:t xml:space="preserve">Tel.: </w:t>
            </w:r>
            <w:r>
              <w:rPr>
                <w:rFonts w:ascii="Times New Roman" w:eastAsia="맑은 고딕" w:hAnsi="Times New Roman" w:cs="Times New Roman"/>
                <w:noProof/>
                <w:lang w:eastAsia="fr-FR"/>
              </w:rPr>
              <w:t>+36 1 231 0493</w:t>
            </w:r>
          </w:p>
          <w:p w14:paraId="264499FE" w14:textId="77777777" w:rsidR="007561B4" w:rsidRPr="00120A76" w:rsidRDefault="007561B4" w:rsidP="00CC2E43">
            <w:pPr>
              <w:rPr>
                <w:rFonts w:ascii="Times New Roman" w:eastAsia="맑은 고딕" w:hAnsi="Times New Roman" w:cs="Times New Roman"/>
                <w:noProof/>
                <w:lang w:val="hu-HU" w:eastAsia="ko-KR"/>
              </w:rPr>
            </w:pPr>
          </w:p>
        </w:tc>
      </w:tr>
      <w:tr w:rsidR="007561B4" w14:paraId="22E70E95" w14:textId="77777777" w:rsidTr="00CC2E43">
        <w:tc>
          <w:tcPr>
            <w:tcW w:w="2500" w:type="pct"/>
            <w:hideMark/>
          </w:tcPr>
          <w:p w14:paraId="5F65D803" w14:textId="77777777" w:rsidR="007561B4" w:rsidRDefault="007561B4" w:rsidP="00CC2E43">
            <w:pPr>
              <w:tabs>
                <w:tab w:val="left" w:pos="-720"/>
              </w:tabs>
              <w:suppressAutoHyphens/>
              <w:rPr>
                <w:rFonts w:ascii="Times New Roman" w:hAnsi="Times New Roman" w:cs="Times New Roman"/>
                <w:b/>
                <w:bCs/>
                <w:i/>
                <w:iCs/>
                <w:noProof/>
                <w:lang w:val="hu-HU" w:eastAsia="fr-FR"/>
              </w:rPr>
            </w:pPr>
            <w:r>
              <w:rPr>
                <w:rFonts w:ascii="Times New Roman" w:hAnsi="Times New Roman" w:cs="Times New Roman"/>
                <w:b/>
                <w:noProof/>
                <w:lang w:val="hu-HU"/>
              </w:rPr>
              <w:t>Danmark</w:t>
            </w:r>
          </w:p>
          <w:p w14:paraId="611CD9D5" w14:textId="77777777" w:rsidR="007561B4" w:rsidRDefault="007561B4" w:rsidP="00CC2E43">
            <w:pPr>
              <w:tabs>
                <w:tab w:val="left" w:pos="-720"/>
              </w:tabs>
              <w:suppressAutoHyphen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Hungary Kft.</w:t>
            </w:r>
          </w:p>
          <w:p w14:paraId="2ADDAC0D" w14:textId="77777777" w:rsidR="007561B4" w:rsidRDefault="007561B4" w:rsidP="00CC2E43">
            <w:pPr>
              <w:tabs>
                <w:tab w:val="left" w:pos="-720"/>
              </w:tabs>
              <w:suppressAutoHyphen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Tlf: +36 1 231 0493</w:t>
            </w:r>
          </w:p>
        </w:tc>
        <w:tc>
          <w:tcPr>
            <w:tcW w:w="2500" w:type="pct"/>
          </w:tcPr>
          <w:p w14:paraId="151E493D" w14:textId="77777777" w:rsidR="007561B4" w:rsidRDefault="007561B4" w:rsidP="00CC2E43">
            <w:pPr>
              <w:rPr>
                <w:rFonts w:ascii="Times New Roman" w:hAnsi="Times New Roman" w:cs="Times New Roman"/>
                <w:noProof/>
                <w:lang w:val="hu-HU" w:eastAsia="fr-FR"/>
              </w:rPr>
            </w:pPr>
            <w:r>
              <w:rPr>
                <w:rFonts w:ascii="Times New Roman" w:eastAsia="맑은 고딕" w:hAnsi="Times New Roman" w:cs="Times New Roman"/>
                <w:b/>
                <w:noProof/>
                <w:lang w:val="hu-HU" w:eastAsia="fr-FR"/>
              </w:rPr>
              <w:t>Malta</w:t>
            </w:r>
          </w:p>
          <w:p w14:paraId="45EC6CD2" w14:textId="77777777" w:rsidR="007561B4" w:rsidRDefault="007561B4" w:rsidP="00CC2E43">
            <w:pPr>
              <w:tabs>
                <w:tab w:val="left" w:pos="-720"/>
              </w:tabs>
              <w:suppressAutoHyphens/>
              <w:rPr>
                <w:rFonts w:ascii="Times New Roman" w:eastAsia="맑은 고딕" w:hAnsi="Times New Roman" w:cs="Times New Roman"/>
                <w:noProof/>
                <w:lang w:val="hu-HU" w:eastAsia="fr-FR"/>
              </w:rPr>
            </w:pPr>
            <w:r w:rsidRPr="00BB53E6">
              <w:rPr>
                <w:rFonts w:ascii="Times New Roman" w:eastAsia="맑은 고딕" w:hAnsi="Times New Roman" w:cs="Times New Roman"/>
                <w:noProof/>
                <w:lang w:val="hu-HU" w:eastAsia="fr-FR"/>
              </w:rPr>
              <w:t>Mint Health Ltd.</w:t>
            </w:r>
          </w:p>
          <w:p w14:paraId="1A178EF4" w14:textId="77777777" w:rsidR="007561B4" w:rsidRDefault="007561B4" w:rsidP="00CC2E43">
            <w:pPr>
              <w:rPr>
                <w:rFonts w:ascii="Times New Roman" w:eastAsia="맑은 고딕" w:hAnsi="Times New Roman" w:cs="Times New Roman"/>
                <w:noProof/>
                <w:lang w:val="hu-HU" w:eastAsia="ko-KR"/>
              </w:rPr>
            </w:pPr>
            <w:r>
              <w:rPr>
                <w:rFonts w:ascii="Times New Roman" w:eastAsia="맑은 고딕" w:hAnsi="Times New Roman" w:cs="Times New Roman"/>
                <w:noProof/>
                <w:lang w:val="hu-HU" w:eastAsia="fr-FR"/>
              </w:rPr>
              <w:t xml:space="preserve">Tel: +356 </w:t>
            </w:r>
            <w:r w:rsidRPr="00BB53E6">
              <w:rPr>
                <w:rFonts w:ascii="Times New Roman" w:eastAsia="맑은 고딕" w:hAnsi="Times New Roman" w:cs="Times New Roman"/>
                <w:noProof/>
                <w:lang w:val="hu-HU" w:eastAsia="fr-FR"/>
              </w:rPr>
              <w:t>2093 9800</w:t>
            </w:r>
          </w:p>
          <w:p w14:paraId="14D3F83E" w14:textId="77777777" w:rsidR="007561B4" w:rsidRDefault="007561B4" w:rsidP="00CC2E43">
            <w:pPr>
              <w:rPr>
                <w:rFonts w:ascii="Times New Roman" w:eastAsia="맑은 고딕" w:hAnsi="Times New Roman" w:cs="Times New Roman"/>
                <w:noProof/>
                <w:lang w:val="hu-HU" w:eastAsia="ko-KR"/>
              </w:rPr>
            </w:pPr>
          </w:p>
        </w:tc>
      </w:tr>
      <w:tr w:rsidR="007561B4" w14:paraId="0203FF9D" w14:textId="77777777" w:rsidTr="00CC2E43">
        <w:tc>
          <w:tcPr>
            <w:tcW w:w="2500" w:type="pct"/>
            <w:hideMark/>
          </w:tcPr>
          <w:p w14:paraId="15273C7A" w14:textId="77777777" w:rsidR="007561B4" w:rsidRDefault="007561B4" w:rsidP="00CC2E43">
            <w:pPr>
              <w:rPr>
                <w:rFonts w:ascii="Times New Roman" w:hAnsi="Times New Roman" w:cs="Times New Roman"/>
                <w:b/>
                <w:noProof/>
                <w:lang w:val="hu-HU" w:eastAsia="fr-FR"/>
              </w:rPr>
            </w:pPr>
            <w:r>
              <w:rPr>
                <w:rFonts w:ascii="Times New Roman" w:eastAsia="맑은 고딕" w:hAnsi="Times New Roman" w:cs="Times New Roman"/>
                <w:b/>
                <w:noProof/>
                <w:lang w:val="hu-HU" w:eastAsia="fr-FR"/>
              </w:rPr>
              <w:t>Deutschland</w:t>
            </w:r>
          </w:p>
          <w:p w14:paraId="458FA39A" w14:textId="77777777" w:rsidR="00A6752B" w:rsidRPr="00A6752B" w:rsidRDefault="00A6752B" w:rsidP="00A6752B">
            <w:pPr>
              <w:rPr>
                <w:rFonts w:ascii="Times New Roman" w:eastAsia="맑은 고딕" w:hAnsi="Times New Roman" w:cs="Times New Roman"/>
                <w:noProof/>
                <w:lang w:val="hu-HU" w:eastAsia="fr-FR"/>
              </w:rPr>
            </w:pPr>
            <w:r w:rsidRPr="00A6752B">
              <w:rPr>
                <w:rFonts w:ascii="Times New Roman" w:eastAsia="맑은 고딕" w:hAnsi="Times New Roman" w:cs="Times New Roman"/>
                <w:noProof/>
                <w:lang w:val="hu-HU" w:eastAsia="fr-FR"/>
              </w:rPr>
              <w:t>Celltrion Healthcare Deutschland GmbH</w:t>
            </w:r>
          </w:p>
          <w:p w14:paraId="42E9328C" w14:textId="6247E2D8" w:rsidR="005F70F2" w:rsidRDefault="00A6752B" w:rsidP="00CC2E43">
            <w:pPr>
              <w:tabs>
                <w:tab w:val="left" w:pos="-720"/>
              </w:tabs>
              <w:suppressAutoHyphens/>
              <w:rPr>
                <w:rFonts w:ascii="Times New Roman" w:eastAsia="맑은 고딕" w:hAnsi="Times New Roman" w:cs="Times New Roman"/>
                <w:noProof/>
                <w:lang w:val="hu-HU" w:eastAsia="fr-FR"/>
              </w:rPr>
            </w:pPr>
            <w:r w:rsidRPr="00A6752B">
              <w:rPr>
                <w:rFonts w:ascii="Times New Roman" w:eastAsia="맑은 고딕" w:hAnsi="Times New Roman" w:cs="Times New Roman"/>
                <w:noProof/>
                <w:lang w:val="hu-HU" w:eastAsia="fr-FR"/>
              </w:rPr>
              <w:t>Tel. +49 (0)</w:t>
            </w:r>
            <w:r w:rsidR="00AB1B26">
              <w:rPr>
                <w:rFonts w:ascii="Times New Roman" w:eastAsia="맑은 고딕" w:hAnsi="Times New Roman" w:cs="Times New Roman"/>
                <w:noProof/>
                <w:lang w:val="hu-HU" w:eastAsia="fr-FR"/>
              </w:rPr>
              <w:t>30 346494150</w:t>
            </w:r>
          </w:p>
          <w:p w14:paraId="17BE9EFD" w14:textId="77777777" w:rsidR="005F70F2" w:rsidRPr="004C5B28" w:rsidRDefault="005F70F2" w:rsidP="005F70F2">
            <w:pPr>
              <w:rPr>
                <w:rFonts w:ascii="Times New Roman" w:eastAsia="맑은 고딕" w:hAnsi="Times New Roman" w:cs="Times New Roman"/>
                <w:noProof/>
                <w:lang w:val="hu-HU" w:eastAsia="ko-KR"/>
              </w:rPr>
            </w:pPr>
            <w:hyperlink r:id="rId163" w:history="1">
              <w:r w:rsidRPr="004C5B28">
                <w:rPr>
                  <w:rStyle w:val="ad"/>
                  <w:rFonts w:ascii="Times New Roman" w:eastAsia="맑은 고딕" w:hAnsi="Times New Roman" w:cs="Times New Roman"/>
                  <w:noProof/>
                  <w:lang w:val="hu-HU" w:eastAsia="ko-KR"/>
                </w:rPr>
                <w:t>infoDE@celltrionhc.com</w:t>
              </w:r>
            </w:hyperlink>
          </w:p>
          <w:p w14:paraId="48A3FB2B" w14:textId="1A683286" w:rsidR="007561B4" w:rsidRDefault="00A6752B" w:rsidP="00CC2E43">
            <w:pPr>
              <w:tabs>
                <w:tab w:val="left" w:pos="-720"/>
              </w:tabs>
              <w:suppressAutoHyphens/>
              <w:rPr>
                <w:rFonts w:ascii="Times New Roman" w:eastAsia="맑은 고딕" w:hAnsi="Times New Roman" w:cs="Times New Roman"/>
                <w:noProof/>
                <w:lang w:val="hu-HU" w:eastAsia="fr-FR"/>
              </w:rPr>
            </w:pPr>
            <w:r w:rsidRPr="00A6752B">
              <w:rPr>
                <w:rFonts w:ascii="Times New Roman" w:eastAsia="맑은 고딕" w:hAnsi="Times New Roman" w:cs="Times New Roman"/>
                <w:noProof/>
                <w:lang w:val="hu-HU" w:eastAsia="fr-FR"/>
              </w:rPr>
              <w:t xml:space="preserve"> </w:t>
            </w:r>
          </w:p>
        </w:tc>
        <w:tc>
          <w:tcPr>
            <w:tcW w:w="2500" w:type="pct"/>
          </w:tcPr>
          <w:p w14:paraId="55E77344" w14:textId="77777777" w:rsidR="007561B4" w:rsidRDefault="007561B4" w:rsidP="00CC2E43">
            <w:pPr>
              <w:rPr>
                <w:rFonts w:ascii="Times New Roman" w:hAnsi="Times New Roman" w:cs="Times New Roman"/>
                <w:noProof/>
                <w:lang w:val="hu-HU" w:eastAsia="fr-FR"/>
              </w:rPr>
            </w:pPr>
            <w:r>
              <w:rPr>
                <w:rFonts w:ascii="Times New Roman" w:eastAsia="맑은 고딕" w:hAnsi="Times New Roman" w:cs="Times New Roman"/>
                <w:b/>
                <w:noProof/>
                <w:lang w:val="hu-HU" w:eastAsia="fr-FR"/>
              </w:rPr>
              <w:t>Nederland</w:t>
            </w:r>
          </w:p>
          <w:p w14:paraId="2B3DDEF5" w14:textId="77777777" w:rsidR="007561B4" w:rsidRDefault="007561B4" w:rsidP="00CC2E4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Netherlands B.V.</w:t>
            </w:r>
          </w:p>
          <w:p w14:paraId="7F9F1C04" w14:textId="77777777" w:rsidR="007561B4" w:rsidRDefault="007561B4" w:rsidP="00CC2E4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Tel: + 31 20 888 7300</w:t>
            </w:r>
          </w:p>
          <w:p w14:paraId="1602BC71" w14:textId="77777777" w:rsidR="007561B4" w:rsidRDefault="007561B4" w:rsidP="00CC2E43">
            <w:pPr>
              <w:rPr>
                <w:rFonts w:ascii="Times New Roman" w:eastAsia="맑은 고딕" w:hAnsi="Times New Roman" w:cs="Times New Roman"/>
                <w:noProof/>
                <w:lang w:val="hu-HU" w:eastAsia="fr-FR"/>
              </w:rPr>
            </w:pPr>
          </w:p>
        </w:tc>
      </w:tr>
      <w:tr w:rsidR="007561B4" w14:paraId="2570C9AE" w14:textId="77777777" w:rsidTr="00CC2E43">
        <w:tc>
          <w:tcPr>
            <w:tcW w:w="2500" w:type="pct"/>
            <w:hideMark/>
          </w:tcPr>
          <w:p w14:paraId="6E71E53A" w14:textId="77777777" w:rsidR="007561B4" w:rsidRDefault="007561B4" w:rsidP="00CC2E43">
            <w:pPr>
              <w:tabs>
                <w:tab w:val="left" w:pos="-720"/>
                <w:tab w:val="left" w:pos="4536"/>
              </w:tabs>
              <w:suppressAutoHyphens/>
              <w:rPr>
                <w:rFonts w:ascii="Times New Roman" w:hAnsi="Times New Roman" w:cs="Times New Roman"/>
                <w:b/>
                <w:noProof/>
                <w:lang w:val="hu-HU" w:eastAsia="fr-FR"/>
              </w:rPr>
            </w:pPr>
            <w:r>
              <w:rPr>
                <w:rFonts w:ascii="Times New Roman" w:eastAsia="맑은 고딕" w:hAnsi="Times New Roman" w:cs="Times New Roman"/>
                <w:b/>
                <w:noProof/>
                <w:lang w:val="hu-HU" w:eastAsia="fr-FR"/>
              </w:rPr>
              <w:t>Eesti</w:t>
            </w:r>
          </w:p>
          <w:p w14:paraId="2273CEF2" w14:textId="77777777" w:rsidR="007561B4" w:rsidRDefault="007561B4" w:rsidP="00CC2E4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Hungary Kft.</w:t>
            </w:r>
          </w:p>
          <w:p w14:paraId="4FD6E178" w14:textId="77777777" w:rsidR="007561B4" w:rsidRDefault="007561B4" w:rsidP="00CC2E43">
            <w:pPr>
              <w:tabs>
                <w:tab w:val="left" w:pos="-720"/>
              </w:tabs>
              <w:suppressAutoHyphen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Tel: +36 1 231 0493</w:t>
            </w:r>
          </w:p>
          <w:p w14:paraId="0194A458" w14:textId="77777777" w:rsidR="007561B4" w:rsidRDefault="007561B4" w:rsidP="00CC2E43">
            <w:pPr>
              <w:tabs>
                <w:tab w:val="left" w:pos="-720"/>
              </w:tabs>
              <w:suppressAutoHyphens/>
              <w:rPr>
                <w:rFonts w:ascii="Times New Roman" w:eastAsia="맑은 고딕" w:hAnsi="Times New Roman" w:cs="Times New Roman"/>
                <w:noProof/>
                <w:lang w:val="hu-HU" w:eastAsia="ko-KR"/>
              </w:rPr>
            </w:pPr>
          </w:p>
        </w:tc>
        <w:tc>
          <w:tcPr>
            <w:tcW w:w="2500" w:type="pct"/>
          </w:tcPr>
          <w:p w14:paraId="3E717F16" w14:textId="77777777" w:rsidR="007561B4" w:rsidRDefault="007561B4" w:rsidP="00CC2E43">
            <w:pPr>
              <w:tabs>
                <w:tab w:val="left" w:pos="-720"/>
              </w:tabs>
              <w:suppressAutoHyphens/>
              <w:rPr>
                <w:rFonts w:ascii="Times New Roman" w:hAnsi="Times New Roman" w:cs="Times New Roman"/>
                <w:noProof/>
                <w:lang w:val="hu-HU" w:eastAsia="fr-FR"/>
              </w:rPr>
            </w:pPr>
            <w:r>
              <w:rPr>
                <w:rFonts w:ascii="Times New Roman" w:eastAsia="맑은 고딕" w:hAnsi="Times New Roman" w:cs="Times New Roman"/>
                <w:b/>
                <w:noProof/>
                <w:lang w:val="hu-HU" w:eastAsia="fr-FR"/>
              </w:rPr>
              <w:t>Norge</w:t>
            </w:r>
          </w:p>
          <w:p w14:paraId="232554E6" w14:textId="77777777" w:rsidR="007561B4" w:rsidRDefault="007561B4" w:rsidP="00CC2E4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Hungary Kft.</w:t>
            </w:r>
          </w:p>
          <w:p w14:paraId="6A36BBB1" w14:textId="77777777" w:rsidR="007561B4" w:rsidRDefault="007561B4" w:rsidP="00CC2E43">
            <w:pPr>
              <w:tabs>
                <w:tab w:val="left" w:pos="-720"/>
              </w:tabs>
              <w:suppressAutoHyphen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Tlf: +36 1 231 0493</w:t>
            </w:r>
          </w:p>
          <w:p w14:paraId="50CB61B9" w14:textId="77777777" w:rsidR="007561B4" w:rsidRDefault="007561B4" w:rsidP="00CC2E43">
            <w:pPr>
              <w:tabs>
                <w:tab w:val="left" w:pos="-720"/>
              </w:tabs>
              <w:suppressAutoHyphens/>
              <w:rPr>
                <w:rFonts w:ascii="Times New Roman" w:eastAsia="맑은 고딕" w:hAnsi="Times New Roman" w:cs="Times New Roman"/>
                <w:noProof/>
                <w:lang w:val="hu-HU" w:eastAsia="ko-KR"/>
              </w:rPr>
            </w:pPr>
          </w:p>
        </w:tc>
      </w:tr>
      <w:tr w:rsidR="007561B4" w14:paraId="2F442620" w14:textId="77777777" w:rsidTr="00CC2E43">
        <w:tc>
          <w:tcPr>
            <w:tcW w:w="2500" w:type="pct"/>
            <w:hideMark/>
          </w:tcPr>
          <w:p w14:paraId="72F5D905" w14:textId="77777777" w:rsidR="007561B4" w:rsidRDefault="007561B4" w:rsidP="00CC2E43">
            <w:pPr>
              <w:rPr>
                <w:rFonts w:ascii="Times New Roman" w:hAnsi="Times New Roman" w:cs="Times New Roman"/>
                <w:noProof/>
                <w:lang w:val="hu-HU" w:eastAsia="fr-FR"/>
              </w:rPr>
            </w:pPr>
            <w:r>
              <w:rPr>
                <w:rFonts w:ascii="Times New Roman" w:hAnsi="Times New Roman" w:cs="Times New Roman"/>
                <w:b/>
                <w:noProof/>
                <w:lang w:val="hu-HU"/>
              </w:rPr>
              <w:t>España</w:t>
            </w:r>
          </w:p>
          <w:p w14:paraId="5C939997" w14:textId="77777777" w:rsidR="007561B4" w:rsidRDefault="007561B4" w:rsidP="00CC2E4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Kern Pharma, S.L.</w:t>
            </w:r>
          </w:p>
          <w:p w14:paraId="25780A9A" w14:textId="77777777" w:rsidR="007561B4" w:rsidRDefault="007561B4" w:rsidP="00CC2E4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Tel: +34 93 700 2525</w:t>
            </w:r>
          </w:p>
          <w:p w14:paraId="093B7A22" w14:textId="77777777" w:rsidR="007561B4" w:rsidRDefault="007561B4" w:rsidP="00CC2E43">
            <w:pPr>
              <w:rPr>
                <w:rFonts w:ascii="Times New Roman" w:hAnsi="Times New Roman" w:cs="Times New Roman"/>
                <w:b/>
                <w:noProof/>
                <w:lang w:val="hu-HU" w:eastAsia="fr-FR"/>
              </w:rPr>
            </w:pPr>
          </w:p>
        </w:tc>
        <w:tc>
          <w:tcPr>
            <w:tcW w:w="2500" w:type="pct"/>
          </w:tcPr>
          <w:p w14:paraId="49C92911" w14:textId="77777777" w:rsidR="007561B4" w:rsidRDefault="007561B4" w:rsidP="00CC2E43">
            <w:pPr>
              <w:rPr>
                <w:rFonts w:ascii="Times New Roman" w:hAnsi="Times New Roman" w:cs="Times New Roman"/>
                <w:noProof/>
                <w:lang w:val="hu-HU" w:eastAsia="fr-FR"/>
              </w:rPr>
            </w:pPr>
            <w:r>
              <w:rPr>
                <w:rFonts w:ascii="Times New Roman" w:hAnsi="Times New Roman" w:cs="Times New Roman"/>
                <w:b/>
                <w:noProof/>
                <w:lang w:val="hu-HU"/>
              </w:rPr>
              <w:t>Österreich</w:t>
            </w:r>
          </w:p>
          <w:p w14:paraId="45394C4A" w14:textId="77777777" w:rsidR="007561B4" w:rsidRDefault="007561B4" w:rsidP="00CC2E43">
            <w:pPr>
              <w:rPr>
                <w:rFonts w:ascii="Times New Roman" w:eastAsia="맑은 고딕" w:hAnsi="Times New Roman" w:cs="Times New Roman"/>
                <w:noProof/>
                <w:lang w:val="hu-HU" w:eastAsia="ko-KR"/>
              </w:rPr>
            </w:pPr>
            <w:r>
              <w:rPr>
                <w:rFonts w:ascii="Times New Roman" w:eastAsia="맑은 고딕" w:hAnsi="Times New Roman" w:cs="Times New Roman"/>
                <w:noProof/>
                <w:lang w:val="hu-HU" w:eastAsia="fr-FR"/>
              </w:rPr>
              <w:t>Astro-Pharma GmbH</w:t>
            </w:r>
          </w:p>
          <w:p w14:paraId="423087ED" w14:textId="77777777" w:rsidR="007561B4" w:rsidRDefault="007561B4" w:rsidP="00CC2E43">
            <w:pPr>
              <w:tabs>
                <w:tab w:val="left" w:pos="-720"/>
              </w:tabs>
              <w:suppressAutoHyphen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Tel: +43 1 97 99 860</w:t>
            </w:r>
          </w:p>
          <w:p w14:paraId="5ADB6F28" w14:textId="77777777" w:rsidR="007561B4" w:rsidRDefault="007561B4" w:rsidP="00CC2E43">
            <w:pPr>
              <w:tabs>
                <w:tab w:val="left" w:pos="-720"/>
              </w:tabs>
              <w:suppressAutoHyphens/>
              <w:rPr>
                <w:rFonts w:ascii="Times New Roman" w:hAnsi="Times New Roman" w:cs="Times New Roman"/>
                <w:noProof/>
                <w:lang w:val="hu-HU" w:eastAsia="fr-FR"/>
              </w:rPr>
            </w:pPr>
          </w:p>
        </w:tc>
      </w:tr>
      <w:tr w:rsidR="007561B4" w14:paraId="18253D32" w14:textId="77777777" w:rsidTr="00CC2E43">
        <w:tc>
          <w:tcPr>
            <w:tcW w:w="2500" w:type="pct"/>
          </w:tcPr>
          <w:p w14:paraId="6477763C" w14:textId="77777777" w:rsidR="007561B4" w:rsidRDefault="007561B4" w:rsidP="00CC2E43">
            <w:pPr>
              <w:rPr>
                <w:rFonts w:ascii="Times New Roman" w:hAnsi="Times New Roman" w:cs="Times New Roman"/>
                <w:b/>
                <w:noProof/>
                <w:lang w:val="hu-HU" w:eastAsia="fr-FR"/>
              </w:rPr>
            </w:pPr>
            <w:r>
              <w:rPr>
                <w:rFonts w:ascii="Times New Roman" w:hAnsi="Times New Roman" w:cs="Times New Roman"/>
                <w:b/>
                <w:noProof/>
                <w:lang w:val="hu-HU" w:eastAsia="fr-FR"/>
              </w:rPr>
              <w:t>Ελλάδα</w:t>
            </w:r>
          </w:p>
          <w:p w14:paraId="55FFC91E" w14:textId="77777777" w:rsidR="007561B4" w:rsidRDefault="007561B4" w:rsidP="00CC2E43">
            <w:pPr>
              <w:rPr>
                <w:rFonts w:ascii="Times New Roman" w:hAnsi="Times New Roman" w:cs="Times New Roman"/>
                <w:noProof/>
                <w:lang w:val="hu-HU" w:eastAsia="fr-FR"/>
              </w:rPr>
            </w:pPr>
            <w:r>
              <w:rPr>
                <w:rFonts w:ascii="Times New Roman" w:hAnsi="Times New Roman" w:cs="Times New Roman"/>
                <w:noProof/>
                <w:lang w:val="hu-HU" w:eastAsia="fr-FR"/>
              </w:rPr>
              <w:t>ΒΙΑΝΕΞ Α.Ε.</w:t>
            </w:r>
          </w:p>
          <w:p w14:paraId="50D35E43" w14:textId="2A66F8FA" w:rsidR="007561B4" w:rsidRDefault="007561B4" w:rsidP="00CC2E43">
            <w:pPr>
              <w:rPr>
                <w:rFonts w:ascii="Times New Roman" w:hAnsi="Times New Roman" w:cs="Times New Roman"/>
                <w:noProof/>
                <w:lang w:val="hu-HU" w:eastAsia="fr-FR"/>
              </w:rPr>
            </w:pPr>
            <w:r>
              <w:rPr>
                <w:rFonts w:ascii="Times New Roman" w:hAnsi="Times New Roman" w:cs="Times New Roman"/>
                <w:noProof/>
                <w:lang w:val="hu-HU" w:eastAsia="fr-FR"/>
              </w:rPr>
              <w:t>Τηλ: +30 210 8009111</w:t>
            </w:r>
          </w:p>
          <w:p w14:paraId="57D40C6D" w14:textId="77777777" w:rsidR="007561B4" w:rsidRDefault="007561B4" w:rsidP="00CC2E43">
            <w:pPr>
              <w:rPr>
                <w:rFonts w:ascii="Times New Roman" w:eastAsia="맑은 고딕" w:hAnsi="Times New Roman" w:cs="Times New Roman"/>
                <w:noProof/>
                <w:lang w:val="hu-HU" w:eastAsia="fr-FR"/>
              </w:rPr>
            </w:pPr>
          </w:p>
        </w:tc>
        <w:tc>
          <w:tcPr>
            <w:tcW w:w="2500" w:type="pct"/>
          </w:tcPr>
          <w:p w14:paraId="7CED9480" w14:textId="77777777" w:rsidR="007561B4" w:rsidRDefault="007561B4" w:rsidP="00CC2E43">
            <w:pPr>
              <w:rPr>
                <w:rFonts w:ascii="Times New Roman" w:eastAsia="맑은 고딕" w:hAnsi="Times New Roman" w:cs="Times New Roman"/>
                <w:b/>
                <w:noProof/>
                <w:lang w:val="hu-HU" w:eastAsia="fr-FR"/>
              </w:rPr>
            </w:pPr>
            <w:r>
              <w:rPr>
                <w:rFonts w:ascii="Times New Roman" w:eastAsia="맑은 고딕" w:hAnsi="Times New Roman" w:cs="Times New Roman"/>
                <w:b/>
                <w:noProof/>
                <w:lang w:val="hu-HU" w:eastAsia="fr-FR"/>
              </w:rPr>
              <w:t>Polska</w:t>
            </w:r>
          </w:p>
          <w:p w14:paraId="4166E9B6" w14:textId="77777777" w:rsidR="007561B4" w:rsidRDefault="007561B4" w:rsidP="00CC2E43">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2420C4A9" w14:textId="77777777" w:rsidR="007561B4" w:rsidRPr="00120A76" w:rsidRDefault="007561B4" w:rsidP="00CC2E43">
            <w:pPr>
              <w:rPr>
                <w:rFonts w:ascii="Times New Roman" w:hAnsi="Times New Roman" w:cs="Times New Roman"/>
                <w:b/>
                <w:noProof/>
                <w:lang w:val="hu-HU"/>
              </w:rPr>
            </w:pPr>
            <w:r w:rsidRPr="00BE43AD">
              <w:rPr>
                <w:rFonts w:ascii="Times New Roman" w:eastAsia="맑은 고딕" w:hAnsi="Times New Roman" w:cs="Times New Roman"/>
                <w:noProof/>
                <w:lang w:eastAsia="fr-FR"/>
              </w:rPr>
              <w:t xml:space="preserve">Tel.: </w:t>
            </w:r>
            <w:r>
              <w:rPr>
                <w:rFonts w:ascii="Times New Roman" w:eastAsia="맑은 고딕" w:hAnsi="Times New Roman" w:cs="Times New Roman"/>
                <w:noProof/>
                <w:lang w:eastAsia="fr-FR"/>
              </w:rPr>
              <w:t>+36 1 231 0493</w:t>
            </w:r>
          </w:p>
        </w:tc>
      </w:tr>
      <w:tr w:rsidR="00887453" w:rsidRPr="00BE4D18" w14:paraId="40B61E2C" w14:textId="77777777" w:rsidTr="00CC2E43">
        <w:tc>
          <w:tcPr>
            <w:tcW w:w="2500" w:type="pct"/>
          </w:tcPr>
          <w:p w14:paraId="67A96AAC" w14:textId="77777777" w:rsidR="00887453" w:rsidRDefault="00887453" w:rsidP="00887453">
            <w:pPr>
              <w:rPr>
                <w:rFonts w:ascii="Times New Roman" w:hAnsi="Times New Roman" w:cs="Times New Roman"/>
                <w:b/>
                <w:noProof/>
                <w:lang w:val="hu-HU" w:eastAsia="ko-KR"/>
              </w:rPr>
            </w:pPr>
            <w:r>
              <w:rPr>
                <w:rFonts w:ascii="Times New Roman" w:hAnsi="Times New Roman" w:cs="Times New Roman"/>
                <w:b/>
                <w:noProof/>
                <w:lang w:val="hu-HU" w:eastAsia="ko-KR"/>
              </w:rPr>
              <w:t>France</w:t>
            </w:r>
          </w:p>
          <w:p w14:paraId="696E3B92" w14:textId="77777777" w:rsidR="00887453" w:rsidRDefault="00887453" w:rsidP="00887453">
            <w:pPr>
              <w:rPr>
                <w:rFonts w:ascii="Times New Roman" w:hAnsi="Times New Roman" w:cs="Times New Roman"/>
                <w:noProof/>
                <w:lang w:val="hu-HU" w:eastAsia="ko-KR"/>
              </w:rPr>
            </w:pPr>
            <w:r w:rsidRPr="00BB53E6">
              <w:rPr>
                <w:rFonts w:ascii="Times New Roman" w:hAnsi="Times New Roman" w:cs="Times New Roman"/>
                <w:noProof/>
                <w:lang w:val="hu-HU" w:eastAsia="ko-KR"/>
              </w:rPr>
              <w:t>Celltrion Healthcare France SAS</w:t>
            </w:r>
          </w:p>
          <w:p w14:paraId="44F0503E" w14:textId="77777777" w:rsidR="00887453" w:rsidRDefault="00887453" w:rsidP="00887453">
            <w:pPr>
              <w:rPr>
                <w:rFonts w:ascii="Times New Roman" w:eastAsia="맑은 고딕" w:hAnsi="Times New Roman" w:cs="Times New Roman"/>
                <w:noProof/>
                <w:lang w:val="hu-HU" w:eastAsia="ko-KR"/>
              </w:rPr>
            </w:pPr>
            <w:r>
              <w:rPr>
                <w:rFonts w:ascii="Times New Roman" w:hAnsi="Times New Roman" w:cs="Times New Roman"/>
                <w:noProof/>
                <w:lang w:val="hu-HU" w:eastAsia="ko-KR"/>
              </w:rPr>
              <w:t>T</w:t>
            </w:r>
            <w:r>
              <w:rPr>
                <w:rFonts w:ascii="Times New Roman" w:hAnsi="Times New Roman" w:cs="Times New Roman"/>
                <w:lang w:val="hu-HU"/>
              </w:rPr>
              <w:t>é</w:t>
            </w:r>
            <w:r>
              <w:rPr>
                <w:rFonts w:ascii="Times New Roman" w:hAnsi="Times New Roman" w:cs="Times New Roman"/>
                <w:noProof/>
                <w:lang w:val="hu-HU" w:eastAsia="ko-KR"/>
              </w:rPr>
              <w:t>l.: +33 (0)1 71 25 27 00</w:t>
            </w:r>
          </w:p>
          <w:p w14:paraId="52432C32" w14:textId="77777777" w:rsidR="00887453" w:rsidRDefault="00887453" w:rsidP="00887453">
            <w:pPr>
              <w:rPr>
                <w:rFonts w:ascii="Times New Roman" w:eastAsia="맑은 고딕" w:hAnsi="Times New Roman" w:cs="Times New Roman"/>
                <w:noProof/>
                <w:lang w:val="hu-HU" w:eastAsia="fr-FR"/>
              </w:rPr>
            </w:pPr>
          </w:p>
        </w:tc>
        <w:tc>
          <w:tcPr>
            <w:tcW w:w="2500" w:type="pct"/>
          </w:tcPr>
          <w:p w14:paraId="41D16164" w14:textId="77777777" w:rsidR="00887453" w:rsidRPr="002F72A3" w:rsidRDefault="00887453" w:rsidP="00887453">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18921784" w14:textId="1901B476" w:rsidR="00887453" w:rsidRDefault="00887453" w:rsidP="00887453">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379CE2CB" w14:textId="7174D46D" w:rsidR="00887453" w:rsidRPr="009C0F1B" w:rsidRDefault="00887453" w:rsidP="00887453">
            <w:pPr>
              <w:rPr>
                <w:rFonts w:ascii="Times New Roman" w:eastAsia="맑은 고딕" w:hAnsi="Times New Roman" w:cs="Times New Roman"/>
                <w:noProof/>
                <w:lang w:val="fr-CA" w:eastAsia="fr-FR"/>
              </w:rPr>
            </w:pPr>
            <w:r w:rsidRPr="009C0F1B">
              <w:rPr>
                <w:rFonts w:ascii="Times New Roman" w:eastAsia="맑은 고딕" w:hAnsi="Times New Roman" w:cs="Times New Roman"/>
                <w:noProof/>
                <w:lang w:val="fr-CA" w:eastAsia="fr-FR"/>
              </w:rPr>
              <w:t>Tel: +351 21 936 8542</w:t>
            </w:r>
          </w:p>
          <w:p w14:paraId="72E7C67A" w14:textId="77777777" w:rsidR="00887453" w:rsidRDefault="00887453" w:rsidP="00887453">
            <w:pPr>
              <w:rPr>
                <w:rFonts w:ascii="Times New Roman" w:hAnsi="Times New Roman" w:cs="Times New Roman"/>
                <w:b/>
                <w:noProof/>
                <w:lang w:val="hu-HU"/>
              </w:rPr>
            </w:pPr>
          </w:p>
        </w:tc>
      </w:tr>
      <w:tr w:rsidR="00887453" w14:paraId="3C0A939F" w14:textId="77777777" w:rsidTr="00CC2E43">
        <w:tc>
          <w:tcPr>
            <w:tcW w:w="2500" w:type="pct"/>
          </w:tcPr>
          <w:p w14:paraId="25B04E89" w14:textId="77777777" w:rsidR="00887453" w:rsidRDefault="00887453" w:rsidP="00887453">
            <w:pPr>
              <w:rPr>
                <w:rFonts w:ascii="Times New Roman" w:hAnsi="Times New Roman" w:cs="Times New Roman"/>
                <w:b/>
                <w:noProof/>
                <w:lang w:val="hu-HU" w:eastAsia="ko-KR"/>
              </w:rPr>
            </w:pPr>
            <w:r>
              <w:rPr>
                <w:rFonts w:ascii="Times New Roman" w:hAnsi="Times New Roman" w:cs="Times New Roman"/>
                <w:b/>
                <w:noProof/>
                <w:lang w:val="hu-HU" w:eastAsia="ko-KR"/>
              </w:rPr>
              <w:t>Hrvatska</w:t>
            </w:r>
          </w:p>
          <w:p w14:paraId="77C19B5C" w14:textId="77777777" w:rsidR="00887453" w:rsidRDefault="00887453" w:rsidP="00887453">
            <w:pPr>
              <w:rPr>
                <w:rFonts w:ascii="Times New Roman" w:hAnsi="Times New Roman" w:cs="Times New Roman"/>
                <w:noProof/>
                <w:lang w:val="hu-HU" w:eastAsia="ko-KR"/>
              </w:rPr>
            </w:pPr>
            <w:r>
              <w:rPr>
                <w:rFonts w:ascii="Times New Roman" w:hAnsi="Times New Roman" w:cs="Times New Roman"/>
                <w:noProof/>
                <w:lang w:val="hu-HU" w:eastAsia="ko-KR"/>
              </w:rPr>
              <w:t>Oktal Pharma d.o.o.</w:t>
            </w:r>
          </w:p>
          <w:p w14:paraId="5971FE19" w14:textId="77777777" w:rsidR="00887453" w:rsidRDefault="00887453" w:rsidP="00887453">
            <w:pPr>
              <w:rPr>
                <w:rFonts w:ascii="Times New Roman" w:hAnsi="Times New Roman" w:cs="Times New Roman"/>
                <w:noProof/>
                <w:lang w:val="hu-HU" w:eastAsia="ko-KR"/>
              </w:rPr>
            </w:pPr>
            <w:r>
              <w:rPr>
                <w:rFonts w:ascii="Times New Roman" w:hAnsi="Times New Roman" w:cs="Times New Roman"/>
                <w:noProof/>
                <w:lang w:val="hu-HU" w:eastAsia="ko-KR"/>
              </w:rPr>
              <w:t>Tel: +385 1 6595 777</w:t>
            </w:r>
          </w:p>
          <w:p w14:paraId="052DF1A8" w14:textId="77777777" w:rsidR="00887453" w:rsidRDefault="00887453" w:rsidP="00887453">
            <w:pPr>
              <w:rPr>
                <w:rFonts w:ascii="Times New Roman" w:eastAsia="맑은 고딕" w:hAnsi="Times New Roman" w:cs="Times New Roman"/>
                <w:noProof/>
                <w:lang w:val="hu-HU" w:eastAsia="fr-FR"/>
              </w:rPr>
            </w:pPr>
          </w:p>
        </w:tc>
        <w:tc>
          <w:tcPr>
            <w:tcW w:w="2500" w:type="pct"/>
          </w:tcPr>
          <w:p w14:paraId="4E9C7513" w14:textId="77777777" w:rsidR="00887453" w:rsidRDefault="00887453" w:rsidP="00887453">
            <w:pPr>
              <w:tabs>
                <w:tab w:val="left" w:pos="-720"/>
              </w:tabs>
              <w:suppressAutoHyphens/>
              <w:rPr>
                <w:rFonts w:ascii="Times New Roman" w:eastAsia="맑은 고딕" w:hAnsi="Times New Roman" w:cs="Times New Roman"/>
                <w:b/>
                <w:noProof/>
                <w:lang w:val="hu-HU" w:eastAsia="fr-FR"/>
              </w:rPr>
            </w:pPr>
            <w:r>
              <w:rPr>
                <w:rFonts w:ascii="Times New Roman" w:hAnsi="Times New Roman" w:cs="Times New Roman"/>
                <w:b/>
                <w:noProof/>
                <w:lang w:val="hu-HU"/>
              </w:rPr>
              <w:t>România</w:t>
            </w:r>
          </w:p>
          <w:p w14:paraId="634438D6" w14:textId="77777777" w:rsidR="00887453" w:rsidRDefault="00887453" w:rsidP="00887453">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4B4548E7" w14:textId="77777777" w:rsidR="00887453" w:rsidRPr="00120A76" w:rsidRDefault="00887453" w:rsidP="00887453">
            <w:pPr>
              <w:rPr>
                <w:rFonts w:ascii="Times New Roman" w:hAnsi="Times New Roman" w:cs="Times New Roman"/>
                <w:b/>
                <w:noProof/>
                <w:lang w:val="hu-HU"/>
              </w:rPr>
            </w:pPr>
            <w:r w:rsidRPr="00BE43AD">
              <w:rPr>
                <w:rFonts w:ascii="Times New Roman" w:eastAsia="맑은 고딕" w:hAnsi="Times New Roman" w:cs="Times New Roman"/>
                <w:noProof/>
                <w:lang w:eastAsia="fr-FR"/>
              </w:rPr>
              <w:t xml:space="preserve">Tel: </w:t>
            </w:r>
            <w:r>
              <w:rPr>
                <w:rFonts w:ascii="Times New Roman" w:eastAsia="맑은 고딕" w:hAnsi="Times New Roman" w:cs="Times New Roman"/>
                <w:noProof/>
                <w:lang w:eastAsia="fr-FR"/>
              </w:rPr>
              <w:t>+36 1 231 0493</w:t>
            </w:r>
          </w:p>
        </w:tc>
      </w:tr>
      <w:tr w:rsidR="00887453" w14:paraId="063E9048" w14:textId="77777777" w:rsidTr="00CC2E43">
        <w:tc>
          <w:tcPr>
            <w:tcW w:w="2500" w:type="pct"/>
          </w:tcPr>
          <w:p w14:paraId="7CCDFC19" w14:textId="77777777" w:rsidR="00887453" w:rsidRDefault="00887453" w:rsidP="00887453">
            <w:pPr>
              <w:tabs>
                <w:tab w:val="left" w:pos="-720"/>
              </w:tabs>
              <w:suppressAutoHyphens/>
              <w:rPr>
                <w:rFonts w:ascii="Times New Roman" w:hAnsi="Times New Roman" w:cs="Times New Roman"/>
                <w:noProof/>
                <w:lang w:val="hu-HU" w:eastAsia="fr-FR"/>
              </w:rPr>
            </w:pPr>
            <w:r>
              <w:rPr>
                <w:rFonts w:ascii="Times New Roman" w:eastAsia="맑은 고딕" w:hAnsi="Times New Roman" w:cs="Times New Roman"/>
                <w:b/>
                <w:noProof/>
                <w:lang w:val="hu-HU" w:eastAsia="fr-FR"/>
              </w:rPr>
              <w:lastRenderedPageBreak/>
              <w:t>Ireland</w:t>
            </w:r>
          </w:p>
          <w:p w14:paraId="054D33E9" w14:textId="77777777"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Ireland Limited</w:t>
            </w:r>
          </w:p>
          <w:p w14:paraId="7DCD299D" w14:textId="77777777"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Tel: +353 1 223 4026</w:t>
            </w:r>
          </w:p>
          <w:p w14:paraId="42C2602D" w14:textId="77777777" w:rsidR="00887453" w:rsidRDefault="00887453" w:rsidP="00887453">
            <w:pPr>
              <w:rPr>
                <w:rFonts w:ascii="Times New Roman" w:eastAsia="맑은 고딕" w:hAnsi="Times New Roman" w:cs="Times New Roman"/>
                <w:noProof/>
                <w:lang w:val="hu-HU" w:eastAsia="fr-FR"/>
              </w:rPr>
            </w:pPr>
          </w:p>
        </w:tc>
        <w:tc>
          <w:tcPr>
            <w:tcW w:w="2500" w:type="pct"/>
          </w:tcPr>
          <w:p w14:paraId="35F066CE" w14:textId="77777777" w:rsidR="00887453" w:rsidRDefault="00887453" w:rsidP="00887453">
            <w:pPr>
              <w:rPr>
                <w:rFonts w:ascii="Times New Roman" w:eastAsia="맑은 고딕" w:hAnsi="Times New Roman" w:cs="Times New Roman"/>
                <w:b/>
                <w:noProof/>
                <w:lang w:val="hu-HU" w:eastAsia="fr-FR"/>
              </w:rPr>
            </w:pPr>
            <w:r>
              <w:rPr>
                <w:rFonts w:ascii="Times New Roman" w:eastAsia="맑은 고딕" w:hAnsi="Times New Roman" w:cs="Times New Roman"/>
                <w:b/>
                <w:noProof/>
                <w:lang w:val="hu-HU" w:eastAsia="fr-FR"/>
              </w:rPr>
              <w:t>Slovenija</w:t>
            </w:r>
          </w:p>
          <w:p w14:paraId="62A4B91C" w14:textId="77777777"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OPH Oktal Pharma d.o.o.</w:t>
            </w:r>
          </w:p>
          <w:p w14:paraId="645E63ED" w14:textId="77777777" w:rsidR="00887453" w:rsidRDefault="00887453" w:rsidP="00887453">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Tel.: +386 1 519 29 22</w:t>
            </w:r>
          </w:p>
          <w:p w14:paraId="142C6580" w14:textId="77777777" w:rsidR="00887453" w:rsidRDefault="00887453" w:rsidP="00887453">
            <w:pPr>
              <w:rPr>
                <w:rFonts w:ascii="Times New Roman" w:hAnsi="Times New Roman" w:cs="Times New Roman"/>
                <w:b/>
                <w:noProof/>
                <w:lang w:val="hu-HU"/>
              </w:rPr>
            </w:pPr>
          </w:p>
        </w:tc>
      </w:tr>
      <w:tr w:rsidR="00887453" w14:paraId="1941D2EF" w14:textId="77777777" w:rsidTr="00CC2E43">
        <w:tc>
          <w:tcPr>
            <w:tcW w:w="2500" w:type="pct"/>
          </w:tcPr>
          <w:p w14:paraId="2931D726" w14:textId="77777777" w:rsidR="00887453" w:rsidRDefault="00887453" w:rsidP="00BE4D18">
            <w:pPr>
              <w:rPr>
                <w:rFonts w:ascii="Times New Roman" w:eastAsia="맑은 고딕" w:hAnsi="Times New Roman" w:cs="Times New Roman"/>
                <w:noProof/>
                <w:lang w:val="hu-HU" w:eastAsia="fr-FR"/>
              </w:rPr>
            </w:pPr>
            <w:r>
              <w:rPr>
                <w:rFonts w:ascii="Times New Roman" w:eastAsia="맑은 고딕" w:hAnsi="Times New Roman" w:cs="Times New Roman"/>
                <w:b/>
                <w:noProof/>
                <w:lang w:val="hu-HU" w:eastAsia="fr-FR"/>
              </w:rPr>
              <w:t>Ísland</w:t>
            </w:r>
          </w:p>
          <w:p w14:paraId="7817A119" w14:textId="77777777" w:rsidR="00887453" w:rsidRDefault="00887453" w:rsidP="00BE4D18">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Hungary Kft.</w:t>
            </w:r>
          </w:p>
          <w:p w14:paraId="3D8C232F" w14:textId="77777777" w:rsidR="00887453" w:rsidRDefault="00887453" w:rsidP="00BE4D18">
            <w:pPr>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Sími: +36 1 231 0493</w:t>
            </w:r>
          </w:p>
        </w:tc>
        <w:tc>
          <w:tcPr>
            <w:tcW w:w="2500" w:type="pct"/>
          </w:tcPr>
          <w:p w14:paraId="442E9984" w14:textId="77777777" w:rsidR="00887453" w:rsidRDefault="00887453" w:rsidP="00BE4D18">
            <w:pPr>
              <w:rPr>
                <w:rFonts w:ascii="Times New Roman" w:eastAsia="맑은 고딕" w:hAnsi="Times New Roman" w:cs="Times New Roman"/>
                <w:b/>
                <w:noProof/>
                <w:lang w:val="hu-HU" w:eastAsia="fr-FR"/>
              </w:rPr>
            </w:pPr>
            <w:r>
              <w:rPr>
                <w:rFonts w:ascii="Times New Roman" w:hAnsi="Times New Roman" w:cs="Times New Roman"/>
                <w:b/>
                <w:noProof/>
                <w:lang w:val="hu-HU"/>
              </w:rPr>
              <w:t>Slovenská republika</w:t>
            </w:r>
          </w:p>
          <w:p w14:paraId="4AC435D1" w14:textId="77777777" w:rsidR="00887453" w:rsidRDefault="00887453" w:rsidP="00BE4D18">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64517D19" w14:textId="77777777" w:rsidR="00887453" w:rsidRDefault="00887453" w:rsidP="00BE4D18">
            <w:pPr>
              <w:rPr>
                <w:rFonts w:ascii="Times New Roman" w:eastAsia="맑은 고딕" w:hAnsi="Times New Roman" w:cs="Times New Roman"/>
                <w:b/>
                <w:noProof/>
                <w:lang w:val="hu-HU" w:eastAsia="fr-FR"/>
              </w:rPr>
            </w:pPr>
            <w:r w:rsidRPr="00BE43AD">
              <w:rPr>
                <w:rFonts w:ascii="Times New Roman" w:eastAsia="맑은 고딕" w:hAnsi="Times New Roman" w:cs="Times New Roman"/>
                <w:noProof/>
                <w:lang w:eastAsia="fr-FR"/>
              </w:rPr>
              <w:t xml:space="preserve">Tel: </w:t>
            </w:r>
            <w:r>
              <w:rPr>
                <w:rFonts w:ascii="Times New Roman" w:eastAsia="맑은 고딕" w:hAnsi="Times New Roman" w:cs="Times New Roman"/>
                <w:noProof/>
                <w:lang w:eastAsia="fr-FR"/>
              </w:rPr>
              <w:t>+36 1 231 0493</w:t>
            </w:r>
          </w:p>
          <w:p w14:paraId="253910AF" w14:textId="77777777" w:rsidR="00887453" w:rsidRPr="00120A76" w:rsidRDefault="00887453" w:rsidP="00BE4D18">
            <w:pPr>
              <w:rPr>
                <w:rFonts w:ascii="Times New Roman" w:eastAsia="맑은 고딕" w:hAnsi="Times New Roman" w:cs="Times New Roman"/>
                <w:b/>
                <w:noProof/>
                <w:lang w:val="hu-HU" w:eastAsia="fr-FR"/>
              </w:rPr>
            </w:pPr>
          </w:p>
        </w:tc>
      </w:tr>
      <w:tr w:rsidR="00887453" w14:paraId="407B96EB" w14:textId="77777777" w:rsidTr="00CC2E43">
        <w:tc>
          <w:tcPr>
            <w:tcW w:w="2500" w:type="pct"/>
          </w:tcPr>
          <w:p w14:paraId="0D45C7A2" w14:textId="77777777" w:rsidR="00887453" w:rsidRDefault="00887453" w:rsidP="00BE4D18">
            <w:pPr>
              <w:keepNext/>
              <w:keepLines/>
              <w:rPr>
                <w:rFonts w:ascii="Times New Roman" w:hAnsi="Times New Roman" w:cs="Times New Roman"/>
                <w:noProof/>
                <w:lang w:val="hu-HU" w:eastAsia="fr-FR"/>
              </w:rPr>
            </w:pPr>
            <w:r>
              <w:rPr>
                <w:rFonts w:ascii="Times New Roman" w:eastAsia="맑은 고딕" w:hAnsi="Times New Roman" w:cs="Times New Roman"/>
                <w:b/>
                <w:noProof/>
                <w:lang w:val="hu-HU" w:eastAsia="fr-FR"/>
              </w:rPr>
              <w:t>Italia</w:t>
            </w:r>
          </w:p>
          <w:p w14:paraId="49085D27" w14:textId="77777777" w:rsidR="00887453" w:rsidRDefault="00887453" w:rsidP="00BE4D18">
            <w:pPr>
              <w:keepNext/>
              <w:keepLine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Celltrion Healthcare Italy S.r.l.</w:t>
            </w:r>
          </w:p>
          <w:p w14:paraId="50FB9ABA" w14:textId="77777777" w:rsidR="00887453" w:rsidRDefault="00887453" w:rsidP="00BE4D18">
            <w:pPr>
              <w:keepNext/>
              <w:keepLines/>
              <w:rPr>
                <w:rFonts w:ascii="Times New Roman" w:eastAsia="맑은 고딕" w:hAnsi="Times New Roman" w:cs="Times New Roman"/>
                <w:noProof/>
                <w:lang w:val="hu-HU" w:eastAsia="fr-FR"/>
              </w:rPr>
            </w:pPr>
            <w:r>
              <w:rPr>
                <w:rFonts w:ascii="Times New Roman" w:eastAsia="맑은 고딕" w:hAnsi="Times New Roman" w:cs="Times New Roman"/>
                <w:noProof/>
                <w:lang w:val="hu-HU" w:eastAsia="fr-FR"/>
              </w:rPr>
              <w:t xml:space="preserve">Tel: +39 </w:t>
            </w:r>
            <w:r w:rsidRPr="00BB53E6">
              <w:rPr>
                <w:rFonts w:ascii="Times New Roman" w:eastAsia="맑은 고딕" w:hAnsi="Times New Roman" w:cs="Times New Roman"/>
                <w:noProof/>
                <w:lang w:val="hu-HU" w:eastAsia="fr-FR"/>
              </w:rPr>
              <w:t>02</w:t>
            </w:r>
            <w:r>
              <w:rPr>
                <w:rFonts w:ascii="Times New Roman" w:eastAsia="맑은 고딕" w:hAnsi="Times New Roman" w:cs="Times New Roman"/>
                <w:noProof/>
                <w:lang w:val="hu-HU" w:eastAsia="fr-FR"/>
              </w:rPr>
              <w:t xml:space="preserve"> </w:t>
            </w:r>
            <w:r w:rsidRPr="00BB53E6">
              <w:rPr>
                <w:rFonts w:ascii="Times New Roman" w:eastAsia="맑은 고딕" w:hAnsi="Times New Roman" w:cs="Times New Roman"/>
                <w:noProof/>
                <w:lang w:val="hu-HU" w:eastAsia="fr-FR"/>
              </w:rPr>
              <w:t>47927040</w:t>
            </w:r>
          </w:p>
          <w:p w14:paraId="21A5890F" w14:textId="71B6C31E" w:rsidR="00BE4D18" w:rsidRDefault="00BE4D18" w:rsidP="00BE4D18">
            <w:pPr>
              <w:keepNext/>
              <w:keepLines/>
              <w:rPr>
                <w:rFonts w:ascii="Times New Roman" w:eastAsia="맑은 고딕" w:hAnsi="Times New Roman" w:cs="Times New Roman"/>
                <w:noProof/>
                <w:lang w:val="hu-HU" w:eastAsia="fr-FR"/>
              </w:rPr>
            </w:pPr>
          </w:p>
        </w:tc>
        <w:tc>
          <w:tcPr>
            <w:tcW w:w="2500" w:type="pct"/>
          </w:tcPr>
          <w:p w14:paraId="6687D6B8" w14:textId="77777777" w:rsidR="00887453" w:rsidRDefault="00887453" w:rsidP="00BE4D18">
            <w:pPr>
              <w:keepNext/>
              <w:keepLines/>
              <w:rPr>
                <w:rFonts w:ascii="Times New Roman" w:hAnsi="Times New Roman" w:cs="Times New Roman"/>
                <w:noProof/>
                <w:lang w:val="hu-HU" w:eastAsia="fr-FR"/>
              </w:rPr>
            </w:pPr>
            <w:r>
              <w:rPr>
                <w:rFonts w:ascii="Times New Roman" w:eastAsia="맑은 고딕" w:hAnsi="Times New Roman" w:cs="Times New Roman"/>
                <w:b/>
                <w:noProof/>
                <w:lang w:val="hu-HU" w:eastAsia="fr-FR"/>
              </w:rPr>
              <w:t>Suomi/Finland</w:t>
            </w:r>
          </w:p>
          <w:p w14:paraId="05EB4D10" w14:textId="77777777" w:rsidR="00887453" w:rsidRPr="00F15659" w:rsidRDefault="00887453" w:rsidP="00BE4D18">
            <w:pPr>
              <w:keepNext/>
              <w:keepLines/>
              <w:tabs>
                <w:tab w:val="left" w:pos="-720"/>
              </w:tabs>
              <w:suppressAutoHyphens/>
              <w:rPr>
                <w:rFonts w:ascii="Times New Roman" w:eastAsia="맑은 고딕" w:hAnsi="Times New Roman" w:cs="Times New Roman"/>
                <w:noProof/>
                <w:lang w:val="hu-HU" w:eastAsia="fr-FR"/>
              </w:rPr>
            </w:pPr>
            <w:r w:rsidRPr="00F15659">
              <w:rPr>
                <w:rFonts w:ascii="Times New Roman" w:eastAsia="맑은 고딕" w:hAnsi="Times New Roman" w:cs="Times New Roman"/>
                <w:noProof/>
                <w:lang w:val="hu-HU" w:eastAsia="fr-FR"/>
              </w:rPr>
              <w:t xml:space="preserve">Celltrion Healthcare Finland Oy. </w:t>
            </w:r>
          </w:p>
          <w:p w14:paraId="5E60BE91" w14:textId="0B684B9D" w:rsidR="00887453" w:rsidRDefault="00887453" w:rsidP="00BE4D18">
            <w:pPr>
              <w:keepNext/>
              <w:keepLines/>
              <w:autoSpaceDE w:val="0"/>
              <w:autoSpaceDN w:val="0"/>
              <w:adjustRightInd w:val="0"/>
              <w:rPr>
                <w:rFonts w:ascii="Times New Roman" w:eastAsia="맑은 고딕" w:hAnsi="Times New Roman" w:cs="Times New Roman"/>
                <w:noProof/>
                <w:lang w:val="hu-HU" w:eastAsia="ko-KR"/>
              </w:rPr>
            </w:pPr>
            <w:r w:rsidRPr="00F15659">
              <w:rPr>
                <w:rFonts w:ascii="Times New Roman" w:eastAsia="맑은 고딕" w:hAnsi="Times New Roman" w:cs="Times New Roman"/>
                <w:noProof/>
                <w:lang w:val="hu-HU" w:eastAsia="fr-FR"/>
              </w:rPr>
              <w:t>Puh/Tel: +358 29 170 7755</w:t>
            </w:r>
          </w:p>
        </w:tc>
      </w:tr>
      <w:tr w:rsidR="00887453" w14:paraId="689F3B24" w14:textId="77777777" w:rsidTr="00CC2E43">
        <w:tc>
          <w:tcPr>
            <w:tcW w:w="2500" w:type="pct"/>
          </w:tcPr>
          <w:p w14:paraId="605991D5" w14:textId="77777777" w:rsidR="00887453" w:rsidRDefault="00887453" w:rsidP="00887453">
            <w:pPr>
              <w:tabs>
                <w:tab w:val="left" w:pos="-720"/>
              </w:tabs>
              <w:suppressAutoHyphens/>
              <w:rPr>
                <w:rFonts w:ascii="Times New Roman" w:hAnsi="Times New Roman" w:cs="Times New Roman"/>
                <w:b/>
                <w:bCs/>
                <w:noProof/>
                <w:lang w:val="hu-HU" w:eastAsia="fr-FR"/>
              </w:rPr>
            </w:pPr>
            <w:r>
              <w:rPr>
                <w:rFonts w:ascii="Times New Roman" w:hAnsi="Times New Roman" w:cs="Times New Roman"/>
                <w:b/>
                <w:noProof/>
                <w:lang w:val="hu-HU"/>
              </w:rPr>
              <w:t>Κύπρος</w:t>
            </w:r>
          </w:p>
          <w:p w14:paraId="673C77C3" w14:textId="77777777" w:rsidR="00887453" w:rsidRDefault="00887453" w:rsidP="00887453">
            <w:pPr>
              <w:tabs>
                <w:tab w:val="left" w:pos="-720"/>
              </w:tabs>
              <w:suppressAutoHyphens/>
              <w:rPr>
                <w:rFonts w:ascii="Times New Roman" w:eastAsia="맑은 고딕" w:hAnsi="Times New Roman" w:cs="Times New Roman"/>
                <w:noProof/>
                <w:lang w:val="hu-HU" w:eastAsia="ko-KR"/>
              </w:rPr>
            </w:pPr>
            <w:r>
              <w:rPr>
                <w:rFonts w:ascii="Times New Roman" w:eastAsia="맑은 고딕" w:hAnsi="Times New Roman" w:cs="Times New Roman"/>
                <w:noProof/>
                <w:lang w:val="hu-HU" w:eastAsia="fr-FR"/>
              </w:rPr>
              <w:t>C. A. Papaellinas Ltd</w:t>
            </w:r>
          </w:p>
          <w:p w14:paraId="15CB5673" w14:textId="77777777" w:rsidR="00887453" w:rsidRDefault="00887453" w:rsidP="00887453">
            <w:pPr>
              <w:autoSpaceDE w:val="0"/>
              <w:autoSpaceDN w:val="0"/>
              <w:adjustRightInd w:val="0"/>
              <w:rPr>
                <w:rFonts w:ascii="Times New Roman" w:eastAsia="맑은 고딕" w:hAnsi="Times New Roman" w:cs="Times New Roman"/>
                <w:b/>
                <w:bCs/>
                <w:lang w:val="hu-HU" w:eastAsia="fr-FR"/>
              </w:rPr>
            </w:pPr>
            <w:r>
              <w:rPr>
                <w:rFonts w:ascii="Times New Roman" w:hAnsi="Times New Roman" w:cs="Times New Roman"/>
                <w:noProof/>
                <w:lang w:val="hu-HU"/>
              </w:rPr>
              <w:t xml:space="preserve">Τηλ: </w:t>
            </w:r>
            <w:r>
              <w:rPr>
                <w:rFonts w:ascii="Times New Roman" w:eastAsia="맑은 고딕" w:hAnsi="Times New Roman" w:cs="Times New Roman"/>
                <w:noProof/>
                <w:lang w:val="hu-HU" w:eastAsia="fr-FR"/>
              </w:rPr>
              <w:t>+357 22741741</w:t>
            </w:r>
          </w:p>
          <w:p w14:paraId="34C02EC1" w14:textId="77777777" w:rsidR="00887453" w:rsidRDefault="00887453" w:rsidP="00887453">
            <w:pPr>
              <w:autoSpaceDE w:val="0"/>
              <w:autoSpaceDN w:val="0"/>
              <w:adjustRightInd w:val="0"/>
              <w:rPr>
                <w:rFonts w:ascii="Times New Roman" w:eastAsia="맑은 고딕" w:hAnsi="Times New Roman" w:cs="Times New Roman"/>
                <w:b/>
                <w:noProof/>
                <w:lang w:val="hu-HU" w:eastAsia="fr-FR"/>
              </w:rPr>
            </w:pPr>
          </w:p>
        </w:tc>
        <w:tc>
          <w:tcPr>
            <w:tcW w:w="2500" w:type="pct"/>
          </w:tcPr>
          <w:p w14:paraId="3A121D7E" w14:textId="77777777" w:rsidR="00887453" w:rsidRPr="00D86615" w:rsidRDefault="00887453" w:rsidP="00887453">
            <w:pPr>
              <w:tabs>
                <w:tab w:val="left" w:pos="-720"/>
              </w:tabs>
              <w:suppressAutoHyphens/>
              <w:rPr>
                <w:rFonts w:ascii="Times New Roman" w:hAnsi="Times New Roman" w:cs="Times New Roman"/>
                <w:b/>
                <w:noProof/>
                <w:lang w:eastAsia="fr-FR"/>
              </w:rPr>
            </w:pPr>
            <w:r w:rsidRPr="00D86615">
              <w:rPr>
                <w:rFonts w:ascii="Times New Roman" w:hAnsi="Times New Roman" w:cs="Times New Roman"/>
                <w:b/>
                <w:noProof/>
              </w:rPr>
              <w:t>Sverige</w:t>
            </w:r>
          </w:p>
          <w:p w14:paraId="439F543C" w14:textId="50510390" w:rsidR="00887453" w:rsidRPr="00ED2012" w:rsidRDefault="00887453" w:rsidP="00887453">
            <w:pPr>
              <w:tabs>
                <w:tab w:val="left" w:pos="-720"/>
              </w:tabs>
              <w:suppressAutoHyphens/>
              <w:rPr>
                <w:rFonts w:ascii="Times New Roman" w:eastAsia="맑은 고딕" w:hAnsi="Times New Roman" w:cs="Times New Roman"/>
                <w:noProof/>
                <w:lang w:eastAsia="ko-KR"/>
              </w:rPr>
            </w:pPr>
            <w:r w:rsidRPr="00ED2012">
              <w:rPr>
                <w:rFonts w:ascii="Times New Roman" w:eastAsia="맑은 고딕" w:hAnsi="Times New Roman" w:cs="Times New Roman"/>
                <w:noProof/>
                <w:lang w:eastAsia="ko-KR"/>
              </w:rPr>
              <w:t>Celltrion Sweden AB</w:t>
            </w:r>
          </w:p>
          <w:p w14:paraId="526F5F15" w14:textId="77777777" w:rsidR="00887453" w:rsidRPr="00ED2012" w:rsidRDefault="00887453" w:rsidP="00887453">
            <w:pPr>
              <w:tabs>
                <w:tab w:val="left" w:pos="-720"/>
              </w:tabs>
              <w:suppressAutoHyphens/>
              <w:rPr>
                <w:rFonts w:ascii="Times New Roman" w:eastAsia="맑은 고딕" w:hAnsi="Times New Roman" w:cs="Times New Roman"/>
                <w:bCs/>
                <w:noProof/>
                <w:u w:val="single"/>
                <w:lang w:eastAsia="ko-KR"/>
              </w:rPr>
            </w:pPr>
            <w:hyperlink r:id="rId164" w:history="1">
              <w:r w:rsidRPr="00ED2012">
                <w:rPr>
                  <w:rStyle w:val="ad"/>
                  <w:rFonts w:ascii="Times New Roman" w:eastAsia="맑은 고딕" w:hAnsi="Times New Roman" w:cs="Times New Roman"/>
                  <w:noProof/>
                  <w:lang w:eastAsia="ko-KR"/>
                </w:rPr>
                <w:t>contact_se@celltrionhc.com</w:t>
              </w:r>
            </w:hyperlink>
          </w:p>
          <w:p w14:paraId="1BD229ED" w14:textId="00864502" w:rsidR="00887453" w:rsidRPr="00887453" w:rsidRDefault="00887453" w:rsidP="00887453">
            <w:pPr>
              <w:tabs>
                <w:tab w:val="left" w:pos="-720"/>
              </w:tabs>
              <w:suppressAutoHyphens/>
              <w:rPr>
                <w:rFonts w:ascii="Times New Roman" w:eastAsia="맑은 고딕" w:hAnsi="Times New Roman" w:cs="Times New Roman"/>
                <w:b/>
                <w:noProof/>
                <w:lang w:eastAsia="fr-FR"/>
              </w:rPr>
            </w:pPr>
          </w:p>
        </w:tc>
      </w:tr>
      <w:tr w:rsidR="00887453" w14:paraId="0A610264" w14:textId="77777777" w:rsidTr="00CC2E43">
        <w:tc>
          <w:tcPr>
            <w:tcW w:w="2500" w:type="pct"/>
          </w:tcPr>
          <w:p w14:paraId="3FACD04F" w14:textId="77777777" w:rsidR="00887453" w:rsidRDefault="00887453" w:rsidP="00887453">
            <w:pPr>
              <w:rPr>
                <w:rFonts w:ascii="Times New Roman" w:eastAsia="맑은 고딕" w:hAnsi="Times New Roman" w:cs="Times New Roman"/>
                <w:b/>
                <w:noProof/>
                <w:lang w:val="hu-HU" w:eastAsia="fr-FR"/>
              </w:rPr>
            </w:pPr>
            <w:r>
              <w:rPr>
                <w:rFonts w:ascii="Times New Roman" w:eastAsia="맑은 고딕" w:hAnsi="Times New Roman" w:cs="Times New Roman"/>
                <w:b/>
                <w:noProof/>
                <w:lang w:val="hu-HU" w:eastAsia="fr-FR"/>
              </w:rPr>
              <w:t>Latvija</w:t>
            </w:r>
          </w:p>
          <w:p w14:paraId="63C046AE" w14:textId="77777777" w:rsidR="00887453" w:rsidRDefault="00887453" w:rsidP="00887453">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62647533" w14:textId="77777777" w:rsidR="00887453" w:rsidRPr="00120A76" w:rsidRDefault="00887453" w:rsidP="00887453">
            <w:pPr>
              <w:autoSpaceDE w:val="0"/>
              <w:autoSpaceDN w:val="0"/>
              <w:adjustRightInd w:val="0"/>
              <w:rPr>
                <w:rFonts w:ascii="Times New Roman" w:eastAsia="맑은 고딕" w:hAnsi="Times New Roman" w:cs="Times New Roman"/>
                <w:b/>
                <w:bCs/>
                <w:lang w:val="hu-HU" w:eastAsia="fr-FR"/>
              </w:rPr>
            </w:pPr>
            <w:r w:rsidRPr="00607BBF">
              <w:rPr>
                <w:rFonts w:ascii="Times New Roman" w:eastAsia="맑은 고딕" w:hAnsi="Times New Roman" w:cs="Times New Roman"/>
                <w:noProof/>
                <w:lang w:eastAsia="fr-FR"/>
              </w:rPr>
              <w:t xml:space="preserve">Tālr.: </w:t>
            </w:r>
            <w:r>
              <w:rPr>
                <w:rFonts w:ascii="Times New Roman" w:eastAsia="맑은 고딕" w:hAnsi="Times New Roman" w:cs="Times New Roman"/>
                <w:noProof/>
                <w:lang w:eastAsia="fr-FR"/>
              </w:rPr>
              <w:t>+36 1 231 0493</w:t>
            </w:r>
          </w:p>
        </w:tc>
        <w:tc>
          <w:tcPr>
            <w:tcW w:w="2500" w:type="pct"/>
          </w:tcPr>
          <w:p w14:paraId="7E4A7B16" w14:textId="77777777" w:rsidR="00887453" w:rsidRDefault="00887453" w:rsidP="00887453">
            <w:pPr>
              <w:tabs>
                <w:tab w:val="left" w:pos="-720"/>
              </w:tabs>
              <w:suppressAutoHyphens/>
              <w:rPr>
                <w:rFonts w:ascii="Times New Roman" w:eastAsia="맑은 고딕" w:hAnsi="Times New Roman" w:cs="Times New Roman"/>
                <w:b/>
                <w:noProof/>
                <w:lang w:val="hu-HU" w:eastAsia="fr-FR"/>
              </w:rPr>
            </w:pPr>
          </w:p>
        </w:tc>
      </w:tr>
    </w:tbl>
    <w:p w14:paraId="46A5727F" w14:textId="77777777" w:rsidR="007561B4" w:rsidRDefault="007561B4" w:rsidP="007561B4">
      <w:pPr>
        <w:numPr>
          <w:ilvl w:val="12"/>
          <w:numId w:val="0"/>
        </w:numPr>
        <w:rPr>
          <w:rFonts w:ascii="Times New Roman" w:hAnsi="Times New Roman" w:cs="Times New Roman"/>
          <w:b/>
          <w:noProof/>
          <w:lang w:val="hu-HU"/>
        </w:rPr>
      </w:pPr>
    </w:p>
    <w:p w14:paraId="54264681" w14:textId="77777777" w:rsidR="007561B4" w:rsidRDefault="007561B4" w:rsidP="007561B4">
      <w:pPr>
        <w:numPr>
          <w:ilvl w:val="12"/>
          <w:numId w:val="0"/>
        </w:numPr>
        <w:rPr>
          <w:rFonts w:ascii="Times New Roman" w:hAnsi="Times New Roman" w:cs="Times New Roman"/>
          <w:b/>
          <w:noProof/>
          <w:lang w:val="hu-HU"/>
        </w:rPr>
      </w:pPr>
    </w:p>
    <w:p w14:paraId="5B6BB0EE" w14:textId="77777777" w:rsidR="007561B4" w:rsidRDefault="007561B4" w:rsidP="007561B4">
      <w:pPr>
        <w:numPr>
          <w:ilvl w:val="12"/>
          <w:numId w:val="0"/>
        </w:numPr>
        <w:rPr>
          <w:rFonts w:ascii="Times New Roman" w:eastAsia="맑은 고딕" w:hAnsi="Times New Roman" w:cs="Times New Roman"/>
          <w:noProof/>
          <w:lang w:val="hu-HU" w:eastAsia="ko-KR"/>
        </w:rPr>
      </w:pPr>
      <w:r>
        <w:rPr>
          <w:rFonts w:ascii="Times New Roman" w:eastAsia="Times New Roman" w:hAnsi="Times New Roman" w:cs="Times New Roman"/>
          <w:b/>
          <w:bCs/>
          <w:noProof/>
          <w:lang w:val="hu-HU"/>
        </w:rPr>
        <w:t>A betegtájékoztató legutóbbi felülvizsgálatának dátuma:</w:t>
      </w:r>
    </w:p>
    <w:p w14:paraId="4D6F9425" w14:textId="77777777" w:rsidR="007561B4" w:rsidRDefault="007561B4" w:rsidP="007561B4">
      <w:pPr>
        <w:numPr>
          <w:ilvl w:val="12"/>
          <w:numId w:val="0"/>
        </w:numPr>
        <w:rPr>
          <w:rFonts w:ascii="Times New Roman" w:hAnsi="Times New Roman" w:cs="Times New Roman"/>
          <w:noProof/>
          <w:lang w:val="hu-HU"/>
        </w:rPr>
      </w:pPr>
    </w:p>
    <w:p w14:paraId="4C9328AE" w14:textId="77777777" w:rsidR="007561B4" w:rsidRDefault="007561B4" w:rsidP="007561B4">
      <w:pPr>
        <w:numPr>
          <w:ilvl w:val="12"/>
          <w:numId w:val="0"/>
        </w:numPr>
        <w:rPr>
          <w:rFonts w:ascii="Times New Roman" w:hAnsi="Times New Roman" w:cs="Times New Roman"/>
          <w:b/>
          <w:noProof/>
          <w:lang w:val="hu-HU"/>
        </w:rPr>
      </w:pPr>
      <w:r>
        <w:rPr>
          <w:rFonts w:ascii="Times New Roman" w:eastAsia="Times New Roman" w:hAnsi="Times New Roman" w:cs="Times New Roman"/>
          <w:b/>
          <w:bCs/>
          <w:noProof/>
          <w:lang w:val="hu-HU"/>
        </w:rPr>
        <w:t>Egyéb információforrások</w:t>
      </w:r>
    </w:p>
    <w:p w14:paraId="448C81DD" w14:textId="77777777" w:rsidR="007561B4" w:rsidRDefault="007561B4" w:rsidP="007561B4">
      <w:pPr>
        <w:pStyle w:val="a3"/>
        <w:rPr>
          <w:lang w:val="hu-HU"/>
        </w:rPr>
      </w:pPr>
    </w:p>
    <w:p w14:paraId="1942C863" w14:textId="184D1382" w:rsidR="007561B4" w:rsidRPr="005A05DE" w:rsidRDefault="007561B4" w:rsidP="005A05DE">
      <w:pPr>
        <w:numPr>
          <w:ilvl w:val="12"/>
          <w:numId w:val="0"/>
        </w:numPr>
        <w:rPr>
          <w:rFonts w:ascii="Times New Roman" w:eastAsia="맑은 고딕" w:hAnsi="Times New Roman" w:cs="Times New Roman"/>
          <w:noProof/>
          <w:color w:val="0000FF"/>
          <w:lang w:val="hu-HU" w:eastAsia="ko-KR"/>
        </w:rPr>
      </w:pPr>
      <w:r>
        <w:rPr>
          <w:rFonts w:ascii="Times New Roman" w:eastAsia="Times New Roman" w:hAnsi="Times New Roman" w:cs="Times New Roman"/>
          <w:lang w:val="hu-HU"/>
        </w:rPr>
        <w:t>A gyógyszerről részletes információ az Európai Gyógyszerügynökség internetes honlapján (</w:t>
      </w:r>
      <w:r>
        <w:fldChar w:fldCharType="begin"/>
      </w:r>
      <w:r w:rsidRPr="00BE4D18">
        <w:rPr>
          <w:lang w:val="hu-HU"/>
        </w:rPr>
        <w:instrText>HYPERLINK "http://www.ema.europa.eu"</w:instrText>
      </w:r>
      <w:r>
        <w:fldChar w:fldCharType="separate"/>
      </w:r>
      <w:r w:rsidRPr="000405CC">
        <w:rPr>
          <w:rStyle w:val="ad"/>
          <w:rFonts w:ascii="Times New Roman" w:eastAsia="Times New Roman" w:hAnsi="Times New Roman" w:cs="Times New Roman"/>
          <w:lang w:val="hu-HU"/>
        </w:rPr>
        <w:t>http://www.ema.europa.eu</w:t>
      </w:r>
      <w:r>
        <w:fldChar w:fldCharType="end"/>
      </w:r>
      <w:r>
        <w:rPr>
          <w:rFonts w:ascii="Times New Roman" w:eastAsia="Times New Roman" w:hAnsi="Times New Roman" w:cs="Times New Roman"/>
          <w:lang w:val="hu-HU"/>
        </w:rPr>
        <w:t>) található.</w:t>
      </w:r>
    </w:p>
    <w:p w14:paraId="320E3F87" w14:textId="77777777" w:rsidR="007561B4" w:rsidRPr="005A05DE" w:rsidRDefault="007561B4" w:rsidP="007561B4">
      <w:pPr>
        <w:spacing w:line="200" w:lineRule="exact"/>
        <w:rPr>
          <w:b/>
          <w:sz w:val="20"/>
          <w:szCs w:val="20"/>
          <w:lang w:val="hu-HU"/>
        </w:rPr>
      </w:pPr>
    </w:p>
    <w:p w14:paraId="67A7F568" w14:textId="77777777" w:rsidR="007561B4" w:rsidRDefault="007561B4" w:rsidP="007561B4">
      <w:pPr>
        <w:spacing w:line="200" w:lineRule="exact"/>
        <w:rPr>
          <w:b/>
          <w:sz w:val="20"/>
          <w:szCs w:val="20"/>
          <w:lang w:val="hu-HU"/>
        </w:rPr>
      </w:pPr>
    </w:p>
    <w:p w14:paraId="317E8F0B" w14:textId="77777777" w:rsidR="007561B4" w:rsidRPr="003619B6" w:rsidRDefault="007561B4" w:rsidP="00FD05AA">
      <w:pPr>
        <w:pStyle w:val="a4"/>
        <w:numPr>
          <w:ilvl w:val="0"/>
          <w:numId w:val="82"/>
        </w:numPr>
        <w:spacing w:before="18" w:line="240" w:lineRule="exact"/>
        <w:ind w:hanging="468"/>
        <w:rPr>
          <w:rFonts w:ascii="Times New Roman" w:eastAsia="Times New Roman" w:hAnsi="Times New Roman" w:cs="Times New Roman"/>
          <w:b/>
          <w:lang w:val="hu-HU"/>
        </w:rPr>
      </w:pPr>
      <w:r w:rsidRPr="003619B6">
        <w:rPr>
          <w:rFonts w:ascii="Times New Roman" w:eastAsia="Times New Roman" w:hAnsi="Times New Roman" w:cs="Times New Roman"/>
          <w:b/>
          <w:bCs/>
          <w:spacing w:val="-1"/>
          <w:lang w:val="hu-HU"/>
        </w:rPr>
        <w:t>Használati utasítás</w:t>
      </w:r>
    </w:p>
    <w:p w14:paraId="5F4260ED" w14:textId="77777777" w:rsidR="007561B4" w:rsidRDefault="007561B4" w:rsidP="007561B4">
      <w:pPr>
        <w:spacing w:before="9" w:line="260" w:lineRule="exact"/>
        <w:rPr>
          <w:b/>
          <w:sz w:val="26"/>
          <w:szCs w:val="26"/>
          <w:lang w:val="hu-HU"/>
        </w:rPr>
      </w:pPr>
    </w:p>
    <w:p w14:paraId="108D4C53" w14:textId="1F8AA5C8" w:rsidR="007561B4" w:rsidRDefault="005A05DE" w:rsidP="007561B4">
      <w:pPr>
        <w:pStyle w:val="a3"/>
        <w:numPr>
          <w:ilvl w:val="1"/>
          <w:numId w:val="4"/>
        </w:numPr>
        <w:ind w:left="660" w:hanging="660"/>
        <w:rPr>
          <w:lang w:val="hu-HU"/>
        </w:rPr>
      </w:pPr>
      <w:r w:rsidRPr="005A05DE">
        <w:rPr>
          <w:lang w:val="hu-HU"/>
        </w:rPr>
        <w:t xml:space="preserve">A következő útmutató </w:t>
      </w:r>
      <w:r w:rsidR="00A17573" w:rsidRPr="005A05DE">
        <w:rPr>
          <w:lang w:val="hu-HU"/>
        </w:rPr>
        <w:t>el</w:t>
      </w:r>
      <w:r w:rsidRPr="005A05DE">
        <w:rPr>
          <w:lang w:val="hu-HU"/>
        </w:rPr>
        <w:t xml:space="preserve">magyarázza, hogyan </w:t>
      </w:r>
      <w:r w:rsidR="00A17573">
        <w:rPr>
          <w:rFonts w:eastAsia="Times New Roman"/>
          <w:lang w:val="hu-HU"/>
        </w:rPr>
        <w:t xml:space="preserve">kell beadnia </w:t>
      </w:r>
      <w:r w:rsidRPr="005A05DE">
        <w:rPr>
          <w:lang w:val="hu-HU"/>
        </w:rPr>
        <w:t xml:space="preserve">gyermekének a bőre alá a </w:t>
      </w:r>
      <w:r w:rsidR="00D92752">
        <w:rPr>
          <w:lang w:val="hu-HU"/>
        </w:rPr>
        <w:t>Yuflyma</w:t>
      </w:r>
      <w:r w:rsidRPr="005A05DE">
        <w:rPr>
          <w:lang w:val="hu-HU"/>
        </w:rPr>
        <w:t xml:space="preserve"> injekciót előretöltött fecskendővel. Kérjük, figyelmesen olvassa el az útmutatót, és kövesse lépésről-lépésre</w:t>
      </w:r>
      <w:r w:rsidR="007561B4">
        <w:rPr>
          <w:rFonts w:eastAsia="Times New Roman"/>
          <w:lang w:val="hu-HU"/>
        </w:rPr>
        <w:t>.</w:t>
      </w:r>
    </w:p>
    <w:p w14:paraId="17B5D908" w14:textId="77777777" w:rsidR="007561B4" w:rsidRDefault="007561B4" w:rsidP="007561B4">
      <w:pPr>
        <w:pStyle w:val="a3"/>
        <w:rPr>
          <w:lang w:val="hu-HU"/>
        </w:rPr>
      </w:pPr>
    </w:p>
    <w:p w14:paraId="3653C952" w14:textId="7F43D20E" w:rsidR="007561B4" w:rsidRDefault="005A05DE" w:rsidP="007561B4">
      <w:pPr>
        <w:pStyle w:val="a3"/>
        <w:numPr>
          <w:ilvl w:val="1"/>
          <w:numId w:val="4"/>
        </w:numPr>
        <w:ind w:left="660" w:hanging="660"/>
        <w:rPr>
          <w:lang w:val="hu-HU"/>
        </w:rPr>
      </w:pPr>
      <w:r w:rsidRPr="005A05DE">
        <w:rPr>
          <w:lang w:val="hu-HU"/>
        </w:rPr>
        <w:t>Az injekciózás technikájára kezelőorvosa, a nővér, vagy gyógyszerésze tanítja meg Önt</w:t>
      </w:r>
      <w:r w:rsidR="007561B4">
        <w:rPr>
          <w:rFonts w:eastAsia="Times New Roman"/>
          <w:lang w:val="hu-HU"/>
        </w:rPr>
        <w:t>.</w:t>
      </w:r>
    </w:p>
    <w:p w14:paraId="475F1838" w14:textId="77777777" w:rsidR="007561B4" w:rsidRDefault="007561B4" w:rsidP="007561B4">
      <w:pPr>
        <w:pStyle w:val="a3"/>
        <w:rPr>
          <w:lang w:val="hu-HU"/>
        </w:rPr>
      </w:pPr>
    </w:p>
    <w:p w14:paraId="2630F67C" w14:textId="003646C0" w:rsidR="007561B4" w:rsidRDefault="005A05DE" w:rsidP="007561B4">
      <w:pPr>
        <w:pStyle w:val="a3"/>
        <w:numPr>
          <w:ilvl w:val="1"/>
          <w:numId w:val="4"/>
        </w:numPr>
        <w:ind w:left="660" w:hanging="660"/>
        <w:rPr>
          <w:lang w:val="hu-HU"/>
        </w:rPr>
      </w:pPr>
      <w:r w:rsidRPr="005A05DE">
        <w:rPr>
          <w:b/>
          <w:lang w:val="hu-HU"/>
        </w:rPr>
        <w:t>Ne</w:t>
      </w:r>
      <w:r w:rsidRPr="005A05DE">
        <w:rPr>
          <w:lang w:val="hu-HU"/>
        </w:rPr>
        <w:t xml:space="preserve"> próbálkozzon az gyermeke injekciózásával, amíg nem biztos abban, hogyan kell elkészíteni és beadni az injekciót</w:t>
      </w:r>
      <w:r w:rsidR="007561B4">
        <w:rPr>
          <w:rFonts w:eastAsia="Times New Roman"/>
          <w:lang w:val="hu-HU"/>
        </w:rPr>
        <w:t>.</w:t>
      </w:r>
    </w:p>
    <w:p w14:paraId="3F6CBA3B" w14:textId="77777777" w:rsidR="007561B4" w:rsidRDefault="007561B4" w:rsidP="007561B4">
      <w:pPr>
        <w:pStyle w:val="a3"/>
        <w:rPr>
          <w:lang w:val="hu-HU"/>
        </w:rPr>
      </w:pPr>
    </w:p>
    <w:p w14:paraId="49313257" w14:textId="7F1B6061" w:rsidR="007561B4" w:rsidRDefault="005A05DE" w:rsidP="007561B4">
      <w:pPr>
        <w:pStyle w:val="a3"/>
        <w:numPr>
          <w:ilvl w:val="1"/>
          <w:numId w:val="4"/>
        </w:numPr>
        <w:ind w:left="660" w:hanging="660"/>
        <w:rPr>
          <w:lang w:val="hu-HU"/>
        </w:rPr>
      </w:pPr>
      <w:r w:rsidRPr="005A05DE">
        <w:rPr>
          <w:lang w:val="hu-HU"/>
        </w:rPr>
        <w:t>Ne próbálkozzon az gyermeke injekciózásával, amíg nem biztos abban, hogyan kell elkészíteni és beadni az injekciót</w:t>
      </w:r>
      <w:r w:rsidR="007561B4">
        <w:rPr>
          <w:rFonts w:eastAsia="Times New Roman"/>
          <w:lang w:val="hu-HU"/>
        </w:rPr>
        <w:t>.</w:t>
      </w:r>
    </w:p>
    <w:p w14:paraId="7F650353" w14:textId="77777777" w:rsidR="007561B4" w:rsidRDefault="007561B4" w:rsidP="007561B4">
      <w:pPr>
        <w:pStyle w:val="a3"/>
        <w:rPr>
          <w:lang w:val="hu-HU"/>
        </w:rPr>
      </w:pPr>
    </w:p>
    <w:p w14:paraId="613D918B" w14:textId="77777777" w:rsidR="007561B4" w:rsidRDefault="007561B4" w:rsidP="007561B4">
      <w:pPr>
        <w:pStyle w:val="a3"/>
        <w:numPr>
          <w:ilvl w:val="1"/>
          <w:numId w:val="4"/>
        </w:numPr>
        <w:ind w:left="660" w:hanging="660"/>
        <w:rPr>
          <w:lang w:val="hu-HU"/>
        </w:rPr>
      </w:pPr>
      <w:r>
        <w:rPr>
          <w:rFonts w:eastAsia="Times New Roman"/>
          <w:lang w:val="hu-HU"/>
        </w:rPr>
        <w:t>Mindegyik előretöltött fecskendőt csak egy injekcióhoz szabad használni</w:t>
      </w:r>
    </w:p>
    <w:p w14:paraId="12056E38" w14:textId="77777777" w:rsidR="007561B4" w:rsidRDefault="007561B4" w:rsidP="007561B4">
      <w:pPr>
        <w:rPr>
          <w:rFonts w:ascii="Times New Roman" w:hAnsi="Times New Roman" w:cs="Times New Roman"/>
          <w:lang w:val="hu-HU"/>
        </w:rPr>
      </w:pPr>
    </w:p>
    <w:p w14:paraId="75622352" w14:textId="77777777" w:rsidR="007561B4" w:rsidRDefault="007561B4" w:rsidP="007561B4">
      <w:pPr>
        <w:pStyle w:val="a3"/>
        <w:numPr>
          <w:ilvl w:val="0"/>
          <w:numId w:val="0"/>
        </w:numPr>
        <w:rPr>
          <w:lang w:val="hu-HU"/>
        </w:rPr>
      </w:pPr>
    </w:p>
    <w:p w14:paraId="50F1FDD8" w14:textId="77777777" w:rsidR="007561B4" w:rsidRDefault="007561B4" w:rsidP="007561B4">
      <w:pPr>
        <w:rPr>
          <w:rFonts w:ascii="Times New Roman" w:eastAsia="Times New Roman" w:hAnsi="Times New Roman" w:cs="Times New Roman"/>
          <w:b/>
          <w:bCs/>
          <w:lang w:val="hu-HU"/>
        </w:rPr>
      </w:pPr>
      <w:r>
        <w:rPr>
          <w:rFonts w:eastAsia="Times New Roman"/>
          <w:b/>
          <w:bCs/>
          <w:lang w:val="hu-HU"/>
        </w:rPr>
        <w:br w:type="page"/>
      </w:r>
    </w:p>
    <w:p w14:paraId="6EA42773" w14:textId="77777777" w:rsidR="007561B4" w:rsidRPr="001E2F31" w:rsidRDefault="007561B4" w:rsidP="007561B4">
      <w:pPr>
        <w:pStyle w:val="a3"/>
        <w:rPr>
          <w:rFonts w:eastAsia="Times New Roman"/>
          <w:b/>
          <w:lang w:val="hu-HU"/>
        </w:rPr>
      </w:pPr>
      <w:r w:rsidRPr="004B23C8">
        <w:rPr>
          <w:rFonts w:eastAsia="Times New Roman"/>
          <w:b/>
          <w:bCs/>
          <w:lang w:val="hu-HU"/>
        </w:rPr>
        <w:lastRenderedPageBreak/>
        <w:t>Yuflyma</w:t>
      </w:r>
      <w:r w:rsidRPr="001E2F31" w:rsidDel="00265077">
        <w:rPr>
          <w:rFonts w:eastAsia="Times New Roman"/>
          <w:b/>
          <w:lang w:val="hu-HU"/>
        </w:rPr>
        <w:t xml:space="preserve"> </w:t>
      </w:r>
      <w:r w:rsidRPr="001E2F31">
        <w:rPr>
          <w:rFonts w:eastAsia="Times New Roman"/>
          <w:b/>
          <w:lang w:val="hu-HU"/>
        </w:rPr>
        <w:t>előretöltött injekciós fecskendő</w:t>
      </w:r>
    </w:p>
    <w:p w14:paraId="2A8A5AC5" w14:textId="09290ABD" w:rsidR="007561B4" w:rsidRDefault="002D47A5" w:rsidP="007561B4">
      <w:pPr>
        <w:spacing w:before="13" w:line="240" w:lineRule="exact"/>
        <w:rPr>
          <w:sz w:val="24"/>
          <w:szCs w:val="24"/>
          <w:lang w:val="hu-HU"/>
        </w:rPr>
      </w:pPr>
      <w:r w:rsidRPr="00B6679D">
        <w:rPr>
          <w:noProof/>
          <w:sz w:val="24"/>
          <w:szCs w:val="24"/>
          <w:lang w:eastAsia="ko-KR"/>
        </w:rPr>
        <mc:AlternateContent>
          <mc:Choice Requires="wps">
            <w:drawing>
              <wp:anchor distT="45720" distB="45720" distL="114300" distR="114300" simplePos="0" relativeHeight="251720788" behindDoc="0" locked="0" layoutInCell="1" allowOverlap="1" wp14:anchorId="4D0AB41F" wp14:editId="11087DA3">
                <wp:simplePos x="0" y="0"/>
                <wp:positionH relativeFrom="column">
                  <wp:posOffset>2959100</wp:posOffset>
                </wp:positionH>
                <wp:positionV relativeFrom="paragraph">
                  <wp:posOffset>2792095</wp:posOffset>
                </wp:positionV>
                <wp:extent cx="1054100" cy="1404620"/>
                <wp:effectExtent l="0" t="0" r="0" b="0"/>
                <wp:wrapNone/>
                <wp:docPr id="645611671"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4100" cy="1404620"/>
                        </a:xfrm>
                        <a:prstGeom prst="rect">
                          <a:avLst/>
                        </a:prstGeom>
                        <a:noFill/>
                        <a:ln w="9525">
                          <a:noFill/>
                          <a:miter lim="800000"/>
                          <a:headEnd/>
                          <a:tailEnd/>
                        </a:ln>
                      </wps:spPr>
                      <wps:txbx>
                        <w:txbxContent>
                          <w:p w14:paraId="58A561E0" w14:textId="77777777" w:rsidR="004A2986" w:rsidRDefault="004A2986" w:rsidP="002D47A5">
                            <w:pPr>
                              <w:jc w:val="center"/>
                              <w:rPr>
                                <w:rFonts w:ascii="Times New Roman" w:hAnsi="Times New Roman" w:cs="Times New Roman"/>
                                <w:b/>
                                <w:bCs/>
                              </w:rPr>
                            </w:pPr>
                            <w:proofErr w:type="spellStart"/>
                            <w:r w:rsidRPr="00B37A8A">
                              <w:rPr>
                                <w:rFonts w:ascii="Times New Roman" w:hAnsi="Times New Roman" w:cs="Times New Roman"/>
                                <w:b/>
                                <w:bCs/>
                              </w:rPr>
                              <w:t>A</w:t>
                            </w:r>
                            <w:r>
                              <w:rPr>
                                <w:rFonts w:ascii="Times New Roman" w:hAnsi="Times New Roman" w:cs="Times New Roman"/>
                                <w:b/>
                                <w:bCs/>
                              </w:rPr>
                              <w:t>lkalmaz</w:t>
                            </w:r>
                            <w:r w:rsidRPr="00B37A8A">
                              <w:rPr>
                                <w:rFonts w:ascii="Times New Roman" w:hAnsi="Times New Roman" w:cs="Times New Roman" w:hint="eastAsia"/>
                                <w:b/>
                                <w:bCs/>
                              </w:rPr>
                              <w:t>á</w:t>
                            </w:r>
                            <w:r>
                              <w:rPr>
                                <w:rFonts w:ascii="Times New Roman" w:hAnsi="Times New Roman" w:cs="Times New Roman"/>
                                <w:b/>
                                <w:bCs/>
                              </w:rPr>
                              <w:t>s</w:t>
                            </w:r>
                            <w:proofErr w:type="spellEnd"/>
                          </w:p>
                          <w:p w14:paraId="042AE259" w14:textId="13C38EF6" w:rsidR="004A2986" w:rsidRPr="00167BF3" w:rsidRDefault="004A2986" w:rsidP="00167BF3">
                            <w:pPr>
                              <w:jc w:val="center"/>
                              <w:rPr>
                                <w:rFonts w:ascii="Times New Roman" w:hAnsi="Times New Roman" w:cs="Times New Roman"/>
                                <w:b/>
                                <w:bCs/>
                                <w:lang w:eastAsia="ko-KR"/>
                              </w:rPr>
                            </w:pPr>
                            <w:proofErr w:type="spellStart"/>
                            <w:r>
                              <w:rPr>
                                <w:rFonts w:ascii="Times New Roman" w:hAnsi="Times New Roman" w:cs="Times New Roman"/>
                                <w:b/>
                                <w:bCs/>
                              </w:rPr>
                              <w:t>ut</w:t>
                            </w:r>
                            <w:r w:rsidRPr="00B37A8A">
                              <w:rPr>
                                <w:rFonts w:ascii="Times New Roman" w:hAnsi="Times New Roman" w:cs="Times New Roman" w:hint="eastAsia"/>
                                <w:b/>
                                <w:bCs/>
                              </w:rPr>
                              <w:t>á</w:t>
                            </w:r>
                            <w:r>
                              <w:rPr>
                                <w:rFonts w:ascii="Times New Roman" w:hAnsi="Times New Roman" w:cs="Times New Roman"/>
                                <w:b/>
                                <w:bCs/>
                              </w:rPr>
                              <w:t>n</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0AB41F" id="텍스트 상자 2" o:spid="_x0000_s1234" type="#_x0000_t202" style="position:absolute;margin-left:233pt;margin-top:219.85pt;width:83pt;height:110.6pt;z-index:2517207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" filled="f" stroked="f">
                <v:textbox style="mso-fit-shape-to-text:t">
                  <w:txbxContent>
                    <w:p w14:paraId="58A561E0" w14:textId="77777777" w:rsidR="004A2986" w:rsidRDefault="004A2986" w:rsidP="002D47A5">
                      <w:pPr>
                        <w:jc w:val="center"/>
                        <w:rPr>
                          <w:rFonts w:ascii="Times New Roman" w:hAnsi="Times New Roman" w:cs="Times New Roman"/>
                          <w:b/>
                          <w:bCs/>
                        </w:rPr>
                      </w:pPr>
                      <w:proofErr w:type="spellStart"/>
                      <w:r w:rsidRPr="00B37A8A">
                        <w:rPr>
                          <w:rFonts w:ascii="Times New Roman" w:hAnsi="Times New Roman" w:cs="Times New Roman"/>
                          <w:b/>
                          <w:bCs/>
                        </w:rPr>
                        <w:t>A</w:t>
                      </w:r>
                      <w:r>
                        <w:rPr>
                          <w:rFonts w:ascii="Times New Roman" w:hAnsi="Times New Roman" w:cs="Times New Roman"/>
                          <w:b/>
                          <w:bCs/>
                        </w:rPr>
                        <w:t>lkalmaz</w:t>
                      </w:r>
                      <w:r w:rsidRPr="00B37A8A">
                        <w:rPr>
                          <w:rFonts w:ascii="Times New Roman" w:hAnsi="Times New Roman" w:cs="Times New Roman" w:hint="eastAsia"/>
                          <w:b/>
                          <w:bCs/>
                        </w:rPr>
                        <w:t>á</w:t>
                      </w:r>
                      <w:r>
                        <w:rPr>
                          <w:rFonts w:ascii="Times New Roman" w:hAnsi="Times New Roman" w:cs="Times New Roman"/>
                          <w:b/>
                          <w:bCs/>
                        </w:rPr>
                        <w:t>s</w:t>
                      </w:r>
                      <w:proofErr w:type="spellEnd"/>
                    </w:p>
                    <w:p w14:paraId="042AE259" w14:textId="13C38EF6" w:rsidR="004A2986" w:rsidRPr="00167BF3" w:rsidRDefault="004A2986" w:rsidP="00167BF3">
                      <w:pPr>
                        <w:jc w:val="center"/>
                        <w:rPr>
                          <w:rFonts w:ascii="Times New Roman" w:hAnsi="Times New Roman" w:cs="Times New Roman"/>
                          <w:b/>
                          <w:bCs/>
                          <w:lang w:eastAsia="ko-KR"/>
                        </w:rPr>
                      </w:pPr>
                      <w:proofErr w:type="spellStart"/>
                      <w:r>
                        <w:rPr>
                          <w:rFonts w:ascii="Times New Roman" w:hAnsi="Times New Roman" w:cs="Times New Roman"/>
                          <w:b/>
                          <w:bCs/>
                        </w:rPr>
                        <w:t>ut</w:t>
                      </w:r>
                      <w:r w:rsidRPr="00B37A8A">
                        <w:rPr>
                          <w:rFonts w:ascii="Times New Roman" w:hAnsi="Times New Roman" w:cs="Times New Roman" w:hint="eastAsia"/>
                          <w:b/>
                          <w:bCs/>
                        </w:rPr>
                        <w:t>á</w:t>
                      </w:r>
                      <w:r>
                        <w:rPr>
                          <w:rFonts w:ascii="Times New Roman" w:hAnsi="Times New Roman" w:cs="Times New Roman"/>
                          <w:b/>
                          <w:bCs/>
                        </w:rPr>
                        <w:t>n</w:t>
                      </w:r>
                      <w:proofErr w:type="spellEnd"/>
                    </w:p>
                  </w:txbxContent>
                </v:textbox>
              </v:shape>
            </w:pict>
          </mc:Fallback>
        </mc:AlternateContent>
      </w:r>
      <w:r w:rsidR="00B37A8A" w:rsidRPr="00B6679D">
        <w:rPr>
          <w:noProof/>
          <w:sz w:val="24"/>
          <w:szCs w:val="24"/>
          <w:lang w:eastAsia="ko-KR"/>
        </w:rPr>
        <mc:AlternateContent>
          <mc:Choice Requires="wps">
            <w:drawing>
              <wp:anchor distT="45720" distB="45720" distL="114300" distR="114300" simplePos="0" relativeHeight="251718740" behindDoc="0" locked="0" layoutInCell="1" allowOverlap="1" wp14:anchorId="6AE50277" wp14:editId="2D4BCF02">
                <wp:simplePos x="0" y="0"/>
                <wp:positionH relativeFrom="column">
                  <wp:posOffset>1676400</wp:posOffset>
                </wp:positionH>
                <wp:positionV relativeFrom="paragraph">
                  <wp:posOffset>2792095</wp:posOffset>
                </wp:positionV>
                <wp:extent cx="1130300" cy="1404620"/>
                <wp:effectExtent l="0" t="0" r="0" b="0"/>
                <wp:wrapNone/>
                <wp:docPr id="445184512"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0" cy="1404620"/>
                        </a:xfrm>
                        <a:prstGeom prst="rect">
                          <a:avLst/>
                        </a:prstGeom>
                        <a:noFill/>
                        <a:ln w="9525">
                          <a:noFill/>
                          <a:miter lim="800000"/>
                          <a:headEnd/>
                          <a:tailEnd/>
                        </a:ln>
                      </wps:spPr>
                      <wps:txbx>
                        <w:txbxContent>
                          <w:p w14:paraId="7AAFD686" w14:textId="057F9680" w:rsidR="004A2986" w:rsidRDefault="004A2986" w:rsidP="00B6679D">
                            <w:pPr>
                              <w:jc w:val="center"/>
                              <w:rPr>
                                <w:rFonts w:ascii="Times New Roman" w:hAnsi="Times New Roman" w:cs="Times New Roman"/>
                                <w:b/>
                                <w:bCs/>
                              </w:rPr>
                            </w:pPr>
                            <w:proofErr w:type="spellStart"/>
                            <w:r w:rsidRPr="00B37A8A">
                              <w:rPr>
                                <w:rFonts w:ascii="Times New Roman" w:hAnsi="Times New Roman" w:cs="Times New Roman"/>
                                <w:b/>
                                <w:bCs/>
                              </w:rPr>
                              <w:t>A</w:t>
                            </w:r>
                            <w:r>
                              <w:rPr>
                                <w:rFonts w:ascii="Times New Roman" w:hAnsi="Times New Roman" w:cs="Times New Roman"/>
                                <w:b/>
                                <w:bCs/>
                              </w:rPr>
                              <w:t>lkalmaz</w:t>
                            </w:r>
                            <w:r w:rsidRPr="00B37A8A">
                              <w:rPr>
                                <w:rFonts w:ascii="Times New Roman" w:hAnsi="Times New Roman" w:cs="Times New Roman" w:hint="eastAsia"/>
                                <w:b/>
                                <w:bCs/>
                              </w:rPr>
                              <w:t>á</w:t>
                            </w:r>
                            <w:r>
                              <w:rPr>
                                <w:rFonts w:ascii="Times New Roman" w:hAnsi="Times New Roman" w:cs="Times New Roman"/>
                                <w:b/>
                                <w:bCs/>
                              </w:rPr>
                              <w:t>s</w:t>
                            </w:r>
                            <w:proofErr w:type="spellEnd"/>
                          </w:p>
                          <w:p w14:paraId="41B94C9A" w14:textId="1F844B0D" w:rsidR="004A2986" w:rsidRPr="00167BF3" w:rsidRDefault="004A2986" w:rsidP="00167BF3">
                            <w:pPr>
                              <w:jc w:val="center"/>
                              <w:rPr>
                                <w:rFonts w:ascii="Times New Roman" w:hAnsi="Times New Roman" w:cs="Times New Roman"/>
                                <w:b/>
                                <w:bCs/>
                                <w:lang w:eastAsia="ko-KR"/>
                              </w:rPr>
                            </w:pPr>
                            <w:proofErr w:type="spellStart"/>
                            <w:r>
                              <w:rPr>
                                <w:rFonts w:ascii="Times New Roman" w:hAnsi="Times New Roman" w:cs="Times New Roman"/>
                                <w:b/>
                                <w:bCs/>
                              </w:rPr>
                              <w:t>el</w:t>
                            </w:r>
                            <w:r w:rsidRPr="00B37A8A">
                              <w:rPr>
                                <w:rFonts w:ascii="Times New Roman" w:hAnsi="Times New Roman" w:cs="Times New Roman"/>
                                <w:b/>
                                <w:bCs/>
                              </w:rPr>
                              <w:t>ő</w:t>
                            </w:r>
                            <w:r>
                              <w:rPr>
                                <w:rFonts w:ascii="Times New Roman" w:hAnsi="Times New Roman" w:cs="Times New Roman"/>
                                <w:b/>
                                <w:bCs/>
                              </w:rPr>
                              <w:t>tt</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E50277" id="_x0000_s1235" type="#_x0000_t202" style="position:absolute;margin-left:132pt;margin-top:219.85pt;width:89pt;height:110.6pt;z-index:2517187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" filled="f" stroked="f">
                <v:textbox style="mso-fit-shape-to-text:t">
                  <w:txbxContent>
                    <w:p w14:paraId="7AAFD686" w14:textId="057F9680" w:rsidR="004A2986" w:rsidRDefault="004A2986" w:rsidP="00B6679D">
                      <w:pPr>
                        <w:jc w:val="center"/>
                        <w:rPr>
                          <w:rFonts w:ascii="Times New Roman" w:hAnsi="Times New Roman" w:cs="Times New Roman"/>
                          <w:b/>
                          <w:bCs/>
                        </w:rPr>
                      </w:pPr>
                      <w:proofErr w:type="spellStart"/>
                      <w:r w:rsidRPr="00B37A8A">
                        <w:rPr>
                          <w:rFonts w:ascii="Times New Roman" w:hAnsi="Times New Roman" w:cs="Times New Roman"/>
                          <w:b/>
                          <w:bCs/>
                        </w:rPr>
                        <w:t>A</w:t>
                      </w:r>
                      <w:r>
                        <w:rPr>
                          <w:rFonts w:ascii="Times New Roman" w:hAnsi="Times New Roman" w:cs="Times New Roman"/>
                          <w:b/>
                          <w:bCs/>
                        </w:rPr>
                        <w:t>lkalmaz</w:t>
                      </w:r>
                      <w:r w:rsidRPr="00B37A8A">
                        <w:rPr>
                          <w:rFonts w:ascii="Times New Roman" w:hAnsi="Times New Roman" w:cs="Times New Roman" w:hint="eastAsia"/>
                          <w:b/>
                          <w:bCs/>
                        </w:rPr>
                        <w:t>á</w:t>
                      </w:r>
                      <w:r>
                        <w:rPr>
                          <w:rFonts w:ascii="Times New Roman" w:hAnsi="Times New Roman" w:cs="Times New Roman"/>
                          <w:b/>
                          <w:bCs/>
                        </w:rPr>
                        <w:t>s</w:t>
                      </w:r>
                      <w:proofErr w:type="spellEnd"/>
                    </w:p>
                    <w:p w14:paraId="41B94C9A" w14:textId="1F844B0D" w:rsidR="004A2986" w:rsidRPr="00167BF3" w:rsidRDefault="004A2986" w:rsidP="00167BF3">
                      <w:pPr>
                        <w:jc w:val="center"/>
                        <w:rPr>
                          <w:rFonts w:ascii="Times New Roman" w:hAnsi="Times New Roman" w:cs="Times New Roman"/>
                          <w:b/>
                          <w:bCs/>
                          <w:lang w:eastAsia="ko-KR"/>
                        </w:rPr>
                      </w:pPr>
                      <w:proofErr w:type="spellStart"/>
                      <w:r>
                        <w:rPr>
                          <w:rFonts w:ascii="Times New Roman" w:hAnsi="Times New Roman" w:cs="Times New Roman"/>
                          <w:b/>
                          <w:bCs/>
                        </w:rPr>
                        <w:t>el</w:t>
                      </w:r>
                      <w:r w:rsidRPr="00B37A8A">
                        <w:rPr>
                          <w:rFonts w:ascii="Times New Roman" w:hAnsi="Times New Roman" w:cs="Times New Roman"/>
                          <w:b/>
                          <w:bCs/>
                        </w:rPr>
                        <w:t>ő</w:t>
                      </w:r>
                      <w:r>
                        <w:rPr>
                          <w:rFonts w:ascii="Times New Roman" w:hAnsi="Times New Roman" w:cs="Times New Roman"/>
                          <w:b/>
                          <w:bCs/>
                        </w:rPr>
                        <w:t>tt</w:t>
                      </w:r>
                      <w:proofErr w:type="spellEnd"/>
                    </w:p>
                  </w:txbxContent>
                </v:textbox>
              </v:shape>
            </w:pict>
          </mc:Fallback>
        </mc:AlternateContent>
      </w:r>
      <w:r w:rsidR="00B6679D" w:rsidRPr="00B6679D">
        <w:rPr>
          <w:noProof/>
          <w:sz w:val="24"/>
          <w:szCs w:val="24"/>
          <w:lang w:eastAsia="ko-KR"/>
        </w:rPr>
        <mc:AlternateContent>
          <mc:Choice Requires="wps">
            <w:drawing>
              <wp:anchor distT="45720" distB="45720" distL="114300" distR="114300" simplePos="0" relativeHeight="251716692" behindDoc="0" locked="0" layoutInCell="1" allowOverlap="1" wp14:anchorId="4A60709B" wp14:editId="2A7361A0">
                <wp:simplePos x="0" y="0"/>
                <wp:positionH relativeFrom="column">
                  <wp:posOffset>1035050</wp:posOffset>
                </wp:positionH>
                <wp:positionV relativeFrom="paragraph">
                  <wp:posOffset>1503045</wp:posOffset>
                </wp:positionV>
                <wp:extent cx="857250" cy="1404620"/>
                <wp:effectExtent l="0" t="0" r="0" b="5715"/>
                <wp:wrapNone/>
                <wp:docPr id="787311755"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1404620"/>
                        </a:xfrm>
                        <a:prstGeom prst="rect">
                          <a:avLst/>
                        </a:prstGeom>
                        <a:noFill/>
                        <a:ln w="9525">
                          <a:noFill/>
                          <a:miter lim="800000"/>
                          <a:headEnd/>
                          <a:tailEnd/>
                        </a:ln>
                      </wps:spPr>
                      <wps:txbx>
                        <w:txbxContent>
                          <w:p w14:paraId="49BDA26A" w14:textId="3CE3247F" w:rsidR="004A2986" w:rsidRPr="00167BF3" w:rsidRDefault="004A2986" w:rsidP="00167BF3">
                            <w:pPr>
                              <w:jc w:val="center"/>
                              <w:rPr>
                                <w:rFonts w:ascii="Times New Roman" w:hAnsi="Times New Roman" w:cs="Times New Roman"/>
                                <w:b/>
                                <w:bCs/>
                                <w:lang w:eastAsia="ko-KR"/>
                              </w:rPr>
                            </w:pPr>
                            <w:proofErr w:type="spellStart"/>
                            <w:r>
                              <w:rPr>
                                <w:rFonts w:ascii="Times New Roman" w:hAnsi="Times New Roman" w:cs="Times New Roman"/>
                                <w:b/>
                                <w:bCs/>
                              </w:rPr>
                              <w:t>G</w:t>
                            </w:r>
                            <w:r w:rsidRPr="00B6679D">
                              <w:rPr>
                                <w:rFonts w:ascii="Times New Roman" w:hAnsi="Times New Roman" w:cs="Times New Roman"/>
                                <w:b/>
                                <w:bCs/>
                              </w:rPr>
                              <w:t>yógyszer</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60709B" id="_x0000_s1236" type="#_x0000_t202" style="position:absolute;margin-left:81.5pt;margin-top:118.35pt;width:67.5pt;height:110.6pt;z-index:2517166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" filled="f" stroked="f">
                <v:textbox style="mso-fit-shape-to-text:t">
                  <w:txbxContent>
                    <w:p w14:paraId="49BDA26A" w14:textId="3CE3247F" w:rsidR="004A2986" w:rsidRPr="00167BF3" w:rsidRDefault="004A2986" w:rsidP="00167BF3">
                      <w:pPr>
                        <w:jc w:val="center"/>
                        <w:rPr>
                          <w:rFonts w:ascii="Times New Roman" w:hAnsi="Times New Roman" w:cs="Times New Roman"/>
                          <w:b/>
                          <w:bCs/>
                          <w:lang w:eastAsia="ko-KR"/>
                        </w:rPr>
                      </w:pPr>
                      <w:proofErr w:type="spellStart"/>
                      <w:r>
                        <w:rPr>
                          <w:rFonts w:ascii="Times New Roman" w:hAnsi="Times New Roman" w:cs="Times New Roman"/>
                          <w:b/>
                          <w:bCs/>
                        </w:rPr>
                        <w:t>G</w:t>
                      </w:r>
                      <w:r w:rsidRPr="00B6679D">
                        <w:rPr>
                          <w:rFonts w:ascii="Times New Roman" w:hAnsi="Times New Roman" w:cs="Times New Roman"/>
                          <w:b/>
                          <w:bCs/>
                        </w:rPr>
                        <w:t>yógyszer</w:t>
                      </w:r>
                      <w:proofErr w:type="spellEnd"/>
                    </w:p>
                  </w:txbxContent>
                </v:textbox>
              </v:shape>
            </w:pict>
          </mc:Fallback>
        </mc:AlternateContent>
      </w:r>
      <w:r w:rsidR="00B6679D" w:rsidRPr="00B6679D">
        <w:rPr>
          <w:noProof/>
          <w:sz w:val="24"/>
          <w:szCs w:val="24"/>
          <w:lang w:eastAsia="ko-KR"/>
        </w:rPr>
        <mc:AlternateContent>
          <mc:Choice Requires="wps">
            <w:drawing>
              <wp:anchor distT="45720" distB="45720" distL="114300" distR="114300" simplePos="0" relativeHeight="251714644" behindDoc="0" locked="0" layoutInCell="1" allowOverlap="1" wp14:anchorId="2990B1C5" wp14:editId="5857F51F">
                <wp:simplePos x="0" y="0"/>
                <wp:positionH relativeFrom="column">
                  <wp:posOffset>2514600</wp:posOffset>
                </wp:positionH>
                <wp:positionV relativeFrom="paragraph">
                  <wp:posOffset>2404745</wp:posOffset>
                </wp:positionV>
                <wp:extent cx="711200" cy="1404620"/>
                <wp:effectExtent l="0" t="0" r="0" b="0"/>
                <wp:wrapNone/>
                <wp:docPr id="132453840"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0" cy="1404620"/>
                        </a:xfrm>
                        <a:prstGeom prst="rect">
                          <a:avLst/>
                        </a:prstGeom>
                        <a:noFill/>
                        <a:ln w="9525">
                          <a:noFill/>
                          <a:miter lim="800000"/>
                          <a:headEnd/>
                          <a:tailEnd/>
                        </a:ln>
                      </wps:spPr>
                      <wps:txbx>
                        <w:txbxContent>
                          <w:p w14:paraId="71054E3B" w14:textId="7E6A71AE" w:rsidR="004A2986" w:rsidRPr="00167BF3" w:rsidRDefault="004A2986" w:rsidP="00167BF3">
                            <w:pPr>
                              <w:jc w:val="center"/>
                              <w:rPr>
                                <w:rFonts w:ascii="Times New Roman" w:hAnsi="Times New Roman" w:cs="Times New Roman"/>
                                <w:b/>
                                <w:bCs/>
                                <w:lang w:eastAsia="ko-KR"/>
                              </w:rPr>
                            </w:pPr>
                            <w:proofErr w:type="spellStart"/>
                            <w:r>
                              <w:rPr>
                                <w:rFonts w:ascii="Times New Roman" w:hAnsi="Times New Roman" w:cs="Times New Roman"/>
                                <w:b/>
                                <w:bCs/>
                              </w:rPr>
                              <w:t>T</w:t>
                            </w:r>
                            <w:r w:rsidRPr="00B6679D">
                              <w:rPr>
                                <w:rFonts w:ascii="Times New Roman" w:hAnsi="Times New Roman" w:cs="Times New Roman"/>
                                <w:b/>
                                <w:bCs/>
                              </w:rPr>
                              <w:t>űvédő</w:t>
                            </w:r>
                            <w:proofErr w:type="spellEnd"/>
                            <w:r w:rsidRPr="00B6679D">
                              <w:rPr>
                                <w:rFonts w:ascii="Times New Roman" w:hAnsi="Times New Roman" w:cs="Times New Roman"/>
                                <w:b/>
                                <w:bCs/>
                              </w:rPr>
                              <w:t xml:space="preserve"> </w:t>
                            </w:r>
                            <w:proofErr w:type="spellStart"/>
                            <w:r w:rsidRPr="00B6679D">
                              <w:rPr>
                                <w:rFonts w:ascii="Times New Roman" w:hAnsi="Times New Roman" w:cs="Times New Roman"/>
                                <w:b/>
                                <w:bCs/>
                              </w:rPr>
                              <w:t>tok</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90B1C5" id="_x0000_s1237" type="#_x0000_t202" style="position:absolute;margin-left:198pt;margin-top:189.35pt;width:56pt;height:110.6pt;z-index:2517146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" filled="f" stroked="f">
                <v:textbox style="mso-fit-shape-to-text:t">
                  <w:txbxContent>
                    <w:p w14:paraId="71054E3B" w14:textId="7E6A71AE" w:rsidR="004A2986" w:rsidRPr="00167BF3" w:rsidRDefault="004A2986" w:rsidP="00167BF3">
                      <w:pPr>
                        <w:jc w:val="center"/>
                        <w:rPr>
                          <w:rFonts w:ascii="Times New Roman" w:hAnsi="Times New Roman" w:cs="Times New Roman"/>
                          <w:b/>
                          <w:bCs/>
                          <w:lang w:eastAsia="ko-KR"/>
                        </w:rPr>
                      </w:pPr>
                      <w:proofErr w:type="spellStart"/>
                      <w:r>
                        <w:rPr>
                          <w:rFonts w:ascii="Times New Roman" w:hAnsi="Times New Roman" w:cs="Times New Roman"/>
                          <w:b/>
                          <w:bCs/>
                        </w:rPr>
                        <w:t>T</w:t>
                      </w:r>
                      <w:r w:rsidRPr="00B6679D">
                        <w:rPr>
                          <w:rFonts w:ascii="Times New Roman" w:hAnsi="Times New Roman" w:cs="Times New Roman"/>
                          <w:b/>
                          <w:bCs/>
                        </w:rPr>
                        <w:t>űvédő</w:t>
                      </w:r>
                      <w:proofErr w:type="spellEnd"/>
                      <w:r w:rsidRPr="00B6679D">
                        <w:rPr>
                          <w:rFonts w:ascii="Times New Roman" w:hAnsi="Times New Roman" w:cs="Times New Roman"/>
                          <w:b/>
                          <w:bCs/>
                        </w:rPr>
                        <w:t xml:space="preserve"> </w:t>
                      </w:r>
                      <w:proofErr w:type="spellStart"/>
                      <w:r w:rsidRPr="00B6679D">
                        <w:rPr>
                          <w:rFonts w:ascii="Times New Roman" w:hAnsi="Times New Roman" w:cs="Times New Roman"/>
                          <w:b/>
                          <w:bCs/>
                        </w:rPr>
                        <w:t>tok</w:t>
                      </w:r>
                      <w:proofErr w:type="spellEnd"/>
                    </w:p>
                  </w:txbxContent>
                </v:textbox>
              </v:shape>
            </w:pict>
          </mc:Fallback>
        </mc:AlternateContent>
      </w:r>
      <w:r w:rsidR="00B6679D" w:rsidRPr="00B6679D">
        <w:rPr>
          <w:noProof/>
          <w:sz w:val="24"/>
          <w:szCs w:val="24"/>
          <w:lang w:eastAsia="ko-KR"/>
        </w:rPr>
        <mc:AlternateContent>
          <mc:Choice Requires="wps">
            <w:drawing>
              <wp:anchor distT="45720" distB="45720" distL="114300" distR="114300" simplePos="0" relativeHeight="251708500" behindDoc="0" locked="0" layoutInCell="1" allowOverlap="1" wp14:anchorId="2C0AA5FC" wp14:editId="25602397">
                <wp:simplePos x="0" y="0"/>
                <wp:positionH relativeFrom="column">
                  <wp:posOffset>2470150</wp:posOffset>
                </wp:positionH>
                <wp:positionV relativeFrom="paragraph">
                  <wp:posOffset>893445</wp:posOffset>
                </wp:positionV>
                <wp:extent cx="819150" cy="1404620"/>
                <wp:effectExtent l="0" t="0" r="0" b="5715"/>
                <wp:wrapNone/>
                <wp:docPr id="1803057863"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1404620"/>
                        </a:xfrm>
                        <a:prstGeom prst="rect">
                          <a:avLst/>
                        </a:prstGeom>
                        <a:noFill/>
                        <a:ln w="9525">
                          <a:noFill/>
                          <a:miter lim="800000"/>
                          <a:headEnd/>
                          <a:tailEnd/>
                        </a:ln>
                      </wps:spPr>
                      <wps:txbx>
                        <w:txbxContent>
                          <w:p w14:paraId="2AF2E32E" w14:textId="6E43FE92" w:rsidR="004A2986" w:rsidRPr="00167BF3" w:rsidRDefault="004A2986" w:rsidP="00167BF3">
                            <w:pPr>
                              <w:jc w:val="center"/>
                              <w:rPr>
                                <w:rFonts w:ascii="Times New Roman" w:hAnsi="Times New Roman" w:cs="Times New Roman"/>
                                <w:b/>
                                <w:bCs/>
                                <w:lang w:eastAsia="ko-KR"/>
                              </w:rPr>
                            </w:pPr>
                            <w:proofErr w:type="spellStart"/>
                            <w:r w:rsidRPr="00B6679D">
                              <w:rPr>
                                <w:rFonts w:ascii="Times New Roman" w:hAnsi="Times New Roman" w:cs="Times New Roman"/>
                                <w:b/>
                                <w:bCs/>
                              </w:rPr>
                              <w:t>Ujjtámasz</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0AA5FC" id="_x0000_s1238" type="#_x0000_t202" style="position:absolute;margin-left:194.5pt;margin-top:70.35pt;width:64.5pt;height:110.6pt;z-index:2517085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" filled="f" stroked="f">
                <v:textbox style="mso-fit-shape-to-text:t">
                  <w:txbxContent>
                    <w:p w14:paraId="2AF2E32E" w14:textId="6E43FE92" w:rsidR="004A2986" w:rsidRPr="00167BF3" w:rsidRDefault="004A2986" w:rsidP="00167BF3">
                      <w:pPr>
                        <w:jc w:val="center"/>
                        <w:rPr>
                          <w:rFonts w:ascii="Times New Roman" w:hAnsi="Times New Roman" w:cs="Times New Roman"/>
                          <w:b/>
                          <w:bCs/>
                          <w:lang w:eastAsia="ko-KR"/>
                        </w:rPr>
                      </w:pPr>
                      <w:proofErr w:type="spellStart"/>
                      <w:r w:rsidRPr="00B6679D">
                        <w:rPr>
                          <w:rFonts w:ascii="Times New Roman" w:hAnsi="Times New Roman" w:cs="Times New Roman"/>
                          <w:b/>
                          <w:bCs/>
                        </w:rPr>
                        <w:t>Ujjtámasz</w:t>
                      </w:r>
                      <w:proofErr w:type="spellEnd"/>
                    </w:p>
                  </w:txbxContent>
                </v:textbox>
              </v:shape>
            </w:pict>
          </mc:Fallback>
        </mc:AlternateContent>
      </w:r>
      <w:r w:rsidR="00B6679D" w:rsidRPr="00B6679D">
        <w:rPr>
          <w:noProof/>
          <w:sz w:val="24"/>
          <w:szCs w:val="24"/>
          <w:lang w:eastAsia="ko-KR"/>
        </w:rPr>
        <mc:AlternateContent>
          <mc:Choice Requires="wps">
            <w:drawing>
              <wp:anchor distT="45720" distB="45720" distL="114300" distR="114300" simplePos="0" relativeHeight="251710548" behindDoc="0" locked="0" layoutInCell="1" allowOverlap="1" wp14:anchorId="64AB85AE" wp14:editId="068DBBB2">
                <wp:simplePos x="0" y="0"/>
                <wp:positionH relativeFrom="column">
                  <wp:posOffset>2470150</wp:posOffset>
                </wp:positionH>
                <wp:positionV relativeFrom="paragraph">
                  <wp:posOffset>467995</wp:posOffset>
                </wp:positionV>
                <wp:extent cx="800100" cy="1404620"/>
                <wp:effectExtent l="0" t="0" r="0" b="5715"/>
                <wp:wrapNone/>
                <wp:docPr id="282966252"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1404620"/>
                        </a:xfrm>
                        <a:prstGeom prst="rect">
                          <a:avLst/>
                        </a:prstGeom>
                        <a:noFill/>
                        <a:ln w="9525">
                          <a:noFill/>
                          <a:miter lim="800000"/>
                          <a:headEnd/>
                          <a:tailEnd/>
                        </a:ln>
                      </wps:spPr>
                      <wps:txbx>
                        <w:txbxContent>
                          <w:p w14:paraId="31DBCB90" w14:textId="357CE897" w:rsidR="004A2986" w:rsidRPr="00167BF3" w:rsidRDefault="004A2986" w:rsidP="00167BF3">
                            <w:pPr>
                              <w:jc w:val="center"/>
                              <w:rPr>
                                <w:rFonts w:ascii="Times New Roman" w:hAnsi="Times New Roman" w:cs="Times New Roman"/>
                                <w:b/>
                                <w:bCs/>
                                <w:lang w:eastAsia="ko-KR"/>
                              </w:rPr>
                            </w:pPr>
                            <w:proofErr w:type="spellStart"/>
                            <w:r>
                              <w:rPr>
                                <w:rFonts w:ascii="Times New Roman" w:hAnsi="Times New Roman" w:cs="Times New Roman"/>
                                <w:b/>
                                <w:bCs/>
                              </w:rPr>
                              <w:t>D</w:t>
                            </w:r>
                            <w:r w:rsidRPr="00B6679D">
                              <w:rPr>
                                <w:rFonts w:ascii="Times New Roman" w:hAnsi="Times New Roman" w:cs="Times New Roman"/>
                                <w:b/>
                                <w:bCs/>
                              </w:rPr>
                              <w:t>ugattyút</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AB85AE" id="_x0000_s1239" type="#_x0000_t202" style="position:absolute;margin-left:194.5pt;margin-top:36.85pt;width:63pt;height:110.6pt;z-index:2517105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" filled="f" stroked="f">
                <v:textbox style="mso-fit-shape-to-text:t">
                  <w:txbxContent>
                    <w:p w14:paraId="31DBCB90" w14:textId="357CE897" w:rsidR="004A2986" w:rsidRPr="00167BF3" w:rsidRDefault="004A2986" w:rsidP="00167BF3">
                      <w:pPr>
                        <w:jc w:val="center"/>
                        <w:rPr>
                          <w:rFonts w:ascii="Times New Roman" w:hAnsi="Times New Roman" w:cs="Times New Roman"/>
                          <w:b/>
                          <w:bCs/>
                          <w:lang w:eastAsia="ko-KR"/>
                        </w:rPr>
                      </w:pPr>
                      <w:proofErr w:type="spellStart"/>
                      <w:r>
                        <w:rPr>
                          <w:rFonts w:ascii="Times New Roman" w:hAnsi="Times New Roman" w:cs="Times New Roman"/>
                          <w:b/>
                          <w:bCs/>
                        </w:rPr>
                        <w:t>D</w:t>
                      </w:r>
                      <w:r w:rsidRPr="00B6679D">
                        <w:rPr>
                          <w:rFonts w:ascii="Times New Roman" w:hAnsi="Times New Roman" w:cs="Times New Roman"/>
                          <w:b/>
                          <w:bCs/>
                        </w:rPr>
                        <w:t>ugattyút</w:t>
                      </w:r>
                      <w:proofErr w:type="spellEnd"/>
                    </w:p>
                  </w:txbxContent>
                </v:textbox>
              </v:shape>
            </w:pict>
          </mc:Fallback>
        </mc:AlternateContent>
      </w:r>
      <w:r w:rsidR="00B6679D" w:rsidRPr="00B6679D">
        <w:rPr>
          <w:noProof/>
          <w:sz w:val="24"/>
          <w:szCs w:val="24"/>
          <w:lang w:eastAsia="ko-KR"/>
        </w:rPr>
        <mc:AlternateContent>
          <mc:Choice Requires="wps">
            <w:drawing>
              <wp:anchor distT="45720" distB="45720" distL="114300" distR="114300" simplePos="0" relativeHeight="251712596" behindDoc="0" locked="0" layoutInCell="1" allowOverlap="1" wp14:anchorId="19D125BC" wp14:editId="5AA96329">
                <wp:simplePos x="0" y="0"/>
                <wp:positionH relativeFrom="column">
                  <wp:posOffset>2578100</wp:posOffset>
                </wp:positionH>
                <wp:positionV relativeFrom="paragraph">
                  <wp:posOffset>1971675</wp:posOffset>
                </wp:positionV>
                <wp:extent cx="584200" cy="1404620"/>
                <wp:effectExtent l="0" t="0" r="0" b="5715"/>
                <wp:wrapNone/>
                <wp:docPr id="1487955329"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1404620"/>
                        </a:xfrm>
                        <a:prstGeom prst="rect">
                          <a:avLst/>
                        </a:prstGeom>
                        <a:noFill/>
                        <a:ln w="9525">
                          <a:noFill/>
                          <a:miter lim="800000"/>
                          <a:headEnd/>
                          <a:tailEnd/>
                        </a:ln>
                      </wps:spPr>
                      <wps:txbx>
                        <w:txbxContent>
                          <w:p w14:paraId="1BD64BD6" w14:textId="40A01B52" w:rsidR="004A2986" w:rsidRPr="00167BF3" w:rsidRDefault="004A2986" w:rsidP="00167BF3">
                            <w:pPr>
                              <w:jc w:val="center"/>
                              <w:rPr>
                                <w:rFonts w:ascii="Times New Roman" w:hAnsi="Times New Roman" w:cs="Times New Roman"/>
                                <w:b/>
                                <w:bCs/>
                                <w:lang w:eastAsia="ko-KR"/>
                              </w:rPr>
                            </w:pPr>
                            <w:proofErr w:type="spellStart"/>
                            <w:r>
                              <w:rPr>
                                <w:rFonts w:ascii="Times New Roman" w:hAnsi="Times New Roman" w:cs="Times New Roman"/>
                                <w:b/>
                                <w:bCs/>
                              </w:rPr>
                              <w:t>T</w:t>
                            </w:r>
                            <w:r w:rsidRPr="00B6679D">
                              <w:rPr>
                                <w:rFonts w:ascii="Times New Roman" w:hAnsi="Times New Roman" w:cs="Times New Roman"/>
                                <w:b/>
                                <w:bCs/>
                              </w:rPr>
                              <w:t>ű</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D125BC" id="_x0000_s1240" type="#_x0000_t202" style="position:absolute;margin-left:203pt;margin-top:155.25pt;width:46pt;height:110.6pt;z-index:2517125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" filled="f" stroked="f">
                <v:textbox style="mso-fit-shape-to-text:t">
                  <w:txbxContent>
                    <w:p w14:paraId="1BD64BD6" w14:textId="40A01B52" w:rsidR="004A2986" w:rsidRPr="00167BF3" w:rsidRDefault="004A2986" w:rsidP="00167BF3">
                      <w:pPr>
                        <w:jc w:val="center"/>
                        <w:rPr>
                          <w:rFonts w:ascii="Times New Roman" w:hAnsi="Times New Roman" w:cs="Times New Roman"/>
                          <w:b/>
                          <w:bCs/>
                          <w:lang w:eastAsia="ko-KR"/>
                        </w:rPr>
                      </w:pPr>
                      <w:proofErr w:type="spellStart"/>
                      <w:r>
                        <w:rPr>
                          <w:rFonts w:ascii="Times New Roman" w:hAnsi="Times New Roman" w:cs="Times New Roman"/>
                          <w:b/>
                          <w:bCs/>
                        </w:rPr>
                        <w:t>T</w:t>
                      </w:r>
                      <w:r w:rsidRPr="00B6679D">
                        <w:rPr>
                          <w:rFonts w:ascii="Times New Roman" w:hAnsi="Times New Roman" w:cs="Times New Roman"/>
                          <w:b/>
                          <w:bCs/>
                        </w:rPr>
                        <w:t>ű</w:t>
                      </w:r>
                      <w:proofErr w:type="spellEnd"/>
                    </w:p>
                  </w:txbxContent>
                </v:textbox>
              </v:shape>
            </w:pict>
          </mc:Fallback>
        </mc:AlternateContent>
      </w:r>
      <w:r w:rsidR="00B6679D" w:rsidRPr="00B6679D">
        <w:rPr>
          <w:noProof/>
          <w:sz w:val="24"/>
          <w:szCs w:val="24"/>
          <w:lang w:eastAsia="ko-KR"/>
        </w:rPr>
        <mc:AlternateContent>
          <mc:Choice Requires="wps">
            <w:drawing>
              <wp:anchor distT="45720" distB="45720" distL="114300" distR="114300" simplePos="0" relativeHeight="251706452" behindDoc="0" locked="0" layoutInCell="1" allowOverlap="1" wp14:anchorId="01751413" wp14:editId="6177FD63">
                <wp:simplePos x="0" y="0"/>
                <wp:positionH relativeFrom="column">
                  <wp:posOffset>2578100</wp:posOffset>
                </wp:positionH>
                <wp:positionV relativeFrom="paragraph">
                  <wp:posOffset>1102995</wp:posOffset>
                </wp:positionV>
                <wp:extent cx="584200" cy="1404620"/>
                <wp:effectExtent l="0" t="0" r="0" b="5715"/>
                <wp:wrapNone/>
                <wp:docPr id="217"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1404620"/>
                        </a:xfrm>
                        <a:prstGeom prst="rect">
                          <a:avLst/>
                        </a:prstGeom>
                        <a:noFill/>
                        <a:ln w="9525">
                          <a:noFill/>
                          <a:miter lim="800000"/>
                          <a:headEnd/>
                          <a:tailEnd/>
                        </a:ln>
                      </wps:spPr>
                      <wps:txbx>
                        <w:txbxContent>
                          <w:p w14:paraId="56D8BC07" w14:textId="390A2E0B" w:rsidR="004A2986" w:rsidRPr="00167BF3" w:rsidRDefault="004A2986" w:rsidP="00167BF3">
                            <w:pPr>
                              <w:jc w:val="center"/>
                              <w:rPr>
                                <w:rFonts w:ascii="Times New Roman" w:hAnsi="Times New Roman" w:cs="Times New Roman"/>
                                <w:b/>
                                <w:bCs/>
                                <w:lang w:eastAsia="ko-KR"/>
                              </w:rPr>
                            </w:pPr>
                            <w:r w:rsidRPr="00167BF3">
                              <w:rPr>
                                <w:rFonts w:ascii="Times New Roman" w:hAnsi="Times New Roman" w:cs="Times New Roman"/>
                                <w:b/>
                                <w:bCs/>
                              </w:rPr>
                              <w:t>Test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751413" id="_x0000_s1241" type="#_x0000_t202" style="position:absolute;margin-left:203pt;margin-top:86.85pt;width:46pt;height:110.6pt;z-index:2517064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" filled="f" stroked="f">
                <v:textbox style="mso-fit-shape-to-text:t">
                  <w:txbxContent>
                    <w:p w14:paraId="56D8BC07" w14:textId="390A2E0B" w:rsidR="004A2986" w:rsidRPr="00167BF3" w:rsidRDefault="004A2986" w:rsidP="00167BF3">
                      <w:pPr>
                        <w:jc w:val="center"/>
                        <w:rPr>
                          <w:rFonts w:ascii="Times New Roman" w:hAnsi="Times New Roman" w:cs="Times New Roman"/>
                          <w:b/>
                          <w:bCs/>
                          <w:lang w:eastAsia="ko-KR"/>
                        </w:rPr>
                      </w:pPr>
                      <w:r w:rsidRPr="00167BF3">
                        <w:rPr>
                          <w:rFonts w:ascii="Times New Roman" w:hAnsi="Times New Roman" w:cs="Times New Roman"/>
                          <w:b/>
                          <w:bCs/>
                        </w:rPr>
                        <w:t>Test</w:t>
                      </w:r>
                    </w:p>
                  </w:txbxContent>
                </v:textbox>
              </v:shape>
            </w:pict>
          </mc:Fallback>
        </mc:AlternateContent>
      </w:r>
      <w:r w:rsidR="0038605C" w:rsidRPr="000F68B5">
        <w:rPr>
          <w:noProof/>
          <w:sz w:val="24"/>
          <w:szCs w:val="24"/>
          <w:lang w:eastAsia="ko-KR"/>
        </w:rPr>
        <w:drawing>
          <wp:anchor distT="0" distB="0" distL="114300" distR="114300" simplePos="0" relativeHeight="251682900" behindDoc="0" locked="0" layoutInCell="1" allowOverlap="0" wp14:anchorId="5969C2C7" wp14:editId="14D262CB">
            <wp:simplePos x="0" y="0"/>
            <wp:positionH relativeFrom="column">
              <wp:posOffset>1073150</wp:posOffset>
            </wp:positionH>
            <wp:positionV relativeFrom="paragraph">
              <wp:posOffset>175895</wp:posOffset>
            </wp:positionV>
            <wp:extent cx="3167380" cy="2972435"/>
            <wp:effectExtent l="0" t="0" r="0" b="0"/>
            <wp:wrapTopAndBottom/>
            <wp:docPr id="4008"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8" name="그림 4"/>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3167380" cy="2972435"/>
                    </a:xfrm>
                    <a:prstGeom prst="rect">
                      <a:avLst/>
                    </a:prstGeom>
                  </pic:spPr>
                </pic:pic>
              </a:graphicData>
            </a:graphic>
            <wp14:sizeRelH relativeFrom="margin">
              <wp14:pctWidth>0</wp14:pctWidth>
            </wp14:sizeRelH>
            <wp14:sizeRelV relativeFrom="margin">
              <wp14:pctHeight>0</wp14:pctHeight>
            </wp14:sizeRelV>
          </wp:anchor>
        </w:drawing>
      </w:r>
    </w:p>
    <w:p w14:paraId="18C8F1F0" w14:textId="1D5D0195" w:rsidR="007561B4" w:rsidRDefault="007561B4" w:rsidP="007561B4">
      <w:pPr>
        <w:spacing w:before="10" w:line="240" w:lineRule="exact"/>
        <w:ind w:left="5040" w:firstLineChars="450" w:firstLine="901"/>
        <w:rPr>
          <w:rFonts w:ascii="Times New Roman" w:hAnsi="Times New Roman" w:cs="Times New Roman"/>
          <w:b/>
          <w:sz w:val="20"/>
          <w:szCs w:val="24"/>
          <w:lang w:val="hu-HU" w:eastAsia="ko-KR"/>
        </w:rPr>
      </w:pPr>
      <w:r>
        <w:rPr>
          <w:rFonts w:ascii="Times New Roman" w:eastAsia="Times New Roman" w:hAnsi="Times New Roman" w:cs="Times New Roman"/>
          <w:b/>
          <w:bCs/>
          <w:sz w:val="20"/>
          <w:szCs w:val="20"/>
          <w:lang w:val="hu-HU" w:eastAsia="ko-KR"/>
        </w:rPr>
        <w:t>A. ábra</w:t>
      </w:r>
    </w:p>
    <w:p w14:paraId="6FF64AC4" w14:textId="77777777" w:rsidR="007561B4" w:rsidRDefault="007561B4" w:rsidP="007561B4">
      <w:pPr>
        <w:spacing w:before="10" w:line="240" w:lineRule="exact"/>
        <w:rPr>
          <w:sz w:val="24"/>
          <w:szCs w:val="24"/>
          <w:lang w:val="hu-HU"/>
        </w:rPr>
      </w:pPr>
    </w:p>
    <w:p w14:paraId="569F4573" w14:textId="77777777" w:rsidR="007561B4" w:rsidRDefault="007561B4" w:rsidP="007561B4">
      <w:pPr>
        <w:pStyle w:val="a3"/>
        <w:rPr>
          <w:b/>
          <w:lang w:val="hu-HU"/>
        </w:rPr>
      </w:pPr>
      <w:r>
        <w:rPr>
          <w:rFonts w:eastAsia="Times New Roman"/>
          <w:b/>
          <w:bCs/>
          <w:lang w:val="hu-HU"/>
        </w:rPr>
        <w:t>Az előretöltött fecskendőt ne használja újra, ha:</w:t>
      </w:r>
    </w:p>
    <w:p w14:paraId="37383D8C" w14:textId="77777777" w:rsidR="007561B4" w:rsidRDefault="007561B4" w:rsidP="007561B4">
      <w:pPr>
        <w:pStyle w:val="a3"/>
        <w:numPr>
          <w:ilvl w:val="1"/>
          <w:numId w:val="3"/>
        </w:numPr>
        <w:ind w:left="660" w:hanging="660"/>
        <w:rPr>
          <w:lang w:val="hu-HU"/>
        </w:rPr>
      </w:pPr>
      <w:r>
        <w:rPr>
          <w:rFonts w:eastAsia="Times New Roman"/>
          <w:lang w:val="hu-HU"/>
        </w:rPr>
        <w:t>megrepedt vagy sérült.</w:t>
      </w:r>
    </w:p>
    <w:p w14:paraId="039DE580" w14:textId="77777777" w:rsidR="007561B4" w:rsidRPr="00FB6A69" w:rsidRDefault="007561B4" w:rsidP="007561B4">
      <w:pPr>
        <w:pStyle w:val="a3"/>
        <w:numPr>
          <w:ilvl w:val="1"/>
          <w:numId w:val="3"/>
        </w:numPr>
        <w:ind w:left="660" w:hanging="660"/>
        <w:rPr>
          <w:lang w:val="hu-HU"/>
        </w:rPr>
      </w:pPr>
      <w:r>
        <w:rPr>
          <w:rFonts w:eastAsia="Times New Roman"/>
          <w:lang w:val="hu-HU"/>
        </w:rPr>
        <w:t>a lejárati idő lejárt.</w:t>
      </w:r>
    </w:p>
    <w:p w14:paraId="5B7A1778" w14:textId="77777777" w:rsidR="007561B4" w:rsidRDefault="007561B4" w:rsidP="007561B4">
      <w:pPr>
        <w:pStyle w:val="a3"/>
        <w:numPr>
          <w:ilvl w:val="1"/>
          <w:numId w:val="3"/>
        </w:numPr>
        <w:ind w:left="660" w:hanging="660"/>
        <w:rPr>
          <w:lang w:val="hu-HU"/>
        </w:rPr>
      </w:pPr>
      <w:proofErr w:type="spellStart"/>
      <w:r>
        <w:t>kemény</w:t>
      </w:r>
      <w:proofErr w:type="spellEnd"/>
      <w:r>
        <w:t xml:space="preserve"> </w:t>
      </w:r>
      <w:proofErr w:type="spellStart"/>
      <w:r>
        <w:t>felületre</w:t>
      </w:r>
      <w:proofErr w:type="spellEnd"/>
      <w:r>
        <w:t xml:space="preserve"> </w:t>
      </w:r>
      <w:proofErr w:type="spellStart"/>
      <w:r>
        <w:t>ejtette</w:t>
      </w:r>
      <w:proofErr w:type="spellEnd"/>
      <w:r>
        <w:t>.</w:t>
      </w:r>
    </w:p>
    <w:p w14:paraId="75E34ABB" w14:textId="77777777" w:rsidR="007561B4" w:rsidRDefault="007561B4" w:rsidP="007561B4">
      <w:pPr>
        <w:pStyle w:val="Default"/>
        <w:numPr>
          <w:ilvl w:val="2"/>
          <w:numId w:val="20"/>
        </w:numPr>
        <w:ind w:left="360"/>
        <w:rPr>
          <w:color w:val="211D1E"/>
          <w:sz w:val="20"/>
          <w:szCs w:val="20"/>
          <w:lang w:val="hu-HU"/>
        </w:rPr>
      </w:pPr>
    </w:p>
    <w:p w14:paraId="2BB6D69B" w14:textId="77777777" w:rsidR="007561B4" w:rsidRDefault="007561B4" w:rsidP="007561B4">
      <w:pPr>
        <w:pStyle w:val="a3"/>
        <w:rPr>
          <w:b/>
          <w:lang w:val="hu-HU"/>
        </w:rPr>
      </w:pPr>
      <w:r>
        <w:rPr>
          <w:rFonts w:eastAsia="Times New Roman"/>
          <w:b/>
          <w:bCs/>
          <w:lang w:val="hu-HU"/>
        </w:rPr>
        <w:t>A tűvédő tokot ne távolítsa el, csak közvetlenül az injekció beadása előtt. A Yuflyma gyermekektől elzárva tartandó.</w:t>
      </w:r>
    </w:p>
    <w:p w14:paraId="2053B6BA" w14:textId="77777777" w:rsidR="007561B4" w:rsidRDefault="007561B4" w:rsidP="007561B4">
      <w:pPr>
        <w:rPr>
          <w:rFonts w:ascii="Times New Roman" w:hAnsi="Times New Roman" w:cs="Times New Roman"/>
          <w:lang w:val="hu-HU"/>
        </w:rPr>
      </w:pPr>
    </w:p>
    <w:tbl>
      <w:tblPr>
        <w:tblStyle w:val="ac"/>
        <w:tblpPr w:leftFromText="142" w:rightFromText="142" w:vertAnchor="text" w:horzAnchor="margin" w:tblpY="67"/>
        <w:tblW w:w="9634" w:type="dxa"/>
        <w:tblLook w:val="04A0" w:firstRow="1" w:lastRow="0" w:firstColumn="1" w:lastColumn="0" w:noHBand="0" w:noVBand="1"/>
      </w:tblPr>
      <w:tblGrid>
        <w:gridCol w:w="9634"/>
      </w:tblGrid>
      <w:tr w:rsidR="007561B4" w:rsidRPr="00BE4D18" w14:paraId="05803ECF" w14:textId="77777777" w:rsidTr="00AF1AD1">
        <w:trPr>
          <w:trHeight w:val="2684"/>
        </w:trPr>
        <w:tc>
          <w:tcPr>
            <w:tcW w:w="9634" w:type="dxa"/>
          </w:tcPr>
          <w:p w14:paraId="4695BCCF" w14:textId="77777777" w:rsidR="007561B4" w:rsidRDefault="007561B4" w:rsidP="00AF1AD1">
            <w:pPr>
              <w:pStyle w:val="a3"/>
              <w:numPr>
                <w:ilvl w:val="0"/>
                <w:numId w:val="0"/>
              </w:numPr>
              <w:ind w:left="580"/>
              <w:rPr>
                <w:lang w:val="hu-HU"/>
              </w:rPr>
            </w:pPr>
          </w:p>
          <w:p w14:paraId="797936B9" w14:textId="77777777" w:rsidR="007561B4" w:rsidRPr="001E2F31" w:rsidRDefault="007561B4" w:rsidP="00AF1AD1">
            <w:pPr>
              <w:pStyle w:val="a3"/>
              <w:numPr>
                <w:ilvl w:val="0"/>
                <w:numId w:val="80"/>
              </w:numPr>
              <w:rPr>
                <w:b/>
                <w:lang w:val="hu-HU"/>
              </w:rPr>
            </w:pPr>
            <w:r w:rsidRPr="00265077">
              <w:rPr>
                <w:rFonts w:eastAsia="Times New Roman"/>
                <w:b/>
                <w:bCs/>
                <w:lang w:val="hu-HU"/>
              </w:rPr>
              <w:t>Készítse elő az injekció</w:t>
            </w:r>
            <w:r w:rsidRPr="001E2F31">
              <w:rPr>
                <w:rFonts w:eastAsia="Times New Roman"/>
                <w:b/>
                <w:lang w:val="hu-HU"/>
              </w:rPr>
              <w:t xml:space="preserve"> beadásához szükséges eszközöket.</w:t>
            </w:r>
          </w:p>
          <w:p w14:paraId="3A355C21" w14:textId="77777777" w:rsidR="007561B4" w:rsidRDefault="007561B4" w:rsidP="00AF1AD1">
            <w:pPr>
              <w:pStyle w:val="a3"/>
              <w:numPr>
                <w:ilvl w:val="0"/>
                <w:numId w:val="0"/>
              </w:numPr>
              <w:ind w:left="580"/>
              <w:rPr>
                <w:lang w:val="hu-HU"/>
              </w:rPr>
            </w:pPr>
          </w:p>
          <w:p w14:paraId="2C1C40D2" w14:textId="77777777" w:rsidR="007561B4" w:rsidRDefault="007561B4" w:rsidP="00AF1AD1">
            <w:pPr>
              <w:pStyle w:val="a3"/>
              <w:ind w:leftChars="100" w:left="440" w:hangingChars="100" w:hanging="220"/>
              <w:rPr>
                <w:lang w:val="hu-HU" w:eastAsia="ko-KR"/>
              </w:rPr>
            </w:pPr>
            <w:r>
              <w:rPr>
                <w:rFonts w:eastAsia="Times New Roman"/>
                <w:b/>
                <w:bCs/>
                <w:lang w:val="hu-HU" w:eastAsia="ko-KR"/>
              </w:rPr>
              <w:t xml:space="preserve">a. </w:t>
            </w:r>
            <w:r>
              <w:rPr>
                <w:rFonts w:eastAsia="Times New Roman"/>
                <w:lang w:val="hu-HU" w:eastAsia="ko-KR"/>
              </w:rPr>
              <w:t>Készítse elő a szükséges eszközöket egy tiszta, síma felületen, például az asztalon vagy a konyhapulton:</w:t>
            </w:r>
          </w:p>
          <w:p w14:paraId="52EF822B" w14:textId="77777777" w:rsidR="007561B4" w:rsidRDefault="007561B4" w:rsidP="00AF1AD1">
            <w:pPr>
              <w:pStyle w:val="a3"/>
              <w:ind w:leftChars="100" w:left="220"/>
              <w:rPr>
                <w:lang w:val="hu-HU" w:eastAsia="ko-KR"/>
              </w:rPr>
            </w:pPr>
            <w:r>
              <w:rPr>
                <w:rFonts w:eastAsia="Times New Roman"/>
                <w:b/>
                <w:bCs/>
                <w:lang w:val="hu-HU" w:eastAsia="ko-KR"/>
              </w:rPr>
              <w:t xml:space="preserve">b. </w:t>
            </w:r>
            <w:r>
              <w:rPr>
                <w:rFonts w:eastAsia="Times New Roman"/>
                <w:lang w:val="hu-HU" w:eastAsia="ko-KR"/>
              </w:rPr>
              <w:t>Vegyen ki 1 előretöltött fecskendőt a hűtőszekrényben tárolt dobozból.</w:t>
            </w:r>
          </w:p>
          <w:p w14:paraId="49618935" w14:textId="01F943C3" w:rsidR="007561B4" w:rsidRDefault="007561B4" w:rsidP="00AF1AD1">
            <w:pPr>
              <w:pStyle w:val="a3"/>
              <w:ind w:leftChars="300" w:left="770" w:rightChars="100" w:right="220" w:hangingChars="50" w:hanging="110"/>
              <w:rPr>
                <w:lang w:val="hu-HU" w:eastAsia="ko-KR"/>
              </w:rPr>
            </w:pPr>
            <w:r>
              <w:rPr>
                <w:rFonts w:ascii="맑은 고딕" w:eastAsia="맑은 고딕" w:hAnsi="맑은 고딕"/>
                <w:lang w:val="hu-HU" w:eastAsia="ko-KR"/>
              </w:rPr>
              <w:t xml:space="preserve">• </w:t>
            </w:r>
            <w:r>
              <w:rPr>
                <w:rFonts w:eastAsia="Times New Roman"/>
                <w:lang w:val="hu-HU" w:eastAsia="ko-KR"/>
              </w:rPr>
              <w:t>Az előretöltött fecskendő</w:t>
            </w:r>
            <w:r>
              <w:rPr>
                <w:rFonts w:ascii="맑은 고딕" w:eastAsia="맑은 고딕" w:hAnsi="맑은 고딕"/>
                <w:lang w:val="hu-HU" w:eastAsia="ko-KR"/>
              </w:rPr>
              <w:t xml:space="preserve"> </w:t>
            </w:r>
            <w:r>
              <w:rPr>
                <w:rFonts w:eastAsia="Times New Roman"/>
                <w:lang w:val="hu-HU" w:eastAsia="ko-KR"/>
              </w:rPr>
              <w:t>testét fogja meg, ami</w:t>
            </w:r>
            <w:r w:rsidRPr="00265077">
              <w:rPr>
                <w:rFonts w:eastAsia="Times New Roman"/>
                <w:lang w:val="hu-HU" w:eastAsia="ko-KR"/>
              </w:rPr>
              <w:t xml:space="preserve">kor </w:t>
            </w:r>
            <w:r w:rsidRPr="001E2F31">
              <w:rPr>
                <w:rFonts w:eastAsia="Times New Roman"/>
                <w:bCs/>
                <w:lang w:val="hu-HU" w:eastAsia="ko-KR"/>
              </w:rPr>
              <w:t>kiveszi a dobozból</w:t>
            </w:r>
            <w:r>
              <w:rPr>
                <w:rFonts w:eastAsia="Times New Roman"/>
                <w:b/>
                <w:bCs/>
                <w:lang w:val="hu-HU" w:eastAsia="ko-KR"/>
              </w:rPr>
              <w:t xml:space="preserve">. Ne </w:t>
            </w:r>
            <w:r>
              <w:rPr>
                <w:rFonts w:eastAsia="Times New Roman"/>
                <w:lang w:val="hu-HU" w:eastAsia="ko-KR"/>
              </w:rPr>
              <w:t xml:space="preserve">érintse meg a </w:t>
            </w:r>
            <w:r w:rsidR="00D436BA" w:rsidRPr="00D436BA">
              <w:rPr>
                <w:rFonts w:eastAsia="Times New Roman"/>
                <w:lang w:val="hu-HU" w:eastAsia="ko-KR"/>
              </w:rPr>
              <w:t>dugattyúrudat és a kupakot</w:t>
            </w:r>
            <w:r>
              <w:rPr>
                <w:rFonts w:eastAsia="Times New Roman"/>
                <w:lang w:val="hu-HU" w:eastAsia="ko-KR"/>
              </w:rPr>
              <w:t>.</w:t>
            </w:r>
          </w:p>
          <w:p w14:paraId="3DD98B13" w14:textId="77777777" w:rsidR="007561B4" w:rsidRDefault="007561B4" w:rsidP="00AF1AD1">
            <w:pPr>
              <w:pStyle w:val="a3"/>
              <w:ind w:leftChars="100" w:left="220"/>
              <w:rPr>
                <w:lang w:val="hu-HU" w:eastAsia="ko-KR"/>
              </w:rPr>
            </w:pPr>
            <w:r>
              <w:rPr>
                <w:rFonts w:eastAsia="Times New Roman"/>
                <w:b/>
                <w:bCs/>
                <w:lang w:val="hu-HU" w:eastAsia="ko-KR"/>
              </w:rPr>
              <w:t xml:space="preserve">c. </w:t>
            </w:r>
            <w:r w:rsidRPr="001E2F31">
              <w:rPr>
                <w:rFonts w:eastAsia="Times New Roman"/>
                <w:bCs/>
                <w:lang w:val="hu-HU" w:eastAsia="ko-KR"/>
              </w:rPr>
              <w:t>B</w:t>
            </w:r>
            <w:r w:rsidRPr="00265077">
              <w:rPr>
                <w:rFonts w:eastAsia="Times New Roman"/>
                <w:lang w:val="hu-HU" w:eastAsia="ko-KR"/>
              </w:rPr>
              <w:t>iz</w:t>
            </w:r>
            <w:r>
              <w:rPr>
                <w:rFonts w:eastAsia="Times New Roman"/>
                <w:lang w:val="hu-HU" w:eastAsia="ko-KR"/>
              </w:rPr>
              <w:t>onyosodjon meg róla, hogy Önnél vannak a következők:</w:t>
            </w:r>
          </w:p>
          <w:p w14:paraId="5DB9230E" w14:textId="77777777" w:rsidR="007561B4" w:rsidRDefault="007561B4" w:rsidP="00AF1AD1">
            <w:pPr>
              <w:pStyle w:val="a3"/>
              <w:ind w:left="720"/>
              <w:rPr>
                <w:lang w:val="hu-HU" w:eastAsia="ko-KR"/>
              </w:rPr>
            </w:pPr>
            <w:r>
              <w:rPr>
                <w:rFonts w:eastAsia="Times New Roman"/>
                <w:lang w:val="hu-HU" w:eastAsia="ko-KR"/>
              </w:rPr>
              <w:t>- Előretöltött fecskendő</w:t>
            </w:r>
          </w:p>
          <w:p w14:paraId="2282B10C" w14:textId="7AB56530" w:rsidR="007561B4" w:rsidRDefault="00745533" w:rsidP="00AF1AD1">
            <w:pPr>
              <w:pStyle w:val="a3"/>
              <w:spacing w:after="120"/>
              <w:ind w:left="720"/>
              <w:rPr>
                <w:lang w:val="hu-HU" w:eastAsia="ko-KR"/>
              </w:rPr>
            </w:pPr>
            <w:r>
              <w:rPr>
                <w:rFonts w:eastAsia="Times New Roman"/>
                <w:lang w:val="hu-HU" w:eastAsia="ko-KR"/>
              </w:rPr>
              <w:t>- 1a</w:t>
            </w:r>
            <w:r w:rsidR="007561B4">
              <w:rPr>
                <w:rFonts w:eastAsia="Times New Roman"/>
                <w:lang w:val="hu-HU" w:eastAsia="ko-KR"/>
              </w:rPr>
              <w:t>lkoholos törlő</w:t>
            </w:r>
          </w:p>
          <w:p w14:paraId="0ACECE7D" w14:textId="77777777" w:rsidR="007561B4" w:rsidRDefault="007561B4" w:rsidP="00AF1AD1">
            <w:pPr>
              <w:pStyle w:val="a3"/>
              <w:ind w:left="720"/>
              <w:rPr>
                <w:b/>
                <w:lang w:val="hu-HU" w:eastAsia="ko-KR"/>
              </w:rPr>
            </w:pPr>
            <w:r>
              <w:rPr>
                <w:rFonts w:eastAsia="Times New Roman"/>
                <w:b/>
                <w:bCs/>
                <w:lang w:val="hu-HU" w:eastAsia="ko-KR"/>
              </w:rPr>
              <w:t>A doboz nem tartalmazza:</w:t>
            </w:r>
          </w:p>
          <w:p w14:paraId="3AD43C92" w14:textId="77777777" w:rsidR="007561B4" w:rsidRDefault="007561B4" w:rsidP="00AF1AD1">
            <w:pPr>
              <w:pStyle w:val="a3"/>
              <w:ind w:left="720"/>
              <w:rPr>
                <w:lang w:val="hu-HU" w:eastAsia="ko-KR"/>
              </w:rPr>
            </w:pPr>
            <w:r>
              <w:rPr>
                <w:rFonts w:eastAsia="Times New Roman"/>
                <w:lang w:val="hu-HU" w:eastAsia="ko-KR"/>
              </w:rPr>
              <w:t>- Vattacsomó vagy géz</w:t>
            </w:r>
          </w:p>
          <w:p w14:paraId="7B24787D" w14:textId="77777777" w:rsidR="007561B4" w:rsidRDefault="007561B4" w:rsidP="00AF1AD1">
            <w:pPr>
              <w:pStyle w:val="a3"/>
              <w:ind w:left="720"/>
              <w:rPr>
                <w:lang w:val="hu-HU" w:eastAsia="ko-KR"/>
              </w:rPr>
            </w:pPr>
            <w:r>
              <w:rPr>
                <w:rFonts w:eastAsia="Times New Roman"/>
                <w:lang w:val="hu-HU" w:eastAsia="ko-KR"/>
              </w:rPr>
              <w:t>- Ragtapasz</w:t>
            </w:r>
          </w:p>
          <w:p w14:paraId="412F503E" w14:textId="77777777" w:rsidR="007561B4" w:rsidRDefault="007561B4" w:rsidP="00AF1AD1">
            <w:pPr>
              <w:pStyle w:val="a3"/>
              <w:ind w:left="720"/>
              <w:rPr>
                <w:lang w:val="hu-HU" w:eastAsia="ko-KR"/>
              </w:rPr>
            </w:pPr>
            <w:r>
              <w:rPr>
                <w:rFonts w:eastAsia="Times New Roman"/>
                <w:lang w:val="hu-HU" w:eastAsia="ko-KR"/>
              </w:rPr>
              <w:t>- Éles tárgyak tárolására szolgáló tartály</w:t>
            </w:r>
          </w:p>
          <w:p w14:paraId="4F2625AD" w14:textId="77777777" w:rsidR="007561B4" w:rsidRDefault="007561B4" w:rsidP="00AF1AD1">
            <w:pPr>
              <w:ind w:left="224" w:right="1248"/>
              <w:rPr>
                <w:rFonts w:ascii="Times New Roman" w:eastAsia="Times New Roman" w:hAnsi="Times New Roman" w:cs="Times New Roman"/>
                <w:b/>
                <w:bCs/>
                <w:spacing w:val="-1"/>
                <w:lang w:val="hu-HU"/>
              </w:rPr>
            </w:pPr>
          </w:p>
        </w:tc>
      </w:tr>
      <w:tr w:rsidR="007561B4" w14:paraId="211F9021" w14:textId="77777777" w:rsidTr="00AF1AD1">
        <w:trPr>
          <w:trHeight w:val="3969"/>
        </w:trPr>
        <w:tc>
          <w:tcPr>
            <w:tcW w:w="9634" w:type="dxa"/>
          </w:tcPr>
          <w:p w14:paraId="23F64053" w14:textId="31C5B245" w:rsidR="007561B4" w:rsidRDefault="007561B4" w:rsidP="00AF1AD1">
            <w:pPr>
              <w:ind w:left="224" w:right="1248"/>
              <w:rPr>
                <w:lang w:val="hu-HU" w:eastAsia="ko-KR"/>
              </w:rPr>
            </w:pPr>
            <w:r>
              <w:rPr>
                <w:noProof/>
                <w:lang w:eastAsia="ko-KR"/>
              </w:rPr>
              <w:lastRenderedPageBreak/>
              <mc:AlternateContent>
                <mc:Choice Requires="wpg">
                  <w:drawing>
                    <wp:anchor distT="0" distB="0" distL="114300" distR="114300" simplePos="0" relativeHeight="251683924" behindDoc="0" locked="0" layoutInCell="1" allowOverlap="1" wp14:anchorId="57D8FB71" wp14:editId="4B578E9E">
                      <wp:simplePos x="0" y="0"/>
                      <wp:positionH relativeFrom="column">
                        <wp:posOffset>-17780</wp:posOffset>
                      </wp:positionH>
                      <wp:positionV relativeFrom="paragraph">
                        <wp:posOffset>182880</wp:posOffset>
                      </wp:positionV>
                      <wp:extent cx="1997075" cy="2656840"/>
                      <wp:effectExtent l="0" t="0" r="3175" b="0"/>
                      <wp:wrapSquare wrapText="bothSides"/>
                      <wp:docPr id="167" name="그룹 167"/>
                      <wp:cNvGraphicFramePr/>
                      <a:graphic xmlns:a="http://schemas.openxmlformats.org/drawingml/2006/main">
                        <a:graphicData uri="http://schemas.microsoft.com/office/word/2010/wordprocessingGroup">
                          <wpg:wgp>
                            <wpg:cNvGrpSpPr/>
                            <wpg:grpSpPr>
                              <a:xfrm>
                                <a:off x="0" y="0"/>
                                <a:ext cx="1997075" cy="2643004"/>
                                <a:chOff x="0" y="11403"/>
                                <a:chExt cx="1675721" cy="2178193"/>
                              </a:xfrm>
                            </wpg:grpSpPr>
                            <wps:wsp>
                              <wps:cNvPr id="168" name="Text Box 38"/>
                              <wps:cNvSpPr txBox="1"/>
                              <wps:spPr>
                                <a:xfrm>
                                  <a:off x="955963" y="2043546"/>
                                  <a:ext cx="719758" cy="146050"/>
                                </a:xfrm>
                                <a:prstGeom prst="rect">
                                  <a:avLst/>
                                </a:prstGeom>
                                <a:solidFill>
                                  <a:prstClr val="white"/>
                                </a:solidFill>
                                <a:ln>
                                  <a:noFill/>
                                </a:ln>
                              </wps:spPr>
                              <wps:txbx>
                                <w:txbxContent>
                                  <w:p w14:paraId="76DB1BF5" w14:textId="77777777" w:rsidR="004A2986" w:rsidRDefault="004A2986" w:rsidP="007561B4">
                                    <w:pPr>
                                      <w:pStyle w:val="af0"/>
                                      <w:jc w:val="right"/>
                                      <w:rPr>
                                        <w:rFonts w:ascii="Times New Roman" w:hAnsi="Times New Roman" w:cs="Times New Roman"/>
                                        <w:noProof/>
                                        <w:spacing w:val="-1"/>
                                      </w:rPr>
                                    </w:pPr>
                                    <w:r>
                                      <w:rPr>
                                        <w:rFonts w:ascii="Times New Roman" w:eastAsia="Times New Roman" w:hAnsi="Times New Roman" w:cs="Times New Roman"/>
                                        <w:lang w:val="hu-HU"/>
                                      </w:rPr>
                                      <w:t> </w:t>
                                    </w:r>
                                    <w:r>
                                      <w:rPr>
                                        <w:rFonts w:ascii="Times New Roman" w:eastAsia="Times New Roman" w:hAnsi="Times New Roman" w:cs="Times New Roman"/>
                                        <w:lang w:val="hu-HU"/>
                                      </w:rPr>
                                      <w:t>B. ábra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78" name="그림 5"/>
                                <pic:cNvPicPr>
                                  <a:picLocks noChangeAspect="1"/>
                                </pic:cNvPicPr>
                              </pic:nvPicPr>
                              <pic:blipFill>
                                <a:blip r:embed="rId166" cstate="print">
                                  <a:extLst>
                                    <a:ext uri="{28A0092B-C50C-407E-A947-70E740481C1C}">
                                      <a14:useLocalDpi xmlns:a14="http://schemas.microsoft.com/office/drawing/2010/main" val="0"/>
                                    </a:ext>
                                  </a:extLst>
                                </a:blip>
                                <a:srcRect/>
                                <a:stretch/>
                              </pic:blipFill>
                              <pic:spPr>
                                <a:xfrm>
                                  <a:off x="0" y="11403"/>
                                  <a:ext cx="1673860" cy="202189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7D8FB71" id="그룹 167" o:spid="_x0000_s1242" style="position:absolute;left:0;text-align:left;margin-left:-1.4pt;margin-top:14.4pt;width:157.25pt;height:209.2pt;z-index:251683924;mso-width-relative:margin;mso-height-relative:margin" coordorigin=",114" coordsize="16757,21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">
                      <v:shape id="Text Box 38" o:spid="_x0000_s1243" type="#_x0000_t202" style="position:absolute;left:9559;top:20435;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" stroked="f">
                        <v:textbox inset="0,0,0,0">
                          <w:txbxContent>
                            <w:p w14:paraId="76DB1BF5" w14:textId="77777777" w:rsidR="004A2986" w:rsidRDefault="004A2986" w:rsidP="007561B4">
                              <w:pPr>
                                <w:pStyle w:val="af0"/>
                                <w:jc w:val="right"/>
                                <w:rPr>
                                  <w:rFonts w:ascii="Times New Roman" w:hAnsi="Times New Roman" w:cs="Times New Roman"/>
                                  <w:noProof/>
                                  <w:spacing w:val="-1"/>
                                </w:rPr>
                              </w:pPr>
                              <w:r>
                                <w:rPr>
                                  <w:rFonts w:ascii="Times New Roman" w:eastAsia="Times New Roman" w:hAnsi="Times New Roman" w:cs="Times New Roman"/>
                                  <w:lang w:val="hu-HU"/>
                                </w:rPr>
                                <w:t> </w:t>
                              </w:r>
                              <w:r>
                                <w:rPr>
                                  <w:rFonts w:ascii="Times New Roman" w:eastAsia="Times New Roman" w:hAnsi="Times New Roman" w:cs="Times New Roman"/>
                                  <w:lang w:val="hu-HU"/>
                                </w:rPr>
                                <w:t>B. ábra</w:t>
                              </w:r>
                            </w:p>
                          </w:txbxContent>
                        </v:textbox>
                      </v:shape>
                      <v:shape id="그림 5" o:spid="_x0000_s1244" type="#_x0000_t75" style="position:absolute;top:114;width:16738;height:20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">
                        <v:imagedata r:id="rId167" o:title=""/>
                      </v:shape>
                      <w10:wrap type="square"/>
                    </v:group>
                  </w:pict>
                </mc:Fallback>
              </mc:AlternateContent>
            </w:r>
            <w:r>
              <w:rPr>
                <w:rFonts w:hint="eastAsia"/>
                <w:lang w:val="hu-HU" w:eastAsia="ko-KR"/>
              </w:rPr>
              <w:t xml:space="preserve"> </w:t>
            </w:r>
          </w:p>
          <w:p w14:paraId="390E81AD" w14:textId="77777777" w:rsidR="007561B4" w:rsidRDefault="007561B4" w:rsidP="00AF1AD1">
            <w:pPr>
              <w:pStyle w:val="a3"/>
              <w:rPr>
                <w:lang w:val="hu-HU"/>
              </w:rPr>
            </w:pPr>
          </w:p>
          <w:p w14:paraId="7C91954C" w14:textId="5D1FF8DE" w:rsidR="007561B4" w:rsidRPr="00265077" w:rsidRDefault="007561B4" w:rsidP="00AF1AD1">
            <w:pPr>
              <w:pStyle w:val="a3"/>
              <w:numPr>
                <w:ilvl w:val="0"/>
                <w:numId w:val="80"/>
              </w:numPr>
              <w:ind w:leftChars="100" w:left="580"/>
              <w:rPr>
                <w:b/>
                <w:lang w:val="hu-HU"/>
              </w:rPr>
            </w:pPr>
            <w:r w:rsidRPr="00265077">
              <w:rPr>
                <w:rFonts w:eastAsia="Times New Roman"/>
                <w:b/>
                <w:bCs/>
                <w:lang w:val="hu-HU"/>
              </w:rPr>
              <w:t xml:space="preserve">Vizsgálja meg az előretöltött </w:t>
            </w:r>
            <w:r w:rsidRPr="001E2F31">
              <w:rPr>
                <w:rFonts w:eastAsia="Times New Roman"/>
                <w:b/>
                <w:lang w:val="hu-HU"/>
              </w:rPr>
              <w:t>fecskendőt</w:t>
            </w:r>
          </w:p>
          <w:p w14:paraId="78198170" w14:textId="77777777" w:rsidR="007561B4" w:rsidRDefault="007561B4" w:rsidP="00AF1AD1">
            <w:pPr>
              <w:pStyle w:val="a3"/>
              <w:numPr>
                <w:ilvl w:val="0"/>
                <w:numId w:val="0"/>
              </w:numPr>
              <w:ind w:left="580"/>
              <w:rPr>
                <w:lang w:val="hu-HU"/>
              </w:rPr>
            </w:pPr>
          </w:p>
          <w:p w14:paraId="05879735" w14:textId="1127C0F1" w:rsidR="007561B4" w:rsidRPr="001E2F31" w:rsidRDefault="007561B4" w:rsidP="00AF1AD1">
            <w:pPr>
              <w:pStyle w:val="a3"/>
              <w:rPr>
                <w:rFonts w:eastAsia="Times New Roman"/>
                <w:lang w:val="hu-HU" w:eastAsia="ko-KR"/>
              </w:rPr>
            </w:pPr>
            <w:r>
              <w:rPr>
                <w:rFonts w:eastAsia="Times New Roman"/>
                <w:b/>
                <w:bCs/>
                <w:lang w:val="hu-HU" w:eastAsia="ko-KR"/>
              </w:rPr>
              <w:t>a</w:t>
            </w:r>
            <w:r>
              <w:rPr>
                <w:rFonts w:eastAsia="Times New Roman"/>
                <w:lang w:val="hu-HU" w:eastAsia="ko-KR"/>
              </w:rPr>
              <w:t>. Győződjön meg arról, hogy a megfelelő gyógyszert (Yuflyma) és adagot kapta.</w:t>
            </w:r>
          </w:p>
          <w:p w14:paraId="3DC086EC" w14:textId="26BAFB85" w:rsidR="007561B4" w:rsidRDefault="007561B4" w:rsidP="00AF1AD1">
            <w:pPr>
              <w:pStyle w:val="a3"/>
              <w:rPr>
                <w:lang w:val="hu-HU" w:eastAsia="ko-KR"/>
              </w:rPr>
            </w:pPr>
            <w:r>
              <w:rPr>
                <w:rFonts w:eastAsia="Times New Roman"/>
                <w:b/>
                <w:bCs/>
                <w:lang w:val="hu-HU" w:eastAsia="ko-KR"/>
              </w:rPr>
              <w:t>b</w:t>
            </w:r>
            <w:r>
              <w:rPr>
                <w:rFonts w:eastAsia="Times New Roman"/>
                <w:lang w:val="hu-HU" w:eastAsia="ko-KR"/>
              </w:rPr>
              <w:t>. Nézze meg az előretöltött fecskendőt, és ellenőrizze, hogy nincs-e megrepedve vagy megsérülve.</w:t>
            </w:r>
          </w:p>
          <w:p w14:paraId="1E04EE31" w14:textId="0854BDD6" w:rsidR="007561B4" w:rsidRDefault="00675A6E" w:rsidP="00AF1AD1">
            <w:pPr>
              <w:pStyle w:val="a3"/>
              <w:rPr>
                <w:lang w:val="hu-HU" w:eastAsia="ko-KR"/>
              </w:rPr>
            </w:pPr>
            <w:r w:rsidRPr="00675A6E">
              <w:rPr>
                <w:noProof/>
                <w:lang w:eastAsia="ko-KR"/>
              </w:rPr>
              <mc:AlternateContent>
                <mc:Choice Requires="wps">
                  <w:drawing>
                    <wp:anchor distT="45720" distB="45720" distL="114300" distR="114300" simplePos="0" relativeHeight="251722836" behindDoc="0" locked="0" layoutInCell="1" allowOverlap="1" wp14:anchorId="727D2D21" wp14:editId="283DCE5D">
                      <wp:simplePos x="0" y="0"/>
                      <wp:positionH relativeFrom="column">
                        <wp:posOffset>868045</wp:posOffset>
                      </wp:positionH>
                      <wp:positionV relativeFrom="paragraph">
                        <wp:posOffset>172085</wp:posOffset>
                      </wp:positionV>
                      <wp:extent cx="927100" cy="1404620"/>
                      <wp:effectExtent l="0" t="0" r="0" b="0"/>
                      <wp:wrapNone/>
                      <wp:docPr id="672572124"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0" cy="1404620"/>
                              </a:xfrm>
                              <a:prstGeom prst="rect">
                                <a:avLst/>
                              </a:prstGeom>
                              <a:noFill/>
                              <a:ln w="9525">
                                <a:noFill/>
                                <a:miter lim="800000"/>
                                <a:headEnd/>
                                <a:tailEnd/>
                              </a:ln>
                            </wps:spPr>
                            <wps:txbx>
                              <w:txbxContent>
                                <w:p w14:paraId="2A950DD7" w14:textId="723ABA1F" w:rsidR="004A2986" w:rsidRPr="00167BF3" w:rsidRDefault="004A2986">
                                  <w:pPr>
                                    <w:rPr>
                                      <w:rFonts w:ascii="Times New Roman" w:hAnsi="Times New Roman" w:cs="Times New Roman"/>
                                      <w:sz w:val="14"/>
                                      <w:szCs w:val="14"/>
                                      <w:lang w:eastAsia="ko-KR"/>
                                    </w:rPr>
                                  </w:pPr>
                                  <w:proofErr w:type="gramStart"/>
                                  <w:r w:rsidRPr="00167BF3">
                                    <w:rPr>
                                      <w:rFonts w:ascii="Times New Roman" w:hAnsi="Times New Roman" w:cs="Times New Roman"/>
                                      <w:b/>
                                      <w:bCs/>
                                      <w:sz w:val="14"/>
                                      <w:szCs w:val="14"/>
                                    </w:rPr>
                                    <w:t>EXP :</w:t>
                                  </w:r>
                                  <w:proofErr w:type="gramEnd"/>
                                  <w:r w:rsidRPr="00167BF3">
                                    <w:rPr>
                                      <w:rFonts w:ascii="Times New Roman" w:hAnsi="Times New Roman" w:cs="Times New Roman"/>
                                      <w:sz w:val="14"/>
                                      <w:szCs w:val="14"/>
                                    </w:rPr>
                                    <w:t xml:space="preserve"> H</w:t>
                                  </w:r>
                                  <w:r w:rsidRPr="00675A6E">
                                    <w:rPr>
                                      <w:rFonts w:ascii="Times New Roman" w:hAnsi="Times New Roman" w:cs="Times New Roman" w:hint="eastAsia"/>
                                      <w:sz w:val="14"/>
                                      <w:szCs w:val="14"/>
                                    </w:rPr>
                                    <w:t>Ó</w:t>
                                  </w:r>
                                  <w:r w:rsidRPr="00167BF3">
                                    <w:rPr>
                                      <w:rFonts w:ascii="Times New Roman" w:hAnsi="Times New Roman" w:cs="Times New Roman"/>
                                      <w:sz w:val="14"/>
                                      <w:szCs w:val="14"/>
                                    </w:rPr>
                                    <w:t>NAP</w:t>
                                  </w:r>
                                  <w:r>
                                    <w:rPr>
                                      <w:rFonts w:ascii="Times New Roman" w:hAnsi="Times New Roman" w:cs="Times New Roman"/>
                                      <w:sz w:val="14"/>
                                      <w:szCs w:val="14"/>
                                    </w:rPr>
                                    <w:t xml:space="preserve"> </w:t>
                                  </w:r>
                                  <w:r w:rsidRPr="00675A6E">
                                    <w:rPr>
                                      <w:rFonts w:ascii="Times New Roman" w:hAnsi="Times New Roman" w:cs="Times New Roman" w:hint="eastAsia"/>
                                      <w:sz w:val="14"/>
                                      <w:szCs w:val="14"/>
                                    </w:rPr>
                                    <w:t>É</w:t>
                                  </w:r>
                                  <w:r>
                                    <w:rPr>
                                      <w:rFonts w:ascii="Times New Roman" w:hAnsi="Times New Roman" w:cs="Times New Roman"/>
                                      <w:sz w:val="14"/>
                                      <w:szCs w:val="14"/>
                                    </w:rPr>
                                    <w:t>V</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7D2D21" id="_x0000_s1245" type="#_x0000_t202" style="position:absolute;margin-left:68.35pt;margin-top:13.55pt;width:73pt;height:110.6pt;z-index:2517228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" filled="f" stroked="f">
                      <v:textbox style="mso-fit-shape-to-text:t">
                        <w:txbxContent>
                          <w:p w14:paraId="2A950DD7" w14:textId="723ABA1F" w:rsidR="004A2986" w:rsidRPr="00167BF3" w:rsidRDefault="004A2986">
                            <w:pPr>
                              <w:rPr>
                                <w:rFonts w:ascii="Times New Roman" w:hAnsi="Times New Roman" w:cs="Times New Roman"/>
                                <w:sz w:val="14"/>
                                <w:szCs w:val="14"/>
                                <w:lang w:eastAsia="ko-KR"/>
                              </w:rPr>
                            </w:pPr>
                            <w:proofErr w:type="gramStart"/>
                            <w:r w:rsidRPr="00167BF3">
                              <w:rPr>
                                <w:rFonts w:ascii="Times New Roman" w:hAnsi="Times New Roman" w:cs="Times New Roman"/>
                                <w:b/>
                                <w:bCs/>
                                <w:sz w:val="14"/>
                                <w:szCs w:val="14"/>
                              </w:rPr>
                              <w:t>EXP :</w:t>
                            </w:r>
                            <w:proofErr w:type="gramEnd"/>
                            <w:r w:rsidRPr="00167BF3">
                              <w:rPr>
                                <w:rFonts w:ascii="Times New Roman" w:hAnsi="Times New Roman" w:cs="Times New Roman"/>
                                <w:sz w:val="14"/>
                                <w:szCs w:val="14"/>
                              </w:rPr>
                              <w:t xml:space="preserve"> H</w:t>
                            </w:r>
                            <w:r w:rsidRPr="00675A6E">
                              <w:rPr>
                                <w:rFonts w:ascii="Times New Roman" w:hAnsi="Times New Roman" w:cs="Times New Roman" w:hint="eastAsia"/>
                                <w:sz w:val="14"/>
                                <w:szCs w:val="14"/>
                              </w:rPr>
                              <w:t>Ó</w:t>
                            </w:r>
                            <w:r w:rsidRPr="00167BF3">
                              <w:rPr>
                                <w:rFonts w:ascii="Times New Roman" w:hAnsi="Times New Roman" w:cs="Times New Roman"/>
                                <w:sz w:val="14"/>
                                <w:szCs w:val="14"/>
                              </w:rPr>
                              <w:t>NAP</w:t>
                            </w:r>
                            <w:r>
                              <w:rPr>
                                <w:rFonts w:ascii="Times New Roman" w:hAnsi="Times New Roman" w:cs="Times New Roman"/>
                                <w:sz w:val="14"/>
                                <w:szCs w:val="14"/>
                              </w:rPr>
                              <w:t xml:space="preserve"> </w:t>
                            </w:r>
                            <w:r w:rsidRPr="00675A6E">
                              <w:rPr>
                                <w:rFonts w:ascii="Times New Roman" w:hAnsi="Times New Roman" w:cs="Times New Roman" w:hint="eastAsia"/>
                                <w:sz w:val="14"/>
                                <w:szCs w:val="14"/>
                              </w:rPr>
                              <w:t>É</w:t>
                            </w:r>
                            <w:r>
                              <w:rPr>
                                <w:rFonts w:ascii="Times New Roman" w:hAnsi="Times New Roman" w:cs="Times New Roman"/>
                                <w:sz w:val="14"/>
                                <w:szCs w:val="14"/>
                              </w:rPr>
                              <w:t>V</w:t>
                            </w:r>
                          </w:p>
                        </w:txbxContent>
                      </v:textbox>
                    </v:shape>
                  </w:pict>
                </mc:Fallback>
              </mc:AlternateContent>
            </w:r>
            <w:r w:rsidR="007561B4">
              <w:rPr>
                <w:rFonts w:eastAsia="Times New Roman"/>
                <w:b/>
                <w:bCs/>
                <w:lang w:val="hu-HU" w:eastAsia="ko-KR"/>
              </w:rPr>
              <w:t>c</w:t>
            </w:r>
            <w:r w:rsidR="007561B4">
              <w:rPr>
                <w:rFonts w:eastAsia="Times New Roman"/>
                <w:lang w:val="hu-HU" w:eastAsia="ko-KR"/>
              </w:rPr>
              <w:t>. Ellenőrizze az előretöltött fecskendő címkéjén található lejárati dátumot .</w:t>
            </w:r>
          </w:p>
          <w:p w14:paraId="3678E5B8" w14:textId="77777777" w:rsidR="007561B4" w:rsidRDefault="007561B4" w:rsidP="00AF1AD1">
            <w:pPr>
              <w:pStyle w:val="Default"/>
              <w:rPr>
                <w:b/>
                <w:lang w:val="hu-HU" w:eastAsia="ko-KR"/>
              </w:rPr>
            </w:pPr>
          </w:p>
          <w:p w14:paraId="571196CA" w14:textId="77777777" w:rsidR="007561B4" w:rsidRPr="00010223" w:rsidRDefault="007561B4" w:rsidP="00AF1AD1">
            <w:pPr>
              <w:pStyle w:val="a3"/>
              <w:numPr>
                <w:ilvl w:val="0"/>
                <w:numId w:val="0"/>
              </w:numPr>
              <w:rPr>
                <w:lang w:val="hu-HU" w:eastAsia="ko-KR"/>
              </w:rPr>
            </w:pPr>
            <w:r w:rsidRPr="001E2F31">
              <w:rPr>
                <w:rFonts w:eastAsia="Times New Roman"/>
                <w:bCs/>
                <w:lang w:val="hu-HU" w:eastAsia="ko-KR"/>
              </w:rPr>
              <w:t xml:space="preserve">Az előretöltött fecskendőt </w:t>
            </w:r>
            <w:r w:rsidRPr="00010223">
              <w:rPr>
                <w:rFonts w:eastAsia="Times New Roman"/>
                <w:b/>
                <w:bCs/>
                <w:lang w:val="hu-HU" w:eastAsia="ko-KR"/>
              </w:rPr>
              <w:t>ne</w:t>
            </w:r>
            <w:r w:rsidRPr="001E2F31">
              <w:rPr>
                <w:rFonts w:eastAsia="Times New Roman"/>
                <w:bCs/>
                <w:lang w:val="hu-HU" w:eastAsia="ko-KR"/>
              </w:rPr>
              <w:t xml:space="preserve"> használja újra, ha:</w:t>
            </w:r>
          </w:p>
          <w:p w14:paraId="58D2A025" w14:textId="77777777" w:rsidR="007561B4" w:rsidRPr="00FB6A69" w:rsidRDefault="007561B4" w:rsidP="00AF1AD1">
            <w:pPr>
              <w:pStyle w:val="a3"/>
              <w:numPr>
                <w:ilvl w:val="2"/>
                <w:numId w:val="38"/>
              </w:numPr>
              <w:ind w:left="567" w:hanging="567"/>
              <w:rPr>
                <w:lang w:val="hu-HU" w:eastAsia="ko-KR"/>
              </w:rPr>
            </w:pPr>
            <w:r>
              <w:rPr>
                <w:rFonts w:eastAsia="Times New Roman"/>
                <w:lang w:val="hu-HU" w:eastAsia="ko-KR"/>
              </w:rPr>
              <w:t>megrepedt vagy sérült.</w:t>
            </w:r>
          </w:p>
          <w:p w14:paraId="23568056" w14:textId="77777777" w:rsidR="007561B4" w:rsidRPr="00FB6A69" w:rsidRDefault="007561B4" w:rsidP="00AF1AD1">
            <w:pPr>
              <w:pStyle w:val="a3"/>
              <w:numPr>
                <w:ilvl w:val="2"/>
                <w:numId w:val="38"/>
              </w:numPr>
              <w:ind w:left="567" w:hanging="567"/>
              <w:rPr>
                <w:lang w:val="hu-HU" w:eastAsia="ko-KR"/>
              </w:rPr>
            </w:pPr>
            <w:r>
              <w:rPr>
                <w:rFonts w:eastAsia="Times New Roman"/>
                <w:lang w:val="hu-HU" w:eastAsia="ko-KR"/>
              </w:rPr>
              <w:t>a lejárati idő lejárt.</w:t>
            </w:r>
          </w:p>
          <w:p w14:paraId="4886355D" w14:textId="77777777" w:rsidR="007561B4" w:rsidRDefault="007561B4" w:rsidP="00AF1AD1">
            <w:pPr>
              <w:pStyle w:val="a3"/>
              <w:numPr>
                <w:ilvl w:val="2"/>
                <w:numId w:val="38"/>
              </w:numPr>
              <w:ind w:left="567" w:hanging="567"/>
              <w:rPr>
                <w:lang w:val="hu-HU" w:eastAsia="ko-KR"/>
              </w:rPr>
            </w:pPr>
            <w:proofErr w:type="spellStart"/>
            <w:r>
              <w:t>kemény</w:t>
            </w:r>
            <w:proofErr w:type="spellEnd"/>
            <w:r>
              <w:t xml:space="preserve"> </w:t>
            </w:r>
            <w:proofErr w:type="spellStart"/>
            <w:r>
              <w:t>felületre</w:t>
            </w:r>
            <w:proofErr w:type="spellEnd"/>
            <w:r>
              <w:t xml:space="preserve"> </w:t>
            </w:r>
            <w:proofErr w:type="spellStart"/>
            <w:r>
              <w:t>ejtette</w:t>
            </w:r>
            <w:proofErr w:type="spellEnd"/>
            <w:r>
              <w:t>.</w:t>
            </w:r>
          </w:p>
          <w:p w14:paraId="5FBA0D9F" w14:textId="77777777" w:rsidR="007561B4" w:rsidRDefault="007561B4" w:rsidP="00AF1AD1">
            <w:pPr>
              <w:pStyle w:val="Default"/>
              <w:rPr>
                <w:color w:val="211D1E"/>
                <w:sz w:val="20"/>
                <w:szCs w:val="20"/>
                <w:lang w:val="hu-HU"/>
              </w:rPr>
            </w:pPr>
          </w:p>
          <w:p w14:paraId="7FA9689F" w14:textId="77777777" w:rsidR="007561B4" w:rsidRDefault="007561B4" w:rsidP="00AF1AD1">
            <w:pPr>
              <w:ind w:right="1248"/>
              <w:rPr>
                <w:rFonts w:ascii="Times New Roman" w:eastAsia="Times New Roman" w:hAnsi="Times New Roman" w:cs="Times New Roman"/>
                <w:b/>
                <w:bCs/>
                <w:lang w:val="hu-HU"/>
              </w:rPr>
            </w:pPr>
          </w:p>
        </w:tc>
      </w:tr>
      <w:tr w:rsidR="007561B4" w14:paraId="18196D06" w14:textId="77777777" w:rsidTr="00AF1AD1">
        <w:trPr>
          <w:trHeight w:val="4649"/>
        </w:trPr>
        <w:tc>
          <w:tcPr>
            <w:tcW w:w="9634" w:type="dxa"/>
          </w:tcPr>
          <w:p w14:paraId="52E8F8E9" w14:textId="77777777" w:rsidR="007561B4" w:rsidRDefault="007561B4" w:rsidP="00AF1AD1">
            <w:pPr>
              <w:pStyle w:val="a3"/>
              <w:rPr>
                <w:lang w:val="hu-HU" w:eastAsia="ko-KR"/>
              </w:rPr>
            </w:pPr>
          </w:p>
          <w:p w14:paraId="4EA1E1F4" w14:textId="77777777" w:rsidR="007561B4" w:rsidRDefault="007561B4" w:rsidP="00AF1AD1">
            <w:pPr>
              <w:pStyle w:val="a3"/>
              <w:rPr>
                <w:lang w:val="hu-HU"/>
              </w:rPr>
            </w:pPr>
            <w:r>
              <w:rPr>
                <w:rFonts w:eastAsia="Times New Roman"/>
                <w:b/>
                <w:bCs/>
                <w:noProof/>
                <w:lang w:eastAsia="ko-KR"/>
              </w:rPr>
              <mc:AlternateContent>
                <mc:Choice Requires="wpg">
                  <w:drawing>
                    <wp:anchor distT="0" distB="0" distL="114300" distR="114300" simplePos="0" relativeHeight="251666516" behindDoc="0" locked="0" layoutInCell="1" allowOverlap="1" wp14:anchorId="51C9C713" wp14:editId="2F2AD81F">
                      <wp:simplePos x="0" y="0"/>
                      <wp:positionH relativeFrom="column">
                        <wp:posOffset>-65405</wp:posOffset>
                      </wp:positionH>
                      <wp:positionV relativeFrom="paragraph">
                        <wp:posOffset>48895</wp:posOffset>
                      </wp:positionV>
                      <wp:extent cx="2052955" cy="2654300"/>
                      <wp:effectExtent l="0" t="0" r="4445" b="0"/>
                      <wp:wrapSquare wrapText="bothSides"/>
                      <wp:docPr id="187" name="그룹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2955" cy="2654300"/>
                                <a:chOff x="0" y="0"/>
                                <a:chExt cx="2171700" cy="2800350"/>
                              </a:xfrm>
                            </wpg:grpSpPr>
                            <pic:pic xmlns:pic="http://schemas.openxmlformats.org/drawingml/2006/picture">
                              <pic:nvPicPr>
                                <pic:cNvPr id="191" name="그림 191"/>
                                <pic:cNvPicPr>
                                  <a:picLocks noChangeAspect="1"/>
                                </pic:cNvPicPr>
                              </pic:nvPicPr>
                              <pic:blipFill>
                                <a:blip r:embed="rId168" cstate="print">
                                  <a:extLst>
                                    <a:ext uri="{28A0092B-C50C-407E-A947-70E740481C1C}">
                                      <a14:useLocalDpi xmlns:a14="http://schemas.microsoft.com/office/drawing/2010/main" val="0"/>
                                    </a:ext>
                                  </a:extLst>
                                </a:blip>
                                <a:srcRect/>
                                <a:stretch/>
                              </pic:blipFill>
                              <pic:spPr bwMode="auto">
                                <a:xfrm>
                                  <a:off x="0" y="0"/>
                                  <a:ext cx="2171700" cy="2663825"/>
                                </a:xfrm>
                                <a:prstGeom prst="rect">
                                  <a:avLst/>
                                </a:prstGeom>
                                <a:noFill/>
                                <a:ln>
                                  <a:noFill/>
                                </a:ln>
                                <a:extLst>
                                  <a:ext uri="{53640926-AAD7-44D8-BBD7-CCE9431645EC}">
                                    <a14:shadowObscured xmlns:a14="http://schemas.microsoft.com/office/drawing/2010/main"/>
                                  </a:ext>
                                </a:extLst>
                              </pic:spPr>
                            </pic:pic>
                            <wps:wsp>
                              <wps:cNvPr id="3904" name="Text Box 41"/>
                              <wps:cNvSpPr txBox="1"/>
                              <wps:spPr>
                                <a:xfrm>
                                  <a:off x="1447800" y="2654300"/>
                                  <a:ext cx="719758" cy="146050"/>
                                </a:xfrm>
                                <a:prstGeom prst="rect">
                                  <a:avLst/>
                                </a:prstGeom>
                                <a:solidFill>
                                  <a:prstClr val="white"/>
                                </a:solidFill>
                                <a:ln>
                                  <a:noFill/>
                                </a:ln>
                              </wps:spPr>
                              <wps:txbx>
                                <w:txbxContent>
                                  <w:p w14:paraId="1362DDC0" w14:textId="77777777" w:rsidR="004A2986" w:rsidRDefault="004A2986" w:rsidP="007561B4">
                                    <w:pPr>
                                      <w:pStyle w:val="af0"/>
                                      <w:jc w:val="right"/>
                                      <w:rPr>
                                        <w:rFonts w:ascii="Times New Roman" w:hAnsi="Times New Roman" w:cs="Times New Roman"/>
                                        <w:noProof/>
                                        <w:spacing w:val="-1"/>
                                      </w:rPr>
                                    </w:pPr>
                                    <w:r>
                                      <w:rPr>
                                        <w:rFonts w:ascii="Times New Roman" w:eastAsia="Times New Roman" w:hAnsi="Times New Roman" w:cs="Times New Roman"/>
                                        <w:lang w:val="hu-HU"/>
                                      </w:rPr>
                                      <w:t>C. ábra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1C9C713" id="_x0000_s1246" style="position:absolute;margin-left:-5.15pt;margin-top:3.85pt;width:161.65pt;height:209pt;z-index:251666516" coordsize="21717,28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">
                      <v:shape id="그림 191" o:spid="_x0000_s1247" type="#_x0000_t75" style="position:absolute;width:21717;height:26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">
                        <v:imagedata r:id="rId169" o:title=""/>
                      </v:shape>
                      <v:shape id="Text Box 41" o:spid="_x0000_s1248" type="#_x0000_t202" style="position:absolute;left:14478;top:2654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" stroked="f">
                        <v:textbox inset="0,0,0,0">
                          <w:txbxContent>
                            <w:p w14:paraId="1362DDC0" w14:textId="77777777" w:rsidR="004A2986" w:rsidRDefault="004A2986" w:rsidP="007561B4">
                              <w:pPr>
                                <w:pStyle w:val="af0"/>
                                <w:jc w:val="right"/>
                                <w:rPr>
                                  <w:rFonts w:ascii="Times New Roman" w:hAnsi="Times New Roman" w:cs="Times New Roman"/>
                                  <w:noProof/>
                                  <w:spacing w:val="-1"/>
                                </w:rPr>
                              </w:pPr>
                              <w:r>
                                <w:rPr>
                                  <w:rFonts w:ascii="Times New Roman" w:eastAsia="Times New Roman" w:hAnsi="Times New Roman" w:cs="Times New Roman"/>
                                  <w:lang w:val="hu-HU"/>
                                </w:rPr>
                                <w:t>C. ábra</w:t>
                              </w:r>
                            </w:p>
                          </w:txbxContent>
                        </v:textbox>
                      </v:shape>
                      <w10:wrap type="square"/>
                    </v:group>
                  </w:pict>
                </mc:Fallback>
              </mc:AlternateContent>
            </w:r>
          </w:p>
          <w:p w14:paraId="33662947" w14:textId="77777777" w:rsidR="007561B4" w:rsidRDefault="007561B4" w:rsidP="00AF1AD1">
            <w:pPr>
              <w:pStyle w:val="a3"/>
              <w:numPr>
                <w:ilvl w:val="0"/>
                <w:numId w:val="80"/>
              </w:numPr>
              <w:rPr>
                <w:b/>
                <w:lang w:val="hu-HU"/>
              </w:rPr>
            </w:pPr>
            <w:r>
              <w:rPr>
                <w:rFonts w:eastAsia="Times New Roman"/>
                <w:b/>
                <w:bCs/>
                <w:lang w:val="hu-HU"/>
              </w:rPr>
              <w:t>Vizsgálja meg a gyógyszert</w:t>
            </w:r>
          </w:p>
          <w:p w14:paraId="714A6840" w14:textId="77777777" w:rsidR="007561B4" w:rsidRDefault="007561B4" w:rsidP="00AF1AD1">
            <w:pPr>
              <w:ind w:right="1248"/>
              <w:rPr>
                <w:rFonts w:ascii="Times New Roman" w:eastAsia="Times New Roman" w:hAnsi="Times New Roman" w:cs="Times New Roman"/>
                <w:b/>
                <w:bCs/>
                <w:lang w:val="hu-HU"/>
              </w:rPr>
            </w:pPr>
          </w:p>
          <w:p w14:paraId="4E8E48D3" w14:textId="19DE6A62" w:rsidR="007561B4" w:rsidRDefault="007561B4" w:rsidP="00AF1AD1">
            <w:pPr>
              <w:pStyle w:val="a3"/>
              <w:rPr>
                <w:lang w:val="hu-HU" w:eastAsia="ko-KR"/>
              </w:rPr>
            </w:pPr>
            <w:r>
              <w:rPr>
                <w:rFonts w:eastAsia="Times New Roman"/>
                <w:b/>
                <w:bCs/>
                <w:lang w:val="hu-HU" w:eastAsia="ko-KR"/>
              </w:rPr>
              <w:t>a</w:t>
            </w:r>
            <w:r>
              <w:rPr>
                <w:rFonts w:eastAsia="Times New Roman"/>
                <w:lang w:val="hu-HU" w:eastAsia="ko-KR"/>
              </w:rPr>
              <w:t xml:space="preserve">. Ellenőrizze a gyógyszert, </w:t>
            </w:r>
            <w:r w:rsidR="00E550A6">
              <w:rPr>
                <w:rFonts w:eastAsia="Times New Roman"/>
                <w:lang w:val="hu-HU"/>
              </w:rPr>
              <w:t>győződjön meg arról</w:t>
            </w:r>
            <w:r w:rsidR="00E550A6" w:rsidDel="00E550A6">
              <w:rPr>
                <w:rFonts w:eastAsia="Times New Roman"/>
                <w:lang w:val="hu-HU" w:eastAsia="ko-KR"/>
              </w:rPr>
              <w:t xml:space="preserve"> </w:t>
            </w:r>
            <w:r>
              <w:rPr>
                <w:rFonts w:eastAsia="Times New Roman"/>
                <w:lang w:val="hu-HU" w:eastAsia="ko-KR"/>
              </w:rPr>
              <w:t>, hogy a folyadék tiszta, színtelen vagy halványbarna, részecskéktől mentes.</w:t>
            </w:r>
          </w:p>
          <w:p w14:paraId="438C9DF2" w14:textId="77777777" w:rsidR="007561B4" w:rsidRDefault="007561B4" w:rsidP="00AF1AD1">
            <w:pPr>
              <w:pStyle w:val="a3"/>
              <w:numPr>
                <w:ilvl w:val="0"/>
                <w:numId w:val="0"/>
              </w:numPr>
              <w:tabs>
                <w:tab w:val="left" w:pos="3861"/>
              </w:tabs>
              <w:rPr>
                <w:lang w:val="hu-HU"/>
              </w:rPr>
            </w:pPr>
          </w:p>
          <w:p w14:paraId="049417D9" w14:textId="77777777" w:rsidR="007561B4" w:rsidRDefault="007561B4" w:rsidP="00AF1AD1">
            <w:pPr>
              <w:pStyle w:val="a3"/>
              <w:numPr>
                <w:ilvl w:val="0"/>
                <w:numId w:val="39"/>
              </w:numPr>
              <w:ind w:left="4230" w:hanging="4230"/>
              <w:rPr>
                <w:lang w:val="hu-HU"/>
              </w:rPr>
            </w:pPr>
            <w:r>
              <w:rPr>
                <w:rFonts w:eastAsia="Times New Roman"/>
                <w:b/>
                <w:bCs/>
                <w:lang w:val="hu-HU"/>
              </w:rPr>
              <w:t>Ne</w:t>
            </w:r>
            <w:r>
              <w:rPr>
                <w:rFonts w:eastAsia="Times New Roman"/>
                <w:lang w:val="hu-HU"/>
              </w:rPr>
              <w:t xml:space="preserve"> használja az előretöltött fecskendőt, ha a folyadék elszíneződött (sárga vagy sötétbarna), zavaros vagy részecskéket tartalmaz.</w:t>
            </w:r>
          </w:p>
          <w:p w14:paraId="40638585" w14:textId="77777777" w:rsidR="007561B4" w:rsidRDefault="007561B4" w:rsidP="00AF1AD1">
            <w:pPr>
              <w:pStyle w:val="a3"/>
              <w:numPr>
                <w:ilvl w:val="0"/>
                <w:numId w:val="0"/>
              </w:numPr>
              <w:rPr>
                <w:lang w:val="hu-HU"/>
              </w:rPr>
            </w:pPr>
          </w:p>
          <w:p w14:paraId="4506272B" w14:textId="77777777" w:rsidR="007561B4" w:rsidRDefault="007561B4" w:rsidP="00AF1AD1">
            <w:pPr>
              <w:pStyle w:val="a3"/>
              <w:numPr>
                <w:ilvl w:val="0"/>
                <w:numId w:val="16"/>
              </w:numPr>
              <w:ind w:left="4236" w:hanging="4236"/>
              <w:rPr>
                <w:b/>
                <w:bCs/>
                <w:lang w:val="hu-HU"/>
              </w:rPr>
            </w:pPr>
            <w:r>
              <w:rPr>
                <w:rFonts w:eastAsia="Times New Roman"/>
                <w:lang w:val="hu-HU"/>
              </w:rPr>
              <w:t>Előfordulhat, hogy légbuborékokat lát a folyadékban. Ez normális jelenség.</w:t>
            </w:r>
          </w:p>
        </w:tc>
      </w:tr>
      <w:tr w:rsidR="007561B4" w:rsidRPr="00BE4D18" w14:paraId="457A94C5" w14:textId="77777777" w:rsidTr="00AF1AD1">
        <w:trPr>
          <w:trHeight w:val="4706"/>
        </w:trPr>
        <w:tc>
          <w:tcPr>
            <w:tcW w:w="9634" w:type="dxa"/>
          </w:tcPr>
          <w:p w14:paraId="22782ED6" w14:textId="77777777" w:rsidR="007561B4" w:rsidRDefault="007561B4" w:rsidP="00AF1AD1">
            <w:pPr>
              <w:ind w:right="1248"/>
              <w:rPr>
                <w:rFonts w:ascii="Times New Roman" w:eastAsia="Times New Roman" w:hAnsi="Times New Roman" w:cs="Times New Roman"/>
                <w:b/>
                <w:bCs/>
                <w:spacing w:val="-1"/>
                <w:lang w:val="hu-HU"/>
              </w:rPr>
            </w:pPr>
            <w:r>
              <w:rPr>
                <w:rFonts w:ascii="Times New Roman" w:eastAsia="Times New Roman" w:hAnsi="Times New Roman" w:cs="Times New Roman"/>
                <w:bCs/>
                <w:noProof/>
                <w:lang w:eastAsia="ko-KR"/>
              </w:rPr>
              <w:lastRenderedPageBreak/>
              <mc:AlternateContent>
                <mc:Choice Requires="wpg">
                  <w:drawing>
                    <wp:anchor distT="0" distB="0" distL="114300" distR="114300" simplePos="0" relativeHeight="251684948" behindDoc="0" locked="0" layoutInCell="1" allowOverlap="1" wp14:anchorId="6E9DFCCD" wp14:editId="45877ACB">
                      <wp:simplePos x="0" y="0"/>
                      <wp:positionH relativeFrom="column">
                        <wp:posOffset>-8890</wp:posOffset>
                      </wp:positionH>
                      <wp:positionV relativeFrom="paragraph">
                        <wp:posOffset>161290</wp:posOffset>
                      </wp:positionV>
                      <wp:extent cx="1985645" cy="2717165"/>
                      <wp:effectExtent l="0" t="0" r="0" b="6985"/>
                      <wp:wrapSquare wrapText="bothSides"/>
                      <wp:docPr id="3905" name="그룹 3905"/>
                      <wp:cNvGraphicFramePr/>
                      <a:graphic xmlns:a="http://schemas.openxmlformats.org/drawingml/2006/main">
                        <a:graphicData uri="http://schemas.microsoft.com/office/word/2010/wordprocessingGroup">
                          <wpg:wgp>
                            <wpg:cNvGrpSpPr/>
                            <wpg:grpSpPr>
                              <a:xfrm>
                                <a:off x="0" y="0"/>
                                <a:ext cx="1985645" cy="2675111"/>
                                <a:chOff x="0" y="45039"/>
                                <a:chExt cx="2211705" cy="2864993"/>
                              </a:xfrm>
                            </wpg:grpSpPr>
                            <wps:wsp>
                              <wps:cNvPr id="3906" name="Text Box 43"/>
                              <wps:cNvSpPr txBox="1"/>
                              <wps:spPr>
                                <a:xfrm>
                                  <a:off x="1482437" y="2763982"/>
                                  <a:ext cx="719758" cy="146050"/>
                                </a:xfrm>
                                <a:prstGeom prst="rect">
                                  <a:avLst/>
                                </a:prstGeom>
                                <a:solidFill>
                                  <a:prstClr val="white"/>
                                </a:solidFill>
                                <a:ln>
                                  <a:noFill/>
                                </a:ln>
                              </wps:spPr>
                              <wps:txbx>
                                <w:txbxContent>
                                  <w:p w14:paraId="3BD6465F" w14:textId="77777777" w:rsidR="004A2986" w:rsidRDefault="004A2986" w:rsidP="007561B4">
                                    <w:pPr>
                                      <w:pStyle w:val="af0"/>
                                      <w:jc w:val="right"/>
                                      <w:rPr>
                                        <w:rFonts w:ascii="Times New Roman" w:hAnsi="Times New Roman" w:cs="Times New Roman"/>
                                        <w:noProof/>
                                        <w:spacing w:val="-1"/>
                                      </w:rPr>
                                    </w:pPr>
                                    <w:r>
                                      <w:rPr>
                                        <w:rFonts w:ascii="Times New Roman" w:eastAsia="Times New Roman" w:hAnsi="Times New Roman" w:cs="Times New Roman"/>
                                        <w:lang w:val="hu-HU"/>
                                      </w:rPr>
                                      <w:t> </w:t>
                                    </w:r>
                                    <w:r>
                                      <w:rPr>
                                        <w:rFonts w:ascii="Times New Roman" w:eastAsia="Times New Roman" w:hAnsi="Times New Roman" w:cs="Times New Roman"/>
                                        <w:lang w:val="hu-HU"/>
                                      </w:rPr>
                                      <w:t xml:space="preserve">D. </w:t>
                                    </w:r>
                                    <w:r>
                                      <w:rPr>
                                        <w:rFonts w:ascii="Times New Roman" w:eastAsia="Times New Roman" w:hAnsi="Times New Roman" w:cs="Times New Roman"/>
                                        <w:lang w:val="hu-HU"/>
                                      </w:rPr>
                                      <w:t>ábra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907" name="그림 6"/>
                                <pic:cNvPicPr>
                                  <a:picLocks noChangeAspect="1"/>
                                </pic:cNvPicPr>
                              </pic:nvPicPr>
                              <pic:blipFill>
                                <a:blip r:embed="rId170" cstate="print">
                                  <a:extLst>
                                    <a:ext uri="{28A0092B-C50C-407E-A947-70E740481C1C}">
                                      <a14:useLocalDpi xmlns:a14="http://schemas.microsoft.com/office/drawing/2010/main" val="0"/>
                                    </a:ext>
                                  </a:extLst>
                                </a:blip>
                                <a:srcRect/>
                                <a:stretch/>
                              </pic:blipFill>
                              <pic:spPr>
                                <a:xfrm>
                                  <a:off x="0" y="45039"/>
                                  <a:ext cx="2211705" cy="262264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E9DFCCD" id="그룹 3905" o:spid="_x0000_s1249" style="position:absolute;margin-left:-.7pt;margin-top:12.7pt;width:156.35pt;height:213.95pt;z-index:251684948;mso-width-relative:margin;mso-height-relative:margin" coordorigin=",450" coordsize="22117,286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&#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">
                      <v:shape id="Text Box 43" o:spid="_x0000_s1250" type="#_x0000_t202" style="position:absolute;left:14824;top:2763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" stroked="f">
                        <v:textbox inset="0,0,0,0">
                          <w:txbxContent>
                            <w:p w14:paraId="3BD6465F" w14:textId="77777777" w:rsidR="004A2986" w:rsidRDefault="004A2986" w:rsidP="007561B4">
                              <w:pPr>
                                <w:pStyle w:val="af0"/>
                                <w:jc w:val="right"/>
                                <w:rPr>
                                  <w:rFonts w:ascii="Times New Roman" w:hAnsi="Times New Roman" w:cs="Times New Roman"/>
                                  <w:noProof/>
                                  <w:spacing w:val="-1"/>
                                </w:rPr>
                              </w:pPr>
                              <w:r>
                                <w:rPr>
                                  <w:rFonts w:ascii="Times New Roman" w:eastAsia="Times New Roman" w:hAnsi="Times New Roman" w:cs="Times New Roman"/>
                                  <w:lang w:val="hu-HU"/>
                                </w:rPr>
                                <w:t> </w:t>
                              </w:r>
                              <w:r>
                                <w:rPr>
                                  <w:rFonts w:ascii="Times New Roman" w:eastAsia="Times New Roman" w:hAnsi="Times New Roman" w:cs="Times New Roman"/>
                                  <w:lang w:val="hu-HU"/>
                                </w:rPr>
                                <w:t xml:space="preserve">D. </w:t>
                              </w:r>
                              <w:r>
                                <w:rPr>
                                  <w:rFonts w:ascii="Times New Roman" w:eastAsia="Times New Roman" w:hAnsi="Times New Roman" w:cs="Times New Roman"/>
                                  <w:lang w:val="hu-HU"/>
                                </w:rPr>
                                <w:t>ábra</w:t>
                              </w:r>
                            </w:p>
                          </w:txbxContent>
                        </v:textbox>
                      </v:shape>
                      <v:shape id="그림 6" o:spid="_x0000_s1251" type="#_x0000_t75" style="position:absolute;top:450;width:22117;height:26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">
                        <v:imagedata r:id="rId171" o:title=""/>
                      </v:shape>
                      <w10:wrap type="square"/>
                    </v:group>
                  </w:pict>
                </mc:Fallback>
              </mc:AlternateContent>
            </w:r>
          </w:p>
          <w:p w14:paraId="77A98F4C" w14:textId="0610D147" w:rsidR="007561B4" w:rsidRDefault="007561B4" w:rsidP="00AF1AD1">
            <w:pPr>
              <w:ind w:right="1248"/>
              <w:rPr>
                <w:rFonts w:ascii="Times New Roman" w:eastAsia="Times New Roman" w:hAnsi="Times New Roman" w:cs="Times New Roman"/>
                <w:bCs/>
                <w:lang w:val="hu-HU"/>
              </w:rPr>
            </w:pPr>
            <w:r>
              <w:rPr>
                <w:rFonts w:eastAsia="Times New Roman"/>
                <w:noProof/>
                <w:sz w:val="20"/>
                <w:szCs w:val="20"/>
                <w:lang w:eastAsia="ko-KR"/>
              </w:rPr>
              <mc:AlternateContent>
                <mc:Choice Requires="wps">
                  <w:drawing>
                    <wp:anchor distT="0" distB="0" distL="114300" distR="114300" simplePos="0" relativeHeight="251678804" behindDoc="0" locked="0" layoutInCell="1" allowOverlap="1" wp14:anchorId="784A1459" wp14:editId="0350BB86">
                      <wp:simplePos x="0" y="0"/>
                      <wp:positionH relativeFrom="column">
                        <wp:posOffset>1044599</wp:posOffset>
                      </wp:positionH>
                      <wp:positionV relativeFrom="paragraph">
                        <wp:posOffset>103265</wp:posOffset>
                      </wp:positionV>
                      <wp:extent cx="858520" cy="1041400"/>
                      <wp:effectExtent l="0" t="0" r="0" b="0"/>
                      <wp:wrapNone/>
                      <wp:docPr id="3908"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8520" cy="1041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CB389CF" w14:textId="77777777" w:rsidR="004A2986" w:rsidRDefault="004A2986" w:rsidP="007561B4">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hu-HU"/>
                                    </w:rPr>
                                    <w:t xml:space="preserve">15 </w:t>
                                  </w:r>
                                  <w:r>
                                    <w:rPr>
                                      <w:rFonts w:ascii="Times New Roman" w:eastAsia="Times New Roman" w:hAnsi="Times New Roman" w:cs="Times New Roman"/>
                                      <w:b/>
                                      <w:bCs/>
                                      <w:sz w:val="28"/>
                                      <w:szCs w:val="28"/>
                                      <w:lang w:val="hu-HU"/>
                                    </w:rPr>
                                    <w:t>– 30 perc</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784A1459" id="_x0000_s1252" type="#_x0000_t202" style="position:absolute;margin-left:82.25pt;margin-top:8.15pt;width:67.6pt;height:82pt;z-index:2516788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" fillcolor="white [3212]" stroked="f" strokeweight=".5pt">
                      <v:textbox inset="0,0,0,0">
                        <w:txbxContent>
                          <w:p w14:paraId="5CB389CF" w14:textId="77777777" w:rsidR="004A2986" w:rsidRDefault="004A2986" w:rsidP="007561B4">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hu-HU"/>
                              </w:rPr>
                              <w:t xml:space="preserve">15 </w:t>
                            </w:r>
                            <w:r>
                              <w:rPr>
                                <w:rFonts w:ascii="Times New Roman" w:eastAsia="Times New Roman" w:hAnsi="Times New Roman" w:cs="Times New Roman"/>
                                <w:b/>
                                <w:bCs/>
                                <w:sz w:val="28"/>
                                <w:szCs w:val="28"/>
                                <w:lang w:val="hu-HU"/>
                              </w:rPr>
                              <w:t>– 30 perc</w:t>
                            </w:r>
                          </w:p>
                        </w:txbxContent>
                      </v:textbox>
                    </v:shape>
                  </w:pict>
                </mc:Fallback>
              </mc:AlternateContent>
            </w:r>
          </w:p>
          <w:p w14:paraId="3EEB425B" w14:textId="1946B3F5" w:rsidR="007561B4" w:rsidRDefault="003960AD" w:rsidP="00AF1AD1">
            <w:pPr>
              <w:ind w:right="1248"/>
              <w:rPr>
                <w:rFonts w:ascii="Times New Roman" w:eastAsia="Times New Roman" w:hAnsi="Times New Roman" w:cs="Times New Roman"/>
                <w:bCs/>
                <w:lang w:val="hu-HU"/>
              </w:rPr>
            </w:pPr>
            <w:r w:rsidRPr="00675A6E">
              <w:rPr>
                <w:noProof/>
                <w:lang w:eastAsia="ko-KR"/>
              </w:rPr>
              <mc:AlternateContent>
                <mc:Choice Requires="wps">
                  <w:drawing>
                    <wp:anchor distT="45720" distB="45720" distL="114300" distR="114300" simplePos="0" relativeHeight="251724884" behindDoc="0" locked="0" layoutInCell="1" allowOverlap="1" wp14:anchorId="5C6E8F62" wp14:editId="203C4D90">
                      <wp:simplePos x="0" y="0"/>
                      <wp:positionH relativeFrom="column">
                        <wp:posOffset>1024255</wp:posOffset>
                      </wp:positionH>
                      <wp:positionV relativeFrom="paragraph">
                        <wp:posOffset>160655</wp:posOffset>
                      </wp:positionV>
                      <wp:extent cx="927100" cy="1404620"/>
                      <wp:effectExtent l="0" t="0" r="0" b="0"/>
                      <wp:wrapNone/>
                      <wp:docPr id="153585993"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0" cy="1404620"/>
                              </a:xfrm>
                              <a:prstGeom prst="rect">
                                <a:avLst/>
                              </a:prstGeom>
                              <a:noFill/>
                              <a:ln w="9525">
                                <a:noFill/>
                                <a:miter lim="800000"/>
                                <a:headEnd/>
                                <a:tailEnd/>
                              </a:ln>
                            </wps:spPr>
                            <wps:txbx>
                              <w:txbxContent>
                                <w:p w14:paraId="2E2A64A1" w14:textId="01CA8AD6" w:rsidR="004A2986" w:rsidRPr="00167BF3" w:rsidRDefault="004A2986" w:rsidP="00167BF3">
                                  <w:pPr>
                                    <w:jc w:val="center"/>
                                    <w:rPr>
                                      <w:rFonts w:ascii="Times New Roman" w:hAnsi="Times New Roman" w:cs="Times New Roman"/>
                                      <w:b/>
                                      <w:bCs/>
                                      <w:sz w:val="28"/>
                                      <w:szCs w:val="28"/>
                                    </w:rPr>
                                  </w:pPr>
                                  <w:r w:rsidRPr="00167BF3">
                                    <w:rPr>
                                      <w:rFonts w:ascii="Times New Roman" w:hAnsi="Times New Roman" w:cs="Times New Roman"/>
                                      <w:b/>
                                      <w:bCs/>
                                      <w:sz w:val="28"/>
                                      <w:szCs w:val="28"/>
                                    </w:rPr>
                                    <w:t>15 – 30</w:t>
                                  </w:r>
                                </w:p>
                                <w:p w14:paraId="068963CC" w14:textId="063F30CC" w:rsidR="004A2986" w:rsidRPr="00167BF3" w:rsidRDefault="004A2986" w:rsidP="00167BF3">
                                  <w:pPr>
                                    <w:jc w:val="center"/>
                                    <w:rPr>
                                      <w:rFonts w:ascii="Times New Roman" w:hAnsi="Times New Roman" w:cs="Times New Roman"/>
                                      <w:sz w:val="28"/>
                                      <w:szCs w:val="28"/>
                                      <w:lang w:eastAsia="ko-KR"/>
                                    </w:rPr>
                                  </w:pPr>
                                  <w:r w:rsidRPr="00167BF3">
                                    <w:rPr>
                                      <w:rFonts w:ascii="Times New Roman" w:hAnsi="Times New Roman" w:cs="Times New Roman"/>
                                      <w:b/>
                                      <w:bCs/>
                                      <w:sz w:val="28"/>
                                      <w:szCs w:val="28"/>
                                      <w:lang w:eastAsia="ko-KR"/>
                                    </w:rPr>
                                    <w:t>p</w:t>
                                  </w:r>
                                  <w:r>
                                    <w:rPr>
                                      <w:rFonts w:ascii="Times New Roman" w:hAnsi="Times New Roman" w:cs="Times New Roman"/>
                                      <w:b/>
                                      <w:bCs/>
                                      <w:sz w:val="28"/>
                                      <w:szCs w:val="28"/>
                                      <w:lang w:eastAsia="ko-KR"/>
                                    </w:rPr>
                                    <w:t>e</w:t>
                                  </w:r>
                                  <w:r w:rsidRPr="00167BF3">
                                    <w:rPr>
                                      <w:rFonts w:ascii="Times New Roman" w:hAnsi="Times New Roman" w:cs="Times New Roman"/>
                                      <w:b/>
                                      <w:bCs/>
                                      <w:sz w:val="28"/>
                                      <w:szCs w:val="28"/>
                                      <w:lang w:eastAsia="ko-KR"/>
                                    </w:rPr>
                                    <w:t>rc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6E8F62" id="_x0000_s1253" type="#_x0000_t202" style="position:absolute;margin-left:80.65pt;margin-top:12.65pt;width:73pt;height:110.6pt;z-index:2517248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" filled="f" stroked="f">
                      <v:textbox style="mso-fit-shape-to-text:t">
                        <w:txbxContent>
                          <w:p w14:paraId="2E2A64A1" w14:textId="01CA8AD6" w:rsidR="004A2986" w:rsidRPr="00167BF3" w:rsidRDefault="004A2986" w:rsidP="00167BF3">
                            <w:pPr>
                              <w:jc w:val="center"/>
                              <w:rPr>
                                <w:rFonts w:ascii="Times New Roman" w:hAnsi="Times New Roman" w:cs="Times New Roman"/>
                                <w:b/>
                                <w:bCs/>
                                <w:sz w:val="28"/>
                                <w:szCs w:val="28"/>
                              </w:rPr>
                            </w:pPr>
                            <w:r w:rsidRPr="00167BF3">
                              <w:rPr>
                                <w:rFonts w:ascii="Times New Roman" w:hAnsi="Times New Roman" w:cs="Times New Roman"/>
                                <w:b/>
                                <w:bCs/>
                                <w:sz w:val="28"/>
                                <w:szCs w:val="28"/>
                              </w:rPr>
                              <w:t>15 – 30</w:t>
                            </w:r>
                          </w:p>
                          <w:p w14:paraId="068963CC" w14:textId="063F30CC" w:rsidR="004A2986" w:rsidRPr="00167BF3" w:rsidRDefault="004A2986" w:rsidP="00167BF3">
                            <w:pPr>
                              <w:jc w:val="center"/>
                              <w:rPr>
                                <w:rFonts w:ascii="Times New Roman" w:hAnsi="Times New Roman" w:cs="Times New Roman"/>
                                <w:sz w:val="28"/>
                                <w:szCs w:val="28"/>
                                <w:lang w:eastAsia="ko-KR"/>
                              </w:rPr>
                            </w:pPr>
                            <w:r w:rsidRPr="00167BF3">
                              <w:rPr>
                                <w:rFonts w:ascii="Times New Roman" w:hAnsi="Times New Roman" w:cs="Times New Roman"/>
                                <w:b/>
                                <w:bCs/>
                                <w:sz w:val="28"/>
                                <w:szCs w:val="28"/>
                                <w:lang w:eastAsia="ko-KR"/>
                              </w:rPr>
                              <w:t>p</w:t>
                            </w:r>
                            <w:r>
                              <w:rPr>
                                <w:rFonts w:ascii="Times New Roman" w:hAnsi="Times New Roman" w:cs="Times New Roman"/>
                                <w:b/>
                                <w:bCs/>
                                <w:sz w:val="28"/>
                                <w:szCs w:val="28"/>
                                <w:lang w:eastAsia="ko-KR"/>
                              </w:rPr>
                              <w:t>e</w:t>
                            </w:r>
                            <w:r w:rsidRPr="00167BF3">
                              <w:rPr>
                                <w:rFonts w:ascii="Times New Roman" w:hAnsi="Times New Roman" w:cs="Times New Roman"/>
                                <w:b/>
                                <w:bCs/>
                                <w:sz w:val="28"/>
                                <w:szCs w:val="28"/>
                                <w:lang w:eastAsia="ko-KR"/>
                              </w:rPr>
                              <w:t>rc</w:t>
                            </w:r>
                          </w:p>
                        </w:txbxContent>
                      </v:textbox>
                    </v:shape>
                  </w:pict>
                </mc:Fallback>
              </mc:AlternateContent>
            </w:r>
          </w:p>
          <w:p w14:paraId="625D7EB0" w14:textId="167CCB9F" w:rsidR="007561B4" w:rsidRDefault="007561B4" w:rsidP="00AF1AD1">
            <w:pPr>
              <w:pStyle w:val="a3"/>
              <w:numPr>
                <w:ilvl w:val="0"/>
                <w:numId w:val="80"/>
              </w:numPr>
              <w:rPr>
                <w:b/>
                <w:lang w:val="hu-HU"/>
              </w:rPr>
            </w:pPr>
            <w:r>
              <w:rPr>
                <w:rFonts w:eastAsia="Times New Roman"/>
                <w:b/>
                <w:bCs/>
                <w:lang w:val="hu-HU"/>
              </w:rPr>
              <w:t xml:space="preserve">Várjon 15-30 percet </w:t>
            </w:r>
          </w:p>
          <w:p w14:paraId="37D219C7" w14:textId="50993B64" w:rsidR="007561B4" w:rsidRDefault="007561B4" w:rsidP="00AF1AD1">
            <w:pPr>
              <w:pStyle w:val="a3"/>
              <w:numPr>
                <w:ilvl w:val="0"/>
                <w:numId w:val="0"/>
              </w:numPr>
              <w:ind w:left="471"/>
              <w:rPr>
                <w:b/>
                <w:lang w:val="hu-HU"/>
              </w:rPr>
            </w:pPr>
          </w:p>
          <w:p w14:paraId="1233BA18" w14:textId="7F6625D6" w:rsidR="007561B4" w:rsidRDefault="007561B4" w:rsidP="00AF1AD1">
            <w:pPr>
              <w:pStyle w:val="a3"/>
              <w:rPr>
                <w:lang w:val="hu-HU"/>
              </w:rPr>
            </w:pPr>
            <w:r>
              <w:rPr>
                <w:rFonts w:eastAsia="Times New Roman"/>
                <w:b/>
                <w:bCs/>
                <w:lang w:val="hu-HU"/>
              </w:rPr>
              <w:t>a</w:t>
            </w:r>
            <w:r>
              <w:rPr>
                <w:rFonts w:eastAsia="Times New Roman"/>
                <w:lang w:val="hu-HU"/>
              </w:rPr>
              <w:t>. Hagyja az előretöltött fecskendőt szobahőmérsékleten felmelegedni 15-–30 percig.</w:t>
            </w:r>
          </w:p>
          <w:p w14:paraId="6576D32E" w14:textId="77777777" w:rsidR="007561B4" w:rsidRDefault="007561B4" w:rsidP="00AF1AD1">
            <w:pPr>
              <w:pStyle w:val="Default"/>
              <w:rPr>
                <w:color w:val="211D1E"/>
                <w:sz w:val="20"/>
                <w:szCs w:val="20"/>
                <w:lang w:val="hu-HU"/>
              </w:rPr>
            </w:pPr>
          </w:p>
          <w:p w14:paraId="1A9068D9" w14:textId="1F7CFD67" w:rsidR="007561B4" w:rsidRDefault="007561B4" w:rsidP="00AF1AD1">
            <w:pPr>
              <w:pStyle w:val="a3"/>
              <w:numPr>
                <w:ilvl w:val="0"/>
                <w:numId w:val="40"/>
              </w:numPr>
              <w:ind w:left="4100" w:hanging="4100"/>
              <w:rPr>
                <w:rFonts w:eastAsia="Times New Roman" w:cstheme="minorBidi"/>
                <w:lang w:val="hu-HU"/>
              </w:rPr>
            </w:pPr>
            <w:r>
              <w:rPr>
                <w:rFonts w:eastAsia="Times New Roman"/>
                <w:b/>
                <w:bCs/>
                <w:lang w:val="hu-HU"/>
              </w:rPr>
              <w:t>Ne</w:t>
            </w:r>
            <w:r>
              <w:rPr>
                <w:rFonts w:eastAsia="Times New Roman"/>
                <w:lang w:val="hu-HU"/>
              </w:rPr>
              <w:t xml:space="preserve"> melegítse az előretöltött fecskendőt más hőforrás alkalmazásával, például forró víz vagy mikrohullámú sütő.</w:t>
            </w:r>
          </w:p>
          <w:p w14:paraId="31131E35" w14:textId="13CF784C" w:rsidR="007561B4" w:rsidRDefault="007561B4" w:rsidP="00AF1AD1">
            <w:pPr>
              <w:pStyle w:val="a3"/>
              <w:numPr>
                <w:ilvl w:val="0"/>
                <w:numId w:val="0"/>
              </w:numPr>
              <w:ind w:firstLineChars="250" w:firstLine="550"/>
              <w:rPr>
                <w:rFonts w:eastAsia="Times New Roman" w:cstheme="minorBidi"/>
                <w:lang w:val="hu-HU"/>
              </w:rPr>
            </w:pPr>
          </w:p>
        </w:tc>
      </w:tr>
    </w:tbl>
    <w:tbl>
      <w:tblPr>
        <w:tblStyle w:val="ac"/>
        <w:tblW w:w="0" w:type="auto"/>
        <w:tblLook w:val="04A0" w:firstRow="1" w:lastRow="0" w:firstColumn="1" w:lastColumn="0" w:noHBand="0" w:noVBand="1"/>
      </w:tblPr>
      <w:tblGrid>
        <w:gridCol w:w="9550"/>
      </w:tblGrid>
      <w:tr w:rsidR="007561B4" w:rsidRPr="00BE4D18" w14:paraId="69CD8550" w14:textId="77777777" w:rsidTr="00CC2E43">
        <w:trPr>
          <w:trHeight w:val="5933"/>
        </w:trPr>
        <w:tc>
          <w:tcPr>
            <w:tcW w:w="9550" w:type="dxa"/>
          </w:tcPr>
          <w:p w14:paraId="0AAA2848" w14:textId="77777777" w:rsidR="007561B4" w:rsidRDefault="007561B4" w:rsidP="00CC2E43">
            <w:pPr>
              <w:ind w:left="224" w:right="1248"/>
              <w:rPr>
                <w:rFonts w:ascii="Times New Roman" w:eastAsia="Times New Roman" w:hAnsi="Times New Roman" w:cs="Times New Roman"/>
                <w:b/>
                <w:bCs/>
                <w:spacing w:val="-1"/>
                <w:lang w:val="hu-HU"/>
              </w:rPr>
            </w:pPr>
          </w:p>
          <w:p w14:paraId="3CD7F60C" w14:textId="77777777" w:rsidR="007561B4" w:rsidRDefault="007561B4" w:rsidP="00CC2E43">
            <w:pPr>
              <w:ind w:right="1248"/>
              <w:rPr>
                <w:lang w:val="hu-HU"/>
              </w:rPr>
            </w:pPr>
          </w:p>
          <w:p w14:paraId="4407046C" w14:textId="77777777" w:rsidR="007561B4" w:rsidRDefault="007561B4" w:rsidP="00CC2E43">
            <w:pPr>
              <w:ind w:right="1248"/>
              <w:rPr>
                <w:lang w:val="hu-HU"/>
              </w:rPr>
            </w:pPr>
            <w:r>
              <w:rPr>
                <w:noProof/>
                <w:lang w:eastAsia="ko-KR"/>
              </w:rPr>
              <mc:AlternateContent>
                <mc:Choice Requires="wpg">
                  <w:drawing>
                    <wp:anchor distT="0" distB="0" distL="114300" distR="114300" simplePos="0" relativeHeight="251685972" behindDoc="0" locked="0" layoutInCell="1" allowOverlap="1" wp14:anchorId="69F17C46" wp14:editId="01FEE36D">
                      <wp:simplePos x="0" y="0"/>
                      <wp:positionH relativeFrom="column">
                        <wp:posOffset>17145</wp:posOffset>
                      </wp:positionH>
                      <wp:positionV relativeFrom="paragraph">
                        <wp:posOffset>41275</wp:posOffset>
                      </wp:positionV>
                      <wp:extent cx="2147570" cy="3709035"/>
                      <wp:effectExtent l="0" t="0" r="5080" b="5715"/>
                      <wp:wrapSquare wrapText="bothSides"/>
                      <wp:docPr id="3909" name="그룹 3909"/>
                      <wp:cNvGraphicFramePr/>
                      <a:graphic xmlns:a="http://schemas.openxmlformats.org/drawingml/2006/main">
                        <a:graphicData uri="http://schemas.microsoft.com/office/word/2010/wordprocessingGroup">
                          <wpg:wgp>
                            <wpg:cNvGrpSpPr/>
                            <wpg:grpSpPr>
                              <a:xfrm>
                                <a:off x="0" y="0"/>
                                <a:ext cx="2147570" cy="3709035"/>
                                <a:chOff x="0" y="0"/>
                                <a:chExt cx="1848748" cy="3221712"/>
                              </a:xfrm>
                            </wpg:grpSpPr>
                            <wps:wsp>
                              <wps:cNvPr id="3910" name="Text Box 45"/>
                              <wps:cNvSpPr txBox="1">
                                <a:spLocks noChangeArrowheads="1"/>
                              </wps:cNvSpPr>
                              <wps:spPr bwMode="auto">
                                <a:xfrm>
                                  <a:off x="1129145" y="3075710"/>
                                  <a:ext cx="719603" cy="1460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869385" w14:textId="77777777" w:rsidR="004A2986" w:rsidRDefault="004A2986" w:rsidP="007561B4">
                                    <w:pPr>
                                      <w:pStyle w:val="af0"/>
                                      <w:jc w:val="right"/>
                                      <w:rPr>
                                        <w:rFonts w:ascii="Times New Roman" w:hAnsi="Times New Roman" w:cs="Times New Roman"/>
                                        <w:noProof/>
                                        <w:spacing w:val="-1"/>
                                      </w:rPr>
                                    </w:pPr>
                                    <w:r>
                                      <w:rPr>
                                        <w:rFonts w:ascii="Times New Roman" w:eastAsia="Times New Roman" w:hAnsi="Times New Roman" w:cs="Times New Roman"/>
                                        <w:lang w:val="hu-HU"/>
                                      </w:rPr>
                                      <w:t>E ábra</w:t>
                                    </w:r>
                                  </w:p>
                                </w:txbxContent>
                              </wps:txbx>
                              <wps:bodyPr rot="0" vert="horz" wrap="square" lIns="0" tIns="0" rIns="0" bIns="0" anchor="t" anchorCtr="0" upright="1">
                                <a:noAutofit/>
                              </wps:bodyPr>
                            </wps:wsp>
                            <pic:pic xmlns:pic="http://schemas.openxmlformats.org/drawingml/2006/picture">
                              <pic:nvPicPr>
                                <pic:cNvPr id="3911" name="그림 7"/>
                                <pic:cNvPicPr>
                                  <a:picLocks noChangeAspect="1"/>
                                </pic:cNvPicPr>
                              </pic:nvPicPr>
                              <pic:blipFill rotWithShape="1">
                                <a:blip r:embed="rId34" cstate="print">
                                  <a:extLst>
                                    <a:ext uri="{28A0092B-C50C-407E-A947-70E740481C1C}">
                                      <a14:useLocalDpi xmlns:a14="http://schemas.microsoft.com/office/drawing/2010/main" val="0"/>
                                    </a:ext>
                                  </a:extLst>
                                </a:blip>
                                <a:srcRect/>
                                <a:stretch/>
                              </pic:blipFill>
                              <pic:spPr>
                                <a:xfrm>
                                  <a:off x="0" y="0"/>
                                  <a:ext cx="1843405" cy="30778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9F17C46" id="그룹 3909" o:spid="_x0000_s1254" style="position:absolute;margin-left:1.35pt;margin-top:3.25pt;width:169.1pt;height:292.05pt;z-index:251685972;mso-width-relative:margin;mso-height-relative:margin" coordsize="18487,32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">
                      <v:shape id="Text Box 45" o:spid="_x0000_s1255" type="#_x0000_t202" style="position:absolute;left:11291;top:30757;width:7196;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" stroked="f">
                        <v:textbox inset="0,0,0,0">
                          <w:txbxContent>
                            <w:p w14:paraId="0D869385" w14:textId="77777777" w:rsidR="004A2986" w:rsidRDefault="004A2986" w:rsidP="007561B4">
                              <w:pPr>
                                <w:pStyle w:val="af0"/>
                                <w:jc w:val="right"/>
                                <w:rPr>
                                  <w:rFonts w:ascii="Times New Roman" w:hAnsi="Times New Roman" w:cs="Times New Roman"/>
                                  <w:noProof/>
                                  <w:spacing w:val="-1"/>
                                </w:rPr>
                              </w:pPr>
                              <w:r>
                                <w:rPr>
                                  <w:rFonts w:ascii="Times New Roman" w:eastAsia="Times New Roman" w:hAnsi="Times New Roman" w:cs="Times New Roman"/>
                                  <w:lang w:val="hu-HU"/>
                                </w:rPr>
                                <w:t>E ábra</w:t>
                              </w:r>
                            </w:p>
                          </w:txbxContent>
                        </v:textbox>
                      </v:shape>
                      <v:shape id="그림 7" o:spid="_x0000_s1256" type="#_x0000_t75" style="position:absolute;width:18434;height:30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">
                        <v:imagedata r:id="rId35" o:title=""/>
                      </v:shape>
                      <w10:wrap type="square"/>
                    </v:group>
                  </w:pict>
                </mc:Fallback>
              </mc:AlternateContent>
            </w:r>
          </w:p>
          <w:p w14:paraId="5C4189CF" w14:textId="77777777" w:rsidR="007561B4" w:rsidRDefault="007561B4" w:rsidP="00FD05AA">
            <w:pPr>
              <w:pStyle w:val="a3"/>
              <w:numPr>
                <w:ilvl w:val="0"/>
                <w:numId w:val="80"/>
              </w:numPr>
              <w:rPr>
                <w:rFonts w:cstheme="minorBidi"/>
                <w:b/>
                <w:lang w:val="hu-HU"/>
              </w:rPr>
            </w:pPr>
            <w:r>
              <w:rPr>
                <w:rFonts w:eastAsia="Times New Roman" w:cs="Arial"/>
                <w:b/>
                <w:bCs/>
                <w:lang w:val="hu-HU"/>
              </w:rPr>
              <w:t xml:space="preserve">Válassza ki </w:t>
            </w:r>
            <w:r>
              <w:rPr>
                <w:rFonts w:eastAsia="Times New Roman"/>
                <w:b/>
                <w:bCs/>
                <w:lang w:val="hu-HU"/>
              </w:rPr>
              <w:t>a megfelelő injekció beadási helyet</w:t>
            </w:r>
          </w:p>
          <w:p w14:paraId="5950BD96" w14:textId="77777777" w:rsidR="007561B4" w:rsidRDefault="007561B4" w:rsidP="00CC2E43">
            <w:pPr>
              <w:pStyle w:val="a3"/>
              <w:rPr>
                <w:lang w:val="hu-HU"/>
              </w:rPr>
            </w:pPr>
          </w:p>
          <w:p w14:paraId="09861935" w14:textId="77777777" w:rsidR="007561B4" w:rsidRDefault="007561B4" w:rsidP="00CC2E43">
            <w:pPr>
              <w:pStyle w:val="a3"/>
              <w:rPr>
                <w:lang w:val="hu-HU"/>
              </w:rPr>
            </w:pPr>
            <w:r>
              <w:rPr>
                <w:rFonts w:eastAsia="Times New Roman"/>
                <w:b/>
                <w:bCs/>
                <w:lang w:val="hu-HU"/>
              </w:rPr>
              <w:t xml:space="preserve">a. </w:t>
            </w:r>
            <w:r w:rsidRPr="001E2F31">
              <w:rPr>
                <w:rFonts w:eastAsia="Times New Roman"/>
                <w:bCs/>
                <w:lang w:val="hu-HU"/>
              </w:rPr>
              <w:t>B</w:t>
            </w:r>
            <w:r w:rsidRPr="00010223">
              <w:rPr>
                <w:rFonts w:eastAsia="Times New Roman"/>
                <w:lang w:val="hu-HU"/>
              </w:rPr>
              <w:t>e</w:t>
            </w:r>
            <w:r>
              <w:rPr>
                <w:rFonts w:eastAsia="Times New Roman"/>
                <w:lang w:val="hu-HU"/>
              </w:rPr>
              <w:t>adhatja az injekciót:</w:t>
            </w:r>
          </w:p>
          <w:p w14:paraId="7881C770" w14:textId="77777777" w:rsidR="007561B4" w:rsidRDefault="007561B4" w:rsidP="00CC2E43">
            <w:pPr>
              <w:pStyle w:val="a3"/>
              <w:rPr>
                <w:lang w:val="hu-HU"/>
              </w:rPr>
            </w:pPr>
            <w:r>
              <w:rPr>
                <w:rFonts w:eastAsia="Times New Roman"/>
                <w:lang w:val="hu-HU"/>
              </w:rPr>
              <w:t>- a comb elülső részébe.</w:t>
            </w:r>
          </w:p>
          <w:p w14:paraId="25CD14F1" w14:textId="2EDC00F5" w:rsidR="007561B4" w:rsidRDefault="007561B4" w:rsidP="00CC2E43">
            <w:pPr>
              <w:pStyle w:val="a3"/>
              <w:rPr>
                <w:lang w:val="hu-HU"/>
              </w:rPr>
            </w:pPr>
            <w:r>
              <w:rPr>
                <w:rFonts w:eastAsia="Times New Roman"/>
                <w:lang w:val="hu-HU"/>
              </w:rPr>
              <w:t xml:space="preserve">- a </w:t>
            </w:r>
            <w:r w:rsidR="00D436BA" w:rsidRPr="00D436BA">
              <w:rPr>
                <w:rFonts w:eastAsia="Times New Roman"/>
                <w:lang w:val="hu-HU"/>
              </w:rPr>
              <w:t>gyermeke</w:t>
            </w:r>
            <w:r w:rsidR="00D436BA">
              <w:rPr>
                <w:rFonts w:eastAsia="Times New Roman"/>
                <w:lang w:val="hu-HU"/>
              </w:rPr>
              <w:t xml:space="preserve"> </w:t>
            </w:r>
            <w:r>
              <w:rPr>
                <w:rFonts w:eastAsia="Times New Roman"/>
                <w:lang w:val="hu-HU"/>
              </w:rPr>
              <w:t xml:space="preserve">hasába, </w:t>
            </w:r>
            <w:r w:rsidRPr="00FC2FC3">
              <w:rPr>
                <w:rFonts w:eastAsia="Times New Roman"/>
                <w:lang w:val="hu-HU"/>
              </w:rPr>
              <w:t>kivéve</w:t>
            </w:r>
            <w:r>
              <w:rPr>
                <w:rFonts w:eastAsia="Times New Roman"/>
                <w:lang w:val="hu-HU"/>
              </w:rPr>
              <w:t xml:space="preserve"> a köldök körüli 5 cm-es területet.</w:t>
            </w:r>
          </w:p>
          <w:p w14:paraId="47A921C4" w14:textId="77777777" w:rsidR="007561B4" w:rsidRDefault="007561B4" w:rsidP="00CC2E43">
            <w:pPr>
              <w:pStyle w:val="a3"/>
              <w:rPr>
                <w:lang w:val="hu-HU"/>
              </w:rPr>
            </w:pPr>
            <w:r>
              <w:rPr>
                <w:rFonts w:eastAsia="Times New Roman"/>
                <w:lang w:val="hu-HU"/>
              </w:rPr>
              <w:t>- a felkar külső részébe (KIZÁRÓLAG akkor, ha Ön gondozó).</w:t>
            </w:r>
          </w:p>
          <w:p w14:paraId="3E81293B" w14:textId="77777777" w:rsidR="007561B4" w:rsidRDefault="007561B4" w:rsidP="00CC2E43">
            <w:pPr>
              <w:pStyle w:val="a3"/>
              <w:rPr>
                <w:lang w:val="hu-HU"/>
              </w:rPr>
            </w:pPr>
          </w:p>
          <w:p w14:paraId="7C178BC8" w14:textId="77777777" w:rsidR="007561B4" w:rsidRDefault="007561B4" w:rsidP="00CC2E43">
            <w:pPr>
              <w:pStyle w:val="a3"/>
              <w:numPr>
                <w:ilvl w:val="0"/>
                <w:numId w:val="17"/>
              </w:numPr>
              <w:ind w:left="3449" w:hanging="3449"/>
              <w:rPr>
                <w:lang w:val="hu-HU"/>
              </w:rPr>
            </w:pPr>
            <w:r>
              <w:rPr>
                <w:rFonts w:eastAsia="Times New Roman"/>
                <w:b/>
                <w:bCs/>
                <w:lang w:val="hu-HU"/>
              </w:rPr>
              <w:t>Ne</w:t>
            </w:r>
            <w:r>
              <w:rPr>
                <w:rFonts w:eastAsia="Times New Roman"/>
                <w:lang w:val="hu-HU"/>
              </w:rPr>
              <w:t xml:space="preserve"> adja be az injekciót olyan bőrterületbe, amely kevesebb mint 5 cm-re található a köldöktől vagy bepirosodott, kemény, érzékeny, sérült, véraláfutásos vagy heges.</w:t>
            </w:r>
          </w:p>
          <w:p w14:paraId="2E5A5F35" w14:textId="1121E50C" w:rsidR="007561B4" w:rsidRDefault="007561B4" w:rsidP="00CC2E43">
            <w:pPr>
              <w:pStyle w:val="a3"/>
              <w:numPr>
                <w:ilvl w:val="0"/>
                <w:numId w:val="17"/>
              </w:numPr>
              <w:ind w:left="3449" w:hanging="3449"/>
              <w:rPr>
                <w:lang w:val="hu-HU"/>
              </w:rPr>
            </w:pPr>
            <w:r>
              <w:rPr>
                <w:rFonts w:eastAsia="Times New Roman"/>
                <w:lang w:val="hu-HU"/>
              </w:rPr>
              <w:t xml:space="preserve">Ha </w:t>
            </w:r>
            <w:r w:rsidR="005930B5" w:rsidRPr="005930B5">
              <w:rPr>
                <w:rFonts w:eastAsia="Times New Roman"/>
                <w:lang w:val="hu-HU"/>
              </w:rPr>
              <w:t>gyermeke</w:t>
            </w:r>
            <w:r w:rsidR="005930B5">
              <w:rPr>
                <w:rFonts w:eastAsia="Times New Roman"/>
                <w:lang w:val="hu-HU"/>
              </w:rPr>
              <w:t xml:space="preserve"> </w:t>
            </w:r>
            <w:r>
              <w:rPr>
                <w:rFonts w:eastAsia="Times New Roman"/>
                <w:lang w:val="hu-HU"/>
              </w:rPr>
              <w:t xml:space="preserve">pikkelysömörben szenved, </w:t>
            </w:r>
            <w:r>
              <w:rPr>
                <w:rFonts w:eastAsia="Times New Roman"/>
                <w:b/>
                <w:bCs/>
                <w:lang w:val="hu-HU"/>
              </w:rPr>
              <w:t>ne</w:t>
            </w:r>
            <w:r>
              <w:rPr>
                <w:rFonts w:eastAsia="Times New Roman"/>
                <w:lang w:val="hu-HU"/>
              </w:rPr>
              <w:t xml:space="preserve"> adja be közvetlenül az injekciót kiemelkedő, megvastagodott, piros vagy pikkelyesen hámló foltok, illetve bőrelváltozások területén.</w:t>
            </w:r>
          </w:p>
          <w:p w14:paraId="5C034F4A" w14:textId="77777777" w:rsidR="007561B4" w:rsidRDefault="007561B4" w:rsidP="00CC2E43">
            <w:pPr>
              <w:pStyle w:val="a3"/>
              <w:numPr>
                <w:ilvl w:val="0"/>
                <w:numId w:val="17"/>
              </w:numPr>
              <w:ind w:left="3449" w:hanging="3449"/>
              <w:rPr>
                <w:lang w:val="hu-HU"/>
              </w:rPr>
            </w:pPr>
            <w:r>
              <w:rPr>
                <w:rFonts w:eastAsia="Times New Roman"/>
                <w:b/>
                <w:bCs/>
                <w:lang w:val="hu-HU"/>
              </w:rPr>
              <w:t>Ne</w:t>
            </w:r>
            <w:r>
              <w:rPr>
                <w:rFonts w:eastAsia="Times New Roman"/>
                <w:lang w:val="hu-HU"/>
              </w:rPr>
              <w:t xml:space="preserve"> ruhán keresztül adja be az injekciót</w:t>
            </w:r>
          </w:p>
          <w:p w14:paraId="0605BE53" w14:textId="77777777" w:rsidR="007561B4" w:rsidRDefault="007561B4" w:rsidP="00CC2E43">
            <w:pPr>
              <w:pStyle w:val="a3"/>
              <w:rPr>
                <w:lang w:val="hu-HU"/>
              </w:rPr>
            </w:pPr>
          </w:p>
          <w:p w14:paraId="256333F8" w14:textId="77777777" w:rsidR="007561B4" w:rsidRDefault="007561B4" w:rsidP="00CC2E43">
            <w:pPr>
              <w:pStyle w:val="a3"/>
              <w:rPr>
                <w:lang w:val="hu-HU"/>
              </w:rPr>
            </w:pPr>
            <w:r>
              <w:rPr>
                <w:rFonts w:eastAsia="Times New Roman"/>
                <w:b/>
                <w:bCs/>
                <w:lang w:val="hu-HU"/>
              </w:rPr>
              <w:t xml:space="preserve">b. </w:t>
            </w:r>
            <w:r>
              <w:rPr>
                <w:rFonts w:eastAsia="Times New Roman"/>
                <w:lang w:val="hu-HU"/>
              </w:rPr>
              <w:t>Minden alkalommal, amikor injekciót ad be, váltogassa az injekció beadásának helyét. Mindegyik  új injekció beadási helynek legalább 3 cm-re kell lennie az előzőleg beadott injekció beadási helyétől.</w:t>
            </w:r>
          </w:p>
        </w:tc>
      </w:tr>
      <w:tr w:rsidR="007561B4" w:rsidRPr="00BE4D18" w14:paraId="02906112" w14:textId="77777777" w:rsidTr="00CC2E43">
        <w:trPr>
          <w:trHeight w:val="5945"/>
        </w:trPr>
        <w:tc>
          <w:tcPr>
            <w:tcW w:w="9550" w:type="dxa"/>
          </w:tcPr>
          <w:p w14:paraId="0C802E33" w14:textId="77777777" w:rsidR="007561B4" w:rsidRDefault="007561B4" w:rsidP="00CC2E43">
            <w:pPr>
              <w:pStyle w:val="1"/>
              <w:spacing w:before="76"/>
              <w:ind w:left="0" w:right="2736"/>
              <w:rPr>
                <w:rFonts w:eastAsiaTheme="minorEastAsia"/>
                <w:lang w:val="hu-HU" w:eastAsia="ko-KR"/>
              </w:rPr>
            </w:pPr>
          </w:p>
          <w:p w14:paraId="2C790FBA" w14:textId="77777777" w:rsidR="007561B4" w:rsidRDefault="007561B4" w:rsidP="00CC2E43">
            <w:pPr>
              <w:pStyle w:val="1"/>
              <w:spacing w:before="76"/>
              <w:ind w:left="0" w:right="2736"/>
              <w:rPr>
                <w:rFonts w:eastAsiaTheme="minorEastAsia"/>
                <w:lang w:val="hu-HU" w:eastAsia="ko-KR"/>
              </w:rPr>
            </w:pPr>
            <w:r>
              <w:rPr>
                <w:rFonts w:eastAsiaTheme="minorEastAsia"/>
                <w:noProof/>
                <w:lang w:eastAsia="ko-KR"/>
              </w:rPr>
              <mc:AlternateContent>
                <mc:Choice Requires="wpg">
                  <w:drawing>
                    <wp:anchor distT="0" distB="0" distL="114300" distR="114300" simplePos="0" relativeHeight="251667540" behindDoc="0" locked="0" layoutInCell="1" allowOverlap="1" wp14:anchorId="65D5B1E6" wp14:editId="5216B16D">
                      <wp:simplePos x="0" y="0"/>
                      <wp:positionH relativeFrom="column">
                        <wp:posOffset>-17780</wp:posOffset>
                      </wp:positionH>
                      <wp:positionV relativeFrom="paragraph">
                        <wp:posOffset>98425</wp:posOffset>
                      </wp:positionV>
                      <wp:extent cx="2175510" cy="2872105"/>
                      <wp:effectExtent l="0" t="0" r="0" b="4445"/>
                      <wp:wrapSquare wrapText="bothSides"/>
                      <wp:docPr id="3912" name="그룹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75510" cy="2872105"/>
                                <a:chOff x="0" y="0"/>
                                <a:chExt cx="2407920" cy="3092450"/>
                              </a:xfrm>
                            </wpg:grpSpPr>
                            <pic:pic xmlns:pic="http://schemas.openxmlformats.org/drawingml/2006/picture">
                              <pic:nvPicPr>
                                <pic:cNvPr id="3913" name="그림 59"/>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3914" name="Text Box 47"/>
                              <wps:cNvSpPr txBox="1"/>
                              <wps:spPr>
                                <a:xfrm>
                                  <a:off x="1670050" y="2946400"/>
                                  <a:ext cx="719758" cy="146050"/>
                                </a:xfrm>
                                <a:prstGeom prst="rect">
                                  <a:avLst/>
                                </a:prstGeom>
                                <a:solidFill>
                                  <a:prstClr val="white"/>
                                </a:solidFill>
                                <a:ln>
                                  <a:noFill/>
                                </a:ln>
                              </wps:spPr>
                              <wps:txbx>
                                <w:txbxContent>
                                  <w:p w14:paraId="71FFBDBA" w14:textId="77777777" w:rsidR="004A2986" w:rsidRDefault="004A2986" w:rsidP="007561B4">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F. </w:t>
                                    </w:r>
                                    <w:r>
                                      <w:rPr>
                                        <w:rFonts w:ascii="Times New Roman" w:eastAsia="Times New Roman" w:hAnsi="Times New Roman" w:cs="Times New Roman"/>
                                        <w:lang w:val="hu-HU"/>
                                      </w:rPr>
                                      <w:t>ábra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5D5B1E6" id="_x0000_s1257" style="position:absolute;margin-left:-1.4pt;margin-top:7.75pt;width:171.3pt;height:226.15pt;z-index:251667540"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icyVu6kcEeDMAADPRj&#10;IIvHmRxf9PMFtsSWMAADLQayeJzJW7qRwR4MwAAM9GMgi8eZHF/08wW2xJYwAAMtBrJ4nMlbupHB&#10;HgzAAA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">
                      <v:shape id="그림 59" o:spid="_x0000_s1258"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">
                        <v:imagedata r:id="rId37" o:title=""/>
                      </v:shape>
                      <v:shape id="Text Box 47" o:spid="_x0000_s1259"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" stroked="f">
                        <v:textbox inset="0,0,0,0">
                          <w:txbxContent>
                            <w:p w14:paraId="71FFBDBA" w14:textId="77777777" w:rsidR="004A2986" w:rsidRDefault="004A2986" w:rsidP="007561B4">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F. </w:t>
                              </w:r>
                              <w:r>
                                <w:rPr>
                                  <w:rFonts w:ascii="Times New Roman" w:eastAsia="Times New Roman" w:hAnsi="Times New Roman" w:cs="Times New Roman"/>
                                  <w:lang w:val="hu-HU"/>
                                </w:rPr>
                                <w:t>ábra</w:t>
                              </w:r>
                            </w:p>
                          </w:txbxContent>
                        </v:textbox>
                      </v:shape>
                      <w10:wrap type="square"/>
                    </v:group>
                  </w:pict>
                </mc:Fallback>
              </mc:AlternateContent>
            </w:r>
          </w:p>
          <w:p w14:paraId="3B5D2B10" w14:textId="77777777" w:rsidR="007561B4" w:rsidRDefault="007561B4" w:rsidP="00FD05AA">
            <w:pPr>
              <w:pStyle w:val="a3"/>
              <w:numPr>
                <w:ilvl w:val="0"/>
                <w:numId w:val="80"/>
              </w:numPr>
              <w:rPr>
                <w:lang w:val="hu-HU"/>
              </w:rPr>
            </w:pPr>
            <w:r>
              <w:rPr>
                <w:rFonts w:eastAsia="Times New Roman"/>
                <w:b/>
                <w:bCs/>
                <w:lang w:val="hu-HU"/>
              </w:rPr>
              <w:t>Mosson kezet</w:t>
            </w:r>
          </w:p>
          <w:p w14:paraId="0049CC26" w14:textId="77777777" w:rsidR="007561B4" w:rsidRDefault="007561B4" w:rsidP="00CC2E43">
            <w:pPr>
              <w:pStyle w:val="a3"/>
              <w:numPr>
                <w:ilvl w:val="0"/>
                <w:numId w:val="0"/>
              </w:numPr>
              <w:ind w:left="471"/>
              <w:rPr>
                <w:lang w:val="hu-HU"/>
              </w:rPr>
            </w:pPr>
          </w:p>
          <w:p w14:paraId="2A297E49" w14:textId="77777777" w:rsidR="007561B4" w:rsidRDefault="007561B4" w:rsidP="00FD05AA">
            <w:pPr>
              <w:pStyle w:val="a3"/>
              <w:numPr>
                <w:ilvl w:val="0"/>
                <w:numId w:val="46"/>
              </w:numPr>
              <w:ind w:left="4590" w:hanging="4275"/>
              <w:rPr>
                <w:lang w:val="hu-HU"/>
              </w:rPr>
            </w:pPr>
            <w:r>
              <w:rPr>
                <w:lang w:val="hu-HU"/>
              </w:rPr>
              <w:t>Alaposan mossa meg a kezét szappannal és vízzel, és szárítsa meg.</w:t>
            </w:r>
          </w:p>
          <w:p w14:paraId="14DE7E01" w14:textId="77777777" w:rsidR="007561B4" w:rsidRDefault="007561B4" w:rsidP="00CC2E43">
            <w:pPr>
              <w:pStyle w:val="a3"/>
              <w:rPr>
                <w:lang w:val="hu-HU"/>
              </w:rPr>
            </w:pPr>
          </w:p>
          <w:p w14:paraId="3694B92A" w14:textId="77777777" w:rsidR="007561B4" w:rsidRDefault="007561B4" w:rsidP="00CC2E43">
            <w:pPr>
              <w:spacing w:line="252" w:lineRule="exact"/>
              <w:rPr>
                <w:lang w:val="hu-HU"/>
              </w:rPr>
            </w:pPr>
          </w:p>
        </w:tc>
      </w:tr>
      <w:tr w:rsidR="007561B4" w:rsidRPr="00BE4D18" w14:paraId="254C5953" w14:textId="77777777" w:rsidTr="00CC2E43">
        <w:trPr>
          <w:trHeight w:val="5945"/>
        </w:trPr>
        <w:tc>
          <w:tcPr>
            <w:tcW w:w="9550" w:type="dxa"/>
          </w:tcPr>
          <w:p w14:paraId="77E896B9" w14:textId="77777777" w:rsidR="007561B4" w:rsidRDefault="007561B4" w:rsidP="00CC2E43">
            <w:pPr>
              <w:ind w:left="104"/>
              <w:rPr>
                <w:rFonts w:asciiTheme="majorBidi" w:eastAsia="Times New Roman" w:hAnsiTheme="majorBidi" w:cstheme="majorBidi"/>
                <w:b/>
                <w:bCs/>
                <w:spacing w:val="-1"/>
                <w:lang w:val="hu-HU"/>
              </w:rPr>
            </w:pPr>
          </w:p>
          <w:p w14:paraId="30EB3757" w14:textId="77777777" w:rsidR="007561B4" w:rsidRDefault="007561B4" w:rsidP="00CC2E43">
            <w:pPr>
              <w:pStyle w:val="a3"/>
              <w:rPr>
                <w:rFonts w:asciiTheme="majorBidi" w:hAnsiTheme="majorBidi" w:cstheme="majorBidi"/>
                <w:lang w:val="hu-HU"/>
              </w:rPr>
            </w:pPr>
          </w:p>
          <w:p w14:paraId="4AB6C006" w14:textId="77777777" w:rsidR="007561B4" w:rsidRDefault="007561B4" w:rsidP="00CC2E43">
            <w:pPr>
              <w:pStyle w:val="a3"/>
              <w:rPr>
                <w:rFonts w:asciiTheme="majorBidi" w:hAnsiTheme="majorBidi" w:cstheme="majorBidi"/>
                <w:lang w:val="hu-HU"/>
              </w:rPr>
            </w:pPr>
            <w:r>
              <w:rPr>
                <w:rFonts w:asciiTheme="majorBidi" w:hAnsiTheme="majorBidi" w:cstheme="majorBidi"/>
                <w:noProof/>
                <w:lang w:eastAsia="ko-KR"/>
              </w:rPr>
              <mc:AlternateContent>
                <mc:Choice Requires="wpg">
                  <w:drawing>
                    <wp:anchor distT="0" distB="0" distL="114300" distR="114300" simplePos="0" relativeHeight="251668564" behindDoc="0" locked="0" layoutInCell="1" allowOverlap="1" wp14:anchorId="4BA17984" wp14:editId="0CBF8B68">
                      <wp:simplePos x="0" y="0"/>
                      <wp:positionH relativeFrom="column">
                        <wp:posOffset>74295</wp:posOffset>
                      </wp:positionH>
                      <wp:positionV relativeFrom="paragraph">
                        <wp:posOffset>139065</wp:posOffset>
                      </wp:positionV>
                      <wp:extent cx="2256155" cy="2921000"/>
                      <wp:effectExtent l="0" t="0" r="0" b="0"/>
                      <wp:wrapSquare wrapText="bothSides"/>
                      <wp:docPr id="3915" name="그룹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56155" cy="2921000"/>
                                <a:chOff x="0" y="0"/>
                                <a:chExt cx="2256458" cy="2921000"/>
                              </a:xfrm>
                            </wpg:grpSpPr>
                            <pic:pic xmlns:pic="http://schemas.openxmlformats.org/drawingml/2006/picture">
                              <pic:nvPicPr>
                                <pic:cNvPr id="3916" name="그림 13"/>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3917" name="Text Box 49"/>
                              <wps:cNvSpPr txBox="1"/>
                              <wps:spPr>
                                <a:xfrm>
                                  <a:off x="1536700" y="2774950"/>
                                  <a:ext cx="719758" cy="146050"/>
                                </a:xfrm>
                                <a:prstGeom prst="rect">
                                  <a:avLst/>
                                </a:prstGeom>
                                <a:solidFill>
                                  <a:prstClr val="white"/>
                                </a:solidFill>
                                <a:ln>
                                  <a:noFill/>
                                </a:ln>
                              </wps:spPr>
                              <wps:txbx>
                                <w:txbxContent>
                                  <w:p w14:paraId="5E85D942" w14:textId="77777777" w:rsidR="004A2986" w:rsidRDefault="004A2986" w:rsidP="007561B4">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G. </w:t>
                                    </w:r>
                                    <w:r>
                                      <w:rPr>
                                        <w:rFonts w:ascii="Times New Roman" w:eastAsia="Times New Roman" w:hAnsi="Times New Roman" w:cs="Times New Roman"/>
                                        <w:lang w:val="hu-HU"/>
                                      </w:rPr>
                                      <w:t>ábra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4BA17984" id="_x0000_s1260" style="position:absolute;margin-left:5.85pt;margin-top:10.95pt;width:177.65pt;height:230pt;z-index:251668564"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">
                      <v:shape id="그림 13" o:spid="_x0000_s1261"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">
                        <v:imagedata r:id="rId39" o:title=""/>
                      </v:shape>
                      <v:shape id="Text Box 49" o:spid="_x0000_s1262"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" stroked="f">
                        <v:textbox style="mso-fit-shape-to-text:t" inset="0,0,0,0">
                          <w:txbxContent>
                            <w:p w14:paraId="5E85D942" w14:textId="77777777" w:rsidR="004A2986" w:rsidRDefault="004A2986" w:rsidP="007561B4">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G. </w:t>
                              </w:r>
                              <w:r>
                                <w:rPr>
                                  <w:rFonts w:ascii="Times New Roman" w:eastAsia="Times New Roman" w:hAnsi="Times New Roman" w:cs="Times New Roman"/>
                                  <w:lang w:val="hu-HU"/>
                                </w:rPr>
                                <w:t>ábra</w:t>
                              </w:r>
                            </w:p>
                          </w:txbxContent>
                        </v:textbox>
                      </v:shape>
                      <w10:wrap type="square"/>
                    </v:group>
                  </w:pict>
                </mc:Fallback>
              </mc:AlternateContent>
            </w:r>
          </w:p>
          <w:p w14:paraId="5FF18197" w14:textId="77777777" w:rsidR="007561B4" w:rsidRDefault="007561B4" w:rsidP="00CC2E43">
            <w:pPr>
              <w:pStyle w:val="a3"/>
              <w:rPr>
                <w:rFonts w:asciiTheme="majorBidi" w:hAnsiTheme="majorBidi" w:cstheme="majorBidi"/>
                <w:lang w:val="hu-HU"/>
              </w:rPr>
            </w:pPr>
          </w:p>
          <w:p w14:paraId="4F056EC6" w14:textId="77777777" w:rsidR="007561B4" w:rsidRDefault="007561B4" w:rsidP="00FD05AA">
            <w:pPr>
              <w:pStyle w:val="a3"/>
              <w:numPr>
                <w:ilvl w:val="0"/>
                <w:numId w:val="80"/>
              </w:numPr>
              <w:rPr>
                <w:rFonts w:asciiTheme="majorBidi" w:hAnsiTheme="majorBidi" w:cstheme="majorBidi"/>
                <w:b/>
                <w:lang w:val="hu-HU"/>
              </w:rPr>
            </w:pPr>
            <w:r>
              <w:rPr>
                <w:rFonts w:asciiTheme="majorBidi" w:eastAsia="Times New Roman" w:hAnsiTheme="majorBidi" w:cstheme="majorBidi"/>
                <w:b/>
                <w:bCs/>
                <w:lang w:val="hu-HU"/>
              </w:rPr>
              <w:t>Tisztítsa meg az injekció beadási helyét</w:t>
            </w:r>
          </w:p>
          <w:p w14:paraId="1E777182" w14:textId="77777777" w:rsidR="007561B4" w:rsidRDefault="007561B4" w:rsidP="00CC2E43">
            <w:pPr>
              <w:pStyle w:val="a3"/>
              <w:rPr>
                <w:rFonts w:asciiTheme="majorBidi" w:hAnsiTheme="majorBidi" w:cstheme="majorBidi"/>
                <w:lang w:val="hu-HU"/>
              </w:rPr>
            </w:pPr>
          </w:p>
          <w:p w14:paraId="674A37F4" w14:textId="77777777" w:rsidR="007561B4" w:rsidRDefault="007561B4" w:rsidP="00CC2E43">
            <w:pPr>
              <w:pStyle w:val="a3"/>
              <w:numPr>
                <w:ilvl w:val="0"/>
                <w:numId w:val="0"/>
              </w:numPr>
              <w:ind w:left="720"/>
              <w:rPr>
                <w:rFonts w:asciiTheme="majorBidi" w:hAnsiTheme="majorBidi" w:cstheme="majorBidi"/>
                <w:lang w:val="hu-HU"/>
              </w:rPr>
            </w:pPr>
            <w:r>
              <w:rPr>
                <w:rFonts w:asciiTheme="majorBidi" w:eastAsia="Times New Roman" w:hAnsiTheme="majorBidi" w:cstheme="majorBidi"/>
                <w:b/>
                <w:bCs/>
                <w:lang w:val="hu-HU"/>
              </w:rPr>
              <w:t xml:space="preserve">a. </w:t>
            </w:r>
            <w:r w:rsidRPr="00DA48CC">
              <w:rPr>
                <w:rFonts w:eastAsia="TimesNewRomanPSMT"/>
                <w:lang w:val="hu-HU"/>
              </w:rPr>
              <w:t>T</w:t>
            </w:r>
            <w:r w:rsidRPr="00DA48CC">
              <w:rPr>
                <w:rFonts w:eastAsia="TimesNewRomanPSMT" w:hint="eastAsia"/>
                <w:lang w:val="hu-HU"/>
              </w:rPr>
              <w:t>ö</w:t>
            </w:r>
            <w:r w:rsidRPr="00DA48CC">
              <w:rPr>
                <w:rFonts w:eastAsia="TimesNewRomanPSMT"/>
                <w:lang w:val="hu-HU"/>
              </w:rPr>
              <w:t>r</w:t>
            </w:r>
            <w:r w:rsidRPr="00DA48CC">
              <w:rPr>
                <w:rFonts w:eastAsia="TimesNewRomanPSMT" w:hint="eastAsia"/>
                <w:lang w:val="hu-HU"/>
              </w:rPr>
              <w:t>ö</w:t>
            </w:r>
            <w:r w:rsidRPr="00DA48CC">
              <w:rPr>
                <w:rFonts w:eastAsia="TimesNewRomanPSMT"/>
                <w:lang w:val="hu-HU"/>
              </w:rPr>
              <w:t>lje le a</w:t>
            </w:r>
            <w:r>
              <w:rPr>
                <w:rFonts w:asciiTheme="majorBidi" w:eastAsia="Times New Roman" w:hAnsiTheme="majorBidi" w:cstheme="majorBidi"/>
                <w:lang w:val="hu-HU"/>
              </w:rPr>
              <w:t xml:space="preserve"> az injekció beadási helyét alkoholos törlővel körkörös mozdulattal.</w:t>
            </w:r>
          </w:p>
          <w:p w14:paraId="25518088" w14:textId="77777777" w:rsidR="007561B4" w:rsidRDefault="007561B4" w:rsidP="00CC2E43">
            <w:pPr>
              <w:pStyle w:val="a3"/>
              <w:rPr>
                <w:rFonts w:asciiTheme="majorBidi" w:hAnsiTheme="majorBidi" w:cstheme="majorBidi"/>
                <w:lang w:val="hu-HU"/>
              </w:rPr>
            </w:pPr>
            <w:r>
              <w:rPr>
                <w:rFonts w:asciiTheme="majorBidi" w:eastAsia="Times New Roman" w:hAnsiTheme="majorBidi" w:cstheme="majorBidi"/>
                <w:b/>
                <w:bCs/>
                <w:lang w:val="hu-HU"/>
              </w:rPr>
              <w:t xml:space="preserve">b. </w:t>
            </w:r>
            <w:r>
              <w:rPr>
                <w:rFonts w:asciiTheme="majorBidi" w:eastAsia="Times New Roman" w:hAnsiTheme="majorBidi" w:cstheme="majorBidi"/>
                <w:lang w:val="hu-HU"/>
              </w:rPr>
              <w:t>Az injekció beadása előtt hagyja a bőrt megszáradni.</w:t>
            </w:r>
          </w:p>
          <w:p w14:paraId="42BCA2AB" w14:textId="77777777" w:rsidR="007561B4" w:rsidRDefault="007561B4" w:rsidP="00CC2E43">
            <w:pPr>
              <w:pStyle w:val="a3"/>
              <w:rPr>
                <w:rFonts w:asciiTheme="majorBidi" w:hAnsiTheme="majorBidi" w:cstheme="majorBidi"/>
                <w:lang w:val="hu-HU"/>
              </w:rPr>
            </w:pPr>
          </w:p>
          <w:p w14:paraId="59B95BFA" w14:textId="77777777" w:rsidR="007561B4" w:rsidRDefault="007561B4" w:rsidP="00CC2E43">
            <w:pPr>
              <w:pStyle w:val="a3"/>
              <w:rPr>
                <w:rFonts w:asciiTheme="majorBidi" w:hAnsiTheme="majorBidi" w:cstheme="majorBidi"/>
                <w:lang w:val="hu-HU"/>
              </w:rPr>
            </w:pPr>
          </w:p>
          <w:p w14:paraId="370A6834" w14:textId="5A193AC5" w:rsidR="007561B4" w:rsidRDefault="007561B4" w:rsidP="00CC2E43">
            <w:pPr>
              <w:rPr>
                <w:rFonts w:asciiTheme="majorBidi" w:hAnsiTheme="majorBidi" w:cstheme="majorBidi"/>
                <w:lang w:val="hu-HU"/>
              </w:rPr>
            </w:pPr>
            <w:r>
              <w:rPr>
                <w:rFonts w:asciiTheme="majorBidi" w:eastAsia="맑은 고딕" w:hAnsiTheme="majorBidi" w:cstheme="majorBidi"/>
                <w:lang w:val="hu-HU"/>
              </w:rPr>
              <w:t>•</w:t>
            </w:r>
            <w:r>
              <w:rPr>
                <w:rFonts w:asciiTheme="majorBidi" w:eastAsia="Calibri" w:hAnsiTheme="majorBidi" w:cstheme="majorBidi"/>
                <w:lang w:val="hu-HU"/>
              </w:rPr>
              <w:t xml:space="preserve"> Az injekció beadása előtt </w:t>
            </w:r>
            <w:r>
              <w:rPr>
                <w:rFonts w:asciiTheme="majorBidi" w:eastAsia="Times New Roman" w:hAnsiTheme="majorBidi" w:cstheme="majorBidi"/>
                <w:b/>
                <w:bCs/>
                <w:lang w:val="hu-HU"/>
              </w:rPr>
              <w:t>ne</w:t>
            </w:r>
            <w:r>
              <w:rPr>
                <w:rFonts w:asciiTheme="majorBidi" w:eastAsia="Times New Roman" w:hAnsiTheme="majorBidi" w:cstheme="majorBidi"/>
                <w:lang w:val="hu-HU"/>
              </w:rPr>
              <w:t xml:space="preserve"> fújjon rá vagy érintse meg újra az</w:t>
            </w:r>
            <w:r w:rsidR="00947A70">
              <w:rPr>
                <w:rFonts w:asciiTheme="majorBidi" w:eastAsia="Times New Roman" w:hAnsiTheme="majorBidi" w:cstheme="majorBidi"/>
                <w:lang w:val="hu-HU"/>
              </w:rPr>
              <w:t xml:space="preserve"> </w:t>
            </w:r>
            <w:r>
              <w:rPr>
                <w:rFonts w:asciiTheme="majorBidi" w:eastAsia="Times New Roman" w:hAnsiTheme="majorBidi" w:cstheme="majorBidi"/>
                <w:lang w:val="hu-HU"/>
              </w:rPr>
              <w:t>injekció beadásának helyét.</w:t>
            </w:r>
          </w:p>
        </w:tc>
      </w:tr>
      <w:tr w:rsidR="007561B4" w:rsidRPr="00BE4D18" w14:paraId="2E0169E1" w14:textId="77777777" w:rsidTr="00CC2E43">
        <w:trPr>
          <w:trHeight w:val="5945"/>
        </w:trPr>
        <w:tc>
          <w:tcPr>
            <w:tcW w:w="9550" w:type="dxa"/>
          </w:tcPr>
          <w:p w14:paraId="7D0B9519" w14:textId="77777777" w:rsidR="007561B4" w:rsidRDefault="007561B4" w:rsidP="00CC2E43">
            <w:pPr>
              <w:pStyle w:val="Default"/>
              <w:rPr>
                <w:lang w:val="hu-HU"/>
              </w:rPr>
            </w:pPr>
          </w:p>
          <w:p w14:paraId="4063D904" w14:textId="77777777" w:rsidR="007561B4" w:rsidRDefault="007561B4" w:rsidP="00CC2E43">
            <w:pPr>
              <w:pStyle w:val="Default"/>
              <w:rPr>
                <w:lang w:val="hu-HU"/>
              </w:rPr>
            </w:pPr>
            <w:r>
              <w:rPr>
                <w:noProof/>
                <w:lang w:eastAsia="ko-KR"/>
              </w:rPr>
              <mc:AlternateContent>
                <mc:Choice Requires="wpg">
                  <w:drawing>
                    <wp:anchor distT="0" distB="0" distL="114300" distR="114300" simplePos="0" relativeHeight="251704404" behindDoc="0" locked="0" layoutInCell="1" allowOverlap="1" wp14:anchorId="2B53CF14" wp14:editId="1513AEF0">
                      <wp:simplePos x="0" y="0"/>
                      <wp:positionH relativeFrom="column">
                        <wp:posOffset>48895</wp:posOffset>
                      </wp:positionH>
                      <wp:positionV relativeFrom="paragraph">
                        <wp:posOffset>76835</wp:posOffset>
                      </wp:positionV>
                      <wp:extent cx="2370455" cy="3054350"/>
                      <wp:effectExtent l="0" t="0" r="0" b="0"/>
                      <wp:wrapSquare wrapText="bothSides"/>
                      <wp:docPr id="3918" name="그룹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5355" cy="3054350"/>
                                <a:chOff x="25" y="0"/>
                                <a:chExt cx="23653" cy="30543"/>
                              </a:xfrm>
                            </wpg:grpSpPr>
                            <pic:pic xmlns:pic="http://schemas.openxmlformats.org/drawingml/2006/picture">
                              <pic:nvPicPr>
                                <pic:cNvPr id="3919" name="그림 61"/>
                                <pic:cNvPicPr>
                                  <a:picLocks noChangeAspect="1"/>
                                </pic:cNvPicPr>
                              </pic:nvPicPr>
                              <pic:blipFill>
                                <a:blip r:embed="rId172" cstate="print">
                                  <a:extLst>
                                    <a:ext uri="{28A0092B-C50C-407E-A947-70E740481C1C}">
                                      <a14:useLocalDpi xmlns:a14="http://schemas.microsoft.com/office/drawing/2010/main" val="0"/>
                                    </a:ext>
                                  </a:extLst>
                                </a:blip>
                                <a:srcRect/>
                                <a:stretch/>
                              </pic:blipFill>
                              <pic:spPr bwMode="auto">
                                <a:xfrm>
                                  <a:off x="25" y="0"/>
                                  <a:ext cx="23653" cy="29070"/>
                                </a:xfrm>
                                <a:prstGeom prst="rect">
                                  <a:avLst/>
                                </a:prstGeom>
                                <a:noFill/>
                                <a:extLst>
                                  <a:ext uri="{909E8E84-426E-40DD-AFC4-6F175D3DCCD1}">
                                    <a14:hiddenFill xmlns:a14="http://schemas.microsoft.com/office/drawing/2010/main">
                                      <a:solidFill>
                                        <a:srgbClr val="FFFFFF"/>
                                      </a:solidFill>
                                    </a14:hiddenFill>
                                  </a:ext>
                                </a:extLst>
                              </pic:spPr>
                            </pic:pic>
                            <wps:wsp>
                              <wps:cNvPr id="3920" name="Text Box 52"/>
                              <wps:cNvSpPr txBox="1">
                                <a:spLocks noChangeArrowheads="1"/>
                              </wps:cNvSpPr>
                              <wps:spPr bwMode="auto">
                                <a:xfrm>
                                  <a:off x="16129" y="29083"/>
                                  <a:ext cx="7197" cy="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B9F4B2" w14:textId="77777777" w:rsidR="004A2986" w:rsidRDefault="004A2986" w:rsidP="007561B4">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H. </w:t>
                                    </w:r>
                                    <w:r>
                                      <w:rPr>
                                        <w:rFonts w:ascii="Times New Roman" w:eastAsia="Times New Roman" w:hAnsi="Times New Roman" w:cs="Times New Roman"/>
                                        <w:lang w:val="hu-HU"/>
                                      </w:rPr>
                                      <w:t>ábra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2B53CF14" id="_x0000_s1263" style="position:absolute;margin-left:3.85pt;margin-top:6.05pt;width:186.65pt;height:240.5pt;z-index:251704404" coordorigin="25" coordsize="23653,30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">
                      <v:shape id="그림 61" o:spid="_x0000_s1264" type="#_x0000_t75" style="position:absolute;left:25;width:23653;height:2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">
                        <v:imagedata r:id="rId173" o:title=""/>
                      </v:shape>
                      <v:shape id="Text Box 52" o:spid="_x0000_s1265" type="#_x0000_t202" style="position:absolute;left:16129;top:2908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" stroked="f">
                        <v:textbox style="mso-fit-shape-to-text:t" inset="0,0,0,0">
                          <w:txbxContent>
                            <w:p w14:paraId="46B9F4B2" w14:textId="77777777" w:rsidR="004A2986" w:rsidRDefault="004A2986" w:rsidP="007561B4">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H. </w:t>
                              </w:r>
                              <w:r>
                                <w:rPr>
                                  <w:rFonts w:ascii="Times New Roman" w:eastAsia="Times New Roman" w:hAnsi="Times New Roman" w:cs="Times New Roman"/>
                                  <w:lang w:val="hu-HU"/>
                                </w:rPr>
                                <w:t>ábra</w:t>
                              </w:r>
                            </w:p>
                          </w:txbxContent>
                        </v:textbox>
                      </v:shape>
                      <w10:wrap type="square"/>
                    </v:group>
                  </w:pict>
                </mc:Fallback>
              </mc:AlternateContent>
            </w:r>
          </w:p>
          <w:p w14:paraId="51894EE3" w14:textId="77777777" w:rsidR="007561B4" w:rsidRDefault="007561B4" w:rsidP="00FD05AA">
            <w:pPr>
              <w:pStyle w:val="a3"/>
              <w:numPr>
                <w:ilvl w:val="0"/>
                <w:numId w:val="80"/>
              </w:numPr>
              <w:rPr>
                <w:lang w:val="hu-HU"/>
              </w:rPr>
            </w:pPr>
            <w:r>
              <w:rPr>
                <w:rFonts w:eastAsia="Times New Roman"/>
                <w:b/>
                <w:bCs/>
                <w:lang w:val="hu-HU"/>
              </w:rPr>
              <w:t>Vegye le a tűvédő tokot</w:t>
            </w:r>
          </w:p>
          <w:p w14:paraId="1BA42B8A" w14:textId="77777777" w:rsidR="007561B4" w:rsidRDefault="007561B4" w:rsidP="00CC2E43">
            <w:pPr>
              <w:pStyle w:val="a3"/>
              <w:numPr>
                <w:ilvl w:val="0"/>
                <w:numId w:val="0"/>
              </w:numPr>
              <w:ind w:left="471"/>
              <w:rPr>
                <w:lang w:val="hu-HU"/>
              </w:rPr>
            </w:pPr>
          </w:p>
          <w:p w14:paraId="04271525" w14:textId="77777777" w:rsidR="007561B4" w:rsidRDefault="007561B4" w:rsidP="00CC2E43">
            <w:pPr>
              <w:pStyle w:val="a3"/>
              <w:rPr>
                <w:lang w:val="hu-HU"/>
              </w:rPr>
            </w:pPr>
            <w:r>
              <w:rPr>
                <w:rFonts w:eastAsia="Times New Roman"/>
                <w:b/>
                <w:bCs/>
                <w:lang w:val="hu-HU"/>
              </w:rPr>
              <w:t>a</w:t>
            </w:r>
            <w:r>
              <w:rPr>
                <w:rFonts w:eastAsia="Times New Roman"/>
                <w:lang w:val="hu-HU"/>
              </w:rPr>
              <w:t>. Vegye le a tűvédő tokot miközben az előretöltött fecskendő testét az egyik kezével tartja. Óvatosan húzza le a tűvédő tokot a másik kezével.</w:t>
            </w:r>
          </w:p>
          <w:p w14:paraId="6A62CEE8" w14:textId="77777777" w:rsidR="007561B4" w:rsidRDefault="007561B4" w:rsidP="00CC2E43">
            <w:pPr>
              <w:pStyle w:val="a3"/>
              <w:rPr>
                <w:lang w:val="hu-HU"/>
              </w:rPr>
            </w:pPr>
          </w:p>
          <w:p w14:paraId="6D411994" w14:textId="34D4BBFB" w:rsidR="00C06CEE" w:rsidRPr="00167BF3" w:rsidRDefault="00C06CEE" w:rsidP="00CC2E43">
            <w:pPr>
              <w:pStyle w:val="a3"/>
              <w:numPr>
                <w:ilvl w:val="0"/>
                <w:numId w:val="18"/>
              </w:numPr>
              <w:ind w:left="4326" w:hanging="4326"/>
              <w:rPr>
                <w:lang w:val="hu-HU"/>
              </w:rPr>
            </w:pPr>
            <w:r w:rsidRPr="00407816">
              <w:rPr>
                <w:b/>
                <w:bCs/>
                <w:lang w:val="hu-HU" w:eastAsia="ko-KR"/>
              </w:rPr>
              <w:t xml:space="preserve">Ne </w:t>
            </w:r>
            <w:r w:rsidRPr="00407816">
              <w:rPr>
                <w:rFonts w:eastAsia="Times New Roman"/>
                <w:lang w:val="hu-HU"/>
              </w:rPr>
              <w:t>húzza vissza</w:t>
            </w:r>
            <w:r w:rsidR="00407816">
              <w:rPr>
                <w:rFonts w:eastAsia="Times New Roman"/>
                <w:lang w:val="hu-HU"/>
              </w:rPr>
              <w:t xml:space="preserve"> soha</w:t>
            </w:r>
            <w:r w:rsidRPr="00407816">
              <w:rPr>
                <w:rFonts w:eastAsia="Times New Roman"/>
                <w:lang w:val="hu-HU"/>
              </w:rPr>
              <w:t xml:space="preserve"> a dugattyúrudat</w:t>
            </w:r>
            <w:r w:rsidRPr="00167BF3">
              <w:rPr>
                <w:rFonts w:eastAsia="Times New Roman"/>
                <w:lang w:val="hu-HU"/>
              </w:rPr>
              <w:t>.</w:t>
            </w:r>
          </w:p>
          <w:p w14:paraId="63F949E9" w14:textId="77777777" w:rsidR="00C06CEE" w:rsidRPr="00167BF3" w:rsidRDefault="00C06CEE" w:rsidP="00167BF3">
            <w:pPr>
              <w:pStyle w:val="a3"/>
              <w:numPr>
                <w:ilvl w:val="0"/>
                <w:numId w:val="0"/>
              </w:numPr>
              <w:ind w:left="4326"/>
              <w:rPr>
                <w:lang w:val="hu-HU"/>
              </w:rPr>
            </w:pPr>
          </w:p>
          <w:p w14:paraId="6BA88966" w14:textId="3CCB3337" w:rsidR="007561B4" w:rsidRDefault="007561B4" w:rsidP="00CC2E43">
            <w:pPr>
              <w:pStyle w:val="a3"/>
              <w:numPr>
                <w:ilvl w:val="0"/>
                <w:numId w:val="18"/>
              </w:numPr>
              <w:ind w:left="4326" w:hanging="4326"/>
              <w:rPr>
                <w:lang w:val="hu-HU"/>
              </w:rPr>
            </w:pPr>
            <w:r>
              <w:rPr>
                <w:rFonts w:eastAsia="Times New Roman"/>
                <w:b/>
                <w:bCs/>
                <w:lang w:val="hu-HU"/>
              </w:rPr>
              <w:t>Ne</w:t>
            </w:r>
            <w:r>
              <w:rPr>
                <w:rFonts w:eastAsia="Times New Roman"/>
                <w:lang w:val="hu-HU"/>
              </w:rPr>
              <w:t xml:space="preserve"> vegye le a </w:t>
            </w:r>
            <w:r w:rsidR="00822DD9">
              <w:rPr>
                <w:rFonts w:eastAsia="Times New Roman"/>
                <w:lang w:val="hu-HU"/>
              </w:rPr>
              <w:t xml:space="preserve">tűvédő </w:t>
            </w:r>
            <w:r>
              <w:rPr>
                <w:rFonts w:eastAsia="Times New Roman"/>
                <w:lang w:val="hu-HU"/>
              </w:rPr>
              <w:t>tokot, amíg készen nem áll az injekció beadására</w:t>
            </w:r>
            <w:r w:rsidR="00C06CEE">
              <w:rPr>
                <w:rFonts w:eastAsia="Times New Roman"/>
                <w:lang w:val="hu-HU"/>
              </w:rPr>
              <w:t>.</w:t>
            </w:r>
          </w:p>
          <w:p w14:paraId="3BABF635" w14:textId="77777777" w:rsidR="007561B4" w:rsidRDefault="007561B4" w:rsidP="00CC2E43">
            <w:pPr>
              <w:pStyle w:val="a3"/>
              <w:numPr>
                <w:ilvl w:val="0"/>
                <w:numId w:val="0"/>
              </w:numPr>
              <w:ind w:left="1384"/>
              <w:rPr>
                <w:lang w:val="hu-HU"/>
              </w:rPr>
            </w:pPr>
          </w:p>
          <w:p w14:paraId="4F111550" w14:textId="77777777" w:rsidR="007561B4" w:rsidRDefault="007561B4" w:rsidP="00CC2E43">
            <w:pPr>
              <w:pStyle w:val="a3"/>
              <w:numPr>
                <w:ilvl w:val="0"/>
                <w:numId w:val="18"/>
              </w:numPr>
              <w:ind w:left="4326" w:hanging="4326"/>
              <w:rPr>
                <w:lang w:val="hu-HU"/>
              </w:rPr>
            </w:pPr>
            <w:r>
              <w:rPr>
                <w:rFonts w:eastAsia="Times New Roman"/>
                <w:b/>
                <w:bCs/>
                <w:lang w:val="hu-HU"/>
              </w:rPr>
              <w:t>Ne</w:t>
            </w:r>
            <w:r>
              <w:rPr>
                <w:rFonts w:eastAsia="Times New Roman"/>
                <w:lang w:val="hu-HU"/>
              </w:rPr>
              <w:t xml:space="preserve"> érintse meg a dugattyút. Ebben az esetben tűszúrásos sérülés következhet be.</w:t>
            </w:r>
            <w:r>
              <w:rPr>
                <w:rFonts w:eastAsia="Times New Roman"/>
                <w:b/>
                <w:bCs/>
                <w:lang w:val="hu-HU"/>
              </w:rPr>
              <w:t xml:space="preserve"> </w:t>
            </w:r>
          </w:p>
          <w:p w14:paraId="5D6B7188" w14:textId="77777777" w:rsidR="007561B4" w:rsidRDefault="007561B4" w:rsidP="00CC2E43">
            <w:pPr>
              <w:pStyle w:val="a4"/>
              <w:rPr>
                <w:lang w:val="hu-HU"/>
              </w:rPr>
            </w:pPr>
          </w:p>
          <w:p w14:paraId="7DEF5594" w14:textId="1EAFA30A" w:rsidR="007561B4" w:rsidRPr="004C5B28" w:rsidRDefault="007561B4" w:rsidP="00CC2E43">
            <w:pPr>
              <w:pStyle w:val="a3"/>
              <w:numPr>
                <w:ilvl w:val="0"/>
                <w:numId w:val="18"/>
              </w:numPr>
              <w:ind w:left="4326" w:hanging="4326"/>
              <w:rPr>
                <w:lang w:val="hu-HU"/>
              </w:rPr>
            </w:pPr>
            <w:r>
              <w:rPr>
                <w:rFonts w:eastAsia="Times New Roman"/>
                <w:b/>
                <w:bCs/>
                <w:lang w:val="hu-HU"/>
              </w:rPr>
              <w:t>Ne</w:t>
            </w:r>
            <w:r>
              <w:rPr>
                <w:rFonts w:eastAsia="Times New Roman"/>
                <w:lang w:val="hu-HU"/>
              </w:rPr>
              <w:t xml:space="preserve"> rakja vissza a tűvédő tokot az előretöltött fecskendőre. Azonnal dobja a tokot az éles tárgyak tárolására szolgáló tartályba.</w:t>
            </w:r>
          </w:p>
          <w:p w14:paraId="106B5B75" w14:textId="77777777" w:rsidR="00903402" w:rsidRDefault="00903402" w:rsidP="004C5B28">
            <w:pPr>
              <w:pStyle w:val="a4"/>
              <w:rPr>
                <w:lang w:val="hu-HU"/>
              </w:rPr>
            </w:pPr>
          </w:p>
          <w:p w14:paraId="530E83CF" w14:textId="41BDB1B9" w:rsidR="00903402" w:rsidRDefault="00903402" w:rsidP="00CC2E43">
            <w:pPr>
              <w:pStyle w:val="a3"/>
              <w:numPr>
                <w:ilvl w:val="0"/>
                <w:numId w:val="18"/>
              </w:numPr>
              <w:ind w:left="4326" w:hanging="4326"/>
              <w:rPr>
                <w:lang w:val="hu-HU"/>
              </w:rPr>
            </w:pPr>
            <w:r w:rsidRPr="00903402">
              <w:rPr>
                <w:lang w:val="hu-HU"/>
              </w:rPr>
              <w:t>Normális, ha lát néhány csepp folyadékot kijönni a tűből</w:t>
            </w:r>
            <w:r>
              <w:rPr>
                <w:lang w:val="hu-HU"/>
              </w:rPr>
              <w:t>.</w:t>
            </w:r>
          </w:p>
          <w:p w14:paraId="61B31389" w14:textId="77777777" w:rsidR="007561B4" w:rsidRPr="0054408A" w:rsidRDefault="007561B4" w:rsidP="00CC2E43">
            <w:pPr>
              <w:ind w:left="104"/>
              <w:rPr>
                <w:rFonts w:asciiTheme="majorBidi" w:eastAsia="Times New Roman" w:hAnsiTheme="majorBidi" w:cstheme="majorBidi"/>
                <w:b/>
                <w:bCs/>
                <w:spacing w:val="-1"/>
                <w:lang w:val="hu-HU"/>
              </w:rPr>
            </w:pPr>
          </w:p>
        </w:tc>
      </w:tr>
    </w:tbl>
    <w:p w14:paraId="0747A0ED" w14:textId="77777777" w:rsidR="007561B4" w:rsidRDefault="007561B4" w:rsidP="007561B4">
      <w:pPr>
        <w:spacing w:line="252" w:lineRule="exact"/>
        <w:rPr>
          <w:lang w:val="hu-HU"/>
        </w:rPr>
      </w:pPr>
    </w:p>
    <w:p w14:paraId="61F562D0" w14:textId="77777777" w:rsidR="007561B4" w:rsidRDefault="007561B4" w:rsidP="007561B4">
      <w:pPr>
        <w:spacing w:before="9" w:line="110" w:lineRule="exact"/>
        <w:rPr>
          <w:sz w:val="20"/>
          <w:szCs w:val="20"/>
          <w:lang w:val="hu-HU"/>
        </w:rPr>
      </w:pPr>
    </w:p>
    <w:tbl>
      <w:tblPr>
        <w:tblStyle w:val="ac"/>
        <w:tblW w:w="0" w:type="auto"/>
        <w:tblLook w:val="04A0" w:firstRow="1" w:lastRow="0" w:firstColumn="1" w:lastColumn="0" w:noHBand="0" w:noVBand="1"/>
      </w:tblPr>
      <w:tblGrid>
        <w:gridCol w:w="9209"/>
      </w:tblGrid>
      <w:tr w:rsidR="007561B4" w:rsidRPr="00BE4D18" w14:paraId="64E50622" w14:textId="77777777" w:rsidTr="00CC2E43">
        <w:trPr>
          <w:trHeight w:val="6650"/>
        </w:trPr>
        <w:tc>
          <w:tcPr>
            <w:tcW w:w="9209" w:type="dxa"/>
          </w:tcPr>
          <w:p w14:paraId="1DDCA0AD" w14:textId="77777777" w:rsidR="007561B4" w:rsidRDefault="007561B4" w:rsidP="00CC2E43">
            <w:pPr>
              <w:ind w:left="104"/>
              <w:rPr>
                <w:rFonts w:ascii="Times New Roman" w:eastAsia="Times New Roman" w:hAnsi="Times New Roman" w:cs="Times New Roman"/>
                <w:lang w:val="hu-HU"/>
              </w:rPr>
            </w:pPr>
          </w:p>
          <w:p w14:paraId="340CE1E4" w14:textId="2F973015" w:rsidR="007561B4" w:rsidRDefault="007561B4" w:rsidP="00CC2E43">
            <w:pPr>
              <w:pStyle w:val="1"/>
              <w:spacing w:before="76"/>
              <w:ind w:left="0" w:right="2736"/>
              <w:rPr>
                <w:rFonts w:eastAsiaTheme="minorEastAsia"/>
                <w:lang w:val="hu-HU" w:eastAsia="ko-KR"/>
              </w:rPr>
            </w:pPr>
            <w:r>
              <w:rPr>
                <w:rFonts w:eastAsiaTheme="minorEastAsia"/>
                <w:noProof/>
                <w:lang w:eastAsia="ko-KR"/>
              </w:rPr>
              <mc:AlternateContent>
                <mc:Choice Requires="wpg">
                  <w:drawing>
                    <wp:anchor distT="0" distB="0" distL="114300" distR="114300" simplePos="0" relativeHeight="251686996" behindDoc="0" locked="0" layoutInCell="1" allowOverlap="1" wp14:anchorId="1BBB26BF" wp14:editId="5560CCAD">
                      <wp:simplePos x="0" y="0"/>
                      <wp:positionH relativeFrom="column">
                        <wp:posOffset>148763</wp:posOffset>
                      </wp:positionH>
                      <wp:positionV relativeFrom="paragraph">
                        <wp:posOffset>192059</wp:posOffset>
                      </wp:positionV>
                      <wp:extent cx="2167255" cy="3762038"/>
                      <wp:effectExtent l="0" t="0" r="4445" b="0"/>
                      <wp:wrapSquare wrapText="bothSides"/>
                      <wp:docPr id="3921" name="그룹 3921"/>
                      <wp:cNvGraphicFramePr/>
                      <a:graphic xmlns:a="http://schemas.openxmlformats.org/drawingml/2006/main">
                        <a:graphicData uri="http://schemas.microsoft.com/office/word/2010/wordprocessingGroup">
                          <wpg:wgp>
                            <wpg:cNvGrpSpPr/>
                            <wpg:grpSpPr>
                              <a:xfrm>
                                <a:off x="0" y="0"/>
                                <a:ext cx="2167255" cy="3761330"/>
                                <a:chOff x="0" y="708"/>
                                <a:chExt cx="2167255" cy="3761330"/>
                              </a:xfrm>
                            </wpg:grpSpPr>
                            <wps:wsp>
                              <wps:cNvPr id="3922" name="Text Box 55"/>
                              <wps:cNvSpPr txBox="1">
                                <a:spLocks noChangeArrowheads="1"/>
                              </wps:cNvSpPr>
                              <wps:spPr bwMode="auto">
                                <a:xfrm>
                                  <a:off x="1433946" y="3616036"/>
                                  <a:ext cx="719808" cy="1460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EC3AE7" w14:textId="77777777" w:rsidR="004A2986" w:rsidRDefault="004A2986" w:rsidP="007561B4">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I. </w:t>
                                    </w:r>
                                    <w:r>
                                      <w:rPr>
                                        <w:rFonts w:ascii="Times New Roman" w:eastAsia="Times New Roman" w:hAnsi="Times New Roman" w:cs="Times New Roman"/>
                                        <w:lang w:val="hu-HU"/>
                                      </w:rPr>
                                      <w:t>ábra</w:t>
                                    </w:r>
                                  </w:p>
                                </w:txbxContent>
                              </wps:txbx>
                              <wps:bodyPr rot="0" vert="horz" wrap="square" lIns="0" tIns="0" rIns="0" bIns="0" anchor="t" anchorCtr="0" upright="1">
                                <a:spAutoFit/>
                              </wps:bodyPr>
                            </wps:wsp>
                            <pic:pic xmlns:pic="http://schemas.openxmlformats.org/drawingml/2006/picture">
                              <pic:nvPicPr>
                                <pic:cNvPr id="3923" name="그림 8"/>
                                <pic:cNvPicPr>
                                  <a:picLocks noChangeAspect="1"/>
                                </pic:cNvPicPr>
                              </pic:nvPicPr>
                              <pic:blipFill>
                                <a:blip r:embed="rId174" cstate="print">
                                  <a:extLst>
                                    <a:ext uri="{28A0092B-C50C-407E-A947-70E740481C1C}">
                                      <a14:useLocalDpi xmlns:a14="http://schemas.microsoft.com/office/drawing/2010/main" val="0"/>
                                    </a:ext>
                                  </a:extLst>
                                </a:blip>
                                <a:srcRect/>
                                <a:stretch/>
                              </pic:blipFill>
                              <pic:spPr>
                                <a:xfrm>
                                  <a:off x="0" y="708"/>
                                  <a:ext cx="2167255" cy="3605383"/>
                                </a:xfrm>
                                <a:prstGeom prst="rect">
                                  <a:avLst/>
                                </a:prstGeom>
                              </pic:spPr>
                            </pic:pic>
                          </wpg:wgp>
                        </a:graphicData>
                      </a:graphic>
                    </wp:anchor>
                  </w:drawing>
                </mc:Choice>
                <mc:Fallback>
                  <w:pict>
                    <v:group w14:anchorId="1BBB26BF" id="그룹 3921" o:spid="_x0000_s1266" style="position:absolute;margin-left:11.7pt;margin-top:15.1pt;width:170.65pt;height:296.2pt;z-index:251686996" coordorigin=",7" coordsize="21672,37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">
                      <v:shape id="Text Box 55" o:spid="_x0000_s1267" type="#_x0000_t202" style="position:absolute;left:14339;top:36160;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" stroked="f">
                        <v:textbox style="mso-fit-shape-to-text:t" inset="0,0,0,0">
                          <w:txbxContent>
                            <w:p w14:paraId="31EC3AE7" w14:textId="77777777" w:rsidR="004A2986" w:rsidRDefault="004A2986" w:rsidP="007561B4">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I. </w:t>
                              </w:r>
                              <w:r>
                                <w:rPr>
                                  <w:rFonts w:ascii="Times New Roman" w:eastAsia="Times New Roman" w:hAnsi="Times New Roman" w:cs="Times New Roman"/>
                                  <w:lang w:val="hu-HU"/>
                                </w:rPr>
                                <w:t>ábra</w:t>
                              </w:r>
                            </w:p>
                          </w:txbxContent>
                        </v:textbox>
                      </v:shape>
                      <v:shape id="그림 8" o:spid="_x0000_s1268" type="#_x0000_t75" style="position:absolute;top:7;width:21672;height:36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">
                        <v:imagedata r:id="rId175" o:title=""/>
                      </v:shape>
                      <w10:wrap type="square"/>
                    </v:group>
                  </w:pict>
                </mc:Fallback>
              </mc:AlternateContent>
            </w:r>
          </w:p>
          <w:p w14:paraId="6D42C7E2" w14:textId="77777777" w:rsidR="007561B4" w:rsidRDefault="007561B4" w:rsidP="00FD05AA">
            <w:pPr>
              <w:pStyle w:val="a3"/>
              <w:numPr>
                <w:ilvl w:val="0"/>
                <w:numId w:val="80"/>
              </w:numPr>
              <w:ind w:left="4320" w:hanging="4209"/>
              <w:rPr>
                <w:b/>
                <w:lang w:val="hu-HU"/>
              </w:rPr>
            </w:pPr>
            <w:r>
              <w:rPr>
                <w:rFonts w:eastAsia="Times New Roman"/>
                <w:b/>
                <w:bCs/>
                <w:lang w:val="hu-HU"/>
              </w:rPr>
              <w:t xml:space="preserve">Helyezze az előretöltött fecskendőt az injekció beadási helyére </w:t>
            </w:r>
          </w:p>
          <w:p w14:paraId="35FB240F" w14:textId="77777777" w:rsidR="007561B4" w:rsidRDefault="007561B4" w:rsidP="00CC2E43">
            <w:pPr>
              <w:pStyle w:val="a3"/>
              <w:numPr>
                <w:ilvl w:val="0"/>
                <w:numId w:val="0"/>
              </w:numPr>
              <w:ind w:left="111"/>
              <w:rPr>
                <w:b/>
                <w:lang w:val="hu-HU"/>
              </w:rPr>
            </w:pPr>
          </w:p>
          <w:p w14:paraId="7EA33022" w14:textId="57DFABB2" w:rsidR="007561B4" w:rsidRDefault="007561B4" w:rsidP="00CC2E43">
            <w:pPr>
              <w:pStyle w:val="a3"/>
              <w:numPr>
                <w:ilvl w:val="0"/>
                <w:numId w:val="0"/>
              </w:numPr>
              <w:ind w:left="720"/>
              <w:rPr>
                <w:lang w:val="hu-HU"/>
              </w:rPr>
            </w:pPr>
            <w:r>
              <w:rPr>
                <w:rFonts w:eastAsia="Times New Roman"/>
                <w:b/>
                <w:bCs/>
                <w:lang w:val="hu-HU"/>
              </w:rPr>
              <w:t xml:space="preserve">a. </w:t>
            </w:r>
            <w:r>
              <w:rPr>
                <w:rFonts w:eastAsia="Times New Roman"/>
                <w:lang w:val="hu-HU"/>
              </w:rPr>
              <w:t>Óvatosan csípje össze a bőrredőt az injekció beadásának helyén egy kézzel.</w:t>
            </w:r>
          </w:p>
          <w:p w14:paraId="557A7CA4" w14:textId="77777777" w:rsidR="007561B4" w:rsidRDefault="007561B4" w:rsidP="00CC2E43">
            <w:pPr>
              <w:pStyle w:val="a3"/>
              <w:rPr>
                <w:lang w:val="hu-HU"/>
              </w:rPr>
            </w:pPr>
          </w:p>
          <w:p w14:paraId="570C75D2" w14:textId="04283DAF" w:rsidR="007561B4" w:rsidRDefault="007561B4" w:rsidP="00CC2E43">
            <w:pPr>
              <w:pStyle w:val="a3"/>
              <w:rPr>
                <w:lang w:val="hu-HU"/>
              </w:rPr>
            </w:pPr>
            <w:r>
              <w:rPr>
                <w:rFonts w:eastAsia="Times New Roman"/>
                <w:b/>
                <w:bCs/>
                <w:lang w:val="hu-HU"/>
              </w:rPr>
              <w:t>b</w:t>
            </w:r>
            <w:r>
              <w:rPr>
                <w:rFonts w:eastAsia="Times New Roman"/>
                <w:lang w:val="hu-HU"/>
              </w:rPr>
              <w:t>. Az előretöltött  fecskendőt a a fecskendő testénél fogva, szúrja be a tűt teljesen a bőrredőbe 45 fokos szögben, gyors és rövid mozdulattal.</w:t>
            </w:r>
          </w:p>
          <w:p w14:paraId="1410D5C1" w14:textId="561C5D8F" w:rsidR="007561B4" w:rsidRDefault="00C66AE9" w:rsidP="00CC2E43">
            <w:pPr>
              <w:pStyle w:val="a3"/>
              <w:rPr>
                <w:lang w:val="hu-HU"/>
              </w:rPr>
            </w:pPr>
            <w:r w:rsidRPr="00C66AE9">
              <w:rPr>
                <w:noProof/>
                <w:lang w:eastAsia="ko-KR"/>
              </w:rPr>
              <mc:AlternateContent>
                <mc:Choice Requires="wps">
                  <w:drawing>
                    <wp:anchor distT="45720" distB="45720" distL="114300" distR="114300" simplePos="0" relativeHeight="251726932" behindDoc="0" locked="0" layoutInCell="1" allowOverlap="1" wp14:anchorId="3DCA4A39" wp14:editId="0EF07EF1">
                      <wp:simplePos x="0" y="0"/>
                      <wp:positionH relativeFrom="column">
                        <wp:posOffset>836295</wp:posOffset>
                      </wp:positionH>
                      <wp:positionV relativeFrom="paragraph">
                        <wp:posOffset>238125</wp:posOffset>
                      </wp:positionV>
                      <wp:extent cx="838200" cy="1404620"/>
                      <wp:effectExtent l="0" t="0" r="0" b="5715"/>
                      <wp:wrapNone/>
                      <wp:docPr id="150125392"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1404620"/>
                              </a:xfrm>
                              <a:prstGeom prst="rect">
                                <a:avLst/>
                              </a:prstGeom>
                              <a:noFill/>
                              <a:ln w="9525">
                                <a:noFill/>
                                <a:miter lim="800000"/>
                                <a:headEnd/>
                                <a:tailEnd/>
                              </a:ln>
                            </wps:spPr>
                            <wps:txbx>
                              <w:txbxContent>
                                <w:p w14:paraId="310D7AE4" w14:textId="413CA711" w:rsidR="004A2986" w:rsidRPr="00167BF3" w:rsidRDefault="004A2986" w:rsidP="00167BF3">
                                  <w:pPr>
                                    <w:jc w:val="center"/>
                                    <w:rPr>
                                      <w:rFonts w:ascii="Times New Roman" w:hAnsi="Times New Roman" w:cs="Times New Roman"/>
                                      <w:b/>
                                      <w:bCs/>
                                      <w:color w:val="FFFFFF" w:themeColor="background1"/>
                                      <w:lang w:eastAsia="ko-KR"/>
                                    </w:rPr>
                                  </w:pPr>
                                  <w:r w:rsidRPr="00167BF3">
                                    <w:rPr>
                                      <w:rFonts w:ascii="Times New Roman" w:hAnsi="Times New Roman" w:cs="Times New Roman"/>
                                      <w:b/>
                                      <w:bCs/>
                                      <w:color w:val="FFFFFF" w:themeColor="background1"/>
                                    </w:rPr>
                                    <w:t>VAGY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CA4A39" id="_x0000_s1269" type="#_x0000_t202" style="position:absolute;margin-left:65.85pt;margin-top:18.75pt;width:66pt;height:110.6pt;z-index:2517269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" filled="f" stroked="f">
                      <v:textbox style="mso-fit-shape-to-text:t">
                        <w:txbxContent>
                          <w:p w14:paraId="310D7AE4" w14:textId="413CA711" w:rsidR="004A2986" w:rsidRPr="00167BF3" w:rsidRDefault="004A2986" w:rsidP="00167BF3">
                            <w:pPr>
                              <w:jc w:val="center"/>
                              <w:rPr>
                                <w:rFonts w:ascii="Times New Roman" w:hAnsi="Times New Roman" w:cs="Times New Roman"/>
                                <w:b/>
                                <w:bCs/>
                                <w:color w:val="FFFFFF" w:themeColor="background1"/>
                                <w:lang w:eastAsia="ko-KR"/>
                              </w:rPr>
                            </w:pPr>
                            <w:r w:rsidRPr="00167BF3">
                              <w:rPr>
                                <w:rFonts w:ascii="Times New Roman" w:hAnsi="Times New Roman" w:cs="Times New Roman"/>
                                <w:b/>
                                <w:bCs/>
                                <w:color w:val="FFFFFF" w:themeColor="background1"/>
                              </w:rPr>
                              <w:t>VAGY</w:t>
                            </w:r>
                          </w:p>
                        </w:txbxContent>
                      </v:textbox>
                    </v:shape>
                  </w:pict>
                </mc:Fallback>
              </mc:AlternateContent>
            </w:r>
          </w:p>
        </w:tc>
      </w:tr>
      <w:tr w:rsidR="007561B4" w:rsidRPr="00BE4D18" w14:paraId="426EC7C2" w14:textId="77777777" w:rsidTr="00CC2E43">
        <w:trPr>
          <w:trHeight w:val="6066"/>
        </w:trPr>
        <w:tc>
          <w:tcPr>
            <w:tcW w:w="9209" w:type="dxa"/>
          </w:tcPr>
          <w:p w14:paraId="412928F5" w14:textId="77777777" w:rsidR="007561B4" w:rsidRDefault="007561B4" w:rsidP="00CC2E43">
            <w:pPr>
              <w:ind w:left="104"/>
              <w:rPr>
                <w:rFonts w:ascii="Times New Roman" w:eastAsia="Times New Roman" w:hAnsi="Times New Roman" w:cs="Times New Roman"/>
                <w:b/>
                <w:bCs/>
                <w:spacing w:val="-1"/>
                <w:lang w:val="hu-HU"/>
              </w:rPr>
            </w:pPr>
          </w:p>
          <w:p w14:paraId="63151A57" w14:textId="77777777" w:rsidR="007561B4" w:rsidRDefault="007561B4" w:rsidP="00CC2E43">
            <w:pPr>
              <w:ind w:left="104"/>
              <w:rPr>
                <w:rFonts w:ascii="Times New Roman" w:eastAsia="Times New Roman" w:hAnsi="Times New Roman" w:cs="Times New Roman"/>
                <w:lang w:val="hu-HU"/>
              </w:rPr>
            </w:pPr>
            <w:r>
              <w:rPr>
                <w:noProof/>
                <w:lang w:eastAsia="ko-KR"/>
              </w:rPr>
              <mc:AlternateContent>
                <mc:Choice Requires="wpg">
                  <w:drawing>
                    <wp:anchor distT="0" distB="0" distL="114300" distR="114300" simplePos="0" relativeHeight="251669588" behindDoc="0" locked="0" layoutInCell="1" allowOverlap="1" wp14:anchorId="69B9E928" wp14:editId="6D9C025E">
                      <wp:simplePos x="0" y="0"/>
                      <wp:positionH relativeFrom="column">
                        <wp:posOffset>66345</wp:posOffset>
                      </wp:positionH>
                      <wp:positionV relativeFrom="paragraph">
                        <wp:posOffset>43144</wp:posOffset>
                      </wp:positionV>
                      <wp:extent cx="2186305" cy="2724150"/>
                      <wp:effectExtent l="0" t="0" r="4445" b="0"/>
                      <wp:wrapSquare wrapText="bothSides"/>
                      <wp:docPr id="3924" name="그룹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6305" cy="2712250"/>
                                <a:chOff x="0" y="119"/>
                                <a:chExt cx="21866" cy="27122"/>
                              </a:xfrm>
                            </wpg:grpSpPr>
                            <pic:pic xmlns:pic="http://schemas.openxmlformats.org/drawingml/2006/picture">
                              <pic:nvPicPr>
                                <pic:cNvPr id="3925" name="그림 76"/>
                                <pic:cNvPicPr>
                                  <a:picLocks noChangeAspect="1"/>
                                </pic:cNvPicPr>
                              </pic:nvPicPr>
                              <pic:blipFill>
                                <a:blip r:embed="rId176" cstate="print">
                                  <a:extLst>
                                    <a:ext uri="{28A0092B-C50C-407E-A947-70E740481C1C}">
                                      <a14:useLocalDpi xmlns:a14="http://schemas.microsoft.com/office/drawing/2010/main" val="0"/>
                                    </a:ext>
                                  </a:extLst>
                                </a:blip>
                                <a:srcRect/>
                                <a:stretch/>
                              </pic:blipFill>
                              <pic:spPr bwMode="auto">
                                <a:xfrm>
                                  <a:off x="0" y="119"/>
                                  <a:ext cx="21850" cy="25581"/>
                                </a:xfrm>
                                <a:prstGeom prst="rect">
                                  <a:avLst/>
                                </a:prstGeom>
                                <a:noFill/>
                                <a:extLst>
                                  <a:ext uri="{909E8E84-426E-40DD-AFC4-6F175D3DCCD1}">
                                    <a14:hiddenFill xmlns:a14="http://schemas.microsoft.com/office/drawing/2010/main">
                                      <a:solidFill>
                                        <a:srgbClr val="FFFFFF"/>
                                      </a:solidFill>
                                    </a14:hiddenFill>
                                  </a:ext>
                                </a:extLst>
                              </pic:spPr>
                            </pic:pic>
                            <wps:wsp>
                              <wps:cNvPr id="3926" name="Text Box 58"/>
                              <wps:cNvSpPr txBox="1">
                                <a:spLocks noChangeArrowheads="1"/>
                              </wps:cNvSpPr>
                              <wps:spPr bwMode="auto">
                                <a:xfrm>
                                  <a:off x="14668" y="25781"/>
                                  <a:ext cx="7198" cy="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025B53" w14:textId="77777777" w:rsidR="004A2986" w:rsidRDefault="004A2986" w:rsidP="007561B4">
                                    <w:pPr>
                                      <w:pStyle w:val="af0"/>
                                      <w:jc w:val="right"/>
                                      <w:rPr>
                                        <w:rFonts w:ascii="Times New Roman" w:hAnsi="Times New Roman" w:cs="Times New Roman"/>
                                        <w:noProof/>
                                        <w:spacing w:val="-1"/>
                                      </w:rPr>
                                    </w:pPr>
                                    <w:r>
                                      <w:rPr>
                                        <w:rFonts w:ascii="Times New Roman" w:eastAsia="Times New Roman" w:hAnsi="Times New Roman" w:cs="Times New Roman"/>
                                        <w:lang w:val="hu-HU"/>
                                      </w:rPr>
                                      <w:t>J. ábra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69B9E928" id="_x0000_s1270" style="position:absolute;left:0;text-align:left;margin-left:5.2pt;margin-top:3.4pt;width:172.15pt;height:214.5pt;z-index:251669588" coordorigin=",119" coordsize="21866,27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">
                      <v:shape id="그림 76" o:spid="_x0000_s1271" type="#_x0000_t75" style="position:absolute;top:119;width:21850;height:25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">
                        <v:imagedata r:id="rId177" o:title=""/>
                      </v:shape>
                      <v:shape id="Text Box 58" o:spid="_x0000_s1272" type="#_x0000_t202" style="position:absolute;left:14668;top:25781;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" stroked="f">
                        <v:textbox style="mso-fit-shape-to-text:t" inset="0,0,0,0">
                          <w:txbxContent>
                            <w:p w14:paraId="62025B53" w14:textId="77777777" w:rsidR="004A2986" w:rsidRDefault="004A2986" w:rsidP="007561B4">
                              <w:pPr>
                                <w:pStyle w:val="af0"/>
                                <w:jc w:val="right"/>
                                <w:rPr>
                                  <w:rFonts w:ascii="Times New Roman" w:hAnsi="Times New Roman" w:cs="Times New Roman"/>
                                  <w:noProof/>
                                  <w:spacing w:val="-1"/>
                                </w:rPr>
                              </w:pPr>
                              <w:r>
                                <w:rPr>
                                  <w:rFonts w:ascii="Times New Roman" w:eastAsia="Times New Roman" w:hAnsi="Times New Roman" w:cs="Times New Roman"/>
                                  <w:lang w:val="hu-HU"/>
                                </w:rPr>
                                <w:t>J. ábra</w:t>
                              </w:r>
                            </w:p>
                          </w:txbxContent>
                        </v:textbox>
                      </v:shape>
                      <w10:wrap type="square"/>
                    </v:group>
                  </w:pict>
                </mc:Fallback>
              </mc:AlternateContent>
            </w:r>
          </w:p>
          <w:p w14:paraId="3BA0658E" w14:textId="77777777" w:rsidR="007561B4" w:rsidRDefault="007561B4" w:rsidP="00CC2E43">
            <w:pPr>
              <w:pStyle w:val="Default"/>
              <w:rPr>
                <w:lang w:val="hu-HU"/>
              </w:rPr>
            </w:pPr>
          </w:p>
          <w:p w14:paraId="1364CC49" w14:textId="77777777" w:rsidR="007561B4" w:rsidRPr="001E2F31" w:rsidRDefault="007561B4" w:rsidP="00FD05AA">
            <w:pPr>
              <w:pStyle w:val="a3"/>
              <w:numPr>
                <w:ilvl w:val="0"/>
                <w:numId w:val="80"/>
              </w:numPr>
              <w:rPr>
                <w:b/>
                <w:lang w:val="hu-HU"/>
              </w:rPr>
            </w:pPr>
            <w:r w:rsidRPr="00010223">
              <w:rPr>
                <w:rFonts w:eastAsia="Times New Roman"/>
                <w:b/>
                <w:bCs/>
                <w:lang w:val="hu-HU"/>
              </w:rPr>
              <w:t xml:space="preserve">Az </w:t>
            </w:r>
            <w:r w:rsidRPr="001E2F31">
              <w:rPr>
                <w:rFonts w:eastAsia="Times New Roman"/>
                <w:b/>
                <w:lang w:val="hu-HU"/>
              </w:rPr>
              <w:t>injekció beadása</w:t>
            </w:r>
          </w:p>
          <w:p w14:paraId="1CFDBBE0" w14:textId="77777777" w:rsidR="007561B4" w:rsidRDefault="007561B4" w:rsidP="00CC2E43">
            <w:pPr>
              <w:pStyle w:val="a3"/>
              <w:rPr>
                <w:lang w:val="hu-HU"/>
              </w:rPr>
            </w:pPr>
          </w:p>
          <w:p w14:paraId="4D1D526C" w14:textId="77777777" w:rsidR="007561B4" w:rsidRDefault="007561B4" w:rsidP="00CC2E43">
            <w:pPr>
              <w:pStyle w:val="a3"/>
              <w:ind w:left="4230" w:hanging="4230"/>
              <w:rPr>
                <w:lang w:val="hu-HU"/>
              </w:rPr>
            </w:pPr>
            <w:r>
              <w:rPr>
                <w:rFonts w:eastAsia="Times New Roman"/>
                <w:b/>
                <w:bCs/>
                <w:lang w:val="hu-HU"/>
              </w:rPr>
              <w:t xml:space="preserve">     a. </w:t>
            </w:r>
            <w:r w:rsidRPr="001E2F31">
              <w:rPr>
                <w:rFonts w:eastAsia="Times New Roman"/>
                <w:bCs/>
                <w:lang w:val="hu-HU"/>
              </w:rPr>
              <w:t>A</w:t>
            </w:r>
            <w:r w:rsidRPr="00010223">
              <w:rPr>
                <w:rFonts w:eastAsia="Times New Roman"/>
                <w:lang w:val="hu-HU"/>
              </w:rPr>
              <w:t xml:space="preserve"> </w:t>
            </w:r>
            <w:r>
              <w:rPr>
                <w:rFonts w:eastAsia="Times New Roman"/>
                <w:lang w:val="hu-HU"/>
              </w:rPr>
              <w:t>tű beszúrása után engedje el az összecsípett bőrt.</w:t>
            </w:r>
          </w:p>
          <w:p w14:paraId="78EFCF19" w14:textId="77777777" w:rsidR="007561B4" w:rsidRDefault="007561B4" w:rsidP="00CC2E43">
            <w:pPr>
              <w:pStyle w:val="a3"/>
              <w:ind w:left="4230" w:hanging="4230"/>
              <w:rPr>
                <w:lang w:val="hu-HU"/>
              </w:rPr>
            </w:pPr>
            <w:r>
              <w:rPr>
                <w:rFonts w:eastAsia="Times New Roman"/>
                <w:b/>
                <w:bCs/>
                <w:lang w:val="hu-HU"/>
              </w:rPr>
              <w:t xml:space="preserve">     b.</w:t>
            </w:r>
            <w:r w:rsidRPr="001E2F31">
              <w:rPr>
                <w:rFonts w:eastAsia="Times New Roman"/>
                <w:bCs/>
                <w:lang w:val="hu-HU"/>
              </w:rPr>
              <w:t xml:space="preserve"> L</w:t>
            </w:r>
            <w:r>
              <w:rPr>
                <w:rFonts w:eastAsia="Times New Roman"/>
                <w:lang w:val="hu-HU"/>
              </w:rPr>
              <w:t>assan nyomja le teljesen a dugattyút, mindaddig amíg az összes folyadékot befecskendezi, és a fecskendő kiürül.</w:t>
            </w:r>
          </w:p>
          <w:p w14:paraId="22E8F86E" w14:textId="77777777" w:rsidR="007561B4" w:rsidRDefault="007561B4" w:rsidP="00CC2E43">
            <w:pPr>
              <w:pStyle w:val="a3"/>
              <w:rPr>
                <w:lang w:val="hu-HU"/>
              </w:rPr>
            </w:pPr>
          </w:p>
          <w:p w14:paraId="5E8F61A9" w14:textId="77777777" w:rsidR="007561B4" w:rsidRDefault="007561B4" w:rsidP="00CC2E43">
            <w:pPr>
              <w:pStyle w:val="a3"/>
              <w:rPr>
                <w:lang w:val="hu-HU"/>
              </w:rPr>
            </w:pPr>
          </w:p>
          <w:p w14:paraId="3DA27819" w14:textId="77777777" w:rsidR="007561B4" w:rsidRDefault="007561B4" w:rsidP="00CC2E43">
            <w:pPr>
              <w:pStyle w:val="a3"/>
              <w:rPr>
                <w:rFonts w:asciiTheme="majorBidi" w:hAnsiTheme="majorBidi" w:cstheme="majorBidi"/>
                <w:lang w:val="hu-HU"/>
              </w:rPr>
            </w:pPr>
            <w:r>
              <w:rPr>
                <w:rFonts w:asciiTheme="majorBidi" w:eastAsia="맑은 고딕" w:hAnsiTheme="majorBidi" w:cstheme="majorBidi"/>
                <w:lang w:val="hu-HU"/>
              </w:rPr>
              <w:t>•</w:t>
            </w:r>
            <w:r>
              <w:rPr>
                <w:rFonts w:asciiTheme="majorBidi" w:eastAsia="Times New Roman" w:hAnsiTheme="majorBidi" w:cstheme="majorBidi"/>
                <w:lang w:val="hu-HU"/>
              </w:rPr>
              <w:t xml:space="preserve"> </w:t>
            </w:r>
            <w:r w:rsidRPr="001E2F31">
              <w:rPr>
                <w:rFonts w:asciiTheme="majorBidi" w:eastAsia="Times New Roman" w:hAnsiTheme="majorBidi" w:cstheme="majorBidi"/>
                <w:bCs/>
                <w:lang w:val="hu-HU"/>
              </w:rPr>
              <w:t>Az</w:t>
            </w:r>
            <w:r>
              <w:rPr>
                <w:rFonts w:asciiTheme="majorBidi" w:eastAsia="Times New Roman" w:hAnsiTheme="majorBidi" w:cstheme="majorBidi"/>
                <w:b/>
                <w:bCs/>
                <w:lang w:val="hu-HU"/>
              </w:rPr>
              <w:t xml:space="preserve"> </w:t>
            </w:r>
            <w:r>
              <w:rPr>
                <w:rFonts w:asciiTheme="majorBidi" w:eastAsia="맑은 고딕" w:hAnsiTheme="majorBidi" w:cstheme="majorBidi"/>
                <w:lang w:val="hu-HU"/>
              </w:rPr>
              <w:t xml:space="preserve">injekció beadása után </w:t>
            </w:r>
            <w:r w:rsidRPr="001E2F31">
              <w:rPr>
                <w:rFonts w:asciiTheme="majorBidi" w:eastAsia="맑은 고딕" w:hAnsiTheme="majorBidi" w:cstheme="majorBidi"/>
                <w:b/>
                <w:lang w:val="hu-HU"/>
              </w:rPr>
              <w:t>ne</w:t>
            </w:r>
            <w:r>
              <w:rPr>
                <w:rFonts w:asciiTheme="majorBidi" w:eastAsia="Times New Roman" w:hAnsiTheme="majorBidi" w:cstheme="majorBidi"/>
                <w:lang w:val="hu-HU"/>
              </w:rPr>
              <w:t xml:space="preserve"> változtassa meg az előretöltött fecskendő helyzetét.</w:t>
            </w:r>
          </w:p>
          <w:p w14:paraId="1CE6198C" w14:textId="77777777" w:rsidR="007561B4" w:rsidRDefault="007561B4" w:rsidP="00CC2E43">
            <w:pPr>
              <w:pStyle w:val="a3"/>
              <w:rPr>
                <w:lang w:val="hu-HU" w:eastAsia="ko-KR"/>
              </w:rPr>
            </w:pPr>
            <w:r>
              <w:rPr>
                <w:color w:val="211D1E"/>
                <w:sz w:val="20"/>
                <w:szCs w:val="20"/>
                <w:lang w:val="hu-HU"/>
              </w:rPr>
              <w:t xml:space="preserve"> </w:t>
            </w:r>
          </w:p>
        </w:tc>
      </w:tr>
      <w:tr w:rsidR="007561B4" w:rsidRPr="00BE4D18" w14:paraId="5E8A7621" w14:textId="77777777" w:rsidTr="00CC2E43">
        <w:trPr>
          <w:trHeight w:val="5374"/>
        </w:trPr>
        <w:tc>
          <w:tcPr>
            <w:tcW w:w="9209" w:type="dxa"/>
          </w:tcPr>
          <w:p w14:paraId="2EF22449" w14:textId="77777777" w:rsidR="007561B4" w:rsidRDefault="007561B4" w:rsidP="00CC2E43">
            <w:pPr>
              <w:ind w:left="104"/>
              <w:rPr>
                <w:rFonts w:asciiTheme="majorBidi" w:eastAsia="Times New Roman" w:hAnsiTheme="majorBidi" w:cstheme="majorBidi"/>
                <w:b/>
                <w:bCs/>
                <w:spacing w:val="-1"/>
                <w:lang w:val="hu-HU"/>
              </w:rPr>
            </w:pPr>
          </w:p>
          <w:p w14:paraId="1A66D0F3" w14:textId="77777777" w:rsidR="007561B4" w:rsidRDefault="007561B4" w:rsidP="00CC2E43">
            <w:pPr>
              <w:rPr>
                <w:rFonts w:asciiTheme="majorBidi" w:eastAsia="Times New Roman" w:hAnsiTheme="majorBidi" w:cstheme="majorBidi"/>
                <w:lang w:val="hu-HU"/>
              </w:rPr>
            </w:pPr>
          </w:p>
          <w:p w14:paraId="756AB83D" w14:textId="77777777" w:rsidR="007561B4" w:rsidRDefault="007561B4" w:rsidP="00CC2E43">
            <w:pPr>
              <w:pStyle w:val="a3"/>
              <w:rPr>
                <w:rFonts w:asciiTheme="majorBidi" w:hAnsiTheme="majorBidi" w:cstheme="majorBidi"/>
                <w:lang w:val="hu-HU"/>
              </w:rPr>
            </w:pPr>
            <w:r>
              <w:rPr>
                <w:rFonts w:asciiTheme="majorBidi" w:hAnsiTheme="majorBidi" w:cstheme="majorBidi"/>
                <w:noProof/>
                <w:lang w:eastAsia="ko-KR"/>
              </w:rPr>
              <mc:AlternateContent>
                <mc:Choice Requires="wpg">
                  <w:drawing>
                    <wp:anchor distT="0" distB="0" distL="114300" distR="114300" simplePos="0" relativeHeight="251677780" behindDoc="0" locked="0" layoutInCell="1" allowOverlap="1" wp14:anchorId="5C67447D" wp14:editId="06510791">
                      <wp:simplePos x="0" y="0"/>
                      <wp:positionH relativeFrom="column">
                        <wp:posOffset>70485</wp:posOffset>
                      </wp:positionH>
                      <wp:positionV relativeFrom="paragraph">
                        <wp:posOffset>66040</wp:posOffset>
                      </wp:positionV>
                      <wp:extent cx="2159635" cy="2881630"/>
                      <wp:effectExtent l="19050" t="19050" r="12065" b="0"/>
                      <wp:wrapSquare wrapText="bothSides"/>
                      <wp:docPr id="3927" name="그룹 3927"/>
                      <wp:cNvGraphicFramePr/>
                      <a:graphic xmlns:a="http://schemas.openxmlformats.org/drawingml/2006/main">
                        <a:graphicData uri="http://schemas.microsoft.com/office/word/2010/wordprocessingGroup">
                          <wpg:wgp>
                            <wpg:cNvGrpSpPr/>
                            <wpg:grpSpPr>
                              <a:xfrm>
                                <a:off x="0" y="0"/>
                                <a:ext cx="2159635" cy="2878112"/>
                                <a:chOff x="0" y="3518"/>
                                <a:chExt cx="2159635" cy="2878112"/>
                              </a:xfrm>
                            </wpg:grpSpPr>
                            <wps:wsp>
                              <wps:cNvPr id="3928" name="Text Box 62"/>
                              <wps:cNvSpPr txBox="1">
                                <a:spLocks/>
                              </wps:cNvSpPr>
                              <wps:spPr>
                                <a:xfrm>
                                  <a:off x="1440180" y="2735580"/>
                                  <a:ext cx="719455" cy="146050"/>
                                </a:xfrm>
                                <a:prstGeom prst="rect">
                                  <a:avLst/>
                                </a:prstGeom>
                                <a:solidFill>
                                  <a:prstClr val="white"/>
                                </a:solidFill>
                                <a:ln>
                                  <a:noFill/>
                                </a:ln>
                              </wps:spPr>
                              <wps:txbx>
                                <w:txbxContent>
                                  <w:p w14:paraId="4E17EDB7" w14:textId="77777777" w:rsidR="004A2986" w:rsidRDefault="004A2986" w:rsidP="007561B4">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K. </w:t>
                                    </w:r>
                                    <w:r>
                                      <w:rPr>
                                        <w:rFonts w:ascii="Times New Roman" w:eastAsia="Times New Roman" w:hAnsi="Times New Roman" w:cs="Times New Roman"/>
                                        <w:lang w:val="hu-HU"/>
                                      </w:rPr>
                                      <w:t xml:space="preserve">ábra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3929" name="그림 3929"/>
                                <pic:cNvPicPr>
                                  <a:picLocks noChangeAspect="1"/>
                                </pic:cNvPicPr>
                              </pic:nvPicPr>
                              <pic:blipFill>
                                <a:blip r:embed="rId178" cstate="print">
                                  <a:extLst>
                                    <a:ext uri="{28A0092B-C50C-407E-A947-70E740481C1C}">
                                      <a14:useLocalDpi xmlns:a14="http://schemas.microsoft.com/office/drawing/2010/main" val="0"/>
                                    </a:ext>
                                  </a:extLst>
                                </a:blip>
                                <a:srcRect/>
                                <a:stretch/>
                              </pic:blipFill>
                              <pic:spPr>
                                <a:xfrm>
                                  <a:off x="0" y="3518"/>
                                  <a:ext cx="2159635" cy="2659328"/>
                                </a:xfrm>
                                <a:prstGeom prst="rect">
                                  <a:avLst/>
                                </a:prstGeom>
                                <a:ln w="12700">
                                  <a:solidFill>
                                    <a:schemeClr val="tx1">
                                      <a:lumMod val="65000"/>
                                      <a:lumOff val="35000"/>
                                    </a:schemeClr>
                                  </a:solidFill>
                                </a:ln>
                              </pic:spPr>
                            </pic:pic>
                          </wpg:wgp>
                        </a:graphicData>
                      </a:graphic>
                    </wp:anchor>
                  </w:drawing>
                </mc:Choice>
                <mc:Fallback>
                  <w:pict>
                    <v:group w14:anchorId="5C67447D" id="그룹 3927" o:spid="_x0000_s1273" style="position:absolute;margin-left:5.55pt;margin-top:5.2pt;width:170.05pt;height:226.9pt;z-index:251677780" coordorigin=",35" coordsize="21596,28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">
                      <v:shape id="Text Box 62" o:spid="_x0000_s1274" type="#_x0000_t202" style="position:absolute;left:14401;top:27355;width:7195;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" stroked="f">
                        <v:textbox style="mso-fit-shape-to-text:t" inset="0,0,0,0">
                          <w:txbxContent>
                            <w:p w14:paraId="4E17EDB7" w14:textId="77777777" w:rsidR="004A2986" w:rsidRDefault="004A2986" w:rsidP="007561B4">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K. </w:t>
                              </w:r>
                              <w:r>
                                <w:rPr>
                                  <w:rFonts w:ascii="Times New Roman" w:eastAsia="Times New Roman" w:hAnsi="Times New Roman" w:cs="Times New Roman"/>
                                  <w:lang w:val="hu-HU"/>
                                </w:rPr>
                                <w:t xml:space="preserve">ábra </w:t>
                              </w:r>
                            </w:p>
                          </w:txbxContent>
                        </v:textbox>
                      </v:shape>
                      <v:shape id="그림 3929" o:spid="_x0000_s1275" type="#_x0000_t75" style="position:absolute;top:35;width:21596;height:26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" stroked="t" strokecolor="#5a5a5a [2109]" strokeweight="1pt">
                        <v:imagedata r:id="rId179" o:title=""/>
                        <v:path arrowok="t"/>
                      </v:shape>
                      <w10:wrap type="square"/>
                    </v:group>
                  </w:pict>
                </mc:Fallback>
              </mc:AlternateContent>
            </w:r>
          </w:p>
          <w:p w14:paraId="1A2B04AF" w14:textId="77777777" w:rsidR="007561B4" w:rsidRDefault="007561B4" w:rsidP="00FD05AA">
            <w:pPr>
              <w:pStyle w:val="a3"/>
              <w:numPr>
                <w:ilvl w:val="0"/>
                <w:numId w:val="80"/>
              </w:numPr>
              <w:ind w:left="4320" w:hanging="4209"/>
              <w:rPr>
                <w:rFonts w:asciiTheme="majorBidi" w:hAnsiTheme="majorBidi" w:cstheme="majorBidi"/>
                <w:b/>
                <w:lang w:val="hu-HU"/>
              </w:rPr>
            </w:pPr>
            <w:r>
              <w:rPr>
                <w:rFonts w:asciiTheme="majorBidi" w:eastAsia="Times New Roman" w:hAnsiTheme="majorBidi" w:cstheme="majorBidi"/>
                <w:b/>
                <w:bCs/>
                <w:lang w:val="hu-HU"/>
              </w:rPr>
              <w:t>Huzza ki az előretöltött fecskendőt az injekció beadásának helyéről és lássa el az injekció beadásának helyét</w:t>
            </w:r>
          </w:p>
          <w:p w14:paraId="7F5F5F40" w14:textId="77777777" w:rsidR="007561B4" w:rsidRDefault="007561B4" w:rsidP="00CC2E43">
            <w:pPr>
              <w:pStyle w:val="a3"/>
              <w:numPr>
                <w:ilvl w:val="0"/>
                <w:numId w:val="0"/>
              </w:numPr>
              <w:ind w:left="471"/>
              <w:rPr>
                <w:rFonts w:asciiTheme="majorBidi" w:hAnsiTheme="majorBidi" w:cstheme="majorBidi"/>
                <w:b/>
                <w:lang w:val="hu-HU"/>
              </w:rPr>
            </w:pPr>
          </w:p>
          <w:p w14:paraId="08D60481" w14:textId="77777777" w:rsidR="007561B4" w:rsidRDefault="007561B4" w:rsidP="00FD05AA">
            <w:pPr>
              <w:pStyle w:val="a3"/>
              <w:numPr>
                <w:ilvl w:val="0"/>
                <w:numId w:val="45"/>
              </w:numPr>
              <w:ind w:left="4410" w:hanging="4095"/>
              <w:rPr>
                <w:rFonts w:asciiTheme="majorBidi" w:hAnsiTheme="majorBidi" w:cstheme="majorBidi"/>
                <w:lang w:val="hu-HU"/>
              </w:rPr>
            </w:pPr>
            <w:r>
              <w:rPr>
                <w:rFonts w:asciiTheme="majorBidi" w:eastAsia="Times New Roman" w:hAnsiTheme="majorBidi" w:cstheme="majorBidi"/>
                <w:lang w:val="hu-HU"/>
              </w:rPr>
              <w:t>Miután az előretöltött fecskendő kiürült, távolítsa el az előretöltött fecskendőt a bőréből, ügyelve arra, hogy ugyanolyan szögben húzza ki, mint amilyen szögben beleszúrta.</w:t>
            </w:r>
          </w:p>
          <w:p w14:paraId="15776BDC" w14:textId="77777777" w:rsidR="007561B4" w:rsidRDefault="007561B4" w:rsidP="00FD05AA">
            <w:pPr>
              <w:pStyle w:val="a3"/>
              <w:numPr>
                <w:ilvl w:val="0"/>
                <w:numId w:val="45"/>
              </w:numPr>
              <w:ind w:left="4410" w:hanging="4095"/>
              <w:rPr>
                <w:rFonts w:asciiTheme="majorBidi" w:eastAsia="Times New Roman" w:hAnsiTheme="majorBidi" w:cstheme="majorBidi"/>
                <w:lang w:val="hu-HU"/>
              </w:rPr>
            </w:pPr>
            <w:r>
              <w:rPr>
                <w:rFonts w:asciiTheme="majorBidi" w:eastAsia="Times New Roman" w:hAnsiTheme="majorBidi" w:cstheme="majorBidi"/>
                <w:lang w:val="hu-HU"/>
              </w:rPr>
              <w:t>Lássa el az injekció beadásának helyét óvatosan, nyomjon egy vattacsomót vagy gézdarabot a beadási helyre, ne dörzsölje, ha szükséges, használjon ragtapaszt. Csekély vérzés előfordulhat.</w:t>
            </w:r>
          </w:p>
          <w:p w14:paraId="217183BB" w14:textId="77777777" w:rsidR="007561B4" w:rsidRDefault="007561B4" w:rsidP="00CC2E43">
            <w:pPr>
              <w:pStyle w:val="a3"/>
              <w:rPr>
                <w:rFonts w:asciiTheme="majorBidi" w:hAnsiTheme="majorBidi" w:cstheme="majorBidi"/>
                <w:lang w:val="hu-HU"/>
              </w:rPr>
            </w:pPr>
            <w:r>
              <w:rPr>
                <w:rFonts w:asciiTheme="majorBidi" w:hAnsiTheme="majorBidi" w:cstheme="majorBidi"/>
                <w:lang w:val="hu-HU"/>
              </w:rPr>
              <w:t xml:space="preserve"> </w:t>
            </w:r>
          </w:p>
          <w:p w14:paraId="1AD7683D" w14:textId="77777777" w:rsidR="007561B4" w:rsidRDefault="007561B4" w:rsidP="00CC2E43">
            <w:pPr>
              <w:pStyle w:val="a3"/>
              <w:rPr>
                <w:rFonts w:asciiTheme="majorBidi" w:hAnsiTheme="majorBidi" w:cstheme="majorBidi"/>
                <w:lang w:val="hu-HU"/>
              </w:rPr>
            </w:pPr>
            <w:r>
              <w:rPr>
                <w:rFonts w:asciiTheme="majorBidi" w:eastAsia="맑은 고딕" w:hAnsiTheme="majorBidi" w:cstheme="majorBidi"/>
                <w:lang w:val="hu-HU"/>
              </w:rPr>
              <w:t>•</w:t>
            </w:r>
            <w:r>
              <w:rPr>
                <w:rFonts w:asciiTheme="majorBidi" w:eastAsia="Times New Roman" w:hAnsiTheme="majorBidi" w:cstheme="majorBidi"/>
                <w:lang w:val="hu-HU"/>
              </w:rPr>
              <w:t xml:space="preserve"> </w:t>
            </w:r>
            <w:r>
              <w:rPr>
                <w:rFonts w:asciiTheme="majorBidi" w:eastAsia="Times New Roman" w:hAnsiTheme="majorBidi" w:cstheme="majorBidi"/>
                <w:b/>
                <w:bCs/>
                <w:lang w:val="hu-HU"/>
              </w:rPr>
              <w:t>Ne</w:t>
            </w:r>
            <w:r>
              <w:rPr>
                <w:rFonts w:asciiTheme="majorBidi" w:eastAsia="Times New Roman" w:hAnsiTheme="majorBidi" w:cstheme="majorBidi"/>
                <w:lang w:val="hu-HU"/>
              </w:rPr>
              <w:t xml:space="preserve"> használja újra azelőretöltött fecskendőt.</w:t>
            </w:r>
          </w:p>
          <w:p w14:paraId="54C6B4B1" w14:textId="77777777" w:rsidR="007561B4" w:rsidRDefault="007561B4" w:rsidP="00CC2E43">
            <w:pPr>
              <w:pStyle w:val="a3"/>
              <w:rPr>
                <w:rFonts w:asciiTheme="majorBidi" w:hAnsiTheme="majorBidi" w:cstheme="majorBidi"/>
                <w:lang w:val="hu-HU"/>
              </w:rPr>
            </w:pPr>
            <w:r>
              <w:rPr>
                <w:rFonts w:asciiTheme="majorBidi" w:eastAsia="맑은 고딕" w:hAnsiTheme="majorBidi" w:cstheme="majorBidi"/>
                <w:lang w:val="hu-HU"/>
              </w:rPr>
              <w:t>•</w:t>
            </w:r>
            <w:r>
              <w:rPr>
                <w:rFonts w:asciiTheme="majorBidi" w:eastAsia="Times New Roman" w:hAnsiTheme="majorBidi" w:cstheme="majorBidi"/>
                <w:lang w:val="hu-HU"/>
              </w:rPr>
              <w:t xml:space="preserve"> </w:t>
            </w:r>
            <w:r>
              <w:rPr>
                <w:rFonts w:asciiTheme="majorBidi" w:eastAsia="Times New Roman" w:hAnsiTheme="majorBidi" w:cstheme="majorBidi"/>
                <w:b/>
                <w:bCs/>
                <w:lang w:val="hu-HU"/>
              </w:rPr>
              <w:t xml:space="preserve">Ne </w:t>
            </w:r>
            <w:r>
              <w:rPr>
                <w:rFonts w:asciiTheme="majorBidi" w:eastAsia="Times New Roman" w:hAnsiTheme="majorBidi" w:cstheme="majorBidi"/>
                <w:lang w:val="hu-HU"/>
              </w:rPr>
              <w:t>érintse meg vagy tegye vissza a tűre a tűvédő tokot.</w:t>
            </w:r>
          </w:p>
          <w:p w14:paraId="660EBD8B" w14:textId="77777777" w:rsidR="007561B4" w:rsidRDefault="007561B4" w:rsidP="00CC2E43">
            <w:pPr>
              <w:pStyle w:val="a3"/>
              <w:rPr>
                <w:rFonts w:asciiTheme="majorBidi" w:hAnsiTheme="majorBidi" w:cstheme="majorBidi"/>
                <w:lang w:val="hu-HU"/>
              </w:rPr>
            </w:pPr>
            <w:r>
              <w:rPr>
                <w:rFonts w:asciiTheme="majorBidi" w:eastAsia="맑은 고딕" w:hAnsiTheme="majorBidi" w:cstheme="majorBidi"/>
                <w:lang w:val="hu-HU"/>
              </w:rPr>
              <w:t xml:space="preserve">• </w:t>
            </w:r>
            <w:r>
              <w:rPr>
                <w:rFonts w:asciiTheme="majorBidi" w:eastAsia="맑은 고딕" w:hAnsiTheme="majorBidi" w:cstheme="majorBidi"/>
                <w:b/>
                <w:bCs/>
                <w:lang w:val="hu-HU"/>
              </w:rPr>
              <w:t xml:space="preserve">Ne </w:t>
            </w:r>
            <w:r>
              <w:rPr>
                <w:rFonts w:asciiTheme="majorBidi" w:eastAsia="맑은 고딕" w:hAnsiTheme="majorBidi" w:cstheme="majorBidi"/>
                <w:lang w:val="hu-HU"/>
              </w:rPr>
              <w:t xml:space="preserve">dörzsölje az </w:t>
            </w:r>
            <w:r>
              <w:rPr>
                <w:rFonts w:asciiTheme="majorBidi" w:eastAsia="Times New Roman" w:hAnsiTheme="majorBidi" w:cstheme="majorBidi"/>
                <w:lang w:val="hu-HU"/>
              </w:rPr>
              <w:t xml:space="preserve">injekció </w:t>
            </w:r>
            <w:r>
              <w:rPr>
                <w:rFonts w:asciiTheme="majorBidi" w:eastAsia="맑은 고딕" w:hAnsiTheme="majorBidi" w:cstheme="majorBidi"/>
                <w:lang w:val="hu-HU"/>
              </w:rPr>
              <w:t xml:space="preserve">beadásának </w:t>
            </w:r>
            <w:r>
              <w:rPr>
                <w:rFonts w:asciiTheme="majorBidi" w:eastAsia="Times New Roman" w:hAnsiTheme="majorBidi" w:cstheme="majorBidi"/>
                <w:lang w:val="hu-HU"/>
              </w:rPr>
              <w:t>helyét</w:t>
            </w:r>
            <w:r>
              <w:rPr>
                <w:rFonts w:asciiTheme="majorBidi" w:eastAsia="맑은 고딕" w:hAnsiTheme="majorBidi" w:cstheme="majorBidi"/>
                <w:lang w:val="hu-HU"/>
              </w:rPr>
              <w:t>.</w:t>
            </w:r>
          </w:p>
        </w:tc>
      </w:tr>
      <w:tr w:rsidR="007561B4" w:rsidRPr="00BE4D18" w14:paraId="7948CCD6" w14:textId="77777777" w:rsidTr="00CC2E43">
        <w:trPr>
          <w:trHeight w:val="5380"/>
        </w:trPr>
        <w:tc>
          <w:tcPr>
            <w:tcW w:w="9209" w:type="dxa"/>
          </w:tcPr>
          <w:p w14:paraId="00E2BAC4" w14:textId="77777777" w:rsidR="007561B4" w:rsidRDefault="007561B4" w:rsidP="00CC2E43">
            <w:pPr>
              <w:ind w:left="104"/>
              <w:rPr>
                <w:rFonts w:ascii="Times New Roman" w:eastAsia="Times New Roman" w:hAnsi="Times New Roman" w:cs="Times New Roman"/>
                <w:b/>
                <w:bCs/>
                <w:spacing w:val="-1"/>
                <w:lang w:val="hu-HU"/>
              </w:rPr>
            </w:pPr>
          </w:p>
          <w:p w14:paraId="15239E76" w14:textId="77777777" w:rsidR="007561B4" w:rsidRDefault="007561B4" w:rsidP="00CC2E43">
            <w:pPr>
              <w:pStyle w:val="a3"/>
              <w:rPr>
                <w:lang w:val="hu-HU"/>
              </w:rPr>
            </w:pPr>
            <w:r>
              <w:rPr>
                <w:noProof/>
                <w:lang w:eastAsia="ko-KR"/>
              </w:rPr>
              <mc:AlternateContent>
                <mc:Choice Requires="wpg">
                  <w:drawing>
                    <wp:anchor distT="0" distB="0" distL="114300" distR="114300" simplePos="0" relativeHeight="251676756" behindDoc="0" locked="0" layoutInCell="1" allowOverlap="1" wp14:anchorId="2B43B5F1" wp14:editId="0C53CFA1">
                      <wp:simplePos x="0" y="0"/>
                      <wp:positionH relativeFrom="column">
                        <wp:posOffset>1905</wp:posOffset>
                      </wp:positionH>
                      <wp:positionV relativeFrom="paragraph">
                        <wp:posOffset>160655</wp:posOffset>
                      </wp:positionV>
                      <wp:extent cx="2123440" cy="2782570"/>
                      <wp:effectExtent l="19050" t="19050" r="10160" b="0"/>
                      <wp:wrapSquare wrapText="bothSides"/>
                      <wp:docPr id="3930" name="그룹 3930"/>
                      <wp:cNvGraphicFramePr/>
                      <a:graphic xmlns:a="http://schemas.openxmlformats.org/drawingml/2006/main">
                        <a:graphicData uri="http://schemas.microsoft.com/office/word/2010/wordprocessingGroup">
                          <wpg:wgp>
                            <wpg:cNvGrpSpPr/>
                            <wpg:grpSpPr>
                              <a:xfrm>
                                <a:off x="0" y="0"/>
                                <a:ext cx="2123440" cy="2780426"/>
                                <a:chOff x="0" y="2144"/>
                                <a:chExt cx="2123440" cy="2780426"/>
                              </a:xfrm>
                            </wpg:grpSpPr>
                            <wps:wsp>
                              <wps:cNvPr id="3931" name="Text Box 64"/>
                              <wps:cNvSpPr txBox="1">
                                <a:spLocks/>
                              </wps:cNvSpPr>
                              <wps:spPr>
                                <a:xfrm>
                                  <a:off x="1402080" y="2636520"/>
                                  <a:ext cx="719455" cy="146050"/>
                                </a:xfrm>
                                <a:prstGeom prst="rect">
                                  <a:avLst/>
                                </a:prstGeom>
                                <a:solidFill>
                                  <a:prstClr val="white"/>
                                </a:solidFill>
                                <a:ln>
                                  <a:noFill/>
                                </a:ln>
                              </wps:spPr>
                              <wps:txbx>
                                <w:txbxContent>
                                  <w:p w14:paraId="42508DE8" w14:textId="77777777" w:rsidR="004A2986" w:rsidRDefault="004A2986" w:rsidP="007561B4">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L. </w:t>
                                    </w:r>
                                    <w:r>
                                      <w:rPr>
                                        <w:rFonts w:ascii="Times New Roman" w:eastAsia="Times New Roman" w:hAnsi="Times New Roman" w:cs="Times New Roman"/>
                                        <w:lang w:val="hu-HU"/>
                                      </w:rPr>
                                      <w:t>Ábra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3932" name="그림 3932"/>
                                <pic:cNvPicPr>
                                  <a:picLocks noChangeAspect="1"/>
                                </pic:cNvPicPr>
                              </pic:nvPicPr>
                              <pic:blipFill>
                                <a:blip r:embed="rId180" cstate="print">
                                  <a:extLst>
                                    <a:ext uri="{28A0092B-C50C-407E-A947-70E740481C1C}">
                                      <a14:useLocalDpi xmlns:a14="http://schemas.microsoft.com/office/drawing/2010/main" val="0"/>
                                    </a:ext>
                                  </a:extLst>
                                </a:blip>
                                <a:srcRect/>
                                <a:stretch/>
                              </pic:blipFill>
                              <pic:spPr>
                                <a:xfrm>
                                  <a:off x="0" y="2144"/>
                                  <a:ext cx="2123440" cy="2602386"/>
                                </a:xfrm>
                                <a:prstGeom prst="rect">
                                  <a:avLst/>
                                </a:prstGeom>
                                <a:ln w="12700">
                                  <a:solidFill>
                                    <a:schemeClr val="tx1">
                                      <a:lumMod val="65000"/>
                                      <a:lumOff val="35000"/>
                                    </a:schemeClr>
                                  </a:solidFill>
                                </a:ln>
                              </pic:spPr>
                            </pic:pic>
                          </wpg:wgp>
                        </a:graphicData>
                      </a:graphic>
                    </wp:anchor>
                  </w:drawing>
                </mc:Choice>
                <mc:Fallback>
                  <w:pict>
                    <v:group w14:anchorId="2B43B5F1" id="그룹 3930" o:spid="_x0000_s1276" style="position:absolute;margin-left:.15pt;margin-top:12.65pt;width:167.2pt;height:219.1pt;z-index:251676756" coordorigin=",21" coordsize="21234,27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">
                      <v:shape id="Text Box 64" o:spid="_x0000_s1277" type="#_x0000_t202" style="position:absolute;left:14020;top:26365;width:7195;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" stroked="f">
                        <v:textbox style="mso-fit-shape-to-text:t" inset="0,0,0,0">
                          <w:txbxContent>
                            <w:p w14:paraId="42508DE8" w14:textId="77777777" w:rsidR="004A2986" w:rsidRDefault="004A2986" w:rsidP="007561B4">
                              <w:pPr>
                                <w:pStyle w:val="af0"/>
                                <w:jc w:val="right"/>
                                <w:rPr>
                                  <w:rFonts w:ascii="Times New Roman" w:hAnsi="Times New Roman" w:cs="Times New Roman"/>
                                  <w:noProof/>
                                  <w:spacing w:val="-1"/>
                                </w:rPr>
                              </w:pPr>
                              <w:r>
                                <w:rPr>
                                  <w:rFonts w:ascii="Times New Roman" w:eastAsia="Times New Roman" w:hAnsi="Times New Roman" w:cs="Times New Roman"/>
                                  <w:lang w:val="hu-HU"/>
                                </w:rPr>
                                <w:t xml:space="preserve">L. </w:t>
                              </w:r>
                              <w:r>
                                <w:rPr>
                                  <w:rFonts w:ascii="Times New Roman" w:eastAsia="Times New Roman" w:hAnsi="Times New Roman" w:cs="Times New Roman"/>
                                  <w:lang w:val="hu-HU"/>
                                </w:rPr>
                                <w:t>Ábra</w:t>
                              </w:r>
                            </w:p>
                          </w:txbxContent>
                        </v:textbox>
                      </v:shape>
                      <v:shape id="그림 3932" o:spid="_x0000_s1278" type="#_x0000_t75" style="position:absolute;top:21;width:21234;height:26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" stroked="t" strokecolor="#5a5a5a [2109]" strokeweight="1pt">
                        <v:imagedata r:id="rId181" o:title=""/>
                        <v:path arrowok="t"/>
                      </v:shape>
                      <w10:wrap type="square"/>
                    </v:group>
                  </w:pict>
                </mc:Fallback>
              </mc:AlternateContent>
            </w:r>
          </w:p>
          <w:p w14:paraId="1282E39F" w14:textId="77777777" w:rsidR="007561B4" w:rsidRDefault="007561B4" w:rsidP="00CC2E43">
            <w:pPr>
              <w:pStyle w:val="a3"/>
              <w:rPr>
                <w:lang w:val="hu-HU"/>
              </w:rPr>
            </w:pPr>
          </w:p>
          <w:p w14:paraId="42630611" w14:textId="77777777" w:rsidR="007561B4" w:rsidRPr="00010223" w:rsidRDefault="007561B4" w:rsidP="00FD05AA">
            <w:pPr>
              <w:pStyle w:val="a3"/>
              <w:numPr>
                <w:ilvl w:val="0"/>
                <w:numId w:val="80"/>
              </w:numPr>
              <w:rPr>
                <w:b/>
                <w:lang w:val="hu-HU"/>
              </w:rPr>
            </w:pPr>
            <w:r w:rsidRPr="00010223">
              <w:rPr>
                <w:rFonts w:eastAsia="Times New Roman"/>
                <w:b/>
                <w:bCs/>
                <w:lang w:val="hu-HU"/>
              </w:rPr>
              <w:t xml:space="preserve">Az előretöltött </w:t>
            </w:r>
            <w:r w:rsidRPr="001E2F31">
              <w:rPr>
                <w:rFonts w:eastAsia="Times New Roman"/>
                <w:b/>
                <w:lang w:val="hu-HU"/>
              </w:rPr>
              <w:t>fecskendő eldobása.</w:t>
            </w:r>
          </w:p>
          <w:p w14:paraId="6BEC9E51" w14:textId="77777777" w:rsidR="007561B4" w:rsidRDefault="007561B4" w:rsidP="00CC2E43">
            <w:pPr>
              <w:pStyle w:val="a3"/>
              <w:ind w:left="3960" w:hanging="3960"/>
              <w:rPr>
                <w:b/>
                <w:lang w:val="hu-HU"/>
              </w:rPr>
            </w:pPr>
            <w:r>
              <w:rPr>
                <w:rFonts w:ascii="맑은 고딕" w:eastAsia="맑은 고딕" w:hAnsi="맑은 고딕"/>
                <w:lang w:val="hu-HU"/>
              </w:rPr>
              <w:t>•</w:t>
            </w:r>
            <w:r>
              <w:rPr>
                <w:rFonts w:eastAsia="Times New Roman"/>
                <w:lang w:val="hu-HU"/>
              </w:rPr>
              <w:tab/>
            </w:r>
            <w:r w:rsidRPr="00F82054">
              <w:rPr>
                <w:rFonts w:eastAsia="Times New Roman"/>
                <w:b/>
                <w:bCs/>
                <w:lang w:val="hu-HU"/>
              </w:rPr>
              <w:t>Ne</w:t>
            </w:r>
            <w:r w:rsidRPr="00F82054">
              <w:rPr>
                <w:rFonts w:eastAsia="Times New Roman"/>
                <w:lang w:val="hu-HU"/>
              </w:rPr>
              <w:t xml:space="preserve"> rakja vissza a tűvédő tokot az előretöltött fecskendőre.</w:t>
            </w:r>
          </w:p>
          <w:p w14:paraId="79AB0810" w14:textId="3366B31D" w:rsidR="007561B4" w:rsidRDefault="007561B4" w:rsidP="004F731A">
            <w:pPr>
              <w:pStyle w:val="a3"/>
              <w:numPr>
                <w:ilvl w:val="0"/>
                <w:numId w:val="0"/>
              </w:numPr>
              <w:ind w:left="3969"/>
              <w:rPr>
                <w:lang w:val="hu-HU"/>
              </w:rPr>
            </w:pPr>
            <w:r>
              <w:rPr>
                <w:rFonts w:eastAsia="Times New Roman"/>
                <w:b/>
                <w:bCs/>
                <w:lang w:val="hu-HU"/>
              </w:rPr>
              <w:t xml:space="preserve">a. </w:t>
            </w:r>
            <w:r>
              <w:rPr>
                <w:rFonts w:eastAsia="Times New Roman"/>
                <w:lang w:val="hu-HU"/>
              </w:rPr>
              <w:t>Dobja a használt előretöltött fecskendőt</w:t>
            </w:r>
            <w:r w:rsidR="00822DD9">
              <w:rPr>
                <w:rFonts w:eastAsia="Times New Roman"/>
                <w:lang w:val="hu-HU"/>
              </w:rPr>
              <w:t xml:space="preserve"> </w:t>
            </w:r>
            <w:r>
              <w:rPr>
                <w:rFonts w:eastAsia="Times New Roman"/>
                <w:lang w:val="hu-HU"/>
              </w:rPr>
              <w:t>az éles tárgyak tárolására szolgáló speciális tartályba a kezelőorvosa gyógyszerésze vagy a gondozását végző egészségügyi szakember utasításai szerint.</w:t>
            </w:r>
          </w:p>
          <w:p w14:paraId="31614852" w14:textId="77777777" w:rsidR="007561B4" w:rsidRDefault="007561B4" w:rsidP="00CC2E43">
            <w:pPr>
              <w:pStyle w:val="a3"/>
              <w:ind w:left="3969"/>
              <w:rPr>
                <w:lang w:val="hu-HU"/>
              </w:rPr>
            </w:pPr>
            <w:r>
              <w:rPr>
                <w:rFonts w:eastAsia="Times New Roman"/>
                <w:b/>
                <w:bCs/>
                <w:lang w:val="hu-HU"/>
              </w:rPr>
              <w:t>b.</w:t>
            </w:r>
            <w:r w:rsidRPr="001E2F31">
              <w:rPr>
                <w:rFonts w:eastAsia="Times New Roman"/>
                <w:bCs/>
                <w:lang w:val="hu-HU"/>
              </w:rPr>
              <w:t xml:space="preserve"> A</w:t>
            </w:r>
            <w:r w:rsidRPr="00010223">
              <w:rPr>
                <w:rFonts w:eastAsia="Times New Roman"/>
                <w:lang w:val="hu-HU"/>
              </w:rPr>
              <w:t>z</w:t>
            </w:r>
            <w:r>
              <w:rPr>
                <w:rFonts w:eastAsia="Times New Roman"/>
                <w:lang w:val="hu-HU"/>
              </w:rPr>
              <w:t xml:space="preserve"> alkoholos törlőt és a csomagolást a háztartási hulladékba helyezheti.</w:t>
            </w:r>
          </w:p>
          <w:p w14:paraId="7C204B06" w14:textId="77777777" w:rsidR="007561B4" w:rsidRDefault="007561B4" w:rsidP="00CC2E43">
            <w:pPr>
              <w:pStyle w:val="a3"/>
              <w:ind w:left="3960" w:hanging="3960"/>
              <w:rPr>
                <w:lang w:val="hu-HU"/>
              </w:rPr>
            </w:pPr>
            <w:r>
              <w:rPr>
                <w:rFonts w:ascii="맑은 고딕" w:eastAsia="맑은 고딕" w:hAnsi="맑은 고딕"/>
                <w:lang w:val="hu-HU"/>
              </w:rPr>
              <w:t>•</w:t>
            </w:r>
            <w:r>
              <w:rPr>
                <w:rFonts w:eastAsia="Times New Roman"/>
                <w:lang w:val="hu-HU"/>
              </w:rPr>
              <w:tab/>
              <w:t>Az előretöltött fecskendőt és a külön, éles tárgyak tárolására szolgáló speciális tartályt a gyermekek elől elzárva kell tartani.</w:t>
            </w:r>
          </w:p>
          <w:p w14:paraId="7DEB3231" w14:textId="77777777" w:rsidR="007561B4" w:rsidRDefault="007561B4" w:rsidP="00CC2E43">
            <w:pPr>
              <w:pStyle w:val="a3"/>
              <w:rPr>
                <w:lang w:val="hu-HU"/>
              </w:rPr>
            </w:pPr>
          </w:p>
          <w:p w14:paraId="42F17C4F" w14:textId="77777777" w:rsidR="007561B4" w:rsidRDefault="007561B4" w:rsidP="00CC2E43">
            <w:pPr>
              <w:pStyle w:val="a3"/>
              <w:rPr>
                <w:lang w:val="hu-HU"/>
              </w:rPr>
            </w:pPr>
          </w:p>
          <w:p w14:paraId="453ABBF0" w14:textId="77777777" w:rsidR="007561B4" w:rsidRDefault="007561B4" w:rsidP="00CC2E43">
            <w:pPr>
              <w:pStyle w:val="a3"/>
              <w:rPr>
                <w:spacing w:val="-1"/>
                <w:lang w:val="hu-HU"/>
              </w:rPr>
            </w:pPr>
          </w:p>
        </w:tc>
      </w:tr>
    </w:tbl>
    <w:p w14:paraId="78E72819" w14:textId="77777777" w:rsidR="007561B4" w:rsidRDefault="007561B4" w:rsidP="007561B4">
      <w:pPr>
        <w:spacing w:line="241" w:lineRule="auto"/>
        <w:rPr>
          <w:lang w:val="hu-HU"/>
        </w:rPr>
      </w:pPr>
    </w:p>
    <w:p w14:paraId="53519BCA" w14:textId="1C04AFA9" w:rsidR="00130E8B" w:rsidRPr="005A05DE" w:rsidRDefault="00130E8B" w:rsidP="005A05DE">
      <w:pPr>
        <w:rPr>
          <w:lang w:val="hu-HU" w:eastAsia="ko-KR"/>
        </w:rPr>
      </w:pPr>
    </w:p>
    <w:sectPr w:rsidR="00130E8B" w:rsidRPr="005A05DE">
      <w:footerReference w:type="default" r:id="rId182"/>
      <w:pgSz w:w="12240" w:h="15840"/>
      <w:pgMar w:top="1060" w:right="1340" w:bottom="860" w:left="1300" w:header="737" w:footer="73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F226FD" w14:textId="77777777" w:rsidR="00BE38C5" w:rsidRDefault="00BE38C5">
      <w:r>
        <w:separator/>
      </w:r>
    </w:p>
  </w:endnote>
  <w:endnote w:type="continuationSeparator" w:id="0">
    <w:p w14:paraId="0113E2F2" w14:textId="77777777" w:rsidR="00BE38C5" w:rsidRDefault="00BE38C5">
      <w:r>
        <w:continuationSeparator/>
      </w:r>
    </w:p>
  </w:endnote>
  <w:endnote w:type="continuationNotice" w:id="1">
    <w:p w14:paraId="66FA247F" w14:textId="77777777" w:rsidR="00BE38C5" w:rsidRDefault="00BE38C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바탕">
    <w:altName w:val="Batang"/>
    <w:panose1 w:val="02030600000101010101"/>
    <w:charset w:val="81"/>
    <w:family w:val="roman"/>
    <w:pitch w:val="variable"/>
    <w:sig w:usb0="B00002AF" w:usb1="69D77CFB" w:usb2="00000030" w:usb3="00000000" w:csb0="000800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굴림체">
    <w:panose1 w:val="020B0609000101010101"/>
    <w:charset w:val="81"/>
    <w:family w:val="modern"/>
    <w:pitch w:val="fixed"/>
    <w:sig w:usb0="B00002AF" w:usb1="69D77CFB" w:usb2="00000030" w:usb3="00000000" w:csb0="0008009F" w:csb1="00000000"/>
  </w:font>
  <w:font w:name="굴림">
    <w:altName w:val="Gulim"/>
    <w:panose1 w:val="020B0600000101010101"/>
    <w:charset w:val="81"/>
    <w:family w:val="modern"/>
    <w:pitch w:val="variable"/>
    <w:sig w:usb0="B00002AF" w:usb1="69D77CFB" w:usb2="00000030" w:usb3="00000000" w:csb0="0008009F" w:csb1="00000000"/>
  </w:font>
  <w:font w:name="TimesNewRomanPSMT">
    <w:altName w:val="Times New Roman"/>
    <w:panose1 w:val="00000000000000000000"/>
    <w:charset w:val="80"/>
    <w:family w:val="auto"/>
    <w:notTrueType/>
    <w:pitch w:val="default"/>
    <w:sig w:usb0="00000003" w:usb1="08070000" w:usb2="00000010" w:usb3="00000000" w:csb0="0002000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E20A76" w14:textId="77777777" w:rsidR="004A2986" w:rsidRDefault="004A2986">
    <w:pPr>
      <w:spacing w:line="199" w:lineRule="exact"/>
      <w:rPr>
        <w:sz w:val="20"/>
        <w:szCs w:val="20"/>
      </w:rPr>
    </w:pPr>
    <w:r>
      <w:rPr>
        <w:noProof/>
        <w:lang w:eastAsia="ko-KR"/>
      </w:rPr>
      <mc:AlternateContent>
        <mc:Choice Requires="wps">
          <w:drawing>
            <wp:anchor distT="0" distB="0" distL="114300" distR="114300" simplePos="0" relativeHeight="251658240" behindDoc="1" locked="0" layoutInCell="1" allowOverlap="1" wp14:anchorId="7147ACC8" wp14:editId="65BC6259">
              <wp:simplePos x="0" y="0"/>
              <wp:positionH relativeFrom="page">
                <wp:posOffset>3745230</wp:posOffset>
              </wp:positionH>
              <wp:positionV relativeFrom="page">
                <wp:posOffset>9483090</wp:posOffset>
              </wp:positionV>
              <wp:extent cx="219710" cy="127635"/>
              <wp:effectExtent l="0" t="0" r="0" b="0"/>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D156C9" w14:textId="61769852" w:rsidR="004A2986" w:rsidRPr="000405CC" w:rsidRDefault="004A2986">
                          <w:pPr>
                            <w:pStyle w:val="a6"/>
                            <w:jc w:val="center"/>
                            <w:rPr>
                              <w:rFonts w:ascii="Arial" w:eastAsia="Arial" w:hAnsi="Arial" w:cs="Arial"/>
                              <w:sz w:val="16"/>
                              <w:szCs w:val="16"/>
                            </w:rPr>
                          </w:pPr>
                          <w:r w:rsidRPr="000405CC">
                            <w:rPr>
                              <w:rFonts w:ascii="Arial" w:hAnsi="Arial" w:cs="Arial"/>
                              <w:sz w:val="16"/>
                              <w:szCs w:val="16"/>
                            </w:rPr>
                            <w:fldChar w:fldCharType="begin"/>
                          </w:r>
                          <w:r w:rsidRPr="000405CC">
                            <w:rPr>
                              <w:rFonts w:ascii="Arial" w:eastAsia="Arial" w:hAnsi="Arial" w:cs="Arial"/>
                              <w:sz w:val="16"/>
                              <w:szCs w:val="16"/>
                            </w:rPr>
                            <w:instrText xml:space="preserve"> PAGE </w:instrText>
                          </w:r>
                          <w:r w:rsidRPr="000405CC">
                            <w:rPr>
                              <w:rFonts w:ascii="Arial" w:hAnsi="Arial" w:cs="Arial"/>
                              <w:sz w:val="16"/>
                              <w:szCs w:val="16"/>
                            </w:rPr>
                            <w:fldChar w:fldCharType="separate"/>
                          </w:r>
                          <w:r w:rsidR="00903402">
                            <w:rPr>
                              <w:rFonts w:ascii="Arial" w:eastAsia="Arial" w:hAnsi="Arial" w:cs="Arial"/>
                              <w:noProof/>
                              <w:sz w:val="16"/>
                              <w:szCs w:val="16"/>
                            </w:rPr>
                            <w:t>291</w:t>
                          </w:r>
                          <w:r w:rsidRPr="000405CC">
                            <w:rPr>
                              <w:rFonts w:ascii="Arial" w:hAnsi="Arial" w:cs="Arial"/>
                              <w:sz w:val="16"/>
                              <w:szCs w:val="16"/>
                            </w:rP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w14:anchorId="7147ACC8" id="_x0000_t202" coordsize="21600,21600" o:spt="202" path="m,l,21600r21600,l21600,xe">
              <v:stroke joinstyle="miter"/>
              <v:path gradientshapeok="t" o:connecttype="rect"/>
            </v:shapetype>
            <v:shape id="Text Box 27" o:spid="_x0000_s1279" type="#_x0000_t202" style="position:absolute;margin-left:294.9pt;margin-top:746.7pt;width:17.3pt;height:10.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" filled="f" stroked="f">
              <v:textbox inset="0,0,0,0">
                <w:txbxContent>
                  <w:p w14:paraId="5DD156C9" w14:textId="61769852" w:rsidR="004A2986" w:rsidRPr="000405CC" w:rsidRDefault="004A2986">
                    <w:pPr>
                      <w:pStyle w:val="a6"/>
                      <w:jc w:val="center"/>
                      <w:rPr>
                        <w:rFonts w:ascii="Arial" w:eastAsia="Arial" w:hAnsi="Arial" w:cs="Arial"/>
                        <w:sz w:val="16"/>
                        <w:szCs w:val="16"/>
                      </w:rPr>
                    </w:pPr>
                    <w:r w:rsidRPr="000405CC">
                      <w:rPr>
                        <w:rFonts w:ascii="Arial" w:hAnsi="Arial" w:cs="Arial"/>
                        <w:sz w:val="16"/>
                        <w:szCs w:val="16"/>
                      </w:rPr>
                      <w:fldChar w:fldCharType="begin"/>
                    </w:r>
                    <w:r w:rsidRPr="000405CC">
                      <w:rPr>
                        <w:rFonts w:ascii="Arial" w:eastAsia="Arial" w:hAnsi="Arial" w:cs="Arial"/>
                        <w:sz w:val="16"/>
                        <w:szCs w:val="16"/>
                      </w:rPr>
                      <w:instrText xml:space="preserve"> PAGE </w:instrText>
                    </w:r>
                    <w:r w:rsidRPr="000405CC">
                      <w:rPr>
                        <w:rFonts w:ascii="Arial" w:hAnsi="Arial" w:cs="Arial"/>
                        <w:sz w:val="16"/>
                        <w:szCs w:val="16"/>
                      </w:rPr>
                      <w:fldChar w:fldCharType="separate"/>
                    </w:r>
                    <w:r w:rsidR="00903402">
                      <w:rPr>
                        <w:rFonts w:ascii="Arial" w:eastAsia="Arial" w:hAnsi="Arial" w:cs="Arial"/>
                        <w:noProof/>
                        <w:sz w:val="16"/>
                        <w:szCs w:val="16"/>
                      </w:rPr>
                      <w:t>291</w:t>
                    </w:r>
                    <w:r w:rsidRPr="000405CC">
                      <w:rPr>
                        <w:rFonts w:ascii="Arial" w:hAnsi="Arial" w:cs="Arial"/>
                        <w:sz w:val="16"/>
                        <w:szCs w:val="16"/>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225FCD" w14:textId="77777777" w:rsidR="00BE38C5" w:rsidRDefault="00BE38C5">
      <w:r>
        <w:separator/>
      </w:r>
    </w:p>
  </w:footnote>
  <w:footnote w:type="continuationSeparator" w:id="0">
    <w:p w14:paraId="44E9FB93" w14:textId="77777777" w:rsidR="00BE38C5" w:rsidRDefault="00BE38C5">
      <w:r>
        <w:continuationSeparator/>
      </w:r>
    </w:p>
  </w:footnote>
  <w:footnote w:type="continuationNotice" w:id="1">
    <w:p w14:paraId="4582D14C" w14:textId="77777777" w:rsidR="00BE38C5" w:rsidRDefault="00BE38C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B0022DD"/>
    <w:multiLevelType w:val="hybridMultilevel"/>
    <w:tmpl w:val="78783959"/>
    <w:lvl w:ilvl="0" w:tplc="8DDA528C">
      <w:start w:val="1"/>
      <w:numFmt w:val="ideographDigital"/>
      <w:lvlText w:val=""/>
      <w:lvlJc w:val="left"/>
    </w:lvl>
    <w:lvl w:ilvl="1" w:tplc="497EC772">
      <w:start w:val="1"/>
      <w:numFmt w:val="ideographDigital"/>
      <w:lvlText w:val=""/>
      <w:lvlJc w:val="left"/>
    </w:lvl>
    <w:lvl w:ilvl="2" w:tplc="DF684D6E">
      <w:start w:val="1"/>
      <w:numFmt w:val="decimal"/>
      <w:lvlText w:val=""/>
      <w:lvlJc w:val="left"/>
    </w:lvl>
    <w:lvl w:ilvl="3" w:tplc="F638751A">
      <w:numFmt w:val="decimal"/>
      <w:lvlText w:val=""/>
      <w:lvlJc w:val="left"/>
    </w:lvl>
    <w:lvl w:ilvl="4" w:tplc="FB2EC6BA">
      <w:numFmt w:val="decimal"/>
      <w:lvlText w:val=""/>
      <w:lvlJc w:val="left"/>
    </w:lvl>
    <w:lvl w:ilvl="5" w:tplc="42B22064">
      <w:numFmt w:val="decimal"/>
      <w:lvlText w:val=""/>
      <w:lvlJc w:val="left"/>
    </w:lvl>
    <w:lvl w:ilvl="6" w:tplc="1E2CF2DE">
      <w:numFmt w:val="decimal"/>
      <w:lvlText w:val=""/>
      <w:lvlJc w:val="left"/>
    </w:lvl>
    <w:lvl w:ilvl="7" w:tplc="F87E81A4">
      <w:numFmt w:val="decimal"/>
      <w:lvlText w:val=""/>
      <w:lvlJc w:val="left"/>
    </w:lvl>
    <w:lvl w:ilvl="8" w:tplc="17F09F2C">
      <w:numFmt w:val="decimal"/>
      <w:lvlText w:val=""/>
      <w:lvlJc w:val="left"/>
    </w:lvl>
  </w:abstractNum>
  <w:abstractNum w:abstractNumId="1" w15:restartNumberingAfterBreak="0">
    <w:nsid w:val="001308DD"/>
    <w:multiLevelType w:val="hybridMultilevel"/>
    <w:tmpl w:val="339C2F6A"/>
    <w:lvl w:ilvl="0" w:tplc="A776C702">
      <w:start w:val="1"/>
      <w:numFmt w:val="decimal"/>
      <w:lvlText w:val="%1."/>
      <w:lvlJc w:val="left"/>
      <w:pPr>
        <w:ind w:hanging="562"/>
      </w:pPr>
      <w:rPr>
        <w:rFonts w:ascii="Times New Roman" w:eastAsia="Times New Roman" w:hAnsi="Times New Roman" w:hint="default"/>
        <w:b/>
        <w:bCs/>
        <w:sz w:val="22"/>
        <w:szCs w:val="22"/>
      </w:rPr>
    </w:lvl>
    <w:lvl w:ilvl="1" w:tplc="2A708ED8">
      <w:start w:val="1"/>
      <w:numFmt w:val="bullet"/>
      <w:lvlText w:val="•"/>
      <w:lvlJc w:val="left"/>
      <w:rPr>
        <w:rFonts w:hint="default"/>
      </w:rPr>
    </w:lvl>
    <w:lvl w:ilvl="2" w:tplc="8370E7D4">
      <w:start w:val="1"/>
      <w:numFmt w:val="bullet"/>
      <w:lvlText w:val="•"/>
      <w:lvlJc w:val="left"/>
      <w:rPr>
        <w:rFonts w:hint="default"/>
      </w:rPr>
    </w:lvl>
    <w:lvl w:ilvl="3" w:tplc="5E9AB14C">
      <w:start w:val="1"/>
      <w:numFmt w:val="bullet"/>
      <w:lvlText w:val="•"/>
      <w:lvlJc w:val="left"/>
      <w:rPr>
        <w:rFonts w:hint="default"/>
      </w:rPr>
    </w:lvl>
    <w:lvl w:ilvl="4" w:tplc="611CD308">
      <w:start w:val="1"/>
      <w:numFmt w:val="bullet"/>
      <w:lvlText w:val="•"/>
      <w:lvlJc w:val="left"/>
      <w:rPr>
        <w:rFonts w:hint="default"/>
      </w:rPr>
    </w:lvl>
    <w:lvl w:ilvl="5" w:tplc="72F48F48">
      <w:start w:val="1"/>
      <w:numFmt w:val="bullet"/>
      <w:lvlText w:val="•"/>
      <w:lvlJc w:val="left"/>
      <w:rPr>
        <w:rFonts w:hint="default"/>
      </w:rPr>
    </w:lvl>
    <w:lvl w:ilvl="6" w:tplc="5D283432">
      <w:start w:val="1"/>
      <w:numFmt w:val="bullet"/>
      <w:lvlText w:val="•"/>
      <w:lvlJc w:val="left"/>
      <w:rPr>
        <w:rFonts w:hint="default"/>
      </w:rPr>
    </w:lvl>
    <w:lvl w:ilvl="7" w:tplc="DCD6915C">
      <w:start w:val="1"/>
      <w:numFmt w:val="bullet"/>
      <w:lvlText w:val="•"/>
      <w:lvlJc w:val="left"/>
      <w:rPr>
        <w:rFonts w:hint="default"/>
      </w:rPr>
    </w:lvl>
    <w:lvl w:ilvl="8" w:tplc="D87E1310">
      <w:start w:val="1"/>
      <w:numFmt w:val="bullet"/>
      <w:lvlText w:val="•"/>
      <w:lvlJc w:val="left"/>
      <w:rPr>
        <w:rFonts w:hint="default"/>
      </w:rPr>
    </w:lvl>
  </w:abstractNum>
  <w:abstractNum w:abstractNumId="2" w15:restartNumberingAfterBreak="0">
    <w:nsid w:val="03587F97"/>
    <w:multiLevelType w:val="multilevel"/>
    <w:tmpl w:val="EF18197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6.%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3" w15:restartNumberingAfterBreak="0">
    <w:nsid w:val="042E0F8A"/>
    <w:multiLevelType w:val="hybridMultilevel"/>
    <w:tmpl w:val="F08486F8"/>
    <w:lvl w:ilvl="0" w:tplc="00CE197A">
      <w:start w:val="1"/>
      <w:numFmt w:val="decimal"/>
      <w:lvlText w:val="%1."/>
      <w:lvlJc w:val="left"/>
      <w:pPr>
        <w:ind w:left="468" w:hanging="360"/>
      </w:pPr>
      <w:rPr>
        <w:rFonts w:ascii="Times New Roman" w:hAnsi="Times New Roman" w:cs="Times New Roman" w:hint="default"/>
        <w:b/>
      </w:rPr>
    </w:lvl>
    <w:lvl w:ilvl="1" w:tplc="C46E5F6E" w:tentative="1">
      <w:start w:val="1"/>
      <w:numFmt w:val="upperLetter"/>
      <w:lvlText w:val="%2."/>
      <w:lvlJc w:val="left"/>
      <w:pPr>
        <w:ind w:left="908" w:hanging="400"/>
      </w:pPr>
    </w:lvl>
    <w:lvl w:ilvl="2" w:tplc="7024A82A" w:tentative="1">
      <w:start w:val="1"/>
      <w:numFmt w:val="lowerRoman"/>
      <w:lvlText w:val="%3."/>
      <w:lvlJc w:val="right"/>
      <w:pPr>
        <w:ind w:left="1308" w:hanging="400"/>
      </w:pPr>
    </w:lvl>
    <w:lvl w:ilvl="3" w:tplc="C64E39BE" w:tentative="1">
      <w:start w:val="1"/>
      <w:numFmt w:val="decimal"/>
      <w:lvlText w:val="%4."/>
      <w:lvlJc w:val="left"/>
      <w:pPr>
        <w:ind w:left="1708" w:hanging="400"/>
      </w:pPr>
    </w:lvl>
    <w:lvl w:ilvl="4" w:tplc="A4E8CBB2" w:tentative="1">
      <w:start w:val="1"/>
      <w:numFmt w:val="upperLetter"/>
      <w:lvlText w:val="%5."/>
      <w:lvlJc w:val="left"/>
      <w:pPr>
        <w:ind w:left="2108" w:hanging="400"/>
      </w:pPr>
    </w:lvl>
    <w:lvl w:ilvl="5" w:tplc="F0CEBF90" w:tentative="1">
      <w:start w:val="1"/>
      <w:numFmt w:val="lowerRoman"/>
      <w:lvlText w:val="%6."/>
      <w:lvlJc w:val="right"/>
      <w:pPr>
        <w:ind w:left="2508" w:hanging="400"/>
      </w:pPr>
    </w:lvl>
    <w:lvl w:ilvl="6" w:tplc="9D6487E8" w:tentative="1">
      <w:start w:val="1"/>
      <w:numFmt w:val="decimal"/>
      <w:lvlText w:val="%7."/>
      <w:lvlJc w:val="left"/>
      <w:pPr>
        <w:ind w:left="2908" w:hanging="400"/>
      </w:pPr>
    </w:lvl>
    <w:lvl w:ilvl="7" w:tplc="619025CC" w:tentative="1">
      <w:start w:val="1"/>
      <w:numFmt w:val="upperLetter"/>
      <w:lvlText w:val="%8."/>
      <w:lvlJc w:val="left"/>
      <w:pPr>
        <w:ind w:left="3308" w:hanging="400"/>
      </w:pPr>
    </w:lvl>
    <w:lvl w:ilvl="8" w:tplc="6BE4629A" w:tentative="1">
      <w:start w:val="1"/>
      <w:numFmt w:val="lowerRoman"/>
      <w:lvlText w:val="%9."/>
      <w:lvlJc w:val="right"/>
      <w:pPr>
        <w:ind w:left="3708" w:hanging="400"/>
      </w:pPr>
    </w:lvl>
  </w:abstractNum>
  <w:abstractNum w:abstractNumId="4" w15:restartNumberingAfterBreak="0">
    <w:nsid w:val="04E578FA"/>
    <w:multiLevelType w:val="hybridMultilevel"/>
    <w:tmpl w:val="D36EAE72"/>
    <w:lvl w:ilvl="0" w:tplc="1C2063A6">
      <w:start w:val="1"/>
      <w:numFmt w:val="decimal"/>
      <w:lvlText w:val="%1."/>
      <w:lvlJc w:val="left"/>
      <w:pPr>
        <w:ind w:hanging="562"/>
      </w:pPr>
      <w:rPr>
        <w:rFonts w:ascii="Times New Roman" w:eastAsia="Times New Roman" w:hAnsi="Times New Roman" w:hint="default"/>
        <w:b/>
        <w:bCs/>
        <w:sz w:val="22"/>
        <w:szCs w:val="22"/>
      </w:rPr>
    </w:lvl>
    <w:lvl w:ilvl="1" w:tplc="6038DE92">
      <w:start w:val="1"/>
      <w:numFmt w:val="bullet"/>
      <w:lvlText w:val=""/>
      <w:lvlJc w:val="left"/>
      <w:pPr>
        <w:ind w:hanging="360"/>
      </w:pPr>
      <w:rPr>
        <w:rFonts w:ascii="Symbol" w:eastAsia="Symbol" w:hAnsi="Symbol" w:hint="default"/>
        <w:sz w:val="22"/>
        <w:szCs w:val="22"/>
      </w:rPr>
    </w:lvl>
    <w:lvl w:ilvl="2" w:tplc="21A41CAE">
      <w:start w:val="1"/>
      <w:numFmt w:val="bullet"/>
      <w:lvlText w:val=""/>
      <w:lvlJc w:val="left"/>
      <w:pPr>
        <w:ind w:hanging="360"/>
      </w:pPr>
      <w:rPr>
        <w:rFonts w:ascii="Symbol" w:eastAsia="Symbol" w:hAnsi="Symbol" w:hint="default"/>
        <w:sz w:val="22"/>
        <w:szCs w:val="22"/>
      </w:rPr>
    </w:lvl>
    <w:lvl w:ilvl="3" w:tplc="ACE8DE62">
      <w:start w:val="1"/>
      <w:numFmt w:val="bullet"/>
      <w:lvlText w:val="•"/>
      <w:lvlJc w:val="left"/>
      <w:rPr>
        <w:rFonts w:hint="default"/>
      </w:rPr>
    </w:lvl>
    <w:lvl w:ilvl="4" w:tplc="FC223172">
      <w:start w:val="1"/>
      <w:numFmt w:val="bullet"/>
      <w:lvlText w:val="•"/>
      <w:lvlJc w:val="left"/>
      <w:rPr>
        <w:rFonts w:hint="default"/>
      </w:rPr>
    </w:lvl>
    <w:lvl w:ilvl="5" w:tplc="63EA87B0">
      <w:start w:val="1"/>
      <w:numFmt w:val="bullet"/>
      <w:lvlText w:val="•"/>
      <w:lvlJc w:val="left"/>
      <w:rPr>
        <w:rFonts w:hint="default"/>
      </w:rPr>
    </w:lvl>
    <w:lvl w:ilvl="6" w:tplc="E44CF7DC">
      <w:start w:val="1"/>
      <w:numFmt w:val="bullet"/>
      <w:lvlText w:val="•"/>
      <w:lvlJc w:val="left"/>
      <w:rPr>
        <w:rFonts w:hint="default"/>
      </w:rPr>
    </w:lvl>
    <w:lvl w:ilvl="7" w:tplc="687A8748">
      <w:start w:val="1"/>
      <w:numFmt w:val="bullet"/>
      <w:lvlText w:val="•"/>
      <w:lvlJc w:val="left"/>
      <w:rPr>
        <w:rFonts w:hint="default"/>
      </w:rPr>
    </w:lvl>
    <w:lvl w:ilvl="8" w:tplc="6C6A8B64">
      <w:start w:val="1"/>
      <w:numFmt w:val="bullet"/>
      <w:lvlText w:val="•"/>
      <w:lvlJc w:val="left"/>
      <w:rPr>
        <w:rFonts w:hint="default"/>
      </w:rPr>
    </w:lvl>
  </w:abstractNum>
  <w:abstractNum w:abstractNumId="5" w15:restartNumberingAfterBreak="0">
    <w:nsid w:val="06895608"/>
    <w:multiLevelType w:val="hybridMultilevel"/>
    <w:tmpl w:val="E766DEA8"/>
    <w:lvl w:ilvl="0" w:tplc="04EE69FA">
      <w:start w:val="1"/>
      <w:numFmt w:val="bullet"/>
      <w:lvlText w:val="-"/>
      <w:lvlJc w:val="left"/>
      <w:pPr>
        <w:ind w:hanging="567"/>
      </w:pPr>
      <w:rPr>
        <w:rFonts w:ascii="Times New Roman" w:eastAsia="Times New Roman" w:hAnsi="Times New Roman" w:hint="default"/>
        <w:sz w:val="22"/>
        <w:szCs w:val="22"/>
      </w:rPr>
    </w:lvl>
    <w:lvl w:ilvl="1" w:tplc="F8CAE2E8">
      <w:start w:val="1"/>
      <w:numFmt w:val="bullet"/>
      <w:lvlText w:val="•"/>
      <w:lvlJc w:val="left"/>
      <w:rPr>
        <w:rFonts w:hint="default"/>
      </w:rPr>
    </w:lvl>
    <w:lvl w:ilvl="2" w:tplc="6FFC99EA">
      <w:start w:val="1"/>
      <w:numFmt w:val="bullet"/>
      <w:lvlText w:val=""/>
      <w:lvlJc w:val="left"/>
      <w:rPr>
        <w:rFonts w:ascii="Symbol" w:hAnsi="Symbol" w:hint="default"/>
        <w:sz w:val="26"/>
        <w:szCs w:val="26"/>
      </w:rPr>
    </w:lvl>
    <w:lvl w:ilvl="3" w:tplc="8B720244">
      <w:start w:val="1"/>
      <w:numFmt w:val="bullet"/>
      <w:lvlText w:val="•"/>
      <w:lvlJc w:val="left"/>
      <w:rPr>
        <w:rFonts w:hint="default"/>
      </w:rPr>
    </w:lvl>
    <w:lvl w:ilvl="4" w:tplc="43AA4A10">
      <w:start w:val="1"/>
      <w:numFmt w:val="bullet"/>
      <w:lvlText w:val="•"/>
      <w:lvlJc w:val="left"/>
      <w:rPr>
        <w:rFonts w:hint="default"/>
      </w:rPr>
    </w:lvl>
    <w:lvl w:ilvl="5" w:tplc="D124E9E4">
      <w:start w:val="1"/>
      <w:numFmt w:val="bullet"/>
      <w:lvlText w:val="•"/>
      <w:lvlJc w:val="left"/>
      <w:rPr>
        <w:rFonts w:hint="default"/>
      </w:rPr>
    </w:lvl>
    <w:lvl w:ilvl="6" w:tplc="91DE619A">
      <w:start w:val="1"/>
      <w:numFmt w:val="bullet"/>
      <w:lvlText w:val="•"/>
      <w:lvlJc w:val="left"/>
      <w:rPr>
        <w:rFonts w:hint="default"/>
      </w:rPr>
    </w:lvl>
    <w:lvl w:ilvl="7" w:tplc="A66AAC90">
      <w:start w:val="1"/>
      <w:numFmt w:val="bullet"/>
      <w:lvlText w:val="•"/>
      <w:lvlJc w:val="left"/>
      <w:rPr>
        <w:rFonts w:hint="default"/>
      </w:rPr>
    </w:lvl>
    <w:lvl w:ilvl="8" w:tplc="833E8582">
      <w:start w:val="1"/>
      <w:numFmt w:val="bullet"/>
      <w:lvlText w:val="•"/>
      <w:lvlJc w:val="left"/>
      <w:rPr>
        <w:rFonts w:hint="default"/>
      </w:rPr>
    </w:lvl>
  </w:abstractNum>
  <w:abstractNum w:abstractNumId="6" w15:restartNumberingAfterBreak="0">
    <w:nsid w:val="07DD551D"/>
    <w:multiLevelType w:val="hybridMultilevel"/>
    <w:tmpl w:val="9FFAA5F2"/>
    <w:lvl w:ilvl="0" w:tplc="3B1CF562">
      <w:start w:val="1"/>
      <w:numFmt w:val="bullet"/>
      <w:lvlText w:val=""/>
      <w:lvlJc w:val="left"/>
      <w:pPr>
        <w:ind w:left="1384" w:hanging="400"/>
      </w:pPr>
      <w:rPr>
        <w:rFonts w:ascii="Symbol" w:hAnsi="Symbol" w:hint="default"/>
        <w:sz w:val="22"/>
        <w:szCs w:val="22"/>
      </w:rPr>
    </w:lvl>
    <w:lvl w:ilvl="1" w:tplc="5CAA402A" w:tentative="1">
      <w:start w:val="1"/>
      <w:numFmt w:val="bullet"/>
      <w:lvlText w:val=""/>
      <w:lvlJc w:val="left"/>
      <w:pPr>
        <w:ind w:left="1784" w:hanging="400"/>
      </w:pPr>
      <w:rPr>
        <w:rFonts w:ascii="Wingdings" w:hAnsi="Wingdings" w:hint="default"/>
      </w:rPr>
    </w:lvl>
    <w:lvl w:ilvl="2" w:tplc="1728DB00" w:tentative="1">
      <w:start w:val="1"/>
      <w:numFmt w:val="bullet"/>
      <w:lvlText w:val=""/>
      <w:lvlJc w:val="left"/>
      <w:pPr>
        <w:ind w:left="2184" w:hanging="400"/>
      </w:pPr>
      <w:rPr>
        <w:rFonts w:ascii="Wingdings" w:hAnsi="Wingdings" w:hint="default"/>
      </w:rPr>
    </w:lvl>
    <w:lvl w:ilvl="3" w:tplc="4496A35C" w:tentative="1">
      <w:start w:val="1"/>
      <w:numFmt w:val="bullet"/>
      <w:lvlText w:val=""/>
      <w:lvlJc w:val="left"/>
      <w:pPr>
        <w:ind w:left="2584" w:hanging="400"/>
      </w:pPr>
      <w:rPr>
        <w:rFonts w:ascii="Wingdings" w:hAnsi="Wingdings" w:hint="default"/>
      </w:rPr>
    </w:lvl>
    <w:lvl w:ilvl="4" w:tplc="72B0556C" w:tentative="1">
      <w:start w:val="1"/>
      <w:numFmt w:val="bullet"/>
      <w:lvlText w:val=""/>
      <w:lvlJc w:val="left"/>
      <w:pPr>
        <w:ind w:left="2984" w:hanging="400"/>
      </w:pPr>
      <w:rPr>
        <w:rFonts w:ascii="Wingdings" w:hAnsi="Wingdings" w:hint="default"/>
      </w:rPr>
    </w:lvl>
    <w:lvl w:ilvl="5" w:tplc="8D765FF2" w:tentative="1">
      <w:start w:val="1"/>
      <w:numFmt w:val="bullet"/>
      <w:lvlText w:val=""/>
      <w:lvlJc w:val="left"/>
      <w:pPr>
        <w:ind w:left="3384" w:hanging="400"/>
      </w:pPr>
      <w:rPr>
        <w:rFonts w:ascii="Wingdings" w:hAnsi="Wingdings" w:hint="default"/>
      </w:rPr>
    </w:lvl>
    <w:lvl w:ilvl="6" w:tplc="269EE318" w:tentative="1">
      <w:start w:val="1"/>
      <w:numFmt w:val="bullet"/>
      <w:lvlText w:val=""/>
      <w:lvlJc w:val="left"/>
      <w:pPr>
        <w:ind w:left="3784" w:hanging="400"/>
      </w:pPr>
      <w:rPr>
        <w:rFonts w:ascii="Wingdings" w:hAnsi="Wingdings" w:hint="default"/>
      </w:rPr>
    </w:lvl>
    <w:lvl w:ilvl="7" w:tplc="A1A81432" w:tentative="1">
      <w:start w:val="1"/>
      <w:numFmt w:val="bullet"/>
      <w:lvlText w:val=""/>
      <w:lvlJc w:val="left"/>
      <w:pPr>
        <w:ind w:left="4184" w:hanging="400"/>
      </w:pPr>
      <w:rPr>
        <w:rFonts w:ascii="Wingdings" w:hAnsi="Wingdings" w:hint="default"/>
      </w:rPr>
    </w:lvl>
    <w:lvl w:ilvl="8" w:tplc="312A8BBC" w:tentative="1">
      <w:start w:val="1"/>
      <w:numFmt w:val="bullet"/>
      <w:lvlText w:val=""/>
      <w:lvlJc w:val="left"/>
      <w:pPr>
        <w:ind w:left="4584" w:hanging="400"/>
      </w:pPr>
      <w:rPr>
        <w:rFonts w:ascii="Wingdings" w:hAnsi="Wingdings" w:hint="default"/>
      </w:rPr>
    </w:lvl>
  </w:abstractNum>
  <w:abstractNum w:abstractNumId="7" w15:restartNumberingAfterBreak="0">
    <w:nsid w:val="0AE47479"/>
    <w:multiLevelType w:val="hybridMultilevel"/>
    <w:tmpl w:val="A3242E1C"/>
    <w:lvl w:ilvl="0" w:tplc="D5C2FD6C">
      <w:start w:val="1"/>
      <w:numFmt w:val="lowerLetter"/>
      <w:lvlText w:val="%1."/>
      <w:lvlJc w:val="left"/>
      <w:pPr>
        <w:ind w:left="684" w:hanging="360"/>
      </w:pPr>
      <w:rPr>
        <w:rFonts w:hint="default"/>
        <w:b/>
      </w:rPr>
    </w:lvl>
    <w:lvl w:ilvl="1" w:tplc="04090019" w:tentative="1">
      <w:start w:val="1"/>
      <w:numFmt w:val="upperLetter"/>
      <w:lvlText w:val="%2."/>
      <w:lvlJc w:val="left"/>
      <w:pPr>
        <w:ind w:left="1124" w:hanging="400"/>
      </w:pPr>
    </w:lvl>
    <w:lvl w:ilvl="2" w:tplc="0409001B" w:tentative="1">
      <w:start w:val="1"/>
      <w:numFmt w:val="lowerRoman"/>
      <w:lvlText w:val="%3."/>
      <w:lvlJc w:val="right"/>
      <w:pPr>
        <w:ind w:left="1524" w:hanging="400"/>
      </w:pPr>
    </w:lvl>
    <w:lvl w:ilvl="3" w:tplc="0409000F" w:tentative="1">
      <w:start w:val="1"/>
      <w:numFmt w:val="decimal"/>
      <w:lvlText w:val="%4."/>
      <w:lvlJc w:val="left"/>
      <w:pPr>
        <w:ind w:left="1924" w:hanging="400"/>
      </w:pPr>
    </w:lvl>
    <w:lvl w:ilvl="4" w:tplc="04090019" w:tentative="1">
      <w:start w:val="1"/>
      <w:numFmt w:val="upperLetter"/>
      <w:lvlText w:val="%5."/>
      <w:lvlJc w:val="left"/>
      <w:pPr>
        <w:ind w:left="2324" w:hanging="400"/>
      </w:pPr>
    </w:lvl>
    <w:lvl w:ilvl="5" w:tplc="0409001B" w:tentative="1">
      <w:start w:val="1"/>
      <w:numFmt w:val="lowerRoman"/>
      <w:lvlText w:val="%6."/>
      <w:lvlJc w:val="right"/>
      <w:pPr>
        <w:ind w:left="2724" w:hanging="400"/>
      </w:pPr>
    </w:lvl>
    <w:lvl w:ilvl="6" w:tplc="0409000F" w:tentative="1">
      <w:start w:val="1"/>
      <w:numFmt w:val="decimal"/>
      <w:lvlText w:val="%7."/>
      <w:lvlJc w:val="left"/>
      <w:pPr>
        <w:ind w:left="3124" w:hanging="400"/>
      </w:pPr>
    </w:lvl>
    <w:lvl w:ilvl="7" w:tplc="04090019" w:tentative="1">
      <w:start w:val="1"/>
      <w:numFmt w:val="upperLetter"/>
      <w:lvlText w:val="%8."/>
      <w:lvlJc w:val="left"/>
      <w:pPr>
        <w:ind w:left="3524" w:hanging="400"/>
      </w:pPr>
    </w:lvl>
    <w:lvl w:ilvl="8" w:tplc="0409001B" w:tentative="1">
      <w:start w:val="1"/>
      <w:numFmt w:val="lowerRoman"/>
      <w:lvlText w:val="%9."/>
      <w:lvlJc w:val="right"/>
      <w:pPr>
        <w:ind w:left="3924" w:hanging="400"/>
      </w:pPr>
    </w:lvl>
  </w:abstractNum>
  <w:abstractNum w:abstractNumId="8" w15:restartNumberingAfterBreak="0">
    <w:nsid w:val="0B492342"/>
    <w:multiLevelType w:val="hybridMultilevel"/>
    <w:tmpl w:val="28A00D86"/>
    <w:lvl w:ilvl="0" w:tplc="0B7AC7CC">
      <w:start w:val="1"/>
      <w:numFmt w:val="decimal"/>
      <w:lvlText w:val="%1."/>
      <w:lvlJc w:val="left"/>
      <w:pPr>
        <w:ind w:left="760" w:hanging="360"/>
      </w:pPr>
      <w:rPr>
        <w:rFonts w:hint="default"/>
      </w:rPr>
    </w:lvl>
    <w:lvl w:ilvl="1" w:tplc="5CC2FFFA" w:tentative="1">
      <w:start w:val="1"/>
      <w:numFmt w:val="upperLetter"/>
      <w:lvlText w:val="%2."/>
      <w:lvlJc w:val="left"/>
      <w:pPr>
        <w:ind w:left="1200" w:hanging="400"/>
      </w:pPr>
    </w:lvl>
    <w:lvl w:ilvl="2" w:tplc="C4A8162C" w:tentative="1">
      <w:start w:val="1"/>
      <w:numFmt w:val="lowerRoman"/>
      <w:lvlText w:val="%3."/>
      <w:lvlJc w:val="right"/>
      <w:pPr>
        <w:ind w:left="1600" w:hanging="400"/>
      </w:pPr>
    </w:lvl>
    <w:lvl w:ilvl="3" w:tplc="0A12C8AC" w:tentative="1">
      <w:start w:val="1"/>
      <w:numFmt w:val="decimal"/>
      <w:lvlText w:val="%4."/>
      <w:lvlJc w:val="left"/>
      <w:pPr>
        <w:ind w:left="2000" w:hanging="400"/>
      </w:pPr>
    </w:lvl>
    <w:lvl w:ilvl="4" w:tplc="E19CCD88" w:tentative="1">
      <w:start w:val="1"/>
      <w:numFmt w:val="upperLetter"/>
      <w:lvlText w:val="%5."/>
      <w:lvlJc w:val="left"/>
      <w:pPr>
        <w:ind w:left="2400" w:hanging="400"/>
      </w:pPr>
    </w:lvl>
    <w:lvl w:ilvl="5" w:tplc="838872AC" w:tentative="1">
      <w:start w:val="1"/>
      <w:numFmt w:val="lowerRoman"/>
      <w:lvlText w:val="%6."/>
      <w:lvlJc w:val="right"/>
      <w:pPr>
        <w:ind w:left="2800" w:hanging="400"/>
      </w:pPr>
    </w:lvl>
    <w:lvl w:ilvl="6" w:tplc="C680DA76" w:tentative="1">
      <w:start w:val="1"/>
      <w:numFmt w:val="decimal"/>
      <w:lvlText w:val="%7."/>
      <w:lvlJc w:val="left"/>
      <w:pPr>
        <w:ind w:left="3200" w:hanging="400"/>
      </w:pPr>
    </w:lvl>
    <w:lvl w:ilvl="7" w:tplc="77CAF01C" w:tentative="1">
      <w:start w:val="1"/>
      <w:numFmt w:val="upperLetter"/>
      <w:lvlText w:val="%8."/>
      <w:lvlJc w:val="left"/>
      <w:pPr>
        <w:ind w:left="3600" w:hanging="400"/>
      </w:pPr>
    </w:lvl>
    <w:lvl w:ilvl="8" w:tplc="0FB4EE08" w:tentative="1">
      <w:start w:val="1"/>
      <w:numFmt w:val="lowerRoman"/>
      <w:lvlText w:val="%9."/>
      <w:lvlJc w:val="right"/>
      <w:pPr>
        <w:ind w:left="4000" w:hanging="400"/>
      </w:pPr>
    </w:lvl>
  </w:abstractNum>
  <w:abstractNum w:abstractNumId="9" w15:restartNumberingAfterBreak="0">
    <w:nsid w:val="0C5550FC"/>
    <w:multiLevelType w:val="hybridMultilevel"/>
    <w:tmpl w:val="FF08613C"/>
    <w:lvl w:ilvl="0" w:tplc="FB663DB6">
      <w:start w:val="1"/>
      <w:numFmt w:val="decimal"/>
      <w:lvlText w:val="%1."/>
      <w:lvlJc w:val="left"/>
      <w:pPr>
        <w:ind w:left="360" w:hanging="360"/>
      </w:pPr>
      <w:rPr>
        <w:rFonts w:ascii="Times New Roman" w:hAnsi="Times New Roman" w:cs="Times New Roman" w:hint="default"/>
        <w:b/>
      </w:rPr>
    </w:lvl>
    <w:lvl w:ilvl="1" w:tplc="CBE83282" w:tentative="1">
      <w:start w:val="1"/>
      <w:numFmt w:val="upperLetter"/>
      <w:lvlText w:val="%2."/>
      <w:lvlJc w:val="left"/>
      <w:pPr>
        <w:ind w:left="908" w:hanging="400"/>
      </w:pPr>
    </w:lvl>
    <w:lvl w:ilvl="2" w:tplc="EF3690A8" w:tentative="1">
      <w:start w:val="1"/>
      <w:numFmt w:val="lowerRoman"/>
      <w:lvlText w:val="%3."/>
      <w:lvlJc w:val="right"/>
      <w:pPr>
        <w:ind w:left="1308" w:hanging="400"/>
      </w:pPr>
    </w:lvl>
    <w:lvl w:ilvl="3" w:tplc="E7CE5F38" w:tentative="1">
      <w:start w:val="1"/>
      <w:numFmt w:val="decimal"/>
      <w:lvlText w:val="%4."/>
      <w:lvlJc w:val="left"/>
      <w:pPr>
        <w:ind w:left="1708" w:hanging="400"/>
      </w:pPr>
    </w:lvl>
    <w:lvl w:ilvl="4" w:tplc="5B82EE9C" w:tentative="1">
      <w:start w:val="1"/>
      <w:numFmt w:val="upperLetter"/>
      <w:lvlText w:val="%5."/>
      <w:lvlJc w:val="left"/>
      <w:pPr>
        <w:ind w:left="2108" w:hanging="400"/>
      </w:pPr>
    </w:lvl>
    <w:lvl w:ilvl="5" w:tplc="942A8A16" w:tentative="1">
      <w:start w:val="1"/>
      <w:numFmt w:val="lowerRoman"/>
      <w:lvlText w:val="%6."/>
      <w:lvlJc w:val="right"/>
      <w:pPr>
        <w:ind w:left="2508" w:hanging="400"/>
      </w:pPr>
    </w:lvl>
    <w:lvl w:ilvl="6" w:tplc="E2DCB120" w:tentative="1">
      <w:start w:val="1"/>
      <w:numFmt w:val="decimal"/>
      <w:lvlText w:val="%7."/>
      <w:lvlJc w:val="left"/>
      <w:pPr>
        <w:ind w:left="2908" w:hanging="400"/>
      </w:pPr>
    </w:lvl>
    <w:lvl w:ilvl="7" w:tplc="99B059FA" w:tentative="1">
      <w:start w:val="1"/>
      <w:numFmt w:val="upperLetter"/>
      <w:lvlText w:val="%8."/>
      <w:lvlJc w:val="left"/>
      <w:pPr>
        <w:ind w:left="3308" w:hanging="400"/>
      </w:pPr>
    </w:lvl>
    <w:lvl w:ilvl="8" w:tplc="3266C558" w:tentative="1">
      <w:start w:val="1"/>
      <w:numFmt w:val="lowerRoman"/>
      <w:lvlText w:val="%9."/>
      <w:lvlJc w:val="right"/>
      <w:pPr>
        <w:ind w:left="3708" w:hanging="400"/>
      </w:pPr>
    </w:lvl>
  </w:abstractNum>
  <w:abstractNum w:abstractNumId="10" w15:restartNumberingAfterBreak="0">
    <w:nsid w:val="0CF41E08"/>
    <w:multiLevelType w:val="hybridMultilevel"/>
    <w:tmpl w:val="907EA39E"/>
    <w:lvl w:ilvl="0" w:tplc="5CEA0DD6">
      <w:start w:val="1"/>
      <w:numFmt w:val="decimal"/>
      <w:lvlText w:val="%1"/>
      <w:lvlJc w:val="left"/>
      <w:pPr>
        <w:ind w:hanging="180"/>
      </w:pPr>
      <w:rPr>
        <w:rFonts w:ascii="Times New Roman" w:eastAsia="Times New Roman" w:hAnsi="Times New Roman" w:cs="Times New Roman"/>
        <w:w w:val="99"/>
        <w:position w:val="0"/>
        <w:sz w:val="22"/>
        <w:szCs w:val="22"/>
        <w:vertAlign w:val="superscript"/>
      </w:rPr>
    </w:lvl>
    <w:lvl w:ilvl="1" w:tplc="18ACDDEE">
      <w:start w:val="1"/>
      <w:numFmt w:val="bullet"/>
      <w:lvlText w:val="•"/>
      <w:lvlJc w:val="left"/>
      <w:rPr>
        <w:rFonts w:hint="default"/>
      </w:rPr>
    </w:lvl>
    <w:lvl w:ilvl="2" w:tplc="9BEC1862">
      <w:start w:val="1"/>
      <w:numFmt w:val="bullet"/>
      <w:lvlText w:val="•"/>
      <w:lvlJc w:val="left"/>
      <w:rPr>
        <w:rFonts w:hint="default"/>
      </w:rPr>
    </w:lvl>
    <w:lvl w:ilvl="3" w:tplc="ED6A85D2">
      <w:start w:val="1"/>
      <w:numFmt w:val="bullet"/>
      <w:lvlText w:val="•"/>
      <w:lvlJc w:val="left"/>
      <w:rPr>
        <w:rFonts w:hint="default"/>
      </w:rPr>
    </w:lvl>
    <w:lvl w:ilvl="4" w:tplc="604CC106">
      <w:start w:val="1"/>
      <w:numFmt w:val="bullet"/>
      <w:lvlText w:val="•"/>
      <w:lvlJc w:val="left"/>
      <w:rPr>
        <w:rFonts w:hint="default"/>
      </w:rPr>
    </w:lvl>
    <w:lvl w:ilvl="5" w:tplc="9A260D94">
      <w:start w:val="1"/>
      <w:numFmt w:val="bullet"/>
      <w:lvlText w:val="•"/>
      <w:lvlJc w:val="left"/>
      <w:rPr>
        <w:rFonts w:hint="default"/>
      </w:rPr>
    </w:lvl>
    <w:lvl w:ilvl="6" w:tplc="235A9882">
      <w:start w:val="1"/>
      <w:numFmt w:val="bullet"/>
      <w:lvlText w:val="•"/>
      <w:lvlJc w:val="left"/>
      <w:rPr>
        <w:rFonts w:hint="default"/>
      </w:rPr>
    </w:lvl>
    <w:lvl w:ilvl="7" w:tplc="34F635A4">
      <w:start w:val="1"/>
      <w:numFmt w:val="bullet"/>
      <w:lvlText w:val="•"/>
      <w:lvlJc w:val="left"/>
      <w:rPr>
        <w:rFonts w:hint="default"/>
      </w:rPr>
    </w:lvl>
    <w:lvl w:ilvl="8" w:tplc="38FC761E">
      <w:start w:val="1"/>
      <w:numFmt w:val="bullet"/>
      <w:lvlText w:val="•"/>
      <w:lvlJc w:val="left"/>
      <w:rPr>
        <w:rFonts w:hint="default"/>
      </w:rPr>
    </w:lvl>
  </w:abstractNum>
  <w:abstractNum w:abstractNumId="11" w15:restartNumberingAfterBreak="0">
    <w:nsid w:val="0DFB7E6A"/>
    <w:multiLevelType w:val="hybridMultilevel"/>
    <w:tmpl w:val="8870B8B8"/>
    <w:lvl w:ilvl="0" w:tplc="CFB04482">
      <w:start w:val="1"/>
      <w:numFmt w:val="lowerLetter"/>
      <w:lvlText w:val="%1."/>
      <w:lvlJc w:val="left"/>
      <w:pPr>
        <w:ind w:left="780" w:hanging="360"/>
      </w:pPr>
      <w:rPr>
        <w:rFonts w:eastAsia="Times New Roman" w:hint="default"/>
        <w:b/>
      </w:rPr>
    </w:lvl>
    <w:lvl w:ilvl="1" w:tplc="040E0019" w:tentative="1">
      <w:start w:val="1"/>
      <w:numFmt w:val="lowerLetter"/>
      <w:lvlText w:val="%2."/>
      <w:lvlJc w:val="left"/>
      <w:pPr>
        <w:ind w:left="1500" w:hanging="360"/>
      </w:pPr>
    </w:lvl>
    <w:lvl w:ilvl="2" w:tplc="040E001B" w:tentative="1">
      <w:start w:val="1"/>
      <w:numFmt w:val="lowerRoman"/>
      <w:lvlText w:val="%3."/>
      <w:lvlJc w:val="right"/>
      <w:pPr>
        <w:ind w:left="2220" w:hanging="180"/>
      </w:pPr>
    </w:lvl>
    <w:lvl w:ilvl="3" w:tplc="040E000F" w:tentative="1">
      <w:start w:val="1"/>
      <w:numFmt w:val="decimal"/>
      <w:lvlText w:val="%4."/>
      <w:lvlJc w:val="left"/>
      <w:pPr>
        <w:ind w:left="2940" w:hanging="360"/>
      </w:pPr>
    </w:lvl>
    <w:lvl w:ilvl="4" w:tplc="040E0019" w:tentative="1">
      <w:start w:val="1"/>
      <w:numFmt w:val="lowerLetter"/>
      <w:lvlText w:val="%5."/>
      <w:lvlJc w:val="left"/>
      <w:pPr>
        <w:ind w:left="3660" w:hanging="360"/>
      </w:pPr>
    </w:lvl>
    <w:lvl w:ilvl="5" w:tplc="040E001B" w:tentative="1">
      <w:start w:val="1"/>
      <w:numFmt w:val="lowerRoman"/>
      <w:lvlText w:val="%6."/>
      <w:lvlJc w:val="right"/>
      <w:pPr>
        <w:ind w:left="4380" w:hanging="180"/>
      </w:pPr>
    </w:lvl>
    <w:lvl w:ilvl="6" w:tplc="040E000F" w:tentative="1">
      <w:start w:val="1"/>
      <w:numFmt w:val="decimal"/>
      <w:lvlText w:val="%7."/>
      <w:lvlJc w:val="left"/>
      <w:pPr>
        <w:ind w:left="5100" w:hanging="360"/>
      </w:pPr>
    </w:lvl>
    <w:lvl w:ilvl="7" w:tplc="040E0019" w:tentative="1">
      <w:start w:val="1"/>
      <w:numFmt w:val="lowerLetter"/>
      <w:lvlText w:val="%8."/>
      <w:lvlJc w:val="left"/>
      <w:pPr>
        <w:ind w:left="5820" w:hanging="360"/>
      </w:pPr>
    </w:lvl>
    <w:lvl w:ilvl="8" w:tplc="040E001B" w:tentative="1">
      <w:start w:val="1"/>
      <w:numFmt w:val="lowerRoman"/>
      <w:lvlText w:val="%9."/>
      <w:lvlJc w:val="right"/>
      <w:pPr>
        <w:ind w:left="6540" w:hanging="180"/>
      </w:pPr>
    </w:lvl>
  </w:abstractNum>
  <w:abstractNum w:abstractNumId="12" w15:restartNumberingAfterBreak="0">
    <w:nsid w:val="0E045CF0"/>
    <w:multiLevelType w:val="hybridMultilevel"/>
    <w:tmpl w:val="FF08613C"/>
    <w:lvl w:ilvl="0" w:tplc="FB663DB6">
      <w:start w:val="1"/>
      <w:numFmt w:val="decimal"/>
      <w:lvlText w:val="%1."/>
      <w:lvlJc w:val="left"/>
      <w:pPr>
        <w:ind w:left="360" w:hanging="360"/>
      </w:pPr>
      <w:rPr>
        <w:rFonts w:ascii="Times New Roman" w:hAnsi="Times New Roman" w:cs="Times New Roman" w:hint="default"/>
        <w:b/>
      </w:rPr>
    </w:lvl>
    <w:lvl w:ilvl="1" w:tplc="CBE83282" w:tentative="1">
      <w:start w:val="1"/>
      <w:numFmt w:val="upperLetter"/>
      <w:lvlText w:val="%2."/>
      <w:lvlJc w:val="left"/>
      <w:pPr>
        <w:ind w:left="908" w:hanging="400"/>
      </w:pPr>
    </w:lvl>
    <w:lvl w:ilvl="2" w:tplc="EF3690A8" w:tentative="1">
      <w:start w:val="1"/>
      <w:numFmt w:val="lowerRoman"/>
      <w:lvlText w:val="%3."/>
      <w:lvlJc w:val="right"/>
      <w:pPr>
        <w:ind w:left="1308" w:hanging="400"/>
      </w:pPr>
    </w:lvl>
    <w:lvl w:ilvl="3" w:tplc="E7CE5F38" w:tentative="1">
      <w:start w:val="1"/>
      <w:numFmt w:val="decimal"/>
      <w:lvlText w:val="%4."/>
      <w:lvlJc w:val="left"/>
      <w:pPr>
        <w:ind w:left="1708" w:hanging="400"/>
      </w:pPr>
    </w:lvl>
    <w:lvl w:ilvl="4" w:tplc="5B82EE9C" w:tentative="1">
      <w:start w:val="1"/>
      <w:numFmt w:val="upperLetter"/>
      <w:lvlText w:val="%5."/>
      <w:lvlJc w:val="left"/>
      <w:pPr>
        <w:ind w:left="2108" w:hanging="400"/>
      </w:pPr>
    </w:lvl>
    <w:lvl w:ilvl="5" w:tplc="942A8A16" w:tentative="1">
      <w:start w:val="1"/>
      <w:numFmt w:val="lowerRoman"/>
      <w:lvlText w:val="%6."/>
      <w:lvlJc w:val="right"/>
      <w:pPr>
        <w:ind w:left="2508" w:hanging="400"/>
      </w:pPr>
    </w:lvl>
    <w:lvl w:ilvl="6" w:tplc="E2DCB120" w:tentative="1">
      <w:start w:val="1"/>
      <w:numFmt w:val="decimal"/>
      <w:lvlText w:val="%7."/>
      <w:lvlJc w:val="left"/>
      <w:pPr>
        <w:ind w:left="2908" w:hanging="400"/>
      </w:pPr>
    </w:lvl>
    <w:lvl w:ilvl="7" w:tplc="99B059FA" w:tentative="1">
      <w:start w:val="1"/>
      <w:numFmt w:val="upperLetter"/>
      <w:lvlText w:val="%8."/>
      <w:lvlJc w:val="left"/>
      <w:pPr>
        <w:ind w:left="3308" w:hanging="400"/>
      </w:pPr>
    </w:lvl>
    <w:lvl w:ilvl="8" w:tplc="3266C558" w:tentative="1">
      <w:start w:val="1"/>
      <w:numFmt w:val="lowerRoman"/>
      <w:lvlText w:val="%9."/>
      <w:lvlJc w:val="right"/>
      <w:pPr>
        <w:ind w:left="3708" w:hanging="400"/>
      </w:pPr>
    </w:lvl>
  </w:abstractNum>
  <w:abstractNum w:abstractNumId="13" w15:restartNumberingAfterBreak="0">
    <w:nsid w:val="0FAA2FDE"/>
    <w:multiLevelType w:val="hybridMultilevel"/>
    <w:tmpl w:val="3D02C536"/>
    <w:lvl w:ilvl="0" w:tplc="82BE2B0C">
      <w:start w:val="1"/>
      <w:numFmt w:val="bullet"/>
      <w:lvlText w:val="•"/>
      <w:lvlJc w:val="left"/>
      <w:pPr>
        <w:ind w:left="1024" w:hanging="400"/>
      </w:pPr>
      <w:rPr>
        <w:rFonts w:ascii="Times New Roman" w:eastAsia="Times New Roman" w:hAnsi="Times New Roman" w:hint="default"/>
        <w:sz w:val="22"/>
        <w:szCs w:val="22"/>
      </w:rPr>
    </w:lvl>
    <w:lvl w:ilvl="1" w:tplc="F9EEB93A" w:tentative="1">
      <w:start w:val="1"/>
      <w:numFmt w:val="bullet"/>
      <w:lvlText w:val=""/>
      <w:lvlJc w:val="left"/>
      <w:pPr>
        <w:ind w:left="1424" w:hanging="400"/>
      </w:pPr>
      <w:rPr>
        <w:rFonts w:ascii="Wingdings" w:hAnsi="Wingdings" w:hint="default"/>
      </w:rPr>
    </w:lvl>
    <w:lvl w:ilvl="2" w:tplc="650AA620" w:tentative="1">
      <w:start w:val="1"/>
      <w:numFmt w:val="bullet"/>
      <w:lvlText w:val=""/>
      <w:lvlJc w:val="left"/>
      <w:pPr>
        <w:ind w:left="1824" w:hanging="400"/>
      </w:pPr>
      <w:rPr>
        <w:rFonts w:ascii="Wingdings" w:hAnsi="Wingdings" w:hint="default"/>
      </w:rPr>
    </w:lvl>
    <w:lvl w:ilvl="3" w:tplc="B5A4C1DA" w:tentative="1">
      <w:start w:val="1"/>
      <w:numFmt w:val="bullet"/>
      <w:lvlText w:val=""/>
      <w:lvlJc w:val="left"/>
      <w:pPr>
        <w:ind w:left="2224" w:hanging="400"/>
      </w:pPr>
      <w:rPr>
        <w:rFonts w:ascii="Wingdings" w:hAnsi="Wingdings" w:hint="default"/>
      </w:rPr>
    </w:lvl>
    <w:lvl w:ilvl="4" w:tplc="4BFEBFC2" w:tentative="1">
      <w:start w:val="1"/>
      <w:numFmt w:val="bullet"/>
      <w:lvlText w:val=""/>
      <w:lvlJc w:val="left"/>
      <w:pPr>
        <w:ind w:left="2624" w:hanging="400"/>
      </w:pPr>
      <w:rPr>
        <w:rFonts w:ascii="Wingdings" w:hAnsi="Wingdings" w:hint="default"/>
      </w:rPr>
    </w:lvl>
    <w:lvl w:ilvl="5" w:tplc="0D781E4E" w:tentative="1">
      <w:start w:val="1"/>
      <w:numFmt w:val="bullet"/>
      <w:lvlText w:val=""/>
      <w:lvlJc w:val="left"/>
      <w:pPr>
        <w:ind w:left="3024" w:hanging="400"/>
      </w:pPr>
      <w:rPr>
        <w:rFonts w:ascii="Wingdings" w:hAnsi="Wingdings" w:hint="default"/>
      </w:rPr>
    </w:lvl>
    <w:lvl w:ilvl="6" w:tplc="F14C8558" w:tentative="1">
      <w:start w:val="1"/>
      <w:numFmt w:val="bullet"/>
      <w:lvlText w:val=""/>
      <w:lvlJc w:val="left"/>
      <w:pPr>
        <w:ind w:left="3424" w:hanging="400"/>
      </w:pPr>
      <w:rPr>
        <w:rFonts w:ascii="Wingdings" w:hAnsi="Wingdings" w:hint="default"/>
      </w:rPr>
    </w:lvl>
    <w:lvl w:ilvl="7" w:tplc="EFB0DAD6" w:tentative="1">
      <w:start w:val="1"/>
      <w:numFmt w:val="bullet"/>
      <w:lvlText w:val=""/>
      <w:lvlJc w:val="left"/>
      <w:pPr>
        <w:ind w:left="3824" w:hanging="400"/>
      </w:pPr>
      <w:rPr>
        <w:rFonts w:ascii="Wingdings" w:hAnsi="Wingdings" w:hint="default"/>
      </w:rPr>
    </w:lvl>
    <w:lvl w:ilvl="8" w:tplc="013CAB5C" w:tentative="1">
      <w:start w:val="1"/>
      <w:numFmt w:val="bullet"/>
      <w:lvlText w:val=""/>
      <w:lvlJc w:val="left"/>
      <w:pPr>
        <w:ind w:left="4224" w:hanging="400"/>
      </w:pPr>
      <w:rPr>
        <w:rFonts w:ascii="Wingdings" w:hAnsi="Wingdings" w:hint="default"/>
      </w:rPr>
    </w:lvl>
  </w:abstractNum>
  <w:abstractNum w:abstractNumId="14" w15:restartNumberingAfterBreak="0">
    <w:nsid w:val="11D67918"/>
    <w:multiLevelType w:val="hybridMultilevel"/>
    <w:tmpl w:val="0202733C"/>
    <w:lvl w:ilvl="0" w:tplc="19CABBF4">
      <w:start w:val="1"/>
      <w:numFmt w:val="lowerLetter"/>
      <w:lvlText w:val="%1."/>
      <w:lvlJc w:val="left"/>
      <w:pPr>
        <w:ind w:left="675" w:hanging="360"/>
      </w:pPr>
      <w:rPr>
        <w:rFonts w:eastAsia="Times New Roman" w:hint="default"/>
        <w:b/>
      </w:rPr>
    </w:lvl>
    <w:lvl w:ilvl="1" w:tplc="040E0019" w:tentative="1">
      <w:start w:val="1"/>
      <w:numFmt w:val="lowerLetter"/>
      <w:lvlText w:val="%2."/>
      <w:lvlJc w:val="left"/>
      <w:pPr>
        <w:ind w:left="1395" w:hanging="360"/>
      </w:pPr>
    </w:lvl>
    <w:lvl w:ilvl="2" w:tplc="040E001B" w:tentative="1">
      <w:start w:val="1"/>
      <w:numFmt w:val="lowerRoman"/>
      <w:lvlText w:val="%3."/>
      <w:lvlJc w:val="right"/>
      <w:pPr>
        <w:ind w:left="2115" w:hanging="180"/>
      </w:pPr>
    </w:lvl>
    <w:lvl w:ilvl="3" w:tplc="040E000F" w:tentative="1">
      <w:start w:val="1"/>
      <w:numFmt w:val="decimal"/>
      <w:lvlText w:val="%4."/>
      <w:lvlJc w:val="left"/>
      <w:pPr>
        <w:ind w:left="2835" w:hanging="360"/>
      </w:pPr>
    </w:lvl>
    <w:lvl w:ilvl="4" w:tplc="040E0019" w:tentative="1">
      <w:start w:val="1"/>
      <w:numFmt w:val="lowerLetter"/>
      <w:lvlText w:val="%5."/>
      <w:lvlJc w:val="left"/>
      <w:pPr>
        <w:ind w:left="3555" w:hanging="360"/>
      </w:pPr>
    </w:lvl>
    <w:lvl w:ilvl="5" w:tplc="040E001B" w:tentative="1">
      <w:start w:val="1"/>
      <w:numFmt w:val="lowerRoman"/>
      <w:lvlText w:val="%6."/>
      <w:lvlJc w:val="right"/>
      <w:pPr>
        <w:ind w:left="4275" w:hanging="180"/>
      </w:pPr>
    </w:lvl>
    <w:lvl w:ilvl="6" w:tplc="040E000F" w:tentative="1">
      <w:start w:val="1"/>
      <w:numFmt w:val="decimal"/>
      <w:lvlText w:val="%7."/>
      <w:lvlJc w:val="left"/>
      <w:pPr>
        <w:ind w:left="4995" w:hanging="360"/>
      </w:pPr>
    </w:lvl>
    <w:lvl w:ilvl="7" w:tplc="040E0019" w:tentative="1">
      <w:start w:val="1"/>
      <w:numFmt w:val="lowerLetter"/>
      <w:lvlText w:val="%8."/>
      <w:lvlJc w:val="left"/>
      <w:pPr>
        <w:ind w:left="5715" w:hanging="360"/>
      </w:pPr>
    </w:lvl>
    <w:lvl w:ilvl="8" w:tplc="040E001B" w:tentative="1">
      <w:start w:val="1"/>
      <w:numFmt w:val="lowerRoman"/>
      <w:lvlText w:val="%9."/>
      <w:lvlJc w:val="right"/>
      <w:pPr>
        <w:ind w:left="6435" w:hanging="180"/>
      </w:pPr>
    </w:lvl>
  </w:abstractNum>
  <w:abstractNum w:abstractNumId="15" w15:restartNumberingAfterBreak="0">
    <w:nsid w:val="122E3096"/>
    <w:multiLevelType w:val="hybridMultilevel"/>
    <w:tmpl w:val="84E23A9A"/>
    <w:lvl w:ilvl="0" w:tplc="10666808">
      <w:start w:val="1"/>
      <w:numFmt w:val="lowerLetter"/>
      <w:lvlText w:val="%1."/>
      <w:lvlJc w:val="left"/>
      <w:pPr>
        <w:ind w:left="675" w:hanging="360"/>
      </w:pPr>
      <w:rPr>
        <w:rFonts w:eastAsia="Times New Roman" w:hint="default"/>
        <w:b/>
      </w:rPr>
    </w:lvl>
    <w:lvl w:ilvl="1" w:tplc="040E0019" w:tentative="1">
      <w:start w:val="1"/>
      <w:numFmt w:val="lowerLetter"/>
      <w:lvlText w:val="%2."/>
      <w:lvlJc w:val="left"/>
      <w:pPr>
        <w:ind w:left="1395" w:hanging="360"/>
      </w:pPr>
    </w:lvl>
    <w:lvl w:ilvl="2" w:tplc="040E001B" w:tentative="1">
      <w:start w:val="1"/>
      <w:numFmt w:val="lowerRoman"/>
      <w:lvlText w:val="%3."/>
      <w:lvlJc w:val="right"/>
      <w:pPr>
        <w:ind w:left="2115" w:hanging="180"/>
      </w:pPr>
    </w:lvl>
    <w:lvl w:ilvl="3" w:tplc="040E000F" w:tentative="1">
      <w:start w:val="1"/>
      <w:numFmt w:val="decimal"/>
      <w:lvlText w:val="%4."/>
      <w:lvlJc w:val="left"/>
      <w:pPr>
        <w:ind w:left="2835" w:hanging="360"/>
      </w:pPr>
    </w:lvl>
    <w:lvl w:ilvl="4" w:tplc="040E0019" w:tentative="1">
      <w:start w:val="1"/>
      <w:numFmt w:val="lowerLetter"/>
      <w:lvlText w:val="%5."/>
      <w:lvlJc w:val="left"/>
      <w:pPr>
        <w:ind w:left="3555" w:hanging="360"/>
      </w:pPr>
    </w:lvl>
    <w:lvl w:ilvl="5" w:tplc="040E001B" w:tentative="1">
      <w:start w:val="1"/>
      <w:numFmt w:val="lowerRoman"/>
      <w:lvlText w:val="%6."/>
      <w:lvlJc w:val="right"/>
      <w:pPr>
        <w:ind w:left="4275" w:hanging="180"/>
      </w:pPr>
    </w:lvl>
    <w:lvl w:ilvl="6" w:tplc="040E000F" w:tentative="1">
      <w:start w:val="1"/>
      <w:numFmt w:val="decimal"/>
      <w:lvlText w:val="%7."/>
      <w:lvlJc w:val="left"/>
      <w:pPr>
        <w:ind w:left="4995" w:hanging="360"/>
      </w:pPr>
    </w:lvl>
    <w:lvl w:ilvl="7" w:tplc="040E0019" w:tentative="1">
      <w:start w:val="1"/>
      <w:numFmt w:val="lowerLetter"/>
      <w:lvlText w:val="%8."/>
      <w:lvlJc w:val="left"/>
      <w:pPr>
        <w:ind w:left="5715" w:hanging="360"/>
      </w:pPr>
    </w:lvl>
    <w:lvl w:ilvl="8" w:tplc="040E001B" w:tentative="1">
      <w:start w:val="1"/>
      <w:numFmt w:val="lowerRoman"/>
      <w:lvlText w:val="%9."/>
      <w:lvlJc w:val="right"/>
      <w:pPr>
        <w:ind w:left="6435" w:hanging="180"/>
      </w:pPr>
    </w:lvl>
  </w:abstractNum>
  <w:abstractNum w:abstractNumId="16" w15:restartNumberingAfterBreak="0">
    <w:nsid w:val="141D4C66"/>
    <w:multiLevelType w:val="hybridMultilevel"/>
    <w:tmpl w:val="5ED0E810"/>
    <w:lvl w:ilvl="0" w:tplc="BD282E3C">
      <w:start w:val="1"/>
      <w:numFmt w:val="bullet"/>
      <w:lvlText w:val=""/>
      <w:lvlJc w:val="left"/>
      <w:pPr>
        <w:ind w:left="720" w:hanging="360"/>
      </w:pPr>
      <w:rPr>
        <w:rFonts w:ascii="Symbol" w:hAnsi="Symbol" w:hint="default"/>
      </w:rPr>
    </w:lvl>
    <w:lvl w:ilvl="1" w:tplc="2AD6BE42" w:tentative="1">
      <w:start w:val="1"/>
      <w:numFmt w:val="bullet"/>
      <w:lvlText w:val="o"/>
      <w:lvlJc w:val="left"/>
      <w:pPr>
        <w:ind w:left="1440" w:hanging="360"/>
      </w:pPr>
      <w:rPr>
        <w:rFonts w:ascii="Courier New" w:hAnsi="Courier New" w:cs="Courier New" w:hint="default"/>
      </w:rPr>
    </w:lvl>
    <w:lvl w:ilvl="2" w:tplc="A34E83B6" w:tentative="1">
      <w:start w:val="1"/>
      <w:numFmt w:val="bullet"/>
      <w:lvlText w:val=""/>
      <w:lvlJc w:val="left"/>
      <w:pPr>
        <w:ind w:left="2160" w:hanging="360"/>
      </w:pPr>
      <w:rPr>
        <w:rFonts w:ascii="Wingdings" w:hAnsi="Wingdings" w:hint="default"/>
      </w:rPr>
    </w:lvl>
    <w:lvl w:ilvl="3" w:tplc="748ECB60" w:tentative="1">
      <w:start w:val="1"/>
      <w:numFmt w:val="bullet"/>
      <w:lvlText w:val=""/>
      <w:lvlJc w:val="left"/>
      <w:pPr>
        <w:ind w:left="2880" w:hanging="360"/>
      </w:pPr>
      <w:rPr>
        <w:rFonts w:ascii="Symbol" w:hAnsi="Symbol" w:hint="default"/>
      </w:rPr>
    </w:lvl>
    <w:lvl w:ilvl="4" w:tplc="DE2CEB9A" w:tentative="1">
      <w:start w:val="1"/>
      <w:numFmt w:val="bullet"/>
      <w:lvlText w:val="o"/>
      <w:lvlJc w:val="left"/>
      <w:pPr>
        <w:ind w:left="3600" w:hanging="360"/>
      </w:pPr>
      <w:rPr>
        <w:rFonts w:ascii="Courier New" w:hAnsi="Courier New" w:cs="Courier New" w:hint="default"/>
      </w:rPr>
    </w:lvl>
    <w:lvl w:ilvl="5" w:tplc="1C5414E8" w:tentative="1">
      <w:start w:val="1"/>
      <w:numFmt w:val="bullet"/>
      <w:lvlText w:val=""/>
      <w:lvlJc w:val="left"/>
      <w:pPr>
        <w:ind w:left="4320" w:hanging="360"/>
      </w:pPr>
      <w:rPr>
        <w:rFonts w:ascii="Wingdings" w:hAnsi="Wingdings" w:hint="default"/>
      </w:rPr>
    </w:lvl>
    <w:lvl w:ilvl="6" w:tplc="734EDAF2" w:tentative="1">
      <w:start w:val="1"/>
      <w:numFmt w:val="bullet"/>
      <w:lvlText w:val=""/>
      <w:lvlJc w:val="left"/>
      <w:pPr>
        <w:ind w:left="5040" w:hanging="360"/>
      </w:pPr>
      <w:rPr>
        <w:rFonts w:ascii="Symbol" w:hAnsi="Symbol" w:hint="default"/>
      </w:rPr>
    </w:lvl>
    <w:lvl w:ilvl="7" w:tplc="116C9E86" w:tentative="1">
      <w:start w:val="1"/>
      <w:numFmt w:val="bullet"/>
      <w:lvlText w:val="o"/>
      <w:lvlJc w:val="left"/>
      <w:pPr>
        <w:ind w:left="5760" w:hanging="360"/>
      </w:pPr>
      <w:rPr>
        <w:rFonts w:ascii="Courier New" w:hAnsi="Courier New" w:cs="Courier New" w:hint="default"/>
      </w:rPr>
    </w:lvl>
    <w:lvl w:ilvl="8" w:tplc="1416DF1E" w:tentative="1">
      <w:start w:val="1"/>
      <w:numFmt w:val="bullet"/>
      <w:lvlText w:val=""/>
      <w:lvlJc w:val="left"/>
      <w:pPr>
        <w:ind w:left="6480" w:hanging="360"/>
      </w:pPr>
      <w:rPr>
        <w:rFonts w:ascii="Wingdings" w:hAnsi="Wingdings" w:hint="default"/>
      </w:rPr>
    </w:lvl>
  </w:abstractNum>
  <w:abstractNum w:abstractNumId="17" w15:restartNumberingAfterBreak="0">
    <w:nsid w:val="1573096C"/>
    <w:multiLevelType w:val="hybridMultilevel"/>
    <w:tmpl w:val="339C2F6A"/>
    <w:lvl w:ilvl="0" w:tplc="F61AE02C">
      <w:start w:val="1"/>
      <w:numFmt w:val="decimal"/>
      <w:lvlText w:val="%1."/>
      <w:lvlJc w:val="left"/>
      <w:pPr>
        <w:ind w:hanging="562"/>
      </w:pPr>
      <w:rPr>
        <w:rFonts w:ascii="Times New Roman" w:eastAsia="Times New Roman" w:hAnsi="Times New Roman" w:hint="default"/>
        <w:b/>
        <w:bCs/>
        <w:sz w:val="22"/>
        <w:szCs w:val="22"/>
      </w:rPr>
    </w:lvl>
    <w:lvl w:ilvl="1" w:tplc="B46C4932">
      <w:start w:val="1"/>
      <w:numFmt w:val="bullet"/>
      <w:lvlText w:val="•"/>
      <w:lvlJc w:val="left"/>
      <w:rPr>
        <w:rFonts w:hint="default"/>
      </w:rPr>
    </w:lvl>
    <w:lvl w:ilvl="2" w:tplc="5F6C2AB4">
      <w:start w:val="1"/>
      <w:numFmt w:val="bullet"/>
      <w:lvlText w:val="•"/>
      <w:lvlJc w:val="left"/>
      <w:rPr>
        <w:rFonts w:hint="default"/>
      </w:rPr>
    </w:lvl>
    <w:lvl w:ilvl="3" w:tplc="A9C6BB5E">
      <w:start w:val="1"/>
      <w:numFmt w:val="bullet"/>
      <w:lvlText w:val="•"/>
      <w:lvlJc w:val="left"/>
      <w:rPr>
        <w:rFonts w:hint="default"/>
      </w:rPr>
    </w:lvl>
    <w:lvl w:ilvl="4" w:tplc="8BD62706">
      <w:start w:val="1"/>
      <w:numFmt w:val="bullet"/>
      <w:lvlText w:val="•"/>
      <w:lvlJc w:val="left"/>
      <w:rPr>
        <w:rFonts w:hint="default"/>
      </w:rPr>
    </w:lvl>
    <w:lvl w:ilvl="5" w:tplc="7BA4AEE2">
      <w:start w:val="1"/>
      <w:numFmt w:val="bullet"/>
      <w:lvlText w:val="•"/>
      <w:lvlJc w:val="left"/>
      <w:rPr>
        <w:rFonts w:hint="default"/>
      </w:rPr>
    </w:lvl>
    <w:lvl w:ilvl="6" w:tplc="B5700C20">
      <w:start w:val="1"/>
      <w:numFmt w:val="bullet"/>
      <w:lvlText w:val="•"/>
      <w:lvlJc w:val="left"/>
      <w:rPr>
        <w:rFonts w:hint="default"/>
      </w:rPr>
    </w:lvl>
    <w:lvl w:ilvl="7" w:tplc="719607B0">
      <w:start w:val="1"/>
      <w:numFmt w:val="bullet"/>
      <w:lvlText w:val="•"/>
      <w:lvlJc w:val="left"/>
      <w:rPr>
        <w:rFonts w:hint="default"/>
      </w:rPr>
    </w:lvl>
    <w:lvl w:ilvl="8" w:tplc="4E601598">
      <w:start w:val="1"/>
      <w:numFmt w:val="bullet"/>
      <w:lvlText w:val="•"/>
      <w:lvlJc w:val="left"/>
      <w:rPr>
        <w:rFonts w:hint="default"/>
      </w:rPr>
    </w:lvl>
  </w:abstractNum>
  <w:abstractNum w:abstractNumId="18" w15:restartNumberingAfterBreak="0">
    <w:nsid w:val="160A2539"/>
    <w:multiLevelType w:val="hybridMultilevel"/>
    <w:tmpl w:val="B11621AC"/>
    <w:lvl w:ilvl="0" w:tplc="1E32C9A4">
      <w:start w:val="1"/>
      <w:numFmt w:val="decimal"/>
      <w:lvlText w:val="%1."/>
      <w:lvlJc w:val="left"/>
      <w:pPr>
        <w:ind w:left="805" w:hanging="360"/>
      </w:pPr>
      <w:rPr>
        <w:rFonts w:ascii="Times New Roman" w:hAnsi="Times New Roman" w:cs="Times New Roman" w:hint="default"/>
        <w:b/>
      </w:rPr>
    </w:lvl>
    <w:lvl w:ilvl="1" w:tplc="34806644" w:tentative="1">
      <w:start w:val="1"/>
      <w:numFmt w:val="upperLetter"/>
      <w:lvlText w:val="%2."/>
      <w:lvlJc w:val="left"/>
      <w:pPr>
        <w:ind w:left="1245" w:hanging="400"/>
      </w:pPr>
    </w:lvl>
    <w:lvl w:ilvl="2" w:tplc="CED42FBE" w:tentative="1">
      <w:start w:val="1"/>
      <w:numFmt w:val="lowerRoman"/>
      <w:lvlText w:val="%3."/>
      <w:lvlJc w:val="right"/>
      <w:pPr>
        <w:ind w:left="1645" w:hanging="400"/>
      </w:pPr>
    </w:lvl>
    <w:lvl w:ilvl="3" w:tplc="F8FC67D4" w:tentative="1">
      <w:start w:val="1"/>
      <w:numFmt w:val="decimal"/>
      <w:lvlText w:val="%4."/>
      <w:lvlJc w:val="left"/>
      <w:pPr>
        <w:ind w:left="2045" w:hanging="400"/>
      </w:pPr>
    </w:lvl>
    <w:lvl w:ilvl="4" w:tplc="CE729954" w:tentative="1">
      <w:start w:val="1"/>
      <w:numFmt w:val="upperLetter"/>
      <w:lvlText w:val="%5."/>
      <w:lvlJc w:val="left"/>
      <w:pPr>
        <w:ind w:left="2445" w:hanging="400"/>
      </w:pPr>
    </w:lvl>
    <w:lvl w:ilvl="5" w:tplc="BFACD340" w:tentative="1">
      <w:start w:val="1"/>
      <w:numFmt w:val="lowerRoman"/>
      <w:lvlText w:val="%6."/>
      <w:lvlJc w:val="right"/>
      <w:pPr>
        <w:ind w:left="2845" w:hanging="400"/>
      </w:pPr>
    </w:lvl>
    <w:lvl w:ilvl="6" w:tplc="FAD8F49E" w:tentative="1">
      <w:start w:val="1"/>
      <w:numFmt w:val="decimal"/>
      <w:lvlText w:val="%7."/>
      <w:lvlJc w:val="left"/>
      <w:pPr>
        <w:ind w:left="3245" w:hanging="400"/>
      </w:pPr>
    </w:lvl>
    <w:lvl w:ilvl="7" w:tplc="E056C1A6" w:tentative="1">
      <w:start w:val="1"/>
      <w:numFmt w:val="upperLetter"/>
      <w:lvlText w:val="%8."/>
      <w:lvlJc w:val="left"/>
      <w:pPr>
        <w:ind w:left="3645" w:hanging="400"/>
      </w:pPr>
    </w:lvl>
    <w:lvl w:ilvl="8" w:tplc="8EFC0024" w:tentative="1">
      <w:start w:val="1"/>
      <w:numFmt w:val="lowerRoman"/>
      <w:lvlText w:val="%9."/>
      <w:lvlJc w:val="right"/>
      <w:pPr>
        <w:ind w:left="4045" w:hanging="400"/>
      </w:pPr>
    </w:lvl>
  </w:abstractNum>
  <w:abstractNum w:abstractNumId="19" w15:restartNumberingAfterBreak="0">
    <w:nsid w:val="18B762B1"/>
    <w:multiLevelType w:val="hybridMultilevel"/>
    <w:tmpl w:val="CBA03BC0"/>
    <w:lvl w:ilvl="0" w:tplc="5A829C3C">
      <w:start w:val="1"/>
      <w:numFmt w:val="decimal"/>
      <w:lvlText w:val="%1."/>
      <w:lvlJc w:val="left"/>
      <w:pPr>
        <w:ind w:left="471" w:hanging="360"/>
      </w:pPr>
      <w:rPr>
        <w:rFonts w:hint="default"/>
        <w:b/>
      </w:rPr>
    </w:lvl>
    <w:lvl w:ilvl="1" w:tplc="20BE8D4C" w:tentative="1">
      <w:start w:val="1"/>
      <w:numFmt w:val="upperLetter"/>
      <w:lvlText w:val="%2."/>
      <w:lvlJc w:val="left"/>
      <w:pPr>
        <w:ind w:left="911" w:hanging="400"/>
      </w:pPr>
    </w:lvl>
    <w:lvl w:ilvl="2" w:tplc="123E1AF6" w:tentative="1">
      <w:start w:val="1"/>
      <w:numFmt w:val="lowerRoman"/>
      <w:lvlText w:val="%3."/>
      <w:lvlJc w:val="right"/>
      <w:pPr>
        <w:ind w:left="1311" w:hanging="400"/>
      </w:pPr>
    </w:lvl>
    <w:lvl w:ilvl="3" w:tplc="B1B02152" w:tentative="1">
      <w:start w:val="1"/>
      <w:numFmt w:val="decimal"/>
      <w:lvlText w:val="%4."/>
      <w:lvlJc w:val="left"/>
      <w:pPr>
        <w:ind w:left="1711" w:hanging="400"/>
      </w:pPr>
    </w:lvl>
    <w:lvl w:ilvl="4" w:tplc="C60423D4" w:tentative="1">
      <w:start w:val="1"/>
      <w:numFmt w:val="upperLetter"/>
      <w:lvlText w:val="%5."/>
      <w:lvlJc w:val="left"/>
      <w:pPr>
        <w:ind w:left="2111" w:hanging="400"/>
      </w:pPr>
    </w:lvl>
    <w:lvl w:ilvl="5" w:tplc="E1C01B8E" w:tentative="1">
      <w:start w:val="1"/>
      <w:numFmt w:val="lowerRoman"/>
      <w:lvlText w:val="%6."/>
      <w:lvlJc w:val="right"/>
      <w:pPr>
        <w:ind w:left="2511" w:hanging="400"/>
      </w:pPr>
    </w:lvl>
    <w:lvl w:ilvl="6" w:tplc="69601D54" w:tentative="1">
      <w:start w:val="1"/>
      <w:numFmt w:val="decimal"/>
      <w:lvlText w:val="%7."/>
      <w:lvlJc w:val="left"/>
      <w:pPr>
        <w:ind w:left="2911" w:hanging="400"/>
      </w:pPr>
    </w:lvl>
    <w:lvl w:ilvl="7" w:tplc="84A429A2" w:tentative="1">
      <w:start w:val="1"/>
      <w:numFmt w:val="upperLetter"/>
      <w:lvlText w:val="%8."/>
      <w:lvlJc w:val="left"/>
      <w:pPr>
        <w:ind w:left="3311" w:hanging="400"/>
      </w:pPr>
    </w:lvl>
    <w:lvl w:ilvl="8" w:tplc="6EE24EC2" w:tentative="1">
      <w:start w:val="1"/>
      <w:numFmt w:val="lowerRoman"/>
      <w:lvlText w:val="%9."/>
      <w:lvlJc w:val="right"/>
      <w:pPr>
        <w:ind w:left="3711" w:hanging="400"/>
      </w:pPr>
    </w:lvl>
  </w:abstractNum>
  <w:abstractNum w:abstractNumId="20" w15:restartNumberingAfterBreak="0">
    <w:nsid w:val="1B320F7A"/>
    <w:multiLevelType w:val="hybridMultilevel"/>
    <w:tmpl w:val="E2C09F78"/>
    <w:lvl w:ilvl="0" w:tplc="DBEEC952">
      <w:start w:val="1"/>
      <w:numFmt w:val="bullet"/>
      <w:lvlText w:val=""/>
      <w:lvlJc w:val="left"/>
      <w:pPr>
        <w:ind w:hanging="176"/>
      </w:pPr>
      <w:rPr>
        <w:rFonts w:ascii="Symbol" w:eastAsia="Symbol" w:hAnsi="Symbol" w:hint="default"/>
        <w:sz w:val="22"/>
        <w:szCs w:val="22"/>
      </w:rPr>
    </w:lvl>
    <w:lvl w:ilvl="1" w:tplc="02A6193A">
      <w:start w:val="1"/>
      <w:numFmt w:val="bullet"/>
      <w:lvlText w:val="•"/>
      <w:lvlJc w:val="left"/>
      <w:rPr>
        <w:rFonts w:hint="default"/>
      </w:rPr>
    </w:lvl>
    <w:lvl w:ilvl="2" w:tplc="2C5A0726">
      <w:start w:val="1"/>
      <w:numFmt w:val="bullet"/>
      <w:lvlText w:val="•"/>
      <w:lvlJc w:val="left"/>
      <w:rPr>
        <w:rFonts w:hint="default"/>
      </w:rPr>
    </w:lvl>
    <w:lvl w:ilvl="3" w:tplc="82CC34FC">
      <w:start w:val="1"/>
      <w:numFmt w:val="bullet"/>
      <w:lvlText w:val="•"/>
      <w:lvlJc w:val="left"/>
      <w:rPr>
        <w:rFonts w:hint="default"/>
      </w:rPr>
    </w:lvl>
    <w:lvl w:ilvl="4" w:tplc="F9282B1C">
      <w:start w:val="1"/>
      <w:numFmt w:val="bullet"/>
      <w:lvlText w:val="•"/>
      <w:lvlJc w:val="left"/>
      <w:rPr>
        <w:rFonts w:hint="default"/>
      </w:rPr>
    </w:lvl>
    <w:lvl w:ilvl="5" w:tplc="4826482A">
      <w:start w:val="1"/>
      <w:numFmt w:val="bullet"/>
      <w:lvlText w:val="•"/>
      <w:lvlJc w:val="left"/>
      <w:rPr>
        <w:rFonts w:hint="default"/>
      </w:rPr>
    </w:lvl>
    <w:lvl w:ilvl="6" w:tplc="DDB038AC">
      <w:start w:val="1"/>
      <w:numFmt w:val="bullet"/>
      <w:lvlText w:val="•"/>
      <w:lvlJc w:val="left"/>
      <w:rPr>
        <w:rFonts w:hint="default"/>
      </w:rPr>
    </w:lvl>
    <w:lvl w:ilvl="7" w:tplc="84E81914">
      <w:start w:val="1"/>
      <w:numFmt w:val="bullet"/>
      <w:lvlText w:val="•"/>
      <w:lvlJc w:val="left"/>
      <w:rPr>
        <w:rFonts w:hint="default"/>
      </w:rPr>
    </w:lvl>
    <w:lvl w:ilvl="8" w:tplc="8D36BA18">
      <w:start w:val="1"/>
      <w:numFmt w:val="bullet"/>
      <w:lvlText w:val="•"/>
      <w:lvlJc w:val="left"/>
      <w:rPr>
        <w:rFonts w:hint="default"/>
      </w:rPr>
    </w:lvl>
  </w:abstractNum>
  <w:abstractNum w:abstractNumId="21" w15:restartNumberingAfterBreak="0">
    <w:nsid w:val="1B7F0CFD"/>
    <w:multiLevelType w:val="hybridMultilevel"/>
    <w:tmpl w:val="28A00D86"/>
    <w:lvl w:ilvl="0" w:tplc="E3A6E114">
      <w:start w:val="1"/>
      <w:numFmt w:val="decimal"/>
      <w:lvlText w:val="%1."/>
      <w:lvlJc w:val="left"/>
      <w:pPr>
        <w:ind w:left="760" w:hanging="360"/>
      </w:pPr>
      <w:rPr>
        <w:rFonts w:hint="default"/>
      </w:rPr>
    </w:lvl>
    <w:lvl w:ilvl="1" w:tplc="6EF4E516" w:tentative="1">
      <w:start w:val="1"/>
      <w:numFmt w:val="upperLetter"/>
      <w:lvlText w:val="%2."/>
      <w:lvlJc w:val="left"/>
      <w:pPr>
        <w:ind w:left="1200" w:hanging="400"/>
      </w:pPr>
    </w:lvl>
    <w:lvl w:ilvl="2" w:tplc="139E0FAC" w:tentative="1">
      <w:start w:val="1"/>
      <w:numFmt w:val="lowerRoman"/>
      <w:lvlText w:val="%3."/>
      <w:lvlJc w:val="right"/>
      <w:pPr>
        <w:ind w:left="1600" w:hanging="400"/>
      </w:pPr>
    </w:lvl>
    <w:lvl w:ilvl="3" w:tplc="96BACEB8" w:tentative="1">
      <w:start w:val="1"/>
      <w:numFmt w:val="decimal"/>
      <w:lvlText w:val="%4."/>
      <w:lvlJc w:val="left"/>
      <w:pPr>
        <w:ind w:left="2000" w:hanging="400"/>
      </w:pPr>
    </w:lvl>
    <w:lvl w:ilvl="4" w:tplc="1F4AAEE6" w:tentative="1">
      <w:start w:val="1"/>
      <w:numFmt w:val="upperLetter"/>
      <w:lvlText w:val="%5."/>
      <w:lvlJc w:val="left"/>
      <w:pPr>
        <w:ind w:left="2400" w:hanging="400"/>
      </w:pPr>
    </w:lvl>
    <w:lvl w:ilvl="5" w:tplc="61927BCA" w:tentative="1">
      <w:start w:val="1"/>
      <w:numFmt w:val="lowerRoman"/>
      <w:lvlText w:val="%6."/>
      <w:lvlJc w:val="right"/>
      <w:pPr>
        <w:ind w:left="2800" w:hanging="400"/>
      </w:pPr>
    </w:lvl>
    <w:lvl w:ilvl="6" w:tplc="759E9DC2" w:tentative="1">
      <w:start w:val="1"/>
      <w:numFmt w:val="decimal"/>
      <w:lvlText w:val="%7."/>
      <w:lvlJc w:val="left"/>
      <w:pPr>
        <w:ind w:left="3200" w:hanging="400"/>
      </w:pPr>
    </w:lvl>
    <w:lvl w:ilvl="7" w:tplc="B5843594" w:tentative="1">
      <w:start w:val="1"/>
      <w:numFmt w:val="upperLetter"/>
      <w:lvlText w:val="%8."/>
      <w:lvlJc w:val="left"/>
      <w:pPr>
        <w:ind w:left="3600" w:hanging="400"/>
      </w:pPr>
    </w:lvl>
    <w:lvl w:ilvl="8" w:tplc="D5EC4FB2" w:tentative="1">
      <w:start w:val="1"/>
      <w:numFmt w:val="lowerRoman"/>
      <w:lvlText w:val="%9."/>
      <w:lvlJc w:val="right"/>
      <w:pPr>
        <w:ind w:left="4000" w:hanging="400"/>
      </w:pPr>
    </w:lvl>
  </w:abstractNum>
  <w:abstractNum w:abstractNumId="22" w15:restartNumberingAfterBreak="0">
    <w:nsid w:val="1E7055DA"/>
    <w:multiLevelType w:val="hybridMultilevel"/>
    <w:tmpl w:val="992C9A0E"/>
    <w:lvl w:ilvl="0" w:tplc="18EC7A4E">
      <w:start w:val="1"/>
      <w:numFmt w:val="lowerLetter"/>
      <w:lvlText w:val="%1."/>
      <w:lvlJc w:val="left"/>
      <w:pPr>
        <w:ind w:left="675" w:hanging="360"/>
      </w:pPr>
      <w:rPr>
        <w:rFonts w:eastAsia="Times New Roman" w:hint="default"/>
        <w:b/>
      </w:rPr>
    </w:lvl>
    <w:lvl w:ilvl="1" w:tplc="040E0019" w:tentative="1">
      <w:start w:val="1"/>
      <w:numFmt w:val="lowerLetter"/>
      <w:lvlText w:val="%2."/>
      <w:lvlJc w:val="left"/>
      <w:pPr>
        <w:ind w:left="1395" w:hanging="360"/>
      </w:pPr>
    </w:lvl>
    <w:lvl w:ilvl="2" w:tplc="040E001B" w:tentative="1">
      <w:start w:val="1"/>
      <w:numFmt w:val="lowerRoman"/>
      <w:lvlText w:val="%3."/>
      <w:lvlJc w:val="right"/>
      <w:pPr>
        <w:ind w:left="2115" w:hanging="180"/>
      </w:pPr>
    </w:lvl>
    <w:lvl w:ilvl="3" w:tplc="040E000F" w:tentative="1">
      <w:start w:val="1"/>
      <w:numFmt w:val="decimal"/>
      <w:lvlText w:val="%4."/>
      <w:lvlJc w:val="left"/>
      <w:pPr>
        <w:ind w:left="2835" w:hanging="360"/>
      </w:pPr>
    </w:lvl>
    <w:lvl w:ilvl="4" w:tplc="040E0019" w:tentative="1">
      <w:start w:val="1"/>
      <w:numFmt w:val="lowerLetter"/>
      <w:lvlText w:val="%5."/>
      <w:lvlJc w:val="left"/>
      <w:pPr>
        <w:ind w:left="3555" w:hanging="360"/>
      </w:pPr>
    </w:lvl>
    <w:lvl w:ilvl="5" w:tplc="040E001B" w:tentative="1">
      <w:start w:val="1"/>
      <w:numFmt w:val="lowerRoman"/>
      <w:lvlText w:val="%6."/>
      <w:lvlJc w:val="right"/>
      <w:pPr>
        <w:ind w:left="4275" w:hanging="180"/>
      </w:pPr>
    </w:lvl>
    <w:lvl w:ilvl="6" w:tplc="040E000F" w:tentative="1">
      <w:start w:val="1"/>
      <w:numFmt w:val="decimal"/>
      <w:lvlText w:val="%7."/>
      <w:lvlJc w:val="left"/>
      <w:pPr>
        <w:ind w:left="4995" w:hanging="360"/>
      </w:pPr>
    </w:lvl>
    <w:lvl w:ilvl="7" w:tplc="040E0019" w:tentative="1">
      <w:start w:val="1"/>
      <w:numFmt w:val="lowerLetter"/>
      <w:lvlText w:val="%8."/>
      <w:lvlJc w:val="left"/>
      <w:pPr>
        <w:ind w:left="5715" w:hanging="360"/>
      </w:pPr>
    </w:lvl>
    <w:lvl w:ilvl="8" w:tplc="040E001B" w:tentative="1">
      <w:start w:val="1"/>
      <w:numFmt w:val="lowerRoman"/>
      <w:lvlText w:val="%9."/>
      <w:lvlJc w:val="right"/>
      <w:pPr>
        <w:ind w:left="6435" w:hanging="180"/>
      </w:pPr>
    </w:lvl>
  </w:abstractNum>
  <w:abstractNum w:abstractNumId="23" w15:restartNumberingAfterBreak="0">
    <w:nsid w:val="22723AF5"/>
    <w:multiLevelType w:val="hybridMultilevel"/>
    <w:tmpl w:val="F8D48708"/>
    <w:lvl w:ilvl="0" w:tplc="2676D900">
      <w:start w:val="1"/>
      <w:numFmt w:val="bullet"/>
      <w:lvlText w:val="•"/>
      <w:lvlJc w:val="left"/>
      <w:pPr>
        <w:ind w:left="1384" w:hanging="400"/>
      </w:pPr>
      <w:rPr>
        <w:rFonts w:ascii="Times New Roman" w:eastAsia="Times New Roman" w:hAnsi="Times New Roman" w:hint="default"/>
        <w:sz w:val="22"/>
        <w:szCs w:val="22"/>
      </w:rPr>
    </w:lvl>
    <w:lvl w:ilvl="1" w:tplc="8194A4C8" w:tentative="1">
      <w:start w:val="1"/>
      <w:numFmt w:val="bullet"/>
      <w:lvlText w:val=""/>
      <w:lvlJc w:val="left"/>
      <w:pPr>
        <w:ind w:left="1784" w:hanging="400"/>
      </w:pPr>
      <w:rPr>
        <w:rFonts w:ascii="Wingdings" w:hAnsi="Wingdings" w:hint="default"/>
      </w:rPr>
    </w:lvl>
    <w:lvl w:ilvl="2" w:tplc="FDF6719A" w:tentative="1">
      <w:start w:val="1"/>
      <w:numFmt w:val="bullet"/>
      <w:lvlText w:val=""/>
      <w:lvlJc w:val="left"/>
      <w:pPr>
        <w:ind w:left="2184" w:hanging="400"/>
      </w:pPr>
      <w:rPr>
        <w:rFonts w:ascii="Wingdings" w:hAnsi="Wingdings" w:hint="default"/>
      </w:rPr>
    </w:lvl>
    <w:lvl w:ilvl="3" w:tplc="A48E4CE4" w:tentative="1">
      <w:start w:val="1"/>
      <w:numFmt w:val="bullet"/>
      <w:lvlText w:val=""/>
      <w:lvlJc w:val="left"/>
      <w:pPr>
        <w:ind w:left="2584" w:hanging="400"/>
      </w:pPr>
      <w:rPr>
        <w:rFonts w:ascii="Wingdings" w:hAnsi="Wingdings" w:hint="default"/>
      </w:rPr>
    </w:lvl>
    <w:lvl w:ilvl="4" w:tplc="4464FC80" w:tentative="1">
      <w:start w:val="1"/>
      <w:numFmt w:val="bullet"/>
      <w:lvlText w:val=""/>
      <w:lvlJc w:val="left"/>
      <w:pPr>
        <w:ind w:left="2984" w:hanging="400"/>
      </w:pPr>
      <w:rPr>
        <w:rFonts w:ascii="Wingdings" w:hAnsi="Wingdings" w:hint="default"/>
      </w:rPr>
    </w:lvl>
    <w:lvl w:ilvl="5" w:tplc="5EDA4646" w:tentative="1">
      <w:start w:val="1"/>
      <w:numFmt w:val="bullet"/>
      <w:lvlText w:val=""/>
      <w:lvlJc w:val="left"/>
      <w:pPr>
        <w:ind w:left="3384" w:hanging="400"/>
      </w:pPr>
      <w:rPr>
        <w:rFonts w:ascii="Wingdings" w:hAnsi="Wingdings" w:hint="default"/>
      </w:rPr>
    </w:lvl>
    <w:lvl w:ilvl="6" w:tplc="57466DA6" w:tentative="1">
      <w:start w:val="1"/>
      <w:numFmt w:val="bullet"/>
      <w:lvlText w:val=""/>
      <w:lvlJc w:val="left"/>
      <w:pPr>
        <w:ind w:left="3784" w:hanging="400"/>
      </w:pPr>
      <w:rPr>
        <w:rFonts w:ascii="Wingdings" w:hAnsi="Wingdings" w:hint="default"/>
      </w:rPr>
    </w:lvl>
    <w:lvl w:ilvl="7" w:tplc="E27EBDD2" w:tentative="1">
      <w:start w:val="1"/>
      <w:numFmt w:val="bullet"/>
      <w:lvlText w:val=""/>
      <w:lvlJc w:val="left"/>
      <w:pPr>
        <w:ind w:left="4184" w:hanging="400"/>
      </w:pPr>
      <w:rPr>
        <w:rFonts w:ascii="Wingdings" w:hAnsi="Wingdings" w:hint="default"/>
      </w:rPr>
    </w:lvl>
    <w:lvl w:ilvl="8" w:tplc="953EFF08" w:tentative="1">
      <w:start w:val="1"/>
      <w:numFmt w:val="bullet"/>
      <w:lvlText w:val=""/>
      <w:lvlJc w:val="left"/>
      <w:pPr>
        <w:ind w:left="4584" w:hanging="400"/>
      </w:pPr>
      <w:rPr>
        <w:rFonts w:ascii="Wingdings" w:hAnsi="Wingdings" w:hint="default"/>
      </w:rPr>
    </w:lvl>
  </w:abstractNum>
  <w:abstractNum w:abstractNumId="24" w15:restartNumberingAfterBreak="0">
    <w:nsid w:val="24894D7B"/>
    <w:multiLevelType w:val="hybridMultilevel"/>
    <w:tmpl w:val="C01A5250"/>
    <w:lvl w:ilvl="0" w:tplc="008897F2">
      <w:start w:val="1"/>
      <w:numFmt w:val="lowerLetter"/>
      <w:lvlText w:val="%1."/>
      <w:lvlJc w:val="left"/>
      <w:pPr>
        <w:ind w:left="468" w:hanging="360"/>
      </w:pPr>
      <w:rPr>
        <w:rFonts w:hint="default"/>
        <w:b/>
      </w:rPr>
    </w:lvl>
    <w:lvl w:ilvl="1" w:tplc="04090019" w:tentative="1">
      <w:start w:val="1"/>
      <w:numFmt w:val="upperLetter"/>
      <w:lvlText w:val="%2."/>
      <w:lvlJc w:val="left"/>
      <w:pPr>
        <w:ind w:left="908" w:hanging="400"/>
      </w:pPr>
    </w:lvl>
    <w:lvl w:ilvl="2" w:tplc="0409001B" w:tentative="1">
      <w:start w:val="1"/>
      <w:numFmt w:val="lowerRoman"/>
      <w:lvlText w:val="%3."/>
      <w:lvlJc w:val="right"/>
      <w:pPr>
        <w:ind w:left="1308" w:hanging="400"/>
      </w:pPr>
    </w:lvl>
    <w:lvl w:ilvl="3" w:tplc="0409000F" w:tentative="1">
      <w:start w:val="1"/>
      <w:numFmt w:val="decimal"/>
      <w:lvlText w:val="%4."/>
      <w:lvlJc w:val="left"/>
      <w:pPr>
        <w:ind w:left="1708" w:hanging="400"/>
      </w:pPr>
    </w:lvl>
    <w:lvl w:ilvl="4" w:tplc="04090019" w:tentative="1">
      <w:start w:val="1"/>
      <w:numFmt w:val="upperLetter"/>
      <w:lvlText w:val="%5."/>
      <w:lvlJc w:val="left"/>
      <w:pPr>
        <w:ind w:left="2108" w:hanging="400"/>
      </w:pPr>
    </w:lvl>
    <w:lvl w:ilvl="5" w:tplc="0409001B" w:tentative="1">
      <w:start w:val="1"/>
      <w:numFmt w:val="lowerRoman"/>
      <w:lvlText w:val="%6."/>
      <w:lvlJc w:val="right"/>
      <w:pPr>
        <w:ind w:left="2508" w:hanging="400"/>
      </w:pPr>
    </w:lvl>
    <w:lvl w:ilvl="6" w:tplc="0409000F" w:tentative="1">
      <w:start w:val="1"/>
      <w:numFmt w:val="decimal"/>
      <w:lvlText w:val="%7."/>
      <w:lvlJc w:val="left"/>
      <w:pPr>
        <w:ind w:left="2908" w:hanging="400"/>
      </w:pPr>
    </w:lvl>
    <w:lvl w:ilvl="7" w:tplc="04090019" w:tentative="1">
      <w:start w:val="1"/>
      <w:numFmt w:val="upperLetter"/>
      <w:lvlText w:val="%8."/>
      <w:lvlJc w:val="left"/>
      <w:pPr>
        <w:ind w:left="3308" w:hanging="400"/>
      </w:pPr>
    </w:lvl>
    <w:lvl w:ilvl="8" w:tplc="0409001B" w:tentative="1">
      <w:start w:val="1"/>
      <w:numFmt w:val="lowerRoman"/>
      <w:lvlText w:val="%9."/>
      <w:lvlJc w:val="right"/>
      <w:pPr>
        <w:ind w:left="3708" w:hanging="400"/>
      </w:pPr>
    </w:lvl>
  </w:abstractNum>
  <w:abstractNum w:abstractNumId="25" w15:restartNumberingAfterBreak="0">
    <w:nsid w:val="250A29A7"/>
    <w:multiLevelType w:val="hybridMultilevel"/>
    <w:tmpl w:val="8870B8B8"/>
    <w:lvl w:ilvl="0" w:tplc="CFB04482">
      <w:start w:val="1"/>
      <w:numFmt w:val="lowerLetter"/>
      <w:lvlText w:val="%1."/>
      <w:lvlJc w:val="left"/>
      <w:pPr>
        <w:ind w:left="780" w:hanging="360"/>
      </w:pPr>
      <w:rPr>
        <w:rFonts w:eastAsia="Times New Roman" w:hint="default"/>
        <w:b/>
      </w:rPr>
    </w:lvl>
    <w:lvl w:ilvl="1" w:tplc="040E0019" w:tentative="1">
      <w:start w:val="1"/>
      <w:numFmt w:val="lowerLetter"/>
      <w:lvlText w:val="%2."/>
      <w:lvlJc w:val="left"/>
      <w:pPr>
        <w:ind w:left="1500" w:hanging="360"/>
      </w:pPr>
    </w:lvl>
    <w:lvl w:ilvl="2" w:tplc="040E001B" w:tentative="1">
      <w:start w:val="1"/>
      <w:numFmt w:val="lowerRoman"/>
      <w:lvlText w:val="%3."/>
      <w:lvlJc w:val="right"/>
      <w:pPr>
        <w:ind w:left="2220" w:hanging="180"/>
      </w:pPr>
    </w:lvl>
    <w:lvl w:ilvl="3" w:tplc="040E000F" w:tentative="1">
      <w:start w:val="1"/>
      <w:numFmt w:val="decimal"/>
      <w:lvlText w:val="%4."/>
      <w:lvlJc w:val="left"/>
      <w:pPr>
        <w:ind w:left="2940" w:hanging="360"/>
      </w:pPr>
    </w:lvl>
    <w:lvl w:ilvl="4" w:tplc="040E0019" w:tentative="1">
      <w:start w:val="1"/>
      <w:numFmt w:val="lowerLetter"/>
      <w:lvlText w:val="%5."/>
      <w:lvlJc w:val="left"/>
      <w:pPr>
        <w:ind w:left="3660" w:hanging="360"/>
      </w:pPr>
    </w:lvl>
    <w:lvl w:ilvl="5" w:tplc="040E001B" w:tentative="1">
      <w:start w:val="1"/>
      <w:numFmt w:val="lowerRoman"/>
      <w:lvlText w:val="%6."/>
      <w:lvlJc w:val="right"/>
      <w:pPr>
        <w:ind w:left="4380" w:hanging="180"/>
      </w:pPr>
    </w:lvl>
    <w:lvl w:ilvl="6" w:tplc="040E000F" w:tentative="1">
      <w:start w:val="1"/>
      <w:numFmt w:val="decimal"/>
      <w:lvlText w:val="%7."/>
      <w:lvlJc w:val="left"/>
      <w:pPr>
        <w:ind w:left="5100" w:hanging="360"/>
      </w:pPr>
    </w:lvl>
    <w:lvl w:ilvl="7" w:tplc="040E0019" w:tentative="1">
      <w:start w:val="1"/>
      <w:numFmt w:val="lowerLetter"/>
      <w:lvlText w:val="%8."/>
      <w:lvlJc w:val="left"/>
      <w:pPr>
        <w:ind w:left="5820" w:hanging="360"/>
      </w:pPr>
    </w:lvl>
    <w:lvl w:ilvl="8" w:tplc="040E001B" w:tentative="1">
      <w:start w:val="1"/>
      <w:numFmt w:val="lowerRoman"/>
      <w:lvlText w:val="%9."/>
      <w:lvlJc w:val="right"/>
      <w:pPr>
        <w:ind w:left="6540" w:hanging="180"/>
      </w:pPr>
    </w:lvl>
  </w:abstractNum>
  <w:abstractNum w:abstractNumId="26" w15:restartNumberingAfterBreak="0">
    <w:nsid w:val="27065451"/>
    <w:multiLevelType w:val="hybridMultilevel"/>
    <w:tmpl w:val="3E3022CA"/>
    <w:lvl w:ilvl="0" w:tplc="2D9AB92A">
      <w:start w:val="1"/>
      <w:numFmt w:val="decimal"/>
      <w:lvlText w:val="%1."/>
      <w:lvlJc w:val="left"/>
      <w:pPr>
        <w:ind w:left="471" w:hanging="360"/>
      </w:pPr>
      <w:rPr>
        <w:rFonts w:hint="default"/>
        <w:b/>
      </w:rPr>
    </w:lvl>
    <w:lvl w:ilvl="1" w:tplc="1CBCDC6C" w:tentative="1">
      <w:start w:val="1"/>
      <w:numFmt w:val="upperLetter"/>
      <w:lvlText w:val="%2."/>
      <w:lvlJc w:val="left"/>
      <w:pPr>
        <w:ind w:left="911" w:hanging="400"/>
      </w:pPr>
    </w:lvl>
    <w:lvl w:ilvl="2" w:tplc="A11E82C4" w:tentative="1">
      <w:start w:val="1"/>
      <w:numFmt w:val="lowerRoman"/>
      <w:lvlText w:val="%3."/>
      <w:lvlJc w:val="right"/>
      <w:pPr>
        <w:ind w:left="1311" w:hanging="400"/>
      </w:pPr>
    </w:lvl>
    <w:lvl w:ilvl="3" w:tplc="338E2C6E" w:tentative="1">
      <w:start w:val="1"/>
      <w:numFmt w:val="decimal"/>
      <w:lvlText w:val="%4."/>
      <w:lvlJc w:val="left"/>
      <w:pPr>
        <w:ind w:left="1711" w:hanging="400"/>
      </w:pPr>
    </w:lvl>
    <w:lvl w:ilvl="4" w:tplc="F0F2079E" w:tentative="1">
      <w:start w:val="1"/>
      <w:numFmt w:val="upperLetter"/>
      <w:lvlText w:val="%5."/>
      <w:lvlJc w:val="left"/>
      <w:pPr>
        <w:ind w:left="2111" w:hanging="400"/>
      </w:pPr>
    </w:lvl>
    <w:lvl w:ilvl="5" w:tplc="78F4BCF2" w:tentative="1">
      <w:start w:val="1"/>
      <w:numFmt w:val="lowerRoman"/>
      <w:lvlText w:val="%6."/>
      <w:lvlJc w:val="right"/>
      <w:pPr>
        <w:ind w:left="2511" w:hanging="400"/>
      </w:pPr>
    </w:lvl>
    <w:lvl w:ilvl="6" w:tplc="41ACDEFA" w:tentative="1">
      <w:start w:val="1"/>
      <w:numFmt w:val="decimal"/>
      <w:lvlText w:val="%7."/>
      <w:lvlJc w:val="left"/>
      <w:pPr>
        <w:ind w:left="2911" w:hanging="400"/>
      </w:pPr>
    </w:lvl>
    <w:lvl w:ilvl="7" w:tplc="B2A85D36" w:tentative="1">
      <w:start w:val="1"/>
      <w:numFmt w:val="upperLetter"/>
      <w:lvlText w:val="%8."/>
      <w:lvlJc w:val="left"/>
      <w:pPr>
        <w:ind w:left="3311" w:hanging="400"/>
      </w:pPr>
    </w:lvl>
    <w:lvl w:ilvl="8" w:tplc="3A66D2FC" w:tentative="1">
      <w:start w:val="1"/>
      <w:numFmt w:val="lowerRoman"/>
      <w:lvlText w:val="%9."/>
      <w:lvlJc w:val="right"/>
      <w:pPr>
        <w:ind w:left="3711" w:hanging="400"/>
      </w:pPr>
    </w:lvl>
  </w:abstractNum>
  <w:abstractNum w:abstractNumId="27" w15:restartNumberingAfterBreak="0">
    <w:nsid w:val="27483B04"/>
    <w:multiLevelType w:val="hybridMultilevel"/>
    <w:tmpl w:val="339C2F6A"/>
    <w:lvl w:ilvl="0" w:tplc="10D2A6D6">
      <w:start w:val="1"/>
      <w:numFmt w:val="decimal"/>
      <w:lvlText w:val="%1."/>
      <w:lvlJc w:val="left"/>
      <w:pPr>
        <w:ind w:hanging="562"/>
      </w:pPr>
      <w:rPr>
        <w:rFonts w:ascii="Times New Roman" w:eastAsia="Times New Roman" w:hAnsi="Times New Roman" w:hint="default"/>
        <w:b/>
        <w:bCs/>
        <w:sz w:val="22"/>
        <w:szCs w:val="22"/>
      </w:rPr>
    </w:lvl>
    <w:lvl w:ilvl="1" w:tplc="140450AE">
      <w:start w:val="1"/>
      <w:numFmt w:val="bullet"/>
      <w:lvlText w:val="•"/>
      <w:lvlJc w:val="left"/>
      <w:rPr>
        <w:rFonts w:hint="default"/>
      </w:rPr>
    </w:lvl>
    <w:lvl w:ilvl="2" w:tplc="829E56C0">
      <w:start w:val="1"/>
      <w:numFmt w:val="bullet"/>
      <w:lvlText w:val="•"/>
      <w:lvlJc w:val="left"/>
      <w:rPr>
        <w:rFonts w:hint="default"/>
      </w:rPr>
    </w:lvl>
    <w:lvl w:ilvl="3" w:tplc="7C08C40C">
      <w:start w:val="1"/>
      <w:numFmt w:val="bullet"/>
      <w:lvlText w:val="•"/>
      <w:lvlJc w:val="left"/>
      <w:rPr>
        <w:rFonts w:hint="default"/>
      </w:rPr>
    </w:lvl>
    <w:lvl w:ilvl="4" w:tplc="ADA2925A">
      <w:start w:val="1"/>
      <w:numFmt w:val="bullet"/>
      <w:lvlText w:val="•"/>
      <w:lvlJc w:val="left"/>
      <w:rPr>
        <w:rFonts w:hint="default"/>
      </w:rPr>
    </w:lvl>
    <w:lvl w:ilvl="5" w:tplc="20441690">
      <w:start w:val="1"/>
      <w:numFmt w:val="bullet"/>
      <w:lvlText w:val="•"/>
      <w:lvlJc w:val="left"/>
      <w:rPr>
        <w:rFonts w:hint="default"/>
      </w:rPr>
    </w:lvl>
    <w:lvl w:ilvl="6" w:tplc="15F83D76">
      <w:start w:val="1"/>
      <w:numFmt w:val="bullet"/>
      <w:lvlText w:val="•"/>
      <w:lvlJc w:val="left"/>
      <w:rPr>
        <w:rFonts w:hint="default"/>
      </w:rPr>
    </w:lvl>
    <w:lvl w:ilvl="7" w:tplc="683A0F6A">
      <w:start w:val="1"/>
      <w:numFmt w:val="bullet"/>
      <w:lvlText w:val="•"/>
      <w:lvlJc w:val="left"/>
      <w:rPr>
        <w:rFonts w:hint="default"/>
      </w:rPr>
    </w:lvl>
    <w:lvl w:ilvl="8" w:tplc="BD6211A4">
      <w:start w:val="1"/>
      <w:numFmt w:val="bullet"/>
      <w:lvlText w:val="•"/>
      <w:lvlJc w:val="left"/>
      <w:rPr>
        <w:rFonts w:hint="default"/>
      </w:rPr>
    </w:lvl>
  </w:abstractNum>
  <w:abstractNum w:abstractNumId="28" w15:restartNumberingAfterBreak="0">
    <w:nsid w:val="29F72400"/>
    <w:multiLevelType w:val="hybridMultilevel"/>
    <w:tmpl w:val="840C29DE"/>
    <w:lvl w:ilvl="0" w:tplc="7E3AE6F0">
      <w:start w:val="1"/>
      <w:numFmt w:val="lowerLetter"/>
      <w:lvlText w:val="%1"/>
      <w:lvlJc w:val="left"/>
      <w:pPr>
        <w:ind w:hanging="360"/>
      </w:pPr>
      <w:rPr>
        <w:rFonts w:ascii="Times New Roman" w:eastAsia="Times New Roman" w:hAnsi="Times New Roman" w:hint="default"/>
        <w:position w:val="0"/>
        <w:sz w:val="22"/>
        <w:szCs w:val="22"/>
        <w:vertAlign w:val="superscript"/>
      </w:rPr>
    </w:lvl>
    <w:lvl w:ilvl="1" w:tplc="F2A677EC">
      <w:start w:val="1"/>
      <w:numFmt w:val="bullet"/>
      <w:lvlText w:val="•"/>
      <w:lvlJc w:val="left"/>
      <w:rPr>
        <w:rFonts w:hint="default"/>
      </w:rPr>
    </w:lvl>
    <w:lvl w:ilvl="2" w:tplc="F412FFA4">
      <w:start w:val="1"/>
      <w:numFmt w:val="bullet"/>
      <w:lvlText w:val="•"/>
      <w:lvlJc w:val="left"/>
      <w:rPr>
        <w:rFonts w:hint="default"/>
      </w:rPr>
    </w:lvl>
    <w:lvl w:ilvl="3" w:tplc="DA8A9234">
      <w:start w:val="1"/>
      <w:numFmt w:val="bullet"/>
      <w:lvlText w:val="•"/>
      <w:lvlJc w:val="left"/>
      <w:rPr>
        <w:rFonts w:hint="default"/>
      </w:rPr>
    </w:lvl>
    <w:lvl w:ilvl="4" w:tplc="4E5EC8E4">
      <w:start w:val="1"/>
      <w:numFmt w:val="bullet"/>
      <w:lvlText w:val="•"/>
      <w:lvlJc w:val="left"/>
      <w:rPr>
        <w:rFonts w:hint="default"/>
      </w:rPr>
    </w:lvl>
    <w:lvl w:ilvl="5" w:tplc="8FF08DD4">
      <w:start w:val="1"/>
      <w:numFmt w:val="bullet"/>
      <w:lvlText w:val="•"/>
      <w:lvlJc w:val="left"/>
      <w:rPr>
        <w:rFonts w:hint="default"/>
      </w:rPr>
    </w:lvl>
    <w:lvl w:ilvl="6" w:tplc="7ECE316C">
      <w:start w:val="1"/>
      <w:numFmt w:val="bullet"/>
      <w:lvlText w:val="•"/>
      <w:lvlJc w:val="left"/>
      <w:rPr>
        <w:rFonts w:hint="default"/>
      </w:rPr>
    </w:lvl>
    <w:lvl w:ilvl="7" w:tplc="645C944C">
      <w:start w:val="1"/>
      <w:numFmt w:val="bullet"/>
      <w:lvlText w:val="•"/>
      <w:lvlJc w:val="left"/>
      <w:rPr>
        <w:rFonts w:hint="default"/>
      </w:rPr>
    </w:lvl>
    <w:lvl w:ilvl="8" w:tplc="9F82B034">
      <w:start w:val="1"/>
      <w:numFmt w:val="bullet"/>
      <w:lvlText w:val="•"/>
      <w:lvlJc w:val="left"/>
      <w:rPr>
        <w:rFonts w:hint="default"/>
      </w:rPr>
    </w:lvl>
  </w:abstractNum>
  <w:abstractNum w:abstractNumId="29" w15:restartNumberingAfterBreak="0">
    <w:nsid w:val="2B0E05AD"/>
    <w:multiLevelType w:val="hybridMultilevel"/>
    <w:tmpl w:val="CE5C424C"/>
    <w:lvl w:ilvl="0" w:tplc="772E89E6">
      <w:start w:val="1"/>
      <w:numFmt w:val="upperLetter"/>
      <w:lvlText w:val="%1."/>
      <w:lvlJc w:val="left"/>
      <w:pPr>
        <w:ind w:hanging="550"/>
      </w:pPr>
      <w:rPr>
        <w:rFonts w:ascii="Times New Roman" w:eastAsia="Times New Roman" w:hAnsi="Times New Roman" w:hint="default"/>
        <w:b/>
        <w:bCs/>
        <w:spacing w:val="-2"/>
        <w:sz w:val="22"/>
        <w:szCs w:val="22"/>
      </w:rPr>
    </w:lvl>
    <w:lvl w:ilvl="1" w:tplc="B600A1BE">
      <w:start w:val="1"/>
      <w:numFmt w:val="bullet"/>
      <w:lvlText w:val=""/>
      <w:lvlJc w:val="left"/>
      <w:pPr>
        <w:ind w:hanging="360"/>
      </w:pPr>
      <w:rPr>
        <w:rFonts w:ascii="Symbol" w:eastAsia="Symbol" w:hAnsi="Symbol" w:hint="default"/>
        <w:sz w:val="22"/>
        <w:szCs w:val="22"/>
      </w:rPr>
    </w:lvl>
    <w:lvl w:ilvl="2" w:tplc="7BA6FF82">
      <w:start w:val="1"/>
      <w:numFmt w:val="bullet"/>
      <w:lvlText w:val="•"/>
      <w:lvlJc w:val="left"/>
      <w:rPr>
        <w:rFonts w:hint="default"/>
      </w:rPr>
    </w:lvl>
    <w:lvl w:ilvl="3" w:tplc="BFAE26BA">
      <w:start w:val="1"/>
      <w:numFmt w:val="bullet"/>
      <w:lvlText w:val="•"/>
      <w:lvlJc w:val="left"/>
      <w:rPr>
        <w:rFonts w:hint="default"/>
      </w:rPr>
    </w:lvl>
    <w:lvl w:ilvl="4" w:tplc="19F676CA">
      <w:start w:val="1"/>
      <w:numFmt w:val="bullet"/>
      <w:lvlText w:val="•"/>
      <w:lvlJc w:val="left"/>
      <w:rPr>
        <w:rFonts w:hint="default"/>
      </w:rPr>
    </w:lvl>
    <w:lvl w:ilvl="5" w:tplc="95AA298A">
      <w:start w:val="1"/>
      <w:numFmt w:val="bullet"/>
      <w:lvlText w:val="•"/>
      <w:lvlJc w:val="left"/>
      <w:rPr>
        <w:rFonts w:hint="default"/>
      </w:rPr>
    </w:lvl>
    <w:lvl w:ilvl="6" w:tplc="0E5A1836">
      <w:start w:val="1"/>
      <w:numFmt w:val="bullet"/>
      <w:lvlText w:val="•"/>
      <w:lvlJc w:val="left"/>
      <w:rPr>
        <w:rFonts w:hint="default"/>
      </w:rPr>
    </w:lvl>
    <w:lvl w:ilvl="7" w:tplc="1E54F146">
      <w:start w:val="1"/>
      <w:numFmt w:val="bullet"/>
      <w:lvlText w:val="•"/>
      <w:lvlJc w:val="left"/>
      <w:rPr>
        <w:rFonts w:hint="default"/>
      </w:rPr>
    </w:lvl>
    <w:lvl w:ilvl="8" w:tplc="AF3C0B2E">
      <w:start w:val="1"/>
      <w:numFmt w:val="bullet"/>
      <w:lvlText w:val="•"/>
      <w:lvlJc w:val="left"/>
      <w:rPr>
        <w:rFonts w:hint="default"/>
      </w:rPr>
    </w:lvl>
  </w:abstractNum>
  <w:abstractNum w:abstractNumId="30" w15:restartNumberingAfterBreak="0">
    <w:nsid w:val="30B377F4"/>
    <w:multiLevelType w:val="hybridMultilevel"/>
    <w:tmpl w:val="907EA39E"/>
    <w:lvl w:ilvl="0" w:tplc="5CEA0DD6">
      <w:start w:val="1"/>
      <w:numFmt w:val="decimal"/>
      <w:lvlText w:val="%1"/>
      <w:lvlJc w:val="left"/>
      <w:pPr>
        <w:ind w:hanging="180"/>
      </w:pPr>
      <w:rPr>
        <w:rFonts w:ascii="Times New Roman" w:eastAsia="Times New Roman" w:hAnsi="Times New Roman" w:cs="Times New Roman"/>
        <w:w w:val="99"/>
        <w:position w:val="0"/>
        <w:sz w:val="22"/>
        <w:szCs w:val="22"/>
        <w:vertAlign w:val="superscript"/>
      </w:rPr>
    </w:lvl>
    <w:lvl w:ilvl="1" w:tplc="18ACDDEE">
      <w:start w:val="1"/>
      <w:numFmt w:val="bullet"/>
      <w:lvlText w:val="•"/>
      <w:lvlJc w:val="left"/>
      <w:rPr>
        <w:rFonts w:hint="default"/>
      </w:rPr>
    </w:lvl>
    <w:lvl w:ilvl="2" w:tplc="9BEC1862">
      <w:start w:val="1"/>
      <w:numFmt w:val="bullet"/>
      <w:lvlText w:val="•"/>
      <w:lvlJc w:val="left"/>
      <w:rPr>
        <w:rFonts w:hint="default"/>
      </w:rPr>
    </w:lvl>
    <w:lvl w:ilvl="3" w:tplc="ED6A85D2">
      <w:start w:val="1"/>
      <w:numFmt w:val="bullet"/>
      <w:lvlText w:val="•"/>
      <w:lvlJc w:val="left"/>
      <w:rPr>
        <w:rFonts w:hint="default"/>
      </w:rPr>
    </w:lvl>
    <w:lvl w:ilvl="4" w:tplc="604CC106">
      <w:start w:val="1"/>
      <w:numFmt w:val="bullet"/>
      <w:lvlText w:val="•"/>
      <w:lvlJc w:val="left"/>
      <w:rPr>
        <w:rFonts w:hint="default"/>
      </w:rPr>
    </w:lvl>
    <w:lvl w:ilvl="5" w:tplc="9A260D94">
      <w:start w:val="1"/>
      <w:numFmt w:val="bullet"/>
      <w:lvlText w:val="•"/>
      <w:lvlJc w:val="left"/>
      <w:rPr>
        <w:rFonts w:hint="default"/>
      </w:rPr>
    </w:lvl>
    <w:lvl w:ilvl="6" w:tplc="235A9882">
      <w:start w:val="1"/>
      <w:numFmt w:val="bullet"/>
      <w:lvlText w:val="•"/>
      <w:lvlJc w:val="left"/>
      <w:rPr>
        <w:rFonts w:hint="default"/>
      </w:rPr>
    </w:lvl>
    <w:lvl w:ilvl="7" w:tplc="34F635A4">
      <w:start w:val="1"/>
      <w:numFmt w:val="bullet"/>
      <w:lvlText w:val="•"/>
      <w:lvlJc w:val="left"/>
      <w:rPr>
        <w:rFonts w:hint="default"/>
      </w:rPr>
    </w:lvl>
    <w:lvl w:ilvl="8" w:tplc="38FC761E">
      <w:start w:val="1"/>
      <w:numFmt w:val="bullet"/>
      <w:lvlText w:val="•"/>
      <w:lvlJc w:val="left"/>
      <w:rPr>
        <w:rFonts w:hint="default"/>
      </w:rPr>
    </w:lvl>
  </w:abstractNum>
  <w:abstractNum w:abstractNumId="31" w15:restartNumberingAfterBreak="0">
    <w:nsid w:val="3207788F"/>
    <w:multiLevelType w:val="multilevel"/>
    <w:tmpl w:val="FBB62B10"/>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5.%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32" w15:restartNumberingAfterBreak="0">
    <w:nsid w:val="337B2914"/>
    <w:multiLevelType w:val="hybridMultilevel"/>
    <w:tmpl w:val="5F4A02AC"/>
    <w:lvl w:ilvl="0" w:tplc="DC86B794">
      <w:start w:val="1"/>
      <w:numFmt w:val="bullet"/>
      <w:lvlText w:val=""/>
      <w:lvlJc w:val="left"/>
      <w:pPr>
        <w:ind w:hanging="180"/>
      </w:pPr>
      <w:rPr>
        <w:rFonts w:ascii="Symbol" w:eastAsia="Symbol" w:hAnsi="Symbol" w:hint="default"/>
        <w:sz w:val="22"/>
        <w:szCs w:val="22"/>
      </w:rPr>
    </w:lvl>
    <w:lvl w:ilvl="1" w:tplc="57AE0416">
      <w:start w:val="1"/>
      <w:numFmt w:val="bullet"/>
      <w:lvlText w:val="•"/>
      <w:lvlJc w:val="left"/>
      <w:rPr>
        <w:rFonts w:hint="default"/>
      </w:rPr>
    </w:lvl>
    <w:lvl w:ilvl="2" w:tplc="FE42CDDE">
      <w:start w:val="1"/>
      <w:numFmt w:val="bullet"/>
      <w:lvlText w:val="•"/>
      <w:lvlJc w:val="left"/>
      <w:rPr>
        <w:rFonts w:hint="default"/>
      </w:rPr>
    </w:lvl>
    <w:lvl w:ilvl="3" w:tplc="51F45DAE">
      <w:start w:val="1"/>
      <w:numFmt w:val="bullet"/>
      <w:lvlText w:val="•"/>
      <w:lvlJc w:val="left"/>
      <w:rPr>
        <w:rFonts w:hint="default"/>
      </w:rPr>
    </w:lvl>
    <w:lvl w:ilvl="4" w:tplc="41B66822">
      <w:start w:val="1"/>
      <w:numFmt w:val="bullet"/>
      <w:lvlText w:val="•"/>
      <w:lvlJc w:val="left"/>
      <w:rPr>
        <w:rFonts w:hint="default"/>
      </w:rPr>
    </w:lvl>
    <w:lvl w:ilvl="5" w:tplc="612C59F8">
      <w:start w:val="1"/>
      <w:numFmt w:val="bullet"/>
      <w:lvlText w:val="•"/>
      <w:lvlJc w:val="left"/>
      <w:rPr>
        <w:rFonts w:hint="default"/>
      </w:rPr>
    </w:lvl>
    <w:lvl w:ilvl="6" w:tplc="FBB29A18">
      <w:start w:val="1"/>
      <w:numFmt w:val="bullet"/>
      <w:lvlText w:val="•"/>
      <w:lvlJc w:val="left"/>
      <w:rPr>
        <w:rFonts w:hint="default"/>
      </w:rPr>
    </w:lvl>
    <w:lvl w:ilvl="7" w:tplc="2D52F9C8">
      <w:start w:val="1"/>
      <w:numFmt w:val="bullet"/>
      <w:lvlText w:val="•"/>
      <w:lvlJc w:val="left"/>
      <w:rPr>
        <w:rFonts w:hint="default"/>
      </w:rPr>
    </w:lvl>
    <w:lvl w:ilvl="8" w:tplc="03A65E8A">
      <w:start w:val="1"/>
      <w:numFmt w:val="bullet"/>
      <w:lvlText w:val="•"/>
      <w:lvlJc w:val="left"/>
      <w:rPr>
        <w:rFonts w:hint="default"/>
      </w:rPr>
    </w:lvl>
  </w:abstractNum>
  <w:abstractNum w:abstractNumId="33" w15:restartNumberingAfterBreak="0">
    <w:nsid w:val="339E5FBB"/>
    <w:multiLevelType w:val="hybridMultilevel"/>
    <w:tmpl w:val="339C2F6A"/>
    <w:lvl w:ilvl="0" w:tplc="A776C702">
      <w:start w:val="1"/>
      <w:numFmt w:val="decimal"/>
      <w:lvlText w:val="%1."/>
      <w:lvlJc w:val="left"/>
      <w:pPr>
        <w:ind w:hanging="562"/>
      </w:pPr>
      <w:rPr>
        <w:rFonts w:ascii="Times New Roman" w:eastAsia="Times New Roman" w:hAnsi="Times New Roman" w:hint="default"/>
        <w:b/>
        <w:bCs/>
        <w:sz w:val="22"/>
        <w:szCs w:val="22"/>
      </w:rPr>
    </w:lvl>
    <w:lvl w:ilvl="1" w:tplc="2A708ED8">
      <w:start w:val="1"/>
      <w:numFmt w:val="bullet"/>
      <w:lvlText w:val="•"/>
      <w:lvlJc w:val="left"/>
      <w:rPr>
        <w:rFonts w:hint="default"/>
      </w:rPr>
    </w:lvl>
    <w:lvl w:ilvl="2" w:tplc="8370E7D4">
      <w:start w:val="1"/>
      <w:numFmt w:val="bullet"/>
      <w:lvlText w:val="•"/>
      <w:lvlJc w:val="left"/>
      <w:rPr>
        <w:rFonts w:hint="default"/>
      </w:rPr>
    </w:lvl>
    <w:lvl w:ilvl="3" w:tplc="5E9AB14C">
      <w:start w:val="1"/>
      <w:numFmt w:val="bullet"/>
      <w:lvlText w:val="•"/>
      <w:lvlJc w:val="left"/>
      <w:rPr>
        <w:rFonts w:hint="default"/>
      </w:rPr>
    </w:lvl>
    <w:lvl w:ilvl="4" w:tplc="611CD308">
      <w:start w:val="1"/>
      <w:numFmt w:val="bullet"/>
      <w:lvlText w:val="•"/>
      <w:lvlJc w:val="left"/>
      <w:rPr>
        <w:rFonts w:hint="default"/>
      </w:rPr>
    </w:lvl>
    <w:lvl w:ilvl="5" w:tplc="72F48F48">
      <w:start w:val="1"/>
      <w:numFmt w:val="bullet"/>
      <w:lvlText w:val="•"/>
      <w:lvlJc w:val="left"/>
      <w:rPr>
        <w:rFonts w:hint="default"/>
      </w:rPr>
    </w:lvl>
    <w:lvl w:ilvl="6" w:tplc="5D283432">
      <w:start w:val="1"/>
      <w:numFmt w:val="bullet"/>
      <w:lvlText w:val="•"/>
      <w:lvlJc w:val="left"/>
      <w:rPr>
        <w:rFonts w:hint="default"/>
      </w:rPr>
    </w:lvl>
    <w:lvl w:ilvl="7" w:tplc="DCD6915C">
      <w:start w:val="1"/>
      <w:numFmt w:val="bullet"/>
      <w:lvlText w:val="•"/>
      <w:lvlJc w:val="left"/>
      <w:rPr>
        <w:rFonts w:hint="default"/>
      </w:rPr>
    </w:lvl>
    <w:lvl w:ilvl="8" w:tplc="D87E1310">
      <w:start w:val="1"/>
      <w:numFmt w:val="bullet"/>
      <w:lvlText w:val="•"/>
      <w:lvlJc w:val="left"/>
      <w:rPr>
        <w:rFonts w:hint="default"/>
      </w:rPr>
    </w:lvl>
  </w:abstractNum>
  <w:abstractNum w:abstractNumId="34" w15:restartNumberingAfterBreak="0">
    <w:nsid w:val="34653D49"/>
    <w:multiLevelType w:val="hybridMultilevel"/>
    <w:tmpl w:val="82F21D2C"/>
    <w:lvl w:ilvl="0" w:tplc="FD56830A">
      <w:start w:val="1"/>
      <w:numFmt w:val="bullet"/>
      <w:lvlText w:val="•"/>
      <w:lvlJc w:val="left"/>
      <w:pPr>
        <w:ind w:left="911" w:hanging="400"/>
      </w:pPr>
      <w:rPr>
        <w:rFonts w:ascii="Times New Roman" w:eastAsia="Times New Roman" w:hAnsi="Times New Roman" w:hint="default"/>
        <w:sz w:val="22"/>
        <w:szCs w:val="22"/>
      </w:rPr>
    </w:lvl>
    <w:lvl w:ilvl="1" w:tplc="BB88E09C" w:tentative="1">
      <w:start w:val="1"/>
      <w:numFmt w:val="bullet"/>
      <w:lvlText w:val=""/>
      <w:lvlJc w:val="left"/>
      <w:pPr>
        <w:ind w:left="1311" w:hanging="400"/>
      </w:pPr>
      <w:rPr>
        <w:rFonts w:ascii="Wingdings" w:hAnsi="Wingdings" w:hint="default"/>
      </w:rPr>
    </w:lvl>
    <w:lvl w:ilvl="2" w:tplc="450C65C6" w:tentative="1">
      <w:start w:val="1"/>
      <w:numFmt w:val="bullet"/>
      <w:lvlText w:val=""/>
      <w:lvlJc w:val="left"/>
      <w:pPr>
        <w:ind w:left="1711" w:hanging="400"/>
      </w:pPr>
      <w:rPr>
        <w:rFonts w:ascii="Wingdings" w:hAnsi="Wingdings" w:hint="default"/>
      </w:rPr>
    </w:lvl>
    <w:lvl w:ilvl="3" w:tplc="F406143A" w:tentative="1">
      <w:start w:val="1"/>
      <w:numFmt w:val="bullet"/>
      <w:lvlText w:val=""/>
      <w:lvlJc w:val="left"/>
      <w:pPr>
        <w:ind w:left="2111" w:hanging="400"/>
      </w:pPr>
      <w:rPr>
        <w:rFonts w:ascii="Wingdings" w:hAnsi="Wingdings" w:hint="default"/>
      </w:rPr>
    </w:lvl>
    <w:lvl w:ilvl="4" w:tplc="6DBAEBC0" w:tentative="1">
      <w:start w:val="1"/>
      <w:numFmt w:val="bullet"/>
      <w:lvlText w:val=""/>
      <w:lvlJc w:val="left"/>
      <w:pPr>
        <w:ind w:left="2511" w:hanging="400"/>
      </w:pPr>
      <w:rPr>
        <w:rFonts w:ascii="Wingdings" w:hAnsi="Wingdings" w:hint="default"/>
      </w:rPr>
    </w:lvl>
    <w:lvl w:ilvl="5" w:tplc="CCC0589E" w:tentative="1">
      <w:start w:val="1"/>
      <w:numFmt w:val="bullet"/>
      <w:lvlText w:val=""/>
      <w:lvlJc w:val="left"/>
      <w:pPr>
        <w:ind w:left="2911" w:hanging="400"/>
      </w:pPr>
      <w:rPr>
        <w:rFonts w:ascii="Wingdings" w:hAnsi="Wingdings" w:hint="default"/>
      </w:rPr>
    </w:lvl>
    <w:lvl w:ilvl="6" w:tplc="0B1A30DC" w:tentative="1">
      <w:start w:val="1"/>
      <w:numFmt w:val="bullet"/>
      <w:lvlText w:val=""/>
      <w:lvlJc w:val="left"/>
      <w:pPr>
        <w:ind w:left="3311" w:hanging="400"/>
      </w:pPr>
      <w:rPr>
        <w:rFonts w:ascii="Wingdings" w:hAnsi="Wingdings" w:hint="default"/>
      </w:rPr>
    </w:lvl>
    <w:lvl w:ilvl="7" w:tplc="C41AB450" w:tentative="1">
      <w:start w:val="1"/>
      <w:numFmt w:val="bullet"/>
      <w:lvlText w:val=""/>
      <w:lvlJc w:val="left"/>
      <w:pPr>
        <w:ind w:left="3711" w:hanging="400"/>
      </w:pPr>
      <w:rPr>
        <w:rFonts w:ascii="Wingdings" w:hAnsi="Wingdings" w:hint="default"/>
      </w:rPr>
    </w:lvl>
    <w:lvl w:ilvl="8" w:tplc="07EC66D8" w:tentative="1">
      <w:start w:val="1"/>
      <w:numFmt w:val="bullet"/>
      <w:lvlText w:val=""/>
      <w:lvlJc w:val="left"/>
      <w:pPr>
        <w:ind w:left="4111" w:hanging="400"/>
      </w:pPr>
      <w:rPr>
        <w:rFonts w:ascii="Wingdings" w:hAnsi="Wingdings" w:hint="default"/>
      </w:rPr>
    </w:lvl>
  </w:abstractNum>
  <w:abstractNum w:abstractNumId="35" w15:restartNumberingAfterBreak="0">
    <w:nsid w:val="35A236F9"/>
    <w:multiLevelType w:val="hybridMultilevel"/>
    <w:tmpl w:val="EF7C0E1A"/>
    <w:lvl w:ilvl="0" w:tplc="0C28B84E">
      <w:start w:val="1"/>
      <w:numFmt w:val="upperLetter"/>
      <w:lvlText w:val="%1."/>
      <w:lvlJc w:val="left"/>
      <w:pPr>
        <w:ind w:left="760" w:hanging="360"/>
      </w:pPr>
      <w:rPr>
        <w:rFonts w:hint="default"/>
      </w:rPr>
    </w:lvl>
    <w:lvl w:ilvl="1" w:tplc="3B743312" w:tentative="1">
      <w:start w:val="1"/>
      <w:numFmt w:val="upperLetter"/>
      <w:lvlText w:val="%2."/>
      <w:lvlJc w:val="left"/>
      <w:pPr>
        <w:ind w:left="1200" w:hanging="400"/>
      </w:pPr>
    </w:lvl>
    <w:lvl w:ilvl="2" w:tplc="A928152A" w:tentative="1">
      <w:start w:val="1"/>
      <w:numFmt w:val="lowerRoman"/>
      <w:lvlText w:val="%3."/>
      <w:lvlJc w:val="right"/>
      <w:pPr>
        <w:ind w:left="1600" w:hanging="400"/>
      </w:pPr>
    </w:lvl>
    <w:lvl w:ilvl="3" w:tplc="39DE57B8" w:tentative="1">
      <w:start w:val="1"/>
      <w:numFmt w:val="decimal"/>
      <w:lvlText w:val="%4."/>
      <w:lvlJc w:val="left"/>
      <w:pPr>
        <w:ind w:left="2000" w:hanging="400"/>
      </w:pPr>
    </w:lvl>
    <w:lvl w:ilvl="4" w:tplc="BF86F964" w:tentative="1">
      <w:start w:val="1"/>
      <w:numFmt w:val="upperLetter"/>
      <w:lvlText w:val="%5."/>
      <w:lvlJc w:val="left"/>
      <w:pPr>
        <w:ind w:left="2400" w:hanging="400"/>
      </w:pPr>
    </w:lvl>
    <w:lvl w:ilvl="5" w:tplc="1DF20DB0" w:tentative="1">
      <w:start w:val="1"/>
      <w:numFmt w:val="lowerRoman"/>
      <w:lvlText w:val="%6."/>
      <w:lvlJc w:val="right"/>
      <w:pPr>
        <w:ind w:left="2800" w:hanging="400"/>
      </w:pPr>
    </w:lvl>
    <w:lvl w:ilvl="6" w:tplc="773E0840" w:tentative="1">
      <w:start w:val="1"/>
      <w:numFmt w:val="decimal"/>
      <w:lvlText w:val="%7."/>
      <w:lvlJc w:val="left"/>
      <w:pPr>
        <w:ind w:left="3200" w:hanging="400"/>
      </w:pPr>
    </w:lvl>
    <w:lvl w:ilvl="7" w:tplc="DEF06260" w:tentative="1">
      <w:start w:val="1"/>
      <w:numFmt w:val="upperLetter"/>
      <w:lvlText w:val="%8."/>
      <w:lvlJc w:val="left"/>
      <w:pPr>
        <w:ind w:left="3600" w:hanging="400"/>
      </w:pPr>
    </w:lvl>
    <w:lvl w:ilvl="8" w:tplc="9664120E" w:tentative="1">
      <w:start w:val="1"/>
      <w:numFmt w:val="lowerRoman"/>
      <w:lvlText w:val="%9."/>
      <w:lvlJc w:val="right"/>
      <w:pPr>
        <w:ind w:left="4000" w:hanging="400"/>
      </w:pPr>
    </w:lvl>
  </w:abstractNum>
  <w:abstractNum w:abstractNumId="36" w15:restartNumberingAfterBreak="0">
    <w:nsid w:val="38815C69"/>
    <w:multiLevelType w:val="multilevel"/>
    <w:tmpl w:val="6DEC6FE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4.%2"/>
      <w:lvlJc w:val="left"/>
      <w:pPr>
        <w:ind w:left="0" w:hanging="562"/>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37" w15:restartNumberingAfterBreak="0">
    <w:nsid w:val="38FA1095"/>
    <w:multiLevelType w:val="hybridMultilevel"/>
    <w:tmpl w:val="FF08613C"/>
    <w:lvl w:ilvl="0" w:tplc="FB663DB6">
      <w:start w:val="1"/>
      <w:numFmt w:val="decimal"/>
      <w:lvlText w:val="%1."/>
      <w:lvlJc w:val="left"/>
      <w:pPr>
        <w:ind w:left="360" w:hanging="360"/>
      </w:pPr>
      <w:rPr>
        <w:rFonts w:ascii="Times New Roman" w:hAnsi="Times New Roman" w:cs="Times New Roman" w:hint="default"/>
        <w:b/>
      </w:rPr>
    </w:lvl>
    <w:lvl w:ilvl="1" w:tplc="CBE83282" w:tentative="1">
      <w:start w:val="1"/>
      <w:numFmt w:val="upperLetter"/>
      <w:lvlText w:val="%2."/>
      <w:lvlJc w:val="left"/>
      <w:pPr>
        <w:ind w:left="908" w:hanging="400"/>
      </w:pPr>
    </w:lvl>
    <w:lvl w:ilvl="2" w:tplc="EF3690A8" w:tentative="1">
      <w:start w:val="1"/>
      <w:numFmt w:val="lowerRoman"/>
      <w:lvlText w:val="%3."/>
      <w:lvlJc w:val="right"/>
      <w:pPr>
        <w:ind w:left="1308" w:hanging="400"/>
      </w:pPr>
    </w:lvl>
    <w:lvl w:ilvl="3" w:tplc="E7CE5F38" w:tentative="1">
      <w:start w:val="1"/>
      <w:numFmt w:val="decimal"/>
      <w:lvlText w:val="%4."/>
      <w:lvlJc w:val="left"/>
      <w:pPr>
        <w:ind w:left="1708" w:hanging="400"/>
      </w:pPr>
    </w:lvl>
    <w:lvl w:ilvl="4" w:tplc="5B82EE9C" w:tentative="1">
      <w:start w:val="1"/>
      <w:numFmt w:val="upperLetter"/>
      <w:lvlText w:val="%5."/>
      <w:lvlJc w:val="left"/>
      <w:pPr>
        <w:ind w:left="2108" w:hanging="400"/>
      </w:pPr>
    </w:lvl>
    <w:lvl w:ilvl="5" w:tplc="942A8A16" w:tentative="1">
      <w:start w:val="1"/>
      <w:numFmt w:val="lowerRoman"/>
      <w:lvlText w:val="%6."/>
      <w:lvlJc w:val="right"/>
      <w:pPr>
        <w:ind w:left="2508" w:hanging="400"/>
      </w:pPr>
    </w:lvl>
    <w:lvl w:ilvl="6" w:tplc="E2DCB120" w:tentative="1">
      <w:start w:val="1"/>
      <w:numFmt w:val="decimal"/>
      <w:lvlText w:val="%7."/>
      <w:lvlJc w:val="left"/>
      <w:pPr>
        <w:ind w:left="2908" w:hanging="400"/>
      </w:pPr>
    </w:lvl>
    <w:lvl w:ilvl="7" w:tplc="99B059FA" w:tentative="1">
      <w:start w:val="1"/>
      <w:numFmt w:val="upperLetter"/>
      <w:lvlText w:val="%8."/>
      <w:lvlJc w:val="left"/>
      <w:pPr>
        <w:ind w:left="3308" w:hanging="400"/>
      </w:pPr>
    </w:lvl>
    <w:lvl w:ilvl="8" w:tplc="3266C558" w:tentative="1">
      <w:start w:val="1"/>
      <w:numFmt w:val="lowerRoman"/>
      <w:lvlText w:val="%9."/>
      <w:lvlJc w:val="right"/>
      <w:pPr>
        <w:ind w:left="3708" w:hanging="400"/>
      </w:pPr>
    </w:lvl>
  </w:abstractNum>
  <w:abstractNum w:abstractNumId="38" w15:restartNumberingAfterBreak="0">
    <w:nsid w:val="395A7509"/>
    <w:multiLevelType w:val="multilevel"/>
    <w:tmpl w:val="EF18197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6.%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39" w15:restartNumberingAfterBreak="0">
    <w:nsid w:val="3B7E0A6A"/>
    <w:multiLevelType w:val="hybridMultilevel"/>
    <w:tmpl w:val="520C0D62"/>
    <w:lvl w:ilvl="0" w:tplc="7136AC20">
      <w:start w:val="1"/>
      <w:numFmt w:val="bullet"/>
      <w:lvlText w:val=""/>
      <w:lvlJc w:val="left"/>
      <w:pPr>
        <w:ind w:hanging="550"/>
      </w:pPr>
      <w:rPr>
        <w:rFonts w:ascii="Symbol" w:eastAsia="Symbol" w:hAnsi="Symbol" w:hint="default"/>
        <w:sz w:val="22"/>
        <w:szCs w:val="22"/>
      </w:rPr>
    </w:lvl>
    <w:lvl w:ilvl="1" w:tplc="ED9E80CC">
      <w:start w:val="1"/>
      <w:numFmt w:val="bullet"/>
      <w:lvlText w:val="•"/>
      <w:lvlJc w:val="left"/>
      <w:rPr>
        <w:rFonts w:hint="default"/>
      </w:rPr>
    </w:lvl>
    <w:lvl w:ilvl="2" w:tplc="9948E4A2">
      <w:start w:val="1"/>
      <w:numFmt w:val="bullet"/>
      <w:lvlText w:val="•"/>
      <w:lvlJc w:val="left"/>
      <w:rPr>
        <w:rFonts w:hint="default"/>
      </w:rPr>
    </w:lvl>
    <w:lvl w:ilvl="3" w:tplc="97D2EBAC">
      <w:start w:val="1"/>
      <w:numFmt w:val="bullet"/>
      <w:lvlText w:val="•"/>
      <w:lvlJc w:val="left"/>
      <w:rPr>
        <w:rFonts w:hint="default"/>
      </w:rPr>
    </w:lvl>
    <w:lvl w:ilvl="4" w:tplc="C6E25C94">
      <w:start w:val="1"/>
      <w:numFmt w:val="bullet"/>
      <w:lvlText w:val="•"/>
      <w:lvlJc w:val="left"/>
      <w:rPr>
        <w:rFonts w:hint="default"/>
      </w:rPr>
    </w:lvl>
    <w:lvl w:ilvl="5" w:tplc="ED740832">
      <w:start w:val="1"/>
      <w:numFmt w:val="bullet"/>
      <w:lvlText w:val="•"/>
      <w:lvlJc w:val="left"/>
      <w:rPr>
        <w:rFonts w:hint="default"/>
      </w:rPr>
    </w:lvl>
    <w:lvl w:ilvl="6" w:tplc="BDD4DFF8">
      <w:start w:val="1"/>
      <w:numFmt w:val="bullet"/>
      <w:lvlText w:val="•"/>
      <w:lvlJc w:val="left"/>
      <w:rPr>
        <w:rFonts w:hint="default"/>
      </w:rPr>
    </w:lvl>
    <w:lvl w:ilvl="7" w:tplc="BAB081C2">
      <w:start w:val="1"/>
      <w:numFmt w:val="bullet"/>
      <w:lvlText w:val="•"/>
      <w:lvlJc w:val="left"/>
      <w:rPr>
        <w:rFonts w:hint="default"/>
      </w:rPr>
    </w:lvl>
    <w:lvl w:ilvl="8" w:tplc="593A9226">
      <w:start w:val="1"/>
      <w:numFmt w:val="bullet"/>
      <w:lvlText w:val="•"/>
      <w:lvlJc w:val="left"/>
      <w:rPr>
        <w:rFonts w:hint="default"/>
      </w:rPr>
    </w:lvl>
  </w:abstractNum>
  <w:abstractNum w:abstractNumId="40" w15:restartNumberingAfterBreak="0">
    <w:nsid w:val="3C06002B"/>
    <w:multiLevelType w:val="hybridMultilevel"/>
    <w:tmpl w:val="339C2F6A"/>
    <w:lvl w:ilvl="0" w:tplc="1FCE759C">
      <w:start w:val="1"/>
      <w:numFmt w:val="decimal"/>
      <w:lvlText w:val="%1."/>
      <w:lvlJc w:val="left"/>
      <w:pPr>
        <w:ind w:hanging="562"/>
      </w:pPr>
      <w:rPr>
        <w:rFonts w:ascii="Times New Roman" w:eastAsia="Times New Roman" w:hAnsi="Times New Roman" w:hint="default"/>
        <w:b/>
        <w:bCs/>
        <w:sz w:val="22"/>
        <w:szCs w:val="22"/>
      </w:rPr>
    </w:lvl>
    <w:lvl w:ilvl="1" w:tplc="5D54D648">
      <w:start w:val="1"/>
      <w:numFmt w:val="bullet"/>
      <w:lvlText w:val="•"/>
      <w:lvlJc w:val="left"/>
      <w:rPr>
        <w:rFonts w:hint="default"/>
      </w:rPr>
    </w:lvl>
    <w:lvl w:ilvl="2" w:tplc="01243EC2">
      <w:start w:val="1"/>
      <w:numFmt w:val="bullet"/>
      <w:lvlText w:val="•"/>
      <w:lvlJc w:val="left"/>
      <w:rPr>
        <w:rFonts w:hint="default"/>
      </w:rPr>
    </w:lvl>
    <w:lvl w:ilvl="3" w:tplc="0A62915A">
      <w:start w:val="1"/>
      <w:numFmt w:val="bullet"/>
      <w:lvlText w:val="•"/>
      <w:lvlJc w:val="left"/>
      <w:rPr>
        <w:rFonts w:hint="default"/>
      </w:rPr>
    </w:lvl>
    <w:lvl w:ilvl="4" w:tplc="B200177C">
      <w:start w:val="1"/>
      <w:numFmt w:val="bullet"/>
      <w:lvlText w:val="•"/>
      <w:lvlJc w:val="left"/>
      <w:rPr>
        <w:rFonts w:hint="default"/>
      </w:rPr>
    </w:lvl>
    <w:lvl w:ilvl="5" w:tplc="436CF5C0">
      <w:start w:val="1"/>
      <w:numFmt w:val="bullet"/>
      <w:lvlText w:val="•"/>
      <w:lvlJc w:val="left"/>
      <w:rPr>
        <w:rFonts w:hint="default"/>
      </w:rPr>
    </w:lvl>
    <w:lvl w:ilvl="6" w:tplc="7136969A">
      <w:start w:val="1"/>
      <w:numFmt w:val="bullet"/>
      <w:lvlText w:val="•"/>
      <w:lvlJc w:val="left"/>
      <w:rPr>
        <w:rFonts w:hint="default"/>
      </w:rPr>
    </w:lvl>
    <w:lvl w:ilvl="7" w:tplc="3E524EA0">
      <w:start w:val="1"/>
      <w:numFmt w:val="bullet"/>
      <w:lvlText w:val="•"/>
      <w:lvlJc w:val="left"/>
      <w:rPr>
        <w:rFonts w:hint="default"/>
      </w:rPr>
    </w:lvl>
    <w:lvl w:ilvl="8" w:tplc="AD3C6A68">
      <w:start w:val="1"/>
      <w:numFmt w:val="bullet"/>
      <w:lvlText w:val="•"/>
      <w:lvlJc w:val="left"/>
      <w:rPr>
        <w:rFonts w:hint="default"/>
      </w:rPr>
    </w:lvl>
  </w:abstractNum>
  <w:abstractNum w:abstractNumId="41" w15:restartNumberingAfterBreak="0">
    <w:nsid w:val="3E3B277C"/>
    <w:multiLevelType w:val="hybridMultilevel"/>
    <w:tmpl w:val="AA284A0C"/>
    <w:lvl w:ilvl="0" w:tplc="B974467C">
      <w:start w:val="1"/>
      <w:numFmt w:val="decimal"/>
      <w:lvlText w:val="%1."/>
      <w:lvlJc w:val="left"/>
      <w:pPr>
        <w:ind w:hanging="562"/>
      </w:pPr>
      <w:rPr>
        <w:rFonts w:ascii="Times New Roman" w:eastAsia="Times New Roman" w:hAnsi="Times New Roman" w:hint="default"/>
        <w:b/>
        <w:bCs/>
        <w:sz w:val="22"/>
        <w:szCs w:val="22"/>
      </w:rPr>
    </w:lvl>
    <w:lvl w:ilvl="1" w:tplc="7622677E">
      <w:start w:val="1"/>
      <w:numFmt w:val="bullet"/>
      <w:lvlText w:val=""/>
      <w:lvlJc w:val="left"/>
      <w:pPr>
        <w:ind w:hanging="360"/>
      </w:pPr>
      <w:rPr>
        <w:rFonts w:ascii="Symbol" w:eastAsia="Symbol" w:hAnsi="Symbol" w:hint="default"/>
        <w:sz w:val="22"/>
        <w:szCs w:val="22"/>
      </w:rPr>
    </w:lvl>
    <w:lvl w:ilvl="2" w:tplc="D2ACB770">
      <w:start w:val="1"/>
      <w:numFmt w:val="bullet"/>
      <w:lvlText w:val=""/>
      <w:lvlJc w:val="left"/>
      <w:pPr>
        <w:ind w:hanging="360"/>
      </w:pPr>
      <w:rPr>
        <w:rFonts w:ascii="Symbol" w:eastAsia="Symbol" w:hAnsi="Symbol" w:hint="default"/>
        <w:sz w:val="22"/>
        <w:szCs w:val="22"/>
      </w:rPr>
    </w:lvl>
    <w:lvl w:ilvl="3" w:tplc="E3E2D5E8">
      <w:start w:val="1"/>
      <w:numFmt w:val="bullet"/>
      <w:lvlText w:val=""/>
      <w:lvlJc w:val="left"/>
      <w:pPr>
        <w:ind w:hanging="360"/>
      </w:pPr>
      <w:rPr>
        <w:rFonts w:ascii="Symbol" w:eastAsia="Symbol" w:hAnsi="Symbol" w:hint="default"/>
        <w:sz w:val="22"/>
        <w:szCs w:val="22"/>
      </w:rPr>
    </w:lvl>
    <w:lvl w:ilvl="4" w:tplc="BE6A650A">
      <w:start w:val="1"/>
      <w:numFmt w:val="bullet"/>
      <w:lvlText w:val=""/>
      <w:lvlJc w:val="left"/>
      <w:pPr>
        <w:ind w:hanging="360"/>
      </w:pPr>
      <w:rPr>
        <w:rFonts w:ascii="Symbol" w:eastAsia="Symbol" w:hAnsi="Symbol" w:hint="default"/>
        <w:sz w:val="22"/>
        <w:szCs w:val="22"/>
      </w:rPr>
    </w:lvl>
    <w:lvl w:ilvl="5" w:tplc="CB643E34">
      <w:start w:val="1"/>
      <w:numFmt w:val="bullet"/>
      <w:lvlText w:val="•"/>
      <w:lvlJc w:val="left"/>
      <w:rPr>
        <w:rFonts w:hint="default"/>
      </w:rPr>
    </w:lvl>
    <w:lvl w:ilvl="6" w:tplc="9D042626">
      <w:start w:val="1"/>
      <w:numFmt w:val="bullet"/>
      <w:lvlText w:val="•"/>
      <w:lvlJc w:val="left"/>
      <w:rPr>
        <w:rFonts w:hint="default"/>
      </w:rPr>
    </w:lvl>
    <w:lvl w:ilvl="7" w:tplc="C24A4D24">
      <w:start w:val="1"/>
      <w:numFmt w:val="bullet"/>
      <w:lvlText w:val="•"/>
      <w:lvlJc w:val="left"/>
      <w:rPr>
        <w:rFonts w:hint="default"/>
      </w:rPr>
    </w:lvl>
    <w:lvl w:ilvl="8" w:tplc="BBDC9DCC">
      <w:start w:val="1"/>
      <w:numFmt w:val="bullet"/>
      <w:lvlText w:val="•"/>
      <w:lvlJc w:val="left"/>
      <w:rPr>
        <w:rFonts w:hint="default"/>
      </w:rPr>
    </w:lvl>
  </w:abstractNum>
  <w:abstractNum w:abstractNumId="42" w15:restartNumberingAfterBreak="0">
    <w:nsid w:val="3EE529C7"/>
    <w:multiLevelType w:val="hybridMultilevel"/>
    <w:tmpl w:val="907EA39E"/>
    <w:lvl w:ilvl="0" w:tplc="5CEA0DD6">
      <w:start w:val="1"/>
      <w:numFmt w:val="decimal"/>
      <w:lvlText w:val="%1"/>
      <w:lvlJc w:val="left"/>
      <w:pPr>
        <w:ind w:hanging="180"/>
      </w:pPr>
      <w:rPr>
        <w:rFonts w:ascii="Times New Roman" w:eastAsia="Times New Roman" w:hAnsi="Times New Roman" w:cs="Times New Roman"/>
        <w:w w:val="99"/>
        <w:position w:val="0"/>
        <w:sz w:val="22"/>
        <w:szCs w:val="22"/>
        <w:vertAlign w:val="superscript"/>
      </w:rPr>
    </w:lvl>
    <w:lvl w:ilvl="1" w:tplc="18ACDDEE">
      <w:start w:val="1"/>
      <w:numFmt w:val="bullet"/>
      <w:lvlText w:val="•"/>
      <w:lvlJc w:val="left"/>
      <w:rPr>
        <w:rFonts w:hint="default"/>
      </w:rPr>
    </w:lvl>
    <w:lvl w:ilvl="2" w:tplc="9BEC1862">
      <w:start w:val="1"/>
      <w:numFmt w:val="bullet"/>
      <w:lvlText w:val="•"/>
      <w:lvlJc w:val="left"/>
      <w:rPr>
        <w:rFonts w:hint="default"/>
      </w:rPr>
    </w:lvl>
    <w:lvl w:ilvl="3" w:tplc="ED6A85D2">
      <w:start w:val="1"/>
      <w:numFmt w:val="bullet"/>
      <w:lvlText w:val="•"/>
      <w:lvlJc w:val="left"/>
      <w:rPr>
        <w:rFonts w:hint="default"/>
      </w:rPr>
    </w:lvl>
    <w:lvl w:ilvl="4" w:tplc="604CC106">
      <w:start w:val="1"/>
      <w:numFmt w:val="bullet"/>
      <w:lvlText w:val="•"/>
      <w:lvlJc w:val="left"/>
      <w:rPr>
        <w:rFonts w:hint="default"/>
      </w:rPr>
    </w:lvl>
    <w:lvl w:ilvl="5" w:tplc="9A260D94">
      <w:start w:val="1"/>
      <w:numFmt w:val="bullet"/>
      <w:lvlText w:val="•"/>
      <w:lvlJc w:val="left"/>
      <w:rPr>
        <w:rFonts w:hint="default"/>
      </w:rPr>
    </w:lvl>
    <w:lvl w:ilvl="6" w:tplc="235A9882">
      <w:start w:val="1"/>
      <w:numFmt w:val="bullet"/>
      <w:lvlText w:val="•"/>
      <w:lvlJc w:val="left"/>
      <w:rPr>
        <w:rFonts w:hint="default"/>
      </w:rPr>
    </w:lvl>
    <w:lvl w:ilvl="7" w:tplc="34F635A4">
      <w:start w:val="1"/>
      <w:numFmt w:val="bullet"/>
      <w:lvlText w:val="•"/>
      <w:lvlJc w:val="left"/>
      <w:rPr>
        <w:rFonts w:hint="default"/>
      </w:rPr>
    </w:lvl>
    <w:lvl w:ilvl="8" w:tplc="38FC761E">
      <w:start w:val="1"/>
      <w:numFmt w:val="bullet"/>
      <w:lvlText w:val="•"/>
      <w:lvlJc w:val="left"/>
      <w:rPr>
        <w:rFonts w:hint="default"/>
      </w:rPr>
    </w:lvl>
  </w:abstractNum>
  <w:abstractNum w:abstractNumId="43" w15:restartNumberingAfterBreak="0">
    <w:nsid w:val="417C7DF1"/>
    <w:multiLevelType w:val="multilevel"/>
    <w:tmpl w:val="EF18197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6.%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44" w15:restartNumberingAfterBreak="0">
    <w:nsid w:val="42031E63"/>
    <w:multiLevelType w:val="hybridMultilevel"/>
    <w:tmpl w:val="5600D6EE"/>
    <w:lvl w:ilvl="0" w:tplc="64E406B2">
      <w:start w:val="1"/>
      <w:numFmt w:val="lowerLetter"/>
      <w:lvlText w:val="%1."/>
      <w:lvlJc w:val="left"/>
      <w:pPr>
        <w:ind w:left="675" w:hanging="360"/>
      </w:pPr>
      <w:rPr>
        <w:rFonts w:eastAsia="Times New Roman" w:hint="default"/>
        <w:b/>
      </w:rPr>
    </w:lvl>
    <w:lvl w:ilvl="1" w:tplc="040E0019" w:tentative="1">
      <w:start w:val="1"/>
      <w:numFmt w:val="lowerLetter"/>
      <w:lvlText w:val="%2."/>
      <w:lvlJc w:val="left"/>
      <w:pPr>
        <w:ind w:left="1395" w:hanging="360"/>
      </w:pPr>
    </w:lvl>
    <w:lvl w:ilvl="2" w:tplc="040E001B" w:tentative="1">
      <w:start w:val="1"/>
      <w:numFmt w:val="lowerRoman"/>
      <w:lvlText w:val="%3."/>
      <w:lvlJc w:val="right"/>
      <w:pPr>
        <w:ind w:left="2115" w:hanging="180"/>
      </w:pPr>
    </w:lvl>
    <w:lvl w:ilvl="3" w:tplc="040E000F" w:tentative="1">
      <w:start w:val="1"/>
      <w:numFmt w:val="decimal"/>
      <w:lvlText w:val="%4."/>
      <w:lvlJc w:val="left"/>
      <w:pPr>
        <w:ind w:left="2835" w:hanging="360"/>
      </w:pPr>
    </w:lvl>
    <w:lvl w:ilvl="4" w:tplc="040E0019" w:tentative="1">
      <w:start w:val="1"/>
      <w:numFmt w:val="lowerLetter"/>
      <w:lvlText w:val="%5."/>
      <w:lvlJc w:val="left"/>
      <w:pPr>
        <w:ind w:left="3555" w:hanging="360"/>
      </w:pPr>
    </w:lvl>
    <w:lvl w:ilvl="5" w:tplc="040E001B" w:tentative="1">
      <w:start w:val="1"/>
      <w:numFmt w:val="lowerRoman"/>
      <w:lvlText w:val="%6."/>
      <w:lvlJc w:val="right"/>
      <w:pPr>
        <w:ind w:left="4275" w:hanging="180"/>
      </w:pPr>
    </w:lvl>
    <w:lvl w:ilvl="6" w:tplc="040E000F" w:tentative="1">
      <w:start w:val="1"/>
      <w:numFmt w:val="decimal"/>
      <w:lvlText w:val="%7."/>
      <w:lvlJc w:val="left"/>
      <w:pPr>
        <w:ind w:left="4995" w:hanging="360"/>
      </w:pPr>
    </w:lvl>
    <w:lvl w:ilvl="7" w:tplc="040E0019" w:tentative="1">
      <w:start w:val="1"/>
      <w:numFmt w:val="lowerLetter"/>
      <w:lvlText w:val="%8."/>
      <w:lvlJc w:val="left"/>
      <w:pPr>
        <w:ind w:left="5715" w:hanging="360"/>
      </w:pPr>
    </w:lvl>
    <w:lvl w:ilvl="8" w:tplc="040E001B" w:tentative="1">
      <w:start w:val="1"/>
      <w:numFmt w:val="lowerRoman"/>
      <w:lvlText w:val="%9."/>
      <w:lvlJc w:val="right"/>
      <w:pPr>
        <w:ind w:left="6435" w:hanging="180"/>
      </w:pPr>
    </w:lvl>
  </w:abstractNum>
  <w:abstractNum w:abstractNumId="45" w15:restartNumberingAfterBreak="0">
    <w:nsid w:val="449C5C33"/>
    <w:multiLevelType w:val="hybridMultilevel"/>
    <w:tmpl w:val="9C52655E"/>
    <w:lvl w:ilvl="0" w:tplc="931AB704">
      <w:start w:val="1"/>
      <w:numFmt w:val="decimal"/>
      <w:lvlText w:val="%1."/>
      <w:lvlJc w:val="left"/>
      <w:pPr>
        <w:ind w:hanging="562"/>
      </w:pPr>
      <w:rPr>
        <w:rFonts w:ascii="Times New Roman" w:eastAsia="Times New Roman" w:hAnsi="Times New Roman" w:hint="default"/>
        <w:b/>
        <w:bCs/>
        <w:sz w:val="22"/>
        <w:szCs w:val="22"/>
      </w:rPr>
    </w:lvl>
    <w:lvl w:ilvl="1" w:tplc="8C9CBCFA">
      <w:start w:val="1"/>
      <w:numFmt w:val="bullet"/>
      <w:lvlText w:val=""/>
      <w:lvlJc w:val="left"/>
      <w:pPr>
        <w:ind w:hanging="360"/>
      </w:pPr>
      <w:rPr>
        <w:rFonts w:ascii="Symbol" w:eastAsia="Symbol" w:hAnsi="Symbol" w:hint="default"/>
        <w:sz w:val="22"/>
        <w:szCs w:val="22"/>
      </w:rPr>
    </w:lvl>
    <w:lvl w:ilvl="2" w:tplc="64906FF4">
      <w:start w:val="1"/>
      <w:numFmt w:val="bullet"/>
      <w:lvlText w:val=""/>
      <w:lvlJc w:val="left"/>
      <w:pPr>
        <w:ind w:hanging="360"/>
      </w:pPr>
      <w:rPr>
        <w:rFonts w:ascii="Symbol" w:eastAsia="Symbol" w:hAnsi="Symbol" w:hint="default"/>
        <w:sz w:val="22"/>
        <w:szCs w:val="22"/>
      </w:rPr>
    </w:lvl>
    <w:lvl w:ilvl="3" w:tplc="4142E7D8">
      <w:start w:val="1"/>
      <w:numFmt w:val="bullet"/>
      <w:lvlText w:val="•"/>
      <w:lvlJc w:val="left"/>
      <w:rPr>
        <w:rFonts w:hint="default"/>
      </w:rPr>
    </w:lvl>
    <w:lvl w:ilvl="4" w:tplc="00901140">
      <w:start w:val="1"/>
      <w:numFmt w:val="bullet"/>
      <w:lvlText w:val="•"/>
      <w:lvlJc w:val="left"/>
      <w:rPr>
        <w:rFonts w:hint="default"/>
      </w:rPr>
    </w:lvl>
    <w:lvl w:ilvl="5" w:tplc="02DE4D6E">
      <w:start w:val="1"/>
      <w:numFmt w:val="bullet"/>
      <w:lvlText w:val="•"/>
      <w:lvlJc w:val="left"/>
      <w:rPr>
        <w:rFonts w:hint="default"/>
      </w:rPr>
    </w:lvl>
    <w:lvl w:ilvl="6" w:tplc="F066241C">
      <w:start w:val="1"/>
      <w:numFmt w:val="bullet"/>
      <w:lvlText w:val="•"/>
      <w:lvlJc w:val="left"/>
      <w:rPr>
        <w:rFonts w:hint="default"/>
      </w:rPr>
    </w:lvl>
    <w:lvl w:ilvl="7" w:tplc="911A3668">
      <w:start w:val="1"/>
      <w:numFmt w:val="bullet"/>
      <w:lvlText w:val="•"/>
      <w:lvlJc w:val="left"/>
      <w:rPr>
        <w:rFonts w:hint="default"/>
      </w:rPr>
    </w:lvl>
    <w:lvl w:ilvl="8" w:tplc="87A43DF4">
      <w:start w:val="1"/>
      <w:numFmt w:val="bullet"/>
      <w:lvlText w:val="•"/>
      <w:lvlJc w:val="left"/>
      <w:rPr>
        <w:rFonts w:hint="default"/>
      </w:rPr>
    </w:lvl>
  </w:abstractNum>
  <w:abstractNum w:abstractNumId="46" w15:restartNumberingAfterBreak="0">
    <w:nsid w:val="4690585E"/>
    <w:multiLevelType w:val="hybridMultilevel"/>
    <w:tmpl w:val="B11621AC"/>
    <w:lvl w:ilvl="0" w:tplc="1E32C9A4">
      <w:start w:val="1"/>
      <w:numFmt w:val="decimal"/>
      <w:lvlText w:val="%1."/>
      <w:lvlJc w:val="left"/>
      <w:pPr>
        <w:ind w:left="360" w:hanging="360"/>
      </w:pPr>
      <w:rPr>
        <w:rFonts w:ascii="Times New Roman" w:hAnsi="Times New Roman" w:cs="Times New Roman" w:hint="default"/>
        <w:b/>
      </w:rPr>
    </w:lvl>
    <w:lvl w:ilvl="1" w:tplc="34806644" w:tentative="1">
      <w:start w:val="1"/>
      <w:numFmt w:val="upperLetter"/>
      <w:lvlText w:val="%2."/>
      <w:lvlJc w:val="left"/>
      <w:pPr>
        <w:ind w:left="800" w:hanging="400"/>
      </w:pPr>
    </w:lvl>
    <w:lvl w:ilvl="2" w:tplc="CED42FBE" w:tentative="1">
      <w:start w:val="1"/>
      <w:numFmt w:val="lowerRoman"/>
      <w:lvlText w:val="%3."/>
      <w:lvlJc w:val="right"/>
      <w:pPr>
        <w:ind w:left="1200" w:hanging="400"/>
      </w:pPr>
    </w:lvl>
    <w:lvl w:ilvl="3" w:tplc="F8FC67D4" w:tentative="1">
      <w:start w:val="1"/>
      <w:numFmt w:val="decimal"/>
      <w:lvlText w:val="%4."/>
      <w:lvlJc w:val="left"/>
      <w:pPr>
        <w:ind w:left="1600" w:hanging="400"/>
      </w:pPr>
    </w:lvl>
    <w:lvl w:ilvl="4" w:tplc="CE729954" w:tentative="1">
      <w:start w:val="1"/>
      <w:numFmt w:val="upperLetter"/>
      <w:lvlText w:val="%5."/>
      <w:lvlJc w:val="left"/>
      <w:pPr>
        <w:ind w:left="2000" w:hanging="400"/>
      </w:pPr>
    </w:lvl>
    <w:lvl w:ilvl="5" w:tplc="BFACD340" w:tentative="1">
      <w:start w:val="1"/>
      <w:numFmt w:val="lowerRoman"/>
      <w:lvlText w:val="%6."/>
      <w:lvlJc w:val="right"/>
      <w:pPr>
        <w:ind w:left="2400" w:hanging="400"/>
      </w:pPr>
    </w:lvl>
    <w:lvl w:ilvl="6" w:tplc="FAD8F49E" w:tentative="1">
      <w:start w:val="1"/>
      <w:numFmt w:val="decimal"/>
      <w:lvlText w:val="%7."/>
      <w:lvlJc w:val="left"/>
      <w:pPr>
        <w:ind w:left="2800" w:hanging="400"/>
      </w:pPr>
    </w:lvl>
    <w:lvl w:ilvl="7" w:tplc="E056C1A6" w:tentative="1">
      <w:start w:val="1"/>
      <w:numFmt w:val="upperLetter"/>
      <w:lvlText w:val="%8."/>
      <w:lvlJc w:val="left"/>
      <w:pPr>
        <w:ind w:left="3200" w:hanging="400"/>
      </w:pPr>
    </w:lvl>
    <w:lvl w:ilvl="8" w:tplc="8EFC0024" w:tentative="1">
      <w:start w:val="1"/>
      <w:numFmt w:val="lowerRoman"/>
      <w:lvlText w:val="%9."/>
      <w:lvlJc w:val="right"/>
      <w:pPr>
        <w:ind w:left="3600" w:hanging="400"/>
      </w:pPr>
    </w:lvl>
  </w:abstractNum>
  <w:abstractNum w:abstractNumId="47" w15:restartNumberingAfterBreak="0">
    <w:nsid w:val="474D104E"/>
    <w:multiLevelType w:val="multilevel"/>
    <w:tmpl w:val="FBB62B10"/>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5.%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48" w15:restartNumberingAfterBreak="0">
    <w:nsid w:val="4AC24047"/>
    <w:multiLevelType w:val="hybridMultilevel"/>
    <w:tmpl w:val="28A00D86"/>
    <w:lvl w:ilvl="0" w:tplc="0B7AC7CC">
      <w:start w:val="1"/>
      <w:numFmt w:val="decimal"/>
      <w:lvlText w:val="%1."/>
      <w:lvlJc w:val="left"/>
      <w:pPr>
        <w:ind w:left="760" w:hanging="360"/>
      </w:pPr>
      <w:rPr>
        <w:rFonts w:hint="default"/>
      </w:rPr>
    </w:lvl>
    <w:lvl w:ilvl="1" w:tplc="5CC2FFFA" w:tentative="1">
      <w:start w:val="1"/>
      <w:numFmt w:val="upperLetter"/>
      <w:lvlText w:val="%2."/>
      <w:lvlJc w:val="left"/>
      <w:pPr>
        <w:ind w:left="1200" w:hanging="400"/>
      </w:pPr>
    </w:lvl>
    <w:lvl w:ilvl="2" w:tplc="C4A8162C" w:tentative="1">
      <w:start w:val="1"/>
      <w:numFmt w:val="lowerRoman"/>
      <w:lvlText w:val="%3."/>
      <w:lvlJc w:val="right"/>
      <w:pPr>
        <w:ind w:left="1600" w:hanging="400"/>
      </w:pPr>
    </w:lvl>
    <w:lvl w:ilvl="3" w:tplc="0A12C8AC" w:tentative="1">
      <w:start w:val="1"/>
      <w:numFmt w:val="decimal"/>
      <w:lvlText w:val="%4."/>
      <w:lvlJc w:val="left"/>
      <w:pPr>
        <w:ind w:left="2000" w:hanging="400"/>
      </w:pPr>
    </w:lvl>
    <w:lvl w:ilvl="4" w:tplc="E19CCD88" w:tentative="1">
      <w:start w:val="1"/>
      <w:numFmt w:val="upperLetter"/>
      <w:lvlText w:val="%5."/>
      <w:lvlJc w:val="left"/>
      <w:pPr>
        <w:ind w:left="2400" w:hanging="400"/>
      </w:pPr>
    </w:lvl>
    <w:lvl w:ilvl="5" w:tplc="838872AC" w:tentative="1">
      <w:start w:val="1"/>
      <w:numFmt w:val="lowerRoman"/>
      <w:lvlText w:val="%6."/>
      <w:lvlJc w:val="right"/>
      <w:pPr>
        <w:ind w:left="2800" w:hanging="400"/>
      </w:pPr>
    </w:lvl>
    <w:lvl w:ilvl="6" w:tplc="C680DA76" w:tentative="1">
      <w:start w:val="1"/>
      <w:numFmt w:val="decimal"/>
      <w:lvlText w:val="%7."/>
      <w:lvlJc w:val="left"/>
      <w:pPr>
        <w:ind w:left="3200" w:hanging="400"/>
      </w:pPr>
    </w:lvl>
    <w:lvl w:ilvl="7" w:tplc="77CAF01C" w:tentative="1">
      <w:start w:val="1"/>
      <w:numFmt w:val="upperLetter"/>
      <w:lvlText w:val="%8."/>
      <w:lvlJc w:val="left"/>
      <w:pPr>
        <w:ind w:left="3600" w:hanging="400"/>
      </w:pPr>
    </w:lvl>
    <w:lvl w:ilvl="8" w:tplc="0FB4EE08" w:tentative="1">
      <w:start w:val="1"/>
      <w:numFmt w:val="lowerRoman"/>
      <w:lvlText w:val="%9."/>
      <w:lvlJc w:val="right"/>
      <w:pPr>
        <w:ind w:left="4000" w:hanging="400"/>
      </w:pPr>
    </w:lvl>
  </w:abstractNum>
  <w:abstractNum w:abstractNumId="49" w15:restartNumberingAfterBreak="0">
    <w:nsid w:val="4CC0175C"/>
    <w:multiLevelType w:val="hybridMultilevel"/>
    <w:tmpl w:val="BC547514"/>
    <w:lvl w:ilvl="0" w:tplc="D1264452">
      <w:start w:val="1"/>
      <w:numFmt w:val="bullet"/>
      <w:lvlText w:val=""/>
      <w:lvlJc w:val="left"/>
      <w:pPr>
        <w:ind w:left="720" w:hanging="360"/>
      </w:pPr>
      <w:rPr>
        <w:rFonts w:ascii="Symbol" w:hAnsi="Symbol" w:hint="default"/>
      </w:rPr>
    </w:lvl>
    <w:lvl w:ilvl="1" w:tplc="55481662" w:tentative="1">
      <w:start w:val="1"/>
      <w:numFmt w:val="bullet"/>
      <w:lvlText w:val="o"/>
      <w:lvlJc w:val="left"/>
      <w:pPr>
        <w:ind w:left="1440" w:hanging="360"/>
      </w:pPr>
      <w:rPr>
        <w:rFonts w:ascii="Courier New" w:hAnsi="Courier New" w:cs="Courier New" w:hint="default"/>
      </w:rPr>
    </w:lvl>
    <w:lvl w:ilvl="2" w:tplc="018801D6" w:tentative="1">
      <w:start w:val="1"/>
      <w:numFmt w:val="bullet"/>
      <w:lvlText w:val=""/>
      <w:lvlJc w:val="left"/>
      <w:pPr>
        <w:ind w:left="2160" w:hanging="360"/>
      </w:pPr>
      <w:rPr>
        <w:rFonts w:ascii="Wingdings" w:hAnsi="Wingdings" w:hint="default"/>
      </w:rPr>
    </w:lvl>
    <w:lvl w:ilvl="3" w:tplc="AB940278" w:tentative="1">
      <w:start w:val="1"/>
      <w:numFmt w:val="bullet"/>
      <w:lvlText w:val=""/>
      <w:lvlJc w:val="left"/>
      <w:pPr>
        <w:ind w:left="2880" w:hanging="360"/>
      </w:pPr>
      <w:rPr>
        <w:rFonts w:ascii="Symbol" w:hAnsi="Symbol" w:hint="default"/>
      </w:rPr>
    </w:lvl>
    <w:lvl w:ilvl="4" w:tplc="06E24576" w:tentative="1">
      <w:start w:val="1"/>
      <w:numFmt w:val="bullet"/>
      <w:lvlText w:val="o"/>
      <w:lvlJc w:val="left"/>
      <w:pPr>
        <w:ind w:left="3600" w:hanging="360"/>
      </w:pPr>
      <w:rPr>
        <w:rFonts w:ascii="Courier New" w:hAnsi="Courier New" w:cs="Courier New" w:hint="default"/>
      </w:rPr>
    </w:lvl>
    <w:lvl w:ilvl="5" w:tplc="4880C13C" w:tentative="1">
      <w:start w:val="1"/>
      <w:numFmt w:val="bullet"/>
      <w:lvlText w:val=""/>
      <w:lvlJc w:val="left"/>
      <w:pPr>
        <w:ind w:left="4320" w:hanging="360"/>
      </w:pPr>
      <w:rPr>
        <w:rFonts w:ascii="Wingdings" w:hAnsi="Wingdings" w:hint="default"/>
      </w:rPr>
    </w:lvl>
    <w:lvl w:ilvl="6" w:tplc="95B6FAF4" w:tentative="1">
      <w:start w:val="1"/>
      <w:numFmt w:val="bullet"/>
      <w:lvlText w:val=""/>
      <w:lvlJc w:val="left"/>
      <w:pPr>
        <w:ind w:left="5040" w:hanging="360"/>
      </w:pPr>
      <w:rPr>
        <w:rFonts w:ascii="Symbol" w:hAnsi="Symbol" w:hint="default"/>
      </w:rPr>
    </w:lvl>
    <w:lvl w:ilvl="7" w:tplc="E5767768" w:tentative="1">
      <w:start w:val="1"/>
      <w:numFmt w:val="bullet"/>
      <w:lvlText w:val="o"/>
      <w:lvlJc w:val="left"/>
      <w:pPr>
        <w:ind w:left="5760" w:hanging="360"/>
      </w:pPr>
      <w:rPr>
        <w:rFonts w:ascii="Courier New" w:hAnsi="Courier New" w:cs="Courier New" w:hint="default"/>
      </w:rPr>
    </w:lvl>
    <w:lvl w:ilvl="8" w:tplc="5EE4AECC" w:tentative="1">
      <w:start w:val="1"/>
      <w:numFmt w:val="bullet"/>
      <w:lvlText w:val=""/>
      <w:lvlJc w:val="left"/>
      <w:pPr>
        <w:ind w:left="6480" w:hanging="360"/>
      </w:pPr>
      <w:rPr>
        <w:rFonts w:ascii="Wingdings" w:hAnsi="Wingdings" w:hint="default"/>
      </w:rPr>
    </w:lvl>
  </w:abstractNum>
  <w:abstractNum w:abstractNumId="50" w15:restartNumberingAfterBreak="0">
    <w:nsid w:val="4CF45ECF"/>
    <w:multiLevelType w:val="hybridMultilevel"/>
    <w:tmpl w:val="A3242E1C"/>
    <w:lvl w:ilvl="0" w:tplc="D5C2FD6C">
      <w:start w:val="1"/>
      <w:numFmt w:val="lowerLetter"/>
      <w:lvlText w:val="%1."/>
      <w:lvlJc w:val="left"/>
      <w:pPr>
        <w:ind w:left="684" w:hanging="360"/>
      </w:pPr>
      <w:rPr>
        <w:rFonts w:hint="default"/>
        <w:b/>
      </w:rPr>
    </w:lvl>
    <w:lvl w:ilvl="1" w:tplc="04090019" w:tentative="1">
      <w:start w:val="1"/>
      <w:numFmt w:val="upperLetter"/>
      <w:lvlText w:val="%2."/>
      <w:lvlJc w:val="left"/>
      <w:pPr>
        <w:ind w:left="1124" w:hanging="400"/>
      </w:pPr>
    </w:lvl>
    <w:lvl w:ilvl="2" w:tplc="0409001B" w:tentative="1">
      <w:start w:val="1"/>
      <w:numFmt w:val="lowerRoman"/>
      <w:lvlText w:val="%3."/>
      <w:lvlJc w:val="right"/>
      <w:pPr>
        <w:ind w:left="1524" w:hanging="400"/>
      </w:pPr>
    </w:lvl>
    <w:lvl w:ilvl="3" w:tplc="0409000F" w:tentative="1">
      <w:start w:val="1"/>
      <w:numFmt w:val="decimal"/>
      <w:lvlText w:val="%4."/>
      <w:lvlJc w:val="left"/>
      <w:pPr>
        <w:ind w:left="1924" w:hanging="400"/>
      </w:pPr>
    </w:lvl>
    <w:lvl w:ilvl="4" w:tplc="04090019" w:tentative="1">
      <w:start w:val="1"/>
      <w:numFmt w:val="upperLetter"/>
      <w:lvlText w:val="%5."/>
      <w:lvlJc w:val="left"/>
      <w:pPr>
        <w:ind w:left="2324" w:hanging="400"/>
      </w:pPr>
    </w:lvl>
    <w:lvl w:ilvl="5" w:tplc="0409001B" w:tentative="1">
      <w:start w:val="1"/>
      <w:numFmt w:val="lowerRoman"/>
      <w:lvlText w:val="%6."/>
      <w:lvlJc w:val="right"/>
      <w:pPr>
        <w:ind w:left="2724" w:hanging="400"/>
      </w:pPr>
    </w:lvl>
    <w:lvl w:ilvl="6" w:tplc="0409000F" w:tentative="1">
      <w:start w:val="1"/>
      <w:numFmt w:val="decimal"/>
      <w:lvlText w:val="%7."/>
      <w:lvlJc w:val="left"/>
      <w:pPr>
        <w:ind w:left="3124" w:hanging="400"/>
      </w:pPr>
    </w:lvl>
    <w:lvl w:ilvl="7" w:tplc="04090019" w:tentative="1">
      <w:start w:val="1"/>
      <w:numFmt w:val="upperLetter"/>
      <w:lvlText w:val="%8."/>
      <w:lvlJc w:val="left"/>
      <w:pPr>
        <w:ind w:left="3524" w:hanging="400"/>
      </w:pPr>
    </w:lvl>
    <w:lvl w:ilvl="8" w:tplc="0409001B" w:tentative="1">
      <w:start w:val="1"/>
      <w:numFmt w:val="lowerRoman"/>
      <w:lvlText w:val="%9."/>
      <w:lvlJc w:val="right"/>
      <w:pPr>
        <w:ind w:left="3924" w:hanging="400"/>
      </w:pPr>
    </w:lvl>
  </w:abstractNum>
  <w:abstractNum w:abstractNumId="51" w15:restartNumberingAfterBreak="0">
    <w:nsid w:val="50A34B89"/>
    <w:multiLevelType w:val="hybridMultilevel"/>
    <w:tmpl w:val="339C2F6A"/>
    <w:lvl w:ilvl="0" w:tplc="1FCE759C">
      <w:start w:val="1"/>
      <w:numFmt w:val="decimal"/>
      <w:lvlText w:val="%1."/>
      <w:lvlJc w:val="left"/>
      <w:pPr>
        <w:ind w:hanging="562"/>
      </w:pPr>
      <w:rPr>
        <w:rFonts w:ascii="Times New Roman" w:eastAsia="Times New Roman" w:hAnsi="Times New Roman" w:hint="default"/>
        <w:b/>
        <w:bCs/>
        <w:sz w:val="22"/>
        <w:szCs w:val="22"/>
      </w:rPr>
    </w:lvl>
    <w:lvl w:ilvl="1" w:tplc="5D54D648">
      <w:start w:val="1"/>
      <w:numFmt w:val="bullet"/>
      <w:lvlText w:val="•"/>
      <w:lvlJc w:val="left"/>
      <w:rPr>
        <w:rFonts w:hint="default"/>
      </w:rPr>
    </w:lvl>
    <w:lvl w:ilvl="2" w:tplc="01243EC2">
      <w:start w:val="1"/>
      <w:numFmt w:val="bullet"/>
      <w:lvlText w:val="•"/>
      <w:lvlJc w:val="left"/>
      <w:rPr>
        <w:rFonts w:hint="default"/>
      </w:rPr>
    </w:lvl>
    <w:lvl w:ilvl="3" w:tplc="0A62915A">
      <w:start w:val="1"/>
      <w:numFmt w:val="bullet"/>
      <w:lvlText w:val="•"/>
      <w:lvlJc w:val="left"/>
      <w:rPr>
        <w:rFonts w:hint="default"/>
      </w:rPr>
    </w:lvl>
    <w:lvl w:ilvl="4" w:tplc="B200177C">
      <w:start w:val="1"/>
      <w:numFmt w:val="bullet"/>
      <w:lvlText w:val="•"/>
      <w:lvlJc w:val="left"/>
      <w:rPr>
        <w:rFonts w:hint="default"/>
      </w:rPr>
    </w:lvl>
    <w:lvl w:ilvl="5" w:tplc="436CF5C0">
      <w:start w:val="1"/>
      <w:numFmt w:val="bullet"/>
      <w:lvlText w:val="•"/>
      <w:lvlJc w:val="left"/>
      <w:rPr>
        <w:rFonts w:hint="default"/>
      </w:rPr>
    </w:lvl>
    <w:lvl w:ilvl="6" w:tplc="7136969A">
      <w:start w:val="1"/>
      <w:numFmt w:val="bullet"/>
      <w:lvlText w:val="•"/>
      <w:lvlJc w:val="left"/>
      <w:rPr>
        <w:rFonts w:hint="default"/>
      </w:rPr>
    </w:lvl>
    <w:lvl w:ilvl="7" w:tplc="3E524EA0">
      <w:start w:val="1"/>
      <w:numFmt w:val="bullet"/>
      <w:lvlText w:val="•"/>
      <w:lvlJc w:val="left"/>
      <w:rPr>
        <w:rFonts w:hint="default"/>
      </w:rPr>
    </w:lvl>
    <w:lvl w:ilvl="8" w:tplc="AD3C6A68">
      <w:start w:val="1"/>
      <w:numFmt w:val="bullet"/>
      <w:lvlText w:val="•"/>
      <w:lvlJc w:val="left"/>
      <w:rPr>
        <w:rFonts w:hint="default"/>
      </w:rPr>
    </w:lvl>
  </w:abstractNum>
  <w:abstractNum w:abstractNumId="52" w15:restartNumberingAfterBreak="0">
    <w:nsid w:val="51305FFD"/>
    <w:multiLevelType w:val="hybridMultilevel"/>
    <w:tmpl w:val="339C2F6A"/>
    <w:lvl w:ilvl="0" w:tplc="F61AE02C">
      <w:start w:val="1"/>
      <w:numFmt w:val="decimal"/>
      <w:lvlText w:val="%1."/>
      <w:lvlJc w:val="left"/>
      <w:pPr>
        <w:ind w:hanging="562"/>
      </w:pPr>
      <w:rPr>
        <w:rFonts w:ascii="Times New Roman" w:eastAsia="Times New Roman" w:hAnsi="Times New Roman" w:hint="default"/>
        <w:b/>
        <w:bCs/>
        <w:sz w:val="22"/>
        <w:szCs w:val="22"/>
      </w:rPr>
    </w:lvl>
    <w:lvl w:ilvl="1" w:tplc="B46C4932">
      <w:start w:val="1"/>
      <w:numFmt w:val="bullet"/>
      <w:lvlText w:val="•"/>
      <w:lvlJc w:val="left"/>
      <w:rPr>
        <w:rFonts w:hint="default"/>
      </w:rPr>
    </w:lvl>
    <w:lvl w:ilvl="2" w:tplc="5F6C2AB4">
      <w:start w:val="1"/>
      <w:numFmt w:val="bullet"/>
      <w:lvlText w:val="•"/>
      <w:lvlJc w:val="left"/>
      <w:rPr>
        <w:rFonts w:hint="default"/>
      </w:rPr>
    </w:lvl>
    <w:lvl w:ilvl="3" w:tplc="A9C6BB5E">
      <w:start w:val="1"/>
      <w:numFmt w:val="bullet"/>
      <w:lvlText w:val="•"/>
      <w:lvlJc w:val="left"/>
      <w:rPr>
        <w:rFonts w:hint="default"/>
      </w:rPr>
    </w:lvl>
    <w:lvl w:ilvl="4" w:tplc="8BD62706">
      <w:start w:val="1"/>
      <w:numFmt w:val="bullet"/>
      <w:lvlText w:val="•"/>
      <w:lvlJc w:val="left"/>
      <w:rPr>
        <w:rFonts w:hint="default"/>
      </w:rPr>
    </w:lvl>
    <w:lvl w:ilvl="5" w:tplc="7BA4AEE2">
      <w:start w:val="1"/>
      <w:numFmt w:val="bullet"/>
      <w:lvlText w:val="•"/>
      <w:lvlJc w:val="left"/>
      <w:rPr>
        <w:rFonts w:hint="default"/>
      </w:rPr>
    </w:lvl>
    <w:lvl w:ilvl="6" w:tplc="B5700C20">
      <w:start w:val="1"/>
      <w:numFmt w:val="bullet"/>
      <w:lvlText w:val="•"/>
      <w:lvlJc w:val="left"/>
      <w:rPr>
        <w:rFonts w:hint="default"/>
      </w:rPr>
    </w:lvl>
    <w:lvl w:ilvl="7" w:tplc="719607B0">
      <w:start w:val="1"/>
      <w:numFmt w:val="bullet"/>
      <w:lvlText w:val="•"/>
      <w:lvlJc w:val="left"/>
      <w:rPr>
        <w:rFonts w:hint="default"/>
      </w:rPr>
    </w:lvl>
    <w:lvl w:ilvl="8" w:tplc="4E601598">
      <w:start w:val="1"/>
      <w:numFmt w:val="bullet"/>
      <w:lvlText w:val="•"/>
      <w:lvlJc w:val="left"/>
      <w:rPr>
        <w:rFonts w:hint="default"/>
      </w:rPr>
    </w:lvl>
  </w:abstractNum>
  <w:abstractNum w:abstractNumId="53" w15:restartNumberingAfterBreak="0">
    <w:nsid w:val="52C8174D"/>
    <w:multiLevelType w:val="multilevel"/>
    <w:tmpl w:val="5AA28542"/>
    <w:lvl w:ilvl="0">
      <w:start w:val="1"/>
      <w:numFmt w:val="bullet"/>
      <w:lvlText w:val="•"/>
      <w:lvlJc w:val="left"/>
      <w:pPr>
        <w:ind w:left="720" w:hanging="360"/>
      </w:pPr>
      <w:rPr>
        <w:rFonts w:ascii="Times New Roman" w:hAnsi="Times New Roman" w:cs="Times New Roman" w:hint="default"/>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54" w15:restartNumberingAfterBreak="0">
    <w:nsid w:val="55A71D7A"/>
    <w:multiLevelType w:val="hybridMultilevel"/>
    <w:tmpl w:val="3E3022CA"/>
    <w:lvl w:ilvl="0" w:tplc="2D9AB92A">
      <w:start w:val="1"/>
      <w:numFmt w:val="decimal"/>
      <w:lvlText w:val="%1."/>
      <w:lvlJc w:val="left"/>
      <w:pPr>
        <w:ind w:left="471" w:hanging="360"/>
      </w:pPr>
      <w:rPr>
        <w:rFonts w:hint="default"/>
        <w:b/>
      </w:rPr>
    </w:lvl>
    <w:lvl w:ilvl="1" w:tplc="1CBCDC6C" w:tentative="1">
      <w:start w:val="1"/>
      <w:numFmt w:val="upperLetter"/>
      <w:lvlText w:val="%2."/>
      <w:lvlJc w:val="left"/>
      <w:pPr>
        <w:ind w:left="911" w:hanging="400"/>
      </w:pPr>
    </w:lvl>
    <w:lvl w:ilvl="2" w:tplc="A11E82C4" w:tentative="1">
      <w:start w:val="1"/>
      <w:numFmt w:val="lowerRoman"/>
      <w:lvlText w:val="%3."/>
      <w:lvlJc w:val="right"/>
      <w:pPr>
        <w:ind w:left="1311" w:hanging="400"/>
      </w:pPr>
    </w:lvl>
    <w:lvl w:ilvl="3" w:tplc="338E2C6E" w:tentative="1">
      <w:start w:val="1"/>
      <w:numFmt w:val="decimal"/>
      <w:lvlText w:val="%4."/>
      <w:lvlJc w:val="left"/>
      <w:pPr>
        <w:ind w:left="1711" w:hanging="400"/>
      </w:pPr>
    </w:lvl>
    <w:lvl w:ilvl="4" w:tplc="F0F2079E" w:tentative="1">
      <w:start w:val="1"/>
      <w:numFmt w:val="upperLetter"/>
      <w:lvlText w:val="%5."/>
      <w:lvlJc w:val="left"/>
      <w:pPr>
        <w:ind w:left="2111" w:hanging="400"/>
      </w:pPr>
    </w:lvl>
    <w:lvl w:ilvl="5" w:tplc="78F4BCF2" w:tentative="1">
      <w:start w:val="1"/>
      <w:numFmt w:val="lowerRoman"/>
      <w:lvlText w:val="%6."/>
      <w:lvlJc w:val="right"/>
      <w:pPr>
        <w:ind w:left="2511" w:hanging="400"/>
      </w:pPr>
    </w:lvl>
    <w:lvl w:ilvl="6" w:tplc="41ACDEFA" w:tentative="1">
      <w:start w:val="1"/>
      <w:numFmt w:val="decimal"/>
      <w:lvlText w:val="%7."/>
      <w:lvlJc w:val="left"/>
      <w:pPr>
        <w:ind w:left="2911" w:hanging="400"/>
      </w:pPr>
    </w:lvl>
    <w:lvl w:ilvl="7" w:tplc="B2A85D36" w:tentative="1">
      <w:start w:val="1"/>
      <w:numFmt w:val="upperLetter"/>
      <w:lvlText w:val="%8."/>
      <w:lvlJc w:val="left"/>
      <w:pPr>
        <w:ind w:left="3311" w:hanging="400"/>
      </w:pPr>
    </w:lvl>
    <w:lvl w:ilvl="8" w:tplc="3A66D2FC" w:tentative="1">
      <w:start w:val="1"/>
      <w:numFmt w:val="lowerRoman"/>
      <w:lvlText w:val="%9."/>
      <w:lvlJc w:val="right"/>
      <w:pPr>
        <w:ind w:left="3711" w:hanging="400"/>
      </w:pPr>
    </w:lvl>
  </w:abstractNum>
  <w:abstractNum w:abstractNumId="55" w15:restartNumberingAfterBreak="0">
    <w:nsid w:val="57651109"/>
    <w:multiLevelType w:val="hybridMultilevel"/>
    <w:tmpl w:val="41C490C4"/>
    <w:lvl w:ilvl="0" w:tplc="2230ED18">
      <w:start w:val="1"/>
      <w:numFmt w:val="bullet"/>
      <w:lvlText w:val=""/>
      <w:lvlJc w:val="left"/>
      <w:pPr>
        <w:ind w:hanging="567"/>
      </w:pPr>
      <w:rPr>
        <w:rFonts w:ascii="Symbol" w:eastAsia="Symbol" w:hAnsi="Symbol" w:hint="default"/>
        <w:w w:val="100"/>
        <w:sz w:val="22"/>
        <w:szCs w:val="22"/>
      </w:rPr>
    </w:lvl>
    <w:lvl w:ilvl="1" w:tplc="737E08D6">
      <w:start w:val="1"/>
      <w:numFmt w:val="bullet"/>
      <w:lvlText w:val="•"/>
      <w:lvlJc w:val="left"/>
      <w:rPr>
        <w:rFonts w:hint="default"/>
      </w:rPr>
    </w:lvl>
    <w:lvl w:ilvl="2" w:tplc="5262D734">
      <w:start w:val="1"/>
      <w:numFmt w:val="bullet"/>
      <w:lvlText w:val="•"/>
      <w:lvlJc w:val="left"/>
      <w:rPr>
        <w:rFonts w:hint="default"/>
      </w:rPr>
    </w:lvl>
    <w:lvl w:ilvl="3" w:tplc="A03EDA94">
      <w:start w:val="1"/>
      <w:numFmt w:val="bullet"/>
      <w:lvlText w:val="•"/>
      <w:lvlJc w:val="left"/>
      <w:rPr>
        <w:rFonts w:hint="default"/>
      </w:rPr>
    </w:lvl>
    <w:lvl w:ilvl="4" w:tplc="E54A0F32">
      <w:start w:val="1"/>
      <w:numFmt w:val="bullet"/>
      <w:lvlText w:val="•"/>
      <w:lvlJc w:val="left"/>
      <w:rPr>
        <w:rFonts w:hint="default"/>
      </w:rPr>
    </w:lvl>
    <w:lvl w:ilvl="5" w:tplc="743EE27E">
      <w:start w:val="1"/>
      <w:numFmt w:val="bullet"/>
      <w:lvlText w:val="•"/>
      <w:lvlJc w:val="left"/>
      <w:rPr>
        <w:rFonts w:hint="default"/>
      </w:rPr>
    </w:lvl>
    <w:lvl w:ilvl="6" w:tplc="A41E968E">
      <w:start w:val="1"/>
      <w:numFmt w:val="bullet"/>
      <w:lvlText w:val="•"/>
      <w:lvlJc w:val="left"/>
      <w:rPr>
        <w:rFonts w:hint="default"/>
      </w:rPr>
    </w:lvl>
    <w:lvl w:ilvl="7" w:tplc="3FE23A32">
      <w:start w:val="1"/>
      <w:numFmt w:val="bullet"/>
      <w:lvlText w:val="•"/>
      <w:lvlJc w:val="left"/>
      <w:rPr>
        <w:rFonts w:hint="default"/>
      </w:rPr>
    </w:lvl>
    <w:lvl w:ilvl="8" w:tplc="DACC596C">
      <w:start w:val="1"/>
      <w:numFmt w:val="bullet"/>
      <w:lvlText w:val="•"/>
      <w:lvlJc w:val="left"/>
      <w:rPr>
        <w:rFonts w:hint="default"/>
      </w:rPr>
    </w:lvl>
  </w:abstractNum>
  <w:abstractNum w:abstractNumId="56" w15:restartNumberingAfterBreak="0">
    <w:nsid w:val="577A3322"/>
    <w:multiLevelType w:val="hybridMultilevel"/>
    <w:tmpl w:val="84E23A9A"/>
    <w:lvl w:ilvl="0" w:tplc="10666808">
      <w:start w:val="1"/>
      <w:numFmt w:val="lowerLetter"/>
      <w:lvlText w:val="%1."/>
      <w:lvlJc w:val="left"/>
      <w:pPr>
        <w:ind w:left="675" w:hanging="360"/>
      </w:pPr>
      <w:rPr>
        <w:rFonts w:eastAsia="Times New Roman" w:hint="default"/>
        <w:b/>
      </w:rPr>
    </w:lvl>
    <w:lvl w:ilvl="1" w:tplc="040E0019" w:tentative="1">
      <w:start w:val="1"/>
      <w:numFmt w:val="lowerLetter"/>
      <w:lvlText w:val="%2."/>
      <w:lvlJc w:val="left"/>
      <w:pPr>
        <w:ind w:left="1395" w:hanging="360"/>
      </w:pPr>
    </w:lvl>
    <w:lvl w:ilvl="2" w:tplc="040E001B" w:tentative="1">
      <w:start w:val="1"/>
      <w:numFmt w:val="lowerRoman"/>
      <w:lvlText w:val="%3."/>
      <w:lvlJc w:val="right"/>
      <w:pPr>
        <w:ind w:left="2115" w:hanging="180"/>
      </w:pPr>
    </w:lvl>
    <w:lvl w:ilvl="3" w:tplc="040E000F" w:tentative="1">
      <w:start w:val="1"/>
      <w:numFmt w:val="decimal"/>
      <w:lvlText w:val="%4."/>
      <w:lvlJc w:val="left"/>
      <w:pPr>
        <w:ind w:left="2835" w:hanging="360"/>
      </w:pPr>
    </w:lvl>
    <w:lvl w:ilvl="4" w:tplc="040E0019" w:tentative="1">
      <w:start w:val="1"/>
      <w:numFmt w:val="lowerLetter"/>
      <w:lvlText w:val="%5."/>
      <w:lvlJc w:val="left"/>
      <w:pPr>
        <w:ind w:left="3555" w:hanging="360"/>
      </w:pPr>
    </w:lvl>
    <w:lvl w:ilvl="5" w:tplc="040E001B" w:tentative="1">
      <w:start w:val="1"/>
      <w:numFmt w:val="lowerRoman"/>
      <w:lvlText w:val="%6."/>
      <w:lvlJc w:val="right"/>
      <w:pPr>
        <w:ind w:left="4275" w:hanging="180"/>
      </w:pPr>
    </w:lvl>
    <w:lvl w:ilvl="6" w:tplc="040E000F" w:tentative="1">
      <w:start w:val="1"/>
      <w:numFmt w:val="decimal"/>
      <w:lvlText w:val="%7."/>
      <w:lvlJc w:val="left"/>
      <w:pPr>
        <w:ind w:left="4995" w:hanging="360"/>
      </w:pPr>
    </w:lvl>
    <w:lvl w:ilvl="7" w:tplc="040E0019" w:tentative="1">
      <w:start w:val="1"/>
      <w:numFmt w:val="lowerLetter"/>
      <w:lvlText w:val="%8."/>
      <w:lvlJc w:val="left"/>
      <w:pPr>
        <w:ind w:left="5715" w:hanging="360"/>
      </w:pPr>
    </w:lvl>
    <w:lvl w:ilvl="8" w:tplc="040E001B" w:tentative="1">
      <w:start w:val="1"/>
      <w:numFmt w:val="lowerRoman"/>
      <w:lvlText w:val="%9."/>
      <w:lvlJc w:val="right"/>
      <w:pPr>
        <w:ind w:left="6435" w:hanging="180"/>
      </w:pPr>
    </w:lvl>
  </w:abstractNum>
  <w:abstractNum w:abstractNumId="57" w15:restartNumberingAfterBreak="0">
    <w:nsid w:val="57A23A1E"/>
    <w:multiLevelType w:val="hybridMultilevel"/>
    <w:tmpl w:val="339C2F6A"/>
    <w:lvl w:ilvl="0" w:tplc="A776C702">
      <w:start w:val="1"/>
      <w:numFmt w:val="decimal"/>
      <w:lvlText w:val="%1."/>
      <w:lvlJc w:val="left"/>
      <w:pPr>
        <w:ind w:hanging="562"/>
      </w:pPr>
      <w:rPr>
        <w:rFonts w:ascii="Times New Roman" w:eastAsia="Times New Roman" w:hAnsi="Times New Roman" w:hint="default"/>
        <w:b/>
        <w:bCs/>
        <w:sz w:val="22"/>
        <w:szCs w:val="22"/>
      </w:rPr>
    </w:lvl>
    <w:lvl w:ilvl="1" w:tplc="2A708ED8">
      <w:start w:val="1"/>
      <w:numFmt w:val="bullet"/>
      <w:lvlText w:val="•"/>
      <w:lvlJc w:val="left"/>
      <w:rPr>
        <w:rFonts w:hint="default"/>
      </w:rPr>
    </w:lvl>
    <w:lvl w:ilvl="2" w:tplc="8370E7D4">
      <w:start w:val="1"/>
      <w:numFmt w:val="bullet"/>
      <w:lvlText w:val="•"/>
      <w:lvlJc w:val="left"/>
      <w:rPr>
        <w:rFonts w:hint="default"/>
      </w:rPr>
    </w:lvl>
    <w:lvl w:ilvl="3" w:tplc="5E9AB14C">
      <w:start w:val="1"/>
      <w:numFmt w:val="bullet"/>
      <w:lvlText w:val="•"/>
      <w:lvlJc w:val="left"/>
      <w:rPr>
        <w:rFonts w:hint="default"/>
      </w:rPr>
    </w:lvl>
    <w:lvl w:ilvl="4" w:tplc="611CD308">
      <w:start w:val="1"/>
      <w:numFmt w:val="bullet"/>
      <w:lvlText w:val="•"/>
      <w:lvlJc w:val="left"/>
      <w:rPr>
        <w:rFonts w:hint="default"/>
      </w:rPr>
    </w:lvl>
    <w:lvl w:ilvl="5" w:tplc="72F48F48">
      <w:start w:val="1"/>
      <w:numFmt w:val="bullet"/>
      <w:lvlText w:val="•"/>
      <w:lvlJc w:val="left"/>
      <w:rPr>
        <w:rFonts w:hint="default"/>
      </w:rPr>
    </w:lvl>
    <w:lvl w:ilvl="6" w:tplc="5D283432">
      <w:start w:val="1"/>
      <w:numFmt w:val="bullet"/>
      <w:lvlText w:val="•"/>
      <w:lvlJc w:val="left"/>
      <w:rPr>
        <w:rFonts w:hint="default"/>
      </w:rPr>
    </w:lvl>
    <w:lvl w:ilvl="7" w:tplc="DCD6915C">
      <w:start w:val="1"/>
      <w:numFmt w:val="bullet"/>
      <w:lvlText w:val="•"/>
      <w:lvlJc w:val="left"/>
      <w:rPr>
        <w:rFonts w:hint="default"/>
      </w:rPr>
    </w:lvl>
    <w:lvl w:ilvl="8" w:tplc="D87E1310">
      <w:start w:val="1"/>
      <w:numFmt w:val="bullet"/>
      <w:lvlText w:val="•"/>
      <w:lvlJc w:val="left"/>
      <w:rPr>
        <w:rFonts w:hint="default"/>
      </w:rPr>
    </w:lvl>
  </w:abstractNum>
  <w:abstractNum w:abstractNumId="58" w15:restartNumberingAfterBreak="0">
    <w:nsid w:val="58BB59CB"/>
    <w:multiLevelType w:val="hybridMultilevel"/>
    <w:tmpl w:val="5600D6EE"/>
    <w:lvl w:ilvl="0" w:tplc="64E406B2">
      <w:start w:val="1"/>
      <w:numFmt w:val="lowerLetter"/>
      <w:lvlText w:val="%1."/>
      <w:lvlJc w:val="left"/>
      <w:pPr>
        <w:ind w:left="675" w:hanging="360"/>
      </w:pPr>
      <w:rPr>
        <w:rFonts w:eastAsia="Times New Roman" w:hint="default"/>
        <w:b/>
      </w:rPr>
    </w:lvl>
    <w:lvl w:ilvl="1" w:tplc="040E0019" w:tentative="1">
      <w:start w:val="1"/>
      <w:numFmt w:val="lowerLetter"/>
      <w:lvlText w:val="%2."/>
      <w:lvlJc w:val="left"/>
      <w:pPr>
        <w:ind w:left="1395" w:hanging="360"/>
      </w:pPr>
    </w:lvl>
    <w:lvl w:ilvl="2" w:tplc="040E001B" w:tentative="1">
      <w:start w:val="1"/>
      <w:numFmt w:val="lowerRoman"/>
      <w:lvlText w:val="%3."/>
      <w:lvlJc w:val="right"/>
      <w:pPr>
        <w:ind w:left="2115" w:hanging="180"/>
      </w:pPr>
    </w:lvl>
    <w:lvl w:ilvl="3" w:tplc="040E000F" w:tentative="1">
      <w:start w:val="1"/>
      <w:numFmt w:val="decimal"/>
      <w:lvlText w:val="%4."/>
      <w:lvlJc w:val="left"/>
      <w:pPr>
        <w:ind w:left="2835" w:hanging="360"/>
      </w:pPr>
    </w:lvl>
    <w:lvl w:ilvl="4" w:tplc="040E0019" w:tentative="1">
      <w:start w:val="1"/>
      <w:numFmt w:val="lowerLetter"/>
      <w:lvlText w:val="%5."/>
      <w:lvlJc w:val="left"/>
      <w:pPr>
        <w:ind w:left="3555" w:hanging="360"/>
      </w:pPr>
    </w:lvl>
    <w:lvl w:ilvl="5" w:tplc="040E001B" w:tentative="1">
      <w:start w:val="1"/>
      <w:numFmt w:val="lowerRoman"/>
      <w:lvlText w:val="%6."/>
      <w:lvlJc w:val="right"/>
      <w:pPr>
        <w:ind w:left="4275" w:hanging="180"/>
      </w:pPr>
    </w:lvl>
    <w:lvl w:ilvl="6" w:tplc="040E000F" w:tentative="1">
      <w:start w:val="1"/>
      <w:numFmt w:val="decimal"/>
      <w:lvlText w:val="%7."/>
      <w:lvlJc w:val="left"/>
      <w:pPr>
        <w:ind w:left="4995" w:hanging="360"/>
      </w:pPr>
    </w:lvl>
    <w:lvl w:ilvl="7" w:tplc="040E0019" w:tentative="1">
      <w:start w:val="1"/>
      <w:numFmt w:val="lowerLetter"/>
      <w:lvlText w:val="%8."/>
      <w:lvlJc w:val="left"/>
      <w:pPr>
        <w:ind w:left="5715" w:hanging="360"/>
      </w:pPr>
    </w:lvl>
    <w:lvl w:ilvl="8" w:tplc="040E001B" w:tentative="1">
      <w:start w:val="1"/>
      <w:numFmt w:val="lowerRoman"/>
      <w:lvlText w:val="%9."/>
      <w:lvlJc w:val="right"/>
      <w:pPr>
        <w:ind w:left="6435" w:hanging="180"/>
      </w:pPr>
    </w:lvl>
  </w:abstractNum>
  <w:abstractNum w:abstractNumId="59" w15:restartNumberingAfterBreak="0">
    <w:nsid w:val="5C114CD4"/>
    <w:multiLevelType w:val="hybridMultilevel"/>
    <w:tmpl w:val="B750072C"/>
    <w:lvl w:ilvl="0" w:tplc="8280D16C">
      <w:start w:val="1"/>
      <w:numFmt w:val="upperLetter"/>
      <w:lvlText w:val="%1."/>
      <w:lvlJc w:val="left"/>
      <w:pPr>
        <w:ind w:left="1032" w:hanging="360"/>
      </w:pPr>
      <w:rPr>
        <w:rFonts w:hint="default"/>
      </w:rPr>
    </w:lvl>
    <w:lvl w:ilvl="1" w:tplc="B890E2BE" w:tentative="1">
      <w:start w:val="1"/>
      <w:numFmt w:val="upperLetter"/>
      <w:lvlText w:val="%2."/>
      <w:lvlJc w:val="left"/>
      <w:pPr>
        <w:ind w:left="1472" w:hanging="400"/>
      </w:pPr>
    </w:lvl>
    <w:lvl w:ilvl="2" w:tplc="50AE86CE" w:tentative="1">
      <w:start w:val="1"/>
      <w:numFmt w:val="lowerRoman"/>
      <w:lvlText w:val="%3."/>
      <w:lvlJc w:val="right"/>
      <w:pPr>
        <w:ind w:left="1872" w:hanging="400"/>
      </w:pPr>
    </w:lvl>
    <w:lvl w:ilvl="3" w:tplc="03C4BA66" w:tentative="1">
      <w:start w:val="1"/>
      <w:numFmt w:val="decimal"/>
      <w:lvlText w:val="%4."/>
      <w:lvlJc w:val="left"/>
      <w:pPr>
        <w:ind w:left="2272" w:hanging="400"/>
      </w:pPr>
    </w:lvl>
    <w:lvl w:ilvl="4" w:tplc="666E1FE2" w:tentative="1">
      <w:start w:val="1"/>
      <w:numFmt w:val="upperLetter"/>
      <w:lvlText w:val="%5."/>
      <w:lvlJc w:val="left"/>
      <w:pPr>
        <w:ind w:left="2672" w:hanging="400"/>
      </w:pPr>
    </w:lvl>
    <w:lvl w:ilvl="5" w:tplc="654444FC" w:tentative="1">
      <w:start w:val="1"/>
      <w:numFmt w:val="lowerRoman"/>
      <w:lvlText w:val="%6."/>
      <w:lvlJc w:val="right"/>
      <w:pPr>
        <w:ind w:left="3072" w:hanging="400"/>
      </w:pPr>
    </w:lvl>
    <w:lvl w:ilvl="6" w:tplc="D836406A" w:tentative="1">
      <w:start w:val="1"/>
      <w:numFmt w:val="decimal"/>
      <w:lvlText w:val="%7."/>
      <w:lvlJc w:val="left"/>
      <w:pPr>
        <w:ind w:left="3472" w:hanging="400"/>
      </w:pPr>
    </w:lvl>
    <w:lvl w:ilvl="7" w:tplc="AF50154C" w:tentative="1">
      <w:start w:val="1"/>
      <w:numFmt w:val="upperLetter"/>
      <w:lvlText w:val="%8."/>
      <w:lvlJc w:val="left"/>
      <w:pPr>
        <w:ind w:left="3872" w:hanging="400"/>
      </w:pPr>
    </w:lvl>
    <w:lvl w:ilvl="8" w:tplc="7338C9C8" w:tentative="1">
      <w:start w:val="1"/>
      <w:numFmt w:val="lowerRoman"/>
      <w:lvlText w:val="%9."/>
      <w:lvlJc w:val="right"/>
      <w:pPr>
        <w:ind w:left="4272" w:hanging="400"/>
      </w:pPr>
    </w:lvl>
  </w:abstractNum>
  <w:abstractNum w:abstractNumId="60" w15:restartNumberingAfterBreak="0">
    <w:nsid w:val="5D4A21ED"/>
    <w:multiLevelType w:val="hybridMultilevel"/>
    <w:tmpl w:val="28A00D86"/>
    <w:lvl w:ilvl="0" w:tplc="E3A6E114">
      <w:start w:val="1"/>
      <w:numFmt w:val="decimal"/>
      <w:lvlText w:val="%1."/>
      <w:lvlJc w:val="left"/>
      <w:pPr>
        <w:ind w:left="760" w:hanging="360"/>
      </w:pPr>
      <w:rPr>
        <w:rFonts w:hint="default"/>
      </w:rPr>
    </w:lvl>
    <w:lvl w:ilvl="1" w:tplc="6EF4E516" w:tentative="1">
      <w:start w:val="1"/>
      <w:numFmt w:val="upperLetter"/>
      <w:lvlText w:val="%2."/>
      <w:lvlJc w:val="left"/>
      <w:pPr>
        <w:ind w:left="1200" w:hanging="400"/>
      </w:pPr>
    </w:lvl>
    <w:lvl w:ilvl="2" w:tplc="139E0FAC" w:tentative="1">
      <w:start w:val="1"/>
      <w:numFmt w:val="lowerRoman"/>
      <w:lvlText w:val="%3."/>
      <w:lvlJc w:val="right"/>
      <w:pPr>
        <w:ind w:left="1600" w:hanging="400"/>
      </w:pPr>
    </w:lvl>
    <w:lvl w:ilvl="3" w:tplc="96BACEB8" w:tentative="1">
      <w:start w:val="1"/>
      <w:numFmt w:val="decimal"/>
      <w:lvlText w:val="%4."/>
      <w:lvlJc w:val="left"/>
      <w:pPr>
        <w:ind w:left="2000" w:hanging="400"/>
      </w:pPr>
    </w:lvl>
    <w:lvl w:ilvl="4" w:tplc="1F4AAEE6" w:tentative="1">
      <w:start w:val="1"/>
      <w:numFmt w:val="upperLetter"/>
      <w:lvlText w:val="%5."/>
      <w:lvlJc w:val="left"/>
      <w:pPr>
        <w:ind w:left="2400" w:hanging="400"/>
      </w:pPr>
    </w:lvl>
    <w:lvl w:ilvl="5" w:tplc="61927BCA" w:tentative="1">
      <w:start w:val="1"/>
      <w:numFmt w:val="lowerRoman"/>
      <w:lvlText w:val="%6."/>
      <w:lvlJc w:val="right"/>
      <w:pPr>
        <w:ind w:left="2800" w:hanging="400"/>
      </w:pPr>
    </w:lvl>
    <w:lvl w:ilvl="6" w:tplc="759E9DC2" w:tentative="1">
      <w:start w:val="1"/>
      <w:numFmt w:val="decimal"/>
      <w:lvlText w:val="%7."/>
      <w:lvlJc w:val="left"/>
      <w:pPr>
        <w:ind w:left="3200" w:hanging="400"/>
      </w:pPr>
    </w:lvl>
    <w:lvl w:ilvl="7" w:tplc="B5843594" w:tentative="1">
      <w:start w:val="1"/>
      <w:numFmt w:val="upperLetter"/>
      <w:lvlText w:val="%8."/>
      <w:lvlJc w:val="left"/>
      <w:pPr>
        <w:ind w:left="3600" w:hanging="400"/>
      </w:pPr>
    </w:lvl>
    <w:lvl w:ilvl="8" w:tplc="D5EC4FB2" w:tentative="1">
      <w:start w:val="1"/>
      <w:numFmt w:val="lowerRoman"/>
      <w:lvlText w:val="%9."/>
      <w:lvlJc w:val="right"/>
      <w:pPr>
        <w:ind w:left="4000" w:hanging="400"/>
      </w:pPr>
    </w:lvl>
  </w:abstractNum>
  <w:abstractNum w:abstractNumId="61" w15:restartNumberingAfterBreak="0">
    <w:nsid w:val="5DE73FDF"/>
    <w:multiLevelType w:val="hybridMultilevel"/>
    <w:tmpl w:val="EFF42462"/>
    <w:lvl w:ilvl="0" w:tplc="9A38D876">
      <w:start w:val="1"/>
      <w:numFmt w:val="decimal"/>
      <w:lvlText w:val="%1."/>
      <w:lvlJc w:val="left"/>
      <w:pPr>
        <w:ind w:left="471" w:hanging="360"/>
      </w:pPr>
      <w:rPr>
        <w:rFonts w:hint="default"/>
        <w:b/>
      </w:rPr>
    </w:lvl>
    <w:lvl w:ilvl="1" w:tplc="C1B6D59A" w:tentative="1">
      <w:start w:val="1"/>
      <w:numFmt w:val="upperLetter"/>
      <w:lvlText w:val="%2."/>
      <w:lvlJc w:val="left"/>
      <w:pPr>
        <w:ind w:left="911" w:hanging="400"/>
      </w:pPr>
    </w:lvl>
    <w:lvl w:ilvl="2" w:tplc="FB38438A" w:tentative="1">
      <w:start w:val="1"/>
      <w:numFmt w:val="lowerRoman"/>
      <w:lvlText w:val="%3."/>
      <w:lvlJc w:val="right"/>
      <w:pPr>
        <w:ind w:left="1311" w:hanging="400"/>
      </w:pPr>
    </w:lvl>
    <w:lvl w:ilvl="3" w:tplc="5464EB8A" w:tentative="1">
      <w:start w:val="1"/>
      <w:numFmt w:val="decimal"/>
      <w:lvlText w:val="%4."/>
      <w:lvlJc w:val="left"/>
      <w:pPr>
        <w:ind w:left="1711" w:hanging="400"/>
      </w:pPr>
    </w:lvl>
    <w:lvl w:ilvl="4" w:tplc="C6A89B2E" w:tentative="1">
      <w:start w:val="1"/>
      <w:numFmt w:val="upperLetter"/>
      <w:lvlText w:val="%5."/>
      <w:lvlJc w:val="left"/>
      <w:pPr>
        <w:ind w:left="2111" w:hanging="400"/>
      </w:pPr>
    </w:lvl>
    <w:lvl w:ilvl="5" w:tplc="B6D80A84" w:tentative="1">
      <w:start w:val="1"/>
      <w:numFmt w:val="lowerRoman"/>
      <w:lvlText w:val="%6."/>
      <w:lvlJc w:val="right"/>
      <w:pPr>
        <w:ind w:left="2511" w:hanging="400"/>
      </w:pPr>
    </w:lvl>
    <w:lvl w:ilvl="6" w:tplc="AF106822" w:tentative="1">
      <w:start w:val="1"/>
      <w:numFmt w:val="decimal"/>
      <w:lvlText w:val="%7."/>
      <w:lvlJc w:val="left"/>
      <w:pPr>
        <w:ind w:left="2911" w:hanging="400"/>
      </w:pPr>
    </w:lvl>
    <w:lvl w:ilvl="7" w:tplc="7B3ADBAE" w:tentative="1">
      <w:start w:val="1"/>
      <w:numFmt w:val="upperLetter"/>
      <w:lvlText w:val="%8."/>
      <w:lvlJc w:val="left"/>
      <w:pPr>
        <w:ind w:left="3311" w:hanging="400"/>
      </w:pPr>
    </w:lvl>
    <w:lvl w:ilvl="8" w:tplc="633682B2" w:tentative="1">
      <w:start w:val="1"/>
      <w:numFmt w:val="lowerRoman"/>
      <w:lvlText w:val="%9."/>
      <w:lvlJc w:val="right"/>
      <w:pPr>
        <w:ind w:left="3711" w:hanging="400"/>
      </w:pPr>
    </w:lvl>
  </w:abstractNum>
  <w:abstractNum w:abstractNumId="62" w15:restartNumberingAfterBreak="0">
    <w:nsid w:val="5FB602BC"/>
    <w:multiLevelType w:val="hybridMultilevel"/>
    <w:tmpl w:val="26FAC844"/>
    <w:lvl w:ilvl="0" w:tplc="803C011A">
      <w:start w:val="1"/>
      <w:numFmt w:val="lowerLetter"/>
      <w:lvlText w:val="%1"/>
      <w:lvlJc w:val="left"/>
      <w:pPr>
        <w:ind w:hanging="243"/>
      </w:pPr>
      <w:rPr>
        <w:rFonts w:ascii="Times New Roman" w:eastAsia="Times New Roman" w:hAnsi="Times New Roman" w:hint="default"/>
        <w:w w:val="99"/>
        <w:position w:val="8"/>
        <w:sz w:val="14"/>
        <w:szCs w:val="14"/>
      </w:rPr>
    </w:lvl>
    <w:lvl w:ilvl="1" w:tplc="7B4EC688">
      <w:start w:val="1"/>
      <w:numFmt w:val="bullet"/>
      <w:lvlText w:val="•"/>
      <w:lvlJc w:val="left"/>
      <w:rPr>
        <w:rFonts w:hint="default"/>
      </w:rPr>
    </w:lvl>
    <w:lvl w:ilvl="2" w:tplc="0A62B8B8">
      <w:start w:val="1"/>
      <w:numFmt w:val="bullet"/>
      <w:lvlText w:val="•"/>
      <w:lvlJc w:val="left"/>
      <w:rPr>
        <w:rFonts w:hint="default"/>
      </w:rPr>
    </w:lvl>
    <w:lvl w:ilvl="3" w:tplc="E682AAFC">
      <w:start w:val="1"/>
      <w:numFmt w:val="bullet"/>
      <w:lvlText w:val="•"/>
      <w:lvlJc w:val="left"/>
      <w:rPr>
        <w:rFonts w:hint="default"/>
      </w:rPr>
    </w:lvl>
    <w:lvl w:ilvl="4" w:tplc="F94EA8F8">
      <w:start w:val="1"/>
      <w:numFmt w:val="bullet"/>
      <w:lvlText w:val="•"/>
      <w:lvlJc w:val="left"/>
      <w:rPr>
        <w:rFonts w:hint="default"/>
      </w:rPr>
    </w:lvl>
    <w:lvl w:ilvl="5" w:tplc="A69C5C34">
      <w:start w:val="1"/>
      <w:numFmt w:val="bullet"/>
      <w:lvlText w:val="•"/>
      <w:lvlJc w:val="left"/>
      <w:rPr>
        <w:rFonts w:hint="default"/>
      </w:rPr>
    </w:lvl>
    <w:lvl w:ilvl="6" w:tplc="B5D66D3E">
      <w:start w:val="1"/>
      <w:numFmt w:val="bullet"/>
      <w:lvlText w:val="•"/>
      <w:lvlJc w:val="left"/>
      <w:rPr>
        <w:rFonts w:hint="default"/>
      </w:rPr>
    </w:lvl>
    <w:lvl w:ilvl="7" w:tplc="6082C176">
      <w:start w:val="1"/>
      <w:numFmt w:val="bullet"/>
      <w:lvlText w:val="•"/>
      <w:lvlJc w:val="left"/>
      <w:rPr>
        <w:rFonts w:hint="default"/>
      </w:rPr>
    </w:lvl>
    <w:lvl w:ilvl="8" w:tplc="546651E4">
      <w:start w:val="1"/>
      <w:numFmt w:val="bullet"/>
      <w:lvlText w:val="•"/>
      <w:lvlJc w:val="left"/>
      <w:rPr>
        <w:rFonts w:hint="default"/>
      </w:rPr>
    </w:lvl>
  </w:abstractNum>
  <w:abstractNum w:abstractNumId="63" w15:restartNumberingAfterBreak="0">
    <w:nsid w:val="5FC25516"/>
    <w:multiLevelType w:val="hybridMultilevel"/>
    <w:tmpl w:val="28A00D86"/>
    <w:lvl w:ilvl="0" w:tplc="E3A6E114">
      <w:start w:val="1"/>
      <w:numFmt w:val="decimal"/>
      <w:lvlText w:val="%1."/>
      <w:lvlJc w:val="left"/>
      <w:pPr>
        <w:ind w:left="760" w:hanging="360"/>
      </w:pPr>
      <w:rPr>
        <w:rFonts w:hint="default"/>
      </w:rPr>
    </w:lvl>
    <w:lvl w:ilvl="1" w:tplc="6EF4E516" w:tentative="1">
      <w:start w:val="1"/>
      <w:numFmt w:val="upperLetter"/>
      <w:lvlText w:val="%2."/>
      <w:lvlJc w:val="left"/>
      <w:pPr>
        <w:ind w:left="1200" w:hanging="400"/>
      </w:pPr>
    </w:lvl>
    <w:lvl w:ilvl="2" w:tplc="139E0FAC" w:tentative="1">
      <w:start w:val="1"/>
      <w:numFmt w:val="lowerRoman"/>
      <w:lvlText w:val="%3."/>
      <w:lvlJc w:val="right"/>
      <w:pPr>
        <w:ind w:left="1600" w:hanging="400"/>
      </w:pPr>
    </w:lvl>
    <w:lvl w:ilvl="3" w:tplc="96BACEB8" w:tentative="1">
      <w:start w:val="1"/>
      <w:numFmt w:val="decimal"/>
      <w:lvlText w:val="%4."/>
      <w:lvlJc w:val="left"/>
      <w:pPr>
        <w:ind w:left="2000" w:hanging="400"/>
      </w:pPr>
    </w:lvl>
    <w:lvl w:ilvl="4" w:tplc="1F4AAEE6" w:tentative="1">
      <w:start w:val="1"/>
      <w:numFmt w:val="upperLetter"/>
      <w:lvlText w:val="%5."/>
      <w:lvlJc w:val="left"/>
      <w:pPr>
        <w:ind w:left="2400" w:hanging="400"/>
      </w:pPr>
    </w:lvl>
    <w:lvl w:ilvl="5" w:tplc="61927BCA" w:tentative="1">
      <w:start w:val="1"/>
      <w:numFmt w:val="lowerRoman"/>
      <w:lvlText w:val="%6."/>
      <w:lvlJc w:val="right"/>
      <w:pPr>
        <w:ind w:left="2800" w:hanging="400"/>
      </w:pPr>
    </w:lvl>
    <w:lvl w:ilvl="6" w:tplc="759E9DC2" w:tentative="1">
      <w:start w:val="1"/>
      <w:numFmt w:val="decimal"/>
      <w:lvlText w:val="%7."/>
      <w:lvlJc w:val="left"/>
      <w:pPr>
        <w:ind w:left="3200" w:hanging="400"/>
      </w:pPr>
    </w:lvl>
    <w:lvl w:ilvl="7" w:tplc="B5843594" w:tentative="1">
      <w:start w:val="1"/>
      <w:numFmt w:val="upperLetter"/>
      <w:lvlText w:val="%8."/>
      <w:lvlJc w:val="left"/>
      <w:pPr>
        <w:ind w:left="3600" w:hanging="400"/>
      </w:pPr>
    </w:lvl>
    <w:lvl w:ilvl="8" w:tplc="D5EC4FB2" w:tentative="1">
      <w:start w:val="1"/>
      <w:numFmt w:val="lowerRoman"/>
      <w:lvlText w:val="%9."/>
      <w:lvlJc w:val="right"/>
      <w:pPr>
        <w:ind w:left="4000" w:hanging="400"/>
      </w:pPr>
    </w:lvl>
  </w:abstractNum>
  <w:abstractNum w:abstractNumId="64" w15:restartNumberingAfterBreak="0">
    <w:nsid w:val="60FD1EA0"/>
    <w:multiLevelType w:val="hybridMultilevel"/>
    <w:tmpl w:val="3752BEA8"/>
    <w:lvl w:ilvl="0" w:tplc="B25ADCB8">
      <w:start w:val="1"/>
      <w:numFmt w:val="bullet"/>
      <w:lvlText w:val=""/>
      <w:lvlJc w:val="left"/>
      <w:pPr>
        <w:ind w:hanging="540"/>
      </w:pPr>
      <w:rPr>
        <w:rFonts w:ascii="Symbol" w:eastAsia="Symbol" w:hAnsi="Symbol" w:hint="default"/>
        <w:sz w:val="22"/>
        <w:szCs w:val="22"/>
      </w:rPr>
    </w:lvl>
    <w:lvl w:ilvl="1" w:tplc="051A251C">
      <w:start w:val="1"/>
      <w:numFmt w:val="bullet"/>
      <w:lvlText w:val=""/>
      <w:lvlJc w:val="left"/>
      <w:pPr>
        <w:ind w:hanging="360"/>
      </w:pPr>
      <w:rPr>
        <w:rFonts w:ascii="Symbol" w:eastAsia="Symbol" w:hAnsi="Symbol" w:hint="default"/>
        <w:sz w:val="22"/>
        <w:szCs w:val="22"/>
      </w:rPr>
    </w:lvl>
    <w:lvl w:ilvl="2" w:tplc="2FDEB0F0">
      <w:start w:val="1"/>
      <w:numFmt w:val="bullet"/>
      <w:lvlText w:val=""/>
      <w:lvlJc w:val="left"/>
      <w:pPr>
        <w:ind w:hanging="540"/>
      </w:pPr>
      <w:rPr>
        <w:rFonts w:ascii="Symbol" w:eastAsia="Symbol" w:hAnsi="Symbol" w:hint="default"/>
        <w:sz w:val="22"/>
        <w:szCs w:val="22"/>
      </w:rPr>
    </w:lvl>
    <w:lvl w:ilvl="3" w:tplc="9856B7E6">
      <w:start w:val="1"/>
      <w:numFmt w:val="bullet"/>
      <w:lvlText w:val="•"/>
      <w:lvlJc w:val="left"/>
      <w:rPr>
        <w:rFonts w:hint="default"/>
      </w:rPr>
    </w:lvl>
    <w:lvl w:ilvl="4" w:tplc="927C327C">
      <w:start w:val="1"/>
      <w:numFmt w:val="bullet"/>
      <w:lvlText w:val="•"/>
      <w:lvlJc w:val="left"/>
      <w:rPr>
        <w:rFonts w:hint="default"/>
      </w:rPr>
    </w:lvl>
    <w:lvl w:ilvl="5" w:tplc="16307AE8">
      <w:start w:val="1"/>
      <w:numFmt w:val="bullet"/>
      <w:lvlText w:val="•"/>
      <w:lvlJc w:val="left"/>
      <w:rPr>
        <w:rFonts w:hint="default"/>
      </w:rPr>
    </w:lvl>
    <w:lvl w:ilvl="6" w:tplc="91446780">
      <w:start w:val="1"/>
      <w:numFmt w:val="bullet"/>
      <w:lvlText w:val="•"/>
      <w:lvlJc w:val="left"/>
      <w:rPr>
        <w:rFonts w:hint="default"/>
      </w:rPr>
    </w:lvl>
    <w:lvl w:ilvl="7" w:tplc="396A1BD6">
      <w:start w:val="1"/>
      <w:numFmt w:val="bullet"/>
      <w:lvlText w:val="•"/>
      <w:lvlJc w:val="left"/>
      <w:rPr>
        <w:rFonts w:hint="default"/>
      </w:rPr>
    </w:lvl>
    <w:lvl w:ilvl="8" w:tplc="3B186692">
      <w:start w:val="1"/>
      <w:numFmt w:val="bullet"/>
      <w:lvlText w:val="•"/>
      <w:lvlJc w:val="left"/>
      <w:rPr>
        <w:rFonts w:hint="default"/>
      </w:rPr>
    </w:lvl>
  </w:abstractNum>
  <w:abstractNum w:abstractNumId="65" w15:restartNumberingAfterBreak="0">
    <w:nsid w:val="61B34E9A"/>
    <w:multiLevelType w:val="hybridMultilevel"/>
    <w:tmpl w:val="F08486F8"/>
    <w:lvl w:ilvl="0" w:tplc="00CE197A">
      <w:start w:val="1"/>
      <w:numFmt w:val="decimal"/>
      <w:lvlText w:val="%1."/>
      <w:lvlJc w:val="left"/>
      <w:pPr>
        <w:ind w:left="360" w:hanging="360"/>
      </w:pPr>
      <w:rPr>
        <w:rFonts w:ascii="Times New Roman" w:hAnsi="Times New Roman" w:cs="Times New Roman" w:hint="default"/>
        <w:b/>
      </w:rPr>
    </w:lvl>
    <w:lvl w:ilvl="1" w:tplc="C46E5F6E" w:tentative="1">
      <w:start w:val="1"/>
      <w:numFmt w:val="upperLetter"/>
      <w:lvlText w:val="%2."/>
      <w:lvlJc w:val="left"/>
      <w:pPr>
        <w:ind w:left="800" w:hanging="400"/>
      </w:pPr>
    </w:lvl>
    <w:lvl w:ilvl="2" w:tplc="7024A82A" w:tentative="1">
      <w:start w:val="1"/>
      <w:numFmt w:val="lowerRoman"/>
      <w:lvlText w:val="%3."/>
      <w:lvlJc w:val="right"/>
      <w:pPr>
        <w:ind w:left="1200" w:hanging="400"/>
      </w:pPr>
    </w:lvl>
    <w:lvl w:ilvl="3" w:tplc="C64E39BE" w:tentative="1">
      <w:start w:val="1"/>
      <w:numFmt w:val="decimal"/>
      <w:lvlText w:val="%4."/>
      <w:lvlJc w:val="left"/>
      <w:pPr>
        <w:ind w:left="1600" w:hanging="400"/>
      </w:pPr>
    </w:lvl>
    <w:lvl w:ilvl="4" w:tplc="A4E8CBB2" w:tentative="1">
      <w:start w:val="1"/>
      <w:numFmt w:val="upperLetter"/>
      <w:lvlText w:val="%5."/>
      <w:lvlJc w:val="left"/>
      <w:pPr>
        <w:ind w:left="2000" w:hanging="400"/>
      </w:pPr>
    </w:lvl>
    <w:lvl w:ilvl="5" w:tplc="F0CEBF90" w:tentative="1">
      <w:start w:val="1"/>
      <w:numFmt w:val="lowerRoman"/>
      <w:lvlText w:val="%6."/>
      <w:lvlJc w:val="right"/>
      <w:pPr>
        <w:ind w:left="2400" w:hanging="400"/>
      </w:pPr>
    </w:lvl>
    <w:lvl w:ilvl="6" w:tplc="9D6487E8" w:tentative="1">
      <w:start w:val="1"/>
      <w:numFmt w:val="decimal"/>
      <w:lvlText w:val="%7."/>
      <w:lvlJc w:val="left"/>
      <w:pPr>
        <w:ind w:left="2800" w:hanging="400"/>
      </w:pPr>
    </w:lvl>
    <w:lvl w:ilvl="7" w:tplc="619025CC" w:tentative="1">
      <w:start w:val="1"/>
      <w:numFmt w:val="upperLetter"/>
      <w:lvlText w:val="%8."/>
      <w:lvlJc w:val="left"/>
      <w:pPr>
        <w:ind w:left="3200" w:hanging="400"/>
      </w:pPr>
    </w:lvl>
    <w:lvl w:ilvl="8" w:tplc="6BE4629A" w:tentative="1">
      <w:start w:val="1"/>
      <w:numFmt w:val="lowerRoman"/>
      <w:lvlText w:val="%9."/>
      <w:lvlJc w:val="right"/>
      <w:pPr>
        <w:ind w:left="3600" w:hanging="400"/>
      </w:pPr>
    </w:lvl>
  </w:abstractNum>
  <w:abstractNum w:abstractNumId="66" w15:restartNumberingAfterBreak="0">
    <w:nsid w:val="61D73A84"/>
    <w:multiLevelType w:val="hybridMultilevel"/>
    <w:tmpl w:val="B11621AC"/>
    <w:lvl w:ilvl="0" w:tplc="1E32C9A4">
      <w:start w:val="1"/>
      <w:numFmt w:val="decimal"/>
      <w:lvlText w:val="%1."/>
      <w:lvlJc w:val="left"/>
      <w:pPr>
        <w:ind w:left="805" w:hanging="360"/>
      </w:pPr>
      <w:rPr>
        <w:rFonts w:ascii="Times New Roman" w:hAnsi="Times New Roman" w:cs="Times New Roman" w:hint="default"/>
        <w:b/>
      </w:rPr>
    </w:lvl>
    <w:lvl w:ilvl="1" w:tplc="34806644" w:tentative="1">
      <w:start w:val="1"/>
      <w:numFmt w:val="upperLetter"/>
      <w:lvlText w:val="%2."/>
      <w:lvlJc w:val="left"/>
      <w:pPr>
        <w:ind w:left="1245" w:hanging="400"/>
      </w:pPr>
    </w:lvl>
    <w:lvl w:ilvl="2" w:tplc="CED42FBE" w:tentative="1">
      <w:start w:val="1"/>
      <w:numFmt w:val="lowerRoman"/>
      <w:lvlText w:val="%3."/>
      <w:lvlJc w:val="right"/>
      <w:pPr>
        <w:ind w:left="1645" w:hanging="400"/>
      </w:pPr>
    </w:lvl>
    <w:lvl w:ilvl="3" w:tplc="F8FC67D4" w:tentative="1">
      <w:start w:val="1"/>
      <w:numFmt w:val="decimal"/>
      <w:lvlText w:val="%4."/>
      <w:lvlJc w:val="left"/>
      <w:pPr>
        <w:ind w:left="2045" w:hanging="400"/>
      </w:pPr>
    </w:lvl>
    <w:lvl w:ilvl="4" w:tplc="CE729954" w:tentative="1">
      <w:start w:val="1"/>
      <w:numFmt w:val="upperLetter"/>
      <w:lvlText w:val="%5."/>
      <w:lvlJc w:val="left"/>
      <w:pPr>
        <w:ind w:left="2445" w:hanging="400"/>
      </w:pPr>
    </w:lvl>
    <w:lvl w:ilvl="5" w:tplc="BFACD340" w:tentative="1">
      <w:start w:val="1"/>
      <w:numFmt w:val="lowerRoman"/>
      <w:lvlText w:val="%6."/>
      <w:lvlJc w:val="right"/>
      <w:pPr>
        <w:ind w:left="2845" w:hanging="400"/>
      </w:pPr>
    </w:lvl>
    <w:lvl w:ilvl="6" w:tplc="FAD8F49E" w:tentative="1">
      <w:start w:val="1"/>
      <w:numFmt w:val="decimal"/>
      <w:lvlText w:val="%7."/>
      <w:lvlJc w:val="left"/>
      <w:pPr>
        <w:ind w:left="3245" w:hanging="400"/>
      </w:pPr>
    </w:lvl>
    <w:lvl w:ilvl="7" w:tplc="E056C1A6" w:tentative="1">
      <w:start w:val="1"/>
      <w:numFmt w:val="upperLetter"/>
      <w:lvlText w:val="%8."/>
      <w:lvlJc w:val="left"/>
      <w:pPr>
        <w:ind w:left="3645" w:hanging="400"/>
      </w:pPr>
    </w:lvl>
    <w:lvl w:ilvl="8" w:tplc="8EFC0024" w:tentative="1">
      <w:start w:val="1"/>
      <w:numFmt w:val="lowerRoman"/>
      <w:lvlText w:val="%9."/>
      <w:lvlJc w:val="right"/>
      <w:pPr>
        <w:ind w:left="4045" w:hanging="400"/>
      </w:pPr>
    </w:lvl>
  </w:abstractNum>
  <w:abstractNum w:abstractNumId="67" w15:restartNumberingAfterBreak="0">
    <w:nsid w:val="61F239C3"/>
    <w:multiLevelType w:val="hybridMultilevel"/>
    <w:tmpl w:val="EFF42462"/>
    <w:lvl w:ilvl="0" w:tplc="9A38D876">
      <w:start w:val="1"/>
      <w:numFmt w:val="decimal"/>
      <w:lvlText w:val="%1."/>
      <w:lvlJc w:val="left"/>
      <w:pPr>
        <w:ind w:left="471" w:hanging="360"/>
      </w:pPr>
      <w:rPr>
        <w:rFonts w:hint="default"/>
        <w:b/>
      </w:rPr>
    </w:lvl>
    <w:lvl w:ilvl="1" w:tplc="C1B6D59A" w:tentative="1">
      <w:start w:val="1"/>
      <w:numFmt w:val="upperLetter"/>
      <w:lvlText w:val="%2."/>
      <w:lvlJc w:val="left"/>
      <w:pPr>
        <w:ind w:left="911" w:hanging="400"/>
      </w:pPr>
    </w:lvl>
    <w:lvl w:ilvl="2" w:tplc="FB38438A" w:tentative="1">
      <w:start w:val="1"/>
      <w:numFmt w:val="lowerRoman"/>
      <w:lvlText w:val="%3."/>
      <w:lvlJc w:val="right"/>
      <w:pPr>
        <w:ind w:left="1311" w:hanging="400"/>
      </w:pPr>
    </w:lvl>
    <w:lvl w:ilvl="3" w:tplc="5464EB8A" w:tentative="1">
      <w:start w:val="1"/>
      <w:numFmt w:val="decimal"/>
      <w:lvlText w:val="%4."/>
      <w:lvlJc w:val="left"/>
      <w:pPr>
        <w:ind w:left="1711" w:hanging="400"/>
      </w:pPr>
    </w:lvl>
    <w:lvl w:ilvl="4" w:tplc="C6A89B2E" w:tentative="1">
      <w:start w:val="1"/>
      <w:numFmt w:val="upperLetter"/>
      <w:lvlText w:val="%5."/>
      <w:lvlJc w:val="left"/>
      <w:pPr>
        <w:ind w:left="2111" w:hanging="400"/>
      </w:pPr>
    </w:lvl>
    <w:lvl w:ilvl="5" w:tplc="B6D80A84" w:tentative="1">
      <w:start w:val="1"/>
      <w:numFmt w:val="lowerRoman"/>
      <w:lvlText w:val="%6."/>
      <w:lvlJc w:val="right"/>
      <w:pPr>
        <w:ind w:left="2511" w:hanging="400"/>
      </w:pPr>
    </w:lvl>
    <w:lvl w:ilvl="6" w:tplc="AF106822" w:tentative="1">
      <w:start w:val="1"/>
      <w:numFmt w:val="decimal"/>
      <w:lvlText w:val="%7."/>
      <w:lvlJc w:val="left"/>
      <w:pPr>
        <w:ind w:left="2911" w:hanging="400"/>
      </w:pPr>
    </w:lvl>
    <w:lvl w:ilvl="7" w:tplc="7B3ADBAE" w:tentative="1">
      <w:start w:val="1"/>
      <w:numFmt w:val="upperLetter"/>
      <w:lvlText w:val="%8."/>
      <w:lvlJc w:val="left"/>
      <w:pPr>
        <w:ind w:left="3311" w:hanging="400"/>
      </w:pPr>
    </w:lvl>
    <w:lvl w:ilvl="8" w:tplc="633682B2" w:tentative="1">
      <w:start w:val="1"/>
      <w:numFmt w:val="lowerRoman"/>
      <w:lvlText w:val="%9."/>
      <w:lvlJc w:val="right"/>
      <w:pPr>
        <w:ind w:left="3711" w:hanging="400"/>
      </w:pPr>
    </w:lvl>
  </w:abstractNum>
  <w:abstractNum w:abstractNumId="68" w15:restartNumberingAfterBreak="0">
    <w:nsid w:val="69FB1CDB"/>
    <w:multiLevelType w:val="hybridMultilevel"/>
    <w:tmpl w:val="46B62622"/>
    <w:lvl w:ilvl="0" w:tplc="ABA2D41E">
      <w:start w:val="1"/>
      <w:numFmt w:val="bullet"/>
      <w:lvlText w:val=""/>
      <w:lvlJc w:val="left"/>
      <w:pPr>
        <w:ind w:left="800" w:hanging="400"/>
      </w:pPr>
      <w:rPr>
        <w:rFonts w:ascii="Symbol" w:hAnsi="Symbol" w:cs="Symbol" w:hint="default"/>
      </w:rPr>
    </w:lvl>
    <w:lvl w:ilvl="1" w:tplc="17C2D76C" w:tentative="1">
      <w:start w:val="1"/>
      <w:numFmt w:val="bullet"/>
      <w:lvlText w:val=""/>
      <w:lvlJc w:val="left"/>
      <w:pPr>
        <w:ind w:left="1200" w:hanging="400"/>
      </w:pPr>
      <w:rPr>
        <w:rFonts w:ascii="Wingdings" w:hAnsi="Wingdings" w:hint="default"/>
      </w:rPr>
    </w:lvl>
    <w:lvl w:ilvl="2" w:tplc="E7D80254" w:tentative="1">
      <w:start w:val="1"/>
      <w:numFmt w:val="bullet"/>
      <w:lvlText w:val=""/>
      <w:lvlJc w:val="left"/>
      <w:pPr>
        <w:ind w:left="1600" w:hanging="400"/>
      </w:pPr>
      <w:rPr>
        <w:rFonts w:ascii="Wingdings" w:hAnsi="Wingdings" w:hint="default"/>
      </w:rPr>
    </w:lvl>
    <w:lvl w:ilvl="3" w:tplc="96B4FB8E" w:tentative="1">
      <w:start w:val="1"/>
      <w:numFmt w:val="bullet"/>
      <w:lvlText w:val=""/>
      <w:lvlJc w:val="left"/>
      <w:pPr>
        <w:ind w:left="2000" w:hanging="400"/>
      </w:pPr>
      <w:rPr>
        <w:rFonts w:ascii="Wingdings" w:hAnsi="Wingdings" w:hint="default"/>
      </w:rPr>
    </w:lvl>
    <w:lvl w:ilvl="4" w:tplc="0F126902" w:tentative="1">
      <w:start w:val="1"/>
      <w:numFmt w:val="bullet"/>
      <w:lvlText w:val=""/>
      <w:lvlJc w:val="left"/>
      <w:pPr>
        <w:ind w:left="2400" w:hanging="400"/>
      </w:pPr>
      <w:rPr>
        <w:rFonts w:ascii="Wingdings" w:hAnsi="Wingdings" w:hint="default"/>
      </w:rPr>
    </w:lvl>
    <w:lvl w:ilvl="5" w:tplc="DFAEA6B6" w:tentative="1">
      <w:start w:val="1"/>
      <w:numFmt w:val="bullet"/>
      <w:lvlText w:val=""/>
      <w:lvlJc w:val="left"/>
      <w:pPr>
        <w:ind w:left="2800" w:hanging="400"/>
      </w:pPr>
      <w:rPr>
        <w:rFonts w:ascii="Wingdings" w:hAnsi="Wingdings" w:hint="default"/>
      </w:rPr>
    </w:lvl>
    <w:lvl w:ilvl="6" w:tplc="1BD2CCD6" w:tentative="1">
      <w:start w:val="1"/>
      <w:numFmt w:val="bullet"/>
      <w:lvlText w:val=""/>
      <w:lvlJc w:val="left"/>
      <w:pPr>
        <w:ind w:left="3200" w:hanging="400"/>
      </w:pPr>
      <w:rPr>
        <w:rFonts w:ascii="Wingdings" w:hAnsi="Wingdings" w:hint="default"/>
      </w:rPr>
    </w:lvl>
    <w:lvl w:ilvl="7" w:tplc="B4BE617E" w:tentative="1">
      <w:start w:val="1"/>
      <w:numFmt w:val="bullet"/>
      <w:lvlText w:val=""/>
      <w:lvlJc w:val="left"/>
      <w:pPr>
        <w:ind w:left="3600" w:hanging="400"/>
      </w:pPr>
      <w:rPr>
        <w:rFonts w:ascii="Wingdings" w:hAnsi="Wingdings" w:hint="default"/>
      </w:rPr>
    </w:lvl>
    <w:lvl w:ilvl="8" w:tplc="AE8221D2" w:tentative="1">
      <w:start w:val="1"/>
      <w:numFmt w:val="bullet"/>
      <w:lvlText w:val=""/>
      <w:lvlJc w:val="left"/>
      <w:pPr>
        <w:ind w:left="4000" w:hanging="400"/>
      </w:pPr>
      <w:rPr>
        <w:rFonts w:ascii="Wingdings" w:hAnsi="Wingdings" w:hint="default"/>
      </w:rPr>
    </w:lvl>
  </w:abstractNum>
  <w:abstractNum w:abstractNumId="69" w15:restartNumberingAfterBreak="0">
    <w:nsid w:val="6A5A4CBA"/>
    <w:multiLevelType w:val="multilevel"/>
    <w:tmpl w:val="6DEC6FE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4.%2"/>
      <w:lvlJc w:val="left"/>
      <w:pPr>
        <w:ind w:left="0" w:hanging="562"/>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70" w15:restartNumberingAfterBreak="0">
    <w:nsid w:val="6F22325B"/>
    <w:multiLevelType w:val="multilevel"/>
    <w:tmpl w:val="FBB62B10"/>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5.%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71" w15:restartNumberingAfterBreak="0">
    <w:nsid w:val="6F46197F"/>
    <w:multiLevelType w:val="hybridMultilevel"/>
    <w:tmpl w:val="B682509E"/>
    <w:lvl w:ilvl="0" w:tplc="C10804E2">
      <w:start w:val="1"/>
      <w:numFmt w:val="lowerLetter"/>
      <w:lvlText w:val="%1"/>
      <w:lvlJc w:val="left"/>
      <w:pPr>
        <w:ind w:hanging="360"/>
      </w:pPr>
      <w:rPr>
        <w:rFonts w:ascii="Times New Roman" w:eastAsia="Times New Roman" w:hAnsi="Times New Roman" w:hint="default"/>
        <w:position w:val="6"/>
        <w:sz w:val="10"/>
        <w:szCs w:val="10"/>
      </w:rPr>
    </w:lvl>
    <w:lvl w:ilvl="1" w:tplc="D4B4A4DE">
      <w:start w:val="1"/>
      <w:numFmt w:val="bullet"/>
      <w:lvlText w:val="•"/>
      <w:lvlJc w:val="left"/>
      <w:rPr>
        <w:rFonts w:hint="default"/>
      </w:rPr>
    </w:lvl>
    <w:lvl w:ilvl="2" w:tplc="8126107C">
      <w:start w:val="1"/>
      <w:numFmt w:val="bullet"/>
      <w:lvlText w:val="•"/>
      <w:lvlJc w:val="left"/>
      <w:rPr>
        <w:rFonts w:hint="default"/>
      </w:rPr>
    </w:lvl>
    <w:lvl w:ilvl="3" w:tplc="E13414EE">
      <w:start w:val="1"/>
      <w:numFmt w:val="bullet"/>
      <w:lvlText w:val="•"/>
      <w:lvlJc w:val="left"/>
      <w:rPr>
        <w:rFonts w:hint="default"/>
      </w:rPr>
    </w:lvl>
    <w:lvl w:ilvl="4" w:tplc="309E80DC">
      <w:start w:val="1"/>
      <w:numFmt w:val="bullet"/>
      <w:lvlText w:val="•"/>
      <w:lvlJc w:val="left"/>
      <w:rPr>
        <w:rFonts w:hint="default"/>
      </w:rPr>
    </w:lvl>
    <w:lvl w:ilvl="5" w:tplc="1804BF24">
      <w:start w:val="1"/>
      <w:numFmt w:val="bullet"/>
      <w:lvlText w:val="•"/>
      <w:lvlJc w:val="left"/>
      <w:rPr>
        <w:rFonts w:hint="default"/>
      </w:rPr>
    </w:lvl>
    <w:lvl w:ilvl="6" w:tplc="73DAEC1C">
      <w:start w:val="1"/>
      <w:numFmt w:val="bullet"/>
      <w:lvlText w:val="•"/>
      <w:lvlJc w:val="left"/>
      <w:rPr>
        <w:rFonts w:hint="default"/>
      </w:rPr>
    </w:lvl>
    <w:lvl w:ilvl="7" w:tplc="A288D208">
      <w:start w:val="1"/>
      <w:numFmt w:val="bullet"/>
      <w:lvlText w:val="•"/>
      <w:lvlJc w:val="left"/>
      <w:rPr>
        <w:rFonts w:hint="default"/>
      </w:rPr>
    </w:lvl>
    <w:lvl w:ilvl="8" w:tplc="F6A0E7F2">
      <w:start w:val="1"/>
      <w:numFmt w:val="bullet"/>
      <w:lvlText w:val="•"/>
      <w:lvlJc w:val="left"/>
      <w:rPr>
        <w:rFonts w:hint="default"/>
      </w:rPr>
    </w:lvl>
  </w:abstractNum>
  <w:abstractNum w:abstractNumId="72" w15:restartNumberingAfterBreak="0">
    <w:nsid w:val="711042A3"/>
    <w:multiLevelType w:val="hybridMultilevel"/>
    <w:tmpl w:val="CBA03BC0"/>
    <w:lvl w:ilvl="0" w:tplc="5A829C3C">
      <w:start w:val="1"/>
      <w:numFmt w:val="decimal"/>
      <w:lvlText w:val="%1."/>
      <w:lvlJc w:val="left"/>
      <w:pPr>
        <w:ind w:left="471" w:hanging="360"/>
      </w:pPr>
      <w:rPr>
        <w:rFonts w:hint="default"/>
        <w:b/>
      </w:rPr>
    </w:lvl>
    <w:lvl w:ilvl="1" w:tplc="20BE8D4C" w:tentative="1">
      <w:start w:val="1"/>
      <w:numFmt w:val="upperLetter"/>
      <w:lvlText w:val="%2."/>
      <w:lvlJc w:val="left"/>
      <w:pPr>
        <w:ind w:left="911" w:hanging="400"/>
      </w:pPr>
    </w:lvl>
    <w:lvl w:ilvl="2" w:tplc="123E1AF6" w:tentative="1">
      <w:start w:val="1"/>
      <w:numFmt w:val="lowerRoman"/>
      <w:lvlText w:val="%3."/>
      <w:lvlJc w:val="right"/>
      <w:pPr>
        <w:ind w:left="1311" w:hanging="400"/>
      </w:pPr>
    </w:lvl>
    <w:lvl w:ilvl="3" w:tplc="B1B02152" w:tentative="1">
      <w:start w:val="1"/>
      <w:numFmt w:val="decimal"/>
      <w:lvlText w:val="%4."/>
      <w:lvlJc w:val="left"/>
      <w:pPr>
        <w:ind w:left="1711" w:hanging="400"/>
      </w:pPr>
    </w:lvl>
    <w:lvl w:ilvl="4" w:tplc="C60423D4" w:tentative="1">
      <w:start w:val="1"/>
      <w:numFmt w:val="upperLetter"/>
      <w:lvlText w:val="%5."/>
      <w:lvlJc w:val="left"/>
      <w:pPr>
        <w:ind w:left="2111" w:hanging="400"/>
      </w:pPr>
    </w:lvl>
    <w:lvl w:ilvl="5" w:tplc="E1C01B8E" w:tentative="1">
      <w:start w:val="1"/>
      <w:numFmt w:val="lowerRoman"/>
      <w:lvlText w:val="%6."/>
      <w:lvlJc w:val="right"/>
      <w:pPr>
        <w:ind w:left="2511" w:hanging="400"/>
      </w:pPr>
    </w:lvl>
    <w:lvl w:ilvl="6" w:tplc="69601D54" w:tentative="1">
      <w:start w:val="1"/>
      <w:numFmt w:val="decimal"/>
      <w:lvlText w:val="%7."/>
      <w:lvlJc w:val="left"/>
      <w:pPr>
        <w:ind w:left="2911" w:hanging="400"/>
      </w:pPr>
    </w:lvl>
    <w:lvl w:ilvl="7" w:tplc="84A429A2" w:tentative="1">
      <w:start w:val="1"/>
      <w:numFmt w:val="upperLetter"/>
      <w:lvlText w:val="%8."/>
      <w:lvlJc w:val="left"/>
      <w:pPr>
        <w:ind w:left="3311" w:hanging="400"/>
      </w:pPr>
    </w:lvl>
    <w:lvl w:ilvl="8" w:tplc="6EE24EC2" w:tentative="1">
      <w:start w:val="1"/>
      <w:numFmt w:val="lowerRoman"/>
      <w:lvlText w:val="%9."/>
      <w:lvlJc w:val="right"/>
      <w:pPr>
        <w:ind w:left="3711" w:hanging="400"/>
      </w:pPr>
    </w:lvl>
  </w:abstractNum>
  <w:abstractNum w:abstractNumId="73" w15:restartNumberingAfterBreak="0">
    <w:nsid w:val="753A059E"/>
    <w:multiLevelType w:val="hybridMultilevel"/>
    <w:tmpl w:val="339C2F6A"/>
    <w:lvl w:ilvl="0" w:tplc="10D2A6D6">
      <w:start w:val="1"/>
      <w:numFmt w:val="decimal"/>
      <w:lvlText w:val="%1."/>
      <w:lvlJc w:val="left"/>
      <w:pPr>
        <w:ind w:hanging="562"/>
      </w:pPr>
      <w:rPr>
        <w:rFonts w:ascii="Times New Roman" w:eastAsia="Times New Roman" w:hAnsi="Times New Roman" w:hint="default"/>
        <w:b/>
        <w:bCs/>
        <w:sz w:val="22"/>
        <w:szCs w:val="22"/>
      </w:rPr>
    </w:lvl>
    <w:lvl w:ilvl="1" w:tplc="140450AE">
      <w:start w:val="1"/>
      <w:numFmt w:val="bullet"/>
      <w:lvlText w:val="•"/>
      <w:lvlJc w:val="left"/>
      <w:rPr>
        <w:rFonts w:hint="default"/>
      </w:rPr>
    </w:lvl>
    <w:lvl w:ilvl="2" w:tplc="829E56C0">
      <w:start w:val="1"/>
      <w:numFmt w:val="bullet"/>
      <w:lvlText w:val="•"/>
      <w:lvlJc w:val="left"/>
      <w:rPr>
        <w:rFonts w:hint="default"/>
      </w:rPr>
    </w:lvl>
    <w:lvl w:ilvl="3" w:tplc="7C08C40C">
      <w:start w:val="1"/>
      <w:numFmt w:val="bullet"/>
      <w:lvlText w:val="•"/>
      <w:lvlJc w:val="left"/>
      <w:rPr>
        <w:rFonts w:hint="default"/>
      </w:rPr>
    </w:lvl>
    <w:lvl w:ilvl="4" w:tplc="ADA2925A">
      <w:start w:val="1"/>
      <w:numFmt w:val="bullet"/>
      <w:lvlText w:val="•"/>
      <w:lvlJc w:val="left"/>
      <w:rPr>
        <w:rFonts w:hint="default"/>
      </w:rPr>
    </w:lvl>
    <w:lvl w:ilvl="5" w:tplc="20441690">
      <w:start w:val="1"/>
      <w:numFmt w:val="bullet"/>
      <w:lvlText w:val="•"/>
      <w:lvlJc w:val="left"/>
      <w:rPr>
        <w:rFonts w:hint="default"/>
      </w:rPr>
    </w:lvl>
    <w:lvl w:ilvl="6" w:tplc="15F83D76">
      <w:start w:val="1"/>
      <w:numFmt w:val="bullet"/>
      <w:lvlText w:val="•"/>
      <w:lvlJc w:val="left"/>
      <w:rPr>
        <w:rFonts w:hint="default"/>
      </w:rPr>
    </w:lvl>
    <w:lvl w:ilvl="7" w:tplc="683A0F6A">
      <w:start w:val="1"/>
      <w:numFmt w:val="bullet"/>
      <w:lvlText w:val="•"/>
      <w:lvlJc w:val="left"/>
      <w:rPr>
        <w:rFonts w:hint="default"/>
      </w:rPr>
    </w:lvl>
    <w:lvl w:ilvl="8" w:tplc="BD6211A4">
      <w:start w:val="1"/>
      <w:numFmt w:val="bullet"/>
      <w:lvlText w:val="•"/>
      <w:lvlJc w:val="left"/>
      <w:rPr>
        <w:rFonts w:hint="default"/>
      </w:rPr>
    </w:lvl>
  </w:abstractNum>
  <w:abstractNum w:abstractNumId="74" w15:restartNumberingAfterBreak="0">
    <w:nsid w:val="76D11154"/>
    <w:multiLevelType w:val="multilevel"/>
    <w:tmpl w:val="6DEC6FE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4.%2"/>
      <w:lvlJc w:val="left"/>
      <w:pPr>
        <w:ind w:left="0" w:hanging="562"/>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75" w15:restartNumberingAfterBreak="0">
    <w:nsid w:val="77315750"/>
    <w:multiLevelType w:val="hybridMultilevel"/>
    <w:tmpl w:val="C01A5250"/>
    <w:lvl w:ilvl="0" w:tplc="008897F2">
      <w:start w:val="1"/>
      <w:numFmt w:val="lowerLetter"/>
      <w:lvlText w:val="%1."/>
      <w:lvlJc w:val="left"/>
      <w:pPr>
        <w:ind w:left="468" w:hanging="360"/>
      </w:pPr>
      <w:rPr>
        <w:rFonts w:hint="default"/>
        <w:b/>
      </w:rPr>
    </w:lvl>
    <w:lvl w:ilvl="1" w:tplc="04090019" w:tentative="1">
      <w:start w:val="1"/>
      <w:numFmt w:val="upperLetter"/>
      <w:lvlText w:val="%2."/>
      <w:lvlJc w:val="left"/>
      <w:pPr>
        <w:ind w:left="908" w:hanging="400"/>
      </w:pPr>
    </w:lvl>
    <w:lvl w:ilvl="2" w:tplc="0409001B" w:tentative="1">
      <w:start w:val="1"/>
      <w:numFmt w:val="lowerRoman"/>
      <w:lvlText w:val="%3."/>
      <w:lvlJc w:val="right"/>
      <w:pPr>
        <w:ind w:left="1308" w:hanging="400"/>
      </w:pPr>
    </w:lvl>
    <w:lvl w:ilvl="3" w:tplc="0409000F" w:tentative="1">
      <w:start w:val="1"/>
      <w:numFmt w:val="decimal"/>
      <w:lvlText w:val="%4."/>
      <w:lvlJc w:val="left"/>
      <w:pPr>
        <w:ind w:left="1708" w:hanging="400"/>
      </w:pPr>
    </w:lvl>
    <w:lvl w:ilvl="4" w:tplc="04090019" w:tentative="1">
      <w:start w:val="1"/>
      <w:numFmt w:val="upperLetter"/>
      <w:lvlText w:val="%5."/>
      <w:lvlJc w:val="left"/>
      <w:pPr>
        <w:ind w:left="2108" w:hanging="400"/>
      </w:pPr>
    </w:lvl>
    <w:lvl w:ilvl="5" w:tplc="0409001B" w:tentative="1">
      <w:start w:val="1"/>
      <w:numFmt w:val="lowerRoman"/>
      <w:lvlText w:val="%6."/>
      <w:lvlJc w:val="right"/>
      <w:pPr>
        <w:ind w:left="2508" w:hanging="400"/>
      </w:pPr>
    </w:lvl>
    <w:lvl w:ilvl="6" w:tplc="0409000F" w:tentative="1">
      <w:start w:val="1"/>
      <w:numFmt w:val="decimal"/>
      <w:lvlText w:val="%7."/>
      <w:lvlJc w:val="left"/>
      <w:pPr>
        <w:ind w:left="2908" w:hanging="400"/>
      </w:pPr>
    </w:lvl>
    <w:lvl w:ilvl="7" w:tplc="04090019" w:tentative="1">
      <w:start w:val="1"/>
      <w:numFmt w:val="upperLetter"/>
      <w:lvlText w:val="%8."/>
      <w:lvlJc w:val="left"/>
      <w:pPr>
        <w:ind w:left="3308" w:hanging="400"/>
      </w:pPr>
    </w:lvl>
    <w:lvl w:ilvl="8" w:tplc="0409001B" w:tentative="1">
      <w:start w:val="1"/>
      <w:numFmt w:val="lowerRoman"/>
      <w:lvlText w:val="%9."/>
      <w:lvlJc w:val="right"/>
      <w:pPr>
        <w:ind w:left="3708" w:hanging="400"/>
      </w:pPr>
    </w:lvl>
  </w:abstractNum>
  <w:abstractNum w:abstractNumId="76" w15:restartNumberingAfterBreak="0">
    <w:nsid w:val="774D0E51"/>
    <w:multiLevelType w:val="hybridMultilevel"/>
    <w:tmpl w:val="CBA03BC0"/>
    <w:lvl w:ilvl="0" w:tplc="5A829C3C">
      <w:start w:val="1"/>
      <w:numFmt w:val="decimal"/>
      <w:lvlText w:val="%1."/>
      <w:lvlJc w:val="left"/>
      <w:pPr>
        <w:ind w:left="471" w:hanging="360"/>
      </w:pPr>
      <w:rPr>
        <w:rFonts w:hint="default"/>
        <w:b/>
      </w:rPr>
    </w:lvl>
    <w:lvl w:ilvl="1" w:tplc="20BE8D4C" w:tentative="1">
      <w:start w:val="1"/>
      <w:numFmt w:val="upperLetter"/>
      <w:lvlText w:val="%2."/>
      <w:lvlJc w:val="left"/>
      <w:pPr>
        <w:ind w:left="911" w:hanging="400"/>
      </w:pPr>
    </w:lvl>
    <w:lvl w:ilvl="2" w:tplc="123E1AF6" w:tentative="1">
      <w:start w:val="1"/>
      <w:numFmt w:val="lowerRoman"/>
      <w:lvlText w:val="%3."/>
      <w:lvlJc w:val="right"/>
      <w:pPr>
        <w:ind w:left="1311" w:hanging="400"/>
      </w:pPr>
    </w:lvl>
    <w:lvl w:ilvl="3" w:tplc="B1B02152" w:tentative="1">
      <w:start w:val="1"/>
      <w:numFmt w:val="decimal"/>
      <w:lvlText w:val="%4."/>
      <w:lvlJc w:val="left"/>
      <w:pPr>
        <w:ind w:left="1711" w:hanging="400"/>
      </w:pPr>
    </w:lvl>
    <w:lvl w:ilvl="4" w:tplc="C60423D4" w:tentative="1">
      <w:start w:val="1"/>
      <w:numFmt w:val="upperLetter"/>
      <w:lvlText w:val="%5."/>
      <w:lvlJc w:val="left"/>
      <w:pPr>
        <w:ind w:left="2111" w:hanging="400"/>
      </w:pPr>
    </w:lvl>
    <w:lvl w:ilvl="5" w:tplc="E1C01B8E" w:tentative="1">
      <w:start w:val="1"/>
      <w:numFmt w:val="lowerRoman"/>
      <w:lvlText w:val="%6."/>
      <w:lvlJc w:val="right"/>
      <w:pPr>
        <w:ind w:left="2511" w:hanging="400"/>
      </w:pPr>
    </w:lvl>
    <w:lvl w:ilvl="6" w:tplc="69601D54" w:tentative="1">
      <w:start w:val="1"/>
      <w:numFmt w:val="decimal"/>
      <w:lvlText w:val="%7."/>
      <w:lvlJc w:val="left"/>
      <w:pPr>
        <w:ind w:left="2911" w:hanging="400"/>
      </w:pPr>
    </w:lvl>
    <w:lvl w:ilvl="7" w:tplc="84A429A2" w:tentative="1">
      <w:start w:val="1"/>
      <w:numFmt w:val="upperLetter"/>
      <w:lvlText w:val="%8."/>
      <w:lvlJc w:val="left"/>
      <w:pPr>
        <w:ind w:left="3311" w:hanging="400"/>
      </w:pPr>
    </w:lvl>
    <w:lvl w:ilvl="8" w:tplc="6EE24EC2" w:tentative="1">
      <w:start w:val="1"/>
      <w:numFmt w:val="lowerRoman"/>
      <w:lvlText w:val="%9."/>
      <w:lvlJc w:val="right"/>
      <w:pPr>
        <w:ind w:left="3711" w:hanging="400"/>
      </w:pPr>
    </w:lvl>
  </w:abstractNum>
  <w:abstractNum w:abstractNumId="77" w15:restartNumberingAfterBreak="0">
    <w:nsid w:val="782E3E2E"/>
    <w:multiLevelType w:val="hybridMultilevel"/>
    <w:tmpl w:val="DD348CDC"/>
    <w:lvl w:ilvl="0" w:tplc="D16814C6">
      <w:start w:val="1"/>
      <w:numFmt w:val="upperLetter"/>
      <w:lvlText w:val="%1."/>
      <w:lvlJc w:val="left"/>
      <w:pPr>
        <w:ind w:left="760" w:hanging="360"/>
      </w:pPr>
      <w:rPr>
        <w:rFonts w:hint="default"/>
      </w:rPr>
    </w:lvl>
    <w:lvl w:ilvl="1" w:tplc="4A02B332" w:tentative="1">
      <w:start w:val="1"/>
      <w:numFmt w:val="upperLetter"/>
      <w:lvlText w:val="%2."/>
      <w:lvlJc w:val="left"/>
      <w:pPr>
        <w:ind w:left="1200" w:hanging="400"/>
      </w:pPr>
    </w:lvl>
    <w:lvl w:ilvl="2" w:tplc="12D6E988" w:tentative="1">
      <w:start w:val="1"/>
      <w:numFmt w:val="lowerRoman"/>
      <w:lvlText w:val="%3."/>
      <w:lvlJc w:val="right"/>
      <w:pPr>
        <w:ind w:left="1600" w:hanging="400"/>
      </w:pPr>
    </w:lvl>
    <w:lvl w:ilvl="3" w:tplc="BAF612D2" w:tentative="1">
      <w:start w:val="1"/>
      <w:numFmt w:val="decimal"/>
      <w:lvlText w:val="%4."/>
      <w:lvlJc w:val="left"/>
      <w:pPr>
        <w:ind w:left="2000" w:hanging="400"/>
      </w:pPr>
    </w:lvl>
    <w:lvl w:ilvl="4" w:tplc="4732CDC4" w:tentative="1">
      <w:start w:val="1"/>
      <w:numFmt w:val="upperLetter"/>
      <w:lvlText w:val="%5."/>
      <w:lvlJc w:val="left"/>
      <w:pPr>
        <w:ind w:left="2400" w:hanging="400"/>
      </w:pPr>
    </w:lvl>
    <w:lvl w:ilvl="5" w:tplc="6B309122" w:tentative="1">
      <w:start w:val="1"/>
      <w:numFmt w:val="lowerRoman"/>
      <w:lvlText w:val="%6."/>
      <w:lvlJc w:val="right"/>
      <w:pPr>
        <w:ind w:left="2800" w:hanging="400"/>
      </w:pPr>
    </w:lvl>
    <w:lvl w:ilvl="6" w:tplc="6ACCAE4E" w:tentative="1">
      <w:start w:val="1"/>
      <w:numFmt w:val="decimal"/>
      <w:lvlText w:val="%7."/>
      <w:lvlJc w:val="left"/>
      <w:pPr>
        <w:ind w:left="3200" w:hanging="400"/>
      </w:pPr>
    </w:lvl>
    <w:lvl w:ilvl="7" w:tplc="70E45E7C" w:tentative="1">
      <w:start w:val="1"/>
      <w:numFmt w:val="upperLetter"/>
      <w:lvlText w:val="%8."/>
      <w:lvlJc w:val="left"/>
      <w:pPr>
        <w:ind w:left="3600" w:hanging="400"/>
      </w:pPr>
    </w:lvl>
    <w:lvl w:ilvl="8" w:tplc="4FCCCA14" w:tentative="1">
      <w:start w:val="1"/>
      <w:numFmt w:val="lowerRoman"/>
      <w:lvlText w:val="%9."/>
      <w:lvlJc w:val="right"/>
      <w:pPr>
        <w:ind w:left="4000" w:hanging="400"/>
      </w:pPr>
    </w:lvl>
  </w:abstractNum>
  <w:abstractNum w:abstractNumId="78" w15:restartNumberingAfterBreak="0">
    <w:nsid w:val="79CD7F37"/>
    <w:multiLevelType w:val="multilevel"/>
    <w:tmpl w:val="905201FA"/>
    <w:lvl w:ilvl="0">
      <w:start w:val="1"/>
      <w:numFmt w:val="bullet"/>
      <w:lvlText w:val="•"/>
      <w:lvlJc w:val="left"/>
      <w:pPr>
        <w:ind w:left="643" w:hanging="360"/>
      </w:pPr>
      <w:rPr>
        <w:rFonts w:ascii="Times New Roman" w:hAnsi="Times New Roman" w:cs="Times New Roman" w:hint="default"/>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79" w15:restartNumberingAfterBreak="0">
    <w:nsid w:val="7AA675AE"/>
    <w:multiLevelType w:val="hybridMultilevel"/>
    <w:tmpl w:val="AA284A0C"/>
    <w:lvl w:ilvl="0" w:tplc="0F70B018">
      <w:start w:val="1"/>
      <w:numFmt w:val="decimal"/>
      <w:lvlText w:val="%1."/>
      <w:lvlJc w:val="left"/>
      <w:pPr>
        <w:ind w:hanging="562"/>
      </w:pPr>
      <w:rPr>
        <w:rFonts w:ascii="Times New Roman" w:eastAsia="Times New Roman" w:hAnsi="Times New Roman" w:hint="default"/>
        <w:b/>
        <w:bCs/>
        <w:sz w:val="22"/>
        <w:szCs w:val="22"/>
      </w:rPr>
    </w:lvl>
    <w:lvl w:ilvl="1" w:tplc="116E2750">
      <w:start w:val="1"/>
      <w:numFmt w:val="bullet"/>
      <w:lvlText w:val=""/>
      <w:lvlJc w:val="left"/>
      <w:pPr>
        <w:ind w:hanging="360"/>
      </w:pPr>
      <w:rPr>
        <w:rFonts w:ascii="Symbol" w:eastAsia="Symbol" w:hAnsi="Symbol" w:hint="default"/>
        <w:sz w:val="22"/>
        <w:szCs w:val="22"/>
      </w:rPr>
    </w:lvl>
    <w:lvl w:ilvl="2" w:tplc="A6208872">
      <w:start w:val="1"/>
      <w:numFmt w:val="bullet"/>
      <w:lvlText w:val=""/>
      <w:lvlJc w:val="left"/>
      <w:pPr>
        <w:ind w:hanging="360"/>
      </w:pPr>
      <w:rPr>
        <w:rFonts w:ascii="Symbol" w:eastAsia="Symbol" w:hAnsi="Symbol" w:hint="default"/>
        <w:sz w:val="22"/>
        <w:szCs w:val="22"/>
      </w:rPr>
    </w:lvl>
    <w:lvl w:ilvl="3" w:tplc="DF2AF022">
      <w:start w:val="1"/>
      <w:numFmt w:val="bullet"/>
      <w:lvlText w:val=""/>
      <w:lvlJc w:val="left"/>
      <w:pPr>
        <w:ind w:hanging="360"/>
      </w:pPr>
      <w:rPr>
        <w:rFonts w:ascii="Symbol" w:eastAsia="Symbol" w:hAnsi="Symbol" w:hint="default"/>
        <w:sz w:val="22"/>
        <w:szCs w:val="22"/>
      </w:rPr>
    </w:lvl>
    <w:lvl w:ilvl="4" w:tplc="D8C82B26">
      <w:start w:val="1"/>
      <w:numFmt w:val="bullet"/>
      <w:lvlText w:val=""/>
      <w:lvlJc w:val="left"/>
      <w:pPr>
        <w:ind w:hanging="360"/>
      </w:pPr>
      <w:rPr>
        <w:rFonts w:ascii="Symbol" w:eastAsia="Symbol" w:hAnsi="Symbol" w:hint="default"/>
        <w:sz w:val="22"/>
        <w:szCs w:val="22"/>
      </w:rPr>
    </w:lvl>
    <w:lvl w:ilvl="5" w:tplc="A7AAC6FE">
      <w:start w:val="1"/>
      <w:numFmt w:val="bullet"/>
      <w:lvlText w:val="•"/>
      <w:lvlJc w:val="left"/>
      <w:rPr>
        <w:rFonts w:hint="default"/>
      </w:rPr>
    </w:lvl>
    <w:lvl w:ilvl="6" w:tplc="743228E4">
      <w:start w:val="1"/>
      <w:numFmt w:val="bullet"/>
      <w:lvlText w:val="•"/>
      <w:lvlJc w:val="left"/>
      <w:rPr>
        <w:rFonts w:hint="default"/>
      </w:rPr>
    </w:lvl>
    <w:lvl w:ilvl="7" w:tplc="1A4ADA46">
      <w:start w:val="1"/>
      <w:numFmt w:val="bullet"/>
      <w:lvlText w:val="•"/>
      <w:lvlJc w:val="left"/>
      <w:rPr>
        <w:rFonts w:hint="default"/>
      </w:rPr>
    </w:lvl>
    <w:lvl w:ilvl="8" w:tplc="51BC27C8">
      <w:start w:val="1"/>
      <w:numFmt w:val="bullet"/>
      <w:lvlText w:val="•"/>
      <w:lvlJc w:val="left"/>
      <w:rPr>
        <w:rFonts w:hint="default"/>
      </w:rPr>
    </w:lvl>
  </w:abstractNum>
  <w:abstractNum w:abstractNumId="80" w15:restartNumberingAfterBreak="0">
    <w:nsid w:val="7BC50FE3"/>
    <w:multiLevelType w:val="hybridMultilevel"/>
    <w:tmpl w:val="339C2F6A"/>
    <w:lvl w:ilvl="0" w:tplc="1FCE759C">
      <w:start w:val="1"/>
      <w:numFmt w:val="decimal"/>
      <w:lvlText w:val="%1."/>
      <w:lvlJc w:val="left"/>
      <w:pPr>
        <w:ind w:hanging="562"/>
      </w:pPr>
      <w:rPr>
        <w:rFonts w:ascii="Times New Roman" w:eastAsia="Times New Roman" w:hAnsi="Times New Roman" w:hint="default"/>
        <w:b/>
        <w:bCs/>
        <w:sz w:val="22"/>
        <w:szCs w:val="22"/>
      </w:rPr>
    </w:lvl>
    <w:lvl w:ilvl="1" w:tplc="5D54D648">
      <w:start w:val="1"/>
      <w:numFmt w:val="bullet"/>
      <w:lvlText w:val="•"/>
      <w:lvlJc w:val="left"/>
      <w:rPr>
        <w:rFonts w:hint="default"/>
      </w:rPr>
    </w:lvl>
    <w:lvl w:ilvl="2" w:tplc="01243EC2">
      <w:start w:val="1"/>
      <w:numFmt w:val="bullet"/>
      <w:lvlText w:val="•"/>
      <w:lvlJc w:val="left"/>
      <w:rPr>
        <w:rFonts w:hint="default"/>
      </w:rPr>
    </w:lvl>
    <w:lvl w:ilvl="3" w:tplc="0A62915A">
      <w:start w:val="1"/>
      <w:numFmt w:val="bullet"/>
      <w:lvlText w:val="•"/>
      <w:lvlJc w:val="left"/>
      <w:rPr>
        <w:rFonts w:hint="default"/>
      </w:rPr>
    </w:lvl>
    <w:lvl w:ilvl="4" w:tplc="B200177C">
      <w:start w:val="1"/>
      <w:numFmt w:val="bullet"/>
      <w:lvlText w:val="•"/>
      <w:lvlJc w:val="left"/>
      <w:rPr>
        <w:rFonts w:hint="default"/>
      </w:rPr>
    </w:lvl>
    <w:lvl w:ilvl="5" w:tplc="436CF5C0">
      <w:start w:val="1"/>
      <w:numFmt w:val="bullet"/>
      <w:lvlText w:val="•"/>
      <w:lvlJc w:val="left"/>
      <w:rPr>
        <w:rFonts w:hint="default"/>
      </w:rPr>
    </w:lvl>
    <w:lvl w:ilvl="6" w:tplc="7136969A">
      <w:start w:val="1"/>
      <w:numFmt w:val="bullet"/>
      <w:lvlText w:val="•"/>
      <w:lvlJc w:val="left"/>
      <w:rPr>
        <w:rFonts w:hint="default"/>
      </w:rPr>
    </w:lvl>
    <w:lvl w:ilvl="7" w:tplc="3E524EA0">
      <w:start w:val="1"/>
      <w:numFmt w:val="bullet"/>
      <w:lvlText w:val="•"/>
      <w:lvlJc w:val="left"/>
      <w:rPr>
        <w:rFonts w:hint="default"/>
      </w:rPr>
    </w:lvl>
    <w:lvl w:ilvl="8" w:tplc="AD3C6A68">
      <w:start w:val="1"/>
      <w:numFmt w:val="bullet"/>
      <w:lvlText w:val="•"/>
      <w:lvlJc w:val="left"/>
      <w:rPr>
        <w:rFonts w:hint="default"/>
      </w:rPr>
    </w:lvl>
  </w:abstractNum>
  <w:abstractNum w:abstractNumId="81" w15:restartNumberingAfterBreak="0">
    <w:nsid w:val="7E1C5C15"/>
    <w:multiLevelType w:val="hybridMultilevel"/>
    <w:tmpl w:val="A672EF00"/>
    <w:lvl w:ilvl="0" w:tplc="A87286E4">
      <w:start w:val="1"/>
      <w:numFmt w:val="bullet"/>
      <w:lvlText w:val=""/>
      <w:lvlJc w:val="left"/>
      <w:pPr>
        <w:ind w:left="720" w:hanging="360"/>
      </w:pPr>
      <w:rPr>
        <w:rFonts w:ascii="Symbol" w:hAnsi="Symbol" w:hint="default"/>
      </w:rPr>
    </w:lvl>
    <w:lvl w:ilvl="1" w:tplc="63CE5388" w:tentative="1">
      <w:start w:val="1"/>
      <w:numFmt w:val="bullet"/>
      <w:lvlText w:val="o"/>
      <w:lvlJc w:val="left"/>
      <w:pPr>
        <w:ind w:left="1440" w:hanging="360"/>
      </w:pPr>
      <w:rPr>
        <w:rFonts w:ascii="Courier New" w:hAnsi="Courier New" w:cs="Courier New" w:hint="default"/>
      </w:rPr>
    </w:lvl>
    <w:lvl w:ilvl="2" w:tplc="2168EE9E" w:tentative="1">
      <w:start w:val="1"/>
      <w:numFmt w:val="bullet"/>
      <w:lvlText w:val=""/>
      <w:lvlJc w:val="left"/>
      <w:pPr>
        <w:ind w:left="2160" w:hanging="360"/>
      </w:pPr>
      <w:rPr>
        <w:rFonts w:ascii="Wingdings" w:hAnsi="Wingdings" w:hint="default"/>
      </w:rPr>
    </w:lvl>
    <w:lvl w:ilvl="3" w:tplc="D7403CDC" w:tentative="1">
      <w:start w:val="1"/>
      <w:numFmt w:val="bullet"/>
      <w:lvlText w:val=""/>
      <w:lvlJc w:val="left"/>
      <w:pPr>
        <w:ind w:left="2880" w:hanging="360"/>
      </w:pPr>
      <w:rPr>
        <w:rFonts w:ascii="Symbol" w:hAnsi="Symbol" w:hint="default"/>
      </w:rPr>
    </w:lvl>
    <w:lvl w:ilvl="4" w:tplc="4DC04C2C" w:tentative="1">
      <w:start w:val="1"/>
      <w:numFmt w:val="bullet"/>
      <w:lvlText w:val="o"/>
      <w:lvlJc w:val="left"/>
      <w:pPr>
        <w:ind w:left="3600" w:hanging="360"/>
      </w:pPr>
      <w:rPr>
        <w:rFonts w:ascii="Courier New" w:hAnsi="Courier New" w:cs="Courier New" w:hint="default"/>
      </w:rPr>
    </w:lvl>
    <w:lvl w:ilvl="5" w:tplc="C2D26526" w:tentative="1">
      <w:start w:val="1"/>
      <w:numFmt w:val="bullet"/>
      <w:lvlText w:val=""/>
      <w:lvlJc w:val="left"/>
      <w:pPr>
        <w:ind w:left="4320" w:hanging="360"/>
      </w:pPr>
      <w:rPr>
        <w:rFonts w:ascii="Wingdings" w:hAnsi="Wingdings" w:hint="default"/>
      </w:rPr>
    </w:lvl>
    <w:lvl w:ilvl="6" w:tplc="F0741156" w:tentative="1">
      <w:start w:val="1"/>
      <w:numFmt w:val="bullet"/>
      <w:lvlText w:val=""/>
      <w:lvlJc w:val="left"/>
      <w:pPr>
        <w:ind w:left="5040" w:hanging="360"/>
      </w:pPr>
      <w:rPr>
        <w:rFonts w:ascii="Symbol" w:hAnsi="Symbol" w:hint="default"/>
      </w:rPr>
    </w:lvl>
    <w:lvl w:ilvl="7" w:tplc="90601BAC" w:tentative="1">
      <w:start w:val="1"/>
      <w:numFmt w:val="bullet"/>
      <w:lvlText w:val="o"/>
      <w:lvlJc w:val="left"/>
      <w:pPr>
        <w:ind w:left="5760" w:hanging="360"/>
      </w:pPr>
      <w:rPr>
        <w:rFonts w:ascii="Courier New" w:hAnsi="Courier New" w:cs="Courier New" w:hint="default"/>
      </w:rPr>
    </w:lvl>
    <w:lvl w:ilvl="8" w:tplc="13C25FF6" w:tentative="1">
      <w:start w:val="1"/>
      <w:numFmt w:val="bullet"/>
      <w:lvlText w:val=""/>
      <w:lvlJc w:val="left"/>
      <w:pPr>
        <w:ind w:left="6480" w:hanging="360"/>
      </w:pPr>
      <w:rPr>
        <w:rFonts w:ascii="Wingdings" w:hAnsi="Wingdings" w:hint="default"/>
      </w:rPr>
    </w:lvl>
  </w:abstractNum>
  <w:num w:numId="1" w16cid:durableId="1113986983">
    <w:abstractNumId w:val="10"/>
  </w:num>
  <w:num w:numId="2" w16cid:durableId="716275616">
    <w:abstractNumId w:val="4"/>
  </w:num>
  <w:num w:numId="3" w16cid:durableId="1916817283">
    <w:abstractNumId w:val="79"/>
  </w:num>
  <w:num w:numId="4" w16cid:durableId="245265636">
    <w:abstractNumId w:val="45"/>
  </w:num>
  <w:num w:numId="5" w16cid:durableId="1115370118">
    <w:abstractNumId w:val="55"/>
  </w:num>
  <w:num w:numId="6" w16cid:durableId="663514238">
    <w:abstractNumId w:val="51"/>
  </w:num>
  <w:num w:numId="7" w16cid:durableId="733165070">
    <w:abstractNumId w:val="29"/>
  </w:num>
  <w:num w:numId="8" w16cid:durableId="389889441">
    <w:abstractNumId w:val="28"/>
  </w:num>
  <w:num w:numId="9" w16cid:durableId="1299647824">
    <w:abstractNumId w:val="62"/>
  </w:num>
  <w:num w:numId="10" w16cid:durableId="2016419901">
    <w:abstractNumId w:val="71"/>
  </w:num>
  <w:num w:numId="11" w16cid:durableId="1491677742">
    <w:abstractNumId w:val="20"/>
  </w:num>
  <w:num w:numId="12" w16cid:durableId="167184236">
    <w:abstractNumId w:val="32"/>
  </w:num>
  <w:num w:numId="13" w16cid:durableId="1007908807">
    <w:abstractNumId w:val="74"/>
  </w:num>
  <w:num w:numId="14" w16cid:durableId="1309362601">
    <w:abstractNumId w:val="39"/>
  </w:num>
  <w:num w:numId="15" w16cid:durableId="592322900">
    <w:abstractNumId w:val="64"/>
  </w:num>
  <w:num w:numId="16" w16cid:durableId="870074394">
    <w:abstractNumId w:val="6"/>
  </w:num>
  <w:num w:numId="17" w16cid:durableId="88235477">
    <w:abstractNumId w:val="34"/>
  </w:num>
  <w:num w:numId="18" w16cid:durableId="519123491">
    <w:abstractNumId w:val="23"/>
  </w:num>
  <w:num w:numId="19" w16cid:durableId="2046053492">
    <w:abstractNumId w:val="13"/>
  </w:num>
  <w:num w:numId="20" w16cid:durableId="971595329">
    <w:abstractNumId w:val="0"/>
  </w:num>
  <w:num w:numId="21" w16cid:durableId="1583223336">
    <w:abstractNumId w:val="76"/>
  </w:num>
  <w:num w:numId="22" w16cid:durableId="1285115852">
    <w:abstractNumId w:val="67"/>
  </w:num>
  <w:num w:numId="23" w16cid:durableId="742684177">
    <w:abstractNumId w:val="41"/>
  </w:num>
  <w:num w:numId="24" w16cid:durableId="985012743">
    <w:abstractNumId w:val="26"/>
  </w:num>
  <w:num w:numId="25" w16cid:durableId="657733844">
    <w:abstractNumId w:val="18"/>
  </w:num>
  <w:num w:numId="26" w16cid:durableId="270671481">
    <w:abstractNumId w:val="1"/>
  </w:num>
  <w:num w:numId="27" w16cid:durableId="1777747583">
    <w:abstractNumId w:val="73"/>
  </w:num>
  <w:num w:numId="28" w16cid:durableId="1512838217">
    <w:abstractNumId w:val="17"/>
  </w:num>
  <w:num w:numId="29" w16cid:durableId="544414699">
    <w:abstractNumId w:val="31"/>
  </w:num>
  <w:num w:numId="30" w16cid:durableId="1340962896">
    <w:abstractNumId w:val="2"/>
  </w:num>
  <w:num w:numId="31" w16cid:durableId="658191547">
    <w:abstractNumId w:val="35"/>
  </w:num>
  <w:num w:numId="32" w16cid:durableId="1279485376">
    <w:abstractNumId w:val="9"/>
  </w:num>
  <w:num w:numId="33" w16cid:durableId="1934050419">
    <w:abstractNumId w:val="77"/>
  </w:num>
  <w:num w:numId="34" w16cid:durableId="1737707290">
    <w:abstractNumId w:val="59"/>
  </w:num>
  <w:num w:numId="35" w16cid:durableId="410852629">
    <w:abstractNumId w:val="60"/>
  </w:num>
  <w:num w:numId="36" w16cid:durableId="781264304">
    <w:abstractNumId w:val="8"/>
  </w:num>
  <w:num w:numId="37" w16cid:durableId="1045176547">
    <w:abstractNumId w:val="3"/>
  </w:num>
  <w:num w:numId="38" w16cid:durableId="2141265399">
    <w:abstractNumId w:val="5"/>
  </w:num>
  <w:num w:numId="39" w16cid:durableId="1886985443">
    <w:abstractNumId w:val="49"/>
  </w:num>
  <w:num w:numId="40" w16cid:durableId="1629815783">
    <w:abstractNumId w:val="68"/>
  </w:num>
  <w:num w:numId="41" w16cid:durableId="1553924230">
    <w:abstractNumId w:val="16"/>
  </w:num>
  <w:num w:numId="42" w16cid:durableId="519585900">
    <w:abstractNumId w:val="25"/>
  </w:num>
  <w:num w:numId="43" w16cid:durableId="1895971356">
    <w:abstractNumId w:val="58"/>
  </w:num>
  <w:num w:numId="44" w16cid:durableId="1993213866">
    <w:abstractNumId w:val="15"/>
  </w:num>
  <w:num w:numId="45" w16cid:durableId="485439533">
    <w:abstractNumId w:val="14"/>
  </w:num>
  <w:num w:numId="46" w16cid:durableId="107436009">
    <w:abstractNumId w:val="22"/>
  </w:num>
  <w:num w:numId="47" w16cid:durableId="376121932">
    <w:abstractNumId w:val="75"/>
  </w:num>
  <w:num w:numId="48" w16cid:durableId="113601533">
    <w:abstractNumId w:val="50"/>
  </w:num>
  <w:num w:numId="49" w16cid:durableId="402265663">
    <w:abstractNumId w:val="53"/>
  </w:num>
  <w:num w:numId="50" w16cid:durableId="1195654262">
    <w:abstractNumId w:val="78"/>
  </w:num>
  <w:num w:numId="51" w16cid:durableId="1982925021">
    <w:abstractNumId w:val="81"/>
  </w:num>
  <w:num w:numId="52" w16cid:durableId="1695425445">
    <w:abstractNumId w:val="46"/>
  </w:num>
  <w:num w:numId="53" w16cid:durableId="801115102">
    <w:abstractNumId w:val="36"/>
  </w:num>
  <w:num w:numId="54" w16cid:durableId="312098572">
    <w:abstractNumId w:val="47"/>
  </w:num>
  <w:num w:numId="55" w16cid:durableId="1280800637">
    <w:abstractNumId w:val="43"/>
  </w:num>
  <w:num w:numId="56" w16cid:durableId="543368955">
    <w:abstractNumId w:val="42"/>
  </w:num>
  <w:num w:numId="57" w16cid:durableId="6444146">
    <w:abstractNumId w:val="40"/>
  </w:num>
  <w:num w:numId="58" w16cid:durableId="170028867">
    <w:abstractNumId w:val="57"/>
  </w:num>
  <w:num w:numId="59" w16cid:durableId="1190342194">
    <w:abstractNumId w:val="27"/>
  </w:num>
  <w:num w:numId="60" w16cid:durableId="716590686">
    <w:abstractNumId w:val="52"/>
  </w:num>
  <w:num w:numId="61" w16cid:durableId="1639264897">
    <w:abstractNumId w:val="21"/>
  </w:num>
  <w:num w:numId="62" w16cid:durableId="141776540">
    <w:abstractNumId w:val="12"/>
  </w:num>
  <w:num w:numId="63" w16cid:durableId="255209371">
    <w:abstractNumId w:val="19"/>
  </w:num>
  <w:num w:numId="64" w16cid:durableId="1483693344">
    <w:abstractNumId w:val="61"/>
  </w:num>
  <w:num w:numId="65" w16cid:durableId="1180319241">
    <w:abstractNumId w:val="48"/>
  </w:num>
  <w:num w:numId="66" w16cid:durableId="1803645272">
    <w:abstractNumId w:val="65"/>
  </w:num>
  <w:num w:numId="67" w16cid:durableId="1423069833">
    <w:abstractNumId w:val="54"/>
  </w:num>
  <w:num w:numId="68" w16cid:durableId="1725832334">
    <w:abstractNumId w:val="56"/>
  </w:num>
  <w:num w:numId="69" w16cid:durableId="447119028">
    <w:abstractNumId w:val="7"/>
  </w:num>
  <w:num w:numId="70" w16cid:durableId="1286765887">
    <w:abstractNumId w:val="24"/>
  </w:num>
  <w:num w:numId="71" w16cid:durableId="566451277">
    <w:abstractNumId w:val="11"/>
  </w:num>
  <w:num w:numId="72" w16cid:durableId="1308776822">
    <w:abstractNumId w:val="44"/>
  </w:num>
  <w:num w:numId="73" w16cid:durableId="219443569">
    <w:abstractNumId w:val="80"/>
  </w:num>
  <w:num w:numId="74" w16cid:durableId="2128770434">
    <w:abstractNumId w:val="33"/>
  </w:num>
  <w:num w:numId="75" w16cid:durableId="1938707306">
    <w:abstractNumId w:val="66"/>
  </w:num>
  <w:num w:numId="76" w16cid:durableId="2146270121">
    <w:abstractNumId w:val="69"/>
  </w:num>
  <w:num w:numId="77" w16cid:durableId="602298757">
    <w:abstractNumId w:val="70"/>
  </w:num>
  <w:num w:numId="78" w16cid:durableId="729618882">
    <w:abstractNumId w:val="30"/>
  </w:num>
  <w:num w:numId="79" w16cid:durableId="1429277318">
    <w:abstractNumId w:val="38"/>
  </w:num>
  <w:num w:numId="80" w16cid:durableId="1210386105">
    <w:abstractNumId w:val="72"/>
  </w:num>
  <w:num w:numId="81" w16cid:durableId="927888967">
    <w:abstractNumId w:val="63"/>
  </w:num>
  <w:num w:numId="82" w16cid:durableId="749473000">
    <w:abstractNumId w:val="37"/>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bordersDoNotSurroundHeader/>
  <w:bordersDoNotSurroundFooter/>
  <w:hideSpellingErrors/>
  <w:hideGrammaticalErrors/>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0E8B"/>
    <w:rsid w:val="0000161A"/>
    <w:rsid w:val="000025BA"/>
    <w:rsid w:val="00006890"/>
    <w:rsid w:val="00010223"/>
    <w:rsid w:val="00011824"/>
    <w:rsid w:val="0002584C"/>
    <w:rsid w:val="0002589E"/>
    <w:rsid w:val="00026857"/>
    <w:rsid w:val="00026E3F"/>
    <w:rsid w:val="00027D55"/>
    <w:rsid w:val="00033425"/>
    <w:rsid w:val="000334EC"/>
    <w:rsid w:val="00033FF7"/>
    <w:rsid w:val="00037D3F"/>
    <w:rsid w:val="0004011B"/>
    <w:rsid w:val="000405CC"/>
    <w:rsid w:val="0004267E"/>
    <w:rsid w:val="00046E46"/>
    <w:rsid w:val="000530AA"/>
    <w:rsid w:val="00054CA0"/>
    <w:rsid w:val="00056605"/>
    <w:rsid w:val="000569A0"/>
    <w:rsid w:val="0006621D"/>
    <w:rsid w:val="000664E0"/>
    <w:rsid w:val="00067D49"/>
    <w:rsid w:val="00067D97"/>
    <w:rsid w:val="00075FCB"/>
    <w:rsid w:val="0007677A"/>
    <w:rsid w:val="00085FE1"/>
    <w:rsid w:val="0008636A"/>
    <w:rsid w:val="00091DAE"/>
    <w:rsid w:val="00092555"/>
    <w:rsid w:val="000A73D0"/>
    <w:rsid w:val="000B459E"/>
    <w:rsid w:val="000C0BB8"/>
    <w:rsid w:val="000C2A87"/>
    <w:rsid w:val="000C32F0"/>
    <w:rsid w:val="000C3637"/>
    <w:rsid w:val="000C631C"/>
    <w:rsid w:val="000C683A"/>
    <w:rsid w:val="000C6F40"/>
    <w:rsid w:val="000D0AD6"/>
    <w:rsid w:val="000D3F0F"/>
    <w:rsid w:val="000D7F4B"/>
    <w:rsid w:val="000E66E9"/>
    <w:rsid w:val="000F5DB5"/>
    <w:rsid w:val="000F68B5"/>
    <w:rsid w:val="00102D33"/>
    <w:rsid w:val="0010457A"/>
    <w:rsid w:val="00112861"/>
    <w:rsid w:val="00113FF2"/>
    <w:rsid w:val="0011406B"/>
    <w:rsid w:val="00114E2E"/>
    <w:rsid w:val="00120A76"/>
    <w:rsid w:val="00124261"/>
    <w:rsid w:val="00125503"/>
    <w:rsid w:val="00126FD7"/>
    <w:rsid w:val="00130E8B"/>
    <w:rsid w:val="001317CE"/>
    <w:rsid w:val="001338EA"/>
    <w:rsid w:val="00137F41"/>
    <w:rsid w:val="00144AFB"/>
    <w:rsid w:val="00145F36"/>
    <w:rsid w:val="00147764"/>
    <w:rsid w:val="00151C9A"/>
    <w:rsid w:val="00154B26"/>
    <w:rsid w:val="001606D3"/>
    <w:rsid w:val="00161A1A"/>
    <w:rsid w:val="00164353"/>
    <w:rsid w:val="00164FCC"/>
    <w:rsid w:val="001665FC"/>
    <w:rsid w:val="00167BF3"/>
    <w:rsid w:val="001733DA"/>
    <w:rsid w:val="00174EAA"/>
    <w:rsid w:val="0017594D"/>
    <w:rsid w:val="00181C0C"/>
    <w:rsid w:val="001918FA"/>
    <w:rsid w:val="00196C20"/>
    <w:rsid w:val="00197830"/>
    <w:rsid w:val="001A0379"/>
    <w:rsid w:val="001B0ECF"/>
    <w:rsid w:val="001B6310"/>
    <w:rsid w:val="001C2E77"/>
    <w:rsid w:val="001C5777"/>
    <w:rsid w:val="001D360B"/>
    <w:rsid w:val="001D5ED1"/>
    <w:rsid w:val="001D6B41"/>
    <w:rsid w:val="001E1205"/>
    <w:rsid w:val="001E2F31"/>
    <w:rsid w:val="001E426F"/>
    <w:rsid w:val="001E454E"/>
    <w:rsid w:val="001E4DAB"/>
    <w:rsid w:val="001E7A01"/>
    <w:rsid w:val="001F7351"/>
    <w:rsid w:val="001F7685"/>
    <w:rsid w:val="001F7688"/>
    <w:rsid w:val="00200E72"/>
    <w:rsid w:val="00201A71"/>
    <w:rsid w:val="00203387"/>
    <w:rsid w:val="00211C4E"/>
    <w:rsid w:val="002125A9"/>
    <w:rsid w:val="002204DD"/>
    <w:rsid w:val="00220E63"/>
    <w:rsid w:val="00222050"/>
    <w:rsid w:val="00222825"/>
    <w:rsid w:val="00224C11"/>
    <w:rsid w:val="00225997"/>
    <w:rsid w:val="00225A61"/>
    <w:rsid w:val="00227186"/>
    <w:rsid w:val="002276E4"/>
    <w:rsid w:val="0023597A"/>
    <w:rsid w:val="00236576"/>
    <w:rsid w:val="00243F2F"/>
    <w:rsid w:val="00244F77"/>
    <w:rsid w:val="00245908"/>
    <w:rsid w:val="002473D0"/>
    <w:rsid w:val="00250CD2"/>
    <w:rsid w:val="00254ED2"/>
    <w:rsid w:val="00265077"/>
    <w:rsid w:val="0026530C"/>
    <w:rsid w:val="00271F07"/>
    <w:rsid w:val="002749EB"/>
    <w:rsid w:val="00274DC9"/>
    <w:rsid w:val="00275B23"/>
    <w:rsid w:val="00283566"/>
    <w:rsid w:val="00286182"/>
    <w:rsid w:val="002905AF"/>
    <w:rsid w:val="00291FC8"/>
    <w:rsid w:val="00292787"/>
    <w:rsid w:val="00293DCA"/>
    <w:rsid w:val="00294CD7"/>
    <w:rsid w:val="002952E5"/>
    <w:rsid w:val="002952F7"/>
    <w:rsid w:val="00295548"/>
    <w:rsid w:val="00297A68"/>
    <w:rsid w:val="00297FE9"/>
    <w:rsid w:val="002A0218"/>
    <w:rsid w:val="002A1C35"/>
    <w:rsid w:val="002A50C0"/>
    <w:rsid w:val="002A554E"/>
    <w:rsid w:val="002B2F88"/>
    <w:rsid w:val="002B448A"/>
    <w:rsid w:val="002B55BF"/>
    <w:rsid w:val="002B619F"/>
    <w:rsid w:val="002C0F68"/>
    <w:rsid w:val="002C33E9"/>
    <w:rsid w:val="002C77C5"/>
    <w:rsid w:val="002C783D"/>
    <w:rsid w:val="002C78FA"/>
    <w:rsid w:val="002D47A5"/>
    <w:rsid w:val="002D4997"/>
    <w:rsid w:val="002E1415"/>
    <w:rsid w:val="002E2F4C"/>
    <w:rsid w:val="002E4994"/>
    <w:rsid w:val="002F1C26"/>
    <w:rsid w:val="00300DE8"/>
    <w:rsid w:val="00304162"/>
    <w:rsid w:val="003110EE"/>
    <w:rsid w:val="00311BB2"/>
    <w:rsid w:val="003126B8"/>
    <w:rsid w:val="003126D1"/>
    <w:rsid w:val="0032768D"/>
    <w:rsid w:val="00327ACF"/>
    <w:rsid w:val="00330951"/>
    <w:rsid w:val="00333122"/>
    <w:rsid w:val="003335D2"/>
    <w:rsid w:val="00341034"/>
    <w:rsid w:val="003416A4"/>
    <w:rsid w:val="003439FC"/>
    <w:rsid w:val="00352DFB"/>
    <w:rsid w:val="00357CEF"/>
    <w:rsid w:val="0036087F"/>
    <w:rsid w:val="003619B6"/>
    <w:rsid w:val="00361DBB"/>
    <w:rsid w:val="00362AD9"/>
    <w:rsid w:val="00367FDB"/>
    <w:rsid w:val="0037407E"/>
    <w:rsid w:val="0037496C"/>
    <w:rsid w:val="0037671F"/>
    <w:rsid w:val="00383065"/>
    <w:rsid w:val="00385F6D"/>
    <w:rsid w:val="0038605C"/>
    <w:rsid w:val="003861B7"/>
    <w:rsid w:val="00391127"/>
    <w:rsid w:val="003960AD"/>
    <w:rsid w:val="0039736F"/>
    <w:rsid w:val="003A0E7E"/>
    <w:rsid w:val="003A2D67"/>
    <w:rsid w:val="003A542B"/>
    <w:rsid w:val="003A67FF"/>
    <w:rsid w:val="003A6FAD"/>
    <w:rsid w:val="003B2A1D"/>
    <w:rsid w:val="003B2CB5"/>
    <w:rsid w:val="003B324E"/>
    <w:rsid w:val="003B4CE8"/>
    <w:rsid w:val="003C0D23"/>
    <w:rsid w:val="003C6726"/>
    <w:rsid w:val="003D000F"/>
    <w:rsid w:val="003D5CD5"/>
    <w:rsid w:val="003D6213"/>
    <w:rsid w:val="003D6B04"/>
    <w:rsid w:val="003E1EA9"/>
    <w:rsid w:val="003E2CCF"/>
    <w:rsid w:val="003E3BE5"/>
    <w:rsid w:val="003E633A"/>
    <w:rsid w:val="003E7DBC"/>
    <w:rsid w:val="003F0C08"/>
    <w:rsid w:val="003F2FBE"/>
    <w:rsid w:val="003F5D6E"/>
    <w:rsid w:val="003F7B9D"/>
    <w:rsid w:val="003F7C7C"/>
    <w:rsid w:val="00400F5A"/>
    <w:rsid w:val="00402685"/>
    <w:rsid w:val="0040557B"/>
    <w:rsid w:val="00407816"/>
    <w:rsid w:val="00412B5F"/>
    <w:rsid w:val="00414C73"/>
    <w:rsid w:val="00416869"/>
    <w:rsid w:val="0041731B"/>
    <w:rsid w:val="00417A10"/>
    <w:rsid w:val="0042182D"/>
    <w:rsid w:val="00424DF6"/>
    <w:rsid w:val="004317B7"/>
    <w:rsid w:val="00434C26"/>
    <w:rsid w:val="00435392"/>
    <w:rsid w:val="00435A19"/>
    <w:rsid w:val="004365FC"/>
    <w:rsid w:val="0044419B"/>
    <w:rsid w:val="004449E4"/>
    <w:rsid w:val="00446061"/>
    <w:rsid w:val="00446298"/>
    <w:rsid w:val="0045263F"/>
    <w:rsid w:val="00452EC2"/>
    <w:rsid w:val="004537E9"/>
    <w:rsid w:val="004557CB"/>
    <w:rsid w:val="00461C9C"/>
    <w:rsid w:val="0046327F"/>
    <w:rsid w:val="004666B7"/>
    <w:rsid w:val="00467525"/>
    <w:rsid w:val="004739AB"/>
    <w:rsid w:val="0047402C"/>
    <w:rsid w:val="004820A9"/>
    <w:rsid w:val="00483C41"/>
    <w:rsid w:val="00485047"/>
    <w:rsid w:val="0049088A"/>
    <w:rsid w:val="0049166B"/>
    <w:rsid w:val="00491823"/>
    <w:rsid w:val="004A2083"/>
    <w:rsid w:val="004A2785"/>
    <w:rsid w:val="004A2834"/>
    <w:rsid w:val="004A2986"/>
    <w:rsid w:val="004A530C"/>
    <w:rsid w:val="004B23C8"/>
    <w:rsid w:val="004B2619"/>
    <w:rsid w:val="004B6343"/>
    <w:rsid w:val="004C1E08"/>
    <w:rsid w:val="004C5B28"/>
    <w:rsid w:val="004C5D9A"/>
    <w:rsid w:val="004D2CAF"/>
    <w:rsid w:val="004D7188"/>
    <w:rsid w:val="004E14CD"/>
    <w:rsid w:val="004E2385"/>
    <w:rsid w:val="004E2591"/>
    <w:rsid w:val="004E401F"/>
    <w:rsid w:val="004E470A"/>
    <w:rsid w:val="004E6522"/>
    <w:rsid w:val="004E6E1D"/>
    <w:rsid w:val="004F181C"/>
    <w:rsid w:val="004F731A"/>
    <w:rsid w:val="004F7C29"/>
    <w:rsid w:val="00502510"/>
    <w:rsid w:val="00502735"/>
    <w:rsid w:val="00503367"/>
    <w:rsid w:val="005041ED"/>
    <w:rsid w:val="0050426A"/>
    <w:rsid w:val="0050547A"/>
    <w:rsid w:val="005066F2"/>
    <w:rsid w:val="005140B3"/>
    <w:rsid w:val="00514DD5"/>
    <w:rsid w:val="00516230"/>
    <w:rsid w:val="00517151"/>
    <w:rsid w:val="00517EE6"/>
    <w:rsid w:val="00520761"/>
    <w:rsid w:val="00520ED3"/>
    <w:rsid w:val="00522548"/>
    <w:rsid w:val="00522F52"/>
    <w:rsid w:val="00523A88"/>
    <w:rsid w:val="00525F72"/>
    <w:rsid w:val="00526958"/>
    <w:rsid w:val="0053150A"/>
    <w:rsid w:val="00531D57"/>
    <w:rsid w:val="0054165B"/>
    <w:rsid w:val="00543C3D"/>
    <w:rsid w:val="0054408A"/>
    <w:rsid w:val="00545FC6"/>
    <w:rsid w:val="00560202"/>
    <w:rsid w:val="005656A4"/>
    <w:rsid w:val="00566519"/>
    <w:rsid w:val="005768C3"/>
    <w:rsid w:val="00577B48"/>
    <w:rsid w:val="00582270"/>
    <w:rsid w:val="005838EC"/>
    <w:rsid w:val="00585AB1"/>
    <w:rsid w:val="00586914"/>
    <w:rsid w:val="0058703B"/>
    <w:rsid w:val="005910EC"/>
    <w:rsid w:val="005930B5"/>
    <w:rsid w:val="0059375C"/>
    <w:rsid w:val="00596AB9"/>
    <w:rsid w:val="005A05DE"/>
    <w:rsid w:val="005A088B"/>
    <w:rsid w:val="005A1053"/>
    <w:rsid w:val="005A4A72"/>
    <w:rsid w:val="005B26B6"/>
    <w:rsid w:val="005C0FDB"/>
    <w:rsid w:val="005C3551"/>
    <w:rsid w:val="005C539D"/>
    <w:rsid w:val="005D045D"/>
    <w:rsid w:val="005D170D"/>
    <w:rsid w:val="005D4167"/>
    <w:rsid w:val="005D6D62"/>
    <w:rsid w:val="005D79EA"/>
    <w:rsid w:val="005E1976"/>
    <w:rsid w:val="005F473D"/>
    <w:rsid w:val="005F5974"/>
    <w:rsid w:val="005F70F2"/>
    <w:rsid w:val="0060020D"/>
    <w:rsid w:val="00600C35"/>
    <w:rsid w:val="00602567"/>
    <w:rsid w:val="00604DFB"/>
    <w:rsid w:val="00607BBF"/>
    <w:rsid w:val="00611FDF"/>
    <w:rsid w:val="006123D2"/>
    <w:rsid w:val="006134AF"/>
    <w:rsid w:val="006136D3"/>
    <w:rsid w:val="00620B6D"/>
    <w:rsid w:val="00621419"/>
    <w:rsid w:val="0062275D"/>
    <w:rsid w:val="006302C2"/>
    <w:rsid w:val="00632EF2"/>
    <w:rsid w:val="006336F3"/>
    <w:rsid w:val="00633C13"/>
    <w:rsid w:val="00633EF3"/>
    <w:rsid w:val="00634B35"/>
    <w:rsid w:val="0063545E"/>
    <w:rsid w:val="00640043"/>
    <w:rsid w:val="00641B5C"/>
    <w:rsid w:val="00643D04"/>
    <w:rsid w:val="00644E8D"/>
    <w:rsid w:val="00651A37"/>
    <w:rsid w:val="00664F58"/>
    <w:rsid w:val="006739B7"/>
    <w:rsid w:val="00673FDD"/>
    <w:rsid w:val="00674FE0"/>
    <w:rsid w:val="00675A6E"/>
    <w:rsid w:val="0068175B"/>
    <w:rsid w:val="00681793"/>
    <w:rsid w:val="006830F9"/>
    <w:rsid w:val="006878DA"/>
    <w:rsid w:val="0069305F"/>
    <w:rsid w:val="00694C89"/>
    <w:rsid w:val="006966AC"/>
    <w:rsid w:val="006A0123"/>
    <w:rsid w:val="006A2F72"/>
    <w:rsid w:val="006A3935"/>
    <w:rsid w:val="006A434A"/>
    <w:rsid w:val="006B359A"/>
    <w:rsid w:val="006B3BB2"/>
    <w:rsid w:val="006B7DDB"/>
    <w:rsid w:val="006C0F01"/>
    <w:rsid w:val="006C20CC"/>
    <w:rsid w:val="006C23AE"/>
    <w:rsid w:val="006C3BEF"/>
    <w:rsid w:val="006D3A5D"/>
    <w:rsid w:val="006D603D"/>
    <w:rsid w:val="006E5E1C"/>
    <w:rsid w:val="006F2A99"/>
    <w:rsid w:val="006F5E89"/>
    <w:rsid w:val="006F7144"/>
    <w:rsid w:val="006F7529"/>
    <w:rsid w:val="00701D1B"/>
    <w:rsid w:val="007111F6"/>
    <w:rsid w:val="007173A4"/>
    <w:rsid w:val="00724BA6"/>
    <w:rsid w:val="0072550D"/>
    <w:rsid w:val="00731EFA"/>
    <w:rsid w:val="007331BA"/>
    <w:rsid w:val="007338B3"/>
    <w:rsid w:val="00740F0F"/>
    <w:rsid w:val="00741526"/>
    <w:rsid w:val="007422FE"/>
    <w:rsid w:val="00745533"/>
    <w:rsid w:val="0075518E"/>
    <w:rsid w:val="007561B4"/>
    <w:rsid w:val="00757EA8"/>
    <w:rsid w:val="00761B72"/>
    <w:rsid w:val="00761E44"/>
    <w:rsid w:val="00766566"/>
    <w:rsid w:val="00772DF5"/>
    <w:rsid w:val="007730BA"/>
    <w:rsid w:val="00773429"/>
    <w:rsid w:val="00777CDD"/>
    <w:rsid w:val="00780EA4"/>
    <w:rsid w:val="007814B0"/>
    <w:rsid w:val="007817C8"/>
    <w:rsid w:val="00783394"/>
    <w:rsid w:val="00796096"/>
    <w:rsid w:val="00796B65"/>
    <w:rsid w:val="0079791D"/>
    <w:rsid w:val="007A0AEF"/>
    <w:rsid w:val="007A34A2"/>
    <w:rsid w:val="007A3B9E"/>
    <w:rsid w:val="007A3DE2"/>
    <w:rsid w:val="007B0425"/>
    <w:rsid w:val="007C168B"/>
    <w:rsid w:val="007C22AA"/>
    <w:rsid w:val="007C230C"/>
    <w:rsid w:val="007C68A6"/>
    <w:rsid w:val="007D21DE"/>
    <w:rsid w:val="007D275C"/>
    <w:rsid w:val="007D68C5"/>
    <w:rsid w:val="007E2165"/>
    <w:rsid w:val="007E6398"/>
    <w:rsid w:val="007E71A2"/>
    <w:rsid w:val="007E7849"/>
    <w:rsid w:val="007F2986"/>
    <w:rsid w:val="007F2DF9"/>
    <w:rsid w:val="007F3966"/>
    <w:rsid w:val="007F6442"/>
    <w:rsid w:val="007F6E25"/>
    <w:rsid w:val="008070A6"/>
    <w:rsid w:val="00812706"/>
    <w:rsid w:val="008129BF"/>
    <w:rsid w:val="00814132"/>
    <w:rsid w:val="00816B89"/>
    <w:rsid w:val="00820E03"/>
    <w:rsid w:val="00822DD9"/>
    <w:rsid w:val="008403BE"/>
    <w:rsid w:val="00844308"/>
    <w:rsid w:val="00855231"/>
    <w:rsid w:val="008567E4"/>
    <w:rsid w:val="00856D04"/>
    <w:rsid w:val="0085719A"/>
    <w:rsid w:val="00860A8C"/>
    <w:rsid w:val="008668A9"/>
    <w:rsid w:val="00885D77"/>
    <w:rsid w:val="00887453"/>
    <w:rsid w:val="008A2E92"/>
    <w:rsid w:val="008A4B4E"/>
    <w:rsid w:val="008A5B79"/>
    <w:rsid w:val="008B341D"/>
    <w:rsid w:val="008B34E5"/>
    <w:rsid w:val="008B6971"/>
    <w:rsid w:val="008C583C"/>
    <w:rsid w:val="008D6BE0"/>
    <w:rsid w:val="008D7BD6"/>
    <w:rsid w:val="008E72E4"/>
    <w:rsid w:val="008F0203"/>
    <w:rsid w:val="008F27A6"/>
    <w:rsid w:val="008F62FD"/>
    <w:rsid w:val="009012D5"/>
    <w:rsid w:val="00901BD6"/>
    <w:rsid w:val="00903402"/>
    <w:rsid w:val="00906B93"/>
    <w:rsid w:val="00912607"/>
    <w:rsid w:val="009167C6"/>
    <w:rsid w:val="00916F00"/>
    <w:rsid w:val="00923B97"/>
    <w:rsid w:val="00925B8A"/>
    <w:rsid w:val="00926C92"/>
    <w:rsid w:val="00936BC3"/>
    <w:rsid w:val="00944244"/>
    <w:rsid w:val="00945473"/>
    <w:rsid w:val="009454CE"/>
    <w:rsid w:val="00947A70"/>
    <w:rsid w:val="0095248B"/>
    <w:rsid w:val="00956594"/>
    <w:rsid w:val="009569F2"/>
    <w:rsid w:val="00961E14"/>
    <w:rsid w:val="009621FE"/>
    <w:rsid w:val="00965375"/>
    <w:rsid w:val="00966EB2"/>
    <w:rsid w:val="00966EC6"/>
    <w:rsid w:val="0097083B"/>
    <w:rsid w:val="009712B7"/>
    <w:rsid w:val="00972964"/>
    <w:rsid w:val="0097438A"/>
    <w:rsid w:val="009761A1"/>
    <w:rsid w:val="009816A0"/>
    <w:rsid w:val="00985D45"/>
    <w:rsid w:val="00990AC4"/>
    <w:rsid w:val="00992BD3"/>
    <w:rsid w:val="00996415"/>
    <w:rsid w:val="009A3476"/>
    <w:rsid w:val="009A645E"/>
    <w:rsid w:val="009A68E2"/>
    <w:rsid w:val="009A71F4"/>
    <w:rsid w:val="009B1E6F"/>
    <w:rsid w:val="009B2521"/>
    <w:rsid w:val="009B4D86"/>
    <w:rsid w:val="009B73E8"/>
    <w:rsid w:val="009C0F1B"/>
    <w:rsid w:val="009C2EB2"/>
    <w:rsid w:val="009C7DB8"/>
    <w:rsid w:val="009D00B4"/>
    <w:rsid w:val="009D4BB5"/>
    <w:rsid w:val="009D7CAD"/>
    <w:rsid w:val="009E2C68"/>
    <w:rsid w:val="009E34A8"/>
    <w:rsid w:val="009E34FF"/>
    <w:rsid w:val="009E4FD6"/>
    <w:rsid w:val="009E581D"/>
    <w:rsid w:val="009E61A9"/>
    <w:rsid w:val="009E7C73"/>
    <w:rsid w:val="009F451D"/>
    <w:rsid w:val="00A02F4B"/>
    <w:rsid w:val="00A13D6B"/>
    <w:rsid w:val="00A150A2"/>
    <w:rsid w:val="00A172D5"/>
    <w:rsid w:val="00A17573"/>
    <w:rsid w:val="00A21F48"/>
    <w:rsid w:val="00A25050"/>
    <w:rsid w:val="00A3122E"/>
    <w:rsid w:val="00A32721"/>
    <w:rsid w:val="00A43919"/>
    <w:rsid w:val="00A45720"/>
    <w:rsid w:val="00A463E8"/>
    <w:rsid w:val="00A50568"/>
    <w:rsid w:val="00A50B96"/>
    <w:rsid w:val="00A53AF7"/>
    <w:rsid w:val="00A57AE7"/>
    <w:rsid w:val="00A63492"/>
    <w:rsid w:val="00A66FEF"/>
    <w:rsid w:val="00A6752B"/>
    <w:rsid w:val="00A7587A"/>
    <w:rsid w:val="00A7626C"/>
    <w:rsid w:val="00A80EA8"/>
    <w:rsid w:val="00A8128F"/>
    <w:rsid w:val="00A84F39"/>
    <w:rsid w:val="00A8571E"/>
    <w:rsid w:val="00A90AA1"/>
    <w:rsid w:val="00A9482F"/>
    <w:rsid w:val="00A962A3"/>
    <w:rsid w:val="00AA4A8A"/>
    <w:rsid w:val="00AA69B1"/>
    <w:rsid w:val="00AB0C70"/>
    <w:rsid w:val="00AB1B26"/>
    <w:rsid w:val="00AB29E3"/>
    <w:rsid w:val="00AB789F"/>
    <w:rsid w:val="00AC3EF2"/>
    <w:rsid w:val="00AC50BB"/>
    <w:rsid w:val="00AC52FB"/>
    <w:rsid w:val="00AC6355"/>
    <w:rsid w:val="00AD654E"/>
    <w:rsid w:val="00AE0D26"/>
    <w:rsid w:val="00AE25FC"/>
    <w:rsid w:val="00AF1AD1"/>
    <w:rsid w:val="00B026D5"/>
    <w:rsid w:val="00B02C21"/>
    <w:rsid w:val="00B02ED1"/>
    <w:rsid w:val="00B0731E"/>
    <w:rsid w:val="00B07467"/>
    <w:rsid w:val="00B11505"/>
    <w:rsid w:val="00B12BDF"/>
    <w:rsid w:val="00B2123A"/>
    <w:rsid w:val="00B272D7"/>
    <w:rsid w:val="00B27381"/>
    <w:rsid w:val="00B30232"/>
    <w:rsid w:val="00B34379"/>
    <w:rsid w:val="00B36C35"/>
    <w:rsid w:val="00B36F4C"/>
    <w:rsid w:val="00B37A8A"/>
    <w:rsid w:val="00B452A3"/>
    <w:rsid w:val="00B4601D"/>
    <w:rsid w:val="00B54595"/>
    <w:rsid w:val="00B6105A"/>
    <w:rsid w:val="00B624E0"/>
    <w:rsid w:val="00B6679D"/>
    <w:rsid w:val="00B727AB"/>
    <w:rsid w:val="00B7322E"/>
    <w:rsid w:val="00B80D51"/>
    <w:rsid w:val="00B84AAE"/>
    <w:rsid w:val="00B90FEB"/>
    <w:rsid w:val="00BA0FB5"/>
    <w:rsid w:val="00BA71BE"/>
    <w:rsid w:val="00BB204D"/>
    <w:rsid w:val="00BB4C3C"/>
    <w:rsid w:val="00BB53E6"/>
    <w:rsid w:val="00BC1AEC"/>
    <w:rsid w:val="00BC7520"/>
    <w:rsid w:val="00BD51FB"/>
    <w:rsid w:val="00BE0A8F"/>
    <w:rsid w:val="00BE1A0B"/>
    <w:rsid w:val="00BE2389"/>
    <w:rsid w:val="00BE38B9"/>
    <w:rsid w:val="00BE38C5"/>
    <w:rsid w:val="00BE4047"/>
    <w:rsid w:val="00BE43AD"/>
    <w:rsid w:val="00BE4D18"/>
    <w:rsid w:val="00C032F9"/>
    <w:rsid w:val="00C03EA7"/>
    <w:rsid w:val="00C0502B"/>
    <w:rsid w:val="00C058B8"/>
    <w:rsid w:val="00C06CEE"/>
    <w:rsid w:val="00C14860"/>
    <w:rsid w:val="00C15649"/>
    <w:rsid w:val="00C17405"/>
    <w:rsid w:val="00C321A3"/>
    <w:rsid w:val="00C34609"/>
    <w:rsid w:val="00C4148F"/>
    <w:rsid w:val="00C41D3C"/>
    <w:rsid w:val="00C475E9"/>
    <w:rsid w:val="00C54BE6"/>
    <w:rsid w:val="00C56B0D"/>
    <w:rsid w:val="00C64CC5"/>
    <w:rsid w:val="00C66AE9"/>
    <w:rsid w:val="00C67924"/>
    <w:rsid w:val="00C726F2"/>
    <w:rsid w:val="00C73957"/>
    <w:rsid w:val="00C770CB"/>
    <w:rsid w:val="00C77F0E"/>
    <w:rsid w:val="00C90012"/>
    <w:rsid w:val="00C91230"/>
    <w:rsid w:val="00C91C54"/>
    <w:rsid w:val="00C96AEE"/>
    <w:rsid w:val="00CA2C60"/>
    <w:rsid w:val="00CA4D6A"/>
    <w:rsid w:val="00CB15B6"/>
    <w:rsid w:val="00CB3242"/>
    <w:rsid w:val="00CB7755"/>
    <w:rsid w:val="00CC2B1C"/>
    <w:rsid w:val="00CC2E43"/>
    <w:rsid w:val="00CC3B91"/>
    <w:rsid w:val="00CC57CD"/>
    <w:rsid w:val="00CC7AF8"/>
    <w:rsid w:val="00CD208F"/>
    <w:rsid w:val="00CD4099"/>
    <w:rsid w:val="00CE1502"/>
    <w:rsid w:val="00CE2937"/>
    <w:rsid w:val="00CE41E5"/>
    <w:rsid w:val="00CE42DC"/>
    <w:rsid w:val="00CE6359"/>
    <w:rsid w:val="00CF0360"/>
    <w:rsid w:val="00CF0645"/>
    <w:rsid w:val="00CF26F4"/>
    <w:rsid w:val="00CF5631"/>
    <w:rsid w:val="00CF56E2"/>
    <w:rsid w:val="00CF5D7A"/>
    <w:rsid w:val="00CF6380"/>
    <w:rsid w:val="00CF6A45"/>
    <w:rsid w:val="00CF7767"/>
    <w:rsid w:val="00D017A2"/>
    <w:rsid w:val="00D10EAE"/>
    <w:rsid w:val="00D1325D"/>
    <w:rsid w:val="00D1389D"/>
    <w:rsid w:val="00D26322"/>
    <w:rsid w:val="00D31E8D"/>
    <w:rsid w:val="00D33AB9"/>
    <w:rsid w:val="00D34815"/>
    <w:rsid w:val="00D36156"/>
    <w:rsid w:val="00D436A0"/>
    <w:rsid w:val="00D436BA"/>
    <w:rsid w:val="00D44934"/>
    <w:rsid w:val="00D50B9C"/>
    <w:rsid w:val="00D50D5D"/>
    <w:rsid w:val="00D621FA"/>
    <w:rsid w:val="00D623A7"/>
    <w:rsid w:val="00D70906"/>
    <w:rsid w:val="00D71745"/>
    <w:rsid w:val="00D72DD6"/>
    <w:rsid w:val="00D73B38"/>
    <w:rsid w:val="00D746F1"/>
    <w:rsid w:val="00D81770"/>
    <w:rsid w:val="00D85140"/>
    <w:rsid w:val="00D86383"/>
    <w:rsid w:val="00D92752"/>
    <w:rsid w:val="00D94FB3"/>
    <w:rsid w:val="00DA7E1D"/>
    <w:rsid w:val="00DB3CCA"/>
    <w:rsid w:val="00DB7244"/>
    <w:rsid w:val="00DC2F1E"/>
    <w:rsid w:val="00DC37D0"/>
    <w:rsid w:val="00DC3D6F"/>
    <w:rsid w:val="00DC7496"/>
    <w:rsid w:val="00DD2719"/>
    <w:rsid w:val="00DD2856"/>
    <w:rsid w:val="00DE25E5"/>
    <w:rsid w:val="00DE43E3"/>
    <w:rsid w:val="00DE4842"/>
    <w:rsid w:val="00DF4CC5"/>
    <w:rsid w:val="00E004A9"/>
    <w:rsid w:val="00E053AA"/>
    <w:rsid w:val="00E1504B"/>
    <w:rsid w:val="00E30266"/>
    <w:rsid w:val="00E3525F"/>
    <w:rsid w:val="00E361D9"/>
    <w:rsid w:val="00E37857"/>
    <w:rsid w:val="00E41420"/>
    <w:rsid w:val="00E41607"/>
    <w:rsid w:val="00E428FC"/>
    <w:rsid w:val="00E50727"/>
    <w:rsid w:val="00E550A6"/>
    <w:rsid w:val="00E55C18"/>
    <w:rsid w:val="00E55F2D"/>
    <w:rsid w:val="00E659F6"/>
    <w:rsid w:val="00E66FFB"/>
    <w:rsid w:val="00E712D7"/>
    <w:rsid w:val="00E71758"/>
    <w:rsid w:val="00E72311"/>
    <w:rsid w:val="00E80E13"/>
    <w:rsid w:val="00E87D6C"/>
    <w:rsid w:val="00E91FF7"/>
    <w:rsid w:val="00E97FBF"/>
    <w:rsid w:val="00EA01BE"/>
    <w:rsid w:val="00EA2BE0"/>
    <w:rsid w:val="00EA4D25"/>
    <w:rsid w:val="00EA57F5"/>
    <w:rsid w:val="00EB15B8"/>
    <w:rsid w:val="00EB5948"/>
    <w:rsid w:val="00EC1601"/>
    <w:rsid w:val="00EC6F80"/>
    <w:rsid w:val="00ED0DD9"/>
    <w:rsid w:val="00ED2012"/>
    <w:rsid w:val="00ED3303"/>
    <w:rsid w:val="00ED6495"/>
    <w:rsid w:val="00ED6B2E"/>
    <w:rsid w:val="00EE5F33"/>
    <w:rsid w:val="00EE7C0C"/>
    <w:rsid w:val="00EF0946"/>
    <w:rsid w:val="00EF09AD"/>
    <w:rsid w:val="00EF1220"/>
    <w:rsid w:val="00EF1B78"/>
    <w:rsid w:val="00EF27F4"/>
    <w:rsid w:val="00EF2F83"/>
    <w:rsid w:val="00EF41CE"/>
    <w:rsid w:val="00EF4B09"/>
    <w:rsid w:val="00EF549F"/>
    <w:rsid w:val="00EF79AA"/>
    <w:rsid w:val="00F00292"/>
    <w:rsid w:val="00F01CCC"/>
    <w:rsid w:val="00F0334E"/>
    <w:rsid w:val="00F0336D"/>
    <w:rsid w:val="00F13D27"/>
    <w:rsid w:val="00F14291"/>
    <w:rsid w:val="00F156CE"/>
    <w:rsid w:val="00F16701"/>
    <w:rsid w:val="00F24550"/>
    <w:rsid w:val="00F26C8D"/>
    <w:rsid w:val="00F27EF7"/>
    <w:rsid w:val="00F30D98"/>
    <w:rsid w:val="00F450AC"/>
    <w:rsid w:val="00F56D57"/>
    <w:rsid w:val="00F62CD2"/>
    <w:rsid w:val="00F640CF"/>
    <w:rsid w:val="00F64D22"/>
    <w:rsid w:val="00F70E6D"/>
    <w:rsid w:val="00F72EA0"/>
    <w:rsid w:val="00F7678E"/>
    <w:rsid w:val="00F814F0"/>
    <w:rsid w:val="00F82054"/>
    <w:rsid w:val="00F86C66"/>
    <w:rsid w:val="00F970D3"/>
    <w:rsid w:val="00FA1A03"/>
    <w:rsid w:val="00FA734A"/>
    <w:rsid w:val="00FB18C1"/>
    <w:rsid w:val="00FB315F"/>
    <w:rsid w:val="00FB58B9"/>
    <w:rsid w:val="00FB6A69"/>
    <w:rsid w:val="00FC2F46"/>
    <w:rsid w:val="00FC2FC3"/>
    <w:rsid w:val="00FC6BF3"/>
    <w:rsid w:val="00FD05AA"/>
    <w:rsid w:val="00FD1A48"/>
    <w:rsid w:val="00FD4064"/>
    <w:rsid w:val="00FE1415"/>
    <w:rsid w:val="00FE6CD4"/>
    <w:rsid w:val="00FF0B07"/>
    <w:rsid w:val="00FF2AE2"/>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EAA8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style>
  <w:style w:type="paragraph" w:styleId="1">
    <w:name w:val="heading 1"/>
    <w:basedOn w:val="a"/>
    <w:link w:val="1Char"/>
    <w:uiPriority w:val="1"/>
    <w:qFormat/>
    <w:pPr>
      <w:ind w:left="672"/>
      <w:outlineLvl w:val="0"/>
    </w:pPr>
    <w:rPr>
      <w:rFonts w:ascii="Times New Roman" w:eastAsia="Times New Roman" w:hAnsi="Times New Roman"/>
      <w:b/>
      <w:bCs/>
    </w:rPr>
  </w:style>
  <w:style w:type="paragraph" w:styleId="2">
    <w:name w:val="heading 2"/>
    <w:basedOn w:val="a"/>
    <w:next w:val="a"/>
    <w:link w:val="2Char"/>
    <w:uiPriority w:val="9"/>
    <w:unhideWhenUsed/>
    <w:qFormat/>
    <w:pPr>
      <w:keepNext/>
      <w:ind w:left="224" w:right="1248"/>
      <w:outlineLvl w:val="1"/>
    </w:pPr>
    <w:rPr>
      <w:rFonts w:ascii="Times New Roman" w:eastAsia="Times New Roman" w:hAnsi="Times New Roman" w:cs="Times New Roman"/>
      <w:b/>
      <w:bCs/>
      <w:spacing w:val="-1"/>
    </w:rPr>
  </w:style>
  <w:style w:type="paragraph" w:styleId="3">
    <w:name w:val="heading 3"/>
    <w:basedOn w:val="a"/>
    <w:next w:val="a"/>
    <w:link w:val="3Char"/>
    <w:uiPriority w:val="9"/>
    <w:semiHidden/>
    <w:unhideWhenUsed/>
    <w:qFormat/>
    <w:rsid w:val="00B6679D"/>
    <w:pPr>
      <w:keepNext/>
      <w:ind w:leftChars="300" w:left="300" w:hangingChars="200" w:hanging="2000"/>
      <w:outlineLvl w:val="2"/>
    </w:pPr>
    <w:rPr>
      <w:rFonts w:asciiTheme="majorHAnsi" w:eastAsiaTheme="majorEastAsia" w:hAnsiTheme="majorHAnsi" w:cstheme="majorBidi"/>
    </w:rPr>
  </w:style>
  <w:style w:type="paragraph" w:styleId="4">
    <w:name w:val="heading 4"/>
    <w:basedOn w:val="a"/>
    <w:next w:val="a"/>
    <w:link w:val="4Char"/>
    <w:qFormat/>
    <w:rsid w:val="0050547A"/>
    <w:pPr>
      <w:keepNext/>
      <w:widowControl/>
      <w:tabs>
        <w:tab w:val="left" w:pos="567"/>
      </w:tabs>
      <w:spacing w:line="260" w:lineRule="exact"/>
      <w:jc w:val="both"/>
      <w:outlineLvl w:val="3"/>
    </w:pPr>
    <w:rPr>
      <w:rFonts w:ascii="Calibri" w:eastAsia="바탕" w:hAnsi="Calibri" w:cs="Times New Roman"/>
      <w:b/>
      <w:bCs/>
      <w:sz w:val="28"/>
      <w:szCs w:val="2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a3">
    <w:name w:val="Body Text"/>
    <w:basedOn w:val="a"/>
    <w:link w:val="Char"/>
    <w:uiPriority w:val="1"/>
    <w:qFormat/>
    <w:pPr>
      <w:numPr>
        <w:ilvl w:val="12"/>
      </w:numPr>
    </w:pPr>
    <w:rPr>
      <w:rFonts w:ascii="Times New Roman" w:hAnsi="Times New Roman" w:cs="Times New Roman"/>
    </w:rPr>
  </w:style>
  <w:style w:type="paragraph" w:styleId="a4">
    <w:name w:val="List Paragraph"/>
    <w:basedOn w:val="a"/>
    <w:uiPriority w:val="34"/>
    <w:qFormat/>
  </w:style>
  <w:style w:type="paragraph" w:customStyle="1" w:styleId="TableParagraph">
    <w:name w:val="Table Paragraph"/>
    <w:basedOn w:val="a"/>
    <w:uiPriority w:val="1"/>
    <w:qFormat/>
  </w:style>
  <w:style w:type="paragraph" w:styleId="a5">
    <w:name w:val="header"/>
    <w:basedOn w:val="a"/>
    <w:link w:val="Char0"/>
    <w:unhideWhenUsed/>
    <w:pPr>
      <w:tabs>
        <w:tab w:val="center" w:pos="4513"/>
        <w:tab w:val="right" w:pos="9026"/>
      </w:tabs>
      <w:snapToGrid w:val="0"/>
    </w:pPr>
  </w:style>
  <w:style w:type="character" w:customStyle="1" w:styleId="Char0">
    <w:name w:val="머리글 Char"/>
    <w:basedOn w:val="a0"/>
    <w:link w:val="a5"/>
  </w:style>
  <w:style w:type="paragraph" w:styleId="a6">
    <w:name w:val="footer"/>
    <w:basedOn w:val="a"/>
    <w:link w:val="Char1"/>
    <w:uiPriority w:val="99"/>
    <w:unhideWhenUsed/>
    <w:pPr>
      <w:tabs>
        <w:tab w:val="center" w:pos="4513"/>
        <w:tab w:val="right" w:pos="9026"/>
      </w:tabs>
      <w:snapToGrid w:val="0"/>
    </w:pPr>
  </w:style>
  <w:style w:type="character" w:customStyle="1" w:styleId="Char1">
    <w:name w:val="바닥글 Char"/>
    <w:basedOn w:val="a0"/>
    <w:link w:val="a6"/>
    <w:uiPriority w:val="99"/>
  </w:style>
  <w:style w:type="character" w:styleId="a7">
    <w:name w:val="annotation reference"/>
    <w:basedOn w:val="a0"/>
    <w:unhideWhenUsed/>
    <w:rPr>
      <w:sz w:val="18"/>
      <w:szCs w:val="18"/>
    </w:rPr>
  </w:style>
  <w:style w:type="paragraph" w:styleId="a8">
    <w:name w:val="annotation text"/>
    <w:aliases w:val=" Car17, Car17 Car, Char1,- H19,Annotationtext,Cha,Char,Char1,Char2,Comment Text Char Char,Comment Text Char Char Char,Comment Text Char Char1,Comment Text Char Char1 Char,Comment Text Char1,Comment Text Char1 Char"/>
    <w:basedOn w:val="a"/>
    <w:link w:val="Char2"/>
    <w:uiPriority w:val="99"/>
    <w:unhideWhenUsed/>
    <w:qFormat/>
  </w:style>
  <w:style w:type="character" w:customStyle="1" w:styleId="Char2">
    <w:name w:val="메모 텍스트 Char"/>
    <w:aliases w:val=" Car17 Char, Car17 Car Char, Char1 Char,- H19 Char,Annotationtext Char,Cha Char,Char Char,Char1 Char,Char2 Char,Comment Text Char Char Char1,Comment Text Char Char Char Char,Comment Text Char Char1 Char1,Comment Text Char Char1 Char Char"/>
    <w:basedOn w:val="a0"/>
    <w:link w:val="a8"/>
    <w:uiPriority w:val="99"/>
  </w:style>
  <w:style w:type="paragraph" w:styleId="a9">
    <w:name w:val="annotation subject"/>
    <w:basedOn w:val="a8"/>
    <w:next w:val="a8"/>
    <w:link w:val="Char3"/>
    <w:uiPriority w:val="99"/>
    <w:semiHidden/>
    <w:unhideWhenUsed/>
    <w:rPr>
      <w:b/>
      <w:bCs/>
    </w:rPr>
  </w:style>
  <w:style w:type="character" w:customStyle="1" w:styleId="Char3">
    <w:name w:val="메모 주제 Char"/>
    <w:basedOn w:val="Char2"/>
    <w:link w:val="a9"/>
    <w:uiPriority w:val="99"/>
    <w:semiHidden/>
    <w:rPr>
      <w:b/>
      <w:bCs/>
    </w:rPr>
  </w:style>
  <w:style w:type="paragraph" w:styleId="aa">
    <w:name w:val="Balloon Text"/>
    <w:basedOn w:val="a"/>
    <w:link w:val="Char4"/>
    <w:uiPriority w:val="99"/>
    <w:semiHidden/>
    <w:unhideWhenUsed/>
    <w:rPr>
      <w:rFonts w:asciiTheme="majorHAnsi" w:eastAsiaTheme="majorEastAsia" w:hAnsiTheme="majorHAnsi" w:cstheme="majorBidi"/>
      <w:sz w:val="18"/>
      <w:szCs w:val="18"/>
    </w:rPr>
  </w:style>
  <w:style w:type="character" w:customStyle="1" w:styleId="Char4">
    <w:name w:val="풍선 도움말 텍스트 Char"/>
    <w:basedOn w:val="a0"/>
    <w:link w:val="aa"/>
    <w:uiPriority w:val="99"/>
    <w:semiHidden/>
    <w:rPr>
      <w:rFonts w:asciiTheme="majorHAnsi" w:eastAsiaTheme="majorEastAsia" w:hAnsiTheme="majorHAnsi" w:cstheme="majorBidi"/>
      <w:sz w:val="18"/>
      <w:szCs w:val="18"/>
    </w:rPr>
  </w:style>
  <w:style w:type="character" w:customStyle="1" w:styleId="tlid-translation">
    <w:name w:val="tlid-translation"/>
    <w:basedOn w:val="a0"/>
  </w:style>
  <w:style w:type="paragraph" w:styleId="ab">
    <w:name w:val="Revision"/>
    <w:hidden/>
    <w:uiPriority w:val="99"/>
    <w:semiHidden/>
    <w:pPr>
      <w:widowControl/>
    </w:pPr>
  </w:style>
  <w:style w:type="paragraph" w:customStyle="1" w:styleId="Default">
    <w:name w:val="Default"/>
    <w:pPr>
      <w:autoSpaceDE w:val="0"/>
      <w:autoSpaceDN w:val="0"/>
      <w:adjustRightInd w:val="0"/>
    </w:pPr>
    <w:rPr>
      <w:rFonts w:ascii="Arial" w:hAnsi="Arial" w:cs="Arial"/>
      <w:color w:val="000000"/>
      <w:sz w:val="24"/>
      <w:szCs w:val="24"/>
    </w:rPr>
  </w:style>
  <w:style w:type="table" w:styleId="ac">
    <w:name w:val="Table Grid"/>
    <w:basedOn w:val="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0">
    <w:name w:val="A4"/>
    <w:uiPriority w:val="99"/>
    <w:rPr>
      <w:color w:val="211D1E"/>
      <w:sz w:val="11"/>
      <w:szCs w:val="11"/>
    </w:rPr>
  </w:style>
  <w:style w:type="character" w:customStyle="1" w:styleId="Char">
    <w:name w:val="본문 Char"/>
    <w:basedOn w:val="a0"/>
    <w:link w:val="a3"/>
    <w:uiPriority w:val="1"/>
    <w:rPr>
      <w:rFonts w:ascii="Times New Roman" w:hAnsi="Times New Roman" w:cs="Times New Roman"/>
    </w:rPr>
  </w:style>
  <w:style w:type="character" w:styleId="ad">
    <w:name w:val="Hyperlink"/>
    <w:basedOn w:val="a0"/>
    <w:uiPriority w:val="99"/>
    <w:unhideWhenUsed/>
    <w:rPr>
      <w:color w:val="0000FF"/>
      <w:u w:val="single"/>
    </w:rPr>
  </w:style>
  <w:style w:type="character" w:styleId="ae">
    <w:name w:val="FollowedHyperlink"/>
    <w:basedOn w:val="a0"/>
    <w:uiPriority w:val="99"/>
    <w:semiHidden/>
    <w:unhideWhenUsed/>
    <w:rPr>
      <w:color w:val="800080" w:themeColor="followedHyperlink"/>
      <w:u w:val="single"/>
    </w:rPr>
  </w:style>
  <w:style w:type="character" w:customStyle="1" w:styleId="1Char">
    <w:name w:val="제목 1 Char"/>
    <w:basedOn w:val="a0"/>
    <w:link w:val="1"/>
    <w:uiPriority w:val="1"/>
    <w:rPr>
      <w:rFonts w:ascii="Times New Roman" w:eastAsia="Times New Roman" w:hAnsi="Times New Roman"/>
      <w:b/>
      <w:bCs/>
    </w:rPr>
  </w:style>
  <w:style w:type="character" w:styleId="af">
    <w:name w:val="Strong"/>
    <w:basedOn w:val="a0"/>
    <w:uiPriority w:val="22"/>
    <w:qFormat/>
    <w:rPr>
      <w:b/>
      <w:bCs/>
    </w:rPr>
  </w:style>
  <w:style w:type="character" w:customStyle="1" w:styleId="2Char">
    <w:name w:val="제목 2 Char"/>
    <w:basedOn w:val="a0"/>
    <w:link w:val="2"/>
    <w:rPr>
      <w:rFonts w:ascii="Times New Roman" w:eastAsia="Times New Roman" w:hAnsi="Times New Roman" w:cs="Times New Roman"/>
      <w:b/>
      <w:bCs/>
      <w:spacing w:val="-1"/>
    </w:rPr>
  </w:style>
  <w:style w:type="paragraph" w:styleId="af0">
    <w:name w:val="caption"/>
    <w:basedOn w:val="a"/>
    <w:next w:val="a"/>
    <w:uiPriority w:val="35"/>
    <w:unhideWhenUsed/>
    <w:qFormat/>
    <w:rPr>
      <w:b/>
      <w:bCs/>
      <w:sz w:val="20"/>
      <w:szCs w:val="20"/>
    </w:rPr>
  </w:style>
  <w:style w:type="character" w:customStyle="1" w:styleId="BodytextAgencyChar">
    <w:name w:val="Body text (Agency) Char"/>
    <w:basedOn w:val="a0"/>
    <w:link w:val="BodytextAgency"/>
    <w:locked/>
    <w:rPr>
      <w:rFonts w:ascii="Verdana" w:hAnsi="Verdana"/>
    </w:rPr>
  </w:style>
  <w:style w:type="paragraph" w:customStyle="1" w:styleId="BodytextAgency">
    <w:name w:val="Body text (Agency)"/>
    <w:basedOn w:val="a"/>
    <w:link w:val="BodytextAgencyChar"/>
    <w:pPr>
      <w:widowControl/>
      <w:spacing w:after="140" w:line="280" w:lineRule="atLeast"/>
    </w:pPr>
    <w:rPr>
      <w:rFonts w:ascii="Verdana" w:hAnsi="Verdana"/>
    </w:rPr>
  </w:style>
  <w:style w:type="character" w:customStyle="1" w:styleId="UnresolvedMention1">
    <w:name w:val="Unresolved Mention1"/>
    <w:basedOn w:val="a0"/>
    <w:uiPriority w:val="99"/>
    <w:rPr>
      <w:color w:val="605E5C"/>
      <w:shd w:val="clear" w:color="auto" w:fill="E1DFDD"/>
    </w:rPr>
  </w:style>
  <w:style w:type="table" w:customStyle="1" w:styleId="TableNormal2">
    <w:name w:val="Table Normal2"/>
    <w:uiPriority w:val="2"/>
    <w:semiHidden/>
    <w:unhideWhenUsed/>
    <w:qFormat/>
    <w:tblPr>
      <w:tblInd w:w="0" w:type="dxa"/>
      <w:tblCellMar>
        <w:top w:w="0" w:type="dxa"/>
        <w:left w:w="0" w:type="dxa"/>
        <w:bottom w:w="0" w:type="dxa"/>
        <w:right w:w="0" w:type="dxa"/>
      </w:tblCellMar>
    </w:tblPr>
  </w:style>
  <w:style w:type="character" w:customStyle="1" w:styleId="10">
    <w:name w:val="확인되지 않은 멘션1"/>
    <w:basedOn w:val="a0"/>
    <w:uiPriority w:val="99"/>
    <w:semiHidden/>
    <w:unhideWhenUsed/>
    <w:rsid w:val="000405CC"/>
    <w:rPr>
      <w:color w:val="605E5C"/>
      <w:shd w:val="clear" w:color="auto" w:fill="E1DFDD"/>
    </w:rPr>
  </w:style>
  <w:style w:type="paragraph" w:styleId="HTML">
    <w:name w:val="HTML Preformatted"/>
    <w:basedOn w:val="a"/>
    <w:link w:val="HTMLChar"/>
    <w:uiPriority w:val="99"/>
    <w:semiHidden/>
    <w:unhideWhenUsed/>
    <w:rsid w:val="00F0336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굴림체" w:eastAsia="굴림체" w:hAnsi="굴림체" w:cs="굴림체"/>
      <w:sz w:val="24"/>
      <w:szCs w:val="24"/>
      <w:lang w:eastAsia="ko-KR"/>
    </w:rPr>
  </w:style>
  <w:style w:type="character" w:customStyle="1" w:styleId="HTMLChar">
    <w:name w:val="미리 서식이 지정된 HTML Char"/>
    <w:basedOn w:val="a0"/>
    <w:link w:val="HTML"/>
    <w:uiPriority w:val="99"/>
    <w:semiHidden/>
    <w:rsid w:val="00F0336D"/>
    <w:rPr>
      <w:rFonts w:ascii="굴림체" w:eastAsia="굴림체" w:hAnsi="굴림체" w:cs="굴림체"/>
      <w:sz w:val="24"/>
      <w:szCs w:val="24"/>
      <w:lang w:eastAsia="ko-KR"/>
    </w:rPr>
  </w:style>
  <w:style w:type="paragraph" w:styleId="af1">
    <w:name w:val="Normal (Web)"/>
    <w:basedOn w:val="a"/>
    <w:uiPriority w:val="99"/>
    <w:semiHidden/>
    <w:unhideWhenUsed/>
    <w:rsid w:val="000C0BB8"/>
    <w:pPr>
      <w:widowControl/>
      <w:spacing w:before="100" w:beforeAutospacing="1" w:after="100" w:afterAutospacing="1"/>
    </w:pPr>
    <w:rPr>
      <w:rFonts w:ascii="굴림" w:eastAsia="굴림" w:hAnsi="굴림" w:cs="굴림"/>
      <w:sz w:val="24"/>
      <w:szCs w:val="24"/>
      <w:lang w:eastAsia="ko-KR"/>
    </w:rPr>
  </w:style>
  <w:style w:type="character" w:customStyle="1" w:styleId="normaltextrun">
    <w:name w:val="normaltextrun"/>
    <w:basedOn w:val="a0"/>
    <w:rsid w:val="000B459E"/>
  </w:style>
  <w:style w:type="paragraph" w:customStyle="1" w:styleId="EMEANormal">
    <w:name w:val="EMEA Normal"/>
    <w:link w:val="EMEANormalChar"/>
    <w:rsid w:val="00E72311"/>
    <w:pPr>
      <w:widowControl/>
      <w:tabs>
        <w:tab w:val="left" w:pos="562"/>
      </w:tabs>
      <w:suppressAutoHyphens/>
    </w:pPr>
    <w:rPr>
      <w:rFonts w:ascii="Times New Roman" w:eastAsia="바탕" w:hAnsi="Times New Roman" w:cs="Times New Roman"/>
      <w:szCs w:val="20"/>
    </w:rPr>
  </w:style>
  <w:style w:type="character" w:customStyle="1" w:styleId="EMEANormalChar">
    <w:name w:val="EMEA Normal Char"/>
    <w:link w:val="EMEANormal"/>
    <w:rsid w:val="00E72311"/>
    <w:rPr>
      <w:rFonts w:ascii="Times New Roman" w:eastAsia="바탕" w:hAnsi="Times New Roman" w:cs="Times New Roman"/>
      <w:szCs w:val="20"/>
    </w:rPr>
  </w:style>
  <w:style w:type="character" w:customStyle="1" w:styleId="4Char">
    <w:name w:val="제목 4 Char"/>
    <w:basedOn w:val="a0"/>
    <w:link w:val="4"/>
    <w:rsid w:val="0050547A"/>
    <w:rPr>
      <w:rFonts w:ascii="Calibri" w:eastAsia="바탕" w:hAnsi="Calibri" w:cs="Times New Roman"/>
      <w:b/>
      <w:bCs/>
      <w:sz w:val="28"/>
      <w:szCs w:val="28"/>
      <w:lang w:val="x-none" w:eastAsia="x-none"/>
    </w:rPr>
  </w:style>
  <w:style w:type="character" w:customStyle="1" w:styleId="3Char">
    <w:name w:val="제목 3 Char"/>
    <w:basedOn w:val="a0"/>
    <w:link w:val="3"/>
    <w:uiPriority w:val="9"/>
    <w:semiHidden/>
    <w:rsid w:val="00B6679D"/>
    <w:rPr>
      <w:rFonts w:asciiTheme="majorHAnsi" w:eastAsiaTheme="majorEastAsia" w:hAnsiTheme="majorHAnsi" w:cstheme="majorBidi"/>
    </w:rPr>
  </w:style>
  <w:style w:type="character" w:customStyle="1" w:styleId="ui-provider">
    <w:name w:val="ui-provider"/>
    <w:basedOn w:val="a0"/>
    <w:rsid w:val="00C4148F"/>
  </w:style>
  <w:style w:type="paragraph" w:customStyle="1" w:styleId="Style1">
    <w:name w:val="Style1"/>
    <w:basedOn w:val="a"/>
    <w:qFormat/>
    <w:rsid w:val="00A50B96"/>
    <w:pPr>
      <w:pBdr>
        <w:top w:val="single" w:sz="4" w:space="1" w:color="auto"/>
        <w:left w:val="single" w:sz="4" w:space="4" w:color="auto"/>
        <w:bottom w:val="single" w:sz="4" w:space="1" w:color="auto"/>
        <w:right w:val="single" w:sz="4" w:space="4" w:color="auto"/>
      </w:pBdr>
      <w:suppressAutoHyphens/>
    </w:pPr>
    <w:rPr>
      <w:rFonts w:ascii="Times New Roman" w:eastAsia="Times New Roman" w:hAnsi="Times New Roman" w:cs="Times New Roman"/>
      <w:szCs w:val="24"/>
      <w:lang w:val="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033093">
      <w:bodyDiv w:val="1"/>
      <w:marLeft w:val="0"/>
      <w:marRight w:val="0"/>
      <w:marTop w:val="0"/>
      <w:marBottom w:val="0"/>
      <w:divBdr>
        <w:top w:val="none" w:sz="0" w:space="0" w:color="auto"/>
        <w:left w:val="none" w:sz="0" w:space="0" w:color="auto"/>
        <w:bottom w:val="none" w:sz="0" w:space="0" w:color="auto"/>
        <w:right w:val="none" w:sz="0" w:space="0" w:color="auto"/>
      </w:divBdr>
    </w:div>
    <w:div w:id="311642333">
      <w:bodyDiv w:val="1"/>
      <w:marLeft w:val="0"/>
      <w:marRight w:val="0"/>
      <w:marTop w:val="0"/>
      <w:marBottom w:val="0"/>
      <w:divBdr>
        <w:top w:val="none" w:sz="0" w:space="0" w:color="auto"/>
        <w:left w:val="none" w:sz="0" w:space="0" w:color="auto"/>
        <w:bottom w:val="none" w:sz="0" w:space="0" w:color="auto"/>
        <w:right w:val="none" w:sz="0" w:space="0" w:color="auto"/>
      </w:divBdr>
    </w:div>
    <w:div w:id="335152821">
      <w:bodyDiv w:val="1"/>
      <w:marLeft w:val="0"/>
      <w:marRight w:val="0"/>
      <w:marTop w:val="0"/>
      <w:marBottom w:val="0"/>
      <w:divBdr>
        <w:top w:val="none" w:sz="0" w:space="0" w:color="auto"/>
        <w:left w:val="none" w:sz="0" w:space="0" w:color="auto"/>
        <w:bottom w:val="none" w:sz="0" w:space="0" w:color="auto"/>
        <w:right w:val="none" w:sz="0" w:space="0" w:color="auto"/>
      </w:divBdr>
    </w:div>
    <w:div w:id="485055237">
      <w:bodyDiv w:val="1"/>
      <w:marLeft w:val="0"/>
      <w:marRight w:val="0"/>
      <w:marTop w:val="0"/>
      <w:marBottom w:val="0"/>
      <w:divBdr>
        <w:top w:val="none" w:sz="0" w:space="0" w:color="auto"/>
        <w:left w:val="none" w:sz="0" w:space="0" w:color="auto"/>
        <w:bottom w:val="none" w:sz="0" w:space="0" w:color="auto"/>
        <w:right w:val="none" w:sz="0" w:space="0" w:color="auto"/>
      </w:divBdr>
    </w:div>
    <w:div w:id="559052265">
      <w:bodyDiv w:val="1"/>
      <w:marLeft w:val="0"/>
      <w:marRight w:val="0"/>
      <w:marTop w:val="0"/>
      <w:marBottom w:val="0"/>
      <w:divBdr>
        <w:top w:val="none" w:sz="0" w:space="0" w:color="auto"/>
        <w:left w:val="none" w:sz="0" w:space="0" w:color="auto"/>
        <w:bottom w:val="none" w:sz="0" w:space="0" w:color="auto"/>
        <w:right w:val="none" w:sz="0" w:space="0" w:color="auto"/>
      </w:divBdr>
    </w:div>
    <w:div w:id="566770908">
      <w:bodyDiv w:val="1"/>
      <w:marLeft w:val="0"/>
      <w:marRight w:val="0"/>
      <w:marTop w:val="0"/>
      <w:marBottom w:val="0"/>
      <w:divBdr>
        <w:top w:val="none" w:sz="0" w:space="0" w:color="auto"/>
        <w:left w:val="none" w:sz="0" w:space="0" w:color="auto"/>
        <w:bottom w:val="none" w:sz="0" w:space="0" w:color="auto"/>
        <w:right w:val="none" w:sz="0" w:space="0" w:color="auto"/>
      </w:divBdr>
    </w:div>
    <w:div w:id="584459015">
      <w:bodyDiv w:val="1"/>
      <w:marLeft w:val="0"/>
      <w:marRight w:val="0"/>
      <w:marTop w:val="0"/>
      <w:marBottom w:val="0"/>
      <w:divBdr>
        <w:top w:val="none" w:sz="0" w:space="0" w:color="auto"/>
        <w:left w:val="none" w:sz="0" w:space="0" w:color="auto"/>
        <w:bottom w:val="none" w:sz="0" w:space="0" w:color="auto"/>
        <w:right w:val="none" w:sz="0" w:space="0" w:color="auto"/>
      </w:divBdr>
    </w:div>
    <w:div w:id="650595975">
      <w:bodyDiv w:val="1"/>
      <w:marLeft w:val="0"/>
      <w:marRight w:val="0"/>
      <w:marTop w:val="0"/>
      <w:marBottom w:val="0"/>
      <w:divBdr>
        <w:top w:val="none" w:sz="0" w:space="0" w:color="auto"/>
        <w:left w:val="none" w:sz="0" w:space="0" w:color="auto"/>
        <w:bottom w:val="none" w:sz="0" w:space="0" w:color="auto"/>
        <w:right w:val="none" w:sz="0" w:space="0" w:color="auto"/>
      </w:divBdr>
    </w:div>
    <w:div w:id="694814709">
      <w:bodyDiv w:val="1"/>
      <w:marLeft w:val="0"/>
      <w:marRight w:val="0"/>
      <w:marTop w:val="0"/>
      <w:marBottom w:val="0"/>
      <w:divBdr>
        <w:top w:val="none" w:sz="0" w:space="0" w:color="auto"/>
        <w:left w:val="none" w:sz="0" w:space="0" w:color="auto"/>
        <w:bottom w:val="none" w:sz="0" w:space="0" w:color="auto"/>
        <w:right w:val="none" w:sz="0" w:space="0" w:color="auto"/>
      </w:divBdr>
    </w:div>
    <w:div w:id="713772437">
      <w:bodyDiv w:val="1"/>
      <w:marLeft w:val="0"/>
      <w:marRight w:val="0"/>
      <w:marTop w:val="0"/>
      <w:marBottom w:val="0"/>
      <w:divBdr>
        <w:top w:val="none" w:sz="0" w:space="0" w:color="auto"/>
        <w:left w:val="none" w:sz="0" w:space="0" w:color="auto"/>
        <w:bottom w:val="none" w:sz="0" w:space="0" w:color="auto"/>
        <w:right w:val="none" w:sz="0" w:space="0" w:color="auto"/>
      </w:divBdr>
    </w:div>
    <w:div w:id="721827649">
      <w:bodyDiv w:val="1"/>
      <w:marLeft w:val="0"/>
      <w:marRight w:val="0"/>
      <w:marTop w:val="0"/>
      <w:marBottom w:val="0"/>
      <w:divBdr>
        <w:top w:val="none" w:sz="0" w:space="0" w:color="auto"/>
        <w:left w:val="none" w:sz="0" w:space="0" w:color="auto"/>
        <w:bottom w:val="none" w:sz="0" w:space="0" w:color="auto"/>
        <w:right w:val="none" w:sz="0" w:space="0" w:color="auto"/>
      </w:divBdr>
    </w:div>
    <w:div w:id="749427366">
      <w:bodyDiv w:val="1"/>
      <w:marLeft w:val="0"/>
      <w:marRight w:val="0"/>
      <w:marTop w:val="0"/>
      <w:marBottom w:val="0"/>
      <w:divBdr>
        <w:top w:val="none" w:sz="0" w:space="0" w:color="auto"/>
        <w:left w:val="none" w:sz="0" w:space="0" w:color="auto"/>
        <w:bottom w:val="none" w:sz="0" w:space="0" w:color="auto"/>
        <w:right w:val="none" w:sz="0" w:space="0" w:color="auto"/>
      </w:divBdr>
    </w:div>
    <w:div w:id="760950785">
      <w:bodyDiv w:val="1"/>
      <w:marLeft w:val="0"/>
      <w:marRight w:val="0"/>
      <w:marTop w:val="0"/>
      <w:marBottom w:val="0"/>
      <w:divBdr>
        <w:top w:val="none" w:sz="0" w:space="0" w:color="auto"/>
        <w:left w:val="none" w:sz="0" w:space="0" w:color="auto"/>
        <w:bottom w:val="none" w:sz="0" w:space="0" w:color="auto"/>
        <w:right w:val="none" w:sz="0" w:space="0" w:color="auto"/>
      </w:divBdr>
    </w:div>
    <w:div w:id="906839833">
      <w:bodyDiv w:val="1"/>
      <w:marLeft w:val="0"/>
      <w:marRight w:val="0"/>
      <w:marTop w:val="0"/>
      <w:marBottom w:val="0"/>
      <w:divBdr>
        <w:top w:val="none" w:sz="0" w:space="0" w:color="auto"/>
        <w:left w:val="none" w:sz="0" w:space="0" w:color="auto"/>
        <w:bottom w:val="none" w:sz="0" w:space="0" w:color="auto"/>
        <w:right w:val="none" w:sz="0" w:space="0" w:color="auto"/>
      </w:divBdr>
    </w:div>
    <w:div w:id="983697377">
      <w:bodyDiv w:val="1"/>
      <w:marLeft w:val="0"/>
      <w:marRight w:val="0"/>
      <w:marTop w:val="0"/>
      <w:marBottom w:val="0"/>
      <w:divBdr>
        <w:top w:val="none" w:sz="0" w:space="0" w:color="auto"/>
        <w:left w:val="none" w:sz="0" w:space="0" w:color="auto"/>
        <w:bottom w:val="none" w:sz="0" w:space="0" w:color="auto"/>
        <w:right w:val="none" w:sz="0" w:space="0" w:color="auto"/>
      </w:divBdr>
    </w:div>
    <w:div w:id="1010915991">
      <w:bodyDiv w:val="1"/>
      <w:marLeft w:val="0"/>
      <w:marRight w:val="0"/>
      <w:marTop w:val="0"/>
      <w:marBottom w:val="0"/>
      <w:divBdr>
        <w:top w:val="none" w:sz="0" w:space="0" w:color="auto"/>
        <w:left w:val="none" w:sz="0" w:space="0" w:color="auto"/>
        <w:bottom w:val="none" w:sz="0" w:space="0" w:color="auto"/>
        <w:right w:val="none" w:sz="0" w:space="0" w:color="auto"/>
      </w:divBdr>
    </w:div>
    <w:div w:id="1217934480">
      <w:bodyDiv w:val="1"/>
      <w:marLeft w:val="0"/>
      <w:marRight w:val="0"/>
      <w:marTop w:val="0"/>
      <w:marBottom w:val="0"/>
      <w:divBdr>
        <w:top w:val="none" w:sz="0" w:space="0" w:color="auto"/>
        <w:left w:val="none" w:sz="0" w:space="0" w:color="auto"/>
        <w:bottom w:val="none" w:sz="0" w:space="0" w:color="auto"/>
        <w:right w:val="none" w:sz="0" w:space="0" w:color="auto"/>
      </w:divBdr>
    </w:div>
    <w:div w:id="1625425828">
      <w:bodyDiv w:val="1"/>
      <w:marLeft w:val="0"/>
      <w:marRight w:val="0"/>
      <w:marTop w:val="0"/>
      <w:marBottom w:val="0"/>
      <w:divBdr>
        <w:top w:val="none" w:sz="0" w:space="0" w:color="auto"/>
        <w:left w:val="none" w:sz="0" w:space="0" w:color="auto"/>
        <w:bottom w:val="none" w:sz="0" w:space="0" w:color="auto"/>
        <w:right w:val="none" w:sz="0" w:space="0" w:color="auto"/>
      </w:divBdr>
    </w:div>
    <w:div w:id="1642266778">
      <w:bodyDiv w:val="1"/>
      <w:marLeft w:val="0"/>
      <w:marRight w:val="0"/>
      <w:marTop w:val="0"/>
      <w:marBottom w:val="0"/>
      <w:divBdr>
        <w:top w:val="none" w:sz="0" w:space="0" w:color="auto"/>
        <w:left w:val="none" w:sz="0" w:space="0" w:color="auto"/>
        <w:bottom w:val="none" w:sz="0" w:space="0" w:color="auto"/>
        <w:right w:val="none" w:sz="0" w:space="0" w:color="auto"/>
      </w:divBdr>
    </w:div>
    <w:div w:id="1652294406">
      <w:bodyDiv w:val="1"/>
      <w:marLeft w:val="0"/>
      <w:marRight w:val="0"/>
      <w:marTop w:val="0"/>
      <w:marBottom w:val="0"/>
      <w:divBdr>
        <w:top w:val="none" w:sz="0" w:space="0" w:color="auto"/>
        <w:left w:val="none" w:sz="0" w:space="0" w:color="auto"/>
        <w:bottom w:val="none" w:sz="0" w:space="0" w:color="auto"/>
        <w:right w:val="none" w:sz="0" w:space="0" w:color="auto"/>
      </w:divBdr>
    </w:div>
    <w:div w:id="1799444469">
      <w:bodyDiv w:val="1"/>
      <w:marLeft w:val="0"/>
      <w:marRight w:val="0"/>
      <w:marTop w:val="0"/>
      <w:marBottom w:val="0"/>
      <w:divBdr>
        <w:top w:val="none" w:sz="0" w:space="0" w:color="auto"/>
        <w:left w:val="none" w:sz="0" w:space="0" w:color="auto"/>
        <w:bottom w:val="none" w:sz="0" w:space="0" w:color="auto"/>
        <w:right w:val="none" w:sz="0" w:space="0" w:color="auto"/>
      </w:divBdr>
    </w:div>
    <w:div w:id="1808162336">
      <w:bodyDiv w:val="1"/>
      <w:marLeft w:val="0"/>
      <w:marRight w:val="0"/>
      <w:marTop w:val="0"/>
      <w:marBottom w:val="0"/>
      <w:divBdr>
        <w:top w:val="none" w:sz="0" w:space="0" w:color="auto"/>
        <w:left w:val="none" w:sz="0" w:space="0" w:color="auto"/>
        <w:bottom w:val="none" w:sz="0" w:space="0" w:color="auto"/>
        <w:right w:val="none" w:sz="0" w:space="0" w:color="auto"/>
      </w:divBdr>
    </w:div>
    <w:div w:id="1808552150">
      <w:bodyDiv w:val="1"/>
      <w:marLeft w:val="0"/>
      <w:marRight w:val="0"/>
      <w:marTop w:val="0"/>
      <w:marBottom w:val="0"/>
      <w:divBdr>
        <w:top w:val="none" w:sz="0" w:space="0" w:color="auto"/>
        <w:left w:val="none" w:sz="0" w:space="0" w:color="auto"/>
        <w:bottom w:val="none" w:sz="0" w:space="0" w:color="auto"/>
        <w:right w:val="none" w:sz="0" w:space="0" w:color="auto"/>
      </w:divBdr>
    </w:div>
    <w:div w:id="1813643733">
      <w:bodyDiv w:val="1"/>
      <w:marLeft w:val="0"/>
      <w:marRight w:val="0"/>
      <w:marTop w:val="0"/>
      <w:marBottom w:val="0"/>
      <w:divBdr>
        <w:top w:val="none" w:sz="0" w:space="0" w:color="auto"/>
        <w:left w:val="none" w:sz="0" w:space="0" w:color="auto"/>
        <w:bottom w:val="none" w:sz="0" w:space="0" w:color="auto"/>
        <w:right w:val="none" w:sz="0" w:space="0" w:color="auto"/>
      </w:divBdr>
    </w:div>
    <w:div w:id="1996913839">
      <w:bodyDiv w:val="1"/>
      <w:marLeft w:val="0"/>
      <w:marRight w:val="0"/>
      <w:marTop w:val="0"/>
      <w:marBottom w:val="0"/>
      <w:divBdr>
        <w:top w:val="none" w:sz="0" w:space="0" w:color="auto"/>
        <w:left w:val="none" w:sz="0" w:space="0" w:color="auto"/>
        <w:bottom w:val="none" w:sz="0" w:space="0" w:color="auto"/>
        <w:right w:val="none" w:sz="0" w:space="0" w:color="auto"/>
      </w:divBdr>
    </w:div>
    <w:div w:id="2042044690">
      <w:bodyDiv w:val="1"/>
      <w:marLeft w:val="0"/>
      <w:marRight w:val="0"/>
      <w:marTop w:val="0"/>
      <w:marBottom w:val="0"/>
      <w:divBdr>
        <w:top w:val="none" w:sz="0" w:space="0" w:color="auto"/>
        <w:left w:val="none" w:sz="0" w:space="0" w:color="auto"/>
        <w:bottom w:val="none" w:sz="0" w:space="0" w:color="auto"/>
        <w:right w:val="none" w:sz="0" w:space="0" w:color="auto"/>
      </w:divBdr>
    </w:div>
    <w:div w:id="20724560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1" Type="http://schemas.openxmlformats.org/officeDocument/2006/relationships/image" Target="media/image8.jpeg"/><Relationship Id="rId42" Type="http://schemas.openxmlformats.org/officeDocument/2006/relationships/image" Target="media/image24.png"/><Relationship Id="rId63" Type="http://schemas.openxmlformats.org/officeDocument/2006/relationships/image" Target="media/image45.emf"/><Relationship Id="rId138" Type="http://schemas.openxmlformats.org/officeDocument/2006/relationships/hyperlink" Target="mailto:Contact_no@celltrionhc.com" TargetMode="External"/><Relationship Id="rId159" Type="http://schemas.openxmlformats.org/officeDocument/2006/relationships/image" Target="media/image120.png"/><Relationship Id="rId170" Type="http://schemas.openxmlformats.org/officeDocument/2006/relationships/image" Target="media/image128.png"/><Relationship Id="rId107" Type="http://schemas.openxmlformats.org/officeDocument/2006/relationships/image" Target="media/image75.png"/><Relationship Id="rId11" Type="http://schemas.openxmlformats.org/officeDocument/2006/relationships/image" Target="media/image1.png"/><Relationship Id="rId32" Type="http://schemas.openxmlformats.org/officeDocument/2006/relationships/image" Target="media/image14.png"/><Relationship Id="rId53" Type="http://schemas.openxmlformats.org/officeDocument/2006/relationships/image" Target="media/image35.emf"/><Relationship Id="rId74" Type="http://schemas.openxmlformats.org/officeDocument/2006/relationships/image" Target="media/image51.png"/><Relationship Id="rId128" Type="http://schemas.openxmlformats.org/officeDocument/2006/relationships/image" Target="media/image96.png"/><Relationship Id="rId5" Type="http://schemas.openxmlformats.org/officeDocument/2006/relationships/numbering" Target="numbering.xml"/><Relationship Id="rId95" Type="http://schemas.openxmlformats.org/officeDocument/2006/relationships/image" Target="media/image66.png"/><Relationship Id="rId160" Type="http://schemas.openxmlformats.org/officeDocument/2006/relationships/image" Target="media/image121.png"/><Relationship Id="rId181" Type="http://schemas.openxmlformats.org/officeDocument/2006/relationships/image" Target="media/image139.png"/><Relationship Id="rId22" Type="http://schemas.openxmlformats.org/officeDocument/2006/relationships/hyperlink" Target="http://www.ema.europa.eu/docs/en_GB/document_library/Template_or_form/2013/03/WC500139752.doc" TargetMode="External"/><Relationship Id="rId43" Type="http://schemas.openxmlformats.org/officeDocument/2006/relationships/image" Target="media/image25.png"/><Relationship Id="rId64" Type="http://schemas.openxmlformats.org/officeDocument/2006/relationships/image" Target="media/image46.emf"/><Relationship Id="rId118" Type="http://schemas.openxmlformats.org/officeDocument/2006/relationships/image" Target="media/image86.png"/><Relationship Id="rId139" Type="http://schemas.openxmlformats.org/officeDocument/2006/relationships/hyperlink" Target="mailto:contact_se@celltrionhc.com" TargetMode="External"/><Relationship Id="rId171" Type="http://schemas.openxmlformats.org/officeDocument/2006/relationships/image" Target="media/image129.png"/><Relationship Id="rId12" Type="http://schemas.openxmlformats.org/officeDocument/2006/relationships/hyperlink" Target="http://www.ema.europa.eu/docs/en_GB/document_library/Template_or_form/2013/03/WC500139752.doc" TargetMode="External"/><Relationship Id="rId33" Type="http://schemas.openxmlformats.org/officeDocument/2006/relationships/image" Target="media/image15.png"/><Relationship Id="rId108" Type="http://schemas.openxmlformats.org/officeDocument/2006/relationships/image" Target="media/image76.png"/><Relationship Id="rId129" Type="http://schemas.openxmlformats.org/officeDocument/2006/relationships/image" Target="media/image97.png"/><Relationship Id="rId54" Type="http://schemas.openxmlformats.org/officeDocument/2006/relationships/image" Target="media/image36.emf"/><Relationship Id="rId75" Type="http://schemas.openxmlformats.org/officeDocument/2006/relationships/image" Target="media/image52.png"/><Relationship Id="rId96" Type="http://schemas.openxmlformats.org/officeDocument/2006/relationships/image" Target="media/image67.png"/><Relationship Id="rId140" Type="http://schemas.openxmlformats.org/officeDocument/2006/relationships/image" Target="media/image104.png"/><Relationship Id="rId161" Type="http://schemas.openxmlformats.org/officeDocument/2006/relationships/image" Target="media/image122.png"/><Relationship Id="rId18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en.wikipedia.org/wiki/Inframammary_fold" TargetMode="External"/><Relationship Id="rId28" Type="http://schemas.openxmlformats.org/officeDocument/2006/relationships/image" Target="media/image10.png"/><Relationship Id="rId49" Type="http://schemas.openxmlformats.org/officeDocument/2006/relationships/image" Target="media/image31.jpeg"/><Relationship Id="rId114" Type="http://schemas.openxmlformats.org/officeDocument/2006/relationships/image" Target="media/image82.png"/><Relationship Id="rId119" Type="http://schemas.openxmlformats.org/officeDocument/2006/relationships/image" Target="media/image87.png"/><Relationship Id="rId44" Type="http://schemas.openxmlformats.org/officeDocument/2006/relationships/image" Target="media/image26.emf"/><Relationship Id="rId60" Type="http://schemas.openxmlformats.org/officeDocument/2006/relationships/image" Target="media/image42.emf"/><Relationship Id="rId65" Type="http://schemas.openxmlformats.org/officeDocument/2006/relationships/image" Target="media/image47.emf"/><Relationship Id="rId81" Type="http://schemas.openxmlformats.org/officeDocument/2006/relationships/image" Target="media/image58.png"/><Relationship Id="rId130" Type="http://schemas.openxmlformats.org/officeDocument/2006/relationships/image" Target="media/image98.png"/><Relationship Id="rId135" Type="http://schemas.openxmlformats.org/officeDocument/2006/relationships/image" Target="media/image103.png"/><Relationship Id="rId151" Type="http://schemas.openxmlformats.org/officeDocument/2006/relationships/image" Target="media/image112.png"/><Relationship Id="rId156" Type="http://schemas.openxmlformats.org/officeDocument/2006/relationships/image" Target="media/image117.png"/><Relationship Id="rId177" Type="http://schemas.openxmlformats.org/officeDocument/2006/relationships/image" Target="media/image135.png"/><Relationship Id="rId172" Type="http://schemas.openxmlformats.org/officeDocument/2006/relationships/image" Target="media/image130.png"/><Relationship Id="rId13" Type="http://schemas.openxmlformats.org/officeDocument/2006/relationships/image" Target="media/image2.png"/><Relationship Id="rId18" Type="http://schemas.openxmlformats.org/officeDocument/2006/relationships/image" Target="media/image6.png"/><Relationship Id="rId39" Type="http://schemas.openxmlformats.org/officeDocument/2006/relationships/image" Target="media/image21.emf"/><Relationship Id="rId109" Type="http://schemas.openxmlformats.org/officeDocument/2006/relationships/image" Target="media/image77.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3.png"/><Relationship Id="rId97" Type="http://schemas.openxmlformats.org/officeDocument/2006/relationships/image" Target="media/image68.jpeg"/><Relationship Id="rId104" Type="http://schemas.openxmlformats.org/officeDocument/2006/relationships/image" Target="media/image72.png"/><Relationship Id="rId120" Type="http://schemas.openxmlformats.org/officeDocument/2006/relationships/image" Target="media/image88.png"/><Relationship Id="rId125" Type="http://schemas.openxmlformats.org/officeDocument/2006/relationships/image" Target="media/image93.png"/><Relationship Id="rId141" Type="http://schemas.openxmlformats.org/officeDocument/2006/relationships/image" Target="media/image105.png"/><Relationship Id="rId146" Type="http://schemas.openxmlformats.org/officeDocument/2006/relationships/image" Target="media/image110.png"/><Relationship Id="rId167" Type="http://schemas.openxmlformats.org/officeDocument/2006/relationships/image" Target="media/image125.png"/><Relationship Id="rId7" Type="http://schemas.openxmlformats.org/officeDocument/2006/relationships/settings" Target="settings.xml"/><Relationship Id="rId71" Type="http://schemas.openxmlformats.org/officeDocument/2006/relationships/hyperlink" Target="mailto:infoDE@celltrionhc.com" TargetMode="External"/><Relationship Id="rId92" Type="http://schemas.openxmlformats.org/officeDocument/2006/relationships/image" Target="media/image63.png"/><Relationship Id="rId162" Type="http://schemas.openxmlformats.org/officeDocument/2006/relationships/hyperlink" Target="http://www.ema.europa.eu/docs/en_GB/document_library/Template_or_form/2013/03/WC500139752.doc" TargetMode="External"/><Relationship Id="rId183"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hyperlink" Target="http://www.ema.europa.eu/docs/en_GB/document_library/Template_or_form/2013/03/WC500139752.doc" TargetMode="External"/><Relationship Id="rId40" Type="http://schemas.openxmlformats.org/officeDocument/2006/relationships/image" Target="media/image22.emf"/><Relationship Id="rId45" Type="http://schemas.openxmlformats.org/officeDocument/2006/relationships/image" Target="media/image27.emf"/><Relationship Id="rId66" Type="http://schemas.openxmlformats.org/officeDocument/2006/relationships/image" Target="media/image48.emf"/><Relationship Id="rId110" Type="http://schemas.openxmlformats.org/officeDocument/2006/relationships/image" Target="media/image78.png"/><Relationship Id="rId115" Type="http://schemas.openxmlformats.org/officeDocument/2006/relationships/image" Target="media/image83.png"/><Relationship Id="rId131" Type="http://schemas.openxmlformats.org/officeDocument/2006/relationships/image" Target="media/image99.png"/><Relationship Id="rId136" Type="http://schemas.openxmlformats.org/officeDocument/2006/relationships/hyperlink" Target="http://www.ema.europa.eu/docs/en_GB/document_library/Template_or_form/2013/03/WC500139752.doc" TargetMode="External"/><Relationship Id="rId157" Type="http://schemas.openxmlformats.org/officeDocument/2006/relationships/image" Target="media/image118.png"/><Relationship Id="rId178" Type="http://schemas.openxmlformats.org/officeDocument/2006/relationships/image" Target="media/image136.png"/><Relationship Id="rId61" Type="http://schemas.openxmlformats.org/officeDocument/2006/relationships/image" Target="media/image43.png"/><Relationship Id="rId152" Type="http://schemas.openxmlformats.org/officeDocument/2006/relationships/image" Target="media/image113.png"/><Relationship Id="rId173" Type="http://schemas.openxmlformats.org/officeDocument/2006/relationships/image" Target="media/image131.png"/><Relationship Id="rId19" Type="http://schemas.openxmlformats.org/officeDocument/2006/relationships/image" Target="media/image7.png"/><Relationship Id="rId14" Type="http://schemas.openxmlformats.org/officeDocument/2006/relationships/image" Target="media/image3.jpeg"/><Relationship Id="rId30" Type="http://schemas.openxmlformats.org/officeDocument/2006/relationships/image" Target="media/image12.emf"/><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4.emf"/><Relationship Id="rId100" Type="http://schemas.openxmlformats.org/officeDocument/2006/relationships/hyperlink" Target="mailto:infoDE@celltrionhc.com" TargetMode="External"/><Relationship Id="rId105" Type="http://schemas.openxmlformats.org/officeDocument/2006/relationships/image" Target="media/image73.png"/><Relationship Id="rId126" Type="http://schemas.openxmlformats.org/officeDocument/2006/relationships/image" Target="media/image94.png"/><Relationship Id="rId147" Type="http://schemas.openxmlformats.org/officeDocument/2006/relationships/image" Target="media/image111.png"/><Relationship Id="rId168" Type="http://schemas.openxmlformats.org/officeDocument/2006/relationships/image" Target="media/image126.png"/><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hyperlink" Target="mailto:Contact_no@celltrionhc.com" TargetMode="External"/><Relationship Id="rId93" Type="http://schemas.openxmlformats.org/officeDocument/2006/relationships/image" Target="media/image64.emf"/><Relationship Id="rId98" Type="http://schemas.openxmlformats.org/officeDocument/2006/relationships/image" Target="media/image69.jpeg"/><Relationship Id="rId121" Type="http://schemas.openxmlformats.org/officeDocument/2006/relationships/image" Target="media/image89.png"/><Relationship Id="rId142" Type="http://schemas.openxmlformats.org/officeDocument/2006/relationships/image" Target="media/image106.png"/><Relationship Id="rId163" Type="http://schemas.openxmlformats.org/officeDocument/2006/relationships/hyperlink" Target="mailto:infoDE@celltrionhc.com" TargetMode="External"/><Relationship Id="rId184"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hyperlink" Target="mailto:infoDE@celltrionhc.com" TargetMode="External"/><Relationship Id="rId46" Type="http://schemas.openxmlformats.org/officeDocument/2006/relationships/image" Target="media/image28.jpeg"/><Relationship Id="rId67" Type="http://schemas.openxmlformats.org/officeDocument/2006/relationships/image" Target="media/image49.emf"/><Relationship Id="rId116" Type="http://schemas.openxmlformats.org/officeDocument/2006/relationships/image" Target="media/image84.png"/><Relationship Id="rId137" Type="http://schemas.openxmlformats.org/officeDocument/2006/relationships/hyperlink" Target="mailto:infoDE@celltrionhc.com" TargetMode="External"/><Relationship Id="rId158" Type="http://schemas.openxmlformats.org/officeDocument/2006/relationships/image" Target="media/image119.png"/><Relationship Id="rId20" Type="http://schemas.openxmlformats.org/officeDocument/2006/relationships/hyperlink" Target="http://www.ema.europa.eu/docs/en_GB/document_library/Template_or_form/2013/03/WC500139752.doc" TargetMode="External"/><Relationship Id="rId41" Type="http://schemas.openxmlformats.org/officeDocument/2006/relationships/image" Target="media/image23.emf"/><Relationship Id="rId62" Type="http://schemas.openxmlformats.org/officeDocument/2006/relationships/image" Target="media/image44.png"/><Relationship Id="rId88" Type="http://schemas.openxmlformats.org/officeDocument/2006/relationships/image" Target="media/image59.png"/><Relationship Id="rId111" Type="http://schemas.openxmlformats.org/officeDocument/2006/relationships/image" Target="media/image79.png"/><Relationship Id="rId132" Type="http://schemas.openxmlformats.org/officeDocument/2006/relationships/image" Target="media/image100.png"/><Relationship Id="rId153" Type="http://schemas.openxmlformats.org/officeDocument/2006/relationships/image" Target="media/image114.png"/><Relationship Id="rId174" Type="http://schemas.openxmlformats.org/officeDocument/2006/relationships/image" Target="media/image132.png"/><Relationship Id="rId179" Type="http://schemas.openxmlformats.org/officeDocument/2006/relationships/image" Target="media/image137.png"/><Relationship Id="rId15" Type="http://schemas.openxmlformats.org/officeDocument/2006/relationships/image" Target="cid:image002.jpg@01D1C64C.BC882C30" TargetMode="External"/><Relationship Id="rId36" Type="http://schemas.openxmlformats.org/officeDocument/2006/relationships/image" Target="media/image18.emf"/><Relationship Id="rId57" Type="http://schemas.openxmlformats.org/officeDocument/2006/relationships/image" Target="media/image39.png"/><Relationship Id="rId106" Type="http://schemas.openxmlformats.org/officeDocument/2006/relationships/image" Target="media/image74.png"/><Relationship Id="rId127" Type="http://schemas.openxmlformats.org/officeDocument/2006/relationships/image" Target="media/image95.png"/><Relationship Id="rId10" Type="http://schemas.openxmlformats.org/officeDocument/2006/relationships/endnotes" Target="endnotes.xml"/><Relationship Id="rId31" Type="http://schemas.openxmlformats.org/officeDocument/2006/relationships/image" Target="media/image13.emf"/><Relationship Id="rId52" Type="http://schemas.openxmlformats.org/officeDocument/2006/relationships/image" Target="media/image34.png"/><Relationship Id="rId73" Type="http://schemas.openxmlformats.org/officeDocument/2006/relationships/hyperlink" Target="mailto:contact_se@celltrionhc.com" TargetMode="External"/><Relationship Id="rId78" Type="http://schemas.openxmlformats.org/officeDocument/2006/relationships/image" Target="media/image55.emf"/><Relationship Id="rId94" Type="http://schemas.openxmlformats.org/officeDocument/2006/relationships/image" Target="media/image65.emf"/><Relationship Id="rId99" Type="http://schemas.openxmlformats.org/officeDocument/2006/relationships/hyperlink" Target="http://www.ema.europa.eu/docs/en_GB/document_library/Template_or_form/2013/03/WC500139752.doc" TargetMode="External"/><Relationship Id="rId101" Type="http://schemas.openxmlformats.org/officeDocument/2006/relationships/hyperlink" Target="mailto:contact_se@celltrionhc.com" TargetMode="External"/><Relationship Id="rId122" Type="http://schemas.openxmlformats.org/officeDocument/2006/relationships/image" Target="media/image90.png"/><Relationship Id="rId143" Type="http://schemas.openxmlformats.org/officeDocument/2006/relationships/image" Target="media/image107.png"/><Relationship Id="rId164" Type="http://schemas.openxmlformats.org/officeDocument/2006/relationships/hyperlink" Target="mailto:contact_se@celltrionhc.com" TargetMode="External"/><Relationship Id="rId169" Type="http://schemas.openxmlformats.org/officeDocument/2006/relationships/image" Target="media/image127.png"/><Relationship Id="rId185" Type="http://schemas.openxmlformats.org/officeDocument/2006/relationships/customXml" Target="../customXml/item5.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38.png"/><Relationship Id="rId26" Type="http://schemas.openxmlformats.org/officeDocument/2006/relationships/hyperlink" Target="mailto:contact_se@celltrionhc.com" TargetMode="External"/><Relationship Id="rId47" Type="http://schemas.openxmlformats.org/officeDocument/2006/relationships/image" Target="media/image29.jpeg"/><Relationship Id="rId68" Type="http://schemas.openxmlformats.org/officeDocument/2006/relationships/image" Target="media/image50.emf"/><Relationship Id="rId89" Type="http://schemas.openxmlformats.org/officeDocument/2006/relationships/image" Target="media/image60.png"/><Relationship Id="rId112" Type="http://schemas.openxmlformats.org/officeDocument/2006/relationships/image" Target="media/image80.png"/><Relationship Id="rId133" Type="http://schemas.openxmlformats.org/officeDocument/2006/relationships/image" Target="media/image101.png"/><Relationship Id="rId154" Type="http://schemas.openxmlformats.org/officeDocument/2006/relationships/image" Target="media/image115.png"/><Relationship Id="rId175" Type="http://schemas.openxmlformats.org/officeDocument/2006/relationships/image" Target="media/image133.png"/><Relationship Id="rId16" Type="http://schemas.openxmlformats.org/officeDocument/2006/relationships/image" Target="media/image4.jpeg"/><Relationship Id="rId37" Type="http://schemas.openxmlformats.org/officeDocument/2006/relationships/image" Target="media/image19.emf"/><Relationship Id="rId58" Type="http://schemas.openxmlformats.org/officeDocument/2006/relationships/image" Target="media/image40.png"/><Relationship Id="rId79" Type="http://schemas.openxmlformats.org/officeDocument/2006/relationships/image" Target="media/image56.png"/><Relationship Id="rId102" Type="http://schemas.openxmlformats.org/officeDocument/2006/relationships/image" Target="media/image70.png"/><Relationship Id="rId123" Type="http://schemas.openxmlformats.org/officeDocument/2006/relationships/image" Target="media/image91.png"/><Relationship Id="rId144" Type="http://schemas.openxmlformats.org/officeDocument/2006/relationships/image" Target="media/image108.png"/><Relationship Id="rId90" Type="http://schemas.openxmlformats.org/officeDocument/2006/relationships/image" Target="media/image61.png"/><Relationship Id="rId165" Type="http://schemas.openxmlformats.org/officeDocument/2006/relationships/image" Target="media/image123.png"/><Relationship Id="rId27" Type="http://schemas.openxmlformats.org/officeDocument/2006/relationships/image" Target="media/image9.png"/><Relationship Id="rId48" Type="http://schemas.openxmlformats.org/officeDocument/2006/relationships/image" Target="media/image30.jpeg"/><Relationship Id="rId69" Type="http://schemas.openxmlformats.org/officeDocument/2006/relationships/hyperlink" Target="http://en.wikipedia.org/wiki/Inframammary_fold" TargetMode="External"/><Relationship Id="rId113" Type="http://schemas.openxmlformats.org/officeDocument/2006/relationships/image" Target="media/image81.png"/><Relationship Id="rId134" Type="http://schemas.openxmlformats.org/officeDocument/2006/relationships/image" Target="media/image102.png"/><Relationship Id="rId80" Type="http://schemas.openxmlformats.org/officeDocument/2006/relationships/image" Target="media/image57.png"/><Relationship Id="rId155" Type="http://schemas.openxmlformats.org/officeDocument/2006/relationships/image" Target="media/image116.png"/><Relationship Id="rId176" Type="http://schemas.openxmlformats.org/officeDocument/2006/relationships/image" Target="media/image134.png"/><Relationship Id="rId17" Type="http://schemas.openxmlformats.org/officeDocument/2006/relationships/image" Target="media/image5.jpeg"/><Relationship Id="rId38" Type="http://schemas.openxmlformats.org/officeDocument/2006/relationships/image" Target="media/image20.emf"/><Relationship Id="rId59" Type="http://schemas.openxmlformats.org/officeDocument/2006/relationships/image" Target="media/image41.emf"/><Relationship Id="rId103" Type="http://schemas.openxmlformats.org/officeDocument/2006/relationships/image" Target="media/image71.png"/><Relationship Id="rId124" Type="http://schemas.openxmlformats.org/officeDocument/2006/relationships/image" Target="media/image92.png"/><Relationship Id="rId70" Type="http://schemas.openxmlformats.org/officeDocument/2006/relationships/hyperlink" Target="http://www.ema.europa.eu/docs/en_GB/document_library/Template_or_form/2013/03/WC500139752.doc" TargetMode="External"/><Relationship Id="rId91" Type="http://schemas.openxmlformats.org/officeDocument/2006/relationships/image" Target="media/image62.png"/><Relationship Id="rId145" Type="http://schemas.openxmlformats.org/officeDocument/2006/relationships/image" Target="media/image109.png"/><Relationship Id="rId166" Type="http://schemas.openxmlformats.org/officeDocument/2006/relationships/image" Target="media/image1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a034c160-bfb7-45f5-8632-2eb7e0508071" xsi:nil="true"/>
    <lcf76f155ced4ddcb4097134ff3c332f xmlns="62874b74-7561-4a92-a6e7-f8370cb4455a" xsi:nil="true"/>
    <Sign_x002d_off xmlns="62874b74-7561-4a92-a6e7-f8370cb4455a" xsi:nil="true"/>
    <_Flow_SignoffStatus xmlns="62874b74-7561-4a92-a6e7-f8370cb4455a" xsi:nil="true"/>
    <Application_x0020_Status xmlns="62874b74-7561-4a92-a6e7-f8370cb4455a" xsi:nil="true"/>
    <_vti_ItemDeclaredRecord xmlns="62874b74-7561-4a92-a6e7-f8370cb4455a" xsi:nil="true"/>
    <Information xmlns="62874b74-7561-4a92-a6e7-f8370cb4455a" xsi:nil="true"/>
    <_dlc_DocId xmlns="a034c160-bfb7-45f5-8632-2eb7e0508071">EMADOC-1700519818-2474341</_dlc_DocId>
    <_dlc_DocIdUrl xmlns="a034c160-bfb7-45f5-8632-2eb7e0508071">
      <Url>https://euema.sharepoint.com/sites/CRM/_layouts/15/DocIdRedir.aspx?ID=EMADOC-1700519818-2474341</Url>
      <Description>EMADOC-1700519818-2474341</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7044A7FB2EB2F4D8B1CA47F982F77DB" ma:contentTypeVersion="7" ma:contentTypeDescription="Create a new document." ma:contentTypeScope="" ma:versionID="f1ce4c1f591fb321d969808d94fb6d4e">
  <xsd:schema xmlns:xsd="http://www.w3.org/2001/XMLSchema" xmlns:xs="http://www.w3.org/2001/XMLSchema" xmlns:p="http://schemas.microsoft.com/office/2006/metadata/properties" xmlns:ns2="a034c160-bfb7-45f5-8632-2eb7e0508071" xmlns:ns3="62874b74-7561-4a92-a6e7-f8370cb4455a" targetNamespace="http://schemas.microsoft.com/office/2006/metadata/properties" ma:root="true" ma:fieldsID="444cf7a999204886a927b198466410c1" ns2:_="" ns3:_="">
    <xsd:import namespace="a034c160-bfb7-45f5-8632-2eb7e0508071"/>
    <xsd:import namespace="62874b74-7561-4a92-a6e7-f8370cb4455a"/>
    <xsd:element name="properties">
      <xsd:complexType>
        <xsd:sequence>
          <xsd:element name="documentManagement">
            <xsd:complexType>
              <xsd:all>
                <xsd:element ref="ns2:_dlc_DocId" minOccurs="0"/>
                <xsd:element ref="ns2:_dlc_DocIdUrl" minOccurs="0"/>
                <xsd:element ref="ns2:_dlc_DocIdPersistId" minOccurs="0"/>
                <xsd:element ref="ns3:_Flow_SignoffStatus" minOccurs="0"/>
                <xsd:element ref="ns3:_vti_ItemDeclaredRecord" minOccurs="0"/>
                <xsd:element ref="ns3:Application_x0020_Status" minOccurs="0"/>
                <xsd:element ref="ns3:Information" minOccurs="0"/>
                <xsd:element ref="ns3:lcf76f155ced4ddcb4097134ff3c332f" minOccurs="0"/>
                <xsd:element ref="ns2:TaxCatchAll" minOccurs="0"/>
                <xsd:element ref="ns3:Sign_x002d_of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34c160-bfb7-45f5-8632-2eb7e05080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6" nillable="true" ma:displayName="Taxonomy Catch All Column" ma:hidden="true" ma:list="{665852a9-51cb-438d-a850-d8097df60d25}" ma:internalName="TaxCatchAll" ma:showField="CatchAllData" ma:web="a034c160-bfb7-45f5-8632-2eb7e05080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2874b74-7561-4a92-a6e7-f8370cb4455a" elementFormDefault="qualified">
    <xsd:import namespace="http://schemas.microsoft.com/office/2006/documentManagement/types"/>
    <xsd:import namespace="http://schemas.microsoft.com/office/infopath/2007/PartnerControls"/>
    <xsd:element name="_Flow_SignoffStatus" ma:index="11" nillable="true" ma:displayName="Sign-off status" ma:internalName="Sign_x002d_off_x0020_status">
      <xsd:simpleType>
        <xsd:restriction base="dms:Text"/>
      </xsd:simpleType>
    </xsd:element>
    <xsd:element name="_vti_ItemDeclaredRecord" ma:index="12" nillable="true" ma:displayName="_vti_ItemDeclaredRecord" ma:format="DateOnly" ma:internalName="_vti_ItemDeclaredRecord">
      <xsd:simpleType>
        <xsd:restriction base="dms:DateTime"/>
      </xsd:simpleType>
    </xsd:element>
    <xsd:element name="Application_x0020_Status" ma:index="13" nillable="true" ma:displayName="Application Status" ma:internalName="Application_x0020_Status">
      <xsd:simpleType>
        <xsd:restriction base="dms:Text">
          <xsd:maxLength value="255"/>
        </xsd:restriction>
      </xsd:simpleType>
    </xsd:element>
    <xsd:element name="Information" ma:index="14" nillable="true" ma:displayName="Information" ma:indexed="true" ma:internalName="Information">
      <xsd:simpleType>
        <xsd:restriction base="dms:Text">
          <xsd:maxLength value="80"/>
        </xsd:restriction>
      </xsd:simpleType>
    </xsd:element>
    <xsd:element name="lcf76f155ced4ddcb4097134ff3c332f" ma:index="15" nillable="true" ma:displayName="Image Tags_0" ma:hidden="true" ma:internalName="lcf76f155ced4ddcb4097134ff3c332f">
      <xsd:simpleType>
        <xsd:restriction base="dms:Note"/>
      </xsd:simpleType>
    </xsd:element>
    <xsd:element name="Sign_x002d_off" ma:index="17" nillable="true" ma:displayName="Sign-off" ma:format="Dropdown" ma:internalName="Sign_x002d_off">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B1069559-8F02-4A33-86ED-057B063E1B30}">
  <ds:schemaRefs>
    <ds:schemaRef ds:uri="http://schemas.openxmlformats.org/officeDocument/2006/bibliography"/>
  </ds:schemaRefs>
</ds:datastoreItem>
</file>

<file path=customXml/itemProps2.xml><?xml version="1.0" encoding="utf-8"?>
<ds:datastoreItem xmlns:ds="http://schemas.openxmlformats.org/officeDocument/2006/customXml" ds:itemID="{E71122A1-BD29-4573-8DB2-A183FA03DBD4}">
  <ds:schemaRefs>
    <ds:schemaRef ds:uri="http://schemas.microsoft.com/sharepoint/v3/contenttype/forms"/>
  </ds:schemaRefs>
</ds:datastoreItem>
</file>

<file path=customXml/itemProps3.xml><?xml version="1.0" encoding="utf-8"?>
<ds:datastoreItem xmlns:ds="http://schemas.openxmlformats.org/officeDocument/2006/customXml" ds:itemID="{9A508FC5-BF39-4D55-9AE5-81D4B9F293DC}">
  <ds:schemaRefs>
    <ds:schemaRef ds:uri="http://schemas.microsoft.com/office/2006/metadata/properties"/>
    <ds:schemaRef ds:uri="http://schemas.microsoft.com/office/infopath/2007/PartnerControls"/>
    <ds:schemaRef ds:uri="83901066-ea94-4f10-a339-f99c2cb3eec1"/>
    <ds:schemaRef ds:uri="c0c1dc18-1381-4757-a3ef-160d068908e0"/>
  </ds:schemaRefs>
</ds:datastoreItem>
</file>

<file path=customXml/itemProps4.xml><?xml version="1.0" encoding="utf-8"?>
<ds:datastoreItem xmlns:ds="http://schemas.openxmlformats.org/officeDocument/2006/customXml" ds:itemID="{0BE89DF3-8824-4C37-B23C-1457CF79D52C}"/>
</file>

<file path=customXml/itemProps5.xml><?xml version="1.0" encoding="utf-8"?>
<ds:datastoreItem xmlns:ds="http://schemas.openxmlformats.org/officeDocument/2006/customXml" ds:itemID="{09AD355E-D7B3-4D96-9E3D-EDAF80D73A11}"/>
</file>

<file path=docProps/app.xml><?xml version="1.0" encoding="utf-8"?>
<Properties xmlns="http://schemas.openxmlformats.org/officeDocument/2006/extended-properties" xmlns:vt="http://schemas.openxmlformats.org/officeDocument/2006/docPropsVTypes">
  <Template>Normal</Template>
  <TotalTime>0</TotalTime>
  <Pages>309</Pages>
  <Words>100390</Words>
  <Characters>572223</Characters>
  <Application>Microsoft Office Word</Application>
  <DocSecurity>0</DocSecurity>
  <Lines>4768</Lines>
  <Paragraphs>1342</Paragraphs>
  <ScaleCrop>false</ScaleCrop>
  <HeadingPairs>
    <vt:vector size="2" baseType="variant">
      <vt:variant>
        <vt:lpstr>제목</vt:lpstr>
      </vt:variant>
      <vt:variant>
        <vt:i4>1</vt:i4>
      </vt:variant>
    </vt:vector>
  </HeadingPairs>
  <TitlesOfParts>
    <vt:vector size="1" baseType="lpstr">
      <vt:lpstr>Yuflyma: EPAR - Product information - tracked changes</vt:lpstr>
    </vt:vector>
  </TitlesOfParts>
  <Company/>
  <LinksUpToDate>false</LinksUpToDate>
  <CharactersWithSpaces>671271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Yuflyma: EPAR - Product information - tracked changes</dc:title>
  <dc:subject/>
  <dc:creator/>
  <cp:keywords/>
  <dc:description/>
  <cp:lastModifiedBy/>
  <cp:revision>1</cp:revision>
  <dcterms:created xsi:type="dcterms:W3CDTF">2024-04-24T12:35:00Z</dcterms:created>
  <dcterms:modified xsi:type="dcterms:W3CDTF">2025-09-10T04:47:00Z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0x010100C7044A7FB2EB2F4D8B1CA47F982F77DB</vt:lpwstr>
  </property>
  <property fmtid="{D5CDD505-2E9C-101B-9397-08002B2CF9AE}" pid="3" name="MediaServiceImageTags">
    <vt:lpwstr/>
  </property>
  <property fmtid="{D5CDD505-2E9C-101B-9397-08002B2CF9AE}" pid="4" name="_dlc_DocIdItemGuid">
    <vt:lpwstr>aa086ec3-4e01-409e-8914-f6d28506a050</vt:lpwstr>
  </property>
</Properties>
</file>